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558"/>
        <w:tblW w:w="10363" w:type="dxa"/>
        <w:tblLook w:val="01E0" w:firstRow="1" w:lastRow="1" w:firstColumn="1" w:lastColumn="1" w:noHBand="0" w:noVBand="0"/>
      </w:tblPr>
      <w:tblGrid>
        <w:gridCol w:w="2020"/>
        <w:gridCol w:w="963"/>
        <w:gridCol w:w="974"/>
        <w:gridCol w:w="1403"/>
        <w:gridCol w:w="585"/>
        <w:gridCol w:w="419"/>
        <w:gridCol w:w="2735"/>
        <w:gridCol w:w="1264"/>
      </w:tblGrid>
      <w:tr w:rsidR="001D081D" w:rsidRPr="001D081D" w14:paraId="1E466D87" w14:textId="77777777" w:rsidTr="00D50A7A">
        <w:trPr>
          <w:trHeight w:hRule="exact" w:val="436"/>
        </w:trPr>
        <w:tc>
          <w:tcPr>
            <w:tcW w:w="10363" w:type="dxa"/>
            <w:gridSpan w:val="8"/>
          </w:tcPr>
          <w:p w14:paraId="60C91C10" w14:textId="4DE79543" w:rsidR="00F4655A" w:rsidRPr="001D081D" w:rsidRDefault="00F4655A" w:rsidP="00154633">
            <w:pPr>
              <w:pStyle w:val="Title"/>
              <w:rPr>
                <w:color w:val="auto"/>
                <w:sz w:val="24"/>
                <w:szCs w:val="24"/>
              </w:rPr>
            </w:pPr>
            <w:bookmarkStart w:id="0" w:name="Summary3"/>
            <w:r w:rsidRPr="001D081D">
              <w:rPr>
                <w:color w:val="auto"/>
                <w:sz w:val="24"/>
                <w:szCs w:val="24"/>
              </w:rPr>
              <w:t>Impact Assessment, The Home Office</w:t>
            </w:r>
          </w:p>
        </w:tc>
      </w:tr>
      <w:tr w:rsidR="001D081D" w:rsidRPr="001D081D" w14:paraId="314C273C" w14:textId="77777777" w:rsidTr="00EE236C">
        <w:trPr>
          <w:trHeight w:val="284"/>
        </w:trPr>
        <w:tc>
          <w:tcPr>
            <w:tcW w:w="6204" w:type="dxa"/>
            <w:gridSpan w:val="5"/>
            <w:vMerge w:val="restart"/>
          </w:tcPr>
          <w:p w14:paraId="0EE4941C" w14:textId="3427F561" w:rsidR="007C38B9" w:rsidRPr="00807380" w:rsidRDefault="007C38B9" w:rsidP="00EE4A13">
            <w:pPr>
              <w:pStyle w:val="IATitle"/>
              <w:spacing w:after="80"/>
              <w:rPr>
                <w:sz w:val="24"/>
              </w:rPr>
            </w:pPr>
            <w:r w:rsidRPr="00807380">
              <w:rPr>
                <w:b/>
                <w:sz w:val="24"/>
              </w:rPr>
              <w:t>Title:</w:t>
            </w:r>
            <w:r w:rsidRPr="00807380">
              <w:rPr>
                <w:sz w:val="24"/>
              </w:rPr>
              <w:t xml:space="preserve"> </w:t>
            </w:r>
            <w:r w:rsidR="00C823C9" w:rsidRPr="00807380">
              <w:rPr>
                <w:sz w:val="24"/>
              </w:rPr>
              <w:t xml:space="preserve"> </w:t>
            </w:r>
            <w:r w:rsidR="004E6EF0" w:rsidRPr="00807380">
              <w:rPr>
                <w:sz w:val="24"/>
              </w:rPr>
              <w:t>Introducing a</w:t>
            </w:r>
            <w:r w:rsidR="00460842" w:rsidRPr="00807380">
              <w:rPr>
                <w:sz w:val="24"/>
              </w:rPr>
              <w:t xml:space="preserve"> </w:t>
            </w:r>
            <w:r w:rsidR="00BE23AA" w:rsidRPr="00807380">
              <w:rPr>
                <w:sz w:val="24"/>
              </w:rPr>
              <w:t>F</w:t>
            </w:r>
            <w:r w:rsidR="003F6FE1" w:rsidRPr="00807380">
              <w:rPr>
                <w:sz w:val="24"/>
              </w:rPr>
              <w:t xml:space="preserve">ailure to </w:t>
            </w:r>
            <w:r w:rsidR="00BE23AA" w:rsidRPr="00807380">
              <w:rPr>
                <w:sz w:val="24"/>
              </w:rPr>
              <w:t>P</w:t>
            </w:r>
            <w:r w:rsidR="003F6FE1" w:rsidRPr="00807380">
              <w:rPr>
                <w:sz w:val="24"/>
              </w:rPr>
              <w:t xml:space="preserve">revent </w:t>
            </w:r>
            <w:r w:rsidR="00BE23AA" w:rsidRPr="00807380">
              <w:rPr>
                <w:sz w:val="24"/>
              </w:rPr>
              <w:t>F</w:t>
            </w:r>
            <w:r w:rsidR="003F6FE1" w:rsidRPr="00807380">
              <w:rPr>
                <w:sz w:val="24"/>
              </w:rPr>
              <w:t>raud</w:t>
            </w:r>
            <w:r w:rsidR="00722218" w:rsidRPr="00807380">
              <w:rPr>
                <w:sz w:val="24"/>
              </w:rPr>
              <w:t xml:space="preserve"> </w:t>
            </w:r>
            <w:r w:rsidR="00722218" w:rsidRPr="00807380">
              <w:rPr>
                <w:rStyle w:val="IAPODescriptionCharChar"/>
                <w:rFonts w:cs="Arial"/>
                <w:b w:val="0"/>
                <w:bCs/>
                <w:color w:val="auto"/>
                <w:sz w:val="24"/>
              </w:rPr>
              <w:t>offence covering all large organisations</w:t>
            </w:r>
          </w:p>
          <w:p w14:paraId="52C0A2EE" w14:textId="127C9B7C" w:rsidR="007C38B9" w:rsidRPr="00807380" w:rsidRDefault="007C38B9" w:rsidP="00B86636">
            <w:pPr>
              <w:pStyle w:val="IAHeadTitle"/>
              <w:spacing w:after="80"/>
              <w:ind w:left="113"/>
              <w:rPr>
                <w:rFonts w:cs="Arial"/>
                <w:sz w:val="24"/>
                <w:szCs w:val="24"/>
              </w:rPr>
            </w:pPr>
            <w:r w:rsidRPr="00807380">
              <w:rPr>
                <w:rFonts w:cs="Arial"/>
                <w:sz w:val="24"/>
                <w:szCs w:val="24"/>
              </w:rPr>
              <w:t>IA No</w:t>
            </w:r>
            <w:r w:rsidR="00722218" w:rsidRPr="00807380">
              <w:rPr>
                <w:rFonts w:cs="Arial"/>
                <w:sz w:val="24"/>
                <w:szCs w:val="24"/>
              </w:rPr>
              <w:t>:</w:t>
            </w:r>
            <w:r w:rsidR="00722218" w:rsidRPr="00807380">
              <w:rPr>
                <w:rFonts w:cs="Arial"/>
                <w:b w:val="0"/>
                <w:sz w:val="24"/>
                <w:szCs w:val="24"/>
              </w:rPr>
              <w:t xml:space="preserve"> </w:t>
            </w:r>
            <w:r w:rsidR="00722218" w:rsidRPr="00807380">
              <w:rPr>
                <w:rStyle w:val="IANoChar"/>
                <w:rFonts w:cs="Arial"/>
                <w:color w:val="auto"/>
                <w:sz w:val="24"/>
                <w:szCs w:val="24"/>
              </w:rPr>
              <w:t>HO</w:t>
            </w:r>
            <w:r w:rsidR="00A418CB" w:rsidRPr="00807380">
              <w:rPr>
                <w:rStyle w:val="IANoChar"/>
                <w:rFonts w:cs="Arial"/>
                <w:color w:val="auto"/>
                <w:sz w:val="24"/>
                <w:szCs w:val="24"/>
              </w:rPr>
              <w:t xml:space="preserve"> </w:t>
            </w:r>
            <w:r w:rsidR="00722218" w:rsidRPr="00807380">
              <w:rPr>
                <w:rStyle w:val="IANoChar"/>
                <w:rFonts w:cs="Arial"/>
                <w:color w:val="auto"/>
                <w:sz w:val="24"/>
                <w:szCs w:val="24"/>
              </w:rPr>
              <w:t>0</w:t>
            </w:r>
            <w:r w:rsidR="00F6075C" w:rsidRPr="00807380">
              <w:rPr>
                <w:rStyle w:val="IANoChar"/>
                <w:rFonts w:cs="Arial"/>
                <w:color w:val="auto"/>
                <w:sz w:val="24"/>
                <w:szCs w:val="24"/>
              </w:rPr>
              <w:t>479</w:t>
            </w:r>
            <w:r w:rsidR="00722218" w:rsidRPr="00807380">
              <w:rPr>
                <w:rStyle w:val="IANoChar"/>
                <w:rFonts w:cs="Arial"/>
                <w:color w:val="auto"/>
                <w:sz w:val="24"/>
                <w:szCs w:val="24"/>
              </w:rPr>
              <w:t xml:space="preserve"> </w:t>
            </w:r>
            <w:r w:rsidRPr="00807380">
              <w:rPr>
                <w:rFonts w:cs="Arial"/>
                <w:sz w:val="24"/>
                <w:szCs w:val="24"/>
              </w:rPr>
              <w:t>RPC Reference No:</w:t>
            </w:r>
            <w:r w:rsidR="00EC70EF" w:rsidRPr="00807380">
              <w:rPr>
                <w:rFonts w:cs="Arial"/>
                <w:b w:val="0"/>
                <w:sz w:val="24"/>
                <w:szCs w:val="24"/>
              </w:rPr>
              <w:t xml:space="preserve"> </w:t>
            </w:r>
            <w:r w:rsidR="00EF12DB" w:rsidRPr="00EF12DB">
              <w:rPr>
                <w:b w:val="0"/>
                <w:bCs/>
                <w:sz w:val="24"/>
                <w:szCs w:val="24"/>
              </w:rPr>
              <w:t>RPC-HO-5197(2)</w:t>
            </w:r>
          </w:p>
          <w:p w14:paraId="4D3B694E" w14:textId="010E5DB5" w:rsidR="007C38B9" w:rsidRPr="00807380" w:rsidRDefault="007C38B9" w:rsidP="00C823C9">
            <w:pPr>
              <w:pStyle w:val="IATableLabel"/>
              <w:spacing w:before="0" w:after="80"/>
              <w:rPr>
                <w:rFonts w:cs="Arial"/>
                <w:b w:val="0"/>
                <w:color w:val="auto"/>
                <w:sz w:val="24"/>
                <w:szCs w:val="24"/>
              </w:rPr>
            </w:pPr>
            <w:r w:rsidRPr="00807380">
              <w:rPr>
                <w:rFonts w:cs="Arial"/>
                <w:color w:val="auto"/>
                <w:sz w:val="24"/>
                <w:szCs w:val="24"/>
              </w:rPr>
              <w:t>Other departments or agencies:</w:t>
            </w:r>
            <w:r w:rsidR="00EC70EF" w:rsidRPr="00807380">
              <w:rPr>
                <w:rFonts w:cs="Arial"/>
                <w:b w:val="0"/>
                <w:color w:val="auto"/>
                <w:sz w:val="24"/>
                <w:szCs w:val="24"/>
              </w:rPr>
              <w:t xml:space="preserve">  </w:t>
            </w:r>
            <w:r w:rsidR="00173038" w:rsidRPr="00807380">
              <w:rPr>
                <w:rFonts w:cs="Arial"/>
                <w:b w:val="0"/>
                <w:color w:val="auto"/>
                <w:sz w:val="24"/>
                <w:szCs w:val="24"/>
              </w:rPr>
              <w:t>Department for</w:t>
            </w:r>
            <w:r w:rsidR="00EC70EF" w:rsidRPr="00807380">
              <w:rPr>
                <w:rFonts w:cs="Arial"/>
                <w:b w:val="0"/>
                <w:color w:val="auto"/>
                <w:sz w:val="24"/>
                <w:szCs w:val="24"/>
              </w:rPr>
              <w:t xml:space="preserve"> </w:t>
            </w:r>
            <w:r w:rsidR="00CD5B6E" w:rsidRPr="00807380">
              <w:rPr>
                <w:rFonts w:cs="Arial"/>
                <w:b w:val="0"/>
                <w:color w:val="auto"/>
                <w:sz w:val="24"/>
                <w:szCs w:val="24"/>
              </w:rPr>
              <w:t>Business and Trade</w:t>
            </w:r>
            <w:r w:rsidR="00460842" w:rsidRPr="00807380">
              <w:rPr>
                <w:rFonts w:cs="Arial"/>
                <w:b w:val="0"/>
                <w:color w:val="auto"/>
                <w:sz w:val="24"/>
                <w:szCs w:val="24"/>
              </w:rPr>
              <w:t>, M</w:t>
            </w:r>
            <w:r w:rsidR="00C823C9" w:rsidRPr="00807380">
              <w:rPr>
                <w:rFonts w:cs="Arial"/>
                <w:b w:val="0"/>
                <w:color w:val="auto"/>
                <w:sz w:val="24"/>
                <w:szCs w:val="24"/>
              </w:rPr>
              <w:t xml:space="preserve">inistry of </w:t>
            </w:r>
            <w:r w:rsidR="00460842" w:rsidRPr="00807380">
              <w:rPr>
                <w:rFonts w:cs="Arial"/>
                <w:b w:val="0"/>
                <w:color w:val="auto"/>
                <w:sz w:val="24"/>
                <w:szCs w:val="24"/>
              </w:rPr>
              <w:t>J</w:t>
            </w:r>
            <w:r w:rsidR="00C823C9" w:rsidRPr="00807380">
              <w:rPr>
                <w:rFonts w:cs="Arial"/>
                <w:b w:val="0"/>
                <w:color w:val="auto"/>
                <w:sz w:val="24"/>
                <w:szCs w:val="24"/>
              </w:rPr>
              <w:t>ustice</w:t>
            </w:r>
            <w:r w:rsidR="00094EFE" w:rsidRPr="00807380">
              <w:rPr>
                <w:rFonts w:cs="Arial"/>
                <w:b w:val="0"/>
                <w:color w:val="auto"/>
                <w:sz w:val="24"/>
                <w:szCs w:val="24"/>
              </w:rPr>
              <w:t>, HM</w:t>
            </w:r>
            <w:r w:rsidR="00C823C9" w:rsidRPr="00807380">
              <w:rPr>
                <w:rFonts w:cs="Arial"/>
                <w:b w:val="0"/>
                <w:color w:val="auto"/>
                <w:sz w:val="24"/>
                <w:szCs w:val="24"/>
              </w:rPr>
              <w:t xml:space="preserve"> </w:t>
            </w:r>
            <w:r w:rsidR="00094EFE" w:rsidRPr="00807380">
              <w:rPr>
                <w:rFonts w:cs="Arial"/>
                <w:b w:val="0"/>
                <w:color w:val="auto"/>
                <w:sz w:val="24"/>
                <w:szCs w:val="24"/>
              </w:rPr>
              <w:t>R</w:t>
            </w:r>
            <w:r w:rsidR="00C823C9" w:rsidRPr="00807380">
              <w:rPr>
                <w:rFonts w:cs="Arial"/>
                <w:b w:val="0"/>
                <w:color w:val="auto"/>
                <w:sz w:val="24"/>
                <w:szCs w:val="24"/>
              </w:rPr>
              <w:t xml:space="preserve">evenue and </w:t>
            </w:r>
            <w:r w:rsidR="00094EFE" w:rsidRPr="00807380">
              <w:rPr>
                <w:rFonts w:cs="Arial"/>
                <w:b w:val="0"/>
                <w:color w:val="auto"/>
                <w:sz w:val="24"/>
                <w:szCs w:val="24"/>
              </w:rPr>
              <w:t>C</w:t>
            </w:r>
            <w:r w:rsidR="00C823C9" w:rsidRPr="00807380">
              <w:rPr>
                <w:rFonts w:cs="Arial"/>
                <w:b w:val="0"/>
                <w:color w:val="auto"/>
                <w:sz w:val="24"/>
                <w:szCs w:val="24"/>
              </w:rPr>
              <w:t>ustoms</w:t>
            </w:r>
            <w:r w:rsidR="00094EFE" w:rsidRPr="00807380">
              <w:rPr>
                <w:rFonts w:cs="Arial"/>
                <w:b w:val="0"/>
                <w:color w:val="auto"/>
                <w:sz w:val="24"/>
                <w:szCs w:val="24"/>
              </w:rPr>
              <w:t>, HM</w:t>
            </w:r>
            <w:r w:rsidR="00C823C9" w:rsidRPr="00807380">
              <w:rPr>
                <w:rFonts w:cs="Arial"/>
                <w:b w:val="0"/>
                <w:color w:val="auto"/>
                <w:sz w:val="24"/>
                <w:szCs w:val="24"/>
              </w:rPr>
              <w:t xml:space="preserve"> </w:t>
            </w:r>
            <w:r w:rsidR="00094EFE" w:rsidRPr="00807380">
              <w:rPr>
                <w:rFonts w:cs="Arial"/>
                <w:b w:val="0"/>
                <w:color w:val="auto"/>
                <w:sz w:val="24"/>
                <w:szCs w:val="24"/>
              </w:rPr>
              <w:t>T</w:t>
            </w:r>
            <w:r w:rsidR="00C823C9" w:rsidRPr="00807380">
              <w:rPr>
                <w:rFonts w:cs="Arial"/>
                <w:b w:val="0"/>
                <w:color w:val="auto"/>
                <w:sz w:val="24"/>
                <w:szCs w:val="24"/>
              </w:rPr>
              <w:t>reasury</w:t>
            </w:r>
            <w:r w:rsidR="00094EFE" w:rsidRPr="00807380">
              <w:rPr>
                <w:rFonts w:cs="Arial"/>
                <w:b w:val="0"/>
                <w:color w:val="auto"/>
                <w:sz w:val="24"/>
                <w:szCs w:val="24"/>
              </w:rPr>
              <w:t>, S</w:t>
            </w:r>
            <w:r w:rsidR="00C823C9" w:rsidRPr="00807380">
              <w:rPr>
                <w:rFonts w:cs="Arial"/>
                <w:b w:val="0"/>
                <w:color w:val="auto"/>
                <w:sz w:val="24"/>
                <w:szCs w:val="24"/>
              </w:rPr>
              <w:t>erio</w:t>
            </w:r>
            <w:r w:rsidR="00FC11EF" w:rsidRPr="00807380">
              <w:rPr>
                <w:rFonts w:cs="Arial"/>
                <w:b w:val="0"/>
                <w:color w:val="auto"/>
                <w:sz w:val="24"/>
                <w:szCs w:val="24"/>
              </w:rPr>
              <w:t>u</w:t>
            </w:r>
            <w:r w:rsidR="00C823C9" w:rsidRPr="00807380">
              <w:rPr>
                <w:rFonts w:cs="Arial"/>
                <w:b w:val="0"/>
                <w:color w:val="auto"/>
                <w:sz w:val="24"/>
                <w:szCs w:val="24"/>
              </w:rPr>
              <w:t xml:space="preserve">s </w:t>
            </w:r>
            <w:r w:rsidR="00094EFE" w:rsidRPr="00807380">
              <w:rPr>
                <w:rFonts w:cs="Arial"/>
                <w:b w:val="0"/>
                <w:color w:val="auto"/>
                <w:sz w:val="24"/>
                <w:szCs w:val="24"/>
              </w:rPr>
              <w:t>F</w:t>
            </w:r>
            <w:r w:rsidR="00C823C9" w:rsidRPr="00807380">
              <w:rPr>
                <w:rFonts w:cs="Arial"/>
                <w:b w:val="0"/>
                <w:color w:val="auto"/>
                <w:sz w:val="24"/>
                <w:szCs w:val="24"/>
              </w:rPr>
              <w:t xml:space="preserve">raud </w:t>
            </w:r>
            <w:r w:rsidR="00094EFE" w:rsidRPr="00807380">
              <w:rPr>
                <w:rFonts w:cs="Arial"/>
                <w:b w:val="0"/>
                <w:color w:val="auto"/>
                <w:sz w:val="24"/>
                <w:szCs w:val="24"/>
              </w:rPr>
              <w:t>O</w:t>
            </w:r>
            <w:r w:rsidR="00C823C9" w:rsidRPr="00807380">
              <w:rPr>
                <w:rFonts w:cs="Arial"/>
                <w:b w:val="0"/>
                <w:color w:val="auto"/>
                <w:sz w:val="24"/>
                <w:szCs w:val="24"/>
              </w:rPr>
              <w:t>ffice</w:t>
            </w:r>
            <w:r w:rsidR="006243D0" w:rsidRPr="00807380">
              <w:rPr>
                <w:rFonts w:cs="Arial"/>
                <w:b w:val="0"/>
                <w:color w:val="auto"/>
                <w:sz w:val="24"/>
                <w:szCs w:val="24"/>
              </w:rPr>
              <w:t>, C</w:t>
            </w:r>
            <w:r w:rsidR="00C823C9" w:rsidRPr="00807380">
              <w:rPr>
                <w:rFonts w:cs="Arial"/>
                <w:b w:val="0"/>
                <w:color w:val="auto"/>
                <w:sz w:val="24"/>
                <w:szCs w:val="24"/>
              </w:rPr>
              <w:t xml:space="preserve">rown </w:t>
            </w:r>
            <w:r w:rsidR="006243D0" w:rsidRPr="00807380">
              <w:rPr>
                <w:rFonts w:cs="Arial"/>
                <w:b w:val="0"/>
                <w:color w:val="auto"/>
                <w:sz w:val="24"/>
                <w:szCs w:val="24"/>
              </w:rPr>
              <w:t>P</w:t>
            </w:r>
            <w:r w:rsidR="00C823C9" w:rsidRPr="00807380">
              <w:rPr>
                <w:rFonts w:cs="Arial"/>
                <w:b w:val="0"/>
                <w:color w:val="auto"/>
                <w:sz w:val="24"/>
                <w:szCs w:val="24"/>
              </w:rPr>
              <w:t xml:space="preserve">rosecution </w:t>
            </w:r>
            <w:r w:rsidR="006243D0" w:rsidRPr="00807380">
              <w:rPr>
                <w:rFonts w:cs="Arial"/>
                <w:b w:val="0"/>
                <w:color w:val="auto"/>
                <w:sz w:val="24"/>
                <w:szCs w:val="24"/>
              </w:rPr>
              <w:t>S</w:t>
            </w:r>
            <w:r w:rsidR="00C823C9" w:rsidRPr="00807380">
              <w:rPr>
                <w:rFonts w:cs="Arial"/>
                <w:b w:val="0"/>
                <w:color w:val="auto"/>
                <w:sz w:val="24"/>
                <w:szCs w:val="24"/>
              </w:rPr>
              <w:t>ervice and</w:t>
            </w:r>
            <w:r w:rsidR="006243D0" w:rsidRPr="00807380">
              <w:rPr>
                <w:rFonts w:cs="Arial"/>
                <w:b w:val="0"/>
                <w:color w:val="auto"/>
                <w:sz w:val="24"/>
                <w:szCs w:val="24"/>
              </w:rPr>
              <w:t xml:space="preserve"> A</w:t>
            </w:r>
            <w:r w:rsidR="00C823C9" w:rsidRPr="00807380">
              <w:rPr>
                <w:rFonts w:cs="Arial"/>
                <w:b w:val="0"/>
                <w:color w:val="auto"/>
                <w:sz w:val="24"/>
                <w:szCs w:val="24"/>
              </w:rPr>
              <w:t xml:space="preserve">ttorney </w:t>
            </w:r>
            <w:r w:rsidR="006243D0" w:rsidRPr="00807380">
              <w:rPr>
                <w:rFonts w:cs="Arial"/>
                <w:b w:val="0"/>
                <w:color w:val="auto"/>
                <w:sz w:val="24"/>
                <w:szCs w:val="24"/>
              </w:rPr>
              <w:t>G</w:t>
            </w:r>
            <w:r w:rsidR="00C823C9" w:rsidRPr="00807380">
              <w:rPr>
                <w:rFonts w:cs="Arial"/>
                <w:b w:val="0"/>
                <w:color w:val="auto"/>
                <w:sz w:val="24"/>
                <w:szCs w:val="24"/>
              </w:rPr>
              <w:t xml:space="preserve">eneral’s </w:t>
            </w:r>
            <w:r w:rsidR="006243D0" w:rsidRPr="00807380">
              <w:rPr>
                <w:rFonts w:cs="Arial"/>
                <w:b w:val="0"/>
                <w:color w:val="auto"/>
                <w:sz w:val="24"/>
                <w:szCs w:val="24"/>
              </w:rPr>
              <w:t>O</w:t>
            </w:r>
            <w:r w:rsidR="00C823C9" w:rsidRPr="00807380">
              <w:rPr>
                <w:rFonts w:cs="Arial"/>
                <w:b w:val="0"/>
                <w:color w:val="auto"/>
                <w:sz w:val="24"/>
                <w:szCs w:val="24"/>
              </w:rPr>
              <w:t>ffice.</w:t>
            </w:r>
          </w:p>
        </w:tc>
        <w:tc>
          <w:tcPr>
            <w:tcW w:w="4159" w:type="dxa"/>
            <w:gridSpan w:val="3"/>
            <w:tcBorders>
              <w:bottom w:val="single" w:sz="2" w:space="0" w:color="auto"/>
            </w:tcBorders>
            <w:shd w:val="clear" w:color="auto" w:fill="auto"/>
          </w:tcPr>
          <w:p w14:paraId="7E3423BE" w14:textId="3CA0B1A7" w:rsidR="007C38B9" w:rsidRPr="00807380" w:rsidRDefault="007C38B9" w:rsidP="007C38B9">
            <w:pPr>
              <w:spacing w:before="50" w:after="50"/>
              <w:ind w:left="113" w:right="113"/>
              <w:rPr>
                <w:rFonts w:eastAsia="SimSun" w:cs="Arial"/>
                <w:b/>
              </w:rPr>
            </w:pPr>
            <w:r w:rsidRPr="00807380">
              <w:rPr>
                <w:rFonts w:eastAsia="SimSun" w:cs="Arial"/>
                <w:b/>
              </w:rPr>
              <w:t>Date</w:t>
            </w:r>
            <w:r w:rsidRPr="00807380">
              <w:rPr>
                <w:rFonts w:eastAsia="SimSun" w:cs="Arial"/>
                <w:bCs/>
              </w:rPr>
              <w:t>:</w:t>
            </w:r>
            <w:r w:rsidR="00D50A7A" w:rsidRPr="00807380">
              <w:rPr>
                <w:rFonts w:eastAsia="SimSun" w:cs="Arial"/>
                <w:bCs/>
              </w:rPr>
              <w:t xml:space="preserve"> </w:t>
            </w:r>
            <w:r w:rsidR="00D356B9">
              <w:rPr>
                <w:rFonts w:eastAsia="SimSun" w:cs="Arial"/>
                <w:bCs/>
              </w:rPr>
              <w:t>03/10/2024</w:t>
            </w:r>
          </w:p>
        </w:tc>
      </w:tr>
      <w:tr w:rsidR="001D081D" w:rsidRPr="001D081D" w14:paraId="58442282" w14:textId="77777777" w:rsidTr="00722218">
        <w:trPr>
          <w:trHeight w:val="284"/>
        </w:trPr>
        <w:tc>
          <w:tcPr>
            <w:tcW w:w="6204" w:type="dxa"/>
            <w:gridSpan w:val="5"/>
            <w:vMerge/>
          </w:tcPr>
          <w:p w14:paraId="1B05D894" w14:textId="77777777" w:rsidR="007C38B9" w:rsidRPr="00807380" w:rsidRDefault="007C38B9" w:rsidP="007C38B9">
            <w:pPr>
              <w:pStyle w:val="IATitle"/>
              <w:rPr>
                <w:b/>
                <w:sz w:val="24"/>
              </w:rPr>
            </w:pPr>
          </w:p>
        </w:tc>
        <w:tc>
          <w:tcPr>
            <w:tcW w:w="4159" w:type="dxa"/>
            <w:gridSpan w:val="3"/>
            <w:tcBorders>
              <w:bottom w:val="single" w:sz="2" w:space="0" w:color="auto"/>
            </w:tcBorders>
          </w:tcPr>
          <w:p w14:paraId="4A52744A" w14:textId="584F56D0" w:rsidR="007C38B9" w:rsidRPr="00807380" w:rsidRDefault="007C38B9" w:rsidP="007C38B9">
            <w:pPr>
              <w:spacing w:before="50" w:after="50"/>
              <w:ind w:left="113" w:right="113"/>
              <w:rPr>
                <w:rFonts w:eastAsia="SimSun" w:cs="Arial"/>
                <w:bCs/>
              </w:rPr>
            </w:pPr>
            <w:r w:rsidRPr="00807380">
              <w:rPr>
                <w:rFonts w:eastAsia="SimSun" w:cs="Arial"/>
                <w:b/>
              </w:rPr>
              <w:t xml:space="preserve">Stage: </w:t>
            </w:r>
            <w:r w:rsidR="00785AE8" w:rsidRPr="00807380">
              <w:rPr>
                <w:rFonts w:eastAsia="SimSun" w:cs="Arial"/>
                <w:bCs/>
              </w:rPr>
              <w:t xml:space="preserve">ENACTMENT </w:t>
            </w:r>
          </w:p>
        </w:tc>
      </w:tr>
      <w:tr w:rsidR="001D081D" w:rsidRPr="001D081D" w14:paraId="2BD91710" w14:textId="77777777" w:rsidTr="00722218">
        <w:trPr>
          <w:trHeight w:val="284"/>
        </w:trPr>
        <w:tc>
          <w:tcPr>
            <w:tcW w:w="6204" w:type="dxa"/>
            <w:gridSpan w:val="5"/>
            <w:vMerge/>
          </w:tcPr>
          <w:p w14:paraId="5F06D085" w14:textId="77777777" w:rsidR="007C38B9" w:rsidRPr="00807380" w:rsidRDefault="007C38B9" w:rsidP="007C38B9">
            <w:pPr>
              <w:pStyle w:val="IATitle"/>
              <w:rPr>
                <w:b/>
                <w:sz w:val="24"/>
              </w:rPr>
            </w:pPr>
          </w:p>
        </w:tc>
        <w:tc>
          <w:tcPr>
            <w:tcW w:w="4159" w:type="dxa"/>
            <w:gridSpan w:val="3"/>
            <w:tcBorders>
              <w:bottom w:val="single" w:sz="2" w:space="0" w:color="auto"/>
            </w:tcBorders>
          </w:tcPr>
          <w:p w14:paraId="237A74A1" w14:textId="4ACB7FF0" w:rsidR="007C38B9" w:rsidRPr="00807380" w:rsidRDefault="00203D84" w:rsidP="007C38B9">
            <w:pPr>
              <w:spacing w:before="50" w:after="50"/>
              <w:ind w:left="113" w:right="113"/>
              <w:rPr>
                <w:rFonts w:eastAsia="SimSun" w:cs="Arial"/>
                <w:b/>
              </w:rPr>
            </w:pPr>
            <w:r w:rsidRPr="00807380">
              <w:rPr>
                <w:rFonts w:eastAsia="SimSun" w:cs="Arial"/>
                <w:b/>
              </w:rPr>
              <w:t>I</w:t>
            </w:r>
            <w:r w:rsidR="007C38B9" w:rsidRPr="00807380">
              <w:rPr>
                <w:rFonts w:eastAsia="SimSun" w:cs="Arial"/>
                <w:b/>
              </w:rPr>
              <w:t xml:space="preserve">ntervention: </w:t>
            </w:r>
            <w:r w:rsidR="007C38B9" w:rsidRPr="00807380">
              <w:rPr>
                <w:rStyle w:val="IASOIChar"/>
                <w:rFonts w:cs="Arial"/>
                <w:b w:val="0"/>
                <w:color w:val="auto"/>
                <w:sz w:val="24"/>
              </w:rPr>
              <w:fldChar w:fldCharType="begin">
                <w:ffData>
                  <w:name w:val="IAInterSource"/>
                  <w:enabled/>
                  <w:calcOnExit w:val="0"/>
                  <w:ddList>
                    <w:listEntry w:val="Domestic"/>
                    <w:listEntry w:val="EU"/>
                    <w:listEntry w:val="International"/>
                  </w:ddList>
                </w:ffData>
              </w:fldChar>
            </w:r>
            <w:r w:rsidR="007C38B9" w:rsidRPr="00807380">
              <w:rPr>
                <w:rStyle w:val="IASOIChar"/>
                <w:rFonts w:cs="Arial"/>
                <w:b w:val="0"/>
                <w:color w:val="auto"/>
                <w:sz w:val="24"/>
              </w:rPr>
              <w:instrText xml:space="preserve"> FORMDROPDOWN </w:instrText>
            </w:r>
            <w:r w:rsidR="00055594">
              <w:rPr>
                <w:rStyle w:val="IASOIChar"/>
                <w:rFonts w:cs="Arial"/>
                <w:b w:val="0"/>
                <w:color w:val="auto"/>
                <w:sz w:val="24"/>
              </w:rPr>
            </w:r>
            <w:r w:rsidR="00055594">
              <w:rPr>
                <w:rStyle w:val="IASOIChar"/>
                <w:rFonts w:cs="Arial"/>
                <w:b w:val="0"/>
                <w:color w:val="auto"/>
                <w:sz w:val="24"/>
              </w:rPr>
              <w:fldChar w:fldCharType="separate"/>
            </w:r>
            <w:r w:rsidR="007C38B9" w:rsidRPr="00807380">
              <w:rPr>
                <w:rStyle w:val="IASOIChar"/>
                <w:rFonts w:cs="Arial"/>
                <w:b w:val="0"/>
                <w:color w:val="auto"/>
                <w:sz w:val="24"/>
              </w:rPr>
              <w:fldChar w:fldCharType="end"/>
            </w:r>
          </w:p>
        </w:tc>
      </w:tr>
      <w:tr w:rsidR="001D081D" w:rsidRPr="001D081D" w14:paraId="69FB5ED8" w14:textId="77777777" w:rsidTr="00722218">
        <w:trPr>
          <w:trHeight w:val="284"/>
        </w:trPr>
        <w:tc>
          <w:tcPr>
            <w:tcW w:w="6204" w:type="dxa"/>
            <w:gridSpan w:val="5"/>
            <w:vMerge/>
          </w:tcPr>
          <w:p w14:paraId="006E0F94" w14:textId="77777777" w:rsidR="007C38B9" w:rsidRPr="00807380" w:rsidRDefault="007C38B9" w:rsidP="007C38B9">
            <w:pPr>
              <w:pStyle w:val="IATitle"/>
              <w:rPr>
                <w:b/>
                <w:sz w:val="24"/>
              </w:rPr>
            </w:pPr>
          </w:p>
        </w:tc>
        <w:tc>
          <w:tcPr>
            <w:tcW w:w="4159" w:type="dxa"/>
            <w:gridSpan w:val="3"/>
            <w:tcBorders>
              <w:bottom w:val="single" w:sz="2" w:space="0" w:color="auto"/>
            </w:tcBorders>
          </w:tcPr>
          <w:p w14:paraId="1958427C" w14:textId="7D258354" w:rsidR="007C38B9" w:rsidRPr="00807380" w:rsidRDefault="00203D84" w:rsidP="007C38B9">
            <w:pPr>
              <w:spacing w:before="50" w:after="50"/>
              <w:ind w:left="113" w:right="113"/>
              <w:rPr>
                <w:rFonts w:eastAsia="SimSun" w:cs="Arial"/>
                <w:b/>
              </w:rPr>
            </w:pPr>
            <w:r w:rsidRPr="00807380">
              <w:rPr>
                <w:rFonts w:eastAsia="SimSun" w:cs="Arial"/>
                <w:b/>
              </w:rPr>
              <w:t>M</w:t>
            </w:r>
            <w:r w:rsidR="007C38B9" w:rsidRPr="00807380">
              <w:rPr>
                <w:rFonts w:eastAsia="SimSun" w:cs="Arial"/>
                <w:b/>
              </w:rPr>
              <w:t xml:space="preserve">easure: </w:t>
            </w:r>
            <w:r w:rsidR="0080464C" w:rsidRPr="00807380">
              <w:rPr>
                <w:rFonts w:eastAsia="SimSun" w:cs="Arial"/>
                <w:bCs/>
              </w:rPr>
              <w:t>Primary Legislation</w:t>
            </w:r>
          </w:p>
        </w:tc>
      </w:tr>
      <w:tr w:rsidR="001D081D" w:rsidRPr="001D081D" w14:paraId="26E30D8D" w14:textId="77777777" w:rsidTr="00722218">
        <w:trPr>
          <w:trHeight w:val="598"/>
        </w:trPr>
        <w:tc>
          <w:tcPr>
            <w:tcW w:w="6204" w:type="dxa"/>
            <w:gridSpan w:val="5"/>
            <w:vMerge/>
          </w:tcPr>
          <w:p w14:paraId="1C9A839E" w14:textId="77777777" w:rsidR="007C38B9" w:rsidRPr="00807380" w:rsidRDefault="007C38B9" w:rsidP="007C38B9">
            <w:pPr>
              <w:pStyle w:val="IATitle"/>
              <w:rPr>
                <w:b/>
                <w:sz w:val="24"/>
              </w:rPr>
            </w:pPr>
          </w:p>
        </w:tc>
        <w:tc>
          <w:tcPr>
            <w:tcW w:w="4159" w:type="dxa"/>
            <w:gridSpan w:val="3"/>
            <w:tcBorders>
              <w:bottom w:val="single" w:sz="2" w:space="0" w:color="auto"/>
            </w:tcBorders>
          </w:tcPr>
          <w:p w14:paraId="61272C90" w14:textId="637FD0C8" w:rsidR="007C38B9" w:rsidRPr="00807380" w:rsidRDefault="00203D84" w:rsidP="007C38B9">
            <w:pPr>
              <w:spacing w:before="50" w:after="50"/>
              <w:ind w:left="113" w:right="113"/>
              <w:rPr>
                <w:rFonts w:eastAsia="SimSun" w:cs="Arial"/>
                <w:b/>
              </w:rPr>
            </w:pPr>
            <w:r w:rsidRPr="00807380">
              <w:rPr>
                <w:rFonts w:eastAsia="SimSun" w:cs="Arial"/>
                <w:b/>
              </w:rPr>
              <w:t>E</w:t>
            </w:r>
            <w:r w:rsidR="007C38B9" w:rsidRPr="00807380">
              <w:rPr>
                <w:rFonts w:eastAsia="SimSun" w:cs="Arial"/>
                <w:b/>
              </w:rPr>
              <w:t>nquiries:</w:t>
            </w:r>
            <w:r w:rsidR="00704C96" w:rsidRPr="00807380">
              <w:rPr>
                <w:rFonts w:eastAsia="SimSun" w:cs="Arial"/>
                <w:b/>
              </w:rPr>
              <w:t xml:space="preserve"> </w:t>
            </w:r>
          </w:p>
          <w:p w14:paraId="52B600C8" w14:textId="4D79CEEA" w:rsidR="005D413A" w:rsidRPr="00807380" w:rsidRDefault="17857A34" w:rsidP="1AAD32BD">
            <w:pPr>
              <w:spacing w:before="50" w:after="50"/>
              <w:ind w:left="113" w:right="113"/>
              <w:rPr>
                <w:rFonts w:eastAsia="SimSun" w:cs="Arial"/>
              </w:rPr>
            </w:pPr>
            <w:r w:rsidRPr="1AAD32BD">
              <w:rPr>
                <w:rFonts w:eastAsia="SimSun" w:cs="Arial"/>
              </w:rPr>
              <w:t>public.enquiries@homeoffice.gov.uk</w:t>
            </w:r>
          </w:p>
          <w:p w14:paraId="6EB813F8" w14:textId="2A790A5B" w:rsidR="007C38B9" w:rsidRPr="00807380" w:rsidRDefault="17857A34" w:rsidP="007C38B9">
            <w:pPr>
              <w:spacing w:before="50" w:after="50"/>
              <w:ind w:left="113" w:right="113"/>
              <w:rPr>
                <w:rFonts w:eastAsia="SimSun" w:cs="Arial"/>
              </w:rPr>
            </w:pPr>
            <w:r w:rsidRPr="1AAD32BD">
              <w:rPr>
                <w:rFonts w:eastAsia="SimSun" w:cs="Arial"/>
              </w:rPr>
              <w:t xml:space="preserve"> </w:t>
            </w:r>
          </w:p>
        </w:tc>
      </w:tr>
      <w:tr w:rsidR="001D081D" w:rsidRPr="001D081D" w14:paraId="2CA64E4B" w14:textId="77777777" w:rsidTr="00722218">
        <w:trPr>
          <w:trHeight w:val="340"/>
        </w:trPr>
        <w:tc>
          <w:tcPr>
            <w:tcW w:w="4106" w:type="dxa"/>
            <w:gridSpan w:val="3"/>
            <w:shd w:val="clear" w:color="auto" w:fill="F2F2F2" w:themeFill="background1" w:themeFillShade="F2"/>
          </w:tcPr>
          <w:p w14:paraId="518A0256" w14:textId="49820DD1" w:rsidR="00F4655A" w:rsidRPr="00807380" w:rsidRDefault="00F4655A" w:rsidP="00203D84">
            <w:pPr>
              <w:pStyle w:val="IATitle"/>
              <w:ind w:left="0"/>
              <w:rPr>
                <w:b/>
                <w:sz w:val="24"/>
              </w:rPr>
            </w:pPr>
            <w:r w:rsidRPr="00807380">
              <w:rPr>
                <w:b/>
                <w:sz w:val="24"/>
              </w:rPr>
              <w:t xml:space="preserve">RPC Opinion: </w:t>
            </w:r>
            <w:r w:rsidR="00D356B9">
              <w:rPr>
                <w:rStyle w:val="IARPCChar"/>
              </w:rPr>
              <w:t xml:space="preserve">Green </w:t>
            </w:r>
          </w:p>
        </w:tc>
        <w:tc>
          <w:tcPr>
            <w:tcW w:w="6257" w:type="dxa"/>
            <w:gridSpan w:val="5"/>
            <w:shd w:val="clear" w:color="auto" w:fill="F2F2F2" w:themeFill="background1" w:themeFillShade="F2"/>
          </w:tcPr>
          <w:p w14:paraId="36887968" w14:textId="7F63ED3A" w:rsidR="00F4655A" w:rsidRPr="00807380" w:rsidRDefault="00F4655A" w:rsidP="007C38B9">
            <w:pPr>
              <w:pStyle w:val="IATableLabel"/>
              <w:spacing w:before="0" w:after="0"/>
              <w:rPr>
                <w:rFonts w:cs="Arial"/>
                <w:color w:val="auto"/>
                <w:sz w:val="24"/>
                <w:szCs w:val="24"/>
              </w:rPr>
            </w:pPr>
            <w:r w:rsidRPr="00807380">
              <w:rPr>
                <w:rFonts w:cs="Arial"/>
                <w:color w:val="auto"/>
                <w:sz w:val="24"/>
                <w:szCs w:val="24"/>
              </w:rPr>
              <w:t xml:space="preserve">Business Impact Target: </w:t>
            </w:r>
            <w:r w:rsidR="00722218" w:rsidRPr="00807380">
              <w:rPr>
                <w:rFonts w:cs="Arial"/>
                <w:b w:val="0"/>
                <w:bCs/>
                <w:color w:val="auto"/>
                <w:sz w:val="24"/>
                <w:szCs w:val="24"/>
              </w:rPr>
              <w:t xml:space="preserve">Qualifying </w:t>
            </w:r>
            <w:r w:rsidR="0080464C" w:rsidRPr="00807380">
              <w:rPr>
                <w:rFonts w:cs="Arial"/>
                <w:b w:val="0"/>
                <w:bCs/>
                <w:color w:val="auto"/>
                <w:sz w:val="24"/>
                <w:szCs w:val="24"/>
              </w:rPr>
              <w:t xml:space="preserve">Regulatory </w:t>
            </w:r>
            <w:r w:rsidR="00C012C4" w:rsidRPr="00807380">
              <w:rPr>
                <w:rFonts w:cs="Arial"/>
                <w:b w:val="0"/>
                <w:bCs/>
                <w:color w:val="auto"/>
                <w:sz w:val="24"/>
                <w:szCs w:val="24"/>
              </w:rPr>
              <w:t>P</w:t>
            </w:r>
            <w:r w:rsidR="0080464C" w:rsidRPr="00807380">
              <w:rPr>
                <w:rFonts w:cs="Arial"/>
                <w:b w:val="0"/>
                <w:bCs/>
                <w:color w:val="auto"/>
                <w:sz w:val="24"/>
                <w:szCs w:val="24"/>
              </w:rPr>
              <w:t>rovision</w:t>
            </w:r>
          </w:p>
        </w:tc>
      </w:tr>
      <w:tr w:rsidR="001D081D" w:rsidRPr="001D081D" w14:paraId="0C6CAD4D" w14:textId="77777777" w:rsidTr="00D50A7A">
        <w:trPr>
          <w:trHeight w:hRule="exact" w:val="90"/>
        </w:trPr>
        <w:tc>
          <w:tcPr>
            <w:tcW w:w="10363" w:type="dxa"/>
            <w:gridSpan w:val="8"/>
            <w:tcBorders>
              <w:left w:val="nil"/>
              <w:right w:val="nil"/>
            </w:tcBorders>
          </w:tcPr>
          <w:p w14:paraId="03165FFA" w14:textId="77777777" w:rsidR="00F4655A" w:rsidRPr="00807380" w:rsidRDefault="00F4655A" w:rsidP="007C38B9">
            <w:pPr>
              <w:rPr>
                <w:rFonts w:eastAsia="SimSun" w:cs="Arial"/>
              </w:rPr>
            </w:pPr>
          </w:p>
        </w:tc>
      </w:tr>
      <w:tr w:rsidR="001D081D" w:rsidRPr="001D081D" w14:paraId="1ACDD08B" w14:textId="77777777" w:rsidTr="002B005A">
        <w:trPr>
          <w:trHeight w:hRule="exact" w:val="371"/>
        </w:trPr>
        <w:tc>
          <w:tcPr>
            <w:tcW w:w="10363" w:type="dxa"/>
            <w:gridSpan w:val="8"/>
          </w:tcPr>
          <w:p w14:paraId="40410E49" w14:textId="73B22D4D" w:rsidR="00F4655A" w:rsidRPr="00807380" w:rsidRDefault="00F4655A" w:rsidP="007C38B9">
            <w:pPr>
              <w:pStyle w:val="IATableLabel"/>
              <w:ind w:left="0"/>
              <w:jc w:val="center"/>
              <w:rPr>
                <w:rFonts w:cs="Arial"/>
                <w:color w:val="auto"/>
                <w:sz w:val="24"/>
                <w:szCs w:val="24"/>
              </w:rPr>
            </w:pPr>
            <w:bookmarkStart w:id="1" w:name="CostText"/>
            <w:r w:rsidRPr="00807380">
              <w:rPr>
                <w:rFonts w:cs="Arial"/>
                <w:color w:val="auto"/>
                <w:sz w:val="24"/>
                <w:szCs w:val="24"/>
              </w:rPr>
              <w:t>Cost of Preferred (or more likely) Option</w:t>
            </w:r>
            <w:bookmarkEnd w:id="1"/>
            <w:r w:rsidRPr="00807380">
              <w:rPr>
                <w:rFonts w:cs="Arial"/>
                <w:color w:val="auto"/>
                <w:sz w:val="24"/>
                <w:szCs w:val="24"/>
              </w:rPr>
              <w:t xml:space="preserve"> </w:t>
            </w:r>
            <w:r w:rsidRPr="00807380">
              <w:rPr>
                <w:rFonts w:cs="Arial"/>
                <w:b w:val="0"/>
                <w:color w:val="auto"/>
                <w:sz w:val="24"/>
                <w:szCs w:val="24"/>
              </w:rPr>
              <w:t xml:space="preserve">(in </w:t>
            </w:r>
            <w:r w:rsidR="00E77A41" w:rsidRPr="00807380">
              <w:rPr>
                <w:rFonts w:cs="Arial"/>
                <w:b w:val="0"/>
                <w:color w:val="auto"/>
                <w:sz w:val="24"/>
                <w:szCs w:val="24"/>
              </w:rPr>
              <w:t>20</w:t>
            </w:r>
            <w:r w:rsidR="001500D7" w:rsidRPr="00807380">
              <w:rPr>
                <w:rFonts w:cs="Arial"/>
                <w:b w:val="0"/>
                <w:color w:val="auto"/>
                <w:sz w:val="24"/>
                <w:szCs w:val="24"/>
              </w:rPr>
              <w:t>19</w:t>
            </w:r>
            <w:r w:rsidR="006C3E2B" w:rsidRPr="00807380">
              <w:rPr>
                <w:rFonts w:cs="Arial"/>
                <w:b w:val="0"/>
                <w:color w:val="auto"/>
                <w:sz w:val="24"/>
                <w:szCs w:val="24"/>
              </w:rPr>
              <w:t xml:space="preserve"> prices, 2020 PV) </w:t>
            </w:r>
          </w:p>
        </w:tc>
      </w:tr>
      <w:tr w:rsidR="006B01D9" w:rsidRPr="001D081D" w14:paraId="399AB481" w14:textId="77777777" w:rsidTr="00B77366">
        <w:trPr>
          <w:trHeight w:hRule="exact" w:val="919"/>
        </w:trPr>
        <w:tc>
          <w:tcPr>
            <w:tcW w:w="2113" w:type="dxa"/>
          </w:tcPr>
          <w:p w14:paraId="64C61A5E" w14:textId="786436BE" w:rsidR="00F4655A" w:rsidRPr="00807380" w:rsidRDefault="00F4655A" w:rsidP="00C823C9">
            <w:pPr>
              <w:pStyle w:val="IATableLabel"/>
              <w:spacing w:before="60" w:after="60"/>
              <w:ind w:left="57" w:right="57"/>
              <w:rPr>
                <w:rFonts w:cs="Arial"/>
                <w:color w:val="auto"/>
                <w:sz w:val="24"/>
                <w:szCs w:val="24"/>
              </w:rPr>
            </w:pPr>
            <w:bookmarkStart w:id="2" w:name="_Hlk117862420"/>
            <w:r w:rsidRPr="00807380">
              <w:rPr>
                <w:rFonts w:cs="Arial"/>
                <w:color w:val="auto"/>
                <w:sz w:val="24"/>
                <w:szCs w:val="24"/>
              </w:rPr>
              <w:t>Net Present Social Value</w:t>
            </w:r>
            <w:r w:rsidR="00962E9E" w:rsidRPr="00807380">
              <w:rPr>
                <w:rFonts w:cs="Arial"/>
                <w:color w:val="auto"/>
                <w:sz w:val="24"/>
                <w:szCs w:val="24"/>
              </w:rPr>
              <w:t xml:space="preserve"> </w:t>
            </w:r>
            <w:r w:rsidR="006E133A" w:rsidRPr="00807380">
              <w:rPr>
                <w:rFonts w:cs="Arial"/>
                <w:color w:val="auto"/>
                <w:sz w:val="24"/>
                <w:szCs w:val="24"/>
              </w:rPr>
              <w:t xml:space="preserve">NPSV </w:t>
            </w:r>
            <w:r w:rsidR="00962E9E" w:rsidRPr="00807380">
              <w:rPr>
                <w:rFonts w:cs="Arial"/>
                <w:color w:val="auto"/>
                <w:sz w:val="24"/>
                <w:szCs w:val="24"/>
              </w:rPr>
              <w:t>(£m)</w:t>
            </w:r>
          </w:p>
        </w:tc>
        <w:tc>
          <w:tcPr>
            <w:tcW w:w="990" w:type="dxa"/>
            <w:shd w:val="clear" w:color="auto" w:fill="auto"/>
            <w:vAlign w:val="center"/>
          </w:tcPr>
          <w:p w14:paraId="1EEE78FE" w14:textId="1F432390" w:rsidR="00F4655A" w:rsidRPr="00807380" w:rsidRDefault="00367D73" w:rsidP="00C823C9">
            <w:pPr>
              <w:pStyle w:val="IATableLabel"/>
              <w:spacing w:before="60" w:after="60"/>
              <w:ind w:left="57" w:right="57"/>
              <w:jc w:val="right"/>
              <w:rPr>
                <w:rFonts w:cs="Arial"/>
                <w:b w:val="0"/>
                <w:color w:val="auto"/>
                <w:sz w:val="24"/>
                <w:szCs w:val="24"/>
              </w:rPr>
            </w:pPr>
            <w:r w:rsidRPr="00F901FB">
              <w:rPr>
                <w:rFonts w:cs="Arial"/>
                <w:b w:val="0"/>
                <w:color w:val="auto"/>
                <w:sz w:val="24"/>
                <w:szCs w:val="24"/>
              </w:rPr>
              <w:t>-</w:t>
            </w:r>
            <w:r w:rsidR="005B6FE7" w:rsidRPr="00C23FBE">
              <w:rPr>
                <w:rFonts w:cs="Arial"/>
                <w:b w:val="0"/>
                <w:color w:val="auto"/>
                <w:sz w:val="24"/>
                <w:szCs w:val="24"/>
              </w:rPr>
              <w:t>6</w:t>
            </w:r>
            <w:r w:rsidR="00E1398B" w:rsidRPr="00C23FBE">
              <w:rPr>
                <w:rFonts w:cs="Arial"/>
                <w:b w:val="0"/>
                <w:color w:val="auto"/>
                <w:sz w:val="24"/>
                <w:szCs w:val="24"/>
              </w:rPr>
              <w:t>58</w:t>
            </w:r>
          </w:p>
        </w:tc>
        <w:tc>
          <w:tcPr>
            <w:tcW w:w="2489" w:type="dxa"/>
            <w:gridSpan w:val="2"/>
          </w:tcPr>
          <w:p w14:paraId="3DA470E1" w14:textId="420DCE64" w:rsidR="00F4655A" w:rsidRPr="00807380" w:rsidRDefault="00F4655A" w:rsidP="00C823C9">
            <w:pPr>
              <w:pStyle w:val="IATableLabel"/>
              <w:spacing w:before="60" w:after="60"/>
              <w:ind w:left="57" w:right="57"/>
              <w:rPr>
                <w:rFonts w:cs="Arial"/>
                <w:color w:val="auto"/>
                <w:sz w:val="24"/>
                <w:szCs w:val="24"/>
              </w:rPr>
            </w:pPr>
            <w:r w:rsidRPr="00807380">
              <w:rPr>
                <w:rFonts w:cs="Arial"/>
                <w:color w:val="auto"/>
                <w:sz w:val="24"/>
                <w:szCs w:val="24"/>
              </w:rPr>
              <w:t>Business Net Present Value</w:t>
            </w:r>
            <w:r w:rsidR="00962E9E" w:rsidRPr="00807380">
              <w:rPr>
                <w:rFonts w:cs="Arial"/>
                <w:color w:val="auto"/>
                <w:sz w:val="24"/>
                <w:szCs w:val="24"/>
              </w:rPr>
              <w:t xml:space="preserve"> </w:t>
            </w:r>
            <w:r w:rsidR="006E133A" w:rsidRPr="00807380">
              <w:rPr>
                <w:rFonts w:cs="Arial"/>
                <w:color w:val="auto"/>
                <w:sz w:val="24"/>
                <w:szCs w:val="24"/>
              </w:rPr>
              <w:t xml:space="preserve">BNPV </w:t>
            </w:r>
            <w:r w:rsidR="00962E9E" w:rsidRPr="00807380">
              <w:rPr>
                <w:rFonts w:cs="Arial"/>
                <w:color w:val="auto"/>
                <w:sz w:val="24"/>
                <w:szCs w:val="24"/>
              </w:rPr>
              <w:t>(£m)</w:t>
            </w:r>
          </w:p>
        </w:tc>
        <w:tc>
          <w:tcPr>
            <w:tcW w:w="1035" w:type="dxa"/>
            <w:gridSpan w:val="2"/>
            <w:shd w:val="clear" w:color="auto" w:fill="auto"/>
            <w:vAlign w:val="center"/>
          </w:tcPr>
          <w:p w14:paraId="688B41F3" w14:textId="4BDAE1D3" w:rsidR="00F4655A" w:rsidRPr="00807380" w:rsidRDefault="00367D73" w:rsidP="00C823C9">
            <w:pPr>
              <w:pStyle w:val="IATableLabel"/>
              <w:spacing w:before="60" w:after="60"/>
              <w:ind w:left="57" w:right="57"/>
              <w:jc w:val="right"/>
              <w:rPr>
                <w:rFonts w:cs="Arial"/>
                <w:bCs/>
                <w:color w:val="auto"/>
                <w:sz w:val="24"/>
                <w:szCs w:val="24"/>
              </w:rPr>
            </w:pPr>
            <w:r w:rsidRPr="00DA3B13">
              <w:rPr>
                <w:rFonts w:cs="Arial"/>
                <w:b w:val="0"/>
                <w:color w:val="auto"/>
                <w:sz w:val="24"/>
                <w:szCs w:val="24"/>
              </w:rPr>
              <w:t>-</w:t>
            </w:r>
            <w:r w:rsidR="005B6FE7" w:rsidRPr="00C23FBE">
              <w:rPr>
                <w:rFonts w:cs="Arial"/>
                <w:b w:val="0"/>
                <w:color w:val="auto"/>
                <w:sz w:val="24"/>
                <w:szCs w:val="24"/>
              </w:rPr>
              <w:t>6</w:t>
            </w:r>
            <w:r w:rsidR="00E1398B" w:rsidRPr="00C23FBE">
              <w:rPr>
                <w:rFonts w:cs="Arial"/>
                <w:b w:val="0"/>
                <w:color w:val="auto"/>
                <w:sz w:val="24"/>
                <w:szCs w:val="24"/>
              </w:rPr>
              <w:t>58</w:t>
            </w:r>
          </w:p>
        </w:tc>
        <w:tc>
          <w:tcPr>
            <w:tcW w:w="2535" w:type="dxa"/>
          </w:tcPr>
          <w:p w14:paraId="416DFBCB" w14:textId="02A07587" w:rsidR="00F4655A" w:rsidRPr="00807380" w:rsidRDefault="00F4655A" w:rsidP="00C823C9">
            <w:pPr>
              <w:pStyle w:val="IATableLabel"/>
              <w:spacing w:before="60" w:after="60"/>
              <w:ind w:left="57" w:right="57"/>
              <w:rPr>
                <w:rFonts w:cs="Arial"/>
                <w:color w:val="auto"/>
                <w:sz w:val="24"/>
                <w:szCs w:val="24"/>
              </w:rPr>
            </w:pPr>
            <w:r w:rsidRPr="00807380">
              <w:rPr>
                <w:rFonts w:cs="Arial"/>
                <w:color w:val="auto"/>
                <w:sz w:val="24"/>
                <w:szCs w:val="24"/>
              </w:rPr>
              <w:t xml:space="preserve">Net cost to business per year </w:t>
            </w:r>
            <w:r w:rsidR="006E133A" w:rsidRPr="00807380">
              <w:rPr>
                <w:rFonts w:cs="Arial"/>
                <w:color w:val="auto"/>
                <w:sz w:val="24"/>
                <w:szCs w:val="24"/>
              </w:rPr>
              <w:t xml:space="preserve">EANDCB </w:t>
            </w:r>
            <w:r w:rsidR="00962E9E" w:rsidRPr="00807380">
              <w:rPr>
                <w:rFonts w:cs="Arial"/>
                <w:color w:val="auto"/>
                <w:sz w:val="24"/>
                <w:szCs w:val="24"/>
              </w:rPr>
              <w:t>(£m)</w:t>
            </w:r>
          </w:p>
        </w:tc>
        <w:tc>
          <w:tcPr>
            <w:tcW w:w="1201" w:type="dxa"/>
            <w:shd w:val="clear" w:color="auto" w:fill="auto"/>
            <w:vAlign w:val="center"/>
          </w:tcPr>
          <w:p w14:paraId="33615F88" w14:textId="27162D67" w:rsidR="00F4655A" w:rsidRPr="00807380" w:rsidRDefault="00415935" w:rsidP="00C823C9">
            <w:pPr>
              <w:pStyle w:val="IATableLabel"/>
              <w:spacing w:before="60" w:after="60"/>
              <w:ind w:left="57" w:right="57"/>
              <w:jc w:val="right"/>
              <w:rPr>
                <w:rFonts w:cs="Arial"/>
                <w:bCs/>
                <w:color w:val="auto"/>
                <w:sz w:val="24"/>
                <w:szCs w:val="24"/>
              </w:rPr>
            </w:pPr>
            <w:r w:rsidRPr="00ED5E99">
              <w:rPr>
                <w:rFonts w:cs="Arial"/>
                <w:color w:val="auto"/>
                <w:sz w:val="24"/>
                <w:szCs w:val="24"/>
              </w:rPr>
              <w:t>7</w:t>
            </w:r>
            <w:r w:rsidR="004B2DC5">
              <w:rPr>
                <w:rFonts w:cs="Arial"/>
                <w:color w:val="auto"/>
                <w:sz w:val="24"/>
                <w:szCs w:val="24"/>
              </w:rPr>
              <w:t>6</w:t>
            </w:r>
          </w:p>
        </w:tc>
      </w:tr>
      <w:bookmarkEnd w:id="2"/>
      <w:tr w:rsidR="001D081D" w:rsidRPr="001D081D" w14:paraId="2715BD12" w14:textId="77777777" w:rsidTr="002B005A">
        <w:trPr>
          <w:trHeight w:hRule="exact" w:val="2144"/>
        </w:trPr>
        <w:tc>
          <w:tcPr>
            <w:tcW w:w="10363" w:type="dxa"/>
            <w:gridSpan w:val="8"/>
          </w:tcPr>
          <w:p w14:paraId="0B5BDDA7" w14:textId="3F7C2EE1" w:rsidR="00F91F6F" w:rsidRPr="008524D4" w:rsidRDefault="00F91F6F" w:rsidP="00F91F6F">
            <w:pPr>
              <w:pStyle w:val="IATableLines"/>
              <w:spacing w:before="50" w:after="50" w:line="259" w:lineRule="auto"/>
              <w:jc w:val="both"/>
              <w:rPr>
                <w:rFonts w:cs="Arial"/>
                <w:b/>
                <w:sz w:val="20"/>
              </w:rPr>
            </w:pPr>
            <w:r w:rsidRPr="008524D4">
              <w:rPr>
                <w:rFonts w:cs="Arial"/>
                <w:b/>
                <w:sz w:val="20"/>
              </w:rPr>
              <w:t>What is the problem under consideration? Why is government intervention necessary?</w:t>
            </w:r>
          </w:p>
          <w:p w14:paraId="70EF4ACE" w14:textId="3CEE62D8" w:rsidR="00F4655A" w:rsidRPr="001D081D" w:rsidRDefault="00EB1092" w:rsidP="004C4829">
            <w:pPr>
              <w:pStyle w:val="IATableLines"/>
              <w:spacing w:after="120" w:line="259" w:lineRule="auto"/>
              <w:jc w:val="both"/>
              <w:rPr>
                <w:rFonts w:cs="Arial"/>
                <w:sz w:val="24"/>
                <w:szCs w:val="24"/>
              </w:rPr>
            </w:pPr>
            <w:r w:rsidRPr="001D081D">
              <w:rPr>
                <w:rFonts w:cs="Arial"/>
                <w:sz w:val="24"/>
                <w:szCs w:val="24"/>
              </w:rPr>
              <w:t xml:space="preserve">Criminal activity can be enabled and perpetuated by organisations. The limited ability to hold organisations criminally responsible </w:t>
            </w:r>
            <w:r w:rsidR="752DDA9D" w:rsidRPr="02375C1E">
              <w:rPr>
                <w:rFonts w:cs="Arial"/>
                <w:sz w:val="24"/>
                <w:szCs w:val="24"/>
              </w:rPr>
              <w:t xml:space="preserve">for fraud </w:t>
            </w:r>
            <w:r w:rsidRPr="02375C1E">
              <w:rPr>
                <w:rFonts w:cs="Arial"/>
                <w:sz w:val="24"/>
                <w:szCs w:val="24"/>
              </w:rPr>
              <w:t>in</w:t>
            </w:r>
            <w:r w:rsidRPr="001D081D">
              <w:rPr>
                <w:rFonts w:cs="Arial"/>
                <w:sz w:val="24"/>
                <w:szCs w:val="24"/>
              </w:rPr>
              <w:t xml:space="preserve"> recent years has raised concern that parts of the law that hold organisations liable are not fit for purpose.  </w:t>
            </w:r>
            <w:r w:rsidR="008D70AB" w:rsidRPr="001D081D">
              <w:rPr>
                <w:rFonts w:cs="Arial"/>
                <w:sz w:val="24"/>
                <w:szCs w:val="24"/>
              </w:rPr>
              <w:t xml:space="preserve">Following a review by the Law Commission, </w:t>
            </w:r>
            <w:r w:rsidR="005D42BB">
              <w:rPr>
                <w:rFonts w:cs="Arial"/>
                <w:sz w:val="24"/>
                <w:szCs w:val="24"/>
              </w:rPr>
              <w:t xml:space="preserve">the </w:t>
            </w:r>
            <w:r w:rsidR="009B6473">
              <w:rPr>
                <w:rFonts w:cs="Arial"/>
                <w:sz w:val="24"/>
                <w:szCs w:val="24"/>
              </w:rPr>
              <w:t>g</w:t>
            </w:r>
            <w:r w:rsidR="008D70AB" w:rsidRPr="001D081D">
              <w:rPr>
                <w:rFonts w:cs="Arial"/>
                <w:sz w:val="24"/>
                <w:szCs w:val="24"/>
              </w:rPr>
              <w:t xml:space="preserve">overnment has decided to legislate </w:t>
            </w:r>
            <w:r w:rsidR="00EC1605" w:rsidRPr="001D081D">
              <w:rPr>
                <w:rFonts w:cs="Arial"/>
                <w:sz w:val="24"/>
                <w:szCs w:val="24"/>
              </w:rPr>
              <w:t xml:space="preserve">to </w:t>
            </w:r>
            <w:r w:rsidR="00C012C4" w:rsidRPr="001D081D">
              <w:rPr>
                <w:rFonts w:cs="Arial"/>
                <w:sz w:val="24"/>
                <w:szCs w:val="24"/>
              </w:rPr>
              <w:t xml:space="preserve">ensure there </w:t>
            </w:r>
            <w:r w:rsidR="000D58C5">
              <w:rPr>
                <w:rFonts w:cs="Arial"/>
                <w:sz w:val="24"/>
                <w:szCs w:val="24"/>
              </w:rPr>
              <w:t>c</w:t>
            </w:r>
            <w:r w:rsidR="000D58C5">
              <w:rPr>
                <w:sz w:val="24"/>
                <w:szCs w:val="24"/>
              </w:rPr>
              <w:t>an be</w:t>
            </w:r>
            <w:r w:rsidRPr="001D081D">
              <w:rPr>
                <w:rFonts w:cs="Arial"/>
                <w:sz w:val="24"/>
                <w:szCs w:val="24"/>
              </w:rPr>
              <w:t xml:space="preserve"> successful prosecution of organisations for </w:t>
            </w:r>
            <w:r w:rsidR="00EC1605" w:rsidRPr="001D081D">
              <w:rPr>
                <w:rFonts w:cs="Arial"/>
                <w:sz w:val="24"/>
                <w:szCs w:val="24"/>
              </w:rPr>
              <w:t>economic</w:t>
            </w:r>
            <w:r w:rsidRPr="001D081D">
              <w:rPr>
                <w:rFonts w:cs="Arial"/>
                <w:sz w:val="24"/>
                <w:szCs w:val="24"/>
              </w:rPr>
              <w:t xml:space="preserve"> crime, particularly </w:t>
            </w:r>
            <w:r w:rsidR="004E24ED" w:rsidRPr="001D081D">
              <w:rPr>
                <w:rFonts w:cs="Arial"/>
                <w:sz w:val="24"/>
                <w:szCs w:val="24"/>
              </w:rPr>
              <w:t>fraud</w:t>
            </w:r>
            <w:r w:rsidR="00A462DC" w:rsidRPr="001D081D">
              <w:rPr>
                <w:rFonts w:cs="Arial"/>
                <w:sz w:val="24"/>
                <w:szCs w:val="24"/>
              </w:rPr>
              <w:t xml:space="preserve">. </w:t>
            </w:r>
          </w:p>
        </w:tc>
      </w:tr>
    </w:tbl>
    <w:p w14:paraId="37663A2A" w14:textId="38900158" w:rsidR="00C57D5E" w:rsidRPr="0029116F" w:rsidRDefault="00C57D5E">
      <w:pPr>
        <w:rPr>
          <w:rFonts w:cs="Arial"/>
          <w:sz w:val="6"/>
          <w:szCs w:val="6"/>
        </w:rPr>
      </w:pPr>
    </w:p>
    <w:tbl>
      <w:tblPr>
        <w:tblStyle w:val="TableGrid"/>
        <w:tblW w:w="10376" w:type="dxa"/>
        <w:tblLayout w:type="fixed"/>
        <w:tblLook w:val="01E0" w:firstRow="1" w:lastRow="1" w:firstColumn="1" w:lastColumn="1" w:noHBand="0" w:noVBand="0"/>
      </w:tblPr>
      <w:tblGrid>
        <w:gridCol w:w="10376"/>
      </w:tblGrid>
      <w:tr w:rsidR="001D081D" w:rsidRPr="001D081D" w14:paraId="14BEB30E" w14:textId="77777777" w:rsidTr="00FF5171">
        <w:trPr>
          <w:trHeight w:hRule="exact" w:val="1672"/>
        </w:trPr>
        <w:tc>
          <w:tcPr>
            <w:tcW w:w="10376" w:type="dxa"/>
          </w:tcPr>
          <w:p w14:paraId="6C65ACE2" w14:textId="58E68419" w:rsidR="00C57D5E" w:rsidRPr="00FF5171" w:rsidRDefault="00C57D5E" w:rsidP="00F91F6F">
            <w:pPr>
              <w:pStyle w:val="IAIOQ2"/>
              <w:rPr>
                <w:rFonts w:cs="Arial"/>
                <w:color w:val="auto"/>
              </w:rPr>
            </w:pPr>
            <w:bookmarkStart w:id="3" w:name="Summary2"/>
            <w:bookmarkEnd w:id="0"/>
            <w:r w:rsidRPr="00FF5171">
              <w:rPr>
                <w:rFonts w:cs="Arial"/>
                <w:color w:val="auto"/>
              </w:rPr>
              <w:t xml:space="preserve">What </w:t>
            </w:r>
            <w:r w:rsidR="00571B96" w:rsidRPr="00FF5171">
              <w:rPr>
                <w:rFonts w:cs="Arial"/>
                <w:color w:val="auto"/>
              </w:rPr>
              <w:t>is</w:t>
            </w:r>
            <w:r w:rsidRPr="00FF5171">
              <w:rPr>
                <w:rFonts w:cs="Arial"/>
                <w:color w:val="auto"/>
              </w:rPr>
              <w:t xml:space="preserve"> the </w:t>
            </w:r>
            <w:r w:rsidR="00571B96" w:rsidRPr="00FF5171">
              <w:rPr>
                <w:rFonts w:cs="Arial"/>
                <w:color w:val="auto"/>
              </w:rPr>
              <w:t xml:space="preserve">strategic objective? What are the main </w:t>
            </w:r>
            <w:r w:rsidRPr="00FF5171">
              <w:rPr>
                <w:rFonts w:cs="Arial"/>
                <w:color w:val="auto"/>
              </w:rPr>
              <w:t>policy objective</w:t>
            </w:r>
            <w:r w:rsidR="00571B96" w:rsidRPr="00FF5171">
              <w:rPr>
                <w:rFonts w:cs="Arial"/>
                <w:color w:val="auto"/>
              </w:rPr>
              <w:t>s</w:t>
            </w:r>
            <w:r w:rsidRPr="00FF5171">
              <w:rPr>
                <w:rFonts w:cs="Arial"/>
                <w:color w:val="auto"/>
              </w:rPr>
              <w:t xml:space="preserve"> and intended effects?</w:t>
            </w:r>
            <w:bookmarkEnd w:id="3"/>
          </w:p>
          <w:p w14:paraId="495D20C3" w14:textId="50659A64" w:rsidR="00571B96" w:rsidRPr="001D081D" w:rsidRDefault="00EB1092" w:rsidP="00C823C9">
            <w:pPr>
              <w:pStyle w:val="IATableLines"/>
              <w:spacing w:after="120" w:line="259" w:lineRule="auto"/>
              <w:jc w:val="both"/>
              <w:rPr>
                <w:rFonts w:cs="Arial"/>
                <w:sz w:val="24"/>
                <w:szCs w:val="24"/>
              </w:rPr>
            </w:pPr>
            <w:r w:rsidRPr="001D081D">
              <w:rPr>
                <w:rFonts w:cs="Arial"/>
                <w:sz w:val="24"/>
                <w:szCs w:val="24"/>
              </w:rPr>
              <w:t xml:space="preserve">The strategic objective is to reduce </w:t>
            </w:r>
            <w:r w:rsidR="004E24ED" w:rsidRPr="001D081D">
              <w:rPr>
                <w:rFonts w:cs="Arial"/>
                <w:sz w:val="24"/>
                <w:szCs w:val="24"/>
              </w:rPr>
              <w:t>fraud</w:t>
            </w:r>
            <w:r w:rsidRPr="001D081D">
              <w:rPr>
                <w:rFonts w:cs="Arial"/>
                <w:sz w:val="24"/>
                <w:szCs w:val="24"/>
              </w:rPr>
              <w:t xml:space="preserve">. The </w:t>
            </w:r>
            <w:r w:rsidR="005D42BB">
              <w:rPr>
                <w:rFonts w:cs="Arial"/>
                <w:sz w:val="24"/>
                <w:szCs w:val="24"/>
              </w:rPr>
              <w:t>f</w:t>
            </w:r>
            <w:r w:rsidRPr="001D081D">
              <w:rPr>
                <w:rFonts w:cs="Arial"/>
                <w:sz w:val="24"/>
                <w:szCs w:val="24"/>
              </w:rPr>
              <w:t xml:space="preserve">ailure to </w:t>
            </w:r>
            <w:r w:rsidR="005D42BB">
              <w:rPr>
                <w:rFonts w:cs="Arial"/>
                <w:sz w:val="24"/>
                <w:szCs w:val="24"/>
              </w:rPr>
              <w:t>p</w:t>
            </w:r>
            <w:r w:rsidRPr="001D081D">
              <w:rPr>
                <w:rFonts w:cs="Arial"/>
                <w:sz w:val="24"/>
                <w:szCs w:val="24"/>
              </w:rPr>
              <w:t xml:space="preserve">revent </w:t>
            </w:r>
            <w:r w:rsidR="005D42BB">
              <w:rPr>
                <w:rFonts w:cs="Arial"/>
                <w:sz w:val="24"/>
                <w:szCs w:val="24"/>
              </w:rPr>
              <w:t>f</w:t>
            </w:r>
            <w:r w:rsidRPr="001D081D">
              <w:rPr>
                <w:rFonts w:cs="Arial"/>
                <w:sz w:val="24"/>
                <w:szCs w:val="24"/>
              </w:rPr>
              <w:t>raud</w:t>
            </w:r>
            <w:r w:rsidR="00BE23AA" w:rsidRPr="001D081D">
              <w:rPr>
                <w:rFonts w:cs="Arial"/>
                <w:sz w:val="24"/>
                <w:szCs w:val="24"/>
              </w:rPr>
              <w:t xml:space="preserve"> (FTPF)</w:t>
            </w:r>
            <w:r w:rsidRPr="001D081D">
              <w:rPr>
                <w:rFonts w:cs="Arial"/>
                <w:sz w:val="24"/>
                <w:szCs w:val="24"/>
              </w:rPr>
              <w:t xml:space="preserve"> offence should </w:t>
            </w:r>
            <w:r w:rsidR="00935D7F" w:rsidRPr="001D081D">
              <w:rPr>
                <w:rFonts w:cs="Arial"/>
                <w:sz w:val="24"/>
                <w:szCs w:val="24"/>
              </w:rPr>
              <w:t xml:space="preserve">encourage organisations to </w:t>
            </w:r>
            <w:r w:rsidRPr="001D081D">
              <w:rPr>
                <w:rFonts w:cs="Arial"/>
                <w:sz w:val="24"/>
                <w:szCs w:val="24"/>
              </w:rPr>
              <w:t xml:space="preserve">build an anti-fraud culture, </w:t>
            </w:r>
            <w:r w:rsidR="00895D78" w:rsidRPr="001D081D">
              <w:rPr>
                <w:rFonts w:cs="Arial"/>
                <w:sz w:val="24"/>
                <w:szCs w:val="24"/>
              </w:rPr>
              <w:t xml:space="preserve">in the </w:t>
            </w:r>
            <w:r w:rsidR="00954E2D">
              <w:rPr>
                <w:rFonts w:cs="Arial"/>
                <w:sz w:val="24"/>
                <w:szCs w:val="24"/>
              </w:rPr>
              <w:t>s</w:t>
            </w:r>
            <w:r w:rsidR="00895D78" w:rsidRPr="001D081D">
              <w:rPr>
                <w:rFonts w:cs="Arial"/>
                <w:sz w:val="24"/>
                <w:szCs w:val="24"/>
              </w:rPr>
              <w:t xml:space="preserve">ame way that the </w:t>
            </w:r>
            <w:r w:rsidRPr="001D081D">
              <w:rPr>
                <w:rFonts w:cs="Arial"/>
                <w:sz w:val="24"/>
                <w:szCs w:val="24"/>
              </w:rPr>
              <w:t xml:space="preserve">failure to prevent bribery offence </w:t>
            </w:r>
            <w:r w:rsidR="00895D78" w:rsidRPr="001D081D">
              <w:rPr>
                <w:rFonts w:cs="Arial"/>
                <w:sz w:val="24"/>
                <w:szCs w:val="24"/>
              </w:rPr>
              <w:t>(introduced in 2010) has driven</w:t>
            </w:r>
            <w:r w:rsidRPr="001D081D">
              <w:rPr>
                <w:rFonts w:cs="Arial"/>
                <w:sz w:val="24"/>
                <w:szCs w:val="24"/>
              </w:rPr>
              <w:t xml:space="preserve"> change in corporate culture. The </w:t>
            </w:r>
            <w:r w:rsidR="00190399" w:rsidRPr="001D081D">
              <w:rPr>
                <w:rFonts w:cs="Arial"/>
                <w:sz w:val="24"/>
                <w:szCs w:val="24"/>
              </w:rPr>
              <w:t>g</w:t>
            </w:r>
            <w:r w:rsidRPr="001D081D">
              <w:rPr>
                <w:rFonts w:cs="Arial"/>
                <w:sz w:val="24"/>
                <w:szCs w:val="24"/>
              </w:rPr>
              <w:t>overnment expects a reduction in fraud committed by people within organisations.</w:t>
            </w:r>
          </w:p>
        </w:tc>
      </w:tr>
    </w:tbl>
    <w:p w14:paraId="27E51CC1" w14:textId="77777777" w:rsidR="003E31BC" w:rsidRPr="0029116F" w:rsidRDefault="003E31BC" w:rsidP="003E31BC">
      <w:pPr>
        <w:rPr>
          <w:rFonts w:cs="Arial"/>
          <w:sz w:val="4"/>
          <w:szCs w:val="4"/>
        </w:rPr>
      </w:pPr>
    </w:p>
    <w:tbl>
      <w:tblPr>
        <w:tblStyle w:val="TableGrid"/>
        <w:tblW w:w="10376" w:type="dxa"/>
        <w:tblLayout w:type="fixed"/>
        <w:tblLook w:val="01E0" w:firstRow="1" w:lastRow="1" w:firstColumn="1" w:lastColumn="1" w:noHBand="0" w:noVBand="0"/>
      </w:tblPr>
      <w:tblGrid>
        <w:gridCol w:w="10376"/>
      </w:tblGrid>
      <w:tr w:rsidR="001D081D" w:rsidRPr="001D081D" w14:paraId="0E9CFA69" w14:textId="77777777" w:rsidTr="00DD42BB">
        <w:trPr>
          <w:trHeight w:hRule="exact" w:val="1923"/>
        </w:trPr>
        <w:tc>
          <w:tcPr>
            <w:tcW w:w="10372" w:type="dxa"/>
          </w:tcPr>
          <w:p w14:paraId="2C20C330" w14:textId="77777777" w:rsidR="003E31BC" w:rsidRPr="00DD42BB" w:rsidRDefault="003E31BC" w:rsidP="00346074">
            <w:pPr>
              <w:pStyle w:val="IAIOQ3"/>
              <w:rPr>
                <w:rFonts w:cs="Arial"/>
                <w:color w:val="auto"/>
                <w:sz w:val="18"/>
                <w:szCs w:val="18"/>
              </w:rPr>
            </w:pPr>
            <w:bookmarkStart w:id="4" w:name="IAIOQ3"/>
            <w:r w:rsidRPr="00DD42BB">
              <w:rPr>
                <w:rFonts w:cs="Arial"/>
                <w:color w:val="auto"/>
                <w:sz w:val="18"/>
                <w:szCs w:val="18"/>
              </w:rPr>
              <w:t>What policy options have been considered, including any alternatives to regulation? Please justify preferred option (further details in Evidence Base)</w:t>
            </w:r>
            <w:bookmarkEnd w:id="4"/>
          </w:p>
          <w:p w14:paraId="5D339E97" w14:textId="25BE9539" w:rsidR="00EB1092" w:rsidRPr="001D081D" w:rsidRDefault="00EB1092" w:rsidP="00DD42BB">
            <w:pPr>
              <w:pStyle w:val="IATableLines"/>
              <w:spacing w:after="120" w:line="259" w:lineRule="auto"/>
              <w:jc w:val="both"/>
              <w:rPr>
                <w:rFonts w:cs="Arial"/>
                <w:sz w:val="24"/>
                <w:szCs w:val="24"/>
              </w:rPr>
            </w:pPr>
            <w:r w:rsidRPr="001D081D">
              <w:rPr>
                <w:rFonts w:cs="Arial"/>
                <w:b/>
                <w:bCs/>
                <w:sz w:val="24"/>
                <w:szCs w:val="24"/>
              </w:rPr>
              <w:t xml:space="preserve">Option 1: </w:t>
            </w:r>
            <w:r w:rsidR="005D42BB" w:rsidRPr="0029116F">
              <w:rPr>
                <w:rFonts w:cs="Arial"/>
                <w:b/>
                <w:bCs/>
                <w:sz w:val="24"/>
                <w:szCs w:val="24"/>
              </w:rPr>
              <w:t>‘</w:t>
            </w:r>
            <w:r w:rsidRPr="0029116F">
              <w:rPr>
                <w:rFonts w:cs="Arial"/>
                <w:b/>
                <w:bCs/>
                <w:sz w:val="24"/>
                <w:szCs w:val="24"/>
              </w:rPr>
              <w:t>Do</w:t>
            </w:r>
            <w:r w:rsidR="005D42BB">
              <w:rPr>
                <w:rFonts w:cs="Arial"/>
                <w:b/>
                <w:bCs/>
                <w:sz w:val="24"/>
                <w:szCs w:val="24"/>
              </w:rPr>
              <w:t xml:space="preserve"> </w:t>
            </w:r>
            <w:r w:rsidRPr="0029116F">
              <w:rPr>
                <w:rFonts w:cs="Arial"/>
                <w:b/>
                <w:bCs/>
                <w:sz w:val="24"/>
                <w:szCs w:val="24"/>
              </w:rPr>
              <w:t>nothing</w:t>
            </w:r>
            <w:r w:rsidR="005D42BB" w:rsidRPr="0029116F">
              <w:rPr>
                <w:rFonts w:cs="Arial"/>
                <w:b/>
                <w:bCs/>
                <w:sz w:val="24"/>
                <w:szCs w:val="24"/>
              </w:rPr>
              <w:t>’</w:t>
            </w:r>
            <w:r w:rsidR="005D42BB">
              <w:rPr>
                <w:rFonts w:cs="Arial"/>
                <w:sz w:val="24"/>
                <w:szCs w:val="24"/>
              </w:rPr>
              <w:t>. T</w:t>
            </w:r>
            <w:r w:rsidRPr="001D081D">
              <w:rPr>
                <w:rFonts w:cs="Arial"/>
                <w:sz w:val="24"/>
                <w:szCs w:val="24"/>
              </w:rPr>
              <w:t xml:space="preserve">his does not meet the </w:t>
            </w:r>
            <w:r w:rsidR="005D42BB">
              <w:rPr>
                <w:rFonts w:cs="Arial"/>
                <w:sz w:val="24"/>
                <w:szCs w:val="24"/>
              </w:rPr>
              <w:t>g</w:t>
            </w:r>
            <w:r w:rsidRPr="001D081D">
              <w:rPr>
                <w:rFonts w:cs="Arial"/>
                <w:sz w:val="24"/>
                <w:szCs w:val="24"/>
              </w:rPr>
              <w:t>overnment</w:t>
            </w:r>
            <w:r w:rsidR="005D42BB">
              <w:rPr>
                <w:rFonts w:cs="Arial"/>
                <w:sz w:val="24"/>
                <w:szCs w:val="24"/>
              </w:rPr>
              <w:t>’</w:t>
            </w:r>
            <w:r w:rsidRPr="001D081D">
              <w:rPr>
                <w:rFonts w:cs="Arial"/>
                <w:sz w:val="24"/>
                <w:szCs w:val="24"/>
              </w:rPr>
              <w:t>s objectives</w:t>
            </w:r>
            <w:r w:rsidR="00B75EC2">
              <w:rPr>
                <w:rFonts w:cs="Arial"/>
                <w:sz w:val="24"/>
                <w:szCs w:val="24"/>
              </w:rPr>
              <w:t>.</w:t>
            </w:r>
          </w:p>
          <w:p w14:paraId="4EE6FDA1" w14:textId="484E151A" w:rsidR="003E31BC" w:rsidRPr="001D081D" w:rsidRDefault="00EB1092" w:rsidP="00DD42BB">
            <w:pPr>
              <w:pStyle w:val="IATableLines"/>
              <w:spacing w:after="120" w:line="259" w:lineRule="auto"/>
              <w:jc w:val="both"/>
              <w:rPr>
                <w:rFonts w:cs="Arial"/>
                <w:sz w:val="24"/>
                <w:szCs w:val="24"/>
              </w:rPr>
            </w:pPr>
            <w:r w:rsidRPr="001D081D">
              <w:rPr>
                <w:rFonts w:cs="Arial"/>
                <w:b/>
                <w:bCs/>
                <w:sz w:val="24"/>
                <w:szCs w:val="24"/>
              </w:rPr>
              <w:t xml:space="preserve">Option 2: Introduce </w:t>
            </w:r>
            <w:r w:rsidR="005D42BB">
              <w:rPr>
                <w:rFonts w:cs="Arial"/>
                <w:b/>
                <w:bCs/>
                <w:sz w:val="24"/>
                <w:szCs w:val="24"/>
              </w:rPr>
              <w:t xml:space="preserve">the </w:t>
            </w:r>
            <w:r w:rsidRPr="001D081D">
              <w:rPr>
                <w:rFonts w:cs="Arial"/>
                <w:b/>
                <w:bCs/>
                <w:sz w:val="24"/>
                <w:szCs w:val="24"/>
              </w:rPr>
              <w:t>failure to prevent fraud (FTPF) offence</w:t>
            </w:r>
            <w:r w:rsidR="00471B7D">
              <w:rPr>
                <w:rFonts w:cs="Arial"/>
                <w:b/>
                <w:bCs/>
                <w:sz w:val="24"/>
                <w:szCs w:val="24"/>
              </w:rPr>
              <w:t>.</w:t>
            </w:r>
            <w:r w:rsidRPr="001D081D">
              <w:rPr>
                <w:rFonts w:cs="Arial"/>
                <w:sz w:val="24"/>
                <w:szCs w:val="24"/>
              </w:rPr>
              <w:t xml:space="preserve"> </w:t>
            </w:r>
            <w:r w:rsidR="00471B7D" w:rsidRPr="0029116F">
              <w:rPr>
                <w:rFonts w:cs="Arial"/>
                <w:sz w:val="24"/>
                <w:szCs w:val="24"/>
              </w:rPr>
              <w:t xml:space="preserve">The organisations in scope are </w:t>
            </w:r>
            <w:r w:rsidR="00A56A34">
              <w:rPr>
                <w:rFonts w:cs="Arial"/>
                <w:sz w:val="24"/>
                <w:szCs w:val="24"/>
              </w:rPr>
              <w:t>large, incorporated</w:t>
            </w:r>
            <w:r w:rsidR="0073696D">
              <w:rPr>
                <w:rFonts w:cs="Arial"/>
                <w:sz w:val="24"/>
                <w:szCs w:val="24"/>
              </w:rPr>
              <w:t xml:space="preserve"> bodies and </w:t>
            </w:r>
            <w:r w:rsidR="00471B7D" w:rsidRPr="0029116F">
              <w:rPr>
                <w:rFonts w:cs="Arial"/>
                <w:sz w:val="24"/>
                <w:szCs w:val="24"/>
              </w:rPr>
              <w:t>partnerships</w:t>
            </w:r>
            <w:r w:rsidR="103DEE70" w:rsidRPr="02375C1E">
              <w:rPr>
                <w:rFonts w:cs="Arial"/>
                <w:sz w:val="24"/>
                <w:szCs w:val="24"/>
              </w:rPr>
              <w:t>.</w:t>
            </w:r>
            <w:r w:rsidR="00471B7D" w:rsidRPr="0029116F">
              <w:rPr>
                <w:rFonts w:cs="Arial"/>
                <w:sz w:val="24"/>
                <w:szCs w:val="24"/>
              </w:rPr>
              <w:t xml:space="preserve"> </w:t>
            </w:r>
            <w:r w:rsidR="005D42BB">
              <w:rPr>
                <w:rFonts w:cs="Arial"/>
                <w:b/>
                <w:bCs/>
                <w:sz w:val="24"/>
                <w:szCs w:val="24"/>
              </w:rPr>
              <w:t>This</w:t>
            </w:r>
            <w:r w:rsidRPr="001D081D">
              <w:rPr>
                <w:rFonts w:cs="Arial"/>
                <w:b/>
                <w:bCs/>
                <w:sz w:val="24"/>
                <w:szCs w:val="24"/>
              </w:rPr>
              <w:t xml:space="preserve"> </w:t>
            </w:r>
            <w:r w:rsidR="005D42BB">
              <w:rPr>
                <w:rFonts w:cs="Arial"/>
                <w:b/>
                <w:bCs/>
                <w:sz w:val="24"/>
                <w:szCs w:val="24"/>
              </w:rPr>
              <w:t>is</w:t>
            </w:r>
            <w:r w:rsidRPr="001D081D">
              <w:rPr>
                <w:rFonts w:cs="Arial"/>
                <w:b/>
                <w:bCs/>
                <w:sz w:val="24"/>
                <w:szCs w:val="24"/>
              </w:rPr>
              <w:t xml:space="preserve"> the </w:t>
            </w:r>
            <w:r w:rsidR="00190399" w:rsidRPr="001D081D">
              <w:rPr>
                <w:rFonts w:cs="Arial"/>
                <w:b/>
                <w:bCs/>
                <w:sz w:val="24"/>
                <w:szCs w:val="24"/>
              </w:rPr>
              <w:t>g</w:t>
            </w:r>
            <w:r w:rsidRPr="001D081D">
              <w:rPr>
                <w:rFonts w:cs="Arial"/>
                <w:b/>
                <w:bCs/>
                <w:sz w:val="24"/>
                <w:szCs w:val="24"/>
              </w:rPr>
              <w:t xml:space="preserve">overnment’s preferred option </w:t>
            </w:r>
            <w:r w:rsidR="005D42BB" w:rsidRPr="0029116F">
              <w:rPr>
                <w:rFonts w:cs="Arial"/>
                <w:b/>
                <w:bCs/>
                <w:sz w:val="24"/>
                <w:szCs w:val="24"/>
              </w:rPr>
              <w:t xml:space="preserve">as it </w:t>
            </w:r>
            <w:r w:rsidRPr="0029116F">
              <w:rPr>
                <w:rFonts w:cs="Arial"/>
                <w:b/>
                <w:bCs/>
                <w:sz w:val="24"/>
                <w:szCs w:val="24"/>
              </w:rPr>
              <w:t>meets</w:t>
            </w:r>
            <w:r w:rsidRPr="001D081D">
              <w:rPr>
                <w:rFonts w:cs="Arial"/>
                <w:sz w:val="24"/>
                <w:szCs w:val="24"/>
              </w:rPr>
              <w:t xml:space="preserve"> </w:t>
            </w:r>
            <w:r w:rsidR="005D42BB" w:rsidRPr="005159C9">
              <w:rPr>
                <w:b/>
                <w:sz w:val="24"/>
                <w:szCs w:val="24"/>
              </w:rPr>
              <w:t xml:space="preserve">strategic and policy </w:t>
            </w:r>
            <w:r w:rsidRPr="0029116F">
              <w:rPr>
                <w:rFonts w:cs="Arial"/>
                <w:b/>
                <w:bCs/>
                <w:sz w:val="24"/>
                <w:szCs w:val="24"/>
              </w:rPr>
              <w:t>objectives</w:t>
            </w:r>
            <w:r w:rsidRPr="001D081D">
              <w:rPr>
                <w:rFonts w:cs="Arial"/>
                <w:sz w:val="24"/>
                <w:szCs w:val="24"/>
              </w:rPr>
              <w:t>.</w:t>
            </w:r>
          </w:p>
        </w:tc>
      </w:tr>
    </w:tbl>
    <w:tbl>
      <w:tblPr>
        <w:tblStyle w:val="TableGrid"/>
        <w:tblpPr w:leftFromText="180" w:rightFromText="180" w:vertAnchor="text" w:horzAnchor="margin" w:tblpY="38"/>
        <w:tblW w:w="10385" w:type="dxa"/>
        <w:tblLayout w:type="fixed"/>
        <w:tblLook w:val="01E0" w:firstRow="1" w:lastRow="1" w:firstColumn="1" w:lastColumn="1" w:noHBand="0" w:noVBand="0"/>
      </w:tblPr>
      <w:tblGrid>
        <w:gridCol w:w="9351"/>
        <w:gridCol w:w="1034"/>
      </w:tblGrid>
      <w:tr w:rsidR="001D081D" w:rsidRPr="001D081D" w14:paraId="69EE460D" w14:textId="77777777" w:rsidTr="00D317C7">
        <w:trPr>
          <w:trHeight w:hRule="exact" w:val="364"/>
        </w:trPr>
        <w:tc>
          <w:tcPr>
            <w:tcW w:w="9351" w:type="dxa"/>
          </w:tcPr>
          <w:p w14:paraId="3F283C44" w14:textId="6ED12A79" w:rsidR="00D317C7" w:rsidRPr="001D081D" w:rsidRDefault="00D317C7" w:rsidP="00DD42BB">
            <w:pPr>
              <w:pStyle w:val="IATableLabel"/>
              <w:tabs>
                <w:tab w:val="center" w:pos="4565"/>
              </w:tabs>
              <w:jc w:val="right"/>
              <w:rPr>
                <w:rFonts w:cs="Arial"/>
                <w:color w:val="auto"/>
                <w:sz w:val="24"/>
                <w:szCs w:val="24"/>
              </w:rPr>
            </w:pPr>
            <w:r w:rsidRPr="001D081D">
              <w:rPr>
                <w:rFonts w:cs="Arial"/>
                <w:color w:val="auto"/>
                <w:sz w:val="24"/>
                <w:szCs w:val="24"/>
              </w:rPr>
              <w:tab/>
              <w:t xml:space="preserve">      </w:t>
            </w:r>
            <w:r w:rsidR="002B2D52" w:rsidRPr="001D081D">
              <w:rPr>
                <w:rFonts w:cs="Arial"/>
                <w:color w:val="auto"/>
                <w:sz w:val="24"/>
                <w:szCs w:val="24"/>
              </w:rPr>
              <w:t xml:space="preserve">      </w:t>
            </w:r>
            <w:r w:rsidRPr="001D081D">
              <w:rPr>
                <w:rFonts w:cs="Arial"/>
                <w:color w:val="auto"/>
                <w:sz w:val="24"/>
                <w:szCs w:val="24"/>
              </w:rPr>
              <w:t xml:space="preserve">    Discount rate (%)</w:t>
            </w:r>
          </w:p>
        </w:tc>
        <w:tc>
          <w:tcPr>
            <w:tcW w:w="1034" w:type="dxa"/>
          </w:tcPr>
          <w:p w14:paraId="059CC2EA" w14:textId="464227F7" w:rsidR="00D317C7" w:rsidRPr="001D081D" w:rsidRDefault="00CE77AF" w:rsidP="00DD33F7">
            <w:pPr>
              <w:pStyle w:val="IATableLabel"/>
              <w:jc w:val="right"/>
              <w:rPr>
                <w:rFonts w:cs="Arial"/>
                <w:b w:val="0"/>
                <w:color w:val="auto"/>
                <w:sz w:val="24"/>
                <w:szCs w:val="24"/>
              </w:rPr>
            </w:pPr>
            <w:r w:rsidRPr="001D081D">
              <w:rPr>
                <w:rFonts w:cs="Arial"/>
                <w:b w:val="0"/>
                <w:color w:val="auto"/>
                <w:sz w:val="24"/>
                <w:szCs w:val="24"/>
              </w:rPr>
              <w:t>3.5</w:t>
            </w:r>
          </w:p>
        </w:tc>
      </w:tr>
      <w:tr w:rsidR="001D081D" w:rsidRPr="001D081D" w14:paraId="6156BC40" w14:textId="77777777" w:rsidTr="00DD42BB">
        <w:trPr>
          <w:trHeight w:hRule="exact" w:val="1921"/>
        </w:trPr>
        <w:tc>
          <w:tcPr>
            <w:tcW w:w="10385" w:type="dxa"/>
            <w:gridSpan w:val="2"/>
          </w:tcPr>
          <w:p w14:paraId="1C41CA1C" w14:textId="77777777" w:rsidR="00DC3D42" w:rsidRDefault="00DC3D42" w:rsidP="00DB0F6E">
            <w:pPr>
              <w:pStyle w:val="IAPOA1"/>
              <w:spacing w:after="120" w:line="259" w:lineRule="auto"/>
              <w:jc w:val="both"/>
              <w:rPr>
                <w:rStyle w:val="IAPOQ5Char"/>
                <w:rFonts w:cs="Arial"/>
                <w:color w:val="auto"/>
                <w:sz w:val="20"/>
              </w:rPr>
            </w:pPr>
            <w:r w:rsidRPr="004D6369">
              <w:rPr>
                <w:rStyle w:val="IAPOQ5Char"/>
                <w:rFonts w:cs="Arial"/>
                <w:color w:val="auto"/>
                <w:sz w:val="20"/>
              </w:rPr>
              <w:t xml:space="preserve">Main assumptions/sensitivities and economic/analytical risks </w:t>
            </w:r>
          </w:p>
          <w:p w14:paraId="45FEF701" w14:textId="34CA3C49" w:rsidR="00D317C7" w:rsidRPr="001D081D" w:rsidRDefault="00EB1092" w:rsidP="00DB0F6E">
            <w:pPr>
              <w:pStyle w:val="IAPOA1"/>
              <w:spacing w:after="120" w:line="259" w:lineRule="auto"/>
              <w:jc w:val="both"/>
              <w:rPr>
                <w:rFonts w:cs="Arial"/>
                <w:sz w:val="24"/>
                <w:szCs w:val="24"/>
              </w:rPr>
            </w:pPr>
            <w:r w:rsidRPr="001D081D">
              <w:rPr>
                <w:rFonts w:cs="Arial"/>
                <w:sz w:val="24"/>
                <w:szCs w:val="24"/>
              </w:rPr>
              <w:t>The main uncertainties relate to</w:t>
            </w:r>
            <w:r w:rsidR="003C29BC">
              <w:rPr>
                <w:rFonts w:cs="Arial"/>
                <w:sz w:val="24"/>
                <w:szCs w:val="24"/>
              </w:rPr>
              <w:t>:</w:t>
            </w:r>
            <w:r w:rsidR="00C012C4" w:rsidRPr="001D081D">
              <w:rPr>
                <w:rFonts w:cs="Arial"/>
                <w:sz w:val="24"/>
                <w:szCs w:val="24"/>
              </w:rPr>
              <w:t xml:space="preserve"> </w:t>
            </w:r>
            <w:r w:rsidRPr="001D081D">
              <w:rPr>
                <w:rFonts w:cs="Arial"/>
                <w:sz w:val="24"/>
                <w:szCs w:val="24"/>
              </w:rPr>
              <w:t>a) the scale of the potential quantified benefits, which are only qualitatively described due to limitations in available evidence</w:t>
            </w:r>
            <w:r w:rsidR="00C012C4" w:rsidRPr="001D081D">
              <w:rPr>
                <w:rFonts w:cs="Arial"/>
                <w:sz w:val="24"/>
                <w:szCs w:val="24"/>
              </w:rPr>
              <w:t xml:space="preserve"> and </w:t>
            </w:r>
            <w:r w:rsidRPr="001D081D">
              <w:rPr>
                <w:rFonts w:cs="Arial"/>
                <w:sz w:val="24"/>
                <w:szCs w:val="24"/>
              </w:rPr>
              <w:t>b) the amount of effort that organisations would invest in compliance and the resulting compliance costs</w:t>
            </w:r>
            <w:r w:rsidR="00851C86" w:rsidRPr="001D081D">
              <w:rPr>
                <w:rFonts w:cs="Arial"/>
                <w:sz w:val="24"/>
                <w:szCs w:val="24"/>
              </w:rPr>
              <w:t>.</w:t>
            </w:r>
            <w:r w:rsidRPr="001D081D">
              <w:rPr>
                <w:rFonts w:cs="Arial"/>
                <w:sz w:val="24"/>
                <w:szCs w:val="24"/>
              </w:rPr>
              <w:t xml:space="preserve"> Where possible, the Home Office has worked with prosecutors and other </w:t>
            </w:r>
            <w:r w:rsidR="00C012C4" w:rsidRPr="001D081D">
              <w:rPr>
                <w:rFonts w:cs="Arial"/>
                <w:sz w:val="24"/>
                <w:szCs w:val="24"/>
              </w:rPr>
              <w:t xml:space="preserve">government </w:t>
            </w:r>
            <w:r w:rsidRPr="001D081D">
              <w:rPr>
                <w:rFonts w:cs="Arial"/>
                <w:sz w:val="24"/>
                <w:szCs w:val="24"/>
              </w:rPr>
              <w:t xml:space="preserve">departments </w:t>
            </w:r>
            <w:r w:rsidR="00C012C4" w:rsidRPr="001D081D">
              <w:rPr>
                <w:rFonts w:cs="Arial"/>
                <w:sz w:val="24"/>
                <w:szCs w:val="24"/>
              </w:rPr>
              <w:t xml:space="preserve">(OGDs) </w:t>
            </w:r>
            <w:r w:rsidRPr="001D081D">
              <w:rPr>
                <w:rFonts w:cs="Arial"/>
                <w:sz w:val="24"/>
                <w:szCs w:val="24"/>
              </w:rPr>
              <w:t xml:space="preserve">to draw on evidence from experience of other failure to prevent offences to inform cost estimates.  </w:t>
            </w:r>
          </w:p>
        </w:tc>
      </w:tr>
    </w:tbl>
    <w:p w14:paraId="0CFA9047" w14:textId="037DB25D" w:rsidR="00D317C7" w:rsidRPr="001D081D" w:rsidRDefault="00D317C7" w:rsidP="003E31BC">
      <w:pPr>
        <w:rPr>
          <w:rFonts w:cs="Arial"/>
        </w:rPr>
      </w:pPr>
    </w:p>
    <w:tbl>
      <w:tblPr>
        <w:tblStyle w:val="TableGrid"/>
        <w:tblW w:w="10376" w:type="dxa"/>
        <w:tblLook w:val="01E0" w:firstRow="1" w:lastRow="1" w:firstColumn="1" w:lastColumn="1" w:noHBand="0" w:noVBand="0"/>
      </w:tblPr>
      <w:tblGrid>
        <w:gridCol w:w="10376"/>
      </w:tblGrid>
      <w:tr w:rsidR="001D081D" w:rsidRPr="001D081D" w14:paraId="2B795788" w14:textId="77777777" w:rsidTr="00E02853">
        <w:trPr>
          <w:trHeight w:val="397"/>
        </w:trPr>
        <w:tc>
          <w:tcPr>
            <w:tcW w:w="5000" w:type="pct"/>
          </w:tcPr>
          <w:p w14:paraId="3948733A" w14:textId="5C289FDA" w:rsidR="003C6D25" w:rsidRPr="001D081D" w:rsidRDefault="00D317C7" w:rsidP="00D317C7">
            <w:pPr>
              <w:pStyle w:val="IATableLabel"/>
              <w:ind w:left="0"/>
              <w:rPr>
                <w:rFonts w:cs="Arial"/>
                <w:b w:val="0"/>
                <w:color w:val="auto"/>
                <w:sz w:val="24"/>
                <w:szCs w:val="24"/>
              </w:rPr>
            </w:pPr>
            <w:r w:rsidRPr="00DD42BB">
              <w:rPr>
                <w:rFonts w:cs="Arial"/>
                <w:color w:val="auto"/>
                <w:sz w:val="22"/>
                <w:szCs w:val="22"/>
              </w:rPr>
              <w:t>Wil</w:t>
            </w:r>
            <w:r w:rsidR="003C6D25" w:rsidRPr="00DD42BB">
              <w:rPr>
                <w:rFonts w:cs="Arial"/>
                <w:color w:val="auto"/>
                <w:sz w:val="22"/>
                <w:szCs w:val="22"/>
              </w:rPr>
              <w:t xml:space="preserve">l the policy be reviewed?  </w:t>
            </w:r>
            <w:r w:rsidR="003C6D25" w:rsidRPr="00DD42BB">
              <w:rPr>
                <w:rFonts w:cs="Arial"/>
                <w:b w:val="0"/>
                <w:color w:val="auto"/>
                <w:sz w:val="22"/>
                <w:szCs w:val="22"/>
              </w:rPr>
              <w:t>It</w:t>
            </w:r>
            <w:r w:rsidR="000D67C6" w:rsidRPr="00DD42BB">
              <w:rPr>
                <w:rFonts w:cs="Arial"/>
                <w:b w:val="0"/>
                <w:color w:val="auto"/>
                <w:sz w:val="22"/>
                <w:szCs w:val="22"/>
              </w:rPr>
              <w:t xml:space="preserve"> will</w:t>
            </w:r>
            <w:r w:rsidR="003C6D25" w:rsidRPr="00DD42BB">
              <w:rPr>
                <w:rFonts w:cs="Arial"/>
                <w:b w:val="0"/>
                <w:color w:val="auto"/>
                <w:sz w:val="22"/>
                <w:szCs w:val="22"/>
              </w:rPr>
              <w:t xml:space="preserve"> be reviewed.</w:t>
            </w:r>
            <w:r w:rsidR="003C6D25" w:rsidRPr="00DD42BB">
              <w:rPr>
                <w:rFonts w:cs="Arial"/>
                <w:color w:val="auto"/>
                <w:sz w:val="22"/>
                <w:szCs w:val="22"/>
              </w:rPr>
              <w:t xml:space="preserve"> </w:t>
            </w:r>
            <w:r w:rsidR="003C6D25">
              <w:rPr>
                <w:rFonts w:cs="Arial"/>
                <w:color w:val="auto"/>
                <w:sz w:val="22"/>
                <w:szCs w:val="22"/>
              </w:rPr>
              <w:t xml:space="preserve"> </w:t>
            </w:r>
            <w:r w:rsidR="00DC3D42">
              <w:rPr>
                <w:rFonts w:cs="Arial"/>
                <w:color w:val="auto"/>
                <w:sz w:val="22"/>
                <w:szCs w:val="22"/>
              </w:rPr>
              <w:t xml:space="preserve">            </w:t>
            </w:r>
            <w:r w:rsidR="003C6D25" w:rsidRPr="00DD42BB">
              <w:rPr>
                <w:rFonts w:cs="Arial"/>
                <w:color w:val="auto"/>
                <w:sz w:val="22"/>
                <w:szCs w:val="22"/>
              </w:rPr>
              <w:t xml:space="preserve"> If applicable, set review date: </w:t>
            </w:r>
            <w:r w:rsidR="00091D76" w:rsidRPr="00DD42BB">
              <w:rPr>
                <w:rFonts w:cs="Arial"/>
                <w:b w:val="0"/>
                <w:color w:val="auto"/>
                <w:sz w:val="22"/>
                <w:szCs w:val="22"/>
              </w:rPr>
              <w:t>March 2030</w:t>
            </w:r>
          </w:p>
        </w:tc>
      </w:tr>
    </w:tbl>
    <w:p w14:paraId="2C783BCF" w14:textId="6173B871" w:rsidR="003C6D25" w:rsidRPr="001D081D" w:rsidRDefault="003C6D25" w:rsidP="003C6D25">
      <w:pPr>
        <w:pStyle w:val="IASign-off"/>
        <w:rPr>
          <w:rFonts w:cs="Arial"/>
          <w:sz w:val="24"/>
          <w:szCs w:val="24"/>
        </w:rPr>
      </w:pPr>
      <w:bookmarkStart w:id="5" w:name="SignOfftext"/>
      <w:r w:rsidRPr="001D081D">
        <w:rPr>
          <w:rFonts w:cs="Arial"/>
          <w:sz w:val="24"/>
          <w:szCs w:val="24"/>
        </w:rPr>
        <w:t xml:space="preserve">I have read the Impact </w:t>
      </w:r>
      <w:proofErr w:type="gramStart"/>
      <w:r w:rsidRPr="001D081D">
        <w:rPr>
          <w:rFonts w:cs="Arial"/>
          <w:sz w:val="24"/>
          <w:szCs w:val="24"/>
        </w:rPr>
        <w:t>Assessment</w:t>
      </w:r>
      <w:proofErr w:type="gramEnd"/>
      <w:r w:rsidRPr="001D081D">
        <w:rPr>
          <w:rFonts w:cs="Arial"/>
          <w:sz w:val="24"/>
          <w:szCs w:val="24"/>
        </w:rPr>
        <w:t xml:space="preserve"> and I am satisfied that, given the available evidence, it represents a reasonable view of the likely costs, benefits and impact of the leading options.</w:t>
      </w:r>
    </w:p>
    <w:tbl>
      <w:tblPr>
        <w:tblW w:w="5000" w:type="pct"/>
        <w:tblLayout w:type="fixed"/>
        <w:tblCellMar>
          <w:left w:w="0" w:type="dxa"/>
          <w:right w:w="0" w:type="dxa"/>
        </w:tblCellMar>
        <w:tblLook w:val="0000" w:firstRow="0" w:lastRow="0" w:firstColumn="0" w:lastColumn="0" w:noHBand="0" w:noVBand="0"/>
      </w:tblPr>
      <w:tblGrid>
        <w:gridCol w:w="3403"/>
        <w:gridCol w:w="3686"/>
        <w:gridCol w:w="2551"/>
        <w:gridCol w:w="565"/>
      </w:tblGrid>
      <w:tr w:rsidR="001D081D" w:rsidRPr="001D081D" w14:paraId="67151ECE" w14:textId="77777777" w:rsidTr="00055594">
        <w:trPr>
          <w:trHeight w:hRule="exact" w:val="767"/>
        </w:trPr>
        <w:tc>
          <w:tcPr>
            <w:tcW w:w="1667" w:type="pct"/>
            <w:vAlign w:val="bottom"/>
          </w:tcPr>
          <w:p w14:paraId="1B9B46EC" w14:textId="3A6A6E1E" w:rsidR="003C6D25" w:rsidRPr="001D081D" w:rsidRDefault="003C6D25" w:rsidP="00346074">
            <w:pPr>
              <w:pStyle w:val="IASignature"/>
              <w:tabs>
                <w:tab w:val="clear" w:pos="6804"/>
                <w:tab w:val="left" w:leader="dot" w:pos="7380"/>
              </w:tabs>
              <w:rPr>
                <w:rFonts w:cs="Arial"/>
                <w:sz w:val="24"/>
                <w:szCs w:val="24"/>
              </w:rPr>
            </w:pPr>
            <w:r w:rsidRPr="001D081D">
              <w:rPr>
                <w:rFonts w:cs="Arial"/>
                <w:sz w:val="24"/>
                <w:szCs w:val="24"/>
              </w:rPr>
              <w:t xml:space="preserve">Signed by the responsible </w:t>
            </w:r>
            <w:r w:rsidR="002358AD" w:rsidRPr="001D081D">
              <w:rPr>
                <w:rFonts w:cs="Arial"/>
                <w:sz w:val="24"/>
                <w:szCs w:val="24"/>
              </w:rPr>
              <w:fldChar w:fldCharType="begin">
                <w:ffData>
                  <w:name w:val="IASignedBy"/>
                  <w:enabled/>
                  <w:calcOnExit w:val="0"/>
                  <w:ddList>
                    <w:listEntry w:val="Minister"/>
                    <w:listEntry w:val="SELECT SIGNATORY"/>
                    <w:listEntry w:val="Chair"/>
                    <w:listEntry w:val="Chief Executive"/>
                  </w:ddList>
                </w:ffData>
              </w:fldChar>
            </w:r>
            <w:bookmarkStart w:id="6" w:name="IASignedBy"/>
            <w:r w:rsidR="002358AD" w:rsidRPr="001D081D">
              <w:rPr>
                <w:rFonts w:cs="Arial"/>
                <w:sz w:val="24"/>
                <w:szCs w:val="24"/>
              </w:rPr>
              <w:instrText xml:space="preserve"> FORMDROPDOWN </w:instrText>
            </w:r>
            <w:r w:rsidR="00055594">
              <w:rPr>
                <w:rFonts w:cs="Arial"/>
                <w:sz w:val="24"/>
                <w:szCs w:val="24"/>
              </w:rPr>
            </w:r>
            <w:r w:rsidR="00055594">
              <w:rPr>
                <w:rFonts w:cs="Arial"/>
                <w:sz w:val="24"/>
                <w:szCs w:val="24"/>
              </w:rPr>
              <w:fldChar w:fldCharType="separate"/>
            </w:r>
            <w:r w:rsidR="002358AD" w:rsidRPr="001D081D">
              <w:rPr>
                <w:rFonts w:cs="Arial"/>
                <w:sz w:val="24"/>
                <w:szCs w:val="24"/>
              </w:rPr>
              <w:fldChar w:fldCharType="end"/>
            </w:r>
            <w:bookmarkEnd w:id="6"/>
            <w:r w:rsidRPr="001D081D">
              <w:rPr>
                <w:rFonts w:cs="Arial"/>
                <w:sz w:val="24"/>
                <w:szCs w:val="24"/>
              </w:rPr>
              <w:t>:</w:t>
            </w:r>
          </w:p>
        </w:tc>
        <w:tc>
          <w:tcPr>
            <w:tcW w:w="1806" w:type="pct"/>
            <w:tcBorders>
              <w:bottom w:val="dashSmallGap" w:sz="4" w:space="0" w:color="auto"/>
            </w:tcBorders>
            <w:vAlign w:val="bottom"/>
          </w:tcPr>
          <w:p w14:paraId="2EFC9398" w14:textId="5F2A233A" w:rsidR="003C6D25" w:rsidRPr="001D081D" w:rsidRDefault="00055594" w:rsidP="00346074">
            <w:pPr>
              <w:pStyle w:val="IAIOtextSign"/>
              <w:rPr>
                <w:rFonts w:cs="Arial"/>
              </w:rPr>
            </w:pPr>
            <w:r>
              <w:rPr>
                <w:rFonts w:cs="Arial"/>
              </w:rPr>
              <w:t>David Hanson</w:t>
            </w:r>
          </w:p>
        </w:tc>
        <w:tc>
          <w:tcPr>
            <w:tcW w:w="1250" w:type="pct"/>
            <w:vAlign w:val="bottom"/>
          </w:tcPr>
          <w:p w14:paraId="2AB6E91D" w14:textId="0A8AD581" w:rsidR="003C6D25" w:rsidRPr="001D081D" w:rsidRDefault="003C6D25" w:rsidP="00346074">
            <w:pPr>
              <w:pStyle w:val="IASignature"/>
              <w:tabs>
                <w:tab w:val="clear" w:pos="6804"/>
                <w:tab w:val="left" w:leader="dot" w:pos="7380"/>
              </w:tabs>
              <w:rPr>
                <w:rFonts w:cs="Arial"/>
                <w:sz w:val="24"/>
                <w:szCs w:val="24"/>
              </w:rPr>
            </w:pPr>
            <w:r w:rsidRPr="001D081D">
              <w:rPr>
                <w:rFonts w:cs="Arial"/>
                <w:sz w:val="24"/>
                <w:szCs w:val="24"/>
              </w:rPr>
              <w:t>Date:</w:t>
            </w:r>
            <w:r w:rsidR="00055594">
              <w:rPr>
                <w:rFonts w:cs="Arial"/>
                <w:sz w:val="24"/>
                <w:szCs w:val="24"/>
              </w:rPr>
              <w:t xml:space="preserve"> 16 October 2024</w:t>
            </w:r>
          </w:p>
        </w:tc>
        <w:tc>
          <w:tcPr>
            <w:tcW w:w="277" w:type="pct"/>
            <w:tcBorders>
              <w:bottom w:val="dashSmallGap" w:sz="4" w:space="0" w:color="auto"/>
            </w:tcBorders>
            <w:vAlign w:val="bottom"/>
          </w:tcPr>
          <w:p w14:paraId="4619CE88" w14:textId="24887334" w:rsidR="003C6D25" w:rsidRPr="001D081D" w:rsidRDefault="002358AD" w:rsidP="002358AD">
            <w:pPr>
              <w:pStyle w:val="IAIOSigDate"/>
              <w:jc w:val="right"/>
              <w:rPr>
                <w:rFonts w:cs="Arial"/>
                <w:sz w:val="24"/>
                <w:szCs w:val="24"/>
              </w:rPr>
            </w:pPr>
            <w:r w:rsidRPr="001D081D">
              <w:rPr>
                <w:rFonts w:cs="Arial"/>
                <w:sz w:val="24"/>
                <w:szCs w:val="24"/>
              </w:rPr>
              <w:t xml:space="preserve">     </w:t>
            </w:r>
          </w:p>
        </w:tc>
      </w:tr>
      <w:bookmarkEnd w:id="5"/>
    </w:tbl>
    <w:p w14:paraId="53A67111" w14:textId="1D3D2AAE" w:rsidR="003C6D25" w:rsidRPr="001D081D" w:rsidRDefault="003C6D25" w:rsidP="003E31BC">
      <w:pPr>
        <w:rPr>
          <w:rFonts w:cs="Arial"/>
        </w:rPr>
        <w:sectPr w:rsidR="003C6D25" w:rsidRPr="001D081D" w:rsidSect="005A3880">
          <w:headerReference w:type="default" r:id="rId12"/>
          <w:footerReference w:type="default" r:id="rId13"/>
          <w:footnotePr>
            <w:numRestart w:val="eachSect"/>
          </w:footnotePr>
          <w:type w:val="continuous"/>
          <w:pgSz w:w="11907" w:h="16840" w:code="9"/>
          <w:pgMar w:top="680" w:right="851" w:bottom="680" w:left="851" w:header="284" w:footer="284" w:gutter="0"/>
          <w:cols w:space="708"/>
          <w:docGrid w:linePitch="360"/>
        </w:sectPr>
      </w:pPr>
    </w:p>
    <w:p w14:paraId="334C7557" w14:textId="108740CB" w:rsidR="001844B6" w:rsidRPr="001D081D" w:rsidRDefault="001844B6" w:rsidP="005A3880">
      <w:pPr>
        <w:pStyle w:val="Heading1"/>
        <w:spacing w:before="0"/>
        <w:rPr>
          <w:rFonts w:ascii="Arial" w:hAnsi="Arial"/>
          <w:sz w:val="24"/>
          <w:szCs w:val="24"/>
        </w:rPr>
      </w:pPr>
      <w:r w:rsidRPr="001D081D">
        <w:rPr>
          <w:rFonts w:ascii="Arial" w:hAnsi="Arial"/>
          <w:sz w:val="24"/>
          <w:szCs w:val="24"/>
        </w:rPr>
        <w:lastRenderedPageBreak/>
        <w:t>Summary: Analysis &amp; Evidence</w:t>
      </w:r>
      <w:r w:rsidRPr="001D081D">
        <w:rPr>
          <w:rFonts w:ascii="Arial" w:hAnsi="Arial"/>
          <w:sz w:val="24"/>
          <w:szCs w:val="24"/>
        </w:rPr>
        <w:tab/>
      </w:r>
      <w:r w:rsidR="002C6FD1" w:rsidRPr="001D081D">
        <w:rPr>
          <w:rFonts w:ascii="Arial" w:hAnsi="Arial"/>
          <w:sz w:val="24"/>
          <w:szCs w:val="24"/>
        </w:rPr>
        <w:t>Option</w:t>
      </w:r>
      <w:r w:rsidR="0039453A" w:rsidRPr="001D081D">
        <w:rPr>
          <w:rFonts w:ascii="Arial" w:hAnsi="Arial"/>
          <w:sz w:val="24"/>
          <w:szCs w:val="24"/>
        </w:rPr>
        <w:t xml:space="preserve"> 2</w:t>
      </w:r>
    </w:p>
    <w:p w14:paraId="173E4E1E" w14:textId="3E9079DA" w:rsidR="001844B6" w:rsidRPr="00A162CC" w:rsidRDefault="001844B6" w:rsidP="005A3880">
      <w:pPr>
        <w:pStyle w:val="IAHeadLabel"/>
        <w:spacing w:before="50"/>
        <w:rPr>
          <w:rFonts w:cs="Arial"/>
          <w:b w:val="0"/>
          <w:bCs/>
          <w:color w:val="auto"/>
        </w:rPr>
      </w:pPr>
      <w:r w:rsidRPr="0029116F">
        <w:rPr>
          <w:rFonts w:cs="Arial"/>
          <w:color w:val="auto"/>
        </w:rPr>
        <w:t xml:space="preserve">Description:  </w:t>
      </w:r>
      <w:r w:rsidR="002A66BA" w:rsidRPr="00CD1865">
        <w:rPr>
          <w:rFonts w:cs="Arial"/>
          <w:color w:val="auto"/>
        </w:rPr>
        <w:t>I</w:t>
      </w:r>
      <w:r w:rsidR="00EB1092" w:rsidRPr="00A162CC">
        <w:rPr>
          <w:rStyle w:val="IAPODescriptionCharChar"/>
          <w:rFonts w:cs="Arial"/>
          <w:b/>
          <w:bCs/>
          <w:color w:val="auto"/>
        </w:rPr>
        <w:t>ntroducing a failure to prevent fraud offence covering all large organisations</w:t>
      </w:r>
    </w:p>
    <w:p w14:paraId="4C47A1A0" w14:textId="77777777" w:rsidR="001844B6" w:rsidRPr="0029116F" w:rsidRDefault="001844B6" w:rsidP="005A3880">
      <w:pPr>
        <w:pStyle w:val="IAHeadLabel"/>
        <w:spacing w:before="50"/>
        <w:rPr>
          <w:rFonts w:cs="Arial"/>
          <w:color w:val="auto"/>
        </w:rPr>
      </w:pPr>
      <w:r w:rsidRPr="0029116F">
        <w:rPr>
          <w:rFonts w:cs="Arial"/>
          <w:color w:val="auto"/>
        </w:rPr>
        <w:t>FULL ECONOMIC ASSESSMENT</w:t>
      </w:r>
    </w:p>
    <w:tbl>
      <w:tblPr>
        <w:tblStyle w:val="TableGrid"/>
        <w:tblW w:w="10376" w:type="dxa"/>
        <w:tblLayout w:type="fixed"/>
        <w:tblCellMar>
          <w:left w:w="28" w:type="dxa"/>
          <w:right w:w="28" w:type="dxa"/>
        </w:tblCellMar>
        <w:tblLook w:val="01E0" w:firstRow="1" w:lastRow="1" w:firstColumn="1" w:lastColumn="1" w:noHBand="0" w:noVBand="0"/>
      </w:tblPr>
      <w:tblGrid>
        <w:gridCol w:w="1271"/>
        <w:gridCol w:w="992"/>
        <w:gridCol w:w="1276"/>
        <w:gridCol w:w="1276"/>
        <w:gridCol w:w="1559"/>
        <w:gridCol w:w="1418"/>
        <w:gridCol w:w="567"/>
        <w:gridCol w:w="850"/>
        <w:gridCol w:w="709"/>
        <w:gridCol w:w="458"/>
      </w:tblGrid>
      <w:tr w:rsidR="001D081D" w:rsidRPr="001D081D" w14:paraId="40269D48" w14:textId="77777777" w:rsidTr="002B005A">
        <w:tc>
          <w:tcPr>
            <w:tcW w:w="1271" w:type="dxa"/>
            <w:tcBorders>
              <w:bottom w:val="single" w:sz="12" w:space="0" w:color="auto"/>
            </w:tcBorders>
          </w:tcPr>
          <w:p w14:paraId="7503C182" w14:textId="41F2CD30" w:rsidR="006E133A" w:rsidRPr="0029116F" w:rsidRDefault="006E133A" w:rsidP="005A3880">
            <w:pPr>
              <w:pStyle w:val="POPBY"/>
              <w:rPr>
                <w:rFonts w:cs="Arial"/>
                <w:color w:val="auto"/>
              </w:rPr>
            </w:pPr>
            <w:r w:rsidRPr="0029116F">
              <w:rPr>
                <w:rFonts w:cs="Arial"/>
                <w:color w:val="auto"/>
              </w:rPr>
              <w:t xml:space="preserve">Year(s): </w:t>
            </w:r>
          </w:p>
        </w:tc>
        <w:tc>
          <w:tcPr>
            <w:tcW w:w="992" w:type="dxa"/>
            <w:tcBorders>
              <w:bottom w:val="single" w:sz="12" w:space="0" w:color="auto"/>
            </w:tcBorders>
          </w:tcPr>
          <w:p w14:paraId="6EB96D26" w14:textId="5E9134D5" w:rsidR="006E133A" w:rsidRPr="0029116F" w:rsidRDefault="006E133A" w:rsidP="005A3880">
            <w:pPr>
              <w:pStyle w:val="POPBY"/>
              <w:rPr>
                <w:rFonts w:cs="Arial"/>
                <w:color w:val="auto"/>
              </w:rPr>
            </w:pPr>
            <w:r w:rsidRPr="0029116F">
              <w:rPr>
                <w:rFonts w:cs="Arial"/>
                <w:color w:val="auto"/>
              </w:rPr>
              <w:t>Price Base</w:t>
            </w:r>
          </w:p>
        </w:tc>
        <w:tc>
          <w:tcPr>
            <w:tcW w:w="1276" w:type="dxa"/>
            <w:tcBorders>
              <w:bottom w:val="single" w:sz="12" w:space="0" w:color="auto"/>
            </w:tcBorders>
          </w:tcPr>
          <w:p w14:paraId="731050F6" w14:textId="6CBA477E" w:rsidR="006E133A" w:rsidRPr="005F32D9" w:rsidRDefault="00E77A41" w:rsidP="006B39E0">
            <w:pPr>
              <w:pStyle w:val="POPBY"/>
              <w:jc w:val="right"/>
              <w:rPr>
                <w:rFonts w:cs="Arial"/>
                <w:b w:val="0"/>
                <w:color w:val="auto"/>
              </w:rPr>
            </w:pPr>
            <w:r w:rsidRPr="005F32D9">
              <w:rPr>
                <w:rFonts w:cs="Arial"/>
                <w:b w:val="0"/>
                <w:color w:val="auto"/>
                <w:sz w:val="24"/>
                <w:szCs w:val="24"/>
              </w:rPr>
              <w:t>2024</w:t>
            </w:r>
          </w:p>
        </w:tc>
        <w:tc>
          <w:tcPr>
            <w:tcW w:w="1276" w:type="dxa"/>
            <w:tcBorders>
              <w:bottom w:val="single" w:sz="12" w:space="0" w:color="auto"/>
            </w:tcBorders>
          </w:tcPr>
          <w:p w14:paraId="6213AAD3" w14:textId="4D1624F3" w:rsidR="006E133A" w:rsidRPr="005F32D9" w:rsidRDefault="006E133A" w:rsidP="005A3880">
            <w:pPr>
              <w:pStyle w:val="POPVBY"/>
              <w:rPr>
                <w:rFonts w:cs="Arial"/>
                <w:color w:val="auto"/>
              </w:rPr>
            </w:pPr>
            <w:r w:rsidRPr="005F32D9">
              <w:rPr>
                <w:rFonts w:cs="Arial"/>
                <w:color w:val="auto"/>
              </w:rPr>
              <w:t xml:space="preserve">PV Base </w:t>
            </w:r>
          </w:p>
        </w:tc>
        <w:tc>
          <w:tcPr>
            <w:tcW w:w="1559" w:type="dxa"/>
            <w:tcBorders>
              <w:bottom w:val="single" w:sz="12" w:space="0" w:color="auto"/>
            </w:tcBorders>
          </w:tcPr>
          <w:p w14:paraId="53FEE567" w14:textId="69892C59" w:rsidR="006E133A" w:rsidRPr="005F32D9" w:rsidRDefault="00E77A41" w:rsidP="006B39E0">
            <w:pPr>
              <w:pStyle w:val="POPVBY"/>
              <w:ind w:left="0"/>
              <w:jc w:val="right"/>
              <w:rPr>
                <w:rFonts w:cs="Arial"/>
                <w:b w:val="0"/>
                <w:color w:val="auto"/>
              </w:rPr>
            </w:pPr>
            <w:r w:rsidRPr="005F32D9">
              <w:rPr>
                <w:rFonts w:cs="Arial"/>
                <w:b w:val="0"/>
                <w:color w:val="auto"/>
                <w:sz w:val="24"/>
                <w:szCs w:val="24"/>
              </w:rPr>
              <w:t>2024</w:t>
            </w:r>
          </w:p>
        </w:tc>
        <w:tc>
          <w:tcPr>
            <w:tcW w:w="1418" w:type="dxa"/>
            <w:tcBorders>
              <w:bottom w:val="single" w:sz="12" w:space="0" w:color="auto"/>
            </w:tcBorders>
          </w:tcPr>
          <w:p w14:paraId="3F9EAAFB" w14:textId="0EF2A7B5" w:rsidR="006E133A" w:rsidRPr="005F32D9" w:rsidRDefault="006E133A" w:rsidP="005A3880">
            <w:pPr>
              <w:pStyle w:val="POTPY"/>
              <w:rPr>
                <w:rFonts w:cs="Arial"/>
                <w:color w:val="auto"/>
              </w:rPr>
            </w:pPr>
            <w:r w:rsidRPr="005F32D9">
              <w:rPr>
                <w:rFonts w:cs="Arial"/>
                <w:color w:val="auto"/>
              </w:rPr>
              <w:t>Appraisal</w:t>
            </w:r>
          </w:p>
        </w:tc>
        <w:tc>
          <w:tcPr>
            <w:tcW w:w="567" w:type="dxa"/>
            <w:tcBorders>
              <w:bottom w:val="single" w:sz="12" w:space="0" w:color="auto"/>
            </w:tcBorders>
          </w:tcPr>
          <w:p w14:paraId="307FE86B" w14:textId="27DD57B4" w:rsidR="006E133A" w:rsidRPr="005F32D9" w:rsidRDefault="006E133A" w:rsidP="005A3880">
            <w:pPr>
              <w:pStyle w:val="POTPY"/>
              <w:rPr>
                <w:rFonts w:cs="Arial"/>
                <w:b w:val="0"/>
                <w:color w:val="auto"/>
              </w:rPr>
            </w:pPr>
            <w:r w:rsidRPr="005F32D9">
              <w:rPr>
                <w:rFonts w:cs="Arial"/>
                <w:b w:val="0"/>
                <w:color w:val="auto"/>
                <w:sz w:val="24"/>
                <w:szCs w:val="24"/>
              </w:rPr>
              <w:t>10</w:t>
            </w:r>
          </w:p>
        </w:tc>
        <w:tc>
          <w:tcPr>
            <w:tcW w:w="1559" w:type="dxa"/>
            <w:gridSpan w:val="2"/>
            <w:tcBorders>
              <w:bottom w:val="single" w:sz="12" w:space="0" w:color="auto"/>
            </w:tcBorders>
          </w:tcPr>
          <w:p w14:paraId="1E27D460" w14:textId="5D9709FC" w:rsidR="006E133A" w:rsidRPr="0029116F" w:rsidRDefault="006E133A" w:rsidP="005A3880">
            <w:pPr>
              <w:pStyle w:val="POTPY"/>
              <w:rPr>
                <w:rFonts w:cs="Arial"/>
                <w:color w:val="auto"/>
              </w:rPr>
            </w:pPr>
            <w:r w:rsidRPr="0029116F">
              <w:rPr>
                <w:rFonts w:cs="Arial"/>
                <w:color w:val="auto"/>
              </w:rPr>
              <w:t>Transition</w:t>
            </w:r>
          </w:p>
        </w:tc>
        <w:tc>
          <w:tcPr>
            <w:tcW w:w="458" w:type="dxa"/>
            <w:tcBorders>
              <w:bottom w:val="single" w:sz="12" w:space="0" w:color="auto"/>
            </w:tcBorders>
          </w:tcPr>
          <w:p w14:paraId="74B379F4" w14:textId="0666F978" w:rsidR="006E133A" w:rsidRPr="0029116F" w:rsidRDefault="006E133A" w:rsidP="00203D84">
            <w:pPr>
              <w:pStyle w:val="POTPY"/>
              <w:jc w:val="right"/>
              <w:rPr>
                <w:rFonts w:cs="Arial"/>
                <w:b w:val="0"/>
                <w:color w:val="auto"/>
              </w:rPr>
            </w:pPr>
            <w:r w:rsidRPr="001D081D">
              <w:rPr>
                <w:rFonts w:cs="Arial"/>
                <w:b w:val="0"/>
                <w:color w:val="auto"/>
                <w:sz w:val="24"/>
                <w:szCs w:val="24"/>
              </w:rPr>
              <w:t>1</w:t>
            </w:r>
          </w:p>
        </w:tc>
      </w:tr>
      <w:tr w:rsidR="001D081D" w:rsidRPr="001D081D" w14:paraId="574169A5" w14:textId="77777777" w:rsidTr="0029116F">
        <w:trPr>
          <w:trHeight w:hRule="exact" w:val="344"/>
        </w:trPr>
        <w:tc>
          <w:tcPr>
            <w:tcW w:w="7792" w:type="dxa"/>
            <w:gridSpan w:val="6"/>
            <w:tcBorders>
              <w:top w:val="single" w:sz="12" w:space="0" w:color="auto"/>
              <w:left w:val="single" w:sz="12" w:space="0" w:color="auto"/>
              <w:right w:val="single" w:sz="12" w:space="0" w:color="auto"/>
            </w:tcBorders>
            <w:shd w:val="clear" w:color="auto" w:fill="F2F2F2" w:themeFill="background1" w:themeFillShade="F2"/>
          </w:tcPr>
          <w:p w14:paraId="0872E26D" w14:textId="77777777" w:rsidR="00246E82" w:rsidRPr="0029116F" w:rsidRDefault="00246E82" w:rsidP="00EE1A2A">
            <w:pPr>
              <w:pStyle w:val="IATableLabel"/>
              <w:rPr>
                <w:rFonts w:cs="Arial"/>
                <w:color w:val="auto"/>
              </w:rPr>
            </w:pPr>
            <w:r w:rsidRPr="0029116F">
              <w:rPr>
                <w:rFonts w:cs="Arial"/>
                <w:color w:val="auto"/>
              </w:rPr>
              <w:t>Estimate of Net Present Social Value NPSV (£m)</w:t>
            </w:r>
          </w:p>
        </w:tc>
        <w:tc>
          <w:tcPr>
            <w:tcW w:w="2584" w:type="dxa"/>
            <w:gridSpan w:val="4"/>
            <w:tcBorders>
              <w:top w:val="single" w:sz="12" w:space="0" w:color="auto"/>
              <w:left w:val="single" w:sz="12" w:space="0" w:color="auto"/>
              <w:right w:val="single" w:sz="12" w:space="0" w:color="auto"/>
            </w:tcBorders>
            <w:shd w:val="clear" w:color="auto" w:fill="F2F2F2" w:themeFill="background1" w:themeFillShade="F2"/>
          </w:tcPr>
          <w:p w14:paraId="49C9A165" w14:textId="2860CEAC" w:rsidR="00246E82" w:rsidRPr="0029116F" w:rsidRDefault="00246E82" w:rsidP="00EE1A2A">
            <w:pPr>
              <w:pStyle w:val="IATableLabel"/>
              <w:rPr>
                <w:rFonts w:cs="Arial"/>
                <w:color w:val="auto"/>
              </w:rPr>
            </w:pPr>
            <w:r w:rsidRPr="0029116F">
              <w:rPr>
                <w:rFonts w:cs="Arial"/>
                <w:color w:val="auto"/>
              </w:rPr>
              <w:t>Estimate of BNPV (£m)</w:t>
            </w:r>
          </w:p>
        </w:tc>
      </w:tr>
      <w:tr w:rsidR="001D081D" w:rsidRPr="001D081D" w14:paraId="6C7BE480" w14:textId="77777777" w:rsidTr="002B005A">
        <w:trPr>
          <w:trHeight w:hRule="exact" w:val="340"/>
        </w:trPr>
        <w:tc>
          <w:tcPr>
            <w:tcW w:w="1271" w:type="dxa"/>
            <w:tcBorders>
              <w:top w:val="single" w:sz="6" w:space="0" w:color="auto"/>
              <w:left w:val="single" w:sz="12" w:space="0" w:color="auto"/>
              <w:bottom w:val="single" w:sz="12" w:space="0" w:color="auto"/>
              <w:right w:val="single" w:sz="6" w:space="0" w:color="auto"/>
            </w:tcBorders>
          </w:tcPr>
          <w:p w14:paraId="6C05312B" w14:textId="77777777" w:rsidR="004B525B" w:rsidRPr="001D081D" w:rsidRDefault="004B525B" w:rsidP="004B525B">
            <w:pPr>
              <w:pStyle w:val="IATableLabel"/>
              <w:rPr>
                <w:rFonts w:cs="Arial"/>
                <w:color w:val="auto"/>
                <w:sz w:val="24"/>
                <w:szCs w:val="24"/>
              </w:rPr>
            </w:pPr>
            <w:r w:rsidRPr="001D081D">
              <w:rPr>
                <w:rFonts w:cs="Arial"/>
                <w:color w:val="auto"/>
                <w:sz w:val="24"/>
                <w:szCs w:val="24"/>
              </w:rPr>
              <w:t xml:space="preserve">Low: </w:t>
            </w:r>
          </w:p>
        </w:tc>
        <w:tc>
          <w:tcPr>
            <w:tcW w:w="992" w:type="dxa"/>
            <w:tcBorders>
              <w:top w:val="single" w:sz="6" w:space="0" w:color="auto"/>
              <w:left w:val="single" w:sz="6" w:space="0" w:color="auto"/>
              <w:bottom w:val="single" w:sz="12" w:space="0" w:color="auto"/>
              <w:right w:val="single" w:sz="6" w:space="0" w:color="auto"/>
            </w:tcBorders>
          </w:tcPr>
          <w:p w14:paraId="037EC380" w14:textId="55C62DFC" w:rsidR="004B525B" w:rsidRPr="001D081D" w:rsidRDefault="00B45132" w:rsidP="004B525B">
            <w:pPr>
              <w:pStyle w:val="IATableLabel"/>
              <w:jc w:val="right"/>
              <w:rPr>
                <w:rFonts w:cs="Arial"/>
                <w:b w:val="0"/>
                <w:color w:val="auto"/>
                <w:sz w:val="24"/>
                <w:szCs w:val="24"/>
              </w:rPr>
            </w:pPr>
            <w:r w:rsidRPr="008524D4">
              <w:rPr>
                <w:rFonts w:cs="Arial"/>
                <w:b w:val="0"/>
                <w:color w:val="auto"/>
                <w:sz w:val="24"/>
                <w:szCs w:val="24"/>
              </w:rPr>
              <w:t>-</w:t>
            </w:r>
            <w:r w:rsidR="002F6A7F" w:rsidRPr="008524D4">
              <w:rPr>
                <w:rFonts w:cs="Arial"/>
                <w:b w:val="0"/>
                <w:color w:val="auto"/>
                <w:sz w:val="24"/>
                <w:szCs w:val="24"/>
              </w:rPr>
              <w:t>1007</w:t>
            </w:r>
          </w:p>
        </w:tc>
        <w:tc>
          <w:tcPr>
            <w:tcW w:w="1276" w:type="dxa"/>
            <w:tcBorders>
              <w:top w:val="single" w:sz="6" w:space="0" w:color="auto"/>
              <w:left w:val="single" w:sz="6" w:space="0" w:color="auto"/>
              <w:bottom w:val="single" w:sz="12" w:space="0" w:color="auto"/>
              <w:right w:val="single" w:sz="6" w:space="0" w:color="auto"/>
            </w:tcBorders>
          </w:tcPr>
          <w:p w14:paraId="41F7D8DD" w14:textId="37E2DD88" w:rsidR="004B525B" w:rsidRPr="001D081D" w:rsidRDefault="004B525B" w:rsidP="004B525B">
            <w:pPr>
              <w:pStyle w:val="IATableLabel"/>
              <w:rPr>
                <w:rFonts w:cs="Arial"/>
                <w:color w:val="auto"/>
                <w:sz w:val="24"/>
                <w:szCs w:val="24"/>
              </w:rPr>
            </w:pPr>
            <w:r w:rsidRPr="001D081D">
              <w:rPr>
                <w:rFonts w:cs="Arial"/>
                <w:color w:val="auto"/>
                <w:sz w:val="24"/>
                <w:szCs w:val="24"/>
              </w:rPr>
              <w:t>High:</w:t>
            </w:r>
          </w:p>
        </w:tc>
        <w:tc>
          <w:tcPr>
            <w:tcW w:w="1276" w:type="dxa"/>
            <w:tcBorders>
              <w:top w:val="single" w:sz="6" w:space="0" w:color="auto"/>
              <w:left w:val="single" w:sz="6" w:space="0" w:color="auto"/>
              <w:bottom w:val="single" w:sz="12" w:space="0" w:color="auto"/>
              <w:right w:val="single" w:sz="6" w:space="0" w:color="auto"/>
            </w:tcBorders>
          </w:tcPr>
          <w:p w14:paraId="311EAFD6" w14:textId="1EABE8FE" w:rsidR="004B525B" w:rsidRPr="001D081D" w:rsidRDefault="009B370E" w:rsidP="004B525B">
            <w:pPr>
              <w:pStyle w:val="IATableLabel"/>
              <w:jc w:val="right"/>
              <w:rPr>
                <w:rFonts w:cs="Arial"/>
                <w:b w:val="0"/>
                <w:color w:val="auto"/>
                <w:sz w:val="24"/>
                <w:szCs w:val="24"/>
              </w:rPr>
            </w:pPr>
            <w:r w:rsidRPr="008524D4">
              <w:rPr>
                <w:rFonts w:cs="Arial"/>
                <w:b w:val="0"/>
                <w:bCs/>
                <w:color w:val="auto"/>
                <w:sz w:val="24"/>
                <w:szCs w:val="24"/>
              </w:rPr>
              <w:t>-</w:t>
            </w:r>
            <w:r w:rsidR="00063B0C" w:rsidRPr="008524D4">
              <w:rPr>
                <w:rFonts w:cs="Arial"/>
                <w:b w:val="0"/>
                <w:bCs/>
                <w:color w:val="auto"/>
                <w:sz w:val="24"/>
                <w:szCs w:val="24"/>
              </w:rPr>
              <w:t>740</w:t>
            </w:r>
          </w:p>
        </w:tc>
        <w:tc>
          <w:tcPr>
            <w:tcW w:w="1559" w:type="dxa"/>
            <w:tcBorders>
              <w:top w:val="single" w:sz="6" w:space="0" w:color="auto"/>
              <w:left w:val="single" w:sz="6" w:space="0" w:color="auto"/>
              <w:bottom w:val="single" w:sz="12" w:space="0" w:color="auto"/>
              <w:right w:val="single" w:sz="6" w:space="0" w:color="auto"/>
            </w:tcBorders>
          </w:tcPr>
          <w:p w14:paraId="2EC50C31" w14:textId="4F0F5188" w:rsidR="004B525B" w:rsidRPr="001D081D" w:rsidRDefault="004B525B" w:rsidP="004B525B">
            <w:pPr>
              <w:pStyle w:val="IATableLabel"/>
              <w:rPr>
                <w:rFonts w:cs="Arial"/>
                <w:color w:val="auto"/>
                <w:sz w:val="24"/>
                <w:szCs w:val="24"/>
              </w:rPr>
            </w:pPr>
            <w:r w:rsidRPr="001D081D">
              <w:rPr>
                <w:rFonts w:cs="Arial"/>
                <w:color w:val="auto"/>
                <w:sz w:val="24"/>
                <w:szCs w:val="24"/>
              </w:rPr>
              <w:t>Best:</w:t>
            </w:r>
          </w:p>
        </w:tc>
        <w:tc>
          <w:tcPr>
            <w:tcW w:w="1418" w:type="dxa"/>
            <w:tcBorders>
              <w:top w:val="single" w:sz="6" w:space="0" w:color="auto"/>
              <w:left w:val="single" w:sz="6" w:space="0" w:color="auto"/>
              <w:bottom w:val="single" w:sz="12" w:space="0" w:color="auto"/>
              <w:right w:val="single" w:sz="12" w:space="0" w:color="auto"/>
            </w:tcBorders>
          </w:tcPr>
          <w:p w14:paraId="3BB2F4A0" w14:textId="48D9F076" w:rsidR="004B525B" w:rsidRPr="001D081D" w:rsidRDefault="00644786" w:rsidP="004B525B">
            <w:pPr>
              <w:pStyle w:val="IATableLabel"/>
              <w:jc w:val="right"/>
              <w:rPr>
                <w:rFonts w:cs="Arial"/>
                <w:bCs/>
                <w:color w:val="auto"/>
                <w:sz w:val="24"/>
                <w:szCs w:val="24"/>
              </w:rPr>
            </w:pPr>
            <w:r w:rsidRPr="008524D4">
              <w:rPr>
                <w:rFonts w:cs="Arial"/>
                <w:b w:val="0"/>
                <w:color w:val="auto"/>
                <w:sz w:val="24"/>
                <w:szCs w:val="24"/>
              </w:rPr>
              <w:t>-</w:t>
            </w:r>
            <w:r w:rsidR="00E25B74" w:rsidRPr="008524D4">
              <w:rPr>
                <w:rFonts w:cs="Arial"/>
                <w:b w:val="0"/>
                <w:color w:val="auto"/>
                <w:sz w:val="24"/>
                <w:szCs w:val="24"/>
              </w:rPr>
              <w:t>874</w:t>
            </w:r>
          </w:p>
        </w:tc>
        <w:tc>
          <w:tcPr>
            <w:tcW w:w="1417" w:type="dxa"/>
            <w:gridSpan w:val="2"/>
            <w:tcBorders>
              <w:left w:val="single" w:sz="12" w:space="0" w:color="auto"/>
              <w:bottom w:val="single" w:sz="12" w:space="0" w:color="auto"/>
            </w:tcBorders>
          </w:tcPr>
          <w:p w14:paraId="5B5F7BA2" w14:textId="2FEFBC7E" w:rsidR="004B525B" w:rsidRPr="001D081D" w:rsidRDefault="004B525B" w:rsidP="004B525B">
            <w:pPr>
              <w:pStyle w:val="IATableLabel"/>
              <w:rPr>
                <w:rFonts w:cs="Arial"/>
                <w:color w:val="auto"/>
                <w:sz w:val="24"/>
                <w:szCs w:val="24"/>
              </w:rPr>
            </w:pPr>
            <w:r w:rsidRPr="001D081D">
              <w:rPr>
                <w:rFonts w:cs="Arial"/>
                <w:color w:val="auto"/>
                <w:sz w:val="24"/>
                <w:szCs w:val="24"/>
              </w:rPr>
              <w:t>Best BNPV</w:t>
            </w:r>
          </w:p>
        </w:tc>
        <w:tc>
          <w:tcPr>
            <w:tcW w:w="1167" w:type="dxa"/>
            <w:gridSpan w:val="2"/>
            <w:tcBorders>
              <w:bottom w:val="single" w:sz="12" w:space="0" w:color="auto"/>
              <w:right w:val="single" w:sz="12" w:space="0" w:color="auto"/>
            </w:tcBorders>
            <w:shd w:val="clear" w:color="auto" w:fill="auto"/>
          </w:tcPr>
          <w:p w14:paraId="014C7046" w14:textId="25E812FF" w:rsidR="004B525B" w:rsidRPr="001D081D" w:rsidRDefault="007C14D7" w:rsidP="004B525B">
            <w:pPr>
              <w:pStyle w:val="IATableLabel"/>
              <w:jc w:val="right"/>
              <w:rPr>
                <w:rFonts w:cs="Arial"/>
                <w:bCs/>
                <w:color w:val="auto"/>
                <w:sz w:val="24"/>
                <w:szCs w:val="24"/>
              </w:rPr>
            </w:pPr>
            <w:r w:rsidRPr="008524D4">
              <w:rPr>
                <w:rFonts w:cs="Arial"/>
                <w:color w:val="auto"/>
                <w:sz w:val="24"/>
                <w:szCs w:val="24"/>
              </w:rPr>
              <w:t>-8</w:t>
            </w:r>
            <w:r w:rsidR="00E25B74" w:rsidRPr="008524D4">
              <w:rPr>
                <w:rFonts w:cs="Arial"/>
                <w:color w:val="auto"/>
                <w:sz w:val="24"/>
                <w:szCs w:val="24"/>
              </w:rPr>
              <w:t>74</w:t>
            </w:r>
          </w:p>
        </w:tc>
      </w:tr>
    </w:tbl>
    <w:p w14:paraId="602B3431" w14:textId="747E3782" w:rsidR="00D635D0" w:rsidRPr="001D081D" w:rsidRDefault="00D635D0" w:rsidP="005A3880">
      <w:pPr>
        <w:pStyle w:val="IASpacer"/>
        <w:rPr>
          <w:rFonts w:cs="Arial"/>
          <w:sz w:val="24"/>
        </w:rPr>
      </w:pPr>
    </w:p>
    <w:tbl>
      <w:tblPr>
        <w:tblStyle w:val="TableGrid"/>
        <w:tblpPr w:leftFromText="180" w:rightFromText="180" w:vertAnchor="text" w:horzAnchor="margin" w:tblpY="80"/>
        <w:tblW w:w="10343" w:type="dxa"/>
        <w:tblLayout w:type="fixed"/>
        <w:tblLook w:val="01E0" w:firstRow="1" w:lastRow="1" w:firstColumn="1" w:lastColumn="1" w:noHBand="0" w:noVBand="0"/>
      </w:tblPr>
      <w:tblGrid>
        <w:gridCol w:w="1980"/>
        <w:gridCol w:w="1559"/>
        <w:gridCol w:w="1843"/>
        <w:gridCol w:w="1843"/>
        <w:gridCol w:w="1559"/>
        <w:gridCol w:w="1559"/>
      </w:tblGrid>
      <w:tr w:rsidR="001D081D" w:rsidRPr="001D081D" w14:paraId="156F4FCB" w14:textId="77777777" w:rsidTr="0029116F">
        <w:trPr>
          <w:trHeight w:hRule="exact" w:val="573"/>
        </w:trPr>
        <w:tc>
          <w:tcPr>
            <w:tcW w:w="1980" w:type="dxa"/>
            <w:vAlign w:val="center"/>
          </w:tcPr>
          <w:p w14:paraId="1FE48BCC" w14:textId="6B7C454F" w:rsidR="00E1025B" w:rsidRPr="001D081D" w:rsidRDefault="00E1025B" w:rsidP="002A010C">
            <w:pPr>
              <w:pStyle w:val="IATableLabel"/>
              <w:spacing w:before="20" w:after="20"/>
              <w:rPr>
                <w:rFonts w:cs="Arial"/>
                <w:color w:val="auto"/>
                <w:sz w:val="24"/>
                <w:szCs w:val="24"/>
              </w:rPr>
            </w:pPr>
            <w:bookmarkStart w:id="7" w:name="_Hlk117861980"/>
            <w:r w:rsidRPr="001D081D">
              <w:rPr>
                <w:rFonts w:cs="Arial"/>
                <w:color w:val="auto"/>
                <w:sz w:val="24"/>
                <w:szCs w:val="24"/>
              </w:rPr>
              <w:t>COSTS</w:t>
            </w:r>
            <w:r w:rsidR="00246E82" w:rsidRPr="001D081D">
              <w:rPr>
                <w:rFonts w:cs="Arial"/>
                <w:color w:val="auto"/>
                <w:sz w:val="24"/>
                <w:szCs w:val="24"/>
              </w:rPr>
              <w:t xml:space="preserve">, </w:t>
            </w:r>
            <w:r w:rsidRPr="001D081D">
              <w:rPr>
                <w:rFonts w:cs="Arial"/>
                <w:color w:val="auto"/>
                <w:sz w:val="24"/>
                <w:szCs w:val="24"/>
              </w:rPr>
              <w:t>£m</w:t>
            </w:r>
          </w:p>
        </w:tc>
        <w:tc>
          <w:tcPr>
            <w:tcW w:w="1559" w:type="dxa"/>
            <w:vAlign w:val="center"/>
          </w:tcPr>
          <w:p w14:paraId="6026A04B" w14:textId="128CD383" w:rsidR="00E1025B" w:rsidRPr="0029116F" w:rsidRDefault="00E1025B" w:rsidP="002A010C">
            <w:pPr>
              <w:pStyle w:val="IATableLabel"/>
              <w:tabs>
                <w:tab w:val="right" w:pos="1800"/>
                <w:tab w:val="center" w:pos="2340"/>
              </w:tabs>
              <w:spacing w:before="20" w:after="20"/>
              <w:ind w:left="28"/>
              <w:jc w:val="right"/>
              <w:rPr>
                <w:rFonts w:cs="Arial"/>
                <w:color w:val="auto"/>
              </w:rPr>
            </w:pPr>
            <w:r w:rsidRPr="0029116F">
              <w:rPr>
                <w:rFonts w:cs="Arial"/>
                <w:color w:val="auto"/>
              </w:rPr>
              <w:t xml:space="preserve">Transition </w:t>
            </w:r>
            <w:r w:rsidRPr="0029116F">
              <w:rPr>
                <w:rFonts w:cs="Arial"/>
                <w:b w:val="0"/>
                <w:color w:val="auto"/>
                <w:sz w:val="18"/>
                <w:szCs w:val="18"/>
              </w:rPr>
              <w:t>Constant Price</w:t>
            </w:r>
          </w:p>
        </w:tc>
        <w:tc>
          <w:tcPr>
            <w:tcW w:w="1843" w:type="dxa"/>
            <w:vAlign w:val="center"/>
          </w:tcPr>
          <w:p w14:paraId="1ACEC0D6" w14:textId="48FCA43B" w:rsidR="00E1025B" w:rsidRPr="0029116F" w:rsidRDefault="00E1025B" w:rsidP="002A010C">
            <w:pPr>
              <w:pStyle w:val="IATableLabel"/>
              <w:spacing w:before="20" w:after="20"/>
              <w:ind w:left="0"/>
              <w:jc w:val="right"/>
              <w:rPr>
                <w:rFonts w:cs="Arial"/>
                <w:bCs/>
                <w:color w:val="auto"/>
              </w:rPr>
            </w:pPr>
            <w:r w:rsidRPr="0029116F">
              <w:rPr>
                <w:rFonts w:cs="Arial"/>
                <w:bCs/>
                <w:color w:val="auto"/>
              </w:rPr>
              <w:t>Ongoing</w:t>
            </w:r>
          </w:p>
          <w:p w14:paraId="44E03AC2" w14:textId="7C604651" w:rsidR="00E1025B" w:rsidRPr="0029116F" w:rsidRDefault="00A368BF" w:rsidP="002A010C">
            <w:pPr>
              <w:pStyle w:val="IATableLabel"/>
              <w:spacing w:before="20" w:after="20"/>
              <w:ind w:left="0"/>
              <w:jc w:val="right"/>
              <w:rPr>
                <w:rFonts w:cs="Arial"/>
                <w:b w:val="0"/>
                <w:bCs/>
                <w:color w:val="auto"/>
              </w:rPr>
            </w:pPr>
            <w:r w:rsidRPr="0029116F">
              <w:rPr>
                <w:rFonts w:cs="Arial"/>
                <w:b w:val="0"/>
                <w:bCs/>
                <w:color w:val="auto"/>
                <w:sz w:val="18"/>
                <w:szCs w:val="18"/>
              </w:rPr>
              <w:t>Present Value</w:t>
            </w:r>
          </w:p>
        </w:tc>
        <w:tc>
          <w:tcPr>
            <w:tcW w:w="1843" w:type="dxa"/>
            <w:vAlign w:val="center"/>
          </w:tcPr>
          <w:p w14:paraId="0B9B9E0B" w14:textId="4558D36C" w:rsidR="00E1025B" w:rsidRPr="0029116F" w:rsidRDefault="00E1025B" w:rsidP="002A010C">
            <w:pPr>
              <w:pStyle w:val="IATableLabel"/>
              <w:spacing w:before="20" w:after="20"/>
              <w:ind w:left="0"/>
              <w:jc w:val="right"/>
              <w:rPr>
                <w:rFonts w:cs="Arial"/>
                <w:b w:val="0"/>
                <w:color w:val="auto"/>
              </w:rPr>
            </w:pPr>
            <w:r w:rsidRPr="0029116F">
              <w:rPr>
                <w:rFonts w:cs="Arial"/>
                <w:color w:val="auto"/>
              </w:rPr>
              <w:t>Total</w:t>
            </w:r>
          </w:p>
          <w:p w14:paraId="5C9EBC13" w14:textId="72FBBB27" w:rsidR="00E1025B" w:rsidRPr="0029116F" w:rsidRDefault="00E1025B" w:rsidP="002A010C">
            <w:pPr>
              <w:pStyle w:val="IATableLabel"/>
              <w:spacing w:before="20" w:after="20"/>
              <w:ind w:left="0"/>
              <w:jc w:val="right"/>
              <w:rPr>
                <w:rFonts w:cs="Arial"/>
                <w:color w:val="auto"/>
              </w:rPr>
            </w:pPr>
            <w:r w:rsidRPr="0029116F">
              <w:rPr>
                <w:rFonts w:cs="Arial"/>
                <w:b w:val="0"/>
                <w:color w:val="auto"/>
                <w:sz w:val="18"/>
                <w:szCs w:val="18"/>
              </w:rPr>
              <w:t>Present Value</w:t>
            </w:r>
          </w:p>
        </w:tc>
        <w:tc>
          <w:tcPr>
            <w:tcW w:w="1559" w:type="dxa"/>
            <w:tcBorders>
              <w:right w:val="single" w:sz="12" w:space="0" w:color="auto"/>
            </w:tcBorders>
            <w:vAlign w:val="center"/>
          </w:tcPr>
          <w:p w14:paraId="245DA29F" w14:textId="77777777" w:rsidR="00E1025B" w:rsidRPr="0029116F" w:rsidRDefault="00E1025B" w:rsidP="002A010C">
            <w:pPr>
              <w:pStyle w:val="IATableLabel"/>
              <w:spacing w:before="20" w:after="20"/>
              <w:ind w:left="0"/>
              <w:jc w:val="right"/>
              <w:rPr>
                <w:rFonts w:cs="Arial"/>
                <w:color w:val="auto"/>
              </w:rPr>
            </w:pPr>
            <w:r w:rsidRPr="0029116F">
              <w:rPr>
                <w:rFonts w:cs="Arial"/>
                <w:color w:val="auto"/>
              </w:rPr>
              <w:t>Average</w:t>
            </w:r>
            <w:r w:rsidR="00246E82" w:rsidRPr="0029116F">
              <w:rPr>
                <w:rFonts w:cs="Arial"/>
                <w:color w:val="auto"/>
              </w:rPr>
              <w:t>/year</w:t>
            </w:r>
          </w:p>
          <w:p w14:paraId="1F066DE5" w14:textId="140024C6" w:rsidR="00246E82" w:rsidRPr="0029116F" w:rsidRDefault="00246E82" w:rsidP="002A010C">
            <w:pPr>
              <w:pStyle w:val="IATableLabel"/>
              <w:spacing w:before="20" w:after="20"/>
              <w:ind w:left="0"/>
              <w:jc w:val="right"/>
              <w:rPr>
                <w:rFonts w:cs="Arial"/>
                <w:b w:val="0"/>
                <w:color w:val="auto"/>
              </w:rPr>
            </w:pPr>
            <w:r w:rsidRPr="0029116F">
              <w:rPr>
                <w:rFonts w:cs="Arial"/>
                <w:b w:val="0"/>
                <w:color w:val="auto"/>
                <w:sz w:val="18"/>
                <w:szCs w:val="18"/>
              </w:rPr>
              <w:t>Constant Price</w:t>
            </w:r>
          </w:p>
        </w:tc>
        <w:tc>
          <w:tcPr>
            <w:tcW w:w="1559" w:type="dxa"/>
            <w:tcBorders>
              <w:left w:val="single" w:sz="12" w:space="0" w:color="auto"/>
            </w:tcBorders>
            <w:vAlign w:val="center"/>
          </w:tcPr>
          <w:p w14:paraId="58B8C922" w14:textId="0FBBE9F0" w:rsidR="00E1025B" w:rsidRPr="0029116F" w:rsidRDefault="00246E82" w:rsidP="002A010C">
            <w:pPr>
              <w:pStyle w:val="IATableLabel"/>
              <w:spacing w:before="20" w:after="20"/>
              <w:ind w:left="-105" w:right="57"/>
              <w:jc w:val="right"/>
              <w:rPr>
                <w:rFonts w:cs="Arial"/>
                <w:color w:val="auto"/>
              </w:rPr>
            </w:pPr>
            <w:r w:rsidRPr="0029116F">
              <w:rPr>
                <w:rFonts w:cs="Arial"/>
                <w:color w:val="auto"/>
              </w:rPr>
              <w:t xml:space="preserve">To </w:t>
            </w:r>
            <w:r w:rsidR="00E1025B" w:rsidRPr="0029116F">
              <w:rPr>
                <w:rFonts w:cs="Arial"/>
                <w:color w:val="auto"/>
              </w:rPr>
              <w:t>Business</w:t>
            </w:r>
          </w:p>
          <w:p w14:paraId="693AF253" w14:textId="3219DAF1" w:rsidR="00E1025B" w:rsidRPr="0029116F" w:rsidRDefault="00E1025B" w:rsidP="002A010C">
            <w:pPr>
              <w:pStyle w:val="IATableLabel"/>
              <w:spacing w:before="20" w:after="20"/>
              <w:ind w:left="-105" w:right="57"/>
              <w:jc w:val="right"/>
              <w:rPr>
                <w:rFonts w:cs="Arial"/>
                <w:b w:val="0"/>
                <w:color w:val="auto"/>
              </w:rPr>
            </w:pPr>
            <w:r w:rsidRPr="0029116F">
              <w:rPr>
                <w:rFonts w:cs="Arial"/>
                <w:b w:val="0"/>
                <w:color w:val="auto"/>
                <w:sz w:val="18"/>
                <w:szCs w:val="18"/>
              </w:rPr>
              <w:t>Present Value</w:t>
            </w:r>
          </w:p>
        </w:tc>
      </w:tr>
      <w:tr w:rsidR="001D081D" w:rsidRPr="001D081D" w14:paraId="1F60A0C2" w14:textId="77777777" w:rsidTr="00246E82">
        <w:trPr>
          <w:trHeight w:hRule="exact" w:val="348"/>
        </w:trPr>
        <w:tc>
          <w:tcPr>
            <w:tcW w:w="1980" w:type="dxa"/>
          </w:tcPr>
          <w:p w14:paraId="563F561D" w14:textId="28143660" w:rsidR="00A955B1" w:rsidRPr="00B17BC0" w:rsidRDefault="00A955B1" w:rsidP="00A955B1">
            <w:pPr>
              <w:pStyle w:val="IATableLabel"/>
              <w:rPr>
                <w:rFonts w:cs="Arial"/>
                <w:color w:val="auto"/>
                <w:sz w:val="24"/>
                <w:szCs w:val="24"/>
              </w:rPr>
            </w:pPr>
            <w:r w:rsidRPr="00B17BC0">
              <w:rPr>
                <w:rFonts w:cs="Arial"/>
                <w:color w:val="auto"/>
                <w:sz w:val="24"/>
                <w:szCs w:val="24"/>
              </w:rPr>
              <w:t>Low</w:t>
            </w:r>
          </w:p>
        </w:tc>
        <w:tc>
          <w:tcPr>
            <w:tcW w:w="1559" w:type="dxa"/>
          </w:tcPr>
          <w:p w14:paraId="56D77146" w14:textId="4D93FF06" w:rsidR="00A955B1" w:rsidRPr="00B17BC0" w:rsidRDefault="009E6561" w:rsidP="00A955B1">
            <w:pPr>
              <w:pStyle w:val="POTTCostsHigh"/>
              <w:jc w:val="center"/>
              <w:rPr>
                <w:rFonts w:cs="Arial"/>
                <w:b/>
                <w:bCs/>
                <w:sz w:val="24"/>
                <w:szCs w:val="24"/>
              </w:rPr>
            </w:pPr>
            <w:r w:rsidRPr="00B17BC0">
              <w:rPr>
                <w:rFonts w:cs="Arial"/>
                <w:b/>
                <w:bCs/>
                <w:sz w:val="24"/>
                <w:szCs w:val="24"/>
              </w:rPr>
              <w:t>4</w:t>
            </w:r>
            <w:r w:rsidR="001E0192">
              <w:rPr>
                <w:rFonts w:cs="Arial"/>
                <w:b/>
                <w:bCs/>
                <w:sz w:val="24"/>
                <w:szCs w:val="24"/>
              </w:rPr>
              <w:t>21</w:t>
            </w:r>
          </w:p>
        </w:tc>
        <w:tc>
          <w:tcPr>
            <w:tcW w:w="1843" w:type="dxa"/>
          </w:tcPr>
          <w:p w14:paraId="222162FF" w14:textId="79FCA576" w:rsidR="00A955B1" w:rsidRPr="00B17BC0" w:rsidRDefault="00F60064" w:rsidP="00A955B1">
            <w:pPr>
              <w:pStyle w:val="POAACostsHigh"/>
              <w:jc w:val="center"/>
              <w:rPr>
                <w:rFonts w:cs="Arial"/>
                <w:b/>
                <w:bCs/>
                <w:sz w:val="24"/>
                <w:szCs w:val="24"/>
              </w:rPr>
            </w:pPr>
            <w:r w:rsidRPr="00B17BC0">
              <w:rPr>
                <w:rFonts w:cs="Arial"/>
                <w:b/>
                <w:bCs/>
                <w:sz w:val="24"/>
                <w:szCs w:val="24"/>
              </w:rPr>
              <w:t>3</w:t>
            </w:r>
            <w:r w:rsidR="00CD1845">
              <w:rPr>
                <w:rFonts w:cs="Arial"/>
                <w:b/>
                <w:bCs/>
                <w:sz w:val="24"/>
                <w:szCs w:val="24"/>
              </w:rPr>
              <w:t>1</w:t>
            </w:r>
            <w:r w:rsidR="001E0192">
              <w:rPr>
                <w:rFonts w:cs="Arial"/>
                <w:b/>
                <w:bCs/>
                <w:sz w:val="24"/>
                <w:szCs w:val="24"/>
              </w:rPr>
              <w:t>9</w:t>
            </w:r>
          </w:p>
        </w:tc>
        <w:tc>
          <w:tcPr>
            <w:tcW w:w="1843" w:type="dxa"/>
          </w:tcPr>
          <w:p w14:paraId="75DF9EEF" w14:textId="4CBA4902" w:rsidR="00A955B1" w:rsidRPr="00B17BC0" w:rsidRDefault="00F60064" w:rsidP="00A955B1">
            <w:pPr>
              <w:pStyle w:val="POTCCostsHigh"/>
              <w:jc w:val="center"/>
              <w:rPr>
                <w:rFonts w:cs="Arial"/>
                <w:bCs/>
                <w:sz w:val="24"/>
                <w:szCs w:val="24"/>
              </w:rPr>
            </w:pPr>
            <w:r w:rsidRPr="00B17BC0">
              <w:rPr>
                <w:rFonts w:cs="Arial"/>
                <w:bCs/>
                <w:sz w:val="24"/>
                <w:szCs w:val="24"/>
              </w:rPr>
              <w:t>7</w:t>
            </w:r>
            <w:r w:rsidR="00AA0E9D">
              <w:rPr>
                <w:rFonts w:cs="Arial"/>
                <w:bCs/>
                <w:sz w:val="24"/>
                <w:szCs w:val="24"/>
              </w:rPr>
              <w:t>40</w:t>
            </w:r>
          </w:p>
        </w:tc>
        <w:tc>
          <w:tcPr>
            <w:tcW w:w="1559" w:type="dxa"/>
            <w:tcBorders>
              <w:right w:val="single" w:sz="12" w:space="0" w:color="auto"/>
            </w:tcBorders>
          </w:tcPr>
          <w:p w14:paraId="1EE12FE9" w14:textId="09DB967F" w:rsidR="00A955B1" w:rsidRPr="006038A6" w:rsidRDefault="00A466F7" w:rsidP="00A955B1">
            <w:pPr>
              <w:pStyle w:val="POTCCostsHigh"/>
              <w:jc w:val="center"/>
              <w:rPr>
                <w:rFonts w:cs="Arial"/>
                <w:sz w:val="24"/>
                <w:szCs w:val="24"/>
              </w:rPr>
            </w:pPr>
            <w:r w:rsidRPr="008524D4">
              <w:rPr>
                <w:rFonts w:cs="Arial"/>
                <w:sz w:val="24"/>
                <w:szCs w:val="24"/>
              </w:rPr>
              <w:t>38</w:t>
            </w:r>
          </w:p>
        </w:tc>
        <w:tc>
          <w:tcPr>
            <w:tcW w:w="1559" w:type="dxa"/>
            <w:tcBorders>
              <w:left w:val="single" w:sz="12" w:space="0" w:color="auto"/>
            </w:tcBorders>
          </w:tcPr>
          <w:p w14:paraId="3FF7C580" w14:textId="43393CC4" w:rsidR="00A955B1" w:rsidRPr="000E54AA" w:rsidRDefault="00A955B1" w:rsidP="00A955B1">
            <w:pPr>
              <w:pStyle w:val="POTCCostsHigh"/>
              <w:jc w:val="center"/>
              <w:rPr>
                <w:rFonts w:cs="Arial"/>
                <w:bCs/>
                <w:sz w:val="24"/>
                <w:szCs w:val="24"/>
              </w:rPr>
            </w:pPr>
            <w:r w:rsidRPr="000E54AA">
              <w:rPr>
                <w:rFonts w:cs="Arial"/>
                <w:bCs/>
                <w:sz w:val="24"/>
                <w:szCs w:val="24"/>
              </w:rPr>
              <w:t>7</w:t>
            </w:r>
            <w:r w:rsidR="00AA0E9D">
              <w:rPr>
                <w:rFonts w:cs="Arial"/>
                <w:bCs/>
                <w:sz w:val="24"/>
                <w:szCs w:val="24"/>
              </w:rPr>
              <w:t>40</w:t>
            </w:r>
          </w:p>
        </w:tc>
      </w:tr>
      <w:tr w:rsidR="001D081D" w:rsidRPr="001D081D" w14:paraId="63BAF737" w14:textId="77777777" w:rsidTr="07BEFC36">
        <w:trPr>
          <w:trHeight w:val="405"/>
        </w:trPr>
        <w:tc>
          <w:tcPr>
            <w:tcW w:w="1980" w:type="dxa"/>
          </w:tcPr>
          <w:p w14:paraId="61D26DB6" w14:textId="77777777" w:rsidR="00A955B1" w:rsidRPr="001D081D" w:rsidRDefault="00A955B1" w:rsidP="00A955B1">
            <w:pPr>
              <w:pStyle w:val="IATableLabel"/>
              <w:rPr>
                <w:rFonts w:cs="Arial"/>
                <w:color w:val="auto"/>
                <w:sz w:val="24"/>
                <w:szCs w:val="24"/>
              </w:rPr>
            </w:pPr>
            <w:r w:rsidRPr="001D081D">
              <w:rPr>
                <w:rFonts w:cs="Arial"/>
                <w:color w:val="auto"/>
                <w:sz w:val="24"/>
                <w:szCs w:val="24"/>
              </w:rPr>
              <w:t xml:space="preserve">High </w:t>
            </w:r>
          </w:p>
        </w:tc>
        <w:tc>
          <w:tcPr>
            <w:tcW w:w="1559" w:type="dxa"/>
          </w:tcPr>
          <w:p w14:paraId="60C7CE29" w14:textId="73522227" w:rsidR="00A955B1" w:rsidRPr="00D1428E" w:rsidRDefault="00A955B1" w:rsidP="00A955B1">
            <w:pPr>
              <w:pStyle w:val="POTTCostsHigh"/>
              <w:jc w:val="center"/>
              <w:rPr>
                <w:rFonts w:cs="Arial"/>
                <w:b/>
                <w:bCs/>
                <w:sz w:val="24"/>
                <w:szCs w:val="24"/>
              </w:rPr>
            </w:pPr>
            <w:r w:rsidRPr="00D1428E">
              <w:rPr>
                <w:rFonts w:cs="Arial"/>
                <w:b/>
                <w:bCs/>
                <w:sz w:val="24"/>
                <w:szCs w:val="24"/>
              </w:rPr>
              <w:t>5</w:t>
            </w:r>
            <w:r w:rsidR="00AA0E9D">
              <w:rPr>
                <w:rFonts w:cs="Arial"/>
                <w:b/>
                <w:bCs/>
                <w:sz w:val="24"/>
                <w:szCs w:val="24"/>
              </w:rPr>
              <w:t>52</w:t>
            </w:r>
          </w:p>
        </w:tc>
        <w:tc>
          <w:tcPr>
            <w:tcW w:w="1843" w:type="dxa"/>
          </w:tcPr>
          <w:p w14:paraId="75D3B54B" w14:textId="2F458B40" w:rsidR="00A955B1" w:rsidRPr="00D1428E" w:rsidRDefault="009B3A84" w:rsidP="00A955B1">
            <w:pPr>
              <w:pStyle w:val="POAACostsHigh"/>
              <w:jc w:val="center"/>
              <w:rPr>
                <w:rFonts w:cs="Arial"/>
                <w:b/>
                <w:bCs/>
                <w:sz w:val="24"/>
                <w:szCs w:val="24"/>
              </w:rPr>
            </w:pPr>
            <w:r>
              <w:rPr>
                <w:rFonts w:cs="Arial"/>
                <w:b/>
                <w:bCs/>
                <w:sz w:val="24"/>
                <w:szCs w:val="24"/>
              </w:rPr>
              <w:t>4</w:t>
            </w:r>
            <w:r w:rsidR="00AA0E9D">
              <w:rPr>
                <w:rFonts w:cs="Arial"/>
                <w:b/>
                <w:bCs/>
                <w:sz w:val="24"/>
                <w:szCs w:val="24"/>
              </w:rPr>
              <w:t>55</w:t>
            </w:r>
          </w:p>
        </w:tc>
        <w:tc>
          <w:tcPr>
            <w:tcW w:w="1843" w:type="dxa"/>
          </w:tcPr>
          <w:p w14:paraId="6F0AFA92" w14:textId="482932F2" w:rsidR="00A955B1" w:rsidRPr="00D1428E" w:rsidRDefault="00AA0E9D" w:rsidP="00A955B1">
            <w:pPr>
              <w:pStyle w:val="POTCCostsHigh"/>
              <w:jc w:val="center"/>
              <w:rPr>
                <w:rFonts w:cs="Arial"/>
                <w:bCs/>
                <w:sz w:val="24"/>
                <w:szCs w:val="24"/>
              </w:rPr>
            </w:pPr>
            <w:r>
              <w:rPr>
                <w:rFonts w:cs="Arial"/>
                <w:bCs/>
                <w:sz w:val="24"/>
                <w:szCs w:val="24"/>
              </w:rPr>
              <w:t>1,</w:t>
            </w:r>
            <w:r w:rsidRPr="008524D4">
              <w:rPr>
                <w:rFonts w:cs="Arial"/>
                <w:bCs/>
                <w:sz w:val="24"/>
                <w:szCs w:val="24"/>
              </w:rPr>
              <w:t>007</w:t>
            </w:r>
          </w:p>
        </w:tc>
        <w:tc>
          <w:tcPr>
            <w:tcW w:w="1559" w:type="dxa"/>
            <w:tcBorders>
              <w:right w:val="single" w:sz="12" w:space="0" w:color="auto"/>
            </w:tcBorders>
          </w:tcPr>
          <w:p w14:paraId="0889A50B" w14:textId="2463E1E0" w:rsidR="00A955B1" w:rsidRPr="006038A6" w:rsidRDefault="00F36057" w:rsidP="00A955B1">
            <w:pPr>
              <w:pStyle w:val="POTCCostsHigh"/>
              <w:jc w:val="center"/>
              <w:rPr>
                <w:rFonts w:cs="Arial"/>
                <w:sz w:val="24"/>
                <w:szCs w:val="24"/>
              </w:rPr>
            </w:pPr>
            <w:r w:rsidRPr="008524D4">
              <w:rPr>
                <w:rFonts w:cs="Arial"/>
                <w:sz w:val="24"/>
                <w:szCs w:val="24"/>
              </w:rPr>
              <w:t>5</w:t>
            </w:r>
            <w:r w:rsidR="00A466F7" w:rsidRPr="008524D4">
              <w:rPr>
                <w:rFonts w:cs="Arial"/>
                <w:sz w:val="24"/>
                <w:szCs w:val="24"/>
              </w:rPr>
              <w:t>4</w:t>
            </w:r>
          </w:p>
        </w:tc>
        <w:tc>
          <w:tcPr>
            <w:tcW w:w="1559" w:type="dxa"/>
            <w:tcBorders>
              <w:left w:val="single" w:sz="12" w:space="0" w:color="auto"/>
            </w:tcBorders>
          </w:tcPr>
          <w:p w14:paraId="55DEE9C4" w14:textId="4BFE54AE" w:rsidR="00A955B1" w:rsidRPr="000E54AA" w:rsidRDefault="00AA0E9D" w:rsidP="00A955B1">
            <w:pPr>
              <w:pStyle w:val="POTCCostsHigh"/>
              <w:jc w:val="center"/>
              <w:rPr>
                <w:rFonts w:cs="Arial"/>
                <w:bCs/>
                <w:sz w:val="24"/>
                <w:szCs w:val="24"/>
              </w:rPr>
            </w:pPr>
            <w:r w:rsidRPr="008524D4">
              <w:rPr>
                <w:rFonts w:cs="Arial"/>
                <w:bCs/>
                <w:sz w:val="24"/>
                <w:szCs w:val="24"/>
              </w:rPr>
              <w:t>1,007</w:t>
            </w:r>
          </w:p>
        </w:tc>
      </w:tr>
      <w:tr w:rsidR="001D081D" w:rsidRPr="001D081D" w14:paraId="7FDCBF78" w14:textId="77777777" w:rsidTr="00A55741">
        <w:trPr>
          <w:trHeight w:hRule="exact" w:val="524"/>
        </w:trPr>
        <w:tc>
          <w:tcPr>
            <w:tcW w:w="1980" w:type="dxa"/>
          </w:tcPr>
          <w:p w14:paraId="371AFDC6" w14:textId="5A2697E6" w:rsidR="00A955B1" w:rsidRPr="00DD42BB" w:rsidRDefault="00A955B1" w:rsidP="00DD42BB">
            <w:pPr>
              <w:pStyle w:val="IATableNotes"/>
              <w:spacing w:beforeLines="40" w:before="96"/>
              <w:ind w:left="0" w:right="-22"/>
              <w:rPr>
                <w:rFonts w:cs="Arial"/>
                <w:b/>
                <w:bCs/>
                <w:sz w:val="24"/>
                <w:szCs w:val="24"/>
              </w:rPr>
            </w:pPr>
            <w:r w:rsidRPr="00DD42BB">
              <w:rPr>
                <w:rFonts w:cs="Arial"/>
                <w:b/>
                <w:bCs/>
                <w:sz w:val="24"/>
                <w:szCs w:val="24"/>
              </w:rPr>
              <w:t>Best Estimate</w:t>
            </w:r>
          </w:p>
        </w:tc>
        <w:tc>
          <w:tcPr>
            <w:tcW w:w="1559" w:type="dxa"/>
          </w:tcPr>
          <w:p w14:paraId="21866DF2" w14:textId="77036AD4" w:rsidR="00A955B1" w:rsidRPr="001958E9" w:rsidRDefault="00A955B1" w:rsidP="00A955B1">
            <w:pPr>
              <w:pStyle w:val="POTTCostsBest"/>
              <w:jc w:val="center"/>
              <w:rPr>
                <w:rFonts w:cs="Arial"/>
                <w:b/>
                <w:bCs/>
                <w:sz w:val="24"/>
                <w:szCs w:val="24"/>
              </w:rPr>
            </w:pPr>
            <w:r w:rsidRPr="008524D4">
              <w:rPr>
                <w:rFonts w:cs="Arial"/>
                <w:b/>
                <w:bCs/>
                <w:sz w:val="24"/>
                <w:szCs w:val="24"/>
              </w:rPr>
              <w:t>4</w:t>
            </w:r>
            <w:r w:rsidR="00AA0E9D" w:rsidRPr="008524D4">
              <w:rPr>
                <w:rFonts w:cs="Arial"/>
                <w:b/>
                <w:bCs/>
                <w:sz w:val="24"/>
                <w:szCs w:val="24"/>
              </w:rPr>
              <w:t>88</w:t>
            </w:r>
          </w:p>
        </w:tc>
        <w:tc>
          <w:tcPr>
            <w:tcW w:w="1843" w:type="dxa"/>
          </w:tcPr>
          <w:p w14:paraId="291D69C1" w14:textId="59263C21" w:rsidR="00A955B1" w:rsidRPr="001958E9" w:rsidRDefault="00F96B2B" w:rsidP="00A955B1">
            <w:pPr>
              <w:pStyle w:val="POAACostsBest"/>
              <w:jc w:val="center"/>
              <w:rPr>
                <w:rFonts w:cs="Arial"/>
                <w:b/>
                <w:bCs/>
                <w:sz w:val="24"/>
                <w:szCs w:val="24"/>
              </w:rPr>
            </w:pPr>
            <w:r w:rsidRPr="008524D4">
              <w:rPr>
                <w:rFonts w:cs="Arial"/>
                <w:b/>
                <w:bCs/>
                <w:sz w:val="24"/>
                <w:szCs w:val="24"/>
              </w:rPr>
              <w:t>3</w:t>
            </w:r>
            <w:r w:rsidR="00847C58" w:rsidRPr="008524D4">
              <w:rPr>
                <w:rFonts w:cs="Arial"/>
                <w:b/>
                <w:bCs/>
                <w:sz w:val="24"/>
                <w:szCs w:val="24"/>
              </w:rPr>
              <w:t>87</w:t>
            </w:r>
          </w:p>
        </w:tc>
        <w:tc>
          <w:tcPr>
            <w:tcW w:w="1843" w:type="dxa"/>
          </w:tcPr>
          <w:p w14:paraId="744B1B58" w14:textId="0EF8C2D1" w:rsidR="00A955B1" w:rsidRPr="001958E9" w:rsidRDefault="00A955B1" w:rsidP="00A955B1">
            <w:pPr>
              <w:pStyle w:val="POTCCostsBest"/>
              <w:jc w:val="center"/>
              <w:rPr>
                <w:rFonts w:cs="Arial"/>
                <w:bCs/>
                <w:sz w:val="24"/>
                <w:szCs w:val="24"/>
              </w:rPr>
            </w:pPr>
            <w:r w:rsidRPr="001958E9">
              <w:rPr>
                <w:rFonts w:cs="Arial"/>
                <w:bCs/>
                <w:sz w:val="24"/>
                <w:szCs w:val="24"/>
              </w:rPr>
              <w:t>8</w:t>
            </w:r>
            <w:r w:rsidR="00AA0E9D">
              <w:rPr>
                <w:rFonts w:cs="Arial"/>
                <w:bCs/>
                <w:sz w:val="24"/>
                <w:szCs w:val="24"/>
              </w:rPr>
              <w:t>74</w:t>
            </w:r>
          </w:p>
        </w:tc>
        <w:tc>
          <w:tcPr>
            <w:tcW w:w="1559" w:type="dxa"/>
            <w:tcBorders>
              <w:right w:val="single" w:sz="12" w:space="0" w:color="auto"/>
            </w:tcBorders>
          </w:tcPr>
          <w:p w14:paraId="4624E8A1" w14:textId="118C77E6" w:rsidR="00A955B1" w:rsidRPr="006038A6" w:rsidRDefault="00B3153B" w:rsidP="00A955B1">
            <w:pPr>
              <w:pStyle w:val="POTCCostsBest"/>
              <w:jc w:val="center"/>
              <w:rPr>
                <w:rFonts w:cs="Arial"/>
                <w:sz w:val="24"/>
                <w:szCs w:val="24"/>
              </w:rPr>
            </w:pPr>
            <w:r w:rsidRPr="008524D4">
              <w:rPr>
                <w:rFonts w:cs="Arial"/>
                <w:sz w:val="24"/>
                <w:szCs w:val="24"/>
              </w:rPr>
              <w:t>4</w:t>
            </w:r>
            <w:r w:rsidR="00A466F7" w:rsidRPr="008524D4">
              <w:rPr>
                <w:rFonts w:cs="Arial"/>
                <w:sz w:val="24"/>
                <w:szCs w:val="24"/>
              </w:rPr>
              <w:t>6</w:t>
            </w:r>
          </w:p>
        </w:tc>
        <w:tc>
          <w:tcPr>
            <w:tcW w:w="1559" w:type="dxa"/>
            <w:tcBorders>
              <w:left w:val="single" w:sz="12" w:space="0" w:color="auto"/>
            </w:tcBorders>
          </w:tcPr>
          <w:p w14:paraId="686EDB37" w14:textId="54E06B93" w:rsidR="00A955B1" w:rsidRPr="000E54AA" w:rsidRDefault="00F64784" w:rsidP="00A955B1">
            <w:pPr>
              <w:pStyle w:val="POTCCostsBest"/>
              <w:jc w:val="center"/>
              <w:rPr>
                <w:rFonts w:cs="Arial"/>
                <w:bCs/>
                <w:sz w:val="24"/>
                <w:szCs w:val="24"/>
              </w:rPr>
            </w:pPr>
            <w:r w:rsidRPr="008524D4">
              <w:rPr>
                <w:rFonts w:cs="Arial"/>
                <w:bCs/>
                <w:sz w:val="24"/>
                <w:szCs w:val="24"/>
              </w:rPr>
              <w:t>8</w:t>
            </w:r>
            <w:r w:rsidR="00AA0E9D" w:rsidRPr="008524D4">
              <w:rPr>
                <w:rFonts w:cs="Arial"/>
                <w:bCs/>
                <w:sz w:val="24"/>
                <w:szCs w:val="24"/>
              </w:rPr>
              <w:t>74</w:t>
            </w:r>
          </w:p>
        </w:tc>
      </w:tr>
      <w:bookmarkEnd w:id="7"/>
      <w:tr w:rsidR="001D081D" w:rsidRPr="001D081D" w14:paraId="3910293E" w14:textId="77777777" w:rsidTr="00A55741">
        <w:trPr>
          <w:trHeight w:hRule="exact" w:val="1584"/>
        </w:trPr>
        <w:tc>
          <w:tcPr>
            <w:tcW w:w="10343" w:type="dxa"/>
            <w:gridSpan w:val="6"/>
          </w:tcPr>
          <w:p w14:paraId="52AA4D69" w14:textId="1A6B6774" w:rsidR="005F6D7B" w:rsidRPr="0029116F" w:rsidRDefault="005F6D7B" w:rsidP="005F6D7B">
            <w:pPr>
              <w:pStyle w:val="IAPOQ1"/>
              <w:rPr>
                <w:rFonts w:cs="Arial"/>
                <w:color w:val="auto"/>
              </w:rPr>
            </w:pPr>
            <w:r w:rsidRPr="0029116F">
              <w:rPr>
                <w:rFonts w:cs="Arial"/>
                <w:color w:val="auto"/>
              </w:rPr>
              <w:t>Description and scale of key monetised costs by ‘main affected groups’</w:t>
            </w:r>
          </w:p>
          <w:p w14:paraId="274FBCF1" w14:textId="2612429E" w:rsidR="005F6D7B" w:rsidRPr="001D081D" w:rsidRDefault="0055022C" w:rsidP="00BD519C">
            <w:pPr>
              <w:ind w:left="113" w:right="113"/>
              <w:jc w:val="both"/>
              <w:rPr>
                <w:rFonts w:cs="Arial"/>
              </w:rPr>
            </w:pPr>
            <w:r>
              <w:rPr>
                <w:rFonts w:cs="Arial"/>
              </w:rPr>
              <w:t>The main driver of the</w:t>
            </w:r>
            <w:r w:rsidR="00324D14">
              <w:rPr>
                <w:rFonts w:cs="Arial"/>
              </w:rPr>
              <w:t xml:space="preserve"> overall</w:t>
            </w:r>
            <w:r>
              <w:rPr>
                <w:rFonts w:cs="Arial"/>
              </w:rPr>
              <w:t xml:space="preserve"> costs </w:t>
            </w:r>
            <w:r w:rsidR="004C730E">
              <w:rPr>
                <w:rFonts w:cs="Arial"/>
              </w:rPr>
              <w:t>are training cost</w:t>
            </w:r>
            <w:r w:rsidR="00171A54">
              <w:rPr>
                <w:rFonts w:cs="Arial"/>
              </w:rPr>
              <w:t xml:space="preserve">s, followed by </w:t>
            </w:r>
            <w:r w:rsidR="002A55B0">
              <w:rPr>
                <w:rFonts w:cs="Arial"/>
              </w:rPr>
              <w:t>risk assessment costs, familiarisation costs</w:t>
            </w:r>
            <w:r w:rsidR="009B4F96">
              <w:rPr>
                <w:rFonts w:cs="Arial"/>
              </w:rPr>
              <w:t xml:space="preserve"> and finally communication costs.</w:t>
            </w:r>
            <w:r w:rsidR="009B4F96" w:rsidRPr="007B1A00">
              <w:rPr>
                <w:rFonts w:cs="Arial"/>
              </w:rPr>
              <w:t xml:space="preserve"> Transition</w:t>
            </w:r>
            <w:r w:rsidR="00157209" w:rsidRPr="007B1A00">
              <w:rPr>
                <w:rFonts w:cs="Arial"/>
              </w:rPr>
              <w:t xml:space="preserve"> costs</w:t>
            </w:r>
            <w:r w:rsidR="009B4F96">
              <w:rPr>
                <w:rFonts w:cs="Arial"/>
              </w:rPr>
              <w:t xml:space="preserve"> are</w:t>
            </w:r>
            <w:r w:rsidR="0064170C" w:rsidRPr="007B1A00">
              <w:rPr>
                <w:rFonts w:cs="Arial"/>
              </w:rPr>
              <w:t xml:space="preserve"> </w:t>
            </w:r>
            <w:r>
              <w:rPr>
                <w:rFonts w:cs="Arial"/>
              </w:rPr>
              <w:t>drive</w:t>
            </w:r>
            <w:r w:rsidR="009B4F96">
              <w:rPr>
                <w:rFonts w:cs="Arial"/>
              </w:rPr>
              <w:t>n</w:t>
            </w:r>
            <w:r>
              <w:rPr>
                <w:rFonts w:cs="Arial"/>
              </w:rPr>
              <w:t xml:space="preserve"> </w:t>
            </w:r>
            <w:r w:rsidR="009B4F96">
              <w:rPr>
                <w:rFonts w:cs="Arial"/>
              </w:rPr>
              <w:t>predominately by</w:t>
            </w:r>
            <w:r w:rsidR="0064170C" w:rsidRPr="007B1A00">
              <w:rPr>
                <w:rFonts w:cs="Arial"/>
              </w:rPr>
              <w:t xml:space="preserve"> training costs</w:t>
            </w:r>
            <w:r w:rsidR="00B855C4">
              <w:rPr>
                <w:rFonts w:cs="Arial"/>
              </w:rPr>
              <w:t xml:space="preserve">. </w:t>
            </w:r>
            <w:r w:rsidR="005028AE" w:rsidRPr="007B1A00">
              <w:rPr>
                <w:rFonts w:cs="Arial"/>
              </w:rPr>
              <w:t xml:space="preserve">Ongoing costs </w:t>
            </w:r>
            <w:r w:rsidR="00B855C4">
              <w:rPr>
                <w:rFonts w:cs="Arial"/>
              </w:rPr>
              <w:t xml:space="preserve">are </w:t>
            </w:r>
            <w:r w:rsidR="00886EFC">
              <w:rPr>
                <w:rFonts w:cs="Arial"/>
              </w:rPr>
              <w:t xml:space="preserve">also </w:t>
            </w:r>
            <w:r w:rsidR="00B855C4">
              <w:rPr>
                <w:rFonts w:cs="Arial"/>
              </w:rPr>
              <w:t>mainly driven by training costs</w:t>
            </w:r>
            <w:r w:rsidR="009342FD" w:rsidRPr="007B1A00">
              <w:rPr>
                <w:rFonts w:cs="Arial"/>
              </w:rPr>
              <w:t xml:space="preserve">. </w:t>
            </w:r>
            <w:r w:rsidR="00A0753B" w:rsidRPr="007B1A00">
              <w:rPr>
                <w:rFonts w:cs="Arial"/>
              </w:rPr>
              <w:t>T</w:t>
            </w:r>
            <w:r w:rsidR="002A30BE" w:rsidRPr="007B1A00">
              <w:rPr>
                <w:rFonts w:cs="Arial"/>
              </w:rPr>
              <w:t xml:space="preserve">he main affected </w:t>
            </w:r>
            <w:r w:rsidR="004F3A6A" w:rsidRPr="007B1A00">
              <w:rPr>
                <w:rFonts w:cs="Arial"/>
              </w:rPr>
              <w:t xml:space="preserve">group </w:t>
            </w:r>
            <w:r w:rsidR="00BD519C" w:rsidRPr="007B1A00">
              <w:rPr>
                <w:rFonts w:cs="Arial"/>
              </w:rPr>
              <w:t>is</w:t>
            </w:r>
            <w:r w:rsidR="002A30BE" w:rsidRPr="007B1A00">
              <w:rPr>
                <w:rFonts w:cs="Arial"/>
              </w:rPr>
              <w:t xml:space="preserve"> large corporations</w:t>
            </w:r>
            <w:r w:rsidR="00BD519C" w:rsidRPr="007B1A00">
              <w:rPr>
                <w:rFonts w:cs="Arial"/>
              </w:rPr>
              <w:t>.</w:t>
            </w:r>
          </w:p>
        </w:tc>
      </w:tr>
      <w:tr w:rsidR="001D081D" w:rsidRPr="001D081D" w14:paraId="6EB2D272" w14:textId="77777777" w:rsidTr="003B19D5">
        <w:trPr>
          <w:trHeight w:hRule="exact" w:val="1273"/>
        </w:trPr>
        <w:tc>
          <w:tcPr>
            <w:tcW w:w="10343" w:type="dxa"/>
            <w:gridSpan w:val="6"/>
          </w:tcPr>
          <w:p w14:paraId="3C0AF223" w14:textId="5CF41235" w:rsidR="005F6D7B" w:rsidRPr="0029116F" w:rsidRDefault="005F6D7B" w:rsidP="005F6D7B">
            <w:pPr>
              <w:pStyle w:val="IAPOQ2"/>
              <w:rPr>
                <w:rFonts w:cs="Arial"/>
                <w:color w:val="auto"/>
              </w:rPr>
            </w:pPr>
            <w:r w:rsidRPr="0029116F">
              <w:rPr>
                <w:rFonts w:cs="Arial"/>
                <w:color w:val="auto"/>
              </w:rPr>
              <w:t>Other key non-monetised costs by ‘main affected groups’</w:t>
            </w:r>
          </w:p>
          <w:p w14:paraId="5CD4E71B" w14:textId="7997F0F6" w:rsidR="005F6D7B" w:rsidRPr="001D081D" w:rsidRDefault="003B179A" w:rsidP="002A30BE">
            <w:pPr>
              <w:pStyle w:val="IAPOA1"/>
              <w:spacing w:line="259" w:lineRule="auto"/>
              <w:jc w:val="both"/>
              <w:rPr>
                <w:rFonts w:cs="Arial"/>
                <w:sz w:val="24"/>
                <w:szCs w:val="24"/>
              </w:rPr>
            </w:pPr>
            <w:r>
              <w:rPr>
                <w:rFonts w:cs="Arial"/>
                <w:sz w:val="24"/>
                <w:szCs w:val="24"/>
              </w:rPr>
              <w:t xml:space="preserve">There </w:t>
            </w:r>
            <w:r w:rsidRPr="650981C2">
              <w:rPr>
                <w:rFonts w:cs="Arial"/>
                <w:sz w:val="24"/>
                <w:szCs w:val="24"/>
              </w:rPr>
              <w:t>may</w:t>
            </w:r>
            <w:r w:rsidR="4A201F32" w:rsidRPr="650981C2">
              <w:rPr>
                <w:rFonts w:cs="Arial"/>
                <w:sz w:val="24"/>
                <w:szCs w:val="24"/>
              </w:rPr>
              <w:t xml:space="preserve"> </w:t>
            </w:r>
            <w:r w:rsidRPr="650981C2">
              <w:rPr>
                <w:rFonts w:cs="Arial"/>
                <w:sz w:val="24"/>
                <w:szCs w:val="24"/>
              </w:rPr>
              <w:t>be</w:t>
            </w:r>
            <w:r>
              <w:rPr>
                <w:rFonts w:cs="Arial"/>
                <w:sz w:val="24"/>
                <w:szCs w:val="24"/>
              </w:rPr>
              <w:t xml:space="preserve"> increased criminal justice system costs</w:t>
            </w:r>
            <w:r w:rsidR="0029770F" w:rsidRPr="001D081D">
              <w:rPr>
                <w:rFonts w:cs="Arial"/>
                <w:sz w:val="24"/>
                <w:szCs w:val="24"/>
              </w:rPr>
              <w:t>.</w:t>
            </w:r>
            <w:r w:rsidR="00B044DC" w:rsidRPr="001D081D">
              <w:rPr>
                <w:rFonts w:cs="Arial"/>
                <w:sz w:val="24"/>
                <w:szCs w:val="24"/>
              </w:rPr>
              <w:t xml:space="preserve"> </w:t>
            </w:r>
            <w:r w:rsidR="0029770F" w:rsidRPr="001D081D">
              <w:rPr>
                <w:rFonts w:cs="Arial"/>
                <w:sz w:val="24"/>
                <w:szCs w:val="24"/>
              </w:rPr>
              <w:t>After</w:t>
            </w:r>
            <w:r w:rsidR="002A30BE" w:rsidRPr="001D081D">
              <w:rPr>
                <w:rFonts w:cs="Arial"/>
                <w:sz w:val="24"/>
                <w:szCs w:val="24"/>
              </w:rPr>
              <w:t xml:space="preserve"> consultation with the Crown Prosecution Service (CPS) and Serious Fraud Office (SFO), additional court cases are expected to be low</w:t>
            </w:r>
            <w:r w:rsidR="0029770F" w:rsidRPr="001D081D">
              <w:rPr>
                <w:rFonts w:cs="Arial"/>
                <w:sz w:val="24"/>
                <w:szCs w:val="24"/>
              </w:rPr>
              <w:t xml:space="preserve">. </w:t>
            </w:r>
            <w:r w:rsidR="002A30BE" w:rsidRPr="001D081D">
              <w:rPr>
                <w:rFonts w:cs="Arial"/>
                <w:sz w:val="24"/>
                <w:szCs w:val="24"/>
              </w:rPr>
              <w:t xml:space="preserve"> </w:t>
            </w:r>
            <w:r w:rsidR="0029770F" w:rsidRPr="001D081D">
              <w:rPr>
                <w:rFonts w:cs="Arial"/>
                <w:sz w:val="24"/>
                <w:szCs w:val="24"/>
              </w:rPr>
              <w:t>A</w:t>
            </w:r>
            <w:r w:rsidR="002A30BE" w:rsidRPr="001D081D">
              <w:rPr>
                <w:rFonts w:cs="Arial"/>
                <w:sz w:val="24"/>
                <w:szCs w:val="24"/>
              </w:rPr>
              <w:t>ny additional costs are expected to be modest</w:t>
            </w:r>
            <w:r w:rsidR="00041C92" w:rsidRPr="001D081D">
              <w:rPr>
                <w:rFonts w:cs="Arial"/>
                <w:sz w:val="24"/>
                <w:szCs w:val="24"/>
              </w:rPr>
              <w:t>.</w:t>
            </w:r>
            <w:r w:rsidR="00BB3064" w:rsidRPr="001D081D">
              <w:rPr>
                <w:rFonts w:cs="Arial"/>
                <w:sz w:val="24"/>
                <w:szCs w:val="24"/>
              </w:rPr>
              <w:t xml:space="preserve"> </w:t>
            </w:r>
          </w:p>
        </w:tc>
      </w:tr>
      <w:tr w:rsidR="001D081D" w:rsidRPr="001D081D" w14:paraId="0A41FAE8" w14:textId="77777777" w:rsidTr="0029116F">
        <w:trPr>
          <w:trHeight w:hRule="exact" w:val="580"/>
        </w:trPr>
        <w:tc>
          <w:tcPr>
            <w:tcW w:w="1980" w:type="dxa"/>
            <w:vAlign w:val="center"/>
          </w:tcPr>
          <w:p w14:paraId="5D403EDF" w14:textId="7E40148B" w:rsidR="00246E82" w:rsidRPr="0029116F" w:rsidRDefault="00246E82" w:rsidP="002A010C">
            <w:pPr>
              <w:pStyle w:val="IATableLabel"/>
              <w:spacing w:before="20" w:after="20"/>
              <w:ind w:left="57" w:right="57"/>
              <w:rPr>
                <w:rFonts w:cs="Arial"/>
                <w:color w:val="auto"/>
              </w:rPr>
            </w:pPr>
            <w:r w:rsidRPr="001D081D">
              <w:rPr>
                <w:rFonts w:cs="Arial"/>
                <w:color w:val="auto"/>
                <w:sz w:val="24"/>
                <w:szCs w:val="24"/>
              </w:rPr>
              <w:t>BENEFITS, £m</w:t>
            </w:r>
          </w:p>
        </w:tc>
        <w:tc>
          <w:tcPr>
            <w:tcW w:w="1559" w:type="dxa"/>
            <w:vAlign w:val="center"/>
          </w:tcPr>
          <w:p w14:paraId="42AC4373" w14:textId="06383931" w:rsidR="00246E82" w:rsidRPr="0029116F" w:rsidRDefault="00246E82" w:rsidP="002A010C">
            <w:pPr>
              <w:pStyle w:val="IATableLabel"/>
              <w:tabs>
                <w:tab w:val="right" w:pos="1800"/>
                <w:tab w:val="center" w:pos="2340"/>
              </w:tabs>
              <w:spacing w:before="20" w:after="20"/>
              <w:ind w:left="28"/>
              <w:jc w:val="right"/>
              <w:rPr>
                <w:rFonts w:cs="Arial"/>
                <w:color w:val="auto"/>
              </w:rPr>
            </w:pPr>
            <w:r w:rsidRPr="0029116F">
              <w:rPr>
                <w:rFonts w:cs="Arial"/>
                <w:color w:val="auto"/>
              </w:rPr>
              <w:t xml:space="preserve">Transition </w:t>
            </w:r>
            <w:r w:rsidRPr="0029116F">
              <w:rPr>
                <w:rFonts w:cs="Arial"/>
                <w:b w:val="0"/>
                <w:color w:val="auto"/>
                <w:sz w:val="18"/>
                <w:szCs w:val="18"/>
              </w:rPr>
              <w:t>Constant Price</w:t>
            </w:r>
          </w:p>
        </w:tc>
        <w:tc>
          <w:tcPr>
            <w:tcW w:w="1843" w:type="dxa"/>
            <w:vAlign w:val="center"/>
          </w:tcPr>
          <w:p w14:paraId="6F406A39" w14:textId="77777777" w:rsidR="00246E82" w:rsidRPr="0029116F" w:rsidRDefault="00246E82" w:rsidP="002A010C">
            <w:pPr>
              <w:pStyle w:val="IATableLabel"/>
              <w:spacing w:before="20" w:after="20"/>
              <w:ind w:left="0"/>
              <w:jc w:val="right"/>
              <w:rPr>
                <w:rFonts w:cs="Arial"/>
                <w:bCs/>
                <w:color w:val="auto"/>
              </w:rPr>
            </w:pPr>
            <w:r w:rsidRPr="0029116F">
              <w:rPr>
                <w:rFonts w:cs="Arial"/>
                <w:bCs/>
                <w:color w:val="auto"/>
              </w:rPr>
              <w:t>Ongoing</w:t>
            </w:r>
          </w:p>
          <w:p w14:paraId="65A474DB" w14:textId="374366BF" w:rsidR="00246E82" w:rsidRPr="0029116F" w:rsidRDefault="00A368BF" w:rsidP="002A010C">
            <w:pPr>
              <w:pStyle w:val="IATableLabel"/>
              <w:spacing w:before="20" w:after="20"/>
              <w:jc w:val="right"/>
              <w:rPr>
                <w:rFonts w:cs="Arial"/>
                <w:bCs/>
                <w:color w:val="auto"/>
              </w:rPr>
            </w:pPr>
            <w:r w:rsidRPr="0029116F">
              <w:rPr>
                <w:rFonts w:cs="Arial"/>
                <w:b w:val="0"/>
                <w:bCs/>
                <w:color w:val="auto"/>
                <w:sz w:val="18"/>
                <w:szCs w:val="18"/>
              </w:rPr>
              <w:t>Present Value</w:t>
            </w:r>
          </w:p>
        </w:tc>
        <w:tc>
          <w:tcPr>
            <w:tcW w:w="1843" w:type="dxa"/>
            <w:vAlign w:val="center"/>
          </w:tcPr>
          <w:p w14:paraId="21A9F991" w14:textId="77777777" w:rsidR="00246E82" w:rsidRPr="0029116F" w:rsidRDefault="00246E82" w:rsidP="002A010C">
            <w:pPr>
              <w:pStyle w:val="IATableLabel"/>
              <w:spacing w:before="20" w:after="20"/>
              <w:ind w:left="0"/>
              <w:jc w:val="right"/>
              <w:rPr>
                <w:rFonts w:cs="Arial"/>
                <w:b w:val="0"/>
                <w:color w:val="auto"/>
              </w:rPr>
            </w:pPr>
            <w:r w:rsidRPr="0029116F">
              <w:rPr>
                <w:rFonts w:cs="Arial"/>
                <w:color w:val="auto"/>
              </w:rPr>
              <w:t>Total</w:t>
            </w:r>
          </w:p>
          <w:p w14:paraId="762A95ED" w14:textId="10D804DF" w:rsidR="00246E82" w:rsidRPr="0029116F" w:rsidRDefault="00246E82" w:rsidP="002A010C">
            <w:pPr>
              <w:pStyle w:val="IATableLabel"/>
              <w:spacing w:before="20" w:after="20"/>
              <w:jc w:val="right"/>
              <w:rPr>
                <w:rFonts w:cs="Arial"/>
                <w:color w:val="auto"/>
              </w:rPr>
            </w:pPr>
            <w:r w:rsidRPr="0029116F">
              <w:rPr>
                <w:rFonts w:cs="Arial"/>
                <w:b w:val="0"/>
                <w:color w:val="auto"/>
                <w:sz w:val="18"/>
                <w:szCs w:val="18"/>
              </w:rPr>
              <w:t>Present Value</w:t>
            </w:r>
          </w:p>
        </w:tc>
        <w:tc>
          <w:tcPr>
            <w:tcW w:w="1559" w:type="dxa"/>
            <w:tcBorders>
              <w:right w:val="single" w:sz="12" w:space="0" w:color="auto"/>
            </w:tcBorders>
            <w:vAlign w:val="center"/>
          </w:tcPr>
          <w:p w14:paraId="1DB48EBC" w14:textId="77777777" w:rsidR="00246E82" w:rsidRPr="0029116F" w:rsidRDefault="00246E82" w:rsidP="002A010C">
            <w:pPr>
              <w:pStyle w:val="IATableLabel"/>
              <w:spacing w:before="20" w:after="20"/>
              <w:ind w:left="0"/>
              <w:jc w:val="right"/>
              <w:rPr>
                <w:rFonts w:cs="Arial"/>
                <w:color w:val="auto"/>
              </w:rPr>
            </w:pPr>
            <w:r w:rsidRPr="0029116F">
              <w:rPr>
                <w:rFonts w:cs="Arial"/>
                <w:color w:val="auto"/>
              </w:rPr>
              <w:t>Average/year</w:t>
            </w:r>
          </w:p>
          <w:p w14:paraId="149BD911" w14:textId="32D4837C" w:rsidR="00246E82" w:rsidRPr="0029116F" w:rsidRDefault="00246E82" w:rsidP="002A010C">
            <w:pPr>
              <w:pStyle w:val="IATableLabel"/>
              <w:spacing w:before="20" w:after="20"/>
              <w:ind w:left="0"/>
              <w:jc w:val="right"/>
              <w:rPr>
                <w:rFonts w:cs="Arial"/>
                <w:color w:val="auto"/>
              </w:rPr>
            </w:pPr>
            <w:r w:rsidRPr="0029116F">
              <w:rPr>
                <w:rFonts w:cs="Arial"/>
                <w:b w:val="0"/>
                <w:color w:val="auto"/>
                <w:sz w:val="18"/>
                <w:szCs w:val="18"/>
              </w:rPr>
              <w:t>Constant Price</w:t>
            </w:r>
          </w:p>
        </w:tc>
        <w:tc>
          <w:tcPr>
            <w:tcW w:w="1559" w:type="dxa"/>
            <w:tcBorders>
              <w:right w:val="single" w:sz="12" w:space="0" w:color="auto"/>
            </w:tcBorders>
            <w:vAlign w:val="center"/>
          </w:tcPr>
          <w:p w14:paraId="2AA7E554" w14:textId="77777777" w:rsidR="00246E82" w:rsidRPr="0029116F" w:rsidRDefault="00246E82" w:rsidP="002A010C">
            <w:pPr>
              <w:pStyle w:val="IATableLabel"/>
              <w:spacing w:before="20" w:after="20"/>
              <w:ind w:left="-105" w:right="57"/>
              <w:jc w:val="right"/>
              <w:rPr>
                <w:rFonts w:cs="Arial"/>
                <w:color w:val="auto"/>
              </w:rPr>
            </w:pPr>
            <w:r w:rsidRPr="0029116F">
              <w:rPr>
                <w:rFonts w:cs="Arial"/>
                <w:color w:val="auto"/>
              </w:rPr>
              <w:t>To Business</w:t>
            </w:r>
          </w:p>
          <w:p w14:paraId="7123ECD7" w14:textId="06158D94" w:rsidR="00246E82" w:rsidRPr="0029116F" w:rsidRDefault="00246E82" w:rsidP="002A010C">
            <w:pPr>
              <w:pStyle w:val="IATableLabel"/>
              <w:spacing w:before="20" w:after="20"/>
              <w:jc w:val="right"/>
              <w:rPr>
                <w:rFonts w:cs="Arial"/>
                <w:color w:val="auto"/>
              </w:rPr>
            </w:pPr>
            <w:r w:rsidRPr="0029116F">
              <w:rPr>
                <w:rFonts w:cs="Arial"/>
                <w:b w:val="0"/>
                <w:color w:val="auto"/>
                <w:sz w:val="18"/>
                <w:szCs w:val="18"/>
              </w:rPr>
              <w:t>Present Value</w:t>
            </w:r>
          </w:p>
        </w:tc>
      </w:tr>
      <w:tr w:rsidR="001D081D" w:rsidRPr="001D081D" w14:paraId="3B576489" w14:textId="77777777" w:rsidTr="00346074">
        <w:trPr>
          <w:trHeight w:hRule="exact" w:val="348"/>
        </w:trPr>
        <w:tc>
          <w:tcPr>
            <w:tcW w:w="1980" w:type="dxa"/>
          </w:tcPr>
          <w:p w14:paraId="20434111" w14:textId="0F4D8003" w:rsidR="00C2573D" w:rsidRPr="001D081D" w:rsidRDefault="00C2573D" w:rsidP="00C2573D">
            <w:pPr>
              <w:pStyle w:val="IATableLabel"/>
              <w:rPr>
                <w:rFonts w:cs="Arial"/>
                <w:color w:val="auto"/>
                <w:sz w:val="24"/>
                <w:szCs w:val="24"/>
              </w:rPr>
            </w:pPr>
            <w:r w:rsidRPr="001D081D">
              <w:rPr>
                <w:rFonts w:cs="Arial"/>
                <w:color w:val="auto"/>
                <w:sz w:val="24"/>
                <w:szCs w:val="24"/>
              </w:rPr>
              <w:t xml:space="preserve">Low </w:t>
            </w:r>
          </w:p>
        </w:tc>
        <w:tc>
          <w:tcPr>
            <w:tcW w:w="1559" w:type="dxa"/>
          </w:tcPr>
          <w:p w14:paraId="4F23F826" w14:textId="3BAB11B6" w:rsidR="00C2573D" w:rsidRPr="003A33A5" w:rsidRDefault="00C2573D" w:rsidP="00C2573D">
            <w:pPr>
              <w:pStyle w:val="POTTBenLow"/>
              <w:rPr>
                <w:rFonts w:cs="Arial"/>
                <w:sz w:val="24"/>
                <w:szCs w:val="24"/>
              </w:rPr>
            </w:pPr>
            <w:r w:rsidRPr="003A33A5">
              <w:rPr>
                <w:rFonts w:cs="Arial"/>
                <w:sz w:val="24"/>
                <w:szCs w:val="24"/>
              </w:rPr>
              <w:t>N/A</w:t>
            </w:r>
          </w:p>
        </w:tc>
        <w:tc>
          <w:tcPr>
            <w:tcW w:w="1843" w:type="dxa"/>
          </w:tcPr>
          <w:p w14:paraId="6D6EE4DE" w14:textId="3445775D" w:rsidR="00C2573D" w:rsidRPr="003A33A5" w:rsidRDefault="00C2573D" w:rsidP="00C2573D">
            <w:pPr>
              <w:pStyle w:val="POAABenLow"/>
              <w:rPr>
                <w:rFonts w:cs="Arial"/>
                <w:sz w:val="24"/>
                <w:szCs w:val="24"/>
              </w:rPr>
            </w:pPr>
            <w:r w:rsidRPr="003A33A5">
              <w:rPr>
                <w:rFonts w:cs="Arial"/>
                <w:sz w:val="24"/>
                <w:szCs w:val="24"/>
              </w:rPr>
              <w:t>N/A</w:t>
            </w:r>
          </w:p>
        </w:tc>
        <w:tc>
          <w:tcPr>
            <w:tcW w:w="1843" w:type="dxa"/>
          </w:tcPr>
          <w:p w14:paraId="43C0EACE" w14:textId="13FDEB67" w:rsidR="00C2573D" w:rsidRPr="003A33A5" w:rsidRDefault="00C2573D" w:rsidP="00C2573D">
            <w:pPr>
              <w:pStyle w:val="POTBBenLow"/>
              <w:rPr>
                <w:rFonts w:cs="Arial"/>
                <w:bCs/>
                <w:sz w:val="24"/>
                <w:szCs w:val="24"/>
              </w:rPr>
            </w:pPr>
            <w:r w:rsidRPr="003A33A5">
              <w:rPr>
                <w:rFonts w:cs="Arial"/>
                <w:bCs/>
                <w:sz w:val="24"/>
                <w:szCs w:val="24"/>
              </w:rPr>
              <w:t>N/A</w:t>
            </w:r>
          </w:p>
        </w:tc>
        <w:tc>
          <w:tcPr>
            <w:tcW w:w="1559" w:type="dxa"/>
            <w:tcBorders>
              <w:right w:val="single" w:sz="12" w:space="0" w:color="auto"/>
            </w:tcBorders>
          </w:tcPr>
          <w:p w14:paraId="45B938F0" w14:textId="3BF1678C" w:rsidR="00C2573D" w:rsidRPr="003A33A5" w:rsidRDefault="00C2573D" w:rsidP="00C2573D">
            <w:pPr>
              <w:pStyle w:val="POTBBenLow"/>
              <w:rPr>
                <w:rFonts w:cs="Arial"/>
                <w:b w:val="0"/>
                <w:sz w:val="24"/>
                <w:szCs w:val="24"/>
              </w:rPr>
            </w:pPr>
            <w:r w:rsidRPr="003A33A5">
              <w:rPr>
                <w:rFonts w:cs="Arial"/>
                <w:b w:val="0"/>
                <w:sz w:val="24"/>
                <w:szCs w:val="24"/>
              </w:rPr>
              <w:t>N/A</w:t>
            </w:r>
          </w:p>
        </w:tc>
        <w:tc>
          <w:tcPr>
            <w:tcW w:w="1559" w:type="dxa"/>
            <w:tcBorders>
              <w:right w:val="single" w:sz="12" w:space="0" w:color="auto"/>
            </w:tcBorders>
          </w:tcPr>
          <w:p w14:paraId="524EFD47" w14:textId="0F08191F" w:rsidR="00C2573D" w:rsidRPr="003A33A5" w:rsidRDefault="00C2573D" w:rsidP="00C2573D">
            <w:pPr>
              <w:pStyle w:val="POTBBenLow"/>
              <w:rPr>
                <w:rFonts w:cs="Arial"/>
                <w:b w:val="0"/>
                <w:sz w:val="24"/>
                <w:szCs w:val="24"/>
              </w:rPr>
            </w:pPr>
            <w:r w:rsidRPr="003A33A5">
              <w:rPr>
                <w:rFonts w:cs="Arial"/>
                <w:b w:val="0"/>
                <w:sz w:val="24"/>
                <w:szCs w:val="24"/>
              </w:rPr>
              <w:t>N/A</w:t>
            </w:r>
          </w:p>
        </w:tc>
      </w:tr>
      <w:tr w:rsidR="001D081D" w:rsidRPr="001D081D" w14:paraId="6EA4A9BD" w14:textId="77777777" w:rsidTr="00346074">
        <w:trPr>
          <w:trHeight w:hRule="exact" w:val="348"/>
        </w:trPr>
        <w:tc>
          <w:tcPr>
            <w:tcW w:w="1980" w:type="dxa"/>
          </w:tcPr>
          <w:p w14:paraId="22B8AA26" w14:textId="1ECCD001" w:rsidR="00C2573D" w:rsidRPr="001D081D" w:rsidRDefault="00C2573D" w:rsidP="00C2573D">
            <w:pPr>
              <w:pStyle w:val="IATableLabel"/>
              <w:rPr>
                <w:rFonts w:cs="Arial"/>
                <w:color w:val="auto"/>
                <w:sz w:val="24"/>
                <w:szCs w:val="24"/>
              </w:rPr>
            </w:pPr>
            <w:r w:rsidRPr="001D081D">
              <w:rPr>
                <w:rFonts w:cs="Arial"/>
                <w:color w:val="auto"/>
                <w:sz w:val="24"/>
                <w:szCs w:val="24"/>
              </w:rPr>
              <w:t xml:space="preserve">High </w:t>
            </w:r>
          </w:p>
        </w:tc>
        <w:tc>
          <w:tcPr>
            <w:tcW w:w="1559" w:type="dxa"/>
          </w:tcPr>
          <w:p w14:paraId="21642722" w14:textId="4016F1DE" w:rsidR="00C2573D" w:rsidRPr="003A33A5" w:rsidRDefault="00C2573D" w:rsidP="00C2573D">
            <w:pPr>
              <w:pStyle w:val="POTTBenHigh"/>
              <w:rPr>
                <w:rFonts w:cs="Arial"/>
                <w:sz w:val="24"/>
                <w:szCs w:val="24"/>
              </w:rPr>
            </w:pPr>
            <w:r w:rsidRPr="003A33A5">
              <w:rPr>
                <w:rFonts w:cs="Arial"/>
                <w:sz w:val="24"/>
                <w:szCs w:val="24"/>
              </w:rPr>
              <w:t>N/A</w:t>
            </w:r>
          </w:p>
        </w:tc>
        <w:tc>
          <w:tcPr>
            <w:tcW w:w="1843" w:type="dxa"/>
          </w:tcPr>
          <w:p w14:paraId="58A2B89F" w14:textId="0B46325A" w:rsidR="00C2573D" w:rsidRPr="003A33A5" w:rsidRDefault="00C2573D" w:rsidP="00C2573D">
            <w:pPr>
              <w:pStyle w:val="POAABenHigh"/>
              <w:rPr>
                <w:rFonts w:cs="Arial"/>
                <w:sz w:val="24"/>
                <w:szCs w:val="24"/>
              </w:rPr>
            </w:pPr>
            <w:r w:rsidRPr="003A33A5">
              <w:rPr>
                <w:rFonts w:cs="Arial"/>
                <w:sz w:val="24"/>
                <w:szCs w:val="24"/>
              </w:rPr>
              <w:t>N/A</w:t>
            </w:r>
          </w:p>
        </w:tc>
        <w:tc>
          <w:tcPr>
            <w:tcW w:w="1843" w:type="dxa"/>
          </w:tcPr>
          <w:p w14:paraId="1E1AC184" w14:textId="20D12E89" w:rsidR="00C2573D" w:rsidRPr="003A33A5" w:rsidRDefault="00C2573D" w:rsidP="00C2573D">
            <w:pPr>
              <w:pStyle w:val="POTBBenHigh"/>
              <w:rPr>
                <w:rFonts w:cs="Arial"/>
                <w:bCs/>
                <w:sz w:val="24"/>
                <w:szCs w:val="24"/>
              </w:rPr>
            </w:pPr>
            <w:r w:rsidRPr="003A33A5">
              <w:rPr>
                <w:rFonts w:cs="Arial"/>
                <w:bCs/>
                <w:sz w:val="24"/>
                <w:szCs w:val="24"/>
              </w:rPr>
              <w:t>N/A</w:t>
            </w:r>
          </w:p>
        </w:tc>
        <w:tc>
          <w:tcPr>
            <w:tcW w:w="1559" w:type="dxa"/>
            <w:tcBorders>
              <w:right w:val="single" w:sz="12" w:space="0" w:color="auto"/>
            </w:tcBorders>
          </w:tcPr>
          <w:p w14:paraId="3049CEF2" w14:textId="1DF76DC8" w:rsidR="00C2573D" w:rsidRPr="003A33A5" w:rsidRDefault="00C2573D" w:rsidP="00C2573D">
            <w:pPr>
              <w:pStyle w:val="POTBBenHigh"/>
              <w:rPr>
                <w:rFonts w:cs="Arial"/>
                <w:b w:val="0"/>
                <w:sz w:val="24"/>
                <w:szCs w:val="24"/>
              </w:rPr>
            </w:pPr>
            <w:r w:rsidRPr="003A33A5">
              <w:rPr>
                <w:rFonts w:cs="Arial"/>
                <w:b w:val="0"/>
                <w:sz w:val="24"/>
                <w:szCs w:val="24"/>
              </w:rPr>
              <w:t>N/A</w:t>
            </w:r>
          </w:p>
        </w:tc>
        <w:tc>
          <w:tcPr>
            <w:tcW w:w="1559" w:type="dxa"/>
            <w:tcBorders>
              <w:right w:val="single" w:sz="12" w:space="0" w:color="auto"/>
            </w:tcBorders>
          </w:tcPr>
          <w:p w14:paraId="75919F99" w14:textId="71B2E4B3" w:rsidR="00C2573D" w:rsidRPr="003A33A5" w:rsidRDefault="00C2573D" w:rsidP="00C2573D">
            <w:pPr>
              <w:pStyle w:val="POTBBenHigh"/>
              <w:rPr>
                <w:rFonts w:cs="Arial"/>
                <w:b w:val="0"/>
                <w:sz w:val="24"/>
                <w:szCs w:val="24"/>
              </w:rPr>
            </w:pPr>
            <w:r w:rsidRPr="003A33A5">
              <w:rPr>
                <w:rFonts w:cs="Arial"/>
                <w:b w:val="0"/>
                <w:sz w:val="24"/>
                <w:szCs w:val="24"/>
              </w:rPr>
              <w:t>N/A</w:t>
            </w:r>
          </w:p>
        </w:tc>
      </w:tr>
      <w:tr w:rsidR="001D081D" w:rsidRPr="001D081D" w14:paraId="093A3930" w14:textId="77777777" w:rsidTr="00346074">
        <w:trPr>
          <w:trHeight w:hRule="exact" w:val="348"/>
        </w:trPr>
        <w:tc>
          <w:tcPr>
            <w:tcW w:w="1980" w:type="dxa"/>
          </w:tcPr>
          <w:p w14:paraId="325478FA" w14:textId="77777777" w:rsidR="00C2573D" w:rsidRPr="001D081D" w:rsidRDefault="00C2573D" w:rsidP="00C2573D">
            <w:pPr>
              <w:pStyle w:val="IATableLabel"/>
              <w:rPr>
                <w:rFonts w:cs="Arial"/>
                <w:color w:val="auto"/>
                <w:sz w:val="24"/>
                <w:szCs w:val="24"/>
              </w:rPr>
            </w:pPr>
            <w:r w:rsidRPr="001D081D">
              <w:rPr>
                <w:rFonts w:cs="Arial"/>
                <w:color w:val="auto"/>
                <w:sz w:val="24"/>
                <w:szCs w:val="24"/>
              </w:rPr>
              <w:t>Best Estimate</w:t>
            </w:r>
          </w:p>
          <w:p w14:paraId="20C6BDEA" w14:textId="77777777" w:rsidR="00C2573D" w:rsidRPr="001D081D" w:rsidRDefault="00C2573D" w:rsidP="00C2573D">
            <w:pPr>
              <w:pStyle w:val="IATableNotes"/>
              <w:spacing w:beforeLines="40" w:before="96"/>
              <w:ind w:left="0" w:right="-22"/>
              <w:jc w:val="center"/>
              <w:rPr>
                <w:rFonts w:cs="Arial"/>
                <w:b/>
                <w:sz w:val="24"/>
                <w:szCs w:val="24"/>
              </w:rPr>
            </w:pPr>
          </w:p>
        </w:tc>
        <w:tc>
          <w:tcPr>
            <w:tcW w:w="1559" w:type="dxa"/>
          </w:tcPr>
          <w:p w14:paraId="03708E3B" w14:textId="63F42FB4" w:rsidR="00C2573D" w:rsidRPr="003A33A5" w:rsidRDefault="00C2573D" w:rsidP="00C2573D">
            <w:pPr>
              <w:pStyle w:val="POTTBenBest"/>
              <w:rPr>
                <w:rFonts w:cs="Arial"/>
                <w:b/>
                <w:bCs/>
                <w:sz w:val="24"/>
                <w:szCs w:val="24"/>
              </w:rPr>
            </w:pPr>
            <w:r w:rsidRPr="003A33A5">
              <w:rPr>
                <w:rFonts w:cs="Arial"/>
                <w:b/>
                <w:bCs/>
                <w:sz w:val="24"/>
                <w:szCs w:val="24"/>
              </w:rPr>
              <w:t>N/A</w:t>
            </w:r>
          </w:p>
        </w:tc>
        <w:tc>
          <w:tcPr>
            <w:tcW w:w="1843" w:type="dxa"/>
          </w:tcPr>
          <w:p w14:paraId="63A5D173" w14:textId="50AFE7D0" w:rsidR="00C2573D" w:rsidRPr="003A33A5" w:rsidRDefault="00C2573D" w:rsidP="00C2573D">
            <w:pPr>
              <w:pStyle w:val="POAABenBest"/>
              <w:rPr>
                <w:rFonts w:cs="Arial"/>
                <w:b/>
                <w:bCs/>
                <w:sz w:val="24"/>
                <w:szCs w:val="24"/>
              </w:rPr>
            </w:pPr>
            <w:r w:rsidRPr="003A33A5">
              <w:rPr>
                <w:rFonts w:cs="Arial"/>
                <w:b/>
                <w:bCs/>
                <w:sz w:val="24"/>
                <w:szCs w:val="24"/>
              </w:rPr>
              <w:t>N/A</w:t>
            </w:r>
          </w:p>
        </w:tc>
        <w:tc>
          <w:tcPr>
            <w:tcW w:w="1843" w:type="dxa"/>
          </w:tcPr>
          <w:p w14:paraId="4577B57F" w14:textId="6D87A83E" w:rsidR="00C2573D" w:rsidRPr="003A33A5" w:rsidRDefault="00C2573D" w:rsidP="00C2573D">
            <w:pPr>
              <w:pStyle w:val="POTBBenBest"/>
              <w:rPr>
                <w:rFonts w:cs="Arial"/>
                <w:bCs/>
                <w:sz w:val="24"/>
                <w:szCs w:val="24"/>
              </w:rPr>
            </w:pPr>
            <w:r w:rsidRPr="003A33A5">
              <w:rPr>
                <w:rFonts w:cs="Arial"/>
                <w:bCs/>
                <w:sz w:val="24"/>
                <w:szCs w:val="24"/>
              </w:rPr>
              <w:t>N/A</w:t>
            </w:r>
          </w:p>
        </w:tc>
        <w:tc>
          <w:tcPr>
            <w:tcW w:w="1559" w:type="dxa"/>
            <w:tcBorders>
              <w:right w:val="single" w:sz="12" w:space="0" w:color="auto"/>
            </w:tcBorders>
          </w:tcPr>
          <w:p w14:paraId="4F47950B" w14:textId="550E9891" w:rsidR="00C2573D" w:rsidRPr="003A33A5" w:rsidRDefault="00C2573D" w:rsidP="00C2573D">
            <w:pPr>
              <w:pStyle w:val="POTBBenBest"/>
              <w:rPr>
                <w:rFonts w:cs="Arial"/>
                <w:bCs/>
                <w:sz w:val="24"/>
                <w:szCs w:val="24"/>
              </w:rPr>
            </w:pPr>
            <w:r w:rsidRPr="003A33A5">
              <w:rPr>
                <w:rFonts w:cs="Arial"/>
                <w:bCs/>
                <w:sz w:val="24"/>
                <w:szCs w:val="24"/>
              </w:rPr>
              <w:t>N/A</w:t>
            </w:r>
          </w:p>
        </w:tc>
        <w:tc>
          <w:tcPr>
            <w:tcW w:w="1559" w:type="dxa"/>
            <w:tcBorders>
              <w:right w:val="single" w:sz="12" w:space="0" w:color="auto"/>
            </w:tcBorders>
          </w:tcPr>
          <w:p w14:paraId="6B6127A1" w14:textId="564C2CBC" w:rsidR="00C2573D" w:rsidRPr="003A33A5" w:rsidRDefault="00C2573D" w:rsidP="00C2573D">
            <w:pPr>
              <w:pStyle w:val="POTBBenBest"/>
              <w:rPr>
                <w:rFonts w:cs="Arial"/>
                <w:bCs/>
                <w:sz w:val="24"/>
                <w:szCs w:val="24"/>
              </w:rPr>
            </w:pPr>
            <w:r w:rsidRPr="003A33A5">
              <w:rPr>
                <w:rFonts w:cs="Arial"/>
                <w:bCs/>
                <w:sz w:val="24"/>
                <w:szCs w:val="24"/>
              </w:rPr>
              <w:t>N/A</w:t>
            </w:r>
          </w:p>
        </w:tc>
      </w:tr>
      <w:tr w:rsidR="001D081D" w:rsidRPr="001D081D" w14:paraId="5E7429EB" w14:textId="77777777" w:rsidTr="005D2CBB">
        <w:trPr>
          <w:trHeight w:hRule="exact" w:val="734"/>
        </w:trPr>
        <w:tc>
          <w:tcPr>
            <w:tcW w:w="10343" w:type="dxa"/>
            <w:gridSpan w:val="6"/>
          </w:tcPr>
          <w:p w14:paraId="19B096EB" w14:textId="77777777" w:rsidR="005F6D7B" w:rsidRPr="001D081D" w:rsidRDefault="005F6D7B" w:rsidP="005F6D7B">
            <w:pPr>
              <w:pStyle w:val="IPPOQ3"/>
              <w:rPr>
                <w:rFonts w:cs="Arial"/>
                <w:color w:val="auto"/>
                <w:sz w:val="24"/>
                <w:szCs w:val="24"/>
              </w:rPr>
            </w:pPr>
            <w:r w:rsidRPr="001D081D">
              <w:rPr>
                <w:rFonts w:cs="Arial"/>
                <w:color w:val="auto"/>
                <w:sz w:val="24"/>
                <w:szCs w:val="24"/>
              </w:rPr>
              <w:t xml:space="preserve">Description and scale of key monetised benefits by ‘main affected groups’ </w:t>
            </w:r>
          </w:p>
          <w:p w14:paraId="0DF3D662" w14:textId="7380041C" w:rsidR="005F6D7B" w:rsidRPr="001D081D" w:rsidRDefault="00171AF8" w:rsidP="00136767">
            <w:pPr>
              <w:pStyle w:val="IAPOA1"/>
              <w:spacing w:line="259" w:lineRule="auto"/>
              <w:jc w:val="both"/>
              <w:rPr>
                <w:rFonts w:cs="Arial"/>
                <w:sz w:val="24"/>
                <w:szCs w:val="24"/>
              </w:rPr>
            </w:pPr>
            <w:r w:rsidRPr="001D081D">
              <w:rPr>
                <w:rFonts w:cs="Arial"/>
                <w:sz w:val="24"/>
                <w:szCs w:val="24"/>
              </w:rPr>
              <w:t xml:space="preserve">None. </w:t>
            </w:r>
            <w:r w:rsidR="00C012C4" w:rsidRPr="001D081D">
              <w:rPr>
                <w:rFonts w:cs="Arial"/>
                <w:sz w:val="24"/>
                <w:szCs w:val="24"/>
              </w:rPr>
              <w:t>For the purpose of the EANDCB calculation, monetised benefit is given as zero.</w:t>
            </w:r>
          </w:p>
        </w:tc>
      </w:tr>
      <w:tr w:rsidR="001D081D" w:rsidRPr="001D081D" w14:paraId="60CDEA78" w14:textId="77777777" w:rsidTr="00B26FE0">
        <w:trPr>
          <w:trHeight w:hRule="exact" w:val="1557"/>
        </w:trPr>
        <w:tc>
          <w:tcPr>
            <w:tcW w:w="10343" w:type="dxa"/>
            <w:gridSpan w:val="6"/>
          </w:tcPr>
          <w:p w14:paraId="480FC9FF" w14:textId="77777777" w:rsidR="00FF3514" w:rsidRPr="0029116F" w:rsidRDefault="00FF3514" w:rsidP="00FF3514">
            <w:pPr>
              <w:pStyle w:val="IAPOQ2"/>
              <w:rPr>
                <w:rFonts w:cs="Arial"/>
                <w:color w:val="auto"/>
              </w:rPr>
            </w:pPr>
            <w:r w:rsidRPr="0029116F">
              <w:rPr>
                <w:rFonts w:cs="Arial"/>
                <w:color w:val="auto"/>
              </w:rPr>
              <w:t>Other key non-monetised benefits by ‘main affected groups’</w:t>
            </w:r>
          </w:p>
          <w:p w14:paraId="0A75B5D9" w14:textId="652874E1" w:rsidR="00FF3514" w:rsidRPr="001D081D" w:rsidRDefault="00736D22" w:rsidP="00C8665A">
            <w:pPr>
              <w:pStyle w:val="IPPOQ3"/>
              <w:spacing w:after="120"/>
              <w:jc w:val="both"/>
              <w:rPr>
                <w:rFonts w:cs="Arial"/>
                <w:b w:val="0"/>
                <w:bCs/>
                <w:color w:val="auto"/>
                <w:sz w:val="24"/>
                <w:szCs w:val="24"/>
              </w:rPr>
            </w:pPr>
            <w:r w:rsidRPr="001D081D">
              <w:rPr>
                <w:rFonts w:cs="Arial"/>
                <w:b w:val="0"/>
                <w:bCs/>
                <w:color w:val="auto"/>
                <w:sz w:val="24"/>
                <w:szCs w:val="24"/>
              </w:rPr>
              <w:t xml:space="preserve">By reducing fraud, </w:t>
            </w:r>
            <w:r w:rsidR="00B75EC2" w:rsidRPr="001D081D">
              <w:rPr>
                <w:rFonts w:cs="Arial"/>
                <w:b w:val="0"/>
                <w:bCs/>
                <w:color w:val="auto"/>
                <w:sz w:val="24"/>
                <w:szCs w:val="24"/>
              </w:rPr>
              <w:t>the FTPF</w:t>
            </w:r>
            <w:r w:rsidR="002A66BA" w:rsidRPr="001D081D">
              <w:rPr>
                <w:rFonts w:cs="Arial"/>
                <w:color w:val="auto"/>
                <w:sz w:val="24"/>
                <w:szCs w:val="24"/>
              </w:rPr>
              <w:t xml:space="preserve"> </w:t>
            </w:r>
            <w:r w:rsidR="002A66BA" w:rsidRPr="00FB6C08">
              <w:rPr>
                <w:rFonts w:cs="Arial"/>
                <w:b w:val="0"/>
                <w:bCs/>
                <w:color w:val="auto"/>
                <w:sz w:val="24"/>
                <w:szCs w:val="24"/>
              </w:rPr>
              <w:t>offence</w:t>
            </w:r>
            <w:r w:rsidR="002A30BE" w:rsidRPr="001D081D">
              <w:rPr>
                <w:rFonts w:cs="Arial"/>
                <w:color w:val="auto"/>
                <w:sz w:val="24"/>
                <w:szCs w:val="24"/>
              </w:rPr>
              <w:t xml:space="preserve"> </w:t>
            </w:r>
            <w:r w:rsidRPr="001D081D">
              <w:rPr>
                <w:rFonts w:cs="Arial"/>
                <w:b w:val="0"/>
                <w:bCs/>
                <w:color w:val="auto"/>
                <w:sz w:val="24"/>
                <w:szCs w:val="24"/>
              </w:rPr>
              <w:t xml:space="preserve">is </w:t>
            </w:r>
            <w:r w:rsidR="003B179A">
              <w:rPr>
                <w:rFonts w:cs="Arial"/>
                <w:b w:val="0"/>
                <w:bCs/>
                <w:color w:val="auto"/>
                <w:sz w:val="24"/>
                <w:szCs w:val="24"/>
              </w:rPr>
              <w:t>expected</w:t>
            </w:r>
            <w:r w:rsidR="003B179A" w:rsidRPr="001D081D">
              <w:rPr>
                <w:rFonts w:cs="Arial"/>
                <w:b w:val="0"/>
                <w:bCs/>
                <w:color w:val="auto"/>
                <w:sz w:val="24"/>
                <w:szCs w:val="24"/>
              </w:rPr>
              <w:t xml:space="preserve"> </w:t>
            </w:r>
            <w:r w:rsidRPr="001D081D">
              <w:rPr>
                <w:rFonts w:cs="Arial"/>
                <w:b w:val="0"/>
                <w:bCs/>
                <w:color w:val="auto"/>
                <w:sz w:val="24"/>
                <w:szCs w:val="24"/>
              </w:rPr>
              <w:t>to increase</w:t>
            </w:r>
            <w:r w:rsidR="00C8665A" w:rsidRPr="001D081D">
              <w:rPr>
                <w:rFonts w:cs="Arial"/>
                <w:b w:val="0"/>
                <w:bCs/>
                <w:color w:val="auto"/>
                <w:sz w:val="24"/>
                <w:szCs w:val="24"/>
              </w:rPr>
              <w:t xml:space="preserve"> consumer confidence and </w:t>
            </w:r>
            <w:r w:rsidR="0043168F">
              <w:rPr>
                <w:rFonts w:cs="Arial"/>
                <w:b w:val="0"/>
                <w:bCs/>
                <w:color w:val="auto"/>
                <w:sz w:val="24"/>
                <w:szCs w:val="24"/>
              </w:rPr>
              <w:t>ensure</w:t>
            </w:r>
            <w:r w:rsidR="0043168F" w:rsidRPr="001D081D">
              <w:rPr>
                <w:rFonts w:cs="Arial"/>
                <w:b w:val="0"/>
                <w:bCs/>
                <w:color w:val="auto"/>
                <w:sz w:val="24"/>
                <w:szCs w:val="24"/>
              </w:rPr>
              <w:t xml:space="preserve"> </w:t>
            </w:r>
            <w:r w:rsidR="00C8665A" w:rsidRPr="001D081D">
              <w:rPr>
                <w:rFonts w:cs="Arial"/>
                <w:b w:val="0"/>
                <w:bCs/>
                <w:color w:val="auto"/>
                <w:sz w:val="24"/>
                <w:szCs w:val="24"/>
              </w:rPr>
              <w:t xml:space="preserve">more money is directed towards legitimate businesses. </w:t>
            </w:r>
            <w:r w:rsidR="0029770F" w:rsidRPr="001D081D">
              <w:rPr>
                <w:rFonts w:cs="Arial"/>
                <w:b w:val="0"/>
                <w:bCs/>
                <w:color w:val="auto"/>
                <w:sz w:val="24"/>
                <w:szCs w:val="24"/>
              </w:rPr>
              <w:t xml:space="preserve"> </w:t>
            </w:r>
            <w:r w:rsidR="00C8665A" w:rsidRPr="001D081D">
              <w:rPr>
                <w:rFonts w:cs="Arial"/>
                <w:b w:val="0"/>
                <w:bCs/>
                <w:color w:val="auto"/>
                <w:sz w:val="24"/>
                <w:szCs w:val="24"/>
              </w:rPr>
              <w:t xml:space="preserve">There is also a wider socio-economic benefit as a reduction in fraud could result in lower emotional harms, victim support costs and law enforcement and </w:t>
            </w:r>
            <w:r w:rsidR="0029770F" w:rsidRPr="001D081D">
              <w:rPr>
                <w:rFonts w:cs="Arial"/>
                <w:b w:val="0"/>
                <w:bCs/>
                <w:color w:val="auto"/>
                <w:sz w:val="24"/>
                <w:szCs w:val="24"/>
              </w:rPr>
              <w:t>C</w:t>
            </w:r>
            <w:r w:rsidR="0029116F">
              <w:rPr>
                <w:rFonts w:cs="Arial"/>
                <w:b w:val="0"/>
                <w:bCs/>
                <w:color w:val="auto"/>
                <w:sz w:val="24"/>
                <w:szCs w:val="24"/>
              </w:rPr>
              <w:t xml:space="preserve">riminal Justice System </w:t>
            </w:r>
            <w:r w:rsidR="00AB2E22">
              <w:rPr>
                <w:rFonts w:cs="Arial"/>
                <w:b w:val="0"/>
                <w:bCs/>
                <w:color w:val="auto"/>
                <w:sz w:val="24"/>
                <w:szCs w:val="24"/>
              </w:rPr>
              <w:t xml:space="preserve">(CJS) </w:t>
            </w:r>
            <w:r w:rsidR="00C8665A" w:rsidRPr="001D081D">
              <w:rPr>
                <w:rFonts w:cs="Arial"/>
                <w:b w:val="0"/>
                <w:bCs/>
                <w:color w:val="auto"/>
                <w:sz w:val="24"/>
                <w:szCs w:val="24"/>
              </w:rPr>
              <w:t>costs</w:t>
            </w:r>
            <w:r w:rsidR="00B10727" w:rsidRPr="001D081D">
              <w:rPr>
                <w:rFonts w:cs="Arial"/>
                <w:b w:val="0"/>
                <w:bCs/>
                <w:color w:val="auto"/>
                <w:sz w:val="24"/>
                <w:szCs w:val="24"/>
              </w:rPr>
              <w:t>.</w:t>
            </w:r>
          </w:p>
        </w:tc>
      </w:tr>
    </w:tbl>
    <w:p w14:paraId="70490296" w14:textId="54F2921A" w:rsidR="001844B6" w:rsidRPr="0029116F" w:rsidRDefault="005F6D7B" w:rsidP="005A3880">
      <w:pPr>
        <w:pStyle w:val="IAHeadLabel"/>
        <w:spacing w:before="50"/>
        <w:rPr>
          <w:rFonts w:cs="Arial"/>
          <w:color w:val="auto"/>
        </w:rPr>
      </w:pPr>
      <w:r w:rsidRPr="0029116F">
        <w:rPr>
          <w:rFonts w:cs="Arial"/>
          <w:color w:val="auto"/>
        </w:rPr>
        <w:t>B</w:t>
      </w:r>
      <w:r w:rsidR="00F63895" w:rsidRPr="0029116F">
        <w:rPr>
          <w:rFonts w:cs="Arial"/>
          <w:color w:val="auto"/>
        </w:rPr>
        <w:t xml:space="preserve">USINESS </w:t>
      </w:r>
      <w:r w:rsidR="001844B6" w:rsidRPr="0029116F">
        <w:rPr>
          <w:rFonts w:cs="Arial"/>
          <w:color w:val="auto"/>
        </w:rPr>
        <w:t>ASSESSMENT (</w:t>
      </w:r>
      <w:r w:rsidR="000D161C" w:rsidRPr="0029116F">
        <w:rPr>
          <w:rFonts w:cs="Arial"/>
          <w:color w:val="auto"/>
        </w:rPr>
        <w:t>Preferred option</w:t>
      </w:r>
      <w:r w:rsidR="001844B6" w:rsidRPr="0029116F">
        <w:rPr>
          <w:rFonts w:cs="Arial"/>
          <w:color w:val="auto"/>
        </w:rPr>
        <w:t>)</w:t>
      </w:r>
    </w:p>
    <w:tbl>
      <w:tblPr>
        <w:tblW w:w="5075" w:type="pct"/>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384"/>
        <w:gridCol w:w="1383"/>
        <w:gridCol w:w="1335"/>
        <w:gridCol w:w="47"/>
        <w:gridCol w:w="803"/>
        <w:gridCol w:w="566"/>
        <w:gridCol w:w="15"/>
        <w:gridCol w:w="411"/>
        <w:gridCol w:w="425"/>
        <w:gridCol w:w="564"/>
        <w:gridCol w:w="990"/>
        <w:gridCol w:w="283"/>
        <w:gridCol w:w="708"/>
        <w:gridCol w:w="282"/>
        <w:gridCol w:w="575"/>
        <w:gridCol w:w="557"/>
      </w:tblGrid>
      <w:tr w:rsidR="001D081D" w:rsidRPr="001D081D" w14:paraId="1F316219" w14:textId="0A91B017" w:rsidTr="00ED7935">
        <w:trPr>
          <w:trHeight w:val="227"/>
        </w:trPr>
        <w:tc>
          <w:tcPr>
            <w:tcW w:w="10328" w:type="dxa"/>
            <w:gridSpan w:val="16"/>
            <w:tcBorders>
              <w:top w:val="single" w:sz="12" w:space="0" w:color="auto"/>
              <w:left w:val="single" w:sz="12" w:space="0" w:color="auto"/>
              <w:bottom w:val="single" w:sz="4" w:space="0" w:color="auto"/>
              <w:right w:val="single" w:sz="12" w:space="0" w:color="auto"/>
            </w:tcBorders>
            <w:vAlign w:val="center"/>
          </w:tcPr>
          <w:p w14:paraId="121D274B" w14:textId="79CADDA8" w:rsidR="00A6474B" w:rsidRPr="003C1B08" w:rsidRDefault="00A6474B" w:rsidP="00A6474B">
            <w:pPr>
              <w:pStyle w:val="IATableLabel"/>
              <w:spacing w:before="40" w:after="40"/>
              <w:rPr>
                <w:rFonts w:cs="Arial"/>
                <w:color w:val="auto"/>
              </w:rPr>
            </w:pPr>
            <w:bookmarkStart w:id="8" w:name="_Hlk95933809"/>
            <w:r w:rsidRPr="003C1B08">
              <w:rPr>
                <w:rFonts w:cs="Arial"/>
                <w:color w:val="auto"/>
              </w:rPr>
              <w:t>Direct impact on business (Equivalent Annual) £m:</w:t>
            </w:r>
            <w:r w:rsidR="00C012C4" w:rsidRPr="003C1B08">
              <w:rPr>
                <w:rFonts w:cs="Arial"/>
                <w:color w:val="auto"/>
              </w:rPr>
              <w:t xml:space="preserve"> </w:t>
            </w:r>
            <w:r w:rsidR="00C012C4" w:rsidRPr="003C1B08">
              <w:rPr>
                <w:rFonts w:cs="Arial"/>
                <w:b w:val="0"/>
                <w:color w:val="auto"/>
              </w:rPr>
              <w:t>(benefit – cost)</w:t>
            </w:r>
          </w:p>
        </w:tc>
      </w:tr>
      <w:tr w:rsidR="001D081D" w:rsidRPr="001D081D" w14:paraId="2BF104A3" w14:textId="77777777" w:rsidTr="00ED7935">
        <w:trPr>
          <w:trHeight w:val="227"/>
        </w:trPr>
        <w:tc>
          <w:tcPr>
            <w:tcW w:w="1384" w:type="dxa"/>
            <w:tcBorders>
              <w:top w:val="single" w:sz="4" w:space="0" w:color="auto"/>
              <w:left w:val="single" w:sz="12" w:space="0" w:color="auto"/>
              <w:bottom w:val="single" w:sz="4" w:space="0" w:color="auto"/>
              <w:right w:val="single" w:sz="6" w:space="0" w:color="auto"/>
            </w:tcBorders>
            <w:vAlign w:val="center"/>
          </w:tcPr>
          <w:p w14:paraId="0074F3B6" w14:textId="0BBEAC23" w:rsidR="00A6474B" w:rsidRPr="00807380" w:rsidRDefault="00A6474B" w:rsidP="00371FBE">
            <w:pPr>
              <w:pStyle w:val="IATableLabel"/>
              <w:spacing w:before="40" w:after="40"/>
              <w:rPr>
                <w:rFonts w:cs="Arial"/>
                <w:color w:val="auto"/>
              </w:rPr>
            </w:pPr>
            <w:r w:rsidRPr="00807380">
              <w:rPr>
                <w:rFonts w:cs="Arial"/>
                <w:color w:val="auto"/>
              </w:rPr>
              <w:t>Cost, £m</w:t>
            </w:r>
          </w:p>
        </w:tc>
        <w:tc>
          <w:tcPr>
            <w:tcW w:w="1383" w:type="dxa"/>
            <w:tcBorders>
              <w:top w:val="single" w:sz="4" w:space="0" w:color="auto"/>
              <w:left w:val="single" w:sz="6" w:space="0" w:color="auto"/>
              <w:bottom w:val="single" w:sz="4" w:space="0" w:color="auto"/>
              <w:right w:val="single" w:sz="4" w:space="0" w:color="auto"/>
            </w:tcBorders>
            <w:vAlign w:val="center"/>
          </w:tcPr>
          <w:p w14:paraId="21B64CBC" w14:textId="5B0F30BA" w:rsidR="00A6474B" w:rsidRPr="005C4919" w:rsidRDefault="00A466F7" w:rsidP="00DD33F7">
            <w:pPr>
              <w:pStyle w:val="IATableLabel"/>
              <w:spacing w:before="40" w:after="40"/>
              <w:jc w:val="right"/>
              <w:rPr>
                <w:rFonts w:cs="Arial"/>
                <w:b w:val="0"/>
                <w:color w:val="auto"/>
              </w:rPr>
            </w:pPr>
            <w:r w:rsidRPr="00C23FBE">
              <w:rPr>
                <w:rFonts w:cs="Arial"/>
                <w:b w:val="0"/>
                <w:color w:val="auto"/>
              </w:rPr>
              <w:t>102</w:t>
            </w:r>
            <w:r w:rsidRPr="005C4919">
              <w:rPr>
                <w:rFonts w:cs="Arial"/>
                <w:b w:val="0"/>
                <w:color w:val="auto"/>
              </w:rPr>
              <w:t xml:space="preserve"> </w:t>
            </w:r>
          </w:p>
        </w:tc>
        <w:tc>
          <w:tcPr>
            <w:tcW w:w="1382" w:type="dxa"/>
            <w:gridSpan w:val="2"/>
            <w:tcBorders>
              <w:top w:val="single" w:sz="4" w:space="0" w:color="auto"/>
              <w:left w:val="single" w:sz="4" w:space="0" w:color="auto"/>
              <w:bottom w:val="single" w:sz="4" w:space="0" w:color="auto"/>
            </w:tcBorders>
            <w:vAlign w:val="center"/>
          </w:tcPr>
          <w:p w14:paraId="69AA83F0" w14:textId="3335F74B" w:rsidR="00A6474B" w:rsidRPr="005C4919" w:rsidRDefault="00A6474B" w:rsidP="00A6474B">
            <w:pPr>
              <w:pStyle w:val="IATableLabel"/>
              <w:spacing w:before="40" w:after="40"/>
              <w:rPr>
                <w:rFonts w:cs="Arial"/>
                <w:color w:val="auto"/>
              </w:rPr>
            </w:pPr>
            <w:r w:rsidRPr="005C4919">
              <w:rPr>
                <w:rFonts w:cs="Arial"/>
                <w:color w:val="auto"/>
              </w:rPr>
              <w:t>Benefit, £m</w:t>
            </w:r>
          </w:p>
        </w:tc>
        <w:tc>
          <w:tcPr>
            <w:tcW w:w="1384" w:type="dxa"/>
            <w:gridSpan w:val="3"/>
            <w:tcBorders>
              <w:top w:val="single" w:sz="4" w:space="0" w:color="auto"/>
              <w:left w:val="single" w:sz="6" w:space="0" w:color="auto"/>
              <w:bottom w:val="single" w:sz="4" w:space="0" w:color="auto"/>
            </w:tcBorders>
            <w:vAlign w:val="center"/>
          </w:tcPr>
          <w:p w14:paraId="4D948A02" w14:textId="12F967F2" w:rsidR="00A6474B" w:rsidRPr="005C4919" w:rsidRDefault="00C012C4" w:rsidP="00DD33F7">
            <w:pPr>
              <w:pStyle w:val="IATableLabel"/>
              <w:spacing w:before="40" w:after="40"/>
              <w:jc w:val="right"/>
              <w:rPr>
                <w:rFonts w:cs="Arial"/>
                <w:b w:val="0"/>
                <w:color w:val="auto"/>
              </w:rPr>
            </w:pPr>
            <w:r w:rsidRPr="005C4919">
              <w:rPr>
                <w:rFonts w:cs="Arial"/>
                <w:b w:val="0"/>
                <w:color w:val="auto"/>
              </w:rPr>
              <w:t>0.0</w:t>
            </w:r>
          </w:p>
        </w:tc>
        <w:tc>
          <w:tcPr>
            <w:tcW w:w="1400" w:type="dxa"/>
            <w:gridSpan w:val="3"/>
            <w:tcBorders>
              <w:top w:val="single" w:sz="4" w:space="0" w:color="auto"/>
              <w:left w:val="single" w:sz="6" w:space="0" w:color="auto"/>
              <w:bottom w:val="single" w:sz="4" w:space="0" w:color="auto"/>
            </w:tcBorders>
            <w:vAlign w:val="center"/>
          </w:tcPr>
          <w:p w14:paraId="567F3B9A" w14:textId="30E644B7" w:rsidR="00A6474B" w:rsidRPr="005C4919" w:rsidRDefault="00A6474B" w:rsidP="00A6474B">
            <w:pPr>
              <w:pStyle w:val="IATableLabel"/>
              <w:spacing w:before="40" w:after="40"/>
              <w:rPr>
                <w:rFonts w:cs="Arial"/>
                <w:color w:val="auto"/>
              </w:rPr>
            </w:pPr>
            <w:r w:rsidRPr="005C4919">
              <w:rPr>
                <w:rFonts w:cs="Arial"/>
                <w:color w:val="auto"/>
              </w:rPr>
              <w:t>Net, £m</w:t>
            </w:r>
          </w:p>
        </w:tc>
        <w:tc>
          <w:tcPr>
            <w:tcW w:w="3395" w:type="dxa"/>
            <w:gridSpan w:val="6"/>
            <w:tcBorders>
              <w:top w:val="single" w:sz="4" w:space="0" w:color="auto"/>
              <w:left w:val="single" w:sz="6" w:space="0" w:color="auto"/>
              <w:bottom w:val="single" w:sz="4" w:space="0" w:color="auto"/>
              <w:right w:val="single" w:sz="12" w:space="0" w:color="auto"/>
            </w:tcBorders>
            <w:vAlign w:val="center"/>
          </w:tcPr>
          <w:p w14:paraId="5548183D" w14:textId="70CD25CF" w:rsidR="00A6474B" w:rsidRPr="005C4919" w:rsidRDefault="000142AA" w:rsidP="005D2CBB">
            <w:pPr>
              <w:pStyle w:val="IATableLabel"/>
              <w:spacing w:before="40" w:after="40"/>
              <w:ind w:left="473"/>
              <w:jc w:val="right"/>
              <w:rPr>
                <w:rFonts w:cs="Arial"/>
                <w:color w:val="auto"/>
              </w:rPr>
            </w:pPr>
            <w:r w:rsidRPr="006038A6">
              <w:rPr>
                <w:rFonts w:cs="Arial"/>
                <w:color w:val="auto"/>
              </w:rPr>
              <w:t>-</w:t>
            </w:r>
            <w:r w:rsidR="00A466F7" w:rsidRPr="00DD42BB">
              <w:rPr>
                <w:rFonts w:cs="Arial"/>
                <w:color w:val="auto"/>
              </w:rPr>
              <w:t>102</w:t>
            </w:r>
            <w:r w:rsidR="007008EA" w:rsidRPr="005C4919">
              <w:rPr>
                <w:rFonts w:cs="Arial"/>
                <w:color w:val="auto"/>
              </w:rPr>
              <w:t xml:space="preserve"> </w:t>
            </w:r>
            <w:r w:rsidR="00D573C3" w:rsidRPr="005C4919">
              <w:rPr>
                <w:rFonts w:cs="Arial"/>
                <w:color w:val="auto"/>
              </w:rPr>
              <w:t>(2024 PV prices)</w:t>
            </w:r>
          </w:p>
        </w:tc>
      </w:tr>
      <w:tr w:rsidR="001D081D" w:rsidRPr="001D081D" w14:paraId="27097C5B" w14:textId="77777777" w:rsidTr="00ED7935">
        <w:trPr>
          <w:trHeight w:val="227"/>
        </w:trPr>
        <w:tc>
          <w:tcPr>
            <w:tcW w:w="6933" w:type="dxa"/>
            <w:gridSpan w:val="10"/>
            <w:tcBorders>
              <w:top w:val="single" w:sz="4" w:space="0" w:color="auto"/>
              <w:left w:val="single" w:sz="12" w:space="0" w:color="auto"/>
              <w:bottom w:val="single" w:sz="12" w:space="0" w:color="auto"/>
            </w:tcBorders>
          </w:tcPr>
          <w:p w14:paraId="2ABA43EB" w14:textId="6395E730" w:rsidR="00A6474B" w:rsidRPr="005C4919" w:rsidRDefault="00A6474B" w:rsidP="00A6474B">
            <w:pPr>
              <w:pStyle w:val="IATableLabel"/>
              <w:spacing w:before="40" w:after="40"/>
              <w:rPr>
                <w:rFonts w:cs="Arial"/>
                <w:color w:val="auto"/>
              </w:rPr>
            </w:pPr>
            <w:r w:rsidRPr="005C4919">
              <w:rPr>
                <w:rFonts w:cs="Arial"/>
                <w:color w:val="auto"/>
              </w:rPr>
              <w:t>Score for Business Impact Target (qualifying provisions only) £m:</w:t>
            </w:r>
            <w:r w:rsidR="00C25B5C" w:rsidRPr="005C4919">
              <w:rPr>
                <w:rFonts w:cs="Arial"/>
                <w:color w:val="auto"/>
              </w:rPr>
              <w:t xml:space="preserve"> </w:t>
            </w:r>
          </w:p>
        </w:tc>
        <w:tc>
          <w:tcPr>
            <w:tcW w:w="3395" w:type="dxa"/>
            <w:gridSpan w:val="6"/>
            <w:tcBorders>
              <w:top w:val="single" w:sz="4" w:space="0" w:color="auto"/>
              <w:left w:val="single" w:sz="6" w:space="0" w:color="auto"/>
              <w:bottom w:val="single" w:sz="12" w:space="0" w:color="auto"/>
              <w:right w:val="single" w:sz="12" w:space="0" w:color="auto"/>
            </w:tcBorders>
          </w:tcPr>
          <w:p w14:paraId="46CC4F42" w14:textId="239FBAB7" w:rsidR="00A6474B" w:rsidRPr="005C4919" w:rsidRDefault="00A61D87" w:rsidP="00DD33F7">
            <w:pPr>
              <w:pStyle w:val="IATableLabel"/>
              <w:spacing w:before="40" w:after="40"/>
              <w:jc w:val="right"/>
              <w:rPr>
                <w:rFonts w:cs="Arial"/>
                <w:color w:val="auto"/>
              </w:rPr>
            </w:pPr>
            <w:r w:rsidRPr="00C23FBE">
              <w:rPr>
                <w:rFonts w:cs="Arial"/>
                <w:color w:val="auto"/>
              </w:rPr>
              <w:t>3</w:t>
            </w:r>
            <w:r w:rsidR="00880087" w:rsidRPr="00C23FBE">
              <w:rPr>
                <w:rFonts w:cs="Arial"/>
                <w:color w:val="auto"/>
              </w:rPr>
              <w:t>82.</w:t>
            </w:r>
            <w:r w:rsidR="00880087" w:rsidRPr="00DD42BB">
              <w:rPr>
                <w:rFonts w:cs="Arial"/>
                <w:color w:val="auto"/>
              </w:rPr>
              <w:t>2</w:t>
            </w:r>
            <w:r w:rsidRPr="005C4919">
              <w:rPr>
                <w:rFonts w:cs="Arial"/>
                <w:color w:val="auto"/>
              </w:rPr>
              <w:t xml:space="preserve"> </w:t>
            </w:r>
            <w:r w:rsidR="00F668E9" w:rsidRPr="005C4919">
              <w:rPr>
                <w:rFonts w:cs="Arial"/>
                <w:color w:val="auto"/>
              </w:rPr>
              <w:t>(</w:t>
            </w:r>
            <w:r w:rsidR="006C3E2B" w:rsidRPr="005C4919">
              <w:rPr>
                <w:rFonts w:cs="Arial"/>
                <w:color w:val="auto"/>
              </w:rPr>
              <w:t>2019 prices, 2020 PV)</w:t>
            </w:r>
          </w:p>
        </w:tc>
      </w:tr>
      <w:tr w:rsidR="001D081D" w:rsidRPr="001D081D" w14:paraId="43B022FF" w14:textId="77777777" w:rsidTr="00ED7935">
        <w:trPr>
          <w:trHeight w:val="227"/>
        </w:trPr>
        <w:tc>
          <w:tcPr>
            <w:tcW w:w="6933" w:type="dxa"/>
            <w:gridSpan w:val="10"/>
            <w:tcBorders>
              <w:top w:val="single" w:sz="4" w:space="0" w:color="auto"/>
              <w:bottom w:val="single" w:sz="4" w:space="0" w:color="auto"/>
            </w:tcBorders>
          </w:tcPr>
          <w:p w14:paraId="2DF0B6C2" w14:textId="193F8397" w:rsidR="00A6474B" w:rsidRPr="00807380" w:rsidRDefault="00A6474B" w:rsidP="00A6474B">
            <w:pPr>
              <w:pStyle w:val="IATableLabel"/>
              <w:spacing w:before="40" w:after="40"/>
              <w:rPr>
                <w:rFonts w:cs="Arial"/>
                <w:color w:val="auto"/>
              </w:rPr>
            </w:pPr>
            <w:r w:rsidRPr="00807380">
              <w:rPr>
                <w:rFonts w:cs="Arial"/>
                <w:color w:val="auto"/>
              </w:rPr>
              <w:t>Is this measure likely to impact on trade and investment?</w:t>
            </w:r>
          </w:p>
        </w:tc>
        <w:tc>
          <w:tcPr>
            <w:tcW w:w="3395" w:type="dxa"/>
            <w:gridSpan w:val="6"/>
            <w:tcBorders>
              <w:top w:val="single" w:sz="4" w:space="0" w:color="auto"/>
              <w:left w:val="single" w:sz="6" w:space="0" w:color="auto"/>
              <w:bottom w:val="single" w:sz="4" w:space="0" w:color="auto"/>
            </w:tcBorders>
          </w:tcPr>
          <w:p w14:paraId="06A0036D" w14:textId="4B88633A" w:rsidR="00A6474B" w:rsidRPr="00807380" w:rsidRDefault="00404D0B" w:rsidP="00DD33F7">
            <w:pPr>
              <w:pStyle w:val="IATableLabel"/>
              <w:spacing w:before="40" w:after="40"/>
              <w:jc w:val="center"/>
              <w:rPr>
                <w:rFonts w:cs="Arial"/>
                <w:b w:val="0"/>
                <w:color w:val="auto"/>
              </w:rPr>
            </w:pPr>
            <w:r w:rsidRPr="00807380">
              <w:rPr>
                <w:rFonts w:cs="Arial"/>
                <w:b w:val="0"/>
                <w:color w:val="auto"/>
              </w:rPr>
              <w:t>N</w:t>
            </w:r>
          </w:p>
        </w:tc>
      </w:tr>
      <w:tr w:rsidR="001D081D" w:rsidRPr="001D081D" w14:paraId="06D55243" w14:textId="77777777" w:rsidTr="001D6231">
        <w:trPr>
          <w:trHeight w:val="227"/>
        </w:trPr>
        <w:tc>
          <w:tcPr>
            <w:tcW w:w="4102" w:type="dxa"/>
            <w:gridSpan w:val="3"/>
            <w:tcBorders>
              <w:top w:val="single" w:sz="4" w:space="0" w:color="auto"/>
              <w:bottom w:val="single" w:sz="4" w:space="0" w:color="auto"/>
              <w:right w:val="single" w:sz="4" w:space="0" w:color="auto"/>
            </w:tcBorders>
          </w:tcPr>
          <w:p w14:paraId="34984C11" w14:textId="1A3EE1BA" w:rsidR="00346074" w:rsidRPr="00807380" w:rsidRDefault="00346074" w:rsidP="00A6474B">
            <w:pPr>
              <w:pStyle w:val="IATableLabel"/>
              <w:spacing w:before="40" w:after="40"/>
              <w:rPr>
                <w:rFonts w:cs="Arial"/>
                <w:color w:val="auto"/>
              </w:rPr>
            </w:pPr>
            <w:r w:rsidRPr="00807380">
              <w:rPr>
                <w:rFonts w:cs="Arial"/>
                <w:color w:val="auto"/>
              </w:rPr>
              <w:t xml:space="preserve">Are any of these organisations in scope? </w:t>
            </w:r>
          </w:p>
        </w:tc>
        <w:tc>
          <w:tcPr>
            <w:tcW w:w="850" w:type="dxa"/>
            <w:gridSpan w:val="2"/>
            <w:tcBorders>
              <w:top w:val="single" w:sz="4" w:space="0" w:color="auto"/>
              <w:left w:val="single" w:sz="4" w:space="0" w:color="auto"/>
              <w:bottom w:val="single" w:sz="4" w:space="0" w:color="auto"/>
            </w:tcBorders>
          </w:tcPr>
          <w:p w14:paraId="592ADD1B" w14:textId="77777777" w:rsidR="00346074" w:rsidRPr="00807380" w:rsidRDefault="00346074" w:rsidP="00346074">
            <w:pPr>
              <w:pStyle w:val="IATableLabel"/>
              <w:spacing w:before="40" w:after="40"/>
              <w:ind w:left="57"/>
              <w:jc w:val="both"/>
              <w:rPr>
                <w:rFonts w:cs="Arial"/>
                <w:color w:val="auto"/>
              </w:rPr>
            </w:pPr>
            <w:r w:rsidRPr="00807380">
              <w:rPr>
                <w:rFonts w:cs="Arial"/>
                <w:color w:val="auto"/>
              </w:rPr>
              <w:t>Micro</w:t>
            </w:r>
          </w:p>
        </w:tc>
        <w:tc>
          <w:tcPr>
            <w:tcW w:w="566" w:type="dxa"/>
            <w:tcBorders>
              <w:top w:val="single" w:sz="4" w:space="0" w:color="auto"/>
              <w:left w:val="single" w:sz="4" w:space="0" w:color="auto"/>
              <w:bottom w:val="single" w:sz="4" w:space="0" w:color="auto"/>
              <w:right w:val="single" w:sz="4" w:space="0" w:color="auto"/>
            </w:tcBorders>
          </w:tcPr>
          <w:p w14:paraId="1708813C" w14:textId="16D142E3" w:rsidR="00346074" w:rsidRPr="00807380" w:rsidRDefault="00404D0B" w:rsidP="00DD33F7">
            <w:pPr>
              <w:pStyle w:val="IATableLabel"/>
              <w:spacing w:before="40" w:after="40"/>
              <w:jc w:val="center"/>
              <w:rPr>
                <w:rFonts w:cs="Arial"/>
                <w:color w:val="auto"/>
              </w:rPr>
            </w:pPr>
            <w:r w:rsidRPr="00807380">
              <w:rPr>
                <w:rFonts w:cs="Arial"/>
                <w:b w:val="0"/>
                <w:color w:val="auto"/>
              </w:rPr>
              <w:t>N</w:t>
            </w:r>
          </w:p>
        </w:tc>
        <w:tc>
          <w:tcPr>
            <w:tcW w:w="851" w:type="dxa"/>
            <w:gridSpan w:val="3"/>
            <w:tcBorders>
              <w:top w:val="single" w:sz="4" w:space="0" w:color="auto"/>
              <w:left w:val="single" w:sz="4" w:space="0" w:color="auto"/>
              <w:bottom w:val="single" w:sz="4" w:space="0" w:color="auto"/>
              <w:right w:val="single" w:sz="4" w:space="0" w:color="auto"/>
            </w:tcBorders>
          </w:tcPr>
          <w:p w14:paraId="049EAAF3" w14:textId="62FAD397" w:rsidR="00346074" w:rsidRPr="00807380" w:rsidRDefault="00346074" w:rsidP="00346074">
            <w:pPr>
              <w:pStyle w:val="IATableLabel"/>
              <w:spacing w:before="40" w:after="40"/>
              <w:ind w:left="57"/>
              <w:jc w:val="both"/>
              <w:rPr>
                <w:rFonts w:cs="Arial"/>
                <w:color w:val="auto"/>
              </w:rPr>
            </w:pPr>
            <w:r w:rsidRPr="00807380">
              <w:rPr>
                <w:rFonts w:cs="Arial"/>
                <w:color w:val="auto"/>
              </w:rPr>
              <w:t>Small</w:t>
            </w:r>
          </w:p>
        </w:tc>
        <w:tc>
          <w:tcPr>
            <w:tcW w:w="564" w:type="dxa"/>
            <w:tcBorders>
              <w:top w:val="single" w:sz="4" w:space="0" w:color="auto"/>
              <w:left w:val="single" w:sz="4" w:space="0" w:color="auto"/>
              <w:bottom w:val="single" w:sz="4" w:space="0" w:color="auto"/>
              <w:right w:val="single" w:sz="4" w:space="0" w:color="auto"/>
            </w:tcBorders>
          </w:tcPr>
          <w:p w14:paraId="6D8E3FC7" w14:textId="6FE2FF08" w:rsidR="00346074" w:rsidRPr="00807380" w:rsidRDefault="00404D0B" w:rsidP="00DD33F7">
            <w:pPr>
              <w:pStyle w:val="IATableLabel"/>
              <w:spacing w:before="40" w:after="40"/>
              <w:jc w:val="center"/>
              <w:rPr>
                <w:rFonts w:cs="Arial"/>
                <w:color w:val="auto"/>
              </w:rPr>
            </w:pPr>
            <w:r w:rsidRPr="00807380">
              <w:rPr>
                <w:rFonts w:cs="Arial"/>
                <w:b w:val="0"/>
                <w:color w:val="auto"/>
              </w:rPr>
              <w:t>N</w:t>
            </w:r>
          </w:p>
        </w:tc>
        <w:tc>
          <w:tcPr>
            <w:tcW w:w="1273" w:type="dxa"/>
            <w:gridSpan w:val="2"/>
            <w:tcBorders>
              <w:top w:val="single" w:sz="4" w:space="0" w:color="auto"/>
              <w:left w:val="single" w:sz="4" w:space="0" w:color="auto"/>
              <w:bottom w:val="single" w:sz="4" w:space="0" w:color="auto"/>
              <w:right w:val="single" w:sz="4" w:space="0" w:color="auto"/>
            </w:tcBorders>
          </w:tcPr>
          <w:p w14:paraId="6B0131F4" w14:textId="45D48F83" w:rsidR="00346074" w:rsidRPr="00807380" w:rsidRDefault="00346074" w:rsidP="00346074">
            <w:pPr>
              <w:pStyle w:val="IATableLabel"/>
              <w:spacing w:before="40" w:after="40"/>
              <w:ind w:left="57"/>
              <w:jc w:val="both"/>
              <w:rPr>
                <w:rFonts w:cs="Arial"/>
                <w:color w:val="auto"/>
              </w:rPr>
            </w:pPr>
            <w:r w:rsidRPr="00807380">
              <w:rPr>
                <w:rFonts w:cs="Arial"/>
                <w:color w:val="auto"/>
              </w:rPr>
              <w:t>Medium</w:t>
            </w:r>
          </w:p>
        </w:tc>
        <w:tc>
          <w:tcPr>
            <w:tcW w:w="708" w:type="dxa"/>
            <w:tcBorders>
              <w:top w:val="single" w:sz="4" w:space="0" w:color="auto"/>
              <w:left w:val="single" w:sz="4" w:space="0" w:color="auto"/>
              <w:bottom w:val="single" w:sz="4" w:space="0" w:color="auto"/>
              <w:right w:val="single" w:sz="4" w:space="0" w:color="auto"/>
            </w:tcBorders>
          </w:tcPr>
          <w:p w14:paraId="1F17DC76" w14:textId="78850D12" w:rsidR="00346074" w:rsidRPr="00807380" w:rsidRDefault="00404D0B" w:rsidP="00DD33F7">
            <w:pPr>
              <w:pStyle w:val="IATableLabel"/>
              <w:spacing w:before="40" w:after="40"/>
              <w:jc w:val="center"/>
              <w:rPr>
                <w:rFonts w:cs="Arial"/>
                <w:color w:val="auto"/>
              </w:rPr>
            </w:pPr>
            <w:r w:rsidRPr="00807380">
              <w:rPr>
                <w:rFonts w:cs="Arial"/>
                <w:b w:val="0"/>
                <w:color w:val="auto"/>
              </w:rPr>
              <w:t>N</w:t>
            </w:r>
          </w:p>
        </w:tc>
        <w:tc>
          <w:tcPr>
            <w:tcW w:w="857" w:type="dxa"/>
            <w:gridSpan w:val="2"/>
            <w:tcBorders>
              <w:top w:val="single" w:sz="4" w:space="0" w:color="auto"/>
              <w:left w:val="single" w:sz="4" w:space="0" w:color="auto"/>
              <w:bottom w:val="single" w:sz="4" w:space="0" w:color="auto"/>
              <w:right w:val="single" w:sz="4" w:space="0" w:color="auto"/>
            </w:tcBorders>
          </w:tcPr>
          <w:p w14:paraId="3D1EC123" w14:textId="6E39052D" w:rsidR="00346074" w:rsidRPr="00807380" w:rsidRDefault="00346074" w:rsidP="00346074">
            <w:pPr>
              <w:pStyle w:val="IATableLabel"/>
              <w:spacing w:before="40" w:after="40"/>
              <w:ind w:left="57"/>
              <w:jc w:val="both"/>
              <w:rPr>
                <w:rFonts w:cs="Arial"/>
                <w:color w:val="auto"/>
              </w:rPr>
            </w:pPr>
            <w:r w:rsidRPr="00807380">
              <w:rPr>
                <w:rFonts w:cs="Arial"/>
                <w:color w:val="auto"/>
              </w:rPr>
              <w:t>Large</w:t>
            </w:r>
          </w:p>
        </w:tc>
        <w:tc>
          <w:tcPr>
            <w:tcW w:w="557" w:type="dxa"/>
            <w:tcBorders>
              <w:top w:val="single" w:sz="4" w:space="0" w:color="auto"/>
              <w:left w:val="single" w:sz="4" w:space="0" w:color="auto"/>
              <w:bottom w:val="single" w:sz="4" w:space="0" w:color="auto"/>
            </w:tcBorders>
          </w:tcPr>
          <w:p w14:paraId="388E72F8" w14:textId="070FE286" w:rsidR="00346074" w:rsidRPr="00807380" w:rsidRDefault="00404D0B" w:rsidP="00DD33F7">
            <w:pPr>
              <w:pStyle w:val="IATableLabel"/>
              <w:spacing w:before="40" w:after="40"/>
              <w:jc w:val="center"/>
              <w:rPr>
                <w:rFonts w:cs="Arial"/>
                <w:color w:val="auto"/>
              </w:rPr>
            </w:pPr>
            <w:r w:rsidRPr="00807380">
              <w:rPr>
                <w:rFonts w:cs="Arial"/>
                <w:b w:val="0"/>
                <w:color w:val="auto"/>
              </w:rPr>
              <w:t>Y</w:t>
            </w:r>
          </w:p>
        </w:tc>
      </w:tr>
      <w:tr w:rsidR="001D081D" w:rsidRPr="001D081D" w14:paraId="6CEC192B" w14:textId="77777777" w:rsidTr="00223F26">
        <w:trPr>
          <w:trHeight w:val="227"/>
        </w:trPr>
        <w:tc>
          <w:tcPr>
            <w:tcW w:w="5944" w:type="dxa"/>
            <w:gridSpan w:val="8"/>
            <w:tcBorders>
              <w:top w:val="single" w:sz="4" w:space="0" w:color="auto"/>
              <w:bottom w:val="single" w:sz="4" w:space="0" w:color="auto"/>
              <w:right w:val="single" w:sz="4" w:space="0" w:color="auto"/>
            </w:tcBorders>
            <w:vAlign w:val="center"/>
          </w:tcPr>
          <w:p w14:paraId="371A14F2" w14:textId="77777777" w:rsidR="00ED7935" w:rsidRPr="0029116F" w:rsidRDefault="00ED7935" w:rsidP="00A6474B">
            <w:pPr>
              <w:pStyle w:val="IATableLabel"/>
              <w:spacing w:before="40" w:after="40"/>
              <w:rPr>
                <w:rFonts w:cs="Arial"/>
                <w:b w:val="0"/>
                <w:color w:val="auto"/>
              </w:rPr>
            </w:pPr>
            <w:r w:rsidRPr="0029116F">
              <w:rPr>
                <w:rFonts w:cs="Arial"/>
                <w:b w:val="0"/>
                <w:color w:val="auto"/>
              </w:rPr>
              <w:t>What is the CO</w:t>
            </w:r>
            <w:r w:rsidRPr="0029116F">
              <w:rPr>
                <w:rFonts w:cs="Arial"/>
                <w:b w:val="0"/>
                <w:color w:val="auto"/>
                <w:vertAlign w:val="subscript"/>
              </w:rPr>
              <w:t>2</w:t>
            </w:r>
            <w:r w:rsidRPr="0029116F">
              <w:rPr>
                <w:rFonts w:cs="Arial"/>
                <w:b w:val="0"/>
                <w:color w:val="auto"/>
              </w:rPr>
              <w:t xml:space="preserve"> equivalent change in greenhouse gas emissions?</w:t>
            </w:r>
          </w:p>
          <w:p w14:paraId="08850CBC" w14:textId="2BA10C03" w:rsidR="00ED7935" w:rsidRPr="0029116F" w:rsidRDefault="00ED7935" w:rsidP="00A6474B">
            <w:pPr>
              <w:pStyle w:val="IATableLabel"/>
              <w:spacing w:before="40" w:after="40"/>
              <w:rPr>
                <w:rFonts w:cs="Arial"/>
                <w:b w:val="0"/>
                <w:color w:val="auto"/>
              </w:rPr>
            </w:pPr>
            <w:r w:rsidRPr="0029116F">
              <w:rPr>
                <w:rFonts w:cs="Arial"/>
                <w:b w:val="0"/>
                <w:color w:val="auto"/>
              </w:rPr>
              <w:t>(Million tonnes CO</w:t>
            </w:r>
            <w:r w:rsidRPr="0029116F">
              <w:rPr>
                <w:rFonts w:cs="Arial"/>
                <w:b w:val="0"/>
                <w:color w:val="auto"/>
                <w:vertAlign w:val="subscript"/>
              </w:rPr>
              <w:t>2</w:t>
            </w:r>
            <w:r w:rsidRPr="0029116F">
              <w:rPr>
                <w:rFonts w:cs="Arial"/>
                <w:b w:val="0"/>
                <w:color w:val="auto"/>
              </w:rPr>
              <w:t xml:space="preserve"> equivalent)</w:t>
            </w:r>
          </w:p>
        </w:tc>
        <w:tc>
          <w:tcPr>
            <w:tcW w:w="989" w:type="dxa"/>
            <w:gridSpan w:val="2"/>
            <w:tcBorders>
              <w:top w:val="single" w:sz="4" w:space="0" w:color="auto"/>
              <w:left w:val="single" w:sz="4" w:space="0" w:color="auto"/>
              <w:bottom w:val="single" w:sz="4" w:space="0" w:color="auto"/>
            </w:tcBorders>
            <w:vAlign w:val="center"/>
          </w:tcPr>
          <w:p w14:paraId="7868971D" w14:textId="5C569BF7" w:rsidR="00ED7935" w:rsidRPr="0029116F" w:rsidRDefault="00ED7935" w:rsidP="00ED7935">
            <w:pPr>
              <w:pStyle w:val="IATableLabel"/>
              <w:spacing w:before="40" w:after="40"/>
              <w:ind w:left="57"/>
              <w:rPr>
                <w:rFonts w:cs="Arial"/>
                <w:b w:val="0"/>
                <w:color w:val="auto"/>
              </w:rPr>
            </w:pPr>
            <w:r w:rsidRPr="0029116F">
              <w:rPr>
                <w:rFonts w:cs="Arial"/>
                <w:b w:val="0"/>
                <w:color w:val="auto"/>
              </w:rPr>
              <w:t>Traded:</w:t>
            </w:r>
          </w:p>
        </w:tc>
        <w:tc>
          <w:tcPr>
            <w:tcW w:w="990" w:type="dxa"/>
            <w:tcBorders>
              <w:top w:val="single" w:sz="4" w:space="0" w:color="auto"/>
              <w:left w:val="single" w:sz="6" w:space="0" w:color="auto"/>
              <w:bottom w:val="single" w:sz="4" w:space="0" w:color="auto"/>
            </w:tcBorders>
            <w:vAlign w:val="center"/>
          </w:tcPr>
          <w:p w14:paraId="6A50E79A" w14:textId="5DE5369E" w:rsidR="00ED7935" w:rsidRPr="0029116F" w:rsidRDefault="00404D0B" w:rsidP="00DD33F7">
            <w:pPr>
              <w:pStyle w:val="IATableLabel"/>
              <w:spacing w:before="40" w:after="40"/>
              <w:jc w:val="center"/>
              <w:rPr>
                <w:rFonts w:cs="Arial"/>
                <w:b w:val="0"/>
                <w:color w:val="auto"/>
              </w:rPr>
            </w:pPr>
            <w:r w:rsidRPr="0029116F">
              <w:rPr>
                <w:rFonts w:cs="Arial"/>
                <w:b w:val="0"/>
                <w:color w:val="auto"/>
              </w:rPr>
              <w:t>N/A</w:t>
            </w:r>
          </w:p>
        </w:tc>
        <w:tc>
          <w:tcPr>
            <w:tcW w:w="1273" w:type="dxa"/>
            <w:gridSpan w:val="3"/>
            <w:tcBorders>
              <w:top w:val="single" w:sz="4" w:space="0" w:color="auto"/>
              <w:left w:val="single" w:sz="6" w:space="0" w:color="auto"/>
              <w:bottom w:val="single" w:sz="4" w:space="0" w:color="auto"/>
            </w:tcBorders>
            <w:vAlign w:val="center"/>
          </w:tcPr>
          <w:p w14:paraId="3CD1ECA4" w14:textId="01AA3A83" w:rsidR="00ED7935" w:rsidRPr="0029116F" w:rsidRDefault="00ED7935" w:rsidP="00ED7935">
            <w:pPr>
              <w:pStyle w:val="IATableLabel"/>
              <w:spacing w:before="40" w:after="40"/>
              <w:ind w:left="57"/>
              <w:rPr>
                <w:rFonts w:cs="Arial"/>
                <w:b w:val="0"/>
                <w:color w:val="auto"/>
              </w:rPr>
            </w:pPr>
            <w:r w:rsidRPr="0029116F">
              <w:rPr>
                <w:rFonts w:cs="Arial"/>
                <w:b w:val="0"/>
                <w:color w:val="auto"/>
              </w:rPr>
              <w:t>Non-Traded:</w:t>
            </w:r>
          </w:p>
        </w:tc>
        <w:tc>
          <w:tcPr>
            <w:tcW w:w="1132" w:type="dxa"/>
            <w:gridSpan w:val="2"/>
            <w:tcBorders>
              <w:top w:val="single" w:sz="4" w:space="0" w:color="auto"/>
              <w:left w:val="single" w:sz="6" w:space="0" w:color="auto"/>
              <w:bottom w:val="single" w:sz="4" w:space="0" w:color="auto"/>
            </w:tcBorders>
            <w:vAlign w:val="center"/>
          </w:tcPr>
          <w:p w14:paraId="5F7A2BB8" w14:textId="32284CF1" w:rsidR="00ED7935" w:rsidRPr="0029116F" w:rsidRDefault="00404D0B" w:rsidP="00DD33F7">
            <w:pPr>
              <w:pStyle w:val="IATableLabel"/>
              <w:spacing w:before="40" w:after="40"/>
              <w:jc w:val="center"/>
              <w:rPr>
                <w:rFonts w:cs="Arial"/>
                <w:b w:val="0"/>
                <w:color w:val="auto"/>
              </w:rPr>
            </w:pPr>
            <w:r w:rsidRPr="0029116F">
              <w:rPr>
                <w:rFonts w:cs="Arial"/>
                <w:b w:val="0"/>
                <w:color w:val="auto"/>
              </w:rPr>
              <w:t>N/A</w:t>
            </w:r>
          </w:p>
        </w:tc>
      </w:tr>
    </w:tbl>
    <w:bookmarkEnd w:id="8"/>
    <w:p w14:paraId="5B37AFFA" w14:textId="7C2D00A7" w:rsidR="00854B58" w:rsidRPr="0029116F" w:rsidRDefault="00ED7935" w:rsidP="00FE1A45">
      <w:pPr>
        <w:spacing w:before="40" w:after="40"/>
        <w:rPr>
          <w:rFonts w:cs="Arial"/>
          <w:sz w:val="20"/>
          <w:szCs w:val="20"/>
        </w:rPr>
      </w:pPr>
      <w:r w:rsidRPr="0029116F">
        <w:rPr>
          <w:rFonts w:cs="Arial"/>
          <w:b/>
          <w:sz w:val="20"/>
          <w:szCs w:val="20"/>
        </w:rPr>
        <w:t>PEOPLE AND SPECIFIC IMPACTS ASSESSMENT (</w:t>
      </w:r>
      <w:r w:rsidR="001238E3" w:rsidRPr="0029116F">
        <w:rPr>
          <w:rFonts w:cs="Arial"/>
          <w:b/>
          <w:sz w:val="20"/>
          <w:szCs w:val="20"/>
        </w:rPr>
        <w:t>Preferred o</w:t>
      </w:r>
      <w:r w:rsidRPr="0029116F">
        <w:rPr>
          <w:rFonts w:cs="Arial"/>
          <w:b/>
          <w:sz w:val="20"/>
          <w:szCs w:val="20"/>
        </w:rPr>
        <w:t>ption</w:t>
      </w:r>
      <w:r w:rsidRPr="0029116F">
        <w:rPr>
          <w:rFonts w:cs="Arial"/>
          <w:sz w:val="20"/>
          <w:szCs w:val="20"/>
        </w:rPr>
        <w:t>)</w:t>
      </w:r>
    </w:p>
    <w:tbl>
      <w:tblPr>
        <w:tblStyle w:val="TableGrid"/>
        <w:tblW w:w="1034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390"/>
        <w:gridCol w:w="707"/>
        <w:gridCol w:w="4537"/>
        <w:gridCol w:w="709"/>
      </w:tblGrid>
      <w:tr w:rsidR="001D081D" w:rsidRPr="001D081D" w14:paraId="6C43B3F1" w14:textId="77777777" w:rsidTr="00FE1A45">
        <w:tc>
          <w:tcPr>
            <w:tcW w:w="4390" w:type="dxa"/>
          </w:tcPr>
          <w:p w14:paraId="6E40C9DA" w14:textId="229154A9" w:rsidR="00ED7935" w:rsidRPr="0029116F" w:rsidRDefault="00ED7935" w:rsidP="005A3880">
            <w:pPr>
              <w:rPr>
                <w:rFonts w:cs="Arial"/>
                <w:b/>
                <w:sz w:val="20"/>
                <w:szCs w:val="20"/>
              </w:rPr>
            </w:pPr>
            <w:r w:rsidRPr="0029116F">
              <w:rPr>
                <w:rFonts w:cs="Arial"/>
                <w:b/>
                <w:sz w:val="20"/>
                <w:szCs w:val="20"/>
              </w:rPr>
              <w:t xml:space="preserve">Are all relevant Specific Impacts included? </w:t>
            </w:r>
          </w:p>
        </w:tc>
        <w:tc>
          <w:tcPr>
            <w:tcW w:w="707" w:type="dxa"/>
          </w:tcPr>
          <w:p w14:paraId="468C9187" w14:textId="2E1D6E98" w:rsidR="00ED7935" w:rsidRPr="0029116F" w:rsidRDefault="00ED7935" w:rsidP="00FE1A45">
            <w:pPr>
              <w:jc w:val="center"/>
              <w:rPr>
                <w:rFonts w:cs="Arial"/>
                <w:sz w:val="20"/>
                <w:szCs w:val="20"/>
              </w:rPr>
            </w:pPr>
            <w:r w:rsidRPr="0029116F">
              <w:rPr>
                <w:rFonts w:cs="Arial"/>
                <w:sz w:val="20"/>
                <w:szCs w:val="20"/>
              </w:rPr>
              <w:t>Y</w:t>
            </w:r>
          </w:p>
        </w:tc>
        <w:tc>
          <w:tcPr>
            <w:tcW w:w="4537" w:type="dxa"/>
          </w:tcPr>
          <w:p w14:paraId="19B7C016" w14:textId="0683D89B" w:rsidR="00ED7935" w:rsidRPr="0029116F" w:rsidRDefault="00ED7935" w:rsidP="005A3880">
            <w:pPr>
              <w:rPr>
                <w:rFonts w:cs="Arial"/>
                <w:b/>
                <w:sz w:val="20"/>
                <w:szCs w:val="20"/>
              </w:rPr>
            </w:pPr>
            <w:r w:rsidRPr="0029116F">
              <w:rPr>
                <w:rFonts w:cs="Arial"/>
                <w:b/>
                <w:sz w:val="20"/>
                <w:szCs w:val="20"/>
              </w:rPr>
              <w:t xml:space="preserve">Are there any impacts on </w:t>
            </w:r>
            <w:r w:rsidR="006C07C7" w:rsidRPr="0029116F">
              <w:rPr>
                <w:rFonts w:cs="Arial"/>
                <w:b/>
                <w:sz w:val="20"/>
                <w:szCs w:val="20"/>
              </w:rPr>
              <w:t>particular groups?</w:t>
            </w:r>
          </w:p>
        </w:tc>
        <w:tc>
          <w:tcPr>
            <w:tcW w:w="709" w:type="dxa"/>
          </w:tcPr>
          <w:p w14:paraId="3950CFE1" w14:textId="1688B26B" w:rsidR="00ED7935" w:rsidRPr="0029116F" w:rsidRDefault="006C07C7" w:rsidP="00FE1A45">
            <w:pPr>
              <w:jc w:val="center"/>
              <w:rPr>
                <w:rFonts w:cs="Arial"/>
                <w:sz w:val="20"/>
                <w:szCs w:val="20"/>
              </w:rPr>
            </w:pPr>
            <w:r w:rsidRPr="0029116F">
              <w:rPr>
                <w:rFonts w:cs="Arial"/>
                <w:sz w:val="20"/>
                <w:szCs w:val="20"/>
              </w:rPr>
              <w:t>N</w:t>
            </w:r>
          </w:p>
        </w:tc>
      </w:tr>
    </w:tbl>
    <w:p w14:paraId="3317C5EC" w14:textId="008777B6" w:rsidR="008B5794" w:rsidRPr="001D081D" w:rsidRDefault="008B5794" w:rsidP="005A3880">
      <w:pPr>
        <w:rPr>
          <w:rFonts w:cs="Arial"/>
        </w:rPr>
        <w:sectPr w:rsidR="008B5794" w:rsidRPr="001D081D" w:rsidSect="00F1328C">
          <w:footnotePr>
            <w:numRestart w:val="eachSect"/>
          </w:footnotePr>
          <w:pgSz w:w="11907" w:h="16840" w:code="9"/>
          <w:pgMar w:top="680" w:right="851" w:bottom="680" w:left="851" w:header="284" w:footer="284" w:gutter="0"/>
          <w:cols w:space="708"/>
          <w:docGrid w:linePitch="360"/>
        </w:sectPr>
      </w:pPr>
    </w:p>
    <w:p w14:paraId="3210D024" w14:textId="77777777" w:rsidR="00F70A77" w:rsidRPr="0029116F" w:rsidRDefault="00F70A77" w:rsidP="00596E1C">
      <w:pPr>
        <w:pStyle w:val="Heading1"/>
        <w:keepNext w:val="0"/>
        <w:spacing w:before="0"/>
        <w:rPr>
          <w:rFonts w:ascii="Arial" w:hAnsi="Arial"/>
          <w:sz w:val="28"/>
          <w:szCs w:val="28"/>
        </w:rPr>
      </w:pPr>
      <w:bookmarkStart w:id="9" w:name="EvidenceHead"/>
      <w:bookmarkStart w:id="10" w:name="_Hlk521681629"/>
      <w:r w:rsidRPr="0029116F">
        <w:rPr>
          <w:rFonts w:ascii="Arial" w:hAnsi="Arial"/>
          <w:sz w:val="28"/>
          <w:szCs w:val="28"/>
        </w:rPr>
        <w:lastRenderedPageBreak/>
        <w:t xml:space="preserve">Evidence Base </w:t>
      </w:r>
      <w:bookmarkStart w:id="11" w:name="EvidenceBase"/>
      <w:bookmarkEnd w:id="11"/>
      <w:r w:rsidRPr="0029116F">
        <w:rPr>
          <w:rFonts w:ascii="Arial" w:hAnsi="Arial"/>
          <w:sz w:val="28"/>
          <w:szCs w:val="28"/>
        </w:rPr>
        <w:t>(for summary sheets)</w:t>
      </w:r>
    </w:p>
    <w:bookmarkEnd w:id="9"/>
    <w:p w14:paraId="69EF7377" w14:textId="77777777" w:rsidR="008B6E42" w:rsidRPr="0029116F" w:rsidRDefault="008B6E42" w:rsidP="0080464C">
      <w:pPr>
        <w:pStyle w:val="EBBodyPara"/>
        <w:jc w:val="both"/>
        <w:rPr>
          <w:color w:val="auto"/>
          <w:sz w:val="28"/>
          <w:szCs w:val="28"/>
        </w:rPr>
      </w:pPr>
    </w:p>
    <w:p w14:paraId="4A86A39B" w14:textId="42757D6E" w:rsidR="003E549B" w:rsidRPr="0029116F" w:rsidRDefault="003E549B" w:rsidP="003E1EBE">
      <w:pPr>
        <w:pStyle w:val="ListParagraph"/>
        <w:numPr>
          <w:ilvl w:val="0"/>
          <w:numId w:val="4"/>
        </w:numPr>
        <w:ind w:left="567" w:hanging="567"/>
        <w:contextualSpacing w:val="0"/>
        <w:jc w:val="both"/>
        <w:rPr>
          <w:rFonts w:cs="Arial"/>
          <w:b/>
          <w:sz w:val="28"/>
          <w:szCs w:val="28"/>
        </w:rPr>
      </w:pPr>
      <w:r w:rsidRPr="0029116F">
        <w:rPr>
          <w:rFonts w:cs="Arial"/>
          <w:b/>
          <w:sz w:val="28"/>
          <w:szCs w:val="28"/>
        </w:rPr>
        <w:t xml:space="preserve">Strategic </w:t>
      </w:r>
      <w:r w:rsidR="006B39E0" w:rsidRPr="0029116F">
        <w:rPr>
          <w:rFonts w:cs="Arial"/>
          <w:b/>
          <w:sz w:val="28"/>
          <w:szCs w:val="28"/>
        </w:rPr>
        <w:t>o</w:t>
      </w:r>
      <w:r w:rsidR="00571B96" w:rsidRPr="0029116F">
        <w:rPr>
          <w:rFonts w:cs="Arial"/>
          <w:b/>
          <w:sz w:val="28"/>
          <w:szCs w:val="28"/>
        </w:rPr>
        <w:t xml:space="preserve">bjective and </w:t>
      </w:r>
      <w:r w:rsidR="006B39E0" w:rsidRPr="0029116F">
        <w:rPr>
          <w:rFonts w:cs="Arial"/>
          <w:b/>
          <w:sz w:val="28"/>
          <w:szCs w:val="28"/>
        </w:rPr>
        <w:t>o</w:t>
      </w:r>
      <w:r w:rsidRPr="0029116F">
        <w:rPr>
          <w:rFonts w:cs="Arial"/>
          <w:b/>
          <w:sz w:val="28"/>
          <w:szCs w:val="28"/>
        </w:rPr>
        <w:t>verview</w:t>
      </w:r>
    </w:p>
    <w:p w14:paraId="08111504" w14:textId="0D7ED58A" w:rsidR="00500E1B" w:rsidRPr="00441AF5" w:rsidRDefault="00500E1B" w:rsidP="00B035F0">
      <w:pPr>
        <w:spacing w:after="120" w:line="259" w:lineRule="auto"/>
        <w:ind w:left="567"/>
        <w:jc w:val="both"/>
        <w:rPr>
          <w:rFonts w:cs="Arial"/>
          <w:bCs/>
          <w:sz w:val="22"/>
          <w:szCs w:val="22"/>
        </w:rPr>
      </w:pPr>
      <w:bookmarkStart w:id="12" w:name="OLE_LINK3"/>
      <w:bookmarkStart w:id="13" w:name="OLE_LINK6"/>
    </w:p>
    <w:p w14:paraId="09969574" w14:textId="77777777" w:rsidR="00D945F1" w:rsidRPr="00441AF5" w:rsidRDefault="00D945F1" w:rsidP="00D945F1">
      <w:pPr>
        <w:spacing w:after="120" w:line="259" w:lineRule="auto"/>
        <w:ind w:left="567" w:hanging="567"/>
        <w:jc w:val="both"/>
        <w:rPr>
          <w:rFonts w:cs="Arial"/>
          <w:b/>
          <w:sz w:val="22"/>
          <w:szCs w:val="22"/>
        </w:rPr>
      </w:pPr>
      <w:r w:rsidRPr="00441AF5">
        <w:rPr>
          <w:rFonts w:cs="Arial"/>
          <w:b/>
          <w:sz w:val="22"/>
          <w:szCs w:val="22"/>
        </w:rPr>
        <w:t>A.1</w:t>
      </w:r>
      <w:r w:rsidRPr="00441AF5">
        <w:rPr>
          <w:rFonts w:cs="Arial"/>
          <w:b/>
          <w:sz w:val="22"/>
          <w:szCs w:val="22"/>
        </w:rPr>
        <w:tab/>
        <w:t>Strategic objective</w:t>
      </w:r>
    </w:p>
    <w:p w14:paraId="70F0387D" w14:textId="77777777"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strategic objective is to reduce crime, specifically fraud. Criminal activity can be enabled and perpetuated by organisations. The limited ability to hold organisations criminally responsible </w:t>
      </w:r>
      <w:r w:rsidRPr="032CE579">
        <w:rPr>
          <w:rFonts w:cs="Arial"/>
          <w:sz w:val="22"/>
          <w:szCs w:val="22"/>
        </w:rPr>
        <w:t xml:space="preserve">for fraud </w:t>
      </w:r>
      <w:r w:rsidRPr="00441AF5">
        <w:rPr>
          <w:rFonts w:cs="Arial"/>
          <w:sz w:val="22"/>
          <w:szCs w:val="22"/>
        </w:rPr>
        <w:t>has raised concern that parts of corporate criminal liability law are not fit for purpose. This has created challenges in the successful prosecution of organisations for crime, particularly economic crimes.</w:t>
      </w:r>
    </w:p>
    <w:p w14:paraId="4AB3F9D6" w14:textId="77777777"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Reform of corporate liability is required to protect the integrity of the UK as a safe place to conduct business. This means </w:t>
      </w:r>
      <w:r>
        <w:rPr>
          <w:rFonts w:cs="Arial"/>
          <w:sz w:val="22"/>
          <w:szCs w:val="22"/>
        </w:rPr>
        <w:t>improving</w:t>
      </w:r>
      <w:r w:rsidRPr="00441AF5">
        <w:rPr>
          <w:rFonts w:cs="Arial"/>
          <w:sz w:val="22"/>
          <w:szCs w:val="22"/>
        </w:rPr>
        <w:t xml:space="preserve"> the ability for prosecutors to hold to account, and appropriately deal with, organisations whose employees</w:t>
      </w:r>
      <w:r>
        <w:rPr>
          <w:rFonts w:cs="Arial"/>
          <w:sz w:val="22"/>
          <w:szCs w:val="22"/>
        </w:rPr>
        <w:t xml:space="preserve">, agents, or other associated persons </w:t>
      </w:r>
      <w:r w:rsidRPr="00441AF5">
        <w:rPr>
          <w:rFonts w:cs="Arial"/>
          <w:sz w:val="22"/>
          <w:szCs w:val="22"/>
        </w:rPr>
        <w:t>perpetuate or facilitate economic crime. This includes clamping down on organisations without sufficient procedures in place to prevent the most common crime – fraud</w:t>
      </w:r>
      <w:r w:rsidRPr="00441AF5">
        <w:rPr>
          <w:rStyle w:val="FootnoteReference"/>
          <w:rFonts w:cs="Arial"/>
          <w:szCs w:val="22"/>
        </w:rPr>
        <w:footnoteReference w:id="2"/>
      </w:r>
      <w:r w:rsidRPr="00441AF5">
        <w:rPr>
          <w:rFonts w:cs="Arial"/>
          <w:sz w:val="22"/>
          <w:szCs w:val="22"/>
        </w:rPr>
        <w:t>.</w:t>
      </w:r>
    </w:p>
    <w:p w14:paraId="75846C44" w14:textId="77777777" w:rsidR="00D945F1" w:rsidRPr="00441AF5" w:rsidRDefault="00D945F1" w:rsidP="00D945F1">
      <w:pPr>
        <w:spacing w:after="120" w:line="259" w:lineRule="auto"/>
        <w:ind w:left="567" w:hanging="567"/>
        <w:jc w:val="both"/>
        <w:rPr>
          <w:rFonts w:cs="Arial"/>
          <w:sz w:val="22"/>
          <w:szCs w:val="22"/>
        </w:rPr>
      </w:pPr>
      <w:r w:rsidRPr="00441AF5">
        <w:rPr>
          <w:rFonts w:cs="Arial"/>
          <w:b/>
          <w:sz w:val="22"/>
          <w:szCs w:val="22"/>
        </w:rPr>
        <w:t>A.2</w:t>
      </w:r>
      <w:r w:rsidRPr="00441AF5">
        <w:rPr>
          <w:rFonts w:cs="Arial"/>
          <w:b/>
          <w:sz w:val="22"/>
          <w:szCs w:val="22"/>
        </w:rPr>
        <w:tab/>
        <w:t>Background</w:t>
      </w:r>
    </w:p>
    <w:p w14:paraId="743A71A0" w14:textId="10961B75"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In November 2020, the </w:t>
      </w:r>
      <w:r>
        <w:rPr>
          <w:rFonts w:cs="Arial"/>
          <w:sz w:val="22"/>
          <w:szCs w:val="22"/>
        </w:rPr>
        <w:t>g</w:t>
      </w:r>
      <w:r w:rsidRPr="00441AF5">
        <w:rPr>
          <w:rFonts w:cs="Arial"/>
          <w:sz w:val="22"/>
          <w:szCs w:val="22"/>
        </w:rPr>
        <w:t xml:space="preserve">overnment recognised the need to introduce reform to corporate liability and commissioned the Law Commission to undertake a thorough examination of the issue.  </w:t>
      </w:r>
      <w:r w:rsidR="009B4052">
        <w:rPr>
          <w:rFonts w:cs="Arial"/>
          <w:sz w:val="22"/>
          <w:szCs w:val="22"/>
        </w:rPr>
        <w:t xml:space="preserve">The Law Commission published a discussion paper setting out </w:t>
      </w:r>
      <w:r w:rsidR="00B77316">
        <w:rPr>
          <w:rFonts w:cs="Arial"/>
          <w:sz w:val="22"/>
          <w:szCs w:val="22"/>
        </w:rPr>
        <w:t xml:space="preserve">options </w:t>
      </w:r>
      <w:r w:rsidR="00A1658A">
        <w:rPr>
          <w:rFonts w:cs="Arial"/>
          <w:sz w:val="22"/>
          <w:szCs w:val="22"/>
        </w:rPr>
        <w:t>for reform. They</w:t>
      </w:r>
      <w:r w:rsidR="00B77316">
        <w:rPr>
          <w:rFonts w:cs="Arial"/>
          <w:sz w:val="22"/>
          <w:szCs w:val="22"/>
        </w:rPr>
        <w:t xml:space="preserve"> received 45 responses to the consultation</w:t>
      </w:r>
      <w:r w:rsidR="00A1658A">
        <w:rPr>
          <w:rFonts w:cs="Arial"/>
          <w:sz w:val="22"/>
          <w:szCs w:val="22"/>
        </w:rPr>
        <w:t xml:space="preserve"> and used these to </w:t>
      </w:r>
      <w:r w:rsidR="00AD4AF1">
        <w:rPr>
          <w:rFonts w:cs="Arial"/>
          <w:sz w:val="22"/>
          <w:szCs w:val="22"/>
        </w:rPr>
        <w:t xml:space="preserve">inform a final options paper for </w:t>
      </w:r>
      <w:r w:rsidR="00B142A6">
        <w:rPr>
          <w:rFonts w:cs="Arial"/>
          <w:sz w:val="22"/>
          <w:szCs w:val="22"/>
        </w:rPr>
        <w:t>g</w:t>
      </w:r>
      <w:r w:rsidR="00AD4AF1">
        <w:rPr>
          <w:rFonts w:cs="Arial"/>
          <w:sz w:val="22"/>
          <w:szCs w:val="22"/>
        </w:rPr>
        <w:t>overnment</w:t>
      </w:r>
      <w:r w:rsidR="002428EF">
        <w:rPr>
          <w:rStyle w:val="FootnoteReference"/>
          <w:szCs w:val="22"/>
        </w:rPr>
        <w:footnoteReference w:id="3"/>
      </w:r>
      <w:r w:rsidR="00AD4AF1">
        <w:rPr>
          <w:rFonts w:cs="Arial"/>
          <w:sz w:val="22"/>
          <w:szCs w:val="22"/>
        </w:rPr>
        <w:t xml:space="preserve">, published in June </w:t>
      </w:r>
      <w:r w:rsidRPr="00441AF5">
        <w:rPr>
          <w:rFonts w:cs="Arial"/>
          <w:sz w:val="22"/>
          <w:szCs w:val="22"/>
        </w:rPr>
        <w:t>2022</w:t>
      </w:r>
      <w:r w:rsidR="00AD4AF1">
        <w:rPr>
          <w:rFonts w:cs="Arial"/>
          <w:sz w:val="22"/>
          <w:szCs w:val="22"/>
        </w:rPr>
        <w:t>. This paper sets</w:t>
      </w:r>
      <w:r w:rsidRPr="00441AF5">
        <w:rPr>
          <w:rFonts w:cs="Arial"/>
          <w:sz w:val="22"/>
          <w:szCs w:val="22"/>
        </w:rPr>
        <w:t xml:space="preserve"> out 10 options ranging from civil penalties to criminal prosecutions. </w:t>
      </w:r>
    </w:p>
    <w:p w14:paraId="0BBA814E" w14:textId="4942805F" w:rsidR="00E14206" w:rsidRDefault="00D945F1" w:rsidP="6B538719">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government has considered the options and </w:t>
      </w:r>
      <w:r w:rsidR="00E14206">
        <w:rPr>
          <w:rFonts w:cs="Arial"/>
          <w:sz w:val="22"/>
          <w:szCs w:val="22"/>
        </w:rPr>
        <w:t>introduced two measures</w:t>
      </w:r>
      <w:r w:rsidR="00DC71D4">
        <w:rPr>
          <w:rFonts w:cs="Arial"/>
          <w:sz w:val="22"/>
          <w:szCs w:val="22"/>
        </w:rPr>
        <w:t xml:space="preserve"> in the Economic Crime and Corporate Transparency Act 2023</w:t>
      </w:r>
      <w:r w:rsidR="00F9682A">
        <w:rPr>
          <w:rFonts w:cs="Arial"/>
          <w:sz w:val="22"/>
          <w:szCs w:val="22"/>
        </w:rPr>
        <w:t xml:space="preserve"> (ECCT</w:t>
      </w:r>
      <w:r w:rsidR="00892FC5">
        <w:rPr>
          <w:rFonts w:cs="Arial"/>
          <w:sz w:val="22"/>
          <w:szCs w:val="22"/>
        </w:rPr>
        <w:t xml:space="preserve"> </w:t>
      </w:r>
      <w:r w:rsidR="009E0B76">
        <w:rPr>
          <w:rFonts w:cs="Arial"/>
          <w:sz w:val="22"/>
          <w:szCs w:val="22"/>
        </w:rPr>
        <w:t>2023</w:t>
      </w:r>
      <w:r w:rsidR="00F9682A">
        <w:rPr>
          <w:rFonts w:cs="Arial"/>
          <w:sz w:val="22"/>
          <w:szCs w:val="22"/>
        </w:rPr>
        <w:t>)</w:t>
      </w:r>
      <w:r w:rsidR="00E14206">
        <w:rPr>
          <w:rFonts w:cs="Arial"/>
          <w:sz w:val="22"/>
          <w:szCs w:val="22"/>
        </w:rPr>
        <w:t>, as the strongest options for reform. These are:</w:t>
      </w:r>
    </w:p>
    <w:p w14:paraId="6A37C7BB" w14:textId="149FB617" w:rsidR="00DF28F6" w:rsidRPr="00CF2238" w:rsidRDefault="00DF28F6" w:rsidP="00CF2238">
      <w:pPr>
        <w:pStyle w:val="ListParagraph"/>
        <w:numPr>
          <w:ilvl w:val="2"/>
          <w:numId w:val="96"/>
        </w:numPr>
        <w:spacing w:after="120" w:line="259" w:lineRule="auto"/>
        <w:ind w:left="1134" w:right="566" w:hanging="425"/>
        <w:contextualSpacing w:val="0"/>
        <w:jc w:val="both"/>
        <w:rPr>
          <w:rFonts w:cs="Arial"/>
          <w:sz w:val="22"/>
          <w:szCs w:val="22"/>
        </w:rPr>
      </w:pPr>
      <w:r w:rsidRPr="00CF2238">
        <w:rPr>
          <w:rFonts w:cs="Arial"/>
          <w:sz w:val="22"/>
          <w:szCs w:val="22"/>
        </w:rPr>
        <w:t xml:space="preserve">Amendment of the identification doctrine for economic crime </w:t>
      </w:r>
      <w:r w:rsidR="00F9682A" w:rsidRPr="00CF2238">
        <w:rPr>
          <w:rFonts w:cs="Arial"/>
          <w:sz w:val="22"/>
          <w:szCs w:val="22"/>
        </w:rPr>
        <w:t>(sections 196198 of</w:t>
      </w:r>
      <w:r w:rsidR="00F9682A">
        <w:rPr>
          <w:rFonts w:cs="Arial"/>
          <w:sz w:val="22"/>
          <w:szCs w:val="22"/>
        </w:rPr>
        <w:t xml:space="preserve"> </w:t>
      </w:r>
      <w:r w:rsidR="00F9682A" w:rsidRPr="00CF2238">
        <w:rPr>
          <w:rFonts w:cs="Arial"/>
          <w:sz w:val="22"/>
          <w:szCs w:val="22"/>
        </w:rPr>
        <w:t xml:space="preserve">ECCT </w:t>
      </w:r>
      <w:r w:rsidR="009E0B76" w:rsidRPr="00CF2238">
        <w:rPr>
          <w:rFonts w:cs="Arial"/>
          <w:sz w:val="22"/>
          <w:szCs w:val="22"/>
        </w:rPr>
        <w:t>2023</w:t>
      </w:r>
      <w:r w:rsidR="00F9682A" w:rsidRPr="00CF2238">
        <w:rPr>
          <w:rFonts w:cs="Arial"/>
          <w:sz w:val="22"/>
          <w:szCs w:val="22"/>
        </w:rPr>
        <w:t xml:space="preserve">) </w:t>
      </w:r>
      <w:r w:rsidRPr="00CF2238">
        <w:rPr>
          <w:rFonts w:cs="Arial"/>
          <w:sz w:val="22"/>
          <w:szCs w:val="22"/>
        </w:rPr>
        <w:t>and</w:t>
      </w:r>
    </w:p>
    <w:p w14:paraId="268D25F6" w14:textId="4E194D1F" w:rsidR="00D945F1" w:rsidRPr="00CF2238" w:rsidRDefault="00D945F1" w:rsidP="00CF2238">
      <w:pPr>
        <w:pStyle w:val="ListParagraph"/>
        <w:numPr>
          <w:ilvl w:val="2"/>
          <w:numId w:val="96"/>
        </w:numPr>
        <w:spacing w:after="120" w:line="259" w:lineRule="auto"/>
        <w:ind w:left="1134" w:right="566" w:hanging="425"/>
        <w:contextualSpacing w:val="0"/>
        <w:jc w:val="both"/>
        <w:rPr>
          <w:rFonts w:cs="Arial"/>
          <w:sz w:val="22"/>
          <w:szCs w:val="22"/>
        </w:rPr>
      </w:pPr>
      <w:r w:rsidRPr="00CF2238">
        <w:rPr>
          <w:rFonts w:cs="Arial"/>
          <w:sz w:val="22"/>
          <w:szCs w:val="22"/>
        </w:rPr>
        <w:t>The creation of a new criminal offence of corporate criminal liability for fraud committed by its agents for the organisation’s benefit – “failure to prevent fraud”</w:t>
      </w:r>
      <w:r w:rsidR="00F9682A" w:rsidRPr="00CF2238">
        <w:rPr>
          <w:rFonts w:cs="Arial"/>
          <w:sz w:val="22"/>
          <w:szCs w:val="22"/>
        </w:rPr>
        <w:t xml:space="preserve"> (sections 199</w:t>
      </w:r>
      <w:r w:rsidR="009E0B76" w:rsidRPr="00CF2238">
        <w:rPr>
          <w:rFonts w:cs="Arial"/>
          <w:sz w:val="22"/>
          <w:szCs w:val="22"/>
        </w:rPr>
        <w:t xml:space="preserve"> to </w:t>
      </w:r>
      <w:r w:rsidR="00F9682A" w:rsidRPr="00CF2238">
        <w:rPr>
          <w:rFonts w:cs="Arial"/>
          <w:sz w:val="22"/>
          <w:szCs w:val="22"/>
        </w:rPr>
        <w:t xml:space="preserve">206 and Schedule 13 of ECCT </w:t>
      </w:r>
      <w:r w:rsidR="009E0B76" w:rsidRPr="00CF2238">
        <w:rPr>
          <w:rFonts w:cs="Arial"/>
          <w:sz w:val="22"/>
          <w:szCs w:val="22"/>
        </w:rPr>
        <w:t>2023</w:t>
      </w:r>
      <w:r w:rsidR="00F9682A" w:rsidRPr="00CF2238">
        <w:rPr>
          <w:rFonts w:cs="Arial"/>
          <w:sz w:val="22"/>
          <w:szCs w:val="22"/>
        </w:rPr>
        <w:t>).</w:t>
      </w:r>
    </w:p>
    <w:p w14:paraId="0FF60C90" w14:textId="3BB08404" w:rsidR="00D945F1" w:rsidRDefault="00DF28F6" w:rsidP="00D945F1">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This IA is exclusively concerned with the </w:t>
      </w:r>
      <w:r w:rsidR="0007107E">
        <w:rPr>
          <w:rFonts w:cs="Arial"/>
          <w:sz w:val="22"/>
          <w:szCs w:val="22"/>
        </w:rPr>
        <w:t>corporate criminal offence of failure to prevent fraud</w:t>
      </w:r>
      <w:r w:rsidR="00877749">
        <w:rPr>
          <w:rFonts w:cs="Arial"/>
          <w:sz w:val="22"/>
          <w:szCs w:val="22"/>
        </w:rPr>
        <w:t xml:space="preserve"> </w:t>
      </w:r>
      <w:r w:rsidR="00877749" w:rsidRPr="00877749">
        <w:rPr>
          <w:rFonts w:cs="Arial"/>
          <w:sz w:val="22"/>
          <w:szCs w:val="22"/>
        </w:rPr>
        <w:t>(see Option 2, section D):</w:t>
      </w:r>
      <w:r w:rsidR="0007107E">
        <w:rPr>
          <w:rFonts w:cs="Arial"/>
          <w:sz w:val="22"/>
          <w:szCs w:val="22"/>
        </w:rPr>
        <w:t xml:space="preserve"> </w:t>
      </w:r>
      <w:r w:rsidR="00D945F1" w:rsidRPr="00441AF5">
        <w:rPr>
          <w:rFonts w:cs="Arial"/>
          <w:sz w:val="22"/>
          <w:szCs w:val="22"/>
        </w:rPr>
        <w:t xml:space="preserve">The </w:t>
      </w:r>
      <w:r w:rsidR="00877749">
        <w:rPr>
          <w:rFonts w:cs="Arial"/>
          <w:sz w:val="22"/>
          <w:szCs w:val="22"/>
        </w:rPr>
        <w:t>new offence</w:t>
      </w:r>
      <w:r w:rsidR="00D945F1" w:rsidRPr="00441AF5">
        <w:rPr>
          <w:rFonts w:cs="Arial"/>
          <w:sz w:val="22"/>
          <w:szCs w:val="22"/>
        </w:rPr>
        <w:t xml:space="preserve"> closely mirror</w:t>
      </w:r>
      <w:r w:rsidR="00877749">
        <w:rPr>
          <w:rFonts w:cs="Arial"/>
          <w:sz w:val="22"/>
          <w:szCs w:val="22"/>
        </w:rPr>
        <w:t>s</w:t>
      </w:r>
      <w:r w:rsidR="00D945F1" w:rsidRPr="00441AF5">
        <w:rPr>
          <w:rFonts w:cs="Arial"/>
          <w:sz w:val="22"/>
          <w:szCs w:val="22"/>
        </w:rPr>
        <w:t xml:space="preserve"> the Law Commission’s proposals</w:t>
      </w:r>
      <w:r w:rsidR="00090B5C">
        <w:rPr>
          <w:rFonts w:cs="Arial"/>
          <w:sz w:val="22"/>
          <w:szCs w:val="22"/>
        </w:rPr>
        <w:t xml:space="preserve">, but </w:t>
      </w:r>
      <w:r w:rsidR="00877749">
        <w:rPr>
          <w:rFonts w:cs="Arial"/>
          <w:sz w:val="22"/>
          <w:szCs w:val="22"/>
        </w:rPr>
        <w:t xml:space="preserve">the legislation </w:t>
      </w:r>
      <w:r w:rsidR="00CF5D8B">
        <w:rPr>
          <w:rFonts w:cs="Arial"/>
          <w:sz w:val="22"/>
          <w:szCs w:val="22"/>
        </w:rPr>
        <w:t xml:space="preserve">also </w:t>
      </w:r>
      <w:r w:rsidR="00877749">
        <w:rPr>
          <w:rFonts w:cs="Arial"/>
          <w:sz w:val="22"/>
          <w:szCs w:val="22"/>
        </w:rPr>
        <w:t xml:space="preserve">allows </w:t>
      </w:r>
      <w:r w:rsidR="00A50332">
        <w:rPr>
          <w:rFonts w:cs="Arial"/>
          <w:sz w:val="22"/>
          <w:szCs w:val="22"/>
        </w:rPr>
        <w:t>the</w:t>
      </w:r>
      <w:r w:rsidR="00CC6549">
        <w:rPr>
          <w:rFonts w:cs="Arial"/>
          <w:sz w:val="22"/>
          <w:szCs w:val="22"/>
        </w:rPr>
        <w:t xml:space="preserve"> </w:t>
      </w:r>
      <w:r w:rsidR="00A50332">
        <w:rPr>
          <w:rFonts w:cs="Arial"/>
          <w:sz w:val="22"/>
          <w:szCs w:val="22"/>
        </w:rPr>
        <w:t xml:space="preserve">Secretary </w:t>
      </w:r>
      <w:r w:rsidR="00767637">
        <w:rPr>
          <w:rFonts w:cs="Arial"/>
          <w:sz w:val="22"/>
          <w:szCs w:val="22"/>
        </w:rPr>
        <w:t xml:space="preserve">of State for the Home </w:t>
      </w:r>
      <w:r w:rsidR="009F59CC">
        <w:rPr>
          <w:rFonts w:cs="Arial"/>
          <w:sz w:val="22"/>
          <w:szCs w:val="22"/>
        </w:rPr>
        <w:t>Department</w:t>
      </w:r>
      <w:r w:rsidR="00767637">
        <w:rPr>
          <w:rFonts w:cs="Arial"/>
          <w:sz w:val="22"/>
          <w:szCs w:val="22"/>
        </w:rPr>
        <w:t xml:space="preserve"> (</w:t>
      </w:r>
      <w:r w:rsidR="006E38A2">
        <w:rPr>
          <w:rFonts w:cs="Arial"/>
          <w:sz w:val="22"/>
          <w:szCs w:val="22"/>
        </w:rPr>
        <w:t xml:space="preserve">the </w:t>
      </w:r>
      <w:r w:rsidR="00CC6549">
        <w:rPr>
          <w:rFonts w:cs="Arial"/>
          <w:sz w:val="22"/>
          <w:szCs w:val="22"/>
        </w:rPr>
        <w:t xml:space="preserve">Home </w:t>
      </w:r>
      <w:r w:rsidR="00A50332">
        <w:rPr>
          <w:rFonts w:cs="Arial"/>
          <w:sz w:val="22"/>
          <w:szCs w:val="22"/>
        </w:rPr>
        <w:t>Secretary</w:t>
      </w:r>
      <w:r w:rsidR="00767637">
        <w:rPr>
          <w:rFonts w:cs="Arial"/>
          <w:sz w:val="22"/>
          <w:szCs w:val="22"/>
        </w:rPr>
        <w:t>)</w:t>
      </w:r>
      <w:r w:rsidR="00A50332">
        <w:rPr>
          <w:rFonts w:cs="Arial"/>
          <w:sz w:val="22"/>
          <w:szCs w:val="22"/>
        </w:rPr>
        <w:t xml:space="preserve"> to make regulations to amend the offence (for example, by </w:t>
      </w:r>
      <w:r w:rsidR="00B656E8">
        <w:rPr>
          <w:rFonts w:cs="Arial"/>
          <w:sz w:val="22"/>
          <w:szCs w:val="22"/>
        </w:rPr>
        <w:t xml:space="preserve">amending the list of </w:t>
      </w:r>
      <w:r w:rsidR="00CF5D8B">
        <w:rPr>
          <w:rFonts w:cs="Arial"/>
          <w:sz w:val="22"/>
          <w:szCs w:val="22"/>
        </w:rPr>
        <w:t xml:space="preserve">base </w:t>
      </w:r>
      <w:r w:rsidR="00B656E8">
        <w:rPr>
          <w:rFonts w:cs="Arial"/>
          <w:sz w:val="22"/>
          <w:szCs w:val="22"/>
        </w:rPr>
        <w:t>fraud offences</w:t>
      </w:r>
      <w:r w:rsidR="00E16989">
        <w:rPr>
          <w:rFonts w:cs="Arial"/>
          <w:sz w:val="22"/>
          <w:szCs w:val="22"/>
        </w:rPr>
        <w:t>)</w:t>
      </w:r>
      <w:r w:rsidR="00FA2934">
        <w:rPr>
          <w:rStyle w:val="FootnoteReference"/>
          <w:szCs w:val="22"/>
        </w:rPr>
        <w:footnoteReference w:id="4"/>
      </w:r>
      <w:r w:rsidR="00FA2934">
        <w:rPr>
          <w:rFonts w:cs="Arial"/>
          <w:sz w:val="22"/>
          <w:szCs w:val="22"/>
        </w:rPr>
        <w:t>.</w:t>
      </w:r>
      <w:r w:rsidR="00D945F1" w:rsidRPr="00441AF5" w:rsidDel="005D5B2F">
        <w:rPr>
          <w:rFonts w:cs="Arial"/>
          <w:sz w:val="22"/>
          <w:szCs w:val="22"/>
        </w:rPr>
        <w:t xml:space="preserve"> </w:t>
      </w:r>
    </w:p>
    <w:p w14:paraId="033E5271" w14:textId="77777777" w:rsidR="006C3891" w:rsidRDefault="006C3891">
      <w:pPr>
        <w:rPr>
          <w:rFonts w:cs="Arial"/>
          <w:sz w:val="22"/>
          <w:szCs w:val="22"/>
        </w:rPr>
      </w:pPr>
      <w:r>
        <w:rPr>
          <w:rFonts w:cs="Arial"/>
          <w:sz w:val="22"/>
          <w:szCs w:val="22"/>
        </w:rPr>
        <w:br w:type="page"/>
      </w:r>
    </w:p>
    <w:p w14:paraId="6D4CA625" w14:textId="0FDF43F2" w:rsidR="00D945F1" w:rsidRPr="00B44F73"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lastRenderedPageBreak/>
        <w:t xml:space="preserve">Under the law, an </w:t>
      </w:r>
      <w:r>
        <w:rPr>
          <w:rFonts w:cs="Arial"/>
          <w:sz w:val="22"/>
          <w:szCs w:val="22"/>
        </w:rPr>
        <w:t xml:space="preserve">incorporated </w:t>
      </w:r>
      <w:r w:rsidRPr="00441AF5">
        <w:rPr>
          <w:rFonts w:cs="Arial"/>
          <w:sz w:val="22"/>
          <w:szCs w:val="22"/>
        </w:rPr>
        <w:t xml:space="preserve">organisation </w:t>
      </w:r>
      <w:r>
        <w:rPr>
          <w:rFonts w:cs="Arial"/>
          <w:sz w:val="22"/>
          <w:szCs w:val="22"/>
        </w:rPr>
        <w:t>or partnership</w:t>
      </w:r>
      <w:r w:rsidRPr="00441AF5">
        <w:rPr>
          <w:rFonts w:cs="Arial"/>
          <w:sz w:val="22"/>
          <w:szCs w:val="22"/>
        </w:rPr>
        <w:t xml:space="preserve"> is considered to have a distinct legal entity from its owners or officers and is considered a separate “legal person” in itself. As such, </w:t>
      </w:r>
      <w:r>
        <w:rPr>
          <w:rFonts w:cs="Arial"/>
          <w:sz w:val="22"/>
          <w:szCs w:val="22"/>
        </w:rPr>
        <w:t>these</w:t>
      </w:r>
      <w:r w:rsidRPr="00441AF5">
        <w:rPr>
          <w:rFonts w:cs="Arial"/>
          <w:sz w:val="22"/>
          <w:szCs w:val="22"/>
        </w:rPr>
        <w:t xml:space="preserve"> organisations can be subject to criminal and civil liability. In the year to September 2020, there were over 5,000 convictions of non-natural persons, representing around 0.6 per cent of all convictions</w:t>
      </w:r>
      <w:r w:rsidRPr="00441AF5">
        <w:rPr>
          <w:rStyle w:val="FootnoteReference"/>
          <w:rFonts w:cs="Arial"/>
          <w:szCs w:val="22"/>
        </w:rPr>
        <w:footnoteReference w:id="5"/>
      </w:r>
      <w:r w:rsidRPr="00441AF5">
        <w:rPr>
          <w:rFonts w:cs="Arial"/>
          <w:sz w:val="22"/>
          <w:szCs w:val="22"/>
        </w:rPr>
        <w:t>. Th</w:t>
      </w:r>
      <w:r>
        <w:rPr>
          <w:rFonts w:cs="Arial"/>
          <w:sz w:val="22"/>
          <w:szCs w:val="22"/>
        </w:rPr>
        <w:t>ese</w:t>
      </w:r>
      <w:r w:rsidRPr="00441AF5">
        <w:rPr>
          <w:rFonts w:cs="Arial"/>
          <w:sz w:val="22"/>
          <w:szCs w:val="22"/>
        </w:rPr>
        <w:t xml:space="preserve"> primarily relate to strict liability offences such as environmental, trading or health and safety offences. The government </w:t>
      </w:r>
      <w:r>
        <w:rPr>
          <w:rFonts w:cs="Arial"/>
          <w:sz w:val="22"/>
          <w:szCs w:val="22"/>
        </w:rPr>
        <w:t xml:space="preserve">has </w:t>
      </w:r>
      <w:r w:rsidRPr="00441AF5">
        <w:rPr>
          <w:rFonts w:cs="Arial"/>
          <w:sz w:val="22"/>
          <w:szCs w:val="22"/>
        </w:rPr>
        <w:t xml:space="preserve">recognised that the law must be improved </w:t>
      </w:r>
      <w:r>
        <w:rPr>
          <w:rFonts w:cs="Arial"/>
          <w:sz w:val="22"/>
          <w:szCs w:val="22"/>
        </w:rPr>
        <w:t xml:space="preserve">to hold corporates accountable </w:t>
      </w:r>
      <w:r w:rsidRPr="00441AF5">
        <w:rPr>
          <w:rFonts w:cs="Arial"/>
          <w:sz w:val="22"/>
          <w:szCs w:val="22"/>
        </w:rPr>
        <w:t>where the</w:t>
      </w:r>
      <w:r>
        <w:rPr>
          <w:rFonts w:cs="Arial"/>
          <w:sz w:val="22"/>
          <w:szCs w:val="22"/>
        </w:rPr>
        <w:t>ir</w:t>
      </w:r>
      <w:r w:rsidRPr="00441AF5">
        <w:rPr>
          <w:rFonts w:cs="Arial"/>
          <w:sz w:val="22"/>
          <w:szCs w:val="22"/>
        </w:rPr>
        <w:t xml:space="preserve"> employees </w:t>
      </w:r>
      <w:r>
        <w:rPr>
          <w:rFonts w:cs="Arial"/>
          <w:sz w:val="22"/>
          <w:szCs w:val="22"/>
        </w:rPr>
        <w:t>or other associated persons</w:t>
      </w:r>
      <w:r w:rsidRPr="00441AF5">
        <w:rPr>
          <w:rFonts w:cs="Arial"/>
          <w:sz w:val="22"/>
          <w:szCs w:val="22"/>
        </w:rPr>
        <w:t xml:space="preserve"> commit </w:t>
      </w:r>
      <w:r>
        <w:rPr>
          <w:rFonts w:cs="Arial"/>
          <w:sz w:val="22"/>
          <w:szCs w:val="22"/>
        </w:rPr>
        <w:t>fraud</w:t>
      </w:r>
      <w:r w:rsidRPr="00441AF5">
        <w:rPr>
          <w:rFonts w:cs="Arial"/>
          <w:sz w:val="22"/>
          <w:szCs w:val="22"/>
        </w:rPr>
        <w:t xml:space="preserve">. </w:t>
      </w:r>
    </w:p>
    <w:p w14:paraId="66402CA1" w14:textId="2047B45A" w:rsidR="00543B5B" w:rsidRDefault="00D945F1" w:rsidP="00CF2238">
      <w:pPr>
        <w:spacing w:after="120" w:line="259" w:lineRule="auto"/>
        <w:jc w:val="both"/>
        <w:rPr>
          <w:rFonts w:cs="Arial"/>
          <w:sz w:val="22"/>
          <w:szCs w:val="22"/>
        </w:rPr>
      </w:pPr>
      <w:r w:rsidRPr="00441AF5">
        <w:rPr>
          <w:rFonts w:cs="Arial"/>
          <w:b/>
          <w:bCs/>
          <w:sz w:val="22"/>
          <w:szCs w:val="22"/>
        </w:rPr>
        <w:t>Failure to Prevent Fraud</w:t>
      </w:r>
      <w:r w:rsidR="00CF2238" w:rsidRPr="008E345D">
        <w:rPr>
          <w:rFonts w:cs="Arial"/>
          <w:sz w:val="22"/>
          <w:szCs w:val="22"/>
        </w:rPr>
        <w:t xml:space="preserve"> </w:t>
      </w:r>
    </w:p>
    <w:p w14:paraId="0146A954" w14:textId="71093B6A" w:rsidR="00B52353" w:rsidRPr="008E345D" w:rsidRDefault="00D945F1" w:rsidP="00B02D6E">
      <w:pPr>
        <w:pStyle w:val="ListParagraph"/>
        <w:numPr>
          <w:ilvl w:val="0"/>
          <w:numId w:val="10"/>
        </w:numPr>
        <w:spacing w:after="120"/>
        <w:ind w:left="567" w:hanging="567"/>
        <w:contextualSpacing w:val="0"/>
        <w:rPr>
          <w:rFonts w:cs="Arial"/>
          <w:sz w:val="22"/>
          <w:szCs w:val="22"/>
        </w:rPr>
      </w:pPr>
      <w:r w:rsidRPr="00920B35">
        <w:rPr>
          <w:rFonts w:cs="Arial"/>
          <w:sz w:val="22"/>
          <w:szCs w:val="22"/>
        </w:rPr>
        <w:t xml:space="preserve">The failure to prevent fraud offence is intended to mirror the existing failure to prevent offences contained in sections 7, 8, and 9 of the Bribery Act 2010 (BA 2010) and Part 3 of the Criminal Finances Act 2017 (CF 2017). </w:t>
      </w:r>
    </w:p>
    <w:p w14:paraId="07FA01AF" w14:textId="5C2115E3"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The offence applies across the UK. Fraud legislation is devolved. In England and Wales, the offence covers </w:t>
      </w:r>
      <w:r w:rsidRPr="00441AF5">
        <w:rPr>
          <w:rFonts w:cs="Arial"/>
          <w:sz w:val="22"/>
          <w:szCs w:val="22"/>
        </w:rPr>
        <w:t xml:space="preserve">a set of core fraud offences: </w:t>
      </w:r>
    </w:p>
    <w:p w14:paraId="1D1F52BE"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cs="Arial"/>
          <w:sz w:val="22"/>
          <w:szCs w:val="22"/>
        </w:rPr>
      </w:pPr>
      <w:r w:rsidRPr="00441AF5">
        <w:rPr>
          <w:rFonts w:cs="Arial"/>
          <w:sz w:val="22"/>
          <w:szCs w:val="22"/>
        </w:rPr>
        <w:t xml:space="preserve">Fraud by false representation (section 2. Fraud Act 2006 (FA 2006)). </w:t>
      </w:r>
    </w:p>
    <w:p w14:paraId="55B61764"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cs="Arial"/>
          <w:sz w:val="22"/>
          <w:szCs w:val="22"/>
        </w:rPr>
      </w:pPr>
      <w:r w:rsidRPr="00441AF5">
        <w:rPr>
          <w:rFonts w:cs="Arial"/>
          <w:sz w:val="22"/>
          <w:szCs w:val="22"/>
        </w:rPr>
        <w:t>Fraud by failing to disclose information (section 3</w:t>
      </w:r>
      <w:r>
        <w:rPr>
          <w:rFonts w:cs="Arial"/>
          <w:sz w:val="22"/>
          <w:szCs w:val="22"/>
        </w:rPr>
        <w:t>,</w:t>
      </w:r>
      <w:r w:rsidRPr="00441AF5">
        <w:rPr>
          <w:rFonts w:cs="Arial"/>
          <w:sz w:val="22"/>
          <w:szCs w:val="22"/>
        </w:rPr>
        <w:t xml:space="preserve"> FA 2006).</w:t>
      </w:r>
    </w:p>
    <w:p w14:paraId="45AC4566"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cs="Arial"/>
          <w:sz w:val="22"/>
          <w:szCs w:val="22"/>
        </w:rPr>
      </w:pPr>
      <w:r w:rsidRPr="00441AF5">
        <w:rPr>
          <w:rFonts w:cs="Arial"/>
          <w:sz w:val="22"/>
          <w:szCs w:val="22"/>
        </w:rPr>
        <w:t>Fraud by abuse of position (section 4</w:t>
      </w:r>
      <w:r>
        <w:rPr>
          <w:rFonts w:cs="Arial"/>
          <w:sz w:val="22"/>
          <w:szCs w:val="22"/>
        </w:rPr>
        <w:t>,</w:t>
      </w:r>
      <w:r w:rsidRPr="00441AF5">
        <w:rPr>
          <w:rFonts w:cs="Arial"/>
          <w:sz w:val="22"/>
          <w:szCs w:val="22"/>
        </w:rPr>
        <w:t xml:space="preserve"> FA 2006). </w:t>
      </w:r>
    </w:p>
    <w:p w14:paraId="7CEF2D5F"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cs="Arial"/>
          <w:sz w:val="22"/>
          <w:szCs w:val="22"/>
        </w:rPr>
      </w:pPr>
      <w:r w:rsidRPr="00441AF5">
        <w:rPr>
          <w:rFonts w:cs="Arial"/>
          <w:sz w:val="22"/>
          <w:szCs w:val="22"/>
        </w:rPr>
        <w:t>Obtaining services dishonestly (section 11, FA 2006).</w:t>
      </w:r>
    </w:p>
    <w:p w14:paraId="7EAC951C"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cs="Arial"/>
          <w:sz w:val="22"/>
          <w:szCs w:val="22"/>
        </w:rPr>
      </w:pPr>
      <w:r w:rsidRPr="00441AF5">
        <w:rPr>
          <w:rFonts w:cs="Arial"/>
          <w:sz w:val="22"/>
          <w:szCs w:val="22"/>
        </w:rPr>
        <w:t xml:space="preserve">Cheating public revenue (common law). </w:t>
      </w:r>
    </w:p>
    <w:p w14:paraId="3DE16043"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cs="Arial"/>
          <w:sz w:val="22"/>
          <w:szCs w:val="22"/>
        </w:rPr>
      </w:pPr>
      <w:r w:rsidRPr="00441AF5">
        <w:rPr>
          <w:rFonts w:cs="Arial"/>
          <w:sz w:val="22"/>
          <w:szCs w:val="22"/>
        </w:rPr>
        <w:t>False accounting (section 17</w:t>
      </w:r>
      <w:r>
        <w:rPr>
          <w:rFonts w:cs="Arial"/>
          <w:sz w:val="22"/>
          <w:szCs w:val="22"/>
        </w:rPr>
        <w:t>,</w:t>
      </w:r>
      <w:r w:rsidRPr="00441AF5">
        <w:rPr>
          <w:rFonts w:cs="Arial"/>
          <w:sz w:val="22"/>
          <w:szCs w:val="22"/>
        </w:rPr>
        <w:t xml:space="preserve"> Theft Act 1968 (TA 1968)). </w:t>
      </w:r>
    </w:p>
    <w:p w14:paraId="0A36C562"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cs="Arial"/>
          <w:sz w:val="22"/>
          <w:szCs w:val="22"/>
        </w:rPr>
      </w:pPr>
      <w:r w:rsidRPr="00441AF5">
        <w:rPr>
          <w:rFonts w:cs="Arial"/>
          <w:sz w:val="22"/>
          <w:szCs w:val="22"/>
        </w:rPr>
        <w:t>Fraudulent trading (section 993</w:t>
      </w:r>
      <w:r>
        <w:rPr>
          <w:rFonts w:cs="Arial"/>
          <w:sz w:val="22"/>
          <w:szCs w:val="22"/>
        </w:rPr>
        <w:t>,</w:t>
      </w:r>
      <w:r w:rsidRPr="00441AF5">
        <w:rPr>
          <w:rFonts w:cs="Arial"/>
          <w:sz w:val="22"/>
          <w:szCs w:val="22"/>
        </w:rPr>
        <w:t xml:space="preserve"> Companies Act 2006 (CA 2006)). </w:t>
      </w:r>
    </w:p>
    <w:p w14:paraId="723EE850"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eastAsia="Arial" w:cs="Arial"/>
          <w:sz w:val="22"/>
          <w:szCs w:val="22"/>
        </w:rPr>
      </w:pPr>
      <w:r w:rsidRPr="00441AF5">
        <w:rPr>
          <w:rFonts w:eastAsia="Arial" w:cs="Arial"/>
          <w:sz w:val="22"/>
          <w:szCs w:val="22"/>
        </w:rPr>
        <w:t xml:space="preserve">Participation in a fraudulent business (section 9, FA 2006). </w:t>
      </w:r>
    </w:p>
    <w:p w14:paraId="7263293D" w14:textId="77777777" w:rsidR="00D945F1" w:rsidRPr="00441AF5" w:rsidRDefault="00D945F1" w:rsidP="00D945F1">
      <w:pPr>
        <w:pStyle w:val="ListParagraph"/>
        <w:numPr>
          <w:ilvl w:val="0"/>
          <w:numId w:val="11"/>
        </w:numPr>
        <w:spacing w:after="120" w:line="259" w:lineRule="auto"/>
        <w:ind w:left="1134" w:hanging="425"/>
        <w:contextualSpacing w:val="0"/>
        <w:jc w:val="both"/>
        <w:rPr>
          <w:rFonts w:eastAsia="Arial" w:cs="Arial"/>
          <w:sz w:val="22"/>
          <w:szCs w:val="22"/>
        </w:rPr>
      </w:pPr>
      <w:r w:rsidRPr="00441AF5">
        <w:rPr>
          <w:rFonts w:eastAsia="Arial" w:cs="Arial"/>
          <w:sz w:val="22"/>
          <w:szCs w:val="22"/>
        </w:rPr>
        <w:t>False statements by company directors (section 19, TA 1968).</w:t>
      </w:r>
    </w:p>
    <w:p w14:paraId="613203D1" w14:textId="0A395443" w:rsidR="00D945F1" w:rsidRDefault="00D945F1" w:rsidP="00D945F1">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In Scotland and Northern Ireland, the offence covers equivalent core fraud offences, as set out in Schedule 13 of ECCT 2023</w:t>
      </w:r>
      <w:r w:rsidR="00E34BC3">
        <w:rPr>
          <w:rStyle w:val="FootnoteReference"/>
          <w:szCs w:val="22"/>
        </w:rPr>
        <w:footnoteReference w:id="6"/>
      </w:r>
      <w:r>
        <w:rPr>
          <w:rFonts w:cs="Arial"/>
          <w:sz w:val="22"/>
          <w:szCs w:val="22"/>
        </w:rPr>
        <w:t>.</w:t>
      </w:r>
    </w:p>
    <w:p w14:paraId="56C9501A" w14:textId="54624077"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The offence w</w:t>
      </w:r>
      <w:r>
        <w:rPr>
          <w:rFonts w:cs="Arial"/>
          <w:sz w:val="22"/>
          <w:szCs w:val="22"/>
        </w:rPr>
        <w:t>ill</w:t>
      </w:r>
      <w:r w:rsidRPr="00441AF5">
        <w:rPr>
          <w:rFonts w:cs="Arial"/>
          <w:sz w:val="22"/>
          <w:szCs w:val="22"/>
        </w:rPr>
        <w:t xml:space="preserve"> apply where the fraud is committed by an </w:t>
      </w:r>
      <w:r w:rsidRPr="00441AF5" w:rsidDel="00B43C75">
        <w:rPr>
          <w:rFonts w:cs="Arial"/>
          <w:sz w:val="22"/>
          <w:szCs w:val="22"/>
        </w:rPr>
        <w:t>employee</w:t>
      </w:r>
      <w:r w:rsidRPr="00441AF5">
        <w:rPr>
          <w:rFonts w:cs="Arial"/>
          <w:sz w:val="22"/>
          <w:szCs w:val="22"/>
        </w:rPr>
        <w:t xml:space="preserve"> or </w:t>
      </w:r>
      <w:r>
        <w:rPr>
          <w:rFonts w:cs="Arial"/>
          <w:sz w:val="22"/>
          <w:szCs w:val="22"/>
        </w:rPr>
        <w:t xml:space="preserve">other </w:t>
      </w:r>
      <w:r w:rsidRPr="00441AF5">
        <w:rPr>
          <w:rFonts w:cs="Arial"/>
          <w:sz w:val="22"/>
          <w:szCs w:val="22"/>
        </w:rPr>
        <w:t>associate</w:t>
      </w:r>
      <w:r>
        <w:rPr>
          <w:rFonts w:cs="Arial"/>
          <w:sz w:val="22"/>
          <w:szCs w:val="22"/>
        </w:rPr>
        <w:t>d person</w:t>
      </w:r>
      <w:r w:rsidRPr="00441AF5">
        <w:rPr>
          <w:rFonts w:cs="Arial"/>
          <w:sz w:val="22"/>
          <w:szCs w:val="22"/>
        </w:rPr>
        <w:t xml:space="preserve"> with a view to benefiting the organisation</w:t>
      </w:r>
      <w:r>
        <w:rPr>
          <w:rFonts w:cs="Arial"/>
          <w:sz w:val="22"/>
          <w:szCs w:val="22"/>
        </w:rPr>
        <w:t>, or its clients</w:t>
      </w:r>
      <w:r w:rsidRPr="00441AF5">
        <w:rPr>
          <w:rStyle w:val="FootnoteReference"/>
          <w:rFonts w:eastAsiaTheme="minorEastAsia" w:cs="Arial"/>
          <w:szCs w:val="22"/>
        </w:rPr>
        <w:footnoteReference w:id="7"/>
      </w:r>
      <w:r w:rsidRPr="00441AF5">
        <w:rPr>
          <w:rFonts w:cs="Arial"/>
          <w:sz w:val="22"/>
          <w:szCs w:val="22"/>
        </w:rPr>
        <w:t>.</w:t>
      </w:r>
    </w:p>
    <w:p w14:paraId="0412D3DC" w14:textId="77777777" w:rsidR="00D945F1"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A defence would be available where ‘reasonable procedures’ for the prevention of fraud had been implemented by the organisation (thus mirroring the approach taken in the CF 2017 for failure to prevent the criminal facilitation of tax evasion), with provision that in some circumstances it may be reasonable for no such procedures to be in place. The statutory defence in BA 2010 (failure to prevent bribery) is ‘adequate procedures’; </w:t>
      </w:r>
      <w:r w:rsidRPr="29D290C3">
        <w:rPr>
          <w:rFonts w:cs="Arial"/>
          <w:sz w:val="22"/>
          <w:szCs w:val="22"/>
        </w:rPr>
        <w:t xml:space="preserve">the standard of </w:t>
      </w:r>
      <w:r w:rsidRPr="00441AF5">
        <w:rPr>
          <w:rFonts w:cs="Arial"/>
          <w:sz w:val="22"/>
          <w:szCs w:val="22"/>
        </w:rPr>
        <w:t xml:space="preserve">‘reasonable procedures’ has been determined to be no more onerous than </w:t>
      </w:r>
      <w:r w:rsidRPr="29D290C3">
        <w:rPr>
          <w:rFonts w:cs="Arial"/>
          <w:sz w:val="22"/>
          <w:szCs w:val="22"/>
        </w:rPr>
        <w:t>that of</w:t>
      </w:r>
      <w:r w:rsidRPr="00441AF5">
        <w:rPr>
          <w:rFonts w:cs="Arial"/>
          <w:sz w:val="22"/>
          <w:szCs w:val="22"/>
        </w:rPr>
        <w:t xml:space="preserve"> ‘adequate’ procedures. </w:t>
      </w:r>
    </w:p>
    <w:p w14:paraId="61564D4D" w14:textId="79CB950C" w:rsidR="00D945F1" w:rsidRPr="002F2BA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The offence will not have extra-territorial reach beyond the United Kingdom. The offence will only apply where the employee or associated person commits a relevant fraud offence under the law of part of the UK. This usually requires that one of the acts which was part of the underlying fraud took place in the UK</w:t>
      </w:r>
      <w:r w:rsidR="00DC15CC">
        <w:rPr>
          <w:rFonts w:cs="Arial"/>
          <w:sz w:val="22"/>
          <w:szCs w:val="22"/>
        </w:rPr>
        <w:t>, but f</w:t>
      </w:r>
      <w:r w:rsidRPr="00441AF5">
        <w:rPr>
          <w:rFonts w:cs="Arial"/>
          <w:sz w:val="22"/>
          <w:szCs w:val="22"/>
        </w:rPr>
        <w:t xml:space="preserve">or some offences, it is enough that the intended gain or loss occurred, or was intended to occur, in the UK. This is different from the ‘failure to prevent bribery’ offence, which applies if an organisation commits bribery outside the UK. This restriction will reduce the burden on organisations. </w:t>
      </w:r>
    </w:p>
    <w:p w14:paraId="46E06D85" w14:textId="77777777"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lastRenderedPageBreak/>
        <w:t xml:space="preserve">The burden of proving that the organisation had put in place reasonable prevention procedures, or that it was reasonable not to have any such procedures, should lay with the defence (that is, the organisation). </w:t>
      </w:r>
    </w:p>
    <w:p w14:paraId="2AD66C65" w14:textId="77777777"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sanction available for this offence would be an unlimited fine (mirroring the approach taken in the existing failure to prevent offences, both facilitation of tax evasion and bribery). </w:t>
      </w:r>
    </w:p>
    <w:p w14:paraId="72FFF7FA" w14:textId="47CC8F6E" w:rsidR="002557E3" w:rsidRPr="00441AF5" w:rsidRDefault="0029127A" w:rsidP="00D945F1">
      <w:pPr>
        <w:pStyle w:val="ListParagraph"/>
        <w:numPr>
          <w:ilvl w:val="0"/>
          <w:numId w:val="10"/>
        </w:numPr>
        <w:spacing w:after="120" w:line="259" w:lineRule="auto"/>
        <w:ind w:left="567" w:hanging="567"/>
        <w:contextualSpacing w:val="0"/>
        <w:jc w:val="both"/>
        <w:rPr>
          <w:rFonts w:cs="Arial"/>
          <w:sz w:val="22"/>
          <w:szCs w:val="22"/>
        </w:rPr>
      </w:pPr>
      <w:r w:rsidRPr="0029127A">
        <w:rPr>
          <w:rFonts w:cs="Arial"/>
          <w:sz w:val="22"/>
          <w:szCs w:val="22"/>
        </w:rPr>
        <w:t>Section 206(3) of the E</w:t>
      </w:r>
      <w:r w:rsidR="00892FC5">
        <w:rPr>
          <w:rFonts w:cs="Arial"/>
          <w:sz w:val="22"/>
          <w:szCs w:val="22"/>
        </w:rPr>
        <w:t>CCT</w:t>
      </w:r>
      <w:r w:rsidRPr="0029127A">
        <w:rPr>
          <w:rFonts w:cs="Arial"/>
          <w:sz w:val="22"/>
          <w:szCs w:val="22"/>
        </w:rPr>
        <w:t xml:space="preserve"> 2023 adds the offence of failure to prevent fraud to Schedule 17 of the Crime and Courts Act 2013, which means that deferred prosecutions are available for this offence in England and Wales. Deferred prosecutions arrangements are not available in Scotland or Northern Ireland.</w:t>
      </w:r>
    </w:p>
    <w:p w14:paraId="7F0939CD" w14:textId="721D108B" w:rsidR="00D945F1" w:rsidRPr="00441AF5" w:rsidRDefault="00D945F1" w:rsidP="432D0E2E">
      <w:pPr>
        <w:pStyle w:val="ListParagraph"/>
        <w:numPr>
          <w:ilvl w:val="0"/>
          <w:numId w:val="10"/>
        </w:numPr>
        <w:spacing w:after="120" w:line="259" w:lineRule="auto"/>
        <w:ind w:left="567" w:hanging="567"/>
        <w:jc w:val="both"/>
        <w:rPr>
          <w:rFonts w:cs="Arial"/>
          <w:sz w:val="22"/>
          <w:szCs w:val="22"/>
        </w:rPr>
      </w:pPr>
      <w:r w:rsidRPr="00441AF5">
        <w:rPr>
          <w:rFonts w:cs="Arial"/>
          <w:sz w:val="22"/>
          <w:szCs w:val="22"/>
        </w:rPr>
        <w:t xml:space="preserve">The government is required to publish guidance </w:t>
      </w:r>
      <w:r w:rsidRPr="00441AF5">
        <w:rPr>
          <w:rFonts w:eastAsia="Arial" w:cs="Arial"/>
          <w:sz w:val="22"/>
          <w:szCs w:val="22"/>
        </w:rPr>
        <w:t>on the procedures</w:t>
      </w:r>
      <w:r>
        <w:rPr>
          <w:rFonts w:eastAsia="Arial" w:cs="Arial"/>
          <w:sz w:val="22"/>
          <w:szCs w:val="22"/>
        </w:rPr>
        <w:t xml:space="preserve"> that</w:t>
      </w:r>
      <w:r w:rsidRPr="00441AF5">
        <w:rPr>
          <w:rFonts w:eastAsia="Arial" w:cs="Arial"/>
          <w:sz w:val="22"/>
          <w:szCs w:val="22"/>
        </w:rPr>
        <w:t xml:space="preserve"> organisations can put in place to prevent fraud</w:t>
      </w:r>
      <w:r w:rsidRPr="00441AF5">
        <w:rPr>
          <w:rFonts w:cs="Arial"/>
          <w:sz w:val="22"/>
          <w:szCs w:val="22"/>
        </w:rPr>
        <w:t>. As an organisation’s defence depends on demonstrating that it has reasonable procedures, where applicable under the circumstances, it is likely that whether an organisation is compliant with guidance will be a benchmark for determining reasonableness. This guidance was not available when estimating the regulatory impacts on organisation</w:t>
      </w:r>
      <w:r>
        <w:rPr>
          <w:rFonts w:cs="Arial"/>
          <w:sz w:val="22"/>
          <w:szCs w:val="22"/>
        </w:rPr>
        <w:t>s</w:t>
      </w:r>
      <w:r w:rsidRPr="00441AF5">
        <w:rPr>
          <w:rFonts w:cs="Arial"/>
          <w:sz w:val="22"/>
          <w:szCs w:val="22"/>
        </w:rPr>
        <w:t xml:space="preserve">. </w:t>
      </w:r>
      <w:r>
        <w:rPr>
          <w:rFonts w:cs="Arial"/>
          <w:sz w:val="22"/>
          <w:szCs w:val="22"/>
        </w:rPr>
        <w:t>T</w:t>
      </w:r>
      <w:r w:rsidRPr="00441AF5">
        <w:rPr>
          <w:rFonts w:cs="Arial"/>
          <w:sz w:val="22"/>
          <w:szCs w:val="22"/>
        </w:rPr>
        <w:t xml:space="preserve">o estimate compliance costs it is assumed that the guidance would be broadly </w:t>
      </w:r>
      <w:r w:rsidR="00A0654E">
        <w:rPr>
          <w:rFonts w:cs="Arial"/>
          <w:sz w:val="22"/>
          <w:szCs w:val="22"/>
        </w:rPr>
        <w:t>similar to</w:t>
      </w:r>
      <w:r w:rsidRPr="00441AF5">
        <w:rPr>
          <w:rFonts w:cs="Arial"/>
          <w:sz w:val="22"/>
          <w:szCs w:val="22"/>
        </w:rPr>
        <w:t xml:space="preserve"> guidance </w:t>
      </w:r>
      <w:r w:rsidR="00A0654E">
        <w:rPr>
          <w:rFonts w:cs="Arial"/>
          <w:sz w:val="22"/>
          <w:szCs w:val="22"/>
        </w:rPr>
        <w:t>for the</w:t>
      </w:r>
      <w:r w:rsidRPr="00441AF5">
        <w:rPr>
          <w:rFonts w:cs="Arial"/>
          <w:sz w:val="22"/>
          <w:szCs w:val="22"/>
        </w:rPr>
        <w:t xml:space="preserve"> existing offences of failure to prevent bribery and failure to prevent tax evasion. </w:t>
      </w:r>
    </w:p>
    <w:p w14:paraId="0AF35FE0" w14:textId="0F692909" w:rsidR="00D945F1" w:rsidRDefault="00D945F1" w:rsidP="00D945F1">
      <w:pPr>
        <w:rPr>
          <w:rFonts w:cs="Arial"/>
          <w:b/>
          <w:sz w:val="22"/>
          <w:szCs w:val="22"/>
        </w:rPr>
      </w:pPr>
    </w:p>
    <w:p w14:paraId="35B1C993" w14:textId="77777777" w:rsidR="00D945F1" w:rsidRPr="00441AF5" w:rsidRDefault="00D945F1" w:rsidP="00D945F1">
      <w:pPr>
        <w:spacing w:after="120" w:line="259" w:lineRule="auto"/>
        <w:ind w:left="567" w:hanging="567"/>
        <w:jc w:val="both"/>
        <w:rPr>
          <w:rFonts w:cs="Arial"/>
          <w:sz w:val="22"/>
          <w:szCs w:val="22"/>
        </w:rPr>
      </w:pPr>
      <w:r w:rsidRPr="00441AF5">
        <w:rPr>
          <w:rFonts w:cs="Arial"/>
          <w:b/>
          <w:sz w:val="22"/>
          <w:szCs w:val="22"/>
        </w:rPr>
        <w:t>A.3</w:t>
      </w:r>
      <w:r w:rsidRPr="00441AF5">
        <w:rPr>
          <w:rFonts w:cs="Arial"/>
          <w:b/>
          <w:sz w:val="22"/>
          <w:szCs w:val="22"/>
        </w:rPr>
        <w:tab/>
        <w:t>Groups affected</w:t>
      </w:r>
    </w:p>
    <w:p w14:paraId="008EE4E6" w14:textId="77777777"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main groups affected by the measure are: </w:t>
      </w:r>
    </w:p>
    <w:p w14:paraId="04EFEC87" w14:textId="77777777" w:rsidR="00D945F1" w:rsidRPr="00441AF5" w:rsidRDefault="00D945F1" w:rsidP="00D945F1">
      <w:pPr>
        <w:pStyle w:val="ListParagraph"/>
        <w:numPr>
          <w:ilvl w:val="0"/>
          <w:numId w:val="12"/>
        </w:numPr>
        <w:spacing w:after="120" w:line="259" w:lineRule="auto"/>
        <w:ind w:left="1134" w:hanging="425"/>
        <w:contextualSpacing w:val="0"/>
        <w:jc w:val="both"/>
        <w:rPr>
          <w:rFonts w:cs="Arial"/>
          <w:sz w:val="22"/>
          <w:szCs w:val="22"/>
        </w:rPr>
      </w:pPr>
      <w:r w:rsidRPr="00441AF5">
        <w:rPr>
          <w:rFonts w:cs="Arial"/>
          <w:sz w:val="22"/>
          <w:szCs w:val="22"/>
        </w:rPr>
        <w:t>Large</w:t>
      </w:r>
      <w:r w:rsidRPr="00441AF5">
        <w:rPr>
          <w:rStyle w:val="FootnoteReference"/>
          <w:rFonts w:cs="Arial"/>
          <w:szCs w:val="22"/>
        </w:rPr>
        <w:footnoteReference w:id="8"/>
      </w:r>
      <w:r w:rsidRPr="00441AF5">
        <w:rPr>
          <w:rFonts w:cs="Arial"/>
          <w:sz w:val="22"/>
          <w:szCs w:val="22"/>
        </w:rPr>
        <w:t xml:space="preserve"> organisations and partnerships whose employees or other associated persons may be perpetrators of fraud.</w:t>
      </w:r>
    </w:p>
    <w:p w14:paraId="0351A787" w14:textId="77777777" w:rsidR="00D945F1" w:rsidRPr="00441AF5" w:rsidRDefault="00D945F1" w:rsidP="00D945F1">
      <w:pPr>
        <w:pStyle w:val="ListParagraph"/>
        <w:numPr>
          <w:ilvl w:val="0"/>
          <w:numId w:val="12"/>
        </w:numPr>
        <w:spacing w:after="120" w:line="259" w:lineRule="auto"/>
        <w:ind w:left="1134" w:hanging="425"/>
        <w:contextualSpacing w:val="0"/>
        <w:jc w:val="both"/>
        <w:rPr>
          <w:rFonts w:cs="Arial"/>
          <w:sz w:val="22"/>
          <w:szCs w:val="22"/>
        </w:rPr>
      </w:pPr>
      <w:r w:rsidRPr="00441AF5">
        <w:rPr>
          <w:rFonts w:cs="Arial"/>
          <w:sz w:val="22"/>
          <w:szCs w:val="22"/>
        </w:rPr>
        <w:t>The victims of corporate fraud, including the government - wh</w:t>
      </w:r>
      <w:r>
        <w:rPr>
          <w:rFonts w:cs="Arial"/>
          <w:sz w:val="22"/>
          <w:szCs w:val="22"/>
        </w:rPr>
        <w:t>ich</w:t>
      </w:r>
      <w:r w:rsidRPr="00441AF5">
        <w:rPr>
          <w:rFonts w:cs="Arial"/>
          <w:sz w:val="22"/>
          <w:szCs w:val="22"/>
        </w:rPr>
        <w:t xml:space="preserve"> may be a victim of cheating the public revenue - and other businesses, including small, medium and micro businesses.</w:t>
      </w:r>
    </w:p>
    <w:p w14:paraId="6E9492A8" w14:textId="77777777" w:rsidR="00D945F1" w:rsidRPr="00441AF5" w:rsidRDefault="00D945F1" w:rsidP="00D945F1">
      <w:pPr>
        <w:pStyle w:val="ListParagraph"/>
        <w:numPr>
          <w:ilvl w:val="0"/>
          <w:numId w:val="12"/>
        </w:numPr>
        <w:spacing w:after="120" w:line="259" w:lineRule="auto"/>
        <w:ind w:left="1134" w:hanging="425"/>
        <w:contextualSpacing w:val="0"/>
        <w:jc w:val="both"/>
        <w:rPr>
          <w:rFonts w:cs="Arial"/>
          <w:sz w:val="22"/>
          <w:szCs w:val="22"/>
        </w:rPr>
      </w:pPr>
      <w:r w:rsidRPr="00441AF5">
        <w:rPr>
          <w:rFonts w:cs="Arial"/>
          <w:sz w:val="22"/>
          <w:szCs w:val="22"/>
        </w:rPr>
        <w:t>Organisations and workers who would be required to change processes or undergo training to demonstrate that they have reasonable procedures to prevent fraud.</w:t>
      </w:r>
    </w:p>
    <w:p w14:paraId="54CB22D5" w14:textId="77777777" w:rsidR="00D945F1" w:rsidRPr="00441AF5" w:rsidRDefault="00D945F1" w:rsidP="00D945F1">
      <w:pPr>
        <w:pStyle w:val="ListParagraph"/>
        <w:numPr>
          <w:ilvl w:val="0"/>
          <w:numId w:val="12"/>
        </w:numPr>
        <w:spacing w:after="120" w:line="259" w:lineRule="auto"/>
        <w:ind w:left="1134" w:hanging="425"/>
        <w:contextualSpacing w:val="0"/>
        <w:jc w:val="both"/>
        <w:rPr>
          <w:rFonts w:cs="Arial"/>
          <w:sz w:val="22"/>
          <w:szCs w:val="22"/>
        </w:rPr>
      </w:pPr>
      <w:r w:rsidRPr="00441AF5">
        <w:rPr>
          <w:rFonts w:cs="Arial"/>
          <w:sz w:val="22"/>
          <w:szCs w:val="22"/>
        </w:rPr>
        <w:t>Prosecution agencies, such as the CPS and the SFO, who would have additional powers to pursue corporate prosecutions.</w:t>
      </w:r>
    </w:p>
    <w:p w14:paraId="10041EC6" w14:textId="77777777" w:rsidR="00D945F1" w:rsidRPr="00441AF5" w:rsidRDefault="00D945F1" w:rsidP="00D945F1">
      <w:pPr>
        <w:pStyle w:val="ListParagraph"/>
        <w:numPr>
          <w:ilvl w:val="0"/>
          <w:numId w:val="12"/>
        </w:numPr>
        <w:spacing w:after="120" w:line="259" w:lineRule="auto"/>
        <w:ind w:left="1134" w:hanging="425"/>
        <w:contextualSpacing w:val="0"/>
        <w:jc w:val="both"/>
        <w:rPr>
          <w:rFonts w:cs="Arial"/>
          <w:sz w:val="22"/>
          <w:szCs w:val="22"/>
        </w:rPr>
      </w:pPr>
      <w:r w:rsidRPr="00441AF5">
        <w:rPr>
          <w:rFonts w:cs="Arial"/>
          <w:sz w:val="22"/>
          <w:szCs w:val="22"/>
        </w:rPr>
        <w:t>The court system which may have to try additional cases of failure to prevent fraud.</w:t>
      </w:r>
    </w:p>
    <w:p w14:paraId="091D39CC" w14:textId="77777777" w:rsidR="00D945F1" w:rsidRPr="00441AF5" w:rsidRDefault="00D945F1" w:rsidP="00D945F1">
      <w:pPr>
        <w:spacing w:after="120" w:line="259" w:lineRule="auto"/>
        <w:ind w:left="567"/>
        <w:jc w:val="both"/>
        <w:rPr>
          <w:rFonts w:cs="Arial"/>
          <w:b/>
          <w:sz w:val="22"/>
          <w:szCs w:val="22"/>
        </w:rPr>
      </w:pPr>
    </w:p>
    <w:p w14:paraId="413EEC80" w14:textId="77777777" w:rsidR="00D945F1" w:rsidRPr="00441AF5" w:rsidRDefault="00D945F1" w:rsidP="00D945F1">
      <w:pPr>
        <w:spacing w:after="120" w:line="259" w:lineRule="auto"/>
        <w:ind w:left="567" w:hanging="567"/>
        <w:jc w:val="both"/>
        <w:rPr>
          <w:rFonts w:cs="Arial"/>
          <w:b/>
          <w:sz w:val="22"/>
          <w:szCs w:val="22"/>
        </w:rPr>
      </w:pPr>
      <w:r w:rsidRPr="00441AF5">
        <w:rPr>
          <w:rFonts w:cs="Arial"/>
          <w:b/>
          <w:sz w:val="22"/>
          <w:szCs w:val="22"/>
        </w:rPr>
        <w:t>A.4</w:t>
      </w:r>
      <w:r w:rsidRPr="00441AF5">
        <w:rPr>
          <w:rFonts w:cs="Arial"/>
          <w:b/>
          <w:sz w:val="22"/>
          <w:szCs w:val="22"/>
        </w:rPr>
        <w:tab/>
        <w:t>Consultation</w:t>
      </w:r>
    </w:p>
    <w:p w14:paraId="2603B67B" w14:textId="77777777" w:rsidR="00D945F1" w:rsidRPr="00441AF5" w:rsidRDefault="00D945F1" w:rsidP="00D945F1">
      <w:pPr>
        <w:spacing w:after="120" w:line="259" w:lineRule="auto"/>
        <w:jc w:val="both"/>
        <w:rPr>
          <w:rFonts w:cs="Arial"/>
          <w:sz w:val="22"/>
          <w:szCs w:val="22"/>
        </w:rPr>
      </w:pPr>
      <w:r w:rsidRPr="00441AF5">
        <w:rPr>
          <w:rFonts w:cs="Arial"/>
          <w:b/>
          <w:sz w:val="22"/>
          <w:szCs w:val="22"/>
        </w:rPr>
        <w:t>Consultation</w:t>
      </w:r>
      <w:r w:rsidRPr="00441AF5">
        <w:rPr>
          <w:rFonts w:cs="Arial"/>
          <w:sz w:val="22"/>
          <w:szCs w:val="22"/>
        </w:rPr>
        <w:t xml:space="preserve"> </w:t>
      </w:r>
      <w:r w:rsidRPr="00441AF5">
        <w:rPr>
          <w:rFonts w:cs="Arial"/>
          <w:b/>
          <w:sz w:val="22"/>
          <w:szCs w:val="22"/>
        </w:rPr>
        <w:t>within government</w:t>
      </w:r>
    </w:p>
    <w:p w14:paraId="777C4733" w14:textId="77777777" w:rsidR="00D945F1" w:rsidRPr="00441AF5" w:rsidRDefault="00D945F1" w:rsidP="00D945F1">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following government departments and agencies were consulted during the development of this policy: </w:t>
      </w:r>
    </w:p>
    <w:p w14:paraId="75C46A68"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Pr>
          <w:rFonts w:cs="Arial"/>
          <w:sz w:val="22"/>
          <w:szCs w:val="22"/>
        </w:rPr>
        <w:t>The Devolved Administrations (who consulted the devolved prosecution agencies).</w:t>
      </w:r>
    </w:p>
    <w:p w14:paraId="0B3313CB"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Department for Business and Trade (DBT).</w:t>
      </w:r>
    </w:p>
    <w:p w14:paraId="418AF789"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HM Revenue and Customs (HMRC).</w:t>
      </w:r>
    </w:p>
    <w:p w14:paraId="0B4723BB"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HM Treasury (HMT).</w:t>
      </w:r>
    </w:p>
    <w:p w14:paraId="4332720F"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Ministry of Justice (MoJ).</w:t>
      </w:r>
    </w:p>
    <w:p w14:paraId="014E7AFA"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Serious Fraud Office (SFO).</w:t>
      </w:r>
    </w:p>
    <w:p w14:paraId="3AD06DE9"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Crown Prosecution Service (CPS).</w:t>
      </w:r>
    </w:p>
    <w:p w14:paraId="69155A1C"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Attorney General’s Office (AGO).</w:t>
      </w:r>
    </w:p>
    <w:p w14:paraId="732EE100"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Pr>
          <w:rFonts w:cs="Arial"/>
          <w:sz w:val="22"/>
          <w:szCs w:val="22"/>
        </w:rPr>
        <w:lastRenderedPageBreak/>
        <w:t xml:space="preserve">National Audit Office (NAO). </w:t>
      </w:r>
    </w:p>
    <w:p w14:paraId="687AAE5D"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Cabinet Office (CO).</w:t>
      </w:r>
    </w:p>
    <w:p w14:paraId="45801F3E"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 xml:space="preserve">Department for Education (DfE). </w:t>
      </w:r>
    </w:p>
    <w:p w14:paraId="5F3B7838"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Department for Health and Social Care (DHSC).</w:t>
      </w:r>
    </w:p>
    <w:p w14:paraId="077FEF5D" w14:textId="77777777" w:rsidR="00D945F1" w:rsidRPr="00441AF5"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The Charity Commission.</w:t>
      </w:r>
    </w:p>
    <w:p w14:paraId="520E6F4B"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441AF5">
        <w:rPr>
          <w:rFonts w:cs="Arial"/>
          <w:sz w:val="22"/>
          <w:szCs w:val="22"/>
        </w:rPr>
        <w:t>Department for Levelling Up Housing and Communities (DLUHC).</w:t>
      </w:r>
    </w:p>
    <w:p w14:paraId="0ED0660B"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Pr>
          <w:rFonts w:cs="Arial"/>
          <w:sz w:val="22"/>
          <w:szCs w:val="22"/>
        </w:rPr>
        <w:t>Financial Conduct Authority (FCA).</w:t>
      </w:r>
    </w:p>
    <w:p w14:paraId="6BE766A5"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Pr>
          <w:rFonts w:cs="Arial"/>
          <w:sz w:val="22"/>
          <w:szCs w:val="22"/>
        </w:rPr>
        <w:t>The Pension Regulator.</w:t>
      </w:r>
    </w:p>
    <w:p w14:paraId="2759C00E"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Pr>
          <w:rFonts w:cs="Arial"/>
          <w:sz w:val="22"/>
          <w:szCs w:val="22"/>
        </w:rPr>
        <w:t>The Environment Agency (specifically, the economic crime unit).</w:t>
      </w:r>
    </w:p>
    <w:p w14:paraId="39299328"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Pr>
          <w:rFonts w:cs="Arial"/>
          <w:sz w:val="22"/>
          <w:szCs w:val="22"/>
        </w:rPr>
        <w:t>Ofgem.</w:t>
      </w:r>
    </w:p>
    <w:p w14:paraId="0AFF369B" w14:textId="77777777" w:rsidR="00D945F1" w:rsidRDefault="00D945F1" w:rsidP="00D945F1">
      <w:pPr>
        <w:pStyle w:val="ListParagraph"/>
        <w:numPr>
          <w:ilvl w:val="0"/>
          <w:numId w:val="13"/>
        </w:numPr>
        <w:spacing w:after="120" w:line="259" w:lineRule="auto"/>
        <w:ind w:left="1134" w:hanging="425"/>
        <w:contextualSpacing w:val="0"/>
        <w:jc w:val="both"/>
        <w:rPr>
          <w:rFonts w:cs="Arial"/>
          <w:sz w:val="22"/>
          <w:szCs w:val="22"/>
        </w:rPr>
      </w:pPr>
      <w:r w:rsidRPr="007B210E">
        <w:rPr>
          <w:rFonts w:cs="Arial"/>
          <w:sz w:val="22"/>
          <w:szCs w:val="22"/>
        </w:rPr>
        <w:t>NHS Counter-Fraud.</w:t>
      </w:r>
    </w:p>
    <w:p w14:paraId="7BDEA050" w14:textId="77777777" w:rsidR="00D945F1" w:rsidRPr="007B210E" w:rsidRDefault="00D945F1" w:rsidP="00D945F1">
      <w:pPr>
        <w:pStyle w:val="ListParagraph"/>
        <w:numPr>
          <w:ilvl w:val="0"/>
          <w:numId w:val="13"/>
        </w:numPr>
        <w:spacing w:after="120" w:line="259" w:lineRule="auto"/>
        <w:ind w:left="1134" w:hanging="425"/>
        <w:contextualSpacing w:val="0"/>
        <w:jc w:val="both"/>
        <w:rPr>
          <w:rFonts w:cs="Arial"/>
          <w:sz w:val="22"/>
          <w:szCs w:val="22"/>
        </w:rPr>
      </w:pPr>
      <w:r>
        <w:rPr>
          <w:rFonts w:cs="Arial"/>
          <w:sz w:val="22"/>
          <w:szCs w:val="22"/>
        </w:rPr>
        <w:t>The Nuclear Decommissioning Authority (NDA).</w:t>
      </w:r>
    </w:p>
    <w:p w14:paraId="26B90C42" w14:textId="77777777" w:rsidR="00D945F1" w:rsidRPr="00441AF5" w:rsidRDefault="00D945F1" w:rsidP="00D945F1">
      <w:pPr>
        <w:spacing w:after="120" w:line="259" w:lineRule="auto"/>
        <w:jc w:val="both"/>
        <w:rPr>
          <w:rFonts w:cs="Arial"/>
          <w:sz w:val="22"/>
          <w:szCs w:val="22"/>
        </w:rPr>
      </w:pPr>
      <w:r w:rsidRPr="00441AF5">
        <w:rPr>
          <w:rFonts w:cs="Arial"/>
          <w:b/>
          <w:sz w:val="22"/>
          <w:szCs w:val="22"/>
        </w:rPr>
        <w:t>Targeted consultation</w:t>
      </w:r>
    </w:p>
    <w:p w14:paraId="375AA61D" w14:textId="77EB263B" w:rsidR="00745DE5" w:rsidRDefault="00D945F1" w:rsidP="00D945F1">
      <w:pPr>
        <w:pStyle w:val="ListParagraph"/>
        <w:numPr>
          <w:ilvl w:val="0"/>
          <w:numId w:val="10"/>
        </w:numPr>
        <w:spacing w:after="120" w:line="259" w:lineRule="auto"/>
        <w:ind w:left="567" w:hanging="567"/>
        <w:contextualSpacing w:val="0"/>
        <w:jc w:val="both"/>
        <w:rPr>
          <w:rFonts w:cs="Arial"/>
          <w:sz w:val="22"/>
          <w:szCs w:val="22"/>
        </w:rPr>
      </w:pPr>
      <w:bookmarkStart w:id="14" w:name="_Ref175841787"/>
      <w:r w:rsidRPr="00441AF5">
        <w:rPr>
          <w:rFonts w:cs="Arial"/>
          <w:sz w:val="22"/>
          <w:szCs w:val="22"/>
        </w:rPr>
        <w:t>In June 2021, the Law Commission published a discussion paper considering the present law relating to corporate criminal liability and options for reform</w:t>
      </w:r>
      <w:r w:rsidRPr="00441AF5">
        <w:rPr>
          <w:rStyle w:val="FootnoteReference"/>
          <w:rFonts w:cs="Arial"/>
          <w:szCs w:val="22"/>
        </w:rPr>
        <w:footnoteReference w:id="9"/>
      </w:r>
      <w:r w:rsidRPr="00441AF5">
        <w:rPr>
          <w:rFonts w:cs="Arial"/>
          <w:sz w:val="22"/>
          <w:szCs w:val="22"/>
        </w:rPr>
        <w:t xml:space="preserve">. </w:t>
      </w:r>
      <w:bookmarkEnd w:id="14"/>
    </w:p>
    <w:p w14:paraId="206AA57C" w14:textId="033E901D" w:rsidR="00745DE5" w:rsidRDefault="00745DE5" w:rsidP="00745DE5">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These options fall into three categories and </w:t>
      </w:r>
      <w:r w:rsidR="007E4E17">
        <w:rPr>
          <w:rFonts w:cs="Arial"/>
          <w:sz w:val="22"/>
          <w:szCs w:val="22"/>
        </w:rPr>
        <w:t>option a) does</w:t>
      </w:r>
      <w:r>
        <w:rPr>
          <w:rFonts w:cs="Arial"/>
          <w:sz w:val="22"/>
          <w:szCs w:val="22"/>
        </w:rPr>
        <w:t xml:space="preserve"> not </w:t>
      </w:r>
      <w:r w:rsidR="007E4E17">
        <w:rPr>
          <w:rFonts w:cs="Arial"/>
          <w:sz w:val="22"/>
          <w:szCs w:val="22"/>
        </w:rPr>
        <w:t>exclude the others</w:t>
      </w:r>
      <w:r w:rsidR="000520BF">
        <w:rPr>
          <w:rFonts w:cs="Arial"/>
          <w:sz w:val="22"/>
          <w:szCs w:val="22"/>
        </w:rPr>
        <w:t>. Options b) and c) are alternatives</w:t>
      </w:r>
      <w:r>
        <w:rPr>
          <w:rFonts w:cs="Arial"/>
          <w:sz w:val="22"/>
          <w:szCs w:val="22"/>
        </w:rPr>
        <w:t>:</w:t>
      </w:r>
    </w:p>
    <w:p w14:paraId="365B4750" w14:textId="02F59B87" w:rsidR="00745DE5" w:rsidRDefault="00BC52BD" w:rsidP="008E345D">
      <w:pPr>
        <w:pStyle w:val="ListParagraph"/>
        <w:numPr>
          <w:ilvl w:val="0"/>
          <w:numId w:val="90"/>
        </w:numPr>
        <w:spacing w:after="120" w:line="259" w:lineRule="auto"/>
        <w:ind w:left="1134" w:hanging="425"/>
        <w:contextualSpacing w:val="0"/>
        <w:jc w:val="both"/>
        <w:rPr>
          <w:rFonts w:cs="Arial"/>
          <w:sz w:val="22"/>
          <w:szCs w:val="22"/>
        </w:rPr>
      </w:pPr>
      <w:r>
        <w:rPr>
          <w:rFonts w:cs="Arial"/>
          <w:sz w:val="22"/>
          <w:szCs w:val="22"/>
        </w:rPr>
        <w:t>A</w:t>
      </w:r>
      <w:r w:rsidR="00745DE5">
        <w:rPr>
          <w:rFonts w:cs="Arial"/>
          <w:sz w:val="22"/>
          <w:szCs w:val="22"/>
        </w:rPr>
        <w:t xml:space="preserve">mending the identification principle for economic crime, that is, the principle by which economic crime committed by certain individuals in a company can result in liability for the company (in addition to liability for the individual). Various </w:t>
      </w:r>
      <w:r>
        <w:rPr>
          <w:rFonts w:cs="Arial"/>
          <w:sz w:val="22"/>
          <w:szCs w:val="22"/>
        </w:rPr>
        <w:t>sub-</w:t>
      </w:r>
      <w:r w:rsidR="00745DE5">
        <w:rPr>
          <w:rFonts w:cs="Arial"/>
          <w:sz w:val="22"/>
          <w:szCs w:val="22"/>
        </w:rPr>
        <w:t>options were considered, drawing on different legislative frameworks and experience in the US, Canada</w:t>
      </w:r>
      <w:r w:rsidR="007B1D10">
        <w:rPr>
          <w:rFonts w:cs="Arial"/>
          <w:sz w:val="22"/>
          <w:szCs w:val="22"/>
        </w:rPr>
        <w:t>,</w:t>
      </w:r>
      <w:r w:rsidR="00745DE5">
        <w:rPr>
          <w:rFonts w:cs="Arial"/>
          <w:sz w:val="22"/>
          <w:szCs w:val="22"/>
        </w:rPr>
        <w:t xml:space="preserve"> Australia</w:t>
      </w:r>
      <w:r w:rsidR="007B1D10">
        <w:rPr>
          <w:rFonts w:cs="Arial"/>
          <w:sz w:val="22"/>
          <w:szCs w:val="22"/>
        </w:rPr>
        <w:t xml:space="preserve"> and the Netherlands</w:t>
      </w:r>
      <w:r w:rsidR="00745DE5">
        <w:rPr>
          <w:rFonts w:cs="Arial"/>
          <w:sz w:val="22"/>
          <w:szCs w:val="22"/>
        </w:rPr>
        <w:t>.</w:t>
      </w:r>
    </w:p>
    <w:p w14:paraId="66CB9A8E" w14:textId="77CF7E0F" w:rsidR="00745DE5" w:rsidRPr="00417D5B" w:rsidRDefault="00BC52BD" w:rsidP="008E345D">
      <w:pPr>
        <w:pStyle w:val="ListParagraph"/>
        <w:numPr>
          <w:ilvl w:val="0"/>
          <w:numId w:val="90"/>
        </w:numPr>
        <w:spacing w:after="120" w:line="259" w:lineRule="auto"/>
        <w:ind w:left="1134" w:hanging="425"/>
        <w:contextualSpacing w:val="0"/>
        <w:jc w:val="both"/>
        <w:rPr>
          <w:rFonts w:cs="Arial"/>
          <w:sz w:val="22"/>
          <w:szCs w:val="22"/>
        </w:rPr>
      </w:pPr>
      <w:r>
        <w:rPr>
          <w:rFonts w:cs="Arial"/>
          <w:sz w:val="22"/>
          <w:szCs w:val="22"/>
        </w:rPr>
        <w:t>F</w:t>
      </w:r>
      <w:r w:rsidR="00745DE5" w:rsidRPr="00417D5B">
        <w:rPr>
          <w:rFonts w:cs="Arial"/>
          <w:sz w:val="22"/>
          <w:szCs w:val="22"/>
        </w:rPr>
        <w:t>ailure to prevent offences including an offence of failure to prevent fraud</w:t>
      </w:r>
      <w:r w:rsidR="00745DE5">
        <w:rPr>
          <w:rStyle w:val="FootnoteReference"/>
          <w:szCs w:val="22"/>
        </w:rPr>
        <w:footnoteReference w:id="10"/>
      </w:r>
      <w:r>
        <w:rPr>
          <w:rFonts w:cs="Arial"/>
          <w:sz w:val="22"/>
          <w:szCs w:val="22"/>
        </w:rPr>
        <w:t>.</w:t>
      </w:r>
      <w:r w:rsidR="00745DE5" w:rsidRPr="00417D5B">
        <w:rPr>
          <w:rFonts w:cs="Arial"/>
          <w:sz w:val="22"/>
          <w:szCs w:val="22"/>
        </w:rPr>
        <w:t xml:space="preserve"> </w:t>
      </w:r>
    </w:p>
    <w:p w14:paraId="6DD0BF49" w14:textId="421460FE" w:rsidR="00AB4B35" w:rsidRDefault="00AB4B35" w:rsidP="008E345D">
      <w:pPr>
        <w:pStyle w:val="ListParagraph"/>
        <w:numPr>
          <w:ilvl w:val="0"/>
          <w:numId w:val="90"/>
        </w:numPr>
        <w:spacing w:after="120" w:line="259" w:lineRule="auto"/>
        <w:ind w:left="1134" w:hanging="425"/>
        <w:contextualSpacing w:val="0"/>
        <w:jc w:val="both"/>
        <w:rPr>
          <w:rFonts w:cs="Arial"/>
          <w:sz w:val="22"/>
          <w:szCs w:val="22"/>
        </w:rPr>
      </w:pPr>
      <w:r>
        <w:rPr>
          <w:rFonts w:cs="Arial"/>
          <w:sz w:val="22"/>
          <w:szCs w:val="22"/>
        </w:rPr>
        <w:t>Civil options</w:t>
      </w:r>
      <w:r w:rsidR="002F61EF">
        <w:rPr>
          <w:rStyle w:val="FootnoteReference"/>
          <w:szCs w:val="22"/>
        </w:rPr>
        <w:footnoteReference w:id="11"/>
      </w:r>
      <w:r>
        <w:rPr>
          <w:rFonts w:cs="Arial"/>
          <w:sz w:val="22"/>
          <w:szCs w:val="22"/>
        </w:rPr>
        <w:t xml:space="preserve"> including:</w:t>
      </w:r>
    </w:p>
    <w:p w14:paraId="58BDDF53" w14:textId="3B886595" w:rsidR="00473185" w:rsidRDefault="00745DE5" w:rsidP="008E345D">
      <w:pPr>
        <w:pStyle w:val="ListParagraph"/>
        <w:numPr>
          <w:ilvl w:val="0"/>
          <w:numId w:val="92"/>
        </w:numPr>
        <w:spacing w:after="120" w:line="259" w:lineRule="auto"/>
        <w:ind w:left="1701" w:hanging="425"/>
        <w:contextualSpacing w:val="0"/>
        <w:jc w:val="both"/>
        <w:rPr>
          <w:rFonts w:cs="Arial"/>
          <w:sz w:val="22"/>
          <w:szCs w:val="22"/>
        </w:rPr>
      </w:pPr>
      <w:r w:rsidRPr="008326A6">
        <w:rPr>
          <w:rFonts w:cs="Arial"/>
          <w:sz w:val="22"/>
          <w:szCs w:val="22"/>
        </w:rPr>
        <w:t xml:space="preserve">Making </w:t>
      </w:r>
      <w:r w:rsidR="00473185">
        <w:rPr>
          <w:rFonts w:cs="Arial"/>
          <w:sz w:val="22"/>
          <w:szCs w:val="22"/>
        </w:rPr>
        <w:t xml:space="preserve">a range of </w:t>
      </w:r>
      <w:r w:rsidRPr="008326A6">
        <w:rPr>
          <w:rFonts w:cs="Arial"/>
          <w:sz w:val="22"/>
          <w:szCs w:val="22"/>
        </w:rPr>
        <w:t>orders available in cases where a non-natural person is convicted of an offence.</w:t>
      </w:r>
      <w:r w:rsidR="00473185">
        <w:rPr>
          <w:rFonts w:cs="Arial"/>
          <w:sz w:val="22"/>
          <w:szCs w:val="22"/>
        </w:rPr>
        <w:t xml:space="preserve"> The discussion paper consulted on</w:t>
      </w:r>
      <w:r w:rsidR="00AB4B35">
        <w:rPr>
          <w:rFonts w:cs="Arial"/>
          <w:sz w:val="22"/>
          <w:szCs w:val="22"/>
        </w:rPr>
        <w:t>:</w:t>
      </w:r>
      <w:r w:rsidR="00473185">
        <w:rPr>
          <w:rFonts w:cs="Arial"/>
          <w:sz w:val="22"/>
          <w:szCs w:val="22"/>
        </w:rPr>
        <w:t xml:space="preserve"> </w:t>
      </w:r>
    </w:p>
    <w:p w14:paraId="2729F8FC" w14:textId="31AB6100" w:rsidR="00473185" w:rsidRDefault="00F70209" w:rsidP="008E345D">
      <w:pPr>
        <w:pStyle w:val="ListParagraph"/>
        <w:numPr>
          <w:ilvl w:val="0"/>
          <w:numId w:val="91"/>
        </w:numPr>
        <w:spacing w:after="120" w:line="259" w:lineRule="auto"/>
        <w:ind w:left="2268" w:hanging="425"/>
        <w:contextualSpacing w:val="0"/>
        <w:jc w:val="both"/>
        <w:rPr>
          <w:rFonts w:cs="Arial"/>
          <w:sz w:val="22"/>
          <w:szCs w:val="22"/>
        </w:rPr>
      </w:pPr>
      <w:r w:rsidRPr="00F70209">
        <w:rPr>
          <w:rFonts w:cs="Arial"/>
          <w:sz w:val="22"/>
          <w:szCs w:val="22"/>
        </w:rPr>
        <w:t>Profit Orders, which would reflect the financial benefit gained from non</w:t>
      </w:r>
      <w:r w:rsidR="000936F4">
        <w:rPr>
          <w:rFonts w:cs="Arial"/>
          <w:sz w:val="22"/>
          <w:szCs w:val="22"/>
        </w:rPr>
        <w:t>-</w:t>
      </w:r>
      <w:r w:rsidRPr="00F70209">
        <w:rPr>
          <w:rFonts w:cs="Arial"/>
          <w:sz w:val="22"/>
          <w:szCs w:val="22"/>
        </w:rPr>
        <w:t>compliance and would be separate from any fine</w:t>
      </w:r>
      <w:r w:rsidR="0056693A">
        <w:rPr>
          <w:rFonts w:cs="Arial"/>
          <w:sz w:val="22"/>
          <w:szCs w:val="22"/>
        </w:rPr>
        <w:t>.</w:t>
      </w:r>
    </w:p>
    <w:p w14:paraId="6041CF30" w14:textId="42F21495" w:rsidR="00F70209" w:rsidRDefault="004B6B0A" w:rsidP="008E345D">
      <w:pPr>
        <w:pStyle w:val="ListParagraph"/>
        <w:numPr>
          <w:ilvl w:val="0"/>
          <w:numId w:val="91"/>
        </w:numPr>
        <w:spacing w:after="120" w:line="259" w:lineRule="auto"/>
        <w:ind w:left="2268" w:hanging="425"/>
        <w:contextualSpacing w:val="0"/>
        <w:jc w:val="both"/>
        <w:rPr>
          <w:rFonts w:cs="Arial"/>
          <w:sz w:val="22"/>
          <w:szCs w:val="22"/>
        </w:rPr>
      </w:pPr>
      <w:r w:rsidRPr="004B6B0A">
        <w:rPr>
          <w:rFonts w:cs="Arial"/>
          <w:sz w:val="22"/>
          <w:szCs w:val="22"/>
        </w:rPr>
        <w:t>Corporate Rehabilitation Orders, which “aim to rehabilitate the offender by ensuring tangible steps are taken that will address a company’s poor practices and prevent future non-compliance”.</w:t>
      </w:r>
    </w:p>
    <w:p w14:paraId="2BF53944" w14:textId="0FCCCE8F" w:rsidR="00745DE5" w:rsidRPr="008326A6" w:rsidRDefault="004B6B0A" w:rsidP="008E345D">
      <w:pPr>
        <w:pStyle w:val="ListParagraph"/>
        <w:numPr>
          <w:ilvl w:val="0"/>
          <w:numId w:val="91"/>
        </w:numPr>
        <w:spacing w:after="120" w:line="259" w:lineRule="auto"/>
        <w:ind w:left="2268" w:hanging="425"/>
        <w:contextualSpacing w:val="0"/>
        <w:jc w:val="both"/>
        <w:rPr>
          <w:rFonts w:cs="Arial"/>
          <w:sz w:val="22"/>
          <w:szCs w:val="22"/>
        </w:rPr>
      </w:pPr>
      <w:r>
        <w:rPr>
          <w:rFonts w:cs="Arial"/>
          <w:sz w:val="22"/>
          <w:szCs w:val="22"/>
        </w:rPr>
        <w:t>P</w:t>
      </w:r>
      <w:r w:rsidR="00745DE5" w:rsidRPr="008326A6">
        <w:rPr>
          <w:rFonts w:cs="Arial"/>
          <w:sz w:val="22"/>
          <w:szCs w:val="22"/>
        </w:rPr>
        <w:t>ublicity orders</w:t>
      </w:r>
      <w:r w:rsidR="0060335C" w:rsidRPr="0060335C">
        <w:t xml:space="preserve"> </w:t>
      </w:r>
      <w:r w:rsidR="0060335C" w:rsidRPr="0060335C">
        <w:rPr>
          <w:rFonts w:cs="Arial"/>
          <w:sz w:val="22"/>
          <w:szCs w:val="22"/>
        </w:rPr>
        <w:t>requiring notices to be placed in specialist media, thereby directing attention among users – and potential users – of a company’s services to their conviction</w:t>
      </w:r>
      <w:r w:rsidR="00745DE5" w:rsidRPr="008326A6">
        <w:rPr>
          <w:rFonts w:cs="Arial"/>
          <w:sz w:val="22"/>
          <w:szCs w:val="22"/>
        </w:rPr>
        <w:t>.</w:t>
      </w:r>
    </w:p>
    <w:p w14:paraId="79A2ACF5" w14:textId="77777777" w:rsidR="00745DE5" w:rsidRPr="008326A6" w:rsidRDefault="00745DE5" w:rsidP="008E345D">
      <w:pPr>
        <w:pStyle w:val="ListParagraph"/>
        <w:numPr>
          <w:ilvl w:val="0"/>
          <w:numId w:val="92"/>
        </w:numPr>
        <w:spacing w:after="120" w:line="259" w:lineRule="auto"/>
        <w:ind w:left="1701" w:hanging="425"/>
        <w:contextualSpacing w:val="0"/>
        <w:jc w:val="both"/>
        <w:rPr>
          <w:rFonts w:cs="Arial"/>
          <w:sz w:val="22"/>
          <w:szCs w:val="22"/>
        </w:rPr>
      </w:pPr>
      <w:r w:rsidRPr="008326A6">
        <w:rPr>
          <w:rFonts w:cs="Arial"/>
          <w:sz w:val="22"/>
          <w:szCs w:val="22"/>
        </w:rPr>
        <w:t>A regime of administratively imposed monetary penalties.</w:t>
      </w:r>
    </w:p>
    <w:p w14:paraId="70D2293D" w14:textId="77777777" w:rsidR="00745DE5" w:rsidRPr="0019780B" w:rsidRDefault="00745DE5" w:rsidP="008E345D">
      <w:pPr>
        <w:pStyle w:val="ListParagraph"/>
        <w:numPr>
          <w:ilvl w:val="0"/>
          <w:numId w:val="92"/>
        </w:numPr>
        <w:spacing w:after="120" w:line="259" w:lineRule="auto"/>
        <w:ind w:left="1701" w:hanging="425"/>
        <w:contextualSpacing w:val="0"/>
        <w:jc w:val="both"/>
        <w:rPr>
          <w:rFonts w:cs="Arial"/>
          <w:sz w:val="22"/>
          <w:szCs w:val="22"/>
        </w:rPr>
      </w:pPr>
      <w:r w:rsidRPr="0019780B">
        <w:rPr>
          <w:rFonts w:cs="Arial"/>
          <w:sz w:val="22"/>
          <w:szCs w:val="22"/>
        </w:rPr>
        <w:t>Civil actions in the High Court. This would be a regime based on Serious Crime Prevention Orders under the Serious Crime Act 2007, but involving a power to impose monetary penalties as well as punitive and preventative measures that the corporation would be required to take</w:t>
      </w:r>
      <w:r w:rsidRPr="008326A6">
        <w:rPr>
          <w:rFonts w:cs="Arial"/>
          <w:sz w:val="22"/>
          <w:szCs w:val="22"/>
        </w:rPr>
        <w:t>.</w:t>
      </w:r>
      <w:r w:rsidRPr="0019780B">
        <w:rPr>
          <w:rFonts w:cs="Arial"/>
          <w:sz w:val="22"/>
          <w:szCs w:val="22"/>
        </w:rPr>
        <w:t xml:space="preserve"> </w:t>
      </w:r>
    </w:p>
    <w:p w14:paraId="4984FB47" w14:textId="35F99071" w:rsidR="00745DE5" w:rsidRDefault="00745DE5" w:rsidP="008E345D">
      <w:pPr>
        <w:pStyle w:val="ListParagraph"/>
        <w:numPr>
          <w:ilvl w:val="0"/>
          <w:numId w:val="92"/>
        </w:numPr>
        <w:spacing w:after="120" w:line="259" w:lineRule="auto"/>
        <w:ind w:left="1701" w:hanging="425"/>
        <w:contextualSpacing w:val="0"/>
        <w:jc w:val="both"/>
        <w:rPr>
          <w:rFonts w:cs="Arial"/>
          <w:sz w:val="22"/>
          <w:szCs w:val="22"/>
        </w:rPr>
      </w:pPr>
      <w:r w:rsidRPr="0019780B">
        <w:rPr>
          <w:rFonts w:cs="Arial"/>
          <w:sz w:val="22"/>
          <w:szCs w:val="22"/>
        </w:rPr>
        <w:lastRenderedPageBreak/>
        <w:t>A requirement for corporations to publish their anti-fraud policies, analogous to reporting requirements in the Companies Act 2006 or the Modern Slavery Act 2015</w:t>
      </w:r>
      <w:r>
        <w:rPr>
          <w:rStyle w:val="FootnoteReference"/>
          <w:szCs w:val="22"/>
        </w:rPr>
        <w:footnoteReference w:id="12"/>
      </w:r>
      <w:r w:rsidRPr="0019780B">
        <w:rPr>
          <w:rFonts w:cs="Arial"/>
          <w:sz w:val="22"/>
          <w:szCs w:val="22"/>
        </w:rPr>
        <w:t xml:space="preserve">. </w:t>
      </w:r>
    </w:p>
    <w:p w14:paraId="2E909D62" w14:textId="0DA14A55" w:rsidR="00E06AF2" w:rsidRDefault="00730345" w:rsidP="00E06AF2">
      <w:pPr>
        <w:pStyle w:val="ListParagraph"/>
        <w:numPr>
          <w:ilvl w:val="0"/>
          <w:numId w:val="10"/>
        </w:numPr>
        <w:spacing w:after="120" w:line="259" w:lineRule="auto"/>
        <w:ind w:left="567" w:hanging="567"/>
        <w:contextualSpacing w:val="0"/>
        <w:jc w:val="both"/>
        <w:rPr>
          <w:rFonts w:cs="Arial"/>
          <w:sz w:val="22"/>
          <w:szCs w:val="22"/>
        </w:rPr>
      </w:pPr>
      <w:r w:rsidRPr="00E06AF2">
        <w:rPr>
          <w:rFonts w:cs="Arial"/>
          <w:sz w:val="22"/>
          <w:szCs w:val="22"/>
        </w:rPr>
        <w:t xml:space="preserve">The Law Commission’s consultation received 45 </w:t>
      </w:r>
      <w:r w:rsidR="002E4F51" w:rsidRPr="00E06AF2">
        <w:rPr>
          <w:rFonts w:cs="Arial"/>
          <w:sz w:val="22"/>
          <w:szCs w:val="22"/>
        </w:rPr>
        <w:t xml:space="preserve">written </w:t>
      </w:r>
      <w:r w:rsidRPr="00E06AF2">
        <w:rPr>
          <w:rFonts w:cs="Arial"/>
          <w:sz w:val="22"/>
          <w:szCs w:val="22"/>
        </w:rPr>
        <w:t>responses. The results of the targeted consultation were not made public but some of the findings were included in the Law Commission’s final options paper</w:t>
      </w:r>
      <w:r w:rsidRPr="00730345">
        <w:rPr>
          <w:rFonts w:cs="Arial"/>
          <w:sz w:val="22"/>
          <w:szCs w:val="22"/>
          <w:vertAlign w:val="superscript"/>
        </w:rPr>
        <w:footnoteReference w:id="13"/>
      </w:r>
      <w:r w:rsidR="00874BB4" w:rsidRPr="00E06AF2">
        <w:rPr>
          <w:rFonts w:cs="Arial"/>
          <w:sz w:val="22"/>
          <w:szCs w:val="22"/>
        </w:rPr>
        <w:t xml:space="preserve"> of June 2022</w:t>
      </w:r>
      <w:r w:rsidR="00E06AF2" w:rsidRPr="00E06AF2">
        <w:rPr>
          <w:rFonts w:cs="Arial"/>
          <w:sz w:val="22"/>
          <w:szCs w:val="22"/>
        </w:rPr>
        <w:t xml:space="preserve">, which also </w:t>
      </w:r>
      <w:r w:rsidR="00D945F1" w:rsidRPr="00E06AF2" w:rsidDel="002770EC">
        <w:rPr>
          <w:rFonts w:cs="Arial"/>
          <w:sz w:val="22"/>
          <w:szCs w:val="22"/>
        </w:rPr>
        <w:t xml:space="preserve">assessed the </w:t>
      </w:r>
      <w:r w:rsidR="00D945F1" w:rsidRPr="00E06AF2">
        <w:rPr>
          <w:rFonts w:cs="Arial"/>
          <w:sz w:val="22"/>
          <w:szCs w:val="22"/>
        </w:rPr>
        <w:t xml:space="preserve">existing “failure to prevent” offences, for bribery and the </w:t>
      </w:r>
      <w:r w:rsidR="006C6FA8">
        <w:rPr>
          <w:rFonts w:cs="Arial"/>
          <w:sz w:val="22"/>
          <w:szCs w:val="22"/>
        </w:rPr>
        <w:t xml:space="preserve">criminal </w:t>
      </w:r>
      <w:r w:rsidR="00D945F1" w:rsidRPr="00E06AF2">
        <w:rPr>
          <w:rFonts w:cs="Arial"/>
          <w:sz w:val="22"/>
          <w:szCs w:val="22"/>
        </w:rPr>
        <w:t>facilitation of tax evasion</w:t>
      </w:r>
      <w:r w:rsidR="006C6FA8">
        <w:rPr>
          <w:rFonts w:cs="Arial"/>
          <w:sz w:val="22"/>
          <w:szCs w:val="22"/>
        </w:rPr>
        <w:t>.</w:t>
      </w:r>
    </w:p>
    <w:p w14:paraId="507C899F" w14:textId="4C9493E5" w:rsidR="00B10FC1" w:rsidRDefault="00B10FC1" w:rsidP="000D1C19">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The final options paper of June 2022 did not recommend </w:t>
      </w:r>
      <w:r w:rsidR="00A473EE">
        <w:rPr>
          <w:rFonts w:cs="Arial"/>
          <w:sz w:val="22"/>
          <w:szCs w:val="22"/>
        </w:rPr>
        <w:t>profit orders and corporate rehabilitation orders (largely because of potential overlaps with existing regulators’ responsibilities</w:t>
      </w:r>
      <w:r w:rsidR="00B61E64" w:rsidRPr="000D1C19">
        <w:rPr>
          <w:rFonts w:cs="Arial"/>
          <w:sz w:val="22"/>
          <w:szCs w:val="22"/>
        </w:rPr>
        <w:t>)</w:t>
      </w:r>
      <w:r w:rsidR="000D1C19">
        <w:rPr>
          <w:rFonts w:cs="Arial"/>
          <w:sz w:val="22"/>
          <w:szCs w:val="22"/>
        </w:rPr>
        <w:t>.</w:t>
      </w:r>
      <w:r w:rsidR="0053470F">
        <w:rPr>
          <w:rFonts w:cs="Arial"/>
          <w:sz w:val="22"/>
          <w:szCs w:val="22"/>
        </w:rPr>
        <w:t xml:space="preserve"> The other options were considered to be feasible.</w:t>
      </w:r>
    </w:p>
    <w:p w14:paraId="014A3484" w14:textId="74C4440D" w:rsidR="00FB293C" w:rsidRDefault="00A36320" w:rsidP="00E06AF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Government decided to adopt option a) the proposed amendment to the identification principle and option b) a failure to prevent fraud offence. </w:t>
      </w:r>
      <w:r w:rsidR="0053470F">
        <w:rPr>
          <w:rFonts w:cs="Arial"/>
          <w:sz w:val="22"/>
          <w:szCs w:val="22"/>
        </w:rPr>
        <w:t xml:space="preserve">This is partly because the CPS </w:t>
      </w:r>
      <w:r w:rsidR="0053470F" w:rsidRPr="0053470F">
        <w:rPr>
          <w:rFonts w:cs="Arial"/>
          <w:sz w:val="22"/>
          <w:szCs w:val="22"/>
        </w:rPr>
        <w:t>expressed a preference for a failure to prevent fraud offence over the introduction of a new regime of administratively imposed monetary penalties, since there is experience of the existing failure to prevent bribery legislation</w:t>
      </w:r>
      <w:r w:rsidR="0053470F" w:rsidRPr="0053470F">
        <w:rPr>
          <w:rFonts w:cs="Arial"/>
          <w:sz w:val="22"/>
          <w:szCs w:val="22"/>
          <w:vertAlign w:val="superscript"/>
        </w:rPr>
        <w:footnoteReference w:id="14"/>
      </w:r>
      <w:r w:rsidR="0053470F" w:rsidRPr="0053470F">
        <w:rPr>
          <w:rFonts w:cs="Arial"/>
          <w:sz w:val="22"/>
          <w:szCs w:val="22"/>
        </w:rPr>
        <w:t>.</w:t>
      </w:r>
    </w:p>
    <w:p w14:paraId="18C0FA43" w14:textId="7E0AE263" w:rsidR="00AD460B" w:rsidRDefault="00F16872" w:rsidP="00E06AF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Cost assessments of the different </w:t>
      </w:r>
      <w:r w:rsidR="00465960">
        <w:rPr>
          <w:rFonts w:cs="Arial"/>
          <w:sz w:val="22"/>
          <w:szCs w:val="22"/>
        </w:rPr>
        <w:t xml:space="preserve">feasible civil </w:t>
      </w:r>
      <w:r>
        <w:rPr>
          <w:rFonts w:cs="Arial"/>
          <w:sz w:val="22"/>
          <w:szCs w:val="22"/>
        </w:rPr>
        <w:t>options were not carried out</w:t>
      </w:r>
      <w:r w:rsidR="00F7171C">
        <w:rPr>
          <w:rFonts w:cs="Arial"/>
          <w:sz w:val="22"/>
          <w:szCs w:val="22"/>
        </w:rPr>
        <w:t>,</w:t>
      </w:r>
      <w:r w:rsidR="00F7171C" w:rsidRPr="00F7171C">
        <w:rPr>
          <w:rFonts w:cs="Arial"/>
          <w:sz w:val="22"/>
          <w:szCs w:val="22"/>
        </w:rPr>
        <w:t xml:space="preserve"> </w:t>
      </w:r>
      <w:r w:rsidR="00F7171C">
        <w:rPr>
          <w:rFonts w:cs="Arial"/>
          <w:sz w:val="22"/>
          <w:szCs w:val="22"/>
        </w:rPr>
        <w:t>although the Law Commission did recommend that the implications for criminal justice costs should be examined if the civil route was selected</w:t>
      </w:r>
      <w:r w:rsidR="00522835">
        <w:rPr>
          <w:rFonts w:cs="Arial"/>
          <w:sz w:val="22"/>
          <w:szCs w:val="22"/>
        </w:rPr>
        <w:t xml:space="preserve">. </w:t>
      </w:r>
      <w:r w:rsidR="008B2193">
        <w:rPr>
          <w:rFonts w:cs="Arial"/>
          <w:sz w:val="22"/>
          <w:szCs w:val="22"/>
        </w:rPr>
        <w:t xml:space="preserve">The large majority of costs </w:t>
      </w:r>
      <w:r w:rsidR="00E12D0D">
        <w:rPr>
          <w:rFonts w:cs="Arial"/>
          <w:sz w:val="22"/>
          <w:szCs w:val="22"/>
        </w:rPr>
        <w:t xml:space="preserve">are associated with implementing fraud prevention </w:t>
      </w:r>
      <w:r w:rsidR="00633282">
        <w:rPr>
          <w:rFonts w:cs="Arial"/>
          <w:sz w:val="22"/>
          <w:szCs w:val="22"/>
        </w:rPr>
        <w:t xml:space="preserve">measures and these </w:t>
      </w:r>
      <w:r w:rsidR="008B2193">
        <w:rPr>
          <w:rFonts w:cs="Arial"/>
          <w:sz w:val="22"/>
          <w:szCs w:val="22"/>
        </w:rPr>
        <w:t>fall to businesses</w:t>
      </w:r>
      <w:r w:rsidR="00633282">
        <w:rPr>
          <w:rFonts w:cs="Arial"/>
          <w:sz w:val="22"/>
          <w:szCs w:val="22"/>
        </w:rPr>
        <w:t xml:space="preserve">. It </w:t>
      </w:r>
      <w:r w:rsidR="00375EFD">
        <w:rPr>
          <w:rFonts w:cs="Arial"/>
          <w:sz w:val="22"/>
          <w:szCs w:val="22"/>
        </w:rPr>
        <w:t>is</w:t>
      </w:r>
      <w:r w:rsidR="004F725D">
        <w:rPr>
          <w:rFonts w:cs="Arial"/>
          <w:sz w:val="22"/>
          <w:szCs w:val="22"/>
        </w:rPr>
        <w:t xml:space="preserve"> likely that</w:t>
      </w:r>
      <w:r w:rsidR="000579BD">
        <w:rPr>
          <w:rFonts w:cs="Arial"/>
          <w:sz w:val="22"/>
          <w:szCs w:val="22"/>
        </w:rPr>
        <w:t xml:space="preserve">, </w:t>
      </w:r>
      <w:r w:rsidR="00522835">
        <w:rPr>
          <w:rFonts w:cs="Arial"/>
          <w:sz w:val="22"/>
          <w:szCs w:val="22"/>
        </w:rPr>
        <w:t xml:space="preserve">in practice, </w:t>
      </w:r>
      <w:r w:rsidR="003442FE">
        <w:rPr>
          <w:rFonts w:cs="Arial"/>
          <w:sz w:val="22"/>
          <w:szCs w:val="22"/>
        </w:rPr>
        <w:t>these costs would be very similar to the costs presented in this IA, if the civil route had been selected.</w:t>
      </w:r>
    </w:p>
    <w:p w14:paraId="4913D615" w14:textId="77777777" w:rsidR="00D945F1" w:rsidRPr="00441AF5" w:rsidRDefault="00D945F1" w:rsidP="00D945F1">
      <w:pPr>
        <w:pStyle w:val="EBBullet"/>
        <w:numPr>
          <w:ilvl w:val="0"/>
          <w:numId w:val="0"/>
        </w:numPr>
        <w:spacing w:line="259" w:lineRule="auto"/>
        <w:ind w:left="567"/>
        <w:jc w:val="both"/>
        <w:rPr>
          <w:color w:val="auto"/>
        </w:rPr>
      </w:pPr>
    </w:p>
    <w:p w14:paraId="1908CFE7" w14:textId="77777777" w:rsidR="00D945F1" w:rsidRPr="004C69A8" w:rsidRDefault="00D945F1" w:rsidP="00D945F1">
      <w:pPr>
        <w:pStyle w:val="EBBullet"/>
        <w:numPr>
          <w:ilvl w:val="0"/>
          <w:numId w:val="4"/>
        </w:numPr>
        <w:spacing w:after="0"/>
        <w:ind w:left="567" w:hanging="567"/>
        <w:jc w:val="both"/>
        <w:rPr>
          <w:color w:val="auto"/>
          <w:sz w:val="28"/>
          <w:szCs w:val="28"/>
        </w:rPr>
      </w:pPr>
      <w:r w:rsidRPr="0029116F">
        <w:rPr>
          <w:b/>
          <w:color w:val="auto"/>
          <w:sz w:val="28"/>
          <w:szCs w:val="28"/>
        </w:rPr>
        <w:t>Rationale for intervention</w:t>
      </w:r>
    </w:p>
    <w:p w14:paraId="45DCAA2C" w14:textId="77777777" w:rsidR="00450981" w:rsidRPr="0029116F" w:rsidRDefault="00450981" w:rsidP="004C69A8">
      <w:pPr>
        <w:pStyle w:val="EBBullet"/>
        <w:numPr>
          <w:ilvl w:val="0"/>
          <w:numId w:val="0"/>
        </w:numPr>
        <w:spacing w:after="0"/>
        <w:jc w:val="both"/>
        <w:rPr>
          <w:color w:val="auto"/>
          <w:sz w:val="28"/>
          <w:szCs w:val="28"/>
        </w:rPr>
      </w:pPr>
    </w:p>
    <w:p w14:paraId="5389839E" w14:textId="751E9B9E" w:rsidR="00175997" w:rsidRPr="0040697F" w:rsidRDefault="00175997" w:rsidP="004C69A8">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Fraud undermines the efficient operation of economies as it undermines the framework of contract law and reduces trust. This has the effect of raising transaction costs</w:t>
      </w:r>
      <w:r w:rsidR="00375EFD">
        <w:rPr>
          <w:rFonts w:cs="Arial"/>
          <w:sz w:val="22"/>
          <w:szCs w:val="22"/>
        </w:rPr>
        <w:t>,</w:t>
      </w:r>
      <w:r w:rsidRPr="0040697F">
        <w:rPr>
          <w:rFonts w:cs="Arial"/>
          <w:sz w:val="22"/>
          <w:szCs w:val="22"/>
        </w:rPr>
        <w:t xml:space="preserve"> deterring otherwise economically efficient trades. </w:t>
      </w:r>
    </w:p>
    <w:p w14:paraId="418F8FA2" w14:textId="77777777" w:rsidR="00292E42" w:rsidRPr="0040697F" w:rsidRDefault="00D945F1" w:rsidP="004C69A8">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 xml:space="preserve">This policy aims to reduce the amount of fraud conducted by organisations or their employees or other associated persons providing services on behalf of the organisation. The rationale for this policy is </w:t>
      </w:r>
      <w:r w:rsidR="00292E42" w:rsidRPr="0040697F">
        <w:rPr>
          <w:rFonts w:cs="Arial"/>
          <w:sz w:val="22"/>
          <w:szCs w:val="22"/>
        </w:rPr>
        <w:t xml:space="preserve">split into </w:t>
      </w:r>
      <w:r w:rsidR="00B27993" w:rsidRPr="004C69A8">
        <w:rPr>
          <w:rFonts w:cs="Arial"/>
          <w:sz w:val="22"/>
          <w:szCs w:val="22"/>
        </w:rPr>
        <w:t>four</w:t>
      </w:r>
      <w:r w:rsidR="00292E42" w:rsidRPr="0040697F">
        <w:rPr>
          <w:rFonts w:cs="Arial"/>
          <w:sz w:val="22"/>
          <w:szCs w:val="22"/>
        </w:rPr>
        <w:t xml:space="preserve"> sections:</w:t>
      </w:r>
    </w:p>
    <w:p w14:paraId="3B861F02" w14:textId="77777777" w:rsidR="00292E42" w:rsidRPr="0040697F" w:rsidRDefault="00175997" w:rsidP="004C69A8">
      <w:pPr>
        <w:pStyle w:val="ListParagraph"/>
        <w:numPr>
          <w:ilvl w:val="1"/>
          <w:numId w:val="95"/>
        </w:numPr>
        <w:spacing w:after="120" w:line="259" w:lineRule="auto"/>
        <w:ind w:left="1134" w:hanging="425"/>
        <w:contextualSpacing w:val="0"/>
        <w:jc w:val="both"/>
        <w:rPr>
          <w:rFonts w:cs="Arial"/>
          <w:sz w:val="22"/>
          <w:szCs w:val="22"/>
        </w:rPr>
      </w:pPr>
      <w:r w:rsidRPr="0040697F">
        <w:rPr>
          <w:rFonts w:cs="Arial"/>
          <w:sz w:val="22"/>
          <w:szCs w:val="22"/>
        </w:rPr>
        <w:t>E</w:t>
      </w:r>
      <w:r w:rsidR="00292E42" w:rsidRPr="0040697F">
        <w:rPr>
          <w:rFonts w:cs="Arial"/>
          <w:sz w:val="22"/>
          <w:szCs w:val="22"/>
        </w:rPr>
        <w:t>vidence that fraud committed by businesses is a problem in the UK</w:t>
      </w:r>
      <w:r w:rsidRPr="0040697F">
        <w:rPr>
          <w:rFonts w:cs="Arial"/>
          <w:sz w:val="22"/>
          <w:szCs w:val="22"/>
        </w:rPr>
        <w:t>.</w:t>
      </w:r>
    </w:p>
    <w:p w14:paraId="236056E9" w14:textId="77777777" w:rsidR="00292E42" w:rsidRPr="0040697F" w:rsidRDefault="00FE75D0" w:rsidP="004C69A8">
      <w:pPr>
        <w:pStyle w:val="ListParagraph"/>
        <w:numPr>
          <w:ilvl w:val="1"/>
          <w:numId w:val="95"/>
        </w:numPr>
        <w:spacing w:after="120" w:line="259" w:lineRule="auto"/>
        <w:ind w:left="1134" w:hanging="425"/>
        <w:contextualSpacing w:val="0"/>
        <w:jc w:val="both"/>
        <w:rPr>
          <w:rFonts w:cs="Arial"/>
          <w:sz w:val="22"/>
          <w:szCs w:val="22"/>
        </w:rPr>
      </w:pPr>
      <w:r w:rsidRPr="0040697F">
        <w:rPr>
          <w:rFonts w:cs="Arial"/>
          <w:sz w:val="22"/>
          <w:szCs w:val="22"/>
        </w:rPr>
        <w:t xml:space="preserve">Rationale for the choice of a </w:t>
      </w:r>
      <w:r w:rsidR="00292E42" w:rsidRPr="0040697F">
        <w:rPr>
          <w:rFonts w:cs="Arial"/>
          <w:sz w:val="22"/>
          <w:szCs w:val="22"/>
        </w:rPr>
        <w:t>“failure to prevent</w:t>
      </w:r>
      <w:r w:rsidRPr="0040697F">
        <w:rPr>
          <w:rFonts w:cs="Arial"/>
          <w:sz w:val="22"/>
          <w:szCs w:val="22"/>
        </w:rPr>
        <w:t xml:space="preserve"> fraud</w:t>
      </w:r>
      <w:r w:rsidR="00292E42" w:rsidRPr="0040697F">
        <w:rPr>
          <w:rFonts w:cs="Arial"/>
          <w:sz w:val="22"/>
          <w:szCs w:val="22"/>
        </w:rPr>
        <w:t>” offence</w:t>
      </w:r>
      <w:r w:rsidR="00175997" w:rsidRPr="0040697F">
        <w:rPr>
          <w:rFonts w:cs="Arial"/>
          <w:sz w:val="22"/>
          <w:szCs w:val="22"/>
        </w:rPr>
        <w:t>.</w:t>
      </w:r>
    </w:p>
    <w:p w14:paraId="41F2F18D" w14:textId="77777777" w:rsidR="00292E42" w:rsidRPr="004C69A8" w:rsidRDefault="00175997" w:rsidP="004C69A8">
      <w:pPr>
        <w:pStyle w:val="ListParagraph"/>
        <w:numPr>
          <w:ilvl w:val="1"/>
          <w:numId w:val="95"/>
        </w:numPr>
        <w:spacing w:after="120" w:line="259" w:lineRule="auto"/>
        <w:ind w:left="1134" w:hanging="425"/>
        <w:contextualSpacing w:val="0"/>
        <w:jc w:val="both"/>
        <w:rPr>
          <w:rFonts w:cs="Arial"/>
          <w:sz w:val="22"/>
          <w:szCs w:val="22"/>
        </w:rPr>
      </w:pPr>
      <w:r w:rsidRPr="0040697F">
        <w:rPr>
          <w:rFonts w:cs="Arial"/>
          <w:sz w:val="22"/>
          <w:szCs w:val="22"/>
        </w:rPr>
        <w:t>D</w:t>
      </w:r>
      <w:r w:rsidR="00292E42" w:rsidRPr="0040697F">
        <w:rPr>
          <w:rFonts w:cs="Arial"/>
          <w:sz w:val="22"/>
          <w:szCs w:val="22"/>
        </w:rPr>
        <w:t>iscussion of the choice to restrict the offence to large organisations only</w:t>
      </w:r>
      <w:r w:rsidR="00D231B9" w:rsidRPr="0040697F">
        <w:rPr>
          <w:rFonts w:cs="Arial"/>
          <w:sz w:val="22"/>
          <w:szCs w:val="22"/>
        </w:rPr>
        <w:t>.</w:t>
      </w:r>
    </w:p>
    <w:p w14:paraId="20297DF3" w14:textId="77777777" w:rsidR="00DE389C" w:rsidRPr="0040697F" w:rsidRDefault="00DE389C" w:rsidP="004C69A8">
      <w:pPr>
        <w:pStyle w:val="ListParagraph"/>
        <w:numPr>
          <w:ilvl w:val="1"/>
          <w:numId w:val="95"/>
        </w:numPr>
        <w:spacing w:after="120" w:line="259" w:lineRule="auto"/>
        <w:ind w:left="1134" w:hanging="425"/>
        <w:contextualSpacing w:val="0"/>
        <w:jc w:val="both"/>
        <w:rPr>
          <w:rFonts w:cs="Arial"/>
          <w:sz w:val="22"/>
          <w:szCs w:val="22"/>
        </w:rPr>
      </w:pPr>
      <w:r w:rsidRPr="004C69A8">
        <w:rPr>
          <w:rFonts w:cs="Arial"/>
          <w:sz w:val="22"/>
          <w:szCs w:val="22"/>
        </w:rPr>
        <w:t xml:space="preserve">Discussion of choice to </w:t>
      </w:r>
      <w:r w:rsidR="00BA3A02" w:rsidRPr="004C69A8">
        <w:rPr>
          <w:rFonts w:cs="Arial"/>
          <w:sz w:val="22"/>
          <w:szCs w:val="22"/>
        </w:rPr>
        <w:t>include organisations that are not companies.</w:t>
      </w:r>
    </w:p>
    <w:p w14:paraId="1DC4A933" w14:textId="76E56A72" w:rsidR="00D945F1" w:rsidRPr="001A065E" w:rsidRDefault="00175997" w:rsidP="004C69A8">
      <w:pPr>
        <w:spacing w:after="120" w:line="259" w:lineRule="auto"/>
        <w:jc w:val="both"/>
        <w:rPr>
          <w:rFonts w:cs="Arial"/>
          <w:b/>
          <w:sz w:val="22"/>
          <w:szCs w:val="22"/>
        </w:rPr>
      </w:pPr>
      <w:r w:rsidRPr="001A065E">
        <w:rPr>
          <w:rFonts w:cs="Arial"/>
          <w:b/>
          <w:sz w:val="22"/>
          <w:szCs w:val="22"/>
        </w:rPr>
        <w:t>Evidence that fraud committed by businesses is a problem in the UK</w:t>
      </w:r>
    </w:p>
    <w:p w14:paraId="2F530F60" w14:textId="77777777" w:rsidR="00D945F1" w:rsidRPr="0040697F" w:rsidRDefault="00D945F1" w:rsidP="004C69A8">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 xml:space="preserve">Fraud is generally believed to be an under-reported crime. </w:t>
      </w:r>
    </w:p>
    <w:p w14:paraId="2081A227" w14:textId="5A3191EC" w:rsidR="00D945F1" w:rsidRPr="0040697F" w:rsidRDefault="00693CAA" w:rsidP="004C69A8">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 xml:space="preserve">It is </w:t>
      </w:r>
      <w:r w:rsidR="005B3D47">
        <w:rPr>
          <w:rFonts w:cs="Arial"/>
          <w:sz w:val="22"/>
          <w:szCs w:val="22"/>
        </w:rPr>
        <w:t>known</w:t>
      </w:r>
      <w:r w:rsidRPr="0040697F">
        <w:rPr>
          <w:rFonts w:cs="Arial"/>
          <w:sz w:val="22"/>
          <w:szCs w:val="22"/>
        </w:rPr>
        <w:t xml:space="preserve"> that some businesses engage in economic crime, including fraud, although the </w:t>
      </w:r>
      <w:r w:rsidR="005B3D47">
        <w:rPr>
          <w:rFonts w:cs="Arial"/>
          <w:sz w:val="22"/>
          <w:szCs w:val="22"/>
        </w:rPr>
        <w:t>full</w:t>
      </w:r>
      <w:r w:rsidRPr="0040697F">
        <w:rPr>
          <w:rFonts w:cs="Arial"/>
          <w:sz w:val="22"/>
          <w:szCs w:val="22"/>
        </w:rPr>
        <w:t xml:space="preserve"> </w:t>
      </w:r>
      <w:r w:rsidR="00D945F1" w:rsidRPr="0040697F">
        <w:rPr>
          <w:rFonts w:cs="Arial"/>
          <w:sz w:val="22"/>
          <w:szCs w:val="22"/>
        </w:rPr>
        <w:t xml:space="preserve">extent of fraud committed by business is not known.  </w:t>
      </w:r>
      <w:r w:rsidRPr="0040697F">
        <w:rPr>
          <w:rFonts w:cs="Arial"/>
          <w:sz w:val="22"/>
          <w:szCs w:val="22"/>
        </w:rPr>
        <w:t>O</w:t>
      </w:r>
      <w:r w:rsidR="00D945F1" w:rsidRPr="0040697F">
        <w:rPr>
          <w:rFonts w:cs="Arial"/>
          <w:sz w:val="22"/>
          <w:szCs w:val="22"/>
        </w:rPr>
        <w:t>ver the period 04/03/2024 to 21/07/2024, Companies House has removed records relating to 45,900 companies from the Register, owing to complaints about unauthorised use of names, addresses</w:t>
      </w:r>
      <w:r w:rsidR="005B3D47">
        <w:rPr>
          <w:rFonts w:cs="Arial"/>
          <w:sz w:val="22"/>
          <w:szCs w:val="22"/>
        </w:rPr>
        <w:t>,</w:t>
      </w:r>
      <w:r w:rsidR="00D945F1" w:rsidRPr="0040697F">
        <w:rPr>
          <w:rFonts w:cs="Arial"/>
          <w:sz w:val="22"/>
          <w:szCs w:val="22"/>
        </w:rPr>
        <w:t xml:space="preserve"> and false mortgage applications. </w:t>
      </w:r>
    </w:p>
    <w:p w14:paraId="58A53E2D" w14:textId="0D475B77" w:rsidR="00A61304" w:rsidRDefault="00A61304" w:rsidP="004C69A8">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lastRenderedPageBreak/>
        <w:t>Out of the 29 fraud cases on the</w:t>
      </w:r>
      <w:r w:rsidR="00B85E00">
        <w:rPr>
          <w:rFonts w:cs="Arial"/>
          <w:sz w:val="22"/>
          <w:szCs w:val="22"/>
        </w:rPr>
        <w:t xml:space="preserve"> </w:t>
      </w:r>
      <w:r>
        <w:rPr>
          <w:rFonts w:cs="Arial"/>
          <w:sz w:val="22"/>
          <w:szCs w:val="22"/>
        </w:rPr>
        <w:t xml:space="preserve">SFO website, the majority </w:t>
      </w:r>
      <w:r w:rsidR="00B85E00">
        <w:rPr>
          <w:rFonts w:cs="Arial"/>
          <w:sz w:val="22"/>
          <w:szCs w:val="22"/>
        </w:rPr>
        <w:t xml:space="preserve">concern </w:t>
      </w:r>
      <w:r w:rsidR="00C81526">
        <w:rPr>
          <w:rFonts w:cs="Arial"/>
          <w:sz w:val="22"/>
          <w:szCs w:val="22"/>
        </w:rPr>
        <w:t xml:space="preserve">companies, rather than individuals. </w:t>
      </w:r>
    </w:p>
    <w:p w14:paraId="28368890" w14:textId="5FAC34C5" w:rsidR="00502B25" w:rsidRPr="0040697F" w:rsidRDefault="00502B25" w:rsidP="004C69A8">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Some fraudulent businesses abuse</w:t>
      </w:r>
      <w:r w:rsidR="00890362" w:rsidRPr="0040697F">
        <w:rPr>
          <w:rFonts w:cs="Arial"/>
          <w:sz w:val="22"/>
          <w:szCs w:val="22"/>
        </w:rPr>
        <w:t>d</w:t>
      </w:r>
      <w:r w:rsidRPr="0040697F">
        <w:rPr>
          <w:rFonts w:cs="Arial"/>
          <w:sz w:val="22"/>
          <w:szCs w:val="22"/>
        </w:rPr>
        <w:t xml:space="preserve"> </w:t>
      </w:r>
      <w:r w:rsidR="00E4733F" w:rsidRPr="0040697F">
        <w:rPr>
          <w:rFonts w:cs="Arial"/>
          <w:sz w:val="22"/>
          <w:szCs w:val="22"/>
        </w:rPr>
        <w:t xml:space="preserve">or attempted to abuse </w:t>
      </w:r>
      <w:r w:rsidRPr="0040697F">
        <w:rPr>
          <w:rFonts w:cs="Arial"/>
          <w:sz w:val="22"/>
          <w:szCs w:val="22"/>
        </w:rPr>
        <w:t>the</w:t>
      </w:r>
      <w:r w:rsidR="002E5F34" w:rsidRPr="0040697F">
        <w:rPr>
          <w:rFonts w:cs="Arial"/>
          <w:sz w:val="22"/>
          <w:szCs w:val="22"/>
        </w:rPr>
        <w:t xml:space="preserve"> </w:t>
      </w:r>
      <w:r w:rsidR="00B66595">
        <w:rPr>
          <w:rFonts w:cs="Arial"/>
          <w:sz w:val="22"/>
          <w:szCs w:val="22"/>
        </w:rPr>
        <w:t>COVID-19</w:t>
      </w:r>
      <w:r w:rsidR="002E5F34" w:rsidRPr="0040697F">
        <w:rPr>
          <w:rFonts w:cs="Arial"/>
          <w:sz w:val="22"/>
          <w:szCs w:val="22"/>
        </w:rPr>
        <w:t xml:space="preserve"> “bounce back” loan scheme. </w:t>
      </w:r>
      <w:r w:rsidRPr="0040697F">
        <w:rPr>
          <w:rFonts w:cs="Arial"/>
          <w:sz w:val="22"/>
          <w:szCs w:val="22"/>
        </w:rPr>
        <w:t>Lenders stopped nearly £2.2</w:t>
      </w:r>
      <w:r w:rsidR="00285328" w:rsidRPr="0040697F">
        <w:rPr>
          <w:rFonts w:cs="Arial"/>
          <w:sz w:val="22"/>
          <w:szCs w:val="22"/>
        </w:rPr>
        <w:t xml:space="preserve"> </w:t>
      </w:r>
      <w:r w:rsidRPr="0040697F">
        <w:rPr>
          <w:rFonts w:cs="Arial"/>
          <w:sz w:val="22"/>
          <w:szCs w:val="22"/>
        </w:rPr>
        <w:t>b</w:t>
      </w:r>
      <w:r w:rsidR="00285328" w:rsidRPr="0040697F">
        <w:rPr>
          <w:rFonts w:cs="Arial"/>
          <w:sz w:val="22"/>
          <w:szCs w:val="22"/>
        </w:rPr>
        <w:t>illio</w:t>
      </w:r>
      <w:r w:rsidRPr="0040697F">
        <w:rPr>
          <w:rFonts w:cs="Arial"/>
          <w:sz w:val="22"/>
          <w:szCs w:val="22"/>
        </w:rPr>
        <w:t>n in potential</w:t>
      </w:r>
      <w:r w:rsidR="002E5F34" w:rsidRPr="0040697F">
        <w:rPr>
          <w:rFonts w:cs="Arial"/>
          <w:sz w:val="22"/>
          <w:szCs w:val="22"/>
        </w:rPr>
        <w:t xml:space="preserve"> fraud</w:t>
      </w:r>
      <w:r w:rsidRPr="0040697F">
        <w:rPr>
          <w:rFonts w:cs="Arial"/>
          <w:sz w:val="22"/>
          <w:szCs w:val="22"/>
        </w:rPr>
        <w:t xml:space="preserve"> from the Bounce Back Loan Scheme and last year </w:t>
      </w:r>
      <w:r w:rsidR="00B44B45">
        <w:rPr>
          <w:rFonts w:cs="Arial"/>
          <w:sz w:val="22"/>
          <w:szCs w:val="22"/>
        </w:rPr>
        <w:t>the g</w:t>
      </w:r>
      <w:r w:rsidRPr="0040697F">
        <w:rPr>
          <w:rFonts w:cs="Arial"/>
          <w:sz w:val="22"/>
          <w:szCs w:val="22"/>
        </w:rPr>
        <w:t>overnment stopped or recovered £743</w:t>
      </w:r>
      <w:r w:rsidR="00285328" w:rsidRPr="0040697F">
        <w:rPr>
          <w:rFonts w:cs="Arial"/>
          <w:sz w:val="22"/>
          <w:szCs w:val="22"/>
        </w:rPr>
        <w:t xml:space="preserve"> </w:t>
      </w:r>
      <w:r w:rsidRPr="0040697F">
        <w:rPr>
          <w:rFonts w:cs="Arial"/>
          <w:sz w:val="22"/>
          <w:szCs w:val="22"/>
        </w:rPr>
        <w:t>m</w:t>
      </w:r>
      <w:r w:rsidR="00285328" w:rsidRPr="0040697F">
        <w:rPr>
          <w:rFonts w:cs="Arial"/>
          <w:sz w:val="22"/>
          <w:szCs w:val="22"/>
        </w:rPr>
        <w:t>illion</w:t>
      </w:r>
      <w:r w:rsidRPr="0040697F">
        <w:rPr>
          <w:rFonts w:cs="Arial"/>
          <w:sz w:val="22"/>
          <w:szCs w:val="22"/>
        </w:rPr>
        <w:t xml:space="preserve"> of overclaimed grants in the</w:t>
      </w:r>
      <w:r w:rsidR="00836DC1" w:rsidRPr="0040697F">
        <w:rPr>
          <w:rFonts w:cs="Arial"/>
          <w:sz w:val="22"/>
          <w:szCs w:val="22"/>
        </w:rPr>
        <w:t xml:space="preserve"> Coronavirus Job Retention Scheme</w:t>
      </w:r>
      <w:r w:rsidRPr="0040697F">
        <w:rPr>
          <w:rFonts w:cs="Arial"/>
          <w:sz w:val="22"/>
          <w:szCs w:val="22"/>
        </w:rPr>
        <w:t>,</w:t>
      </w:r>
      <w:r w:rsidR="002D0A56" w:rsidRPr="0040697F">
        <w:rPr>
          <w:rFonts w:cs="Arial"/>
          <w:sz w:val="22"/>
          <w:szCs w:val="22"/>
        </w:rPr>
        <w:t xml:space="preserve"> the Self-Employment Income Support Scheme, </w:t>
      </w:r>
      <w:r w:rsidRPr="0040697F">
        <w:rPr>
          <w:rFonts w:cs="Arial"/>
          <w:sz w:val="22"/>
          <w:szCs w:val="22"/>
        </w:rPr>
        <w:t>and</w:t>
      </w:r>
      <w:r w:rsidR="00E4733F" w:rsidRPr="0040697F">
        <w:rPr>
          <w:rFonts w:cs="Arial"/>
          <w:sz w:val="22"/>
          <w:szCs w:val="22"/>
        </w:rPr>
        <w:t xml:space="preserve"> the Eat Out to Help </w:t>
      </w:r>
      <w:r w:rsidR="00285328" w:rsidRPr="0040697F">
        <w:rPr>
          <w:rFonts w:cs="Arial"/>
          <w:sz w:val="22"/>
          <w:szCs w:val="22"/>
        </w:rPr>
        <w:t>O</w:t>
      </w:r>
      <w:r w:rsidR="00E4733F" w:rsidRPr="0040697F">
        <w:rPr>
          <w:rFonts w:cs="Arial"/>
          <w:sz w:val="22"/>
          <w:szCs w:val="22"/>
        </w:rPr>
        <w:t>ut Scheme</w:t>
      </w:r>
      <w:r w:rsidRPr="0040697F">
        <w:rPr>
          <w:rFonts w:cs="Arial"/>
          <w:sz w:val="22"/>
          <w:szCs w:val="22"/>
        </w:rPr>
        <w:t>. By building automated controls into the digital claim process, HMRC prevented more than 100,000 ineligible or mistaken claims on its employment support schemes</w:t>
      </w:r>
      <w:r w:rsidR="00890362" w:rsidRPr="0040697F">
        <w:rPr>
          <w:rStyle w:val="FootnoteReference"/>
          <w:szCs w:val="22"/>
        </w:rPr>
        <w:footnoteReference w:id="15"/>
      </w:r>
      <w:r w:rsidRPr="0040697F">
        <w:rPr>
          <w:rFonts w:cs="Arial"/>
          <w:sz w:val="22"/>
          <w:szCs w:val="22"/>
        </w:rPr>
        <w:t>.</w:t>
      </w:r>
      <w:r w:rsidR="00834637" w:rsidRPr="0040697F">
        <w:rPr>
          <w:rFonts w:cs="Arial"/>
          <w:sz w:val="22"/>
          <w:szCs w:val="22"/>
        </w:rPr>
        <w:t xml:space="preserve"> </w:t>
      </w:r>
    </w:p>
    <w:p w14:paraId="4F21C059" w14:textId="77777777" w:rsidR="003655F5" w:rsidRPr="0040697F" w:rsidRDefault="003655F5" w:rsidP="004C69A8">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The Economic Crime Survey 2020</w:t>
      </w:r>
      <w:r w:rsidRPr="0040697F">
        <w:rPr>
          <w:rStyle w:val="FootnoteReference"/>
          <w:szCs w:val="22"/>
        </w:rPr>
        <w:footnoteReference w:id="16"/>
      </w:r>
      <w:r w:rsidRPr="0040697F">
        <w:rPr>
          <w:rFonts w:cs="Arial"/>
          <w:sz w:val="22"/>
          <w:szCs w:val="22"/>
        </w:rPr>
        <w:t xml:space="preserve"> estimates that around 13 </w:t>
      </w:r>
      <w:r w:rsidR="00285328" w:rsidRPr="0040697F">
        <w:rPr>
          <w:rFonts w:cs="Arial"/>
          <w:sz w:val="22"/>
          <w:szCs w:val="22"/>
        </w:rPr>
        <w:t>per cent</w:t>
      </w:r>
      <w:r w:rsidRPr="0040697F">
        <w:rPr>
          <w:rFonts w:cs="Arial"/>
          <w:sz w:val="22"/>
          <w:szCs w:val="22"/>
        </w:rPr>
        <w:t xml:space="preserve"> of fraud experienced by businesses is perpetrated by other businesses (which may be competitors, suppliers or clients). Businesses may also perpetrate fraud against the public sector or against individuals.</w:t>
      </w:r>
    </w:p>
    <w:p w14:paraId="1DB8D8DE" w14:textId="3AB7E3FA" w:rsidR="00E5196D" w:rsidRPr="00165F23" w:rsidRDefault="00606CC9" w:rsidP="004C69A8">
      <w:pPr>
        <w:pStyle w:val="ListParagraph"/>
        <w:numPr>
          <w:ilvl w:val="0"/>
          <w:numId w:val="10"/>
        </w:numPr>
        <w:spacing w:after="120" w:line="259" w:lineRule="auto"/>
        <w:ind w:left="567" w:hanging="567"/>
        <w:contextualSpacing w:val="0"/>
        <w:jc w:val="both"/>
        <w:rPr>
          <w:sz w:val="22"/>
          <w:szCs w:val="22"/>
        </w:rPr>
      </w:pPr>
      <w:r w:rsidRPr="006970C6">
        <w:rPr>
          <w:rFonts w:cs="Arial"/>
          <w:sz w:val="22"/>
          <w:szCs w:val="22"/>
        </w:rPr>
        <w:t>Fraud</w:t>
      </w:r>
      <w:r w:rsidRPr="006970C6">
        <w:rPr>
          <w:sz w:val="22"/>
          <w:szCs w:val="22"/>
        </w:rPr>
        <w:t xml:space="preserve"> committed by businesses is a recognised problem internationally</w:t>
      </w:r>
      <w:r w:rsidR="009A401E" w:rsidRPr="006970C6">
        <w:rPr>
          <w:rStyle w:val="FootnoteReference"/>
        </w:rPr>
        <w:footnoteReference w:id="17"/>
      </w:r>
      <w:r w:rsidR="00947090" w:rsidRPr="006970C6">
        <w:rPr>
          <w:sz w:val="22"/>
          <w:szCs w:val="22"/>
        </w:rPr>
        <w:t>, however t</w:t>
      </w:r>
      <w:r w:rsidR="003B4D8B" w:rsidRPr="006970C6">
        <w:rPr>
          <w:sz w:val="22"/>
          <w:szCs w:val="22"/>
        </w:rPr>
        <w:t xml:space="preserve">he Home Office does not have </w:t>
      </w:r>
      <w:r w:rsidR="00C81526" w:rsidRPr="006970C6">
        <w:rPr>
          <w:sz w:val="22"/>
          <w:szCs w:val="22"/>
        </w:rPr>
        <w:t xml:space="preserve">reliable international </w:t>
      </w:r>
      <w:r w:rsidR="00947090" w:rsidRPr="006970C6">
        <w:rPr>
          <w:sz w:val="22"/>
          <w:szCs w:val="22"/>
        </w:rPr>
        <w:t xml:space="preserve">data </w:t>
      </w:r>
      <w:r w:rsidR="00C81526" w:rsidRPr="006970C6">
        <w:rPr>
          <w:sz w:val="22"/>
          <w:szCs w:val="22"/>
        </w:rPr>
        <w:t>comparators</w:t>
      </w:r>
      <w:r w:rsidR="00654E2A" w:rsidRPr="006970C6">
        <w:rPr>
          <w:sz w:val="22"/>
          <w:szCs w:val="22"/>
        </w:rPr>
        <w:t>.</w:t>
      </w:r>
    </w:p>
    <w:p w14:paraId="0347EE48" w14:textId="7DE3FF8E" w:rsidR="00E4733F" w:rsidRPr="000C2827" w:rsidRDefault="00FE75D0" w:rsidP="00F53E7F">
      <w:pPr>
        <w:spacing w:after="120" w:line="259" w:lineRule="auto"/>
        <w:jc w:val="both"/>
        <w:rPr>
          <w:rFonts w:cs="Arial"/>
          <w:b/>
          <w:sz w:val="22"/>
          <w:szCs w:val="22"/>
        </w:rPr>
      </w:pPr>
      <w:r w:rsidRPr="000C2827">
        <w:rPr>
          <w:rFonts w:cs="Arial"/>
          <w:b/>
          <w:sz w:val="22"/>
          <w:szCs w:val="22"/>
        </w:rPr>
        <w:t>Rationale for the introduction of the</w:t>
      </w:r>
      <w:r w:rsidR="00E4733F" w:rsidRPr="000C2827">
        <w:rPr>
          <w:rFonts w:cs="Arial"/>
          <w:b/>
          <w:sz w:val="22"/>
          <w:szCs w:val="22"/>
        </w:rPr>
        <w:t xml:space="preserve"> failure to prevent </w:t>
      </w:r>
      <w:r w:rsidRPr="000C2827">
        <w:rPr>
          <w:rFonts w:cs="Arial"/>
          <w:b/>
          <w:sz w:val="22"/>
          <w:szCs w:val="22"/>
        </w:rPr>
        <w:t xml:space="preserve">fraud </w:t>
      </w:r>
      <w:r w:rsidR="005E47DB" w:rsidRPr="000C2827">
        <w:rPr>
          <w:rFonts w:cs="Arial"/>
          <w:b/>
          <w:sz w:val="22"/>
          <w:szCs w:val="22"/>
        </w:rPr>
        <w:t>offence</w:t>
      </w:r>
    </w:p>
    <w:p w14:paraId="64F12267" w14:textId="0312788A" w:rsidR="00262040" w:rsidRPr="0040697F" w:rsidRDefault="00B253FA" w:rsidP="006970C6">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Individuals within companies can already be prosecuted for committing, encouraging</w:t>
      </w:r>
      <w:r w:rsidR="002D7461">
        <w:rPr>
          <w:rFonts w:cs="Arial"/>
          <w:sz w:val="22"/>
          <w:szCs w:val="22"/>
        </w:rPr>
        <w:t>,</w:t>
      </w:r>
      <w:r w:rsidRPr="0040697F">
        <w:rPr>
          <w:rFonts w:cs="Arial"/>
          <w:sz w:val="22"/>
          <w:szCs w:val="22"/>
        </w:rPr>
        <w:t xml:space="preserve"> or assisting fraud. </w:t>
      </w:r>
      <w:r w:rsidR="00262040" w:rsidRPr="0040697F">
        <w:rPr>
          <w:rFonts w:cs="Arial"/>
          <w:sz w:val="22"/>
          <w:szCs w:val="22"/>
        </w:rPr>
        <w:t>However, law enforcement agencies have identified numerous cases of fraud and false accounting where the current law has prevented them from prosecuting corporates</w:t>
      </w:r>
      <w:r w:rsidR="00D965A1" w:rsidRPr="006970C6">
        <w:rPr>
          <w:rFonts w:cs="Arial"/>
          <w:sz w:val="22"/>
          <w:szCs w:val="22"/>
        </w:rPr>
        <w:t xml:space="preserve"> wh</w:t>
      </w:r>
      <w:r w:rsidR="0041126F" w:rsidRPr="006970C6">
        <w:rPr>
          <w:rFonts w:cs="Arial"/>
          <w:sz w:val="22"/>
          <w:szCs w:val="22"/>
        </w:rPr>
        <w:t>en they</w:t>
      </w:r>
      <w:r w:rsidR="00D965A1" w:rsidRPr="006970C6">
        <w:rPr>
          <w:rFonts w:cs="Arial"/>
          <w:sz w:val="22"/>
          <w:szCs w:val="22"/>
        </w:rPr>
        <w:t xml:space="preserve"> appear to be the beneficiaries of fraud</w:t>
      </w:r>
      <w:r w:rsidR="00262040" w:rsidRPr="0040697F">
        <w:rPr>
          <w:rFonts w:cs="Arial"/>
          <w:sz w:val="22"/>
          <w:szCs w:val="22"/>
        </w:rPr>
        <w:t>.</w:t>
      </w:r>
    </w:p>
    <w:p w14:paraId="29DA691A" w14:textId="3571847A" w:rsidR="00255C78" w:rsidRPr="006970C6" w:rsidRDefault="00045523" w:rsidP="006970C6">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As discussed in para</w:t>
      </w:r>
      <w:r w:rsidR="001A744C">
        <w:rPr>
          <w:rFonts w:cs="Arial"/>
          <w:sz w:val="22"/>
          <w:szCs w:val="22"/>
        </w:rPr>
        <w:t>graph</w:t>
      </w:r>
      <w:r w:rsidRPr="0040697F">
        <w:rPr>
          <w:rFonts w:cs="Arial"/>
          <w:sz w:val="22"/>
          <w:szCs w:val="22"/>
        </w:rPr>
        <w:t xml:space="preserve"> </w:t>
      </w:r>
      <w:r w:rsidR="00B224CC">
        <w:rPr>
          <w:rFonts w:cs="Arial"/>
          <w:sz w:val="22"/>
          <w:szCs w:val="22"/>
        </w:rPr>
        <w:fldChar w:fldCharType="begin"/>
      </w:r>
      <w:r w:rsidR="00B224CC">
        <w:rPr>
          <w:rFonts w:cs="Arial"/>
          <w:sz w:val="22"/>
          <w:szCs w:val="22"/>
        </w:rPr>
        <w:instrText xml:space="preserve"> REF _Ref175841787 \r \h </w:instrText>
      </w:r>
      <w:r w:rsidR="00B224CC">
        <w:rPr>
          <w:rFonts w:cs="Arial"/>
          <w:sz w:val="22"/>
          <w:szCs w:val="22"/>
        </w:rPr>
      </w:r>
      <w:r w:rsidR="00B224CC">
        <w:rPr>
          <w:rFonts w:cs="Arial"/>
          <w:sz w:val="22"/>
          <w:szCs w:val="22"/>
        </w:rPr>
        <w:fldChar w:fldCharType="separate"/>
      </w:r>
      <w:r w:rsidR="00D356B9">
        <w:rPr>
          <w:rFonts w:cs="Arial"/>
          <w:sz w:val="22"/>
          <w:szCs w:val="22"/>
        </w:rPr>
        <w:t>19</w:t>
      </w:r>
      <w:r w:rsidR="00B224CC">
        <w:rPr>
          <w:rFonts w:cs="Arial"/>
          <w:sz w:val="22"/>
          <w:szCs w:val="22"/>
        </w:rPr>
        <w:fldChar w:fldCharType="end"/>
      </w:r>
      <w:r w:rsidRPr="0040697F" w:rsidDel="00671497">
        <w:rPr>
          <w:rFonts w:cs="Arial"/>
          <w:sz w:val="22"/>
          <w:szCs w:val="22"/>
        </w:rPr>
        <w:t xml:space="preserve"> </w:t>
      </w:r>
      <w:r w:rsidR="006447F1">
        <w:rPr>
          <w:rFonts w:cs="Arial"/>
          <w:sz w:val="22"/>
          <w:szCs w:val="22"/>
        </w:rPr>
        <w:t>of this IA, the g</w:t>
      </w:r>
      <w:r w:rsidR="00262040" w:rsidRPr="0040697F">
        <w:rPr>
          <w:rFonts w:cs="Arial"/>
          <w:sz w:val="22"/>
          <w:szCs w:val="22"/>
        </w:rPr>
        <w:t xml:space="preserve">overnment commissioned the Law Commission to </w:t>
      </w:r>
      <w:r w:rsidR="00656618" w:rsidRPr="0040697F">
        <w:rPr>
          <w:rFonts w:cs="Arial"/>
          <w:sz w:val="22"/>
          <w:szCs w:val="22"/>
        </w:rPr>
        <w:t>examine</w:t>
      </w:r>
      <w:r w:rsidR="00262040" w:rsidRPr="0040697F">
        <w:rPr>
          <w:rFonts w:cs="Arial"/>
          <w:sz w:val="22"/>
          <w:szCs w:val="22"/>
        </w:rPr>
        <w:t xml:space="preserve"> options </w:t>
      </w:r>
      <w:r w:rsidR="00656618" w:rsidRPr="0040697F">
        <w:rPr>
          <w:rFonts w:cs="Arial"/>
          <w:sz w:val="22"/>
          <w:szCs w:val="22"/>
        </w:rPr>
        <w:t>for</w:t>
      </w:r>
      <w:r w:rsidR="00262040" w:rsidRPr="0040697F">
        <w:rPr>
          <w:rFonts w:cs="Arial"/>
          <w:sz w:val="22"/>
          <w:szCs w:val="22"/>
        </w:rPr>
        <w:t xml:space="preserve"> </w:t>
      </w:r>
      <w:r w:rsidR="00A05ACF" w:rsidRPr="0040697F">
        <w:rPr>
          <w:rFonts w:cs="Arial"/>
          <w:sz w:val="22"/>
          <w:szCs w:val="22"/>
        </w:rPr>
        <w:t>amendments to corporate criminal liability</w:t>
      </w:r>
      <w:r w:rsidR="00284B8F">
        <w:rPr>
          <w:rFonts w:cs="Arial"/>
          <w:sz w:val="22"/>
          <w:szCs w:val="22"/>
        </w:rPr>
        <w:t>.</w:t>
      </w:r>
    </w:p>
    <w:p w14:paraId="4FDCC767" w14:textId="2A713C2B" w:rsidR="00262040" w:rsidRPr="0040697F" w:rsidRDefault="00314FD3" w:rsidP="006970C6">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 xml:space="preserve">Government took forward two of the options </w:t>
      </w:r>
      <w:r w:rsidR="00350983" w:rsidRPr="0040697F">
        <w:rPr>
          <w:rFonts w:cs="Arial"/>
          <w:sz w:val="22"/>
          <w:szCs w:val="22"/>
        </w:rPr>
        <w:t>in the Law Co</w:t>
      </w:r>
      <w:r w:rsidR="00AD5BDD" w:rsidRPr="0040697F">
        <w:rPr>
          <w:rFonts w:cs="Arial"/>
          <w:sz w:val="22"/>
          <w:szCs w:val="22"/>
        </w:rPr>
        <w:t>m</w:t>
      </w:r>
      <w:r w:rsidR="00350983" w:rsidRPr="0040697F">
        <w:rPr>
          <w:rFonts w:cs="Arial"/>
          <w:sz w:val="22"/>
          <w:szCs w:val="22"/>
        </w:rPr>
        <w:t>mission paper</w:t>
      </w:r>
      <w:r w:rsidR="000056CD" w:rsidRPr="0040697F">
        <w:rPr>
          <w:rFonts w:cs="Arial"/>
          <w:sz w:val="22"/>
          <w:szCs w:val="22"/>
        </w:rPr>
        <w:t xml:space="preserve"> in </w:t>
      </w:r>
      <w:r w:rsidR="006447F1">
        <w:rPr>
          <w:rFonts w:cs="Arial"/>
          <w:sz w:val="22"/>
          <w:szCs w:val="22"/>
        </w:rPr>
        <w:t>ECCT</w:t>
      </w:r>
      <w:r w:rsidR="000056CD" w:rsidRPr="0040697F">
        <w:rPr>
          <w:rFonts w:cs="Arial"/>
          <w:sz w:val="22"/>
          <w:szCs w:val="22"/>
        </w:rPr>
        <w:t xml:space="preserve"> 2023</w:t>
      </w:r>
      <w:r w:rsidR="00AD5BDD" w:rsidRPr="0040697F">
        <w:rPr>
          <w:rFonts w:cs="Arial"/>
          <w:sz w:val="22"/>
          <w:szCs w:val="22"/>
        </w:rPr>
        <w:t>, namely</w:t>
      </w:r>
      <w:r w:rsidR="003226FF" w:rsidRPr="0040697F">
        <w:rPr>
          <w:rFonts w:cs="Arial"/>
          <w:sz w:val="22"/>
          <w:szCs w:val="22"/>
        </w:rPr>
        <w:t>,</w:t>
      </w:r>
      <w:r w:rsidR="00350983" w:rsidRPr="0040697F">
        <w:rPr>
          <w:rFonts w:cs="Arial"/>
          <w:sz w:val="22"/>
          <w:szCs w:val="22"/>
        </w:rPr>
        <w:t xml:space="preserve"> </w:t>
      </w:r>
      <w:r w:rsidRPr="0040697F">
        <w:rPr>
          <w:rFonts w:cs="Arial"/>
          <w:sz w:val="22"/>
          <w:szCs w:val="22"/>
        </w:rPr>
        <w:t>amendment to the identification principle</w:t>
      </w:r>
      <w:r w:rsidR="00591A33" w:rsidRPr="0040697F">
        <w:rPr>
          <w:rFonts w:cs="Arial"/>
          <w:sz w:val="22"/>
          <w:szCs w:val="22"/>
        </w:rPr>
        <w:t xml:space="preserve"> </w:t>
      </w:r>
      <w:r w:rsidR="00122640" w:rsidRPr="0040697F">
        <w:rPr>
          <w:rFonts w:cs="Arial"/>
          <w:sz w:val="22"/>
          <w:szCs w:val="22"/>
        </w:rPr>
        <w:t>(sections 196</w:t>
      </w:r>
      <w:r w:rsidR="001E1B8C">
        <w:rPr>
          <w:rFonts w:cs="Arial"/>
          <w:sz w:val="22"/>
          <w:szCs w:val="22"/>
        </w:rPr>
        <w:t xml:space="preserve"> to</w:t>
      </w:r>
      <w:r w:rsidR="00122640" w:rsidRPr="0040697F">
        <w:rPr>
          <w:rFonts w:cs="Arial"/>
          <w:sz w:val="22"/>
          <w:szCs w:val="22"/>
        </w:rPr>
        <w:t xml:space="preserve">198) </w:t>
      </w:r>
      <w:r w:rsidR="00591A33" w:rsidRPr="0040697F">
        <w:rPr>
          <w:rFonts w:cs="Arial"/>
          <w:sz w:val="22"/>
          <w:szCs w:val="22"/>
        </w:rPr>
        <w:t xml:space="preserve">and </w:t>
      </w:r>
      <w:r w:rsidR="00210BE6">
        <w:rPr>
          <w:rFonts w:cs="Arial"/>
          <w:sz w:val="22"/>
          <w:szCs w:val="22"/>
        </w:rPr>
        <w:t xml:space="preserve">the </w:t>
      </w:r>
      <w:r w:rsidR="00350983" w:rsidRPr="0040697F">
        <w:rPr>
          <w:rFonts w:cs="Arial"/>
          <w:sz w:val="22"/>
          <w:szCs w:val="22"/>
        </w:rPr>
        <w:t>introduction of</w:t>
      </w:r>
      <w:r w:rsidR="00591A33" w:rsidRPr="0040697F">
        <w:rPr>
          <w:rFonts w:cs="Arial"/>
          <w:sz w:val="22"/>
          <w:szCs w:val="22"/>
        </w:rPr>
        <w:t xml:space="preserve"> the offence of failure to prevent </w:t>
      </w:r>
      <w:r w:rsidR="00B74026" w:rsidRPr="0040697F">
        <w:rPr>
          <w:rFonts w:cs="Arial"/>
          <w:sz w:val="22"/>
          <w:szCs w:val="22"/>
        </w:rPr>
        <w:t>fraud</w:t>
      </w:r>
      <w:r w:rsidR="00122640" w:rsidRPr="0040697F">
        <w:rPr>
          <w:rFonts w:cs="Arial"/>
          <w:sz w:val="22"/>
          <w:szCs w:val="22"/>
        </w:rPr>
        <w:t xml:space="preserve"> (sections 199</w:t>
      </w:r>
      <w:r w:rsidR="001E1B8C">
        <w:rPr>
          <w:rFonts w:cs="Arial"/>
          <w:sz w:val="22"/>
          <w:szCs w:val="22"/>
        </w:rPr>
        <w:t xml:space="preserve"> to</w:t>
      </w:r>
      <w:r w:rsidR="00EE3AB4">
        <w:rPr>
          <w:rFonts w:cs="Arial"/>
          <w:sz w:val="22"/>
          <w:szCs w:val="22"/>
        </w:rPr>
        <w:t xml:space="preserve"> </w:t>
      </w:r>
      <w:r w:rsidR="00122640" w:rsidRPr="0040697F">
        <w:rPr>
          <w:rFonts w:cs="Arial"/>
          <w:sz w:val="22"/>
          <w:szCs w:val="22"/>
        </w:rPr>
        <w:t>206 and Schedule 13)</w:t>
      </w:r>
      <w:r w:rsidR="00591A33" w:rsidRPr="0040697F">
        <w:rPr>
          <w:rFonts w:cs="Arial"/>
          <w:sz w:val="22"/>
          <w:szCs w:val="22"/>
        </w:rPr>
        <w:t>.</w:t>
      </w:r>
    </w:p>
    <w:p w14:paraId="63DA9634" w14:textId="77777777" w:rsidR="00B253FA" w:rsidRPr="0040697F" w:rsidRDefault="00591A33" w:rsidP="006970C6">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T</w:t>
      </w:r>
      <w:r w:rsidR="00B253FA" w:rsidRPr="0040697F">
        <w:rPr>
          <w:rFonts w:cs="Arial"/>
          <w:sz w:val="22"/>
          <w:szCs w:val="22"/>
        </w:rPr>
        <w:t>he amendments to the identification principle</w:t>
      </w:r>
      <w:r w:rsidR="00B253FA" w:rsidRPr="0040697F">
        <w:rPr>
          <w:rStyle w:val="FootnoteReference"/>
          <w:szCs w:val="22"/>
        </w:rPr>
        <w:footnoteReference w:id="18"/>
      </w:r>
      <w:r w:rsidR="00B253FA" w:rsidRPr="0040697F">
        <w:rPr>
          <w:rFonts w:cs="Arial"/>
          <w:sz w:val="22"/>
          <w:szCs w:val="22"/>
        </w:rPr>
        <w:t xml:space="preserve"> make it easier to hold the company to account (in addition to the individual) </w:t>
      </w:r>
      <w:r w:rsidR="00B253FA" w:rsidRPr="000757BB">
        <w:rPr>
          <w:rFonts w:cs="Arial"/>
          <w:i/>
          <w:sz w:val="22"/>
          <w:szCs w:val="22"/>
        </w:rPr>
        <w:t>where a senior manager, acting in their capacity of senior manager, has</w:t>
      </w:r>
      <w:r w:rsidR="00B253FA" w:rsidRPr="0040697F">
        <w:rPr>
          <w:rFonts w:cs="Arial"/>
          <w:sz w:val="22"/>
          <w:szCs w:val="22"/>
        </w:rPr>
        <w:t xml:space="preserve"> </w:t>
      </w:r>
      <w:r w:rsidR="00B253FA" w:rsidRPr="006970C6">
        <w:rPr>
          <w:rFonts w:cs="Arial"/>
          <w:i/>
          <w:sz w:val="22"/>
          <w:szCs w:val="22"/>
        </w:rPr>
        <w:t>committed</w:t>
      </w:r>
      <w:r w:rsidR="00B253FA" w:rsidRPr="0040697F">
        <w:rPr>
          <w:rFonts w:cs="Arial"/>
          <w:sz w:val="22"/>
          <w:szCs w:val="22"/>
        </w:rPr>
        <w:t xml:space="preserve"> an economic crime (including fraud). </w:t>
      </w:r>
    </w:p>
    <w:p w14:paraId="5D8B1FBC" w14:textId="09B1D3CC" w:rsidR="00D945F1" w:rsidRPr="0040697F" w:rsidRDefault="00825197" w:rsidP="006970C6">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However, t</w:t>
      </w:r>
      <w:r w:rsidR="00D945F1" w:rsidRPr="0040697F">
        <w:rPr>
          <w:rFonts w:cs="Arial"/>
          <w:sz w:val="22"/>
          <w:szCs w:val="22"/>
        </w:rPr>
        <w:t xml:space="preserve">here can be perverse incentives to overlook fraud </w:t>
      </w:r>
      <w:r w:rsidR="00BF7CCB" w:rsidRPr="006970C6">
        <w:rPr>
          <w:rFonts w:cs="Arial"/>
          <w:sz w:val="22"/>
          <w:szCs w:val="22"/>
        </w:rPr>
        <w:t xml:space="preserve">committed by </w:t>
      </w:r>
      <w:r w:rsidR="00B27993" w:rsidRPr="006970C6">
        <w:rPr>
          <w:rFonts w:cs="Arial"/>
          <w:sz w:val="22"/>
          <w:szCs w:val="22"/>
        </w:rPr>
        <w:t>others.</w:t>
      </w:r>
      <w:r w:rsidR="00D945F1" w:rsidRPr="0040697F">
        <w:rPr>
          <w:rFonts w:cs="Arial"/>
          <w:sz w:val="22"/>
          <w:szCs w:val="22"/>
        </w:rPr>
        <w:t xml:space="preserve"> There is a principal-agent problem which arises due to asymmetric information and is evident at several levels: the principal [shareholders] are unable to observe and monitor the actions of agents [managers] responsible for daily business activities. </w:t>
      </w:r>
      <w:r w:rsidR="00F53FDA">
        <w:rPr>
          <w:rFonts w:cs="Arial"/>
          <w:sz w:val="22"/>
          <w:szCs w:val="22"/>
        </w:rPr>
        <w:t>This creates an asymmetry of information, where m</w:t>
      </w:r>
      <w:r w:rsidR="00D945F1" w:rsidRPr="0040697F">
        <w:rPr>
          <w:rFonts w:cs="Arial"/>
          <w:sz w:val="22"/>
          <w:szCs w:val="22"/>
        </w:rPr>
        <w:t xml:space="preserve">anagers may make decisions or pursue fraudulent actions for their own self-interest. By extension senior leadership may line manage staff who may also not act in keeping with corporate policy or engage in otherwise fraudulent conduct. </w:t>
      </w:r>
    </w:p>
    <w:p w14:paraId="364C6FDA" w14:textId="77777777" w:rsidR="005A55FC" w:rsidRPr="0040697F" w:rsidRDefault="00D945F1" w:rsidP="006970C6">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 xml:space="preserve">The principal-agent problem is likely to be exacerbated where the principal faces no adverse consequences or may even benefit because of the fraud. Here there will be a temptation to </w:t>
      </w:r>
      <w:r w:rsidRPr="0040697F">
        <w:rPr>
          <w:rFonts w:eastAsia="Segoe UI" w:cs="Arial"/>
          <w:sz w:val="22"/>
          <w:szCs w:val="22"/>
        </w:rPr>
        <w:t>ignore something they know is wrong</w:t>
      </w:r>
      <w:r w:rsidRPr="0040697F">
        <w:rPr>
          <w:rFonts w:cs="Arial"/>
          <w:sz w:val="22"/>
          <w:szCs w:val="22"/>
        </w:rPr>
        <w:t xml:space="preserve">. </w:t>
      </w:r>
    </w:p>
    <w:p w14:paraId="2D6BD62A" w14:textId="77777777" w:rsidR="00D945F1" w:rsidRPr="0040697F" w:rsidRDefault="00D945F1" w:rsidP="006970C6">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 xml:space="preserve">The offence of failure to prevent fraud is designed to deal with cases where the </w:t>
      </w:r>
      <w:r w:rsidR="005A55FC" w:rsidRPr="0040697F">
        <w:rPr>
          <w:rFonts w:cs="Arial"/>
          <w:sz w:val="22"/>
          <w:szCs w:val="22"/>
        </w:rPr>
        <w:t>organisation</w:t>
      </w:r>
      <w:r w:rsidRPr="0040697F">
        <w:rPr>
          <w:rFonts w:cs="Arial"/>
          <w:sz w:val="22"/>
          <w:szCs w:val="22"/>
        </w:rPr>
        <w:t xml:space="preserve"> itself is an intended beneficiary of the fraud, although frequently, the individual fraudster will also benefit. </w:t>
      </w:r>
      <w:r w:rsidR="004E0AD5" w:rsidRPr="0040697F">
        <w:rPr>
          <w:rFonts w:cs="Arial"/>
          <w:sz w:val="22"/>
          <w:szCs w:val="22"/>
        </w:rPr>
        <w:t>It does not need to be demonstrated that company managers ordered or knew about the fraud.</w:t>
      </w:r>
    </w:p>
    <w:p w14:paraId="3D4D593F" w14:textId="77777777" w:rsidR="00D945F1" w:rsidRPr="0040697F" w:rsidRDefault="00271744" w:rsidP="006970C6">
      <w:pPr>
        <w:pStyle w:val="ListParagraph"/>
        <w:numPr>
          <w:ilvl w:val="0"/>
          <w:numId w:val="10"/>
        </w:numPr>
        <w:spacing w:after="120" w:line="259" w:lineRule="auto"/>
        <w:ind w:left="567" w:hanging="567"/>
        <w:contextualSpacing w:val="0"/>
        <w:jc w:val="both"/>
        <w:rPr>
          <w:rFonts w:cs="Arial"/>
          <w:sz w:val="22"/>
          <w:szCs w:val="22"/>
        </w:rPr>
      </w:pPr>
      <w:bookmarkStart w:id="15" w:name="_Hlk155791112"/>
      <w:bookmarkEnd w:id="15"/>
      <w:r w:rsidRPr="0040697F">
        <w:rPr>
          <w:rFonts w:cs="Arial"/>
          <w:sz w:val="22"/>
          <w:szCs w:val="22"/>
        </w:rPr>
        <w:lastRenderedPageBreak/>
        <w:t>The offence is intended to encourage</w:t>
      </w:r>
      <w:r w:rsidR="00D945F1" w:rsidRPr="0040697F">
        <w:rPr>
          <w:rFonts w:cs="Arial"/>
          <w:sz w:val="22"/>
          <w:szCs w:val="22"/>
        </w:rPr>
        <w:t xml:space="preserve"> organisations to develop procedures to prevent fraud</w:t>
      </w:r>
      <w:r w:rsidRPr="0040697F">
        <w:rPr>
          <w:rFonts w:cs="Arial"/>
          <w:sz w:val="22"/>
          <w:szCs w:val="22"/>
        </w:rPr>
        <w:t>, which should</w:t>
      </w:r>
      <w:r w:rsidR="00D945F1" w:rsidRPr="0040697F">
        <w:rPr>
          <w:rFonts w:cs="Arial"/>
          <w:sz w:val="22"/>
          <w:szCs w:val="22"/>
        </w:rPr>
        <w:t xml:space="preserve"> reduce opportunities for fraud to occur across the economy</w:t>
      </w:r>
      <w:r w:rsidRPr="0040697F">
        <w:rPr>
          <w:rFonts w:cs="Arial"/>
          <w:sz w:val="22"/>
          <w:szCs w:val="22"/>
        </w:rPr>
        <w:t>. This will benefit</w:t>
      </w:r>
      <w:r w:rsidR="00D945F1" w:rsidRPr="0040697F">
        <w:rPr>
          <w:rFonts w:cs="Arial"/>
          <w:sz w:val="22"/>
          <w:szCs w:val="22"/>
        </w:rPr>
        <w:t xml:space="preserve"> potential targets of fraud, such as businesses, individuals and the public sector. </w:t>
      </w:r>
    </w:p>
    <w:p w14:paraId="34D679AD" w14:textId="6AF310A5" w:rsidR="00D945F1" w:rsidRPr="0040697F" w:rsidRDefault="00D945F1" w:rsidP="006970C6">
      <w:pPr>
        <w:pStyle w:val="ListParagraph"/>
        <w:numPr>
          <w:ilvl w:val="0"/>
          <w:numId w:val="10"/>
        </w:numPr>
        <w:spacing w:after="120" w:line="259" w:lineRule="auto"/>
        <w:ind w:left="567" w:hanging="567"/>
        <w:contextualSpacing w:val="0"/>
        <w:jc w:val="both"/>
        <w:rPr>
          <w:rFonts w:cs="Arial"/>
          <w:sz w:val="22"/>
          <w:szCs w:val="22"/>
        </w:rPr>
      </w:pPr>
      <w:r w:rsidRPr="0040697F">
        <w:rPr>
          <w:rFonts w:cs="Arial"/>
          <w:sz w:val="22"/>
          <w:szCs w:val="22"/>
        </w:rPr>
        <w:t>The offence of failure to prevent bribery, introduced in the Bribery Act 2010, works in a similar way, by encouraging organisations to develop procedures</w:t>
      </w:r>
      <w:r w:rsidR="00B27993" w:rsidRPr="006970C6">
        <w:rPr>
          <w:rFonts w:cs="Arial"/>
          <w:sz w:val="22"/>
          <w:szCs w:val="22"/>
        </w:rPr>
        <w:t xml:space="preserve"> to counter bribery.</w:t>
      </w:r>
      <w:r w:rsidRPr="0040697F">
        <w:rPr>
          <w:rFonts w:cs="Arial"/>
          <w:sz w:val="22"/>
          <w:szCs w:val="22"/>
        </w:rPr>
        <w:t xml:space="preserve"> The Select Committee report on post-legislative scrutiny of the Bribery Act 2010</w:t>
      </w:r>
      <w:r w:rsidRPr="0040697F">
        <w:rPr>
          <w:rStyle w:val="FootnoteReference"/>
          <w:szCs w:val="22"/>
        </w:rPr>
        <w:footnoteReference w:id="19"/>
      </w:r>
      <w:r w:rsidRPr="0040697F">
        <w:rPr>
          <w:rFonts w:cs="Arial"/>
          <w:sz w:val="22"/>
          <w:szCs w:val="22"/>
        </w:rPr>
        <w:t>, published in 2019 concluded that “</w:t>
      </w:r>
      <w:r w:rsidRPr="006970C6">
        <w:rPr>
          <w:rFonts w:cs="Arial"/>
          <w:i/>
          <w:sz w:val="22"/>
          <w:szCs w:val="22"/>
        </w:rPr>
        <w:t>the new offence of failure to prevent bribery offence is regarded as particularly effective, enabling those in a position to influence a company’s manner of conducting business to ensure that it is ethical, and to take steps to remedy matters where it is not. The assessment of many of our witnesses is that the Act is an example to other countries, especially developing countries, of what is needed to deter bribery.</w:t>
      </w:r>
      <w:r w:rsidRPr="0040697F">
        <w:rPr>
          <w:rFonts w:cs="Arial"/>
          <w:sz w:val="22"/>
          <w:szCs w:val="22"/>
        </w:rPr>
        <w:t>”</w:t>
      </w:r>
      <w:r w:rsidR="003315CD" w:rsidRPr="0040697F">
        <w:rPr>
          <w:rFonts w:cs="Arial"/>
          <w:sz w:val="22"/>
          <w:szCs w:val="22"/>
        </w:rPr>
        <w:t xml:space="preserve"> </w:t>
      </w:r>
    </w:p>
    <w:p w14:paraId="2C579462" w14:textId="5A509005" w:rsidR="00D945F1" w:rsidRPr="006970C6" w:rsidRDefault="00CC74D8" w:rsidP="006970C6">
      <w:pPr>
        <w:spacing w:after="120" w:line="259" w:lineRule="auto"/>
        <w:jc w:val="both"/>
        <w:rPr>
          <w:rFonts w:cs="Arial"/>
          <w:b/>
          <w:sz w:val="22"/>
          <w:szCs w:val="22"/>
        </w:rPr>
      </w:pPr>
      <w:r w:rsidRPr="000C2827">
        <w:rPr>
          <w:rFonts w:cs="Arial"/>
          <w:b/>
          <w:sz w:val="22"/>
          <w:szCs w:val="22"/>
        </w:rPr>
        <w:t>Discussion of the choice to restrict the offence to large organisations</w:t>
      </w:r>
    </w:p>
    <w:p w14:paraId="71C90E2C" w14:textId="1CF8DA8B" w:rsidR="005C614D" w:rsidRPr="006970C6" w:rsidRDefault="00D41E23" w:rsidP="00B20ACF">
      <w:pPr>
        <w:pStyle w:val="ListParagraph"/>
        <w:numPr>
          <w:ilvl w:val="0"/>
          <w:numId w:val="10"/>
        </w:numPr>
        <w:spacing w:after="120" w:line="259" w:lineRule="auto"/>
        <w:ind w:left="567" w:hanging="567"/>
        <w:contextualSpacing w:val="0"/>
        <w:jc w:val="both"/>
        <w:rPr>
          <w:rFonts w:cs="Arial"/>
          <w:sz w:val="22"/>
          <w:szCs w:val="22"/>
        </w:rPr>
      </w:pPr>
      <w:r w:rsidRPr="006970C6">
        <w:rPr>
          <w:rFonts w:cs="Arial"/>
          <w:sz w:val="22"/>
          <w:szCs w:val="22"/>
        </w:rPr>
        <w:t xml:space="preserve">Although </w:t>
      </w:r>
      <w:r w:rsidR="00671766" w:rsidRPr="006970C6">
        <w:rPr>
          <w:rFonts w:cs="Arial"/>
          <w:sz w:val="22"/>
          <w:szCs w:val="22"/>
        </w:rPr>
        <w:t xml:space="preserve">well </w:t>
      </w:r>
      <w:r w:rsidR="00561EE6" w:rsidRPr="006970C6">
        <w:rPr>
          <w:rFonts w:cs="Arial"/>
          <w:sz w:val="22"/>
          <w:szCs w:val="22"/>
        </w:rPr>
        <w:t>over 99</w:t>
      </w:r>
      <w:r w:rsidR="00823C7D">
        <w:rPr>
          <w:rFonts w:cs="Arial"/>
          <w:sz w:val="22"/>
          <w:szCs w:val="22"/>
        </w:rPr>
        <w:t xml:space="preserve"> per cent</w:t>
      </w:r>
      <w:r w:rsidRPr="006970C6">
        <w:rPr>
          <w:rFonts w:cs="Arial"/>
          <w:sz w:val="22"/>
          <w:szCs w:val="22"/>
        </w:rPr>
        <w:t xml:space="preserve"> of businesses are </w:t>
      </w:r>
      <w:r w:rsidR="0089524C" w:rsidRPr="006970C6">
        <w:rPr>
          <w:rFonts w:cs="Arial"/>
          <w:sz w:val="22"/>
          <w:szCs w:val="22"/>
        </w:rPr>
        <w:t xml:space="preserve">micro, </w:t>
      </w:r>
      <w:r w:rsidR="000B51AA" w:rsidRPr="000B51AA">
        <w:rPr>
          <w:rFonts w:cs="Arial"/>
          <w:sz w:val="22"/>
          <w:szCs w:val="22"/>
        </w:rPr>
        <w:t>small,</w:t>
      </w:r>
      <w:r w:rsidRPr="006970C6">
        <w:rPr>
          <w:rFonts w:cs="Arial"/>
          <w:sz w:val="22"/>
          <w:szCs w:val="22"/>
        </w:rPr>
        <w:t xml:space="preserve"> or medium enterprises, large businesses </w:t>
      </w:r>
      <w:r w:rsidR="00463A85" w:rsidRPr="006970C6">
        <w:rPr>
          <w:rFonts w:cs="Arial"/>
          <w:sz w:val="22"/>
          <w:szCs w:val="22"/>
        </w:rPr>
        <w:t>account for almost half of the turnover and</w:t>
      </w:r>
      <w:r w:rsidRPr="006970C6">
        <w:rPr>
          <w:rFonts w:cs="Arial"/>
          <w:sz w:val="22"/>
          <w:szCs w:val="22"/>
        </w:rPr>
        <w:t xml:space="preserve"> </w:t>
      </w:r>
      <w:r w:rsidR="009F73C6" w:rsidRPr="006970C6">
        <w:rPr>
          <w:rFonts w:cs="Arial"/>
          <w:sz w:val="22"/>
          <w:szCs w:val="22"/>
        </w:rPr>
        <w:t>almost 40</w:t>
      </w:r>
      <w:r w:rsidR="00B20ACF" w:rsidRPr="006970C6">
        <w:rPr>
          <w:rFonts w:cs="Arial"/>
          <w:sz w:val="22"/>
          <w:szCs w:val="22"/>
        </w:rPr>
        <w:t xml:space="preserve"> per cent</w:t>
      </w:r>
      <w:r w:rsidR="009F73C6" w:rsidRPr="006970C6">
        <w:rPr>
          <w:rFonts w:cs="Arial"/>
          <w:sz w:val="22"/>
          <w:szCs w:val="22"/>
        </w:rPr>
        <w:t xml:space="preserve"> of employment by all businesses</w:t>
      </w:r>
      <w:r w:rsidR="009F73C6" w:rsidRPr="006970C6" w:rsidDel="00CE6806">
        <w:rPr>
          <w:rStyle w:val="FootnoteReference"/>
          <w:szCs w:val="22"/>
        </w:rPr>
        <w:footnoteReference w:id="20"/>
      </w:r>
      <w:r w:rsidR="009F73C6" w:rsidRPr="006970C6">
        <w:rPr>
          <w:rFonts w:cs="Arial"/>
          <w:sz w:val="22"/>
          <w:szCs w:val="22"/>
        </w:rPr>
        <w:t>.</w:t>
      </w:r>
      <w:r w:rsidR="00E5295E" w:rsidRPr="006970C6">
        <w:rPr>
          <w:rFonts w:cs="Arial"/>
          <w:sz w:val="22"/>
          <w:szCs w:val="22"/>
        </w:rPr>
        <w:t xml:space="preserve"> </w:t>
      </w:r>
    </w:p>
    <w:p w14:paraId="193B660A" w14:textId="7B7099A5" w:rsidR="007F0220" w:rsidRPr="00671766" w:rsidRDefault="005C2835" w:rsidP="00B20ACF">
      <w:pPr>
        <w:pStyle w:val="ListParagraph"/>
        <w:numPr>
          <w:ilvl w:val="0"/>
          <w:numId w:val="10"/>
        </w:numPr>
        <w:spacing w:after="120" w:line="259" w:lineRule="auto"/>
        <w:ind w:left="567" w:hanging="567"/>
        <w:contextualSpacing w:val="0"/>
        <w:jc w:val="both"/>
        <w:rPr>
          <w:rFonts w:cs="Arial"/>
          <w:sz w:val="22"/>
          <w:szCs w:val="22"/>
        </w:rPr>
      </w:pPr>
      <w:r w:rsidRPr="005C614D">
        <w:rPr>
          <w:rFonts w:cs="Arial"/>
          <w:sz w:val="22"/>
          <w:szCs w:val="22"/>
        </w:rPr>
        <w:t xml:space="preserve">Fraud </w:t>
      </w:r>
      <w:r w:rsidR="006E0052" w:rsidRPr="00671766">
        <w:rPr>
          <w:rFonts w:cs="Arial"/>
          <w:sz w:val="22"/>
          <w:szCs w:val="22"/>
        </w:rPr>
        <w:t>can</w:t>
      </w:r>
      <w:r w:rsidR="006E0052">
        <w:rPr>
          <w:rFonts w:cs="Arial"/>
          <w:sz w:val="22"/>
          <w:szCs w:val="22"/>
        </w:rPr>
        <w:t xml:space="preserve"> be</w:t>
      </w:r>
      <w:r w:rsidRPr="005C614D">
        <w:rPr>
          <w:rFonts w:cs="Arial"/>
          <w:sz w:val="22"/>
          <w:szCs w:val="22"/>
        </w:rPr>
        <w:t xml:space="preserve"> committed by businesses of all sizes</w:t>
      </w:r>
      <w:r w:rsidR="00847F7B" w:rsidRPr="005C614D">
        <w:rPr>
          <w:rFonts w:cs="Arial"/>
          <w:sz w:val="22"/>
          <w:szCs w:val="22"/>
        </w:rPr>
        <w:t xml:space="preserve"> </w:t>
      </w:r>
      <w:r w:rsidR="000904E3" w:rsidRPr="005C614D">
        <w:rPr>
          <w:rFonts w:cs="Arial"/>
          <w:sz w:val="22"/>
          <w:szCs w:val="22"/>
        </w:rPr>
        <w:t>from sole traders to multi-national conglomerates</w:t>
      </w:r>
      <w:r w:rsidR="00F953D2" w:rsidRPr="005C614D">
        <w:rPr>
          <w:rStyle w:val="FootnoteReference"/>
          <w:szCs w:val="22"/>
        </w:rPr>
        <w:footnoteReference w:id="21"/>
      </w:r>
      <w:r w:rsidRPr="005C614D">
        <w:rPr>
          <w:rFonts w:cs="Arial"/>
          <w:sz w:val="22"/>
          <w:szCs w:val="22"/>
        </w:rPr>
        <w:t xml:space="preserve">. </w:t>
      </w:r>
      <w:r w:rsidR="007F0220" w:rsidRPr="005C614D">
        <w:rPr>
          <w:rFonts w:cs="Arial"/>
          <w:sz w:val="22"/>
          <w:szCs w:val="22"/>
        </w:rPr>
        <w:t>It could be argued that the offence of failure to prevent fraud should be extended to organisations of all sizes</w:t>
      </w:r>
      <w:r w:rsidR="0045242D">
        <w:rPr>
          <w:rFonts w:cs="Arial"/>
          <w:sz w:val="22"/>
          <w:szCs w:val="22"/>
        </w:rPr>
        <w:t>.</w:t>
      </w:r>
    </w:p>
    <w:p w14:paraId="78CA0AC2" w14:textId="014F8A28" w:rsidR="001E5A03" w:rsidRPr="005C614D" w:rsidRDefault="00595009" w:rsidP="00B20ACF">
      <w:pPr>
        <w:pStyle w:val="ListParagraph"/>
        <w:numPr>
          <w:ilvl w:val="0"/>
          <w:numId w:val="10"/>
        </w:numPr>
        <w:spacing w:after="120" w:line="259" w:lineRule="auto"/>
        <w:ind w:left="567" w:hanging="567"/>
        <w:contextualSpacing w:val="0"/>
        <w:jc w:val="both"/>
        <w:rPr>
          <w:rFonts w:cs="Arial"/>
          <w:sz w:val="22"/>
          <w:szCs w:val="22"/>
        </w:rPr>
      </w:pPr>
      <w:r w:rsidRPr="005C614D">
        <w:rPr>
          <w:rFonts w:cs="Arial"/>
          <w:sz w:val="22"/>
          <w:szCs w:val="22"/>
        </w:rPr>
        <w:t>However,</w:t>
      </w:r>
      <w:r w:rsidR="00477486" w:rsidRPr="005C614D">
        <w:rPr>
          <w:rFonts w:cs="Arial"/>
          <w:sz w:val="22"/>
          <w:szCs w:val="22"/>
        </w:rPr>
        <w:t xml:space="preserve"> in a </w:t>
      </w:r>
      <w:r w:rsidR="0088335D">
        <w:rPr>
          <w:rFonts w:cs="Arial"/>
          <w:sz w:val="22"/>
          <w:szCs w:val="22"/>
        </w:rPr>
        <w:t xml:space="preserve">micro, </w:t>
      </w:r>
      <w:r w:rsidR="00477486" w:rsidRPr="005C614D">
        <w:rPr>
          <w:rFonts w:cs="Arial"/>
          <w:sz w:val="22"/>
          <w:szCs w:val="22"/>
        </w:rPr>
        <w:t>small</w:t>
      </w:r>
      <w:r w:rsidR="0088335D">
        <w:rPr>
          <w:rFonts w:cs="Arial"/>
          <w:sz w:val="22"/>
          <w:szCs w:val="22"/>
        </w:rPr>
        <w:t>,</w:t>
      </w:r>
      <w:r w:rsidR="0094590B" w:rsidRPr="005C614D">
        <w:rPr>
          <w:rFonts w:cs="Arial"/>
          <w:sz w:val="22"/>
          <w:szCs w:val="22"/>
        </w:rPr>
        <w:t xml:space="preserve"> </w:t>
      </w:r>
      <w:r w:rsidR="00477486" w:rsidRPr="005C614D">
        <w:rPr>
          <w:rFonts w:cs="Arial"/>
          <w:sz w:val="22"/>
          <w:szCs w:val="22"/>
        </w:rPr>
        <w:t xml:space="preserve">or medium company, it is expected to be easier to identify the perpetrator of a fraud than in a larger one. </w:t>
      </w:r>
      <w:r w:rsidR="0094590B" w:rsidRPr="005C614D">
        <w:rPr>
          <w:rFonts w:cs="Arial"/>
          <w:sz w:val="22"/>
          <w:szCs w:val="22"/>
        </w:rPr>
        <w:t>I</w:t>
      </w:r>
      <w:r w:rsidRPr="005C614D">
        <w:rPr>
          <w:rFonts w:cs="Arial"/>
          <w:sz w:val="22"/>
          <w:szCs w:val="22"/>
        </w:rPr>
        <w:t>n</w:t>
      </w:r>
      <w:r w:rsidR="009610C0" w:rsidRPr="005C614D">
        <w:rPr>
          <w:rFonts w:cs="Arial"/>
          <w:sz w:val="22"/>
          <w:szCs w:val="22"/>
        </w:rPr>
        <w:t xml:space="preserve"> 2022, t</w:t>
      </w:r>
      <w:r w:rsidR="00D01089" w:rsidRPr="005C614D">
        <w:rPr>
          <w:rFonts w:cs="Arial"/>
          <w:sz w:val="22"/>
          <w:szCs w:val="22"/>
        </w:rPr>
        <w:t xml:space="preserve">he Law Commission noted that small organisations are more readily held to account using </w:t>
      </w:r>
      <w:r w:rsidR="009610C0" w:rsidRPr="005C614D">
        <w:rPr>
          <w:rFonts w:cs="Arial"/>
          <w:sz w:val="22"/>
          <w:szCs w:val="22"/>
        </w:rPr>
        <w:t xml:space="preserve">(then) </w:t>
      </w:r>
      <w:r w:rsidR="00D01089" w:rsidRPr="005C614D">
        <w:rPr>
          <w:rFonts w:cs="Arial"/>
          <w:sz w:val="22"/>
          <w:szCs w:val="22"/>
        </w:rPr>
        <w:t xml:space="preserve">existing corporate liability offences whilst large multi-national companies </w:t>
      </w:r>
      <w:r w:rsidR="009610C0" w:rsidRPr="005C614D">
        <w:rPr>
          <w:rFonts w:cs="Arial"/>
          <w:sz w:val="22"/>
          <w:szCs w:val="22"/>
        </w:rPr>
        <w:t>were able to</w:t>
      </w:r>
      <w:r w:rsidR="006244A2" w:rsidRPr="005C614D">
        <w:rPr>
          <w:rFonts w:cs="Arial"/>
          <w:sz w:val="22"/>
          <w:szCs w:val="22"/>
        </w:rPr>
        <w:t xml:space="preserve"> </w:t>
      </w:r>
      <w:r w:rsidR="00D01089" w:rsidRPr="005C614D">
        <w:rPr>
          <w:rFonts w:cs="Arial"/>
          <w:sz w:val="22"/>
          <w:szCs w:val="22"/>
        </w:rPr>
        <w:t>evade action due to complex structures</w:t>
      </w:r>
      <w:r w:rsidR="00D53FA9" w:rsidRPr="005C614D">
        <w:rPr>
          <w:rStyle w:val="FootnoteReference"/>
          <w:szCs w:val="22"/>
        </w:rPr>
        <w:footnoteReference w:id="22"/>
      </w:r>
      <w:r w:rsidR="00EF07BC">
        <w:rPr>
          <w:rFonts w:cs="Arial"/>
          <w:sz w:val="22"/>
          <w:szCs w:val="22"/>
        </w:rPr>
        <w:t>. The same discrepa</w:t>
      </w:r>
      <w:r w:rsidR="00E5182F">
        <w:rPr>
          <w:rFonts w:cs="Arial"/>
          <w:sz w:val="22"/>
          <w:szCs w:val="22"/>
        </w:rPr>
        <w:t xml:space="preserve">ncy </w:t>
      </w:r>
      <w:r w:rsidR="00C12486" w:rsidRPr="00546D65">
        <w:rPr>
          <w:rFonts w:cs="Arial"/>
          <w:sz w:val="22"/>
          <w:szCs w:val="22"/>
        </w:rPr>
        <w:t xml:space="preserve">would </w:t>
      </w:r>
      <w:r w:rsidR="005E2B88">
        <w:rPr>
          <w:rFonts w:cs="Arial"/>
          <w:sz w:val="22"/>
          <w:szCs w:val="22"/>
        </w:rPr>
        <w:t xml:space="preserve">also </w:t>
      </w:r>
      <w:r w:rsidR="00C12486" w:rsidRPr="00546D65">
        <w:rPr>
          <w:rFonts w:cs="Arial"/>
          <w:sz w:val="22"/>
          <w:szCs w:val="22"/>
        </w:rPr>
        <w:t xml:space="preserve">be expected to persist even after the introduction of the amendments </w:t>
      </w:r>
      <w:r w:rsidR="003E2270" w:rsidRPr="00546D65">
        <w:rPr>
          <w:rFonts w:cs="Arial"/>
          <w:sz w:val="22"/>
          <w:szCs w:val="22"/>
        </w:rPr>
        <w:t>to the identification principle</w:t>
      </w:r>
      <w:r w:rsidR="003E2270" w:rsidRPr="00546D65">
        <w:rPr>
          <w:rStyle w:val="FootnoteReference"/>
          <w:szCs w:val="22"/>
        </w:rPr>
        <w:footnoteReference w:id="23"/>
      </w:r>
      <w:r w:rsidR="00D01089" w:rsidRPr="005C614D">
        <w:rPr>
          <w:rFonts w:cs="Arial"/>
          <w:sz w:val="22"/>
          <w:szCs w:val="22"/>
        </w:rPr>
        <w:t xml:space="preserve">. </w:t>
      </w:r>
      <w:r w:rsidR="00341DF9" w:rsidRPr="005C614D">
        <w:rPr>
          <w:rFonts w:cs="Arial"/>
          <w:sz w:val="22"/>
          <w:szCs w:val="22"/>
        </w:rPr>
        <w:t xml:space="preserve"> </w:t>
      </w:r>
    </w:p>
    <w:p w14:paraId="2DE7F5FA" w14:textId="5D38C984" w:rsidR="007E6548" w:rsidRDefault="00D823D4">
      <w:pPr>
        <w:pStyle w:val="ListParagraph"/>
        <w:numPr>
          <w:ilvl w:val="0"/>
          <w:numId w:val="10"/>
        </w:numPr>
        <w:spacing w:after="120" w:line="259" w:lineRule="auto"/>
        <w:ind w:left="567" w:hanging="567"/>
        <w:contextualSpacing w:val="0"/>
        <w:jc w:val="both"/>
        <w:rPr>
          <w:rFonts w:cs="Arial"/>
          <w:sz w:val="22"/>
          <w:szCs w:val="22"/>
        </w:rPr>
      </w:pPr>
      <w:r w:rsidRPr="00546D65">
        <w:rPr>
          <w:rFonts w:cs="Arial"/>
          <w:sz w:val="22"/>
          <w:szCs w:val="22"/>
        </w:rPr>
        <w:t>In smaller</w:t>
      </w:r>
      <w:r w:rsidR="00CA632A" w:rsidRPr="00546D65">
        <w:rPr>
          <w:rFonts w:cs="Arial"/>
          <w:sz w:val="22"/>
          <w:szCs w:val="22"/>
        </w:rPr>
        <w:t>,</w:t>
      </w:r>
      <w:r w:rsidRPr="00546D65">
        <w:rPr>
          <w:rFonts w:cs="Arial"/>
          <w:sz w:val="22"/>
          <w:szCs w:val="22"/>
        </w:rPr>
        <w:t xml:space="preserve"> less complex organisations</w:t>
      </w:r>
      <w:r w:rsidR="00CA632A" w:rsidRPr="00546D65">
        <w:rPr>
          <w:rFonts w:cs="Arial"/>
          <w:sz w:val="22"/>
          <w:szCs w:val="22"/>
        </w:rPr>
        <w:t>,</w:t>
      </w:r>
      <w:r w:rsidRPr="00546D65">
        <w:rPr>
          <w:rFonts w:cs="Arial"/>
          <w:sz w:val="22"/>
          <w:szCs w:val="22"/>
        </w:rPr>
        <w:t xml:space="preserve"> it is deemed more straightforward to prosecute and therefore the benefits of a failure to prevent </w:t>
      </w:r>
      <w:r w:rsidR="00CA632A" w:rsidRPr="00546D65">
        <w:rPr>
          <w:rFonts w:cs="Arial"/>
          <w:sz w:val="22"/>
          <w:szCs w:val="22"/>
        </w:rPr>
        <w:t xml:space="preserve">fraud </w:t>
      </w:r>
      <w:r w:rsidRPr="00546D65">
        <w:rPr>
          <w:rFonts w:cs="Arial"/>
          <w:sz w:val="22"/>
          <w:szCs w:val="22"/>
        </w:rPr>
        <w:t>offence are significantly lower.</w:t>
      </w:r>
      <w:r w:rsidR="00325576" w:rsidRPr="00546D65">
        <w:rPr>
          <w:rFonts w:cs="Arial"/>
          <w:sz w:val="22"/>
          <w:szCs w:val="22"/>
        </w:rPr>
        <w:t xml:space="preserve"> </w:t>
      </w:r>
      <w:r w:rsidR="007A66E8" w:rsidRPr="00546D65">
        <w:rPr>
          <w:rFonts w:cs="Arial"/>
          <w:sz w:val="22"/>
          <w:szCs w:val="22"/>
        </w:rPr>
        <w:t xml:space="preserve">To avoid </w:t>
      </w:r>
      <w:r w:rsidR="007A66E8" w:rsidRPr="005C614D">
        <w:rPr>
          <w:rFonts w:cs="Arial"/>
          <w:sz w:val="22"/>
          <w:szCs w:val="22"/>
        </w:rPr>
        <w:t>disproportionate burdens on small and medium companies</w:t>
      </w:r>
      <w:r w:rsidR="007A66E8" w:rsidRPr="00546D65">
        <w:rPr>
          <w:rFonts w:cs="Arial"/>
          <w:sz w:val="22"/>
          <w:szCs w:val="22"/>
        </w:rPr>
        <w:t xml:space="preserve">, </w:t>
      </w:r>
      <w:r w:rsidR="00FA0411">
        <w:rPr>
          <w:rFonts w:cs="Arial"/>
          <w:sz w:val="22"/>
          <w:szCs w:val="22"/>
        </w:rPr>
        <w:t>the g</w:t>
      </w:r>
      <w:r w:rsidR="007A66E8" w:rsidRPr="00546D65">
        <w:rPr>
          <w:rFonts w:cs="Arial"/>
          <w:sz w:val="22"/>
          <w:szCs w:val="22"/>
        </w:rPr>
        <w:t xml:space="preserve">overnment decided to </w:t>
      </w:r>
      <w:r w:rsidR="00D930FF" w:rsidRPr="00546D65">
        <w:rPr>
          <w:rFonts w:cs="Arial"/>
          <w:sz w:val="22"/>
          <w:szCs w:val="22"/>
        </w:rPr>
        <w:t>restrict the offence of failure to prevent fraud to large organisations only</w:t>
      </w:r>
      <w:r w:rsidR="005C614D" w:rsidRPr="005C614D">
        <w:rPr>
          <w:rFonts w:cs="Arial"/>
          <w:sz w:val="22"/>
          <w:szCs w:val="22"/>
        </w:rPr>
        <w:t>.</w:t>
      </w:r>
      <w:r w:rsidR="0040756B" w:rsidRPr="005C614D">
        <w:rPr>
          <w:rFonts w:cs="Arial"/>
          <w:sz w:val="22"/>
          <w:szCs w:val="22"/>
        </w:rPr>
        <w:t xml:space="preserve"> </w:t>
      </w:r>
      <w:r w:rsidR="007E6548" w:rsidRPr="007E6548">
        <w:rPr>
          <w:rFonts w:cs="Arial"/>
          <w:sz w:val="22"/>
          <w:szCs w:val="22"/>
        </w:rPr>
        <w:t>This is less restrictive than it may appear:</w:t>
      </w:r>
      <w:r w:rsidR="007E6548" w:rsidRPr="007E6548">
        <w:t xml:space="preserve"> </w:t>
      </w:r>
      <w:r w:rsidR="007E6548" w:rsidRPr="007E6548">
        <w:rPr>
          <w:rFonts w:cs="Arial"/>
          <w:sz w:val="22"/>
          <w:szCs w:val="22"/>
        </w:rPr>
        <w:t>Although a large majority of businesses are micro, small or medium enterprises, large businesses account for almost half of the turnover and almost 40</w:t>
      </w:r>
      <w:r w:rsidR="00B20ACF">
        <w:rPr>
          <w:rFonts w:cs="Arial"/>
          <w:sz w:val="22"/>
          <w:szCs w:val="22"/>
        </w:rPr>
        <w:t xml:space="preserve"> per cent</w:t>
      </w:r>
      <w:r w:rsidR="007E6548" w:rsidRPr="007E6548">
        <w:rPr>
          <w:rFonts w:cs="Arial"/>
          <w:sz w:val="22"/>
          <w:szCs w:val="22"/>
        </w:rPr>
        <w:t xml:space="preserve"> of employment by all businesses</w:t>
      </w:r>
      <w:r w:rsidR="007E6548" w:rsidRPr="007E6548">
        <w:rPr>
          <w:rFonts w:cs="Arial"/>
          <w:bCs/>
          <w:sz w:val="22"/>
          <w:szCs w:val="22"/>
          <w:vertAlign w:val="superscript"/>
        </w:rPr>
        <w:footnoteReference w:id="24"/>
      </w:r>
      <w:r w:rsidR="007E6548" w:rsidRPr="007E6548">
        <w:rPr>
          <w:rFonts w:cs="Arial"/>
          <w:bCs/>
          <w:sz w:val="22"/>
          <w:szCs w:val="22"/>
        </w:rPr>
        <w:t>.</w:t>
      </w:r>
      <w:r w:rsidR="007E6548" w:rsidRPr="007E6548">
        <w:rPr>
          <w:rFonts w:cs="Arial"/>
          <w:sz w:val="22"/>
          <w:szCs w:val="22"/>
        </w:rPr>
        <w:t xml:space="preserve">  </w:t>
      </w:r>
    </w:p>
    <w:p w14:paraId="7A0B9AE6" w14:textId="6697A2D2" w:rsidR="00B734FB" w:rsidRPr="005C614D" w:rsidRDefault="0099236D" w:rsidP="006970C6">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If required</w:t>
      </w:r>
      <w:r w:rsidR="0040756B" w:rsidRPr="005C614D">
        <w:rPr>
          <w:rFonts w:cs="Arial"/>
          <w:sz w:val="22"/>
          <w:szCs w:val="22"/>
        </w:rPr>
        <w:t xml:space="preserve">, the threshold can be amended </w:t>
      </w:r>
      <w:r w:rsidR="00826B8F" w:rsidRPr="005C614D">
        <w:rPr>
          <w:rFonts w:cs="Arial"/>
          <w:sz w:val="22"/>
          <w:szCs w:val="22"/>
        </w:rPr>
        <w:t xml:space="preserve">in future </w:t>
      </w:r>
      <w:r w:rsidR="0040756B" w:rsidRPr="005C614D">
        <w:rPr>
          <w:rFonts w:cs="Arial"/>
          <w:sz w:val="22"/>
          <w:szCs w:val="22"/>
        </w:rPr>
        <w:t>through secondary legislation</w:t>
      </w:r>
      <w:r>
        <w:rPr>
          <w:rFonts w:cs="Arial"/>
          <w:sz w:val="22"/>
          <w:szCs w:val="22"/>
        </w:rPr>
        <w:t>, should it become apparent that smaller organisations should be brought into scope</w:t>
      </w:r>
      <w:r w:rsidR="00EF0F0B" w:rsidRPr="005C614D">
        <w:rPr>
          <w:rFonts w:cs="Arial"/>
          <w:sz w:val="22"/>
          <w:szCs w:val="22"/>
        </w:rPr>
        <w:t>.</w:t>
      </w:r>
    </w:p>
    <w:p w14:paraId="2A12D429" w14:textId="77777777" w:rsidR="00A8729A" w:rsidRDefault="00A8729A">
      <w:pPr>
        <w:rPr>
          <w:rFonts w:cs="Arial"/>
          <w:b/>
          <w:sz w:val="22"/>
          <w:szCs w:val="22"/>
        </w:rPr>
      </w:pPr>
      <w:r>
        <w:rPr>
          <w:rFonts w:cs="Arial"/>
          <w:b/>
          <w:sz w:val="22"/>
          <w:szCs w:val="22"/>
        </w:rPr>
        <w:br w:type="page"/>
      </w:r>
    </w:p>
    <w:p w14:paraId="2A427573" w14:textId="6E7BCBFE" w:rsidR="00C6325B" w:rsidRPr="00546D65" w:rsidRDefault="006A6BBD" w:rsidP="006970C6">
      <w:pPr>
        <w:spacing w:after="120" w:line="259" w:lineRule="auto"/>
        <w:jc w:val="both"/>
        <w:rPr>
          <w:rFonts w:cs="Arial"/>
          <w:b/>
          <w:sz w:val="22"/>
          <w:szCs w:val="22"/>
        </w:rPr>
      </w:pPr>
      <w:r w:rsidRPr="00546D65">
        <w:rPr>
          <w:rFonts w:cs="Arial"/>
          <w:b/>
          <w:sz w:val="22"/>
          <w:szCs w:val="22"/>
        </w:rPr>
        <w:lastRenderedPageBreak/>
        <w:t>Discussion o</w:t>
      </w:r>
      <w:r w:rsidR="00494EBF">
        <w:rPr>
          <w:rFonts w:cs="Arial"/>
          <w:b/>
          <w:sz w:val="22"/>
          <w:szCs w:val="22"/>
        </w:rPr>
        <w:t>n the</w:t>
      </w:r>
      <w:r w:rsidRPr="00546D65">
        <w:rPr>
          <w:rFonts w:cs="Arial"/>
          <w:b/>
          <w:sz w:val="22"/>
          <w:szCs w:val="22"/>
        </w:rPr>
        <w:t xml:space="preserve"> choice to include entities that are not companies</w:t>
      </w:r>
    </w:p>
    <w:p w14:paraId="52A0750C" w14:textId="77777777" w:rsidR="002B224D" w:rsidRPr="00546D65" w:rsidRDefault="004B199D" w:rsidP="006970C6">
      <w:pPr>
        <w:pStyle w:val="ListParagraph"/>
        <w:numPr>
          <w:ilvl w:val="0"/>
          <w:numId w:val="10"/>
        </w:numPr>
        <w:spacing w:after="120" w:line="259" w:lineRule="auto"/>
        <w:ind w:left="567" w:hanging="567"/>
        <w:contextualSpacing w:val="0"/>
        <w:jc w:val="both"/>
        <w:rPr>
          <w:rFonts w:cs="Arial"/>
          <w:sz w:val="22"/>
          <w:szCs w:val="22"/>
          <w:lang w:eastAsia="en-GB"/>
        </w:rPr>
      </w:pPr>
      <w:r w:rsidRPr="00546D65">
        <w:rPr>
          <w:rFonts w:cs="Arial"/>
          <w:sz w:val="22"/>
          <w:szCs w:val="22"/>
        </w:rPr>
        <w:t>The</w:t>
      </w:r>
      <w:r w:rsidRPr="00546D65">
        <w:rPr>
          <w:rFonts w:cs="Arial"/>
          <w:sz w:val="22"/>
          <w:szCs w:val="22"/>
          <w:lang w:eastAsia="en-GB"/>
        </w:rPr>
        <w:t xml:space="preserve"> </w:t>
      </w:r>
      <w:r w:rsidRPr="00546D65">
        <w:rPr>
          <w:rFonts w:cs="Arial"/>
          <w:sz w:val="22"/>
          <w:szCs w:val="22"/>
        </w:rPr>
        <w:t>offence</w:t>
      </w:r>
      <w:r w:rsidRPr="00546D65">
        <w:rPr>
          <w:rFonts w:cs="Arial"/>
          <w:sz w:val="22"/>
          <w:szCs w:val="22"/>
          <w:lang w:eastAsia="en-GB"/>
        </w:rPr>
        <w:t xml:space="preserve"> applies to large, incorporated bodies and partnerships across all sectors of the economy. </w:t>
      </w:r>
      <w:r w:rsidR="002B224D" w:rsidRPr="00546D65">
        <w:rPr>
          <w:rFonts w:cs="Arial"/>
          <w:sz w:val="22"/>
          <w:szCs w:val="22"/>
          <w:lang w:eastAsia="en-GB"/>
        </w:rPr>
        <w:t>This includes, but is not limited to incorporation by</w:t>
      </w:r>
      <w:r w:rsidR="002B224D" w:rsidRPr="00546D65">
        <w:rPr>
          <w:rFonts w:cs="Arial"/>
          <w:sz w:val="22"/>
          <w:szCs w:val="22"/>
          <w:vertAlign w:val="superscript"/>
          <w:lang w:eastAsia="en-GB"/>
        </w:rPr>
        <w:footnoteReference w:id="25"/>
      </w:r>
      <w:r w:rsidR="002B224D" w:rsidRPr="00546D65">
        <w:rPr>
          <w:rFonts w:cs="Arial"/>
          <w:sz w:val="22"/>
          <w:szCs w:val="22"/>
          <w:lang w:eastAsia="en-GB"/>
        </w:rPr>
        <w:t>:</w:t>
      </w:r>
    </w:p>
    <w:p w14:paraId="70B73701" w14:textId="77777777" w:rsidR="002B224D" w:rsidRPr="00546D65" w:rsidRDefault="002B224D" w:rsidP="009B3F83">
      <w:pPr>
        <w:numPr>
          <w:ilvl w:val="0"/>
          <w:numId w:val="43"/>
        </w:numPr>
        <w:spacing w:after="120" w:line="259" w:lineRule="auto"/>
        <w:ind w:left="1134" w:hanging="425"/>
        <w:rPr>
          <w:rFonts w:cs="Arial"/>
          <w:sz w:val="22"/>
          <w:szCs w:val="22"/>
          <w:lang w:eastAsia="en-GB"/>
        </w:rPr>
      </w:pPr>
      <w:r w:rsidRPr="00546D65">
        <w:rPr>
          <w:rFonts w:cs="Arial"/>
          <w:sz w:val="22"/>
          <w:szCs w:val="22"/>
          <w:lang w:eastAsia="en-GB"/>
        </w:rPr>
        <w:t>The Companies Act 2006</w:t>
      </w:r>
    </w:p>
    <w:p w14:paraId="3FC625E9" w14:textId="77777777" w:rsidR="002B224D" w:rsidRPr="00546D65" w:rsidRDefault="002B224D" w:rsidP="009B3F83">
      <w:pPr>
        <w:numPr>
          <w:ilvl w:val="0"/>
          <w:numId w:val="43"/>
        </w:numPr>
        <w:spacing w:after="120" w:line="259" w:lineRule="auto"/>
        <w:ind w:left="1134" w:hanging="425"/>
        <w:rPr>
          <w:rFonts w:cs="Arial"/>
          <w:sz w:val="22"/>
          <w:szCs w:val="22"/>
          <w:lang w:eastAsia="en-GB"/>
        </w:rPr>
      </w:pPr>
      <w:r w:rsidRPr="00546D65">
        <w:rPr>
          <w:rFonts w:cs="Arial"/>
          <w:sz w:val="22"/>
          <w:szCs w:val="22"/>
          <w:lang w:eastAsia="en-GB"/>
        </w:rPr>
        <w:t>Royal Charter</w:t>
      </w:r>
    </w:p>
    <w:p w14:paraId="2FA941EC" w14:textId="77777777" w:rsidR="002B224D" w:rsidRPr="00546D65" w:rsidRDefault="002B224D" w:rsidP="009B3F83">
      <w:pPr>
        <w:numPr>
          <w:ilvl w:val="0"/>
          <w:numId w:val="43"/>
        </w:numPr>
        <w:spacing w:after="120" w:line="259" w:lineRule="auto"/>
        <w:ind w:left="1134" w:hanging="425"/>
        <w:rPr>
          <w:rFonts w:cs="Arial"/>
          <w:sz w:val="22"/>
          <w:szCs w:val="22"/>
          <w:lang w:eastAsia="en-GB"/>
        </w:rPr>
      </w:pPr>
      <w:r w:rsidRPr="00546D65">
        <w:rPr>
          <w:rFonts w:cs="Arial"/>
          <w:sz w:val="22"/>
          <w:szCs w:val="22"/>
          <w:lang w:eastAsia="en-GB"/>
        </w:rPr>
        <w:t>Statute (for example NHS Trusts)</w:t>
      </w:r>
    </w:p>
    <w:p w14:paraId="0B52D241" w14:textId="77777777" w:rsidR="002B224D" w:rsidRPr="00546D65" w:rsidRDefault="002B224D" w:rsidP="009B3F83">
      <w:pPr>
        <w:numPr>
          <w:ilvl w:val="0"/>
          <w:numId w:val="43"/>
        </w:numPr>
        <w:spacing w:after="120" w:line="259" w:lineRule="auto"/>
        <w:ind w:left="1134" w:hanging="425"/>
        <w:rPr>
          <w:rFonts w:cs="Arial"/>
          <w:sz w:val="22"/>
          <w:szCs w:val="22"/>
          <w:lang w:eastAsia="en-GB"/>
        </w:rPr>
      </w:pPr>
      <w:r w:rsidRPr="00546D65">
        <w:rPr>
          <w:rFonts w:cs="Arial"/>
          <w:sz w:val="22"/>
          <w:szCs w:val="22"/>
          <w:lang w:eastAsia="en-GB"/>
        </w:rPr>
        <w:t>The Limited Liability Partnerships Act 2000</w:t>
      </w:r>
    </w:p>
    <w:p w14:paraId="0358C116" w14:textId="77777777" w:rsidR="002B224D" w:rsidRPr="00546D65" w:rsidRDefault="002B224D" w:rsidP="009B3F83">
      <w:pPr>
        <w:numPr>
          <w:ilvl w:val="0"/>
          <w:numId w:val="43"/>
        </w:numPr>
        <w:spacing w:after="120" w:line="259" w:lineRule="auto"/>
        <w:ind w:left="1134" w:hanging="425"/>
        <w:rPr>
          <w:rFonts w:cs="Arial"/>
          <w:sz w:val="22"/>
          <w:szCs w:val="22"/>
          <w:lang w:eastAsia="en-GB"/>
        </w:rPr>
      </w:pPr>
      <w:r w:rsidRPr="00546D65">
        <w:rPr>
          <w:rFonts w:cs="Arial"/>
          <w:sz w:val="22"/>
          <w:szCs w:val="22"/>
          <w:lang w:eastAsia="en-GB"/>
        </w:rPr>
        <w:t xml:space="preserve">The Co-operative and Community Benefit Societies Act 2014. </w:t>
      </w:r>
    </w:p>
    <w:p w14:paraId="3372B683" w14:textId="152B5B75" w:rsidR="006A6BBD" w:rsidRDefault="002B224D">
      <w:pPr>
        <w:pStyle w:val="ListParagraph"/>
        <w:numPr>
          <w:ilvl w:val="0"/>
          <w:numId w:val="10"/>
        </w:numPr>
        <w:spacing w:after="120" w:line="259" w:lineRule="auto"/>
        <w:ind w:left="567" w:hanging="567"/>
        <w:contextualSpacing w:val="0"/>
        <w:jc w:val="both"/>
        <w:rPr>
          <w:rFonts w:cs="Arial"/>
          <w:sz w:val="22"/>
          <w:szCs w:val="22"/>
          <w:lang w:eastAsia="en-GB"/>
        </w:rPr>
      </w:pPr>
      <w:r w:rsidRPr="00546D65">
        <w:rPr>
          <w:rFonts w:cs="Arial"/>
          <w:sz w:val="22"/>
          <w:szCs w:val="22"/>
          <w:lang w:eastAsia="en-GB"/>
        </w:rPr>
        <w:t>The offence also applies to partnerships which are not bodies corporate (including Scottish partnerships and Limited Partnerships formed under the Limited Partnerships Act 1907). Unincorporated organisations (other than partnerships) are not in scope. The offence also applies to bodies incorporated and partnerships formed outside the UK</w:t>
      </w:r>
      <w:r w:rsidRPr="005C614D">
        <w:rPr>
          <w:rFonts w:cs="Arial"/>
          <w:sz w:val="22"/>
          <w:szCs w:val="22"/>
          <w:lang w:eastAsia="en-GB"/>
        </w:rPr>
        <w:t xml:space="preserve"> </w:t>
      </w:r>
      <w:r w:rsidRPr="00546D65">
        <w:rPr>
          <w:rFonts w:cs="Arial"/>
          <w:sz w:val="22"/>
          <w:szCs w:val="22"/>
          <w:lang w:eastAsia="en-GB"/>
        </w:rPr>
        <w:t>but with a UK nexus</w:t>
      </w:r>
      <w:r w:rsidRPr="005C614D">
        <w:rPr>
          <w:rFonts w:cs="Arial"/>
          <w:b/>
          <w:sz w:val="22"/>
          <w:szCs w:val="22"/>
          <w:lang w:eastAsia="en-GB"/>
        </w:rPr>
        <w:t>.</w:t>
      </w:r>
      <w:r w:rsidR="00D03A4D" w:rsidRPr="00546D65">
        <w:rPr>
          <w:rFonts w:cs="Arial"/>
          <w:b/>
          <w:sz w:val="22"/>
          <w:szCs w:val="22"/>
          <w:lang w:eastAsia="en-GB"/>
        </w:rPr>
        <w:t xml:space="preserve"> </w:t>
      </w:r>
      <w:r w:rsidR="00875E0C" w:rsidRPr="00546D65">
        <w:rPr>
          <w:rFonts w:cs="Arial"/>
          <w:sz w:val="22"/>
          <w:szCs w:val="22"/>
          <w:lang w:eastAsia="en-GB"/>
        </w:rPr>
        <w:t xml:space="preserve">By covering all incorporated organisations and organisations incorporated outside the UK but with a UK nexus, the offence </w:t>
      </w:r>
      <w:r w:rsidR="000007E8" w:rsidRPr="00546D65">
        <w:rPr>
          <w:rFonts w:cs="Arial"/>
          <w:sz w:val="22"/>
          <w:szCs w:val="22"/>
          <w:lang w:eastAsia="en-GB"/>
        </w:rPr>
        <w:t>is intended to be even-handed and to avoid potential loophole</w:t>
      </w:r>
      <w:r w:rsidR="00C947FD" w:rsidRPr="00546D65">
        <w:rPr>
          <w:rFonts w:cs="Arial"/>
          <w:sz w:val="22"/>
          <w:szCs w:val="22"/>
          <w:lang w:eastAsia="en-GB"/>
        </w:rPr>
        <w:t>s</w:t>
      </w:r>
      <w:r w:rsidR="00A6068B" w:rsidRPr="00546D65">
        <w:rPr>
          <w:rFonts w:cs="Arial"/>
          <w:sz w:val="22"/>
          <w:szCs w:val="22"/>
          <w:lang w:eastAsia="en-GB"/>
        </w:rPr>
        <w:t xml:space="preserve"> that might be exploited by unscrupulous actors.</w:t>
      </w:r>
    </w:p>
    <w:p w14:paraId="76765B8B" w14:textId="77777777" w:rsidR="00E02A07" w:rsidRPr="006970C6" w:rsidRDefault="00E02A07" w:rsidP="00E02A07">
      <w:pPr>
        <w:spacing w:after="120" w:line="259" w:lineRule="auto"/>
        <w:jc w:val="both"/>
        <w:rPr>
          <w:rFonts w:cs="Arial"/>
          <w:sz w:val="22"/>
          <w:szCs w:val="22"/>
          <w:lang w:eastAsia="en-GB"/>
        </w:rPr>
      </w:pPr>
    </w:p>
    <w:p w14:paraId="36E44174" w14:textId="77777777" w:rsidR="00D945F1" w:rsidRPr="00A23BAA" w:rsidRDefault="00D945F1" w:rsidP="00D945F1">
      <w:pPr>
        <w:pStyle w:val="ListParagraph"/>
        <w:numPr>
          <w:ilvl w:val="0"/>
          <w:numId w:val="4"/>
        </w:numPr>
        <w:spacing w:line="259" w:lineRule="auto"/>
        <w:ind w:left="567" w:hanging="567"/>
        <w:contextualSpacing w:val="0"/>
        <w:jc w:val="both"/>
        <w:rPr>
          <w:rFonts w:cs="Arial"/>
          <w:b/>
          <w:sz w:val="28"/>
          <w:szCs w:val="28"/>
        </w:rPr>
      </w:pPr>
      <w:r w:rsidRPr="00A23BAA">
        <w:rPr>
          <w:rFonts w:cs="Arial"/>
          <w:b/>
          <w:sz w:val="28"/>
          <w:szCs w:val="28"/>
        </w:rPr>
        <w:t xml:space="preserve">Policy objective </w:t>
      </w:r>
    </w:p>
    <w:p w14:paraId="6DAFCE6A" w14:textId="77777777" w:rsidR="00D945F1" w:rsidRPr="00441AF5" w:rsidRDefault="00D945F1" w:rsidP="00D945F1">
      <w:pPr>
        <w:pStyle w:val="EBBullet"/>
        <w:numPr>
          <w:ilvl w:val="0"/>
          <w:numId w:val="0"/>
        </w:numPr>
        <w:spacing w:line="259" w:lineRule="auto"/>
        <w:ind w:left="567"/>
        <w:jc w:val="both"/>
        <w:rPr>
          <w:color w:val="auto"/>
        </w:rPr>
      </w:pPr>
    </w:p>
    <w:p w14:paraId="0C8E9918" w14:textId="2AA4D2D7" w:rsidR="00D945F1" w:rsidRPr="00441AF5" w:rsidRDefault="00D945F1" w:rsidP="006970C6">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The intended outcome of these measures is to ensure fair and proportionate liability is placed on corporates for fraudulent wrongdoing, committed by senior management</w:t>
      </w:r>
      <w:r w:rsidR="0073150F">
        <w:rPr>
          <w:rFonts w:cs="Arial"/>
          <w:sz w:val="22"/>
          <w:szCs w:val="22"/>
        </w:rPr>
        <w:t>,</w:t>
      </w:r>
      <w:r w:rsidRPr="00441AF5">
        <w:rPr>
          <w:rFonts w:cs="Arial"/>
          <w:sz w:val="22"/>
          <w:szCs w:val="22"/>
        </w:rPr>
        <w:t xml:space="preserve"> other employees</w:t>
      </w:r>
      <w:r w:rsidR="0073150F">
        <w:rPr>
          <w:rFonts w:cs="Arial"/>
          <w:sz w:val="22"/>
          <w:szCs w:val="22"/>
        </w:rPr>
        <w:t>, agents or other associated persons providing services for or on behalf of the organisation</w:t>
      </w:r>
      <w:r w:rsidRPr="00441AF5">
        <w:rPr>
          <w:rFonts w:cs="Arial"/>
          <w:sz w:val="22"/>
          <w:szCs w:val="22"/>
        </w:rPr>
        <w:t xml:space="preserve">. These measures will: </w:t>
      </w:r>
    </w:p>
    <w:p w14:paraId="5593E670" w14:textId="77777777" w:rsidR="00D945F1" w:rsidRPr="00441AF5" w:rsidRDefault="00D945F1" w:rsidP="00D945F1">
      <w:pPr>
        <w:pStyle w:val="EBBullet"/>
        <w:numPr>
          <w:ilvl w:val="0"/>
          <w:numId w:val="14"/>
        </w:numPr>
        <w:spacing w:line="259" w:lineRule="auto"/>
        <w:ind w:left="1134" w:hanging="425"/>
        <w:jc w:val="both"/>
        <w:rPr>
          <w:color w:val="auto"/>
        </w:rPr>
      </w:pPr>
      <w:r w:rsidRPr="00441AF5">
        <w:rPr>
          <w:color w:val="auto"/>
        </w:rPr>
        <w:t xml:space="preserve">Make it possible to prosecute organisations that commit </w:t>
      </w:r>
      <w:r>
        <w:rPr>
          <w:color w:val="auto"/>
        </w:rPr>
        <w:t>fraud</w:t>
      </w:r>
      <w:r w:rsidRPr="00441AF5">
        <w:rPr>
          <w:color w:val="auto"/>
        </w:rPr>
        <w:t xml:space="preserve"> or enable a poor corporate culture where regulatory requirements are ignored, thereby providing greater disincentive to engage in fraud. </w:t>
      </w:r>
    </w:p>
    <w:p w14:paraId="25FC43C9" w14:textId="77777777" w:rsidR="00D945F1" w:rsidRPr="00441AF5" w:rsidRDefault="00D945F1" w:rsidP="00D945F1">
      <w:pPr>
        <w:pStyle w:val="EBBullet"/>
        <w:numPr>
          <w:ilvl w:val="0"/>
          <w:numId w:val="14"/>
        </w:numPr>
        <w:spacing w:line="259" w:lineRule="auto"/>
        <w:ind w:left="1134" w:hanging="425"/>
        <w:jc w:val="both"/>
        <w:rPr>
          <w:color w:val="auto"/>
        </w:rPr>
      </w:pPr>
      <w:r w:rsidRPr="00441AF5">
        <w:rPr>
          <w:color w:val="auto"/>
        </w:rPr>
        <w:t xml:space="preserve">Increase fraud detection and prevention methods in organisations and create an anti-fraud culture in business. </w:t>
      </w:r>
    </w:p>
    <w:p w14:paraId="59C13B7A" w14:textId="77777777" w:rsidR="00D945F1" w:rsidRPr="00441AF5" w:rsidRDefault="00D945F1" w:rsidP="00D945F1">
      <w:pPr>
        <w:pStyle w:val="EBBullet"/>
        <w:numPr>
          <w:ilvl w:val="0"/>
          <w:numId w:val="0"/>
        </w:numPr>
        <w:ind w:left="567"/>
        <w:jc w:val="both"/>
        <w:rPr>
          <w:color w:val="auto"/>
        </w:rPr>
      </w:pPr>
    </w:p>
    <w:p w14:paraId="65139FC5" w14:textId="77777777" w:rsidR="00D945F1" w:rsidRPr="0029116F" w:rsidRDefault="00D945F1" w:rsidP="00D945F1">
      <w:pPr>
        <w:pStyle w:val="EBBullet"/>
        <w:numPr>
          <w:ilvl w:val="0"/>
          <w:numId w:val="4"/>
        </w:numPr>
        <w:spacing w:after="0"/>
        <w:ind w:left="567" w:hanging="567"/>
        <w:jc w:val="both"/>
        <w:rPr>
          <w:color w:val="auto"/>
          <w:sz w:val="28"/>
          <w:szCs w:val="28"/>
        </w:rPr>
      </w:pPr>
      <w:r w:rsidRPr="0029116F">
        <w:rPr>
          <w:b/>
          <w:color w:val="auto"/>
          <w:sz w:val="28"/>
          <w:szCs w:val="28"/>
        </w:rPr>
        <w:t>Options considered and implementation</w:t>
      </w:r>
    </w:p>
    <w:p w14:paraId="3CE52A59" w14:textId="77777777" w:rsidR="00D945F1" w:rsidRPr="00441AF5" w:rsidRDefault="00D945F1" w:rsidP="00D945F1">
      <w:pPr>
        <w:pStyle w:val="EBBullet"/>
        <w:numPr>
          <w:ilvl w:val="0"/>
          <w:numId w:val="0"/>
        </w:numPr>
        <w:spacing w:line="259" w:lineRule="auto"/>
        <w:ind w:left="567"/>
        <w:jc w:val="both"/>
        <w:rPr>
          <w:color w:val="auto"/>
        </w:rPr>
      </w:pPr>
    </w:p>
    <w:p w14:paraId="3E9673BF" w14:textId="77777777" w:rsidR="00D945F1" w:rsidRPr="00441AF5" w:rsidRDefault="00D945F1" w:rsidP="006970C6">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government has </w:t>
      </w:r>
      <w:r>
        <w:rPr>
          <w:rFonts w:cs="Arial"/>
          <w:sz w:val="22"/>
          <w:szCs w:val="22"/>
        </w:rPr>
        <w:t xml:space="preserve">considered </w:t>
      </w:r>
      <w:r w:rsidRPr="00441AF5">
        <w:rPr>
          <w:rFonts w:cs="Arial"/>
          <w:sz w:val="22"/>
          <w:szCs w:val="22"/>
        </w:rPr>
        <w:t>two options:</w:t>
      </w:r>
    </w:p>
    <w:p w14:paraId="2CE330F1" w14:textId="77777777" w:rsidR="00D945F1" w:rsidRPr="00441AF5" w:rsidRDefault="00D945F1" w:rsidP="00D945F1">
      <w:pPr>
        <w:pStyle w:val="ListParagraph"/>
        <w:numPr>
          <w:ilvl w:val="0"/>
          <w:numId w:val="8"/>
        </w:numPr>
        <w:spacing w:after="120" w:line="259" w:lineRule="auto"/>
        <w:ind w:left="1134" w:hanging="425"/>
        <w:contextualSpacing w:val="0"/>
        <w:jc w:val="both"/>
        <w:rPr>
          <w:rFonts w:cs="Arial"/>
          <w:sz w:val="22"/>
          <w:szCs w:val="22"/>
        </w:rPr>
      </w:pPr>
      <w:r w:rsidRPr="00441AF5">
        <w:rPr>
          <w:rFonts w:cs="Arial"/>
          <w:b/>
          <w:bCs/>
          <w:sz w:val="22"/>
          <w:szCs w:val="22"/>
        </w:rPr>
        <w:t>Option 1</w:t>
      </w:r>
      <w:r w:rsidRPr="00441AF5">
        <w:rPr>
          <w:rFonts w:cs="Arial"/>
          <w:sz w:val="22"/>
          <w:szCs w:val="22"/>
        </w:rPr>
        <w:t xml:space="preserve">: </w:t>
      </w:r>
      <w:r w:rsidRPr="0029116F">
        <w:rPr>
          <w:rFonts w:cs="Arial"/>
          <w:b/>
          <w:bCs/>
          <w:sz w:val="22"/>
          <w:szCs w:val="22"/>
        </w:rPr>
        <w:t>‘Do nothing’</w:t>
      </w:r>
      <w:r w:rsidRPr="00441AF5">
        <w:rPr>
          <w:rFonts w:cs="Arial"/>
          <w:sz w:val="22"/>
          <w:szCs w:val="22"/>
        </w:rPr>
        <w:t>, this does not meet the government’s objectives.</w:t>
      </w:r>
    </w:p>
    <w:p w14:paraId="22D95D20" w14:textId="77777777" w:rsidR="00D945F1" w:rsidRPr="00441AF5" w:rsidRDefault="00D945F1" w:rsidP="00D945F1">
      <w:pPr>
        <w:pStyle w:val="ListParagraph"/>
        <w:numPr>
          <w:ilvl w:val="0"/>
          <w:numId w:val="8"/>
        </w:numPr>
        <w:spacing w:after="120" w:line="259" w:lineRule="auto"/>
        <w:ind w:left="1134" w:hanging="425"/>
        <w:contextualSpacing w:val="0"/>
        <w:jc w:val="both"/>
        <w:rPr>
          <w:rFonts w:cs="Arial"/>
          <w:sz w:val="22"/>
          <w:szCs w:val="22"/>
        </w:rPr>
      </w:pPr>
      <w:r w:rsidRPr="00441AF5">
        <w:rPr>
          <w:rFonts w:cs="Arial"/>
          <w:b/>
          <w:bCs/>
          <w:sz w:val="22"/>
          <w:szCs w:val="22"/>
        </w:rPr>
        <w:t>Option 2</w:t>
      </w:r>
      <w:r w:rsidRPr="00441AF5">
        <w:rPr>
          <w:rFonts w:cs="Arial"/>
          <w:sz w:val="22"/>
          <w:szCs w:val="22"/>
        </w:rPr>
        <w:t xml:space="preserve">: Create a new offence of failure to prevent fraud. The organisations in scope are </w:t>
      </w:r>
      <w:r w:rsidRPr="430181EC">
        <w:rPr>
          <w:rFonts w:cs="Arial"/>
          <w:sz w:val="22"/>
          <w:szCs w:val="22"/>
        </w:rPr>
        <w:t>large, incorporated organisations and</w:t>
      </w:r>
      <w:r w:rsidRPr="00441AF5">
        <w:rPr>
          <w:rFonts w:cs="Arial"/>
          <w:sz w:val="22"/>
          <w:szCs w:val="22"/>
        </w:rPr>
        <w:t xml:space="preserve"> partnerships</w:t>
      </w:r>
      <w:r>
        <w:rPr>
          <w:rStyle w:val="CommentReference"/>
        </w:rPr>
        <w:t>.</w:t>
      </w:r>
      <w:r w:rsidRPr="00441AF5">
        <w:rPr>
          <w:rFonts w:cs="Arial"/>
          <w:sz w:val="22"/>
          <w:szCs w:val="22"/>
        </w:rPr>
        <w:t xml:space="preserve"> The two measures in this option are explained in more detail below.</w:t>
      </w:r>
    </w:p>
    <w:p w14:paraId="49BA15FA" w14:textId="2555E071" w:rsidR="00253624" w:rsidRPr="008D1AF8" w:rsidRDefault="00253624" w:rsidP="00253624">
      <w:pPr>
        <w:pStyle w:val="ListParagraph"/>
        <w:numPr>
          <w:ilvl w:val="0"/>
          <w:numId w:val="10"/>
        </w:numPr>
        <w:spacing w:after="120" w:line="259" w:lineRule="auto"/>
        <w:ind w:left="567" w:hanging="567"/>
        <w:contextualSpacing w:val="0"/>
        <w:jc w:val="both"/>
        <w:rPr>
          <w:rFonts w:cs="Arial"/>
          <w:sz w:val="22"/>
          <w:szCs w:val="22"/>
        </w:rPr>
      </w:pPr>
      <w:r w:rsidRPr="00DB3E26">
        <w:rPr>
          <w:rFonts w:cs="Arial"/>
          <w:sz w:val="22"/>
          <w:szCs w:val="22"/>
        </w:rPr>
        <w:t xml:space="preserve">Various civil law options were considered in the Law Commission paper (see </w:t>
      </w:r>
      <w:r w:rsidR="0051627D">
        <w:rPr>
          <w:rFonts w:cs="Arial"/>
          <w:sz w:val="22"/>
          <w:szCs w:val="22"/>
        </w:rPr>
        <w:t xml:space="preserve">paragraphs </w:t>
      </w:r>
      <w:r w:rsidRPr="00DB3E26">
        <w:rPr>
          <w:rFonts w:cs="Arial"/>
          <w:sz w:val="22"/>
          <w:szCs w:val="22"/>
        </w:rPr>
        <w:fldChar w:fldCharType="begin"/>
      </w:r>
      <w:r w:rsidRPr="00DB3E26">
        <w:rPr>
          <w:rFonts w:cs="Arial"/>
          <w:sz w:val="22"/>
          <w:szCs w:val="22"/>
        </w:rPr>
        <w:instrText xml:space="preserve"> REF _Ref175841787 \r \h </w:instrText>
      </w:r>
      <w:r>
        <w:rPr>
          <w:rFonts w:cs="Arial"/>
          <w:sz w:val="22"/>
          <w:szCs w:val="22"/>
        </w:rPr>
        <w:instrText xml:space="preserve"> \* MERGEFORMAT </w:instrText>
      </w:r>
      <w:r w:rsidRPr="00DB3E26">
        <w:rPr>
          <w:rFonts w:cs="Arial"/>
          <w:sz w:val="22"/>
          <w:szCs w:val="22"/>
        </w:rPr>
      </w:r>
      <w:r w:rsidRPr="00DB3E26">
        <w:rPr>
          <w:rFonts w:cs="Arial"/>
          <w:sz w:val="22"/>
          <w:szCs w:val="22"/>
        </w:rPr>
        <w:fldChar w:fldCharType="separate"/>
      </w:r>
      <w:r w:rsidR="00D356B9">
        <w:rPr>
          <w:rFonts w:cs="Arial"/>
          <w:sz w:val="22"/>
          <w:szCs w:val="22"/>
        </w:rPr>
        <w:t>19</w:t>
      </w:r>
      <w:r w:rsidRPr="00DB3E26">
        <w:rPr>
          <w:rFonts w:cs="Arial"/>
          <w:sz w:val="22"/>
          <w:szCs w:val="22"/>
        </w:rPr>
        <w:fldChar w:fldCharType="end"/>
      </w:r>
      <w:r w:rsidR="00CF747A">
        <w:rPr>
          <w:rFonts w:cs="Arial"/>
          <w:sz w:val="22"/>
          <w:szCs w:val="22"/>
        </w:rPr>
        <w:t xml:space="preserve"> to </w:t>
      </w:r>
      <w:r w:rsidRPr="00DB3E26">
        <w:rPr>
          <w:rFonts w:cs="Arial"/>
          <w:sz w:val="22"/>
          <w:szCs w:val="22"/>
        </w:rPr>
        <w:fldChar w:fldCharType="begin"/>
      </w:r>
      <w:r w:rsidRPr="00DB3E26">
        <w:rPr>
          <w:rFonts w:cs="Arial"/>
          <w:sz w:val="22"/>
          <w:szCs w:val="22"/>
        </w:rPr>
        <w:instrText xml:space="preserve"> REF _Ref175912775 \r \h </w:instrText>
      </w:r>
      <w:r>
        <w:rPr>
          <w:rFonts w:cs="Arial"/>
          <w:sz w:val="22"/>
          <w:szCs w:val="22"/>
        </w:rPr>
        <w:instrText xml:space="preserve"> \* MERGEFORMAT </w:instrText>
      </w:r>
      <w:r w:rsidRPr="00DB3E26">
        <w:rPr>
          <w:rFonts w:cs="Arial"/>
          <w:sz w:val="22"/>
          <w:szCs w:val="22"/>
        </w:rPr>
      </w:r>
      <w:r w:rsidRPr="00DB3E26">
        <w:rPr>
          <w:rFonts w:cs="Arial"/>
          <w:sz w:val="22"/>
          <w:szCs w:val="22"/>
        </w:rPr>
        <w:fldChar w:fldCharType="separate"/>
      </w:r>
      <w:r w:rsidR="00D356B9">
        <w:rPr>
          <w:rFonts w:cs="Arial"/>
          <w:b/>
          <w:bCs/>
          <w:sz w:val="22"/>
          <w:szCs w:val="22"/>
          <w:lang w:val="en-US"/>
        </w:rPr>
        <w:t>Error! Reference source not found.</w:t>
      </w:r>
      <w:r w:rsidRPr="00DB3E26">
        <w:rPr>
          <w:rFonts w:cs="Arial"/>
          <w:sz w:val="22"/>
          <w:szCs w:val="22"/>
        </w:rPr>
        <w:fldChar w:fldCharType="end"/>
      </w:r>
      <w:r w:rsidR="004F400B">
        <w:rPr>
          <w:rFonts w:cs="Arial"/>
          <w:sz w:val="22"/>
          <w:szCs w:val="22"/>
        </w:rPr>
        <w:t xml:space="preserve"> of this IA</w:t>
      </w:r>
      <w:r w:rsidRPr="00DB3E26">
        <w:rPr>
          <w:rFonts w:cs="Arial"/>
          <w:sz w:val="22"/>
          <w:szCs w:val="22"/>
        </w:rPr>
        <w:t xml:space="preserve">) but, as discussed, the implications for businesses are expected to be similar and so they have not been presented here. </w:t>
      </w:r>
    </w:p>
    <w:p w14:paraId="07D66AB9" w14:textId="4DD290F2" w:rsidR="00D945F1" w:rsidRPr="00441AF5" w:rsidRDefault="00D945F1" w:rsidP="0037693F">
      <w:pPr>
        <w:pStyle w:val="ListParagraph"/>
        <w:numPr>
          <w:ilvl w:val="0"/>
          <w:numId w:val="10"/>
        </w:numPr>
        <w:spacing w:after="120" w:line="259" w:lineRule="auto"/>
        <w:ind w:left="567" w:hanging="567"/>
        <w:jc w:val="both"/>
        <w:rPr>
          <w:rFonts w:cs="Arial"/>
          <w:sz w:val="22"/>
          <w:szCs w:val="22"/>
        </w:rPr>
      </w:pPr>
      <w:bookmarkStart w:id="16" w:name="_Ref176441452"/>
      <w:r w:rsidRPr="00DA35A9">
        <w:rPr>
          <w:rFonts w:cs="Arial"/>
          <w:b/>
          <w:sz w:val="22"/>
          <w:szCs w:val="22"/>
        </w:rPr>
        <w:lastRenderedPageBreak/>
        <w:t>Option</w:t>
      </w:r>
      <w:r w:rsidRPr="00441AF5">
        <w:rPr>
          <w:rFonts w:cs="Arial"/>
          <w:b/>
          <w:bCs/>
          <w:sz w:val="22"/>
          <w:szCs w:val="22"/>
        </w:rPr>
        <w:t xml:space="preserve"> 2</w:t>
      </w:r>
      <w:r w:rsidRPr="00441AF5">
        <w:rPr>
          <w:rFonts w:cs="Arial"/>
          <w:sz w:val="22"/>
          <w:szCs w:val="22"/>
        </w:rPr>
        <w:t xml:space="preserve"> covers all large bodies corporate and partnerships, where large is defined as following the </w:t>
      </w:r>
      <w:r>
        <w:rPr>
          <w:rFonts w:cs="Arial"/>
          <w:sz w:val="22"/>
          <w:szCs w:val="22"/>
        </w:rPr>
        <w:t>definition in the ECCT 2023</w:t>
      </w:r>
      <w:r w:rsidRPr="3F3FA788">
        <w:rPr>
          <w:rStyle w:val="FootnoteReference"/>
        </w:rPr>
        <w:footnoteReference w:id="26"/>
      </w:r>
      <w:r w:rsidR="00AD0C76">
        <w:rPr>
          <w:rFonts w:cs="Arial"/>
          <w:sz w:val="22"/>
          <w:szCs w:val="22"/>
        </w:rPr>
        <w:t>,</w:t>
      </w:r>
      <w:r>
        <w:rPr>
          <w:rFonts w:cs="Arial"/>
          <w:sz w:val="22"/>
          <w:szCs w:val="22"/>
        </w:rPr>
        <w:t xml:space="preserve"> sections 201 to 202</w:t>
      </w:r>
      <w:r w:rsidRPr="3F3FA788">
        <w:rPr>
          <w:rStyle w:val="FootnoteReference"/>
        </w:rPr>
        <w:footnoteReference w:id="27"/>
      </w:r>
      <w:r w:rsidRPr="00441AF5">
        <w:rPr>
          <w:rFonts w:cs="Arial"/>
          <w:sz w:val="22"/>
          <w:szCs w:val="22"/>
        </w:rPr>
        <w:t xml:space="preserve"> that is they meet</w:t>
      </w:r>
      <w:r w:rsidR="0D75231D" w:rsidRPr="00441AF5">
        <w:rPr>
          <w:rFonts w:cs="Arial"/>
          <w:sz w:val="22"/>
          <w:szCs w:val="22"/>
        </w:rPr>
        <w:t xml:space="preserve"> </w:t>
      </w:r>
      <w:r w:rsidR="00D10934" w:rsidRPr="3446D12A">
        <w:rPr>
          <w:rFonts w:cs="Arial"/>
          <w:sz w:val="22"/>
          <w:szCs w:val="22"/>
        </w:rPr>
        <w:t>at</w:t>
      </w:r>
      <w:r w:rsidRPr="00441AF5">
        <w:rPr>
          <w:rFonts w:cs="Arial"/>
          <w:sz w:val="22"/>
          <w:szCs w:val="22"/>
        </w:rPr>
        <w:t xml:space="preserve"> </w:t>
      </w:r>
      <w:r w:rsidR="00D10934">
        <w:rPr>
          <w:rFonts w:cs="Arial"/>
          <w:sz w:val="22"/>
          <w:szCs w:val="22"/>
        </w:rPr>
        <w:t xml:space="preserve">least two </w:t>
      </w:r>
      <w:r w:rsidRPr="00441AF5">
        <w:rPr>
          <w:rFonts w:cs="Arial"/>
          <w:sz w:val="22"/>
          <w:szCs w:val="22"/>
        </w:rPr>
        <w:t>of the following criteria:</w:t>
      </w:r>
      <w:bookmarkEnd w:id="16"/>
    </w:p>
    <w:p w14:paraId="47C8E35E" w14:textId="77777777" w:rsidR="00D945F1" w:rsidRPr="00441AF5" w:rsidRDefault="00D945F1" w:rsidP="00D945F1">
      <w:pPr>
        <w:pStyle w:val="ListParagraph"/>
        <w:numPr>
          <w:ilvl w:val="0"/>
          <w:numId w:val="9"/>
        </w:numPr>
        <w:spacing w:after="120" w:line="259" w:lineRule="auto"/>
        <w:ind w:left="1134" w:hanging="425"/>
        <w:contextualSpacing w:val="0"/>
        <w:jc w:val="both"/>
        <w:rPr>
          <w:rFonts w:cs="Arial"/>
          <w:sz w:val="22"/>
          <w:szCs w:val="22"/>
        </w:rPr>
      </w:pPr>
      <w:r w:rsidRPr="00441AF5">
        <w:rPr>
          <w:rFonts w:cs="Arial"/>
          <w:sz w:val="22"/>
          <w:szCs w:val="22"/>
        </w:rPr>
        <w:t>More than 250 employees.</w:t>
      </w:r>
    </w:p>
    <w:p w14:paraId="00C774C7" w14:textId="77777777" w:rsidR="00D945F1" w:rsidRPr="00441AF5" w:rsidRDefault="00D945F1" w:rsidP="00D945F1">
      <w:pPr>
        <w:pStyle w:val="ListParagraph"/>
        <w:numPr>
          <w:ilvl w:val="0"/>
          <w:numId w:val="9"/>
        </w:numPr>
        <w:spacing w:after="120" w:line="259" w:lineRule="auto"/>
        <w:ind w:left="1134" w:hanging="425"/>
        <w:contextualSpacing w:val="0"/>
        <w:jc w:val="both"/>
        <w:rPr>
          <w:rFonts w:cs="Arial"/>
          <w:sz w:val="22"/>
          <w:szCs w:val="22"/>
        </w:rPr>
      </w:pPr>
      <w:r w:rsidRPr="00441AF5">
        <w:rPr>
          <w:rFonts w:cs="Arial"/>
          <w:sz w:val="22"/>
          <w:szCs w:val="22"/>
        </w:rPr>
        <w:t>More than £36 million turnover.</w:t>
      </w:r>
    </w:p>
    <w:p w14:paraId="7ED7B1C8" w14:textId="77777777" w:rsidR="00D945F1" w:rsidRDefault="00D945F1" w:rsidP="00D945F1">
      <w:pPr>
        <w:pStyle w:val="ListParagraph"/>
        <w:numPr>
          <w:ilvl w:val="0"/>
          <w:numId w:val="9"/>
        </w:numPr>
        <w:spacing w:after="120" w:line="259" w:lineRule="auto"/>
        <w:ind w:left="1134" w:hanging="425"/>
        <w:contextualSpacing w:val="0"/>
        <w:jc w:val="both"/>
        <w:rPr>
          <w:rFonts w:cs="Arial"/>
          <w:sz w:val="22"/>
          <w:szCs w:val="22"/>
        </w:rPr>
      </w:pPr>
      <w:r w:rsidRPr="00441AF5">
        <w:rPr>
          <w:rFonts w:cs="Arial"/>
          <w:sz w:val="22"/>
          <w:szCs w:val="22"/>
        </w:rPr>
        <w:t xml:space="preserve">More than £18 million </w:t>
      </w:r>
      <w:r>
        <w:rPr>
          <w:rFonts w:cs="Arial"/>
          <w:sz w:val="22"/>
          <w:szCs w:val="22"/>
        </w:rPr>
        <w:t>on the balance sheet total</w:t>
      </w:r>
    </w:p>
    <w:p w14:paraId="33CC4E67" w14:textId="5AE123A7" w:rsidR="00D945F1" w:rsidRPr="0037693F" w:rsidRDefault="00D945F1" w:rsidP="0037693F">
      <w:pPr>
        <w:pStyle w:val="ListParagraph"/>
        <w:numPr>
          <w:ilvl w:val="0"/>
          <w:numId w:val="10"/>
        </w:numPr>
        <w:spacing w:after="120" w:line="259" w:lineRule="auto"/>
        <w:ind w:left="567" w:hanging="567"/>
        <w:contextualSpacing w:val="0"/>
        <w:jc w:val="both"/>
        <w:rPr>
          <w:rFonts w:cs="Arial"/>
          <w:sz w:val="22"/>
          <w:szCs w:val="22"/>
        </w:rPr>
      </w:pPr>
      <w:bookmarkStart w:id="17" w:name="_Ref176441459"/>
      <w:r>
        <w:rPr>
          <w:rFonts w:cs="Arial"/>
          <w:sz w:val="22"/>
          <w:szCs w:val="22"/>
        </w:rPr>
        <w:t xml:space="preserve">Note that this definition was taken from the CA 2006. </w:t>
      </w:r>
      <w:r w:rsidR="00AC0BA3">
        <w:rPr>
          <w:rFonts w:cs="Arial"/>
          <w:sz w:val="22"/>
          <w:szCs w:val="22"/>
        </w:rPr>
        <w:t xml:space="preserve">In August 2024, </w:t>
      </w:r>
      <w:r>
        <w:rPr>
          <w:rFonts w:cs="Arial"/>
          <w:sz w:val="22"/>
          <w:szCs w:val="22"/>
        </w:rPr>
        <w:t xml:space="preserve">Government </w:t>
      </w:r>
      <w:r w:rsidR="00AC0BA3">
        <w:rPr>
          <w:rFonts w:cs="Arial"/>
          <w:sz w:val="22"/>
          <w:szCs w:val="22"/>
        </w:rPr>
        <w:t>consulted</w:t>
      </w:r>
      <w:r>
        <w:rPr>
          <w:rFonts w:cs="Arial"/>
          <w:sz w:val="22"/>
          <w:szCs w:val="22"/>
        </w:rPr>
        <w:t xml:space="preserve"> on amending the monetary parts of these definitions to take account of inflation since the last time that they were amended in 2013</w:t>
      </w:r>
      <w:r>
        <w:rPr>
          <w:rStyle w:val="FootnoteReference"/>
          <w:szCs w:val="22"/>
        </w:rPr>
        <w:footnoteReference w:id="28"/>
      </w:r>
      <w:r w:rsidR="004A4E33">
        <w:rPr>
          <w:rFonts w:cs="Arial"/>
          <w:sz w:val="22"/>
          <w:szCs w:val="22"/>
        </w:rPr>
        <w:t xml:space="preserve">.  </w:t>
      </w:r>
      <w:r w:rsidR="004A4E33" w:rsidRPr="00C05949">
        <w:rPr>
          <w:rFonts w:cs="Arial"/>
          <w:sz w:val="22"/>
          <w:szCs w:val="22"/>
        </w:rPr>
        <w:t>A</w:t>
      </w:r>
      <w:r w:rsidRPr="0037693F">
        <w:rPr>
          <w:rFonts w:cs="Arial"/>
          <w:sz w:val="22"/>
          <w:szCs w:val="22"/>
        </w:rPr>
        <w:t>ny potential amendments to the thresholds in CA 2006 will not affect the criteria in the ECCT 2023 and will therefore not affect the thresholds for the offence of failure to prevent fraud</w:t>
      </w:r>
      <w:r w:rsidR="00602669" w:rsidRPr="0037693F">
        <w:rPr>
          <w:rFonts w:cs="Arial"/>
          <w:sz w:val="22"/>
          <w:szCs w:val="22"/>
        </w:rPr>
        <w:t>.</w:t>
      </w:r>
      <w:bookmarkEnd w:id="17"/>
    </w:p>
    <w:p w14:paraId="0A31CF7F" w14:textId="1A2E873C" w:rsidR="00D714A3" w:rsidRPr="0029116F" w:rsidRDefault="00D945F1" w:rsidP="00FA37A7">
      <w:pPr>
        <w:pStyle w:val="ListParagraph"/>
        <w:numPr>
          <w:ilvl w:val="0"/>
          <w:numId w:val="10"/>
        </w:numPr>
        <w:spacing w:after="120" w:line="259" w:lineRule="auto"/>
        <w:ind w:left="567" w:hanging="567"/>
        <w:contextualSpacing w:val="0"/>
        <w:jc w:val="both"/>
        <w:rPr>
          <w:rFonts w:cs="Arial"/>
          <w:sz w:val="22"/>
          <w:szCs w:val="22"/>
        </w:rPr>
      </w:pPr>
      <w:bookmarkStart w:id="18" w:name="_Ref176441461"/>
      <w:r>
        <w:rPr>
          <w:rFonts w:cs="Arial"/>
          <w:sz w:val="22"/>
          <w:szCs w:val="22"/>
        </w:rPr>
        <w:t xml:space="preserve">In September 2023, </w:t>
      </w:r>
      <w:r w:rsidRPr="2D9556BF">
        <w:rPr>
          <w:rFonts w:cs="Arial"/>
          <w:sz w:val="22"/>
          <w:szCs w:val="22"/>
        </w:rPr>
        <w:t>g</w:t>
      </w:r>
      <w:r>
        <w:rPr>
          <w:rFonts w:cs="Arial"/>
          <w:sz w:val="22"/>
          <w:szCs w:val="22"/>
        </w:rPr>
        <w:t>overnment published the “</w:t>
      </w:r>
      <w:r w:rsidRPr="00FD4E1F">
        <w:rPr>
          <w:rFonts w:cs="Arial"/>
          <w:sz w:val="22"/>
          <w:szCs w:val="22"/>
        </w:rPr>
        <w:t>Medium sized business regulatory exemption assessment: supplementary guidance</w:t>
      </w:r>
      <w:r>
        <w:rPr>
          <w:rFonts w:cs="Arial"/>
          <w:sz w:val="22"/>
          <w:szCs w:val="22"/>
        </w:rPr>
        <w:t>”</w:t>
      </w:r>
      <w:r>
        <w:rPr>
          <w:rStyle w:val="FootnoteReference"/>
          <w:szCs w:val="22"/>
        </w:rPr>
        <w:footnoteReference w:id="29"/>
      </w:r>
      <w:r>
        <w:rPr>
          <w:rFonts w:cs="Arial"/>
          <w:sz w:val="22"/>
          <w:szCs w:val="22"/>
        </w:rPr>
        <w:t>. This uses substantially different definitions of a medium company to previous definitions. If this guidance were adopted, the number of companies in scope of the offence of failure to prevent fraud would be very significantly reduced, (</w:t>
      </w:r>
      <w:r w:rsidR="002C3E5C">
        <w:rPr>
          <w:rFonts w:cs="Arial"/>
          <w:sz w:val="22"/>
          <w:szCs w:val="22"/>
        </w:rPr>
        <w:t xml:space="preserve">there are approximately 11,008 entities with between 250 and 500 employees, </w:t>
      </w:r>
      <w:r w:rsidR="00D54452">
        <w:rPr>
          <w:rFonts w:cs="Arial"/>
          <w:sz w:val="22"/>
          <w:szCs w:val="22"/>
        </w:rPr>
        <w:t>see Annex L</w:t>
      </w:r>
      <w:r>
        <w:rPr>
          <w:rFonts w:cs="Arial"/>
          <w:sz w:val="22"/>
          <w:szCs w:val="22"/>
        </w:rPr>
        <w:t xml:space="preserve">). </w:t>
      </w:r>
      <w:r w:rsidRPr="0037693F">
        <w:rPr>
          <w:rFonts w:cs="Arial"/>
          <w:sz w:val="22"/>
          <w:szCs w:val="22"/>
        </w:rPr>
        <w:t>For this reason, the Home Office is not intending to adopt this guidance</w:t>
      </w:r>
      <w:r>
        <w:rPr>
          <w:rFonts w:cs="Arial"/>
          <w:sz w:val="22"/>
          <w:szCs w:val="22"/>
        </w:rPr>
        <w:t>.</w:t>
      </w:r>
      <w:bookmarkEnd w:id="18"/>
    </w:p>
    <w:p w14:paraId="59078619" w14:textId="77777777" w:rsidR="00D945F1" w:rsidRPr="00441AF5" w:rsidRDefault="00D945F1" w:rsidP="0037693F">
      <w:pPr>
        <w:pStyle w:val="ListParagraph"/>
        <w:numPr>
          <w:ilvl w:val="0"/>
          <w:numId w:val="10"/>
        </w:numPr>
        <w:spacing w:after="120" w:line="259" w:lineRule="auto"/>
        <w:ind w:left="567" w:hanging="567"/>
        <w:contextualSpacing w:val="0"/>
        <w:jc w:val="both"/>
        <w:rPr>
          <w:rFonts w:cs="Arial"/>
          <w:sz w:val="22"/>
          <w:szCs w:val="22"/>
        </w:rPr>
      </w:pPr>
      <w:r w:rsidRPr="00443479">
        <w:rPr>
          <w:rFonts w:cs="Arial"/>
          <w:sz w:val="22"/>
          <w:szCs w:val="22"/>
        </w:rPr>
        <w:t xml:space="preserve">The scope of organisations in </w:t>
      </w:r>
      <w:r w:rsidRPr="00443479">
        <w:rPr>
          <w:rFonts w:cs="Arial"/>
          <w:b/>
          <w:bCs/>
          <w:sz w:val="22"/>
          <w:szCs w:val="22"/>
        </w:rPr>
        <w:t>Option 2</w:t>
      </w:r>
      <w:r w:rsidRPr="00443479">
        <w:rPr>
          <w:rFonts w:cs="Arial"/>
          <w:sz w:val="22"/>
          <w:szCs w:val="22"/>
        </w:rPr>
        <w:t xml:space="preserve"> differs from that for the Failure to Prevent Facilitation of Tax Evasion offence, under Part 3 of the CF 2017</w:t>
      </w:r>
      <w:r>
        <w:rPr>
          <w:rStyle w:val="FootnoteReference"/>
          <w:szCs w:val="22"/>
        </w:rPr>
        <w:footnoteReference w:id="30"/>
      </w:r>
      <w:r w:rsidRPr="00443479">
        <w:rPr>
          <w:rFonts w:cs="Arial"/>
          <w:sz w:val="22"/>
          <w:szCs w:val="22"/>
        </w:rPr>
        <w:t>, which applies to all bodies corporate and partnerships, regardless of size</w:t>
      </w:r>
      <w:r>
        <w:rPr>
          <w:rStyle w:val="FootnoteReference"/>
          <w:szCs w:val="22"/>
        </w:rPr>
        <w:footnoteReference w:id="31"/>
      </w:r>
      <w:r w:rsidRPr="00443479">
        <w:rPr>
          <w:rFonts w:cs="Arial"/>
          <w:sz w:val="22"/>
          <w:szCs w:val="22"/>
        </w:rPr>
        <w:t xml:space="preserve">. </w:t>
      </w:r>
    </w:p>
    <w:p w14:paraId="10B04D12" w14:textId="77777777" w:rsidR="00D945F1" w:rsidRPr="00443479" w:rsidRDefault="00D945F1" w:rsidP="0037693F">
      <w:pPr>
        <w:pStyle w:val="ListParagraph"/>
        <w:numPr>
          <w:ilvl w:val="0"/>
          <w:numId w:val="10"/>
        </w:numPr>
        <w:spacing w:after="120" w:line="259" w:lineRule="auto"/>
        <w:ind w:left="567" w:hanging="567"/>
        <w:contextualSpacing w:val="0"/>
        <w:jc w:val="both"/>
        <w:rPr>
          <w:rFonts w:cs="Arial"/>
          <w:sz w:val="22"/>
          <w:szCs w:val="22"/>
        </w:rPr>
      </w:pPr>
      <w:r w:rsidRPr="00443479">
        <w:rPr>
          <w:rFonts w:cs="Arial"/>
          <w:b/>
          <w:bCs/>
          <w:sz w:val="22"/>
          <w:szCs w:val="22"/>
        </w:rPr>
        <w:t>Option 2 is the government’s preferred option</w:t>
      </w:r>
      <w:r w:rsidRPr="00443479">
        <w:rPr>
          <w:rFonts w:cs="Arial"/>
          <w:sz w:val="22"/>
          <w:szCs w:val="22"/>
        </w:rPr>
        <w:t xml:space="preserve"> </w:t>
      </w:r>
      <w:r w:rsidRPr="00443479">
        <w:rPr>
          <w:rFonts w:cs="Arial"/>
          <w:b/>
          <w:bCs/>
          <w:sz w:val="22"/>
          <w:szCs w:val="22"/>
        </w:rPr>
        <w:t>as it meets</w:t>
      </w:r>
      <w:r w:rsidRPr="00443479">
        <w:rPr>
          <w:rFonts w:cs="Arial"/>
          <w:sz w:val="22"/>
          <w:szCs w:val="22"/>
        </w:rPr>
        <w:t xml:space="preserve"> </w:t>
      </w:r>
      <w:r w:rsidRPr="00443479">
        <w:rPr>
          <w:b/>
          <w:sz w:val="22"/>
          <w:szCs w:val="22"/>
        </w:rPr>
        <w:t xml:space="preserve">strategic and policy </w:t>
      </w:r>
      <w:r w:rsidRPr="00443479">
        <w:rPr>
          <w:rFonts w:cs="Arial"/>
          <w:b/>
          <w:bCs/>
          <w:sz w:val="22"/>
          <w:szCs w:val="22"/>
        </w:rPr>
        <w:t>objectives</w:t>
      </w:r>
      <w:r w:rsidRPr="00443479">
        <w:rPr>
          <w:rFonts w:cs="Arial"/>
          <w:sz w:val="22"/>
          <w:szCs w:val="22"/>
        </w:rPr>
        <w:t xml:space="preserve"> and it should generate benefits relative to </w:t>
      </w:r>
      <w:r w:rsidRPr="00443479">
        <w:rPr>
          <w:rFonts w:cs="Arial"/>
          <w:b/>
          <w:bCs/>
          <w:sz w:val="22"/>
          <w:szCs w:val="22"/>
        </w:rPr>
        <w:t>Option 1</w:t>
      </w:r>
      <w:r w:rsidRPr="00443479">
        <w:rPr>
          <w:rFonts w:cs="Arial"/>
          <w:sz w:val="22"/>
          <w:szCs w:val="22"/>
        </w:rPr>
        <w:t xml:space="preserve"> ‘Do nothing’</w:t>
      </w:r>
      <w:r>
        <w:rPr>
          <w:rFonts w:cs="Arial"/>
          <w:sz w:val="22"/>
          <w:szCs w:val="22"/>
        </w:rPr>
        <w:t>.</w:t>
      </w:r>
    </w:p>
    <w:p w14:paraId="568952CD" w14:textId="77777777" w:rsidR="00D945F1" w:rsidRPr="00441AF5" w:rsidRDefault="00D945F1" w:rsidP="00D945F1">
      <w:pPr>
        <w:pStyle w:val="EBBullet"/>
        <w:numPr>
          <w:ilvl w:val="0"/>
          <w:numId w:val="0"/>
        </w:numPr>
        <w:spacing w:line="259" w:lineRule="auto"/>
        <w:jc w:val="both"/>
        <w:rPr>
          <w:b/>
          <w:color w:val="auto"/>
        </w:rPr>
      </w:pPr>
      <w:r w:rsidRPr="00441AF5">
        <w:rPr>
          <w:b/>
          <w:color w:val="auto"/>
        </w:rPr>
        <w:t>Preferred option and implementation date</w:t>
      </w:r>
    </w:p>
    <w:p w14:paraId="6D3A6334" w14:textId="71EC6FC9" w:rsidR="00D945F1" w:rsidRPr="00441AF5" w:rsidRDefault="00D945F1" w:rsidP="0037693F">
      <w:pPr>
        <w:pStyle w:val="ListParagraph"/>
        <w:numPr>
          <w:ilvl w:val="0"/>
          <w:numId w:val="10"/>
        </w:numPr>
        <w:spacing w:after="120" w:line="259" w:lineRule="auto"/>
        <w:ind w:left="567" w:hanging="567"/>
        <w:contextualSpacing w:val="0"/>
        <w:jc w:val="both"/>
        <w:rPr>
          <w:rFonts w:cs="Arial"/>
          <w:sz w:val="22"/>
          <w:szCs w:val="22"/>
        </w:rPr>
      </w:pPr>
      <w:r w:rsidRPr="0029116F">
        <w:rPr>
          <w:rFonts w:cs="Arial"/>
          <w:b/>
          <w:bCs/>
          <w:sz w:val="22"/>
          <w:szCs w:val="22"/>
        </w:rPr>
        <w:t>Option 2</w:t>
      </w:r>
      <w:r w:rsidRPr="00441AF5">
        <w:rPr>
          <w:rFonts w:cs="Arial"/>
          <w:sz w:val="22"/>
          <w:szCs w:val="22"/>
        </w:rPr>
        <w:t xml:space="preserve"> focuses on the largest entities, which employ nearly half of all workers. By excluding Small and Medium Businesses (SMBs), it also ensures that micro, small and medium sized organisations are not burdened and significantly reduces the overall cost to business of considering the impact of the offence. The definition of “large</w:t>
      </w:r>
      <w:r>
        <w:rPr>
          <w:rFonts w:cs="Arial"/>
          <w:sz w:val="22"/>
          <w:szCs w:val="22"/>
        </w:rPr>
        <w:t xml:space="preserve"> organisation</w:t>
      </w:r>
      <w:r w:rsidRPr="00441AF5">
        <w:rPr>
          <w:rFonts w:cs="Arial"/>
          <w:sz w:val="22"/>
          <w:szCs w:val="22"/>
        </w:rPr>
        <w:t>” will be taken from</w:t>
      </w:r>
      <w:r>
        <w:rPr>
          <w:rFonts w:cs="Arial"/>
          <w:sz w:val="22"/>
          <w:szCs w:val="22"/>
        </w:rPr>
        <w:t xml:space="preserve"> sections 201 to 202 of the ECCT 2023</w:t>
      </w:r>
      <w:r w:rsidR="002A39D1">
        <w:rPr>
          <w:rStyle w:val="FootnoteReference"/>
          <w:szCs w:val="22"/>
        </w:rPr>
        <w:footnoteReference w:id="32"/>
      </w:r>
      <w:r w:rsidRPr="00441AF5">
        <w:rPr>
          <w:rFonts w:cs="Arial"/>
          <w:sz w:val="22"/>
          <w:szCs w:val="22"/>
        </w:rPr>
        <w:t>.</w:t>
      </w:r>
    </w:p>
    <w:p w14:paraId="73FCAED5" w14:textId="220F78C5" w:rsidR="00D945F1" w:rsidRPr="00441AF5" w:rsidRDefault="00CF6AD7">
      <w:pPr>
        <w:pStyle w:val="ListParagraph"/>
        <w:numPr>
          <w:ilvl w:val="0"/>
          <w:numId w:val="10"/>
        </w:numPr>
        <w:spacing w:after="120" w:line="259" w:lineRule="auto"/>
        <w:ind w:left="567" w:hanging="567"/>
        <w:jc w:val="both"/>
        <w:rPr>
          <w:rFonts w:cs="Arial"/>
          <w:sz w:val="22"/>
          <w:szCs w:val="22"/>
        </w:rPr>
      </w:pPr>
      <w:r w:rsidRPr="0037693F">
        <w:rPr>
          <w:rFonts w:cs="Arial"/>
          <w:sz w:val="22"/>
          <w:szCs w:val="22"/>
        </w:rPr>
        <w:t xml:space="preserve">The measure will come into effect once the guidance is published and </w:t>
      </w:r>
      <w:r w:rsidR="00E04FF2" w:rsidRPr="0037693F">
        <w:rPr>
          <w:rFonts w:cs="Arial"/>
          <w:sz w:val="22"/>
          <w:szCs w:val="22"/>
        </w:rPr>
        <w:t xml:space="preserve">an implementation period (expected to be at least </w:t>
      </w:r>
      <w:r w:rsidR="001B0FC7">
        <w:rPr>
          <w:rFonts w:cs="Arial"/>
          <w:sz w:val="22"/>
          <w:szCs w:val="22"/>
        </w:rPr>
        <w:t>six</w:t>
      </w:r>
      <w:r w:rsidR="00E04FF2" w:rsidRPr="0037693F">
        <w:rPr>
          <w:rFonts w:cs="Arial"/>
          <w:sz w:val="22"/>
          <w:szCs w:val="22"/>
        </w:rPr>
        <w:t xml:space="preserve"> months after publication) is complete</w:t>
      </w:r>
      <w:r w:rsidR="00D945F1" w:rsidRPr="00441AF5">
        <w:rPr>
          <w:rFonts w:cs="Arial"/>
          <w:sz w:val="22"/>
          <w:szCs w:val="22"/>
        </w:rPr>
        <w:t xml:space="preserve">. </w:t>
      </w:r>
    </w:p>
    <w:p w14:paraId="2AA07044" w14:textId="3D25C307" w:rsidR="00F93F62" w:rsidRPr="00441AF5" w:rsidRDefault="00F93F62" w:rsidP="0037693F">
      <w:bookmarkStart w:id="19" w:name="EvidenceBullet"/>
      <w:bookmarkEnd w:id="12"/>
      <w:bookmarkEnd w:id="13"/>
    </w:p>
    <w:p w14:paraId="19FCDE35" w14:textId="482EA2FB" w:rsidR="00686F5E" w:rsidRPr="0029116F" w:rsidRDefault="0098130D" w:rsidP="001627E6">
      <w:pPr>
        <w:pStyle w:val="EBBullet"/>
        <w:numPr>
          <w:ilvl w:val="0"/>
          <w:numId w:val="4"/>
        </w:numPr>
        <w:spacing w:after="0"/>
        <w:ind w:left="567" w:hanging="567"/>
        <w:jc w:val="both"/>
        <w:rPr>
          <w:b/>
          <w:color w:val="auto"/>
          <w:sz w:val="28"/>
          <w:szCs w:val="28"/>
        </w:rPr>
      </w:pPr>
      <w:r w:rsidRPr="0029116F">
        <w:rPr>
          <w:b/>
          <w:color w:val="auto"/>
          <w:sz w:val="28"/>
          <w:szCs w:val="28"/>
        </w:rPr>
        <w:t>Appraisal</w:t>
      </w:r>
    </w:p>
    <w:p w14:paraId="402F4961" w14:textId="75B32BFA" w:rsidR="001627E6" w:rsidRPr="00441AF5" w:rsidRDefault="001627E6" w:rsidP="00385333">
      <w:pPr>
        <w:pStyle w:val="EBBullet"/>
        <w:numPr>
          <w:ilvl w:val="0"/>
          <w:numId w:val="0"/>
        </w:numPr>
        <w:spacing w:line="259" w:lineRule="auto"/>
        <w:ind w:left="567"/>
        <w:jc w:val="both"/>
        <w:rPr>
          <w:bCs w:val="0"/>
          <w:color w:val="auto"/>
        </w:rPr>
      </w:pPr>
    </w:p>
    <w:p w14:paraId="3F8FB4E4" w14:textId="77777777" w:rsidR="00385333" w:rsidRPr="00441AF5" w:rsidRDefault="00385333" w:rsidP="0029116F">
      <w:pPr>
        <w:spacing w:after="120" w:line="259" w:lineRule="auto"/>
        <w:jc w:val="both"/>
        <w:rPr>
          <w:rFonts w:cs="Arial"/>
          <w:b/>
          <w:sz w:val="22"/>
          <w:szCs w:val="22"/>
        </w:rPr>
      </w:pPr>
      <w:r w:rsidRPr="00441AF5">
        <w:rPr>
          <w:rFonts w:cs="Arial"/>
          <w:b/>
          <w:sz w:val="22"/>
          <w:szCs w:val="22"/>
        </w:rPr>
        <w:t>Entities in scope</w:t>
      </w:r>
    </w:p>
    <w:p w14:paraId="66FD7372" w14:textId="7D465B9D" w:rsidR="00D27216" w:rsidRDefault="00385333" w:rsidP="0037693F">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w:t>
      </w:r>
      <w:r w:rsidRPr="0037693F">
        <w:rPr>
          <w:rFonts w:cs="Arial"/>
          <w:b/>
          <w:sz w:val="22"/>
          <w:szCs w:val="22"/>
        </w:rPr>
        <w:t>entities</w:t>
      </w:r>
      <w:r w:rsidRPr="00441AF5">
        <w:rPr>
          <w:rFonts w:cs="Arial"/>
          <w:sz w:val="22"/>
          <w:szCs w:val="22"/>
        </w:rPr>
        <w:t xml:space="preserve"> in scope of </w:t>
      </w:r>
      <w:r w:rsidRPr="00441AF5">
        <w:rPr>
          <w:rFonts w:cs="Arial"/>
          <w:b/>
          <w:bCs/>
          <w:sz w:val="22"/>
          <w:szCs w:val="22"/>
        </w:rPr>
        <w:t xml:space="preserve">Option 2: the </w:t>
      </w:r>
      <w:r w:rsidR="0074363F">
        <w:rPr>
          <w:rFonts w:cs="Arial"/>
          <w:b/>
          <w:bCs/>
          <w:sz w:val="22"/>
          <w:szCs w:val="22"/>
        </w:rPr>
        <w:t>g</w:t>
      </w:r>
      <w:r w:rsidRPr="00441AF5">
        <w:rPr>
          <w:rFonts w:cs="Arial"/>
          <w:b/>
          <w:bCs/>
          <w:sz w:val="22"/>
          <w:szCs w:val="22"/>
        </w:rPr>
        <w:t>overnment’s preferred option</w:t>
      </w:r>
      <w:r w:rsidRPr="00441AF5">
        <w:rPr>
          <w:rFonts w:cs="Arial"/>
          <w:sz w:val="22"/>
          <w:szCs w:val="22"/>
        </w:rPr>
        <w:t xml:space="preserve">, that are appraised (compared to </w:t>
      </w:r>
      <w:r w:rsidRPr="00441AF5">
        <w:rPr>
          <w:rFonts w:cs="Arial"/>
          <w:b/>
          <w:bCs/>
          <w:sz w:val="22"/>
          <w:szCs w:val="22"/>
        </w:rPr>
        <w:t>Option 1</w:t>
      </w:r>
      <w:r w:rsidRPr="00441AF5">
        <w:rPr>
          <w:rFonts w:cs="Arial"/>
          <w:sz w:val="22"/>
          <w:szCs w:val="22"/>
        </w:rPr>
        <w:t xml:space="preserve"> </w:t>
      </w:r>
      <w:r w:rsidR="006B1A05">
        <w:rPr>
          <w:rFonts w:cs="Arial"/>
          <w:sz w:val="22"/>
          <w:szCs w:val="22"/>
        </w:rPr>
        <w:t>‘</w:t>
      </w:r>
      <w:r w:rsidRPr="00441AF5">
        <w:rPr>
          <w:rFonts w:cs="Arial"/>
          <w:sz w:val="22"/>
          <w:szCs w:val="22"/>
        </w:rPr>
        <w:t>Do-nothing</w:t>
      </w:r>
      <w:r w:rsidR="006B1A05">
        <w:rPr>
          <w:rFonts w:cs="Arial"/>
          <w:sz w:val="22"/>
          <w:szCs w:val="22"/>
        </w:rPr>
        <w:t>’</w:t>
      </w:r>
      <w:r>
        <w:rPr>
          <w:rFonts w:cs="Arial"/>
          <w:sz w:val="22"/>
          <w:szCs w:val="22"/>
        </w:rPr>
        <w:t>)</w:t>
      </w:r>
      <w:r w:rsidRPr="00441AF5">
        <w:rPr>
          <w:rFonts w:cs="Arial"/>
          <w:sz w:val="22"/>
          <w:szCs w:val="22"/>
        </w:rPr>
        <w:t>, in this section are any large ‘relevant body’ which is a body corporate or partnership</w:t>
      </w:r>
      <w:r w:rsidR="00447B49">
        <w:rPr>
          <w:rFonts w:cs="Arial"/>
          <w:sz w:val="22"/>
          <w:szCs w:val="22"/>
        </w:rPr>
        <w:t xml:space="preserve"> </w:t>
      </w:r>
      <w:r w:rsidRPr="00441AF5">
        <w:rPr>
          <w:rFonts w:cs="Arial"/>
          <w:sz w:val="22"/>
          <w:szCs w:val="22"/>
        </w:rPr>
        <w:t>(wherever incorporated or formed). Relevant organisations include UK incorporated bodies, taken to be companies and Limited Liability Partnerships</w:t>
      </w:r>
      <w:r w:rsidR="005D3F93" w:rsidRPr="00441AF5">
        <w:rPr>
          <w:rFonts w:cs="Arial"/>
          <w:sz w:val="22"/>
          <w:szCs w:val="22"/>
        </w:rPr>
        <w:t xml:space="preserve"> (LLP)</w:t>
      </w:r>
      <w:r w:rsidRPr="00441AF5">
        <w:rPr>
          <w:rFonts w:cs="Arial"/>
          <w:sz w:val="22"/>
          <w:szCs w:val="22"/>
        </w:rPr>
        <w:t xml:space="preserve">, UK </w:t>
      </w:r>
      <w:r w:rsidRPr="00441AF5">
        <w:rPr>
          <w:rFonts w:cs="Arial"/>
          <w:sz w:val="22"/>
          <w:szCs w:val="22"/>
        </w:rPr>
        <w:lastRenderedPageBreak/>
        <w:t xml:space="preserve">partnerships and foreign </w:t>
      </w:r>
      <w:r w:rsidR="0012318B" w:rsidRPr="00441AF5">
        <w:rPr>
          <w:rFonts w:cs="Arial"/>
          <w:sz w:val="22"/>
          <w:szCs w:val="22"/>
        </w:rPr>
        <w:t>domiciled</w:t>
      </w:r>
      <w:r w:rsidRPr="00441AF5">
        <w:rPr>
          <w:rFonts w:cs="Arial"/>
          <w:sz w:val="22"/>
          <w:szCs w:val="22"/>
        </w:rPr>
        <w:t xml:space="preserve"> companies and partnerships with UK operations. It also includes </w:t>
      </w:r>
      <w:r w:rsidR="00536A0E">
        <w:rPr>
          <w:rFonts w:cs="Arial"/>
          <w:sz w:val="22"/>
          <w:szCs w:val="22"/>
        </w:rPr>
        <w:t>incorporated non-profit</w:t>
      </w:r>
      <w:r w:rsidR="006B5F20">
        <w:rPr>
          <w:rFonts w:cs="Arial"/>
          <w:sz w:val="22"/>
          <w:szCs w:val="22"/>
        </w:rPr>
        <w:t xml:space="preserve"> orga</w:t>
      </w:r>
      <w:r w:rsidRPr="00441AF5">
        <w:rPr>
          <w:rFonts w:cs="Arial"/>
          <w:sz w:val="22"/>
          <w:szCs w:val="22"/>
        </w:rPr>
        <w:t xml:space="preserve">nisations including </w:t>
      </w:r>
      <w:r w:rsidR="0074772F">
        <w:rPr>
          <w:rFonts w:cs="Arial"/>
          <w:sz w:val="22"/>
          <w:szCs w:val="22"/>
        </w:rPr>
        <w:t xml:space="preserve">some </w:t>
      </w:r>
      <w:r w:rsidRPr="00441AF5">
        <w:rPr>
          <w:rFonts w:cs="Arial"/>
          <w:sz w:val="22"/>
          <w:szCs w:val="22"/>
        </w:rPr>
        <w:t>charities</w:t>
      </w:r>
      <w:r w:rsidR="00536A0E">
        <w:rPr>
          <w:rFonts w:cs="Arial"/>
          <w:sz w:val="22"/>
          <w:szCs w:val="22"/>
        </w:rPr>
        <w:t xml:space="preserve"> and some public sector bodies such as qualifying NHS Trusts</w:t>
      </w:r>
      <w:r w:rsidRPr="00441AF5">
        <w:rPr>
          <w:rFonts w:cs="Arial"/>
          <w:sz w:val="22"/>
          <w:szCs w:val="22"/>
        </w:rPr>
        <w:t>.</w:t>
      </w:r>
    </w:p>
    <w:p w14:paraId="74C2C91F" w14:textId="35F8823E" w:rsidR="00614652" w:rsidRPr="00D27216" w:rsidRDefault="00614652" w:rsidP="0037693F">
      <w:pPr>
        <w:pStyle w:val="ListParagraph"/>
        <w:numPr>
          <w:ilvl w:val="0"/>
          <w:numId w:val="10"/>
        </w:numPr>
        <w:spacing w:after="120" w:line="259" w:lineRule="auto"/>
        <w:ind w:left="567" w:hanging="567"/>
        <w:contextualSpacing w:val="0"/>
        <w:jc w:val="both"/>
        <w:rPr>
          <w:rFonts w:cs="Arial"/>
          <w:sz w:val="22"/>
          <w:szCs w:val="22"/>
        </w:rPr>
      </w:pPr>
      <w:r w:rsidRPr="00D27216">
        <w:rPr>
          <w:sz w:val="22"/>
          <w:szCs w:val="22"/>
        </w:rPr>
        <w:t xml:space="preserve">Two sources, predominantly FAME but also Business Population Estimates (BPE) 2021 </w:t>
      </w:r>
      <w:r w:rsidR="00857166">
        <w:rPr>
          <w:rStyle w:val="FootnoteReference"/>
          <w:szCs w:val="22"/>
        </w:rPr>
        <w:footnoteReference w:id="33"/>
      </w:r>
      <w:r w:rsidR="00CB2121">
        <w:rPr>
          <w:rStyle w:val="FootnoteReference"/>
          <w:szCs w:val="22"/>
        </w:rPr>
        <w:footnoteReference w:id="34"/>
      </w:r>
      <w:r w:rsidRPr="00D27216">
        <w:rPr>
          <w:sz w:val="22"/>
          <w:szCs w:val="22"/>
        </w:rPr>
        <w:t xml:space="preserve">, </w:t>
      </w:r>
      <w:r w:rsidR="0074180E">
        <w:rPr>
          <w:sz w:val="22"/>
          <w:szCs w:val="22"/>
        </w:rPr>
        <w:t>we</w:t>
      </w:r>
      <w:r w:rsidRPr="00D27216">
        <w:rPr>
          <w:sz w:val="22"/>
          <w:szCs w:val="22"/>
        </w:rPr>
        <w:t>re used to</w:t>
      </w:r>
      <w:r w:rsidR="0074180E">
        <w:rPr>
          <w:sz w:val="22"/>
          <w:szCs w:val="22"/>
        </w:rPr>
        <w:t xml:space="preserve"> estimate</w:t>
      </w:r>
      <w:r w:rsidRPr="00D27216" w:rsidDel="0074180E">
        <w:rPr>
          <w:sz w:val="22"/>
          <w:szCs w:val="22"/>
        </w:rPr>
        <w:t xml:space="preserve"> </w:t>
      </w:r>
      <w:r w:rsidRPr="00D27216">
        <w:rPr>
          <w:sz w:val="22"/>
          <w:szCs w:val="22"/>
        </w:rPr>
        <w:t xml:space="preserve">numbers of entities in scope. The distribution of entities </w:t>
      </w:r>
      <w:r w:rsidR="00F26F7B">
        <w:rPr>
          <w:sz w:val="22"/>
          <w:szCs w:val="22"/>
        </w:rPr>
        <w:t>in the UK</w:t>
      </w:r>
      <w:r w:rsidR="00595C3E">
        <w:rPr>
          <w:rStyle w:val="FootnoteReference"/>
          <w:szCs w:val="22"/>
        </w:rPr>
        <w:footnoteReference w:id="35"/>
      </w:r>
      <w:r w:rsidR="00F26F7B">
        <w:rPr>
          <w:sz w:val="22"/>
          <w:szCs w:val="22"/>
        </w:rPr>
        <w:t xml:space="preserve"> </w:t>
      </w:r>
      <w:r w:rsidRPr="00D27216">
        <w:rPr>
          <w:sz w:val="22"/>
          <w:szCs w:val="22"/>
        </w:rPr>
        <w:t>is as follows:</w:t>
      </w:r>
    </w:p>
    <w:p w14:paraId="6FAAA4D8" w14:textId="139A4DEC" w:rsidR="00614652" w:rsidRPr="00D27216" w:rsidRDefault="00614652" w:rsidP="00AF35E0">
      <w:pPr>
        <w:pStyle w:val="ListParagraph"/>
        <w:numPr>
          <w:ilvl w:val="1"/>
          <w:numId w:val="95"/>
        </w:numPr>
        <w:spacing w:after="120" w:line="252" w:lineRule="auto"/>
        <w:ind w:left="1134" w:hanging="425"/>
        <w:contextualSpacing w:val="0"/>
        <w:jc w:val="both"/>
        <w:rPr>
          <w:sz w:val="22"/>
          <w:szCs w:val="22"/>
        </w:rPr>
      </w:pPr>
      <w:r w:rsidRPr="00D27216">
        <w:rPr>
          <w:sz w:val="22"/>
          <w:szCs w:val="22"/>
        </w:rPr>
        <w:t xml:space="preserve">For large firms: 11,008 companies, 141 other incorporated and branch entities, </w:t>
      </w:r>
      <w:r w:rsidR="00C05643" w:rsidRPr="00D27216">
        <w:rPr>
          <w:sz w:val="22"/>
          <w:szCs w:val="22"/>
        </w:rPr>
        <w:t>1,275 non</w:t>
      </w:r>
      <w:r w:rsidRPr="00D27216">
        <w:rPr>
          <w:sz w:val="22"/>
          <w:szCs w:val="22"/>
        </w:rPr>
        <w:t>-commercial entities, and 30 partnerships (estimated from BPE).</w:t>
      </w:r>
    </w:p>
    <w:p w14:paraId="0082D29B" w14:textId="71BDA832" w:rsidR="00614652" w:rsidRPr="00D27216" w:rsidRDefault="00614652" w:rsidP="00AF35E0">
      <w:pPr>
        <w:pStyle w:val="ListParagraph"/>
        <w:numPr>
          <w:ilvl w:val="1"/>
          <w:numId w:val="95"/>
        </w:numPr>
        <w:spacing w:after="120" w:line="252" w:lineRule="auto"/>
        <w:ind w:left="1134" w:hanging="425"/>
        <w:contextualSpacing w:val="0"/>
        <w:jc w:val="both"/>
        <w:rPr>
          <w:sz w:val="22"/>
          <w:szCs w:val="22"/>
        </w:rPr>
      </w:pPr>
      <w:r w:rsidRPr="00D27216">
        <w:rPr>
          <w:sz w:val="22"/>
          <w:szCs w:val="22"/>
        </w:rPr>
        <w:t>For largest firms: 11,008 companies, 141 other incorporated and branch entities, 1,275 non-commercial entities, and 10 partnerships (estimated from BPE)</w:t>
      </w:r>
      <w:r w:rsidR="00857166">
        <w:rPr>
          <w:rStyle w:val="FootnoteReference"/>
          <w:szCs w:val="22"/>
        </w:rPr>
        <w:footnoteReference w:id="36"/>
      </w:r>
      <w:r w:rsidRPr="00D27216">
        <w:rPr>
          <w:sz w:val="22"/>
          <w:szCs w:val="22"/>
        </w:rPr>
        <w:t>.</w:t>
      </w:r>
    </w:p>
    <w:p w14:paraId="33CE3851" w14:textId="08FF9221" w:rsidR="00EA2680" w:rsidRPr="00441AF5" w:rsidRDefault="00385333" w:rsidP="0037693F">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Incorporated bodies in this section include public and private companies and </w:t>
      </w:r>
      <w:r w:rsidR="00EA2680" w:rsidRPr="00441AF5">
        <w:rPr>
          <w:rFonts w:cs="Arial"/>
          <w:sz w:val="22"/>
          <w:szCs w:val="22"/>
        </w:rPr>
        <w:t>LLP</w:t>
      </w:r>
      <w:r w:rsidR="005D3F93" w:rsidRPr="00441AF5">
        <w:rPr>
          <w:rFonts w:cs="Arial"/>
          <w:sz w:val="22"/>
          <w:szCs w:val="22"/>
        </w:rPr>
        <w:t>s</w:t>
      </w:r>
      <w:r w:rsidRPr="00441AF5">
        <w:rPr>
          <w:rFonts w:cs="Arial"/>
          <w:sz w:val="22"/>
          <w:szCs w:val="22"/>
        </w:rPr>
        <w:t xml:space="preserve">, ordinary partnerships, other commercial </w:t>
      </w:r>
      <w:r w:rsidR="00C05643" w:rsidRPr="00441AF5">
        <w:rPr>
          <w:rFonts w:cs="Arial"/>
          <w:sz w:val="22"/>
          <w:szCs w:val="22"/>
        </w:rPr>
        <w:t>organisations,</w:t>
      </w:r>
      <w:r w:rsidRPr="00441AF5">
        <w:rPr>
          <w:rFonts w:cs="Arial"/>
          <w:sz w:val="22"/>
          <w:szCs w:val="22"/>
        </w:rPr>
        <w:t xml:space="preserve"> and non-commercial organisations. </w:t>
      </w:r>
      <w:r w:rsidR="00EA2680" w:rsidRPr="00441AF5">
        <w:rPr>
          <w:rFonts w:cs="Arial"/>
          <w:sz w:val="22"/>
          <w:szCs w:val="22"/>
        </w:rPr>
        <w:t xml:space="preserve"> </w:t>
      </w:r>
    </w:p>
    <w:p w14:paraId="1CCE1641" w14:textId="15838A7F" w:rsidR="00DE1F54" w:rsidRPr="00441AF5" w:rsidRDefault="00C2197A" w:rsidP="0037693F">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w:t>
      </w:r>
      <w:r w:rsidR="00237026">
        <w:rPr>
          <w:rFonts w:cs="Arial"/>
          <w:sz w:val="22"/>
          <w:szCs w:val="22"/>
        </w:rPr>
        <w:t>entities in scope</w:t>
      </w:r>
      <w:r w:rsidR="00DE1F54" w:rsidRPr="00441AF5">
        <w:rPr>
          <w:rFonts w:cs="Arial"/>
          <w:sz w:val="22"/>
          <w:szCs w:val="22"/>
        </w:rPr>
        <w:t xml:space="preserve"> estimates were used to create costs for </w:t>
      </w:r>
      <w:r w:rsidR="00DE1F54" w:rsidRPr="00441AF5">
        <w:rPr>
          <w:rFonts w:cs="Arial"/>
          <w:b/>
          <w:sz w:val="22"/>
          <w:szCs w:val="22"/>
        </w:rPr>
        <w:t>Option 2</w:t>
      </w:r>
      <w:r w:rsidR="00DE1F54" w:rsidRPr="00441AF5">
        <w:rPr>
          <w:rFonts w:cs="Arial"/>
          <w:sz w:val="22"/>
          <w:szCs w:val="22"/>
        </w:rPr>
        <w:t xml:space="preserve">, as set out below: </w:t>
      </w:r>
    </w:p>
    <w:p w14:paraId="75885F0C" w14:textId="6513A3BD" w:rsidR="00E55D5A" w:rsidRPr="0076240B" w:rsidRDefault="00E55D5A" w:rsidP="00C0451C">
      <w:pPr>
        <w:pStyle w:val="ListParagraph"/>
        <w:numPr>
          <w:ilvl w:val="0"/>
          <w:numId w:val="18"/>
        </w:numPr>
        <w:spacing w:after="120" w:line="259" w:lineRule="auto"/>
        <w:ind w:left="1134" w:hanging="425"/>
        <w:contextualSpacing w:val="0"/>
        <w:jc w:val="both"/>
        <w:rPr>
          <w:rFonts w:cs="Arial"/>
          <w:sz w:val="22"/>
          <w:szCs w:val="22"/>
        </w:rPr>
      </w:pPr>
      <w:r w:rsidRPr="00441AF5">
        <w:rPr>
          <w:rFonts w:cs="Arial"/>
          <w:sz w:val="22"/>
          <w:szCs w:val="22"/>
        </w:rPr>
        <w:t xml:space="preserve">In the </w:t>
      </w:r>
      <w:r w:rsidRPr="0029116F">
        <w:rPr>
          <w:rFonts w:cs="Arial"/>
          <w:b/>
          <w:bCs/>
          <w:sz w:val="22"/>
          <w:szCs w:val="22"/>
        </w:rPr>
        <w:t xml:space="preserve">low </w:t>
      </w:r>
      <w:r w:rsidR="00C0451C">
        <w:rPr>
          <w:rFonts w:cs="Arial"/>
          <w:b/>
          <w:bCs/>
          <w:sz w:val="22"/>
          <w:szCs w:val="22"/>
        </w:rPr>
        <w:t xml:space="preserve">cost </w:t>
      </w:r>
      <w:r w:rsidRPr="0029116F">
        <w:rPr>
          <w:rFonts w:cs="Arial"/>
          <w:b/>
          <w:bCs/>
          <w:sz w:val="22"/>
          <w:szCs w:val="22"/>
        </w:rPr>
        <w:t>scenario</w:t>
      </w:r>
      <w:r w:rsidR="00AC2799">
        <w:rPr>
          <w:rFonts w:cs="Arial"/>
          <w:sz w:val="22"/>
          <w:szCs w:val="22"/>
        </w:rPr>
        <w:t>,</w:t>
      </w:r>
      <w:r w:rsidRPr="00441AF5">
        <w:rPr>
          <w:rFonts w:cs="Arial"/>
          <w:sz w:val="22"/>
          <w:szCs w:val="22"/>
        </w:rPr>
        <w:t xml:space="preserve"> the entity-based definition has been used. </w:t>
      </w:r>
      <w:r w:rsidR="007A3BAD" w:rsidRPr="00441AF5">
        <w:rPr>
          <w:rFonts w:cs="Arial"/>
          <w:sz w:val="22"/>
          <w:szCs w:val="22"/>
        </w:rPr>
        <w:t>This scenario is i</w:t>
      </w:r>
      <w:r w:rsidR="00907C0D" w:rsidRPr="00441AF5">
        <w:rPr>
          <w:rFonts w:cs="Arial"/>
          <w:sz w:val="22"/>
          <w:szCs w:val="22"/>
        </w:rPr>
        <w:t xml:space="preserve">nformed from the Economic Crime Survey </w:t>
      </w:r>
      <w:r w:rsidR="00F326F0" w:rsidRPr="00441AF5">
        <w:rPr>
          <w:rFonts w:cs="Arial"/>
          <w:sz w:val="22"/>
          <w:szCs w:val="22"/>
        </w:rPr>
        <w:t xml:space="preserve">(ECS) </w:t>
      </w:r>
      <w:r w:rsidR="007A3BAD" w:rsidRPr="00441AF5">
        <w:rPr>
          <w:rFonts w:cs="Arial"/>
          <w:sz w:val="22"/>
          <w:szCs w:val="22"/>
        </w:rPr>
        <w:t>which found that</w:t>
      </w:r>
      <w:r w:rsidR="00F326F0" w:rsidRPr="00441AF5">
        <w:rPr>
          <w:rFonts w:cs="Arial"/>
          <w:sz w:val="22"/>
          <w:szCs w:val="22"/>
        </w:rPr>
        <w:t xml:space="preserve"> </w:t>
      </w:r>
      <w:r w:rsidR="0024285F" w:rsidRPr="00441AF5">
        <w:rPr>
          <w:rFonts w:cs="Arial"/>
          <w:sz w:val="22"/>
          <w:szCs w:val="22"/>
        </w:rPr>
        <w:t>30</w:t>
      </w:r>
      <w:r w:rsidR="00574BBD">
        <w:rPr>
          <w:rFonts w:cs="Arial"/>
          <w:sz w:val="22"/>
          <w:szCs w:val="22"/>
        </w:rPr>
        <w:t xml:space="preserve"> per cent</w:t>
      </w:r>
      <w:r w:rsidR="0024285F" w:rsidRPr="00441AF5">
        <w:rPr>
          <w:rFonts w:cs="Arial"/>
          <w:sz w:val="22"/>
          <w:szCs w:val="22"/>
        </w:rPr>
        <w:t xml:space="preserve"> of organisations</w:t>
      </w:r>
      <w:r w:rsidR="00C70AAE" w:rsidRPr="00441AF5">
        <w:rPr>
          <w:rFonts w:cs="Arial"/>
          <w:sz w:val="22"/>
          <w:szCs w:val="22"/>
        </w:rPr>
        <w:t xml:space="preserve"> </w:t>
      </w:r>
      <w:r w:rsidR="00E91C2B" w:rsidRPr="00441AF5">
        <w:rPr>
          <w:rFonts w:cs="Arial"/>
          <w:sz w:val="22"/>
          <w:szCs w:val="22"/>
        </w:rPr>
        <w:t xml:space="preserve">stated that </w:t>
      </w:r>
      <w:r w:rsidR="00FF23F6" w:rsidRPr="00441AF5">
        <w:rPr>
          <w:rFonts w:cs="Arial"/>
          <w:sz w:val="22"/>
          <w:szCs w:val="22"/>
        </w:rPr>
        <w:t>they have</w:t>
      </w:r>
      <w:r w:rsidR="00C70AAE" w:rsidRPr="00441AF5">
        <w:rPr>
          <w:rFonts w:cs="Arial"/>
          <w:sz w:val="22"/>
          <w:szCs w:val="22"/>
        </w:rPr>
        <w:t xml:space="preserve"> some form of anti-fraud </w:t>
      </w:r>
      <w:r w:rsidR="00FF23F6" w:rsidRPr="00441AF5">
        <w:rPr>
          <w:rFonts w:cs="Arial"/>
          <w:sz w:val="22"/>
          <w:szCs w:val="22"/>
        </w:rPr>
        <w:t>policy in place</w:t>
      </w:r>
      <w:r w:rsidR="008E4E75" w:rsidRPr="55AFEE44">
        <w:rPr>
          <w:rStyle w:val="FootnoteReference"/>
          <w:rFonts w:cs="Arial"/>
        </w:rPr>
        <w:footnoteReference w:id="37"/>
      </w:r>
      <w:r w:rsidR="00DB1B06" w:rsidRPr="00441AF5">
        <w:rPr>
          <w:rFonts w:cs="Arial"/>
          <w:sz w:val="22"/>
          <w:szCs w:val="22"/>
        </w:rPr>
        <w:t>.</w:t>
      </w:r>
      <w:r w:rsidR="00151339" w:rsidRPr="00441AF5">
        <w:rPr>
          <w:rFonts w:cs="Arial"/>
          <w:sz w:val="22"/>
          <w:szCs w:val="22"/>
        </w:rPr>
        <w:t xml:space="preserve"> </w:t>
      </w:r>
      <w:r w:rsidR="00D50E5B">
        <w:rPr>
          <w:rFonts w:cs="Arial"/>
          <w:sz w:val="22"/>
          <w:szCs w:val="22"/>
        </w:rPr>
        <w:t>I</w:t>
      </w:r>
      <w:r w:rsidR="00151339" w:rsidRPr="00441AF5">
        <w:rPr>
          <w:rFonts w:cs="Arial"/>
          <w:sz w:val="22"/>
          <w:szCs w:val="22"/>
        </w:rPr>
        <w:t>n this scenario</w:t>
      </w:r>
      <w:r w:rsidR="00DB1B06" w:rsidRPr="00441AF5">
        <w:rPr>
          <w:rFonts w:cs="Arial"/>
          <w:sz w:val="22"/>
          <w:szCs w:val="22"/>
        </w:rPr>
        <w:t xml:space="preserve"> </w:t>
      </w:r>
      <w:r w:rsidR="00233AE3" w:rsidRPr="00441AF5">
        <w:rPr>
          <w:rFonts w:cs="Arial"/>
          <w:sz w:val="22"/>
          <w:szCs w:val="22"/>
        </w:rPr>
        <w:t>organisations</w:t>
      </w:r>
      <w:r w:rsidR="00DB1B06" w:rsidRPr="00441AF5">
        <w:rPr>
          <w:rFonts w:cs="Arial"/>
          <w:sz w:val="22"/>
          <w:szCs w:val="22"/>
        </w:rPr>
        <w:t xml:space="preserve"> within this 30</w:t>
      </w:r>
      <w:r w:rsidR="00574BBD">
        <w:rPr>
          <w:rFonts w:cs="Arial"/>
          <w:sz w:val="22"/>
          <w:szCs w:val="22"/>
        </w:rPr>
        <w:t xml:space="preserve"> per cent</w:t>
      </w:r>
      <w:r w:rsidR="00233AE3" w:rsidRPr="00441AF5">
        <w:rPr>
          <w:rFonts w:cs="Arial"/>
          <w:sz w:val="22"/>
          <w:szCs w:val="22"/>
        </w:rPr>
        <w:t xml:space="preserve"> </w:t>
      </w:r>
      <w:r w:rsidR="001F5C25" w:rsidRPr="00441AF5">
        <w:rPr>
          <w:rFonts w:cs="Arial"/>
          <w:sz w:val="22"/>
          <w:szCs w:val="22"/>
        </w:rPr>
        <w:t xml:space="preserve">only </w:t>
      </w:r>
      <w:r w:rsidR="00927794" w:rsidRPr="00441AF5">
        <w:rPr>
          <w:rFonts w:cs="Arial"/>
          <w:sz w:val="22"/>
          <w:szCs w:val="22"/>
        </w:rPr>
        <w:t>incu</w:t>
      </w:r>
      <w:r w:rsidR="001F5C25" w:rsidRPr="00441AF5">
        <w:rPr>
          <w:rFonts w:cs="Arial"/>
          <w:sz w:val="22"/>
          <w:szCs w:val="22"/>
        </w:rPr>
        <w:t>r</w:t>
      </w:r>
      <w:r w:rsidR="00405C9F" w:rsidRPr="00441AF5">
        <w:rPr>
          <w:rFonts w:cs="Arial"/>
          <w:sz w:val="22"/>
          <w:szCs w:val="22"/>
        </w:rPr>
        <w:t xml:space="preserve"> costs in familiarisation and</w:t>
      </w:r>
      <w:r w:rsidR="005D6829" w:rsidRPr="00441AF5">
        <w:rPr>
          <w:rFonts w:cs="Arial"/>
          <w:sz w:val="22"/>
          <w:szCs w:val="22"/>
        </w:rPr>
        <w:t xml:space="preserve"> </w:t>
      </w:r>
      <w:r w:rsidR="00661E35" w:rsidRPr="00441AF5">
        <w:rPr>
          <w:rFonts w:cs="Arial"/>
          <w:sz w:val="22"/>
          <w:szCs w:val="22"/>
        </w:rPr>
        <w:t>undertak</w:t>
      </w:r>
      <w:r w:rsidR="005D6829" w:rsidRPr="00441AF5">
        <w:rPr>
          <w:rFonts w:cs="Arial"/>
          <w:sz w:val="22"/>
          <w:szCs w:val="22"/>
        </w:rPr>
        <w:t>ing a</w:t>
      </w:r>
      <w:r w:rsidR="00661E35" w:rsidRPr="00441AF5">
        <w:rPr>
          <w:rFonts w:cs="Arial"/>
          <w:sz w:val="22"/>
          <w:szCs w:val="22"/>
        </w:rPr>
        <w:t xml:space="preserve"> </w:t>
      </w:r>
      <w:r w:rsidR="00AC1F22">
        <w:rPr>
          <w:rFonts w:cs="Arial"/>
          <w:sz w:val="22"/>
          <w:szCs w:val="22"/>
        </w:rPr>
        <w:t>risk assessment</w:t>
      </w:r>
      <w:r w:rsidR="00661E35" w:rsidRPr="00441AF5">
        <w:rPr>
          <w:rFonts w:cs="Arial"/>
          <w:sz w:val="22"/>
          <w:szCs w:val="22"/>
        </w:rPr>
        <w:t xml:space="preserve"> to determine whether</w:t>
      </w:r>
      <w:r w:rsidR="006440B6" w:rsidRPr="00441AF5">
        <w:rPr>
          <w:rFonts w:cs="Arial"/>
          <w:sz w:val="22"/>
          <w:szCs w:val="22"/>
        </w:rPr>
        <w:t xml:space="preserve"> </w:t>
      </w:r>
      <w:r w:rsidR="00784DBD">
        <w:rPr>
          <w:rFonts w:cs="Arial"/>
          <w:sz w:val="22"/>
          <w:szCs w:val="22"/>
        </w:rPr>
        <w:t xml:space="preserve">their </w:t>
      </w:r>
      <w:r w:rsidR="006440B6" w:rsidRPr="0076240B">
        <w:rPr>
          <w:rFonts w:cs="Arial"/>
          <w:sz w:val="22"/>
          <w:szCs w:val="22"/>
        </w:rPr>
        <w:t xml:space="preserve">current </w:t>
      </w:r>
      <w:r w:rsidR="00C70AAE" w:rsidRPr="0076240B">
        <w:rPr>
          <w:rFonts w:cs="Arial"/>
          <w:sz w:val="22"/>
          <w:szCs w:val="22"/>
        </w:rPr>
        <w:t>measure</w:t>
      </w:r>
      <w:r w:rsidR="00927794" w:rsidRPr="0076240B">
        <w:rPr>
          <w:rFonts w:cs="Arial"/>
          <w:sz w:val="22"/>
          <w:szCs w:val="22"/>
        </w:rPr>
        <w:t>s</w:t>
      </w:r>
      <w:r w:rsidR="003035B6" w:rsidRPr="0076240B">
        <w:rPr>
          <w:rFonts w:cs="Arial"/>
          <w:sz w:val="22"/>
          <w:szCs w:val="22"/>
        </w:rPr>
        <w:t xml:space="preserve"> </w:t>
      </w:r>
      <w:r w:rsidR="006440B6" w:rsidRPr="0076240B">
        <w:rPr>
          <w:rFonts w:cs="Arial"/>
          <w:sz w:val="22"/>
          <w:szCs w:val="22"/>
        </w:rPr>
        <w:t xml:space="preserve">are sufficient under </w:t>
      </w:r>
      <w:r w:rsidR="00F40877" w:rsidRPr="0076240B">
        <w:rPr>
          <w:rFonts w:cs="Arial"/>
          <w:sz w:val="22"/>
          <w:szCs w:val="22"/>
        </w:rPr>
        <w:t>this proposal</w:t>
      </w:r>
      <w:r w:rsidR="00C70AAE" w:rsidRPr="0076240B">
        <w:rPr>
          <w:rFonts w:cs="Arial"/>
          <w:sz w:val="22"/>
          <w:szCs w:val="22"/>
        </w:rPr>
        <w:t>.</w:t>
      </w:r>
      <w:r w:rsidR="001F5C25" w:rsidRPr="0076240B">
        <w:rPr>
          <w:rFonts w:cs="Arial"/>
          <w:sz w:val="22"/>
          <w:szCs w:val="22"/>
        </w:rPr>
        <w:t xml:space="preserve"> </w:t>
      </w:r>
      <w:r w:rsidR="00151339" w:rsidRPr="0076240B">
        <w:rPr>
          <w:rFonts w:cs="Arial"/>
          <w:sz w:val="22"/>
          <w:szCs w:val="22"/>
        </w:rPr>
        <w:t>The remaining</w:t>
      </w:r>
      <w:r w:rsidR="00C70AAE" w:rsidRPr="0076240B">
        <w:rPr>
          <w:rFonts w:cs="Arial"/>
          <w:sz w:val="22"/>
          <w:szCs w:val="22"/>
        </w:rPr>
        <w:t xml:space="preserve"> 70</w:t>
      </w:r>
      <w:r w:rsidR="00574BBD" w:rsidRPr="0076240B">
        <w:rPr>
          <w:rFonts w:cs="Arial"/>
          <w:sz w:val="22"/>
          <w:szCs w:val="22"/>
        </w:rPr>
        <w:t xml:space="preserve"> per cent</w:t>
      </w:r>
      <w:r w:rsidR="00C70AAE" w:rsidRPr="0076240B">
        <w:rPr>
          <w:rFonts w:cs="Arial"/>
          <w:sz w:val="22"/>
          <w:szCs w:val="22"/>
        </w:rPr>
        <w:t xml:space="preserve"> of the total number of larger organisations are </w:t>
      </w:r>
      <w:r w:rsidR="00327F5C" w:rsidRPr="0076240B">
        <w:rPr>
          <w:rFonts w:cs="Arial"/>
          <w:sz w:val="22"/>
          <w:szCs w:val="22"/>
        </w:rPr>
        <w:t>expected to incur full costs under this scenario</w:t>
      </w:r>
      <w:r w:rsidR="00C70AAE" w:rsidRPr="0076240B">
        <w:rPr>
          <w:rFonts w:cs="Arial"/>
          <w:sz w:val="22"/>
          <w:szCs w:val="22"/>
        </w:rPr>
        <w:t xml:space="preserve">. </w:t>
      </w:r>
    </w:p>
    <w:p w14:paraId="798B432A" w14:textId="20EF0BE7" w:rsidR="00DE1F54" w:rsidRPr="00441AF5" w:rsidRDefault="00DE1F54" w:rsidP="007335EA">
      <w:pPr>
        <w:pStyle w:val="ListParagraph"/>
        <w:numPr>
          <w:ilvl w:val="0"/>
          <w:numId w:val="18"/>
        </w:numPr>
        <w:spacing w:after="120" w:line="259" w:lineRule="auto"/>
        <w:ind w:left="1134" w:hanging="425"/>
        <w:contextualSpacing w:val="0"/>
        <w:jc w:val="both"/>
        <w:rPr>
          <w:rFonts w:cs="Arial"/>
          <w:sz w:val="22"/>
          <w:szCs w:val="22"/>
        </w:rPr>
      </w:pPr>
      <w:r w:rsidRPr="00441AF5">
        <w:rPr>
          <w:rFonts w:cs="Arial"/>
          <w:sz w:val="22"/>
          <w:szCs w:val="22"/>
        </w:rPr>
        <w:t xml:space="preserve">In the </w:t>
      </w:r>
      <w:r w:rsidRPr="0029116F">
        <w:rPr>
          <w:rFonts w:cs="Arial"/>
          <w:b/>
          <w:bCs/>
          <w:iCs/>
          <w:sz w:val="22"/>
          <w:szCs w:val="22"/>
        </w:rPr>
        <w:t xml:space="preserve">high </w:t>
      </w:r>
      <w:r w:rsidR="00C0451C">
        <w:rPr>
          <w:rFonts w:cs="Arial"/>
          <w:b/>
          <w:bCs/>
          <w:iCs/>
          <w:sz w:val="22"/>
          <w:szCs w:val="22"/>
        </w:rPr>
        <w:t xml:space="preserve">cost </w:t>
      </w:r>
      <w:r w:rsidRPr="0029116F">
        <w:rPr>
          <w:rFonts w:cs="Arial"/>
          <w:b/>
          <w:bCs/>
          <w:iCs/>
          <w:sz w:val="22"/>
          <w:szCs w:val="22"/>
        </w:rPr>
        <w:t>scenario</w:t>
      </w:r>
      <w:r w:rsidR="00AC2799">
        <w:rPr>
          <w:rFonts w:cs="Arial"/>
          <w:iCs/>
          <w:sz w:val="22"/>
          <w:szCs w:val="22"/>
        </w:rPr>
        <w:t>,</w:t>
      </w:r>
      <w:r w:rsidRPr="00441AF5">
        <w:rPr>
          <w:rFonts w:cs="Arial"/>
          <w:sz w:val="22"/>
          <w:szCs w:val="22"/>
        </w:rPr>
        <w:t xml:space="preserve"> the entity-based definition has been used. </w:t>
      </w:r>
      <w:r w:rsidR="00397C21" w:rsidRPr="00441AF5">
        <w:rPr>
          <w:rFonts w:cs="Arial"/>
          <w:sz w:val="22"/>
          <w:szCs w:val="22"/>
        </w:rPr>
        <w:t>In the high scenario</w:t>
      </w:r>
      <w:r w:rsidR="00AE6F14" w:rsidRPr="00441AF5">
        <w:rPr>
          <w:rFonts w:cs="Arial"/>
          <w:sz w:val="22"/>
          <w:szCs w:val="22"/>
        </w:rPr>
        <w:t xml:space="preserve"> it is assumed that </w:t>
      </w:r>
      <w:r w:rsidR="00E20480" w:rsidRPr="00441AF5">
        <w:rPr>
          <w:rFonts w:cs="Arial"/>
          <w:sz w:val="22"/>
          <w:szCs w:val="22"/>
        </w:rPr>
        <w:t>all</w:t>
      </w:r>
      <w:r w:rsidR="00AE6F14" w:rsidRPr="00441AF5">
        <w:rPr>
          <w:rFonts w:cs="Arial"/>
          <w:sz w:val="22"/>
          <w:szCs w:val="22"/>
        </w:rPr>
        <w:t xml:space="preserve"> companies determine </w:t>
      </w:r>
      <w:r w:rsidR="00E20480" w:rsidRPr="00441AF5">
        <w:rPr>
          <w:rFonts w:cs="Arial"/>
          <w:sz w:val="22"/>
          <w:szCs w:val="22"/>
        </w:rPr>
        <w:t>they must</w:t>
      </w:r>
      <w:r w:rsidRPr="00441AF5">
        <w:rPr>
          <w:rFonts w:cs="Arial"/>
          <w:sz w:val="22"/>
          <w:szCs w:val="22"/>
        </w:rPr>
        <w:t xml:space="preserve"> </w:t>
      </w:r>
      <w:r w:rsidR="00397C21" w:rsidRPr="00441AF5">
        <w:rPr>
          <w:rFonts w:cs="Arial"/>
          <w:sz w:val="22"/>
          <w:szCs w:val="22"/>
        </w:rPr>
        <w:t>implement</w:t>
      </w:r>
      <w:r w:rsidR="00E20480" w:rsidRPr="00441AF5">
        <w:rPr>
          <w:rFonts w:cs="Arial"/>
          <w:sz w:val="22"/>
          <w:szCs w:val="22"/>
        </w:rPr>
        <w:t xml:space="preserve"> </w:t>
      </w:r>
      <w:r w:rsidR="00397C21" w:rsidRPr="00441AF5">
        <w:rPr>
          <w:rFonts w:cs="Arial"/>
          <w:sz w:val="22"/>
          <w:szCs w:val="22"/>
        </w:rPr>
        <w:t>full</w:t>
      </w:r>
      <w:r w:rsidRPr="00441AF5">
        <w:rPr>
          <w:rFonts w:cs="Arial"/>
          <w:sz w:val="22"/>
          <w:szCs w:val="22"/>
        </w:rPr>
        <w:t xml:space="preserve"> measures</w:t>
      </w:r>
      <w:r w:rsidR="00397C21" w:rsidRPr="00441AF5">
        <w:rPr>
          <w:rFonts w:cs="Arial"/>
          <w:sz w:val="22"/>
          <w:szCs w:val="22"/>
        </w:rPr>
        <w:t xml:space="preserve"> </w:t>
      </w:r>
      <w:r w:rsidR="00AE6F14" w:rsidRPr="00441AF5">
        <w:rPr>
          <w:rFonts w:cs="Arial"/>
          <w:sz w:val="22"/>
          <w:szCs w:val="22"/>
        </w:rPr>
        <w:t>to ensure th</w:t>
      </w:r>
      <w:r w:rsidR="00E20480" w:rsidRPr="00441AF5">
        <w:rPr>
          <w:rFonts w:cs="Arial"/>
          <w:sz w:val="22"/>
          <w:szCs w:val="22"/>
        </w:rPr>
        <w:t>ey are compliant with th</w:t>
      </w:r>
      <w:r w:rsidR="00075777">
        <w:rPr>
          <w:rFonts w:cs="Arial"/>
          <w:sz w:val="22"/>
          <w:szCs w:val="22"/>
        </w:rPr>
        <w:t>is</w:t>
      </w:r>
      <w:r w:rsidR="00E20480" w:rsidRPr="00441AF5">
        <w:rPr>
          <w:rFonts w:cs="Arial"/>
          <w:sz w:val="22"/>
          <w:szCs w:val="22"/>
        </w:rPr>
        <w:t xml:space="preserve"> new legislation</w:t>
      </w:r>
      <w:r w:rsidR="000522F1" w:rsidRPr="00441AF5">
        <w:rPr>
          <w:rFonts w:cs="Arial"/>
          <w:sz w:val="22"/>
          <w:szCs w:val="22"/>
        </w:rPr>
        <w:t>. 100</w:t>
      </w:r>
      <w:r w:rsidR="00574BBD">
        <w:rPr>
          <w:rFonts w:cs="Arial"/>
          <w:sz w:val="22"/>
          <w:szCs w:val="22"/>
        </w:rPr>
        <w:t xml:space="preserve"> per cent</w:t>
      </w:r>
      <w:r w:rsidR="000522F1" w:rsidRPr="00441AF5">
        <w:rPr>
          <w:rFonts w:cs="Arial"/>
          <w:sz w:val="22"/>
          <w:szCs w:val="22"/>
        </w:rPr>
        <w:t xml:space="preserve"> of the total number of larger organisations are in scope under this scenario.</w:t>
      </w:r>
    </w:p>
    <w:p w14:paraId="4FA91583" w14:textId="31A305A1" w:rsidR="00B35730" w:rsidRPr="00441AF5" w:rsidRDefault="00DE1F54" w:rsidP="007335EA">
      <w:pPr>
        <w:pStyle w:val="ListParagraph"/>
        <w:numPr>
          <w:ilvl w:val="0"/>
          <w:numId w:val="18"/>
        </w:numPr>
        <w:spacing w:after="120" w:line="259" w:lineRule="auto"/>
        <w:ind w:left="1134" w:hanging="425"/>
        <w:contextualSpacing w:val="0"/>
        <w:jc w:val="both"/>
        <w:rPr>
          <w:rFonts w:cs="Arial"/>
          <w:sz w:val="22"/>
          <w:szCs w:val="22"/>
        </w:rPr>
      </w:pPr>
      <w:r w:rsidRPr="00441AF5">
        <w:rPr>
          <w:rFonts w:cs="Arial"/>
          <w:sz w:val="22"/>
          <w:szCs w:val="22"/>
        </w:rPr>
        <w:t xml:space="preserve">In the </w:t>
      </w:r>
      <w:r w:rsidRPr="0029116F">
        <w:rPr>
          <w:rFonts w:cs="Arial"/>
          <w:b/>
          <w:bCs/>
          <w:iCs/>
          <w:sz w:val="22"/>
          <w:szCs w:val="22"/>
        </w:rPr>
        <w:t>best</w:t>
      </w:r>
      <w:r w:rsidR="006E6441">
        <w:rPr>
          <w:rFonts w:cs="Arial"/>
          <w:b/>
          <w:bCs/>
          <w:iCs/>
          <w:sz w:val="22"/>
          <w:szCs w:val="22"/>
        </w:rPr>
        <w:t>-case</w:t>
      </w:r>
      <w:r w:rsidRPr="0029116F">
        <w:rPr>
          <w:rFonts w:cs="Arial"/>
          <w:b/>
          <w:bCs/>
          <w:iCs/>
          <w:sz w:val="22"/>
          <w:szCs w:val="22"/>
        </w:rPr>
        <w:t xml:space="preserve"> </w:t>
      </w:r>
      <w:r w:rsidR="00C0451C">
        <w:rPr>
          <w:rFonts w:cs="Arial"/>
          <w:b/>
          <w:bCs/>
          <w:iCs/>
          <w:sz w:val="22"/>
          <w:szCs w:val="22"/>
        </w:rPr>
        <w:t xml:space="preserve">cost </w:t>
      </w:r>
      <w:r w:rsidRPr="0029116F">
        <w:rPr>
          <w:rFonts w:cs="Arial"/>
          <w:b/>
          <w:bCs/>
          <w:iCs/>
          <w:sz w:val="22"/>
          <w:szCs w:val="22"/>
        </w:rPr>
        <w:t>scenario</w:t>
      </w:r>
      <w:r w:rsidRPr="00441AF5">
        <w:rPr>
          <w:rFonts w:cs="Arial"/>
          <w:sz w:val="22"/>
          <w:szCs w:val="22"/>
        </w:rPr>
        <w:t>, the entity-based definition has been used.</w:t>
      </w:r>
      <w:r w:rsidR="001466CC" w:rsidRPr="00441AF5">
        <w:rPr>
          <w:rFonts w:cs="Arial"/>
          <w:sz w:val="22"/>
          <w:szCs w:val="22"/>
        </w:rPr>
        <w:t xml:space="preserve"> </w:t>
      </w:r>
      <w:r w:rsidR="0036640A" w:rsidRPr="00441AF5">
        <w:rPr>
          <w:rFonts w:cs="Arial"/>
          <w:sz w:val="22"/>
          <w:szCs w:val="22"/>
        </w:rPr>
        <w:t>This scenario is i</w:t>
      </w:r>
      <w:r w:rsidR="001466CC" w:rsidRPr="00441AF5">
        <w:rPr>
          <w:rFonts w:cs="Arial"/>
          <w:sz w:val="22"/>
          <w:szCs w:val="22"/>
        </w:rPr>
        <w:t xml:space="preserve">nformed from the ECS </w:t>
      </w:r>
      <w:r w:rsidR="0036640A" w:rsidRPr="00441AF5">
        <w:rPr>
          <w:rFonts w:cs="Arial"/>
          <w:sz w:val="22"/>
          <w:szCs w:val="22"/>
        </w:rPr>
        <w:t>which found that</w:t>
      </w:r>
      <w:r w:rsidR="001466CC" w:rsidRPr="00441AF5">
        <w:rPr>
          <w:rFonts w:cs="Arial"/>
          <w:sz w:val="22"/>
          <w:szCs w:val="22"/>
        </w:rPr>
        <w:t xml:space="preserve"> 15</w:t>
      </w:r>
      <w:r w:rsidR="00574BBD">
        <w:rPr>
          <w:rFonts w:cs="Arial"/>
          <w:sz w:val="22"/>
          <w:szCs w:val="22"/>
        </w:rPr>
        <w:t xml:space="preserve"> per cent</w:t>
      </w:r>
      <w:r w:rsidR="001466CC" w:rsidRPr="00441AF5">
        <w:rPr>
          <w:rFonts w:cs="Arial"/>
          <w:sz w:val="22"/>
          <w:szCs w:val="22"/>
        </w:rPr>
        <w:t xml:space="preserve"> of organisations stated that they have some form of anti-fraud</w:t>
      </w:r>
      <w:r w:rsidR="00A6075F" w:rsidRPr="00441AF5">
        <w:rPr>
          <w:rFonts w:cs="Arial"/>
          <w:sz w:val="22"/>
          <w:szCs w:val="22"/>
        </w:rPr>
        <w:t xml:space="preserve"> and corruption </w:t>
      </w:r>
      <w:r w:rsidR="00510590" w:rsidRPr="00441AF5">
        <w:rPr>
          <w:rFonts w:cs="Arial"/>
          <w:sz w:val="22"/>
          <w:szCs w:val="22"/>
        </w:rPr>
        <w:t>training</w:t>
      </w:r>
      <w:r w:rsidR="001466CC" w:rsidRPr="00441AF5">
        <w:rPr>
          <w:rFonts w:cs="Arial"/>
          <w:sz w:val="22"/>
          <w:szCs w:val="22"/>
        </w:rPr>
        <w:t xml:space="preserve"> in place</w:t>
      </w:r>
      <w:r w:rsidR="00CE1F8D" w:rsidRPr="00441AF5">
        <w:rPr>
          <w:rStyle w:val="FootnoteReference"/>
          <w:rFonts w:cs="Arial"/>
          <w:szCs w:val="22"/>
        </w:rPr>
        <w:footnoteReference w:id="38"/>
      </w:r>
      <w:r w:rsidR="00CE1F8D" w:rsidRPr="00441AF5">
        <w:rPr>
          <w:rFonts w:cs="Arial"/>
          <w:sz w:val="22"/>
          <w:szCs w:val="22"/>
        </w:rPr>
        <w:t>.</w:t>
      </w:r>
      <w:r w:rsidR="00E249D0" w:rsidRPr="00441AF5">
        <w:rPr>
          <w:rFonts w:cs="Arial"/>
          <w:sz w:val="22"/>
          <w:szCs w:val="22"/>
        </w:rPr>
        <w:t xml:space="preserve"> </w:t>
      </w:r>
      <w:r w:rsidR="00C06737">
        <w:rPr>
          <w:rFonts w:cs="Arial"/>
          <w:sz w:val="22"/>
          <w:szCs w:val="22"/>
        </w:rPr>
        <w:t>I</w:t>
      </w:r>
      <w:r w:rsidR="0036640A" w:rsidRPr="00441AF5">
        <w:rPr>
          <w:rFonts w:cs="Arial"/>
          <w:sz w:val="22"/>
          <w:szCs w:val="22"/>
        </w:rPr>
        <w:t xml:space="preserve">n this scenario </w:t>
      </w:r>
      <w:r w:rsidR="00E249D0" w:rsidRPr="00441AF5">
        <w:rPr>
          <w:rFonts w:cs="Arial"/>
          <w:sz w:val="22"/>
          <w:szCs w:val="22"/>
        </w:rPr>
        <w:t>organisations within this 15</w:t>
      </w:r>
      <w:r w:rsidR="00574BBD">
        <w:rPr>
          <w:rFonts w:cs="Arial"/>
          <w:sz w:val="22"/>
          <w:szCs w:val="22"/>
        </w:rPr>
        <w:t xml:space="preserve"> per cent</w:t>
      </w:r>
      <w:r w:rsidR="00FC6CF9" w:rsidRPr="00441AF5">
        <w:rPr>
          <w:rFonts w:cs="Arial"/>
          <w:sz w:val="22"/>
          <w:szCs w:val="22"/>
        </w:rPr>
        <w:t xml:space="preserve"> only incur costs in familiarisation and undertaking a risk assessment to determine whether current measures are sufficient under this proposal</w:t>
      </w:r>
      <w:r w:rsidR="00F40877" w:rsidRPr="00441AF5">
        <w:rPr>
          <w:rFonts w:cs="Arial"/>
          <w:sz w:val="22"/>
          <w:szCs w:val="22"/>
        </w:rPr>
        <w:t xml:space="preserve">. </w:t>
      </w:r>
      <w:r w:rsidR="0036640A" w:rsidRPr="00441AF5">
        <w:rPr>
          <w:rFonts w:cs="Arial"/>
          <w:sz w:val="22"/>
          <w:szCs w:val="22"/>
        </w:rPr>
        <w:t>The remaining</w:t>
      </w:r>
      <w:r w:rsidR="00F40877" w:rsidRPr="00441AF5">
        <w:rPr>
          <w:rFonts w:cs="Arial"/>
          <w:sz w:val="22"/>
          <w:szCs w:val="22"/>
        </w:rPr>
        <w:t xml:space="preserve"> </w:t>
      </w:r>
      <w:r w:rsidR="00445367" w:rsidRPr="00441AF5">
        <w:rPr>
          <w:rFonts w:cs="Arial"/>
          <w:sz w:val="22"/>
          <w:szCs w:val="22"/>
        </w:rPr>
        <w:t>8</w:t>
      </w:r>
      <w:r w:rsidR="00F40877" w:rsidRPr="00441AF5">
        <w:rPr>
          <w:rFonts w:cs="Arial"/>
          <w:sz w:val="22"/>
          <w:szCs w:val="22"/>
        </w:rPr>
        <w:t>5</w:t>
      </w:r>
      <w:r w:rsidR="00574BBD">
        <w:rPr>
          <w:rFonts w:cs="Arial"/>
          <w:sz w:val="22"/>
          <w:szCs w:val="22"/>
        </w:rPr>
        <w:t xml:space="preserve"> per cent</w:t>
      </w:r>
      <w:r w:rsidR="00F40877" w:rsidRPr="00441AF5">
        <w:rPr>
          <w:rFonts w:cs="Arial"/>
          <w:sz w:val="22"/>
          <w:szCs w:val="22"/>
        </w:rPr>
        <w:t xml:space="preserve"> of the total number of larger organisations are </w:t>
      </w:r>
      <w:r w:rsidR="00327F5C" w:rsidRPr="00441AF5">
        <w:rPr>
          <w:rFonts w:cs="Arial"/>
          <w:sz w:val="22"/>
          <w:szCs w:val="22"/>
        </w:rPr>
        <w:t xml:space="preserve">assumed to incur full costs </w:t>
      </w:r>
      <w:r w:rsidR="00F40877" w:rsidRPr="00441AF5">
        <w:rPr>
          <w:rFonts w:cs="Arial"/>
          <w:sz w:val="22"/>
          <w:szCs w:val="22"/>
        </w:rPr>
        <w:t>under this scenario</w:t>
      </w:r>
      <w:r w:rsidR="00EC173A" w:rsidRPr="00441AF5">
        <w:rPr>
          <w:rFonts w:cs="Arial"/>
          <w:sz w:val="22"/>
          <w:szCs w:val="22"/>
        </w:rPr>
        <w:t>.</w:t>
      </w:r>
      <w:r w:rsidR="00E42C6E" w:rsidRPr="00441AF5">
        <w:rPr>
          <w:rFonts w:cs="Arial"/>
          <w:sz w:val="22"/>
          <w:szCs w:val="22"/>
        </w:rPr>
        <w:t xml:space="preserve"> </w:t>
      </w:r>
    </w:p>
    <w:p w14:paraId="7E04D07C" w14:textId="6CDC2229" w:rsidR="00EA2680" w:rsidRPr="00441AF5" w:rsidRDefault="00385333" w:rsidP="0037693F">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Non-commercial organisations are in-scope of the failure to prevent fraud offence. Those which fall under the Better Regulation Framework</w:t>
      </w:r>
      <w:r w:rsidR="00953114">
        <w:rPr>
          <w:rFonts w:cs="Arial"/>
          <w:sz w:val="22"/>
          <w:szCs w:val="22"/>
        </w:rPr>
        <w:t>, interim guidance</w:t>
      </w:r>
      <w:r w:rsidRPr="00441AF5">
        <w:rPr>
          <w:rStyle w:val="FootnoteReference"/>
          <w:rFonts w:cs="Arial"/>
          <w:szCs w:val="22"/>
        </w:rPr>
        <w:footnoteReference w:id="39"/>
      </w:r>
      <w:r w:rsidRPr="00441AF5">
        <w:rPr>
          <w:rFonts w:cs="Arial"/>
          <w:sz w:val="22"/>
          <w:szCs w:val="22"/>
        </w:rPr>
        <w:t xml:space="preserve"> are included in estimates of organisations in scope and the costs. </w:t>
      </w:r>
      <w:r w:rsidR="00E32B3D">
        <w:rPr>
          <w:rFonts w:cs="Arial"/>
          <w:sz w:val="22"/>
          <w:szCs w:val="22"/>
        </w:rPr>
        <w:t>L</w:t>
      </w:r>
      <w:r w:rsidRPr="00441AF5">
        <w:rPr>
          <w:rFonts w:cs="Arial"/>
          <w:sz w:val="22"/>
          <w:szCs w:val="22"/>
        </w:rPr>
        <w:t>ocal authorities, NHS trusts and other public bodies which do not fall under the Better Regulation Framework are not included in the estimates of organisations in scope</w:t>
      </w:r>
      <w:r w:rsidR="001F278C">
        <w:rPr>
          <w:rFonts w:cs="Arial"/>
          <w:sz w:val="22"/>
          <w:szCs w:val="22"/>
        </w:rPr>
        <w:t xml:space="preserve"> or the EANDCB estimates. There were also not included in the wider NPSV</w:t>
      </w:r>
      <w:r w:rsidRPr="00441AF5">
        <w:rPr>
          <w:rFonts w:cs="Arial"/>
          <w:sz w:val="22"/>
          <w:szCs w:val="22"/>
        </w:rPr>
        <w:t xml:space="preserve"> </w:t>
      </w:r>
      <w:r w:rsidR="00063E52">
        <w:rPr>
          <w:rFonts w:cs="Arial"/>
          <w:sz w:val="22"/>
          <w:szCs w:val="22"/>
        </w:rPr>
        <w:t xml:space="preserve">due to the inability of </w:t>
      </w:r>
      <w:r w:rsidR="00840F30">
        <w:rPr>
          <w:rFonts w:cs="Arial"/>
          <w:sz w:val="22"/>
          <w:szCs w:val="22"/>
        </w:rPr>
        <w:t>robustly estimating the number that would fall in scope of the legislation</w:t>
      </w:r>
      <w:r w:rsidR="00063E52" w:rsidRPr="00441AF5" w:rsidDel="00063E52">
        <w:rPr>
          <w:rFonts w:cs="Arial"/>
          <w:sz w:val="22"/>
          <w:szCs w:val="22"/>
        </w:rPr>
        <w:t xml:space="preserve"> </w:t>
      </w:r>
      <w:r w:rsidR="00840F30">
        <w:rPr>
          <w:rFonts w:cs="Arial"/>
          <w:sz w:val="22"/>
          <w:szCs w:val="22"/>
        </w:rPr>
        <w:t>This in explored in more detail the non-monetised costs section.</w:t>
      </w:r>
    </w:p>
    <w:p w14:paraId="4CB15148" w14:textId="42CECF6A" w:rsidR="00385333" w:rsidRPr="0090080A" w:rsidRDefault="00C132CF" w:rsidP="0037693F">
      <w:pPr>
        <w:pStyle w:val="ListParagraph"/>
        <w:numPr>
          <w:ilvl w:val="0"/>
          <w:numId w:val="10"/>
        </w:numPr>
        <w:spacing w:after="120" w:line="259" w:lineRule="auto"/>
        <w:ind w:left="567" w:hanging="567"/>
        <w:contextualSpacing w:val="0"/>
        <w:jc w:val="both"/>
        <w:rPr>
          <w:rFonts w:cs="Arial"/>
          <w:b/>
          <w:sz w:val="22"/>
          <w:szCs w:val="22"/>
          <w:lang w:eastAsia="en-GB"/>
        </w:rPr>
      </w:pPr>
      <w:r w:rsidRPr="0090080A">
        <w:rPr>
          <w:rFonts w:cs="Arial"/>
          <w:sz w:val="22"/>
          <w:szCs w:val="22"/>
        </w:rPr>
        <w:lastRenderedPageBreak/>
        <w:t xml:space="preserve">Using the </w:t>
      </w:r>
      <w:r w:rsidR="00C05643" w:rsidRPr="0090080A">
        <w:rPr>
          <w:rFonts w:cs="Arial"/>
          <w:sz w:val="22"/>
          <w:szCs w:val="22"/>
        </w:rPr>
        <w:t>entity-based</w:t>
      </w:r>
      <w:r w:rsidR="003526BE" w:rsidRPr="0090080A">
        <w:rPr>
          <w:rFonts w:cs="Arial"/>
          <w:sz w:val="22"/>
          <w:szCs w:val="22"/>
        </w:rPr>
        <w:t xml:space="preserve"> definition means that </w:t>
      </w:r>
      <w:r w:rsidR="0093146E" w:rsidRPr="0090080A">
        <w:rPr>
          <w:rFonts w:cs="Arial"/>
          <w:sz w:val="22"/>
          <w:szCs w:val="22"/>
        </w:rPr>
        <w:t>a total potential of</w:t>
      </w:r>
      <w:r w:rsidR="005B41BB" w:rsidRPr="0090080A">
        <w:rPr>
          <w:rFonts w:cs="Arial"/>
          <w:sz w:val="22"/>
          <w:szCs w:val="22"/>
        </w:rPr>
        <w:t xml:space="preserve"> </w:t>
      </w:r>
      <w:r w:rsidR="003526BE" w:rsidRPr="0090080A">
        <w:rPr>
          <w:rFonts w:cs="Arial"/>
          <w:sz w:val="22"/>
          <w:szCs w:val="22"/>
        </w:rPr>
        <w:t xml:space="preserve">24,900 organisations are in scope. </w:t>
      </w:r>
      <w:r w:rsidR="00385333" w:rsidRPr="0090080A">
        <w:rPr>
          <w:rFonts w:cs="Arial"/>
          <w:sz w:val="22"/>
          <w:szCs w:val="22"/>
        </w:rPr>
        <w:t xml:space="preserve">A detailed explanation of how the organisations in scope were estimated is </w:t>
      </w:r>
      <w:r w:rsidR="00EA2680" w:rsidRPr="0090080A">
        <w:rPr>
          <w:rFonts w:cs="Arial"/>
          <w:sz w:val="22"/>
          <w:szCs w:val="22"/>
        </w:rPr>
        <w:t>presented i</w:t>
      </w:r>
      <w:r w:rsidR="00385333" w:rsidRPr="0090080A">
        <w:rPr>
          <w:rFonts w:cs="Arial"/>
          <w:sz w:val="22"/>
          <w:szCs w:val="22"/>
        </w:rPr>
        <w:t xml:space="preserve">n </w:t>
      </w:r>
      <w:r w:rsidR="00385333" w:rsidRPr="0090080A">
        <w:rPr>
          <w:rFonts w:cs="Arial"/>
          <w:b/>
          <w:bCs/>
          <w:sz w:val="22"/>
          <w:szCs w:val="22"/>
        </w:rPr>
        <w:t xml:space="preserve">Annex </w:t>
      </w:r>
      <w:r w:rsidR="008C0ECE" w:rsidRPr="0090080A">
        <w:rPr>
          <w:rFonts w:cs="Arial"/>
          <w:b/>
          <w:bCs/>
          <w:sz w:val="22"/>
          <w:szCs w:val="22"/>
        </w:rPr>
        <w:t>1</w:t>
      </w:r>
      <w:r w:rsidR="00385333" w:rsidRPr="0090080A">
        <w:rPr>
          <w:rFonts w:cs="Arial"/>
          <w:sz w:val="22"/>
          <w:szCs w:val="22"/>
        </w:rPr>
        <w:t>.</w:t>
      </w:r>
      <w:r w:rsidR="00EA2680" w:rsidRPr="0090080A">
        <w:rPr>
          <w:rFonts w:cs="Arial"/>
          <w:sz w:val="22"/>
          <w:szCs w:val="22"/>
        </w:rPr>
        <w:t xml:space="preserve"> </w:t>
      </w:r>
      <w:r w:rsidR="00D85D50" w:rsidRPr="0090080A">
        <w:rPr>
          <w:rFonts w:cs="Arial"/>
          <w:sz w:val="22"/>
          <w:szCs w:val="22"/>
        </w:rPr>
        <w:t xml:space="preserve">The </w:t>
      </w:r>
      <w:r w:rsidR="00C05643" w:rsidRPr="0090080A">
        <w:rPr>
          <w:rFonts w:cs="Arial"/>
          <w:sz w:val="22"/>
          <w:szCs w:val="22"/>
        </w:rPr>
        <w:t>entity-based</w:t>
      </w:r>
      <w:r w:rsidR="00D85D50" w:rsidRPr="0090080A">
        <w:rPr>
          <w:rFonts w:cs="Arial"/>
          <w:sz w:val="22"/>
          <w:szCs w:val="22"/>
        </w:rPr>
        <w:t xml:space="preserve"> definition is used </w:t>
      </w:r>
      <w:r w:rsidR="00C20080" w:rsidRPr="0090080A">
        <w:rPr>
          <w:rFonts w:cs="Arial"/>
          <w:sz w:val="22"/>
          <w:szCs w:val="22"/>
        </w:rPr>
        <w:t xml:space="preserve">to </w:t>
      </w:r>
      <w:r w:rsidR="00794EDF" w:rsidRPr="0090080A">
        <w:rPr>
          <w:rFonts w:cs="Arial"/>
          <w:sz w:val="22"/>
          <w:szCs w:val="22"/>
        </w:rPr>
        <w:t xml:space="preserve">reflect the maximum </w:t>
      </w:r>
      <w:r w:rsidR="00D62944" w:rsidRPr="0090080A">
        <w:rPr>
          <w:rFonts w:cs="Arial"/>
          <w:sz w:val="22"/>
          <w:szCs w:val="22"/>
        </w:rPr>
        <w:t>number of organisations in scope and reflect</w:t>
      </w:r>
      <w:r w:rsidR="00D22839" w:rsidRPr="0090080A">
        <w:rPr>
          <w:rFonts w:cs="Arial"/>
          <w:sz w:val="22"/>
          <w:szCs w:val="22"/>
        </w:rPr>
        <w:t>s</w:t>
      </w:r>
      <w:r w:rsidR="00D62944" w:rsidRPr="0090080A">
        <w:rPr>
          <w:rFonts w:cs="Arial"/>
          <w:sz w:val="22"/>
          <w:szCs w:val="22"/>
        </w:rPr>
        <w:t xml:space="preserve"> the upper bound o</w:t>
      </w:r>
      <w:r w:rsidR="00412CB9" w:rsidRPr="0090080A">
        <w:rPr>
          <w:rFonts w:cs="Arial"/>
          <w:sz w:val="22"/>
          <w:szCs w:val="22"/>
        </w:rPr>
        <w:t>f impacts of t</w:t>
      </w:r>
      <w:r w:rsidR="00707267" w:rsidRPr="0090080A">
        <w:rPr>
          <w:rFonts w:cs="Arial"/>
          <w:sz w:val="22"/>
          <w:szCs w:val="22"/>
        </w:rPr>
        <w:t>his</w:t>
      </w:r>
      <w:r w:rsidR="00412CB9" w:rsidRPr="0090080A">
        <w:rPr>
          <w:rFonts w:cs="Arial"/>
          <w:sz w:val="22"/>
          <w:szCs w:val="22"/>
        </w:rPr>
        <w:t xml:space="preserve"> proposal. </w:t>
      </w:r>
    </w:p>
    <w:p w14:paraId="59BB7BD3" w14:textId="79C7A270" w:rsidR="00B63AC7" w:rsidRPr="00441AF5" w:rsidRDefault="00B63AC7" w:rsidP="0029116F">
      <w:pPr>
        <w:pStyle w:val="EBBullet"/>
        <w:numPr>
          <w:ilvl w:val="0"/>
          <w:numId w:val="0"/>
        </w:numPr>
        <w:spacing w:line="259" w:lineRule="auto"/>
        <w:jc w:val="both"/>
        <w:rPr>
          <w:b/>
          <w:color w:val="auto"/>
        </w:rPr>
      </w:pPr>
      <w:r w:rsidRPr="00441AF5">
        <w:rPr>
          <w:b/>
          <w:color w:val="auto"/>
        </w:rPr>
        <w:t>General assumptions and data</w:t>
      </w:r>
    </w:p>
    <w:p w14:paraId="1A6016B1" w14:textId="099F3560" w:rsidR="007A779F" w:rsidRPr="00441AF5" w:rsidRDefault="007A779F" w:rsidP="0037693F">
      <w:pPr>
        <w:pStyle w:val="ListParagraph"/>
        <w:numPr>
          <w:ilvl w:val="0"/>
          <w:numId w:val="10"/>
        </w:numPr>
        <w:spacing w:after="120" w:line="259" w:lineRule="auto"/>
        <w:ind w:left="567" w:hanging="567"/>
        <w:contextualSpacing w:val="0"/>
        <w:jc w:val="both"/>
      </w:pPr>
      <w:r w:rsidRPr="0037693F">
        <w:rPr>
          <w:sz w:val="22"/>
          <w:szCs w:val="22"/>
        </w:rPr>
        <w:t xml:space="preserve">The </w:t>
      </w:r>
      <w:r w:rsidRPr="0084366D">
        <w:rPr>
          <w:rFonts w:cs="Arial"/>
          <w:sz w:val="22"/>
          <w:szCs w:val="22"/>
        </w:rPr>
        <w:t>analysis</w:t>
      </w:r>
      <w:r w:rsidRPr="00A55741">
        <w:rPr>
          <w:sz w:val="22"/>
          <w:szCs w:val="22"/>
        </w:rPr>
        <w:t xml:space="preserve"> is based on the following general assumptions:</w:t>
      </w:r>
    </w:p>
    <w:p w14:paraId="7DDCF5BE" w14:textId="24E13D33" w:rsidR="00B63AC7" w:rsidRPr="00441AF5" w:rsidRDefault="00875873" w:rsidP="007335EA">
      <w:pPr>
        <w:pStyle w:val="EBBullet"/>
        <w:numPr>
          <w:ilvl w:val="1"/>
          <w:numId w:val="22"/>
        </w:numPr>
        <w:spacing w:line="259" w:lineRule="auto"/>
        <w:ind w:left="1134" w:hanging="425"/>
        <w:jc w:val="both"/>
        <w:rPr>
          <w:bCs w:val="0"/>
          <w:color w:val="auto"/>
        </w:rPr>
      </w:pPr>
      <w:r w:rsidRPr="00441AF5">
        <w:rPr>
          <w:bCs w:val="0"/>
          <w:color w:val="auto"/>
        </w:rPr>
        <w:t>202</w:t>
      </w:r>
      <w:r w:rsidR="00843103" w:rsidRPr="00441AF5">
        <w:rPr>
          <w:bCs w:val="0"/>
          <w:color w:val="auto"/>
        </w:rPr>
        <w:t>4</w:t>
      </w:r>
      <w:r w:rsidRPr="00441AF5">
        <w:rPr>
          <w:bCs w:val="0"/>
          <w:color w:val="auto"/>
        </w:rPr>
        <w:t xml:space="preserve"> </w:t>
      </w:r>
      <w:r w:rsidR="008B778D">
        <w:rPr>
          <w:bCs w:val="0"/>
          <w:color w:val="auto"/>
        </w:rPr>
        <w:t>to</w:t>
      </w:r>
      <w:r w:rsidRPr="00441AF5">
        <w:rPr>
          <w:bCs w:val="0"/>
          <w:color w:val="auto"/>
        </w:rPr>
        <w:t xml:space="preserve"> 203</w:t>
      </w:r>
      <w:r w:rsidR="00843103" w:rsidRPr="00441AF5">
        <w:rPr>
          <w:bCs w:val="0"/>
          <w:color w:val="auto"/>
        </w:rPr>
        <w:t>3</w:t>
      </w:r>
      <w:r w:rsidR="00561978" w:rsidRPr="00441AF5">
        <w:rPr>
          <w:bCs w:val="0"/>
          <w:color w:val="auto"/>
        </w:rPr>
        <w:t>:</w:t>
      </w:r>
      <w:r w:rsidR="002B2A9D" w:rsidRPr="00441AF5">
        <w:rPr>
          <w:bCs w:val="0"/>
          <w:color w:val="auto"/>
        </w:rPr>
        <w:t xml:space="preserve"> </w:t>
      </w:r>
      <w:r w:rsidR="00404CBA" w:rsidRPr="00441AF5">
        <w:rPr>
          <w:bCs w:val="0"/>
          <w:color w:val="auto"/>
        </w:rPr>
        <w:t>The analysis assumes that the measures come into force in 202</w:t>
      </w:r>
      <w:r w:rsidR="00E92A36" w:rsidRPr="00441AF5">
        <w:rPr>
          <w:bCs w:val="0"/>
          <w:color w:val="auto"/>
        </w:rPr>
        <w:t>4</w:t>
      </w:r>
      <w:r w:rsidR="00404CBA" w:rsidRPr="00441AF5">
        <w:rPr>
          <w:bCs w:val="0"/>
          <w:color w:val="auto"/>
        </w:rPr>
        <w:t xml:space="preserve"> and </w:t>
      </w:r>
      <w:r w:rsidR="007A779F" w:rsidRPr="00441AF5">
        <w:rPr>
          <w:bCs w:val="0"/>
          <w:color w:val="auto"/>
        </w:rPr>
        <w:t>costs and benefits arise from that point onwards.</w:t>
      </w:r>
    </w:p>
    <w:p w14:paraId="734BD1F5" w14:textId="5C16B465" w:rsidR="00B63AC7" w:rsidRPr="00441AF5" w:rsidRDefault="008C0ECE" w:rsidP="007335EA">
      <w:pPr>
        <w:pStyle w:val="EBBullet"/>
        <w:numPr>
          <w:ilvl w:val="1"/>
          <w:numId w:val="22"/>
        </w:numPr>
        <w:spacing w:line="259" w:lineRule="auto"/>
        <w:ind w:left="1134" w:hanging="425"/>
        <w:jc w:val="both"/>
        <w:rPr>
          <w:color w:val="auto"/>
        </w:rPr>
      </w:pPr>
      <w:r w:rsidRPr="00441AF5">
        <w:rPr>
          <w:color w:val="auto"/>
        </w:rPr>
        <w:t>20</w:t>
      </w:r>
      <w:r w:rsidR="000223CF" w:rsidRPr="00441AF5">
        <w:rPr>
          <w:color w:val="auto"/>
        </w:rPr>
        <w:t>24</w:t>
      </w:r>
      <w:r w:rsidRPr="00441AF5">
        <w:rPr>
          <w:color w:val="auto"/>
        </w:rPr>
        <w:t xml:space="preserve"> </w:t>
      </w:r>
      <w:r w:rsidR="007A779F" w:rsidRPr="00441AF5">
        <w:rPr>
          <w:color w:val="auto"/>
        </w:rPr>
        <w:t xml:space="preserve">price </w:t>
      </w:r>
      <w:r w:rsidRPr="00441AF5">
        <w:rPr>
          <w:color w:val="auto"/>
        </w:rPr>
        <w:t xml:space="preserve">base </w:t>
      </w:r>
      <w:r w:rsidR="007A779F" w:rsidRPr="00441AF5">
        <w:rPr>
          <w:color w:val="auto"/>
        </w:rPr>
        <w:t xml:space="preserve">year </w:t>
      </w:r>
      <w:r w:rsidR="00843103" w:rsidRPr="00441AF5">
        <w:rPr>
          <w:color w:val="auto"/>
        </w:rPr>
        <w:t xml:space="preserve">(calendar year) </w:t>
      </w:r>
      <w:r w:rsidRPr="00441AF5">
        <w:rPr>
          <w:color w:val="auto"/>
        </w:rPr>
        <w:t xml:space="preserve">(PBY) </w:t>
      </w:r>
      <w:r w:rsidR="007A779F" w:rsidRPr="00441AF5">
        <w:rPr>
          <w:color w:val="auto"/>
        </w:rPr>
        <w:t>and 20</w:t>
      </w:r>
      <w:r w:rsidRPr="00441AF5">
        <w:rPr>
          <w:color w:val="auto"/>
        </w:rPr>
        <w:t>2</w:t>
      </w:r>
      <w:r w:rsidR="000223CF" w:rsidRPr="00441AF5">
        <w:rPr>
          <w:color w:val="auto"/>
        </w:rPr>
        <w:t>4</w:t>
      </w:r>
      <w:r w:rsidR="007A779F" w:rsidRPr="00441AF5">
        <w:rPr>
          <w:color w:val="auto"/>
        </w:rPr>
        <w:t xml:space="preserve"> </w:t>
      </w:r>
      <w:r w:rsidRPr="00441AF5">
        <w:rPr>
          <w:color w:val="auto"/>
        </w:rPr>
        <w:t xml:space="preserve">present value </w:t>
      </w:r>
      <w:r w:rsidR="007A779F" w:rsidRPr="00441AF5">
        <w:rPr>
          <w:color w:val="auto"/>
        </w:rPr>
        <w:t>base year</w:t>
      </w:r>
      <w:r w:rsidR="00843103" w:rsidRPr="00441AF5">
        <w:rPr>
          <w:color w:val="auto"/>
        </w:rPr>
        <w:t xml:space="preserve"> (calendar </w:t>
      </w:r>
      <w:r w:rsidR="00C05643" w:rsidRPr="00441AF5">
        <w:rPr>
          <w:color w:val="auto"/>
        </w:rPr>
        <w:t>year) (</w:t>
      </w:r>
      <w:r w:rsidRPr="00441AF5">
        <w:rPr>
          <w:color w:val="auto"/>
        </w:rPr>
        <w:t>PVBY)</w:t>
      </w:r>
      <w:r w:rsidR="00D4042B" w:rsidRPr="00441AF5">
        <w:rPr>
          <w:color w:val="auto"/>
        </w:rPr>
        <w:t>.</w:t>
      </w:r>
    </w:p>
    <w:p w14:paraId="28956730" w14:textId="11497A88" w:rsidR="00B63AC7" w:rsidRPr="00441AF5" w:rsidRDefault="008C0ECE" w:rsidP="007335EA">
      <w:pPr>
        <w:pStyle w:val="EBBullet"/>
        <w:numPr>
          <w:ilvl w:val="1"/>
          <w:numId w:val="22"/>
        </w:numPr>
        <w:spacing w:line="259" w:lineRule="auto"/>
        <w:ind w:left="1134" w:hanging="425"/>
        <w:jc w:val="both"/>
        <w:rPr>
          <w:color w:val="auto"/>
        </w:rPr>
      </w:pPr>
      <w:r w:rsidRPr="00441AF5">
        <w:rPr>
          <w:bCs w:val="0"/>
          <w:color w:val="auto"/>
        </w:rPr>
        <w:t xml:space="preserve">A </w:t>
      </w:r>
      <w:r w:rsidR="007A779F" w:rsidRPr="00441AF5">
        <w:rPr>
          <w:color w:val="auto"/>
        </w:rPr>
        <w:t>3.5</w:t>
      </w:r>
      <w:r w:rsidRPr="00441AF5">
        <w:rPr>
          <w:color w:val="auto"/>
        </w:rPr>
        <w:t xml:space="preserve"> per cent</w:t>
      </w:r>
      <w:r w:rsidR="007A779F" w:rsidRPr="00441AF5">
        <w:rPr>
          <w:color w:val="auto"/>
        </w:rPr>
        <w:t xml:space="preserve"> discount rate</w:t>
      </w:r>
      <w:r w:rsidR="00B63AC7" w:rsidRPr="00441AF5">
        <w:rPr>
          <w:color w:val="auto"/>
        </w:rPr>
        <w:t xml:space="preserve"> </w:t>
      </w:r>
      <w:r w:rsidR="00561978" w:rsidRPr="00441AF5">
        <w:rPr>
          <w:color w:val="auto"/>
        </w:rPr>
        <w:t>per the</w:t>
      </w:r>
      <w:r w:rsidR="00B63AC7" w:rsidRPr="00441AF5">
        <w:rPr>
          <w:color w:val="auto"/>
        </w:rPr>
        <w:t xml:space="preserve"> Green Book (2022)</w:t>
      </w:r>
      <w:r w:rsidR="00561978" w:rsidRPr="00441AF5">
        <w:rPr>
          <w:rStyle w:val="FootnoteReference"/>
          <w:rFonts w:cs="Arial"/>
          <w:color w:val="auto"/>
        </w:rPr>
        <w:footnoteReference w:id="40"/>
      </w:r>
      <w:r w:rsidR="00B63AC7" w:rsidRPr="00441AF5">
        <w:rPr>
          <w:color w:val="auto"/>
        </w:rPr>
        <w:t>.</w:t>
      </w:r>
    </w:p>
    <w:p w14:paraId="3ADBA6B9" w14:textId="1BF5DE8F" w:rsidR="00A57934" w:rsidRPr="00441AF5" w:rsidRDefault="00A57934" w:rsidP="007335EA">
      <w:pPr>
        <w:pStyle w:val="EBBullet"/>
        <w:numPr>
          <w:ilvl w:val="1"/>
          <w:numId w:val="22"/>
        </w:numPr>
        <w:spacing w:line="259" w:lineRule="auto"/>
        <w:ind w:left="1134" w:hanging="425"/>
        <w:jc w:val="both"/>
        <w:rPr>
          <w:color w:val="auto"/>
        </w:rPr>
      </w:pPr>
      <w:r w:rsidRPr="00441AF5">
        <w:rPr>
          <w:color w:val="auto"/>
        </w:rPr>
        <w:t xml:space="preserve">A reading speed of </w:t>
      </w:r>
      <w:r w:rsidR="00C25E0A">
        <w:rPr>
          <w:color w:val="auto"/>
        </w:rPr>
        <w:t>3</w:t>
      </w:r>
      <w:r w:rsidR="005E15E2">
        <w:rPr>
          <w:color w:val="auto"/>
        </w:rPr>
        <w:t>00</w:t>
      </w:r>
      <w:r w:rsidRPr="00441AF5">
        <w:rPr>
          <w:color w:val="auto"/>
        </w:rPr>
        <w:t xml:space="preserve"> words per minute with 80</w:t>
      </w:r>
      <w:r w:rsidR="008C0ECE" w:rsidRPr="00441AF5">
        <w:rPr>
          <w:color w:val="auto"/>
        </w:rPr>
        <w:t xml:space="preserve"> per cent</w:t>
      </w:r>
      <w:r w:rsidRPr="00441AF5">
        <w:rPr>
          <w:color w:val="auto"/>
        </w:rPr>
        <w:t xml:space="preserve"> comprehension</w:t>
      </w:r>
      <w:r w:rsidR="001C26E8" w:rsidRPr="00441AF5">
        <w:rPr>
          <w:rStyle w:val="FootnoteReference"/>
          <w:rFonts w:cs="Arial"/>
          <w:color w:val="auto"/>
        </w:rPr>
        <w:footnoteReference w:id="41"/>
      </w:r>
      <w:r w:rsidRPr="00441AF5">
        <w:rPr>
          <w:color w:val="auto"/>
        </w:rPr>
        <w:t>.</w:t>
      </w:r>
    </w:p>
    <w:p w14:paraId="2CC2C818" w14:textId="2F0F7D7D" w:rsidR="000A29D6" w:rsidRPr="00441AF5" w:rsidRDefault="000A29D6" w:rsidP="007335EA">
      <w:pPr>
        <w:pStyle w:val="EBBullet"/>
        <w:numPr>
          <w:ilvl w:val="1"/>
          <w:numId w:val="22"/>
        </w:numPr>
        <w:spacing w:line="259" w:lineRule="auto"/>
        <w:ind w:left="1134" w:hanging="425"/>
        <w:jc w:val="both"/>
        <w:rPr>
          <w:color w:val="auto"/>
        </w:rPr>
      </w:pPr>
      <w:r w:rsidRPr="00441AF5">
        <w:rPr>
          <w:color w:val="auto"/>
        </w:rPr>
        <w:t xml:space="preserve">Assumes </w:t>
      </w:r>
      <w:r w:rsidR="005452A5" w:rsidRPr="00441AF5">
        <w:rPr>
          <w:color w:val="auto"/>
        </w:rPr>
        <w:t>for the high scenario</w:t>
      </w:r>
      <w:r w:rsidRPr="00441AF5">
        <w:rPr>
          <w:color w:val="auto"/>
        </w:rPr>
        <w:t xml:space="preserve"> </w:t>
      </w:r>
      <w:r w:rsidR="00AB6F87" w:rsidRPr="00441AF5">
        <w:rPr>
          <w:color w:val="auto"/>
        </w:rPr>
        <w:t>organisations</w:t>
      </w:r>
      <w:r w:rsidRPr="00441AF5">
        <w:rPr>
          <w:color w:val="auto"/>
        </w:rPr>
        <w:t xml:space="preserve"> in-scope do not have sufficient anti</w:t>
      </w:r>
      <w:r w:rsidR="00235960">
        <w:rPr>
          <w:color w:val="auto"/>
        </w:rPr>
        <w:t>-</w:t>
      </w:r>
      <w:r w:rsidRPr="00441AF5">
        <w:rPr>
          <w:color w:val="auto"/>
        </w:rPr>
        <w:t xml:space="preserve">fraud measures already in place and </w:t>
      </w:r>
      <w:r w:rsidR="00847EB7">
        <w:rPr>
          <w:color w:val="auto"/>
        </w:rPr>
        <w:t>would need to implement further procedures to be confident of having a defence in</w:t>
      </w:r>
      <w:r w:rsidR="00FC5425" w:rsidRPr="00441AF5">
        <w:rPr>
          <w:color w:val="auto"/>
        </w:rPr>
        <w:t xml:space="preserve"> the </w:t>
      </w:r>
      <w:r w:rsidR="00847EB7">
        <w:rPr>
          <w:color w:val="auto"/>
        </w:rPr>
        <w:t>event of a</w:t>
      </w:r>
      <w:r w:rsidR="00B91865">
        <w:rPr>
          <w:color w:val="auto"/>
        </w:rPr>
        <w:t xml:space="preserve"> prosecution for </w:t>
      </w:r>
      <w:r w:rsidR="00FC5425" w:rsidRPr="00441AF5">
        <w:rPr>
          <w:color w:val="auto"/>
        </w:rPr>
        <w:t>failure to prevent fraud</w:t>
      </w:r>
      <w:r w:rsidR="006B35D8" w:rsidRPr="00441AF5">
        <w:rPr>
          <w:color w:val="auto"/>
        </w:rPr>
        <w:t>.</w:t>
      </w:r>
      <w:r w:rsidR="006B35D8" w:rsidRPr="00441AF5">
        <w:rPr>
          <w:rStyle w:val="FootnoteReference"/>
          <w:rFonts w:cs="Arial"/>
          <w:color w:val="auto"/>
        </w:rPr>
        <w:footnoteReference w:id="42"/>
      </w:r>
    </w:p>
    <w:p w14:paraId="02DD3511" w14:textId="2E192306" w:rsidR="002423CA" w:rsidRPr="00441AF5" w:rsidRDefault="00440B42" w:rsidP="007335EA">
      <w:pPr>
        <w:pStyle w:val="EBBullet"/>
        <w:numPr>
          <w:ilvl w:val="1"/>
          <w:numId w:val="22"/>
        </w:numPr>
        <w:spacing w:line="259" w:lineRule="auto"/>
        <w:ind w:left="1134" w:hanging="425"/>
        <w:jc w:val="both"/>
        <w:rPr>
          <w:color w:val="auto"/>
        </w:rPr>
      </w:pPr>
      <w:r w:rsidRPr="00441AF5">
        <w:rPr>
          <w:color w:val="auto"/>
        </w:rPr>
        <w:t>T</w:t>
      </w:r>
      <w:r w:rsidR="00BF0049" w:rsidRPr="00441AF5">
        <w:rPr>
          <w:color w:val="auto"/>
        </w:rPr>
        <w:t xml:space="preserve">he </w:t>
      </w:r>
      <w:r w:rsidRPr="00441AF5">
        <w:rPr>
          <w:color w:val="auto"/>
        </w:rPr>
        <w:t xml:space="preserve">2020 </w:t>
      </w:r>
      <w:r w:rsidR="00BF0049" w:rsidRPr="00441AF5">
        <w:rPr>
          <w:color w:val="auto"/>
        </w:rPr>
        <w:t xml:space="preserve">ECS </w:t>
      </w:r>
      <w:r w:rsidR="00C05643" w:rsidRPr="00441AF5">
        <w:rPr>
          <w:color w:val="auto"/>
        </w:rPr>
        <w:t>found that</w:t>
      </w:r>
      <w:r w:rsidR="00BF0049" w:rsidRPr="00441AF5">
        <w:rPr>
          <w:color w:val="auto"/>
        </w:rPr>
        <w:t xml:space="preserve"> 30</w:t>
      </w:r>
      <w:r w:rsidR="005438EC">
        <w:rPr>
          <w:color w:val="auto"/>
        </w:rPr>
        <w:t xml:space="preserve"> per cent</w:t>
      </w:r>
      <w:r w:rsidR="00BF0049" w:rsidRPr="00441AF5">
        <w:rPr>
          <w:color w:val="auto"/>
        </w:rPr>
        <w:t xml:space="preserve"> of businesses undert</w:t>
      </w:r>
      <w:r w:rsidR="00576809" w:rsidRPr="00441AF5">
        <w:rPr>
          <w:color w:val="auto"/>
        </w:rPr>
        <w:t>ake</w:t>
      </w:r>
      <w:r w:rsidR="003F761C" w:rsidRPr="00441AF5">
        <w:rPr>
          <w:color w:val="auto"/>
        </w:rPr>
        <w:t xml:space="preserve"> </w:t>
      </w:r>
      <w:r w:rsidR="00BF0049" w:rsidRPr="00441AF5">
        <w:rPr>
          <w:color w:val="auto"/>
        </w:rPr>
        <w:t>anti-fraud measures and 15</w:t>
      </w:r>
      <w:r w:rsidR="005438EC">
        <w:rPr>
          <w:color w:val="auto"/>
        </w:rPr>
        <w:t xml:space="preserve"> </w:t>
      </w:r>
      <w:r w:rsidR="00A45844">
        <w:rPr>
          <w:color w:val="auto"/>
        </w:rPr>
        <w:t>per cent</w:t>
      </w:r>
      <w:r w:rsidR="00BF0049" w:rsidRPr="00441AF5">
        <w:rPr>
          <w:color w:val="auto"/>
        </w:rPr>
        <w:t xml:space="preserve"> </w:t>
      </w:r>
      <w:r w:rsidR="00605D84" w:rsidRPr="00441AF5">
        <w:rPr>
          <w:color w:val="auto"/>
        </w:rPr>
        <w:t xml:space="preserve">have </w:t>
      </w:r>
      <w:r w:rsidR="00BF0049" w:rsidRPr="00441AF5">
        <w:rPr>
          <w:color w:val="auto"/>
        </w:rPr>
        <w:t>anti-fraud and corruption campaign/training</w:t>
      </w:r>
      <w:r w:rsidR="00894610" w:rsidRPr="00441AF5">
        <w:rPr>
          <w:rStyle w:val="FootnoteReference"/>
          <w:rFonts w:cs="Arial"/>
          <w:color w:val="auto"/>
        </w:rPr>
        <w:footnoteReference w:id="43"/>
      </w:r>
      <w:r w:rsidR="00576809" w:rsidRPr="00441AF5">
        <w:rPr>
          <w:color w:val="auto"/>
        </w:rPr>
        <w:t xml:space="preserve"> in place</w:t>
      </w:r>
      <w:r w:rsidR="0080518A" w:rsidRPr="00441AF5">
        <w:rPr>
          <w:rStyle w:val="FootnoteReference"/>
          <w:rFonts w:cs="Arial"/>
          <w:color w:val="auto"/>
        </w:rPr>
        <w:footnoteReference w:id="44"/>
      </w:r>
      <w:r w:rsidR="00BF0049" w:rsidRPr="00441AF5">
        <w:rPr>
          <w:color w:val="auto"/>
        </w:rPr>
        <w:t xml:space="preserve">. </w:t>
      </w:r>
      <w:r w:rsidR="00716595" w:rsidRPr="00441AF5">
        <w:rPr>
          <w:color w:val="auto"/>
        </w:rPr>
        <w:t xml:space="preserve">These </w:t>
      </w:r>
      <w:r w:rsidR="003A2228" w:rsidRPr="00441AF5">
        <w:rPr>
          <w:color w:val="auto"/>
        </w:rPr>
        <w:t xml:space="preserve">estimates </w:t>
      </w:r>
      <w:r w:rsidR="00716595" w:rsidRPr="00441AF5">
        <w:rPr>
          <w:color w:val="auto"/>
        </w:rPr>
        <w:t xml:space="preserve">are used </w:t>
      </w:r>
      <w:r w:rsidR="00E120D0" w:rsidRPr="00441AF5">
        <w:rPr>
          <w:color w:val="auto"/>
        </w:rPr>
        <w:t>produce scenarios for the proportion of companies that h</w:t>
      </w:r>
      <w:r w:rsidR="00F1771A" w:rsidRPr="00441AF5">
        <w:rPr>
          <w:color w:val="auto"/>
        </w:rPr>
        <w:t>ave s</w:t>
      </w:r>
      <w:r w:rsidR="00BC2032" w:rsidRPr="00441AF5">
        <w:rPr>
          <w:color w:val="auto"/>
        </w:rPr>
        <w:t>ufficient</w:t>
      </w:r>
      <w:r w:rsidR="00E120D0" w:rsidRPr="00441AF5">
        <w:rPr>
          <w:color w:val="auto"/>
        </w:rPr>
        <w:t xml:space="preserve"> </w:t>
      </w:r>
      <w:r w:rsidR="00BF0049" w:rsidRPr="00441AF5">
        <w:rPr>
          <w:color w:val="auto"/>
        </w:rPr>
        <w:t>anti-fraud measure in place</w:t>
      </w:r>
      <w:r w:rsidR="00894610" w:rsidRPr="00441AF5">
        <w:rPr>
          <w:color w:val="auto"/>
        </w:rPr>
        <w:t xml:space="preserve"> and form the </w:t>
      </w:r>
      <w:r w:rsidR="00F05DCD" w:rsidRPr="00441AF5">
        <w:rPr>
          <w:color w:val="auto"/>
        </w:rPr>
        <w:t>range for the cost estimates</w:t>
      </w:r>
      <w:r w:rsidR="00716595" w:rsidRPr="00441AF5">
        <w:rPr>
          <w:color w:val="auto"/>
        </w:rPr>
        <w:t xml:space="preserve">. </w:t>
      </w:r>
      <w:r w:rsidR="00EF5A0A">
        <w:rPr>
          <w:color w:val="auto"/>
        </w:rPr>
        <w:t>It is ass</w:t>
      </w:r>
      <w:r w:rsidR="000E471A">
        <w:rPr>
          <w:color w:val="auto"/>
        </w:rPr>
        <w:t>u</w:t>
      </w:r>
      <w:r w:rsidR="00EF5A0A">
        <w:rPr>
          <w:color w:val="auto"/>
        </w:rPr>
        <w:t xml:space="preserve">med that these </w:t>
      </w:r>
      <w:r w:rsidR="000E471A">
        <w:rPr>
          <w:color w:val="auto"/>
        </w:rPr>
        <w:t xml:space="preserve">anti-fraud procedures </w:t>
      </w:r>
      <w:r w:rsidR="00823246">
        <w:rPr>
          <w:color w:val="auto"/>
        </w:rPr>
        <w:t xml:space="preserve">also </w:t>
      </w:r>
      <w:r w:rsidR="00F316BF">
        <w:rPr>
          <w:color w:val="auto"/>
        </w:rPr>
        <w:t>cover fraud committed by employees</w:t>
      </w:r>
      <w:r w:rsidR="000219C7">
        <w:rPr>
          <w:color w:val="auto"/>
        </w:rPr>
        <w:t xml:space="preserve"> which would benefit the company</w:t>
      </w:r>
      <w:r w:rsidR="00157C19">
        <w:rPr>
          <w:color w:val="auto"/>
        </w:rPr>
        <w:t xml:space="preserve">. </w:t>
      </w:r>
    </w:p>
    <w:p w14:paraId="2880BF80" w14:textId="19D1F05E" w:rsidR="0038313B" w:rsidRPr="008815A3" w:rsidRDefault="00A83E2A" w:rsidP="007335EA">
      <w:pPr>
        <w:pStyle w:val="EBBullet"/>
        <w:numPr>
          <w:ilvl w:val="1"/>
          <w:numId w:val="22"/>
        </w:numPr>
        <w:spacing w:line="259" w:lineRule="auto"/>
        <w:ind w:left="1134" w:hanging="425"/>
        <w:jc w:val="both"/>
        <w:rPr>
          <w:color w:val="auto"/>
        </w:rPr>
      </w:pPr>
      <w:r>
        <w:rPr>
          <w:color w:val="auto"/>
        </w:rPr>
        <w:t>For the low scenario it is assumed that for all of the 30 per cent of companies</w:t>
      </w:r>
      <w:r w:rsidR="000650EE">
        <w:rPr>
          <w:color w:val="auto"/>
        </w:rPr>
        <w:t xml:space="preserve"> who </w:t>
      </w:r>
      <w:r w:rsidR="000650EE" w:rsidRPr="002753C2">
        <w:t>have anti-fraud measures in place they will deem these sufficient for the new regulation and will not incur further costs beyond familiarisation and risk assessment transition</w:t>
      </w:r>
      <w:r w:rsidR="000650EE">
        <w:t xml:space="preserve"> costs.</w:t>
      </w:r>
    </w:p>
    <w:p w14:paraId="1D942419" w14:textId="6A6EB4CC" w:rsidR="000650EE" w:rsidRPr="00441AF5" w:rsidRDefault="000650EE" w:rsidP="007335EA">
      <w:pPr>
        <w:pStyle w:val="EBBullet"/>
        <w:numPr>
          <w:ilvl w:val="1"/>
          <w:numId w:val="22"/>
        </w:numPr>
        <w:spacing w:line="259" w:lineRule="auto"/>
        <w:ind w:left="1134" w:hanging="425"/>
        <w:jc w:val="both"/>
        <w:rPr>
          <w:color w:val="auto"/>
        </w:rPr>
      </w:pPr>
      <w:r>
        <w:t xml:space="preserve">For the </w:t>
      </w:r>
      <w:r w:rsidRPr="00441AF5">
        <w:t xml:space="preserve">central/best scenario it is assumed that all </w:t>
      </w:r>
      <w:r>
        <w:t xml:space="preserve">of </w:t>
      </w:r>
      <w:r w:rsidRPr="00441AF5">
        <w:t>the 15</w:t>
      </w:r>
      <w:r>
        <w:t xml:space="preserve"> per cent</w:t>
      </w:r>
      <w:r w:rsidRPr="00441AF5">
        <w:t xml:space="preserve"> of companies who have anti-fraud and corruption campaign/training in place will deem these sufficient for the new regulation and </w:t>
      </w:r>
      <w:r>
        <w:t>will</w:t>
      </w:r>
      <w:r w:rsidRPr="00441AF5">
        <w:t xml:space="preserve"> not incur further costs beyond familiarisation and risk assessment transition</w:t>
      </w:r>
      <w:r>
        <w:t xml:space="preserve"> costs.</w:t>
      </w:r>
    </w:p>
    <w:p w14:paraId="01E2BAB0" w14:textId="7BC95068" w:rsidR="00B63AC7" w:rsidRPr="00441AF5" w:rsidRDefault="008C0ECE" w:rsidP="0037693F">
      <w:pPr>
        <w:pStyle w:val="ListParagraph"/>
        <w:numPr>
          <w:ilvl w:val="0"/>
          <w:numId w:val="10"/>
        </w:numPr>
        <w:spacing w:after="120" w:line="259" w:lineRule="auto"/>
        <w:ind w:left="567" w:hanging="567"/>
        <w:contextualSpacing w:val="0"/>
        <w:jc w:val="both"/>
      </w:pPr>
      <w:r w:rsidRPr="0037693F">
        <w:rPr>
          <w:sz w:val="22"/>
          <w:szCs w:val="22"/>
        </w:rPr>
        <w:t xml:space="preserve">The main </w:t>
      </w:r>
      <w:r w:rsidR="00C43BB3" w:rsidRPr="0037693F">
        <w:rPr>
          <w:sz w:val="22"/>
          <w:szCs w:val="22"/>
        </w:rPr>
        <w:t>data sources used for this analysis:</w:t>
      </w:r>
    </w:p>
    <w:p w14:paraId="06B05085" w14:textId="1A14E40B" w:rsidR="007A779F" w:rsidRPr="00441AF5" w:rsidRDefault="007A779F" w:rsidP="00D96FE7">
      <w:pPr>
        <w:pStyle w:val="EBBullet"/>
        <w:numPr>
          <w:ilvl w:val="1"/>
          <w:numId w:val="95"/>
        </w:numPr>
        <w:spacing w:line="259" w:lineRule="auto"/>
        <w:ind w:left="1134" w:hanging="425"/>
        <w:jc w:val="both"/>
        <w:rPr>
          <w:bCs w:val="0"/>
          <w:color w:val="auto"/>
        </w:rPr>
      </w:pPr>
      <w:bookmarkStart w:id="20" w:name="_Hlk153977759"/>
      <w:r w:rsidRPr="00441AF5">
        <w:rPr>
          <w:bCs w:val="0"/>
          <w:color w:val="auto"/>
        </w:rPr>
        <w:t>Business Population Estimates 20</w:t>
      </w:r>
      <w:r w:rsidR="007848C1" w:rsidRPr="00441AF5">
        <w:rPr>
          <w:bCs w:val="0"/>
          <w:color w:val="auto"/>
        </w:rPr>
        <w:t>2</w:t>
      </w:r>
      <w:r w:rsidR="003F3E6A">
        <w:rPr>
          <w:bCs w:val="0"/>
          <w:color w:val="auto"/>
        </w:rPr>
        <w:t>1</w:t>
      </w:r>
      <w:r w:rsidR="00D4042B" w:rsidRPr="00441AF5">
        <w:rPr>
          <w:rStyle w:val="FootnoteReference"/>
          <w:rFonts w:cs="Arial"/>
          <w:bCs w:val="0"/>
          <w:color w:val="auto"/>
        </w:rPr>
        <w:footnoteReference w:id="45"/>
      </w:r>
      <w:r w:rsidR="004442CD" w:rsidRPr="00441AF5">
        <w:rPr>
          <w:bCs w:val="0"/>
          <w:color w:val="auto"/>
        </w:rPr>
        <w:t xml:space="preserve"> used to inform </w:t>
      </w:r>
      <w:r w:rsidR="00CF42CD" w:rsidRPr="00441AF5">
        <w:rPr>
          <w:bCs w:val="0"/>
          <w:color w:val="auto"/>
        </w:rPr>
        <w:t>numbers of organisations in scope and their employment</w:t>
      </w:r>
      <w:bookmarkEnd w:id="20"/>
      <w:r w:rsidR="00930351" w:rsidRPr="00441AF5">
        <w:rPr>
          <w:bCs w:val="0"/>
          <w:color w:val="auto"/>
        </w:rPr>
        <w:t>.</w:t>
      </w:r>
    </w:p>
    <w:p w14:paraId="68ECA5C3" w14:textId="0C70A7DE" w:rsidR="007A779F" w:rsidRPr="00375C14" w:rsidRDefault="007A779F" w:rsidP="00D96FE7">
      <w:pPr>
        <w:pStyle w:val="EBBullet"/>
        <w:numPr>
          <w:ilvl w:val="1"/>
          <w:numId w:val="95"/>
        </w:numPr>
        <w:spacing w:line="259" w:lineRule="auto"/>
        <w:ind w:left="1134" w:hanging="425"/>
        <w:jc w:val="both"/>
      </w:pPr>
      <w:r w:rsidRPr="00441AF5">
        <w:rPr>
          <w:bCs w:val="0"/>
          <w:color w:val="auto"/>
        </w:rPr>
        <w:t>Annual Survey of Hours and Earnings</w:t>
      </w:r>
      <w:r w:rsidR="001F0681" w:rsidRPr="00441AF5">
        <w:rPr>
          <w:bCs w:val="0"/>
          <w:color w:val="auto"/>
        </w:rPr>
        <w:t xml:space="preserve"> (ASHE)</w:t>
      </w:r>
      <w:r w:rsidRPr="00441AF5">
        <w:rPr>
          <w:bCs w:val="0"/>
          <w:color w:val="auto"/>
        </w:rPr>
        <w:t xml:space="preserve"> </w:t>
      </w:r>
      <w:r w:rsidR="00BB34A0" w:rsidRPr="00441AF5">
        <w:rPr>
          <w:color w:val="auto"/>
        </w:rPr>
        <w:t>20</w:t>
      </w:r>
      <w:r w:rsidR="00A40455" w:rsidRPr="00441AF5">
        <w:rPr>
          <w:bCs w:val="0"/>
          <w:color w:val="auto"/>
        </w:rPr>
        <w:t>2</w:t>
      </w:r>
      <w:r w:rsidR="00D957CE">
        <w:rPr>
          <w:bCs w:val="0"/>
          <w:color w:val="auto"/>
        </w:rPr>
        <w:t>3</w:t>
      </w:r>
      <w:r w:rsidR="00930351" w:rsidRPr="00441AF5">
        <w:rPr>
          <w:rStyle w:val="FootnoteReference"/>
          <w:rFonts w:cs="Arial"/>
          <w:bCs w:val="0"/>
          <w:color w:val="auto"/>
        </w:rPr>
        <w:footnoteReference w:id="46"/>
      </w:r>
      <w:r w:rsidR="00CF42CD" w:rsidRPr="00441AF5">
        <w:rPr>
          <w:bCs w:val="0"/>
          <w:color w:val="auto"/>
        </w:rPr>
        <w:t xml:space="preserve"> used to inform wage costs</w:t>
      </w:r>
      <w:r w:rsidR="00930351" w:rsidRPr="00441AF5">
        <w:rPr>
          <w:bCs w:val="0"/>
          <w:color w:val="auto"/>
        </w:rPr>
        <w:t>.</w:t>
      </w:r>
    </w:p>
    <w:p w14:paraId="595FE5AF" w14:textId="7A3FE983" w:rsidR="0008012F" w:rsidRDefault="002F3F81" w:rsidP="0037693F">
      <w:pPr>
        <w:pStyle w:val="ListParagraph"/>
        <w:numPr>
          <w:ilvl w:val="0"/>
          <w:numId w:val="10"/>
        </w:numPr>
        <w:spacing w:after="120" w:line="259" w:lineRule="auto"/>
        <w:ind w:left="567" w:hanging="567"/>
        <w:contextualSpacing w:val="0"/>
        <w:jc w:val="both"/>
      </w:pPr>
      <w:r w:rsidRPr="0037693F">
        <w:rPr>
          <w:sz w:val="22"/>
          <w:szCs w:val="22"/>
        </w:rPr>
        <w:t>As this measure was introduced during Bill passage</w:t>
      </w:r>
      <w:r w:rsidR="00B65014" w:rsidRPr="0037693F">
        <w:rPr>
          <w:sz w:val="22"/>
          <w:szCs w:val="22"/>
        </w:rPr>
        <w:t>,</w:t>
      </w:r>
      <w:r w:rsidRPr="0037693F">
        <w:rPr>
          <w:sz w:val="22"/>
          <w:szCs w:val="22"/>
        </w:rPr>
        <w:t xml:space="preserve"> </w:t>
      </w:r>
      <w:r w:rsidR="00940C5D" w:rsidRPr="0037693F">
        <w:rPr>
          <w:sz w:val="22"/>
          <w:szCs w:val="22"/>
        </w:rPr>
        <w:t xml:space="preserve">it was impossible </w:t>
      </w:r>
      <w:r w:rsidRPr="0037693F">
        <w:rPr>
          <w:sz w:val="22"/>
          <w:szCs w:val="22"/>
        </w:rPr>
        <w:t xml:space="preserve">to </w:t>
      </w:r>
      <w:r w:rsidR="00660142" w:rsidRPr="0037693F">
        <w:rPr>
          <w:sz w:val="22"/>
          <w:szCs w:val="22"/>
        </w:rPr>
        <w:t>test estimate</w:t>
      </w:r>
      <w:r w:rsidR="00940C5D" w:rsidRPr="0037693F">
        <w:rPr>
          <w:sz w:val="22"/>
          <w:szCs w:val="22"/>
        </w:rPr>
        <w:t>s</w:t>
      </w:r>
      <w:r w:rsidR="00660142" w:rsidRPr="0037693F">
        <w:rPr>
          <w:sz w:val="22"/>
          <w:szCs w:val="22"/>
        </w:rPr>
        <w:t xml:space="preserve"> of impacts with stakeholders.</w:t>
      </w:r>
      <w:r w:rsidR="00C23E12" w:rsidRPr="0037693F">
        <w:rPr>
          <w:sz w:val="22"/>
          <w:szCs w:val="22"/>
        </w:rPr>
        <w:t xml:space="preserve"> So</w:t>
      </w:r>
      <w:r w:rsidR="00D66B9B" w:rsidRPr="0037693F">
        <w:rPr>
          <w:sz w:val="22"/>
          <w:szCs w:val="22"/>
        </w:rPr>
        <w:t>,</w:t>
      </w:r>
      <w:r w:rsidR="00C23E12" w:rsidRPr="0037693F">
        <w:rPr>
          <w:sz w:val="22"/>
          <w:szCs w:val="22"/>
        </w:rPr>
        <w:t xml:space="preserve"> the approach taken was to </w:t>
      </w:r>
      <w:r w:rsidR="00EB5DAB" w:rsidRPr="0037693F">
        <w:rPr>
          <w:sz w:val="22"/>
          <w:szCs w:val="22"/>
        </w:rPr>
        <w:t>use guidance for comparable regulations</w:t>
      </w:r>
      <w:r w:rsidR="00D66B9B" w:rsidRPr="0037693F">
        <w:rPr>
          <w:sz w:val="22"/>
          <w:szCs w:val="22"/>
        </w:rPr>
        <w:t xml:space="preserve"> to estimate costs, in particular </w:t>
      </w:r>
      <w:r w:rsidR="00C217E1" w:rsidRPr="0037693F">
        <w:rPr>
          <w:sz w:val="22"/>
          <w:szCs w:val="22"/>
        </w:rPr>
        <w:t xml:space="preserve">guidance related </w:t>
      </w:r>
      <w:r w:rsidR="00D66B9B" w:rsidRPr="0037693F">
        <w:rPr>
          <w:sz w:val="22"/>
          <w:szCs w:val="22"/>
        </w:rPr>
        <w:t xml:space="preserve">the failure to prevent </w:t>
      </w:r>
      <w:r w:rsidR="00642502" w:rsidRPr="0037693F">
        <w:rPr>
          <w:sz w:val="22"/>
          <w:szCs w:val="22"/>
        </w:rPr>
        <w:t>tax evasion</w:t>
      </w:r>
      <w:r w:rsidR="00D66B9B" w:rsidRPr="0037693F">
        <w:rPr>
          <w:sz w:val="22"/>
          <w:szCs w:val="22"/>
        </w:rPr>
        <w:t xml:space="preserve"> and failure to preven</w:t>
      </w:r>
      <w:r w:rsidR="009F33B3" w:rsidRPr="0037693F">
        <w:rPr>
          <w:sz w:val="22"/>
          <w:szCs w:val="22"/>
        </w:rPr>
        <w:t>t</w:t>
      </w:r>
      <w:r w:rsidR="00D66B9B" w:rsidRPr="0037693F">
        <w:rPr>
          <w:sz w:val="22"/>
          <w:szCs w:val="22"/>
        </w:rPr>
        <w:t xml:space="preserve"> bribery offences.</w:t>
      </w:r>
      <w:r w:rsidR="00660142" w:rsidRPr="0037693F">
        <w:rPr>
          <w:sz w:val="22"/>
          <w:szCs w:val="22"/>
        </w:rPr>
        <w:t xml:space="preserve"> </w:t>
      </w:r>
      <w:r w:rsidR="00F3727A" w:rsidRPr="0037693F">
        <w:rPr>
          <w:sz w:val="22"/>
          <w:szCs w:val="22"/>
        </w:rPr>
        <w:t>The IA</w:t>
      </w:r>
      <w:r w:rsidR="0008012F" w:rsidRPr="0037693F">
        <w:rPr>
          <w:sz w:val="22"/>
          <w:szCs w:val="22"/>
        </w:rPr>
        <w:t xml:space="preserve"> </w:t>
      </w:r>
      <w:r w:rsidR="00C477DF" w:rsidRPr="0037693F">
        <w:rPr>
          <w:sz w:val="22"/>
          <w:szCs w:val="22"/>
        </w:rPr>
        <w:t xml:space="preserve">accounted for </w:t>
      </w:r>
      <w:r w:rsidR="0008012F" w:rsidRPr="0037693F">
        <w:rPr>
          <w:sz w:val="22"/>
          <w:szCs w:val="22"/>
        </w:rPr>
        <w:t xml:space="preserve">the following: </w:t>
      </w:r>
    </w:p>
    <w:p w14:paraId="5A67E222" w14:textId="706C15C7" w:rsidR="0008012F" w:rsidRDefault="00F3727A" w:rsidP="00375C14">
      <w:pPr>
        <w:pStyle w:val="EBBullet"/>
        <w:numPr>
          <w:ilvl w:val="1"/>
          <w:numId w:val="95"/>
        </w:numPr>
        <w:spacing w:line="259" w:lineRule="auto"/>
        <w:ind w:left="1134" w:hanging="425"/>
        <w:jc w:val="both"/>
        <w:rPr>
          <w:bCs w:val="0"/>
          <w:color w:val="auto"/>
        </w:rPr>
      </w:pPr>
      <w:r>
        <w:rPr>
          <w:bCs w:val="0"/>
          <w:color w:val="auto"/>
        </w:rPr>
        <w:lastRenderedPageBreak/>
        <w:t>That the burden of proof is on the organisation to demonstrate that its procedures are reasonable</w:t>
      </w:r>
      <w:r w:rsidR="00737CAF">
        <w:rPr>
          <w:bCs w:val="0"/>
          <w:color w:val="auto"/>
        </w:rPr>
        <w:t xml:space="preserve">. HMRC use the reasonable procedures defence in </w:t>
      </w:r>
      <w:r w:rsidR="0094616A">
        <w:rPr>
          <w:bCs w:val="0"/>
          <w:color w:val="auto"/>
        </w:rPr>
        <w:t xml:space="preserve">the failure to prevent tax evasion offence and they have set out </w:t>
      </w:r>
      <w:r w:rsidR="00FD194E">
        <w:rPr>
          <w:bCs w:val="0"/>
          <w:color w:val="auto"/>
        </w:rPr>
        <w:t>s</w:t>
      </w:r>
      <w:r w:rsidR="00CF7823">
        <w:rPr>
          <w:bCs w:val="0"/>
          <w:color w:val="auto"/>
        </w:rPr>
        <w:t>i</w:t>
      </w:r>
      <w:r w:rsidR="00FD194E">
        <w:rPr>
          <w:bCs w:val="0"/>
          <w:color w:val="auto"/>
        </w:rPr>
        <w:t>x principles</w:t>
      </w:r>
      <w:r w:rsidR="0094616A">
        <w:rPr>
          <w:bCs w:val="0"/>
          <w:color w:val="auto"/>
        </w:rPr>
        <w:t xml:space="preserve"> for what constitutes</w:t>
      </w:r>
      <w:r w:rsidR="00FD194E">
        <w:rPr>
          <w:bCs w:val="0"/>
          <w:color w:val="auto"/>
        </w:rPr>
        <w:t xml:space="preserve"> reasonable procedures</w:t>
      </w:r>
      <w:r w:rsidR="00285865">
        <w:rPr>
          <w:rStyle w:val="FootnoteReference"/>
          <w:bCs w:val="0"/>
          <w:color w:val="auto"/>
        </w:rPr>
        <w:footnoteReference w:id="47"/>
      </w:r>
      <w:r w:rsidR="00285865">
        <w:rPr>
          <w:bCs w:val="0"/>
          <w:color w:val="auto"/>
        </w:rPr>
        <w:t xml:space="preserve">. </w:t>
      </w:r>
    </w:p>
    <w:p w14:paraId="3DB7E480" w14:textId="45654D8A" w:rsidR="00642502" w:rsidRDefault="00544243" w:rsidP="00375C14">
      <w:pPr>
        <w:pStyle w:val="EBBullet"/>
        <w:numPr>
          <w:ilvl w:val="1"/>
          <w:numId w:val="95"/>
        </w:numPr>
        <w:spacing w:line="259" w:lineRule="auto"/>
        <w:ind w:left="1134" w:hanging="425"/>
        <w:jc w:val="both"/>
        <w:rPr>
          <w:bCs w:val="0"/>
          <w:color w:val="auto"/>
        </w:rPr>
      </w:pPr>
      <w:r>
        <w:rPr>
          <w:bCs w:val="0"/>
          <w:color w:val="auto"/>
        </w:rPr>
        <w:t>While the guidance set out the steps that organisation</w:t>
      </w:r>
      <w:r w:rsidR="00C465FF">
        <w:rPr>
          <w:bCs w:val="0"/>
          <w:color w:val="auto"/>
        </w:rPr>
        <w:t>s</w:t>
      </w:r>
      <w:r>
        <w:rPr>
          <w:bCs w:val="0"/>
          <w:color w:val="auto"/>
        </w:rPr>
        <w:t xml:space="preserve"> needed to take</w:t>
      </w:r>
      <w:r w:rsidR="00C465FF">
        <w:rPr>
          <w:bCs w:val="0"/>
          <w:color w:val="auto"/>
        </w:rPr>
        <w:t xml:space="preserve">, the guidance does not set out the level of effort that organisations need to commit to. </w:t>
      </w:r>
      <w:r w:rsidR="00B22E17">
        <w:rPr>
          <w:bCs w:val="0"/>
          <w:color w:val="auto"/>
        </w:rPr>
        <w:t>This means that the guidance alone does not allow the estimation of compliance costs</w:t>
      </w:r>
      <w:r w:rsidR="00DC4CE3">
        <w:rPr>
          <w:bCs w:val="0"/>
          <w:color w:val="auto"/>
        </w:rPr>
        <w:t xml:space="preserve"> for each step</w:t>
      </w:r>
      <w:r w:rsidR="00B22E17">
        <w:rPr>
          <w:bCs w:val="0"/>
          <w:color w:val="auto"/>
        </w:rPr>
        <w:t>.</w:t>
      </w:r>
      <w:r>
        <w:rPr>
          <w:bCs w:val="0"/>
          <w:color w:val="auto"/>
        </w:rPr>
        <w:t xml:space="preserve"> </w:t>
      </w:r>
      <w:r w:rsidR="00642502">
        <w:rPr>
          <w:bCs w:val="0"/>
          <w:color w:val="auto"/>
        </w:rPr>
        <w:t xml:space="preserve">Unfortunately, </w:t>
      </w:r>
      <w:r w:rsidR="00BC6801">
        <w:rPr>
          <w:bCs w:val="0"/>
          <w:color w:val="auto"/>
        </w:rPr>
        <w:t>i</w:t>
      </w:r>
      <w:r w:rsidR="00B22E17">
        <w:rPr>
          <w:bCs w:val="0"/>
          <w:color w:val="auto"/>
        </w:rPr>
        <w:t xml:space="preserve">mpact </w:t>
      </w:r>
      <w:r w:rsidR="00BC6801">
        <w:rPr>
          <w:bCs w:val="0"/>
          <w:color w:val="auto"/>
        </w:rPr>
        <w:t>a</w:t>
      </w:r>
      <w:r w:rsidR="00B22E17">
        <w:rPr>
          <w:bCs w:val="0"/>
          <w:color w:val="auto"/>
        </w:rPr>
        <w:t xml:space="preserve">ssessments or </w:t>
      </w:r>
      <w:r w:rsidR="00C666AF">
        <w:rPr>
          <w:bCs w:val="0"/>
          <w:color w:val="auto"/>
        </w:rPr>
        <w:t>p</w:t>
      </w:r>
      <w:r w:rsidR="00B22E17">
        <w:rPr>
          <w:bCs w:val="0"/>
          <w:color w:val="auto"/>
        </w:rPr>
        <w:t>ost</w:t>
      </w:r>
      <w:r w:rsidR="00C666AF">
        <w:rPr>
          <w:bCs w:val="0"/>
          <w:color w:val="auto"/>
        </w:rPr>
        <w:t>-i</w:t>
      </w:r>
      <w:r w:rsidR="00B22E17">
        <w:rPr>
          <w:bCs w:val="0"/>
          <w:color w:val="auto"/>
        </w:rPr>
        <w:t xml:space="preserve">mplementation </w:t>
      </w:r>
      <w:r w:rsidR="00C666AF">
        <w:rPr>
          <w:bCs w:val="0"/>
          <w:color w:val="auto"/>
        </w:rPr>
        <w:t>r</w:t>
      </w:r>
      <w:r w:rsidR="00B22E17">
        <w:rPr>
          <w:bCs w:val="0"/>
          <w:color w:val="auto"/>
        </w:rPr>
        <w:t xml:space="preserve">eviews </w:t>
      </w:r>
      <w:r w:rsidR="00BF12F0">
        <w:rPr>
          <w:bCs w:val="0"/>
          <w:color w:val="auto"/>
        </w:rPr>
        <w:t xml:space="preserve">of </w:t>
      </w:r>
      <w:r w:rsidR="00DC4CE3">
        <w:rPr>
          <w:bCs w:val="0"/>
          <w:color w:val="auto"/>
        </w:rPr>
        <w:t>other failure to prevent</w:t>
      </w:r>
      <w:r w:rsidR="00642502">
        <w:rPr>
          <w:bCs w:val="0"/>
          <w:color w:val="auto"/>
        </w:rPr>
        <w:t xml:space="preserve"> measures </w:t>
      </w:r>
      <w:r w:rsidR="00BF12F0">
        <w:rPr>
          <w:bCs w:val="0"/>
          <w:color w:val="auto"/>
        </w:rPr>
        <w:t>do not seem to exist</w:t>
      </w:r>
      <w:r w:rsidR="00FB11FD">
        <w:rPr>
          <w:bCs w:val="0"/>
          <w:color w:val="auto"/>
        </w:rPr>
        <w:t xml:space="preserve">, likely because </w:t>
      </w:r>
      <w:r w:rsidR="00976AAA">
        <w:rPr>
          <w:bCs w:val="0"/>
          <w:color w:val="auto"/>
        </w:rPr>
        <w:t>both measures were introduced outside the better regulation framework</w:t>
      </w:r>
      <w:r w:rsidR="00230505">
        <w:rPr>
          <w:rStyle w:val="FootnoteReference"/>
          <w:bCs w:val="0"/>
          <w:color w:val="auto"/>
        </w:rPr>
        <w:footnoteReference w:id="48"/>
      </w:r>
      <w:r w:rsidR="00976AAA">
        <w:rPr>
          <w:bCs w:val="0"/>
          <w:color w:val="auto"/>
        </w:rPr>
        <w:t>.</w:t>
      </w:r>
      <w:r w:rsidR="00FB11FD">
        <w:rPr>
          <w:bCs w:val="0"/>
          <w:color w:val="auto"/>
        </w:rPr>
        <w:t xml:space="preserve"> </w:t>
      </w:r>
      <w:r w:rsidR="00CF7823">
        <w:rPr>
          <w:bCs w:val="0"/>
          <w:color w:val="auto"/>
        </w:rPr>
        <w:t>Hence,</w:t>
      </w:r>
      <w:r w:rsidR="00FB11FD">
        <w:rPr>
          <w:bCs w:val="0"/>
          <w:color w:val="auto"/>
        </w:rPr>
        <w:t xml:space="preserve"> </w:t>
      </w:r>
      <w:r w:rsidR="00BC33C0">
        <w:rPr>
          <w:bCs w:val="0"/>
          <w:color w:val="auto"/>
        </w:rPr>
        <w:t>there were no previous cost assessments to draw upon.</w:t>
      </w:r>
    </w:p>
    <w:p w14:paraId="16234B57" w14:textId="244706A3" w:rsidR="00544243" w:rsidRDefault="00CF7823" w:rsidP="00375C14">
      <w:pPr>
        <w:pStyle w:val="EBBullet"/>
        <w:numPr>
          <w:ilvl w:val="1"/>
          <w:numId w:val="95"/>
        </w:numPr>
        <w:spacing w:line="259" w:lineRule="auto"/>
        <w:ind w:left="1134" w:hanging="425"/>
        <w:jc w:val="both"/>
        <w:rPr>
          <w:bCs w:val="0"/>
          <w:color w:val="auto"/>
        </w:rPr>
      </w:pPr>
      <w:r>
        <w:rPr>
          <w:bCs w:val="0"/>
          <w:color w:val="auto"/>
        </w:rPr>
        <w:t>Research to estimate the impact of failure to prevent bribery measures on small and medium sized organisations</w:t>
      </w:r>
      <w:r w:rsidR="00A24D7D">
        <w:rPr>
          <w:bCs w:val="0"/>
          <w:color w:val="auto"/>
        </w:rPr>
        <w:t xml:space="preserve"> was published in 2015</w:t>
      </w:r>
      <w:r w:rsidR="009F67F8">
        <w:rPr>
          <w:rStyle w:val="FootnoteReference"/>
          <w:bCs w:val="0"/>
          <w:color w:val="auto"/>
        </w:rPr>
        <w:footnoteReference w:id="49"/>
      </w:r>
      <w:r w:rsidR="00B102B7">
        <w:rPr>
          <w:bCs w:val="0"/>
          <w:color w:val="auto"/>
        </w:rPr>
        <w:t>, Thi</w:t>
      </w:r>
      <w:r w:rsidR="00803B50">
        <w:rPr>
          <w:bCs w:val="0"/>
          <w:color w:val="auto"/>
        </w:rPr>
        <w:t>s</w:t>
      </w:r>
      <w:r w:rsidR="00A6042A">
        <w:rPr>
          <w:bCs w:val="0"/>
          <w:color w:val="auto"/>
        </w:rPr>
        <w:t xml:space="preserve"> did not estimate cost impacts for large organisations.</w:t>
      </w:r>
      <w:r>
        <w:rPr>
          <w:bCs w:val="0"/>
          <w:color w:val="auto"/>
        </w:rPr>
        <w:t xml:space="preserve"> </w:t>
      </w:r>
    </w:p>
    <w:p w14:paraId="003C6998" w14:textId="11051748" w:rsidR="00940C5D" w:rsidRDefault="00940C5D" w:rsidP="00375C14">
      <w:pPr>
        <w:pStyle w:val="EBBullet"/>
        <w:numPr>
          <w:ilvl w:val="1"/>
          <w:numId w:val="95"/>
        </w:numPr>
        <w:spacing w:line="259" w:lineRule="auto"/>
        <w:ind w:left="1134" w:hanging="425"/>
        <w:jc w:val="both"/>
        <w:rPr>
          <w:bCs w:val="0"/>
          <w:color w:val="auto"/>
        </w:rPr>
      </w:pPr>
      <w:r>
        <w:rPr>
          <w:bCs w:val="0"/>
          <w:color w:val="auto"/>
        </w:rPr>
        <w:t>This means that the analysis</w:t>
      </w:r>
      <w:r w:rsidR="007162B5">
        <w:rPr>
          <w:bCs w:val="0"/>
          <w:color w:val="auto"/>
        </w:rPr>
        <w:t xml:space="preserve"> had to be</w:t>
      </w:r>
      <w:r>
        <w:rPr>
          <w:bCs w:val="0"/>
          <w:color w:val="auto"/>
        </w:rPr>
        <w:t xml:space="preserve"> based on judgements about the time taken to complete tasks. </w:t>
      </w:r>
      <w:r w:rsidR="00CB4753">
        <w:rPr>
          <w:bCs w:val="0"/>
          <w:color w:val="auto"/>
        </w:rPr>
        <w:t xml:space="preserve">To validate </w:t>
      </w:r>
      <w:r w:rsidR="00A546FB">
        <w:rPr>
          <w:bCs w:val="0"/>
          <w:color w:val="auto"/>
        </w:rPr>
        <w:t>the IA estimates</w:t>
      </w:r>
      <w:r w:rsidR="00442DFD">
        <w:rPr>
          <w:bCs w:val="0"/>
          <w:color w:val="auto"/>
        </w:rPr>
        <w:t>, the</w:t>
      </w:r>
      <w:r w:rsidR="00D507C4">
        <w:rPr>
          <w:bCs w:val="0"/>
          <w:color w:val="auto"/>
        </w:rPr>
        <w:t xml:space="preserve"> IA estimates</w:t>
      </w:r>
      <w:r w:rsidR="00442DFD">
        <w:rPr>
          <w:bCs w:val="0"/>
          <w:color w:val="auto"/>
        </w:rPr>
        <w:t xml:space="preserve"> are compared with results for medium </w:t>
      </w:r>
      <w:r w:rsidR="008C08AF">
        <w:rPr>
          <w:bCs w:val="0"/>
          <w:color w:val="auto"/>
        </w:rPr>
        <w:t xml:space="preserve">sized </w:t>
      </w:r>
      <w:r w:rsidR="00442DFD">
        <w:rPr>
          <w:bCs w:val="0"/>
          <w:color w:val="auto"/>
        </w:rPr>
        <w:t xml:space="preserve">organisations </w:t>
      </w:r>
      <w:r w:rsidR="00D507C4">
        <w:rPr>
          <w:bCs w:val="0"/>
          <w:color w:val="auto"/>
        </w:rPr>
        <w:t>contained in the research cited above.</w:t>
      </w:r>
      <w:r w:rsidR="00A546FB">
        <w:rPr>
          <w:bCs w:val="0"/>
          <w:color w:val="auto"/>
        </w:rPr>
        <w:t xml:space="preserve"> </w:t>
      </w:r>
    </w:p>
    <w:p w14:paraId="342B346D" w14:textId="22F3907A" w:rsidR="002F3F81" w:rsidRPr="0078310C" w:rsidRDefault="002F3F81" w:rsidP="0037693F">
      <w:pPr>
        <w:pStyle w:val="ListParagraph"/>
        <w:numPr>
          <w:ilvl w:val="0"/>
          <w:numId w:val="10"/>
        </w:numPr>
        <w:spacing w:after="120" w:line="259" w:lineRule="auto"/>
        <w:ind w:left="567" w:hanging="567"/>
        <w:jc w:val="both"/>
      </w:pPr>
      <w:r w:rsidRPr="0037693F">
        <w:rPr>
          <w:sz w:val="22"/>
          <w:szCs w:val="22"/>
        </w:rPr>
        <w:t>Ideally, t</w:t>
      </w:r>
      <w:r w:rsidR="00BC4F14" w:rsidRPr="0037693F">
        <w:rPr>
          <w:sz w:val="22"/>
          <w:szCs w:val="22"/>
        </w:rPr>
        <w:t>he</w:t>
      </w:r>
      <w:r w:rsidRPr="0037693F">
        <w:rPr>
          <w:sz w:val="22"/>
          <w:szCs w:val="22"/>
        </w:rPr>
        <w:t xml:space="preserve"> analysis</w:t>
      </w:r>
      <w:r w:rsidR="0066044F" w:rsidRPr="0037693F">
        <w:rPr>
          <w:sz w:val="22"/>
          <w:szCs w:val="22"/>
        </w:rPr>
        <w:t xml:space="preserve"> and the assumptions it </w:t>
      </w:r>
      <w:r w:rsidR="000014F6">
        <w:rPr>
          <w:sz w:val="22"/>
          <w:szCs w:val="22"/>
        </w:rPr>
        <w:t>m</w:t>
      </w:r>
      <w:r w:rsidR="0066044F" w:rsidRPr="0037693F">
        <w:rPr>
          <w:sz w:val="22"/>
          <w:szCs w:val="22"/>
        </w:rPr>
        <w:t>akes</w:t>
      </w:r>
      <w:r w:rsidRPr="0037693F">
        <w:rPr>
          <w:sz w:val="22"/>
          <w:szCs w:val="22"/>
        </w:rPr>
        <w:t xml:space="preserve"> </w:t>
      </w:r>
      <w:r w:rsidR="00BC4F14" w:rsidRPr="0037693F">
        <w:rPr>
          <w:sz w:val="22"/>
          <w:szCs w:val="22"/>
        </w:rPr>
        <w:t xml:space="preserve">would have been tested </w:t>
      </w:r>
      <w:r w:rsidRPr="0037693F">
        <w:rPr>
          <w:sz w:val="22"/>
          <w:szCs w:val="22"/>
        </w:rPr>
        <w:t>with stakeholders after Bill passage</w:t>
      </w:r>
      <w:r w:rsidR="00BC4F14" w:rsidRPr="0037693F">
        <w:rPr>
          <w:sz w:val="22"/>
          <w:szCs w:val="22"/>
        </w:rPr>
        <w:t>.</w:t>
      </w:r>
      <w:r w:rsidR="00ED4747" w:rsidRPr="0037693F">
        <w:rPr>
          <w:sz w:val="22"/>
          <w:szCs w:val="22"/>
        </w:rPr>
        <w:t xml:space="preserve"> </w:t>
      </w:r>
      <w:r w:rsidR="001A6836">
        <w:rPr>
          <w:sz w:val="22"/>
          <w:szCs w:val="22"/>
        </w:rPr>
        <w:t>As the</w:t>
      </w:r>
      <w:r w:rsidR="008922F0" w:rsidRPr="003F40C2">
        <w:rPr>
          <w:sz w:val="22"/>
          <w:szCs w:val="22"/>
        </w:rPr>
        <w:t xml:space="preserve"> guidance for </w:t>
      </w:r>
      <w:r w:rsidR="00D66B9B" w:rsidRPr="003F40C2">
        <w:rPr>
          <w:sz w:val="22"/>
          <w:szCs w:val="22"/>
        </w:rPr>
        <w:t>failure to prevent fraud</w:t>
      </w:r>
      <w:r w:rsidR="008922F0" w:rsidRPr="003F40C2">
        <w:rPr>
          <w:sz w:val="22"/>
          <w:szCs w:val="22"/>
        </w:rPr>
        <w:t xml:space="preserve"> offence </w:t>
      </w:r>
      <w:r w:rsidR="00BC4F14" w:rsidRPr="003F40C2">
        <w:rPr>
          <w:sz w:val="22"/>
          <w:szCs w:val="22"/>
        </w:rPr>
        <w:t>was</w:t>
      </w:r>
      <w:r w:rsidR="001A6836">
        <w:rPr>
          <w:sz w:val="22"/>
          <w:szCs w:val="22"/>
        </w:rPr>
        <w:t xml:space="preserve"> not</w:t>
      </w:r>
      <w:r w:rsidR="00BC4F14" w:rsidRPr="003F40C2">
        <w:rPr>
          <w:sz w:val="22"/>
          <w:szCs w:val="22"/>
        </w:rPr>
        <w:t xml:space="preserve"> </w:t>
      </w:r>
      <w:r w:rsidR="001961C1" w:rsidRPr="003F40C2">
        <w:rPr>
          <w:sz w:val="22"/>
          <w:szCs w:val="22"/>
        </w:rPr>
        <w:t xml:space="preserve">published </w:t>
      </w:r>
      <w:r w:rsidR="00BC4F14" w:rsidRPr="003F40C2">
        <w:rPr>
          <w:sz w:val="22"/>
          <w:szCs w:val="22"/>
        </w:rPr>
        <w:t>a</w:t>
      </w:r>
      <w:r w:rsidR="001A6836">
        <w:rPr>
          <w:sz w:val="22"/>
          <w:szCs w:val="22"/>
        </w:rPr>
        <w:t>t the time of writing</w:t>
      </w:r>
      <w:r w:rsidR="00D30F2E" w:rsidRPr="003F40C2">
        <w:rPr>
          <w:sz w:val="22"/>
          <w:szCs w:val="22"/>
        </w:rPr>
        <w:t>,</w:t>
      </w:r>
      <w:r w:rsidR="00A24D7D" w:rsidRPr="003F40C2">
        <w:rPr>
          <w:sz w:val="22"/>
          <w:szCs w:val="22"/>
        </w:rPr>
        <w:t xml:space="preserve"> </w:t>
      </w:r>
      <w:r w:rsidR="003D52C5" w:rsidRPr="003F40C2">
        <w:rPr>
          <w:sz w:val="22"/>
          <w:szCs w:val="22"/>
        </w:rPr>
        <w:t>no consultation</w:t>
      </w:r>
      <w:r w:rsidR="000C423A">
        <w:rPr>
          <w:sz w:val="22"/>
          <w:szCs w:val="22"/>
        </w:rPr>
        <w:t xml:space="preserve"> on the assumptions</w:t>
      </w:r>
      <w:r w:rsidR="003D52C5" w:rsidRPr="003F40C2">
        <w:rPr>
          <w:sz w:val="22"/>
          <w:szCs w:val="22"/>
        </w:rPr>
        <w:t xml:space="preserve"> was possible before</w:t>
      </w:r>
      <w:r w:rsidR="00BC4F14" w:rsidRPr="003F40C2">
        <w:rPr>
          <w:sz w:val="22"/>
          <w:szCs w:val="22"/>
        </w:rPr>
        <w:t xml:space="preserve"> submission of the IA to the RPC</w:t>
      </w:r>
      <w:r w:rsidR="0078310C" w:rsidRPr="003F40C2">
        <w:rPr>
          <w:sz w:val="22"/>
          <w:szCs w:val="22"/>
        </w:rPr>
        <w:t xml:space="preserve">. </w:t>
      </w:r>
      <w:r w:rsidR="007F3D3B">
        <w:rPr>
          <w:sz w:val="22"/>
          <w:szCs w:val="22"/>
        </w:rPr>
        <w:t>Several</w:t>
      </w:r>
      <w:r w:rsidR="00CA4DDF" w:rsidRPr="006D095F">
        <w:rPr>
          <w:rFonts w:cstheme="minorHAnsi"/>
        </w:rPr>
        <w:t xml:space="preserve"> steps </w:t>
      </w:r>
      <w:r w:rsidR="007F3D3B">
        <w:rPr>
          <w:rFonts w:cstheme="minorHAnsi"/>
        </w:rPr>
        <w:t xml:space="preserve">were </w:t>
      </w:r>
      <w:r w:rsidR="00CA4DDF" w:rsidRPr="006D095F">
        <w:rPr>
          <w:rFonts w:cstheme="minorHAnsi"/>
        </w:rPr>
        <w:t xml:space="preserve">taken to mitigate </w:t>
      </w:r>
      <w:r w:rsidR="007F3D3B">
        <w:rPr>
          <w:rFonts w:cstheme="minorHAnsi"/>
        </w:rPr>
        <w:t>the risk this presents,</w:t>
      </w:r>
      <w:r w:rsidR="00CA4DDF">
        <w:rPr>
          <w:rFonts w:cstheme="minorHAnsi"/>
        </w:rPr>
        <w:t xml:space="preserve"> including dr</w:t>
      </w:r>
      <w:r w:rsidR="00CA4DDF" w:rsidRPr="006D095F">
        <w:rPr>
          <w:rFonts w:cstheme="minorHAnsi"/>
        </w:rPr>
        <w:t xml:space="preserve">awing assumptions from comparable </w:t>
      </w:r>
      <w:r w:rsidR="00CA4DDF">
        <w:rPr>
          <w:rFonts w:cstheme="minorHAnsi"/>
        </w:rPr>
        <w:t>existing</w:t>
      </w:r>
      <w:r w:rsidR="00CA4DDF" w:rsidRPr="006D095F">
        <w:rPr>
          <w:rFonts w:cstheme="minorHAnsi"/>
        </w:rPr>
        <w:t xml:space="preserve"> failure to prevent regulations</w:t>
      </w:r>
      <w:r w:rsidR="006032A8">
        <w:rPr>
          <w:rFonts w:cstheme="minorHAnsi"/>
        </w:rPr>
        <w:t xml:space="preserve">, </w:t>
      </w:r>
      <w:r w:rsidR="00CA4DDF">
        <w:rPr>
          <w:rFonts w:cstheme="minorHAnsi"/>
        </w:rPr>
        <w:t xml:space="preserve">using sensitivity analysis and commitments in the post implementation review </w:t>
      </w:r>
      <w:r w:rsidR="00CA4DDF" w:rsidRPr="006D095F">
        <w:rPr>
          <w:rFonts w:cstheme="minorHAnsi"/>
        </w:rPr>
        <w:t xml:space="preserve">on the validity of the </w:t>
      </w:r>
      <w:r w:rsidR="00CA4DDF">
        <w:rPr>
          <w:rFonts w:cstheme="minorHAnsi"/>
        </w:rPr>
        <w:t>assumptions following the publishing of the guidance</w:t>
      </w:r>
      <w:r w:rsidR="00F50A18" w:rsidRPr="003F40C2">
        <w:rPr>
          <w:sz w:val="22"/>
          <w:szCs w:val="22"/>
        </w:rPr>
        <w:t xml:space="preserve">. </w:t>
      </w:r>
    </w:p>
    <w:p w14:paraId="6078A611" w14:textId="77777777" w:rsidR="00B63AC7" w:rsidRPr="00441AF5" w:rsidRDefault="00B63AC7" w:rsidP="001627E6">
      <w:pPr>
        <w:pStyle w:val="EBBullet"/>
        <w:numPr>
          <w:ilvl w:val="0"/>
          <w:numId w:val="0"/>
        </w:numPr>
        <w:spacing w:after="0"/>
        <w:ind w:left="567"/>
        <w:jc w:val="both"/>
        <w:rPr>
          <w:bCs w:val="0"/>
          <w:color w:val="auto"/>
        </w:rPr>
      </w:pPr>
    </w:p>
    <w:p w14:paraId="717E8213" w14:textId="42B9E528" w:rsidR="00C94B2D" w:rsidRPr="00441AF5" w:rsidRDefault="00EA2680" w:rsidP="007E6580">
      <w:pPr>
        <w:pStyle w:val="EBBullet"/>
        <w:numPr>
          <w:ilvl w:val="0"/>
          <w:numId w:val="0"/>
        </w:numPr>
        <w:spacing w:line="259" w:lineRule="auto"/>
        <w:jc w:val="both"/>
        <w:rPr>
          <w:b/>
          <w:color w:val="auto"/>
        </w:rPr>
      </w:pPr>
      <w:r w:rsidRPr="00441AF5">
        <w:rPr>
          <w:b/>
          <w:color w:val="auto"/>
        </w:rPr>
        <w:t>COSTS</w:t>
      </w:r>
    </w:p>
    <w:p w14:paraId="07EB40CC" w14:textId="4BC2E205" w:rsidR="00C9081E" w:rsidRPr="00441AF5" w:rsidRDefault="00C9081E" w:rsidP="007E6580">
      <w:pPr>
        <w:spacing w:after="120" w:line="259" w:lineRule="auto"/>
        <w:jc w:val="both"/>
        <w:rPr>
          <w:rFonts w:cs="Arial"/>
          <w:sz w:val="22"/>
          <w:szCs w:val="22"/>
        </w:rPr>
      </w:pPr>
      <w:r w:rsidRPr="00441AF5">
        <w:rPr>
          <w:rFonts w:cs="Arial"/>
          <w:b/>
          <w:bCs/>
          <w:sz w:val="22"/>
          <w:szCs w:val="22"/>
        </w:rPr>
        <w:t>Set-up costs</w:t>
      </w:r>
    </w:p>
    <w:p w14:paraId="3483D5B8" w14:textId="08E5F958" w:rsidR="00953D04" w:rsidRPr="00441AF5" w:rsidRDefault="00953D04"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set-up costs are based on costing organisations in scope </w:t>
      </w:r>
      <w:r w:rsidR="00145D65" w:rsidRPr="00441AF5">
        <w:rPr>
          <w:rFonts w:cs="Arial"/>
          <w:sz w:val="22"/>
          <w:szCs w:val="22"/>
        </w:rPr>
        <w:t>using an</w:t>
      </w:r>
      <w:r w:rsidRPr="00441AF5">
        <w:rPr>
          <w:rFonts w:cs="Arial"/>
          <w:sz w:val="22"/>
          <w:szCs w:val="22"/>
        </w:rPr>
        <w:t xml:space="preserve"> </w:t>
      </w:r>
      <w:r w:rsidR="00C05643" w:rsidRPr="00441AF5">
        <w:rPr>
          <w:rFonts w:cs="Arial"/>
          <w:sz w:val="22"/>
          <w:szCs w:val="22"/>
        </w:rPr>
        <w:t>entity-based</w:t>
      </w:r>
      <w:r w:rsidRPr="00441AF5">
        <w:rPr>
          <w:rFonts w:cs="Arial"/>
          <w:sz w:val="22"/>
          <w:szCs w:val="22"/>
        </w:rPr>
        <w:t xml:space="preserve"> definition. The </w:t>
      </w:r>
      <w:r w:rsidR="00C05643" w:rsidRPr="00441AF5">
        <w:rPr>
          <w:rFonts w:cs="Arial"/>
          <w:sz w:val="22"/>
          <w:szCs w:val="22"/>
        </w:rPr>
        <w:t>entity-based</w:t>
      </w:r>
      <w:r w:rsidRPr="00441AF5">
        <w:rPr>
          <w:rFonts w:cs="Arial"/>
          <w:sz w:val="22"/>
          <w:szCs w:val="22"/>
        </w:rPr>
        <w:t xml:space="preserve"> approach is deemed the best estimate as it is assumed each individual subsidiary would want to tailor their own individual company policies.</w:t>
      </w:r>
      <w:r w:rsidR="004D1520" w:rsidRPr="00441AF5">
        <w:rPr>
          <w:rFonts w:cs="Arial"/>
          <w:sz w:val="22"/>
          <w:szCs w:val="22"/>
        </w:rPr>
        <w:t xml:space="preserve"> </w:t>
      </w:r>
    </w:p>
    <w:p w14:paraId="15EBB75C" w14:textId="6186D4A4" w:rsidR="00953D04" w:rsidRPr="00441AF5" w:rsidRDefault="00953D04"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Although the offence places no specific requirement on an organisation, it would be a defence, if prosecuted, for organisations to demonstrate that reasonable procedures were in place to prevent employees </w:t>
      </w:r>
      <w:r w:rsidR="0046674E">
        <w:rPr>
          <w:rFonts w:cs="Arial"/>
          <w:sz w:val="22"/>
          <w:szCs w:val="22"/>
        </w:rPr>
        <w:t xml:space="preserve">or other associated persons from </w:t>
      </w:r>
      <w:r w:rsidRPr="00441AF5">
        <w:rPr>
          <w:rFonts w:cs="Arial"/>
          <w:sz w:val="22"/>
          <w:szCs w:val="22"/>
        </w:rPr>
        <w:t xml:space="preserve">committing fraud. In some circumstances it could be considered reasonable for there to be no procedures in </w:t>
      </w:r>
      <w:r w:rsidR="006B5F20" w:rsidRPr="00441AF5">
        <w:rPr>
          <w:rFonts w:cs="Arial"/>
          <w:sz w:val="22"/>
          <w:szCs w:val="22"/>
        </w:rPr>
        <w:t>place.</w:t>
      </w:r>
      <w:r w:rsidR="00F75495">
        <w:rPr>
          <w:rFonts w:cs="Arial"/>
          <w:sz w:val="22"/>
          <w:szCs w:val="22"/>
        </w:rPr>
        <w:t xml:space="preserve"> </w:t>
      </w:r>
      <w:r w:rsidR="00820EBF">
        <w:rPr>
          <w:rFonts w:cs="Arial"/>
          <w:sz w:val="22"/>
          <w:szCs w:val="22"/>
        </w:rPr>
        <w:t>I</w:t>
      </w:r>
      <w:r w:rsidRPr="00441AF5">
        <w:rPr>
          <w:rFonts w:cs="Arial"/>
          <w:sz w:val="22"/>
          <w:szCs w:val="22"/>
        </w:rPr>
        <w:t>t is assumed that organisations would follow guidance, set up systems and carry out training to ensure that they ha</w:t>
      </w:r>
      <w:r w:rsidR="00A51CC6">
        <w:rPr>
          <w:rFonts w:cs="Arial"/>
          <w:sz w:val="22"/>
          <w:szCs w:val="22"/>
        </w:rPr>
        <w:t>ve</w:t>
      </w:r>
      <w:r w:rsidRPr="00441AF5">
        <w:rPr>
          <w:rFonts w:cs="Arial"/>
          <w:sz w:val="22"/>
          <w:szCs w:val="22"/>
        </w:rPr>
        <w:t xml:space="preserve"> a defence if prosecuted. </w:t>
      </w:r>
    </w:p>
    <w:p w14:paraId="075CA4AD" w14:textId="78138F7F" w:rsidR="00953D04" w:rsidRPr="00C941CA" w:rsidRDefault="00953D04"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guidance </w:t>
      </w:r>
      <w:r w:rsidR="007771A1">
        <w:rPr>
          <w:rFonts w:cs="Arial"/>
          <w:sz w:val="22"/>
          <w:szCs w:val="22"/>
        </w:rPr>
        <w:t>is expected to be</w:t>
      </w:r>
      <w:r w:rsidR="00882D14">
        <w:rPr>
          <w:rFonts w:cs="Arial"/>
          <w:sz w:val="22"/>
          <w:szCs w:val="22"/>
        </w:rPr>
        <w:t xml:space="preserve"> </w:t>
      </w:r>
      <w:r w:rsidR="001C6041">
        <w:rPr>
          <w:rFonts w:cs="Arial"/>
          <w:sz w:val="22"/>
          <w:szCs w:val="22"/>
        </w:rPr>
        <w:t>similar to</w:t>
      </w:r>
      <w:r w:rsidR="001C6041" w:rsidRPr="00441AF5">
        <w:rPr>
          <w:rFonts w:cs="Arial"/>
          <w:sz w:val="22"/>
          <w:szCs w:val="22"/>
        </w:rPr>
        <w:t xml:space="preserve"> </w:t>
      </w:r>
      <w:r w:rsidRPr="00441AF5">
        <w:rPr>
          <w:rFonts w:cs="Arial"/>
          <w:sz w:val="22"/>
          <w:szCs w:val="22"/>
        </w:rPr>
        <w:t xml:space="preserve">the guidance published for the </w:t>
      </w:r>
      <w:r w:rsidR="00040571">
        <w:rPr>
          <w:rFonts w:cs="Arial"/>
          <w:sz w:val="22"/>
          <w:szCs w:val="22"/>
        </w:rPr>
        <w:t xml:space="preserve">offences of </w:t>
      </w:r>
      <w:r w:rsidRPr="00441AF5">
        <w:rPr>
          <w:rFonts w:cs="Arial"/>
          <w:sz w:val="22"/>
          <w:szCs w:val="22"/>
        </w:rPr>
        <w:t xml:space="preserve">failure to prevent bribery </w:t>
      </w:r>
      <w:r w:rsidR="00E530D5">
        <w:rPr>
          <w:rFonts w:cs="Arial"/>
          <w:sz w:val="22"/>
          <w:szCs w:val="22"/>
        </w:rPr>
        <w:t>and</w:t>
      </w:r>
      <w:r w:rsidRPr="00441AF5">
        <w:rPr>
          <w:rFonts w:cs="Arial"/>
          <w:sz w:val="22"/>
          <w:szCs w:val="22"/>
        </w:rPr>
        <w:t xml:space="preserve"> failure to prevent </w:t>
      </w:r>
      <w:r w:rsidR="00F8412D">
        <w:rPr>
          <w:rFonts w:cs="Arial"/>
          <w:sz w:val="22"/>
          <w:szCs w:val="22"/>
        </w:rPr>
        <w:t xml:space="preserve">the facilitation of </w:t>
      </w:r>
      <w:r w:rsidRPr="00441AF5">
        <w:rPr>
          <w:rFonts w:cs="Arial"/>
          <w:sz w:val="22"/>
          <w:szCs w:val="22"/>
        </w:rPr>
        <w:t>tax evasion</w:t>
      </w:r>
      <w:r w:rsidRPr="00441AF5">
        <w:rPr>
          <w:rStyle w:val="FootnoteReference"/>
          <w:rFonts w:eastAsiaTheme="minorEastAsia" w:cs="Arial"/>
          <w:szCs w:val="22"/>
        </w:rPr>
        <w:footnoteReference w:id="50"/>
      </w:r>
      <w:r w:rsidR="00040571">
        <w:rPr>
          <w:rFonts w:cs="Arial"/>
          <w:sz w:val="22"/>
          <w:szCs w:val="22"/>
        </w:rPr>
        <w:t xml:space="preserve">. </w:t>
      </w:r>
      <w:r w:rsidRPr="00441AF5">
        <w:rPr>
          <w:rFonts w:cs="Arial"/>
          <w:sz w:val="22"/>
          <w:szCs w:val="22"/>
        </w:rPr>
        <w:t xml:space="preserve"> </w:t>
      </w:r>
      <w:r w:rsidR="00882D14">
        <w:rPr>
          <w:rFonts w:cs="Arial"/>
          <w:sz w:val="22"/>
          <w:szCs w:val="22"/>
        </w:rPr>
        <w:t xml:space="preserve">It is then assumed that </w:t>
      </w:r>
      <w:r w:rsidRPr="00441AF5">
        <w:rPr>
          <w:rFonts w:cs="Arial"/>
          <w:sz w:val="22"/>
          <w:szCs w:val="22"/>
        </w:rPr>
        <w:t xml:space="preserve">the cost of developing reasonable procedures consistent with the guidance </w:t>
      </w:r>
      <w:r w:rsidR="004A4DCB" w:rsidRPr="00C941CA">
        <w:rPr>
          <w:rFonts w:cs="Arial"/>
          <w:sz w:val="22"/>
          <w:szCs w:val="22"/>
        </w:rPr>
        <w:t>drive</w:t>
      </w:r>
      <w:r w:rsidR="00C941CA">
        <w:rPr>
          <w:rFonts w:cs="Arial"/>
          <w:sz w:val="22"/>
          <w:szCs w:val="22"/>
        </w:rPr>
        <w:t>s</w:t>
      </w:r>
      <w:r w:rsidR="004A4DCB" w:rsidRPr="00C941CA">
        <w:rPr>
          <w:rFonts w:cs="Arial"/>
          <w:sz w:val="22"/>
          <w:szCs w:val="22"/>
        </w:rPr>
        <w:t xml:space="preserve"> the</w:t>
      </w:r>
      <w:r w:rsidRPr="00C941CA">
        <w:rPr>
          <w:rFonts w:cs="Arial"/>
          <w:sz w:val="22"/>
          <w:szCs w:val="22"/>
        </w:rPr>
        <w:t xml:space="preserve"> costs. </w:t>
      </w:r>
    </w:p>
    <w:p w14:paraId="36E76450" w14:textId="4E13D57E" w:rsidR="00953D04" w:rsidRPr="00441AF5" w:rsidRDefault="00953D04"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lastRenderedPageBreak/>
        <w:t>The costing assumes that organisations need to undertake the following actions</w:t>
      </w:r>
      <w:r w:rsidR="00C217E1">
        <w:rPr>
          <w:rFonts w:cs="Arial"/>
          <w:sz w:val="22"/>
          <w:szCs w:val="22"/>
        </w:rPr>
        <w:t>. These are the steps recommended in the Failure to Prevent Bribery guidance</w:t>
      </w:r>
      <w:r w:rsidR="00B878F0">
        <w:rPr>
          <w:rFonts w:cs="Arial"/>
          <w:sz w:val="22"/>
          <w:szCs w:val="22"/>
        </w:rPr>
        <w:t xml:space="preserve"> and </w:t>
      </w:r>
      <w:r w:rsidR="008457FF">
        <w:rPr>
          <w:rFonts w:cs="Arial"/>
          <w:sz w:val="22"/>
          <w:szCs w:val="22"/>
        </w:rPr>
        <w:t>the guidance for the offence of Failure to Prevent the Criminal Facilitation of Tax Evasion</w:t>
      </w:r>
      <w:r w:rsidR="00517F29">
        <w:rPr>
          <w:rStyle w:val="FootnoteReference"/>
          <w:szCs w:val="22"/>
        </w:rPr>
        <w:footnoteReference w:id="51"/>
      </w:r>
      <w:r w:rsidRPr="00441AF5">
        <w:rPr>
          <w:rFonts w:cs="Arial"/>
          <w:sz w:val="22"/>
          <w:szCs w:val="22"/>
        </w:rPr>
        <w:t xml:space="preserve">: </w:t>
      </w:r>
    </w:p>
    <w:p w14:paraId="38C7770F" w14:textId="78E03B0F" w:rsidR="00953D04" w:rsidRPr="00441AF5" w:rsidRDefault="00953D04" w:rsidP="007335EA">
      <w:pPr>
        <w:pStyle w:val="ListParagraph"/>
        <w:numPr>
          <w:ilvl w:val="0"/>
          <w:numId w:val="15"/>
        </w:numPr>
        <w:spacing w:after="120" w:line="259" w:lineRule="auto"/>
        <w:ind w:left="1134" w:hanging="425"/>
        <w:contextualSpacing w:val="0"/>
        <w:jc w:val="both"/>
        <w:rPr>
          <w:rFonts w:cs="Arial"/>
          <w:sz w:val="22"/>
          <w:szCs w:val="22"/>
        </w:rPr>
      </w:pPr>
      <w:r w:rsidRPr="00441AF5">
        <w:rPr>
          <w:rFonts w:cs="Arial"/>
          <w:b/>
          <w:bCs/>
          <w:sz w:val="22"/>
          <w:szCs w:val="22"/>
        </w:rPr>
        <w:t>Familiarisation</w:t>
      </w:r>
      <w:r w:rsidRPr="00441AF5">
        <w:rPr>
          <w:rFonts w:cs="Arial"/>
          <w:sz w:val="22"/>
          <w:szCs w:val="22"/>
        </w:rPr>
        <w:t xml:space="preserve">: </w:t>
      </w:r>
      <w:r w:rsidR="008F0329">
        <w:rPr>
          <w:rFonts w:cs="Arial"/>
          <w:sz w:val="22"/>
          <w:szCs w:val="22"/>
        </w:rPr>
        <w:t>This</w:t>
      </w:r>
      <w:r w:rsidRPr="00441AF5">
        <w:rPr>
          <w:rFonts w:cs="Arial"/>
          <w:sz w:val="22"/>
          <w:szCs w:val="22"/>
        </w:rPr>
        <w:t xml:space="preserve"> includes activities such as reading guidance; planning and mobilising resources; defining stakeholders and the scope of the project; identifying information sources and allocating responsibilities. It also includes setting control objectives and risk approach.</w:t>
      </w:r>
    </w:p>
    <w:p w14:paraId="572F5363" w14:textId="38C55914" w:rsidR="00953D04" w:rsidRPr="00441AF5" w:rsidRDefault="00953D04" w:rsidP="007335EA">
      <w:pPr>
        <w:pStyle w:val="ListParagraph"/>
        <w:numPr>
          <w:ilvl w:val="0"/>
          <w:numId w:val="15"/>
        </w:numPr>
        <w:spacing w:after="120" w:line="259" w:lineRule="auto"/>
        <w:ind w:left="1134" w:hanging="425"/>
        <w:contextualSpacing w:val="0"/>
        <w:jc w:val="both"/>
        <w:rPr>
          <w:rFonts w:cs="Arial"/>
          <w:sz w:val="22"/>
          <w:szCs w:val="22"/>
        </w:rPr>
      </w:pPr>
      <w:r w:rsidRPr="00441AF5">
        <w:rPr>
          <w:rFonts w:cs="Arial"/>
          <w:b/>
          <w:bCs/>
          <w:sz w:val="22"/>
          <w:szCs w:val="22"/>
        </w:rPr>
        <w:t>Risk assessment</w:t>
      </w:r>
      <w:r w:rsidRPr="00441AF5">
        <w:rPr>
          <w:rFonts w:cs="Arial"/>
          <w:sz w:val="22"/>
          <w:szCs w:val="22"/>
        </w:rPr>
        <w:t xml:space="preserve">: This includes developing and populating a risk register. It also includes prioritising risks and testing risks against the companies control framework. </w:t>
      </w:r>
      <w:r w:rsidR="00A45906">
        <w:rPr>
          <w:rFonts w:cs="Arial"/>
          <w:sz w:val="22"/>
          <w:szCs w:val="22"/>
        </w:rPr>
        <w:t xml:space="preserve">The HMRC guidance states that </w:t>
      </w:r>
      <w:r w:rsidR="00237090">
        <w:rPr>
          <w:rFonts w:cs="Arial"/>
          <w:sz w:val="22"/>
          <w:szCs w:val="22"/>
        </w:rPr>
        <w:t>procedures should be periodically reviewed. The IA therefore</w:t>
      </w:r>
      <w:r w:rsidRPr="00441AF5">
        <w:rPr>
          <w:rFonts w:cs="Arial"/>
          <w:sz w:val="22"/>
          <w:szCs w:val="22"/>
        </w:rPr>
        <w:t xml:space="preserve"> assume</w:t>
      </w:r>
      <w:r w:rsidR="00237090">
        <w:rPr>
          <w:rFonts w:cs="Arial"/>
          <w:sz w:val="22"/>
          <w:szCs w:val="22"/>
        </w:rPr>
        <w:t>s</w:t>
      </w:r>
      <w:r w:rsidRPr="00441AF5">
        <w:rPr>
          <w:rFonts w:cs="Arial"/>
          <w:sz w:val="22"/>
          <w:szCs w:val="22"/>
        </w:rPr>
        <w:t xml:space="preserve"> that after the first year the risk assessment is refreshed annually but the costs of the refresh are much less than a full assessment</w:t>
      </w:r>
      <w:r w:rsidRPr="00441AF5">
        <w:rPr>
          <w:rStyle w:val="FootnoteReference"/>
          <w:rFonts w:eastAsiaTheme="minorEastAsia" w:cs="Arial"/>
          <w:szCs w:val="22"/>
        </w:rPr>
        <w:footnoteReference w:id="52"/>
      </w:r>
      <w:r w:rsidRPr="00441AF5">
        <w:rPr>
          <w:rFonts w:cs="Arial"/>
          <w:sz w:val="22"/>
          <w:szCs w:val="22"/>
        </w:rPr>
        <w:t xml:space="preserve"> as the initial required groundwork has already been done. </w:t>
      </w:r>
    </w:p>
    <w:p w14:paraId="4D9EEE1B" w14:textId="77777777" w:rsidR="00953D04" w:rsidRPr="00441AF5" w:rsidRDefault="00953D04" w:rsidP="007335EA">
      <w:pPr>
        <w:pStyle w:val="ListParagraph"/>
        <w:numPr>
          <w:ilvl w:val="0"/>
          <w:numId w:val="15"/>
        </w:numPr>
        <w:spacing w:after="120" w:line="259" w:lineRule="auto"/>
        <w:ind w:left="1134" w:hanging="425"/>
        <w:contextualSpacing w:val="0"/>
        <w:jc w:val="both"/>
        <w:rPr>
          <w:rFonts w:cs="Arial"/>
          <w:sz w:val="22"/>
          <w:szCs w:val="22"/>
        </w:rPr>
      </w:pPr>
      <w:r w:rsidRPr="00441AF5">
        <w:rPr>
          <w:rFonts w:cs="Arial"/>
          <w:b/>
          <w:bCs/>
          <w:sz w:val="22"/>
          <w:szCs w:val="22"/>
        </w:rPr>
        <w:t>Communications</w:t>
      </w:r>
      <w:r w:rsidRPr="00441AF5">
        <w:rPr>
          <w:rFonts w:cs="Arial"/>
          <w:sz w:val="22"/>
          <w:szCs w:val="22"/>
        </w:rPr>
        <w:t xml:space="preserve">: These include set-up costs from a statement to external audiences via company websites and costs every year where the management and Board set out their anti-fraud policies to staff. </w:t>
      </w:r>
    </w:p>
    <w:p w14:paraId="29FE08A2" w14:textId="306FF91B" w:rsidR="00385DE1" w:rsidRPr="00441AF5" w:rsidRDefault="00953D04" w:rsidP="007335EA">
      <w:pPr>
        <w:pStyle w:val="ListParagraph"/>
        <w:numPr>
          <w:ilvl w:val="0"/>
          <w:numId w:val="15"/>
        </w:numPr>
        <w:spacing w:after="120" w:line="259" w:lineRule="auto"/>
        <w:ind w:left="1134" w:hanging="425"/>
        <w:contextualSpacing w:val="0"/>
        <w:jc w:val="both"/>
        <w:rPr>
          <w:rFonts w:cs="Arial"/>
          <w:sz w:val="22"/>
          <w:szCs w:val="22"/>
        </w:rPr>
      </w:pPr>
      <w:r w:rsidRPr="00441AF5">
        <w:rPr>
          <w:rFonts w:cs="Arial"/>
          <w:b/>
          <w:bCs/>
          <w:sz w:val="22"/>
          <w:szCs w:val="22"/>
        </w:rPr>
        <w:t>Training</w:t>
      </w:r>
      <w:r w:rsidRPr="00441AF5">
        <w:rPr>
          <w:rFonts w:cs="Arial"/>
          <w:sz w:val="22"/>
          <w:szCs w:val="22"/>
        </w:rPr>
        <w:t xml:space="preserve">: It is assumed that all staff receive on-line training from a commercial training provider. Existing guidance for similar offences requires companies to undertake training of staff and this has created significant demand for on-line training provision. </w:t>
      </w:r>
    </w:p>
    <w:p w14:paraId="4D78CC2D" w14:textId="6244F1F6" w:rsidR="003E6271" w:rsidRPr="00AD55D6" w:rsidRDefault="003E6271" w:rsidP="003F40C2">
      <w:pPr>
        <w:pStyle w:val="ListParagraph"/>
        <w:numPr>
          <w:ilvl w:val="0"/>
          <w:numId w:val="10"/>
        </w:numPr>
        <w:spacing w:after="120" w:line="259" w:lineRule="auto"/>
        <w:ind w:left="567" w:hanging="567"/>
        <w:contextualSpacing w:val="0"/>
        <w:jc w:val="both"/>
        <w:rPr>
          <w:rFonts w:cs="Arial"/>
          <w:sz w:val="22"/>
          <w:szCs w:val="22"/>
        </w:rPr>
      </w:pPr>
      <w:r w:rsidRPr="00AD55D6">
        <w:rPr>
          <w:rFonts w:cs="Arial"/>
          <w:sz w:val="22"/>
          <w:szCs w:val="22"/>
        </w:rPr>
        <w:t xml:space="preserve">For the </w:t>
      </w:r>
      <w:r w:rsidR="006A1A64" w:rsidRPr="00AD55D6">
        <w:rPr>
          <w:rFonts w:cs="Arial"/>
          <w:sz w:val="22"/>
          <w:szCs w:val="22"/>
        </w:rPr>
        <w:t xml:space="preserve">cost scenarios it </w:t>
      </w:r>
      <w:r w:rsidR="006B5CDF" w:rsidRPr="00AD55D6">
        <w:rPr>
          <w:rFonts w:cs="Arial"/>
          <w:sz w:val="22"/>
          <w:szCs w:val="22"/>
        </w:rPr>
        <w:t xml:space="preserve">is assumed that </w:t>
      </w:r>
      <w:r w:rsidR="00401CA4" w:rsidRPr="00AD55D6">
        <w:rPr>
          <w:rFonts w:cs="Arial"/>
          <w:sz w:val="22"/>
          <w:szCs w:val="22"/>
        </w:rPr>
        <w:t>transition costs</w:t>
      </w:r>
      <w:r w:rsidR="00185920" w:rsidRPr="00AD55D6">
        <w:rPr>
          <w:rFonts w:cs="Arial"/>
          <w:sz w:val="22"/>
          <w:szCs w:val="22"/>
        </w:rPr>
        <w:t xml:space="preserve"> incurred </w:t>
      </w:r>
      <w:r w:rsidR="00AC37A6" w:rsidRPr="00AD55D6">
        <w:rPr>
          <w:rFonts w:cs="Arial"/>
          <w:sz w:val="22"/>
          <w:szCs w:val="22"/>
        </w:rPr>
        <w:t>differently</w:t>
      </w:r>
      <w:r w:rsidR="00185920" w:rsidRPr="00AD55D6">
        <w:rPr>
          <w:rFonts w:cs="Arial"/>
          <w:sz w:val="22"/>
          <w:szCs w:val="22"/>
        </w:rPr>
        <w:t xml:space="preserve"> for organisations based on whether they have sufficient </w:t>
      </w:r>
      <w:r w:rsidR="000D6041" w:rsidRPr="00AD55D6">
        <w:rPr>
          <w:rFonts w:cs="Arial"/>
          <w:sz w:val="22"/>
          <w:szCs w:val="22"/>
        </w:rPr>
        <w:t xml:space="preserve">existing </w:t>
      </w:r>
      <w:r w:rsidR="00185920" w:rsidRPr="00AD55D6">
        <w:rPr>
          <w:rFonts w:cs="Arial"/>
          <w:sz w:val="22"/>
          <w:szCs w:val="22"/>
        </w:rPr>
        <w:t xml:space="preserve">measures in place. </w:t>
      </w:r>
      <w:r w:rsidR="00DF669E" w:rsidRPr="00AD55D6">
        <w:rPr>
          <w:rFonts w:cs="Arial"/>
          <w:sz w:val="22"/>
          <w:szCs w:val="22"/>
        </w:rPr>
        <w:t xml:space="preserve">For the high scenario, it is assumed that no firms have sufficient measures already in place and all firms incur </w:t>
      </w:r>
      <w:r w:rsidR="00742742" w:rsidRPr="00AD55D6">
        <w:rPr>
          <w:rFonts w:cs="Arial"/>
          <w:sz w:val="22"/>
          <w:szCs w:val="22"/>
        </w:rPr>
        <w:t>familiarisation</w:t>
      </w:r>
      <w:r w:rsidR="00DF669E" w:rsidRPr="00AD55D6">
        <w:rPr>
          <w:rFonts w:cs="Arial"/>
          <w:sz w:val="22"/>
          <w:szCs w:val="22"/>
        </w:rPr>
        <w:t>, risk assessment, communication</w:t>
      </w:r>
      <w:r w:rsidR="00C054DD">
        <w:rPr>
          <w:rFonts w:cs="Arial"/>
          <w:sz w:val="22"/>
          <w:szCs w:val="22"/>
        </w:rPr>
        <w:t>,</w:t>
      </w:r>
      <w:r w:rsidR="00DF669E" w:rsidRPr="00AD55D6">
        <w:rPr>
          <w:rFonts w:cs="Arial"/>
          <w:sz w:val="22"/>
          <w:szCs w:val="22"/>
        </w:rPr>
        <w:t xml:space="preserve"> and training costs as transition costs.</w:t>
      </w:r>
      <w:r w:rsidR="00E36BE0" w:rsidRPr="00AD55D6">
        <w:rPr>
          <w:rFonts w:cs="Arial"/>
          <w:sz w:val="22"/>
          <w:szCs w:val="22"/>
        </w:rPr>
        <w:t xml:space="preserve"> For the low and best scenarios, where a proportion of companies already have sufficient measures in place</w:t>
      </w:r>
      <w:r w:rsidR="00504A39" w:rsidRPr="00AD55D6">
        <w:rPr>
          <w:rFonts w:cs="Arial"/>
          <w:sz w:val="22"/>
          <w:szCs w:val="22"/>
        </w:rPr>
        <w:t xml:space="preserve"> i</w:t>
      </w:r>
      <w:r w:rsidR="004F6D5E" w:rsidRPr="00AD55D6">
        <w:rPr>
          <w:rFonts w:cs="Arial"/>
          <w:sz w:val="22"/>
          <w:szCs w:val="22"/>
        </w:rPr>
        <w:t xml:space="preserve">t is assumed that </w:t>
      </w:r>
      <w:r w:rsidR="009308AC" w:rsidRPr="00AD55D6">
        <w:rPr>
          <w:rFonts w:cs="Arial"/>
          <w:sz w:val="22"/>
          <w:szCs w:val="22"/>
        </w:rPr>
        <w:t>these</w:t>
      </w:r>
      <w:r w:rsidR="004F6D5E" w:rsidRPr="00AD55D6">
        <w:rPr>
          <w:rFonts w:cs="Arial"/>
          <w:sz w:val="22"/>
          <w:szCs w:val="22"/>
        </w:rPr>
        <w:t xml:space="preserve"> companies</w:t>
      </w:r>
      <w:r w:rsidR="00D65D2E" w:rsidRPr="00AD55D6">
        <w:rPr>
          <w:rFonts w:cs="Arial"/>
          <w:sz w:val="22"/>
          <w:szCs w:val="22"/>
        </w:rPr>
        <w:t xml:space="preserve"> </w:t>
      </w:r>
      <w:r w:rsidR="004F6D5E" w:rsidRPr="00AD55D6">
        <w:rPr>
          <w:rFonts w:cs="Arial"/>
          <w:sz w:val="22"/>
          <w:szCs w:val="22"/>
        </w:rPr>
        <w:t xml:space="preserve">deem themselves to have </w:t>
      </w:r>
      <w:r w:rsidR="009906E9" w:rsidRPr="00AD55D6">
        <w:rPr>
          <w:rFonts w:cs="Arial"/>
          <w:sz w:val="22"/>
          <w:szCs w:val="22"/>
        </w:rPr>
        <w:t>sufficient measures already in place</w:t>
      </w:r>
      <w:r w:rsidR="009308AC" w:rsidRPr="00AD55D6">
        <w:rPr>
          <w:rFonts w:cs="Arial"/>
          <w:sz w:val="22"/>
          <w:szCs w:val="22"/>
        </w:rPr>
        <w:t xml:space="preserve"> and</w:t>
      </w:r>
      <w:r w:rsidR="009906E9" w:rsidRPr="00AD55D6">
        <w:rPr>
          <w:rFonts w:cs="Arial"/>
          <w:sz w:val="22"/>
          <w:szCs w:val="22"/>
        </w:rPr>
        <w:t xml:space="preserve"> </w:t>
      </w:r>
      <w:r w:rsidR="004F6D5E" w:rsidRPr="00AD55D6">
        <w:rPr>
          <w:rFonts w:cs="Arial"/>
          <w:sz w:val="22"/>
          <w:szCs w:val="22"/>
        </w:rPr>
        <w:t xml:space="preserve">only undergo </w:t>
      </w:r>
      <w:r w:rsidR="006B5F20" w:rsidRPr="00AD55D6">
        <w:rPr>
          <w:rFonts w:cs="Arial"/>
          <w:sz w:val="22"/>
          <w:szCs w:val="22"/>
        </w:rPr>
        <w:t>familiarisation</w:t>
      </w:r>
      <w:r w:rsidR="004F6D5E" w:rsidRPr="00AD55D6">
        <w:rPr>
          <w:rFonts w:cs="Arial"/>
          <w:sz w:val="22"/>
          <w:szCs w:val="22"/>
        </w:rPr>
        <w:t xml:space="preserve"> and risk assessment costs</w:t>
      </w:r>
      <w:r w:rsidR="00000A84" w:rsidRPr="00AD55D6">
        <w:rPr>
          <w:rFonts w:cs="Arial"/>
          <w:sz w:val="22"/>
          <w:szCs w:val="22"/>
        </w:rPr>
        <w:t xml:space="preserve"> </w:t>
      </w:r>
      <w:r w:rsidR="00B40BD2" w:rsidRPr="00AD55D6">
        <w:rPr>
          <w:rFonts w:cs="Arial"/>
          <w:sz w:val="22"/>
          <w:szCs w:val="22"/>
        </w:rPr>
        <w:t>as</w:t>
      </w:r>
      <w:r w:rsidR="009308AC" w:rsidRPr="00AD55D6">
        <w:rPr>
          <w:rFonts w:cs="Arial"/>
          <w:sz w:val="22"/>
          <w:szCs w:val="22"/>
        </w:rPr>
        <w:t xml:space="preserve"> transition</w:t>
      </w:r>
      <w:r w:rsidR="00B40BD2" w:rsidRPr="00AD55D6">
        <w:rPr>
          <w:rFonts w:cs="Arial"/>
          <w:sz w:val="22"/>
          <w:szCs w:val="22"/>
        </w:rPr>
        <w:t xml:space="preserve"> costs. </w:t>
      </w:r>
      <w:r w:rsidR="009F54C3">
        <w:rPr>
          <w:rFonts w:cs="Arial"/>
          <w:sz w:val="22"/>
          <w:szCs w:val="22"/>
        </w:rPr>
        <w:t>F</w:t>
      </w:r>
      <w:r w:rsidR="00742742" w:rsidRPr="00AD55D6">
        <w:rPr>
          <w:rFonts w:cs="Arial"/>
          <w:sz w:val="22"/>
          <w:szCs w:val="22"/>
        </w:rPr>
        <w:t>amiliarisation</w:t>
      </w:r>
      <w:r w:rsidR="00000A84" w:rsidRPr="00AD55D6">
        <w:rPr>
          <w:rFonts w:cs="Arial"/>
          <w:sz w:val="22"/>
          <w:szCs w:val="22"/>
        </w:rPr>
        <w:t xml:space="preserve"> and risk </w:t>
      </w:r>
      <w:r w:rsidR="00D65D2E" w:rsidRPr="00AD55D6">
        <w:rPr>
          <w:rFonts w:cs="Arial"/>
          <w:sz w:val="22"/>
          <w:szCs w:val="22"/>
        </w:rPr>
        <w:t>assessment</w:t>
      </w:r>
      <w:r w:rsidR="009906E9" w:rsidRPr="00AD55D6">
        <w:rPr>
          <w:rFonts w:cs="Arial"/>
          <w:sz w:val="22"/>
          <w:szCs w:val="22"/>
        </w:rPr>
        <w:t xml:space="preserve"> costs are assumed to still be incurred as companies will still need to become familiar with regulation and undergo a risk </w:t>
      </w:r>
      <w:r w:rsidR="001D7CED" w:rsidRPr="00AD55D6">
        <w:rPr>
          <w:rFonts w:cs="Arial"/>
          <w:sz w:val="22"/>
          <w:szCs w:val="22"/>
        </w:rPr>
        <w:t>assessment to ensure that their current anti-fraud measures are in fact sufficient</w:t>
      </w:r>
      <w:r w:rsidR="00B40BD2" w:rsidRPr="00AD55D6">
        <w:rPr>
          <w:rFonts w:cs="Arial"/>
          <w:sz w:val="22"/>
          <w:szCs w:val="22"/>
        </w:rPr>
        <w:t>.</w:t>
      </w:r>
      <w:r w:rsidR="00AE20AD" w:rsidRPr="00AD55D6">
        <w:rPr>
          <w:rFonts w:cs="Arial"/>
          <w:sz w:val="22"/>
          <w:szCs w:val="22"/>
        </w:rPr>
        <w:t xml:space="preserve"> </w:t>
      </w:r>
      <w:r w:rsidR="00B13CED" w:rsidRPr="00AD55D6">
        <w:rPr>
          <w:rFonts w:cs="Arial"/>
          <w:sz w:val="22"/>
          <w:szCs w:val="22"/>
        </w:rPr>
        <w:t>Further detail on the methodology can be found in Annex 2.</w:t>
      </w:r>
    </w:p>
    <w:p w14:paraId="52E5720D" w14:textId="494B28CC" w:rsidR="00080432" w:rsidRPr="00466558" w:rsidDel="00914D04" w:rsidRDefault="00953D04" w:rsidP="00466558">
      <w:pPr>
        <w:pStyle w:val="ListParagraph"/>
        <w:numPr>
          <w:ilvl w:val="0"/>
          <w:numId w:val="10"/>
        </w:numPr>
        <w:spacing w:after="120" w:line="259" w:lineRule="auto"/>
        <w:ind w:left="567" w:hanging="567"/>
        <w:contextualSpacing w:val="0"/>
        <w:jc w:val="both"/>
      </w:pPr>
      <w:r w:rsidRPr="00441AF5">
        <w:rPr>
          <w:rFonts w:cs="Arial"/>
          <w:sz w:val="22"/>
          <w:szCs w:val="22"/>
        </w:rPr>
        <w:t>The</w:t>
      </w:r>
      <w:r w:rsidR="00CA57B4">
        <w:rPr>
          <w:rFonts w:cs="Arial"/>
          <w:sz w:val="22"/>
          <w:szCs w:val="22"/>
        </w:rPr>
        <w:t xml:space="preserve"> research on the impact of the Bribery Act </w:t>
      </w:r>
      <w:r w:rsidR="00537EDF">
        <w:rPr>
          <w:rFonts w:cs="Arial"/>
          <w:sz w:val="22"/>
          <w:szCs w:val="22"/>
        </w:rPr>
        <w:t>2010 clearly shows that compliance costs scale with organisation size</w:t>
      </w:r>
      <w:r w:rsidR="00AC3463">
        <w:rPr>
          <w:rStyle w:val="FootnoteReference"/>
          <w:szCs w:val="22"/>
        </w:rPr>
        <w:footnoteReference w:id="53"/>
      </w:r>
      <w:r w:rsidR="00537EDF">
        <w:rPr>
          <w:rFonts w:cs="Arial"/>
          <w:sz w:val="22"/>
          <w:szCs w:val="22"/>
        </w:rPr>
        <w:t xml:space="preserve">.  </w:t>
      </w:r>
      <w:r w:rsidR="00F20071">
        <w:rPr>
          <w:rFonts w:cs="Arial"/>
          <w:sz w:val="22"/>
          <w:szCs w:val="22"/>
        </w:rPr>
        <w:t>This is likely because l</w:t>
      </w:r>
      <w:r w:rsidRPr="00441AF5">
        <w:rPr>
          <w:rFonts w:cs="Arial"/>
          <w:sz w:val="22"/>
          <w:szCs w:val="22"/>
        </w:rPr>
        <w:t xml:space="preserve">arger organisations </w:t>
      </w:r>
      <w:r w:rsidR="00F20071">
        <w:rPr>
          <w:rFonts w:cs="Arial"/>
          <w:sz w:val="22"/>
          <w:szCs w:val="22"/>
        </w:rPr>
        <w:t xml:space="preserve">are more complex and </w:t>
      </w:r>
      <w:r w:rsidRPr="00441AF5">
        <w:rPr>
          <w:rFonts w:cs="Arial"/>
          <w:sz w:val="22"/>
          <w:szCs w:val="22"/>
        </w:rPr>
        <w:t xml:space="preserve">will require more labour and total time inputs to complete a task. </w:t>
      </w:r>
      <w:r w:rsidR="00940C5D">
        <w:rPr>
          <w:rFonts w:cs="Arial"/>
          <w:sz w:val="22"/>
          <w:szCs w:val="22"/>
        </w:rPr>
        <w:t>In the analysis, t</w:t>
      </w:r>
      <w:r w:rsidRPr="00441AF5">
        <w:rPr>
          <w:rFonts w:cs="Arial"/>
          <w:sz w:val="22"/>
          <w:szCs w:val="22"/>
        </w:rPr>
        <w:t xml:space="preserve">his is reflected in larger project teams for larger organisations. </w:t>
      </w:r>
      <w:r w:rsidR="005A7BB9">
        <w:rPr>
          <w:rFonts w:cs="Arial"/>
          <w:sz w:val="22"/>
          <w:szCs w:val="22"/>
        </w:rPr>
        <w:t xml:space="preserve">The number of people in the team is also a function of the range of interests in the organisation that would be expected to be involved in the project. For example, </w:t>
      </w:r>
      <w:r w:rsidR="002524A5">
        <w:rPr>
          <w:rFonts w:cs="Arial"/>
          <w:sz w:val="22"/>
          <w:szCs w:val="22"/>
        </w:rPr>
        <w:t xml:space="preserve">to test systems against fraud it is not unreasonable to expect that project members would be drawn from: </w:t>
      </w:r>
      <w:r w:rsidR="0003339D">
        <w:rPr>
          <w:rFonts w:cs="Arial"/>
          <w:sz w:val="22"/>
          <w:szCs w:val="22"/>
        </w:rPr>
        <w:t>F</w:t>
      </w:r>
      <w:r w:rsidR="002524A5">
        <w:rPr>
          <w:rFonts w:cs="Arial"/>
          <w:sz w:val="22"/>
          <w:szCs w:val="22"/>
        </w:rPr>
        <w:t>ina</w:t>
      </w:r>
      <w:r w:rsidR="0003339D">
        <w:rPr>
          <w:rFonts w:cs="Arial"/>
          <w:sz w:val="22"/>
          <w:szCs w:val="22"/>
        </w:rPr>
        <w:t>n</w:t>
      </w:r>
      <w:r w:rsidR="002524A5">
        <w:rPr>
          <w:rFonts w:cs="Arial"/>
          <w:sz w:val="22"/>
          <w:szCs w:val="22"/>
        </w:rPr>
        <w:t>ce</w:t>
      </w:r>
      <w:r w:rsidR="0003339D">
        <w:rPr>
          <w:rFonts w:cs="Arial"/>
          <w:sz w:val="22"/>
          <w:szCs w:val="22"/>
        </w:rPr>
        <w:t>, HR</w:t>
      </w:r>
      <w:r w:rsidR="00CB027A">
        <w:rPr>
          <w:rFonts w:cs="Arial"/>
          <w:sz w:val="22"/>
          <w:szCs w:val="22"/>
        </w:rPr>
        <w:t>, Procurement</w:t>
      </w:r>
      <w:r w:rsidR="001E77E2">
        <w:rPr>
          <w:rFonts w:cs="Arial"/>
          <w:sz w:val="22"/>
          <w:szCs w:val="22"/>
        </w:rPr>
        <w:t>,</w:t>
      </w:r>
      <w:r w:rsidR="00CB758F">
        <w:rPr>
          <w:rFonts w:cs="Arial"/>
          <w:sz w:val="22"/>
          <w:szCs w:val="22"/>
        </w:rPr>
        <w:t xml:space="preserve"> and </w:t>
      </w:r>
      <w:r w:rsidR="0003339D">
        <w:rPr>
          <w:rFonts w:cs="Arial"/>
          <w:sz w:val="22"/>
          <w:szCs w:val="22"/>
        </w:rPr>
        <w:t>IT</w:t>
      </w:r>
      <w:r w:rsidR="00CB758F">
        <w:rPr>
          <w:rFonts w:cs="Arial"/>
          <w:sz w:val="22"/>
          <w:szCs w:val="22"/>
        </w:rPr>
        <w:t xml:space="preserve"> functions. </w:t>
      </w:r>
      <w:r w:rsidR="0003339D">
        <w:rPr>
          <w:rFonts w:cs="Arial"/>
          <w:sz w:val="22"/>
          <w:szCs w:val="22"/>
        </w:rPr>
        <w:t xml:space="preserve"> </w:t>
      </w:r>
      <w:r w:rsidR="002524A5">
        <w:rPr>
          <w:rFonts w:cs="Arial"/>
          <w:sz w:val="22"/>
          <w:szCs w:val="22"/>
        </w:rPr>
        <w:t xml:space="preserve"> </w:t>
      </w:r>
      <w:r w:rsidR="005A7BB9">
        <w:rPr>
          <w:rFonts w:cs="Arial"/>
          <w:sz w:val="22"/>
          <w:szCs w:val="22"/>
        </w:rPr>
        <w:t xml:space="preserve"> </w:t>
      </w:r>
      <w:r w:rsidRPr="00441AF5">
        <w:rPr>
          <w:rFonts w:cs="Arial"/>
          <w:sz w:val="22"/>
          <w:szCs w:val="22"/>
        </w:rPr>
        <w:t xml:space="preserve">The assumptions on project team size are given in Table </w:t>
      </w:r>
      <w:r w:rsidR="00DB3A7C" w:rsidRPr="00441AF5">
        <w:rPr>
          <w:rFonts w:cs="Arial"/>
          <w:sz w:val="22"/>
          <w:szCs w:val="22"/>
        </w:rPr>
        <w:t>1</w:t>
      </w:r>
      <w:r w:rsidRPr="00441AF5" w:rsidDel="00CB027A">
        <w:rPr>
          <w:rFonts w:cs="Arial"/>
          <w:sz w:val="22"/>
          <w:szCs w:val="22"/>
        </w:rPr>
        <w:t xml:space="preserve">. </w:t>
      </w:r>
    </w:p>
    <w:p w14:paraId="360DA701" w14:textId="77777777" w:rsidR="00B51B06" w:rsidRDefault="00B51B06">
      <w:pPr>
        <w:rPr>
          <w:rFonts w:cs="Arial"/>
          <w:b/>
          <w:bCs/>
          <w:sz w:val="22"/>
          <w:szCs w:val="22"/>
        </w:rPr>
      </w:pPr>
      <w:r>
        <w:rPr>
          <w:rFonts w:cs="Arial"/>
          <w:b/>
          <w:bCs/>
          <w:sz w:val="22"/>
          <w:szCs w:val="22"/>
        </w:rPr>
        <w:br w:type="page"/>
      </w:r>
    </w:p>
    <w:p w14:paraId="6DDA1BED" w14:textId="5987F351" w:rsidR="00953D04" w:rsidRPr="00441AF5" w:rsidRDefault="00953D04" w:rsidP="00953D04">
      <w:pPr>
        <w:spacing w:after="120" w:line="259" w:lineRule="auto"/>
        <w:ind w:left="567"/>
        <w:rPr>
          <w:rFonts w:cs="Arial"/>
          <w:sz w:val="22"/>
          <w:szCs w:val="22"/>
        </w:rPr>
      </w:pPr>
      <w:r w:rsidRPr="0002349F">
        <w:rPr>
          <w:rFonts w:cs="Arial"/>
          <w:b/>
          <w:bCs/>
          <w:sz w:val="22"/>
          <w:szCs w:val="22"/>
        </w:rPr>
        <w:lastRenderedPageBreak/>
        <w:t xml:space="preserve">Table </w:t>
      </w:r>
      <w:r w:rsidR="00530415" w:rsidRPr="0002349F">
        <w:rPr>
          <w:rFonts w:cs="Arial"/>
          <w:b/>
          <w:bCs/>
          <w:sz w:val="22"/>
          <w:szCs w:val="22"/>
        </w:rPr>
        <w:t>1</w:t>
      </w:r>
      <w:r w:rsidR="00212EFD" w:rsidRPr="0002349F">
        <w:rPr>
          <w:rFonts w:cs="Arial"/>
          <w:b/>
          <w:bCs/>
          <w:sz w:val="22"/>
          <w:szCs w:val="22"/>
        </w:rPr>
        <w:t>,</w:t>
      </w:r>
      <w:r w:rsidRPr="00441AF5">
        <w:rPr>
          <w:rFonts w:cs="Arial"/>
          <w:b/>
          <w:bCs/>
          <w:sz w:val="22"/>
          <w:szCs w:val="22"/>
        </w:rPr>
        <w:t xml:space="preserve"> Project </w:t>
      </w:r>
      <w:r w:rsidR="00A141A8">
        <w:rPr>
          <w:rFonts w:cs="Arial"/>
          <w:b/>
          <w:bCs/>
          <w:sz w:val="22"/>
          <w:szCs w:val="22"/>
        </w:rPr>
        <w:t>T</w:t>
      </w:r>
      <w:r w:rsidRPr="00441AF5">
        <w:rPr>
          <w:rFonts w:cs="Arial"/>
          <w:b/>
          <w:bCs/>
          <w:sz w:val="22"/>
          <w:szCs w:val="22"/>
        </w:rPr>
        <w:t xml:space="preserve">eam </w:t>
      </w:r>
      <w:r w:rsidR="00A141A8">
        <w:rPr>
          <w:rFonts w:cs="Arial"/>
          <w:b/>
          <w:bCs/>
          <w:sz w:val="22"/>
          <w:szCs w:val="22"/>
        </w:rPr>
        <w:t>S</w:t>
      </w:r>
      <w:r w:rsidRPr="00441AF5">
        <w:rPr>
          <w:rFonts w:cs="Arial"/>
          <w:b/>
          <w:bCs/>
          <w:sz w:val="22"/>
          <w:szCs w:val="22"/>
        </w:rPr>
        <w:t xml:space="preserve">izes for </w:t>
      </w:r>
      <w:r w:rsidR="00A141A8">
        <w:rPr>
          <w:rFonts w:cs="Arial"/>
          <w:b/>
          <w:bCs/>
          <w:sz w:val="22"/>
          <w:szCs w:val="22"/>
        </w:rPr>
        <w:t>N</w:t>
      </w:r>
      <w:r w:rsidRPr="00441AF5">
        <w:rPr>
          <w:rFonts w:cs="Arial"/>
          <w:b/>
          <w:bCs/>
          <w:sz w:val="22"/>
          <w:szCs w:val="22"/>
        </w:rPr>
        <w:t xml:space="preserve">on-training </w:t>
      </w:r>
      <w:r w:rsidR="00A141A8">
        <w:rPr>
          <w:rFonts w:cs="Arial"/>
          <w:b/>
          <w:bCs/>
          <w:sz w:val="22"/>
          <w:szCs w:val="22"/>
        </w:rPr>
        <w:t>T</w:t>
      </w:r>
      <w:r w:rsidRPr="00441AF5">
        <w:rPr>
          <w:rFonts w:cs="Arial"/>
          <w:b/>
          <w:bCs/>
          <w:sz w:val="22"/>
          <w:szCs w:val="22"/>
        </w:rPr>
        <w:t>asks</w:t>
      </w:r>
      <w:r w:rsidR="00845375">
        <w:rPr>
          <w:rFonts w:cs="Arial"/>
          <w:b/>
          <w:bCs/>
          <w:sz w:val="22"/>
          <w:szCs w:val="22"/>
        </w:rPr>
        <w:t xml:space="preserve"> and </w:t>
      </w:r>
      <w:r w:rsidR="004321C2">
        <w:rPr>
          <w:rFonts w:cs="Arial"/>
          <w:b/>
          <w:bCs/>
          <w:sz w:val="22"/>
          <w:szCs w:val="22"/>
        </w:rPr>
        <w:t xml:space="preserve">team costs </w:t>
      </w:r>
      <w:r w:rsidR="00441B10" w:rsidRPr="00441AF5">
        <w:rPr>
          <w:rStyle w:val="FootnoteReference"/>
          <w:rFonts w:cs="Arial"/>
          <w:b/>
          <w:bCs/>
          <w:szCs w:val="22"/>
        </w:rPr>
        <w:footnoteReference w:id="54"/>
      </w:r>
      <w:r w:rsidR="00596C0E" w:rsidRPr="00441AF5">
        <w:rPr>
          <w:rFonts w:cs="Arial"/>
          <w:b/>
          <w:bCs/>
          <w:sz w:val="22"/>
          <w:szCs w:val="22"/>
        </w:rPr>
        <w:t>.</w:t>
      </w:r>
    </w:p>
    <w:tbl>
      <w:tblPr>
        <w:tblW w:w="9639" w:type="dxa"/>
        <w:tblInd w:w="562" w:type="dxa"/>
        <w:tblLayout w:type="fixed"/>
        <w:tblCellMar>
          <w:left w:w="0" w:type="dxa"/>
          <w:right w:w="0" w:type="dxa"/>
        </w:tblCellMar>
        <w:tblLook w:val="04A0" w:firstRow="1" w:lastRow="0" w:firstColumn="1" w:lastColumn="0" w:noHBand="0" w:noVBand="1"/>
      </w:tblPr>
      <w:tblGrid>
        <w:gridCol w:w="993"/>
        <w:gridCol w:w="1417"/>
        <w:gridCol w:w="709"/>
        <w:gridCol w:w="992"/>
        <w:gridCol w:w="851"/>
        <w:gridCol w:w="992"/>
        <w:gridCol w:w="992"/>
        <w:gridCol w:w="1134"/>
        <w:gridCol w:w="1559"/>
      </w:tblGrid>
      <w:tr w:rsidR="00952071" w:rsidRPr="001D081D" w14:paraId="358FC801" w14:textId="77777777" w:rsidTr="003F40C2">
        <w:trPr>
          <w:trHeight w:val="283"/>
        </w:trPr>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636E4B5B" w14:textId="0361269F" w:rsidR="00952071" w:rsidRPr="00441AF5" w:rsidRDefault="00952071" w:rsidP="00C46390">
            <w:pPr>
              <w:spacing w:before="40" w:after="40" w:line="259" w:lineRule="auto"/>
              <w:jc w:val="center"/>
              <w:rPr>
                <w:rFonts w:cs="Arial"/>
                <w:b/>
                <w:bCs/>
                <w:sz w:val="22"/>
                <w:szCs w:val="22"/>
                <w:lang w:eastAsia="en-GB"/>
              </w:rPr>
            </w:pPr>
            <w:r>
              <w:rPr>
                <w:rFonts w:cs="Arial"/>
                <w:b/>
                <w:bCs/>
                <w:sz w:val="22"/>
                <w:szCs w:val="22"/>
                <w:lang w:eastAsia="en-GB"/>
              </w:rPr>
              <w:t>Size</w:t>
            </w:r>
          </w:p>
        </w:tc>
        <w:tc>
          <w:tcPr>
            <w:tcW w:w="1417" w:type="dxa"/>
            <w:tcBorders>
              <w:top w:val="single" w:sz="4" w:space="0" w:color="auto"/>
              <w:left w:val="nil"/>
              <w:bottom w:val="single" w:sz="4" w:space="0" w:color="auto"/>
              <w:right w:val="single" w:sz="4" w:space="0" w:color="auto"/>
            </w:tcBorders>
            <w:shd w:val="clear" w:color="auto" w:fill="auto"/>
            <w:hideMark/>
          </w:tcPr>
          <w:p w14:paraId="194DD06E" w14:textId="228E2F39" w:rsidR="00952071" w:rsidRPr="00441AF5"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 xml:space="preserve">Size </w:t>
            </w:r>
            <w:r>
              <w:rPr>
                <w:rFonts w:cs="Arial"/>
                <w:b/>
                <w:bCs/>
                <w:sz w:val="22"/>
                <w:szCs w:val="22"/>
                <w:lang w:eastAsia="en-GB"/>
              </w:rPr>
              <w:t>(</w:t>
            </w:r>
            <w:r w:rsidRPr="00441AF5">
              <w:rPr>
                <w:rFonts w:cs="Arial"/>
                <w:b/>
                <w:bCs/>
                <w:sz w:val="22"/>
                <w:szCs w:val="22"/>
                <w:lang w:eastAsia="en-GB"/>
              </w:rPr>
              <w:t>employees</w:t>
            </w:r>
            <w:r>
              <w:rPr>
                <w:rFonts w:cs="Arial"/>
                <w:b/>
                <w:bCs/>
                <w:sz w:val="22"/>
                <w:szCs w:val="22"/>
                <w:lang w:eastAsia="en-GB"/>
              </w:rPr>
              <w:t>)</w:t>
            </w:r>
          </w:p>
        </w:tc>
        <w:tc>
          <w:tcPr>
            <w:tcW w:w="709" w:type="dxa"/>
            <w:tcBorders>
              <w:top w:val="single" w:sz="4" w:space="0" w:color="auto"/>
              <w:left w:val="nil"/>
              <w:bottom w:val="single" w:sz="4" w:space="0" w:color="auto"/>
              <w:right w:val="single" w:sz="4" w:space="0" w:color="auto"/>
            </w:tcBorders>
            <w:shd w:val="clear" w:color="auto" w:fill="auto"/>
            <w:hideMark/>
          </w:tcPr>
          <w:p w14:paraId="5941D4CA" w14:textId="77777777" w:rsidR="00952071" w:rsidRPr="00441AF5"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Core team size</w:t>
            </w:r>
          </w:p>
        </w:tc>
        <w:tc>
          <w:tcPr>
            <w:tcW w:w="992" w:type="dxa"/>
            <w:tcBorders>
              <w:top w:val="single" w:sz="4" w:space="0" w:color="auto"/>
              <w:left w:val="nil"/>
              <w:bottom w:val="single" w:sz="4" w:space="0" w:color="auto"/>
              <w:right w:val="single" w:sz="4" w:space="0" w:color="auto"/>
            </w:tcBorders>
            <w:shd w:val="clear" w:color="auto" w:fill="auto"/>
            <w:hideMark/>
          </w:tcPr>
          <w:p w14:paraId="4D8D3880" w14:textId="77777777" w:rsidR="00952071" w:rsidRPr="00441AF5"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Project Director</w:t>
            </w:r>
          </w:p>
        </w:tc>
        <w:tc>
          <w:tcPr>
            <w:tcW w:w="851" w:type="dxa"/>
            <w:tcBorders>
              <w:top w:val="single" w:sz="4" w:space="0" w:color="auto"/>
              <w:left w:val="nil"/>
              <w:bottom w:val="single" w:sz="4" w:space="0" w:color="auto"/>
              <w:right w:val="single" w:sz="4" w:space="0" w:color="auto"/>
            </w:tcBorders>
            <w:shd w:val="clear" w:color="auto" w:fill="auto"/>
            <w:hideMark/>
          </w:tcPr>
          <w:p w14:paraId="080950F2" w14:textId="77777777" w:rsidR="00466558"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 xml:space="preserve">Core team rate </w:t>
            </w:r>
          </w:p>
          <w:p w14:paraId="274AC294" w14:textId="61CCC75E" w:rsidR="00952071" w:rsidRPr="00441AF5"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w:t>
            </w:r>
          </w:p>
        </w:tc>
        <w:tc>
          <w:tcPr>
            <w:tcW w:w="992" w:type="dxa"/>
            <w:tcBorders>
              <w:top w:val="single" w:sz="4" w:space="0" w:color="auto"/>
              <w:left w:val="nil"/>
              <w:bottom w:val="single" w:sz="4" w:space="0" w:color="auto"/>
              <w:right w:val="single" w:sz="4" w:space="0" w:color="auto"/>
            </w:tcBorders>
            <w:shd w:val="clear" w:color="auto" w:fill="auto"/>
            <w:hideMark/>
          </w:tcPr>
          <w:p w14:paraId="3428B51D" w14:textId="77777777" w:rsidR="00466558"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 xml:space="preserve">Project director rate </w:t>
            </w:r>
          </w:p>
          <w:p w14:paraId="7A176D4C" w14:textId="573F583B" w:rsidR="00952071" w:rsidRPr="00441AF5"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w:t>
            </w:r>
          </w:p>
        </w:tc>
        <w:tc>
          <w:tcPr>
            <w:tcW w:w="992" w:type="dxa"/>
            <w:tcBorders>
              <w:top w:val="single" w:sz="4" w:space="0" w:color="auto"/>
              <w:left w:val="nil"/>
              <w:bottom w:val="single" w:sz="4" w:space="0" w:color="auto"/>
              <w:right w:val="single" w:sz="4" w:space="0" w:color="auto"/>
            </w:tcBorders>
            <w:shd w:val="clear" w:color="auto" w:fill="auto"/>
            <w:hideMark/>
          </w:tcPr>
          <w:p w14:paraId="6FC8EC06" w14:textId="1E26C3FF" w:rsidR="00952071" w:rsidRPr="00441AF5"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Blended rate /hr of input   £</w:t>
            </w:r>
          </w:p>
        </w:tc>
        <w:tc>
          <w:tcPr>
            <w:tcW w:w="1134" w:type="dxa"/>
            <w:tcBorders>
              <w:top w:val="single" w:sz="4" w:space="0" w:color="auto"/>
              <w:left w:val="nil"/>
              <w:bottom w:val="single" w:sz="4" w:space="0" w:color="auto"/>
              <w:right w:val="single" w:sz="4" w:space="0" w:color="auto"/>
            </w:tcBorders>
          </w:tcPr>
          <w:p w14:paraId="2FBF6C12" w14:textId="301EE9B9" w:rsidR="00952071" w:rsidRDefault="00952071" w:rsidP="006A164D">
            <w:pPr>
              <w:spacing w:before="40" w:after="40" w:line="259" w:lineRule="auto"/>
              <w:jc w:val="center"/>
              <w:rPr>
                <w:rFonts w:cs="Arial"/>
                <w:b/>
                <w:bCs/>
                <w:sz w:val="22"/>
                <w:szCs w:val="22"/>
                <w:lang w:eastAsia="en-GB"/>
              </w:rPr>
            </w:pPr>
            <w:r>
              <w:rPr>
                <w:rFonts w:cs="Arial"/>
                <w:b/>
                <w:bCs/>
                <w:sz w:val="22"/>
                <w:szCs w:val="22"/>
                <w:lang w:eastAsia="en-GB"/>
              </w:rPr>
              <w:t>Non-wage Labour Costs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EDED4A0" w14:textId="740CF27C" w:rsidR="00952071" w:rsidRPr="00441AF5" w:rsidRDefault="00952071" w:rsidP="00C46390">
            <w:pPr>
              <w:spacing w:before="40" w:after="40" w:line="259" w:lineRule="auto"/>
              <w:jc w:val="center"/>
              <w:rPr>
                <w:rFonts w:cs="Arial"/>
                <w:b/>
                <w:bCs/>
                <w:sz w:val="22"/>
                <w:szCs w:val="22"/>
                <w:lang w:eastAsia="en-GB"/>
              </w:rPr>
            </w:pPr>
            <w:r w:rsidRPr="00441AF5">
              <w:rPr>
                <w:rFonts w:cs="Arial"/>
                <w:b/>
                <w:bCs/>
                <w:sz w:val="22"/>
                <w:szCs w:val="22"/>
                <w:lang w:eastAsia="en-GB"/>
              </w:rPr>
              <w:t>Blended opportunity cost of time              £</w:t>
            </w:r>
          </w:p>
        </w:tc>
      </w:tr>
      <w:tr w:rsidR="00952071" w:rsidRPr="001D081D" w14:paraId="3C310679" w14:textId="77777777" w:rsidTr="003F40C2">
        <w:trPr>
          <w:trHeight w:val="283"/>
        </w:trPr>
        <w:tc>
          <w:tcPr>
            <w:tcW w:w="993" w:type="dxa"/>
            <w:tcBorders>
              <w:top w:val="nil"/>
              <w:left w:val="single" w:sz="4" w:space="0" w:color="auto"/>
              <w:bottom w:val="single" w:sz="4" w:space="0" w:color="auto"/>
              <w:right w:val="single" w:sz="4" w:space="0" w:color="auto"/>
            </w:tcBorders>
            <w:shd w:val="clear" w:color="auto" w:fill="auto"/>
            <w:vAlign w:val="bottom"/>
            <w:hideMark/>
          </w:tcPr>
          <w:p w14:paraId="67F8ABF2" w14:textId="63107AE0" w:rsidR="00952071" w:rsidRPr="00441AF5" w:rsidRDefault="00952071" w:rsidP="00556D24">
            <w:pPr>
              <w:spacing w:before="40" w:after="40" w:line="259" w:lineRule="auto"/>
              <w:jc w:val="center"/>
              <w:rPr>
                <w:rFonts w:cs="Arial"/>
                <w:sz w:val="22"/>
                <w:szCs w:val="22"/>
                <w:lang w:eastAsia="en-GB"/>
              </w:rPr>
            </w:pPr>
            <w:r w:rsidRPr="00441AF5">
              <w:rPr>
                <w:rFonts w:cs="Arial"/>
                <w:sz w:val="22"/>
                <w:szCs w:val="22"/>
              </w:rPr>
              <w:t>Large</w:t>
            </w:r>
          </w:p>
        </w:tc>
        <w:tc>
          <w:tcPr>
            <w:tcW w:w="1417" w:type="dxa"/>
            <w:tcBorders>
              <w:top w:val="nil"/>
              <w:left w:val="nil"/>
              <w:bottom w:val="single" w:sz="4" w:space="0" w:color="auto"/>
              <w:right w:val="single" w:sz="4" w:space="0" w:color="auto"/>
            </w:tcBorders>
            <w:shd w:val="clear" w:color="auto" w:fill="auto"/>
            <w:vAlign w:val="bottom"/>
            <w:hideMark/>
          </w:tcPr>
          <w:p w14:paraId="49E95E19" w14:textId="594E1C33" w:rsidR="00952071" w:rsidRPr="00441AF5" w:rsidRDefault="00952071" w:rsidP="003F40C2">
            <w:pPr>
              <w:spacing w:before="40" w:after="40" w:line="259" w:lineRule="auto"/>
              <w:ind w:right="135"/>
              <w:jc w:val="right"/>
              <w:rPr>
                <w:rFonts w:cs="Arial"/>
                <w:sz w:val="22"/>
                <w:szCs w:val="22"/>
                <w:lang w:eastAsia="en-GB"/>
              </w:rPr>
            </w:pPr>
            <w:r w:rsidRPr="00441AF5">
              <w:rPr>
                <w:rFonts w:cs="Arial"/>
                <w:sz w:val="22"/>
                <w:szCs w:val="22"/>
              </w:rPr>
              <w:t>&gt;250 &lt; 500</w:t>
            </w:r>
          </w:p>
        </w:tc>
        <w:tc>
          <w:tcPr>
            <w:tcW w:w="709" w:type="dxa"/>
            <w:tcBorders>
              <w:top w:val="nil"/>
              <w:left w:val="nil"/>
              <w:bottom w:val="single" w:sz="4" w:space="0" w:color="auto"/>
              <w:right w:val="single" w:sz="4" w:space="0" w:color="auto"/>
            </w:tcBorders>
            <w:shd w:val="clear" w:color="auto" w:fill="auto"/>
            <w:vAlign w:val="center"/>
            <w:hideMark/>
          </w:tcPr>
          <w:p w14:paraId="18CBB03D" w14:textId="2B4BD249" w:rsidR="00952071" w:rsidRPr="00441AF5" w:rsidRDefault="00952071" w:rsidP="00556D24">
            <w:pPr>
              <w:spacing w:before="40" w:after="40" w:line="259" w:lineRule="auto"/>
              <w:jc w:val="center"/>
              <w:rPr>
                <w:rFonts w:cs="Arial"/>
                <w:sz w:val="22"/>
                <w:szCs w:val="22"/>
                <w:lang w:eastAsia="en-GB"/>
              </w:rPr>
            </w:pPr>
            <w:r w:rsidRPr="00441AF5">
              <w:rPr>
                <w:rFonts w:cs="Arial"/>
                <w:sz w:val="22"/>
                <w:szCs w:val="22"/>
              </w:rPr>
              <w:t>4</w:t>
            </w:r>
          </w:p>
        </w:tc>
        <w:tc>
          <w:tcPr>
            <w:tcW w:w="992" w:type="dxa"/>
            <w:tcBorders>
              <w:top w:val="nil"/>
              <w:left w:val="nil"/>
              <w:bottom w:val="single" w:sz="4" w:space="0" w:color="auto"/>
              <w:right w:val="single" w:sz="4" w:space="0" w:color="auto"/>
            </w:tcBorders>
            <w:shd w:val="clear" w:color="auto" w:fill="auto"/>
            <w:vAlign w:val="bottom"/>
            <w:hideMark/>
          </w:tcPr>
          <w:p w14:paraId="5934CEC1" w14:textId="1E110458" w:rsidR="00952071" w:rsidRPr="00441AF5" w:rsidRDefault="00952071" w:rsidP="003F40C2">
            <w:pPr>
              <w:spacing w:before="40" w:after="40" w:line="259" w:lineRule="auto"/>
              <w:ind w:right="144"/>
              <w:jc w:val="right"/>
              <w:rPr>
                <w:rFonts w:cs="Arial"/>
                <w:sz w:val="22"/>
                <w:szCs w:val="22"/>
                <w:lang w:eastAsia="en-GB"/>
              </w:rPr>
            </w:pPr>
            <w:r w:rsidRPr="00441AF5">
              <w:rPr>
                <w:rFonts w:cs="Arial"/>
                <w:sz w:val="22"/>
                <w:szCs w:val="22"/>
              </w:rPr>
              <w:t>1</w:t>
            </w:r>
          </w:p>
        </w:tc>
        <w:tc>
          <w:tcPr>
            <w:tcW w:w="851" w:type="dxa"/>
            <w:tcBorders>
              <w:top w:val="nil"/>
              <w:left w:val="nil"/>
              <w:bottom w:val="single" w:sz="4" w:space="0" w:color="auto"/>
              <w:right w:val="single" w:sz="4" w:space="0" w:color="auto"/>
            </w:tcBorders>
            <w:shd w:val="clear" w:color="auto" w:fill="auto"/>
            <w:vAlign w:val="bottom"/>
            <w:hideMark/>
          </w:tcPr>
          <w:p w14:paraId="6566EE77" w14:textId="1F79F9DD" w:rsidR="00952071" w:rsidRPr="00441AF5" w:rsidRDefault="00FF1067" w:rsidP="00556D24">
            <w:pPr>
              <w:spacing w:before="40" w:after="40" w:line="259" w:lineRule="auto"/>
              <w:jc w:val="center"/>
              <w:rPr>
                <w:rFonts w:cs="Arial"/>
                <w:sz w:val="22"/>
                <w:szCs w:val="22"/>
                <w:lang w:eastAsia="en-GB"/>
              </w:rPr>
            </w:pPr>
            <w:r>
              <w:rPr>
                <w:rFonts w:cs="Arial"/>
                <w:sz w:val="22"/>
                <w:szCs w:val="22"/>
              </w:rPr>
              <w:t>24.08</w:t>
            </w:r>
          </w:p>
        </w:tc>
        <w:tc>
          <w:tcPr>
            <w:tcW w:w="992" w:type="dxa"/>
            <w:tcBorders>
              <w:top w:val="nil"/>
              <w:left w:val="nil"/>
              <w:bottom w:val="single" w:sz="4" w:space="0" w:color="auto"/>
              <w:right w:val="single" w:sz="4" w:space="0" w:color="auto"/>
            </w:tcBorders>
            <w:shd w:val="clear" w:color="auto" w:fill="auto"/>
            <w:vAlign w:val="center"/>
            <w:hideMark/>
          </w:tcPr>
          <w:p w14:paraId="38D73D0C" w14:textId="5556F704" w:rsidR="00952071" w:rsidRPr="00441AF5" w:rsidRDefault="00FF1067" w:rsidP="003F40C2">
            <w:pPr>
              <w:spacing w:before="40" w:after="40" w:line="259" w:lineRule="auto"/>
              <w:ind w:right="131"/>
              <w:jc w:val="right"/>
              <w:rPr>
                <w:rFonts w:cs="Arial"/>
                <w:sz w:val="22"/>
                <w:szCs w:val="22"/>
                <w:lang w:eastAsia="en-GB"/>
              </w:rPr>
            </w:pPr>
            <w:r>
              <w:rPr>
                <w:rFonts w:cs="Arial"/>
                <w:sz w:val="22"/>
                <w:szCs w:val="22"/>
              </w:rPr>
              <w:t>33.19</w:t>
            </w:r>
          </w:p>
        </w:tc>
        <w:tc>
          <w:tcPr>
            <w:tcW w:w="992" w:type="dxa"/>
            <w:tcBorders>
              <w:top w:val="nil"/>
              <w:left w:val="nil"/>
              <w:bottom w:val="single" w:sz="4" w:space="0" w:color="auto"/>
              <w:right w:val="single" w:sz="4" w:space="0" w:color="auto"/>
            </w:tcBorders>
            <w:shd w:val="clear" w:color="auto" w:fill="auto"/>
            <w:vAlign w:val="center"/>
            <w:hideMark/>
          </w:tcPr>
          <w:p w14:paraId="344DCBD4" w14:textId="6DA419EC" w:rsidR="00952071" w:rsidRPr="00441AF5" w:rsidRDefault="00294AE1" w:rsidP="003F40C2">
            <w:pPr>
              <w:spacing w:before="40" w:after="40" w:line="259" w:lineRule="auto"/>
              <w:ind w:right="144"/>
              <w:jc w:val="right"/>
              <w:rPr>
                <w:rFonts w:cs="Arial"/>
                <w:sz w:val="22"/>
                <w:szCs w:val="22"/>
                <w:lang w:eastAsia="en-GB"/>
              </w:rPr>
            </w:pPr>
            <w:r>
              <w:rPr>
                <w:rFonts w:cs="Arial"/>
                <w:sz w:val="22"/>
                <w:szCs w:val="22"/>
              </w:rPr>
              <w:t>24.43</w:t>
            </w:r>
          </w:p>
        </w:tc>
        <w:tc>
          <w:tcPr>
            <w:tcW w:w="1134" w:type="dxa"/>
            <w:tcBorders>
              <w:top w:val="single" w:sz="4" w:space="0" w:color="auto"/>
              <w:left w:val="nil"/>
              <w:bottom w:val="single" w:sz="4" w:space="0" w:color="auto"/>
              <w:right w:val="single" w:sz="4" w:space="0" w:color="auto"/>
            </w:tcBorders>
            <w:vAlign w:val="center"/>
          </w:tcPr>
          <w:p w14:paraId="1252E3B1" w14:textId="19B4FE63" w:rsidR="00952071" w:rsidRPr="00CD068D" w:rsidRDefault="00952071" w:rsidP="003F40C2">
            <w:pPr>
              <w:spacing w:before="40" w:after="40" w:line="259" w:lineRule="auto"/>
              <w:ind w:right="135"/>
              <w:jc w:val="right"/>
              <w:rPr>
                <w:rFonts w:cs="Arial"/>
                <w:sz w:val="22"/>
                <w:szCs w:val="22"/>
              </w:rPr>
            </w:pPr>
            <w:r w:rsidRPr="00CD068D">
              <w:rPr>
                <w:rFonts w:cs="Arial"/>
                <w:sz w:val="22"/>
                <w:szCs w:val="22"/>
              </w:rPr>
              <w:t>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145D7" w14:textId="288DDB93" w:rsidR="00952071" w:rsidRPr="00441AF5" w:rsidRDefault="000730DB" w:rsidP="003F40C2">
            <w:pPr>
              <w:spacing w:before="40" w:after="40" w:line="259" w:lineRule="auto"/>
              <w:ind w:right="136"/>
              <w:jc w:val="right"/>
              <w:rPr>
                <w:rFonts w:cs="Arial"/>
                <w:sz w:val="22"/>
                <w:szCs w:val="22"/>
                <w:lang w:eastAsia="en-GB"/>
              </w:rPr>
            </w:pPr>
            <w:r>
              <w:rPr>
                <w:rFonts w:cs="Arial"/>
                <w:sz w:val="22"/>
                <w:szCs w:val="22"/>
                <w:lang w:eastAsia="en-GB"/>
              </w:rPr>
              <w:t>29.</w:t>
            </w:r>
            <w:r w:rsidR="00BD7754">
              <w:rPr>
                <w:rFonts w:cs="Arial"/>
                <w:sz w:val="22"/>
                <w:szCs w:val="22"/>
                <w:lang w:eastAsia="en-GB"/>
              </w:rPr>
              <w:t>81</w:t>
            </w:r>
          </w:p>
        </w:tc>
      </w:tr>
      <w:tr w:rsidR="00952071" w:rsidRPr="001D081D" w14:paraId="255E01C4" w14:textId="77777777" w:rsidTr="003F40C2">
        <w:trPr>
          <w:trHeight w:val="283"/>
        </w:trPr>
        <w:tc>
          <w:tcPr>
            <w:tcW w:w="993" w:type="dxa"/>
            <w:tcBorders>
              <w:top w:val="nil"/>
              <w:left w:val="single" w:sz="4" w:space="0" w:color="auto"/>
              <w:bottom w:val="single" w:sz="4" w:space="0" w:color="auto"/>
              <w:right w:val="single" w:sz="4" w:space="0" w:color="auto"/>
            </w:tcBorders>
            <w:shd w:val="clear" w:color="auto" w:fill="auto"/>
            <w:vAlign w:val="bottom"/>
            <w:hideMark/>
          </w:tcPr>
          <w:p w14:paraId="3FD220BB" w14:textId="7720C066" w:rsidR="00952071" w:rsidRPr="00441AF5" w:rsidRDefault="00952071" w:rsidP="00556D24">
            <w:pPr>
              <w:spacing w:before="40" w:after="40" w:line="259" w:lineRule="auto"/>
              <w:jc w:val="center"/>
              <w:rPr>
                <w:rFonts w:cs="Arial"/>
                <w:sz w:val="22"/>
                <w:szCs w:val="22"/>
                <w:lang w:eastAsia="en-GB"/>
              </w:rPr>
            </w:pPr>
            <w:r w:rsidRPr="00441AF5">
              <w:rPr>
                <w:rFonts w:cs="Arial"/>
                <w:sz w:val="22"/>
                <w:szCs w:val="22"/>
              </w:rPr>
              <w:t>Largest</w:t>
            </w:r>
          </w:p>
        </w:tc>
        <w:tc>
          <w:tcPr>
            <w:tcW w:w="1417" w:type="dxa"/>
            <w:tcBorders>
              <w:top w:val="nil"/>
              <w:left w:val="nil"/>
              <w:bottom w:val="single" w:sz="4" w:space="0" w:color="auto"/>
              <w:right w:val="single" w:sz="4" w:space="0" w:color="auto"/>
            </w:tcBorders>
            <w:shd w:val="clear" w:color="auto" w:fill="auto"/>
            <w:vAlign w:val="bottom"/>
            <w:hideMark/>
          </w:tcPr>
          <w:p w14:paraId="7B3E786D" w14:textId="1EAF8F08" w:rsidR="00952071" w:rsidRPr="00441AF5" w:rsidRDefault="00952071" w:rsidP="003F40C2">
            <w:pPr>
              <w:spacing w:before="40" w:after="40" w:line="259" w:lineRule="auto"/>
              <w:ind w:right="135"/>
              <w:jc w:val="right"/>
              <w:rPr>
                <w:rFonts w:cs="Arial"/>
                <w:sz w:val="22"/>
                <w:szCs w:val="22"/>
                <w:lang w:eastAsia="en-GB"/>
              </w:rPr>
            </w:pPr>
            <w:r w:rsidRPr="00441AF5">
              <w:rPr>
                <w:rFonts w:cs="Arial"/>
                <w:sz w:val="22"/>
                <w:szCs w:val="22"/>
              </w:rPr>
              <w:t>&gt;500</w:t>
            </w:r>
          </w:p>
        </w:tc>
        <w:tc>
          <w:tcPr>
            <w:tcW w:w="709" w:type="dxa"/>
            <w:tcBorders>
              <w:top w:val="nil"/>
              <w:left w:val="nil"/>
              <w:bottom w:val="single" w:sz="4" w:space="0" w:color="auto"/>
              <w:right w:val="single" w:sz="4" w:space="0" w:color="auto"/>
            </w:tcBorders>
            <w:shd w:val="clear" w:color="auto" w:fill="auto"/>
            <w:vAlign w:val="center"/>
            <w:hideMark/>
          </w:tcPr>
          <w:p w14:paraId="269EED47" w14:textId="6806501F" w:rsidR="00952071" w:rsidRPr="00441AF5" w:rsidRDefault="00952071" w:rsidP="00556D24">
            <w:pPr>
              <w:spacing w:before="40" w:after="40" w:line="259" w:lineRule="auto"/>
              <w:jc w:val="center"/>
              <w:rPr>
                <w:rFonts w:cs="Arial"/>
                <w:sz w:val="22"/>
                <w:szCs w:val="22"/>
                <w:lang w:eastAsia="en-GB"/>
              </w:rPr>
            </w:pPr>
            <w:r w:rsidRPr="00441AF5">
              <w:rPr>
                <w:rFonts w:cs="Arial"/>
                <w:sz w:val="22"/>
                <w:szCs w:val="22"/>
              </w:rPr>
              <w:t>5</w:t>
            </w:r>
          </w:p>
        </w:tc>
        <w:tc>
          <w:tcPr>
            <w:tcW w:w="992" w:type="dxa"/>
            <w:tcBorders>
              <w:top w:val="nil"/>
              <w:left w:val="nil"/>
              <w:bottom w:val="single" w:sz="4" w:space="0" w:color="auto"/>
              <w:right w:val="single" w:sz="4" w:space="0" w:color="auto"/>
            </w:tcBorders>
            <w:shd w:val="clear" w:color="auto" w:fill="auto"/>
            <w:vAlign w:val="bottom"/>
            <w:hideMark/>
          </w:tcPr>
          <w:p w14:paraId="3A01840D" w14:textId="11027655" w:rsidR="00952071" w:rsidRPr="00441AF5" w:rsidRDefault="00952071" w:rsidP="003F40C2">
            <w:pPr>
              <w:spacing w:before="40" w:after="40" w:line="259" w:lineRule="auto"/>
              <w:ind w:right="144"/>
              <w:jc w:val="right"/>
              <w:rPr>
                <w:rFonts w:cs="Arial"/>
                <w:sz w:val="22"/>
                <w:szCs w:val="22"/>
                <w:lang w:eastAsia="en-GB"/>
              </w:rPr>
            </w:pPr>
            <w:r w:rsidRPr="00441AF5">
              <w:rPr>
                <w:rFonts w:cs="Arial"/>
                <w:sz w:val="22"/>
                <w:szCs w:val="22"/>
              </w:rPr>
              <w:t>1</w:t>
            </w:r>
          </w:p>
        </w:tc>
        <w:tc>
          <w:tcPr>
            <w:tcW w:w="851" w:type="dxa"/>
            <w:tcBorders>
              <w:top w:val="nil"/>
              <w:left w:val="nil"/>
              <w:bottom w:val="single" w:sz="4" w:space="0" w:color="auto"/>
              <w:right w:val="single" w:sz="4" w:space="0" w:color="auto"/>
            </w:tcBorders>
            <w:shd w:val="clear" w:color="auto" w:fill="auto"/>
            <w:vAlign w:val="bottom"/>
            <w:hideMark/>
          </w:tcPr>
          <w:p w14:paraId="45F0D72F" w14:textId="25735A2B" w:rsidR="00952071" w:rsidRPr="00441AF5" w:rsidRDefault="00FF1067" w:rsidP="00556D24">
            <w:pPr>
              <w:spacing w:before="40" w:after="40" w:line="259" w:lineRule="auto"/>
              <w:jc w:val="center"/>
              <w:rPr>
                <w:rFonts w:cs="Arial"/>
                <w:sz w:val="22"/>
                <w:szCs w:val="22"/>
                <w:lang w:eastAsia="en-GB"/>
              </w:rPr>
            </w:pPr>
            <w:r>
              <w:rPr>
                <w:rFonts w:cs="Arial"/>
                <w:sz w:val="22"/>
                <w:szCs w:val="22"/>
              </w:rPr>
              <w:t>24.08</w:t>
            </w:r>
          </w:p>
        </w:tc>
        <w:tc>
          <w:tcPr>
            <w:tcW w:w="992" w:type="dxa"/>
            <w:tcBorders>
              <w:top w:val="nil"/>
              <w:left w:val="nil"/>
              <w:bottom w:val="single" w:sz="4" w:space="0" w:color="auto"/>
              <w:right w:val="single" w:sz="4" w:space="0" w:color="auto"/>
            </w:tcBorders>
            <w:shd w:val="clear" w:color="auto" w:fill="auto"/>
            <w:vAlign w:val="center"/>
            <w:hideMark/>
          </w:tcPr>
          <w:p w14:paraId="437C0A7A" w14:textId="044F34AA" w:rsidR="00952071" w:rsidRPr="00441AF5" w:rsidRDefault="00294AE1" w:rsidP="003F40C2">
            <w:pPr>
              <w:spacing w:before="40" w:after="40" w:line="259" w:lineRule="auto"/>
              <w:ind w:right="131"/>
              <w:jc w:val="right"/>
              <w:rPr>
                <w:rFonts w:cs="Arial"/>
                <w:sz w:val="22"/>
                <w:szCs w:val="22"/>
                <w:lang w:eastAsia="en-GB"/>
              </w:rPr>
            </w:pPr>
            <w:r>
              <w:rPr>
                <w:rFonts w:cs="Arial"/>
                <w:sz w:val="22"/>
                <w:szCs w:val="22"/>
              </w:rPr>
              <w:t>33.19</w:t>
            </w:r>
          </w:p>
        </w:tc>
        <w:tc>
          <w:tcPr>
            <w:tcW w:w="992" w:type="dxa"/>
            <w:tcBorders>
              <w:top w:val="nil"/>
              <w:left w:val="nil"/>
              <w:bottom w:val="single" w:sz="4" w:space="0" w:color="auto"/>
              <w:right w:val="single" w:sz="4" w:space="0" w:color="auto"/>
            </w:tcBorders>
            <w:shd w:val="clear" w:color="auto" w:fill="auto"/>
            <w:vAlign w:val="center"/>
            <w:hideMark/>
          </w:tcPr>
          <w:p w14:paraId="08AAD373" w14:textId="4B836D77" w:rsidR="00952071" w:rsidRPr="00441AF5" w:rsidRDefault="00294AE1" w:rsidP="003F40C2">
            <w:pPr>
              <w:spacing w:before="40" w:after="40" w:line="259" w:lineRule="auto"/>
              <w:ind w:right="144"/>
              <w:jc w:val="right"/>
              <w:rPr>
                <w:rFonts w:cs="Arial"/>
                <w:sz w:val="22"/>
                <w:szCs w:val="22"/>
                <w:lang w:eastAsia="en-GB"/>
              </w:rPr>
            </w:pPr>
            <w:r>
              <w:rPr>
                <w:rFonts w:cs="Arial"/>
                <w:sz w:val="22"/>
                <w:szCs w:val="22"/>
              </w:rPr>
              <w:t>24.52</w:t>
            </w:r>
          </w:p>
        </w:tc>
        <w:tc>
          <w:tcPr>
            <w:tcW w:w="1134" w:type="dxa"/>
            <w:tcBorders>
              <w:top w:val="single" w:sz="4" w:space="0" w:color="auto"/>
              <w:left w:val="nil"/>
              <w:bottom w:val="single" w:sz="4" w:space="0" w:color="auto"/>
              <w:right w:val="single" w:sz="4" w:space="0" w:color="auto"/>
            </w:tcBorders>
            <w:vAlign w:val="center"/>
          </w:tcPr>
          <w:p w14:paraId="7441AC5A" w14:textId="24BA5929" w:rsidR="00952071" w:rsidRPr="00CD068D" w:rsidRDefault="00952071" w:rsidP="003F40C2">
            <w:pPr>
              <w:spacing w:before="40" w:after="40" w:line="259" w:lineRule="auto"/>
              <w:ind w:right="135"/>
              <w:jc w:val="right"/>
              <w:rPr>
                <w:rFonts w:cs="Arial"/>
                <w:sz w:val="22"/>
                <w:szCs w:val="22"/>
              </w:rPr>
            </w:pPr>
            <w:r w:rsidRPr="00CD068D">
              <w:rPr>
                <w:rFonts w:cs="Arial"/>
                <w:sz w:val="22"/>
                <w:szCs w:val="22"/>
              </w:rPr>
              <w:t>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E37C3" w14:textId="1968153D" w:rsidR="00952071" w:rsidRPr="00441AF5" w:rsidRDefault="000730DB" w:rsidP="003F40C2">
            <w:pPr>
              <w:spacing w:before="40" w:after="40" w:line="259" w:lineRule="auto"/>
              <w:ind w:right="136"/>
              <w:jc w:val="right"/>
              <w:rPr>
                <w:rFonts w:cs="Arial"/>
                <w:sz w:val="22"/>
                <w:szCs w:val="22"/>
                <w:lang w:eastAsia="en-GB"/>
              </w:rPr>
            </w:pPr>
            <w:r>
              <w:rPr>
                <w:rFonts w:cs="Arial"/>
                <w:sz w:val="22"/>
                <w:szCs w:val="22"/>
                <w:lang w:eastAsia="en-GB"/>
              </w:rPr>
              <w:t>29.</w:t>
            </w:r>
            <w:r w:rsidR="00BD7754">
              <w:rPr>
                <w:rFonts w:cs="Arial"/>
                <w:sz w:val="22"/>
                <w:szCs w:val="22"/>
                <w:lang w:eastAsia="en-GB"/>
              </w:rPr>
              <w:t>91</w:t>
            </w:r>
          </w:p>
        </w:tc>
      </w:tr>
    </w:tbl>
    <w:p w14:paraId="22769273" w14:textId="6368F944" w:rsidR="00953D04" w:rsidRPr="0029116F" w:rsidRDefault="00953D04" w:rsidP="009F77CF">
      <w:pPr>
        <w:spacing w:after="120" w:line="259" w:lineRule="auto"/>
        <w:ind w:left="567"/>
        <w:jc w:val="both"/>
        <w:rPr>
          <w:rFonts w:cs="Arial"/>
          <w:sz w:val="18"/>
          <w:szCs w:val="18"/>
        </w:rPr>
      </w:pPr>
      <w:r w:rsidRPr="0029116F">
        <w:rPr>
          <w:rFonts w:cs="Arial"/>
          <w:sz w:val="18"/>
          <w:szCs w:val="18"/>
        </w:rPr>
        <w:t>Source: ASHE 20</w:t>
      </w:r>
      <w:r w:rsidR="006B4BE4" w:rsidRPr="0029116F">
        <w:rPr>
          <w:rFonts w:cs="Arial"/>
          <w:sz w:val="18"/>
          <w:szCs w:val="18"/>
        </w:rPr>
        <w:t>2</w:t>
      </w:r>
      <w:r w:rsidR="00920CBE">
        <w:rPr>
          <w:rFonts w:cs="Arial"/>
          <w:sz w:val="18"/>
          <w:szCs w:val="18"/>
        </w:rPr>
        <w:t>3</w:t>
      </w:r>
      <w:r w:rsidRPr="0029116F">
        <w:rPr>
          <w:rStyle w:val="FootnoteReference"/>
          <w:rFonts w:eastAsiaTheme="majorEastAsia" w:cs="Arial"/>
          <w:sz w:val="18"/>
          <w:szCs w:val="18"/>
        </w:rPr>
        <w:footnoteReference w:id="55"/>
      </w:r>
      <w:r w:rsidRPr="0029116F">
        <w:rPr>
          <w:rFonts w:cs="Arial"/>
          <w:sz w:val="18"/>
          <w:szCs w:val="18"/>
        </w:rPr>
        <w:t xml:space="preserve">, </w:t>
      </w:r>
      <w:r w:rsidR="00CD5B6E" w:rsidRPr="0029116F">
        <w:rPr>
          <w:rFonts w:cs="Arial"/>
          <w:sz w:val="18"/>
          <w:szCs w:val="18"/>
        </w:rPr>
        <w:t>DBT</w:t>
      </w:r>
      <w:r w:rsidRPr="0029116F">
        <w:rPr>
          <w:rFonts w:cs="Arial"/>
          <w:sz w:val="18"/>
          <w:szCs w:val="18"/>
        </w:rPr>
        <w:t xml:space="preserve"> calculations</w:t>
      </w:r>
    </w:p>
    <w:p w14:paraId="7CAC5425" w14:textId="40FA60E8" w:rsidR="009F77CF" w:rsidRDefault="009F77CF"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For the largest organisations it is assumed that the core team consists of </w:t>
      </w:r>
      <w:r w:rsidR="004A33A0" w:rsidRPr="00441AF5">
        <w:rPr>
          <w:rFonts w:cs="Arial"/>
          <w:sz w:val="22"/>
          <w:szCs w:val="22"/>
        </w:rPr>
        <w:t>five</w:t>
      </w:r>
      <w:r w:rsidRPr="00441AF5">
        <w:rPr>
          <w:rFonts w:cs="Arial"/>
          <w:sz w:val="22"/>
          <w:szCs w:val="22"/>
        </w:rPr>
        <w:t xml:space="preserve"> personnel</w:t>
      </w:r>
      <w:r w:rsidRPr="00441AF5">
        <w:rPr>
          <w:rStyle w:val="FootnoteReference"/>
          <w:rFonts w:eastAsiaTheme="minorEastAsia" w:cs="Arial"/>
          <w:szCs w:val="22"/>
        </w:rPr>
        <w:footnoteReference w:id="56"/>
      </w:r>
      <w:r w:rsidRPr="00441AF5">
        <w:rPr>
          <w:rFonts w:cs="Arial"/>
          <w:sz w:val="22"/>
          <w:szCs w:val="22"/>
        </w:rPr>
        <w:t xml:space="preserve"> working full-time who are managed by a project director</w:t>
      </w:r>
      <w:r w:rsidRPr="00441AF5">
        <w:rPr>
          <w:rStyle w:val="FootnoteReference"/>
          <w:rFonts w:eastAsiaTheme="minorEastAsia" w:cs="Arial"/>
          <w:szCs w:val="22"/>
        </w:rPr>
        <w:footnoteReference w:id="57"/>
      </w:r>
      <w:r w:rsidRPr="00441AF5">
        <w:rPr>
          <w:rFonts w:cs="Arial"/>
          <w:sz w:val="22"/>
          <w:szCs w:val="22"/>
        </w:rPr>
        <w:t xml:space="preserve"> who dedicates </w:t>
      </w:r>
      <w:r w:rsidR="007F0711" w:rsidRPr="00441AF5">
        <w:rPr>
          <w:rFonts w:cs="Arial"/>
          <w:sz w:val="22"/>
          <w:szCs w:val="22"/>
        </w:rPr>
        <w:t>20</w:t>
      </w:r>
      <w:r w:rsidRPr="00441AF5">
        <w:rPr>
          <w:rFonts w:cs="Arial"/>
          <w:sz w:val="22"/>
          <w:szCs w:val="22"/>
        </w:rPr>
        <w:t xml:space="preserve"> per cent of their time to the project. The substantial input from senior staff is based on the current </w:t>
      </w:r>
      <w:r w:rsidR="004A33A0" w:rsidRPr="00441AF5">
        <w:rPr>
          <w:rFonts w:cs="Arial"/>
          <w:sz w:val="22"/>
          <w:szCs w:val="22"/>
        </w:rPr>
        <w:t>B</w:t>
      </w:r>
      <w:r w:rsidR="00CB027A">
        <w:rPr>
          <w:rFonts w:cs="Arial"/>
          <w:sz w:val="22"/>
          <w:szCs w:val="22"/>
        </w:rPr>
        <w:t xml:space="preserve">ribery </w:t>
      </w:r>
      <w:r w:rsidR="004A33A0" w:rsidRPr="00441AF5">
        <w:rPr>
          <w:rFonts w:cs="Arial"/>
          <w:sz w:val="22"/>
          <w:szCs w:val="22"/>
        </w:rPr>
        <w:t>A</w:t>
      </w:r>
      <w:r w:rsidR="00CB027A">
        <w:rPr>
          <w:rFonts w:cs="Arial"/>
          <w:sz w:val="22"/>
          <w:szCs w:val="22"/>
        </w:rPr>
        <w:t>ct</w:t>
      </w:r>
      <w:r w:rsidRPr="00441AF5">
        <w:rPr>
          <w:rFonts w:cs="Arial"/>
          <w:sz w:val="22"/>
          <w:szCs w:val="22"/>
        </w:rPr>
        <w:t xml:space="preserve"> 2010 guidance which states that processes should show “top level commitment”. </w:t>
      </w:r>
      <w:r w:rsidR="002B01C6">
        <w:rPr>
          <w:rFonts w:cs="Arial"/>
          <w:sz w:val="22"/>
          <w:szCs w:val="22"/>
        </w:rPr>
        <w:t>Also, t</w:t>
      </w:r>
      <w:r w:rsidR="004F1A35">
        <w:rPr>
          <w:rFonts w:cs="Arial"/>
          <w:sz w:val="22"/>
          <w:szCs w:val="22"/>
        </w:rPr>
        <w:t xml:space="preserve">he failure to prevent </w:t>
      </w:r>
      <w:r w:rsidR="00B317E2">
        <w:rPr>
          <w:rFonts w:cs="Arial"/>
          <w:sz w:val="22"/>
          <w:szCs w:val="22"/>
        </w:rPr>
        <w:t xml:space="preserve">the criminal facilitation of </w:t>
      </w:r>
      <w:r w:rsidR="004F1A35">
        <w:rPr>
          <w:rFonts w:cs="Arial"/>
          <w:sz w:val="22"/>
          <w:szCs w:val="22"/>
        </w:rPr>
        <w:t>tax evasion guidance states:</w:t>
      </w:r>
    </w:p>
    <w:p w14:paraId="64D98B07" w14:textId="4106CD9F" w:rsidR="00017C64" w:rsidRDefault="004F1A35" w:rsidP="00017C64">
      <w:pPr>
        <w:pStyle w:val="ListParagraph"/>
        <w:spacing w:after="120" w:line="259" w:lineRule="auto"/>
        <w:ind w:left="709"/>
        <w:contextualSpacing w:val="0"/>
        <w:jc w:val="both"/>
        <w:rPr>
          <w:rFonts w:cs="Arial"/>
          <w:sz w:val="22"/>
          <w:szCs w:val="22"/>
        </w:rPr>
      </w:pPr>
      <w:r>
        <w:rPr>
          <w:rFonts w:cs="Arial"/>
          <w:sz w:val="22"/>
          <w:szCs w:val="22"/>
        </w:rPr>
        <w:t>“</w:t>
      </w:r>
      <w:r w:rsidR="00491949" w:rsidRPr="00C87D6B">
        <w:rPr>
          <w:rFonts w:cs="Arial"/>
          <w:i/>
          <w:sz w:val="22"/>
          <w:szCs w:val="22"/>
        </w:rPr>
        <w:t xml:space="preserve">Those at the most senior levels of the organisation are best placed to foster a culture where actions intended to facilitate tax evasion are considered unacceptable. This principle is intended to encourage the involvement of senior management in the creation and implementation of preventative procedures. It is also intended to encourage senior management involvement in the </w:t>
      </w:r>
      <w:r w:rsidR="0002282F" w:rsidRPr="0002282F">
        <w:rPr>
          <w:rFonts w:cs="Arial"/>
          <w:i/>
          <w:iCs/>
          <w:sz w:val="22"/>
          <w:szCs w:val="22"/>
        </w:rPr>
        <w:t>decision-making</w:t>
      </w:r>
      <w:r w:rsidR="00491949" w:rsidRPr="00C87D6B">
        <w:rPr>
          <w:rFonts w:cs="Arial"/>
          <w:i/>
          <w:sz w:val="22"/>
          <w:szCs w:val="22"/>
        </w:rPr>
        <w:t xml:space="preserve"> process in relation to the assessment of risk, where this is appropriate</w:t>
      </w:r>
      <w:r>
        <w:rPr>
          <w:rFonts w:cs="Arial"/>
          <w:sz w:val="22"/>
          <w:szCs w:val="22"/>
        </w:rPr>
        <w:t>”</w:t>
      </w:r>
      <w:r w:rsidR="0002282F">
        <w:rPr>
          <w:rFonts w:cs="Arial"/>
          <w:sz w:val="22"/>
          <w:szCs w:val="22"/>
        </w:rPr>
        <w:t>, page 25</w:t>
      </w:r>
      <w:r w:rsidR="007B3446">
        <w:rPr>
          <w:rStyle w:val="FootnoteReference"/>
          <w:szCs w:val="22"/>
        </w:rPr>
        <w:footnoteReference w:id="58"/>
      </w:r>
      <w:r w:rsidR="0002282F">
        <w:rPr>
          <w:rFonts w:cs="Arial"/>
          <w:sz w:val="22"/>
          <w:szCs w:val="22"/>
        </w:rPr>
        <w:t>.</w:t>
      </w:r>
    </w:p>
    <w:p w14:paraId="6A21C05F" w14:textId="0EB6FFC3" w:rsidR="007030AD" w:rsidRPr="00441AF5" w:rsidRDefault="007030AD" w:rsidP="003F40C2">
      <w:pPr>
        <w:pStyle w:val="ListParagraph"/>
        <w:spacing w:after="120" w:line="259" w:lineRule="auto"/>
        <w:ind w:left="567"/>
        <w:contextualSpacing w:val="0"/>
        <w:jc w:val="both"/>
        <w:rPr>
          <w:rFonts w:cs="Arial"/>
          <w:b/>
          <w:bCs/>
          <w:sz w:val="22"/>
          <w:szCs w:val="22"/>
        </w:rPr>
      </w:pPr>
      <w:r w:rsidRPr="0002349F">
        <w:rPr>
          <w:rFonts w:cs="Arial"/>
          <w:b/>
          <w:bCs/>
          <w:sz w:val="22"/>
          <w:szCs w:val="22"/>
        </w:rPr>
        <w:t xml:space="preserve">Table </w:t>
      </w:r>
      <w:r w:rsidR="00530415" w:rsidRPr="0002349F">
        <w:rPr>
          <w:rFonts w:cs="Arial"/>
          <w:b/>
          <w:bCs/>
          <w:sz w:val="22"/>
          <w:szCs w:val="22"/>
        </w:rPr>
        <w:t>2</w:t>
      </w:r>
      <w:r w:rsidR="0069591B" w:rsidRPr="00441AF5">
        <w:rPr>
          <w:rFonts w:cs="Arial"/>
          <w:b/>
          <w:bCs/>
          <w:sz w:val="22"/>
          <w:szCs w:val="22"/>
        </w:rPr>
        <w:t>,</w:t>
      </w:r>
      <w:r w:rsidRPr="00441AF5">
        <w:rPr>
          <w:rFonts w:cs="Arial"/>
          <w:b/>
          <w:bCs/>
          <w:sz w:val="22"/>
          <w:szCs w:val="22"/>
        </w:rPr>
        <w:t xml:space="preserve"> Total </w:t>
      </w:r>
      <w:r w:rsidR="00A141A8">
        <w:rPr>
          <w:rFonts w:cs="Arial"/>
          <w:b/>
          <w:bCs/>
          <w:sz w:val="22"/>
          <w:szCs w:val="22"/>
        </w:rPr>
        <w:t>H</w:t>
      </w:r>
      <w:r w:rsidRPr="00441AF5">
        <w:rPr>
          <w:rFonts w:cs="Arial"/>
          <w:b/>
          <w:bCs/>
          <w:sz w:val="22"/>
          <w:szCs w:val="22"/>
        </w:rPr>
        <w:t xml:space="preserve">ours by </w:t>
      </w:r>
      <w:r w:rsidR="00A141A8">
        <w:rPr>
          <w:rFonts w:cs="Arial"/>
          <w:b/>
          <w:bCs/>
          <w:sz w:val="22"/>
          <w:szCs w:val="22"/>
        </w:rPr>
        <w:t>S</w:t>
      </w:r>
      <w:r w:rsidRPr="00441AF5">
        <w:rPr>
          <w:rFonts w:cs="Arial"/>
          <w:b/>
          <w:bCs/>
          <w:sz w:val="22"/>
          <w:szCs w:val="22"/>
        </w:rPr>
        <w:t xml:space="preserve">tage of </w:t>
      </w:r>
      <w:r w:rsidR="00A141A8">
        <w:rPr>
          <w:rFonts w:cs="Arial"/>
          <w:b/>
          <w:bCs/>
          <w:sz w:val="22"/>
          <w:szCs w:val="22"/>
        </w:rPr>
        <w:t>N</w:t>
      </w:r>
      <w:r w:rsidRPr="00441AF5">
        <w:rPr>
          <w:rFonts w:cs="Arial"/>
          <w:b/>
          <w:bCs/>
          <w:sz w:val="22"/>
          <w:szCs w:val="22"/>
        </w:rPr>
        <w:t xml:space="preserve">on-training </w:t>
      </w:r>
      <w:r w:rsidR="00A141A8">
        <w:rPr>
          <w:rFonts w:cs="Arial"/>
          <w:b/>
          <w:bCs/>
          <w:sz w:val="22"/>
          <w:szCs w:val="22"/>
        </w:rPr>
        <w:t>P</w:t>
      </w:r>
      <w:r w:rsidRPr="00441AF5">
        <w:rPr>
          <w:rFonts w:cs="Arial"/>
          <w:b/>
          <w:bCs/>
          <w:sz w:val="22"/>
          <w:szCs w:val="22"/>
        </w:rPr>
        <w:t>hase</w:t>
      </w:r>
      <w:r w:rsidR="003C234F" w:rsidRPr="00441AF5">
        <w:rPr>
          <w:rFonts w:cs="Arial"/>
          <w:b/>
          <w:bCs/>
          <w:sz w:val="22"/>
          <w:szCs w:val="22"/>
        </w:rPr>
        <w:t>, 2022.</w:t>
      </w:r>
    </w:p>
    <w:tbl>
      <w:tblPr>
        <w:tblW w:w="0" w:type="auto"/>
        <w:tblInd w:w="557" w:type="dxa"/>
        <w:tblLook w:val="04A0" w:firstRow="1" w:lastRow="0" w:firstColumn="1" w:lastColumn="0" w:noHBand="0" w:noVBand="1"/>
      </w:tblPr>
      <w:tblGrid>
        <w:gridCol w:w="3544"/>
        <w:gridCol w:w="2693"/>
        <w:gridCol w:w="2977"/>
      </w:tblGrid>
      <w:tr w:rsidR="001D081D" w:rsidRPr="001D081D" w14:paraId="187708A3" w14:textId="77777777" w:rsidTr="00017C64">
        <w:trPr>
          <w:trHeight w:val="340"/>
        </w:trPr>
        <w:tc>
          <w:tcPr>
            <w:tcW w:w="921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A79A9E2" w14:textId="1D7E9277" w:rsidR="00D0513B" w:rsidRPr="00441AF5" w:rsidRDefault="00D0513B" w:rsidP="002C72D0">
            <w:pPr>
              <w:jc w:val="center"/>
              <w:rPr>
                <w:rFonts w:cs="Arial"/>
                <w:b/>
                <w:bCs/>
                <w:sz w:val="22"/>
                <w:szCs w:val="22"/>
                <w:lang w:eastAsia="en-GB"/>
              </w:rPr>
            </w:pPr>
            <w:r w:rsidRPr="00441AF5">
              <w:rPr>
                <w:rFonts w:cs="Arial"/>
                <w:b/>
                <w:bCs/>
                <w:sz w:val="22"/>
                <w:szCs w:val="22"/>
                <w:lang w:eastAsia="en-GB"/>
              </w:rPr>
              <w:t xml:space="preserve">Set-up time by stage </w:t>
            </w:r>
          </w:p>
        </w:tc>
      </w:tr>
      <w:tr w:rsidR="001D081D" w:rsidRPr="001D081D" w14:paraId="398BDE04" w14:textId="77777777" w:rsidTr="00017C64">
        <w:trPr>
          <w:trHeight w:val="340"/>
        </w:trPr>
        <w:tc>
          <w:tcPr>
            <w:tcW w:w="3544" w:type="dxa"/>
            <w:tcBorders>
              <w:top w:val="nil"/>
              <w:left w:val="single" w:sz="8" w:space="0" w:color="auto"/>
              <w:bottom w:val="single" w:sz="8" w:space="0" w:color="auto"/>
              <w:right w:val="single" w:sz="8" w:space="0" w:color="auto"/>
            </w:tcBorders>
            <w:shd w:val="clear" w:color="auto" w:fill="auto"/>
            <w:noWrap/>
            <w:vAlign w:val="center"/>
            <w:hideMark/>
          </w:tcPr>
          <w:p w14:paraId="29931E46" w14:textId="77777777" w:rsidR="00D0513B" w:rsidRPr="00441AF5" w:rsidRDefault="00D0513B" w:rsidP="002C72D0">
            <w:pPr>
              <w:rPr>
                <w:rFonts w:cs="Arial"/>
                <w:sz w:val="22"/>
                <w:szCs w:val="22"/>
                <w:lang w:eastAsia="en-GB"/>
              </w:rPr>
            </w:pPr>
            <w:r w:rsidRPr="00441AF5">
              <w:rPr>
                <w:rFonts w:cs="Arial"/>
                <w:sz w:val="22"/>
                <w:szCs w:val="22"/>
                <w:lang w:eastAsia="en-GB"/>
              </w:rPr>
              <w:t> </w:t>
            </w:r>
          </w:p>
        </w:tc>
        <w:tc>
          <w:tcPr>
            <w:tcW w:w="2693" w:type="dxa"/>
            <w:tcBorders>
              <w:top w:val="nil"/>
              <w:left w:val="nil"/>
              <w:bottom w:val="single" w:sz="8" w:space="0" w:color="auto"/>
              <w:right w:val="single" w:sz="8" w:space="0" w:color="auto"/>
            </w:tcBorders>
            <w:shd w:val="clear" w:color="auto" w:fill="auto"/>
            <w:noWrap/>
            <w:vAlign w:val="center"/>
            <w:hideMark/>
          </w:tcPr>
          <w:p w14:paraId="356FE879" w14:textId="77777777" w:rsidR="00D0513B" w:rsidRPr="00441AF5" w:rsidRDefault="00D0513B" w:rsidP="002C72D0">
            <w:pPr>
              <w:jc w:val="center"/>
              <w:rPr>
                <w:rFonts w:cs="Arial"/>
                <w:b/>
                <w:bCs/>
                <w:sz w:val="22"/>
                <w:szCs w:val="22"/>
                <w:lang w:eastAsia="en-GB"/>
              </w:rPr>
            </w:pPr>
            <w:r w:rsidRPr="00441AF5">
              <w:rPr>
                <w:rFonts w:cs="Arial"/>
                <w:b/>
                <w:bCs/>
                <w:sz w:val="22"/>
                <w:szCs w:val="22"/>
                <w:lang w:eastAsia="en-GB"/>
              </w:rPr>
              <w:t>Large</w:t>
            </w:r>
          </w:p>
        </w:tc>
        <w:tc>
          <w:tcPr>
            <w:tcW w:w="2977" w:type="dxa"/>
            <w:tcBorders>
              <w:top w:val="nil"/>
              <w:left w:val="nil"/>
              <w:bottom w:val="single" w:sz="8" w:space="0" w:color="auto"/>
              <w:right w:val="single" w:sz="8" w:space="0" w:color="auto"/>
            </w:tcBorders>
            <w:shd w:val="clear" w:color="auto" w:fill="auto"/>
            <w:noWrap/>
            <w:vAlign w:val="center"/>
            <w:hideMark/>
          </w:tcPr>
          <w:p w14:paraId="213641ED" w14:textId="77777777" w:rsidR="00D0513B" w:rsidRPr="00441AF5" w:rsidRDefault="00D0513B" w:rsidP="002C72D0">
            <w:pPr>
              <w:jc w:val="center"/>
              <w:rPr>
                <w:rFonts w:cs="Arial"/>
                <w:b/>
                <w:bCs/>
                <w:sz w:val="22"/>
                <w:szCs w:val="22"/>
                <w:lang w:eastAsia="en-GB"/>
              </w:rPr>
            </w:pPr>
            <w:r w:rsidRPr="00441AF5">
              <w:rPr>
                <w:rFonts w:cs="Arial"/>
                <w:b/>
                <w:bCs/>
                <w:sz w:val="22"/>
                <w:szCs w:val="22"/>
                <w:lang w:eastAsia="en-GB"/>
              </w:rPr>
              <w:t>Largest</w:t>
            </w:r>
          </w:p>
        </w:tc>
      </w:tr>
      <w:tr w:rsidR="001D081D" w:rsidRPr="001D081D" w14:paraId="74182112" w14:textId="77777777" w:rsidTr="00017C64">
        <w:trPr>
          <w:trHeight w:val="340"/>
        </w:trPr>
        <w:tc>
          <w:tcPr>
            <w:tcW w:w="3544" w:type="dxa"/>
            <w:tcBorders>
              <w:top w:val="nil"/>
              <w:left w:val="single" w:sz="8" w:space="0" w:color="auto"/>
              <w:bottom w:val="single" w:sz="8" w:space="0" w:color="auto"/>
              <w:right w:val="single" w:sz="8" w:space="0" w:color="auto"/>
            </w:tcBorders>
            <w:shd w:val="clear" w:color="auto" w:fill="auto"/>
            <w:noWrap/>
            <w:vAlign w:val="center"/>
            <w:hideMark/>
          </w:tcPr>
          <w:p w14:paraId="45D10CC7" w14:textId="77777777" w:rsidR="00D0513B" w:rsidRPr="00441AF5" w:rsidRDefault="00D0513B" w:rsidP="002C72D0">
            <w:pPr>
              <w:rPr>
                <w:rFonts w:cs="Arial"/>
                <w:sz w:val="22"/>
                <w:szCs w:val="22"/>
                <w:lang w:eastAsia="en-GB"/>
              </w:rPr>
            </w:pPr>
            <w:r w:rsidRPr="00441AF5">
              <w:rPr>
                <w:rFonts w:cs="Arial"/>
                <w:sz w:val="22"/>
                <w:szCs w:val="22"/>
                <w:lang w:eastAsia="en-GB"/>
              </w:rPr>
              <w:t xml:space="preserve">Familiarisation </w:t>
            </w:r>
          </w:p>
        </w:tc>
        <w:tc>
          <w:tcPr>
            <w:tcW w:w="2693" w:type="dxa"/>
            <w:tcBorders>
              <w:top w:val="nil"/>
              <w:left w:val="nil"/>
              <w:bottom w:val="single" w:sz="8" w:space="0" w:color="auto"/>
              <w:right w:val="single" w:sz="8" w:space="0" w:color="auto"/>
            </w:tcBorders>
            <w:shd w:val="clear" w:color="auto" w:fill="auto"/>
            <w:noWrap/>
            <w:vAlign w:val="center"/>
            <w:hideMark/>
          </w:tcPr>
          <w:p w14:paraId="4530631F" w14:textId="265A70BC" w:rsidR="00D0513B" w:rsidRPr="00441AF5" w:rsidRDefault="00D0513B" w:rsidP="003F40C2">
            <w:pPr>
              <w:jc w:val="right"/>
              <w:rPr>
                <w:rFonts w:cs="Arial"/>
                <w:sz w:val="22"/>
                <w:szCs w:val="22"/>
                <w:lang w:eastAsia="en-GB"/>
              </w:rPr>
            </w:pPr>
            <w:r w:rsidRPr="00441AF5">
              <w:rPr>
                <w:rFonts w:cs="Arial"/>
                <w:sz w:val="22"/>
                <w:szCs w:val="22"/>
                <w:lang w:eastAsia="en-GB"/>
              </w:rPr>
              <w:t>3</w:t>
            </w:r>
            <w:r w:rsidR="00F80562">
              <w:rPr>
                <w:rFonts w:cs="Arial"/>
                <w:sz w:val="22"/>
                <w:szCs w:val="22"/>
                <w:lang w:eastAsia="en-GB"/>
              </w:rPr>
              <w:t>8</w:t>
            </w:r>
          </w:p>
        </w:tc>
        <w:tc>
          <w:tcPr>
            <w:tcW w:w="2977" w:type="dxa"/>
            <w:tcBorders>
              <w:top w:val="nil"/>
              <w:left w:val="nil"/>
              <w:bottom w:val="single" w:sz="8" w:space="0" w:color="auto"/>
              <w:right w:val="single" w:sz="8" w:space="0" w:color="auto"/>
            </w:tcBorders>
            <w:shd w:val="clear" w:color="auto" w:fill="auto"/>
            <w:noWrap/>
            <w:vAlign w:val="center"/>
            <w:hideMark/>
          </w:tcPr>
          <w:p w14:paraId="6C5781B6" w14:textId="1E34CDE6" w:rsidR="00D0513B" w:rsidRPr="00441AF5" w:rsidRDefault="00D0513B" w:rsidP="003F40C2">
            <w:pPr>
              <w:jc w:val="right"/>
              <w:rPr>
                <w:rFonts w:cs="Arial"/>
                <w:sz w:val="22"/>
                <w:szCs w:val="22"/>
                <w:lang w:eastAsia="en-GB"/>
              </w:rPr>
            </w:pPr>
            <w:r w:rsidRPr="00441AF5">
              <w:rPr>
                <w:rFonts w:cs="Arial"/>
                <w:sz w:val="22"/>
                <w:szCs w:val="22"/>
                <w:lang w:eastAsia="en-GB"/>
              </w:rPr>
              <w:t>4</w:t>
            </w:r>
            <w:r w:rsidR="00F80562">
              <w:rPr>
                <w:rFonts w:cs="Arial"/>
                <w:sz w:val="22"/>
                <w:szCs w:val="22"/>
                <w:lang w:eastAsia="en-GB"/>
              </w:rPr>
              <w:t>6</w:t>
            </w:r>
          </w:p>
        </w:tc>
      </w:tr>
      <w:tr w:rsidR="001D081D" w:rsidRPr="001D081D" w14:paraId="03BC8A8B" w14:textId="77777777" w:rsidTr="00017C64">
        <w:trPr>
          <w:trHeight w:val="340"/>
        </w:trPr>
        <w:tc>
          <w:tcPr>
            <w:tcW w:w="3544" w:type="dxa"/>
            <w:tcBorders>
              <w:top w:val="nil"/>
              <w:left w:val="single" w:sz="8" w:space="0" w:color="auto"/>
              <w:bottom w:val="single" w:sz="8" w:space="0" w:color="auto"/>
              <w:right w:val="single" w:sz="8" w:space="0" w:color="auto"/>
            </w:tcBorders>
            <w:shd w:val="clear" w:color="auto" w:fill="auto"/>
            <w:vAlign w:val="center"/>
            <w:hideMark/>
          </w:tcPr>
          <w:p w14:paraId="5CB9966A" w14:textId="77777777" w:rsidR="00D0513B" w:rsidRPr="00441AF5" w:rsidRDefault="00D0513B" w:rsidP="002C72D0">
            <w:pPr>
              <w:rPr>
                <w:rFonts w:cs="Arial"/>
                <w:sz w:val="22"/>
                <w:szCs w:val="22"/>
                <w:lang w:eastAsia="en-GB"/>
              </w:rPr>
            </w:pPr>
            <w:r w:rsidRPr="00441AF5">
              <w:rPr>
                <w:rFonts w:cs="Arial"/>
                <w:sz w:val="22"/>
                <w:szCs w:val="22"/>
                <w:lang w:eastAsia="en-GB"/>
              </w:rPr>
              <w:t>Risk assessment</w:t>
            </w:r>
          </w:p>
        </w:tc>
        <w:tc>
          <w:tcPr>
            <w:tcW w:w="2693" w:type="dxa"/>
            <w:tcBorders>
              <w:top w:val="nil"/>
              <w:left w:val="nil"/>
              <w:bottom w:val="single" w:sz="8" w:space="0" w:color="auto"/>
              <w:right w:val="single" w:sz="8" w:space="0" w:color="auto"/>
            </w:tcBorders>
            <w:shd w:val="clear" w:color="auto" w:fill="auto"/>
            <w:noWrap/>
            <w:vAlign w:val="center"/>
            <w:hideMark/>
          </w:tcPr>
          <w:p w14:paraId="7352305F" w14:textId="77777777" w:rsidR="00D0513B" w:rsidRPr="00441AF5" w:rsidRDefault="00D0513B" w:rsidP="003F40C2">
            <w:pPr>
              <w:jc w:val="right"/>
              <w:rPr>
                <w:rFonts w:cs="Arial"/>
                <w:sz w:val="22"/>
                <w:szCs w:val="22"/>
                <w:lang w:eastAsia="en-GB"/>
              </w:rPr>
            </w:pPr>
            <w:r w:rsidRPr="00441AF5">
              <w:rPr>
                <w:rFonts w:cs="Arial"/>
                <w:sz w:val="22"/>
                <w:szCs w:val="22"/>
                <w:lang w:eastAsia="en-GB"/>
              </w:rPr>
              <w:t>104</w:t>
            </w:r>
          </w:p>
        </w:tc>
        <w:tc>
          <w:tcPr>
            <w:tcW w:w="2977" w:type="dxa"/>
            <w:tcBorders>
              <w:top w:val="nil"/>
              <w:left w:val="nil"/>
              <w:bottom w:val="single" w:sz="8" w:space="0" w:color="auto"/>
              <w:right w:val="single" w:sz="8" w:space="0" w:color="auto"/>
            </w:tcBorders>
            <w:shd w:val="clear" w:color="auto" w:fill="auto"/>
            <w:noWrap/>
            <w:vAlign w:val="center"/>
            <w:hideMark/>
          </w:tcPr>
          <w:p w14:paraId="331690C4" w14:textId="77777777" w:rsidR="00D0513B" w:rsidRPr="00441AF5" w:rsidRDefault="00D0513B" w:rsidP="003F40C2">
            <w:pPr>
              <w:jc w:val="right"/>
              <w:rPr>
                <w:rFonts w:cs="Arial"/>
                <w:sz w:val="22"/>
                <w:szCs w:val="22"/>
                <w:lang w:eastAsia="en-GB"/>
              </w:rPr>
            </w:pPr>
            <w:r w:rsidRPr="00441AF5">
              <w:rPr>
                <w:rFonts w:cs="Arial"/>
                <w:sz w:val="22"/>
                <w:szCs w:val="22"/>
                <w:lang w:eastAsia="en-GB"/>
              </w:rPr>
              <w:t>128</w:t>
            </w:r>
          </w:p>
        </w:tc>
      </w:tr>
      <w:tr w:rsidR="001D081D" w:rsidRPr="001D081D" w14:paraId="030C2A25" w14:textId="77777777" w:rsidTr="00017C64">
        <w:trPr>
          <w:trHeight w:val="340"/>
        </w:trPr>
        <w:tc>
          <w:tcPr>
            <w:tcW w:w="3544" w:type="dxa"/>
            <w:tcBorders>
              <w:top w:val="nil"/>
              <w:left w:val="single" w:sz="8" w:space="0" w:color="auto"/>
              <w:bottom w:val="single" w:sz="8" w:space="0" w:color="auto"/>
              <w:right w:val="single" w:sz="8" w:space="0" w:color="auto"/>
            </w:tcBorders>
            <w:shd w:val="clear" w:color="auto" w:fill="auto"/>
            <w:vAlign w:val="center"/>
            <w:hideMark/>
          </w:tcPr>
          <w:p w14:paraId="731BBA14" w14:textId="77777777" w:rsidR="00D0513B" w:rsidRPr="00441AF5" w:rsidRDefault="00D0513B" w:rsidP="002C72D0">
            <w:pPr>
              <w:rPr>
                <w:rFonts w:cs="Arial"/>
                <w:sz w:val="22"/>
                <w:szCs w:val="22"/>
                <w:lang w:eastAsia="en-GB"/>
              </w:rPr>
            </w:pPr>
            <w:r w:rsidRPr="00441AF5">
              <w:rPr>
                <w:rFonts w:cs="Arial"/>
                <w:sz w:val="22"/>
                <w:szCs w:val="22"/>
                <w:lang w:eastAsia="en-GB"/>
              </w:rPr>
              <w:t>Internal communications</w:t>
            </w:r>
          </w:p>
        </w:tc>
        <w:tc>
          <w:tcPr>
            <w:tcW w:w="2693" w:type="dxa"/>
            <w:tcBorders>
              <w:top w:val="nil"/>
              <w:left w:val="nil"/>
              <w:bottom w:val="single" w:sz="8" w:space="0" w:color="auto"/>
              <w:right w:val="single" w:sz="8" w:space="0" w:color="auto"/>
            </w:tcBorders>
            <w:shd w:val="clear" w:color="auto" w:fill="auto"/>
            <w:noWrap/>
            <w:vAlign w:val="center"/>
            <w:hideMark/>
          </w:tcPr>
          <w:p w14:paraId="4E488C35" w14:textId="77777777" w:rsidR="00D0513B" w:rsidRPr="00441AF5" w:rsidRDefault="00D0513B" w:rsidP="003F40C2">
            <w:pPr>
              <w:jc w:val="right"/>
              <w:rPr>
                <w:rFonts w:cs="Arial"/>
                <w:sz w:val="22"/>
                <w:szCs w:val="22"/>
                <w:lang w:eastAsia="en-GB"/>
              </w:rPr>
            </w:pPr>
            <w:r w:rsidRPr="00441AF5">
              <w:rPr>
                <w:rFonts w:cs="Arial"/>
                <w:sz w:val="22"/>
                <w:szCs w:val="22"/>
                <w:lang w:eastAsia="en-GB"/>
              </w:rPr>
              <w:t>13</w:t>
            </w:r>
          </w:p>
        </w:tc>
        <w:tc>
          <w:tcPr>
            <w:tcW w:w="2977" w:type="dxa"/>
            <w:tcBorders>
              <w:top w:val="nil"/>
              <w:left w:val="nil"/>
              <w:bottom w:val="single" w:sz="8" w:space="0" w:color="auto"/>
              <w:right w:val="single" w:sz="8" w:space="0" w:color="auto"/>
            </w:tcBorders>
            <w:shd w:val="clear" w:color="auto" w:fill="auto"/>
            <w:noWrap/>
            <w:vAlign w:val="center"/>
            <w:hideMark/>
          </w:tcPr>
          <w:p w14:paraId="5037AD9C" w14:textId="77777777" w:rsidR="00D0513B" w:rsidRPr="00441AF5" w:rsidRDefault="00D0513B" w:rsidP="003F40C2">
            <w:pPr>
              <w:jc w:val="right"/>
              <w:rPr>
                <w:rFonts w:cs="Arial"/>
                <w:sz w:val="22"/>
                <w:szCs w:val="22"/>
                <w:lang w:eastAsia="en-GB"/>
              </w:rPr>
            </w:pPr>
            <w:r w:rsidRPr="00441AF5">
              <w:rPr>
                <w:rFonts w:cs="Arial"/>
                <w:sz w:val="22"/>
                <w:szCs w:val="22"/>
                <w:lang w:eastAsia="en-GB"/>
              </w:rPr>
              <w:t>16</w:t>
            </w:r>
          </w:p>
        </w:tc>
      </w:tr>
      <w:tr w:rsidR="001D081D" w:rsidRPr="001D081D" w14:paraId="3DC2C037" w14:textId="77777777" w:rsidTr="00017C64">
        <w:trPr>
          <w:trHeight w:val="340"/>
        </w:trPr>
        <w:tc>
          <w:tcPr>
            <w:tcW w:w="3544" w:type="dxa"/>
            <w:tcBorders>
              <w:top w:val="nil"/>
              <w:left w:val="single" w:sz="8" w:space="0" w:color="auto"/>
              <w:bottom w:val="single" w:sz="8" w:space="0" w:color="auto"/>
              <w:right w:val="single" w:sz="8" w:space="0" w:color="auto"/>
            </w:tcBorders>
            <w:shd w:val="clear" w:color="auto" w:fill="auto"/>
            <w:vAlign w:val="center"/>
            <w:hideMark/>
          </w:tcPr>
          <w:p w14:paraId="04B97336" w14:textId="789523A1" w:rsidR="00D0513B" w:rsidRPr="00441AF5" w:rsidRDefault="00D0513B" w:rsidP="002C72D0">
            <w:pPr>
              <w:rPr>
                <w:rFonts w:cs="Arial"/>
                <w:sz w:val="22"/>
                <w:szCs w:val="22"/>
                <w:lang w:eastAsia="en-GB"/>
              </w:rPr>
            </w:pPr>
            <w:r w:rsidRPr="00441AF5">
              <w:rPr>
                <w:rFonts w:cs="Arial"/>
                <w:sz w:val="22"/>
                <w:szCs w:val="22"/>
                <w:lang w:eastAsia="en-GB"/>
              </w:rPr>
              <w:t>External</w:t>
            </w:r>
            <w:r w:rsidR="00466316">
              <w:rPr>
                <w:rFonts w:cs="Arial"/>
                <w:sz w:val="22"/>
                <w:szCs w:val="22"/>
                <w:lang w:eastAsia="en-GB"/>
              </w:rPr>
              <w:t xml:space="preserve"> c</w:t>
            </w:r>
            <w:r w:rsidRPr="00441AF5">
              <w:rPr>
                <w:rFonts w:cs="Arial"/>
                <w:sz w:val="22"/>
                <w:szCs w:val="22"/>
                <w:lang w:eastAsia="en-GB"/>
              </w:rPr>
              <w:t xml:space="preserve">ommunications </w:t>
            </w:r>
          </w:p>
        </w:tc>
        <w:tc>
          <w:tcPr>
            <w:tcW w:w="2693" w:type="dxa"/>
            <w:tcBorders>
              <w:top w:val="nil"/>
              <w:left w:val="nil"/>
              <w:bottom w:val="single" w:sz="8" w:space="0" w:color="auto"/>
              <w:right w:val="single" w:sz="8" w:space="0" w:color="auto"/>
            </w:tcBorders>
            <w:shd w:val="clear" w:color="auto" w:fill="auto"/>
            <w:noWrap/>
            <w:vAlign w:val="center"/>
            <w:hideMark/>
          </w:tcPr>
          <w:p w14:paraId="2D324246" w14:textId="77777777" w:rsidR="00D0513B" w:rsidRPr="00441AF5" w:rsidRDefault="00D0513B" w:rsidP="003F40C2">
            <w:pPr>
              <w:jc w:val="right"/>
              <w:rPr>
                <w:rFonts w:cs="Arial"/>
                <w:sz w:val="22"/>
                <w:szCs w:val="22"/>
                <w:lang w:eastAsia="en-GB"/>
              </w:rPr>
            </w:pPr>
            <w:r w:rsidRPr="00441AF5">
              <w:rPr>
                <w:rFonts w:cs="Arial"/>
                <w:sz w:val="22"/>
                <w:szCs w:val="22"/>
                <w:lang w:eastAsia="en-GB"/>
              </w:rPr>
              <w:t>13</w:t>
            </w:r>
          </w:p>
        </w:tc>
        <w:tc>
          <w:tcPr>
            <w:tcW w:w="2977" w:type="dxa"/>
            <w:tcBorders>
              <w:top w:val="nil"/>
              <w:left w:val="nil"/>
              <w:bottom w:val="single" w:sz="8" w:space="0" w:color="auto"/>
              <w:right w:val="single" w:sz="8" w:space="0" w:color="auto"/>
            </w:tcBorders>
            <w:shd w:val="clear" w:color="auto" w:fill="auto"/>
            <w:noWrap/>
            <w:vAlign w:val="center"/>
            <w:hideMark/>
          </w:tcPr>
          <w:p w14:paraId="7C254B32" w14:textId="29910D34" w:rsidR="00D0513B" w:rsidRPr="00441AF5" w:rsidRDefault="00D0513B" w:rsidP="003F40C2">
            <w:pPr>
              <w:jc w:val="right"/>
              <w:rPr>
                <w:rFonts w:cs="Arial"/>
                <w:sz w:val="22"/>
                <w:szCs w:val="22"/>
                <w:lang w:eastAsia="en-GB"/>
              </w:rPr>
            </w:pPr>
            <w:r w:rsidRPr="00441AF5">
              <w:rPr>
                <w:rFonts w:cs="Arial"/>
                <w:sz w:val="22"/>
                <w:szCs w:val="22"/>
                <w:lang w:eastAsia="en-GB"/>
              </w:rPr>
              <w:t>16</w:t>
            </w:r>
          </w:p>
        </w:tc>
      </w:tr>
    </w:tbl>
    <w:p w14:paraId="51B13451" w14:textId="1868F5A2" w:rsidR="00651719" w:rsidRPr="0029116F" w:rsidRDefault="00D0513B" w:rsidP="00651719">
      <w:pPr>
        <w:spacing w:after="120" w:line="259" w:lineRule="auto"/>
        <w:ind w:left="567"/>
        <w:jc w:val="both"/>
        <w:rPr>
          <w:rFonts w:cs="Arial"/>
          <w:sz w:val="18"/>
          <w:szCs w:val="18"/>
        </w:rPr>
      </w:pPr>
      <w:r w:rsidRPr="0029116F">
        <w:rPr>
          <w:rFonts w:cs="Arial"/>
          <w:sz w:val="18"/>
          <w:szCs w:val="18"/>
        </w:rPr>
        <w:t xml:space="preserve">Source: </w:t>
      </w:r>
      <w:r w:rsidR="004420EB" w:rsidRPr="0029116F">
        <w:rPr>
          <w:rFonts w:cs="Arial"/>
          <w:sz w:val="18"/>
          <w:szCs w:val="18"/>
        </w:rPr>
        <w:t>DBT</w:t>
      </w:r>
      <w:r w:rsidR="004420EB" w:rsidRPr="0029116F" w:rsidDel="005A7BB9">
        <w:rPr>
          <w:rFonts w:cs="Arial"/>
          <w:sz w:val="18"/>
          <w:szCs w:val="18"/>
        </w:rPr>
        <w:t xml:space="preserve"> </w:t>
      </w:r>
      <w:r w:rsidRPr="0029116F">
        <w:rPr>
          <w:rFonts w:cs="Arial"/>
          <w:sz w:val="18"/>
          <w:szCs w:val="18"/>
        </w:rPr>
        <w:t>calculations</w:t>
      </w:r>
      <w:r w:rsidR="00C70216">
        <w:rPr>
          <w:rFonts w:cs="Arial"/>
          <w:sz w:val="18"/>
          <w:szCs w:val="18"/>
        </w:rPr>
        <w:t>.</w:t>
      </w:r>
    </w:p>
    <w:p w14:paraId="1F13329E" w14:textId="20149BFE" w:rsidR="007030AD" w:rsidRPr="00441AF5" w:rsidRDefault="007030AD" w:rsidP="0079132A">
      <w:pPr>
        <w:spacing w:after="120" w:line="259" w:lineRule="auto"/>
        <w:jc w:val="both"/>
        <w:rPr>
          <w:rFonts w:cs="Arial"/>
          <w:sz w:val="22"/>
          <w:szCs w:val="22"/>
        </w:rPr>
      </w:pPr>
      <w:r w:rsidRPr="00441AF5">
        <w:rPr>
          <w:rFonts w:cs="Arial"/>
          <w:b/>
          <w:bCs/>
          <w:sz w:val="22"/>
          <w:szCs w:val="22"/>
        </w:rPr>
        <w:t>Familiarisation costs</w:t>
      </w:r>
    </w:p>
    <w:p w14:paraId="21C54FE1" w14:textId="711D4DB2" w:rsidR="00DC132A" w:rsidRDefault="00E9684C" w:rsidP="003F40C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All</w:t>
      </w:r>
      <w:r w:rsidR="000F34E3" w:rsidRPr="00441AF5">
        <w:rPr>
          <w:rFonts w:cs="Arial"/>
          <w:sz w:val="22"/>
          <w:szCs w:val="22"/>
        </w:rPr>
        <w:t xml:space="preserve"> organisations in-scope </w:t>
      </w:r>
      <w:r>
        <w:rPr>
          <w:rFonts w:cs="Arial"/>
          <w:sz w:val="22"/>
          <w:szCs w:val="22"/>
        </w:rPr>
        <w:t>are assumed to</w:t>
      </w:r>
      <w:r w:rsidRPr="00441AF5">
        <w:rPr>
          <w:rFonts w:cs="Arial"/>
          <w:sz w:val="22"/>
          <w:szCs w:val="22"/>
        </w:rPr>
        <w:t xml:space="preserve"> </w:t>
      </w:r>
      <w:r w:rsidR="00D33657" w:rsidRPr="00441AF5">
        <w:rPr>
          <w:rFonts w:cs="Arial"/>
          <w:sz w:val="22"/>
          <w:szCs w:val="22"/>
        </w:rPr>
        <w:t xml:space="preserve">incur familiarisation costs </w:t>
      </w:r>
      <w:r w:rsidR="006C4A52">
        <w:rPr>
          <w:rFonts w:cs="Arial"/>
          <w:sz w:val="22"/>
          <w:szCs w:val="22"/>
        </w:rPr>
        <w:t xml:space="preserve">when </w:t>
      </w:r>
      <w:r w:rsidR="00EC134E" w:rsidRPr="00441AF5">
        <w:rPr>
          <w:rFonts w:cs="Arial"/>
          <w:sz w:val="22"/>
          <w:szCs w:val="22"/>
        </w:rPr>
        <w:t>implementing this policy. Such costs are calculated by multiplying the hours taken by the blended opportunity cost of time.</w:t>
      </w:r>
      <w:r w:rsidR="00B263B1">
        <w:rPr>
          <w:rFonts w:cs="Arial"/>
          <w:sz w:val="22"/>
          <w:szCs w:val="22"/>
        </w:rPr>
        <w:t xml:space="preserve"> The main elements related to familiarisation are: </w:t>
      </w:r>
    </w:p>
    <w:p w14:paraId="45105473" w14:textId="187EF7BB" w:rsidR="00B263B1" w:rsidRDefault="00B968FD" w:rsidP="00E9145C">
      <w:pPr>
        <w:pStyle w:val="ListParagraph"/>
        <w:numPr>
          <w:ilvl w:val="1"/>
          <w:numId w:val="95"/>
        </w:numPr>
        <w:spacing w:after="120" w:line="259" w:lineRule="auto"/>
        <w:ind w:left="1134" w:hanging="425"/>
        <w:contextualSpacing w:val="0"/>
        <w:jc w:val="both"/>
        <w:rPr>
          <w:rFonts w:cs="Arial"/>
          <w:sz w:val="22"/>
          <w:szCs w:val="22"/>
        </w:rPr>
      </w:pPr>
      <w:r>
        <w:rPr>
          <w:rFonts w:cs="Arial"/>
          <w:sz w:val="22"/>
          <w:szCs w:val="22"/>
        </w:rPr>
        <w:t xml:space="preserve">Team members reading 50 pages of guidance </w:t>
      </w:r>
      <w:r w:rsidR="00BD23CD">
        <w:rPr>
          <w:rFonts w:cs="Arial"/>
          <w:sz w:val="22"/>
          <w:szCs w:val="22"/>
        </w:rPr>
        <w:t>–</w:t>
      </w:r>
      <w:r w:rsidR="00250850">
        <w:rPr>
          <w:rFonts w:cs="Arial"/>
          <w:sz w:val="22"/>
          <w:szCs w:val="22"/>
        </w:rPr>
        <w:t xml:space="preserve"> the</w:t>
      </w:r>
      <w:r w:rsidR="00BD23CD">
        <w:rPr>
          <w:rFonts w:cs="Arial"/>
          <w:sz w:val="22"/>
          <w:szCs w:val="22"/>
        </w:rPr>
        <w:t xml:space="preserve"> failure to prevent bribery guidance is 41 pages </w:t>
      </w:r>
      <w:r w:rsidR="0017540E">
        <w:rPr>
          <w:rFonts w:cs="Arial"/>
          <w:sz w:val="22"/>
          <w:szCs w:val="22"/>
        </w:rPr>
        <w:t>–</w:t>
      </w:r>
      <w:r w:rsidR="00BD23CD">
        <w:rPr>
          <w:rFonts w:cs="Arial"/>
          <w:sz w:val="22"/>
          <w:szCs w:val="22"/>
        </w:rPr>
        <w:t xml:space="preserve"> </w:t>
      </w:r>
      <w:r w:rsidR="0017540E">
        <w:rPr>
          <w:rFonts w:cs="Arial"/>
          <w:sz w:val="22"/>
          <w:szCs w:val="22"/>
        </w:rPr>
        <w:t xml:space="preserve">which takes </w:t>
      </w:r>
      <w:r w:rsidR="00B9468F">
        <w:rPr>
          <w:rFonts w:cs="Arial"/>
          <w:sz w:val="22"/>
          <w:szCs w:val="22"/>
        </w:rPr>
        <w:t xml:space="preserve">just over </w:t>
      </w:r>
      <w:r w:rsidR="0017540E">
        <w:rPr>
          <w:rFonts w:cs="Arial"/>
          <w:sz w:val="22"/>
          <w:szCs w:val="22"/>
        </w:rPr>
        <w:t>an hour</w:t>
      </w:r>
      <w:r w:rsidR="00B96AC4">
        <w:rPr>
          <w:rFonts w:cs="Arial"/>
          <w:sz w:val="22"/>
          <w:szCs w:val="22"/>
        </w:rPr>
        <w:t xml:space="preserve"> per person</w:t>
      </w:r>
      <w:r w:rsidR="00E616EA">
        <w:rPr>
          <w:rStyle w:val="FootnoteReference"/>
          <w:szCs w:val="22"/>
        </w:rPr>
        <w:footnoteReference w:id="59"/>
      </w:r>
      <w:r w:rsidR="00B96AC4">
        <w:rPr>
          <w:rFonts w:cs="Arial"/>
          <w:sz w:val="22"/>
          <w:szCs w:val="22"/>
        </w:rPr>
        <w:t xml:space="preserve">, </w:t>
      </w:r>
      <w:r w:rsidR="00714AED">
        <w:rPr>
          <w:rFonts w:cs="Arial"/>
          <w:sz w:val="22"/>
          <w:szCs w:val="22"/>
        </w:rPr>
        <w:t>that is</w:t>
      </w:r>
      <w:r w:rsidR="00B96AC4">
        <w:rPr>
          <w:rFonts w:cs="Arial"/>
          <w:sz w:val="22"/>
          <w:szCs w:val="22"/>
        </w:rPr>
        <w:t xml:space="preserve"> </w:t>
      </w:r>
      <w:r w:rsidR="0000152A">
        <w:rPr>
          <w:rFonts w:cs="Arial"/>
          <w:sz w:val="22"/>
          <w:szCs w:val="22"/>
        </w:rPr>
        <w:t xml:space="preserve">just over </w:t>
      </w:r>
      <w:r w:rsidR="00AC6EDC">
        <w:rPr>
          <w:rFonts w:cs="Arial"/>
          <w:sz w:val="22"/>
          <w:szCs w:val="22"/>
        </w:rPr>
        <w:t>five</w:t>
      </w:r>
      <w:r w:rsidR="00B96AC4">
        <w:rPr>
          <w:rFonts w:cs="Arial"/>
          <w:sz w:val="22"/>
          <w:szCs w:val="22"/>
        </w:rPr>
        <w:t xml:space="preserve"> hours for a large organisation </w:t>
      </w:r>
      <w:r w:rsidR="0000152A">
        <w:rPr>
          <w:rFonts w:cs="Arial"/>
          <w:sz w:val="22"/>
          <w:szCs w:val="22"/>
        </w:rPr>
        <w:t>and</w:t>
      </w:r>
      <w:r w:rsidR="00B96AC4">
        <w:rPr>
          <w:rFonts w:cs="Arial"/>
          <w:sz w:val="22"/>
          <w:szCs w:val="22"/>
        </w:rPr>
        <w:t xml:space="preserve"> </w:t>
      </w:r>
      <w:r w:rsidR="00AC6EDC">
        <w:rPr>
          <w:rFonts w:cs="Arial"/>
          <w:sz w:val="22"/>
          <w:szCs w:val="22"/>
        </w:rPr>
        <w:t>six</w:t>
      </w:r>
      <w:r w:rsidR="00B96AC4">
        <w:rPr>
          <w:rFonts w:cs="Arial"/>
          <w:sz w:val="22"/>
          <w:szCs w:val="22"/>
        </w:rPr>
        <w:t xml:space="preserve"> hours for the largest. </w:t>
      </w:r>
    </w:p>
    <w:p w14:paraId="222336A8" w14:textId="671EBBDD" w:rsidR="00A81FF4" w:rsidRDefault="00FB5A64" w:rsidP="00E9145C">
      <w:pPr>
        <w:pStyle w:val="ListParagraph"/>
        <w:numPr>
          <w:ilvl w:val="1"/>
          <w:numId w:val="95"/>
        </w:numPr>
        <w:spacing w:after="120" w:line="259" w:lineRule="auto"/>
        <w:ind w:left="1134" w:hanging="425"/>
        <w:contextualSpacing w:val="0"/>
        <w:jc w:val="both"/>
        <w:rPr>
          <w:rFonts w:cs="Arial"/>
          <w:sz w:val="22"/>
          <w:szCs w:val="22"/>
        </w:rPr>
      </w:pPr>
      <w:r>
        <w:rPr>
          <w:rFonts w:cs="Arial"/>
          <w:sz w:val="22"/>
          <w:szCs w:val="22"/>
        </w:rPr>
        <w:t xml:space="preserve">Team members spend seven hours testing and defining control objectives and setting out plans and recommendations for </w:t>
      </w:r>
      <w:r w:rsidR="006D575F">
        <w:rPr>
          <w:rFonts w:cs="Arial"/>
          <w:sz w:val="22"/>
          <w:szCs w:val="22"/>
        </w:rPr>
        <w:t>senior leaders to discuss. This amounts to 2</w:t>
      </w:r>
      <w:r w:rsidR="005C6FBB">
        <w:rPr>
          <w:rFonts w:cs="Arial"/>
          <w:sz w:val="22"/>
          <w:szCs w:val="22"/>
        </w:rPr>
        <w:t xml:space="preserve">9 hours for large organisations and 36 hours </w:t>
      </w:r>
      <w:r w:rsidR="00AB5148">
        <w:rPr>
          <w:rFonts w:cs="Arial"/>
          <w:sz w:val="22"/>
          <w:szCs w:val="22"/>
        </w:rPr>
        <w:t xml:space="preserve">for the largest organisations. </w:t>
      </w:r>
    </w:p>
    <w:p w14:paraId="4949A30B" w14:textId="3F35C4A3" w:rsidR="00B96AC4" w:rsidRPr="00441AF5" w:rsidRDefault="00877DA3" w:rsidP="00E9145C">
      <w:pPr>
        <w:pStyle w:val="ListParagraph"/>
        <w:numPr>
          <w:ilvl w:val="1"/>
          <w:numId w:val="95"/>
        </w:numPr>
        <w:spacing w:after="120" w:line="259" w:lineRule="auto"/>
        <w:ind w:left="1134" w:hanging="425"/>
        <w:contextualSpacing w:val="0"/>
        <w:jc w:val="both"/>
        <w:rPr>
          <w:rFonts w:cs="Arial"/>
          <w:sz w:val="22"/>
          <w:szCs w:val="22"/>
        </w:rPr>
      </w:pPr>
      <w:r>
        <w:rPr>
          <w:rFonts w:cs="Arial"/>
          <w:sz w:val="22"/>
          <w:szCs w:val="22"/>
        </w:rPr>
        <w:lastRenderedPageBreak/>
        <w:t xml:space="preserve">A board or management team discussion </w:t>
      </w:r>
      <w:r w:rsidR="00846C86">
        <w:rPr>
          <w:rFonts w:cs="Arial"/>
          <w:sz w:val="22"/>
          <w:szCs w:val="22"/>
        </w:rPr>
        <w:t xml:space="preserve">of 30 minutes involving six people, </w:t>
      </w:r>
      <w:r w:rsidR="006120E4">
        <w:rPr>
          <w:rFonts w:cs="Arial"/>
          <w:sz w:val="22"/>
          <w:szCs w:val="22"/>
        </w:rPr>
        <w:t>that is three</w:t>
      </w:r>
      <w:r w:rsidR="00846C86">
        <w:rPr>
          <w:rFonts w:cs="Arial"/>
          <w:sz w:val="22"/>
          <w:szCs w:val="22"/>
        </w:rPr>
        <w:t xml:space="preserve"> hours in total. </w:t>
      </w:r>
      <w:r w:rsidR="00552F40">
        <w:rPr>
          <w:rFonts w:cs="Arial"/>
          <w:sz w:val="22"/>
          <w:szCs w:val="22"/>
        </w:rPr>
        <w:t xml:space="preserve">This step is essential given that senior leaders will need to judge </w:t>
      </w:r>
      <w:r w:rsidR="00B5581D">
        <w:rPr>
          <w:rFonts w:cs="Arial"/>
          <w:sz w:val="22"/>
          <w:szCs w:val="22"/>
        </w:rPr>
        <w:t xml:space="preserve">the level of risk they want to </w:t>
      </w:r>
      <w:r w:rsidR="00D206C1">
        <w:rPr>
          <w:rFonts w:cs="Arial"/>
          <w:sz w:val="22"/>
          <w:szCs w:val="22"/>
        </w:rPr>
        <w:t xml:space="preserve">accept in determining what are reasonable procedures. </w:t>
      </w:r>
    </w:p>
    <w:p w14:paraId="255B5C6B" w14:textId="006C1257" w:rsidR="00A81FF4" w:rsidRDefault="00A81FF4" w:rsidP="003F40C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As noted above we have not managed to test these assumption</w:t>
      </w:r>
      <w:r w:rsidR="0097035E">
        <w:rPr>
          <w:rFonts w:cs="Arial"/>
          <w:sz w:val="22"/>
          <w:szCs w:val="22"/>
        </w:rPr>
        <w:t>s</w:t>
      </w:r>
      <w:r>
        <w:rPr>
          <w:rFonts w:cs="Arial"/>
          <w:sz w:val="22"/>
          <w:szCs w:val="22"/>
        </w:rPr>
        <w:t xml:space="preserve"> </w:t>
      </w:r>
      <w:r w:rsidR="0097035E">
        <w:rPr>
          <w:rFonts w:cs="Arial"/>
          <w:sz w:val="22"/>
          <w:szCs w:val="22"/>
        </w:rPr>
        <w:t xml:space="preserve">with </w:t>
      </w:r>
      <w:r w:rsidR="009078EC">
        <w:rPr>
          <w:rFonts w:cs="Arial"/>
          <w:sz w:val="22"/>
          <w:szCs w:val="22"/>
        </w:rPr>
        <w:t>organisations,</w:t>
      </w:r>
      <w:r w:rsidR="0097035E">
        <w:rPr>
          <w:rFonts w:cs="Arial"/>
          <w:sz w:val="22"/>
          <w:szCs w:val="22"/>
        </w:rPr>
        <w:t xml:space="preserve"> </w:t>
      </w:r>
      <w:r>
        <w:rPr>
          <w:rFonts w:cs="Arial"/>
          <w:sz w:val="22"/>
          <w:szCs w:val="22"/>
        </w:rPr>
        <w:t xml:space="preserve">but they represent a reasonable </w:t>
      </w:r>
      <w:r w:rsidR="00E04EAD">
        <w:rPr>
          <w:rFonts w:cs="Arial"/>
          <w:sz w:val="22"/>
          <w:szCs w:val="22"/>
        </w:rPr>
        <w:t>breakdown of tasks and steps for a reasonably complex</w:t>
      </w:r>
      <w:r w:rsidR="00552F40">
        <w:rPr>
          <w:rFonts w:cs="Arial"/>
          <w:sz w:val="22"/>
          <w:szCs w:val="22"/>
        </w:rPr>
        <w:t xml:space="preserve"> project</w:t>
      </w:r>
      <w:r w:rsidR="0018548E">
        <w:rPr>
          <w:rFonts w:cs="Arial"/>
          <w:sz w:val="22"/>
          <w:szCs w:val="22"/>
        </w:rPr>
        <w:t>, which the g</w:t>
      </w:r>
      <w:r w:rsidR="0005541D">
        <w:rPr>
          <w:rFonts w:cs="Arial"/>
          <w:sz w:val="22"/>
          <w:szCs w:val="22"/>
        </w:rPr>
        <w:t>uidance consulted suggests should receive high level commitment</w:t>
      </w:r>
      <w:r w:rsidR="00552F40">
        <w:rPr>
          <w:rFonts w:cs="Arial"/>
          <w:sz w:val="22"/>
          <w:szCs w:val="22"/>
        </w:rPr>
        <w:t>.</w:t>
      </w:r>
    </w:p>
    <w:p w14:paraId="50960DBB" w14:textId="02663E40" w:rsidR="005116B7" w:rsidRPr="00441AF5" w:rsidRDefault="007030AD"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Multiplying these costs by the </w:t>
      </w:r>
      <w:r w:rsidRPr="00C94310">
        <w:rPr>
          <w:rFonts w:cs="Arial"/>
          <w:sz w:val="22"/>
          <w:szCs w:val="22"/>
        </w:rPr>
        <w:t xml:space="preserve">number of organisations </w:t>
      </w:r>
      <w:r w:rsidR="00A035E0" w:rsidRPr="00C94310">
        <w:rPr>
          <w:rFonts w:cs="Arial"/>
          <w:sz w:val="22"/>
          <w:szCs w:val="22"/>
        </w:rPr>
        <w:t xml:space="preserve">for each of the entity sizes </w:t>
      </w:r>
      <w:r w:rsidR="00651719" w:rsidRPr="00C94310">
        <w:rPr>
          <w:rFonts w:cs="Arial"/>
          <w:sz w:val="22"/>
          <w:szCs w:val="22"/>
        </w:rPr>
        <w:t>gives</w:t>
      </w:r>
      <w:r w:rsidRPr="00C94310">
        <w:rPr>
          <w:rFonts w:cs="Arial"/>
          <w:sz w:val="22"/>
          <w:szCs w:val="22"/>
        </w:rPr>
        <w:t xml:space="preserve"> a familiarisation set-up cost estimate of </w:t>
      </w:r>
      <w:r w:rsidR="00656AF3" w:rsidRPr="00C94310">
        <w:rPr>
          <w:rFonts w:cs="Arial"/>
          <w:b/>
          <w:sz w:val="22"/>
          <w:szCs w:val="22"/>
        </w:rPr>
        <w:t>£</w:t>
      </w:r>
      <w:r w:rsidR="007B7372">
        <w:rPr>
          <w:rFonts w:cs="Arial"/>
          <w:b/>
          <w:bCs/>
          <w:sz w:val="22"/>
          <w:szCs w:val="22"/>
        </w:rPr>
        <w:t>30.</w:t>
      </w:r>
      <w:r w:rsidR="00177550">
        <w:rPr>
          <w:rFonts w:cs="Arial"/>
          <w:b/>
          <w:bCs/>
          <w:sz w:val="22"/>
          <w:szCs w:val="22"/>
        </w:rPr>
        <w:t>9</w:t>
      </w:r>
      <w:r w:rsidR="00651719" w:rsidRPr="00C94310">
        <w:rPr>
          <w:rFonts w:cs="Arial"/>
          <w:b/>
          <w:sz w:val="22"/>
          <w:szCs w:val="22"/>
        </w:rPr>
        <w:t xml:space="preserve"> </w:t>
      </w:r>
      <w:r w:rsidRPr="00C94310">
        <w:rPr>
          <w:rFonts w:cs="Arial"/>
          <w:b/>
          <w:sz w:val="22"/>
          <w:szCs w:val="22"/>
        </w:rPr>
        <w:t>m</w:t>
      </w:r>
      <w:r w:rsidR="00651719" w:rsidRPr="00C94310">
        <w:rPr>
          <w:rFonts w:cs="Arial"/>
          <w:b/>
          <w:sz w:val="22"/>
          <w:szCs w:val="22"/>
        </w:rPr>
        <w:t>illion</w:t>
      </w:r>
      <w:r w:rsidR="00651719" w:rsidRPr="00441AF5">
        <w:rPr>
          <w:rFonts w:cs="Arial"/>
          <w:sz w:val="22"/>
          <w:szCs w:val="22"/>
        </w:rPr>
        <w:t xml:space="preserve"> </w:t>
      </w:r>
      <w:r w:rsidR="004420EB" w:rsidRPr="00441AF5">
        <w:rPr>
          <w:rFonts w:cs="Arial"/>
          <w:sz w:val="22"/>
          <w:szCs w:val="22"/>
        </w:rPr>
        <w:t>(202</w:t>
      </w:r>
      <w:r w:rsidR="001F00D4" w:rsidRPr="00441AF5">
        <w:rPr>
          <w:rFonts w:cs="Arial"/>
          <w:sz w:val="22"/>
          <w:szCs w:val="22"/>
        </w:rPr>
        <w:t>4</w:t>
      </w:r>
      <w:r w:rsidR="004420EB" w:rsidRPr="00441AF5">
        <w:rPr>
          <w:rFonts w:cs="Arial"/>
          <w:sz w:val="22"/>
          <w:szCs w:val="22"/>
        </w:rPr>
        <w:t xml:space="preserve"> prices)</w:t>
      </w:r>
      <w:r w:rsidR="00651719" w:rsidRPr="00441AF5">
        <w:rPr>
          <w:rFonts w:cs="Arial"/>
          <w:sz w:val="22"/>
          <w:szCs w:val="22"/>
        </w:rPr>
        <w:t xml:space="preserve"> in year </w:t>
      </w:r>
      <w:r w:rsidR="0094095F">
        <w:rPr>
          <w:rFonts w:cs="Arial"/>
          <w:sz w:val="22"/>
          <w:szCs w:val="22"/>
        </w:rPr>
        <w:t>one</w:t>
      </w:r>
      <w:r w:rsidR="00033A57" w:rsidRPr="00441AF5">
        <w:rPr>
          <w:rFonts w:cs="Arial"/>
          <w:sz w:val="22"/>
          <w:szCs w:val="22"/>
        </w:rPr>
        <w:t xml:space="preserve"> in all scenarios</w:t>
      </w:r>
      <w:r w:rsidRPr="00441AF5">
        <w:rPr>
          <w:rFonts w:cs="Arial"/>
          <w:sz w:val="22"/>
          <w:szCs w:val="22"/>
        </w:rPr>
        <w:t>.</w:t>
      </w:r>
      <w:r w:rsidR="005116B7" w:rsidRPr="00441AF5">
        <w:rPr>
          <w:rFonts w:cs="Arial"/>
          <w:sz w:val="22"/>
          <w:szCs w:val="22"/>
        </w:rPr>
        <w:t xml:space="preserve"> </w:t>
      </w:r>
    </w:p>
    <w:p w14:paraId="04D746C6" w14:textId="5DAE8F07" w:rsidR="00D52F32" w:rsidRPr="00441AF5" w:rsidRDefault="00D52F32" w:rsidP="005116B7">
      <w:pPr>
        <w:spacing w:after="120" w:line="259" w:lineRule="auto"/>
        <w:ind w:firstLine="567"/>
        <w:jc w:val="both"/>
        <w:rPr>
          <w:rFonts w:cs="Arial"/>
          <w:b/>
          <w:bCs/>
          <w:sz w:val="22"/>
          <w:szCs w:val="22"/>
        </w:rPr>
      </w:pPr>
      <w:r w:rsidRPr="0002349F">
        <w:rPr>
          <w:rFonts w:cs="Arial"/>
          <w:b/>
          <w:bCs/>
          <w:sz w:val="22"/>
          <w:szCs w:val="22"/>
        </w:rPr>
        <w:t xml:space="preserve">Table </w:t>
      </w:r>
      <w:r w:rsidR="00530415" w:rsidRPr="0002349F">
        <w:rPr>
          <w:rFonts w:cs="Arial"/>
          <w:b/>
          <w:bCs/>
          <w:sz w:val="22"/>
          <w:szCs w:val="22"/>
        </w:rPr>
        <w:t>3</w:t>
      </w:r>
      <w:r w:rsidRPr="0002349F">
        <w:rPr>
          <w:rFonts w:cs="Arial"/>
          <w:b/>
          <w:bCs/>
          <w:sz w:val="22"/>
          <w:szCs w:val="22"/>
        </w:rPr>
        <w:t>,</w:t>
      </w:r>
      <w:r w:rsidRPr="00441AF5">
        <w:rPr>
          <w:rFonts w:cs="Arial"/>
          <w:b/>
          <w:bCs/>
          <w:sz w:val="22"/>
          <w:szCs w:val="22"/>
        </w:rPr>
        <w:t xml:space="preserve"> </w:t>
      </w:r>
      <w:r w:rsidR="000D7B84" w:rsidRPr="00441AF5">
        <w:rPr>
          <w:rFonts w:cs="Arial"/>
          <w:b/>
          <w:bCs/>
          <w:sz w:val="22"/>
          <w:szCs w:val="22"/>
        </w:rPr>
        <w:t xml:space="preserve">Total </w:t>
      </w:r>
      <w:r w:rsidR="00726C75" w:rsidRPr="00441AF5">
        <w:rPr>
          <w:rFonts w:cs="Arial"/>
          <w:b/>
          <w:bCs/>
          <w:sz w:val="22"/>
          <w:szCs w:val="22"/>
        </w:rPr>
        <w:t>F</w:t>
      </w:r>
      <w:r w:rsidRPr="00441AF5">
        <w:rPr>
          <w:rFonts w:cs="Arial"/>
          <w:b/>
          <w:bCs/>
          <w:sz w:val="22"/>
          <w:szCs w:val="22"/>
        </w:rPr>
        <w:t xml:space="preserve">amiliarisation </w:t>
      </w:r>
      <w:r w:rsidR="00726C75" w:rsidRPr="00441AF5">
        <w:rPr>
          <w:rFonts w:cs="Arial"/>
          <w:b/>
          <w:bCs/>
          <w:sz w:val="22"/>
          <w:szCs w:val="22"/>
        </w:rPr>
        <w:t>C</w:t>
      </w:r>
      <w:r w:rsidRPr="00441AF5">
        <w:rPr>
          <w:rFonts w:cs="Arial"/>
          <w:b/>
          <w:bCs/>
          <w:sz w:val="22"/>
          <w:szCs w:val="22"/>
        </w:rPr>
        <w:t>osts</w:t>
      </w:r>
      <w:r w:rsidR="006C7A6C" w:rsidRPr="00441AF5">
        <w:rPr>
          <w:rFonts w:cs="Arial"/>
          <w:b/>
          <w:bCs/>
          <w:sz w:val="22"/>
          <w:szCs w:val="22"/>
        </w:rPr>
        <w:t xml:space="preserve"> </w:t>
      </w:r>
      <w:r w:rsidR="00AC5F0A">
        <w:rPr>
          <w:rFonts w:cs="Arial"/>
          <w:b/>
          <w:bCs/>
          <w:sz w:val="22"/>
          <w:szCs w:val="22"/>
        </w:rPr>
        <w:t>(2024 prices)</w:t>
      </w:r>
    </w:p>
    <w:tbl>
      <w:tblPr>
        <w:tblW w:w="0" w:type="auto"/>
        <w:tblInd w:w="562" w:type="dxa"/>
        <w:tblLayout w:type="fixed"/>
        <w:tblLook w:val="04A0" w:firstRow="1" w:lastRow="0" w:firstColumn="1" w:lastColumn="0" w:noHBand="0" w:noVBand="1"/>
      </w:tblPr>
      <w:tblGrid>
        <w:gridCol w:w="1985"/>
        <w:gridCol w:w="1843"/>
        <w:gridCol w:w="1984"/>
        <w:gridCol w:w="1701"/>
        <w:gridCol w:w="1985"/>
      </w:tblGrid>
      <w:tr w:rsidR="001D081D" w:rsidRPr="001D081D" w14:paraId="6D8751E6" w14:textId="2507974F" w:rsidTr="00441D9E">
        <w:trPr>
          <w:trHeight w:val="34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9BA32" w14:textId="77777777" w:rsidR="005E715F" w:rsidRPr="00441AF5" w:rsidRDefault="005E715F" w:rsidP="00A52CB7">
            <w:pPr>
              <w:jc w:val="center"/>
              <w:rPr>
                <w:rFonts w:cs="Arial"/>
                <w:b/>
                <w:sz w:val="22"/>
                <w:szCs w:val="22"/>
                <w:lang w:eastAsia="en-GB"/>
              </w:rPr>
            </w:pPr>
            <w:r w:rsidRPr="00441AF5">
              <w:rPr>
                <w:rFonts w:cs="Arial"/>
                <w:b/>
                <w:sz w:val="22"/>
                <w:szCs w:val="22"/>
                <w:lang w:eastAsia="en-GB"/>
              </w:rPr>
              <w:t>Familiarisation</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2E32B1DE" w14:textId="77777777" w:rsidR="005E715F" w:rsidRDefault="005E715F" w:rsidP="00A52CB7">
            <w:pPr>
              <w:jc w:val="center"/>
              <w:rPr>
                <w:rFonts w:cs="Arial"/>
                <w:b/>
                <w:bCs/>
                <w:sz w:val="22"/>
                <w:szCs w:val="22"/>
                <w:lang w:eastAsia="en-GB"/>
              </w:rPr>
            </w:pPr>
            <w:r w:rsidRPr="00441AF5">
              <w:rPr>
                <w:rFonts w:cs="Arial"/>
                <w:b/>
                <w:bCs/>
                <w:sz w:val="22"/>
                <w:szCs w:val="22"/>
                <w:lang w:eastAsia="en-GB"/>
              </w:rPr>
              <w:t xml:space="preserve">Total per </w:t>
            </w:r>
            <w:r w:rsidR="006D07E4" w:rsidRPr="00441AF5">
              <w:rPr>
                <w:rFonts w:cs="Arial"/>
                <w:b/>
                <w:bCs/>
                <w:sz w:val="22"/>
                <w:szCs w:val="22"/>
                <w:lang w:eastAsia="en-GB"/>
              </w:rPr>
              <w:t>E</w:t>
            </w:r>
            <w:r w:rsidRPr="00441AF5">
              <w:rPr>
                <w:rFonts w:cs="Arial"/>
                <w:b/>
                <w:bCs/>
                <w:sz w:val="22"/>
                <w:szCs w:val="22"/>
                <w:lang w:eastAsia="en-GB"/>
              </w:rPr>
              <w:t>ntity</w:t>
            </w:r>
          </w:p>
          <w:p w14:paraId="74590486" w14:textId="6D4783AD" w:rsidR="00CB36EB" w:rsidRPr="00441AF5" w:rsidRDefault="00CB36EB" w:rsidP="00A52CB7">
            <w:pPr>
              <w:jc w:val="center"/>
              <w:rPr>
                <w:rFonts w:cs="Arial"/>
                <w:b/>
                <w:bCs/>
                <w:sz w:val="22"/>
                <w:szCs w:val="22"/>
                <w:lang w:eastAsia="en-GB"/>
              </w:rPr>
            </w:pPr>
            <w:r>
              <w:rPr>
                <w:rFonts w:cs="Arial"/>
                <w:b/>
                <w:bCs/>
                <w:sz w:val="22"/>
                <w:szCs w:val="22"/>
                <w:lang w:eastAsia="en-GB"/>
              </w:rPr>
              <w:t>£</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F8C55" w14:textId="67474870" w:rsidR="005E715F" w:rsidRPr="00441AF5" w:rsidRDefault="000D203C" w:rsidP="00A52CB7">
            <w:pPr>
              <w:jc w:val="center"/>
              <w:rPr>
                <w:rFonts w:cs="Arial"/>
                <w:b/>
                <w:bCs/>
                <w:sz w:val="22"/>
                <w:szCs w:val="22"/>
                <w:lang w:eastAsia="en-GB"/>
              </w:rPr>
            </w:pPr>
            <w:r w:rsidRPr="00441AF5">
              <w:rPr>
                <w:rFonts w:cs="Arial"/>
                <w:b/>
                <w:bCs/>
                <w:sz w:val="22"/>
                <w:szCs w:val="22"/>
                <w:lang w:eastAsia="en-GB"/>
              </w:rPr>
              <w:t>Low Estimate</w:t>
            </w:r>
            <w:r w:rsidR="007A5794">
              <w:rPr>
                <w:rFonts w:cs="Arial"/>
                <w:b/>
                <w:bCs/>
                <w:sz w:val="22"/>
                <w:szCs w:val="22"/>
                <w:lang w:eastAsia="en-GB"/>
              </w:rPr>
              <w:t xml:space="preserve"> £m</w:t>
            </w:r>
          </w:p>
        </w:tc>
        <w:tc>
          <w:tcPr>
            <w:tcW w:w="1701" w:type="dxa"/>
            <w:tcBorders>
              <w:top w:val="single" w:sz="4" w:space="0" w:color="auto"/>
              <w:left w:val="single" w:sz="4" w:space="0" w:color="auto"/>
              <w:bottom w:val="single" w:sz="4" w:space="0" w:color="auto"/>
              <w:right w:val="single" w:sz="4" w:space="0" w:color="auto"/>
            </w:tcBorders>
            <w:vAlign w:val="center"/>
          </w:tcPr>
          <w:p w14:paraId="68150988" w14:textId="654A33AC" w:rsidR="005E715F" w:rsidRPr="00441AF5" w:rsidRDefault="000D203C" w:rsidP="00A52CB7">
            <w:pPr>
              <w:jc w:val="center"/>
              <w:rPr>
                <w:rFonts w:cs="Arial"/>
                <w:b/>
                <w:bCs/>
                <w:sz w:val="22"/>
                <w:szCs w:val="22"/>
                <w:lang w:eastAsia="en-GB"/>
              </w:rPr>
            </w:pPr>
            <w:r w:rsidRPr="00441AF5">
              <w:rPr>
                <w:rFonts w:cs="Arial"/>
                <w:b/>
                <w:bCs/>
                <w:sz w:val="22"/>
                <w:szCs w:val="22"/>
                <w:lang w:eastAsia="en-GB"/>
              </w:rPr>
              <w:t>Best Estimate</w:t>
            </w:r>
            <w:r w:rsidR="007A5794">
              <w:rPr>
                <w:rFonts w:cs="Arial"/>
                <w:b/>
                <w:bCs/>
                <w:sz w:val="22"/>
                <w:szCs w:val="22"/>
                <w:lang w:eastAsia="en-GB"/>
              </w:rPr>
              <w:t xml:space="preserve"> £m</w:t>
            </w:r>
          </w:p>
        </w:tc>
        <w:tc>
          <w:tcPr>
            <w:tcW w:w="1985" w:type="dxa"/>
            <w:tcBorders>
              <w:top w:val="single" w:sz="4" w:space="0" w:color="auto"/>
              <w:left w:val="single" w:sz="4" w:space="0" w:color="auto"/>
              <w:bottom w:val="single" w:sz="4" w:space="0" w:color="auto"/>
              <w:right w:val="single" w:sz="4" w:space="0" w:color="auto"/>
            </w:tcBorders>
            <w:vAlign w:val="center"/>
          </w:tcPr>
          <w:p w14:paraId="2F4485C5" w14:textId="31DACF51" w:rsidR="005E715F" w:rsidRPr="00441AF5" w:rsidRDefault="000D203C" w:rsidP="00A52CB7">
            <w:pPr>
              <w:jc w:val="center"/>
              <w:rPr>
                <w:rFonts w:cs="Arial"/>
                <w:b/>
                <w:bCs/>
                <w:sz w:val="22"/>
                <w:szCs w:val="22"/>
                <w:lang w:eastAsia="en-GB"/>
              </w:rPr>
            </w:pPr>
            <w:r w:rsidRPr="00441AF5">
              <w:rPr>
                <w:rFonts w:cs="Arial"/>
                <w:b/>
                <w:bCs/>
                <w:sz w:val="22"/>
                <w:szCs w:val="22"/>
                <w:lang w:eastAsia="en-GB"/>
              </w:rPr>
              <w:t>High Estimate</w:t>
            </w:r>
            <w:r w:rsidR="007A5794">
              <w:rPr>
                <w:rFonts w:cs="Arial"/>
                <w:b/>
                <w:bCs/>
                <w:sz w:val="22"/>
                <w:szCs w:val="22"/>
                <w:lang w:eastAsia="en-GB"/>
              </w:rPr>
              <w:t xml:space="preserve"> £m</w:t>
            </w:r>
          </w:p>
        </w:tc>
      </w:tr>
      <w:tr w:rsidR="001D081D" w:rsidRPr="001D081D" w14:paraId="6D035F81" w14:textId="4C51A5AF" w:rsidTr="00441D9E">
        <w:trPr>
          <w:trHeight w:val="340"/>
        </w:trPr>
        <w:tc>
          <w:tcPr>
            <w:tcW w:w="1985" w:type="dxa"/>
            <w:tcBorders>
              <w:top w:val="nil"/>
              <w:left w:val="single" w:sz="4" w:space="0" w:color="auto"/>
              <w:bottom w:val="nil"/>
              <w:right w:val="single" w:sz="4" w:space="0" w:color="auto"/>
            </w:tcBorders>
            <w:shd w:val="clear" w:color="auto" w:fill="auto"/>
            <w:noWrap/>
            <w:vAlign w:val="bottom"/>
            <w:hideMark/>
          </w:tcPr>
          <w:p w14:paraId="4BC362E0" w14:textId="77777777" w:rsidR="005E715F" w:rsidRPr="00441AF5" w:rsidRDefault="005E715F" w:rsidP="007E427B">
            <w:pPr>
              <w:rPr>
                <w:rFonts w:cs="Arial"/>
                <w:sz w:val="22"/>
                <w:szCs w:val="22"/>
                <w:lang w:eastAsia="en-GB"/>
              </w:rPr>
            </w:pPr>
            <w:r w:rsidRPr="00441AF5">
              <w:rPr>
                <w:rFonts w:cs="Arial"/>
                <w:sz w:val="22"/>
                <w:szCs w:val="22"/>
                <w:lang w:eastAsia="en-GB"/>
              </w:rPr>
              <w:t>Large</w:t>
            </w:r>
          </w:p>
        </w:tc>
        <w:tc>
          <w:tcPr>
            <w:tcW w:w="1843" w:type="dxa"/>
            <w:tcBorders>
              <w:top w:val="nil"/>
              <w:left w:val="nil"/>
              <w:bottom w:val="nil"/>
              <w:right w:val="single" w:sz="4" w:space="0" w:color="auto"/>
            </w:tcBorders>
            <w:shd w:val="clear" w:color="auto" w:fill="auto"/>
            <w:noWrap/>
            <w:vAlign w:val="bottom"/>
            <w:hideMark/>
          </w:tcPr>
          <w:p w14:paraId="21B4FC00" w14:textId="4FA25B9B" w:rsidR="005E715F" w:rsidRPr="00CD6778" w:rsidRDefault="005E715F" w:rsidP="007E427B">
            <w:pPr>
              <w:jc w:val="right"/>
              <w:rPr>
                <w:rFonts w:cs="Arial"/>
                <w:sz w:val="22"/>
                <w:szCs w:val="22"/>
                <w:lang w:eastAsia="en-GB"/>
              </w:rPr>
            </w:pPr>
            <w:r w:rsidRPr="00CD6778">
              <w:rPr>
                <w:rFonts w:cs="Arial"/>
                <w:sz w:val="22"/>
                <w:szCs w:val="22"/>
              </w:rPr>
              <w:t>1,</w:t>
            </w:r>
            <w:r w:rsidR="009202F3">
              <w:rPr>
                <w:rFonts w:cs="Arial"/>
                <w:sz w:val="22"/>
                <w:szCs w:val="22"/>
              </w:rPr>
              <w:t>1</w:t>
            </w:r>
            <w:r w:rsidR="005E441D">
              <w:rPr>
                <w:rFonts w:cs="Arial"/>
                <w:sz w:val="22"/>
                <w:szCs w:val="22"/>
              </w:rPr>
              <w:t>22</w:t>
            </w:r>
          </w:p>
        </w:tc>
        <w:tc>
          <w:tcPr>
            <w:tcW w:w="1984" w:type="dxa"/>
            <w:tcBorders>
              <w:top w:val="nil"/>
              <w:left w:val="single" w:sz="4" w:space="0" w:color="auto"/>
              <w:bottom w:val="nil"/>
              <w:right w:val="single" w:sz="4" w:space="0" w:color="auto"/>
            </w:tcBorders>
            <w:shd w:val="clear" w:color="auto" w:fill="auto"/>
            <w:noWrap/>
            <w:vAlign w:val="bottom"/>
            <w:hideMark/>
          </w:tcPr>
          <w:p w14:paraId="3734508F" w14:textId="05BBD796" w:rsidR="005E715F" w:rsidRPr="00CD6778" w:rsidRDefault="00564E47" w:rsidP="007E427B">
            <w:pPr>
              <w:jc w:val="right"/>
              <w:rPr>
                <w:rFonts w:cs="Arial"/>
                <w:sz w:val="22"/>
                <w:szCs w:val="22"/>
                <w:lang w:eastAsia="en-GB"/>
              </w:rPr>
            </w:pPr>
            <w:r>
              <w:rPr>
                <w:rFonts w:cs="Arial"/>
                <w:sz w:val="22"/>
                <w:szCs w:val="22"/>
              </w:rPr>
              <w:t>14.0</w:t>
            </w:r>
          </w:p>
        </w:tc>
        <w:tc>
          <w:tcPr>
            <w:tcW w:w="1701" w:type="dxa"/>
            <w:tcBorders>
              <w:top w:val="nil"/>
              <w:left w:val="single" w:sz="4" w:space="0" w:color="auto"/>
              <w:bottom w:val="nil"/>
              <w:right w:val="single" w:sz="4" w:space="0" w:color="auto"/>
            </w:tcBorders>
            <w:vAlign w:val="bottom"/>
          </w:tcPr>
          <w:p w14:paraId="45CBCDF9" w14:textId="1208D918" w:rsidR="005E715F" w:rsidRPr="00CD6778" w:rsidRDefault="00564E47" w:rsidP="007E427B">
            <w:pPr>
              <w:jc w:val="right"/>
              <w:rPr>
                <w:rFonts w:cs="Arial"/>
                <w:sz w:val="22"/>
                <w:szCs w:val="22"/>
              </w:rPr>
            </w:pPr>
            <w:r>
              <w:rPr>
                <w:rFonts w:cs="Arial"/>
                <w:sz w:val="22"/>
                <w:szCs w:val="22"/>
              </w:rPr>
              <w:t>14.0</w:t>
            </w:r>
          </w:p>
        </w:tc>
        <w:tc>
          <w:tcPr>
            <w:tcW w:w="1985" w:type="dxa"/>
            <w:tcBorders>
              <w:top w:val="nil"/>
              <w:left w:val="single" w:sz="4" w:space="0" w:color="auto"/>
              <w:bottom w:val="nil"/>
              <w:right w:val="single" w:sz="4" w:space="0" w:color="auto"/>
            </w:tcBorders>
            <w:vAlign w:val="bottom"/>
          </w:tcPr>
          <w:p w14:paraId="734DF8F2" w14:textId="7297B688" w:rsidR="005E715F" w:rsidRPr="00CD6778" w:rsidRDefault="00564E47" w:rsidP="007E427B">
            <w:pPr>
              <w:jc w:val="right"/>
              <w:rPr>
                <w:rFonts w:cs="Arial"/>
                <w:sz w:val="22"/>
                <w:szCs w:val="22"/>
              </w:rPr>
            </w:pPr>
            <w:r>
              <w:rPr>
                <w:rFonts w:cs="Arial"/>
                <w:sz w:val="22"/>
                <w:szCs w:val="22"/>
              </w:rPr>
              <w:t>14.0</w:t>
            </w:r>
          </w:p>
        </w:tc>
      </w:tr>
      <w:tr w:rsidR="001D081D" w:rsidRPr="001D081D" w14:paraId="5F9E5182" w14:textId="2CEB1285" w:rsidTr="00441D9E">
        <w:trPr>
          <w:trHeight w:val="34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573C4BC" w14:textId="77777777" w:rsidR="005E715F" w:rsidRPr="00441AF5" w:rsidRDefault="005E715F" w:rsidP="007E427B">
            <w:pPr>
              <w:rPr>
                <w:rFonts w:cs="Arial"/>
                <w:sz w:val="22"/>
                <w:szCs w:val="22"/>
                <w:lang w:eastAsia="en-GB"/>
              </w:rPr>
            </w:pPr>
            <w:r w:rsidRPr="00441AF5">
              <w:rPr>
                <w:rFonts w:cs="Arial"/>
                <w:sz w:val="22"/>
                <w:szCs w:val="22"/>
                <w:lang w:eastAsia="en-GB"/>
              </w:rPr>
              <w:t>Largest</w:t>
            </w:r>
          </w:p>
        </w:tc>
        <w:tc>
          <w:tcPr>
            <w:tcW w:w="1843" w:type="dxa"/>
            <w:tcBorders>
              <w:top w:val="nil"/>
              <w:left w:val="nil"/>
              <w:bottom w:val="single" w:sz="4" w:space="0" w:color="auto"/>
              <w:right w:val="single" w:sz="4" w:space="0" w:color="auto"/>
            </w:tcBorders>
            <w:shd w:val="clear" w:color="auto" w:fill="auto"/>
            <w:noWrap/>
            <w:vAlign w:val="bottom"/>
            <w:hideMark/>
          </w:tcPr>
          <w:p w14:paraId="354F374A" w14:textId="7ED16B5B" w:rsidR="005E715F" w:rsidRPr="00CD6778" w:rsidRDefault="005E715F" w:rsidP="007E427B">
            <w:pPr>
              <w:jc w:val="right"/>
              <w:rPr>
                <w:rFonts w:cs="Arial"/>
                <w:sz w:val="22"/>
                <w:szCs w:val="22"/>
                <w:lang w:eastAsia="en-GB"/>
              </w:rPr>
            </w:pPr>
            <w:r w:rsidRPr="00CD6778">
              <w:rPr>
                <w:rFonts w:cs="Arial"/>
                <w:sz w:val="22"/>
                <w:szCs w:val="22"/>
              </w:rPr>
              <w:t>1,</w:t>
            </w:r>
            <w:r w:rsidR="00564E47" w:rsidRPr="00CD6778">
              <w:rPr>
                <w:rFonts w:cs="Arial"/>
                <w:sz w:val="22"/>
                <w:szCs w:val="22"/>
              </w:rPr>
              <w:t>3</w:t>
            </w:r>
            <w:r w:rsidR="00564E47">
              <w:rPr>
                <w:rFonts w:cs="Arial"/>
                <w:sz w:val="22"/>
                <w:szCs w:val="22"/>
              </w:rPr>
              <w:t>63</w:t>
            </w:r>
          </w:p>
        </w:tc>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3B08E74D" w14:textId="1F266A91" w:rsidR="005E715F" w:rsidRPr="00CD6778" w:rsidRDefault="005E715F" w:rsidP="007E427B">
            <w:pPr>
              <w:jc w:val="right"/>
              <w:rPr>
                <w:rFonts w:cs="Arial"/>
                <w:sz w:val="22"/>
                <w:szCs w:val="22"/>
                <w:lang w:eastAsia="en-GB"/>
              </w:rPr>
            </w:pPr>
            <w:r w:rsidRPr="00CD6778">
              <w:rPr>
                <w:rFonts w:cs="Arial"/>
                <w:sz w:val="22"/>
                <w:szCs w:val="22"/>
              </w:rPr>
              <w:t>1</w:t>
            </w:r>
            <w:r w:rsidR="00587365" w:rsidRPr="00CD6778">
              <w:rPr>
                <w:rFonts w:cs="Arial"/>
                <w:sz w:val="22"/>
                <w:szCs w:val="22"/>
              </w:rPr>
              <w:t>6.</w:t>
            </w:r>
            <w:r w:rsidR="00564E47">
              <w:rPr>
                <w:rFonts w:cs="Arial"/>
                <w:sz w:val="22"/>
                <w:szCs w:val="22"/>
              </w:rPr>
              <w:t>9</w:t>
            </w:r>
          </w:p>
        </w:tc>
        <w:tc>
          <w:tcPr>
            <w:tcW w:w="1701" w:type="dxa"/>
            <w:tcBorders>
              <w:top w:val="nil"/>
              <w:left w:val="single" w:sz="4" w:space="0" w:color="auto"/>
              <w:bottom w:val="single" w:sz="4" w:space="0" w:color="auto"/>
              <w:right w:val="single" w:sz="4" w:space="0" w:color="auto"/>
            </w:tcBorders>
            <w:vAlign w:val="bottom"/>
          </w:tcPr>
          <w:p w14:paraId="3CDCE60A" w14:textId="2F6B5251" w:rsidR="005E715F" w:rsidRPr="00CD6778" w:rsidRDefault="000D203C" w:rsidP="007E427B">
            <w:pPr>
              <w:jc w:val="right"/>
              <w:rPr>
                <w:rFonts w:cs="Arial"/>
                <w:sz w:val="22"/>
                <w:szCs w:val="22"/>
              </w:rPr>
            </w:pPr>
            <w:r w:rsidRPr="00CD6778">
              <w:rPr>
                <w:rFonts w:cs="Arial"/>
                <w:sz w:val="22"/>
                <w:szCs w:val="22"/>
              </w:rPr>
              <w:t>1</w:t>
            </w:r>
            <w:r w:rsidR="008A7371" w:rsidRPr="00CD6778">
              <w:rPr>
                <w:rFonts w:cs="Arial"/>
                <w:sz w:val="22"/>
                <w:szCs w:val="22"/>
              </w:rPr>
              <w:t>6.</w:t>
            </w:r>
            <w:r w:rsidR="00564E47">
              <w:rPr>
                <w:rFonts w:cs="Arial"/>
                <w:sz w:val="22"/>
                <w:szCs w:val="22"/>
              </w:rPr>
              <w:t>9</w:t>
            </w:r>
          </w:p>
        </w:tc>
        <w:tc>
          <w:tcPr>
            <w:tcW w:w="1985" w:type="dxa"/>
            <w:tcBorders>
              <w:top w:val="nil"/>
              <w:left w:val="single" w:sz="4" w:space="0" w:color="auto"/>
              <w:bottom w:val="single" w:sz="4" w:space="0" w:color="auto"/>
              <w:right w:val="single" w:sz="4" w:space="0" w:color="auto"/>
            </w:tcBorders>
            <w:vAlign w:val="bottom"/>
          </w:tcPr>
          <w:p w14:paraId="513241AC" w14:textId="4B2D8867" w:rsidR="005E715F" w:rsidRPr="00CD6778" w:rsidRDefault="000D203C" w:rsidP="007E427B">
            <w:pPr>
              <w:jc w:val="right"/>
              <w:rPr>
                <w:rFonts w:cs="Arial"/>
                <w:sz w:val="22"/>
                <w:szCs w:val="22"/>
              </w:rPr>
            </w:pPr>
            <w:r w:rsidRPr="00CD6778">
              <w:rPr>
                <w:rFonts w:cs="Arial"/>
                <w:sz w:val="22"/>
                <w:szCs w:val="22"/>
              </w:rPr>
              <w:t>1</w:t>
            </w:r>
            <w:r w:rsidR="008A7371" w:rsidRPr="00CD6778">
              <w:rPr>
                <w:rFonts w:cs="Arial"/>
                <w:sz w:val="22"/>
                <w:szCs w:val="22"/>
              </w:rPr>
              <w:t>6.</w:t>
            </w:r>
            <w:r w:rsidR="00564E47">
              <w:rPr>
                <w:rFonts w:cs="Arial"/>
                <w:sz w:val="22"/>
                <w:szCs w:val="22"/>
              </w:rPr>
              <w:t>9</w:t>
            </w:r>
          </w:p>
        </w:tc>
      </w:tr>
      <w:tr w:rsidR="001D081D" w:rsidRPr="001D081D" w14:paraId="0648EDF3" w14:textId="7DBB29C5" w:rsidTr="00441D9E">
        <w:trPr>
          <w:trHeight w:val="34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A9DA45" w14:textId="571906BD" w:rsidR="005E715F" w:rsidRPr="00441AF5" w:rsidRDefault="005E715F" w:rsidP="007E427B">
            <w:pPr>
              <w:rPr>
                <w:rFonts w:cs="Arial"/>
                <w:b/>
                <w:sz w:val="22"/>
                <w:szCs w:val="22"/>
                <w:lang w:eastAsia="en-GB"/>
              </w:rPr>
            </w:pPr>
            <w:r w:rsidRPr="00441AF5">
              <w:rPr>
                <w:rFonts w:cs="Arial"/>
                <w:b/>
                <w:sz w:val="22"/>
                <w:szCs w:val="22"/>
                <w:lang w:eastAsia="en-GB"/>
              </w:rPr>
              <w:t>Total</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302755F2" w14:textId="4EEF617E" w:rsidR="005E715F" w:rsidRPr="00CD6778" w:rsidRDefault="005E715F" w:rsidP="007E427B">
            <w:pPr>
              <w:jc w:val="right"/>
              <w:rPr>
                <w:rFonts w:cs="Arial"/>
                <w:b/>
                <w:sz w:val="22"/>
                <w:szCs w:val="22"/>
                <w:lang w:eastAsia="en-GB"/>
              </w:rPr>
            </w:pPr>
            <w:r w:rsidRPr="00CD6778">
              <w:rPr>
                <w:rFonts w:cs="Arial"/>
                <w:b/>
                <w:sz w:val="22"/>
                <w:szCs w:val="22"/>
              </w:rPr>
              <w:t>-</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8E653" w14:textId="1D021399" w:rsidR="005E715F" w:rsidRPr="00CD6778" w:rsidRDefault="00241435" w:rsidP="007E427B">
            <w:pPr>
              <w:jc w:val="right"/>
              <w:rPr>
                <w:rFonts w:cs="Arial"/>
                <w:b/>
                <w:sz w:val="22"/>
                <w:szCs w:val="22"/>
              </w:rPr>
            </w:pPr>
            <w:r>
              <w:rPr>
                <w:rFonts w:cs="Arial"/>
                <w:b/>
                <w:bCs/>
                <w:sz w:val="22"/>
                <w:szCs w:val="22"/>
              </w:rPr>
              <w:t>30.</w:t>
            </w:r>
            <w:r w:rsidR="00177550">
              <w:rPr>
                <w:rFonts w:cs="Arial"/>
                <w:b/>
                <w:bCs/>
                <w:sz w:val="22"/>
                <w:szCs w:val="22"/>
              </w:rPr>
              <w:t>9</w:t>
            </w:r>
          </w:p>
        </w:tc>
        <w:tc>
          <w:tcPr>
            <w:tcW w:w="1701" w:type="dxa"/>
            <w:tcBorders>
              <w:top w:val="single" w:sz="4" w:space="0" w:color="auto"/>
              <w:left w:val="single" w:sz="4" w:space="0" w:color="auto"/>
              <w:bottom w:val="single" w:sz="4" w:space="0" w:color="auto"/>
              <w:right w:val="single" w:sz="4" w:space="0" w:color="auto"/>
            </w:tcBorders>
            <w:vAlign w:val="bottom"/>
          </w:tcPr>
          <w:p w14:paraId="0915884D" w14:textId="65469450" w:rsidR="005E715F" w:rsidRPr="00CD6778" w:rsidRDefault="00A72572" w:rsidP="007E427B">
            <w:pPr>
              <w:jc w:val="right"/>
              <w:rPr>
                <w:rFonts w:cs="Arial"/>
                <w:b/>
                <w:bCs/>
                <w:sz w:val="22"/>
                <w:szCs w:val="22"/>
              </w:rPr>
            </w:pPr>
            <w:r>
              <w:rPr>
                <w:rFonts w:cs="Arial"/>
                <w:b/>
                <w:bCs/>
                <w:sz w:val="22"/>
                <w:szCs w:val="22"/>
              </w:rPr>
              <w:t>30.</w:t>
            </w:r>
            <w:r w:rsidR="00177550">
              <w:rPr>
                <w:rFonts w:cs="Arial"/>
                <w:b/>
                <w:bCs/>
                <w:sz w:val="22"/>
                <w:szCs w:val="22"/>
              </w:rPr>
              <w:t>9</w:t>
            </w:r>
          </w:p>
        </w:tc>
        <w:tc>
          <w:tcPr>
            <w:tcW w:w="1985" w:type="dxa"/>
            <w:tcBorders>
              <w:top w:val="single" w:sz="4" w:space="0" w:color="auto"/>
              <w:left w:val="single" w:sz="4" w:space="0" w:color="auto"/>
              <w:bottom w:val="single" w:sz="4" w:space="0" w:color="auto"/>
              <w:right w:val="single" w:sz="4" w:space="0" w:color="auto"/>
            </w:tcBorders>
            <w:vAlign w:val="bottom"/>
          </w:tcPr>
          <w:p w14:paraId="103E642E" w14:textId="030819B1" w:rsidR="005E715F" w:rsidRPr="00CD6778" w:rsidRDefault="00A72572" w:rsidP="007E427B">
            <w:pPr>
              <w:jc w:val="right"/>
              <w:rPr>
                <w:rFonts w:cs="Arial"/>
                <w:b/>
                <w:bCs/>
                <w:sz w:val="22"/>
                <w:szCs w:val="22"/>
              </w:rPr>
            </w:pPr>
            <w:r>
              <w:rPr>
                <w:rFonts w:cs="Arial"/>
                <w:b/>
                <w:bCs/>
                <w:sz w:val="22"/>
                <w:szCs w:val="22"/>
              </w:rPr>
              <w:t>30.</w:t>
            </w:r>
            <w:r w:rsidR="00177550">
              <w:rPr>
                <w:rFonts w:cs="Arial"/>
                <w:b/>
                <w:bCs/>
                <w:sz w:val="22"/>
                <w:szCs w:val="22"/>
              </w:rPr>
              <w:t>9</w:t>
            </w:r>
          </w:p>
        </w:tc>
      </w:tr>
    </w:tbl>
    <w:p w14:paraId="6055B7CC" w14:textId="4A9B979E" w:rsidR="00D37835" w:rsidRPr="0029116F" w:rsidRDefault="000D7B84" w:rsidP="00651719">
      <w:pPr>
        <w:spacing w:after="120" w:line="259" w:lineRule="auto"/>
        <w:ind w:left="567"/>
        <w:jc w:val="both"/>
        <w:rPr>
          <w:rFonts w:cs="Arial"/>
          <w:sz w:val="18"/>
          <w:szCs w:val="18"/>
        </w:rPr>
      </w:pPr>
      <w:r w:rsidRPr="0029116F">
        <w:rPr>
          <w:rFonts w:cs="Arial"/>
          <w:sz w:val="18"/>
          <w:szCs w:val="18"/>
        </w:rPr>
        <w:t xml:space="preserve">Source: </w:t>
      </w:r>
      <w:r w:rsidR="004420EB" w:rsidRPr="0029116F">
        <w:rPr>
          <w:rFonts w:cs="Arial"/>
          <w:sz w:val="18"/>
          <w:szCs w:val="18"/>
        </w:rPr>
        <w:t>DBT calculations</w:t>
      </w:r>
      <w:r w:rsidR="004D76B9">
        <w:rPr>
          <w:rFonts w:cs="Arial"/>
          <w:sz w:val="18"/>
          <w:szCs w:val="18"/>
        </w:rPr>
        <w:t>. Numbers may not sum due to rounding.</w:t>
      </w:r>
    </w:p>
    <w:p w14:paraId="40410DE0" w14:textId="5378EF31" w:rsidR="007030AD" w:rsidRPr="00441AF5" w:rsidRDefault="007030AD" w:rsidP="0079132A">
      <w:pPr>
        <w:spacing w:after="120" w:line="259" w:lineRule="auto"/>
        <w:jc w:val="both"/>
        <w:rPr>
          <w:rFonts w:cs="Arial"/>
          <w:b/>
          <w:bCs/>
          <w:sz w:val="22"/>
          <w:szCs w:val="22"/>
        </w:rPr>
      </w:pPr>
      <w:r w:rsidRPr="00441AF5">
        <w:rPr>
          <w:rFonts w:cs="Arial"/>
          <w:b/>
          <w:bCs/>
          <w:sz w:val="22"/>
          <w:szCs w:val="22"/>
        </w:rPr>
        <w:t>Risk assessment</w:t>
      </w:r>
    </w:p>
    <w:p w14:paraId="23FAB331" w14:textId="43F2D9A4" w:rsidR="00DB1336" w:rsidRDefault="009D5ACF" w:rsidP="003F40C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It would be very difficult for </w:t>
      </w:r>
      <w:r w:rsidR="00551072">
        <w:rPr>
          <w:rFonts w:cs="Arial"/>
          <w:sz w:val="22"/>
          <w:szCs w:val="22"/>
        </w:rPr>
        <w:t xml:space="preserve">large organisations to demonstrate that they have reasonable procedures </w:t>
      </w:r>
      <w:r w:rsidR="00FE604D">
        <w:rPr>
          <w:rFonts w:cs="Arial"/>
          <w:sz w:val="22"/>
          <w:szCs w:val="22"/>
        </w:rPr>
        <w:t xml:space="preserve">in place </w:t>
      </w:r>
      <w:r w:rsidR="00551072">
        <w:rPr>
          <w:rFonts w:cs="Arial"/>
          <w:sz w:val="22"/>
          <w:szCs w:val="22"/>
        </w:rPr>
        <w:t>if they have not carried out</w:t>
      </w:r>
      <w:r w:rsidR="00DF4F83">
        <w:rPr>
          <w:rFonts w:cs="Arial"/>
          <w:sz w:val="22"/>
          <w:szCs w:val="22"/>
        </w:rPr>
        <w:t>,</w:t>
      </w:r>
      <w:r w:rsidR="00551072">
        <w:rPr>
          <w:rFonts w:cs="Arial"/>
          <w:sz w:val="22"/>
          <w:szCs w:val="22"/>
        </w:rPr>
        <w:t xml:space="preserve"> and recorded the results of</w:t>
      </w:r>
      <w:r w:rsidR="00DF4F83">
        <w:rPr>
          <w:rFonts w:cs="Arial"/>
          <w:sz w:val="22"/>
          <w:szCs w:val="22"/>
        </w:rPr>
        <w:t>,</w:t>
      </w:r>
      <w:r w:rsidR="00551072">
        <w:rPr>
          <w:rFonts w:cs="Arial"/>
          <w:sz w:val="22"/>
          <w:szCs w:val="22"/>
        </w:rPr>
        <w:t xml:space="preserve"> a</w:t>
      </w:r>
      <w:r w:rsidR="00DF4F83">
        <w:rPr>
          <w:rFonts w:cs="Arial"/>
          <w:sz w:val="22"/>
          <w:szCs w:val="22"/>
        </w:rPr>
        <w:t xml:space="preserve"> risk assessment. </w:t>
      </w:r>
      <w:r w:rsidR="00CA6BA5">
        <w:rPr>
          <w:rFonts w:cs="Arial"/>
          <w:sz w:val="22"/>
          <w:szCs w:val="22"/>
        </w:rPr>
        <w:t>The HMRC guidance on the failure to prevent tax evasion</w:t>
      </w:r>
      <w:r w:rsidR="00AE26CC">
        <w:rPr>
          <w:rFonts w:cs="Arial"/>
          <w:sz w:val="22"/>
          <w:szCs w:val="22"/>
        </w:rPr>
        <w:t xml:space="preserve"> offence</w:t>
      </w:r>
      <w:r w:rsidR="002C2983">
        <w:rPr>
          <w:rFonts w:cs="Arial"/>
          <w:sz w:val="22"/>
          <w:szCs w:val="22"/>
        </w:rPr>
        <w:t>,</w:t>
      </w:r>
      <w:r w:rsidR="00AE26CC">
        <w:rPr>
          <w:rFonts w:cs="Arial"/>
          <w:sz w:val="22"/>
          <w:szCs w:val="22"/>
        </w:rPr>
        <w:t xml:space="preserve"> </w:t>
      </w:r>
      <w:r w:rsidR="002C2983">
        <w:rPr>
          <w:rFonts w:cs="Arial"/>
          <w:sz w:val="22"/>
          <w:szCs w:val="22"/>
        </w:rPr>
        <w:t xml:space="preserve">which also uses a reasonable procedures </w:t>
      </w:r>
      <w:r w:rsidR="00AE26CC">
        <w:rPr>
          <w:rFonts w:cs="Arial"/>
          <w:sz w:val="22"/>
          <w:szCs w:val="22"/>
        </w:rPr>
        <w:t>defence,</w:t>
      </w:r>
      <w:r w:rsidR="00CA6BA5">
        <w:rPr>
          <w:rFonts w:cs="Arial"/>
          <w:sz w:val="22"/>
          <w:szCs w:val="22"/>
        </w:rPr>
        <w:t xml:space="preserve"> states that</w:t>
      </w:r>
      <w:r w:rsidR="00DB1336">
        <w:rPr>
          <w:rFonts w:cs="Arial"/>
          <w:sz w:val="22"/>
          <w:szCs w:val="22"/>
        </w:rPr>
        <w:t>:</w:t>
      </w:r>
      <w:r w:rsidR="00CA6BA5">
        <w:rPr>
          <w:rFonts w:cs="Arial"/>
          <w:sz w:val="22"/>
          <w:szCs w:val="22"/>
        </w:rPr>
        <w:t xml:space="preserve"> </w:t>
      </w:r>
    </w:p>
    <w:p w14:paraId="7B340E3F" w14:textId="7E0A5FA8" w:rsidR="00DB1336" w:rsidRPr="00C87D6B" w:rsidRDefault="00CA6BA5" w:rsidP="00AB4D63">
      <w:pPr>
        <w:pStyle w:val="ListParagraph"/>
        <w:spacing w:after="120" w:line="259" w:lineRule="auto"/>
        <w:ind w:left="709"/>
        <w:contextualSpacing w:val="0"/>
        <w:jc w:val="both"/>
        <w:rPr>
          <w:rFonts w:cs="Arial"/>
          <w:i/>
          <w:sz w:val="22"/>
          <w:szCs w:val="22"/>
        </w:rPr>
      </w:pPr>
      <w:r w:rsidRPr="00C87D6B">
        <w:rPr>
          <w:rFonts w:cs="Arial"/>
          <w:i/>
          <w:sz w:val="22"/>
          <w:szCs w:val="22"/>
        </w:rPr>
        <w:t>“</w:t>
      </w:r>
      <w:r w:rsidR="00DB1336" w:rsidRPr="00C87D6B">
        <w:rPr>
          <w:rFonts w:cs="Arial"/>
          <w:i/>
          <w:sz w:val="22"/>
          <w:szCs w:val="22"/>
        </w:rPr>
        <w:t xml:space="preserve">It is also worth noting that in </w:t>
      </w:r>
      <w:r w:rsidR="00DB1336" w:rsidRPr="00C87D6B">
        <w:rPr>
          <w:rFonts w:cs="Arial"/>
          <w:b/>
          <w:i/>
          <w:sz w:val="22"/>
          <w:szCs w:val="22"/>
        </w:rPr>
        <w:t>some limited circumstances</w:t>
      </w:r>
      <w:r w:rsidR="00DB1336" w:rsidRPr="00C87D6B">
        <w:rPr>
          <w:rFonts w:cs="Arial"/>
          <w:i/>
          <w:sz w:val="22"/>
          <w:szCs w:val="22"/>
        </w:rPr>
        <w:t xml:space="preserve"> it may be unreasonable to expect a relevant body to have prevention procedures in place. For example, where a relevant body has fully assessed all the risks and they are considered to be extremely low and the costs of implementing any prevention procedures are disproportionate or cost-prohibitive in relation to the negligible risks faced. </w:t>
      </w:r>
      <w:r w:rsidR="00DB1336" w:rsidRPr="00C87D6B">
        <w:rPr>
          <w:rFonts w:cs="Arial"/>
          <w:b/>
          <w:i/>
          <w:sz w:val="22"/>
          <w:szCs w:val="22"/>
        </w:rPr>
        <w:t>However, it will rarely be reasonable to have not even conducted a risk assessment</w:t>
      </w:r>
      <w:r w:rsidR="00DB1336" w:rsidRPr="00C87D6B">
        <w:rPr>
          <w:rFonts w:cs="Arial"/>
          <w:i/>
          <w:sz w:val="22"/>
          <w:szCs w:val="22"/>
        </w:rPr>
        <w:t>.</w:t>
      </w:r>
      <w:r w:rsidRPr="00C87D6B">
        <w:rPr>
          <w:rFonts w:cs="Arial"/>
          <w:i/>
          <w:sz w:val="22"/>
          <w:szCs w:val="22"/>
        </w:rPr>
        <w:t xml:space="preserve">”. </w:t>
      </w:r>
      <w:r w:rsidR="00DB1336" w:rsidRPr="00C87D6B">
        <w:rPr>
          <w:rFonts w:cs="Arial"/>
          <w:sz w:val="22"/>
          <w:szCs w:val="22"/>
        </w:rPr>
        <w:t>HMRC guidance o</w:t>
      </w:r>
      <w:r w:rsidR="00654CDF" w:rsidRPr="00C87D6B">
        <w:rPr>
          <w:rFonts w:cs="Arial"/>
          <w:sz w:val="22"/>
          <w:szCs w:val="22"/>
        </w:rPr>
        <w:t>n</w:t>
      </w:r>
      <w:r w:rsidR="00DB1336" w:rsidRPr="00C87D6B">
        <w:rPr>
          <w:rFonts w:cs="Arial"/>
          <w:sz w:val="22"/>
          <w:szCs w:val="22"/>
        </w:rPr>
        <w:t xml:space="preserve"> failure to prevent tax evasion, p</w:t>
      </w:r>
      <w:r w:rsidR="00CB13A3">
        <w:rPr>
          <w:rFonts w:cs="Arial"/>
          <w:sz w:val="22"/>
          <w:szCs w:val="22"/>
        </w:rPr>
        <w:t>age</w:t>
      </w:r>
      <w:r w:rsidR="00DB1336" w:rsidRPr="00C87D6B">
        <w:rPr>
          <w:rFonts w:cs="Arial"/>
          <w:sz w:val="22"/>
          <w:szCs w:val="22"/>
        </w:rPr>
        <w:t xml:space="preserve"> </w:t>
      </w:r>
      <w:r w:rsidR="00654CDF" w:rsidRPr="00C87D6B">
        <w:rPr>
          <w:rFonts w:cs="Arial"/>
          <w:sz w:val="22"/>
          <w:szCs w:val="22"/>
        </w:rPr>
        <w:t>24</w:t>
      </w:r>
      <w:r w:rsidR="003F2833">
        <w:rPr>
          <w:rStyle w:val="FootnoteReference"/>
          <w:szCs w:val="22"/>
        </w:rPr>
        <w:footnoteReference w:id="60"/>
      </w:r>
      <w:r w:rsidR="00AE26CC" w:rsidRPr="00C87D6B">
        <w:rPr>
          <w:rFonts w:cs="Arial"/>
          <w:sz w:val="22"/>
          <w:szCs w:val="22"/>
        </w:rPr>
        <w:t>, bold emphasis added</w:t>
      </w:r>
      <w:r w:rsidR="00654CDF" w:rsidRPr="00C87D6B">
        <w:rPr>
          <w:rFonts w:cs="Arial"/>
          <w:b/>
          <w:i/>
          <w:sz w:val="22"/>
          <w:szCs w:val="22"/>
        </w:rPr>
        <w:t xml:space="preserve">. </w:t>
      </w:r>
    </w:p>
    <w:p w14:paraId="5F1E7A38" w14:textId="156D02E3" w:rsidR="00651719" w:rsidRPr="00C87D6B" w:rsidRDefault="007030AD" w:rsidP="003F40C2">
      <w:pPr>
        <w:pStyle w:val="ListParagraph"/>
        <w:numPr>
          <w:ilvl w:val="0"/>
          <w:numId w:val="10"/>
        </w:numPr>
        <w:spacing w:after="120" w:line="259" w:lineRule="auto"/>
        <w:ind w:left="567" w:hanging="567"/>
        <w:contextualSpacing w:val="0"/>
        <w:jc w:val="both"/>
        <w:rPr>
          <w:rFonts w:cs="Arial"/>
          <w:sz w:val="22"/>
          <w:szCs w:val="22"/>
        </w:rPr>
      </w:pPr>
      <w:r w:rsidRPr="00C87D6B">
        <w:rPr>
          <w:rFonts w:cs="Arial"/>
          <w:sz w:val="22"/>
          <w:szCs w:val="22"/>
        </w:rPr>
        <w:t xml:space="preserve">The risk assessment stage consists of time taken to gather information, evaluate and prioritise risks, test these risks and then agree the assessment at a senior level. </w:t>
      </w:r>
    </w:p>
    <w:p w14:paraId="3A4F277E" w14:textId="4D2F99C4" w:rsidR="00651719" w:rsidRDefault="009F27DA"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This is estimated to take up to 128 hours for the largest organisations. </w:t>
      </w:r>
      <w:r w:rsidR="007030AD" w:rsidRPr="00441AF5">
        <w:rPr>
          <w:rFonts w:cs="Arial"/>
          <w:sz w:val="22"/>
          <w:szCs w:val="22"/>
        </w:rPr>
        <w:t xml:space="preserve">The estimated time taken is multiplied by the blended wage cost to </w:t>
      </w:r>
      <w:r w:rsidR="00651719" w:rsidRPr="00441AF5">
        <w:rPr>
          <w:rFonts w:cs="Arial"/>
          <w:sz w:val="22"/>
          <w:szCs w:val="22"/>
        </w:rPr>
        <w:t>give</w:t>
      </w:r>
      <w:r w:rsidR="007030AD" w:rsidRPr="00441AF5">
        <w:rPr>
          <w:rFonts w:cs="Arial"/>
          <w:sz w:val="22"/>
          <w:szCs w:val="22"/>
        </w:rPr>
        <w:t xml:space="preserve"> an estimate </w:t>
      </w:r>
      <w:r w:rsidR="00AA526A" w:rsidRPr="00441AF5">
        <w:rPr>
          <w:rFonts w:cs="Arial"/>
          <w:sz w:val="22"/>
          <w:szCs w:val="22"/>
        </w:rPr>
        <w:t>up to</w:t>
      </w:r>
      <w:r w:rsidR="007030AD" w:rsidRPr="00441AF5">
        <w:rPr>
          <w:rFonts w:cs="Arial"/>
          <w:sz w:val="22"/>
          <w:szCs w:val="22"/>
        </w:rPr>
        <w:t xml:space="preserve"> </w:t>
      </w:r>
      <w:r w:rsidR="000730DB">
        <w:rPr>
          <w:rFonts w:cs="Arial"/>
          <w:sz w:val="22"/>
          <w:szCs w:val="22"/>
        </w:rPr>
        <w:t>£3,</w:t>
      </w:r>
      <w:r w:rsidR="00DC3573">
        <w:rPr>
          <w:rFonts w:cs="Arial"/>
          <w:sz w:val="22"/>
          <w:szCs w:val="22"/>
        </w:rPr>
        <w:t>80</w:t>
      </w:r>
      <w:r w:rsidR="00B81D0C">
        <w:rPr>
          <w:rFonts w:cs="Arial"/>
          <w:sz w:val="22"/>
          <w:szCs w:val="22"/>
        </w:rPr>
        <w:t>9</w:t>
      </w:r>
      <w:r w:rsidR="007030AD" w:rsidRPr="00441AF5">
        <w:rPr>
          <w:rFonts w:cs="Arial"/>
          <w:sz w:val="22"/>
          <w:szCs w:val="22"/>
        </w:rPr>
        <w:t xml:space="preserve"> per largest organisation. </w:t>
      </w:r>
      <w:r w:rsidR="00284C64">
        <w:rPr>
          <w:rFonts w:cs="Arial"/>
          <w:sz w:val="22"/>
          <w:szCs w:val="22"/>
        </w:rPr>
        <w:t>The main steps are:</w:t>
      </w:r>
    </w:p>
    <w:p w14:paraId="5F1FF2ED" w14:textId="77777777" w:rsidR="008C3BE7" w:rsidRDefault="005F58E6" w:rsidP="00AB4D63">
      <w:pPr>
        <w:pStyle w:val="ListParagraph"/>
        <w:numPr>
          <w:ilvl w:val="1"/>
          <w:numId w:val="95"/>
        </w:numPr>
        <w:spacing w:after="120" w:line="259" w:lineRule="auto"/>
        <w:ind w:left="1134" w:hanging="425"/>
        <w:contextualSpacing w:val="0"/>
        <w:jc w:val="both"/>
        <w:rPr>
          <w:rFonts w:cs="Arial"/>
          <w:sz w:val="22"/>
          <w:szCs w:val="22"/>
        </w:rPr>
      </w:pPr>
      <w:r>
        <w:rPr>
          <w:rFonts w:cs="Arial"/>
          <w:sz w:val="22"/>
          <w:szCs w:val="22"/>
        </w:rPr>
        <w:t xml:space="preserve">Seven hours per team member to gather relevant information from desk </w:t>
      </w:r>
      <w:r w:rsidR="007378DB">
        <w:rPr>
          <w:rFonts w:cs="Arial"/>
          <w:sz w:val="22"/>
          <w:szCs w:val="22"/>
        </w:rPr>
        <w:t>research and internal and external discussions.</w:t>
      </w:r>
    </w:p>
    <w:p w14:paraId="68BB19EB" w14:textId="7AC19F9C" w:rsidR="00284C64" w:rsidRDefault="008C3BE7" w:rsidP="00AB4D63">
      <w:pPr>
        <w:pStyle w:val="ListParagraph"/>
        <w:numPr>
          <w:ilvl w:val="1"/>
          <w:numId w:val="95"/>
        </w:numPr>
        <w:spacing w:after="120" w:line="259" w:lineRule="auto"/>
        <w:ind w:left="1134" w:hanging="425"/>
        <w:contextualSpacing w:val="0"/>
        <w:jc w:val="both"/>
        <w:rPr>
          <w:rFonts w:cs="Arial"/>
          <w:sz w:val="22"/>
          <w:szCs w:val="22"/>
        </w:rPr>
      </w:pPr>
      <w:r>
        <w:rPr>
          <w:rFonts w:cs="Arial"/>
          <w:sz w:val="22"/>
          <w:szCs w:val="22"/>
        </w:rPr>
        <w:t xml:space="preserve">Ten hours per team member to </w:t>
      </w:r>
      <w:r w:rsidR="00020B91">
        <w:rPr>
          <w:rFonts w:cs="Arial"/>
          <w:sz w:val="22"/>
          <w:szCs w:val="22"/>
        </w:rPr>
        <w:t>develop a risk register and prioritise risks.</w:t>
      </w:r>
    </w:p>
    <w:p w14:paraId="0F2B967D" w14:textId="6618BF66" w:rsidR="00020B91" w:rsidRDefault="00AB6A45" w:rsidP="00AB4D63">
      <w:pPr>
        <w:pStyle w:val="ListParagraph"/>
        <w:numPr>
          <w:ilvl w:val="1"/>
          <w:numId w:val="95"/>
        </w:numPr>
        <w:spacing w:after="120" w:line="259" w:lineRule="auto"/>
        <w:ind w:left="1134" w:hanging="425"/>
        <w:contextualSpacing w:val="0"/>
        <w:jc w:val="both"/>
        <w:rPr>
          <w:rFonts w:cs="Arial"/>
          <w:sz w:val="22"/>
          <w:szCs w:val="22"/>
        </w:rPr>
      </w:pPr>
      <w:r>
        <w:rPr>
          <w:rFonts w:cs="Arial"/>
          <w:sz w:val="22"/>
          <w:szCs w:val="22"/>
        </w:rPr>
        <w:t xml:space="preserve">Seven hours per team member to test risks against controls. </w:t>
      </w:r>
    </w:p>
    <w:p w14:paraId="2B386E0B" w14:textId="582B98DD" w:rsidR="00AB6A45" w:rsidRPr="00441AF5" w:rsidRDefault="000732D1" w:rsidP="00AB4D63">
      <w:pPr>
        <w:pStyle w:val="ListParagraph"/>
        <w:numPr>
          <w:ilvl w:val="1"/>
          <w:numId w:val="95"/>
        </w:numPr>
        <w:spacing w:after="120" w:line="259" w:lineRule="auto"/>
        <w:ind w:left="1134" w:hanging="425"/>
        <w:contextualSpacing w:val="0"/>
        <w:jc w:val="both"/>
        <w:rPr>
          <w:rFonts w:cs="Arial"/>
          <w:sz w:val="22"/>
          <w:szCs w:val="22"/>
        </w:rPr>
      </w:pPr>
      <w:r>
        <w:rPr>
          <w:rFonts w:cs="Arial"/>
          <w:sz w:val="22"/>
          <w:szCs w:val="22"/>
        </w:rPr>
        <w:t xml:space="preserve">A board or management team discussion of 30 minutes involving six people, </w:t>
      </w:r>
      <w:r w:rsidR="005C7AB8">
        <w:rPr>
          <w:rFonts w:cs="Arial"/>
          <w:sz w:val="22"/>
          <w:szCs w:val="22"/>
        </w:rPr>
        <w:t>that is three</w:t>
      </w:r>
      <w:r>
        <w:rPr>
          <w:rFonts w:cs="Arial"/>
          <w:sz w:val="22"/>
          <w:szCs w:val="22"/>
        </w:rPr>
        <w:t xml:space="preserve"> hours in total. This step is essential given that senior leaders will need to judge whether their </w:t>
      </w:r>
      <w:r w:rsidR="0015590A">
        <w:rPr>
          <w:rFonts w:cs="Arial"/>
          <w:sz w:val="22"/>
          <w:szCs w:val="22"/>
        </w:rPr>
        <w:t>anti-fraud procedures meet the</w:t>
      </w:r>
      <w:r w:rsidR="008E5008">
        <w:rPr>
          <w:rFonts w:cs="Arial"/>
          <w:sz w:val="22"/>
          <w:szCs w:val="22"/>
        </w:rPr>
        <w:t xml:space="preserve"> failure to prevent fraud requirements and the</w:t>
      </w:r>
      <w:r w:rsidR="0015590A">
        <w:rPr>
          <w:rFonts w:cs="Arial"/>
          <w:sz w:val="22"/>
          <w:szCs w:val="22"/>
        </w:rPr>
        <w:t xml:space="preserve"> test</w:t>
      </w:r>
      <w:r w:rsidR="008E5008">
        <w:rPr>
          <w:rFonts w:cs="Arial"/>
          <w:sz w:val="22"/>
          <w:szCs w:val="22"/>
        </w:rPr>
        <w:t xml:space="preserve"> of reasonableness. </w:t>
      </w:r>
      <w:r w:rsidR="0015590A">
        <w:rPr>
          <w:rFonts w:cs="Arial"/>
          <w:sz w:val="22"/>
          <w:szCs w:val="22"/>
        </w:rPr>
        <w:t xml:space="preserve">  </w:t>
      </w:r>
    </w:p>
    <w:p w14:paraId="3D65D272" w14:textId="362ADBE8" w:rsidR="00651719" w:rsidRPr="00441AF5" w:rsidRDefault="007030AD"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Multiplying these costs by the number of organisations </w:t>
      </w:r>
      <w:r w:rsidR="00651719" w:rsidRPr="00441AF5">
        <w:rPr>
          <w:rFonts w:cs="Arial"/>
          <w:sz w:val="22"/>
          <w:szCs w:val="22"/>
        </w:rPr>
        <w:t>give</w:t>
      </w:r>
      <w:r w:rsidRPr="00441AF5">
        <w:rPr>
          <w:rFonts w:cs="Arial"/>
          <w:sz w:val="22"/>
          <w:szCs w:val="22"/>
        </w:rPr>
        <w:t xml:space="preserve">s a risk assessment set-up cost estimate of </w:t>
      </w:r>
      <w:r w:rsidR="00651719" w:rsidRPr="00441AF5">
        <w:rPr>
          <w:rFonts w:cs="Arial"/>
          <w:b/>
          <w:sz w:val="22"/>
          <w:szCs w:val="22"/>
        </w:rPr>
        <w:t>£</w:t>
      </w:r>
      <w:r w:rsidR="00594455" w:rsidRPr="00441AF5">
        <w:rPr>
          <w:rFonts w:cs="Arial"/>
          <w:b/>
          <w:bCs/>
          <w:sz w:val="22"/>
          <w:szCs w:val="22"/>
        </w:rPr>
        <w:t>8</w:t>
      </w:r>
      <w:r w:rsidR="00D02FE2">
        <w:rPr>
          <w:rFonts w:cs="Arial"/>
          <w:b/>
          <w:bCs/>
          <w:sz w:val="22"/>
          <w:szCs w:val="22"/>
        </w:rPr>
        <w:t>6.0</w:t>
      </w:r>
      <w:r w:rsidR="0083396B">
        <w:rPr>
          <w:rFonts w:cs="Arial"/>
          <w:b/>
          <w:bCs/>
          <w:sz w:val="22"/>
          <w:szCs w:val="22"/>
        </w:rPr>
        <w:t xml:space="preserve"> </w:t>
      </w:r>
      <w:r w:rsidR="008066D0">
        <w:rPr>
          <w:rFonts w:cs="Arial"/>
          <w:b/>
          <w:bCs/>
          <w:sz w:val="22"/>
          <w:szCs w:val="22"/>
        </w:rPr>
        <w:t>m</w:t>
      </w:r>
      <w:r w:rsidR="0083396B">
        <w:rPr>
          <w:rFonts w:cs="Arial"/>
          <w:b/>
          <w:bCs/>
          <w:sz w:val="22"/>
          <w:szCs w:val="22"/>
        </w:rPr>
        <w:t>illion</w:t>
      </w:r>
      <w:r w:rsidR="00651719" w:rsidRPr="00441AF5">
        <w:rPr>
          <w:rFonts w:cs="Arial"/>
          <w:sz w:val="22"/>
          <w:szCs w:val="22"/>
        </w:rPr>
        <w:t xml:space="preserve"> </w:t>
      </w:r>
      <w:r w:rsidR="004420EB" w:rsidRPr="00441AF5">
        <w:rPr>
          <w:rFonts w:cs="Arial"/>
          <w:sz w:val="22"/>
          <w:szCs w:val="22"/>
        </w:rPr>
        <w:t>(</w:t>
      </w:r>
      <w:r w:rsidR="00140178" w:rsidRPr="00441AF5">
        <w:rPr>
          <w:rFonts w:cs="Arial"/>
          <w:sz w:val="22"/>
          <w:szCs w:val="22"/>
        </w:rPr>
        <w:t>20</w:t>
      </w:r>
      <w:r w:rsidR="004420EB" w:rsidRPr="00441AF5">
        <w:rPr>
          <w:rFonts w:cs="Arial"/>
          <w:sz w:val="22"/>
          <w:szCs w:val="22"/>
        </w:rPr>
        <w:t>24 prices)</w:t>
      </w:r>
      <w:r w:rsidR="00651719" w:rsidRPr="00441AF5">
        <w:rPr>
          <w:rFonts w:cs="Arial"/>
          <w:sz w:val="22"/>
          <w:szCs w:val="22"/>
        </w:rPr>
        <w:t xml:space="preserve"> in year 1 </w:t>
      </w:r>
      <w:r w:rsidR="00033A57" w:rsidRPr="00441AF5">
        <w:rPr>
          <w:rFonts w:cs="Arial"/>
          <w:sz w:val="22"/>
          <w:szCs w:val="22"/>
        </w:rPr>
        <w:t>for all scenarios.</w:t>
      </w:r>
    </w:p>
    <w:p w14:paraId="43836BC7" w14:textId="77777777" w:rsidR="00B51B06" w:rsidRDefault="00B51B06">
      <w:pPr>
        <w:rPr>
          <w:rFonts w:cs="Arial"/>
          <w:b/>
          <w:sz w:val="22"/>
          <w:szCs w:val="22"/>
        </w:rPr>
      </w:pPr>
      <w:r>
        <w:rPr>
          <w:rFonts w:cs="Arial"/>
          <w:b/>
          <w:sz w:val="22"/>
          <w:szCs w:val="22"/>
        </w:rPr>
        <w:br w:type="page"/>
      </w:r>
    </w:p>
    <w:p w14:paraId="5E526DAB" w14:textId="141D5DA5" w:rsidR="007D3216" w:rsidRPr="00441AF5" w:rsidRDefault="007D3216" w:rsidP="007D3216">
      <w:pPr>
        <w:pStyle w:val="ListParagraph"/>
        <w:spacing w:after="120" w:line="259" w:lineRule="auto"/>
        <w:ind w:left="567"/>
        <w:jc w:val="both"/>
        <w:rPr>
          <w:rFonts w:cs="Arial"/>
          <w:b/>
          <w:sz w:val="22"/>
          <w:szCs w:val="22"/>
        </w:rPr>
      </w:pPr>
      <w:r w:rsidRPr="0002349F">
        <w:rPr>
          <w:rFonts w:cs="Arial"/>
          <w:b/>
          <w:sz w:val="22"/>
          <w:szCs w:val="22"/>
        </w:rPr>
        <w:lastRenderedPageBreak/>
        <w:t xml:space="preserve">Table </w:t>
      </w:r>
      <w:r w:rsidR="00530415" w:rsidRPr="0002349F">
        <w:rPr>
          <w:rFonts w:cs="Arial"/>
          <w:b/>
          <w:sz w:val="22"/>
          <w:szCs w:val="22"/>
        </w:rPr>
        <w:t>4</w:t>
      </w:r>
      <w:r w:rsidRPr="00441AF5">
        <w:rPr>
          <w:rFonts w:cs="Arial"/>
          <w:b/>
          <w:sz w:val="22"/>
          <w:szCs w:val="22"/>
        </w:rPr>
        <w:t xml:space="preserve">, </w:t>
      </w:r>
      <w:r w:rsidR="00503939">
        <w:rPr>
          <w:rFonts w:cs="Arial"/>
          <w:b/>
          <w:sz w:val="22"/>
          <w:szCs w:val="22"/>
        </w:rPr>
        <w:t>R</w:t>
      </w:r>
      <w:r w:rsidRPr="00441AF5">
        <w:rPr>
          <w:rFonts w:cs="Arial"/>
          <w:b/>
          <w:sz w:val="22"/>
          <w:szCs w:val="22"/>
        </w:rPr>
        <w:t xml:space="preserve">isk </w:t>
      </w:r>
      <w:r w:rsidR="00297D7B">
        <w:rPr>
          <w:rFonts w:cs="Arial"/>
          <w:b/>
          <w:sz w:val="22"/>
          <w:szCs w:val="22"/>
        </w:rPr>
        <w:t>A</w:t>
      </w:r>
      <w:r w:rsidRPr="00441AF5">
        <w:rPr>
          <w:rFonts w:cs="Arial"/>
          <w:b/>
          <w:sz w:val="22"/>
          <w:szCs w:val="22"/>
        </w:rPr>
        <w:t xml:space="preserve">ssessment </w:t>
      </w:r>
      <w:r w:rsidR="00297D7B">
        <w:rPr>
          <w:rFonts w:cs="Arial"/>
          <w:b/>
          <w:sz w:val="22"/>
          <w:szCs w:val="22"/>
        </w:rPr>
        <w:t>S</w:t>
      </w:r>
      <w:r w:rsidRPr="00441AF5">
        <w:rPr>
          <w:rFonts w:cs="Arial"/>
          <w:b/>
          <w:sz w:val="22"/>
          <w:szCs w:val="22"/>
        </w:rPr>
        <w:t xml:space="preserve">et-up </w:t>
      </w:r>
      <w:r w:rsidR="00297D7B">
        <w:rPr>
          <w:rFonts w:cs="Arial"/>
          <w:b/>
          <w:sz w:val="22"/>
          <w:szCs w:val="22"/>
        </w:rPr>
        <w:t>C</w:t>
      </w:r>
      <w:r w:rsidRPr="00441AF5">
        <w:rPr>
          <w:rFonts w:cs="Arial"/>
          <w:b/>
          <w:sz w:val="22"/>
          <w:szCs w:val="22"/>
        </w:rPr>
        <w:t xml:space="preserve">osts </w:t>
      </w:r>
      <w:r w:rsidR="00AC5F0A">
        <w:rPr>
          <w:rFonts w:cs="Arial"/>
          <w:b/>
          <w:bCs/>
          <w:sz w:val="22"/>
          <w:szCs w:val="22"/>
        </w:rPr>
        <w:t>(2024 prices)</w:t>
      </w:r>
    </w:p>
    <w:tbl>
      <w:tblPr>
        <w:tblW w:w="9498" w:type="dxa"/>
        <w:tblInd w:w="562" w:type="dxa"/>
        <w:tblLook w:val="04A0" w:firstRow="1" w:lastRow="0" w:firstColumn="1" w:lastColumn="0" w:noHBand="0" w:noVBand="1"/>
      </w:tblPr>
      <w:tblGrid>
        <w:gridCol w:w="1985"/>
        <w:gridCol w:w="1984"/>
        <w:gridCol w:w="1843"/>
        <w:gridCol w:w="1701"/>
        <w:gridCol w:w="1985"/>
      </w:tblGrid>
      <w:tr w:rsidR="001D081D" w:rsidRPr="001D081D" w14:paraId="32A648ED" w14:textId="4B462452" w:rsidTr="001458B6">
        <w:trPr>
          <w:trHeight w:val="34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68CC3" w14:textId="3DAF8DFF" w:rsidR="00C71FB0" w:rsidRPr="00441AF5" w:rsidRDefault="00C71FB0" w:rsidP="00441D9E">
            <w:pPr>
              <w:jc w:val="center"/>
              <w:rPr>
                <w:rFonts w:cs="Arial"/>
                <w:b/>
                <w:sz w:val="22"/>
                <w:szCs w:val="22"/>
                <w:lang w:eastAsia="en-GB"/>
              </w:rPr>
            </w:pPr>
            <w:r w:rsidRPr="00441AF5">
              <w:rPr>
                <w:rFonts w:cs="Arial"/>
                <w:b/>
                <w:sz w:val="22"/>
                <w:szCs w:val="22"/>
                <w:lang w:eastAsia="en-GB"/>
              </w:rPr>
              <w:t xml:space="preserve">Risk </w:t>
            </w:r>
            <w:r w:rsidR="006D07E4" w:rsidRPr="00441AF5">
              <w:rPr>
                <w:rFonts w:cs="Arial"/>
                <w:b/>
                <w:sz w:val="22"/>
                <w:szCs w:val="22"/>
                <w:lang w:eastAsia="en-GB"/>
              </w:rPr>
              <w:t>A</w:t>
            </w:r>
            <w:r w:rsidRPr="00441AF5">
              <w:rPr>
                <w:rFonts w:cs="Arial"/>
                <w:b/>
                <w:sz w:val="22"/>
                <w:szCs w:val="22"/>
                <w:lang w:eastAsia="en-GB"/>
              </w:rPr>
              <w:t>ssessment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224ACC22" w14:textId="77777777" w:rsidR="00C71FB0" w:rsidRDefault="00C71FB0" w:rsidP="00441D9E">
            <w:pPr>
              <w:jc w:val="center"/>
              <w:rPr>
                <w:rFonts w:cs="Arial"/>
                <w:b/>
                <w:bCs/>
                <w:sz w:val="22"/>
                <w:szCs w:val="22"/>
                <w:lang w:eastAsia="en-GB"/>
              </w:rPr>
            </w:pPr>
            <w:r w:rsidRPr="00441AF5">
              <w:rPr>
                <w:rFonts w:cs="Arial"/>
                <w:b/>
                <w:bCs/>
                <w:sz w:val="22"/>
                <w:szCs w:val="22"/>
                <w:lang w:eastAsia="en-GB"/>
              </w:rPr>
              <w:t>Total per entity</w:t>
            </w:r>
          </w:p>
          <w:p w14:paraId="4FB2E995" w14:textId="36B46D0B" w:rsidR="00CB36EB" w:rsidRPr="00441AF5" w:rsidRDefault="00CB36EB" w:rsidP="00441D9E">
            <w:pPr>
              <w:jc w:val="center"/>
              <w:rPr>
                <w:rFonts w:cs="Arial"/>
                <w:b/>
                <w:bCs/>
                <w:sz w:val="22"/>
                <w:szCs w:val="22"/>
                <w:lang w:eastAsia="en-GB"/>
              </w:rPr>
            </w:pPr>
            <w:r>
              <w:rPr>
                <w:rFonts w:cs="Arial"/>
                <w:b/>
                <w:bCs/>
                <w:sz w:val="22"/>
                <w:szCs w:val="22"/>
                <w:lang w:eastAsia="en-GB"/>
              </w:rPr>
              <w:t>£</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1DB7E3AE" w14:textId="300A0AC5" w:rsidR="00C71FB0" w:rsidRPr="00441AF5" w:rsidRDefault="00E345F3" w:rsidP="00441D9E">
            <w:pPr>
              <w:jc w:val="center"/>
              <w:rPr>
                <w:rFonts w:cs="Arial"/>
                <w:b/>
                <w:bCs/>
                <w:sz w:val="22"/>
                <w:szCs w:val="22"/>
                <w:lang w:eastAsia="en-GB"/>
              </w:rPr>
            </w:pPr>
            <w:r w:rsidRPr="00441AF5">
              <w:rPr>
                <w:rFonts w:cs="Arial"/>
                <w:b/>
                <w:bCs/>
                <w:sz w:val="22"/>
                <w:szCs w:val="22"/>
                <w:lang w:eastAsia="en-GB"/>
              </w:rPr>
              <w:t>Low Esti</w:t>
            </w:r>
            <w:r w:rsidR="00261AAA" w:rsidRPr="00441AF5">
              <w:rPr>
                <w:rFonts w:cs="Arial"/>
                <w:b/>
                <w:bCs/>
                <w:sz w:val="22"/>
                <w:szCs w:val="22"/>
                <w:lang w:eastAsia="en-GB"/>
              </w:rPr>
              <w:t>ma</w:t>
            </w:r>
            <w:r w:rsidRPr="00441AF5">
              <w:rPr>
                <w:rFonts w:cs="Arial"/>
                <w:b/>
                <w:bCs/>
                <w:sz w:val="22"/>
                <w:szCs w:val="22"/>
                <w:lang w:eastAsia="en-GB"/>
              </w:rPr>
              <w:t>te</w:t>
            </w:r>
            <w:r w:rsidR="007A5794">
              <w:rPr>
                <w:rFonts w:cs="Arial"/>
                <w:b/>
                <w:bCs/>
                <w:sz w:val="22"/>
                <w:szCs w:val="22"/>
                <w:lang w:eastAsia="en-GB"/>
              </w:rPr>
              <w:t xml:space="preserve"> £m</w:t>
            </w:r>
          </w:p>
        </w:tc>
        <w:tc>
          <w:tcPr>
            <w:tcW w:w="1701" w:type="dxa"/>
            <w:tcBorders>
              <w:top w:val="single" w:sz="4" w:space="0" w:color="auto"/>
              <w:left w:val="nil"/>
              <w:bottom w:val="single" w:sz="4" w:space="0" w:color="auto"/>
              <w:right w:val="single" w:sz="4" w:space="0" w:color="auto"/>
            </w:tcBorders>
          </w:tcPr>
          <w:p w14:paraId="6B583F7B" w14:textId="05DC7A04" w:rsidR="00E345F3" w:rsidRPr="00441AF5" w:rsidRDefault="00E345F3" w:rsidP="00441D9E">
            <w:pPr>
              <w:jc w:val="center"/>
              <w:rPr>
                <w:rFonts w:cs="Arial"/>
                <w:b/>
                <w:bCs/>
                <w:sz w:val="22"/>
                <w:szCs w:val="22"/>
                <w:lang w:eastAsia="en-GB"/>
              </w:rPr>
            </w:pPr>
            <w:r w:rsidRPr="00441AF5">
              <w:rPr>
                <w:rFonts w:cs="Arial"/>
                <w:b/>
                <w:bCs/>
                <w:sz w:val="22"/>
                <w:szCs w:val="22"/>
                <w:lang w:eastAsia="en-GB"/>
              </w:rPr>
              <w:t>Best Esti</w:t>
            </w:r>
            <w:r w:rsidR="00261AAA" w:rsidRPr="00441AF5">
              <w:rPr>
                <w:rFonts w:cs="Arial"/>
                <w:b/>
                <w:bCs/>
                <w:sz w:val="22"/>
                <w:szCs w:val="22"/>
                <w:lang w:eastAsia="en-GB"/>
              </w:rPr>
              <w:t>ma</w:t>
            </w:r>
            <w:r w:rsidRPr="00441AF5">
              <w:rPr>
                <w:rFonts w:cs="Arial"/>
                <w:b/>
                <w:bCs/>
                <w:sz w:val="22"/>
                <w:szCs w:val="22"/>
                <w:lang w:eastAsia="en-GB"/>
              </w:rPr>
              <w:t>te</w:t>
            </w:r>
            <w:r w:rsidR="007A5794">
              <w:rPr>
                <w:rFonts w:cs="Arial"/>
                <w:b/>
                <w:bCs/>
                <w:sz w:val="22"/>
                <w:szCs w:val="22"/>
                <w:lang w:eastAsia="en-GB"/>
              </w:rPr>
              <w:t xml:space="preserve"> £m</w:t>
            </w:r>
          </w:p>
        </w:tc>
        <w:tc>
          <w:tcPr>
            <w:tcW w:w="1985" w:type="dxa"/>
            <w:tcBorders>
              <w:top w:val="single" w:sz="4" w:space="0" w:color="auto"/>
              <w:left w:val="single" w:sz="4" w:space="0" w:color="auto"/>
              <w:bottom w:val="single" w:sz="4" w:space="0" w:color="auto"/>
              <w:right w:val="single" w:sz="4" w:space="0" w:color="auto"/>
            </w:tcBorders>
          </w:tcPr>
          <w:p w14:paraId="130E2344" w14:textId="5510EB45" w:rsidR="00E345F3" w:rsidRPr="00441AF5" w:rsidRDefault="00E345F3" w:rsidP="00441D9E">
            <w:pPr>
              <w:jc w:val="center"/>
              <w:rPr>
                <w:rFonts w:cs="Arial"/>
                <w:b/>
                <w:bCs/>
                <w:sz w:val="22"/>
                <w:szCs w:val="22"/>
                <w:lang w:eastAsia="en-GB"/>
              </w:rPr>
            </w:pPr>
            <w:r w:rsidRPr="00441AF5">
              <w:rPr>
                <w:rFonts w:cs="Arial"/>
                <w:b/>
                <w:bCs/>
                <w:sz w:val="22"/>
                <w:szCs w:val="22"/>
                <w:lang w:eastAsia="en-GB"/>
              </w:rPr>
              <w:t>High Estimate</w:t>
            </w:r>
            <w:r w:rsidR="007A5794">
              <w:rPr>
                <w:rFonts w:cs="Arial"/>
                <w:b/>
                <w:bCs/>
                <w:sz w:val="22"/>
                <w:szCs w:val="22"/>
                <w:lang w:eastAsia="en-GB"/>
              </w:rPr>
              <w:t xml:space="preserve"> £m</w:t>
            </w:r>
          </w:p>
        </w:tc>
      </w:tr>
      <w:tr w:rsidR="00A63844" w:rsidRPr="001D081D" w14:paraId="10570C27" w14:textId="76654A45" w:rsidTr="001458B6">
        <w:trPr>
          <w:trHeight w:val="340"/>
        </w:trPr>
        <w:tc>
          <w:tcPr>
            <w:tcW w:w="1985" w:type="dxa"/>
            <w:tcBorders>
              <w:top w:val="nil"/>
              <w:left w:val="single" w:sz="4" w:space="0" w:color="auto"/>
              <w:bottom w:val="nil"/>
              <w:right w:val="single" w:sz="4" w:space="0" w:color="auto"/>
            </w:tcBorders>
            <w:shd w:val="clear" w:color="auto" w:fill="auto"/>
            <w:noWrap/>
            <w:vAlign w:val="bottom"/>
            <w:hideMark/>
          </w:tcPr>
          <w:p w14:paraId="15BD5AF5" w14:textId="77777777" w:rsidR="00A63844" w:rsidRPr="00441AF5" w:rsidRDefault="00A63844" w:rsidP="00A63844">
            <w:pPr>
              <w:rPr>
                <w:rFonts w:cs="Arial"/>
                <w:sz w:val="22"/>
                <w:szCs w:val="22"/>
                <w:lang w:eastAsia="en-GB"/>
              </w:rPr>
            </w:pPr>
            <w:r w:rsidRPr="00441AF5">
              <w:rPr>
                <w:rFonts w:cs="Arial"/>
                <w:sz w:val="22"/>
                <w:szCs w:val="22"/>
                <w:lang w:eastAsia="en-GB"/>
              </w:rPr>
              <w:t>Large</w:t>
            </w:r>
          </w:p>
        </w:tc>
        <w:tc>
          <w:tcPr>
            <w:tcW w:w="1984" w:type="dxa"/>
            <w:tcBorders>
              <w:top w:val="nil"/>
              <w:left w:val="nil"/>
              <w:bottom w:val="nil"/>
              <w:right w:val="single" w:sz="4" w:space="0" w:color="auto"/>
            </w:tcBorders>
            <w:shd w:val="clear" w:color="auto" w:fill="auto"/>
            <w:noWrap/>
            <w:vAlign w:val="bottom"/>
            <w:hideMark/>
          </w:tcPr>
          <w:p w14:paraId="1C57355C" w14:textId="165DD7F3" w:rsidR="00A63844" w:rsidRPr="00A63844" w:rsidRDefault="00A63844" w:rsidP="00A63844">
            <w:pPr>
              <w:jc w:val="right"/>
              <w:rPr>
                <w:rFonts w:cs="Arial"/>
                <w:sz w:val="22"/>
                <w:szCs w:val="22"/>
                <w:lang w:eastAsia="en-GB"/>
              </w:rPr>
            </w:pPr>
            <w:r w:rsidRPr="00B81D0C">
              <w:rPr>
                <w:rFonts w:cs="Arial"/>
                <w:sz w:val="22"/>
                <w:szCs w:val="22"/>
              </w:rPr>
              <w:t>3,</w:t>
            </w:r>
            <w:r w:rsidR="00291A62" w:rsidRPr="00627D49">
              <w:rPr>
                <w:rFonts w:cs="Arial"/>
                <w:sz w:val="22"/>
                <w:szCs w:val="22"/>
              </w:rPr>
              <w:t>105</w:t>
            </w:r>
          </w:p>
        </w:tc>
        <w:tc>
          <w:tcPr>
            <w:tcW w:w="1843" w:type="dxa"/>
            <w:tcBorders>
              <w:top w:val="nil"/>
              <w:left w:val="nil"/>
              <w:bottom w:val="nil"/>
              <w:right w:val="single" w:sz="4" w:space="0" w:color="auto"/>
            </w:tcBorders>
            <w:shd w:val="clear" w:color="auto" w:fill="auto"/>
            <w:noWrap/>
            <w:vAlign w:val="bottom"/>
            <w:hideMark/>
          </w:tcPr>
          <w:p w14:paraId="58A6C16B" w14:textId="0AEB256C" w:rsidR="00A63844" w:rsidRPr="00A63844" w:rsidRDefault="00A63844" w:rsidP="00A63844">
            <w:pPr>
              <w:jc w:val="right"/>
              <w:rPr>
                <w:rFonts w:cs="Arial"/>
                <w:sz w:val="22"/>
                <w:szCs w:val="22"/>
                <w:lang w:eastAsia="en-GB"/>
              </w:rPr>
            </w:pPr>
            <w:r w:rsidRPr="00A63844">
              <w:rPr>
                <w:rFonts w:cs="Arial"/>
                <w:sz w:val="22"/>
                <w:szCs w:val="22"/>
              </w:rPr>
              <w:t>3</w:t>
            </w:r>
            <w:r w:rsidR="001260DE">
              <w:rPr>
                <w:rFonts w:cs="Arial"/>
                <w:sz w:val="22"/>
                <w:szCs w:val="22"/>
              </w:rPr>
              <w:t>8.</w:t>
            </w:r>
            <w:r w:rsidR="00291A62">
              <w:rPr>
                <w:rFonts w:cs="Arial"/>
                <w:sz w:val="22"/>
                <w:szCs w:val="22"/>
              </w:rPr>
              <w:t>7</w:t>
            </w:r>
          </w:p>
        </w:tc>
        <w:tc>
          <w:tcPr>
            <w:tcW w:w="1701" w:type="dxa"/>
            <w:tcBorders>
              <w:top w:val="nil"/>
              <w:left w:val="nil"/>
              <w:bottom w:val="nil"/>
              <w:right w:val="single" w:sz="4" w:space="0" w:color="auto"/>
            </w:tcBorders>
            <w:vAlign w:val="bottom"/>
          </w:tcPr>
          <w:p w14:paraId="01A81A10" w14:textId="7A074C84" w:rsidR="00A63844" w:rsidRPr="00A63844" w:rsidRDefault="00291A62" w:rsidP="00A63844">
            <w:pPr>
              <w:jc w:val="right"/>
              <w:rPr>
                <w:rFonts w:cs="Arial"/>
                <w:sz w:val="22"/>
                <w:szCs w:val="22"/>
              </w:rPr>
            </w:pPr>
            <w:r w:rsidRPr="00A63844">
              <w:rPr>
                <w:rFonts w:cs="Arial"/>
                <w:sz w:val="22"/>
                <w:szCs w:val="22"/>
              </w:rPr>
              <w:t>3</w:t>
            </w:r>
            <w:r>
              <w:rPr>
                <w:rFonts w:cs="Arial"/>
                <w:sz w:val="22"/>
                <w:szCs w:val="22"/>
              </w:rPr>
              <w:t>8.7</w:t>
            </w:r>
          </w:p>
        </w:tc>
        <w:tc>
          <w:tcPr>
            <w:tcW w:w="1985" w:type="dxa"/>
            <w:tcBorders>
              <w:top w:val="nil"/>
              <w:left w:val="single" w:sz="4" w:space="0" w:color="auto"/>
              <w:bottom w:val="nil"/>
              <w:right w:val="single" w:sz="4" w:space="0" w:color="auto"/>
            </w:tcBorders>
            <w:vAlign w:val="bottom"/>
          </w:tcPr>
          <w:p w14:paraId="5193BE19" w14:textId="050F4B35" w:rsidR="00A63844" w:rsidRPr="00A63844" w:rsidRDefault="00291A62" w:rsidP="00A63844">
            <w:pPr>
              <w:jc w:val="right"/>
              <w:rPr>
                <w:rFonts w:cs="Arial"/>
                <w:sz w:val="22"/>
                <w:szCs w:val="22"/>
              </w:rPr>
            </w:pPr>
            <w:r w:rsidRPr="00A63844">
              <w:rPr>
                <w:rFonts w:cs="Arial"/>
                <w:sz w:val="22"/>
                <w:szCs w:val="22"/>
              </w:rPr>
              <w:t>3</w:t>
            </w:r>
            <w:r>
              <w:rPr>
                <w:rFonts w:cs="Arial"/>
                <w:sz w:val="22"/>
                <w:szCs w:val="22"/>
              </w:rPr>
              <w:t>8.7</w:t>
            </w:r>
          </w:p>
        </w:tc>
      </w:tr>
      <w:tr w:rsidR="00A63844" w:rsidRPr="001D081D" w14:paraId="264BD369" w14:textId="39F93D00" w:rsidTr="001458B6">
        <w:trPr>
          <w:trHeight w:val="34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679E551" w14:textId="77777777" w:rsidR="00A63844" w:rsidRPr="00441AF5" w:rsidRDefault="00A63844" w:rsidP="00A63844">
            <w:pPr>
              <w:rPr>
                <w:rFonts w:cs="Arial"/>
                <w:sz w:val="22"/>
                <w:szCs w:val="22"/>
                <w:lang w:eastAsia="en-GB"/>
              </w:rPr>
            </w:pPr>
            <w:r w:rsidRPr="00441AF5">
              <w:rPr>
                <w:rFonts w:cs="Arial"/>
                <w:sz w:val="22"/>
                <w:szCs w:val="22"/>
                <w:lang w:eastAsia="en-GB"/>
              </w:rPr>
              <w:t>Largest</w:t>
            </w:r>
          </w:p>
        </w:tc>
        <w:tc>
          <w:tcPr>
            <w:tcW w:w="1984" w:type="dxa"/>
            <w:tcBorders>
              <w:top w:val="nil"/>
              <w:left w:val="nil"/>
              <w:bottom w:val="single" w:sz="4" w:space="0" w:color="auto"/>
              <w:right w:val="single" w:sz="4" w:space="0" w:color="auto"/>
            </w:tcBorders>
            <w:shd w:val="clear" w:color="auto" w:fill="auto"/>
            <w:noWrap/>
            <w:vAlign w:val="bottom"/>
            <w:hideMark/>
          </w:tcPr>
          <w:p w14:paraId="3D5F5A9F" w14:textId="36C4EF6B" w:rsidR="00A63844" w:rsidRPr="00A63844" w:rsidRDefault="00A63844" w:rsidP="00A63844">
            <w:pPr>
              <w:jc w:val="right"/>
              <w:rPr>
                <w:rFonts w:cs="Arial"/>
                <w:sz w:val="22"/>
                <w:szCs w:val="22"/>
                <w:lang w:eastAsia="en-GB"/>
              </w:rPr>
            </w:pPr>
            <w:r w:rsidRPr="00B81D0C">
              <w:rPr>
                <w:rFonts w:cs="Arial"/>
                <w:sz w:val="22"/>
                <w:szCs w:val="22"/>
              </w:rPr>
              <w:t>3,</w:t>
            </w:r>
            <w:r w:rsidR="00DC3573" w:rsidRPr="00627D49">
              <w:rPr>
                <w:rFonts w:cs="Arial"/>
                <w:sz w:val="22"/>
                <w:szCs w:val="22"/>
              </w:rPr>
              <w:t>809</w:t>
            </w:r>
          </w:p>
        </w:tc>
        <w:tc>
          <w:tcPr>
            <w:tcW w:w="1843" w:type="dxa"/>
            <w:tcBorders>
              <w:top w:val="nil"/>
              <w:left w:val="nil"/>
              <w:bottom w:val="single" w:sz="4" w:space="0" w:color="auto"/>
              <w:right w:val="single" w:sz="4" w:space="0" w:color="auto"/>
            </w:tcBorders>
            <w:shd w:val="clear" w:color="auto" w:fill="auto"/>
            <w:noWrap/>
            <w:vAlign w:val="bottom"/>
            <w:hideMark/>
          </w:tcPr>
          <w:p w14:paraId="0E246BE4" w14:textId="52E14DC0" w:rsidR="00A63844" w:rsidRPr="00A63844" w:rsidRDefault="00291A62" w:rsidP="00A63844">
            <w:pPr>
              <w:jc w:val="right"/>
              <w:rPr>
                <w:rFonts w:cs="Arial"/>
                <w:sz w:val="22"/>
                <w:szCs w:val="22"/>
                <w:lang w:eastAsia="en-GB"/>
              </w:rPr>
            </w:pPr>
            <w:r w:rsidRPr="00A63844">
              <w:rPr>
                <w:rFonts w:cs="Arial"/>
                <w:sz w:val="22"/>
                <w:szCs w:val="22"/>
              </w:rPr>
              <w:t>4</w:t>
            </w:r>
            <w:r>
              <w:rPr>
                <w:rFonts w:cs="Arial"/>
                <w:sz w:val="22"/>
                <w:szCs w:val="22"/>
              </w:rPr>
              <w:t>7.</w:t>
            </w:r>
            <w:r w:rsidR="00A63844" w:rsidRPr="00A63844">
              <w:rPr>
                <w:rFonts w:cs="Arial"/>
                <w:sz w:val="22"/>
                <w:szCs w:val="22"/>
              </w:rPr>
              <w:t>4</w:t>
            </w:r>
          </w:p>
        </w:tc>
        <w:tc>
          <w:tcPr>
            <w:tcW w:w="1701" w:type="dxa"/>
            <w:tcBorders>
              <w:top w:val="nil"/>
              <w:left w:val="nil"/>
              <w:bottom w:val="single" w:sz="4" w:space="0" w:color="auto"/>
              <w:right w:val="single" w:sz="4" w:space="0" w:color="auto"/>
            </w:tcBorders>
            <w:vAlign w:val="bottom"/>
          </w:tcPr>
          <w:p w14:paraId="24A68F97" w14:textId="062FA147" w:rsidR="00A63844" w:rsidRPr="00A63844" w:rsidRDefault="00291A62" w:rsidP="00A63844">
            <w:pPr>
              <w:jc w:val="right"/>
              <w:rPr>
                <w:rFonts w:cs="Arial"/>
                <w:sz w:val="22"/>
                <w:szCs w:val="22"/>
              </w:rPr>
            </w:pPr>
            <w:r w:rsidRPr="00A63844">
              <w:rPr>
                <w:rFonts w:cs="Arial"/>
                <w:sz w:val="22"/>
                <w:szCs w:val="22"/>
              </w:rPr>
              <w:t>4</w:t>
            </w:r>
            <w:r>
              <w:rPr>
                <w:rFonts w:cs="Arial"/>
                <w:sz w:val="22"/>
                <w:szCs w:val="22"/>
              </w:rPr>
              <w:t>7.4</w:t>
            </w:r>
          </w:p>
        </w:tc>
        <w:tc>
          <w:tcPr>
            <w:tcW w:w="1985" w:type="dxa"/>
            <w:tcBorders>
              <w:top w:val="nil"/>
              <w:left w:val="single" w:sz="4" w:space="0" w:color="auto"/>
              <w:bottom w:val="single" w:sz="4" w:space="0" w:color="auto"/>
              <w:right w:val="single" w:sz="4" w:space="0" w:color="auto"/>
            </w:tcBorders>
            <w:vAlign w:val="bottom"/>
          </w:tcPr>
          <w:p w14:paraId="695950F4" w14:textId="0C231F3C" w:rsidR="00A63844" w:rsidRPr="00A63844" w:rsidRDefault="00291A62" w:rsidP="00A63844">
            <w:pPr>
              <w:jc w:val="right"/>
              <w:rPr>
                <w:rFonts w:cs="Arial"/>
                <w:sz w:val="22"/>
                <w:szCs w:val="22"/>
              </w:rPr>
            </w:pPr>
            <w:r w:rsidRPr="00A63844">
              <w:rPr>
                <w:rFonts w:cs="Arial"/>
                <w:sz w:val="22"/>
                <w:szCs w:val="22"/>
              </w:rPr>
              <w:t>4</w:t>
            </w:r>
            <w:r>
              <w:rPr>
                <w:rFonts w:cs="Arial"/>
                <w:sz w:val="22"/>
                <w:szCs w:val="22"/>
              </w:rPr>
              <w:t>7.4</w:t>
            </w:r>
          </w:p>
        </w:tc>
      </w:tr>
      <w:tr w:rsidR="001D081D" w:rsidRPr="001D081D" w14:paraId="216C6B3C" w14:textId="4963322E" w:rsidTr="001458B6">
        <w:trPr>
          <w:trHeight w:val="34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5FA24DB" w14:textId="77777777" w:rsidR="00683AA1" w:rsidRPr="00441AF5" w:rsidRDefault="00683AA1" w:rsidP="00683AA1">
            <w:pPr>
              <w:rPr>
                <w:rFonts w:cs="Arial"/>
                <w:b/>
                <w:sz w:val="22"/>
                <w:szCs w:val="22"/>
                <w:lang w:eastAsia="en-GB"/>
              </w:rPr>
            </w:pPr>
            <w:r w:rsidRPr="00441AF5">
              <w:rPr>
                <w:rFonts w:cs="Arial"/>
                <w:b/>
                <w:sz w:val="22"/>
                <w:szCs w:val="22"/>
                <w:lang w:eastAsia="en-GB"/>
              </w:rPr>
              <w:t>Total</w:t>
            </w:r>
          </w:p>
        </w:tc>
        <w:tc>
          <w:tcPr>
            <w:tcW w:w="1984" w:type="dxa"/>
            <w:tcBorders>
              <w:top w:val="nil"/>
              <w:left w:val="nil"/>
              <w:bottom w:val="single" w:sz="4" w:space="0" w:color="auto"/>
              <w:right w:val="single" w:sz="4" w:space="0" w:color="auto"/>
            </w:tcBorders>
            <w:shd w:val="clear" w:color="auto" w:fill="auto"/>
            <w:noWrap/>
            <w:vAlign w:val="bottom"/>
            <w:hideMark/>
          </w:tcPr>
          <w:p w14:paraId="2864CADD" w14:textId="5045560C" w:rsidR="00683AA1" w:rsidRPr="00441AF5" w:rsidRDefault="00683AA1" w:rsidP="00441D9E">
            <w:pPr>
              <w:jc w:val="right"/>
              <w:rPr>
                <w:rFonts w:cs="Arial"/>
                <w:b/>
                <w:sz w:val="22"/>
                <w:szCs w:val="22"/>
                <w:lang w:eastAsia="en-GB"/>
              </w:rPr>
            </w:pPr>
            <w:r w:rsidRPr="00441AF5">
              <w:rPr>
                <w:rFonts w:cs="Arial"/>
                <w:b/>
                <w:sz w:val="22"/>
                <w:szCs w:val="22"/>
              </w:rPr>
              <w:t>-</w:t>
            </w:r>
          </w:p>
        </w:tc>
        <w:tc>
          <w:tcPr>
            <w:tcW w:w="1843" w:type="dxa"/>
            <w:tcBorders>
              <w:top w:val="nil"/>
              <w:left w:val="nil"/>
              <w:bottom w:val="single" w:sz="4" w:space="0" w:color="auto"/>
              <w:right w:val="single" w:sz="4" w:space="0" w:color="auto"/>
            </w:tcBorders>
            <w:shd w:val="clear" w:color="auto" w:fill="auto"/>
            <w:noWrap/>
            <w:vAlign w:val="bottom"/>
            <w:hideMark/>
          </w:tcPr>
          <w:p w14:paraId="3DC749F1" w14:textId="02617A29" w:rsidR="00683AA1" w:rsidRPr="00441AF5" w:rsidRDefault="00291A62" w:rsidP="00683AA1">
            <w:pPr>
              <w:jc w:val="right"/>
              <w:rPr>
                <w:rFonts w:cs="Arial"/>
                <w:b/>
                <w:sz w:val="22"/>
                <w:szCs w:val="22"/>
                <w:lang w:eastAsia="en-GB"/>
              </w:rPr>
            </w:pPr>
            <w:r w:rsidRPr="00441AF5">
              <w:rPr>
                <w:rFonts w:cs="Arial"/>
                <w:b/>
                <w:sz w:val="22"/>
                <w:szCs w:val="22"/>
              </w:rPr>
              <w:t>8</w:t>
            </w:r>
            <w:r>
              <w:rPr>
                <w:rFonts w:cs="Arial"/>
                <w:b/>
                <w:sz w:val="22"/>
                <w:szCs w:val="22"/>
              </w:rPr>
              <w:t>6.0</w:t>
            </w:r>
          </w:p>
        </w:tc>
        <w:tc>
          <w:tcPr>
            <w:tcW w:w="1701" w:type="dxa"/>
            <w:tcBorders>
              <w:top w:val="nil"/>
              <w:left w:val="nil"/>
              <w:bottom w:val="single" w:sz="4" w:space="0" w:color="auto"/>
              <w:right w:val="single" w:sz="4" w:space="0" w:color="auto"/>
            </w:tcBorders>
            <w:vAlign w:val="bottom"/>
          </w:tcPr>
          <w:p w14:paraId="5FB589E1" w14:textId="35D4572F" w:rsidR="00F50D02" w:rsidRPr="00441AF5" w:rsidRDefault="00291A62" w:rsidP="00F50D02">
            <w:pPr>
              <w:jc w:val="right"/>
              <w:rPr>
                <w:rFonts w:cs="Arial"/>
                <w:b/>
                <w:sz w:val="22"/>
                <w:szCs w:val="22"/>
              </w:rPr>
            </w:pPr>
            <w:r w:rsidRPr="00441AF5">
              <w:rPr>
                <w:rFonts w:cs="Arial"/>
                <w:b/>
                <w:sz w:val="22"/>
                <w:szCs w:val="22"/>
              </w:rPr>
              <w:t>8</w:t>
            </w:r>
            <w:r>
              <w:rPr>
                <w:rFonts w:cs="Arial"/>
                <w:b/>
                <w:sz w:val="22"/>
                <w:szCs w:val="22"/>
              </w:rPr>
              <w:t>6.0</w:t>
            </w:r>
          </w:p>
        </w:tc>
        <w:tc>
          <w:tcPr>
            <w:tcW w:w="1985" w:type="dxa"/>
            <w:tcBorders>
              <w:top w:val="single" w:sz="4" w:space="0" w:color="auto"/>
              <w:left w:val="single" w:sz="4" w:space="0" w:color="auto"/>
              <w:bottom w:val="single" w:sz="4" w:space="0" w:color="auto"/>
              <w:right w:val="single" w:sz="4" w:space="0" w:color="auto"/>
            </w:tcBorders>
            <w:vAlign w:val="bottom"/>
          </w:tcPr>
          <w:p w14:paraId="054327E5" w14:textId="768BBEED" w:rsidR="00F50D02" w:rsidRPr="00441AF5" w:rsidRDefault="00291A62" w:rsidP="00F50D02">
            <w:pPr>
              <w:jc w:val="right"/>
              <w:rPr>
                <w:rFonts w:cs="Arial"/>
                <w:b/>
                <w:sz w:val="22"/>
                <w:szCs w:val="22"/>
              </w:rPr>
            </w:pPr>
            <w:r w:rsidRPr="00441AF5">
              <w:rPr>
                <w:rFonts w:cs="Arial"/>
                <w:b/>
                <w:sz w:val="22"/>
                <w:szCs w:val="22"/>
              </w:rPr>
              <w:t>8</w:t>
            </w:r>
            <w:r>
              <w:rPr>
                <w:rFonts w:cs="Arial"/>
                <w:b/>
                <w:sz w:val="22"/>
                <w:szCs w:val="22"/>
              </w:rPr>
              <w:t>6.0</w:t>
            </w:r>
          </w:p>
        </w:tc>
      </w:tr>
    </w:tbl>
    <w:p w14:paraId="105FCBD8" w14:textId="75348092" w:rsidR="00651719" w:rsidRPr="00441AF5" w:rsidRDefault="001D043C" w:rsidP="00651719">
      <w:pPr>
        <w:spacing w:after="120" w:line="259" w:lineRule="auto"/>
        <w:ind w:left="567"/>
        <w:jc w:val="both"/>
        <w:rPr>
          <w:rFonts w:cs="Arial"/>
          <w:sz w:val="22"/>
          <w:szCs w:val="22"/>
        </w:rPr>
      </w:pPr>
      <w:r w:rsidRPr="0029116F">
        <w:rPr>
          <w:rFonts w:cs="Arial"/>
          <w:sz w:val="18"/>
          <w:szCs w:val="18"/>
        </w:rPr>
        <w:t>Source: DBT calculations, 202</w:t>
      </w:r>
      <w:r w:rsidR="004420EB" w:rsidRPr="0029116F">
        <w:rPr>
          <w:rFonts w:cs="Arial"/>
          <w:sz w:val="18"/>
          <w:szCs w:val="18"/>
        </w:rPr>
        <w:t>3</w:t>
      </w:r>
      <w:r w:rsidRPr="00441AF5">
        <w:rPr>
          <w:rFonts w:cs="Arial"/>
          <w:sz w:val="22"/>
          <w:szCs w:val="22"/>
        </w:rPr>
        <w:t>.</w:t>
      </w:r>
      <w:r w:rsidR="004D76B9">
        <w:rPr>
          <w:rFonts w:cs="Arial"/>
          <w:sz w:val="22"/>
          <w:szCs w:val="22"/>
        </w:rPr>
        <w:t xml:space="preserve"> </w:t>
      </w:r>
      <w:r w:rsidR="004D76B9">
        <w:rPr>
          <w:rFonts w:cs="Arial"/>
          <w:sz w:val="18"/>
          <w:szCs w:val="18"/>
        </w:rPr>
        <w:t>Numbers may not sum due to rounding.</w:t>
      </w:r>
    </w:p>
    <w:p w14:paraId="0CC9CB8E" w14:textId="7A725CD2" w:rsidR="007030AD" w:rsidRPr="00441AF5" w:rsidRDefault="007030AD" w:rsidP="00640A68">
      <w:pPr>
        <w:spacing w:after="120" w:line="259" w:lineRule="auto"/>
        <w:jc w:val="both"/>
        <w:rPr>
          <w:rFonts w:cs="Arial"/>
          <w:b/>
          <w:bCs/>
          <w:sz w:val="22"/>
          <w:szCs w:val="22"/>
        </w:rPr>
      </w:pPr>
      <w:r w:rsidRPr="00441AF5">
        <w:rPr>
          <w:rFonts w:cs="Arial"/>
          <w:b/>
          <w:bCs/>
          <w:sz w:val="22"/>
          <w:szCs w:val="22"/>
        </w:rPr>
        <w:t>Communications</w:t>
      </w:r>
    </w:p>
    <w:p w14:paraId="7D148FDB" w14:textId="254315BF" w:rsidR="009C60B0" w:rsidRPr="00FA513E" w:rsidRDefault="007030AD"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These costs </w:t>
      </w:r>
      <w:r w:rsidR="00D61787">
        <w:rPr>
          <w:rFonts w:cs="Arial"/>
          <w:sz w:val="22"/>
          <w:szCs w:val="22"/>
        </w:rPr>
        <w:t xml:space="preserve">are based on </w:t>
      </w:r>
      <w:r w:rsidR="00255A2E">
        <w:rPr>
          <w:rFonts w:cs="Arial"/>
          <w:sz w:val="22"/>
          <w:szCs w:val="22"/>
        </w:rPr>
        <w:t xml:space="preserve">the project team spending </w:t>
      </w:r>
      <w:r w:rsidR="005C7AB8">
        <w:rPr>
          <w:rFonts w:cs="Arial"/>
          <w:sz w:val="22"/>
          <w:szCs w:val="22"/>
        </w:rPr>
        <w:t>three</w:t>
      </w:r>
      <w:r w:rsidR="00255A2E">
        <w:rPr>
          <w:rFonts w:cs="Arial"/>
          <w:sz w:val="22"/>
          <w:szCs w:val="22"/>
        </w:rPr>
        <w:t xml:space="preserve"> hours each </w:t>
      </w:r>
      <w:r w:rsidR="00CA25B9">
        <w:rPr>
          <w:rFonts w:cs="Arial"/>
          <w:sz w:val="22"/>
          <w:szCs w:val="22"/>
        </w:rPr>
        <w:t xml:space="preserve">to draft, clear, legally check and place a statement on </w:t>
      </w:r>
      <w:r w:rsidR="00F15407">
        <w:rPr>
          <w:rFonts w:cs="Arial"/>
          <w:sz w:val="22"/>
          <w:szCs w:val="22"/>
        </w:rPr>
        <w:t xml:space="preserve">the </w:t>
      </w:r>
      <w:r w:rsidR="00D61787">
        <w:rPr>
          <w:rFonts w:cs="Arial"/>
          <w:sz w:val="22"/>
          <w:szCs w:val="22"/>
        </w:rPr>
        <w:t>company’s</w:t>
      </w:r>
      <w:r w:rsidR="00F15407">
        <w:rPr>
          <w:rFonts w:cs="Arial"/>
          <w:sz w:val="22"/>
          <w:szCs w:val="22"/>
        </w:rPr>
        <w:t xml:space="preserve"> website setting out </w:t>
      </w:r>
      <w:r w:rsidR="00D61787">
        <w:rPr>
          <w:rFonts w:cs="Arial"/>
          <w:sz w:val="22"/>
          <w:szCs w:val="22"/>
        </w:rPr>
        <w:t>the steps it takes to tackle fraud. This is done once and not repeated</w:t>
      </w:r>
      <w:r w:rsidR="0022377C">
        <w:rPr>
          <w:rStyle w:val="FootnoteReference"/>
          <w:szCs w:val="22"/>
        </w:rPr>
        <w:footnoteReference w:id="61"/>
      </w:r>
      <w:r w:rsidR="00D61787">
        <w:rPr>
          <w:rFonts w:cs="Arial"/>
          <w:sz w:val="22"/>
          <w:szCs w:val="22"/>
        </w:rPr>
        <w:t xml:space="preserve">. </w:t>
      </w:r>
      <w:r w:rsidR="008C1AFC" w:rsidRPr="00FA513E">
        <w:rPr>
          <w:rFonts w:cs="Arial"/>
          <w:sz w:val="22"/>
          <w:szCs w:val="22"/>
        </w:rPr>
        <w:t>Similar effort is dedicated to interna</w:t>
      </w:r>
      <w:r w:rsidR="00BC6391" w:rsidRPr="00FA513E">
        <w:rPr>
          <w:rFonts w:cs="Arial"/>
          <w:sz w:val="22"/>
          <w:szCs w:val="22"/>
        </w:rPr>
        <w:t xml:space="preserve">l communications to staff. </w:t>
      </w:r>
      <w:r w:rsidR="00592B15" w:rsidRPr="00FA513E">
        <w:rPr>
          <w:rFonts w:cs="Arial"/>
          <w:sz w:val="22"/>
          <w:szCs w:val="22"/>
        </w:rPr>
        <w:t xml:space="preserve">These could include communications about codes of conduct, information cascades via huddles or team meetings </w:t>
      </w:r>
      <w:r w:rsidR="004E0B78" w:rsidRPr="00FA513E">
        <w:rPr>
          <w:rFonts w:cs="Arial"/>
          <w:sz w:val="22"/>
          <w:szCs w:val="22"/>
        </w:rPr>
        <w:t>or letters from senior leaders</w:t>
      </w:r>
      <w:r w:rsidR="00BC6391" w:rsidRPr="00FA513E">
        <w:rPr>
          <w:rFonts w:cs="Arial"/>
          <w:sz w:val="22"/>
          <w:szCs w:val="22"/>
        </w:rPr>
        <w:t xml:space="preserve"> </w:t>
      </w:r>
      <w:r w:rsidRPr="00FA513E">
        <w:rPr>
          <w:rFonts w:cs="Arial"/>
          <w:sz w:val="22"/>
          <w:szCs w:val="22"/>
        </w:rPr>
        <w:t>set</w:t>
      </w:r>
      <w:r w:rsidR="004E0B78" w:rsidRPr="00FA513E">
        <w:rPr>
          <w:rFonts w:cs="Arial"/>
          <w:sz w:val="22"/>
          <w:szCs w:val="22"/>
        </w:rPr>
        <w:t>ting</w:t>
      </w:r>
      <w:r w:rsidRPr="00FA513E">
        <w:rPr>
          <w:rFonts w:cs="Arial"/>
          <w:sz w:val="22"/>
          <w:szCs w:val="22"/>
        </w:rPr>
        <w:t xml:space="preserve"> out the</w:t>
      </w:r>
      <w:r w:rsidR="004E0B78" w:rsidRPr="00FA513E">
        <w:rPr>
          <w:rFonts w:cs="Arial"/>
          <w:sz w:val="22"/>
          <w:szCs w:val="22"/>
        </w:rPr>
        <w:t xml:space="preserve"> company’s</w:t>
      </w:r>
      <w:r w:rsidRPr="00FA513E">
        <w:rPr>
          <w:rFonts w:cs="Arial"/>
          <w:sz w:val="22"/>
          <w:szCs w:val="22"/>
        </w:rPr>
        <w:t xml:space="preserve"> anti-fraud policies to staff. </w:t>
      </w:r>
      <w:r w:rsidR="00A85575" w:rsidRPr="00FA513E">
        <w:rPr>
          <w:rFonts w:cs="Arial"/>
          <w:sz w:val="22"/>
          <w:szCs w:val="22"/>
        </w:rPr>
        <w:t>S</w:t>
      </w:r>
      <w:r w:rsidR="001B6318" w:rsidRPr="00FA513E">
        <w:rPr>
          <w:rFonts w:cs="Arial"/>
          <w:sz w:val="22"/>
          <w:szCs w:val="22"/>
        </w:rPr>
        <w:t>uc</w:t>
      </w:r>
      <w:r w:rsidR="00A85575" w:rsidRPr="00FA513E">
        <w:rPr>
          <w:rFonts w:cs="Arial"/>
          <w:sz w:val="22"/>
          <w:szCs w:val="22"/>
        </w:rPr>
        <w:t xml:space="preserve">h costs are incurred by the organisations who have </w:t>
      </w:r>
      <w:r w:rsidR="00325AEA" w:rsidRPr="00FA513E">
        <w:rPr>
          <w:rFonts w:cs="Arial"/>
          <w:sz w:val="22"/>
          <w:szCs w:val="22"/>
        </w:rPr>
        <w:t xml:space="preserve">determined </w:t>
      </w:r>
      <w:r w:rsidR="00571D5D" w:rsidRPr="00FA513E">
        <w:rPr>
          <w:rFonts w:cs="Arial"/>
          <w:sz w:val="22"/>
          <w:szCs w:val="22"/>
        </w:rPr>
        <w:t xml:space="preserve">they </w:t>
      </w:r>
      <w:r w:rsidR="00FB2217" w:rsidRPr="00FA513E">
        <w:rPr>
          <w:rFonts w:cs="Arial"/>
          <w:sz w:val="22"/>
          <w:szCs w:val="22"/>
        </w:rPr>
        <w:t>require further anti</w:t>
      </w:r>
      <w:r w:rsidR="00571D5D" w:rsidRPr="00FA513E">
        <w:rPr>
          <w:rFonts w:cs="Arial"/>
          <w:sz w:val="22"/>
          <w:szCs w:val="22"/>
        </w:rPr>
        <w:t>-</w:t>
      </w:r>
      <w:r w:rsidR="00FB2217" w:rsidRPr="00FA513E">
        <w:rPr>
          <w:rFonts w:cs="Arial"/>
          <w:sz w:val="22"/>
          <w:szCs w:val="22"/>
        </w:rPr>
        <w:t xml:space="preserve">fraud </w:t>
      </w:r>
      <w:r w:rsidR="00571D5D" w:rsidRPr="00FA513E">
        <w:rPr>
          <w:rFonts w:cs="Arial"/>
          <w:sz w:val="22"/>
          <w:szCs w:val="22"/>
        </w:rPr>
        <w:t>measures to</w:t>
      </w:r>
      <w:r w:rsidR="00FB2217" w:rsidRPr="00FA513E">
        <w:rPr>
          <w:rFonts w:cs="Arial"/>
          <w:sz w:val="22"/>
          <w:szCs w:val="22"/>
        </w:rPr>
        <w:t xml:space="preserve"> be put in place</w:t>
      </w:r>
      <w:r w:rsidR="00F901CB" w:rsidRPr="00FA513E">
        <w:rPr>
          <w:rFonts w:cs="Arial"/>
          <w:sz w:val="22"/>
          <w:szCs w:val="22"/>
        </w:rPr>
        <w:t xml:space="preserve"> so that they comply with this new legislation.</w:t>
      </w:r>
    </w:p>
    <w:p w14:paraId="5726819C" w14:textId="6F78816B" w:rsidR="00C62289" w:rsidRPr="00373438" w:rsidRDefault="00C62289"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In the low</w:t>
      </w:r>
      <w:r w:rsidR="00DA63E0" w:rsidRPr="00441AF5">
        <w:rPr>
          <w:rFonts w:cs="Arial"/>
          <w:sz w:val="22"/>
          <w:szCs w:val="22"/>
        </w:rPr>
        <w:t xml:space="preserve"> scenario it is assumed that 70</w:t>
      </w:r>
      <w:r w:rsidR="00DA63E0">
        <w:rPr>
          <w:rFonts w:cs="Arial"/>
          <w:sz w:val="22"/>
          <w:szCs w:val="22"/>
        </w:rPr>
        <w:t xml:space="preserve"> </w:t>
      </w:r>
      <w:r w:rsidR="00294838">
        <w:rPr>
          <w:rFonts w:cs="Arial"/>
          <w:sz w:val="22"/>
          <w:szCs w:val="22"/>
        </w:rPr>
        <w:t>per cent</w:t>
      </w:r>
      <w:r w:rsidR="00DA63E0" w:rsidRPr="00441AF5">
        <w:rPr>
          <w:rFonts w:cs="Arial"/>
          <w:sz w:val="22"/>
          <w:szCs w:val="22"/>
        </w:rPr>
        <w:t xml:space="preserve"> of companies </w:t>
      </w:r>
      <w:r w:rsidR="005B30E4" w:rsidRPr="00441AF5">
        <w:rPr>
          <w:rFonts w:cs="Arial"/>
          <w:sz w:val="22"/>
          <w:szCs w:val="22"/>
        </w:rPr>
        <w:t xml:space="preserve">in scope </w:t>
      </w:r>
      <w:r w:rsidR="00DA63E0" w:rsidRPr="00441AF5">
        <w:rPr>
          <w:rFonts w:cs="Arial"/>
          <w:sz w:val="22"/>
          <w:szCs w:val="22"/>
        </w:rPr>
        <w:t xml:space="preserve">are required to put in place further anti-fraud measures and will </w:t>
      </w:r>
      <w:r w:rsidR="00672536" w:rsidRPr="00441AF5">
        <w:rPr>
          <w:rFonts w:cs="Arial"/>
          <w:sz w:val="22"/>
          <w:szCs w:val="22"/>
        </w:rPr>
        <w:t xml:space="preserve">incur communications </w:t>
      </w:r>
      <w:r w:rsidR="00EA7EB3" w:rsidRPr="00441AF5">
        <w:rPr>
          <w:rFonts w:cs="Arial"/>
          <w:sz w:val="22"/>
          <w:szCs w:val="22"/>
        </w:rPr>
        <w:t>costs</w:t>
      </w:r>
      <w:r w:rsidR="001B1A4B" w:rsidRPr="00441AF5">
        <w:rPr>
          <w:rFonts w:cs="Arial"/>
          <w:sz w:val="22"/>
          <w:szCs w:val="22"/>
        </w:rPr>
        <w:t xml:space="preserve">. In the best/ central scenario </w:t>
      </w:r>
      <w:r w:rsidR="00615C4F" w:rsidRPr="00441AF5">
        <w:rPr>
          <w:rFonts w:cs="Arial"/>
          <w:sz w:val="22"/>
          <w:szCs w:val="22"/>
        </w:rPr>
        <w:t>it is assumed that 85</w:t>
      </w:r>
      <w:r w:rsidR="00615C4F">
        <w:rPr>
          <w:rFonts w:cs="Arial"/>
          <w:sz w:val="22"/>
          <w:szCs w:val="22"/>
        </w:rPr>
        <w:t xml:space="preserve"> </w:t>
      </w:r>
      <w:r w:rsidR="00294838">
        <w:rPr>
          <w:rFonts w:cs="Arial"/>
          <w:sz w:val="22"/>
          <w:szCs w:val="22"/>
        </w:rPr>
        <w:t>per cent</w:t>
      </w:r>
      <w:r w:rsidR="00615C4F" w:rsidRPr="00441AF5">
        <w:rPr>
          <w:rFonts w:cs="Arial"/>
          <w:sz w:val="22"/>
          <w:szCs w:val="22"/>
        </w:rPr>
        <w:t xml:space="preserve"> of companies</w:t>
      </w:r>
      <w:r w:rsidR="005B30E4" w:rsidRPr="00441AF5">
        <w:rPr>
          <w:rFonts w:cs="Arial"/>
          <w:sz w:val="22"/>
          <w:szCs w:val="22"/>
        </w:rPr>
        <w:t xml:space="preserve"> in scope</w:t>
      </w:r>
      <w:r w:rsidR="00615C4F" w:rsidRPr="00441AF5">
        <w:rPr>
          <w:rFonts w:cs="Arial"/>
          <w:sz w:val="22"/>
          <w:szCs w:val="22"/>
        </w:rPr>
        <w:t xml:space="preserve"> are required to put in place further anti-fraud measures and therefore </w:t>
      </w:r>
      <w:r w:rsidR="00232B74">
        <w:rPr>
          <w:rFonts w:cs="Arial"/>
          <w:sz w:val="22"/>
          <w:szCs w:val="22"/>
        </w:rPr>
        <w:t xml:space="preserve">will </w:t>
      </w:r>
      <w:r w:rsidR="00615C4F" w:rsidRPr="00441AF5">
        <w:rPr>
          <w:rFonts w:cs="Arial"/>
          <w:sz w:val="22"/>
          <w:szCs w:val="22"/>
        </w:rPr>
        <w:t>incur communication costs. In the high scenario it is assume</w:t>
      </w:r>
      <w:r w:rsidR="00733003">
        <w:rPr>
          <w:rFonts w:cs="Arial"/>
          <w:sz w:val="22"/>
          <w:szCs w:val="22"/>
        </w:rPr>
        <w:t>d</w:t>
      </w:r>
      <w:r w:rsidR="00615C4F" w:rsidRPr="00441AF5">
        <w:rPr>
          <w:rFonts w:cs="Arial"/>
          <w:sz w:val="22"/>
          <w:szCs w:val="22"/>
        </w:rPr>
        <w:t xml:space="preserve"> that </w:t>
      </w:r>
      <w:r w:rsidR="00CF4AE6">
        <w:rPr>
          <w:rFonts w:cs="Arial"/>
          <w:sz w:val="22"/>
          <w:szCs w:val="22"/>
        </w:rPr>
        <w:t>100 per cent of</w:t>
      </w:r>
      <w:r w:rsidR="00CF4AE6" w:rsidRPr="00441AF5">
        <w:rPr>
          <w:rFonts w:cs="Arial"/>
          <w:sz w:val="22"/>
          <w:szCs w:val="22"/>
        </w:rPr>
        <w:t xml:space="preserve"> </w:t>
      </w:r>
      <w:r w:rsidR="00615C4F" w:rsidRPr="00441AF5">
        <w:rPr>
          <w:rFonts w:cs="Arial"/>
          <w:sz w:val="22"/>
          <w:szCs w:val="22"/>
        </w:rPr>
        <w:t>firms</w:t>
      </w:r>
      <w:r w:rsidR="005B30E4" w:rsidRPr="00441AF5">
        <w:rPr>
          <w:rFonts w:cs="Arial"/>
          <w:sz w:val="22"/>
          <w:szCs w:val="22"/>
        </w:rPr>
        <w:t xml:space="preserve"> in scope</w:t>
      </w:r>
      <w:r w:rsidR="00615C4F" w:rsidRPr="00441AF5">
        <w:rPr>
          <w:rFonts w:cs="Arial"/>
          <w:sz w:val="22"/>
          <w:szCs w:val="22"/>
        </w:rPr>
        <w:t xml:space="preserve"> </w:t>
      </w:r>
      <w:r w:rsidR="005B30E4" w:rsidRPr="00441AF5">
        <w:rPr>
          <w:rFonts w:cs="Arial"/>
          <w:sz w:val="22"/>
          <w:szCs w:val="22"/>
        </w:rPr>
        <w:t xml:space="preserve">are required to put in place further anti-fraud measures and </w:t>
      </w:r>
      <w:r w:rsidR="00733003">
        <w:rPr>
          <w:rFonts w:cs="Arial"/>
          <w:sz w:val="22"/>
          <w:szCs w:val="22"/>
        </w:rPr>
        <w:t>will</w:t>
      </w:r>
      <w:r w:rsidR="00733003" w:rsidRPr="00441AF5">
        <w:rPr>
          <w:rFonts w:cs="Arial"/>
          <w:sz w:val="22"/>
          <w:szCs w:val="22"/>
        </w:rPr>
        <w:t xml:space="preserve"> </w:t>
      </w:r>
      <w:r w:rsidR="005B30E4" w:rsidRPr="00441AF5">
        <w:rPr>
          <w:rFonts w:cs="Arial"/>
          <w:sz w:val="22"/>
          <w:szCs w:val="22"/>
        </w:rPr>
        <w:t xml:space="preserve">incur </w:t>
      </w:r>
      <w:r w:rsidR="005B30E4" w:rsidRPr="00373438">
        <w:rPr>
          <w:rFonts w:cs="Arial"/>
          <w:sz w:val="22"/>
          <w:szCs w:val="22"/>
        </w:rPr>
        <w:t>communication costs.</w:t>
      </w:r>
    </w:p>
    <w:p w14:paraId="0F778FB1" w14:textId="511199BE" w:rsidR="009C60B0" w:rsidRPr="00441AF5" w:rsidRDefault="007030AD" w:rsidP="00627D49">
      <w:pPr>
        <w:pStyle w:val="ListParagraph"/>
        <w:numPr>
          <w:ilvl w:val="0"/>
          <w:numId w:val="10"/>
        </w:numPr>
        <w:spacing w:after="120" w:line="259" w:lineRule="auto"/>
        <w:ind w:left="567" w:hanging="567"/>
        <w:contextualSpacing w:val="0"/>
        <w:jc w:val="both"/>
        <w:rPr>
          <w:rFonts w:cs="Arial"/>
          <w:sz w:val="22"/>
          <w:szCs w:val="22"/>
        </w:rPr>
      </w:pPr>
      <w:r w:rsidRPr="00373438">
        <w:rPr>
          <w:rFonts w:cs="Arial"/>
          <w:sz w:val="22"/>
          <w:szCs w:val="22"/>
        </w:rPr>
        <w:t xml:space="preserve">Multiplying </w:t>
      </w:r>
      <w:r w:rsidR="001858F3" w:rsidRPr="00373438">
        <w:rPr>
          <w:rFonts w:cs="Arial"/>
          <w:sz w:val="22"/>
          <w:szCs w:val="22"/>
        </w:rPr>
        <w:t>the</w:t>
      </w:r>
      <w:r w:rsidRPr="00373438">
        <w:rPr>
          <w:rFonts w:cs="Arial"/>
          <w:sz w:val="22"/>
          <w:szCs w:val="22"/>
        </w:rPr>
        <w:t xml:space="preserve"> cost</w:t>
      </w:r>
      <w:r w:rsidR="00C62289" w:rsidRPr="00373438">
        <w:rPr>
          <w:rFonts w:cs="Arial"/>
          <w:sz w:val="22"/>
          <w:szCs w:val="22"/>
        </w:rPr>
        <w:t xml:space="preserve"> per entity</w:t>
      </w:r>
      <w:r w:rsidRPr="00373438">
        <w:rPr>
          <w:rFonts w:cs="Arial"/>
          <w:sz w:val="22"/>
          <w:szCs w:val="22"/>
        </w:rPr>
        <w:t xml:space="preserve"> by the number of organisations in scope estimates communications set-up costs of </w:t>
      </w:r>
      <w:r w:rsidRPr="00373438">
        <w:rPr>
          <w:rFonts w:cs="Arial"/>
          <w:b/>
          <w:sz w:val="22"/>
          <w:szCs w:val="22"/>
        </w:rPr>
        <w:t>£</w:t>
      </w:r>
      <w:r w:rsidR="0065569C" w:rsidRPr="00373438">
        <w:rPr>
          <w:rFonts w:cs="Arial"/>
          <w:b/>
          <w:sz w:val="22"/>
          <w:szCs w:val="22"/>
        </w:rPr>
        <w:t>1</w:t>
      </w:r>
      <w:r w:rsidR="001858F3" w:rsidRPr="00373438">
        <w:rPr>
          <w:rFonts w:cs="Arial"/>
          <w:b/>
          <w:sz w:val="22"/>
          <w:szCs w:val="22"/>
        </w:rPr>
        <w:t>4</w:t>
      </w:r>
      <w:r w:rsidR="0065569C" w:rsidRPr="00373438">
        <w:rPr>
          <w:rFonts w:cs="Arial"/>
          <w:b/>
          <w:sz w:val="22"/>
          <w:szCs w:val="22"/>
        </w:rPr>
        <w:t>.</w:t>
      </w:r>
      <w:r w:rsidR="00903FF3">
        <w:rPr>
          <w:rFonts w:cs="Arial"/>
          <w:b/>
          <w:sz w:val="22"/>
          <w:szCs w:val="22"/>
        </w:rPr>
        <w:t>7</w:t>
      </w:r>
      <w:r w:rsidR="008F1FDC" w:rsidRPr="00373438">
        <w:rPr>
          <w:rFonts w:cs="Arial"/>
          <w:b/>
          <w:sz w:val="22"/>
          <w:szCs w:val="22"/>
        </w:rPr>
        <w:t xml:space="preserve"> </w:t>
      </w:r>
      <w:r w:rsidRPr="00373438">
        <w:rPr>
          <w:rFonts w:cs="Arial"/>
          <w:b/>
          <w:sz w:val="22"/>
          <w:szCs w:val="22"/>
        </w:rPr>
        <w:t>m</w:t>
      </w:r>
      <w:r w:rsidR="008F1FDC" w:rsidRPr="00373438">
        <w:rPr>
          <w:rFonts w:cs="Arial"/>
          <w:b/>
          <w:sz w:val="22"/>
          <w:szCs w:val="22"/>
        </w:rPr>
        <w:t>illion</w:t>
      </w:r>
      <w:r w:rsidR="008F1FDC" w:rsidRPr="00373438">
        <w:rPr>
          <w:rFonts w:cs="Arial"/>
          <w:sz w:val="22"/>
          <w:szCs w:val="22"/>
        </w:rPr>
        <w:t xml:space="preserve"> </w:t>
      </w:r>
      <w:r w:rsidR="004420EB" w:rsidRPr="00373438">
        <w:rPr>
          <w:rFonts w:cs="Arial"/>
          <w:sz w:val="22"/>
          <w:szCs w:val="22"/>
        </w:rPr>
        <w:t>(2024 prices)</w:t>
      </w:r>
      <w:r w:rsidR="008F1FDC" w:rsidRPr="00373438">
        <w:rPr>
          <w:rFonts w:cs="Arial"/>
          <w:sz w:val="22"/>
          <w:szCs w:val="22"/>
        </w:rPr>
        <w:t xml:space="preserve"> </w:t>
      </w:r>
      <w:r w:rsidR="00EA26E2" w:rsidRPr="00373438">
        <w:rPr>
          <w:rFonts w:cs="Arial"/>
          <w:sz w:val="22"/>
          <w:szCs w:val="22"/>
        </w:rPr>
        <w:t>in</w:t>
      </w:r>
      <w:r w:rsidR="008F1FDC" w:rsidRPr="00373438">
        <w:rPr>
          <w:rFonts w:cs="Arial"/>
          <w:sz w:val="22"/>
          <w:szCs w:val="22"/>
        </w:rPr>
        <w:t xml:space="preserve"> </w:t>
      </w:r>
      <w:r w:rsidR="001858F3" w:rsidRPr="00373438">
        <w:rPr>
          <w:rFonts w:cs="Arial"/>
          <w:sz w:val="22"/>
          <w:szCs w:val="22"/>
        </w:rPr>
        <w:t xml:space="preserve">the low scenario, </w:t>
      </w:r>
      <w:r w:rsidR="001858F3" w:rsidRPr="00373438">
        <w:rPr>
          <w:rFonts w:cs="Arial"/>
          <w:b/>
          <w:sz w:val="22"/>
          <w:szCs w:val="22"/>
        </w:rPr>
        <w:t>£17.</w:t>
      </w:r>
      <w:r w:rsidR="00903FF3">
        <w:rPr>
          <w:rFonts w:cs="Arial"/>
          <w:b/>
          <w:sz w:val="22"/>
          <w:szCs w:val="22"/>
        </w:rPr>
        <w:t>8</w:t>
      </w:r>
      <w:r w:rsidR="001858F3" w:rsidRPr="00373438">
        <w:rPr>
          <w:rFonts w:cs="Arial"/>
          <w:b/>
          <w:sz w:val="22"/>
          <w:szCs w:val="22"/>
        </w:rPr>
        <w:t xml:space="preserve"> million</w:t>
      </w:r>
      <w:r w:rsidR="001858F3" w:rsidRPr="00373438">
        <w:rPr>
          <w:rFonts w:cs="Arial"/>
          <w:sz w:val="22"/>
          <w:szCs w:val="22"/>
        </w:rPr>
        <w:t xml:space="preserve"> (2024 prices) in the best/ central scenario and </w:t>
      </w:r>
      <w:r w:rsidR="001858F3" w:rsidRPr="00373438">
        <w:rPr>
          <w:rFonts w:cs="Arial"/>
          <w:b/>
          <w:sz w:val="22"/>
          <w:szCs w:val="22"/>
        </w:rPr>
        <w:t>£2</w:t>
      </w:r>
      <w:r w:rsidR="00903FF3">
        <w:rPr>
          <w:rFonts w:cs="Arial"/>
          <w:b/>
          <w:sz w:val="22"/>
          <w:szCs w:val="22"/>
        </w:rPr>
        <w:t>1.0</w:t>
      </w:r>
      <w:r w:rsidR="001858F3" w:rsidRPr="00373438">
        <w:rPr>
          <w:rFonts w:cs="Arial"/>
          <w:b/>
          <w:sz w:val="22"/>
          <w:szCs w:val="22"/>
        </w:rPr>
        <w:t xml:space="preserve"> million</w:t>
      </w:r>
      <w:r w:rsidR="001858F3" w:rsidRPr="00373438">
        <w:rPr>
          <w:rFonts w:cs="Arial"/>
          <w:sz w:val="22"/>
          <w:szCs w:val="22"/>
        </w:rPr>
        <w:t xml:space="preserve"> (2024 prices</w:t>
      </w:r>
      <w:r w:rsidR="001858F3" w:rsidRPr="00441AF5">
        <w:rPr>
          <w:rFonts w:cs="Arial"/>
          <w:sz w:val="22"/>
          <w:szCs w:val="22"/>
        </w:rPr>
        <w:t>) in the high scenario</w:t>
      </w:r>
      <w:r w:rsidR="00675C35" w:rsidRPr="00441AF5">
        <w:rPr>
          <w:rFonts w:cs="Arial"/>
          <w:sz w:val="22"/>
          <w:szCs w:val="22"/>
        </w:rPr>
        <w:t>.</w:t>
      </w:r>
    </w:p>
    <w:p w14:paraId="47FFFA8A" w14:textId="0866E086" w:rsidR="0025528B" w:rsidRPr="00441AF5" w:rsidRDefault="0025528B" w:rsidP="0025528B">
      <w:pPr>
        <w:pStyle w:val="ListParagraph"/>
        <w:spacing w:after="120" w:line="259" w:lineRule="auto"/>
        <w:ind w:left="567"/>
        <w:contextualSpacing w:val="0"/>
        <w:jc w:val="both"/>
        <w:rPr>
          <w:rFonts w:cs="Arial"/>
          <w:b/>
          <w:bCs/>
          <w:sz w:val="22"/>
          <w:szCs w:val="22"/>
        </w:rPr>
      </w:pPr>
      <w:r w:rsidRPr="0002349F">
        <w:rPr>
          <w:rFonts w:cs="Arial"/>
          <w:b/>
          <w:bCs/>
          <w:sz w:val="22"/>
          <w:szCs w:val="22"/>
        </w:rPr>
        <w:t xml:space="preserve">Table </w:t>
      </w:r>
      <w:r w:rsidR="00530415" w:rsidRPr="0002349F">
        <w:rPr>
          <w:rFonts w:cs="Arial"/>
          <w:b/>
          <w:bCs/>
          <w:sz w:val="22"/>
          <w:szCs w:val="22"/>
        </w:rPr>
        <w:t>5</w:t>
      </w:r>
      <w:r w:rsidRPr="0002349F">
        <w:rPr>
          <w:rFonts w:cs="Arial"/>
          <w:b/>
          <w:bCs/>
          <w:sz w:val="22"/>
          <w:szCs w:val="22"/>
        </w:rPr>
        <w:t>,</w:t>
      </w:r>
      <w:r w:rsidRPr="00441AF5">
        <w:rPr>
          <w:rFonts w:cs="Arial"/>
          <w:b/>
          <w:bCs/>
          <w:sz w:val="22"/>
          <w:szCs w:val="22"/>
        </w:rPr>
        <w:t xml:space="preserve"> </w:t>
      </w:r>
      <w:r w:rsidR="00726C75" w:rsidRPr="00441AF5">
        <w:rPr>
          <w:rFonts w:cs="Arial"/>
          <w:b/>
          <w:bCs/>
          <w:sz w:val="22"/>
          <w:szCs w:val="22"/>
        </w:rPr>
        <w:t>C</w:t>
      </w:r>
      <w:r w:rsidRPr="00441AF5">
        <w:rPr>
          <w:rFonts w:cs="Arial"/>
          <w:b/>
          <w:bCs/>
          <w:sz w:val="22"/>
          <w:szCs w:val="22"/>
        </w:rPr>
        <w:t xml:space="preserve">ommunications </w:t>
      </w:r>
      <w:r w:rsidR="00297D7B">
        <w:rPr>
          <w:rFonts w:cs="Arial"/>
          <w:b/>
          <w:bCs/>
          <w:sz w:val="22"/>
          <w:szCs w:val="22"/>
        </w:rPr>
        <w:t>S</w:t>
      </w:r>
      <w:r w:rsidRPr="00441AF5">
        <w:rPr>
          <w:rFonts w:cs="Arial"/>
          <w:b/>
          <w:bCs/>
          <w:sz w:val="22"/>
          <w:szCs w:val="22"/>
        </w:rPr>
        <w:t xml:space="preserve">et-up </w:t>
      </w:r>
      <w:r w:rsidR="00297D7B">
        <w:rPr>
          <w:rFonts w:cs="Arial"/>
          <w:b/>
          <w:bCs/>
          <w:sz w:val="22"/>
          <w:szCs w:val="22"/>
        </w:rPr>
        <w:t>C</w:t>
      </w:r>
      <w:r w:rsidRPr="00441AF5">
        <w:rPr>
          <w:rFonts w:cs="Arial"/>
          <w:b/>
          <w:bCs/>
          <w:sz w:val="22"/>
          <w:szCs w:val="22"/>
        </w:rPr>
        <w:t>osts</w:t>
      </w:r>
      <w:r w:rsidR="00AC5F0A">
        <w:rPr>
          <w:rFonts w:cs="Arial"/>
          <w:b/>
          <w:bCs/>
          <w:sz w:val="22"/>
          <w:szCs w:val="22"/>
        </w:rPr>
        <w:t xml:space="preserve"> (2024 prices)</w:t>
      </w:r>
    </w:p>
    <w:tbl>
      <w:tblPr>
        <w:tblStyle w:val="TableGrid"/>
        <w:tblW w:w="0" w:type="auto"/>
        <w:tblInd w:w="567" w:type="dxa"/>
        <w:tblLayout w:type="fixed"/>
        <w:tblLook w:val="04A0" w:firstRow="1" w:lastRow="0" w:firstColumn="1" w:lastColumn="0" w:noHBand="0" w:noVBand="1"/>
      </w:tblPr>
      <w:tblGrid>
        <w:gridCol w:w="2001"/>
        <w:gridCol w:w="1963"/>
        <w:gridCol w:w="1701"/>
        <w:gridCol w:w="1985"/>
        <w:gridCol w:w="1978"/>
      </w:tblGrid>
      <w:tr w:rsidR="00437E4B" w14:paraId="3716652F" w14:textId="77777777" w:rsidTr="001458B6">
        <w:trPr>
          <w:trHeight w:val="340"/>
        </w:trPr>
        <w:tc>
          <w:tcPr>
            <w:tcW w:w="2001" w:type="dxa"/>
            <w:vAlign w:val="bottom"/>
          </w:tcPr>
          <w:p w14:paraId="395385AD" w14:textId="352C58B7" w:rsidR="00437E4B" w:rsidRDefault="00437E4B" w:rsidP="00437E4B">
            <w:pPr>
              <w:pStyle w:val="ListParagraph"/>
              <w:spacing w:after="120" w:line="259" w:lineRule="auto"/>
              <w:ind w:left="0"/>
              <w:contextualSpacing w:val="0"/>
              <w:rPr>
                <w:rFonts w:cs="Arial"/>
                <w:b/>
                <w:bCs/>
                <w:sz w:val="22"/>
                <w:szCs w:val="22"/>
              </w:rPr>
            </w:pPr>
            <w:r w:rsidRPr="00441AF5">
              <w:rPr>
                <w:rFonts w:cs="Arial"/>
                <w:b/>
                <w:sz w:val="22"/>
                <w:szCs w:val="22"/>
                <w:lang w:eastAsia="en-GB"/>
              </w:rPr>
              <w:t>Communications</w:t>
            </w:r>
          </w:p>
        </w:tc>
        <w:tc>
          <w:tcPr>
            <w:tcW w:w="1963" w:type="dxa"/>
            <w:vAlign w:val="center"/>
          </w:tcPr>
          <w:p w14:paraId="543C18A9" w14:textId="1AA4F4CF" w:rsidR="00437E4B" w:rsidRDefault="00437E4B" w:rsidP="00437E4B">
            <w:pPr>
              <w:rPr>
                <w:rFonts w:cs="Arial"/>
                <w:b/>
                <w:bCs/>
                <w:sz w:val="22"/>
                <w:szCs w:val="22"/>
              </w:rPr>
            </w:pPr>
            <w:r w:rsidRPr="00441AF5">
              <w:rPr>
                <w:rFonts w:cs="Arial"/>
                <w:b/>
                <w:sz w:val="22"/>
                <w:szCs w:val="22"/>
                <w:lang w:eastAsia="en-GB"/>
              </w:rPr>
              <w:t>Total per entity</w:t>
            </w:r>
            <w:r>
              <w:rPr>
                <w:rFonts w:cs="Arial"/>
                <w:b/>
                <w:sz w:val="22"/>
                <w:szCs w:val="22"/>
                <w:lang w:eastAsia="en-GB"/>
              </w:rPr>
              <w:t xml:space="preserve"> £</w:t>
            </w:r>
          </w:p>
        </w:tc>
        <w:tc>
          <w:tcPr>
            <w:tcW w:w="1701" w:type="dxa"/>
            <w:vAlign w:val="center"/>
          </w:tcPr>
          <w:p w14:paraId="208AEAEE" w14:textId="2E10E953" w:rsidR="00437E4B" w:rsidRDefault="00437E4B" w:rsidP="00437E4B">
            <w:pPr>
              <w:pStyle w:val="ListParagraph"/>
              <w:spacing w:after="120" w:line="259" w:lineRule="auto"/>
              <w:ind w:left="0"/>
              <w:contextualSpacing w:val="0"/>
              <w:rPr>
                <w:rFonts w:cs="Arial"/>
                <w:b/>
                <w:bCs/>
                <w:sz w:val="22"/>
                <w:szCs w:val="22"/>
              </w:rPr>
            </w:pPr>
            <w:r w:rsidRPr="00441AF5">
              <w:rPr>
                <w:rFonts w:cs="Arial"/>
                <w:b/>
                <w:sz w:val="22"/>
                <w:szCs w:val="22"/>
                <w:lang w:eastAsia="en-GB"/>
              </w:rPr>
              <w:t>Low Estimate</w:t>
            </w:r>
            <w:r>
              <w:rPr>
                <w:rFonts w:cs="Arial"/>
                <w:b/>
                <w:sz w:val="22"/>
                <w:szCs w:val="22"/>
                <w:lang w:eastAsia="en-GB"/>
              </w:rPr>
              <w:t xml:space="preserve"> £m</w:t>
            </w:r>
          </w:p>
        </w:tc>
        <w:tc>
          <w:tcPr>
            <w:tcW w:w="1985" w:type="dxa"/>
            <w:vAlign w:val="center"/>
          </w:tcPr>
          <w:p w14:paraId="0C6376A5" w14:textId="59D3D600" w:rsidR="00437E4B" w:rsidRDefault="00437E4B" w:rsidP="00437E4B">
            <w:pPr>
              <w:pStyle w:val="ListParagraph"/>
              <w:spacing w:after="120" w:line="259" w:lineRule="auto"/>
              <w:ind w:left="0"/>
              <w:contextualSpacing w:val="0"/>
              <w:rPr>
                <w:rFonts w:cs="Arial"/>
                <w:b/>
                <w:bCs/>
                <w:sz w:val="22"/>
                <w:szCs w:val="22"/>
              </w:rPr>
            </w:pPr>
            <w:r w:rsidRPr="00441AF5">
              <w:rPr>
                <w:rFonts w:cs="Arial"/>
                <w:b/>
                <w:sz w:val="22"/>
                <w:szCs w:val="22"/>
                <w:lang w:eastAsia="en-GB"/>
              </w:rPr>
              <w:t xml:space="preserve">Best Estimate </w:t>
            </w:r>
            <w:r>
              <w:rPr>
                <w:rFonts w:cs="Arial"/>
                <w:b/>
                <w:sz w:val="22"/>
                <w:szCs w:val="22"/>
                <w:lang w:eastAsia="en-GB"/>
              </w:rPr>
              <w:t>£m</w:t>
            </w:r>
          </w:p>
        </w:tc>
        <w:tc>
          <w:tcPr>
            <w:tcW w:w="1978" w:type="dxa"/>
            <w:vAlign w:val="center"/>
          </w:tcPr>
          <w:p w14:paraId="5ECB44AC" w14:textId="7173C5CD" w:rsidR="00437E4B" w:rsidRDefault="00437E4B" w:rsidP="00437E4B">
            <w:pPr>
              <w:pStyle w:val="ListParagraph"/>
              <w:spacing w:after="120" w:line="259" w:lineRule="auto"/>
              <w:ind w:left="0"/>
              <w:contextualSpacing w:val="0"/>
              <w:rPr>
                <w:rFonts w:cs="Arial"/>
                <w:b/>
                <w:bCs/>
                <w:sz w:val="22"/>
                <w:szCs w:val="22"/>
              </w:rPr>
            </w:pPr>
            <w:r w:rsidRPr="00441AF5">
              <w:rPr>
                <w:rFonts w:cs="Arial"/>
                <w:b/>
                <w:sz w:val="22"/>
                <w:szCs w:val="22"/>
                <w:lang w:eastAsia="en-GB"/>
              </w:rPr>
              <w:t>High Estimate</w:t>
            </w:r>
            <w:r>
              <w:rPr>
                <w:rFonts w:cs="Arial"/>
                <w:b/>
                <w:sz w:val="22"/>
                <w:szCs w:val="22"/>
                <w:lang w:eastAsia="en-GB"/>
              </w:rPr>
              <w:t xml:space="preserve"> £m</w:t>
            </w:r>
          </w:p>
        </w:tc>
      </w:tr>
      <w:tr w:rsidR="00C81939" w14:paraId="58793782" w14:textId="77777777" w:rsidTr="001458B6">
        <w:trPr>
          <w:trHeight w:val="340"/>
        </w:trPr>
        <w:tc>
          <w:tcPr>
            <w:tcW w:w="2001" w:type="dxa"/>
            <w:tcBorders>
              <w:bottom w:val="nil"/>
            </w:tcBorders>
            <w:vAlign w:val="bottom"/>
          </w:tcPr>
          <w:p w14:paraId="713488B9" w14:textId="42772F8E" w:rsidR="00C81939" w:rsidRPr="00C81939" w:rsidRDefault="00C81939" w:rsidP="006331E4">
            <w:pPr>
              <w:pStyle w:val="ListParagraph"/>
              <w:spacing w:after="120" w:line="259" w:lineRule="auto"/>
              <w:ind w:left="0"/>
              <w:contextualSpacing w:val="0"/>
              <w:rPr>
                <w:rFonts w:cs="Arial"/>
                <w:sz w:val="22"/>
                <w:szCs w:val="22"/>
              </w:rPr>
            </w:pPr>
            <w:r w:rsidRPr="00C81939">
              <w:rPr>
                <w:rFonts w:cs="Arial"/>
                <w:sz w:val="22"/>
                <w:szCs w:val="22"/>
              </w:rPr>
              <w:t>Large</w:t>
            </w:r>
          </w:p>
        </w:tc>
        <w:tc>
          <w:tcPr>
            <w:tcW w:w="1963" w:type="dxa"/>
            <w:tcBorders>
              <w:bottom w:val="nil"/>
            </w:tcBorders>
            <w:vAlign w:val="bottom"/>
          </w:tcPr>
          <w:p w14:paraId="076E1A72" w14:textId="2B43F8B9"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sz w:val="22"/>
                <w:szCs w:val="22"/>
              </w:rPr>
              <w:t>7</w:t>
            </w:r>
            <w:r w:rsidR="00B81D0C">
              <w:rPr>
                <w:rFonts w:cs="Arial"/>
                <w:sz w:val="22"/>
                <w:szCs w:val="22"/>
              </w:rPr>
              <w:t>54</w:t>
            </w:r>
          </w:p>
        </w:tc>
        <w:tc>
          <w:tcPr>
            <w:tcW w:w="1701" w:type="dxa"/>
            <w:tcBorders>
              <w:bottom w:val="nil"/>
            </w:tcBorders>
            <w:vAlign w:val="bottom"/>
          </w:tcPr>
          <w:p w14:paraId="25F936FF" w14:textId="69A99DDB"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sz w:val="22"/>
                <w:szCs w:val="22"/>
              </w:rPr>
              <w:t>6.</w:t>
            </w:r>
            <w:r w:rsidR="000B1108">
              <w:rPr>
                <w:rFonts w:cs="Arial"/>
                <w:sz w:val="22"/>
                <w:szCs w:val="22"/>
              </w:rPr>
              <w:t>6</w:t>
            </w:r>
          </w:p>
        </w:tc>
        <w:tc>
          <w:tcPr>
            <w:tcW w:w="1985" w:type="dxa"/>
            <w:tcBorders>
              <w:bottom w:val="nil"/>
            </w:tcBorders>
            <w:vAlign w:val="bottom"/>
          </w:tcPr>
          <w:p w14:paraId="64BF9539" w14:textId="18DEE88B" w:rsidR="00C81939" w:rsidRDefault="00251A28" w:rsidP="006331E4">
            <w:pPr>
              <w:pStyle w:val="ListParagraph"/>
              <w:spacing w:after="120" w:line="259" w:lineRule="auto"/>
              <w:ind w:left="0"/>
              <w:contextualSpacing w:val="0"/>
              <w:jc w:val="right"/>
              <w:rPr>
                <w:rFonts w:cs="Arial"/>
                <w:b/>
                <w:bCs/>
                <w:sz w:val="22"/>
                <w:szCs w:val="22"/>
              </w:rPr>
            </w:pPr>
            <w:r>
              <w:rPr>
                <w:rFonts w:cs="Arial"/>
                <w:sz w:val="22"/>
                <w:szCs w:val="22"/>
              </w:rPr>
              <w:t>8.0</w:t>
            </w:r>
          </w:p>
        </w:tc>
        <w:tc>
          <w:tcPr>
            <w:tcW w:w="1978" w:type="dxa"/>
            <w:tcBorders>
              <w:bottom w:val="nil"/>
            </w:tcBorders>
            <w:vAlign w:val="bottom"/>
          </w:tcPr>
          <w:p w14:paraId="24CC9B94" w14:textId="3A8BCF26"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sz w:val="22"/>
                <w:szCs w:val="22"/>
              </w:rPr>
              <w:t>9.</w:t>
            </w:r>
            <w:r w:rsidR="007D1B94">
              <w:rPr>
                <w:rFonts w:cs="Arial"/>
                <w:sz w:val="22"/>
                <w:szCs w:val="22"/>
              </w:rPr>
              <w:t>4</w:t>
            </w:r>
          </w:p>
        </w:tc>
      </w:tr>
      <w:tr w:rsidR="00C81939" w14:paraId="61EDED48" w14:textId="77777777" w:rsidTr="001458B6">
        <w:trPr>
          <w:trHeight w:val="340"/>
        </w:trPr>
        <w:tc>
          <w:tcPr>
            <w:tcW w:w="2001" w:type="dxa"/>
            <w:tcBorders>
              <w:top w:val="nil"/>
            </w:tcBorders>
            <w:vAlign w:val="bottom"/>
          </w:tcPr>
          <w:p w14:paraId="3D535FA7" w14:textId="37660EE8" w:rsidR="00C81939" w:rsidRPr="00C81939" w:rsidRDefault="00C81939" w:rsidP="006331E4">
            <w:pPr>
              <w:pStyle w:val="ListParagraph"/>
              <w:spacing w:after="120" w:line="259" w:lineRule="auto"/>
              <w:ind w:left="0"/>
              <w:contextualSpacing w:val="0"/>
              <w:rPr>
                <w:rFonts w:cs="Arial"/>
                <w:sz w:val="22"/>
                <w:szCs w:val="22"/>
              </w:rPr>
            </w:pPr>
            <w:r w:rsidRPr="00C81939">
              <w:rPr>
                <w:rFonts w:cs="Arial"/>
                <w:sz w:val="22"/>
                <w:szCs w:val="22"/>
              </w:rPr>
              <w:t>Largest</w:t>
            </w:r>
          </w:p>
        </w:tc>
        <w:tc>
          <w:tcPr>
            <w:tcW w:w="1963" w:type="dxa"/>
            <w:tcBorders>
              <w:top w:val="nil"/>
            </w:tcBorders>
            <w:vAlign w:val="bottom"/>
          </w:tcPr>
          <w:p w14:paraId="428952F3" w14:textId="2096B68E" w:rsidR="00C81939" w:rsidRDefault="00C81939" w:rsidP="006331E4">
            <w:pPr>
              <w:pStyle w:val="ListParagraph"/>
              <w:spacing w:after="120" w:line="259" w:lineRule="auto"/>
              <w:ind w:left="0"/>
              <w:contextualSpacing w:val="0"/>
              <w:jc w:val="right"/>
              <w:rPr>
                <w:rFonts w:cs="Arial"/>
                <w:b/>
                <w:bCs/>
                <w:sz w:val="22"/>
                <w:szCs w:val="22"/>
              </w:rPr>
            </w:pPr>
            <w:r>
              <w:rPr>
                <w:rFonts w:cs="Arial"/>
                <w:sz w:val="22"/>
                <w:szCs w:val="22"/>
              </w:rPr>
              <w:t>9</w:t>
            </w:r>
            <w:r w:rsidR="00B81D0C">
              <w:rPr>
                <w:rFonts w:cs="Arial"/>
                <w:sz w:val="22"/>
                <w:szCs w:val="22"/>
              </w:rPr>
              <w:t>30</w:t>
            </w:r>
          </w:p>
        </w:tc>
        <w:tc>
          <w:tcPr>
            <w:tcW w:w="1701" w:type="dxa"/>
            <w:tcBorders>
              <w:top w:val="nil"/>
            </w:tcBorders>
            <w:vAlign w:val="bottom"/>
          </w:tcPr>
          <w:p w14:paraId="2940007B" w14:textId="2756613C" w:rsidR="00C81939" w:rsidRDefault="00251A28" w:rsidP="006331E4">
            <w:pPr>
              <w:pStyle w:val="ListParagraph"/>
              <w:spacing w:after="120" w:line="259" w:lineRule="auto"/>
              <w:ind w:left="0"/>
              <w:contextualSpacing w:val="0"/>
              <w:jc w:val="right"/>
              <w:rPr>
                <w:rFonts w:cs="Arial"/>
                <w:b/>
                <w:bCs/>
                <w:sz w:val="22"/>
                <w:szCs w:val="22"/>
              </w:rPr>
            </w:pPr>
            <w:r>
              <w:rPr>
                <w:rFonts w:cs="Arial"/>
                <w:sz w:val="22"/>
                <w:szCs w:val="22"/>
              </w:rPr>
              <w:t>8.</w:t>
            </w:r>
            <w:r w:rsidR="00A934BB">
              <w:rPr>
                <w:rFonts w:cs="Arial"/>
                <w:sz w:val="22"/>
                <w:szCs w:val="22"/>
              </w:rPr>
              <w:t>1</w:t>
            </w:r>
          </w:p>
        </w:tc>
        <w:tc>
          <w:tcPr>
            <w:tcW w:w="1985" w:type="dxa"/>
            <w:tcBorders>
              <w:top w:val="nil"/>
            </w:tcBorders>
            <w:vAlign w:val="bottom"/>
          </w:tcPr>
          <w:p w14:paraId="175F3E1C" w14:textId="37DD06ED"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sz w:val="22"/>
                <w:szCs w:val="22"/>
              </w:rPr>
              <w:t>9.</w:t>
            </w:r>
            <w:r w:rsidR="007D1B94">
              <w:rPr>
                <w:rFonts w:cs="Arial"/>
                <w:sz w:val="22"/>
                <w:szCs w:val="22"/>
              </w:rPr>
              <w:t>8</w:t>
            </w:r>
          </w:p>
        </w:tc>
        <w:tc>
          <w:tcPr>
            <w:tcW w:w="1978" w:type="dxa"/>
            <w:tcBorders>
              <w:top w:val="nil"/>
            </w:tcBorders>
            <w:vAlign w:val="bottom"/>
          </w:tcPr>
          <w:p w14:paraId="3BDE8054" w14:textId="355F7A8E"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sz w:val="22"/>
                <w:szCs w:val="22"/>
              </w:rPr>
              <w:t>11.</w:t>
            </w:r>
            <w:r w:rsidR="00782DC6">
              <w:rPr>
                <w:rFonts w:cs="Arial"/>
                <w:sz w:val="22"/>
                <w:szCs w:val="22"/>
              </w:rPr>
              <w:t>6</w:t>
            </w:r>
          </w:p>
        </w:tc>
      </w:tr>
      <w:tr w:rsidR="00C81939" w14:paraId="3C536A8B" w14:textId="77777777" w:rsidTr="001458B6">
        <w:trPr>
          <w:trHeight w:val="340"/>
        </w:trPr>
        <w:tc>
          <w:tcPr>
            <w:tcW w:w="2001" w:type="dxa"/>
            <w:vAlign w:val="bottom"/>
          </w:tcPr>
          <w:p w14:paraId="7FB4CA07" w14:textId="774BB297" w:rsidR="00C81939" w:rsidRDefault="00C81939" w:rsidP="006331E4">
            <w:pPr>
              <w:pStyle w:val="ListParagraph"/>
              <w:spacing w:after="120" w:line="259" w:lineRule="auto"/>
              <w:ind w:left="0"/>
              <w:contextualSpacing w:val="0"/>
              <w:rPr>
                <w:rFonts w:cs="Arial"/>
                <w:b/>
                <w:bCs/>
                <w:sz w:val="22"/>
                <w:szCs w:val="22"/>
              </w:rPr>
            </w:pPr>
            <w:r>
              <w:rPr>
                <w:rFonts w:cs="Arial"/>
                <w:b/>
                <w:bCs/>
                <w:sz w:val="22"/>
                <w:szCs w:val="22"/>
              </w:rPr>
              <w:t>Total</w:t>
            </w:r>
          </w:p>
        </w:tc>
        <w:tc>
          <w:tcPr>
            <w:tcW w:w="1963" w:type="dxa"/>
            <w:vAlign w:val="bottom"/>
          </w:tcPr>
          <w:p w14:paraId="55B77DCE" w14:textId="00E81B1C"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b/>
                <w:sz w:val="22"/>
                <w:szCs w:val="22"/>
              </w:rPr>
              <w:t>-</w:t>
            </w:r>
          </w:p>
        </w:tc>
        <w:tc>
          <w:tcPr>
            <w:tcW w:w="1701" w:type="dxa"/>
            <w:vAlign w:val="bottom"/>
          </w:tcPr>
          <w:p w14:paraId="7B622D10" w14:textId="2AED65DD"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b/>
                <w:sz w:val="22"/>
                <w:szCs w:val="22"/>
              </w:rPr>
              <w:t>14.</w:t>
            </w:r>
            <w:r w:rsidR="00903FF3">
              <w:rPr>
                <w:rFonts w:cs="Arial"/>
                <w:b/>
                <w:sz w:val="22"/>
                <w:szCs w:val="22"/>
              </w:rPr>
              <w:t>7</w:t>
            </w:r>
          </w:p>
        </w:tc>
        <w:tc>
          <w:tcPr>
            <w:tcW w:w="1985" w:type="dxa"/>
            <w:vAlign w:val="bottom"/>
          </w:tcPr>
          <w:p w14:paraId="0067A7DE" w14:textId="7069A5AD"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b/>
                <w:sz w:val="22"/>
                <w:szCs w:val="22"/>
              </w:rPr>
              <w:t>17.</w:t>
            </w:r>
            <w:r w:rsidR="00903FF3">
              <w:rPr>
                <w:rFonts w:cs="Arial"/>
                <w:b/>
                <w:sz w:val="22"/>
                <w:szCs w:val="22"/>
              </w:rPr>
              <w:t>8</w:t>
            </w:r>
          </w:p>
        </w:tc>
        <w:tc>
          <w:tcPr>
            <w:tcW w:w="1978" w:type="dxa"/>
            <w:vAlign w:val="bottom"/>
          </w:tcPr>
          <w:p w14:paraId="239F963D" w14:textId="18DFF008" w:rsidR="00C81939" w:rsidRDefault="00C81939" w:rsidP="006331E4">
            <w:pPr>
              <w:pStyle w:val="ListParagraph"/>
              <w:spacing w:after="120" w:line="259" w:lineRule="auto"/>
              <w:ind w:left="0"/>
              <w:contextualSpacing w:val="0"/>
              <w:jc w:val="right"/>
              <w:rPr>
                <w:rFonts w:cs="Arial"/>
                <w:b/>
                <w:bCs/>
                <w:sz w:val="22"/>
                <w:szCs w:val="22"/>
              </w:rPr>
            </w:pPr>
            <w:r w:rsidRPr="00872CBF">
              <w:rPr>
                <w:rFonts w:cs="Arial"/>
                <w:b/>
                <w:sz w:val="22"/>
                <w:szCs w:val="22"/>
              </w:rPr>
              <w:t>2</w:t>
            </w:r>
            <w:r w:rsidR="00F13755">
              <w:rPr>
                <w:rFonts w:cs="Arial"/>
                <w:b/>
                <w:sz w:val="22"/>
                <w:szCs w:val="22"/>
              </w:rPr>
              <w:t>1.0</w:t>
            </w:r>
          </w:p>
        </w:tc>
      </w:tr>
    </w:tbl>
    <w:p w14:paraId="5E7C3C2B" w14:textId="72BC378A" w:rsidR="009161F2" w:rsidRPr="0029116F" w:rsidRDefault="001D043C" w:rsidP="009C60B0">
      <w:pPr>
        <w:spacing w:after="120" w:line="259" w:lineRule="auto"/>
        <w:ind w:left="567"/>
        <w:jc w:val="both"/>
        <w:rPr>
          <w:rFonts w:cs="Arial"/>
          <w:b/>
          <w:bCs/>
          <w:sz w:val="18"/>
          <w:szCs w:val="18"/>
        </w:rPr>
      </w:pPr>
      <w:r w:rsidRPr="0029116F">
        <w:rPr>
          <w:rFonts w:cs="Arial"/>
          <w:sz w:val="18"/>
          <w:szCs w:val="18"/>
        </w:rPr>
        <w:t>Source: DBT calculations, 202</w:t>
      </w:r>
      <w:r w:rsidR="004420EB" w:rsidRPr="0029116F">
        <w:rPr>
          <w:rFonts w:cs="Arial"/>
          <w:sz w:val="18"/>
          <w:szCs w:val="18"/>
        </w:rPr>
        <w:t>3</w:t>
      </w:r>
      <w:r w:rsidRPr="0029116F">
        <w:rPr>
          <w:rFonts w:cs="Arial"/>
          <w:sz w:val="18"/>
          <w:szCs w:val="18"/>
        </w:rPr>
        <w:t>.</w:t>
      </w:r>
      <w:r w:rsidR="004D76B9">
        <w:rPr>
          <w:rFonts w:cs="Arial"/>
          <w:sz w:val="18"/>
          <w:szCs w:val="18"/>
        </w:rPr>
        <w:t xml:space="preserve"> Numbers may not sum due to rounding.</w:t>
      </w:r>
    </w:p>
    <w:p w14:paraId="11BE4DC5" w14:textId="19A9F023" w:rsidR="007030AD" w:rsidRPr="00441AF5" w:rsidRDefault="007030AD" w:rsidP="00627D49">
      <w:pPr>
        <w:spacing w:after="120"/>
        <w:rPr>
          <w:rFonts w:cs="Arial"/>
          <w:b/>
          <w:bCs/>
          <w:sz w:val="22"/>
          <w:szCs w:val="22"/>
        </w:rPr>
      </w:pPr>
      <w:r w:rsidRPr="00441AF5">
        <w:rPr>
          <w:rFonts w:cs="Arial"/>
          <w:b/>
          <w:bCs/>
          <w:sz w:val="22"/>
          <w:szCs w:val="22"/>
        </w:rPr>
        <w:t>Training</w:t>
      </w:r>
    </w:p>
    <w:p w14:paraId="1D656600" w14:textId="69985097" w:rsidR="009C60B0" w:rsidRPr="00441AF5" w:rsidRDefault="007030AD"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The training costs are a function of UK employment as well as the number of organisations as organisations will incur a cost per employee trained</w:t>
      </w:r>
      <w:r w:rsidR="009C60B0" w:rsidRPr="00441AF5">
        <w:rPr>
          <w:rFonts w:cs="Arial"/>
          <w:sz w:val="22"/>
          <w:szCs w:val="22"/>
        </w:rPr>
        <w:t>.</w:t>
      </w:r>
      <w:r w:rsidR="00FB2217" w:rsidRPr="00441AF5">
        <w:rPr>
          <w:rFonts w:cs="Arial"/>
          <w:sz w:val="22"/>
          <w:szCs w:val="22"/>
        </w:rPr>
        <w:t xml:space="preserve"> Such costs are incurred by the organisations who have determined in their risk assessment to require further anti</w:t>
      </w:r>
      <w:r w:rsidR="00F27D20" w:rsidRPr="00441AF5">
        <w:rPr>
          <w:rFonts w:cs="Arial"/>
          <w:sz w:val="22"/>
          <w:szCs w:val="22"/>
        </w:rPr>
        <w:t>-</w:t>
      </w:r>
      <w:r w:rsidR="00FB2217" w:rsidRPr="00441AF5">
        <w:rPr>
          <w:rFonts w:cs="Arial"/>
          <w:sz w:val="22"/>
          <w:szCs w:val="22"/>
        </w:rPr>
        <w:t>fraud measures be put in place.</w:t>
      </w:r>
    </w:p>
    <w:p w14:paraId="5997ACB7" w14:textId="2EC4B204" w:rsidR="009C60B0" w:rsidRPr="00441AF5" w:rsidRDefault="007030AD"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Business Population Estimate (BPE) employment data</w:t>
      </w:r>
      <w:r w:rsidRPr="00441AF5">
        <w:rPr>
          <w:rStyle w:val="FootnoteReference"/>
          <w:rFonts w:eastAsiaTheme="majorEastAsia" w:cs="Arial"/>
          <w:szCs w:val="22"/>
        </w:rPr>
        <w:footnoteReference w:id="62"/>
      </w:r>
      <w:r w:rsidRPr="00441AF5">
        <w:rPr>
          <w:rFonts w:cs="Arial"/>
          <w:sz w:val="22"/>
          <w:szCs w:val="22"/>
        </w:rPr>
        <w:t xml:space="preserve"> has been used to estimate the number of employees trained. All employees are expected to receive training in the first year.</w:t>
      </w:r>
      <w:r w:rsidR="009C60B0" w:rsidRPr="00441AF5">
        <w:rPr>
          <w:rFonts w:cs="Arial"/>
          <w:sz w:val="22"/>
          <w:szCs w:val="22"/>
        </w:rPr>
        <w:t xml:space="preserve"> </w:t>
      </w:r>
      <w:r w:rsidR="00C8443E" w:rsidRPr="00441AF5">
        <w:rPr>
          <w:rFonts w:cs="Arial"/>
          <w:sz w:val="22"/>
          <w:szCs w:val="22"/>
        </w:rPr>
        <w:t>Estimates of unit costs are based on:</w:t>
      </w:r>
    </w:p>
    <w:p w14:paraId="1B1F2E3E" w14:textId="19250FD7" w:rsidR="007030AD" w:rsidRPr="00441AF5" w:rsidRDefault="007030AD" w:rsidP="007335EA">
      <w:pPr>
        <w:pStyle w:val="ListParagraph"/>
        <w:numPr>
          <w:ilvl w:val="0"/>
          <w:numId w:val="16"/>
        </w:numPr>
        <w:spacing w:after="120" w:line="259" w:lineRule="auto"/>
        <w:ind w:left="1134" w:hanging="425"/>
        <w:contextualSpacing w:val="0"/>
        <w:jc w:val="both"/>
        <w:rPr>
          <w:rFonts w:cs="Arial"/>
          <w:sz w:val="22"/>
          <w:szCs w:val="22"/>
        </w:rPr>
      </w:pPr>
      <w:r w:rsidRPr="00441AF5">
        <w:rPr>
          <w:rFonts w:cs="Arial"/>
          <w:sz w:val="22"/>
          <w:szCs w:val="22"/>
        </w:rPr>
        <w:t xml:space="preserve">A base fee of £25 per trainee with a discount of up to 40 per cent for the largest organisations. The business model of providers is to charge a fee per trainee, though the fee varies by volume. </w:t>
      </w:r>
      <w:r w:rsidR="001D4E38">
        <w:rPr>
          <w:rFonts w:cs="Arial"/>
          <w:sz w:val="22"/>
          <w:szCs w:val="22"/>
        </w:rPr>
        <w:t>The</w:t>
      </w:r>
      <w:r w:rsidR="009966BE">
        <w:rPr>
          <w:rFonts w:cs="Arial"/>
          <w:sz w:val="22"/>
          <w:szCs w:val="22"/>
        </w:rPr>
        <w:t xml:space="preserve"> fee estimate</w:t>
      </w:r>
      <w:r w:rsidR="001A3A28">
        <w:rPr>
          <w:rFonts w:cs="Arial"/>
          <w:sz w:val="22"/>
          <w:szCs w:val="22"/>
        </w:rPr>
        <w:t>, and the discount,</w:t>
      </w:r>
      <w:r w:rsidR="009966BE">
        <w:rPr>
          <w:rFonts w:cs="Arial"/>
          <w:sz w:val="22"/>
          <w:szCs w:val="22"/>
        </w:rPr>
        <w:t xml:space="preserve"> </w:t>
      </w:r>
      <w:r w:rsidR="001D4E38">
        <w:rPr>
          <w:rFonts w:cs="Arial"/>
          <w:sz w:val="22"/>
          <w:szCs w:val="22"/>
        </w:rPr>
        <w:t xml:space="preserve">is </w:t>
      </w:r>
      <w:r w:rsidR="009966BE">
        <w:rPr>
          <w:rFonts w:cs="Arial"/>
          <w:sz w:val="22"/>
          <w:szCs w:val="22"/>
        </w:rPr>
        <w:t xml:space="preserve">based on </w:t>
      </w:r>
      <w:r w:rsidR="009B7BA1">
        <w:rPr>
          <w:rFonts w:cs="Arial"/>
          <w:sz w:val="22"/>
          <w:szCs w:val="22"/>
        </w:rPr>
        <w:t xml:space="preserve">training to </w:t>
      </w:r>
      <w:r w:rsidR="00644C37">
        <w:rPr>
          <w:rFonts w:cs="Arial"/>
          <w:sz w:val="22"/>
          <w:szCs w:val="22"/>
        </w:rPr>
        <w:t>meet</w:t>
      </w:r>
      <w:r w:rsidR="009B7BA1">
        <w:rPr>
          <w:rFonts w:cs="Arial"/>
          <w:sz w:val="22"/>
          <w:szCs w:val="22"/>
        </w:rPr>
        <w:t xml:space="preserve"> similar and </w:t>
      </w:r>
      <w:r w:rsidR="009B7BA1">
        <w:rPr>
          <w:rFonts w:cs="Arial"/>
          <w:sz w:val="22"/>
          <w:szCs w:val="22"/>
        </w:rPr>
        <w:lastRenderedPageBreak/>
        <w:t xml:space="preserve">comparable </w:t>
      </w:r>
      <w:r w:rsidR="001D4E38">
        <w:rPr>
          <w:rFonts w:cs="Arial"/>
          <w:sz w:val="22"/>
          <w:szCs w:val="22"/>
        </w:rPr>
        <w:t>failure to prevent bribery requirements</w:t>
      </w:r>
      <w:r w:rsidR="001D4E38" w:rsidRPr="00441AF5">
        <w:rPr>
          <w:rStyle w:val="FootnoteReference"/>
          <w:rFonts w:eastAsiaTheme="minorEastAsia" w:cs="Arial"/>
          <w:szCs w:val="22"/>
        </w:rPr>
        <w:footnoteReference w:id="63"/>
      </w:r>
      <w:r w:rsidR="001D4E38">
        <w:rPr>
          <w:rFonts w:cs="Arial"/>
          <w:sz w:val="22"/>
          <w:szCs w:val="22"/>
        </w:rPr>
        <w:t xml:space="preserve">. </w:t>
      </w:r>
      <w:r w:rsidRPr="00441AF5">
        <w:rPr>
          <w:rFonts w:cs="Arial"/>
          <w:sz w:val="22"/>
          <w:szCs w:val="22"/>
        </w:rPr>
        <w:t xml:space="preserve">In practice larger organisations might develop the training in house, assuming that the costs of the in-house option would be similar to the costs of external provision.  </w:t>
      </w:r>
    </w:p>
    <w:p w14:paraId="163DBBA5" w14:textId="7B6B25AB" w:rsidR="007030AD" w:rsidRPr="00441AF5" w:rsidRDefault="007030AD" w:rsidP="007335EA">
      <w:pPr>
        <w:pStyle w:val="ListParagraph"/>
        <w:numPr>
          <w:ilvl w:val="0"/>
          <w:numId w:val="16"/>
        </w:numPr>
        <w:spacing w:after="120" w:line="259" w:lineRule="auto"/>
        <w:ind w:left="1134" w:hanging="425"/>
        <w:contextualSpacing w:val="0"/>
        <w:jc w:val="both"/>
        <w:rPr>
          <w:rFonts w:cs="Arial"/>
          <w:sz w:val="22"/>
          <w:szCs w:val="22"/>
        </w:rPr>
      </w:pPr>
      <w:r w:rsidRPr="00441AF5">
        <w:rPr>
          <w:rFonts w:cs="Arial"/>
          <w:sz w:val="22"/>
          <w:szCs w:val="22"/>
        </w:rPr>
        <w:t>An opportunity cost of time based on the median hourly pay of all employees and a course length of one hour</w:t>
      </w:r>
      <w:r w:rsidR="000C128C">
        <w:rPr>
          <w:rFonts w:cs="Arial"/>
          <w:sz w:val="22"/>
          <w:szCs w:val="22"/>
        </w:rPr>
        <w:t>.</w:t>
      </w:r>
      <w:r w:rsidRPr="00441AF5">
        <w:rPr>
          <w:rStyle w:val="FootnoteReference"/>
          <w:rFonts w:eastAsiaTheme="minorEastAsia" w:cs="Arial"/>
          <w:szCs w:val="22"/>
        </w:rPr>
        <w:footnoteReference w:id="64"/>
      </w:r>
      <w:r w:rsidR="00571369">
        <w:rPr>
          <w:rFonts w:cs="Arial"/>
          <w:sz w:val="22"/>
          <w:szCs w:val="22"/>
        </w:rPr>
        <w:t xml:space="preserve"> This is similar to the length of course offered by </w:t>
      </w:r>
      <w:r w:rsidR="001A3A28">
        <w:rPr>
          <w:rFonts w:cs="Arial"/>
          <w:sz w:val="22"/>
          <w:szCs w:val="22"/>
        </w:rPr>
        <w:t>on-line providers of failure to prevent bribery training.</w:t>
      </w:r>
      <w:r w:rsidR="001A3A28">
        <w:rPr>
          <w:rStyle w:val="FootnoteReference"/>
          <w:szCs w:val="22"/>
        </w:rPr>
        <w:footnoteReference w:id="65"/>
      </w:r>
      <w:r w:rsidR="001A3A28">
        <w:rPr>
          <w:rFonts w:cs="Arial"/>
          <w:sz w:val="22"/>
          <w:szCs w:val="22"/>
        </w:rPr>
        <w:t xml:space="preserve"> </w:t>
      </w:r>
    </w:p>
    <w:p w14:paraId="5954687B" w14:textId="7B1C379C" w:rsidR="007030AD" w:rsidRPr="00441AF5" w:rsidRDefault="007030AD" w:rsidP="007335EA">
      <w:pPr>
        <w:pStyle w:val="ListParagraph"/>
        <w:numPr>
          <w:ilvl w:val="0"/>
          <w:numId w:val="16"/>
        </w:numPr>
        <w:spacing w:after="120" w:line="259" w:lineRule="auto"/>
        <w:ind w:left="1134" w:hanging="425"/>
        <w:contextualSpacing w:val="0"/>
        <w:jc w:val="both"/>
        <w:rPr>
          <w:rFonts w:cs="Arial"/>
          <w:sz w:val="22"/>
          <w:szCs w:val="22"/>
        </w:rPr>
      </w:pPr>
      <w:r w:rsidRPr="00441AF5">
        <w:rPr>
          <w:rFonts w:cs="Arial"/>
          <w:sz w:val="22"/>
          <w:szCs w:val="22"/>
        </w:rPr>
        <w:t>Total employment of 1</w:t>
      </w:r>
      <w:r w:rsidR="008E59A9" w:rsidRPr="00441AF5">
        <w:rPr>
          <w:rFonts w:cs="Arial"/>
          <w:sz w:val="22"/>
          <w:szCs w:val="22"/>
        </w:rPr>
        <w:t>0</w:t>
      </w:r>
      <w:r w:rsidRPr="00441AF5">
        <w:rPr>
          <w:rFonts w:cs="Arial"/>
          <w:sz w:val="22"/>
          <w:szCs w:val="22"/>
        </w:rPr>
        <w:t>.</w:t>
      </w:r>
      <w:r w:rsidR="008E59A9" w:rsidRPr="00441AF5">
        <w:rPr>
          <w:rFonts w:cs="Arial"/>
          <w:sz w:val="22"/>
          <w:szCs w:val="22"/>
        </w:rPr>
        <w:t>6</w:t>
      </w:r>
      <w:r w:rsidRPr="00441AF5">
        <w:rPr>
          <w:rFonts w:cs="Arial"/>
          <w:sz w:val="22"/>
          <w:szCs w:val="22"/>
        </w:rPr>
        <w:t xml:space="preserve"> million people</w:t>
      </w:r>
      <w:r w:rsidR="0017225F" w:rsidRPr="00441AF5">
        <w:rPr>
          <w:rFonts w:cs="Arial"/>
          <w:sz w:val="22"/>
          <w:szCs w:val="22"/>
        </w:rPr>
        <w:t>, stated by the BPE</w:t>
      </w:r>
      <w:r w:rsidR="0039342B" w:rsidRPr="00441AF5">
        <w:rPr>
          <w:rFonts w:cs="Arial"/>
          <w:sz w:val="22"/>
          <w:szCs w:val="22"/>
        </w:rPr>
        <w:t xml:space="preserve">. </w:t>
      </w:r>
      <w:r w:rsidR="006566EF">
        <w:rPr>
          <w:rFonts w:cs="Arial"/>
          <w:sz w:val="22"/>
          <w:szCs w:val="22"/>
        </w:rPr>
        <w:t>As organisations will not know who is likely to commit fraud</w:t>
      </w:r>
      <w:r w:rsidR="00AB010D">
        <w:rPr>
          <w:rFonts w:cs="Arial"/>
          <w:sz w:val="22"/>
          <w:szCs w:val="22"/>
        </w:rPr>
        <w:t xml:space="preserve">, and the burden of proof is on the organisation to take all reasonable steps to prevent fraud, </w:t>
      </w:r>
      <w:r w:rsidR="00AE0DA4">
        <w:rPr>
          <w:rFonts w:cs="Arial"/>
          <w:sz w:val="22"/>
          <w:szCs w:val="22"/>
        </w:rPr>
        <w:t xml:space="preserve">the </w:t>
      </w:r>
      <w:r w:rsidR="0063257B">
        <w:rPr>
          <w:rFonts w:cs="Arial"/>
          <w:sz w:val="22"/>
          <w:szCs w:val="22"/>
        </w:rPr>
        <w:t xml:space="preserve">analysis assumes that the </w:t>
      </w:r>
      <w:r w:rsidR="00AE0DA4">
        <w:rPr>
          <w:rFonts w:cs="Arial"/>
          <w:sz w:val="22"/>
          <w:szCs w:val="22"/>
        </w:rPr>
        <w:t xml:space="preserve">organisation is likely to train all staff. </w:t>
      </w:r>
    </w:p>
    <w:p w14:paraId="20B97CF1" w14:textId="4AE70898" w:rsidR="00AC0F25" w:rsidRPr="00441AF5" w:rsidRDefault="0039342B" w:rsidP="007335EA">
      <w:pPr>
        <w:pStyle w:val="ListParagraph"/>
        <w:numPr>
          <w:ilvl w:val="0"/>
          <w:numId w:val="16"/>
        </w:numPr>
        <w:spacing w:after="120" w:line="259" w:lineRule="auto"/>
        <w:ind w:left="1134" w:hanging="425"/>
        <w:contextualSpacing w:val="0"/>
        <w:jc w:val="both"/>
        <w:rPr>
          <w:rFonts w:cs="Arial"/>
          <w:sz w:val="22"/>
          <w:szCs w:val="22"/>
        </w:rPr>
      </w:pPr>
      <w:r w:rsidRPr="00441AF5">
        <w:rPr>
          <w:rFonts w:cs="Arial"/>
          <w:sz w:val="22"/>
          <w:szCs w:val="22"/>
        </w:rPr>
        <w:t xml:space="preserve">The cost of training time is calculated by adding the hourly fee for the training to the opportunity cost of one hour of an employee’s time. This is then multiplied by the number of employees. </w:t>
      </w:r>
    </w:p>
    <w:p w14:paraId="0737F6EF" w14:textId="5DE8764D" w:rsidR="00675C35" w:rsidRPr="00441AF5" w:rsidRDefault="00675C35"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In the low scenario it is assumed that 70</w:t>
      </w:r>
      <w:r>
        <w:rPr>
          <w:rFonts w:cs="Arial"/>
          <w:sz w:val="22"/>
          <w:szCs w:val="22"/>
        </w:rPr>
        <w:t xml:space="preserve"> </w:t>
      </w:r>
      <w:r w:rsidR="00640A68">
        <w:rPr>
          <w:rFonts w:cs="Arial"/>
          <w:sz w:val="22"/>
          <w:szCs w:val="22"/>
        </w:rPr>
        <w:t>per cent</w:t>
      </w:r>
      <w:r w:rsidRPr="00441AF5">
        <w:rPr>
          <w:rFonts w:cs="Arial"/>
          <w:sz w:val="22"/>
          <w:szCs w:val="22"/>
        </w:rPr>
        <w:t xml:space="preserve"> of companies in scope are required to put in place further anti-fraud measures and therefore will incur </w:t>
      </w:r>
      <w:r w:rsidR="00FA29CF" w:rsidRPr="00441AF5">
        <w:rPr>
          <w:rFonts w:cs="Arial"/>
          <w:sz w:val="22"/>
          <w:szCs w:val="22"/>
        </w:rPr>
        <w:t>training</w:t>
      </w:r>
      <w:r w:rsidRPr="00441AF5">
        <w:rPr>
          <w:rFonts w:cs="Arial"/>
          <w:sz w:val="22"/>
          <w:szCs w:val="22"/>
        </w:rPr>
        <w:t xml:space="preserve"> costs. In the best/ central scenario it is assumed that 85</w:t>
      </w:r>
      <w:r>
        <w:rPr>
          <w:rFonts w:cs="Arial"/>
          <w:sz w:val="22"/>
          <w:szCs w:val="22"/>
        </w:rPr>
        <w:t xml:space="preserve"> </w:t>
      </w:r>
      <w:r w:rsidR="00640A68">
        <w:rPr>
          <w:rFonts w:cs="Arial"/>
          <w:sz w:val="22"/>
          <w:szCs w:val="22"/>
        </w:rPr>
        <w:t>per cent</w:t>
      </w:r>
      <w:r w:rsidRPr="00441AF5">
        <w:rPr>
          <w:rFonts w:cs="Arial"/>
          <w:sz w:val="22"/>
          <w:szCs w:val="22"/>
        </w:rPr>
        <w:t xml:space="preserve"> of companies in scope are required to put in place further anti-fraud measures and therefore incur </w:t>
      </w:r>
      <w:r w:rsidR="00FA29CF" w:rsidRPr="00441AF5">
        <w:rPr>
          <w:rFonts w:cs="Arial"/>
          <w:sz w:val="22"/>
          <w:szCs w:val="22"/>
        </w:rPr>
        <w:t>traini</w:t>
      </w:r>
      <w:r w:rsidR="00D97A1A" w:rsidRPr="00441AF5">
        <w:rPr>
          <w:rFonts w:cs="Arial"/>
          <w:sz w:val="22"/>
          <w:szCs w:val="22"/>
        </w:rPr>
        <w:t>ng</w:t>
      </w:r>
      <w:r w:rsidRPr="00441AF5">
        <w:rPr>
          <w:rFonts w:cs="Arial"/>
          <w:sz w:val="22"/>
          <w:szCs w:val="22"/>
        </w:rPr>
        <w:t xml:space="preserve"> costs. In the high scenario it is assume</w:t>
      </w:r>
      <w:r w:rsidR="00CF4AE6">
        <w:rPr>
          <w:rFonts w:cs="Arial"/>
          <w:sz w:val="22"/>
          <w:szCs w:val="22"/>
        </w:rPr>
        <w:t>d</w:t>
      </w:r>
      <w:r w:rsidRPr="00441AF5">
        <w:rPr>
          <w:rFonts w:cs="Arial"/>
          <w:sz w:val="22"/>
          <w:szCs w:val="22"/>
        </w:rPr>
        <w:t xml:space="preserve"> that </w:t>
      </w:r>
      <w:r w:rsidR="00CF4AE6">
        <w:rPr>
          <w:rFonts w:cs="Arial"/>
          <w:sz w:val="22"/>
          <w:szCs w:val="22"/>
        </w:rPr>
        <w:t>100</w:t>
      </w:r>
      <w:r w:rsidR="000B6C34">
        <w:rPr>
          <w:rFonts w:cs="Arial"/>
          <w:sz w:val="22"/>
          <w:szCs w:val="22"/>
        </w:rPr>
        <w:t xml:space="preserve"> per cent</w:t>
      </w:r>
      <w:r w:rsidR="00CF4AE6">
        <w:rPr>
          <w:rFonts w:cs="Arial"/>
          <w:sz w:val="22"/>
          <w:szCs w:val="22"/>
        </w:rPr>
        <w:t xml:space="preserve"> of</w:t>
      </w:r>
      <w:r w:rsidRPr="00441AF5">
        <w:rPr>
          <w:rFonts w:cs="Arial"/>
          <w:sz w:val="22"/>
          <w:szCs w:val="22"/>
        </w:rPr>
        <w:t xml:space="preserve"> firms in scope are required to put in place further anti-fraud measures and therefore incur </w:t>
      </w:r>
      <w:r w:rsidR="00D97A1A" w:rsidRPr="00441AF5">
        <w:rPr>
          <w:rFonts w:cs="Arial"/>
          <w:sz w:val="22"/>
          <w:szCs w:val="22"/>
        </w:rPr>
        <w:t>training</w:t>
      </w:r>
      <w:r w:rsidRPr="00441AF5">
        <w:rPr>
          <w:rFonts w:cs="Arial"/>
          <w:sz w:val="22"/>
          <w:szCs w:val="22"/>
        </w:rPr>
        <w:t xml:space="preserve"> costs.</w:t>
      </w:r>
    </w:p>
    <w:p w14:paraId="0908ED65" w14:textId="4E4D91B6" w:rsidR="00675C35" w:rsidRPr="00620FD2" w:rsidRDefault="00675C35" w:rsidP="003F40C2">
      <w:pPr>
        <w:pStyle w:val="ListParagraph"/>
        <w:numPr>
          <w:ilvl w:val="0"/>
          <w:numId w:val="10"/>
        </w:numPr>
        <w:spacing w:after="120" w:line="259" w:lineRule="auto"/>
        <w:ind w:left="567" w:hanging="567"/>
        <w:contextualSpacing w:val="0"/>
        <w:jc w:val="both"/>
        <w:rPr>
          <w:rFonts w:cs="Arial"/>
          <w:sz w:val="22"/>
          <w:szCs w:val="22"/>
        </w:rPr>
      </w:pPr>
      <w:r w:rsidRPr="006A74DA">
        <w:rPr>
          <w:rFonts w:cs="Arial"/>
          <w:sz w:val="22"/>
          <w:szCs w:val="22"/>
        </w:rPr>
        <w:t xml:space="preserve">Multiplying the cost per entity by the number of organisations in scope estimates </w:t>
      </w:r>
      <w:r w:rsidR="00D97A1A" w:rsidRPr="006A74DA">
        <w:rPr>
          <w:rFonts w:cs="Arial"/>
          <w:sz w:val="22"/>
          <w:szCs w:val="22"/>
        </w:rPr>
        <w:t>training</w:t>
      </w:r>
      <w:r w:rsidRPr="006A74DA">
        <w:rPr>
          <w:rFonts w:cs="Arial"/>
          <w:sz w:val="22"/>
          <w:szCs w:val="22"/>
        </w:rPr>
        <w:t xml:space="preserve"> set-up costs </w:t>
      </w:r>
      <w:r w:rsidRPr="00620FD2">
        <w:rPr>
          <w:rFonts w:cs="Arial"/>
          <w:sz w:val="22"/>
          <w:szCs w:val="22"/>
        </w:rPr>
        <w:t xml:space="preserve">of </w:t>
      </w:r>
      <w:r w:rsidRPr="00620FD2">
        <w:rPr>
          <w:rFonts w:cs="Arial"/>
          <w:b/>
          <w:sz w:val="22"/>
          <w:szCs w:val="22"/>
        </w:rPr>
        <w:t>£</w:t>
      </w:r>
      <w:r w:rsidR="005C12B5">
        <w:rPr>
          <w:rFonts w:cs="Arial"/>
          <w:b/>
          <w:sz w:val="22"/>
          <w:szCs w:val="22"/>
        </w:rPr>
        <w:t>289.9</w:t>
      </w:r>
      <w:r w:rsidR="00620FD2" w:rsidRPr="00620FD2">
        <w:rPr>
          <w:rFonts w:cs="Arial"/>
          <w:b/>
          <w:sz w:val="22"/>
          <w:szCs w:val="22"/>
        </w:rPr>
        <w:t xml:space="preserve"> </w:t>
      </w:r>
      <w:r w:rsidRPr="00620FD2">
        <w:rPr>
          <w:rFonts w:cs="Arial"/>
          <w:b/>
          <w:sz w:val="22"/>
          <w:szCs w:val="22"/>
        </w:rPr>
        <w:t>million</w:t>
      </w:r>
      <w:r w:rsidRPr="00620FD2">
        <w:rPr>
          <w:rFonts w:cs="Arial"/>
          <w:sz w:val="22"/>
          <w:szCs w:val="22"/>
        </w:rPr>
        <w:t xml:space="preserve"> (2024 prices) in the low scenario, </w:t>
      </w:r>
      <w:r w:rsidRPr="00620FD2">
        <w:rPr>
          <w:rFonts w:cs="Arial"/>
          <w:b/>
          <w:sz w:val="22"/>
          <w:szCs w:val="22"/>
        </w:rPr>
        <w:t>£</w:t>
      </w:r>
      <w:r w:rsidR="00620FD2" w:rsidRPr="00620FD2">
        <w:rPr>
          <w:rFonts w:cs="Arial"/>
          <w:b/>
          <w:sz w:val="22"/>
          <w:szCs w:val="22"/>
        </w:rPr>
        <w:t>3</w:t>
      </w:r>
      <w:r w:rsidR="005C12B5">
        <w:rPr>
          <w:rFonts w:cs="Arial"/>
          <w:b/>
          <w:sz w:val="22"/>
          <w:szCs w:val="22"/>
        </w:rPr>
        <w:t>52.0</w:t>
      </w:r>
      <w:r w:rsidR="00620FD2" w:rsidRPr="00620FD2">
        <w:rPr>
          <w:rFonts w:cs="Arial"/>
          <w:b/>
          <w:sz w:val="22"/>
          <w:szCs w:val="22"/>
        </w:rPr>
        <w:t xml:space="preserve"> </w:t>
      </w:r>
      <w:r w:rsidRPr="00620FD2">
        <w:rPr>
          <w:rFonts w:cs="Arial"/>
          <w:b/>
          <w:sz w:val="22"/>
          <w:szCs w:val="22"/>
        </w:rPr>
        <w:t>million</w:t>
      </w:r>
      <w:r w:rsidRPr="00620FD2">
        <w:rPr>
          <w:rFonts w:cs="Arial"/>
          <w:sz w:val="22"/>
          <w:szCs w:val="22"/>
        </w:rPr>
        <w:t xml:space="preserve"> (2024 prices) in the best/ central scenario and </w:t>
      </w:r>
      <w:r w:rsidRPr="00620FD2">
        <w:rPr>
          <w:rFonts w:cs="Arial"/>
          <w:b/>
          <w:sz w:val="22"/>
          <w:szCs w:val="22"/>
        </w:rPr>
        <w:t>£</w:t>
      </w:r>
      <w:r w:rsidR="00620FD2" w:rsidRPr="00620FD2">
        <w:rPr>
          <w:rFonts w:cs="Arial"/>
          <w:b/>
          <w:sz w:val="22"/>
          <w:szCs w:val="22"/>
          <w:lang w:eastAsia="en-GB"/>
        </w:rPr>
        <w:t>41</w:t>
      </w:r>
      <w:r w:rsidR="005C12B5">
        <w:rPr>
          <w:rFonts w:cs="Arial"/>
          <w:b/>
          <w:sz w:val="22"/>
          <w:szCs w:val="22"/>
          <w:lang w:eastAsia="en-GB"/>
        </w:rPr>
        <w:t>4.</w:t>
      </w:r>
      <w:r w:rsidR="00620FD2" w:rsidRPr="00620FD2">
        <w:rPr>
          <w:rFonts w:cs="Arial"/>
          <w:b/>
          <w:sz w:val="22"/>
          <w:szCs w:val="22"/>
          <w:lang w:eastAsia="en-GB"/>
        </w:rPr>
        <w:t xml:space="preserve">1 </w:t>
      </w:r>
      <w:r w:rsidRPr="00620FD2">
        <w:rPr>
          <w:rFonts w:cs="Arial"/>
          <w:b/>
          <w:sz w:val="22"/>
          <w:szCs w:val="22"/>
        </w:rPr>
        <w:t>million</w:t>
      </w:r>
      <w:r w:rsidRPr="00620FD2">
        <w:rPr>
          <w:rFonts w:cs="Arial"/>
          <w:sz w:val="22"/>
          <w:szCs w:val="22"/>
        </w:rPr>
        <w:t xml:space="preserve"> (2024 prices) in the high scenario.</w:t>
      </w:r>
    </w:p>
    <w:p w14:paraId="1377FC78" w14:textId="1F19B00F" w:rsidR="00F03513" w:rsidRPr="00441AF5" w:rsidRDefault="00F03513" w:rsidP="00F03513">
      <w:pPr>
        <w:spacing w:after="120" w:line="259" w:lineRule="auto"/>
        <w:ind w:firstLine="567"/>
        <w:jc w:val="both"/>
        <w:rPr>
          <w:rFonts w:cs="Arial"/>
          <w:b/>
          <w:sz w:val="22"/>
          <w:szCs w:val="22"/>
        </w:rPr>
      </w:pPr>
      <w:r w:rsidRPr="00DA0A81">
        <w:rPr>
          <w:rFonts w:cs="Arial"/>
          <w:b/>
          <w:sz w:val="22"/>
          <w:szCs w:val="22"/>
        </w:rPr>
        <w:t xml:space="preserve">Table </w:t>
      </w:r>
      <w:r w:rsidR="002D51FE" w:rsidRPr="00DA0A81">
        <w:rPr>
          <w:rFonts w:cs="Arial"/>
          <w:b/>
          <w:sz w:val="22"/>
          <w:szCs w:val="22"/>
        </w:rPr>
        <w:t>6</w:t>
      </w:r>
      <w:r w:rsidRPr="00DA0A81">
        <w:rPr>
          <w:rFonts w:cs="Arial"/>
          <w:b/>
          <w:sz w:val="22"/>
          <w:szCs w:val="22"/>
        </w:rPr>
        <w:t>,</w:t>
      </w:r>
      <w:r w:rsidRPr="006A74DA">
        <w:rPr>
          <w:rFonts w:cs="Arial"/>
          <w:b/>
          <w:sz w:val="22"/>
          <w:szCs w:val="22"/>
        </w:rPr>
        <w:t xml:space="preserve"> </w:t>
      </w:r>
      <w:r w:rsidR="00261AAA" w:rsidRPr="006A74DA">
        <w:rPr>
          <w:rFonts w:cs="Arial"/>
          <w:b/>
          <w:sz w:val="22"/>
          <w:szCs w:val="22"/>
        </w:rPr>
        <w:t>Training</w:t>
      </w:r>
      <w:r w:rsidRPr="006A74DA">
        <w:rPr>
          <w:rFonts w:cs="Arial"/>
          <w:b/>
          <w:sz w:val="22"/>
          <w:szCs w:val="22"/>
        </w:rPr>
        <w:t xml:space="preserve"> </w:t>
      </w:r>
      <w:r w:rsidR="00726C75" w:rsidRPr="006A74DA">
        <w:rPr>
          <w:rFonts w:cs="Arial"/>
          <w:b/>
          <w:sz w:val="22"/>
          <w:szCs w:val="22"/>
        </w:rPr>
        <w:t>S</w:t>
      </w:r>
      <w:r w:rsidRPr="006A74DA">
        <w:rPr>
          <w:rFonts w:cs="Arial"/>
          <w:b/>
          <w:sz w:val="22"/>
          <w:szCs w:val="22"/>
        </w:rPr>
        <w:t xml:space="preserve">et-up </w:t>
      </w:r>
      <w:r w:rsidR="00726C75" w:rsidRPr="006A74DA">
        <w:rPr>
          <w:rFonts w:cs="Arial"/>
          <w:b/>
          <w:sz w:val="22"/>
          <w:szCs w:val="22"/>
        </w:rPr>
        <w:t>C</w:t>
      </w:r>
      <w:r w:rsidRPr="006A74DA">
        <w:rPr>
          <w:rFonts w:cs="Arial"/>
          <w:b/>
          <w:sz w:val="22"/>
          <w:szCs w:val="22"/>
        </w:rPr>
        <w:t>osts</w:t>
      </w:r>
      <w:r w:rsidR="00D97A1A" w:rsidRPr="006A74DA">
        <w:rPr>
          <w:rFonts w:cs="Arial"/>
          <w:b/>
          <w:sz w:val="22"/>
          <w:szCs w:val="22"/>
        </w:rPr>
        <w:t>, £ million (2024</w:t>
      </w:r>
      <w:r w:rsidR="00D97A1A" w:rsidRPr="00441AF5">
        <w:rPr>
          <w:rFonts w:cs="Arial"/>
          <w:b/>
          <w:sz w:val="22"/>
          <w:szCs w:val="22"/>
        </w:rPr>
        <w:t xml:space="preserve"> prices)</w:t>
      </w:r>
    </w:p>
    <w:tbl>
      <w:tblPr>
        <w:tblW w:w="9530" w:type="dxa"/>
        <w:tblInd w:w="530" w:type="dxa"/>
        <w:tblLook w:val="04A0" w:firstRow="1" w:lastRow="0" w:firstColumn="1" w:lastColumn="0" w:noHBand="0" w:noVBand="1"/>
      </w:tblPr>
      <w:tblGrid>
        <w:gridCol w:w="2163"/>
        <w:gridCol w:w="2405"/>
        <w:gridCol w:w="2552"/>
        <w:gridCol w:w="2410"/>
      </w:tblGrid>
      <w:tr w:rsidR="001D081D" w:rsidRPr="001D081D" w14:paraId="7FF3A87C" w14:textId="77777777" w:rsidTr="001458B6">
        <w:trPr>
          <w:trHeight w:val="340"/>
        </w:trPr>
        <w:tc>
          <w:tcPr>
            <w:tcW w:w="21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D4D50" w14:textId="5E5B98CD" w:rsidR="00F03513" w:rsidRPr="00441AF5" w:rsidRDefault="00F03513">
            <w:pPr>
              <w:rPr>
                <w:rFonts w:cs="Arial"/>
                <w:b/>
                <w:sz w:val="22"/>
                <w:szCs w:val="22"/>
                <w:lang w:eastAsia="en-GB"/>
              </w:rPr>
            </w:pPr>
            <w:r w:rsidRPr="00441AF5">
              <w:rPr>
                <w:rFonts w:cs="Arial"/>
                <w:b/>
                <w:sz w:val="22"/>
                <w:szCs w:val="22"/>
                <w:lang w:eastAsia="en-GB"/>
              </w:rPr>
              <w:t>Training</w:t>
            </w:r>
          </w:p>
        </w:tc>
        <w:tc>
          <w:tcPr>
            <w:tcW w:w="2405" w:type="dxa"/>
            <w:tcBorders>
              <w:top w:val="single" w:sz="4" w:space="0" w:color="auto"/>
              <w:left w:val="nil"/>
              <w:bottom w:val="single" w:sz="4" w:space="0" w:color="auto"/>
              <w:right w:val="single" w:sz="4" w:space="0" w:color="auto"/>
            </w:tcBorders>
            <w:vAlign w:val="center"/>
          </w:tcPr>
          <w:p w14:paraId="76CBF06B" w14:textId="4A65772E" w:rsidR="00F03513" w:rsidRPr="00441AF5" w:rsidRDefault="00F03513" w:rsidP="005F6F24">
            <w:pPr>
              <w:jc w:val="center"/>
              <w:rPr>
                <w:rFonts w:cs="Arial"/>
                <w:b/>
                <w:sz w:val="22"/>
                <w:szCs w:val="22"/>
                <w:lang w:eastAsia="en-GB"/>
              </w:rPr>
            </w:pPr>
            <w:r w:rsidRPr="00441AF5">
              <w:rPr>
                <w:rFonts w:cs="Arial"/>
                <w:b/>
                <w:sz w:val="22"/>
                <w:szCs w:val="22"/>
                <w:lang w:eastAsia="en-GB"/>
              </w:rPr>
              <w:t xml:space="preserve">Low </w:t>
            </w:r>
            <w:r w:rsidR="002D51FE" w:rsidRPr="00441AF5">
              <w:rPr>
                <w:rFonts w:cs="Arial"/>
                <w:b/>
                <w:sz w:val="22"/>
                <w:szCs w:val="22"/>
                <w:lang w:eastAsia="en-GB"/>
              </w:rPr>
              <w:t>Estimate</w:t>
            </w:r>
            <w:r w:rsidR="00084BD8">
              <w:rPr>
                <w:rFonts w:cs="Arial"/>
                <w:b/>
                <w:sz w:val="22"/>
                <w:szCs w:val="22"/>
                <w:lang w:eastAsia="en-GB"/>
              </w:rPr>
              <w:t xml:space="preserve"> </w:t>
            </w:r>
          </w:p>
        </w:tc>
        <w:tc>
          <w:tcPr>
            <w:tcW w:w="2552" w:type="dxa"/>
            <w:tcBorders>
              <w:top w:val="single" w:sz="4" w:space="0" w:color="auto"/>
              <w:left w:val="single" w:sz="4" w:space="0" w:color="auto"/>
              <w:bottom w:val="single" w:sz="4" w:space="0" w:color="auto"/>
              <w:right w:val="single" w:sz="4" w:space="0" w:color="auto"/>
            </w:tcBorders>
            <w:vAlign w:val="center"/>
          </w:tcPr>
          <w:p w14:paraId="08D32C44" w14:textId="319A0DDC" w:rsidR="00F03513" w:rsidRPr="00441AF5" w:rsidRDefault="002D51FE" w:rsidP="005F6F24">
            <w:pPr>
              <w:jc w:val="center"/>
              <w:rPr>
                <w:rFonts w:cs="Arial"/>
                <w:b/>
                <w:sz w:val="22"/>
                <w:szCs w:val="22"/>
                <w:lang w:eastAsia="en-GB"/>
              </w:rPr>
            </w:pPr>
            <w:r w:rsidRPr="00441AF5">
              <w:rPr>
                <w:rFonts w:cs="Arial"/>
                <w:b/>
                <w:sz w:val="22"/>
                <w:szCs w:val="22"/>
                <w:lang w:eastAsia="en-GB"/>
              </w:rPr>
              <w:t>Best Estimate</w:t>
            </w:r>
            <w:r w:rsidR="00084BD8">
              <w:rPr>
                <w:rFonts w:cs="Arial"/>
                <w:b/>
                <w:sz w:val="22"/>
                <w:szCs w:val="22"/>
                <w:lang w:eastAsia="en-GB"/>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5D5B1" w14:textId="7E12733B" w:rsidR="00F03513" w:rsidRPr="00441AF5" w:rsidRDefault="00F03513" w:rsidP="005F6F24">
            <w:pPr>
              <w:jc w:val="center"/>
              <w:rPr>
                <w:rFonts w:cs="Arial"/>
                <w:b/>
                <w:sz w:val="22"/>
                <w:szCs w:val="22"/>
                <w:lang w:eastAsia="en-GB"/>
              </w:rPr>
            </w:pPr>
            <w:r w:rsidRPr="00441AF5">
              <w:rPr>
                <w:rFonts w:cs="Arial"/>
                <w:b/>
                <w:sz w:val="22"/>
                <w:szCs w:val="22"/>
                <w:lang w:eastAsia="en-GB"/>
              </w:rPr>
              <w:t xml:space="preserve">High </w:t>
            </w:r>
            <w:r w:rsidR="002D51FE" w:rsidRPr="00441AF5">
              <w:rPr>
                <w:rFonts w:cs="Arial"/>
                <w:b/>
                <w:sz w:val="22"/>
                <w:szCs w:val="22"/>
                <w:lang w:eastAsia="en-GB"/>
              </w:rPr>
              <w:t>Estimate</w:t>
            </w:r>
            <w:r w:rsidR="00084BD8">
              <w:rPr>
                <w:rFonts w:cs="Arial"/>
                <w:b/>
                <w:sz w:val="22"/>
                <w:szCs w:val="22"/>
                <w:lang w:eastAsia="en-GB"/>
              </w:rPr>
              <w:t xml:space="preserve"> </w:t>
            </w:r>
          </w:p>
        </w:tc>
      </w:tr>
      <w:tr w:rsidR="001D081D" w:rsidRPr="001D081D" w14:paraId="18380951" w14:textId="77777777" w:rsidTr="001458B6">
        <w:trPr>
          <w:trHeight w:val="340"/>
        </w:trPr>
        <w:tc>
          <w:tcPr>
            <w:tcW w:w="2163" w:type="dxa"/>
            <w:tcBorders>
              <w:top w:val="nil"/>
              <w:left w:val="single" w:sz="4" w:space="0" w:color="auto"/>
              <w:bottom w:val="nil"/>
              <w:right w:val="single" w:sz="4" w:space="0" w:color="auto"/>
            </w:tcBorders>
            <w:shd w:val="clear" w:color="auto" w:fill="auto"/>
            <w:noWrap/>
            <w:vAlign w:val="bottom"/>
            <w:hideMark/>
          </w:tcPr>
          <w:p w14:paraId="41939E4C" w14:textId="77777777" w:rsidR="00F03513" w:rsidRPr="00441AF5" w:rsidRDefault="00F03513">
            <w:pPr>
              <w:rPr>
                <w:rFonts w:cs="Arial"/>
                <w:sz w:val="22"/>
                <w:szCs w:val="22"/>
                <w:lang w:eastAsia="en-GB"/>
              </w:rPr>
            </w:pPr>
            <w:r w:rsidRPr="00441AF5">
              <w:rPr>
                <w:rFonts w:cs="Arial"/>
                <w:sz w:val="22"/>
                <w:szCs w:val="22"/>
                <w:lang w:eastAsia="en-GB"/>
              </w:rPr>
              <w:t>Large</w:t>
            </w:r>
          </w:p>
        </w:tc>
        <w:tc>
          <w:tcPr>
            <w:tcW w:w="2405" w:type="dxa"/>
            <w:tcBorders>
              <w:top w:val="nil"/>
              <w:left w:val="nil"/>
              <w:bottom w:val="nil"/>
              <w:right w:val="single" w:sz="4" w:space="0" w:color="auto"/>
            </w:tcBorders>
            <w:shd w:val="clear" w:color="auto" w:fill="auto"/>
            <w:vAlign w:val="center"/>
          </w:tcPr>
          <w:p w14:paraId="686FEE76" w14:textId="6F8F3461" w:rsidR="00F03513" w:rsidRPr="00D62B5B" w:rsidRDefault="00F863CE">
            <w:pPr>
              <w:jc w:val="right"/>
              <w:rPr>
                <w:rFonts w:cs="Arial"/>
                <w:sz w:val="22"/>
                <w:szCs w:val="22"/>
              </w:rPr>
            </w:pPr>
            <w:r w:rsidRPr="00D62B5B">
              <w:rPr>
                <w:rFonts w:cs="Arial"/>
                <w:sz w:val="22"/>
                <w:szCs w:val="22"/>
              </w:rPr>
              <w:t>3</w:t>
            </w:r>
            <w:r w:rsidR="003B6080">
              <w:rPr>
                <w:rFonts w:cs="Arial"/>
                <w:sz w:val="22"/>
                <w:szCs w:val="22"/>
              </w:rPr>
              <w:t>7.6</w:t>
            </w:r>
          </w:p>
        </w:tc>
        <w:tc>
          <w:tcPr>
            <w:tcW w:w="2552" w:type="dxa"/>
            <w:tcBorders>
              <w:top w:val="nil"/>
              <w:left w:val="single" w:sz="4" w:space="0" w:color="auto"/>
              <w:bottom w:val="nil"/>
              <w:right w:val="single" w:sz="4" w:space="0" w:color="auto"/>
            </w:tcBorders>
            <w:shd w:val="clear" w:color="auto" w:fill="auto"/>
            <w:vAlign w:val="center"/>
          </w:tcPr>
          <w:p w14:paraId="291C1A95" w14:textId="78E868D8" w:rsidR="00F03513" w:rsidRPr="00D62B5B" w:rsidRDefault="000C45E1">
            <w:pPr>
              <w:jc w:val="right"/>
              <w:rPr>
                <w:rFonts w:cs="Arial"/>
                <w:sz w:val="22"/>
                <w:szCs w:val="22"/>
              </w:rPr>
            </w:pPr>
            <w:r w:rsidRPr="00D62B5B">
              <w:rPr>
                <w:rFonts w:cs="Arial"/>
                <w:sz w:val="22"/>
                <w:szCs w:val="22"/>
              </w:rPr>
              <w:t>4</w:t>
            </w:r>
            <w:r w:rsidR="00F423EE">
              <w:rPr>
                <w:rFonts w:cs="Arial"/>
                <w:sz w:val="22"/>
                <w:szCs w:val="22"/>
              </w:rPr>
              <w:t>5.</w:t>
            </w:r>
            <w:r w:rsidR="001B481F">
              <w:rPr>
                <w:rFonts w:cs="Arial"/>
                <w:sz w:val="22"/>
                <w:szCs w:val="22"/>
              </w:rPr>
              <w:t>7</w:t>
            </w:r>
          </w:p>
        </w:tc>
        <w:tc>
          <w:tcPr>
            <w:tcW w:w="2410" w:type="dxa"/>
            <w:tcBorders>
              <w:top w:val="nil"/>
              <w:left w:val="single" w:sz="4" w:space="0" w:color="auto"/>
              <w:bottom w:val="nil"/>
              <w:right w:val="single" w:sz="4" w:space="0" w:color="auto"/>
            </w:tcBorders>
            <w:shd w:val="clear" w:color="auto" w:fill="auto"/>
            <w:noWrap/>
            <w:vAlign w:val="center"/>
          </w:tcPr>
          <w:p w14:paraId="36348751" w14:textId="52F1198E" w:rsidR="00F03513" w:rsidRPr="00D62B5B" w:rsidRDefault="00E34676">
            <w:pPr>
              <w:jc w:val="right"/>
              <w:rPr>
                <w:rFonts w:cs="Arial"/>
                <w:sz w:val="22"/>
                <w:szCs w:val="22"/>
                <w:lang w:eastAsia="en-GB"/>
              </w:rPr>
            </w:pPr>
            <w:r w:rsidRPr="00D62B5B">
              <w:rPr>
                <w:rFonts w:cs="Arial"/>
                <w:sz w:val="22"/>
                <w:szCs w:val="22"/>
                <w:lang w:eastAsia="en-GB"/>
              </w:rPr>
              <w:t>5</w:t>
            </w:r>
            <w:r w:rsidR="00E41DCA">
              <w:rPr>
                <w:rFonts w:cs="Arial"/>
                <w:sz w:val="22"/>
                <w:szCs w:val="22"/>
                <w:lang w:eastAsia="en-GB"/>
              </w:rPr>
              <w:t>3.7</w:t>
            </w:r>
          </w:p>
        </w:tc>
      </w:tr>
      <w:tr w:rsidR="001D081D" w:rsidRPr="001D081D" w14:paraId="4679990C" w14:textId="77777777" w:rsidTr="001458B6">
        <w:trPr>
          <w:trHeight w:val="340"/>
        </w:trPr>
        <w:tc>
          <w:tcPr>
            <w:tcW w:w="2163" w:type="dxa"/>
            <w:tcBorders>
              <w:top w:val="nil"/>
              <w:left w:val="single" w:sz="4" w:space="0" w:color="auto"/>
              <w:bottom w:val="single" w:sz="4" w:space="0" w:color="auto"/>
              <w:right w:val="single" w:sz="4" w:space="0" w:color="auto"/>
            </w:tcBorders>
            <w:shd w:val="clear" w:color="auto" w:fill="auto"/>
            <w:noWrap/>
            <w:vAlign w:val="bottom"/>
            <w:hideMark/>
          </w:tcPr>
          <w:p w14:paraId="38CA2891" w14:textId="77777777" w:rsidR="00F03513" w:rsidRPr="00441AF5" w:rsidRDefault="00F03513">
            <w:pPr>
              <w:rPr>
                <w:rFonts w:cs="Arial"/>
                <w:sz w:val="22"/>
                <w:szCs w:val="22"/>
                <w:lang w:eastAsia="en-GB"/>
              </w:rPr>
            </w:pPr>
            <w:r w:rsidRPr="00441AF5">
              <w:rPr>
                <w:rFonts w:cs="Arial"/>
                <w:sz w:val="22"/>
                <w:szCs w:val="22"/>
                <w:lang w:eastAsia="en-GB"/>
              </w:rPr>
              <w:t>Largest</w:t>
            </w:r>
          </w:p>
        </w:tc>
        <w:tc>
          <w:tcPr>
            <w:tcW w:w="2405" w:type="dxa"/>
            <w:tcBorders>
              <w:top w:val="nil"/>
              <w:left w:val="nil"/>
              <w:bottom w:val="single" w:sz="4" w:space="0" w:color="auto"/>
              <w:right w:val="single" w:sz="4" w:space="0" w:color="auto"/>
            </w:tcBorders>
            <w:shd w:val="clear" w:color="auto" w:fill="auto"/>
            <w:vAlign w:val="center"/>
          </w:tcPr>
          <w:p w14:paraId="43F2E7C4" w14:textId="50DC7AB8" w:rsidR="00F03513" w:rsidRPr="00D62B5B" w:rsidRDefault="0050736E">
            <w:pPr>
              <w:jc w:val="right"/>
              <w:rPr>
                <w:rFonts w:cs="Arial"/>
                <w:sz w:val="22"/>
                <w:szCs w:val="22"/>
              </w:rPr>
            </w:pPr>
            <w:r w:rsidRPr="00D62B5B">
              <w:rPr>
                <w:rFonts w:cs="Arial"/>
                <w:sz w:val="22"/>
                <w:szCs w:val="22"/>
              </w:rPr>
              <w:t>2</w:t>
            </w:r>
            <w:r w:rsidR="008B34FA">
              <w:rPr>
                <w:rFonts w:cs="Arial"/>
                <w:sz w:val="22"/>
                <w:szCs w:val="22"/>
              </w:rPr>
              <w:t>52.</w:t>
            </w:r>
            <w:r w:rsidRPr="00D62B5B">
              <w:rPr>
                <w:rFonts w:cs="Arial"/>
                <w:sz w:val="22"/>
                <w:szCs w:val="22"/>
              </w:rPr>
              <w:t>2</w:t>
            </w:r>
          </w:p>
        </w:tc>
        <w:tc>
          <w:tcPr>
            <w:tcW w:w="2552" w:type="dxa"/>
            <w:tcBorders>
              <w:top w:val="nil"/>
              <w:left w:val="single" w:sz="4" w:space="0" w:color="auto"/>
              <w:bottom w:val="single" w:sz="4" w:space="0" w:color="auto"/>
              <w:right w:val="single" w:sz="4" w:space="0" w:color="auto"/>
            </w:tcBorders>
            <w:shd w:val="clear" w:color="auto" w:fill="auto"/>
            <w:vAlign w:val="center"/>
          </w:tcPr>
          <w:p w14:paraId="58B23161" w14:textId="79096115" w:rsidR="00F03513" w:rsidRPr="00D62B5B" w:rsidRDefault="00495311">
            <w:pPr>
              <w:jc w:val="right"/>
              <w:rPr>
                <w:rFonts w:cs="Arial"/>
                <w:sz w:val="22"/>
                <w:szCs w:val="22"/>
              </w:rPr>
            </w:pPr>
            <w:r>
              <w:rPr>
                <w:rFonts w:cs="Arial"/>
                <w:sz w:val="22"/>
                <w:szCs w:val="22"/>
              </w:rPr>
              <w:t>306.3</w:t>
            </w:r>
          </w:p>
        </w:tc>
        <w:tc>
          <w:tcPr>
            <w:tcW w:w="2410" w:type="dxa"/>
            <w:tcBorders>
              <w:top w:val="nil"/>
              <w:left w:val="single" w:sz="4" w:space="0" w:color="auto"/>
              <w:bottom w:val="single" w:sz="4" w:space="0" w:color="auto"/>
              <w:right w:val="single" w:sz="4" w:space="0" w:color="auto"/>
            </w:tcBorders>
            <w:shd w:val="clear" w:color="auto" w:fill="auto"/>
            <w:noWrap/>
            <w:vAlign w:val="center"/>
          </w:tcPr>
          <w:p w14:paraId="471D34A6" w14:textId="77DE6021" w:rsidR="00F03513" w:rsidRPr="00D62B5B" w:rsidRDefault="00E91D43">
            <w:pPr>
              <w:jc w:val="right"/>
              <w:rPr>
                <w:rFonts w:cs="Arial"/>
                <w:sz w:val="22"/>
                <w:szCs w:val="22"/>
                <w:lang w:eastAsia="en-GB"/>
              </w:rPr>
            </w:pPr>
            <w:r w:rsidRPr="00D62B5B">
              <w:rPr>
                <w:rFonts w:cs="Arial"/>
                <w:sz w:val="22"/>
                <w:szCs w:val="22"/>
                <w:lang w:eastAsia="en-GB"/>
              </w:rPr>
              <w:t>3</w:t>
            </w:r>
            <w:r w:rsidR="00E41DCA">
              <w:rPr>
                <w:rFonts w:cs="Arial"/>
                <w:sz w:val="22"/>
                <w:szCs w:val="22"/>
                <w:lang w:eastAsia="en-GB"/>
              </w:rPr>
              <w:t>60.</w:t>
            </w:r>
            <w:r w:rsidRPr="00D62B5B">
              <w:rPr>
                <w:rFonts w:cs="Arial"/>
                <w:sz w:val="22"/>
                <w:szCs w:val="22"/>
                <w:lang w:eastAsia="en-GB"/>
              </w:rPr>
              <w:t>3</w:t>
            </w:r>
          </w:p>
        </w:tc>
      </w:tr>
      <w:tr w:rsidR="001D081D" w:rsidRPr="001D081D" w14:paraId="51EA5F3A" w14:textId="77777777" w:rsidTr="001458B6">
        <w:trPr>
          <w:trHeight w:val="340"/>
        </w:trPr>
        <w:tc>
          <w:tcPr>
            <w:tcW w:w="2163" w:type="dxa"/>
            <w:tcBorders>
              <w:top w:val="nil"/>
              <w:left w:val="single" w:sz="4" w:space="0" w:color="auto"/>
              <w:bottom w:val="single" w:sz="4" w:space="0" w:color="auto"/>
              <w:right w:val="single" w:sz="4" w:space="0" w:color="auto"/>
            </w:tcBorders>
            <w:shd w:val="clear" w:color="auto" w:fill="auto"/>
            <w:noWrap/>
            <w:vAlign w:val="bottom"/>
            <w:hideMark/>
          </w:tcPr>
          <w:p w14:paraId="41F14BE8" w14:textId="77777777" w:rsidR="00F03513" w:rsidRPr="00441AF5" w:rsidRDefault="00F03513">
            <w:pPr>
              <w:rPr>
                <w:rFonts w:cs="Arial"/>
                <w:b/>
                <w:sz w:val="22"/>
                <w:szCs w:val="22"/>
                <w:lang w:eastAsia="en-GB"/>
              </w:rPr>
            </w:pPr>
            <w:r w:rsidRPr="00441AF5">
              <w:rPr>
                <w:rFonts w:cs="Arial"/>
                <w:b/>
                <w:sz w:val="22"/>
                <w:szCs w:val="22"/>
                <w:lang w:eastAsia="en-GB"/>
              </w:rPr>
              <w:t>Total</w:t>
            </w:r>
          </w:p>
        </w:tc>
        <w:tc>
          <w:tcPr>
            <w:tcW w:w="2405" w:type="dxa"/>
            <w:tcBorders>
              <w:top w:val="nil"/>
              <w:left w:val="nil"/>
              <w:bottom w:val="single" w:sz="4" w:space="0" w:color="auto"/>
              <w:right w:val="single" w:sz="4" w:space="0" w:color="auto"/>
            </w:tcBorders>
            <w:shd w:val="clear" w:color="auto" w:fill="auto"/>
            <w:vAlign w:val="center"/>
          </w:tcPr>
          <w:p w14:paraId="6E53EC88" w14:textId="291ADBC8" w:rsidR="00F03513" w:rsidRPr="00D62B5B" w:rsidRDefault="001B2CB8">
            <w:pPr>
              <w:jc w:val="right"/>
              <w:rPr>
                <w:rFonts w:cs="Arial"/>
                <w:b/>
                <w:sz w:val="22"/>
                <w:szCs w:val="22"/>
              </w:rPr>
            </w:pPr>
            <w:r w:rsidRPr="00D62B5B" w:rsidDel="00FB4A90">
              <w:rPr>
                <w:rFonts w:cs="Arial"/>
                <w:b/>
                <w:sz w:val="22"/>
                <w:szCs w:val="22"/>
              </w:rPr>
              <w:t>2</w:t>
            </w:r>
            <w:r w:rsidR="00FB4A90">
              <w:rPr>
                <w:rFonts w:cs="Arial"/>
                <w:b/>
                <w:sz w:val="22"/>
                <w:szCs w:val="22"/>
              </w:rPr>
              <w:t>8</w:t>
            </w:r>
            <w:r w:rsidR="005D1EB3">
              <w:rPr>
                <w:rFonts w:cs="Arial"/>
                <w:b/>
                <w:sz w:val="22"/>
                <w:szCs w:val="22"/>
              </w:rPr>
              <w:t>9</w:t>
            </w:r>
            <w:r w:rsidR="00F423EE">
              <w:rPr>
                <w:rFonts w:cs="Arial"/>
                <w:b/>
                <w:sz w:val="22"/>
                <w:szCs w:val="22"/>
              </w:rPr>
              <w:t>.9</w:t>
            </w:r>
          </w:p>
        </w:tc>
        <w:tc>
          <w:tcPr>
            <w:tcW w:w="2552" w:type="dxa"/>
            <w:tcBorders>
              <w:top w:val="nil"/>
              <w:left w:val="single" w:sz="4" w:space="0" w:color="auto"/>
              <w:bottom w:val="single" w:sz="4" w:space="0" w:color="auto"/>
              <w:right w:val="single" w:sz="4" w:space="0" w:color="auto"/>
            </w:tcBorders>
            <w:shd w:val="clear" w:color="auto" w:fill="auto"/>
            <w:vAlign w:val="center"/>
          </w:tcPr>
          <w:p w14:paraId="24A618D1" w14:textId="36BB2267" w:rsidR="00F03513" w:rsidRPr="00D62B5B" w:rsidRDefault="00495311">
            <w:pPr>
              <w:jc w:val="right"/>
              <w:rPr>
                <w:rFonts w:cs="Arial"/>
                <w:b/>
                <w:sz w:val="22"/>
                <w:szCs w:val="22"/>
              </w:rPr>
            </w:pPr>
            <w:r>
              <w:rPr>
                <w:rFonts w:cs="Arial"/>
                <w:b/>
                <w:sz w:val="22"/>
                <w:szCs w:val="22"/>
              </w:rPr>
              <w:t>35</w:t>
            </w:r>
            <w:r w:rsidR="00A35E6E">
              <w:rPr>
                <w:rFonts w:cs="Arial"/>
                <w:b/>
                <w:sz w:val="22"/>
                <w:szCs w:val="22"/>
              </w:rPr>
              <w:t>2.0</w:t>
            </w:r>
          </w:p>
        </w:tc>
        <w:tc>
          <w:tcPr>
            <w:tcW w:w="2410" w:type="dxa"/>
            <w:tcBorders>
              <w:top w:val="nil"/>
              <w:left w:val="single" w:sz="4" w:space="0" w:color="auto"/>
              <w:bottom w:val="single" w:sz="4" w:space="0" w:color="auto"/>
              <w:right w:val="single" w:sz="4" w:space="0" w:color="auto"/>
            </w:tcBorders>
            <w:shd w:val="clear" w:color="auto" w:fill="auto"/>
            <w:noWrap/>
            <w:vAlign w:val="center"/>
          </w:tcPr>
          <w:p w14:paraId="1312C3B3" w14:textId="44239F23" w:rsidR="00F03513" w:rsidRPr="00D62B5B" w:rsidRDefault="00DA0A81">
            <w:pPr>
              <w:jc w:val="right"/>
              <w:rPr>
                <w:rFonts w:cs="Arial"/>
                <w:b/>
                <w:sz w:val="22"/>
                <w:szCs w:val="22"/>
                <w:lang w:eastAsia="en-GB"/>
              </w:rPr>
            </w:pPr>
            <w:r>
              <w:rPr>
                <w:rFonts w:cs="Arial"/>
                <w:b/>
                <w:sz w:val="22"/>
                <w:szCs w:val="22"/>
                <w:lang w:eastAsia="en-GB"/>
              </w:rPr>
              <w:t>4</w:t>
            </w:r>
            <w:r w:rsidR="00E41DCA">
              <w:rPr>
                <w:rFonts w:cs="Arial"/>
                <w:b/>
                <w:sz w:val="22"/>
                <w:szCs w:val="22"/>
                <w:lang w:eastAsia="en-GB"/>
              </w:rPr>
              <w:t>14.</w:t>
            </w:r>
            <w:r w:rsidDel="00E41DCA">
              <w:rPr>
                <w:rFonts w:cs="Arial"/>
                <w:b/>
                <w:sz w:val="22"/>
                <w:szCs w:val="22"/>
                <w:lang w:eastAsia="en-GB"/>
              </w:rPr>
              <w:t>1</w:t>
            </w:r>
          </w:p>
        </w:tc>
      </w:tr>
    </w:tbl>
    <w:p w14:paraId="27540C90" w14:textId="520FEC1B" w:rsidR="00F03513" w:rsidRPr="0029116F" w:rsidRDefault="00F03513" w:rsidP="0029116F">
      <w:pPr>
        <w:pStyle w:val="ListParagraph"/>
        <w:spacing w:after="120" w:line="259" w:lineRule="auto"/>
        <w:ind w:left="567"/>
        <w:jc w:val="both"/>
        <w:rPr>
          <w:rFonts w:cs="Arial"/>
          <w:b/>
          <w:bCs/>
          <w:sz w:val="18"/>
          <w:szCs w:val="18"/>
        </w:rPr>
      </w:pPr>
      <w:r w:rsidRPr="0029116F">
        <w:rPr>
          <w:rFonts w:cs="Arial"/>
          <w:sz w:val="18"/>
          <w:szCs w:val="18"/>
        </w:rPr>
        <w:t>Source: DBT</w:t>
      </w:r>
      <w:r w:rsidRPr="0029116F" w:rsidDel="00F50A18">
        <w:rPr>
          <w:rFonts w:cs="Arial"/>
          <w:sz w:val="18"/>
          <w:szCs w:val="18"/>
        </w:rPr>
        <w:t xml:space="preserve"> </w:t>
      </w:r>
      <w:r w:rsidRPr="0029116F">
        <w:rPr>
          <w:rFonts w:cs="Arial"/>
          <w:sz w:val="18"/>
          <w:szCs w:val="18"/>
        </w:rPr>
        <w:t>calculations.</w:t>
      </w:r>
      <w:r w:rsidR="004D76B9">
        <w:rPr>
          <w:rFonts w:cs="Arial"/>
          <w:sz w:val="18"/>
          <w:szCs w:val="18"/>
        </w:rPr>
        <w:t xml:space="preserve"> Numbers may not sum due to rounding.</w:t>
      </w:r>
    </w:p>
    <w:p w14:paraId="40361256" w14:textId="461346E3" w:rsidR="007030AD" w:rsidRPr="00913C76" w:rsidRDefault="00714CBF" w:rsidP="00627D49">
      <w:pPr>
        <w:spacing w:after="120"/>
        <w:rPr>
          <w:rFonts w:cs="Arial"/>
          <w:sz w:val="22"/>
          <w:szCs w:val="22"/>
        </w:rPr>
      </w:pPr>
      <w:r w:rsidRPr="00913C76">
        <w:rPr>
          <w:rFonts w:cs="Arial"/>
          <w:b/>
          <w:bCs/>
          <w:sz w:val="22"/>
          <w:szCs w:val="22"/>
        </w:rPr>
        <w:t xml:space="preserve">Total </w:t>
      </w:r>
      <w:r w:rsidR="00726C75" w:rsidRPr="00913C76">
        <w:rPr>
          <w:rFonts w:cs="Arial"/>
          <w:b/>
          <w:bCs/>
          <w:sz w:val="22"/>
          <w:szCs w:val="22"/>
        </w:rPr>
        <w:t>S</w:t>
      </w:r>
      <w:r w:rsidR="007030AD" w:rsidRPr="00913C76">
        <w:rPr>
          <w:rFonts w:cs="Arial"/>
          <w:b/>
          <w:bCs/>
          <w:sz w:val="22"/>
          <w:szCs w:val="22"/>
        </w:rPr>
        <w:t xml:space="preserve">et-up </w:t>
      </w:r>
      <w:r w:rsidR="00726C75" w:rsidRPr="00913C76">
        <w:rPr>
          <w:rFonts w:cs="Arial"/>
          <w:b/>
          <w:bCs/>
          <w:sz w:val="22"/>
          <w:szCs w:val="22"/>
        </w:rPr>
        <w:t>C</w:t>
      </w:r>
      <w:r w:rsidR="007030AD" w:rsidRPr="00913C76">
        <w:rPr>
          <w:rFonts w:cs="Arial"/>
          <w:b/>
          <w:bCs/>
          <w:sz w:val="22"/>
          <w:szCs w:val="22"/>
        </w:rPr>
        <w:t>osts</w:t>
      </w:r>
    </w:p>
    <w:p w14:paraId="35D62332" w14:textId="49223140" w:rsidR="00C8443E" w:rsidRDefault="005D4CB6" w:rsidP="00627D49">
      <w:pPr>
        <w:pStyle w:val="ListParagraph"/>
        <w:numPr>
          <w:ilvl w:val="0"/>
          <w:numId w:val="10"/>
        </w:numPr>
        <w:spacing w:after="120" w:line="259" w:lineRule="auto"/>
        <w:ind w:left="567" w:hanging="567"/>
        <w:contextualSpacing w:val="0"/>
        <w:jc w:val="both"/>
        <w:rPr>
          <w:rFonts w:cs="Arial"/>
          <w:sz w:val="22"/>
          <w:szCs w:val="22"/>
        </w:rPr>
      </w:pPr>
      <w:r w:rsidRPr="00620FD2">
        <w:rPr>
          <w:rFonts w:cs="Arial"/>
          <w:sz w:val="22"/>
          <w:szCs w:val="22"/>
        </w:rPr>
        <w:t>Total</w:t>
      </w:r>
      <w:r w:rsidR="00714CBF" w:rsidRPr="00620FD2">
        <w:rPr>
          <w:rFonts w:cs="Arial"/>
          <w:sz w:val="22"/>
          <w:szCs w:val="22"/>
        </w:rPr>
        <w:t xml:space="preserve"> </w:t>
      </w:r>
      <w:r w:rsidR="007030AD" w:rsidRPr="00620FD2">
        <w:rPr>
          <w:rFonts w:cs="Arial"/>
          <w:sz w:val="22"/>
          <w:szCs w:val="22"/>
        </w:rPr>
        <w:t>set-up costs</w:t>
      </w:r>
      <w:r w:rsidR="00CF61A5" w:rsidRPr="00620FD2">
        <w:rPr>
          <w:rFonts w:cs="Arial"/>
          <w:sz w:val="22"/>
          <w:szCs w:val="22"/>
        </w:rPr>
        <w:t xml:space="preserve"> (familiarisation, risk assessment, communications</w:t>
      </w:r>
      <w:r w:rsidR="006C5963">
        <w:rPr>
          <w:rFonts w:cs="Arial"/>
          <w:sz w:val="22"/>
          <w:szCs w:val="22"/>
        </w:rPr>
        <w:t>,</w:t>
      </w:r>
      <w:r w:rsidR="00CF61A5" w:rsidRPr="00620FD2">
        <w:rPr>
          <w:rFonts w:cs="Arial"/>
          <w:sz w:val="22"/>
          <w:szCs w:val="22"/>
        </w:rPr>
        <w:t xml:space="preserve"> and training)</w:t>
      </w:r>
      <w:r w:rsidR="007030AD" w:rsidRPr="00620FD2">
        <w:rPr>
          <w:rFonts w:cs="Arial"/>
          <w:sz w:val="22"/>
          <w:szCs w:val="22"/>
        </w:rPr>
        <w:t xml:space="preserve"> are estimated </w:t>
      </w:r>
      <w:r w:rsidR="001D043C" w:rsidRPr="00620FD2">
        <w:rPr>
          <w:rFonts w:cs="Arial"/>
          <w:sz w:val="22"/>
          <w:szCs w:val="22"/>
        </w:rPr>
        <w:t xml:space="preserve">to be </w:t>
      </w:r>
      <w:r w:rsidR="001D043C" w:rsidRPr="00620FD2">
        <w:rPr>
          <w:rFonts w:cs="Arial"/>
          <w:b/>
          <w:sz w:val="22"/>
          <w:szCs w:val="22"/>
        </w:rPr>
        <w:t>£</w:t>
      </w:r>
      <w:r w:rsidR="00620FD2" w:rsidRPr="00620FD2">
        <w:rPr>
          <w:rFonts w:cs="Arial"/>
          <w:b/>
          <w:sz w:val="22"/>
          <w:szCs w:val="22"/>
        </w:rPr>
        <w:t>4</w:t>
      </w:r>
      <w:r w:rsidR="000F52DD">
        <w:rPr>
          <w:rFonts w:cs="Arial"/>
          <w:b/>
          <w:sz w:val="22"/>
          <w:szCs w:val="22"/>
        </w:rPr>
        <w:t>21.5</w:t>
      </w:r>
      <w:r w:rsidR="00032F40" w:rsidRPr="00620FD2">
        <w:rPr>
          <w:rFonts w:cs="Arial"/>
          <w:b/>
          <w:sz w:val="22"/>
          <w:szCs w:val="22"/>
        </w:rPr>
        <w:t xml:space="preserve"> million</w:t>
      </w:r>
      <w:r w:rsidR="00CF61A5" w:rsidRPr="00620FD2">
        <w:rPr>
          <w:rFonts w:cs="Arial"/>
          <w:sz w:val="22"/>
          <w:szCs w:val="22"/>
        </w:rPr>
        <w:t xml:space="preserve"> </w:t>
      </w:r>
      <w:r w:rsidR="004420EB" w:rsidRPr="00620FD2">
        <w:rPr>
          <w:rFonts w:cs="Arial"/>
          <w:sz w:val="22"/>
          <w:szCs w:val="22"/>
        </w:rPr>
        <w:t>(2024 prices)</w:t>
      </w:r>
      <w:r w:rsidR="00CF61A5" w:rsidRPr="00620FD2">
        <w:rPr>
          <w:rFonts w:cs="Arial"/>
          <w:sz w:val="22"/>
          <w:szCs w:val="22"/>
        </w:rPr>
        <w:t xml:space="preserve"> in </w:t>
      </w:r>
      <w:r w:rsidR="00032F40" w:rsidRPr="00620FD2">
        <w:rPr>
          <w:rFonts w:cs="Arial"/>
          <w:sz w:val="22"/>
          <w:szCs w:val="22"/>
        </w:rPr>
        <w:t xml:space="preserve">the low scenario, </w:t>
      </w:r>
      <w:r w:rsidR="00032F40" w:rsidRPr="00620FD2">
        <w:rPr>
          <w:rFonts w:cs="Arial"/>
          <w:b/>
          <w:sz w:val="22"/>
          <w:szCs w:val="22"/>
        </w:rPr>
        <w:t>£</w:t>
      </w:r>
      <w:r w:rsidR="00620FD2" w:rsidRPr="00620FD2">
        <w:rPr>
          <w:rFonts w:cs="Arial"/>
          <w:b/>
          <w:sz w:val="22"/>
          <w:szCs w:val="22"/>
        </w:rPr>
        <w:t>4</w:t>
      </w:r>
      <w:r w:rsidR="000F52DD">
        <w:rPr>
          <w:rFonts w:cs="Arial"/>
          <w:b/>
          <w:sz w:val="22"/>
          <w:szCs w:val="22"/>
        </w:rPr>
        <w:t>8</w:t>
      </w:r>
      <w:r w:rsidR="001A2D51">
        <w:rPr>
          <w:rFonts w:cs="Arial"/>
          <w:b/>
          <w:sz w:val="22"/>
          <w:szCs w:val="22"/>
        </w:rPr>
        <w:t>6.</w:t>
      </w:r>
      <w:r w:rsidR="000F52DD">
        <w:rPr>
          <w:rFonts w:cs="Arial"/>
          <w:b/>
          <w:sz w:val="22"/>
          <w:szCs w:val="22"/>
        </w:rPr>
        <w:t>7</w:t>
      </w:r>
      <w:r w:rsidR="00620FD2" w:rsidRPr="00620FD2">
        <w:rPr>
          <w:rFonts w:cs="Arial"/>
          <w:b/>
          <w:sz w:val="22"/>
          <w:szCs w:val="22"/>
        </w:rPr>
        <w:t xml:space="preserve"> </w:t>
      </w:r>
      <w:r w:rsidR="00032F40" w:rsidRPr="00620FD2">
        <w:rPr>
          <w:rFonts w:cs="Arial"/>
          <w:b/>
          <w:sz w:val="22"/>
          <w:szCs w:val="22"/>
        </w:rPr>
        <w:t xml:space="preserve">million </w:t>
      </w:r>
      <w:r w:rsidR="00032F40" w:rsidRPr="00620FD2">
        <w:rPr>
          <w:rFonts w:cs="Arial"/>
          <w:sz w:val="22"/>
          <w:szCs w:val="22"/>
        </w:rPr>
        <w:t xml:space="preserve">(2024 prices) in the central/best scenario and </w:t>
      </w:r>
      <w:r w:rsidR="00032F40" w:rsidRPr="00620FD2">
        <w:rPr>
          <w:rFonts w:cs="Arial"/>
          <w:b/>
          <w:sz w:val="22"/>
          <w:szCs w:val="22"/>
        </w:rPr>
        <w:t>£</w:t>
      </w:r>
      <w:r w:rsidR="00620FD2" w:rsidRPr="00620FD2">
        <w:rPr>
          <w:rFonts w:cs="Arial"/>
          <w:b/>
          <w:sz w:val="22"/>
          <w:szCs w:val="22"/>
        </w:rPr>
        <w:t>5</w:t>
      </w:r>
      <w:r w:rsidR="000F52DD">
        <w:rPr>
          <w:rFonts w:cs="Arial"/>
          <w:b/>
          <w:sz w:val="22"/>
          <w:szCs w:val="22"/>
        </w:rPr>
        <w:t>52</w:t>
      </w:r>
      <w:r w:rsidR="006A74DA" w:rsidRPr="00620FD2" w:rsidDel="00620FD2">
        <w:rPr>
          <w:rFonts w:cs="Arial"/>
          <w:b/>
          <w:sz w:val="22"/>
          <w:szCs w:val="22"/>
        </w:rPr>
        <w:t>.</w:t>
      </w:r>
      <w:r w:rsidR="000F52DD">
        <w:rPr>
          <w:rFonts w:cs="Arial"/>
          <w:b/>
          <w:sz w:val="22"/>
          <w:szCs w:val="22"/>
        </w:rPr>
        <w:t>0</w:t>
      </w:r>
      <w:r w:rsidR="00032F40" w:rsidRPr="00620FD2" w:rsidDel="00620FD2">
        <w:rPr>
          <w:rFonts w:cs="Arial"/>
          <w:b/>
          <w:sz w:val="22"/>
          <w:szCs w:val="22"/>
        </w:rPr>
        <w:t xml:space="preserve"> </w:t>
      </w:r>
      <w:r w:rsidR="00032F40" w:rsidRPr="00620FD2">
        <w:rPr>
          <w:rFonts w:cs="Arial"/>
          <w:b/>
          <w:sz w:val="22"/>
          <w:szCs w:val="22"/>
        </w:rPr>
        <w:t>million</w:t>
      </w:r>
      <w:r w:rsidR="00032F40" w:rsidRPr="00620FD2">
        <w:rPr>
          <w:rFonts w:cs="Arial"/>
          <w:sz w:val="22"/>
          <w:szCs w:val="22"/>
        </w:rPr>
        <w:t xml:space="preserve"> (2024 prices) in the high scenario.</w:t>
      </w:r>
    </w:p>
    <w:p w14:paraId="71894745" w14:textId="644766A7" w:rsidR="007030AD" w:rsidRPr="00441AF5" w:rsidRDefault="007030AD" w:rsidP="00C8443E">
      <w:pPr>
        <w:spacing w:after="120" w:line="259" w:lineRule="auto"/>
        <w:ind w:left="567"/>
        <w:jc w:val="both"/>
        <w:rPr>
          <w:rFonts w:cs="Arial"/>
          <w:b/>
          <w:sz w:val="22"/>
          <w:szCs w:val="22"/>
        </w:rPr>
      </w:pPr>
      <w:r w:rsidRPr="0073366D">
        <w:rPr>
          <w:rFonts w:cs="Arial"/>
          <w:b/>
          <w:bCs/>
          <w:sz w:val="22"/>
          <w:szCs w:val="22"/>
        </w:rPr>
        <w:t>Ta</w:t>
      </w:r>
      <w:r w:rsidRPr="0073366D">
        <w:rPr>
          <w:rFonts w:cs="Arial"/>
          <w:b/>
          <w:sz w:val="22"/>
          <w:szCs w:val="22"/>
        </w:rPr>
        <w:t xml:space="preserve">ble </w:t>
      </w:r>
      <w:r w:rsidR="002D51FE" w:rsidRPr="0073366D">
        <w:rPr>
          <w:rFonts w:cs="Arial"/>
          <w:b/>
          <w:sz w:val="22"/>
          <w:szCs w:val="22"/>
        </w:rPr>
        <w:t>7</w:t>
      </w:r>
      <w:r w:rsidR="008F1FDC" w:rsidRPr="0073366D">
        <w:rPr>
          <w:rFonts w:cs="Arial"/>
          <w:b/>
          <w:sz w:val="22"/>
          <w:szCs w:val="22"/>
        </w:rPr>
        <w:t>,</w:t>
      </w:r>
      <w:r w:rsidRPr="00913C76">
        <w:rPr>
          <w:rFonts w:cs="Arial"/>
          <w:b/>
          <w:sz w:val="22"/>
          <w:szCs w:val="22"/>
        </w:rPr>
        <w:t xml:space="preserve"> </w:t>
      </w:r>
      <w:r w:rsidR="008F1FDC" w:rsidRPr="00913C76">
        <w:rPr>
          <w:rFonts w:cs="Arial"/>
          <w:b/>
          <w:sz w:val="22"/>
          <w:szCs w:val="22"/>
        </w:rPr>
        <w:t>All FTPF</w:t>
      </w:r>
      <w:r w:rsidRPr="00913C76">
        <w:rPr>
          <w:rFonts w:cs="Arial"/>
          <w:b/>
          <w:sz w:val="22"/>
          <w:szCs w:val="22"/>
        </w:rPr>
        <w:t xml:space="preserve"> </w:t>
      </w:r>
      <w:r w:rsidR="00726C75" w:rsidRPr="00913C76">
        <w:rPr>
          <w:rFonts w:cs="Arial"/>
          <w:b/>
          <w:sz w:val="22"/>
          <w:szCs w:val="22"/>
        </w:rPr>
        <w:t>S</w:t>
      </w:r>
      <w:r w:rsidRPr="00913C76">
        <w:rPr>
          <w:rFonts w:cs="Arial"/>
          <w:b/>
          <w:sz w:val="22"/>
          <w:szCs w:val="22"/>
        </w:rPr>
        <w:t xml:space="preserve">et-up </w:t>
      </w:r>
      <w:r w:rsidR="00726C75" w:rsidRPr="00913C76">
        <w:rPr>
          <w:rFonts w:cs="Arial"/>
          <w:b/>
          <w:sz w:val="22"/>
          <w:szCs w:val="22"/>
        </w:rPr>
        <w:t>C</w:t>
      </w:r>
      <w:r w:rsidRPr="00913C76">
        <w:rPr>
          <w:rFonts w:cs="Arial"/>
          <w:b/>
          <w:sz w:val="22"/>
          <w:szCs w:val="22"/>
        </w:rPr>
        <w:t>osts</w:t>
      </w:r>
      <w:r w:rsidR="008F1FDC" w:rsidRPr="00913C76">
        <w:rPr>
          <w:rFonts w:cs="Arial"/>
          <w:b/>
          <w:sz w:val="22"/>
          <w:szCs w:val="22"/>
        </w:rPr>
        <w:t xml:space="preserve">, £ million </w:t>
      </w:r>
      <w:r w:rsidR="004420EB" w:rsidRPr="00913C76">
        <w:rPr>
          <w:rFonts w:cs="Arial"/>
          <w:b/>
          <w:sz w:val="22"/>
          <w:szCs w:val="22"/>
        </w:rPr>
        <w:t>(</w:t>
      </w:r>
      <w:r w:rsidR="004420EB" w:rsidRPr="00913C76">
        <w:rPr>
          <w:rFonts w:cs="Arial"/>
          <w:b/>
          <w:bCs/>
          <w:sz w:val="22"/>
          <w:szCs w:val="22"/>
        </w:rPr>
        <w:t>2024</w:t>
      </w:r>
      <w:r w:rsidR="004420EB" w:rsidRPr="00913C76">
        <w:rPr>
          <w:rFonts w:cs="Arial"/>
          <w:b/>
          <w:sz w:val="22"/>
          <w:szCs w:val="22"/>
        </w:rPr>
        <w:t xml:space="preserve"> prices</w:t>
      </w:r>
      <w:r w:rsidR="003B0F46" w:rsidRPr="00441AF5">
        <w:rPr>
          <w:rFonts w:cs="Arial"/>
          <w:b/>
          <w:sz w:val="22"/>
          <w:szCs w:val="22"/>
        </w:rPr>
        <w:t>)</w:t>
      </w:r>
    </w:p>
    <w:tbl>
      <w:tblPr>
        <w:tblpPr w:leftFromText="180" w:rightFromText="180" w:vertAnchor="text" w:horzAnchor="page" w:tblpX="1380" w:tblpY="1"/>
        <w:tblOverlap w:val="never"/>
        <w:tblW w:w="9493" w:type="dxa"/>
        <w:tblLook w:val="04A0" w:firstRow="1" w:lastRow="0" w:firstColumn="1" w:lastColumn="0" w:noHBand="0" w:noVBand="1"/>
      </w:tblPr>
      <w:tblGrid>
        <w:gridCol w:w="2552"/>
        <w:gridCol w:w="2268"/>
        <w:gridCol w:w="2410"/>
        <w:gridCol w:w="2263"/>
      </w:tblGrid>
      <w:tr w:rsidR="001D081D" w:rsidRPr="001D081D" w14:paraId="734A475C" w14:textId="77777777" w:rsidTr="001458B6">
        <w:trPr>
          <w:trHeight w:val="340"/>
        </w:trPr>
        <w:tc>
          <w:tcPr>
            <w:tcW w:w="255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ECDF59" w14:textId="77777777" w:rsidR="00FC453B" w:rsidRPr="00441AF5" w:rsidRDefault="00FC453B" w:rsidP="006331E4">
            <w:pPr>
              <w:jc w:val="center"/>
              <w:rPr>
                <w:rFonts w:cs="Arial"/>
                <w:b/>
                <w:sz w:val="22"/>
                <w:szCs w:val="22"/>
                <w:lang w:eastAsia="en-GB"/>
              </w:rPr>
            </w:pPr>
            <w:r w:rsidRPr="00441AF5">
              <w:rPr>
                <w:rFonts w:cs="Arial"/>
                <w:b/>
                <w:sz w:val="22"/>
                <w:szCs w:val="22"/>
                <w:lang w:eastAsia="en-GB"/>
              </w:rPr>
              <w:t>Total set-up costs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FE1A8D3" w14:textId="4010E9BE" w:rsidR="00FC453B" w:rsidRPr="00441AF5" w:rsidRDefault="00FC453B" w:rsidP="006331E4">
            <w:pPr>
              <w:jc w:val="center"/>
              <w:rPr>
                <w:rFonts w:cs="Arial"/>
                <w:b/>
                <w:sz w:val="22"/>
                <w:szCs w:val="22"/>
                <w:lang w:eastAsia="en-GB"/>
              </w:rPr>
            </w:pPr>
            <w:r w:rsidRPr="00441AF5">
              <w:rPr>
                <w:rFonts w:cs="Arial"/>
                <w:b/>
                <w:sz w:val="22"/>
                <w:szCs w:val="22"/>
                <w:lang w:eastAsia="en-GB"/>
              </w:rPr>
              <w:t xml:space="preserve">Low </w:t>
            </w:r>
            <w:r w:rsidR="002D51FE" w:rsidRPr="00441AF5">
              <w:rPr>
                <w:rFonts w:cs="Arial"/>
                <w:b/>
                <w:sz w:val="22"/>
                <w:szCs w:val="22"/>
                <w:lang w:eastAsia="en-GB"/>
              </w:rPr>
              <w:t>Estimate</w:t>
            </w:r>
            <w:r w:rsidR="00084BD8">
              <w:rPr>
                <w:rFonts w:cs="Arial"/>
                <w:b/>
                <w:sz w:val="22"/>
                <w:szCs w:val="22"/>
                <w:lang w:eastAsia="en-GB"/>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7DDB2DED" w14:textId="63E3E308" w:rsidR="00FC453B" w:rsidRPr="00441AF5" w:rsidRDefault="002D51FE" w:rsidP="006331E4">
            <w:pPr>
              <w:jc w:val="center"/>
              <w:rPr>
                <w:rFonts w:cs="Arial"/>
                <w:b/>
                <w:sz w:val="22"/>
                <w:szCs w:val="22"/>
                <w:lang w:eastAsia="en-GB"/>
              </w:rPr>
            </w:pPr>
            <w:r w:rsidRPr="00441AF5">
              <w:rPr>
                <w:rFonts w:cs="Arial"/>
                <w:b/>
                <w:sz w:val="22"/>
                <w:szCs w:val="22"/>
                <w:lang w:eastAsia="en-GB"/>
              </w:rPr>
              <w:t>Best Estimate</w:t>
            </w:r>
            <w:r w:rsidR="00084BD8">
              <w:rPr>
                <w:rFonts w:cs="Arial"/>
                <w:b/>
                <w:sz w:val="22"/>
                <w:szCs w:val="22"/>
                <w:lang w:eastAsia="en-GB"/>
              </w:rPr>
              <w:t xml:space="preserve"> </w:t>
            </w:r>
          </w:p>
        </w:tc>
        <w:tc>
          <w:tcPr>
            <w:tcW w:w="2263" w:type="dxa"/>
            <w:tcBorders>
              <w:top w:val="single" w:sz="4" w:space="0" w:color="auto"/>
              <w:left w:val="single" w:sz="4" w:space="0" w:color="auto"/>
              <w:bottom w:val="single" w:sz="4" w:space="0" w:color="auto"/>
              <w:right w:val="single" w:sz="4" w:space="0" w:color="000000"/>
            </w:tcBorders>
            <w:shd w:val="clear" w:color="auto" w:fill="auto"/>
            <w:vAlign w:val="center"/>
          </w:tcPr>
          <w:p w14:paraId="376D3300" w14:textId="38898EE9" w:rsidR="001D043C" w:rsidRPr="00441AF5" w:rsidRDefault="00155E9F" w:rsidP="006331E4">
            <w:pPr>
              <w:jc w:val="center"/>
              <w:rPr>
                <w:rFonts w:cs="Arial"/>
                <w:b/>
                <w:sz w:val="22"/>
                <w:szCs w:val="22"/>
                <w:lang w:eastAsia="en-GB"/>
              </w:rPr>
            </w:pPr>
            <w:r w:rsidRPr="00441AF5">
              <w:rPr>
                <w:rFonts w:cs="Arial"/>
                <w:b/>
                <w:sz w:val="22"/>
                <w:szCs w:val="22"/>
                <w:lang w:eastAsia="en-GB"/>
              </w:rPr>
              <w:t xml:space="preserve">High </w:t>
            </w:r>
            <w:r w:rsidR="002D51FE" w:rsidRPr="00441AF5">
              <w:rPr>
                <w:rFonts w:cs="Arial"/>
                <w:b/>
                <w:sz w:val="22"/>
                <w:szCs w:val="22"/>
                <w:lang w:eastAsia="en-GB"/>
              </w:rPr>
              <w:t>Estimate</w:t>
            </w:r>
            <w:r w:rsidR="00084BD8">
              <w:rPr>
                <w:rFonts w:cs="Arial"/>
                <w:b/>
                <w:sz w:val="22"/>
                <w:szCs w:val="22"/>
                <w:lang w:eastAsia="en-GB"/>
              </w:rPr>
              <w:t xml:space="preserve"> </w:t>
            </w:r>
          </w:p>
        </w:tc>
      </w:tr>
      <w:tr w:rsidR="001D081D" w:rsidRPr="001D081D" w14:paraId="3629529A" w14:textId="77777777" w:rsidTr="003F40C2">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095C1" w14:textId="77777777" w:rsidR="004420EB" w:rsidRPr="00441AF5" w:rsidRDefault="004420EB" w:rsidP="006331E4">
            <w:pPr>
              <w:rPr>
                <w:rFonts w:cs="Arial"/>
                <w:sz w:val="22"/>
                <w:szCs w:val="22"/>
                <w:lang w:eastAsia="en-GB"/>
              </w:rPr>
            </w:pPr>
            <w:r w:rsidRPr="00441AF5">
              <w:rPr>
                <w:rFonts w:cs="Arial"/>
                <w:sz w:val="22"/>
                <w:szCs w:val="22"/>
                <w:lang w:eastAsia="en-GB"/>
              </w:rPr>
              <w:t>Familiarisation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1EF2152E" w14:textId="64880BD8" w:rsidR="00FC453B" w:rsidRPr="00441AF5" w:rsidRDefault="007D079F" w:rsidP="006331E4">
            <w:pPr>
              <w:jc w:val="right"/>
              <w:rPr>
                <w:rFonts w:cs="Arial"/>
                <w:sz w:val="22"/>
                <w:szCs w:val="22"/>
              </w:rPr>
            </w:pPr>
            <w:r>
              <w:rPr>
                <w:rFonts w:cs="Arial"/>
                <w:color w:val="000000"/>
                <w:sz w:val="22"/>
                <w:szCs w:val="22"/>
              </w:rPr>
              <w:t>30.</w:t>
            </w:r>
            <w:r w:rsidR="002C456E">
              <w:rPr>
                <w:rFonts w:cs="Arial"/>
                <w:color w:val="000000"/>
                <w:sz w:val="22"/>
                <w:szCs w:val="22"/>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26DDC8BE" w14:textId="518612B1" w:rsidR="00FC453B" w:rsidRPr="00441AF5" w:rsidRDefault="007D079F" w:rsidP="006331E4">
            <w:pPr>
              <w:jc w:val="right"/>
              <w:rPr>
                <w:rFonts w:cs="Arial"/>
                <w:sz w:val="22"/>
                <w:szCs w:val="22"/>
              </w:rPr>
            </w:pPr>
            <w:r>
              <w:rPr>
                <w:rFonts w:cs="Arial"/>
                <w:color w:val="000000"/>
                <w:sz w:val="22"/>
                <w:szCs w:val="22"/>
              </w:rPr>
              <w:t>30.</w:t>
            </w:r>
            <w:r w:rsidR="002C456E">
              <w:rPr>
                <w:rFonts w:cs="Arial"/>
                <w:color w:val="000000"/>
                <w:sz w:val="22"/>
                <w:szCs w:val="22"/>
              </w:rPr>
              <w:t>9</w:t>
            </w:r>
          </w:p>
        </w:tc>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DAE02" w14:textId="5087F256" w:rsidR="004420EB" w:rsidRPr="00441AF5" w:rsidRDefault="007D079F" w:rsidP="006331E4">
            <w:pPr>
              <w:jc w:val="right"/>
              <w:rPr>
                <w:rFonts w:cs="Arial"/>
                <w:sz w:val="22"/>
                <w:szCs w:val="22"/>
                <w:lang w:eastAsia="en-GB"/>
              </w:rPr>
            </w:pPr>
            <w:r>
              <w:rPr>
                <w:rFonts w:cs="Arial"/>
                <w:color w:val="000000"/>
                <w:sz w:val="22"/>
                <w:szCs w:val="22"/>
              </w:rPr>
              <w:t>30.</w:t>
            </w:r>
            <w:r w:rsidR="002C456E">
              <w:rPr>
                <w:rFonts w:cs="Arial"/>
                <w:color w:val="000000"/>
                <w:sz w:val="22"/>
                <w:szCs w:val="22"/>
              </w:rPr>
              <w:t>9</w:t>
            </w:r>
          </w:p>
        </w:tc>
      </w:tr>
      <w:tr w:rsidR="001D081D" w:rsidRPr="001D081D" w14:paraId="162AA778" w14:textId="77777777" w:rsidTr="003F40C2">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2A98C" w14:textId="77777777" w:rsidR="004420EB" w:rsidRPr="00441AF5" w:rsidRDefault="004420EB" w:rsidP="006331E4">
            <w:pPr>
              <w:rPr>
                <w:rFonts w:cs="Arial"/>
                <w:sz w:val="22"/>
                <w:szCs w:val="22"/>
                <w:lang w:eastAsia="en-GB"/>
              </w:rPr>
            </w:pPr>
            <w:r w:rsidRPr="00441AF5">
              <w:rPr>
                <w:rFonts w:cs="Arial"/>
                <w:sz w:val="22"/>
                <w:szCs w:val="22"/>
                <w:lang w:eastAsia="en-GB"/>
              </w:rPr>
              <w:t>Risk assessment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7E87171A" w14:textId="3FC85132" w:rsidR="00FC453B" w:rsidRPr="00441AF5" w:rsidRDefault="002C456E" w:rsidP="006331E4">
            <w:pPr>
              <w:jc w:val="right"/>
              <w:rPr>
                <w:rFonts w:cs="Arial"/>
                <w:sz w:val="22"/>
                <w:szCs w:val="22"/>
              </w:rPr>
            </w:pPr>
            <w:r>
              <w:rPr>
                <w:rFonts w:cs="Arial"/>
                <w:color w:val="000000"/>
                <w:sz w:val="22"/>
                <w:szCs w:val="22"/>
              </w:rPr>
              <w:t>86.0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2D9DFBA" w14:textId="02DFC90E" w:rsidR="00FC453B" w:rsidRPr="00441AF5" w:rsidRDefault="002C456E" w:rsidP="006331E4">
            <w:pPr>
              <w:jc w:val="right"/>
              <w:rPr>
                <w:rFonts w:cs="Arial"/>
                <w:sz w:val="22"/>
                <w:szCs w:val="22"/>
              </w:rPr>
            </w:pPr>
            <w:r>
              <w:rPr>
                <w:rFonts w:cs="Arial"/>
                <w:color w:val="000000"/>
                <w:sz w:val="22"/>
                <w:szCs w:val="22"/>
              </w:rPr>
              <w:t>86.0</w:t>
            </w:r>
          </w:p>
        </w:tc>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F4444" w14:textId="0F914DC3" w:rsidR="004420EB" w:rsidRPr="00441AF5" w:rsidRDefault="002C456E" w:rsidP="006331E4">
            <w:pPr>
              <w:jc w:val="right"/>
              <w:rPr>
                <w:rFonts w:cs="Arial"/>
                <w:sz w:val="22"/>
                <w:szCs w:val="22"/>
                <w:lang w:eastAsia="en-GB"/>
              </w:rPr>
            </w:pPr>
            <w:r>
              <w:rPr>
                <w:rFonts w:cs="Arial"/>
                <w:color w:val="000000"/>
                <w:sz w:val="22"/>
                <w:szCs w:val="22"/>
              </w:rPr>
              <w:t>86.0</w:t>
            </w:r>
          </w:p>
        </w:tc>
      </w:tr>
      <w:tr w:rsidR="001D081D" w:rsidRPr="001D081D" w14:paraId="44C73D15" w14:textId="77777777" w:rsidTr="003F40C2">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75400" w14:textId="77777777" w:rsidR="004420EB" w:rsidRPr="00441AF5" w:rsidRDefault="004420EB" w:rsidP="006331E4">
            <w:pPr>
              <w:rPr>
                <w:rFonts w:cs="Arial"/>
                <w:sz w:val="22"/>
                <w:szCs w:val="22"/>
                <w:lang w:eastAsia="en-GB"/>
              </w:rPr>
            </w:pPr>
            <w:r w:rsidRPr="00441AF5">
              <w:rPr>
                <w:rFonts w:cs="Arial"/>
                <w:sz w:val="22"/>
                <w:szCs w:val="22"/>
                <w:lang w:eastAsia="en-GB"/>
              </w:rPr>
              <w:t>Communication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5503FD28" w14:textId="06E32C51" w:rsidR="00FC453B" w:rsidRPr="00441AF5" w:rsidRDefault="002C456E" w:rsidP="006331E4">
            <w:pPr>
              <w:jc w:val="right"/>
              <w:rPr>
                <w:rFonts w:cs="Arial"/>
                <w:sz w:val="22"/>
                <w:szCs w:val="22"/>
                <w:lang w:eastAsia="en-GB"/>
              </w:rPr>
            </w:pPr>
            <w:r>
              <w:rPr>
                <w:rFonts w:cs="Arial"/>
                <w:color w:val="000000"/>
                <w:sz w:val="22"/>
                <w:szCs w:val="22"/>
              </w:rPr>
              <w:t>14.7</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C0E179B" w14:textId="1D92376A" w:rsidR="00FC453B" w:rsidRPr="00441AF5" w:rsidRDefault="002C456E" w:rsidP="006331E4">
            <w:pPr>
              <w:jc w:val="right"/>
              <w:rPr>
                <w:rFonts w:cs="Arial"/>
                <w:sz w:val="22"/>
                <w:szCs w:val="22"/>
                <w:lang w:eastAsia="en-GB"/>
              </w:rPr>
            </w:pPr>
            <w:r>
              <w:rPr>
                <w:rFonts w:cs="Arial"/>
                <w:color w:val="000000"/>
                <w:sz w:val="22"/>
                <w:szCs w:val="22"/>
              </w:rPr>
              <w:t>17.8</w:t>
            </w:r>
          </w:p>
        </w:tc>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E6F0F" w14:textId="6AA430F8" w:rsidR="004420EB" w:rsidRPr="00441AF5" w:rsidRDefault="002C456E" w:rsidP="006331E4">
            <w:pPr>
              <w:jc w:val="right"/>
              <w:rPr>
                <w:rFonts w:cs="Arial"/>
                <w:sz w:val="22"/>
                <w:szCs w:val="22"/>
                <w:lang w:eastAsia="en-GB"/>
              </w:rPr>
            </w:pPr>
            <w:r>
              <w:rPr>
                <w:rFonts w:cs="Arial"/>
                <w:color w:val="000000"/>
                <w:sz w:val="22"/>
                <w:szCs w:val="22"/>
              </w:rPr>
              <w:t>21.0</w:t>
            </w:r>
          </w:p>
        </w:tc>
      </w:tr>
      <w:tr w:rsidR="001D081D" w:rsidRPr="001D081D" w14:paraId="17E7F1C5" w14:textId="77777777" w:rsidTr="003F40C2">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F3608" w14:textId="77777777" w:rsidR="004420EB" w:rsidRPr="00441AF5" w:rsidRDefault="004420EB" w:rsidP="006331E4">
            <w:pPr>
              <w:rPr>
                <w:rFonts w:cs="Arial"/>
                <w:sz w:val="22"/>
                <w:szCs w:val="22"/>
                <w:lang w:eastAsia="en-GB"/>
              </w:rPr>
            </w:pPr>
            <w:r w:rsidRPr="00441AF5">
              <w:rPr>
                <w:rFonts w:cs="Arial"/>
                <w:sz w:val="22"/>
                <w:szCs w:val="22"/>
                <w:lang w:eastAsia="en-GB"/>
              </w:rPr>
              <w:t>Training</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5A4F97A2" w14:textId="2E8B8271" w:rsidR="00FC453B" w:rsidRPr="00441AF5" w:rsidRDefault="002C456E" w:rsidP="006331E4">
            <w:pPr>
              <w:jc w:val="right"/>
              <w:rPr>
                <w:rFonts w:cs="Arial"/>
                <w:sz w:val="22"/>
                <w:szCs w:val="22"/>
              </w:rPr>
            </w:pPr>
            <w:r>
              <w:rPr>
                <w:rFonts w:cs="Arial"/>
                <w:color w:val="000000"/>
                <w:sz w:val="22"/>
                <w:szCs w:val="22"/>
              </w:rPr>
              <w:t>289.9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0825C23D" w14:textId="4AAABB03" w:rsidR="00FC453B" w:rsidRPr="00441AF5" w:rsidRDefault="002C456E" w:rsidP="006331E4">
            <w:pPr>
              <w:jc w:val="right"/>
              <w:rPr>
                <w:rFonts w:cs="Arial"/>
                <w:sz w:val="22"/>
                <w:szCs w:val="22"/>
              </w:rPr>
            </w:pPr>
            <w:r>
              <w:rPr>
                <w:rFonts w:cs="Arial"/>
                <w:color w:val="000000"/>
                <w:sz w:val="22"/>
                <w:szCs w:val="22"/>
              </w:rPr>
              <w:t>352.0</w:t>
            </w:r>
          </w:p>
        </w:tc>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8AB7E" w14:textId="672A6CAD" w:rsidR="004420EB" w:rsidRPr="00441AF5" w:rsidRDefault="002C456E" w:rsidP="006331E4">
            <w:pPr>
              <w:jc w:val="right"/>
              <w:rPr>
                <w:rFonts w:cs="Arial"/>
                <w:sz w:val="22"/>
                <w:szCs w:val="22"/>
                <w:lang w:eastAsia="en-GB"/>
              </w:rPr>
            </w:pPr>
            <w:r>
              <w:rPr>
                <w:rFonts w:cs="Arial"/>
                <w:color w:val="000000"/>
                <w:sz w:val="22"/>
                <w:szCs w:val="22"/>
              </w:rPr>
              <w:t>414.</w:t>
            </w:r>
            <w:r w:rsidR="004B406A">
              <w:rPr>
                <w:rFonts w:cs="Arial"/>
                <w:color w:val="000000"/>
                <w:sz w:val="22"/>
                <w:szCs w:val="22"/>
              </w:rPr>
              <w:t>1</w:t>
            </w:r>
          </w:p>
        </w:tc>
      </w:tr>
      <w:tr w:rsidR="001D081D" w:rsidRPr="001D081D" w14:paraId="7702F751" w14:textId="77777777" w:rsidTr="003F40C2">
        <w:trPr>
          <w:trHeight w:val="340"/>
        </w:trPr>
        <w:tc>
          <w:tcPr>
            <w:tcW w:w="2552" w:type="dxa"/>
            <w:tcBorders>
              <w:top w:val="single" w:sz="4" w:space="0" w:color="auto"/>
              <w:left w:val="single" w:sz="4" w:space="0" w:color="auto"/>
              <w:bottom w:val="single" w:sz="4" w:space="0" w:color="auto"/>
              <w:right w:val="nil"/>
            </w:tcBorders>
            <w:shd w:val="clear" w:color="auto" w:fill="auto"/>
            <w:noWrap/>
            <w:vAlign w:val="center"/>
            <w:hideMark/>
          </w:tcPr>
          <w:p w14:paraId="3832C2BF" w14:textId="77777777" w:rsidR="004420EB" w:rsidRPr="00441AF5" w:rsidRDefault="004420EB" w:rsidP="006331E4">
            <w:pPr>
              <w:rPr>
                <w:rFonts w:cs="Arial"/>
                <w:b/>
                <w:sz w:val="22"/>
                <w:szCs w:val="22"/>
                <w:lang w:eastAsia="en-GB"/>
              </w:rPr>
            </w:pPr>
            <w:r w:rsidRPr="00441AF5">
              <w:rPr>
                <w:rFonts w:cs="Arial"/>
                <w:b/>
                <w:sz w:val="22"/>
                <w:szCs w:val="22"/>
                <w:lang w:eastAsia="en-GB"/>
              </w:rPr>
              <w:t>Total</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22B64334" w14:textId="3F123CED" w:rsidR="00FC453B" w:rsidRPr="00441AF5" w:rsidRDefault="002C456E" w:rsidP="006331E4">
            <w:pPr>
              <w:jc w:val="right"/>
              <w:rPr>
                <w:rFonts w:cs="Arial"/>
                <w:b/>
                <w:sz w:val="22"/>
                <w:szCs w:val="22"/>
              </w:rPr>
            </w:pPr>
            <w:r w:rsidRPr="00627D49">
              <w:rPr>
                <w:rFonts w:cs="Arial"/>
                <w:b/>
                <w:color w:val="000000"/>
                <w:sz w:val="22"/>
                <w:szCs w:val="22"/>
              </w:rPr>
              <w:t>421.</w:t>
            </w:r>
            <w:r w:rsidRPr="00627D49">
              <w:rPr>
                <w:rFonts w:cs="Arial"/>
                <w:b/>
                <w:bCs/>
                <w:color w:val="000000"/>
                <w:sz w:val="22"/>
                <w:szCs w:val="22"/>
              </w:rPr>
              <w:t>5</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E2D6898" w14:textId="39B838B3" w:rsidR="00FC453B" w:rsidRPr="00441AF5" w:rsidRDefault="002C456E" w:rsidP="006331E4">
            <w:pPr>
              <w:jc w:val="right"/>
              <w:rPr>
                <w:rFonts w:cs="Arial"/>
                <w:b/>
                <w:sz w:val="22"/>
                <w:szCs w:val="22"/>
              </w:rPr>
            </w:pPr>
            <w:r w:rsidRPr="00627D49">
              <w:rPr>
                <w:rFonts w:cs="Arial"/>
                <w:b/>
                <w:color w:val="000000"/>
                <w:sz w:val="22"/>
                <w:szCs w:val="22"/>
              </w:rPr>
              <w:t>486.</w:t>
            </w:r>
            <w:r w:rsidRPr="00627D49">
              <w:rPr>
                <w:rFonts w:cs="Arial"/>
                <w:b/>
                <w:bCs/>
                <w:color w:val="000000"/>
                <w:sz w:val="22"/>
                <w:szCs w:val="22"/>
              </w:rPr>
              <w:t>7</w:t>
            </w:r>
          </w:p>
        </w:tc>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5EB5D" w14:textId="2A2FF2CA" w:rsidR="004420EB" w:rsidRPr="00441AF5" w:rsidRDefault="002C456E" w:rsidP="006331E4">
            <w:pPr>
              <w:jc w:val="right"/>
              <w:rPr>
                <w:rFonts w:cs="Arial"/>
                <w:b/>
                <w:sz w:val="22"/>
                <w:szCs w:val="22"/>
                <w:lang w:eastAsia="en-GB"/>
              </w:rPr>
            </w:pPr>
            <w:r w:rsidRPr="00627D49">
              <w:rPr>
                <w:rFonts w:cs="Arial"/>
                <w:b/>
                <w:color w:val="000000"/>
                <w:sz w:val="22"/>
                <w:szCs w:val="22"/>
              </w:rPr>
              <w:t>552.0</w:t>
            </w:r>
          </w:p>
        </w:tc>
      </w:tr>
    </w:tbl>
    <w:p w14:paraId="676F32D8" w14:textId="5B13379D" w:rsidR="007030AD" w:rsidRPr="0029116F" w:rsidRDefault="007030AD" w:rsidP="00C23109">
      <w:pPr>
        <w:spacing w:after="120" w:line="259" w:lineRule="auto"/>
        <w:ind w:left="510"/>
        <w:jc w:val="both"/>
        <w:rPr>
          <w:rFonts w:cs="Arial"/>
          <w:sz w:val="18"/>
          <w:szCs w:val="18"/>
        </w:rPr>
      </w:pPr>
      <w:r w:rsidRPr="0029116F">
        <w:rPr>
          <w:rFonts w:cs="Arial"/>
          <w:sz w:val="18"/>
          <w:szCs w:val="18"/>
        </w:rPr>
        <w:t xml:space="preserve">Source: </w:t>
      </w:r>
      <w:r w:rsidR="00CD5B6E" w:rsidRPr="0029116F">
        <w:rPr>
          <w:rFonts w:cs="Arial"/>
          <w:sz w:val="18"/>
          <w:szCs w:val="18"/>
        </w:rPr>
        <w:t>DBT</w:t>
      </w:r>
      <w:r w:rsidRPr="0029116F">
        <w:rPr>
          <w:rFonts w:cs="Arial"/>
          <w:sz w:val="18"/>
          <w:szCs w:val="18"/>
        </w:rPr>
        <w:t xml:space="preserve"> calculations</w:t>
      </w:r>
      <w:r w:rsidR="00560A2C" w:rsidRPr="0029116F">
        <w:rPr>
          <w:rFonts w:cs="Arial"/>
          <w:sz w:val="18"/>
          <w:szCs w:val="18"/>
        </w:rPr>
        <w:t>.</w:t>
      </w:r>
      <w:r w:rsidR="004D76B9">
        <w:rPr>
          <w:rFonts w:cs="Arial"/>
          <w:sz w:val="18"/>
          <w:szCs w:val="18"/>
        </w:rPr>
        <w:t xml:space="preserve"> Numbers may not sum due to rounding.</w:t>
      </w:r>
    </w:p>
    <w:p w14:paraId="5B59C272" w14:textId="77777777" w:rsidR="00B51B06" w:rsidRDefault="00B51B06">
      <w:pPr>
        <w:rPr>
          <w:b/>
          <w:sz w:val="22"/>
          <w:szCs w:val="22"/>
        </w:rPr>
      </w:pPr>
      <w:r>
        <w:rPr>
          <w:b/>
          <w:sz w:val="22"/>
          <w:szCs w:val="22"/>
        </w:rPr>
        <w:br w:type="page"/>
      </w:r>
    </w:p>
    <w:p w14:paraId="1D50881E" w14:textId="4BC2E205" w:rsidR="008F1FDC" w:rsidRPr="00441AF5" w:rsidRDefault="00CC7EDE" w:rsidP="00AC24BE">
      <w:pPr>
        <w:spacing w:after="120"/>
        <w:rPr>
          <w:b/>
        </w:rPr>
      </w:pPr>
      <w:r w:rsidRPr="00AC24BE">
        <w:rPr>
          <w:b/>
          <w:sz w:val="22"/>
          <w:szCs w:val="22"/>
        </w:rPr>
        <w:lastRenderedPageBreak/>
        <w:t>Ongoing costs</w:t>
      </w:r>
    </w:p>
    <w:p w14:paraId="6EE4FA9B" w14:textId="414977F3" w:rsidR="001D043C" w:rsidRPr="00441AF5" w:rsidRDefault="0069591B" w:rsidP="003F40C2">
      <w:pPr>
        <w:pStyle w:val="ListParagraph"/>
        <w:numPr>
          <w:ilvl w:val="0"/>
          <w:numId w:val="10"/>
        </w:numPr>
        <w:spacing w:after="120" w:line="259" w:lineRule="auto"/>
        <w:ind w:left="567" w:hanging="567"/>
        <w:contextualSpacing w:val="0"/>
        <w:jc w:val="both"/>
        <w:rPr>
          <w:rFonts w:cs="Arial"/>
          <w:b/>
          <w:sz w:val="22"/>
          <w:szCs w:val="22"/>
        </w:rPr>
      </w:pPr>
      <w:r w:rsidRPr="00441AF5">
        <w:rPr>
          <w:rFonts w:cs="Arial"/>
          <w:sz w:val="22"/>
          <w:szCs w:val="22"/>
        </w:rPr>
        <w:t xml:space="preserve">The methodology for assessing the ongoing cost of FTPF is the same as that described in </w:t>
      </w:r>
      <w:r w:rsidR="00D22119" w:rsidRPr="00441AF5">
        <w:rPr>
          <w:rFonts w:cs="Arial"/>
          <w:sz w:val="22"/>
          <w:szCs w:val="22"/>
        </w:rPr>
        <w:t>the set-up costs</w:t>
      </w:r>
      <w:r w:rsidR="003C234F" w:rsidRPr="00441AF5">
        <w:rPr>
          <w:rFonts w:cs="Arial"/>
          <w:sz w:val="22"/>
          <w:szCs w:val="22"/>
        </w:rPr>
        <w:t>.</w:t>
      </w:r>
    </w:p>
    <w:p w14:paraId="5BC96C2C" w14:textId="2C556D8C" w:rsidR="00E56ADC" w:rsidRPr="00441AF5" w:rsidRDefault="007A4EF5"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For the </w:t>
      </w:r>
      <w:r w:rsidR="00FC7DA9" w:rsidRPr="00441AF5">
        <w:rPr>
          <w:rFonts w:cs="Arial"/>
          <w:sz w:val="22"/>
          <w:szCs w:val="22"/>
        </w:rPr>
        <w:t xml:space="preserve">ongoing </w:t>
      </w:r>
      <w:r w:rsidRPr="00441AF5">
        <w:rPr>
          <w:rFonts w:cs="Arial"/>
          <w:sz w:val="22"/>
          <w:szCs w:val="22"/>
        </w:rPr>
        <w:t xml:space="preserve">cost </w:t>
      </w:r>
      <w:r w:rsidR="00C05643" w:rsidRPr="00441AF5">
        <w:rPr>
          <w:rFonts w:cs="Arial"/>
          <w:sz w:val="22"/>
          <w:szCs w:val="22"/>
        </w:rPr>
        <w:t>scenarios,</w:t>
      </w:r>
      <w:r w:rsidRPr="00441AF5">
        <w:rPr>
          <w:rFonts w:cs="Arial"/>
          <w:sz w:val="22"/>
          <w:szCs w:val="22"/>
        </w:rPr>
        <w:t xml:space="preserve"> it is assumed that costs</w:t>
      </w:r>
      <w:r w:rsidR="000D6041" w:rsidRPr="00441AF5">
        <w:rPr>
          <w:rFonts w:cs="Arial"/>
          <w:sz w:val="22"/>
          <w:szCs w:val="22"/>
        </w:rPr>
        <w:t xml:space="preserve"> are</w:t>
      </w:r>
      <w:r w:rsidRPr="00441AF5">
        <w:rPr>
          <w:rFonts w:cs="Arial"/>
          <w:sz w:val="22"/>
          <w:szCs w:val="22"/>
        </w:rPr>
        <w:t xml:space="preserve"> incurred differently for organisations based on whether they have </w:t>
      </w:r>
      <w:r w:rsidR="000D6041" w:rsidRPr="00441AF5">
        <w:rPr>
          <w:rFonts w:cs="Arial"/>
          <w:sz w:val="22"/>
          <w:szCs w:val="22"/>
        </w:rPr>
        <w:t xml:space="preserve">sufficient </w:t>
      </w:r>
      <w:r w:rsidR="00E96FDC" w:rsidRPr="00441AF5">
        <w:rPr>
          <w:rFonts w:cs="Arial"/>
          <w:sz w:val="22"/>
          <w:szCs w:val="22"/>
        </w:rPr>
        <w:t>existing</w:t>
      </w:r>
      <w:r w:rsidR="000D6041" w:rsidRPr="00441AF5">
        <w:rPr>
          <w:rFonts w:cs="Arial"/>
          <w:sz w:val="22"/>
          <w:szCs w:val="22"/>
        </w:rPr>
        <w:t xml:space="preserve"> </w:t>
      </w:r>
      <w:r w:rsidRPr="00441AF5">
        <w:rPr>
          <w:rFonts w:cs="Arial"/>
          <w:sz w:val="22"/>
          <w:szCs w:val="22"/>
        </w:rPr>
        <w:t xml:space="preserve">measures in place. For the low and best scenarios, where a proportion of companies already have sufficient measures in place. It is assumed that those companies which deem themselves to have sufficient measures already in place </w:t>
      </w:r>
      <w:r w:rsidR="007F5002" w:rsidRPr="00441AF5">
        <w:rPr>
          <w:rFonts w:cs="Arial"/>
          <w:sz w:val="22"/>
          <w:szCs w:val="22"/>
        </w:rPr>
        <w:t xml:space="preserve">undergo no </w:t>
      </w:r>
      <w:r w:rsidR="00782AE4" w:rsidRPr="00441AF5">
        <w:rPr>
          <w:rFonts w:cs="Arial"/>
          <w:sz w:val="22"/>
          <w:szCs w:val="22"/>
        </w:rPr>
        <w:t xml:space="preserve">ongoing costs. </w:t>
      </w:r>
      <w:r w:rsidRPr="00441AF5">
        <w:rPr>
          <w:rFonts w:cs="Arial"/>
          <w:sz w:val="22"/>
          <w:szCs w:val="22"/>
        </w:rPr>
        <w:t xml:space="preserve">For the high scenario, it is assumed that no firms have sufficient measures already in place and all firms incur </w:t>
      </w:r>
      <w:r w:rsidR="00E96FDC" w:rsidRPr="00441AF5">
        <w:rPr>
          <w:rFonts w:cs="Arial"/>
          <w:sz w:val="22"/>
          <w:szCs w:val="22"/>
        </w:rPr>
        <w:t>familiarisation</w:t>
      </w:r>
      <w:r w:rsidRPr="00441AF5">
        <w:rPr>
          <w:rFonts w:cs="Arial"/>
          <w:sz w:val="22"/>
          <w:szCs w:val="22"/>
        </w:rPr>
        <w:t>, risk assessment, communication</w:t>
      </w:r>
      <w:r w:rsidR="00E304AE">
        <w:rPr>
          <w:rFonts w:cs="Arial"/>
          <w:sz w:val="22"/>
          <w:szCs w:val="22"/>
        </w:rPr>
        <w:t>,</w:t>
      </w:r>
      <w:r w:rsidRPr="00441AF5">
        <w:rPr>
          <w:rFonts w:cs="Arial"/>
          <w:sz w:val="22"/>
          <w:szCs w:val="22"/>
        </w:rPr>
        <w:t xml:space="preserve"> and training costs as </w:t>
      </w:r>
      <w:r w:rsidR="00782AE4" w:rsidRPr="00441AF5">
        <w:rPr>
          <w:rFonts w:cs="Arial"/>
          <w:sz w:val="22"/>
          <w:szCs w:val="22"/>
        </w:rPr>
        <w:t>on-going costs.</w:t>
      </w:r>
    </w:p>
    <w:p w14:paraId="25D6FDCF" w14:textId="02E6911B" w:rsidR="00E917B0" w:rsidRPr="00441AF5" w:rsidRDefault="00E917B0" w:rsidP="0029116F">
      <w:pPr>
        <w:spacing w:after="120" w:line="259" w:lineRule="auto"/>
        <w:jc w:val="both"/>
        <w:rPr>
          <w:rFonts w:cs="Arial"/>
          <w:b/>
          <w:bCs/>
          <w:sz w:val="22"/>
          <w:szCs w:val="22"/>
        </w:rPr>
      </w:pPr>
      <w:r w:rsidRPr="00441AF5">
        <w:rPr>
          <w:rFonts w:cs="Arial"/>
          <w:b/>
          <w:bCs/>
          <w:sz w:val="22"/>
          <w:szCs w:val="22"/>
        </w:rPr>
        <w:t>Risk assessment</w:t>
      </w:r>
    </w:p>
    <w:p w14:paraId="5FE6B5C2" w14:textId="3D74BBDA" w:rsidR="00E917B0" w:rsidRPr="00913C76" w:rsidRDefault="00E917B0" w:rsidP="00D54B99">
      <w:pPr>
        <w:pStyle w:val="ListParagraph"/>
        <w:numPr>
          <w:ilvl w:val="0"/>
          <w:numId w:val="10"/>
        </w:numPr>
        <w:spacing w:after="120" w:line="259" w:lineRule="auto"/>
        <w:ind w:left="567" w:hanging="567"/>
        <w:contextualSpacing w:val="0"/>
        <w:jc w:val="both"/>
        <w:rPr>
          <w:rFonts w:cs="Arial"/>
          <w:sz w:val="22"/>
          <w:szCs w:val="22"/>
        </w:rPr>
      </w:pPr>
      <w:r w:rsidRPr="00913C76">
        <w:rPr>
          <w:rFonts w:cs="Arial"/>
          <w:sz w:val="22"/>
          <w:szCs w:val="22"/>
        </w:rPr>
        <w:t>Ongoing risk assessment costs are calculated in the same way as they were for set-up. It is assumed that the risk assessment is refreshed annually but the costs of the refresh are much lower at 10</w:t>
      </w:r>
      <w:r w:rsidR="006B7504" w:rsidRPr="00913C76">
        <w:rPr>
          <w:rFonts w:cs="Arial"/>
          <w:sz w:val="22"/>
          <w:szCs w:val="22"/>
        </w:rPr>
        <w:t xml:space="preserve"> per cent</w:t>
      </w:r>
      <w:r w:rsidRPr="00913C76">
        <w:rPr>
          <w:rFonts w:cs="Arial"/>
          <w:sz w:val="22"/>
          <w:szCs w:val="22"/>
        </w:rPr>
        <w:t xml:space="preserve"> of the set-up cost. </w:t>
      </w:r>
      <w:r w:rsidR="00241FAA">
        <w:rPr>
          <w:rFonts w:cs="Arial"/>
          <w:sz w:val="22"/>
          <w:szCs w:val="22"/>
        </w:rPr>
        <w:t>This implies between 10</w:t>
      </w:r>
      <w:r w:rsidR="001458B6">
        <w:rPr>
          <w:rFonts w:cs="Arial"/>
          <w:sz w:val="22"/>
          <w:szCs w:val="22"/>
        </w:rPr>
        <w:t xml:space="preserve"> to </w:t>
      </w:r>
      <w:r w:rsidR="00241FAA">
        <w:rPr>
          <w:rFonts w:cs="Arial"/>
          <w:sz w:val="22"/>
          <w:szCs w:val="22"/>
        </w:rPr>
        <w:t>13 person</w:t>
      </w:r>
      <w:r w:rsidR="000B332A">
        <w:rPr>
          <w:rFonts w:cs="Arial"/>
          <w:sz w:val="22"/>
          <w:szCs w:val="22"/>
        </w:rPr>
        <w:t xml:space="preserve"> hours</w:t>
      </w:r>
      <w:r w:rsidR="00241FAA">
        <w:rPr>
          <w:rFonts w:cs="Arial"/>
          <w:sz w:val="22"/>
          <w:szCs w:val="22"/>
        </w:rPr>
        <w:t xml:space="preserve"> </w:t>
      </w:r>
      <w:r w:rsidR="000B332A">
        <w:rPr>
          <w:rFonts w:cs="Arial"/>
          <w:sz w:val="22"/>
          <w:szCs w:val="22"/>
        </w:rPr>
        <w:t xml:space="preserve">each year </w:t>
      </w:r>
      <w:r w:rsidR="00241FAA">
        <w:rPr>
          <w:rFonts w:cs="Arial"/>
          <w:sz w:val="22"/>
          <w:szCs w:val="22"/>
        </w:rPr>
        <w:t xml:space="preserve">to refresh the risk assessment </w:t>
      </w:r>
      <w:r w:rsidR="000B332A">
        <w:rPr>
          <w:rFonts w:cs="Arial"/>
          <w:sz w:val="22"/>
          <w:szCs w:val="22"/>
        </w:rPr>
        <w:t xml:space="preserve">in light of any events that have occurred during the year. It might also involve </w:t>
      </w:r>
      <w:r w:rsidR="005578E0">
        <w:rPr>
          <w:rFonts w:cs="Arial"/>
          <w:sz w:val="22"/>
          <w:szCs w:val="22"/>
        </w:rPr>
        <w:t xml:space="preserve">other tasks such as </w:t>
      </w:r>
      <w:r w:rsidR="000B332A">
        <w:rPr>
          <w:rFonts w:cs="Arial"/>
          <w:sz w:val="22"/>
          <w:szCs w:val="22"/>
        </w:rPr>
        <w:t xml:space="preserve">keeping central logs of training </w:t>
      </w:r>
      <w:r w:rsidR="005578E0">
        <w:rPr>
          <w:rFonts w:cs="Arial"/>
          <w:sz w:val="22"/>
          <w:szCs w:val="22"/>
        </w:rPr>
        <w:t>u</w:t>
      </w:r>
      <w:r w:rsidR="00670301">
        <w:rPr>
          <w:rFonts w:cs="Arial"/>
          <w:sz w:val="22"/>
          <w:szCs w:val="22"/>
        </w:rPr>
        <w:t>p to date</w:t>
      </w:r>
      <w:r w:rsidR="005578E0">
        <w:rPr>
          <w:rFonts w:cs="Arial"/>
          <w:sz w:val="22"/>
          <w:szCs w:val="22"/>
        </w:rPr>
        <w:t xml:space="preserve">. </w:t>
      </w:r>
      <w:r w:rsidRPr="00913C76">
        <w:rPr>
          <w:rFonts w:cs="Arial"/>
          <w:sz w:val="22"/>
          <w:szCs w:val="22"/>
        </w:rPr>
        <w:t>The cost is estimated to be £</w:t>
      </w:r>
      <w:r w:rsidR="00E842B1" w:rsidRPr="00913C76">
        <w:rPr>
          <w:rFonts w:cs="Arial"/>
          <w:sz w:val="22"/>
          <w:szCs w:val="22"/>
        </w:rPr>
        <w:t>304</w:t>
      </w:r>
      <w:r w:rsidRPr="00913C76">
        <w:rPr>
          <w:rFonts w:cs="Arial"/>
          <w:sz w:val="22"/>
          <w:szCs w:val="22"/>
        </w:rPr>
        <w:t xml:space="preserve"> for </w:t>
      </w:r>
      <w:r w:rsidR="00F95DB9" w:rsidRPr="00913C76">
        <w:rPr>
          <w:rFonts w:cs="Arial"/>
          <w:sz w:val="22"/>
          <w:szCs w:val="22"/>
        </w:rPr>
        <w:t>large organisations</w:t>
      </w:r>
      <w:r w:rsidRPr="00913C76">
        <w:rPr>
          <w:rFonts w:cs="Arial"/>
          <w:sz w:val="22"/>
          <w:szCs w:val="22"/>
        </w:rPr>
        <w:t xml:space="preserve"> and £3</w:t>
      </w:r>
      <w:r w:rsidR="00E842B1" w:rsidRPr="00913C76">
        <w:rPr>
          <w:rFonts w:cs="Arial"/>
          <w:sz w:val="22"/>
          <w:szCs w:val="22"/>
        </w:rPr>
        <w:t>74</w:t>
      </w:r>
      <w:r w:rsidR="00203AC2" w:rsidRPr="00913C76">
        <w:rPr>
          <w:rFonts w:cs="Arial"/>
          <w:sz w:val="22"/>
          <w:szCs w:val="22"/>
        </w:rPr>
        <w:t xml:space="preserve"> </w:t>
      </w:r>
      <w:r w:rsidRPr="00913C76">
        <w:rPr>
          <w:rFonts w:cs="Arial"/>
          <w:sz w:val="22"/>
          <w:szCs w:val="22"/>
        </w:rPr>
        <w:t xml:space="preserve">for largest organisations. </w:t>
      </w:r>
    </w:p>
    <w:p w14:paraId="36F1EF64" w14:textId="4D5FFD1C" w:rsidR="00B4050F" w:rsidRPr="00913C76" w:rsidRDefault="00B4050F" w:rsidP="00D54B99">
      <w:pPr>
        <w:pStyle w:val="ListParagraph"/>
        <w:numPr>
          <w:ilvl w:val="0"/>
          <w:numId w:val="10"/>
        </w:numPr>
        <w:spacing w:after="120" w:line="259" w:lineRule="auto"/>
        <w:ind w:left="567" w:hanging="567"/>
        <w:contextualSpacing w:val="0"/>
        <w:jc w:val="both"/>
        <w:rPr>
          <w:rFonts w:cs="Arial"/>
          <w:sz w:val="22"/>
          <w:szCs w:val="22"/>
        </w:rPr>
      </w:pPr>
      <w:r w:rsidRPr="00913C76">
        <w:rPr>
          <w:rFonts w:cs="Arial"/>
          <w:sz w:val="22"/>
          <w:szCs w:val="22"/>
        </w:rPr>
        <w:t xml:space="preserve">In the low scenario it is assumed that 70 </w:t>
      </w:r>
      <w:r w:rsidR="00294394" w:rsidRPr="00913C76">
        <w:rPr>
          <w:rFonts w:cs="Arial"/>
          <w:sz w:val="22"/>
          <w:szCs w:val="22"/>
        </w:rPr>
        <w:t>per cent</w:t>
      </w:r>
      <w:r w:rsidRPr="00913C76">
        <w:rPr>
          <w:rFonts w:cs="Arial"/>
          <w:sz w:val="22"/>
          <w:szCs w:val="22"/>
        </w:rPr>
        <w:t xml:space="preserve"> of companies in scope are required to put in place further anti-fraud measures and therefore will incur on-going risk </w:t>
      </w:r>
      <w:r w:rsidR="0099209D" w:rsidRPr="00913C76">
        <w:rPr>
          <w:rFonts w:cs="Arial"/>
          <w:sz w:val="22"/>
          <w:szCs w:val="22"/>
        </w:rPr>
        <w:t>assessment</w:t>
      </w:r>
      <w:r w:rsidRPr="00913C76">
        <w:rPr>
          <w:rFonts w:cs="Arial"/>
          <w:sz w:val="22"/>
          <w:szCs w:val="22"/>
        </w:rPr>
        <w:t xml:space="preserve"> costs. In the best/ central scenario it is assumed that 85 </w:t>
      </w:r>
      <w:r w:rsidR="00294394" w:rsidRPr="00913C76">
        <w:rPr>
          <w:rFonts w:cs="Arial"/>
          <w:sz w:val="22"/>
          <w:szCs w:val="22"/>
        </w:rPr>
        <w:t>per cent</w:t>
      </w:r>
      <w:r w:rsidRPr="00913C76">
        <w:rPr>
          <w:rFonts w:cs="Arial"/>
          <w:sz w:val="22"/>
          <w:szCs w:val="22"/>
        </w:rPr>
        <w:t xml:space="preserve"> of companies in scope are required to put in place further anti-fraud measures and </w:t>
      </w:r>
      <w:r w:rsidR="00FE5CD8" w:rsidRPr="00913C76">
        <w:rPr>
          <w:rFonts w:cs="Arial"/>
          <w:sz w:val="22"/>
          <w:szCs w:val="22"/>
        </w:rPr>
        <w:t xml:space="preserve">will incur on-going risk </w:t>
      </w:r>
      <w:r w:rsidR="004C6391" w:rsidRPr="00913C76">
        <w:rPr>
          <w:rFonts w:cs="Arial"/>
          <w:sz w:val="22"/>
          <w:szCs w:val="22"/>
        </w:rPr>
        <w:t>assessment</w:t>
      </w:r>
      <w:r w:rsidR="00FE5CD8" w:rsidRPr="00913C76">
        <w:rPr>
          <w:rFonts w:cs="Arial"/>
          <w:sz w:val="22"/>
          <w:szCs w:val="22"/>
        </w:rPr>
        <w:t xml:space="preserve"> costs</w:t>
      </w:r>
      <w:r w:rsidRPr="00913C76">
        <w:rPr>
          <w:rFonts w:cs="Arial"/>
          <w:sz w:val="22"/>
          <w:szCs w:val="22"/>
        </w:rPr>
        <w:t xml:space="preserve">. In the high scenario it is assume that </w:t>
      </w:r>
      <w:r w:rsidR="00233EF7" w:rsidRPr="00913C76">
        <w:rPr>
          <w:rFonts w:cs="Arial"/>
          <w:sz w:val="22"/>
          <w:szCs w:val="22"/>
        </w:rPr>
        <w:t>100</w:t>
      </w:r>
      <w:r w:rsidR="008236C2" w:rsidRPr="00913C76">
        <w:rPr>
          <w:rFonts w:cs="Arial"/>
          <w:sz w:val="22"/>
          <w:szCs w:val="22"/>
        </w:rPr>
        <w:t xml:space="preserve"> per cent</w:t>
      </w:r>
      <w:r w:rsidR="00233EF7" w:rsidRPr="00913C76">
        <w:rPr>
          <w:rFonts w:cs="Arial"/>
          <w:sz w:val="22"/>
          <w:szCs w:val="22"/>
        </w:rPr>
        <w:t xml:space="preserve"> of </w:t>
      </w:r>
      <w:r w:rsidRPr="00913C76">
        <w:rPr>
          <w:rFonts w:cs="Arial"/>
          <w:sz w:val="22"/>
          <w:szCs w:val="22"/>
        </w:rPr>
        <w:t xml:space="preserve">firms in scope are required to put in place further anti-fraud measures and </w:t>
      </w:r>
      <w:r w:rsidR="00FE5CD8" w:rsidRPr="00913C76">
        <w:rPr>
          <w:rFonts w:cs="Arial"/>
          <w:sz w:val="22"/>
          <w:szCs w:val="22"/>
        </w:rPr>
        <w:t xml:space="preserve">will incur on-going risk </w:t>
      </w:r>
      <w:r w:rsidR="00466316" w:rsidRPr="00913C76">
        <w:rPr>
          <w:rFonts w:cs="Arial"/>
          <w:sz w:val="22"/>
          <w:szCs w:val="22"/>
        </w:rPr>
        <w:t>assessment</w:t>
      </w:r>
      <w:r w:rsidR="00FE5CD8" w:rsidRPr="00913C76">
        <w:rPr>
          <w:rFonts w:cs="Arial"/>
          <w:sz w:val="22"/>
          <w:szCs w:val="22"/>
        </w:rPr>
        <w:t xml:space="preserve"> costs</w:t>
      </w:r>
      <w:r w:rsidRPr="00913C76">
        <w:rPr>
          <w:rFonts w:cs="Arial"/>
          <w:sz w:val="22"/>
          <w:szCs w:val="22"/>
        </w:rPr>
        <w:t>.</w:t>
      </w:r>
    </w:p>
    <w:p w14:paraId="1B0F59BA" w14:textId="3FEB6760" w:rsidR="00B4050F" w:rsidRPr="00441AF5" w:rsidRDefault="00B4050F" w:rsidP="00D54B99">
      <w:pPr>
        <w:pStyle w:val="ListParagraph"/>
        <w:numPr>
          <w:ilvl w:val="0"/>
          <w:numId w:val="10"/>
        </w:numPr>
        <w:spacing w:after="120" w:line="259" w:lineRule="auto"/>
        <w:ind w:left="567" w:hanging="567"/>
        <w:contextualSpacing w:val="0"/>
        <w:jc w:val="both"/>
        <w:rPr>
          <w:rFonts w:cs="Arial"/>
          <w:sz w:val="22"/>
          <w:szCs w:val="22"/>
        </w:rPr>
      </w:pPr>
      <w:r w:rsidRPr="00913C76">
        <w:rPr>
          <w:rFonts w:cs="Arial"/>
          <w:sz w:val="22"/>
          <w:szCs w:val="22"/>
        </w:rPr>
        <w:t>Multiplying the cost per entity by the number of organisation in scope</w:t>
      </w:r>
      <w:r w:rsidR="00F013C8" w:rsidRPr="00913C76">
        <w:rPr>
          <w:rFonts w:cs="Arial"/>
          <w:sz w:val="22"/>
          <w:szCs w:val="22"/>
        </w:rPr>
        <w:t xml:space="preserve"> for years 2 to 10</w:t>
      </w:r>
      <w:r w:rsidRPr="00913C76">
        <w:rPr>
          <w:rFonts w:cs="Arial"/>
          <w:sz w:val="22"/>
          <w:szCs w:val="22"/>
        </w:rPr>
        <w:t xml:space="preserve"> estimates </w:t>
      </w:r>
      <w:r w:rsidR="00F013C8" w:rsidRPr="00913C76">
        <w:rPr>
          <w:rFonts w:cs="Arial"/>
          <w:sz w:val="22"/>
          <w:szCs w:val="22"/>
        </w:rPr>
        <w:t>risk assessment ongoing</w:t>
      </w:r>
      <w:r w:rsidRPr="00913C76">
        <w:rPr>
          <w:rFonts w:cs="Arial"/>
          <w:sz w:val="22"/>
          <w:szCs w:val="22"/>
        </w:rPr>
        <w:t xml:space="preserve"> costs of </w:t>
      </w:r>
      <w:r w:rsidRPr="00913C76">
        <w:rPr>
          <w:rFonts w:cs="Arial"/>
          <w:b/>
          <w:sz w:val="22"/>
          <w:szCs w:val="22"/>
        </w:rPr>
        <w:t>£</w:t>
      </w:r>
      <w:r w:rsidR="0054158B">
        <w:rPr>
          <w:rFonts w:cs="Arial"/>
          <w:b/>
          <w:sz w:val="22"/>
          <w:szCs w:val="22"/>
        </w:rPr>
        <w:t>6.0</w:t>
      </w:r>
      <w:r w:rsidRPr="00913C76">
        <w:rPr>
          <w:rFonts w:cs="Arial"/>
          <w:b/>
          <w:sz w:val="22"/>
          <w:szCs w:val="22"/>
        </w:rPr>
        <w:t xml:space="preserve"> million</w:t>
      </w:r>
      <w:r w:rsidRPr="00913C76">
        <w:rPr>
          <w:rFonts w:cs="Arial"/>
          <w:sz w:val="22"/>
          <w:szCs w:val="22"/>
        </w:rPr>
        <w:t xml:space="preserve"> (</w:t>
      </w:r>
      <w:r w:rsidR="00C11398" w:rsidRPr="00913C76">
        <w:rPr>
          <w:rFonts w:cs="Arial"/>
          <w:sz w:val="22"/>
          <w:szCs w:val="22"/>
        </w:rPr>
        <w:t xml:space="preserve">PV </w:t>
      </w:r>
      <w:r w:rsidRPr="00913C76">
        <w:rPr>
          <w:rFonts w:cs="Arial"/>
          <w:sz w:val="22"/>
          <w:szCs w:val="22"/>
        </w:rPr>
        <w:t>2024</w:t>
      </w:r>
      <w:r w:rsidR="00546AE9" w:rsidRPr="00913C76">
        <w:rPr>
          <w:rFonts w:cs="Arial"/>
          <w:sz w:val="22"/>
          <w:szCs w:val="22"/>
        </w:rPr>
        <w:t xml:space="preserve"> </w:t>
      </w:r>
      <w:r w:rsidRPr="00913C76">
        <w:rPr>
          <w:rFonts w:cs="Arial"/>
          <w:sz w:val="22"/>
          <w:szCs w:val="22"/>
        </w:rPr>
        <w:t xml:space="preserve">prices) in the low scenario, </w:t>
      </w:r>
      <w:r w:rsidRPr="00913C76">
        <w:rPr>
          <w:rFonts w:cs="Arial"/>
          <w:b/>
          <w:sz w:val="22"/>
          <w:szCs w:val="22"/>
        </w:rPr>
        <w:t>£</w:t>
      </w:r>
      <w:r w:rsidR="005562F3" w:rsidRPr="00913C76">
        <w:rPr>
          <w:rFonts w:cs="Arial"/>
          <w:b/>
          <w:sz w:val="22"/>
          <w:szCs w:val="22"/>
        </w:rPr>
        <w:t>7</w:t>
      </w:r>
      <w:r w:rsidRPr="00913C76">
        <w:rPr>
          <w:rFonts w:cs="Arial"/>
          <w:b/>
          <w:sz w:val="22"/>
          <w:szCs w:val="22"/>
        </w:rPr>
        <w:t>.</w:t>
      </w:r>
      <w:r w:rsidR="0054158B">
        <w:rPr>
          <w:rFonts w:cs="Arial"/>
          <w:b/>
          <w:sz w:val="22"/>
          <w:szCs w:val="22"/>
        </w:rPr>
        <w:t>3</w:t>
      </w:r>
      <w:r w:rsidRPr="00913C76">
        <w:rPr>
          <w:rFonts w:cs="Arial"/>
          <w:b/>
          <w:sz w:val="22"/>
          <w:szCs w:val="22"/>
        </w:rPr>
        <w:t xml:space="preserve"> million</w:t>
      </w:r>
      <w:r w:rsidRPr="00913C76">
        <w:rPr>
          <w:rFonts w:cs="Arial"/>
          <w:sz w:val="22"/>
          <w:szCs w:val="22"/>
        </w:rPr>
        <w:t xml:space="preserve"> (</w:t>
      </w:r>
      <w:r w:rsidR="00C11398" w:rsidRPr="00913C76">
        <w:rPr>
          <w:rFonts w:cs="Arial"/>
          <w:sz w:val="22"/>
          <w:szCs w:val="22"/>
        </w:rPr>
        <w:t xml:space="preserve">PV </w:t>
      </w:r>
      <w:r w:rsidRPr="00913C76">
        <w:rPr>
          <w:rFonts w:cs="Arial"/>
          <w:sz w:val="22"/>
          <w:szCs w:val="22"/>
        </w:rPr>
        <w:t xml:space="preserve">2024 prices) in the best/ central scenario and </w:t>
      </w:r>
      <w:r w:rsidRPr="00913C76">
        <w:rPr>
          <w:rFonts w:cs="Arial"/>
          <w:b/>
          <w:sz w:val="22"/>
          <w:szCs w:val="22"/>
        </w:rPr>
        <w:t>£</w:t>
      </w:r>
      <w:r w:rsidR="00932F64" w:rsidRPr="00913C76">
        <w:rPr>
          <w:rFonts w:cs="Arial"/>
          <w:b/>
          <w:sz w:val="22"/>
          <w:szCs w:val="22"/>
        </w:rPr>
        <w:t>8.</w:t>
      </w:r>
      <w:r w:rsidR="0054158B">
        <w:rPr>
          <w:rFonts w:cs="Arial"/>
          <w:b/>
          <w:sz w:val="22"/>
          <w:szCs w:val="22"/>
        </w:rPr>
        <w:t>6</w:t>
      </w:r>
      <w:r w:rsidRPr="00913C76">
        <w:rPr>
          <w:rFonts w:cs="Arial"/>
          <w:b/>
          <w:sz w:val="22"/>
          <w:szCs w:val="22"/>
        </w:rPr>
        <w:t xml:space="preserve"> million</w:t>
      </w:r>
      <w:r w:rsidRPr="00913C76">
        <w:rPr>
          <w:rFonts w:cs="Arial"/>
          <w:sz w:val="22"/>
          <w:szCs w:val="22"/>
        </w:rPr>
        <w:t xml:space="preserve"> (</w:t>
      </w:r>
      <w:r w:rsidR="00C11398" w:rsidRPr="00913C76">
        <w:rPr>
          <w:rFonts w:cs="Arial"/>
          <w:sz w:val="22"/>
          <w:szCs w:val="22"/>
        </w:rPr>
        <w:t xml:space="preserve">PV </w:t>
      </w:r>
      <w:r w:rsidRPr="00913C76">
        <w:rPr>
          <w:rFonts w:cs="Arial"/>
          <w:sz w:val="22"/>
          <w:szCs w:val="22"/>
        </w:rPr>
        <w:t>2024 prices) in the high</w:t>
      </w:r>
      <w:r w:rsidRPr="00441AF5">
        <w:rPr>
          <w:rFonts w:cs="Arial"/>
          <w:sz w:val="22"/>
          <w:szCs w:val="22"/>
        </w:rPr>
        <w:t xml:space="preserve"> scenario.</w:t>
      </w:r>
    </w:p>
    <w:p w14:paraId="0988DC13" w14:textId="5FC501C2" w:rsidR="003F6F92" w:rsidRPr="00441AF5" w:rsidRDefault="003F6F92" w:rsidP="003F6F92">
      <w:pPr>
        <w:spacing w:after="120" w:line="259" w:lineRule="auto"/>
        <w:ind w:left="567"/>
        <w:jc w:val="both"/>
        <w:rPr>
          <w:rFonts w:cs="Arial"/>
          <w:b/>
          <w:sz w:val="22"/>
          <w:szCs w:val="22"/>
        </w:rPr>
      </w:pPr>
      <w:r w:rsidRPr="00441AF5">
        <w:rPr>
          <w:rFonts w:cs="Arial"/>
          <w:b/>
          <w:sz w:val="22"/>
          <w:szCs w:val="22"/>
        </w:rPr>
        <w:t xml:space="preserve">Table </w:t>
      </w:r>
      <w:r w:rsidR="002D51FE" w:rsidRPr="00441AF5">
        <w:rPr>
          <w:rFonts w:cs="Arial"/>
          <w:b/>
          <w:sz w:val="22"/>
          <w:szCs w:val="22"/>
        </w:rPr>
        <w:t>8</w:t>
      </w:r>
      <w:r w:rsidRPr="00441AF5">
        <w:rPr>
          <w:rFonts w:cs="Arial"/>
          <w:b/>
          <w:sz w:val="22"/>
          <w:szCs w:val="22"/>
        </w:rPr>
        <w:t xml:space="preserve">, </w:t>
      </w:r>
      <w:r w:rsidR="00726C75" w:rsidRPr="00441AF5">
        <w:rPr>
          <w:rFonts w:cs="Arial"/>
          <w:b/>
          <w:sz w:val="22"/>
          <w:szCs w:val="22"/>
        </w:rPr>
        <w:t>O</w:t>
      </w:r>
      <w:r w:rsidRPr="00441AF5">
        <w:rPr>
          <w:rFonts w:cs="Arial"/>
          <w:b/>
          <w:sz w:val="22"/>
          <w:szCs w:val="22"/>
        </w:rPr>
        <w:t xml:space="preserve">ngoing </w:t>
      </w:r>
      <w:r w:rsidR="00726C75" w:rsidRPr="00441AF5">
        <w:rPr>
          <w:rFonts w:cs="Arial"/>
          <w:b/>
          <w:sz w:val="22"/>
          <w:szCs w:val="22"/>
        </w:rPr>
        <w:t>R</w:t>
      </w:r>
      <w:r w:rsidRPr="00441AF5">
        <w:rPr>
          <w:rFonts w:cs="Arial"/>
          <w:b/>
          <w:sz w:val="22"/>
          <w:szCs w:val="22"/>
        </w:rPr>
        <w:t xml:space="preserve">isk </w:t>
      </w:r>
      <w:r w:rsidR="00726C75" w:rsidRPr="00441AF5">
        <w:rPr>
          <w:rFonts w:cs="Arial"/>
          <w:b/>
          <w:sz w:val="22"/>
          <w:szCs w:val="22"/>
        </w:rPr>
        <w:t>A</w:t>
      </w:r>
      <w:r w:rsidRPr="00441AF5">
        <w:rPr>
          <w:rFonts w:cs="Arial"/>
          <w:b/>
          <w:sz w:val="22"/>
          <w:szCs w:val="22"/>
        </w:rPr>
        <w:t xml:space="preserve">ssessment </w:t>
      </w:r>
      <w:r w:rsidR="00726C75" w:rsidRPr="00441AF5">
        <w:rPr>
          <w:rFonts w:cs="Arial"/>
          <w:b/>
          <w:sz w:val="22"/>
          <w:szCs w:val="22"/>
        </w:rPr>
        <w:t>C</w:t>
      </w:r>
      <w:r w:rsidRPr="00441AF5">
        <w:rPr>
          <w:rFonts w:cs="Arial"/>
          <w:b/>
          <w:sz w:val="22"/>
          <w:szCs w:val="22"/>
        </w:rPr>
        <w:t>osts</w:t>
      </w:r>
      <w:r w:rsidR="00FC4AAA" w:rsidRPr="00441AF5">
        <w:rPr>
          <w:rFonts w:cs="Arial"/>
          <w:b/>
          <w:sz w:val="22"/>
          <w:szCs w:val="22"/>
        </w:rPr>
        <w:t xml:space="preserve"> </w:t>
      </w:r>
      <w:r w:rsidR="00C05643" w:rsidRPr="00441AF5">
        <w:rPr>
          <w:rFonts w:cs="Arial"/>
          <w:b/>
          <w:sz w:val="22"/>
          <w:szCs w:val="22"/>
        </w:rPr>
        <w:t>(</w:t>
      </w:r>
      <w:r w:rsidR="00280B26" w:rsidRPr="00441AF5">
        <w:rPr>
          <w:rFonts w:cs="Arial"/>
          <w:b/>
          <w:sz w:val="22"/>
          <w:szCs w:val="22"/>
        </w:rPr>
        <w:t xml:space="preserve">PV </w:t>
      </w:r>
      <w:r w:rsidR="006402EF" w:rsidRPr="00441AF5">
        <w:rPr>
          <w:rFonts w:cs="Arial"/>
          <w:b/>
          <w:sz w:val="22"/>
          <w:szCs w:val="22"/>
        </w:rPr>
        <w:t>2024 prices</w:t>
      </w:r>
      <w:r w:rsidR="00AF2754" w:rsidRPr="00441AF5">
        <w:rPr>
          <w:rFonts w:cs="Arial"/>
          <w:b/>
          <w:sz w:val="22"/>
          <w:szCs w:val="22"/>
        </w:rPr>
        <w:t>)</w:t>
      </w:r>
      <w:r w:rsidRPr="00441AF5">
        <w:rPr>
          <w:rFonts w:cs="Arial"/>
          <w:b/>
          <w:sz w:val="22"/>
          <w:szCs w:val="22"/>
        </w:rPr>
        <w:t xml:space="preserve">, </w:t>
      </w:r>
      <w:r w:rsidR="00726C75" w:rsidRPr="00441AF5">
        <w:rPr>
          <w:rFonts w:cs="Arial"/>
          <w:b/>
          <w:sz w:val="22"/>
          <w:szCs w:val="22"/>
        </w:rPr>
        <w:t>Y</w:t>
      </w:r>
      <w:r w:rsidRPr="00441AF5">
        <w:rPr>
          <w:rFonts w:cs="Arial"/>
          <w:b/>
          <w:sz w:val="22"/>
          <w:szCs w:val="22"/>
        </w:rPr>
        <w:t>ears 2 to 10</w:t>
      </w:r>
    </w:p>
    <w:tbl>
      <w:tblPr>
        <w:tblW w:w="9321" w:type="dxa"/>
        <w:tblInd w:w="597" w:type="dxa"/>
        <w:tblLook w:val="04A0" w:firstRow="1" w:lastRow="0" w:firstColumn="1" w:lastColumn="0" w:noHBand="0" w:noVBand="1"/>
      </w:tblPr>
      <w:tblGrid>
        <w:gridCol w:w="1809"/>
        <w:gridCol w:w="1984"/>
        <w:gridCol w:w="1842"/>
        <w:gridCol w:w="1843"/>
        <w:gridCol w:w="1843"/>
      </w:tblGrid>
      <w:tr w:rsidR="001D081D" w:rsidRPr="001D081D" w14:paraId="2A45EF89" w14:textId="77777777" w:rsidTr="001458B6">
        <w:trPr>
          <w:trHeight w:val="340"/>
        </w:trPr>
        <w:tc>
          <w:tcPr>
            <w:tcW w:w="1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D6830" w14:textId="77777777" w:rsidR="003F6F92" w:rsidRPr="00441AF5" w:rsidRDefault="003F6F92" w:rsidP="003F6F92">
            <w:pPr>
              <w:rPr>
                <w:rFonts w:cs="Arial"/>
                <w:b/>
                <w:sz w:val="22"/>
                <w:szCs w:val="22"/>
                <w:lang w:eastAsia="en-GB"/>
              </w:rPr>
            </w:pPr>
            <w:r w:rsidRPr="00441AF5">
              <w:rPr>
                <w:rFonts w:cs="Arial"/>
                <w:b/>
                <w:sz w:val="22"/>
                <w:szCs w:val="22"/>
                <w:lang w:eastAsia="en-GB"/>
              </w:rPr>
              <w:t>Risk assessment</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6DF26743" w14:textId="77777777" w:rsidR="003F6F92" w:rsidRDefault="003F6F92" w:rsidP="00C23109">
            <w:pPr>
              <w:jc w:val="center"/>
              <w:rPr>
                <w:rFonts w:cs="Arial"/>
                <w:b/>
                <w:sz w:val="22"/>
                <w:szCs w:val="22"/>
                <w:lang w:eastAsia="en-GB"/>
              </w:rPr>
            </w:pPr>
            <w:r w:rsidRPr="00441AF5">
              <w:rPr>
                <w:rFonts w:cs="Arial"/>
                <w:b/>
                <w:sz w:val="22"/>
                <w:szCs w:val="22"/>
                <w:lang w:eastAsia="en-GB"/>
              </w:rPr>
              <w:t>Total per entity</w:t>
            </w:r>
          </w:p>
          <w:p w14:paraId="02D2DD9F" w14:textId="00B61E7E" w:rsidR="00DC3415" w:rsidRPr="00441AF5" w:rsidRDefault="00DC3415" w:rsidP="00C23109">
            <w:pPr>
              <w:jc w:val="center"/>
              <w:rPr>
                <w:rFonts w:cs="Arial"/>
                <w:b/>
                <w:sz w:val="22"/>
                <w:szCs w:val="22"/>
                <w:lang w:eastAsia="en-GB"/>
              </w:rPr>
            </w:pPr>
            <w:r>
              <w:rPr>
                <w:rFonts w:cs="Arial"/>
                <w:b/>
                <w:sz w:val="22"/>
                <w:szCs w:val="22"/>
                <w:lang w:eastAsia="en-GB"/>
              </w:rPr>
              <w:t>£</w:t>
            </w:r>
          </w:p>
        </w:tc>
        <w:tc>
          <w:tcPr>
            <w:tcW w:w="1842" w:type="dxa"/>
            <w:tcBorders>
              <w:top w:val="single" w:sz="4" w:space="0" w:color="auto"/>
              <w:left w:val="nil"/>
              <w:bottom w:val="single" w:sz="4" w:space="0" w:color="auto"/>
              <w:right w:val="single" w:sz="4" w:space="0" w:color="auto"/>
            </w:tcBorders>
            <w:vAlign w:val="center"/>
          </w:tcPr>
          <w:p w14:paraId="47A98681" w14:textId="76758A0B" w:rsidR="009759C9" w:rsidRPr="00DC3415" w:rsidRDefault="00DC3415" w:rsidP="00C23109">
            <w:pPr>
              <w:jc w:val="center"/>
            </w:pPr>
            <w:r w:rsidRPr="00441AF5">
              <w:rPr>
                <w:rFonts w:cs="Arial"/>
                <w:b/>
                <w:sz w:val="22"/>
                <w:szCs w:val="22"/>
                <w:lang w:eastAsia="en-GB"/>
              </w:rPr>
              <w:t>Low Estimate</w:t>
            </w:r>
            <w:r>
              <w:rPr>
                <w:rFonts w:cs="Arial"/>
                <w:b/>
                <w:sz w:val="22"/>
                <w:szCs w:val="22"/>
                <w:lang w:eastAsia="en-GB"/>
              </w:rPr>
              <w:t xml:space="preserve"> £m</w:t>
            </w:r>
          </w:p>
        </w:tc>
        <w:tc>
          <w:tcPr>
            <w:tcW w:w="1843" w:type="dxa"/>
            <w:tcBorders>
              <w:top w:val="single" w:sz="4" w:space="0" w:color="auto"/>
              <w:left w:val="single" w:sz="4" w:space="0" w:color="auto"/>
              <w:bottom w:val="single" w:sz="4" w:space="0" w:color="auto"/>
              <w:right w:val="single" w:sz="4" w:space="0" w:color="auto"/>
            </w:tcBorders>
            <w:vAlign w:val="center"/>
          </w:tcPr>
          <w:p w14:paraId="3C6B605D" w14:textId="586D3E59" w:rsidR="009759C9" w:rsidRPr="00441AF5" w:rsidRDefault="002D51FE" w:rsidP="00C23109">
            <w:pPr>
              <w:jc w:val="center"/>
              <w:rPr>
                <w:rFonts w:cs="Arial"/>
                <w:sz w:val="22"/>
                <w:szCs w:val="22"/>
                <w:lang w:eastAsia="en-GB"/>
              </w:rPr>
            </w:pPr>
            <w:r w:rsidRPr="00441AF5">
              <w:rPr>
                <w:rFonts w:cs="Arial"/>
                <w:b/>
                <w:sz w:val="22"/>
                <w:szCs w:val="22"/>
                <w:lang w:eastAsia="en-GB"/>
              </w:rPr>
              <w:t xml:space="preserve">Best Estimate </w:t>
            </w:r>
            <w:r w:rsidR="002A71ED">
              <w:rPr>
                <w:rFonts w:cs="Arial"/>
                <w:b/>
                <w:sz w:val="22"/>
                <w:szCs w:val="22"/>
                <w:lang w:eastAsia="en-GB"/>
              </w:rPr>
              <w:t>£m</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CCA9E" w14:textId="23ACF21A" w:rsidR="003F6F92" w:rsidRPr="00441AF5" w:rsidRDefault="009759C9" w:rsidP="00C23109">
            <w:pPr>
              <w:jc w:val="center"/>
              <w:rPr>
                <w:rFonts w:cs="Arial"/>
                <w:sz w:val="22"/>
                <w:szCs w:val="22"/>
                <w:lang w:eastAsia="en-GB"/>
              </w:rPr>
            </w:pPr>
            <w:r w:rsidRPr="00441AF5">
              <w:rPr>
                <w:rFonts w:cs="Arial"/>
                <w:b/>
                <w:sz w:val="22"/>
                <w:szCs w:val="22"/>
                <w:lang w:eastAsia="en-GB"/>
              </w:rPr>
              <w:t xml:space="preserve">High </w:t>
            </w:r>
            <w:r w:rsidR="002D51FE" w:rsidRPr="00441AF5">
              <w:rPr>
                <w:rFonts w:cs="Arial"/>
                <w:b/>
                <w:sz w:val="22"/>
                <w:szCs w:val="22"/>
                <w:lang w:eastAsia="en-GB"/>
              </w:rPr>
              <w:t>Estimate</w:t>
            </w:r>
            <w:r w:rsidR="002A71ED">
              <w:rPr>
                <w:rFonts w:cs="Arial"/>
                <w:b/>
                <w:sz w:val="22"/>
                <w:szCs w:val="22"/>
                <w:lang w:eastAsia="en-GB"/>
              </w:rPr>
              <w:t xml:space="preserve"> £m</w:t>
            </w:r>
          </w:p>
        </w:tc>
      </w:tr>
      <w:tr w:rsidR="001D081D" w:rsidRPr="001D081D" w14:paraId="4B0265EA" w14:textId="77777777" w:rsidTr="001458B6">
        <w:trPr>
          <w:trHeight w:val="340"/>
        </w:trPr>
        <w:tc>
          <w:tcPr>
            <w:tcW w:w="1809" w:type="dxa"/>
            <w:tcBorders>
              <w:top w:val="nil"/>
              <w:left w:val="single" w:sz="4" w:space="0" w:color="auto"/>
              <w:bottom w:val="nil"/>
              <w:right w:val="single" w:sz="4" w:space="0" w:color="auto"/>
            </w:tcBorders>
            <w:shd w:val="clear" w:color="auto" w:fill="auto"/>
            <w:noWrap/>
            <w:vAlign w:val="bottom"/>
            <w:hideMark/>
          </w:tcPr>
          <w:p w14:paraId="20B7E17C" w14:textId="77777777" w:rsidR="004420EB" w:rsidRPr="00441AF5" w:rsidRDefault="004420EB" w:rsidP="004420EB">
            <w:pPr>
              <w:rPr>
                <w:rFonts w:cs="Arial"/>
                <w:sz w:val="22"/>
                <w:szCs w:val="22"/>
                <w:lang w:eastAsia="en-GB"/>
              </w:rPr>
            </w:pPr>
            <w:r w:rsidRPr="00441AF5">
              <w:rPr>
                <w:rFonts w:cs="Arial"/>
                <w:sz w:val="22"/>
                <w:szCs w:val="22"/>
                <w:lang w:eastAsia="en-GB"/>
              </w:rPr>
              <w:t>Large</w:t>
            </w:r>
          </w:p>
        </w:tc>
        <w:tc>
          <w:tcPr>
            <w:tcW w:w="1984" w:type="dxa"/>
            <w:tcBorders>
              <w:top w:val="nil"/>
              <w:left w:val="nil"/>
              <w:bottom w:val="nil"/>
              <w:right w:val="single" w:sz="4" w:space="0" w:color="auto"/>
            </w:tcBorders>
            <w:shd w:val="clear" w:color="auto" w:fill="auto"/>
            <w:noWrap/>
            <w:vAlign w:val="bottom"/>
            <w:hideMark/>
          </w:tcPr>
          <w:p w14:paraId="49522897" w14:textId="6AA31BD4" w:rsidR="004420EB" w:rsidRPr="00A85B60" w:rsidRDefault="00E842B1" w:rsidP="006331E4">
            <w:pPr>
              <w:jc w:val="right"/>
              <w:rPr>
                <w:rFonts w:cs="Arial"/>
                <w:sz w:val="22"/>
                <w:szCs w:val="22"/>
                <w:lang w:eastAsia="en-GB"/>
              </w:rPr>
            </w:pPr>
            <w:r w:rsidRPr="00A85B60">
              <w:rPr>
                <w:rFonts w:cs="Arial"/>
                <w:sz w:val="22"/>
                <w:szCs w:val="22"/>
              </w:rPr>
              <w:t>3</w:t>
            </w:r>
            <w:r w:rsidR="0065282B">
              <w:rPr>
                <w:rFonts w:cs="Arial"/>
                <w:sz w:val="22"/>
                <w:szCs w:val="22"/>
              </w:rPr>
              <w:t>10</w:t>
            </w:r>
          </w:p>
        </w:tc>
        <w:tc>
          <w:tcPr>
            <w:tcW w:w="1842" w:type="dxa"/>
            <w:tcBorders>
              <w:top w:val="nil"/>
              <w:left w:val="nil"/>
              <w:bottom w:val="nil"/>
              <w:right w:val="single" w:sz="4" w:space="0" w:color="auto"/>
            </w:tcBorders>
            <w:vAlign w:val="bottom"/>
          </w:tcPr>
          <w:p w14:paraId="717C53A1" w14:textId="7F80D373" w:rsidR="009759C9" w:rsidRPr="00A85B60" w:rsidRDefault="002336D3" w:rsidP="006331E4">
            <w:pPr>
              <w:jc w:val="right"/>
              <w:rPr>
                <w:rFonts w:cs="Arial"/>
                <w:sz w:val="22"/>
                <w:szCs w:val="22"/>
                <w:lang w:eastAsia="en-GB"/>
              </w:rPr>
            </w:pPr>
            <w:r w:rsidRPr="00A85B60">
              <w:rPr>
                <w:rFonts w:cs="Arial"/>
                <w:sz w:val="22"/>
                <w:szCs w:val="22"/>
                <w:lang w:eastAsia="en-GB"/>
              </w:rPr>
              <w:t>2.</w:t>
            </w:r>
            <w:r w:rsidR="000054F8" w:rsidRPr="00A85B60">
              <w:rPr>
                <w:rFonts w:cs="Arial"/>
                <w:sz w:val="22"/>
                <w:szCs w:val="22"/>
                <w:lang w:eastAsia="en-GB"/>
              </w:rPr>
              <w:t>7</w:t>
            </w:r>
          </w:p>
        </w:tc>
        <w:tc>
          <w:tcPr>
            <w:tcW w:w="1843" w:type="dxa"/>
            <w:tcBorders>
              <w:top w:val="nil"/>
              <w:left w:val="single" w:sz="4" w:space="0" w:color="auto"/>
              <w:bottom w:val="nil"/>
              <w:right w:val="single" w:sz="4" w:space="0" w:color="auto"/>
            </w:tcBorders>
            <w:vAlign w:val="bottom"/>
          </w:tcPr>
          <w:p w14:paraId="2A8C2F4D" w14:textId="0E6F8C6E" w:rsidR="009759C9" w:rsidRPr="00A85B60" w:rsidRDefault="007F221A" w:rsidP="006331E4">
            <w:pPr>
              <w:jc w:val="right"/>
              <w:rPr>
                <w:rFonts w:cs="Arial"/>
                <w:sz w:val="22"/>
                <w:szCs w:val="22"/>
                <w:lang w:eastAsia="en-GB"/>
              </w:rPr>
            </w:pPr>
            <w:r w:rsidRPr="00A85B60">
              <w:rPr>
                <w:rFonts w:cs="Arial"/>
                <w:sz w:val="22"/>
                <w:szCs w:val="22"/>
                <w:lang w:eastAsia="en-GB"/>
              </w:rPr>
              <w:t>3.</w:t>
            </w:r>
            <w:r w:rsidR="0054158B">
              <w:rPr>
                <w:rFonts w:cs="Arial"/>
                <w:sz w:val="22"/>
                <w:szCs w:val="22"/>
                <w:lang w:eastAsia="en-GB"/>
              </w:rPr>
              <w:t>3</w:t>
            </w:r>
          </w:p>
        </w:tc>
        <w:tc>
          <w:tcPr>
            <w:tcW w:w="1843" w:type="dxa"/>
            <w:tcBorders>
              <w:top w:val="nil"/>
              <w:left w:val="single" w:sz="4" w:space="0" w:color="auto"/>
              <w:bottom w:val="nil"/>
              <w:right w:val="single" w:sz="4" w:space="0" w:color="auto"/>
            </w:tcBorders>
            <w:shd w:val="clear" w:color="auto" w:fill="auto"/>
            <w:noWrap/>
            <w:vAlign w:val="bottom"/>
            <w:hideMark/>
          </w:tcPr>
          <w:p w14:paraId="6FEBFAD3" w14:textId="686B0777" w:rsidR="004420EB" w:rsidRPr="00A85B60" w:rsidRDefault="004420EB" w:rsidP="006331E4">
            <w:pPr>
              <w:jc w:val="right"/>
              <w:rPr>
                <w:rFonts w:cs="Arial"/>
                <w:sz w:val="22"/>
                <w:szCs w:val="22"/>
                <w:lang w:eastAsia="en-GB"/>
              </w:rPr>
            </w:pPr>
            <w:r w:rsidRPr="00A85B60">
              <w:rPr>
                <w:rFonts w:cs="Arial"/>
                <w:sz w:val="22"/>
                <w:szCs w:val="22"/>
                <w:lang w:eastAsia="en-GB"/>
              </w:rPr>
              <w:t>3.</w:t>
            </w:r>
            <w:r w:rsidR="0054158B">
              <w:rPr>
                <w:rFonts w:cs="Arial"/>
                <w:sz w:val="22"/>
                <w:szCs w:val="22"/>
              </w:rPr>
              <w:t>9</w:t>
            </w:r>
          </w:p>
        </w:tc>
      </w:tr>
      <w:tr w:rsidR="001D081D" w:rsidRPr="001D081D" w14:paraId="252C0AD2" w14:textId="77777777" w:rsidTr="001458B6">
        <w:trPr>
          <w:trHeight w:val="340"/>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14:paraId="360CA630" w14:textId="77777777" w:rsidR="004420EB" w:rsidRPr="00441AF5" w:rsidRDefault="004420EB" w:rsidP="004420EB">
            <w:pPr>
              <w:rPr>
                <w:rFonts w:cs="Arial"/>
                <w:sz w:val="22"/>
                <w:szCs w:val="22"/>
                <w:lang w:eastAsia="en-GB"/>
              </w:rPr>
            </w:pPr>
            <w:r w:rsidRPr="00441AF5">
              <w:rPr>
                <w:rFonts w:cs="Arial"/>
                <w:sz w:val="22"/>
                <w:szCs w:val="22"/>
                <w:lang w:eastAsia="en-GB"/>
              </w:rPr>
              <w:t>Largest</w:t>
            </w:r>
          </w:p>
        </w:tc>
        <w:tc>
          <w:tcPr>
            <w:tcW w:w="1984" w:type="dxa"/>
            <w:tcBorders>
              <w:top w:val="nil"/>
              <w:left w:val="nil"/>
              <w:bottom w:val="single" w:sz="4" w:space="0" w:color="auto"/>
              <w:right w:val="single" w:sz="4" w:space="0" w:color="auto"/>
            </w:tcBorders>
            <w:shd w:val="clear" w:color="auto" w:fill="auto"/>
            <w:noWrap/>
            <w:vAlign w:val="bottom"/>
            <w:hideMark/>
          </w:tcPr>
          <w:p w14:paraId="1E5053A9" w14:textId="6D0A4036" w:rsidR="004420EB" w:rsidRPr="00A85B60" w:rsidRDefault="004420EB" w:rsidP="006331E4">
            <w:pPr>
              <w:jc w:val="right"/>
              <w:rPr>
                <w:rFonts w:cs="Arial"/>
                <w:sz w:val="22"/>
                <w:szCs w:val="22"/>
                <w:lang w:eastAsia="en-GB"/>
              </w:rPr>
            </w:pPr>
            <w:r w:rsidRPr="00A85B60">
              <w:rPr>
                <w:rFonts w:cs="Arial"/>
                <w:sz w:val="22"/>
                <w:szCs w:val="22"/>
                <w:lang w:eastAsia="en-GB"/>
              </w:rPr>
              <w:t>3</w:t>
            </w:r>
            <w:r w:rsidR="0065282B">
              <w:rPr>
                <w:rFonts w:cs="Arial"/>
                <w:sz w:val="22"/>
                <w:szCs w:val="22"/>
                <w:lang w:eastAsia="en-GB"/>
              </w:rPr>
              <w:t>81</w:t>
            </w:r>
          </w:p>
        </w:tc>
        <w:tc>
          <w:tcPr>
            <w:tcW w:w="1842" w:type="dxa"/>
            <w:tcBorders>
              <w:top w:val="nil"/>
              <w:left w:val="nil"/>
              <w:bottom w:val="single" w:sz="4" w:space="0" w:color="auto"/>
              <w:right w:val="single" w:sz="4" w:space="0" w:color="auto"/>
            </w:tcBorders>
            <w:vAlign w:val="bottom"/>
          </w:tcPr>
          <w:p w14:paraId="1F839CD6" w14:textId="172D0550" w:rsidR="009759C9" w:rsidRPr="00A85B60" w:rsidRDefault="00E7729A" w:rsidP="006331E4">
            <w:pPr>
              <w:jc w:val="right"/>
              <w:rPr>
                <w:rFonts w:cs="Arial"/>
                <w:sz w:val="22"/>
                <w:szCs w:val="22"/>
                <w:lang w:eastAsia="en-GB"/>
              </w:rPr>
            </w:pPr>
            <w:r w:rsidRPr="00A85B60">
              <w:rPr>
                <w:rFonts w:cs="Arial"/>
                <w:sz w:val="22"/>
                <w:szCs w:val="22"/>
                <w:lang w:eastAsia="en-GB"/>
              </w:rPr>
              <w:t>3.</w:t>
            </w:r>
            <w:r w:rsidR="000054F8" w:rsidRPr="00A85B60">
              <w:rPr>
                <w:rFonts w:cs="Arial"/>
                <w:sz w:val="22"/>
                <w:szCs w:val="22"/>
                <w:lang w:eastAsia="en-GB"/>
              </w:rPr>
              <w:t>3</w:t>
            </w:r>
          </w:p>
        </w:tc>
        <w:tc>
          <w:tcPr>
            <w:tcW w:w="1843" w:type="dxa"/>
            <w:tcBorders>
              <w:top w:val="nil"/>
              <w:left w:val="single" w:sz="4" w:space="0" w:color="auto"/>
              <w:bottom w:val="single" w:sz="4" w:space="0" w:color="auto"/>
              <w:right w:val="single" w:sz="4" w:space="0" w:color="auto"/>
            </w:tcBorders>
            <w:vAlign w:val="bottom"/>
          </w:tcPr>
          <w:p w14:paraId="5FA32C72" w14:textId="38061E94" w:rsidR="009759C9" w:rsidRPr="00A85B60" w:rsidRDefault="00511049" w:rsidP="006331E4">
            <w:pPr>
              <w:jc w:val="right"/>
              <w:rPr>
                <w:rFonts w:cs="Arial"/>
                <w:sz w:val="22"/>
                <w:szCs w:val="22"/>
                <w:lang w:eastAsia="en-GB"/>
              </w:rPr>
            </w:pPr>
            <w:r>
              <w:rPr>
                <w:rFonts w:cs="Arial"/>
                <w:sz w:val="22"/>
                <w:szCs w:val="22"/>
                <w:lang w:eastAsia="en-GB"/>
              </w:rPr>
              <w:t>4.0</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AA6342B" w14:textId="5DCFF1CD" w:rsidR="004420EB" w:rsidRPr="00A85B60" w:rsidRDefault="004420EB" w:rsidP="006331E4">
            <w:pPr>
              <w:jc w:val="right"/>
              <w:rPr>
                <w:rFonts w:cs="Arial"/>
                <w:sz w:val="22"/>
                <w:szCs w:val="22"/>
                <w:lang w:eastAsia="en-GB"/>
              </w:rPr>
            </w:pPr>
            <w:r w:rsidRPr="00A85B60">
              <w:rPr>
                <w:rFonts w:cs="Arial"/>
                <w:sz w:val="22"/>
                <w:szCs w:val="22"/>
                <w:lang w:eastAsia="en-GB"/>
              </w:rPr>
              <w:t>4.</w:t>
            </w:r>
            <w:r w:rsidR="0054158B">
              <w:rPr>
                <w:rFonts w:cs="Arial"/>
                <w:sz w:val="22"/>
                <w:szCs w:val="22"/>
                <w:lang w:eastAsia="en-GB"/>
              </w:rPr>
              <w:t>7</w:t>
            </w:r>
          </w:p>
        </w:tc>
      </w:tr>
      <w:tr w:rsidR="001D081D" w:rsidRPr="001D081D" w14:paraId="51042498" w14:textId="77777777" w:rsidTr="001458B6">
        <w:trPr>
          <w:trHeight w:val="340"/>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14:paraId="25A7F2C8" w14:textId="77777777" w:rsidR="004420EB" w:rsidRPr="00441AF5" w:rsidRDefault="004420EB" w:rsidP="004420EB">
            <w:pPr>
              <w:rPr>
                <w:rFonts w:cs="Arial"/>
                <w:b/>
                <w:sz w:val="22"/>
                <w:szCs w:val="22"/>
                <w:lang w:eastAsia="en-GB"/>
              </w:rPr>
            </w:pPr>
            <w:r w:rsidRPr="00441AF5">
              <w:rPr>
                <w:rFonts w:cs="Arial"/>
                <w:b/>
                <w:sz w:val="22"/>
                <w:szCs w:val="22"/>
                <w:lang w:eastAsia="en-GB"/>
              </w:rPr>
              <w:t>Total</w:t>
            </w:r>
          </w:p>
        </w:tc>
        <w:tc>
          <w:tcPr>
            <w:tcW w:w="1984" w:type="dxa"/>
            <w:tcBorders>
              <w:top w:val="nil"/>
              <w:left w:val="nil"/>
              <w:bottom w:val="single" w:sz="4" w:space="0" w:color="auto"/>
              <w:right w:val="single" w:sz="4" w:space="0" w:color="auto"/>
            </w:tcBorders>
            <w:shd w:val="clear" w:color="auto" w:fill="auto"/>
            <w:noWrap/>
            <w:vAlign w:val="bottom"/>
            <w:hideMark/>
          </w:tcPr>
          <w:p w14:paraId="3719A9FD" w14:textId="77777777" w:rsidR="004420EB" w:rsidRPr="00A85B60" w:rsidRDefault="004420EB" w:rsidP="006331E4">
            <w:pPr>
              <w:jc w:val="right"/>
              <w:rPr>
                <w:rFonts w:cs="Arial"/>
                <w:b/>
                <w:sz w:val="22"/>
                <w:szCs w:val="22"/>
                <w:lang w:eastAsia="en-GB"/>
              </w:rPr>
            </w:pPr>
            <w:r w:rsidRPr="00A85B60">
              <w:rPr>
                <w:rFonts w:cs="Arial"/>
                <w:b/>
                <w:sz w:val="22"/>
                <w:szCs w:val="22"/>
                <w:lang w:eastAsia="en-GB"/>
              </w:rPr>
              <w:t>-</w:t>
            </w:r>
          </w:p>
        </w:tc>
        <w:tc>
          <w:tcPr>
            <w:tcW w:w="1842" w:type="dxa"/>
            <w:tcBorders>
              <w:top w:val="nil"/>
              <w:left w:val="nil"/>
              <w:bottom w:val="single" w:sz="4" w:space="0" w:color="auto"/>
              <w:right w:val="single" w:sz="4" w:space="0" w:color="auto"/>
            </w:tcBorders>
            <w:vAlign w:val="bottom"/>
          </w:tcPr>
          <w:p w14:paraId="68E46CD8" w14:textId="6D8DB473" w:rsidR="009759C9" w:rsidRPr="00A85B60" w:rsidRDefault="00427683" w:rsidP="006331E4">
            <w:pPr>
              <w:jc w:val="right"/>
              <w:rPr>
                <w:rFonts w:cs="Arial"/>
                <w:b/>
                <w:sz w:val="22"/>
                <w:szCs w:val="22"/>
              </w:rPr>
            </w:pPr>
            <w:r>
              <w:rPr>
                <w:rFonts w:cs="Arial"/>
                <w:b/>
                <w:sz w:val="22"/>
                <w:szCs w:val="22"/>
              </w:rPr>
              <w:t>6.0</w:t>
            </w:r>
          </w:p>
        </w:tc>
        <w:tc>
          <w:tcPr>
            <w:tcW w:w="1843" w:type="dxa"/>
            <w:tcBorders>
              <w:top w:val="nil"/>
              <w:left w:val="single" w:sz="4" w:space="0" w:color="auto"/>
              <w:bottom w:val="single" w:sz="4" w:space="0" w:color="auto"/>
              <w:right w:val="single" w:sz="4" w:space="0" w:color="auto"/>
            </w:tcBorders>
            <w:vAlign w:val="bottom"/>
          </w:tcPr>
          <w:p w14:paraId="70310EED" w14:textId="705082FB" w:rsidR="009759C9" w:rsidRPr="00A85B60" w:rsidRDefault="0077132C" w:rsidP="006331E4">
            <w:pPr>
              <w:jc w:val="right"/>
              <w:rPr>
                <w:rFonts w:cs="Arial"/>
                <w:b/>
                <w:sz w:val="22"/>
                <w:szCs w:val="22"/>
              </w:rPr>
            </w:pPr>
            <w:r w:rsidRPr="00A85B60">
              <w:rPr>
                <w:rFonts w:cs="Arial"/>
                <w:b/>
                <w:sz w:val="22"/>
                <w:szCs w:val="22"/>
              </w:rPr>
              <w:t>7.</w:t>
            </w:r>
            <w:r w:rsidR="00511049">
              <w:rPr>
                <w:rFonts w:cs="Arial"/>
                <w:b/>
                <w:sz w:val="22"/>
                <w:szCs w:val="22"/>
              </w:rPr>
              <w:t>3</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E9B25C0" w14:textId="721F9BA9" w:rsidR="004420EB" w:rsidRPr="00A85B60" w:rsidRDefault="0054158B" w:rsidP="006331E4">
            <w:pPr>
              <w:jc w:val="right"/>
              <w:rPr>
                <w:rFonts w:cs="Arial"/>
                <w:b/>
                <w:sz w:val="22"/>
                <w:szCs w:val="22"/>
                <w:lang w:eastAsia="en-GB"/>
              </w:rPr>
            </w:pPr>
            <w:r>
              <w:rPr>
                <w:rFonts w:cs="Arial"/>
                <w:b/>
                <w:sz w:val="22"/>
                <w:szCs w:val="22"/>
              </w:rPr>
              <w:t>8.6</w:t>
            </w:r>
          </w:p>
        </w:tc>
      </w:tr>
    </w:tbl>
    <w:p w14:paraId="7333CDE0" w14:textId="42576A25" w:rsidR="00E917B0" w:rsidRPr="0029116F" w:rsidRDefault="004928AC" w:rsidP="00E917B0">
      <w:pPr>
        <w:spacing w:after="120" w:line="259" w:lineRule="auto"/>
        <w:ind w:left="567"/>
        <w:jc w:val="both"/>
        <w:rPr>
          <w:rFonts w:cs="Arial"/>
          <w:b/>
          <w:bCs/>
          <w:sz w:val="18"/>
          <w:szCs w:val="18"/>
        </w:rPr>
      </w:pPr>
      <w:r w:rsidRPr="0029116F">
        <w:rPr>
          <w:rFonts w:cs="Arial"/>
          <w:sz w:val="18"/>
          <w:szCs w:val="18"/>
        </w:rPr>
        <w:t>Source: DBT calculations</w:t>
      </w:r>
      <w:r w:rsidR="00C70216">
        <w:rPr>
          <w:rFonts w:cs="Arial"/>
          <w:sz w:val="18"/>
          <w:szCs w:val="18"/>
        </w:rPr>
        <w:t>.</w:t>
      </w:r>
      <w:r w:rsidR="004D76B9">
        <w:rPr>
          <w:rFonts w:cs="Arial"/>
          <w:sz w:val="18"/>
          <w:szCs w:val="18"/>
        </w:rPr>
        <w:t xml:space="preserve"> Numbers may not sum due to rounding.</w:t>
      </w:r>
    </w:p>
    <w:p w14:paraId="256DFF1E" w14:textId="4D840313" w:rsidR="00E917B0" w:rsidRPr="00441AF5" w:rsidRDefault="00E917B0" w:rsidP="003F40C2">
      <w:pPr>
        <w:spacing w:after="120"/>
        <w:rPr>
          <w:rFonts w:cs="Arial"/>
          <w:b/>
          <w:bCs/>
          <w:sz w:val="22"/>
          <w:szCs w:val="22"/>
        </w:rPr>
      </w:pPr>
      <w:r w:rsidRPr="00441AF5">
        <w:rPr>
          <w:rFonts w:cs="Arial"/>
          <w:b/>
          <w:bCs/>
          <w:sz w:val="22"/>
          <w:szCs w:val="22"/>
        </w:rPr>
        <w:t>Communications</w:t>
      </w:r>
    </w:p>
    <w:p w14:paraId="6F3E6C82" w14:textId="6C1A9C56" w:rsidR="00680151" w:rsidRDefault="000C2A2A" w:rsidP="003F40C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Unlike external communication costs which are one off, organisations incur o</w:t>
      </w:r>
      <w:r w:rsidR="00E917B0" w:rsidRPr="00441AF5">
        <w:rPr>
          <w:rFonts w:cs="Arial"/>
          <w:sz w:val="22"/>
          <w:szCs w:val="22"/>
        </w:rPr>
        <w:t>ngoing communications costs every year where the management and Board set out their anti-fraud policies to staff, calculated to be £</w:t>
      </w:r>
      <w:r w:rsidR="005705F9" w:rsidRPr="00C87D6B">
        <w:rPr>
          <w:rFonts w:cs="Arial"/>
          <w:sz w:val="22"/>
          <w:szCs w:val="22"/>
        </w:rPr>
        <w:t>37</w:t>
      </w:r>
      <w:r w:rsidR="008874EE">
        <w:rPr>
          <w:rFonts w:cs="Arial"/>
          <w:sz w:val="22"/>
          <w:szCs w:val="22"/>
        </w:rPr>
        <w:t>7</w:t>
      </w:r>
      <w:r w:rsidR="00E917B0" w:rsidRPr="00441AF5">
        <w:rPr>
          <w:rFonts w:cs="Arial"/>
          <w:sz w:val="22"/>
          <w:szCs w:val="22"/>
        </w:rPr>
        <w:t xml:space="preserve"> for large and £</w:t>
      </w:r>
      <w:r w:rsidR="00E917B0" w:rsidRPr="005705F9">
        <w:rPr>
          <w:rFonts w:cs="Arial"/>
          <w:sz w:val="22"/>
          <w:szCs w:val="22"/>
        </w:rPr>
        <w:t>4</w:t>
      </w:r>
      <w:r w:rsidR="008874EE">
        <w:rPr>
          <w:rFonts w:cs="Arial"/>
          <w:sz w:val="22"/>
          <w:szCs w:val="22"/>
        </w:rPr>
        <w:t>65</w:t>
      </w:r>
      <w:r w:rsidR="00E917B0" w:rsidRPr="00441AF5">
        <w:rPr>
          <w:rFonts w:cs="Arial"/>
          <w:sz w:val="22"/>
          <w:szCs w:val="22"/>
        </w:rPr>
        <w:t xml:space="preserve"> for largest organisations. </w:t>
      </w:r>
      <w:r w:rsidR="00C315FD">
        <w:rPr>
          <w:rFonts w:cs="Arial"/>
          <w:sz w:val="22"/>
          <w:szCs w:val="22"/>
        </w:rPr>
        <w:t>These communications establish</w:t>
      </w:r>
      <w:r w:rsidR="006E33D5">
        <w:rPr>
          <w:rFonts w:cs="Arial"/>
          <w:sz w:val="22"/>
          <w:szCs w:val="22"/>
        </w:rPr>
        <w:t xml:space="preserve"> that</w:t>
      </w:r>
      <w:r w:rsidR="00C315FD">
        <w:rPr>
          <w:rFonts w:cs="Arial"/>
          <w:sz w:val="22"/>
          <w:szCs w:val="22"/>
        </w:rPr>
        <w:t xml:space="preserve"> the organisation does </w:t>
      </w:r>
      <w:r w:rsidR="006E33D5">
        <w:rPr>
          <w:rFonts w:cs="Arial"/>
          <w:sz w:val="22"/>
          <w:szCs w:val="22"/>
        </w:rPr>
        <w:t>not tolerate fraud</w:t>
      </w:r>
      <w:r w:rsidR="00680151">
        <w:rPr>
          <w:rFonts w:cs="Arial"/>
          <w:sz w:val="22"/>
          <w:szCs w:val="22"/>
        </w:rPr>
        <w:t>, in line with the approach taken in the failure to prevent tax evasion guidance published by HMRC</w:t>
      </w:r>
      <w:r w:rsidR="001C5D5A">
        <w:rPr>
          <w:rStyle w:val="FootnoteReference"/>
          <w:szCs w:val="22"/>
        </w:rPr>
        <w:footnoteReference w:id="66"/>
      </w:r>
      <w:r w:rsidR="001C5D5A">
        <w:rPr>
          <w:rFonts w:cs="Arial"/>
          <w:sz w:val="22"/>
          <w:szCs w:val="22"/>
        </w:rPr>
        <w:t>.</w:t>
      </w:r>
      <w:r w:rsidR="00680151">
        <w:rPr>
          <w:rFonts w:cs="Arial"/>
          <w:sz w:val="22"/>
          <w:szCs w:val="22"/>
        </w:rPr>
        <w:t xml:space="preserve"> </w:t>
      </w:r>
    </w:p>
    <w:p w14:paraId="4E07ED7D" w14:textId="73C24EAB" w:rsidR="00110067" w:rsidRPr="00441AF5" w:rsidRDefault="00110067"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In the low scenario it is assumed that 70</w:t>
      </w:r>
      <w:r>
        <w:rPr>
          <w:rFonts w:cs="Arial"/>
          <w:sz w:val="22"/>
          <w:szCs w:val="22"/>
        </w:rPr>
        <w:t xml:space="preserve"> </w:t>
      </w:r>
      <w:r w:rsidR="00294394">
        <w:rPr>
          <w:rFonts w:cs="Arial"/>
          <w:sz w:val="22"/>
          <w:szCs w:val="22"/>
        </w:rPr>
        <w:t>per cent</w:t>
      </w:r>
      <w:r w:rsidRPr="00441AF5">
        <w:rPr>
          <w:rFonts w:cs="Arial"/>
          <w:sz w:val="22"/>
          <w:szCs w:val="22"/>
        </w:rPr>
        <w:t xml:space="preserve"> of companies in scope are required to put in place further anti-fraud measures and therefore will incur on-going communication costs. In the best/ central scenario it is assumed that 85</w:t>
      </w:r>
      <w:r>
        <w:rPr>
          <w:rFonts w:cs="Arial"/>
          <w:sz w:val="22"/>
          <w:szCs w:val="22"/>
        </w:rPr>
        <w:t xml:space="preserve"> </w:t>
      </w:r>
      <w:r w:rsidR="00294394">
        <w:rPr>
          <w:rFonts w:cs="Arial"/>
          <w:sz w:val="22"/>
          <w:szCs w:val="22"/>
        </w:rPr>
        <w:t>per cent</w:t>
      </w:r>
      <w:r w:rsidRPr="00441AF5">
        <w:rPr>
          <w:rFonts w:cs="Arial"/>
          <w:sz w:val="22"/>
          <w:szCs w:val="22"/>
        </w:rPr>
        <w:t xml:space="preserve"> of companies in scope are required to put in place further anti-fraud measures and will incur on-going communication costs. In the high scenario it is assume</w:t>
      </w:r>
      <w:r w:rsidR="001A0093">
        <w:rPr>
          <w:rFonts w:cs="Arial"/>
          <w:sz w:val="22"/>
          <w:szCs w:val="22"/>
        </w:rPr>
        <w:t>d</w:t>
      </w:r>
      <w:r w:rsidRPr="00441AF5">
        <w:rPr>
          <w:rFonts w:cs="Arial"/>
          <w:sz w:val="22"/>
          <w:szCs w:val="22"/>
        </w:rPr>
        <w:t xml:space="preserve"> that </w:t>
      </w:r>
      <w:r w:rsidR="00233EF7">
        <w:rPr>
          <w:rFonts w:cs="Arial"/>
          <w:sz w:val="22"/>
          <w:szCs w:val="22"/>
        </w:rPr>
        <w:t>100 per cent of</w:t>
      </w:r>
      <w:r w:rsidR="00233EF7" w:rsidRPr="00441AF5">
        <w:rPr>
          <w:rFonts w:cs="Arial"/>
          <w:sz w:val="22"/>
          <w:szCs w:val="22"/>
        </w:rPr>
        <w:t xml:space="preserve"> </w:t>
      </w:r>
      <w:r w:rsidRPr="00441AF5">
        <w:rPr>
          <w:rFonts w:cs="Arial"/>
          <w:sz w:val="22"/>
          <w:szCs w:val="22"/>
        </w:rPr>
        <w:t>firms in scope are required to put in place further anti-fraud measures and will incur on-going communication costs.</w:t>
      </w:r>
    </w:p>
    <w:p w14:paraId="212EA5DC" w14:textId="677F3C22" w:rsidR="00110067" w:rsidRPr="00441AF5" w:rsidRDefault="00110067" w:rsidP="00627D49">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lastRenderedPageBreak/>
        <w:t xml:space="preserve">Multiplying the cost per </w:t>
      </w:r>
      <w:r w:rsidRPr="00A46561">
        <w:rPr>
          <w:rFonts w:cs="Arial"/>
          <w:sz w:val="22"/>
          <w:szCs w:val="22"/>
        </w:rPr>
        <w:t>entity by the number of organisations in scope</w:t>
      </w:r>
      <w:r w:rsidR="00F013C8" w:rsidRPr="00A46561">
        <w:rPr>
          <w:rFonts w:cs="Arial"/>
          <w:sz w:val="22"/>
          <w:szCs w:val="22"/>
        </w:rPr>
        <w:t xml:space="preserve"> for years 2 to 10</w:t>
      </w:r>
      <w:r w:rsidRPr="00A46561">
        <w:rPr>
          <w:rFonts w:cs="Arial"/>
          <w:sz w:val="22"/>
          <w:szCs w:val="22"/>
        </w:rPr>
        <w:t xml:space="preserve"> estimates </w:t>
      </w:r>
      <w:r w:rsidR="00F013C8" w:rsidRPr="00A46561">
        <w:rPr>
          <w:rFonts w:cs="Arial"/>
          <w:sz w:val="22"/>
          <w:szCs w:val="22"/>
        </w:rPr>
        <w:t>communication ongoing</w:t>
      </w:r>
      <w:r w:rsidRPr="00A46561">
        <w:rPr>
          <w:rFonts w:cs="Arial"/>
          <w:sz w:val="22"/>
          <w:szCs w:val="22"/>
        </w:rPr>
        <w:t xml:space="preserve"> costs of </w:t>
      </w:r>
      <w:r w:rsidRPr="00A46561">
        <w:rPr>
          <w:rFonts w:cs="Arial"/>
          <w:b/>
          <w:sz w:val="22"/>
          <w:szCs w:val="22"/>
        </w:rPr>
        <w:t>£</w:t>
      </w:r>
      <w:r w:rsidR="00B5610A" w:rsidRPr="00A46561">
        <w:rPr>
          <w:rFonts w:cs="Arial"/>
          <w:b/>
          <w:sz w:val="22"/>
          <w:szCs w:val="22"/>
        </w:rPr>
        <w:t>7.</w:t>
      </w:r>
      <w:r w:rsidR="0039592F">
        <w:rPr>
          <w:rFonts w:cs="Arial"/>
          <w:b/>
          <w:sz w:val="22"/>
          <w:szCs w:val="22"/>
        </w:rPr>
        <w:t>3</w:t>
      </w:r>
      <w:r w:rsidRPr="00A46561">
        <w:rPr>
          <w:rFonts w:cs="Arial"/>
          <w:b/>
          <w:sz w:val="22"/>
          <w:szCs w:val="22"/>
        </w:rPr>
        <w:t xml:space="preserve"> million</w:t>
      </w:r>
      <w:r w:rsidRPr="00A46561">
        <w:rPr>
          <w:rFonts w:cs="Arial"/>
          <w:sz w:val="22"/>
          <w:szCs w:val="22"/>
        </w:rPr>
        <w:t xml:space="preserve"> (</w:t>
      </w:r>
      <w:r w:rsidR="00C11398" w:rsidRPr="00A46561">
        <w:rPr>
          <w:rFonts w:cs="Arial"/>
          <w:sz w:val="22"/>
          <w:szCs w:val="22"/>
        </w:rPr>
        <w:t xml:space="preserve">PV </w:t>
      </w:r>
      <w:r w:rsidRPr="00A46561">
        <w:rPr>
          <w:rFonts w:cs="Arial"/>
          <w:sz w:val="22"/>
          <w:szCs w:val="22"/>
        </w:rPr>
        <w:t xml:space="preserve">2024 prices) in the low scenario, </w:t>
      </w:r>
      <w:r w:rsidRPr="00A46561">
        <w:rPr>
          <w:rFonts w:cs="Arial"/>
          <w:b/>
          <w:sz w:val="22"/>
          <w:szCs w:val="22"/>
        </w:rPr>
        <w:t>£</w:t>
      </w:r>
      <w:r w:rsidR="00B5610A" w:rsidRPr="00A46561">
        <w:rPr>
          <w:rFonts w:cs="Arial"/>
          <w:b/>
          <w:sz w:val="22"/>
          <w:szCs w:val="22"/>
        </w:rPr>
        <w:t>8.</w:t>
      </w:r>
      <w:r w:rsidR="0039592F">
        <w:rPr>
          <w:rFonts w:cs="Arial"/>
          <w:b/>
          <w:sz w:val="22"/>
          <w:szCs w:val="22"/>
        </w:rPr>
        <w:t>9</w:t>
      </w:r>
      <w:r w:rsidRPr="00A46561">
        <w:rPr>
          <w:rFonts w:cs="Arial"/>
          <w:b/>
          <w:sz w:val="22"/>
          <w:szCs w:val="22"/>
        </w:rPr>
        <w:t xml:space="preserve"> million</w:t>
      </w:r>
      <w:r w:rsidRPr="00A46561">
        <w:rPr>
          <w:rFonts w:cs="Arial"/>
          <w:sz w:val="22"/>
          <w:szCs w:val="22"/>
        </w:rPr>
        <w:t xml:space="preserve"> (</w:t>
      </w:r>
      <w:r w:rsidR="00C11398" w:rsidRPr="00A46561">
        <w:rPr>
          <w:rFonts w:cs="Arial"/>
          <w:sz w:val="22"/>
          <w:szCs w:val="22"/>
        </w:rPr>
        <w:t xml:space="preserve">PV </w:t>
      </w:r>
      <w:r w:rsidRPr="00A46561">
        <w:rPr>
          <w:rFonts w:cs="Arial"/>
          <w:sz w:val="22"/>
          <w:szCs w:val="22"/>
        </w:rPr>
        <w:t xml:space="preserve">2024 prices) in the best/ central scenario and </w:t>
      </w:r>
      <w:r w:rsidRPr="00A46561">
        <w:rPr>
          <w:rFonts w:cs="Arial"/>
          <w:b/>
          <w:sz w:val="22"/>
          <w:szCs w:val="22"/>
        </w:rPr>
        <w:t>£</w:t>
      </w:r>
      <w:r w:rsidR="00B5610A" w:rsidRPr="00A46561">
        <w:rPr>
          <w:rFonts w:cs="Arial"/>
          <w:b/>
          <w:sz w:val="22"/>
          <w:szCs w:val="22"/>
        </w:rPr>
        <w:t>10.</w:t>
      </w:r>
      <w:r w:rsidR="0039592F">
        <w:rPr>
          <w:rFonts w:cs="Arial"/>
          <w:b/>
          <w:sz w:val="22"/>
          <w:szCs w:val="22"/>
        </w:rPr>
        <w:t>5</w:t>
      </w:r>
      <w:r w:rsidRPr="00A46561">
        <w:rPr>
          <w:rFonts w:cs="Arial"/>
          <w:b/>
          <w:sz w:val="22"/>
          <w:szCs w:val="22"/>
        </w:rPr>
        <w:t xml:space="preserve"> million</w:t>
      </w:r>
      <w:r w:rsidRPr="00A46561">
        <w:rPr>
          <w:rFonts w:cs="Arial"/>
          <w:sz w:val="22"/>
          <w:szCs w:val="22"/>
        </w:rPr>
        <w:t xml:space="preserve"> (</w:t>
      </w:r>
      <w:r w:rsidR="00C11398" w:rsidRPr="00441AF5">
        <w:rPr>
          <w:rFonts w:cs="Arial"/>
          <w:sz w:val="22"/>
          <w:szCs w:val="22"/>
        </w:rPr>
        <w:t xml:space="preserve">PV </w:t>
      </w:r>
      <w:r w:rsidRPr="00441AF5">
        <w:rPr>
          <w:rFonts w:cs="Arial"/>
          <w:sz w:val="22"/>
          <w:szCs w:val="22"/>
        </w:rPr>
        <w:t>2024</w:t>
      </w:r>
      <w:r w:rsidR="00546AE9" w:rsidRPr="00441AF5">
        <w:rPr>
          <w:rFonts w:cs="Arial"/>
          <w:sz w:val="22"/>
          <w:szCs w:val="22"/>
        </w:rPr>
        <w:t xml:space="preserve"> </w:t>
      </w:r>
      <w:r w:rsidRPr="00441AF5">
        <w:rPr>
          <w:rFonts w:cs="Arial"/>
          <w:sz w:val="22"/>
          <w:szCs w:val="22"/>
        </w:rPr>
        <w:t>prices) in the high scenario.</w:t>
      </w:r>
    </w:p>
    <w:p w14:paraId="5E1BC302" w14:textId="28EE4BAF" w:rsidR="00062867" w:rsidRPr="00441AF5" w:rsidRDefault="00062867" w:rsidP="003A43C1">
      <w:pPr>
        <w:ind w:left="567"/>
        <w:rPr>
          <w:rFonts w:cs="Arial"/>
          <w:b/>
          <w:sz w:val="22"/>
          <w:szCs w:val="22"/>
        </w:rPr>
      </w:pPr>
      <w:r w:rsidRPr="00441AF5">
        <w:rPr>
          <w:rFonts w:cs="Arial"/>
          <w:b/>
          <w:sz w:val="22"/>
          <w:szCs w:val="22"/>
        </w:rPr>
        <w:t xml:space="preserve">Table </w:t>
      </w:r>
      <w:r w:rsidR="002D51FE" w:rsidRPr="00441AF5">
        <w:rPr>
          <w:rFonts w:cs="Arial"/>
          <w:b/>
          <w:sz w:val="22"/>
          <w:szCs w:val="22"/>
        </w:rPr>
        <w:t>9</w:t>
      </w:r>
      <w:r w:rsidRPr="00441AF5">
        <w:rPr>
          <w:rFonts w:cs="Arial"/>
          <w:b/>
          <w:sz w:val="22"/>
          <w:szCs w:val="22"/>
        </w:rPr>
        <w:t xml:space="preserve">, </w:t>
      </w:r>
      <w:r w:rsidR="00110067" w:rsidRPr="00441AF5">
        <w:rPr>
          <w:rFonts w:cs="Arial"/>
          <w:b/>
          <w:sz w:val="22"/>
          <w:szCs w:val="22"/>
        </w:rPr>
        <w:t>O</w:t>
      </w:r>
      <w:r w:rsidRPr="00441AF5">
        <w:rPr>
          <w:rFonts w:cs="Arial"/>
          <w:b/>
          <w:sz w:val="22"/>
          <w:szCs w:val="22"/>
        </w:rPr>
        <w:t xml:space="preserve">ngoing </w:t>
      </w:r>
      <w:r w:rsidR="00110067" w:rsidRPr="00441AF5">
        <w:rPr>
          <w:rFonts w:cs="Arial"/>
          <w:b/>
          <w:sz w:val="22"/>
          <w:szCs w:val="22"/>
        </w:rPr>
        <w:t>C</w:t>
      </w:r>
      <w:r w:rsidRPr="00441AF5">
        <w:rPr>
          <w:rFonts w:cs="Arial"/>
          <w:b/>
          <w:sz w:val="22"/>
          <w:szCs w:val="22"/>
        </w:rPr>
        <w:t xml:space="preserve">ommunications </w:t>
      </w:r>
      <w:r w:rsidR="00110067" w:rsidRPr="00441AF5">
        <w:rPr>
          <w:rFonts w:cs="Arial"/>
          <w:b/>
          <w:sz w:val="22"/>
          <w:szCs w:val="22"/>
        </w:rPr>
        <w:t>C</w:t>
      </w:r>
      <w:r w:rsidRPr="00441AF5">
        <w:rPr>
          <w:rFonts w:cs="Arial"/>
          <w:b/>
          <w:sz w:val="22"/>
          <w:szCs w:val="22"/>
        </w:rPr>
        <w:t>osts</w:t>
      </w:r>
      <w:r w:rsidR="00011FAC" w:rsidRPr="00441AF5">
        <w:rPr>
          <w:rFonts w:cs="Arial"/>
          <w:b/>
          <w:sz w:val="22"/>
          <w:szCs w:val="22"/>
        </w:rPr>
        <w:t xml:space="preserve"> </w:t>
      </w:r>
      <w:r w:rsidR="00AF2754" w:rsidRPr="00441AF5">
        <w:rPr>
          <w:rFonts w:cs="Arial"/>
          <w:b/>
          <w:sz w:val="22"/>
          <w:szCs w:val="22"/>
        </w:rPr>
        <w:t>(</w:t>
      </w:r>
      <w:r w:rsidR="00280B26" w:rsidRPr="00441AF5">
        <w:rPr>
          <w:rFonts w:cs="Arial"/>
          <w:b/>
          <w:sz w:val="22"/>
          <w:szCs w:val="22"/>
        </w:rPr>
        <w:t xml:space="preserve">PV </w:t>
      </w:r>
      <w:r w:rsidR="00B5610A" w:rsidRPr="00441AF5">
        <w:rPr>
          <w:rFonts w:cs="Arial"/>
          <w:b/>
          <w:sz w:val="22"/>
          <w:szCs w:val="22"/>
        </w:rPr>
        <w:t>20</w:t>
      </w:r>
      <w:r w:rsidR="00011FAC" w:rsidRPr="00441AF5">
        <w:rPr>
          <w:rFonts w:cs="Arial"/>
          <w:b/>
          <w:sz w:val="22"/>
          <w:szCs w:val="22"/>
        </w:rPr>
        <w:t>24 prices</w:t>
      </w:r>
      <w:r w:rsidR="00AF2754" w:rsidRPr="00441AF5">
        <w:rPr>
          <w:rFonts w:cs="Arial"/>
          <w:b/>
          <w:sz w:val="22"/>
          <w:szCs w:val="22"/>
        </w:rPr>
        <w:t>)</w:t>
      </w:r>
      <w:r w:rsidRPr="00441AF5">
        <w:rPr>
          <w:rFonts w:cs="Arial"/>
          <w:b/>
          <w:sz w:val="22"/>
          <w:szCs w:val="22"/>
        </w:rPr>
        <w:t xml:space="preserve">, </w:t>
      </w:r>
      <w:r w:rsidR="00726C75" w:rsidRPr="00441AF5">
        <w:rPr>
          <w:rFonts w:cs="Arial"/>
          <w:b/>
          <w:sz w:val="22"/>
          <w:szCs w:val="22"/>
        </w:rPr>
        <w:t>Y</w:t>
      </w:r>
      <w:r w:rsidRPr="00441AF5">
        <w:rPr>
          <w:rFonts w:cs="Arial"/>
          <w:b/>
          <w:sz w:val="22"/>
          <w:szCs w:val="22"/>
        </w:rPr>
        <w:t>ears 2 to 10</w:t>
      </w:r>
    </w:p>
    <w:tbl>
      <w:tblPr>
        <w:tblW w:w="9399" w:type="dxa"/>
        <w:tblInd w:w="557" w:type="dxa"/>
        <w:tblLook w:val="04A0" w:firstRow="1" w:lastRow="0" w:firstColumn="1" w:lastColumn="0" w:noHBand="0" w:noVBand="1"/>
      </w:tblPr>
      <w:tblGrid>
        <w:gridCol w:w="2002"/>
        <w:gridCol w:w="1982"/>
        <w:gridCol w:w="1803"/>
        <w:gridCol w:w="1803"/>
        <w:gridCol w:w="1809"/>
      </w:tblGrid>
      <w:tr w:rsidR="001D081D" w:rsidRPr="001D081D" w14:paraId="7AAC5E81" w14:textId="77777777" w:rsidTr="0029116F">
        <w:trPr>
          <w:trHeight w:val="340"/>
        </w:trPr>
        <w:tc>
          <w:tcPr>
            <w:tcW w:w="1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42F12" w14:textId="77777777" w:rsidR="00062867" w:rsidRPr="00441AF5" w:rsidRDefault="00062867" w:rsidP="00062867">
            <w:pPr>
              <w:rPr>
                <w:rFonts w:cs="Arial"/>
                <w:b/>
                <w:sz w:val="22"/>
                <w:szCs w:val="22"/>
                <w:lang w:eastAsia="en-GB"/>
              </w:rPr>
            </w:pPr>
            <w:r w:rsidRPr="00441AF5">
              <w:rPr>
                <w:rFonts w:cs="Arial"/>
                <w:b/>
                <w:sz w:val="22"/>
                <w:szCs w:val="22"/>
                <w:lang w:eastAsia="en-GB"/>
              </w:rPr>
              <w:t>Communications</w:t>
            </w:r>
          </w:p>
        </w:tc>
        <w:tc>
          <w:tcPr>
            <w:tcW w:w="1982" w:type="dxa"/>
            <w:tcBorders>
              <w:top w:val="single" w:sz="4" w:space="0" w:color="auto"/>
              <w:left w:val="nil"/>
              <w:bottom w:val="single" w:sz="4" w:space="0" w:color="auto"/>
              <w:right w:val="single" w:sz="4" w:space="0" w:color="auto"/>
            </w:tcBorders>
            <w:shd w:val="clear" w:color="auto" w:fill="auto"/>
            <w:noWrap/>
            <w:vAlign w:val="center"/>
            <w:hideMark/>
          </w:tcPr>
          <w:p w14:paraId="2F2C6CD8" w14:textId="77777777" w:rsidR="00062867" w:rsidRDefault="00062867" w:rsidP="00C23109">
            <w:pPr>
              <w:jc w:val="center"/>
              <w:rPr>
                <w:rFonts w:cs="Arial"/>
                <w:b/>
                <w:sz w:val="22"/>
                <w:szCs w:val="22"/>
                <w:lang w:eastAsia="en-GB"/>
              </w:rPr>
            </w:pPr>
            <w:r w:rsidRPr="00441AF5">
              <w:rPr>
                <w:rFonts w:cs="Arial"/>
                <w:b/>
                <w:sz w:val="22"/>
                <w:szCs w:val="22"/>
                <w:lang w:eastAsia="en-GB"/>
              </w:rPr>
              <w:t>Total per entity</w:t>
            </w:r>
          </w:p>
          <w:p w14:paraId="6FFEB03C" w14:textId="0B32882D" w:rsidR="00DC3415" w:rsidRPr="00441AF5" w:rsidRDefault="00DC3415" w:rsidP="00C23109">
            <w:pPr>
              <w:jc w:val="center"/>
              <w:rPr>
                <w:rFonts w:cs="Arial"/>
                <w:b/>
                <w:sz w:val="22"/>
                <w:szCs w:val="22"/>
                <w:lang w:eastAsia="en-GB"/>
              </w:rPr>
            </w:pPr>
            <w:r>
              <w:rPr>
                <w:rFonts w:cs="Arial"/>
                <w:b/>
                <w:sz w:val="22"/>
                <w:szCs w:val="22"/>
                <w:lang w:eastAsia="en-GB"/>
              </w:rPr>
              <w:t>£</w:t>
            </w:r>
          </w:p>
        </w:tc>
        <w:tc>
          <w:tcPr>
            <w:tcW w:w="1809" w:type="dxa"/>
            <w:tcBorders>
              <w:top w:val="single" w:sz="4" w:space="0" w:color="auto"/>
              <w:left w:val="nil"/>
              <w:bottom w:val="single" w:sz="4" w:space="0" w:color="auto"/>
              <w:right w:val="single" w:sz="4" w:space="0" w:color="auto"/>
            </w:tcBorders>
            <w:vAlign w:val="center"/>
          </w:tcPr>
          <w:p w14:paraId="115A4F5A" w14:textId="497AE204" w:rsidR="006A0AF6" w:rsidRPr="00441AF5" w:rsidRDefault="006A0AF6" w:rsidP="00C23109">
            <w:pPr>
              <w:jc w:val="center"/>
              <w:rPr>
                <w:rFonts w:cs="Arial"/>
                <w:sz w:val="22"/>
                <w:szCs w:val="22"/>
                <w:lang w:eastAsia="en-GB"/>
              </w:rPr>
            </w:pPr>
            <w:r w:rsidRPr="00441AF5">
              <w:rPr>
                <w:rFonts w:cs="Arial"/>
                <w:b/>
                <w:sz w:val="22"/>
                <w:szCs w:val="22"/>
                <w:lang w:eastAsia="en-GB"/>
              </w:rPr>
              <w:t xml:space="preserve">Low </w:t>
            </w:r>
            <w:r w:rsidR="002D51FE" w:rsidRPr="00441AF5">
              <w:rPr>
                <w:rFonts w:cs="Arial"/>
                <w:b/>
                <w:sz w:val="22"/>
                <w:szCs w:val="22"/>
                <w:lang w:eastAsia="en-GB"/>
              </w:rPr>
              <w:t>Estimate</w:t>
            </w:r>
            <w:r w:rsidR="002A71ED">
              <w:rPr>
                <w:rFonts w:cs="Arial"/>
                <w:b/>
                <w:sz w:val="22"/>
                <w:szCs w:val="22"/>
                <w:lang w:eastAsia="en-GB"/>
              </w:rPr>
              <w:t xml:space="preserve"> £m</w:t>
            </w:r>
          </w:p>
        </w:tc>
        <w:tc>
          <w:tcPr>
            <w:tcW w:w="1809" w:type="dxa"/>
            <w:tcBorders>
              <w:top w:val="single" w:sz="4" w:space="0" w:color="auto"/>
              <w:left w:val="single" w:sz="4" w:space="0" w:color="auto"/>
              <w:bottom w:val="single" w:sz="4" w:space="0" w:color="auto"/>
              <w:right w:val="single" w:sz="4" w:space="0" w:color="auto"/>
            </w:tcBorders>
            <w:vAlign w:val="center"/>
          </w:tcPr>
          <w:p w14:paraId="47DDBC65" w14:textId="528C6743" w:rsidR="006A0AF6" w:rsidRPr="00441AF5" w:rsidRDefault="002D51FE" w:rsidP="00C23109">
            <w:pPr>
              <w:jc w:val="center"/>
              <w:rPr>
                <w:rFonts w:cs="Arial"/>
                <w:sz w:val="22"/>
                <w:szCs w:val="22"/>
                <w:lang w:eastAsia="en-GB"/>
              </w:rPr>
            </w:pPr>
            <w:r w:rsidRPr="00441AF5">
              <w:rPr>
                <w:rFonts w:cs="Arial"/>
                <w:b/>
                <w:sz w:val="22"/>
                <w:szCs w:val="22"/>
                <w:lang w:eastAsia="en-GB"/>
              </w:rPr>
              <w:t>Best Estimate</w:t>
            </w:r>
            <w:r w:rsidR="00D10DE2">
              <w:rPr>
                <w:rFonts w:cs="Arial"/>
                <w:b/>
                <w:sz w:val="22"/>
                <w:szCs w:val="22"/>
                <w:lang w:eastAsia="en-GB"/>
              </w:rPr>
              <w:t xml:space="preserve"> £m</w:t>
            </w:r>
          </w:p>
        </w:tc>
        <w:tc>
          <w:tcPr>
            <w:tcW w:w="1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E0D1" w14:textId="63D51ED9" w:rsidR="00062867" w:rsidRPr="00441AF5" w:rsidRDefault="006A0AF6" w:rsidP="00C23109">
            <w:pPr>
              <w:jc w:val="center"/>
              <w:rPr>
                <w:rFonts w:cs="Arial"/>
                <w:sz w:val="22"/>
                <w:szCs w:val="22"/>
                <w:lang w:eastAsia="en-GB"/>
              </w:rPr>
            </w:pPr>
            <w:r w:rsidRPr="00441AF5">
              <w:rPr>
                <w:rFonts w:cs="Arial"/>
                <w:b/>
                <w:sz w:val="22"/>
                <w:szCs w:val="22"/>
                <w:lang w:eastAsia="en-GB"/>
              </w:rPr>
              <w:t xml:space="preserve">High </w:t>
            </w:r>
            <w:r w:rsidR="002D51FE" w:rsidRPr="00441AF5">
              <w:rPr>
                <w:rFonts w:cs="Arial"/>
                <w:b/>
                <w:sz w:val="22"/>
                <w:szCs w:val="22"/>
                <w:lang w:eastAsia="en-GB"/>
              </w:rPr>
              <w:t>Estimate</w:t>
            </w:r>
            <w:r w:rsidR="00D10DE2">
              <w:rPr>
                <w:rFonts w:cs="Arial"/>
                <w:b/>
                <w:sz w:val="22"/>
                <w:szCs w:val="22"/>
                <w:lang w:eastAsia="en-GB"/>
              </w:rPr>
              <w:t xml:space="preserve"> £m</w:t>
            </w:r>
          </w:p>
        </w:tc>
      </w:tr>
      <w:tr w:rsidR="001D081D" w:rsidRPr="001D081D" w14:paraId="1C50AE0F" w14:textId="77777777" w:rsidTr="0029116F">
        <w:trPr>
          <w:trHeight w:val="340"/>
        </w:trPr>
        <w:tc>
          <w:tcPr>
            <w:tcW w:w="1990" w:type="dxa"/>
            <w:tcBorders>
              <w:top w:val="nil"/>
              <w:left w:val="single" w:sz="4" w:space="0" w:color="auto"/>
              <w:bottom w:val="nil"/>
              <w:right w:val="single" w:sz="4" w:space="0" w:color="auto"/>
            </w:tcBorders>
            <w:shd w:val="clear" w:color="auto" w:fill="auto"/>
            <w:noWrap/>
            <w:vAlign w:val="bottom"/>
            <w:hideMark/>
          </w:tcPr>
          <w:p w14:paraId="4573A71E" w14:textId="77777777" w:rsidR="004420EB" w:rsidRPr="00441AF5" w:rsidRDefault="004420EB" w:rsidP="004420EB">
            <w:pPr>
              <w:rPr>
                <w:rFonts w:cs="Arial"/>
                <w:sz w:val="22"/>
                <w:szCs w:val="22"/>
                <w:lang w:eastAsia="en-GB"/>
              </w:rPr>
            </w:pPr>
            <w:r w:rsidRPr="00441AF5">
              <w:rPr>
                <w:rFonts w:cs="Arial"/>
                <w:sz w:val="22"/>
                <w:szCs w:val="22"/>
                <w:lang w:eastAsia="en-GB"/>
              </w:rPr>
              <w:t>Large</w:t>
            </w:r>
          </w:p>
        </w:tc>
        <w:tc>
          <w:tcPr>
            <w:tcW w:w="1982" w:type="dxa"/>
            <w:tcBorders>
              <w:top w:val="nil"/>
              <w:left w:val="nil"/>
              <w:bottom w:val="nil"/>
              <w:right w:val="single" w:sz="4" w:space="0" w:color="auto"/>
            </w:tcBorders>
            <w:shd w:val="clear" w:color="auto" w:fill="auto"/>
            <w:noWrap/>
            <w:vAlign w:val="center"/>
            <w:hideMark/>
          </w:tcPr>
          <w:p w14:paraId="00DEF162" w14:textId="58DA4573" w:rsidR="004420EB" w:rsidRPr="00C85D67" w:rsidRDefault="004420EB" w:rsidP="004420EB">
            <w:pPr>
              <w:jc w:val="right"/>
              <w:rPr>
                <w:rFonts w:cs="Arial"/>
                <w:sz w:val="22"/>
                <w:szCs w:val="22"/>
                <w:lang w:eastAsia="en-GB"/>
              </w:rPr>
            </w:pPr>
            <w:r w:rsidRPr="00C85D67">
              <w:rPr>
                <w:rFonts w:cs="Arial"/>
                <w:sz w:val="22"/>
                <w:szCs w:val="22"/>
              </w:rPr>
              <w:t>3</w:t>
            </w:r>
            <w:r w:rsidR="0065282B">
              <w:rPr>
                <w:rFonts w:cs="Arial"/>
                <w:sz w:val="22"/>
                <w:szCs w:val="22"/>
              </w:rPr>
              <w:t>77</w:t>
            </w:r>
          </w:p>
        </w:tc>
        <w:tc>
          <w:tcPr>
            <w:tcW w:w="1809" w:type="dxa"/>
            <w:tcBorders>
              <w:top w:val="nil"/>
              <w:left w:val="nil"/>
              <w:bottom w:val="nil"/>
              <w:right w:val="single" w:sz="4" w:space="0" w:color="auto"/>
            </w:tcBorders>
            <w:vAlign w:val="center"/>
          </w:tcPr>
          <w:p w14:paraId="512680EF" w14:textId="48A7348E" w:rsidR="006A0AF6" w:rsidRPr="006F2A95" w:rsidRDefault="00706E7E" w:rsidP="006A0AF6">
            <w:pPr>
              <w:jc w:val="right"/>
              <w:rPr>
                <w:rFonts w:cs="Arial"/>
                <w:sz w:val="22"/>
                <w:szCs w:val="22"/>
              </w:rPr>
            </w:pPr>
            <w:r w:rsidRPr="006F2A95">
              <w:rPr>
                <w:rFonts w:cs="Arial"/>
                <w:sz w:val="22"/>
                <w:szCs w:val="22"/>
              </w:rPr>
              <w:t>3.</w:t>
            </w:r>
            <w:r w:rsidR="00F4211B">
              <w:rPr>
                <w:rFonts w:cs="Arial"/>
                <w:sz w:val="22"/>
                <w:szCs w:val="22"/>
              </w:rPr>
              <w:t>3</w:t>
            </w:r>
          </w:p>
        </w:tc>
        <w:tc>
          <w:tcPr>
            <w:tcW w:w="1809" w:type="dxa"/>
            <w:tcBorders>
              <w:top w:val="nil"/>
              <w:left w:val="single" w:sz="4" w:space="0" w:color="auto"/>
              <w:bottom w:val="nil"/>
              <w:right w:val="single" w:sz="4" w:space="0" w:color="auto"/>
            </w:tcBorders>
            <w:vAlign w:val="center"/>
          </w:tcPr>
          <w:p w14:paraId="7A06EB29" w14:textId="4D9F7497" w:rsidR="006A0AF6" w:rsidRPr="00A46561" w:rsidRDefault="00E47FBC" w:rsidP="006A0AF6">
            <w:pPr>
              <w:jc w:val="right"/>
              <w:rPr>
                <w:rFonts w:cs="Arial"/>
                <w:sz w:val="22"/>
                <w:szCs w:val="22"/>
              </w:rPr>
            </w:pPr>
            <w:r>
              <w:rPr>
                <w:rFonts w:cs="Arial"/>
                <w:sz w:val="22"/>
                <w:szCs w:val="22"/>
              </w:rPr>
              <w:t>4.0</w:t>
            </w:r>
          </w:p>
        </w:tc>
        <w:tc>
          <w:tcPr>
            <w:tcW w:w="1809" w:type="dxa"/>
            <w:tcBorders>
              <w:top w:val="nil"/>
              <w:left w:val="single" w:sz="4" w:space="0" w:color="auto"/>
              <w:bottom w:val="nil"/>
              <w:right w:val="single" w:sz="4" w:space="0" w:color="auto"/>
            </w:tcBorders>
            <w:shd w:val="clear" w:color="auto" w:fill="auto"/>
            <w:noWrap/>
            <w:vAlign w:val="center"/>
            <w:hideMark/>
          </w:tcPr>
          <w:p w14:paraId="03DEFB05" w14:textId="7948B266" w:rsidR="004420EB" w:rsidRPr="00A46561" w:rsidRDefault="004420EB" w:rsidP="004420EB">
            <w:pPr>
              <w:jc w:val="right"/>
              <w:rPr>
                <w:rFonts w:cs="Arial"/>
                <w:sz w:val="22"/>
                <w:szCs w:val="22"/>
                <w:lang w:eastAsia="en-GB"/>
              </w:rPr>
            </w:pPr>
            <w:r w:rsidRPr="00A46561">
              <w:rPr>
                <w:rFonts w:cs="Arial"/>
                <w:sz w:val="22"/>
                <w:szCs w:val="22"/>
              </w:rPr>
              <w:t>4.</w:t>
            </w:r>
            <w:r w:rsidR="00E47FBC">
              <w:rPr>
                <w:rFonts w:cs="Arial"/>
                <w:sz w:val="22"/>
                <w:szCs w:val="22"/>
              </w:rPr>
              <w:t>7</w:t>
            </w:r>
          </w:p>
        </w:tc>
      </w:tr>
      <w:tr w:rsidR="001D081D" w:rsidRPr="001D081D" w14:paraId="7457BE2E" w14:textId="77777777" w:rsidTr="0029116F">
        <w:trPr>
          <w:trHeight w:val="34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14:paraId="5E32401C" w14:textId="77777777" w:rsidR="004420EB" w:rsidRPr="00441AF5" w:rsidRDefault="004420EB" w:rsidP="004420EB">
            <w:pPr>
              <w:rPr>
                <w:rFonts w:cs="Arial"/>
                <w:sz w:val="22"/>
                <w:szCs w:val="22"/>
                <w:lang w:eastAsia="en-GB"/>
              </w:rPr>
            </w:pPr>
            <w:r w:rsidRPr="00441AF5">
              <w:rPr>
                <w:rFonts w:cs="Arial"/>
                <w:sz w:val="22"/>
                <w:szCs w:val="22"/>
                <w:lang w:eastAsia="en-GB"/>
              </w:rPr>
              <w:t>Largest</w:t>
            </w:r>
          </w:p>
        </w:tc>
        <w:tc>
          <w:tcPr>
            <w:tcW w:w="1982" w:type="dxa"/>
            <w:tcBorders>
              <w:top w:val="nil"/>
              <w:left w:val="nil"/>
              <w:bottom w:val="single" w:sz="4" w:space="0" w:color="auto"/>
              <w:right w:val="single" w:sz="4" w:space="0" w:color="auto"/>
            </w:tcBorders>
            <w:shd w:val="clear" w:color="auto" w:fill="auto"/>
            <w:noWrap/>
            <w:vAlign w:val="center"/>
            <w:hideMark/>
          </w:tcPr>
          <w:p w14:paraId="48D257BD" w14:textId="74F0E252" w:rsidR="004420EB" w:rsidRPr="00C85D67" w:rsidRDefault="004420EB" w:rsidP="004420EB">
            <w:pPr>
              <w:jc w:val="right"/>
              <w:rPr>
                <w:rFonts w:cs="Arial"/>
                <w:sz w:val="22"/>
                <w:szCs w:val="22"/>
                <w:lang w:eastAsia="en-GB"/>
              </w:rPr>
            </w:pPr>
            <w:r w:rsidRPr="00C85D67">
              <w:rPr>
                <w:rFonts w:cs="Arial"/>
                <w:sz w:val="22"/>
                <w:szCs w:val="22"/>
              </w:rPr>
              <w:t>4</w:t>
            </w:r>
            <w:r w:rsidR="00752DBF">
              <w:rPr>
                <w:rFonts w:cs="Arial"/>
                <w:sz w:val="22"/>
                <w:szCs w:val="22"/>
              </w:rPr>
              <w:t>65</w:t>
            </w:r>
          </w:p>
        </w:tc>
        <w:tc>
          <w:tcPr>
            <w:tcW w:w="1809" w:type="dxa"/>
            <w:tcBorders>
              <w:top w:val="nil"/>
              <w:left w:val="nil"/>
              <w:bottom w:val="single" w:sz="4" w:space="0" w:color="auto"/>
              <w:right w:val="single" w:sz="4" w:space="0" w:color="auto"/>
            </w:tcBorders>
            <w:vAlign w:val="center"/>
          </w:tcPr>
          <w:p w14:paraId="480EA0F0" w14:textId="08CF2A42" w:rsidR="006A0AF6" w:rsidRPr="006F2A95" w:rsidRDefault="00896003" w:rsidP="006A0AF6">
            <w:pPr>
              <w:jc w:val="right"/>
              <w:rPr>
                <w:rFonts w:cs="Arial"/>
                <w:sz w:val="22"/>
                <w:szCs w:val="22"/>
              </w:rPr>
            </w:pPr>
            <w:r w:rsidRPr="006F2A95">
              <w:rPr>
                <w:rFonts w:cs="Arial"/>
                <w:sz w:val="22"/>
                <w:szCs w:val="22"/>
              </w:rPr>
              <w:t>4.0</w:t>
            </w:r>
          </w:p>
        </w:tc>
        <w:tc>
          <w:tcPr>
            <w:tcW w:w="1809" w:type="dxa"/>
            <w:tcBorders>
              <w:top w:val="nil"/>
              <w:left w:val="single" w:sz="4" w:space="0" w:color="auto"/>
              <w:bottom w:val="single" w:sz="4" w:space="0" w:color="auto"/>
              <w:right w:val="single" w:sz="4" w:space="0" w:color="auto"/>
            </w:tcBorders>
            <w:vAlign w:val="center"/>
          </w:tcPr>
          <w:p w14:paraId="38E916B0" w14:textId="582759F3" w:rsidR="006A0AF6" w:rsidRPr="00A46561" w:rsidRDefault="00706E7E" w:rsidP="006A0AF6">
            <w:pPr>
              <w:jc w:val="right"/>
              <w:rPr>
                <w:rFonts w:cs="Arial"/>
                <w:sz w:val="22"/>
                <w:szCs w:val="22"/>
              </w:rPr>
            </w:pPr>
            <w:r w:rsidRPr="00A46561">
              <w:rPr>
                <w:rFonts w:cs="Arial"/>
                <w:sz w:val="22"/>
                <w:szCs w:val="22"/>
              </w:rPr>
              <w:t>4.</w:t>
            </w:r>
            <w:r w:rsidR="00E47FBC">
              <w:rPr>
                <w:rFonts w:cs="Arial"/>
                <w:sz w:val="22"/>
                <w:szCs w:val="22"/>
              </w:rPr>
              <w:t>9</w:t>
            </w:r>
          </w:p>
        </w:tc>
        <w:tc>
          <w:tcPr>
            <w:tcW w:w="1809" w:type="dxa"/>
            <w:tcBorders>
              <w:top w:val="nil"/>
              <w:left w:val="single" w:sz="4" w:space="0" w:color="auto"/>
              <w:bottom w:val="single" w:sz="4" w:space="0" w:color="auto"/>
              <w:right w:val="single" w:sz="4" w:space="0" w:color="auto"/>
            </w:tcBorders>
            <w:shd w:val="clear" w:color="auto" w:fill="auto"/>
            <w:noWrap/>
            <w:vAlign w:val="center"/>
            <w:hideMark/>
          </w:tcPr>
          <w:p w14:paraId="487CBC7C" w14:textId="78B2AA59" w:rsidR="004420EB" w:rsidRPr="00A46561" w:rsidRDefault="004420EB" w:rsidP="004420EB">
            <w:pPr>
              <w:jc w:val="right"/>
              <w:rPr>
                <w:rFonts w:cs="Arial"/>
                <w:sz w:val="22"/>
                <w:szCs w:val="22"/>
                <w:lang w:eastAsia="en-GB"/>
              </w:rPr>
            </w:pPr>
            <w:r w:rsidRPr="00A46561">
              <w:rPr>
                <w:rFonts w:cs="Arial"/>
                <w:sz w:val="22"/>
                <w:szCs w:val="22"/>
              </w:rPr>
              <w:t>5.</w:t>
            </w:r>
            <w:r w:rsidR="00E47FBC">
              <w:rPr>
                <w:rFonts w:cs="Arial"/>
                <w:sz w:val="22"/>
                <w:szCs w:val="22"/>
              </w:rPr>
              <w:t>8</w:t>
            </w:r>
          </w:p>
        </w:tc>
      </w:tr>
      <w:tr w:rsidR="001D081D" w:rsidRPr="001D081D" w14:paraId="7E370F09" w14:textId="77777777" w:rsidTr="0029116F">
        <w:trPr>
          <w:trHeight w:val="34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14:paraId="6527E272" w14:textId="77777777" w:rsidR="004420EB" w:rsidRPr="00441AF5" w:rsidRDefault="004420EB" w:rsidP="004420EB">
            <w:pPr>
              <w:rPr>
                <w:rFonts w:cs="Arial"/>
                <w:b/>
                <w:sz w:val="22"/>
                <w:szCs w:val="22"/>
                <w:lang w:eastAsia="en-GB"/>
              </w:rPr>
            </w:pPr>
            <w:r w:rsidRPr="00441AF5">
              <w:rPr>
                <w:rFonts w:cs="Arial"/>
                <w:b/>
                <w:sz w:val="22"/>
                <w:szCs w:val="22"/>
                <w:lang w:eastAsia="en-GB"/>
              </w:rPr>
              <w:t>Total</w:t>
            </w:r>
          </w:p>
        </w:tc>
        <w:tc>
          <w:tcPr>
            <w:tcW w:w="1982" w:type="dxa"/>
            <w:tcBorders>
              <w:top w:val="nil"/>
              <w:left w:val="nil"/>
              <w:bottom w:val="single" w:sz="4" w:space="0" w:color="auto"/>
              <w:right w:val="single" w:sz="4" w:space="0" w:color="auto"/>
            </w:tcBorders>
            <w:shd w:val="clear" w:color="auto" w:fill="auto"/>
            <w:noWrap/>
            <w:vAlign w:val="center"/>
            <w:hideMark/>
          </w:tcPr>
          <w:p w14:paraId="46271371" w14:textId="77777777" w:rsidR="004420EB" w:rsidRPr="00C85D67" w:rsidRDefault="004420EB" w:rsidP="00956BAE">
            <w:pPr>
              <w:jc w:val="right"/>
              <w:rPr>
                <w:rFonts w:cs="Arial"/>
                <w:b/>
                <w:sz w:val="22"/>
                <w:szCs w:val="22"/>
                <w:lang w:eastAsia="en-GB"/>
              </w:rPr>
            </w:pPr>
            <w:r w:rsidRPr="00C85D67">
              <w:rPr>
                <w:rFonts w:cs="Arial"/>
                <w:b/>
                <w:sz w:val="22"/>
                <w:szCs w:val="22"/>
                <w:lang w:eastAsia="en-GB"/>
              </w:rPr>
              <w:t>-</w:t>
            </w:r>
          </w:p>
        </w:tc>
        <w:tc>
          <w:tcPr>
            <w:tcW w:w="1809" w:type="dxa"/>
            <w:tcBorders>
              <w:top w:val="nil"/>
              <w:left w:val="nil"/>
              <w:bottom w:val="single" w:sz="4" w:space="0" w:color="auto"/>
              <w:right w:val="single" w:sz="4" w:space="0" w:color="auto"/>
            </w:tcBorders>
            <w:vAlign w:val="center"/>
          </w:tcPr>
          <w:p w14:paraId="5AF7904B" w14:textId="793E07D2" w:rsidR="006A0AF6" w:rsidRPr="006F2A95" w:rsidRDefault="00472FB4" w:rsidP="006A0AF6">
            <w:pPr>
              <w:jc w:val="right"/>
              <w:rPr>
                <w:rFonts w:cs="Arial"/>
                <w:b/>
                <w:sz w:val="22"/>
                <w:szCs w:val="22"/>
              </w:rPr>
            </w:pPr>
            <w:r w:rsidRPr="006F2A95">
              <w:rPr>
                <w:rFonts w:cs="Arial"/>
                <w:b/>
                <w:sz w:val="22"/>
                <w:szCs w:val="22"/>
              </w:rPr>
              <w:t>7.</w:t>
            </w:r>
            <w:r w:rsidR="00F4211B">
              <w:rPr>
                <w:rFonts w:cs="Arial"/>
                <w:b/>
                <w:sz w:val="22"/>
                <w:szCs w:val="22"/>
              </w:rPr>
              <w:t>3</w:t>
            </w:r>
          </w:p>
        </w:tc>
        <w:tc>
          <w:tcPr>
            <w:tcW w:w="1809" w:type="dxa"/>
            <w:tcBorders>
              <w:top w:val="nil"/>
              <w:left w:val="single" w:sz="4" w:space="0" w:color="auto"/>
              <w:bottom w:val="single" w:sz="4" w:space="0" w:color="auto"/>
              <w:right w:val="single" w:sz="4" w:space="0" w:color="auto"/>
            </w:tcBorders>
            <w:vAlign w:val="center"/>
          </w:tcPr>
          <w:p w14:paraId="589BD91F" w14:textId="5BBF0E48" w:rsidR="006A0AF6" w:rsidRPr="00A46561" w:rsidRDefault="00706E7E" w:rsidP="006A0AF6">
            <w:pPr>
              <w:jc w:val="right"/>
              <w:rPr>
                <w:rFonts w:cs="Arial"/>
                <w:b/>
                <w:sz w:val="22"/>
                <w:szCs w:val="22"/>
              </w:rPr>
            </w:pPr>
            <w:r w:rsidRPr="00A46561">
              <w:rPr>
                <w:rFonts w:cs="Arial"/>
                <w:b/>
                <w:sz w:val="22"/>
                <w:szCs w:val="22"/>
              </w:rPr>
              <w:t>8.</w:t>
            </w:r>
            <w:r w:rsidR="00E47FBC">
              <w:rPr>
                <w:rFonts w:cs="Arial"/>
                <w:b/>
                <w:sz w:val="22"/>
                <w:szCs w:val="22"/>
              </w:rPr>
              <w:t>9</w:t>
            </w:r>
          </w:p>
        </w:tc>
        <w:tc>
          <w:tcPr>
            <w:tcW w:w="1809" w:type="dxa"/>
            <w:tcBorders>
              <w:top w:val="nil"/>
              <w:left w:val="single" w:sz="4" w:space="0" w:color="auto"/>
              <w:bottom w:val="single" w:sz="4" w:space="0" w:color="auto"/>
              <w:right w:val="single" w:sz="4" w:space="0" w:color="auto"/>
            </w:tcBorders>
            <w:shd w:val="clear" w:color="auto" w:fill="auto"/>
            <w:noWrap/>
            <w:vAlign w:val="center"/>
            <w:hideMark/>
          </w:tcPr>
          <w:p w14:paraId="6421C2B2" w14:textId="4B93B7E6" w:rsidR="004420EB" w:rsidRPr="00A46561" w:rsidRDefault="00131CFE" w:rsidP="004420EB">
            <w:pPr>
              <w:jc w:val="right"/>
              <w:rPr>
                <w:rFonts w:cs="Arial"/>
                <w:b/>
                <w:sz w:val="22"/>
                <w:szCs w:val="22"/>
                <w:lang w:eastAsia="en-GB"/>
              </w:rPr>
            </w:pPr>
            <w:r w:rsidRPr="00A46561">
              <w:rPr>
                <w:rFonts w:cs="Arial"/>
                <w:b/>
                <w:sz w:val="22"/>
                <w:szCs w:val="22"/>
                <w:lang w:eastAsia="en-GB"/>
              </w:rPr>
              <w:t>10.</w:t>
            </w:r>
            <w:r w:rsidR="0039592F">
              <w:rPr>
                <w:rFonts w:cs="Arial"/>
                <w:b/>
                <w:sz w:val="22"/>
                <w:szCs w:val="22"/>
                <w:lang w:eastAsia="en-GB"/>
              </w:rPr>
              <w:t>5</w:t>
            </w:r>
          </w:p>
        </w:tc>
      </w:tr>
    </w:tbl>
    <w:p w14:paraId="1583F540" w14:textId="5E190F13" w:rsidR="00E917B0" w:rsidRPr="0029116F" w:rsidRDefault="004928AC" w:rsidP="00E917B0">
      <w:pPr>
        <w:spacing w:after="120" w:line="259" w:lineRule="auto"/>
        <w:ind w:left="567"/>
        <w:jc w:val="both"/>
        <w:rPr>
          <w:rFonts w:cs="Arial"/>
          <w:sz w:val="18"/>
          <w:szCs w:val="18"/>
        </w:rPr>
      </w:pPr>
      <w:r w:rsidRPr="0029116F">
        <w:rPr>
          <w:rFonts w:cs="Arial"/>
          <w:sz w:val="18"/>
          <w:szCs w:val="18"/>
        </w:rPr>
        <w:t>Source: DBT</w:t>
      </w:r>
      <w:r w:rsidRPr="0029116F" w:rsidDel="00F50A18">
        <w:rPr>
          <w:rFonts w:cs="Arial"/>
          <w:sz w:val="18"/>
          <w:szCs w:val="18"/>
        </w:rPr>
        <w:t xml:space="preserve"> </w:t>
      </w:r>
      <w:r w:rsidRPr="0029116F">
        <w:rPr>
          <w:rFonts w:cs="Arial"/>
          <w:sz w:val="18"/>
          <w:szCs w:val="18"/>
        </w:rPr>
        <w:t>calculations</w:t>
      </w:r>
      <w:r w:rsidR="008F6F87">
        <w:rPr>
          <w:rFonts w:cs="Arial"/>
          <w:sz w:val="18"/>
          <w:szCs w:val="18"/>
        </w:rPr>
        <w:t>.</w:t>
      </w:r>
      <w:r w:rsidR="004D76B9">
        <w:rPr>
          <w:rFonts w:cs="Arial"/>
          <w:sz w:val="18"/>
          <w:szCs w:val="18"/>
        </w:rPr>
        <w:t xml:space="preserve"> Numbers may not sum due to rounding.</w:t>
      </w:r>
    </w:p>
    <w:p w14:paraId="0264667B" w14:textId="1978E50E" w:rsidR="00E917B0" w:rsidRPr="00441AF5" w:rsidRDefault="00E917B0" w:rsidP="0029116F">
      <w:pPr>
        <w:spacing w:after="120" w:line="259" w:lineRule="auto"/>
        <w:jc w:val="both"/>
        <w:rPr>
          <w:rFonts w:cs="Arial"/>
          <w:b/>
          <w:bCs/>
          <w:sz w:val="22"/>
          <w:szCs w:val="22"/>
        </w:rPr>
      </w:pPr>
      <w:r w:rsidRPr="00441AF5">
        <w:rPr>
          <w:rFonts w:cs="Arial"/>
          <w:b/>
          <w:bCs/>
          <w:sz w:val="22"/>
          <w:szCs w:val="22"/>
        </w:rPr>
        <w:t>Training</w:t>
      </w:r>
    </w:p>
    <w:p w14:paraId="6482B8D6" w14:textId="095C0F0A" w:rsidR="0047265A" w:rsidRDefault="0054332A"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In the low scenario</w:t>
      </w:r>
      <w:r w:rsidR="00650D29">
        <w:rPr>
          <w:rFonts w:cs="Arial"/>
          <w:sz w:val="22"/>
          <w:szCs w:val="22"/>
        </w:rPr>
        <w:t>,</w:t>
      </w:r>
      <w:r w:rsidRPr="00441AF5">
        <w:rPr>
          <w:rFonts w:cs="Arial"/>
          <w:sz w:val="22"/>
          <w:szCs w:val="22"/>
        </w:rPr>
        <w:t xml:space="preserve"> it is assumed that 70</w:t>
      </w:r>
      <w:r>
        <w:rPr>
          <w:rFonts w:cs="Arial"/>
          <w:sz w:val="22"/>
          <w:szCs w:val="22"/>
        </w:rPr>
        <w:t xml:space="preserve"> </w:t>
      </w:r>
      <w:r w:rsidR="0091108F">
        <w:rPr>
          <w:rFonts w:cs="Arial"/>
          <w:sz w:val="22"/>
          <w:szCs w:val="22"/>
        </w:rPr>
        <w:t>per cent</w:t>
      </w:r>
      <w:r w:rsidRPr="00441AF5">
        <w:rPr>
          <w:rFonts w:cs="Arial"/>
          <w:sz w:val="22"/>
          <w:szCs w:val="22"/>
        </w:rPr>
        <w:t xml:space="preserve"> of companies in scope are required to put in place further anti-fraud measures and therefore will incur on-going training </w:t>
      </w:r>
      <w:r w:rsidR="00650D29">
        <w:rPr>
          <w:rFonts w:cs="Arial"/>
          <w:sz w:val="22"/>
          <w:szCs w:val="22"/>
        </w:rPr>
        <w:t>costs</w:t>
      </w:r>
      <w:r w:rsidRPr="00441AF5">
        <w:rPr>
          <w:rFonts w:cs="Arial"/>
          <w:sz w:val="22"/>
          <w:szCs w:val="22"/>
        </w:rPr>
        <w:t>. In the best/ central scenario</w:t>
      </w:r>
      <w:r w:rsidR="006970C6">
        <w:rPr>
          <w:rFonts w:cs="Arial"/>
          <w:sz w:val="22"/>
          <w:szCs w:val="22"/>
        </w:rPr>
        <w:t>,</w:t>
      </w:r>
      <w:r w:rsidRPr="00441AF5">
        <w:rPr>
          <w:rFonts w:cs="Arial"/>
          <w:sz w:val="22"/>
          <w:szCs w:val="22"/>
        </w:rPr>
        <w:t xml:space="preserve"> it is assumed that 85</w:t>
      </w:r>
      <w:r>
        <w:rPr>
          <w:rFonts w:cs="Arial"/>
          <w:sz w:val="22"/>
          <w:szCs w:val="22"/>
        </w:rPr>
        <w:t xml:space="preserve"> </w:t>
      </w:r>
      <w:r w:rsidR="0091108F">
        <w:rPr>
          <w:rFonts w:cs="Arial"/>
          <w:sz w:val="22"/>
          <w:szCs w:val="22"/>
        </w:rPr>
        <w:t>per cent</w:t>
      </w:r>
      <w:r w:rsidRPr="00441AF5">
        <w:rPr>
          <w:rFonts w:cs="Arial"/>
          <w:sz w:val="22"/>
          <w:szCs w:val="22"/>
        </w:rPr>
        <w:t xml:space="preserve"> of companies in scope are required to put in place further anti-fraud measures and will incur on-going training costs. In the high scenario</w:t>
      </w:r>
      <w:r w:rsidR="006970C6">
        <w:rPr>
          <w:rFonts w:cs="Arial"/>
          <w:sz w:val="22"/>
          <w:szCs w:val="22"/>
        </w:rPr>
        <w:t>,</w:t>
      </w:r>
      <w:r w:rsidRPr="00441AF5">
        <w:rPr>
          <w:rFonts w:cs="Arial"/>
          <w:sz w:val="22"/>
          <w:szCs w:val="22"/>
        </w:rPr>
        <w:t xml:space="preserve"> it is </w:t>
      </w:r>
      <w:r w:rsidR="00275157" w:rsidRPr="00441AF5">
        <w:rPr>
          <w:rFonts w:cs="Arial"/>
          <w:sz w:val="22"/>
          <w:szCs w:val="22"/>
        </w:rPr>
        <w:t>assumed</w:t>
      </w:r>
      <w:r w:rsidRPr="00441AF5">
        <w:rPr>
          <w:rFonts w:cs="Arial"/>
          <w:sz w:val="22"/>
          <w:szCs w:val="22"/>
        </w:rPr>
        <w:t xml:space="preserve"> that </w:t>
      </w:r>
      <w:r w:rsidR="00233EF7">
        <w:rPr>
          <w:rFonts w:cs="Arial"/>
          <w:sz w:val="22"/>
          <w:szCs w:val="22"/>
        </w:rPr>
        <w:t>100 per cent of</w:t>
      </w:r>
      <w:r w:rsidR="00233EF7" w:rsidRPr="00441AF5">
        <w:rPr>
          <w:rFonts w:cs="Arial"/>
          <w:sz w:val="22"/>
          <w:szCs w:val="22"/>
        </w:rPr>
        <w:t xml:space="preserve"> </w:t>
      </w:r>
      <w:r w:rsidRPr="00441AF5">
        <w:rPr>
          <w:rFonts w:cs="Arial"/>
          <w:sz w:val="22"/>
          <w:szCs w:val="22"/>
        </w:rPr>
        <w:t xml:space="preserve">firms in scope are required to put in place further anti-fraud measures and will incur on-going </w:t>
      </w:r>
      <w:r w:rsidRPr="00540C94">
        <w:rPr>
          <w:rFonts w:cs="Arial"/>
          <w:sz w:val="22"/>
          <w:szCs w:val="22"/>
        </w:rPr>
        <w:t>training costs.</w:t>
      </w:r>
      <w:r w:rsidR="00446777">
        <w:rPr>
          <w:rFonts w:cs="Arial"/>
          <w:sz w:val="22"/>
          <w:szCs w:val="22"/>
        </w:rPr>
        <w:t xml:space="preserve"> </w:t>
      </w:r>
    </w:p>
    <w:p w14:paraId="3853782B" w14:textId="2BB9AC8E" w:rsidR="0054332A" w:rsidRPr="00540C94" w:rsidRDefault="00446777" w:rsidP="003F40C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Ongoing training costs are based on average staff turnover rates. </w:t>
      </w:r>
      <w:r w:rsidR="00DC512C">
        <w:rPr>
          <w:rFonts w:cs="Arial"/>
          <w:sz w:val="22"/>
          <w:szCs w:val="22"/>
        </w:rPr>
        <w:t>Data from the Organisation for Economic Development (</w:t>
      </w:r>
      <w:r>
        <w:rPr>
          <w:rFonts w:cs="Arial"/>
          <w:sz w:val="22"/>
          <w:szCs w:val="22"/>
        </w:rPr>
        <w:t>OECD</w:t>
      </w:r>
      <w:r w:rsidR="00DC512C">
        <w:rPr>
          <w:rFonts w:cs="Arial"/>
          <w:sz w:val="22"/>
          <w:szCs w:val="22"/>
        </w:rPr>
        <w:t>)</w:t>
      </w:r>
      <w:r>
        <w:rPr>
          <w:rFonts w:cs="Arial"/>
          <w:sz w:val="22"/>
          <w:szCs w:val="22"/>
        </w:rPr>
        <w:t xml:space="preserve"> suggests that in 20</w:t>
      </w:r>
      <w:r w:rsidR="00117B19">
        <w:rPr>
          <w:rFonts w:cs="Arial"/>
          <w:sz w:val="22"/>
          <w:szCs w:val="22"/>
        </w:rPr>
        <w:t>22</w:t>
      </w:r>
      <w:r>
        <w:rPr>
          <w:rFonts w:cs="Arial"/>
          <w:sz w:val="22"/>
          <w:szCs w:val="22"/>
        </w:rPr>
        <w:t xml:space="preserve"> average job </w:t>
      </w:r>
      <w:r w:rsidR="001A0330">
        <w:rPr>
          <w:rFonts w:cs="Arial"/>
          <w:sz w:val="22"/>
          <w:szCs w:val="22"/>
        </w:rPr>
        <w:t xml:space="preserve">tenure was </w:t>
      </w:r>
      <w:r w:rsidR="00BF0DC1">
        <w:rPr>
          <w:rFonts w:cs="Arial"/>
          <w:sz w:val="22"/>
          <w:szCs w:val="22"/>
        </w:rPr>
        <w:t>10.2</w:t>
      </w:r>
      <w:r w:rsidR="001A0330">
        <w:rPr>
          <w:rFonts w:cs="Arial"/>
          <w:sz w:val="22"/>
          <w:szCs w:val="22"/>
        </w:rPr>
        <w:t xml:space="preserve"> years</w:t>
      </w:r>
      <w:r w:rsidR="00ED6A5F">
        <w:rPr>
          <w:rStyle w:val="FootnoteReference"/>
          <w:szCs w:val="22"/>
        </w:rPr>
        <w:footnoteReference w:id="67"/>
      </w:r>
      <w:r w:rsidR="001A0330">
        <w:rPr>
          <w:rFonts w:cs="Arial"/>
          <w:sz w:val="22"/>
          <w:szCs w:val="22"/>
        </w:rPr>
        <w:t xml:space="preserve">. </w:t>
      </w:r>
      <w:r w:rsidR="00F07B8A">
        <w:rPr>
          <w:rFonts w:cs="Arial"/>
          <w:sz w:val="22"/>
          <w:szCs w:val="22"/>
        </w:rPr>
        <w:t>I</w:t>
      </w:r>
      <w:r w:rsidR="0023134A">
        <w:rPr>
          <w:rFonts w:cs="Arial"/>
          <w:sz w:val="22"/>
          <w:szCs w:val="22"/>
        </w:rPr>
        <w:t>t is assumed</w:t>
      </w:r>
      <w:r w:rsidR="001A0330">
        <w:rPr>
          <w:rFonts w:cs="Arial"/>
          <w:sz w:val="22"/>
          <w:szCs w:val="22"/>
        </w:rPr>
        <w:t xml:space="preserve"> </w:t>
      </w:r>
      <w:r w:rsidR="00BF0DC1">
        <w:rPr>
          <w:rFonts w:cs="Arial"/>
          <w:sz w:val="22"/>
          <w:szCs w:val="22"/>
        </w:rPr>
        <w:t xml:space="preserve">around 10 per cent of </w:t>
      </w:r>
      <w:r w:rsidR="00ED6A5F">
        <w:rPr>
          <w:rFonts w:cs="Arial"/>
          <w:sz w:val="22"/>
          <w:szCs w:val="22"/>
        </w:rPr>
        <w:t>staff</w:t>
      </w:r>
      <w:r w:rsidR="002D5432">
        <w:rPr>
          <w:rFonts w:cs="Arial"/>
          <w:sz w:val="22"/>
          <w:szCs w:val="22"/>
        </w:rPr>
        <w:t xml:space="preserve"> </w:t>
      </w:r>
      <w:r w:rsidR="00BF0DC1">
        <w:rPr>
          <w:rFonts w:cs="Arial"/>
          <w:sz w:val="22"/>
          <w:szCs w:val="22"/>
        </w:rPr>
        <w:t xml:space="preserve">are new each year </w:t>
      </w:r>
      <w:r w:rsidR="0023134A">
        <w:rPr>
          <w:rFonts w:cs="Arial"/>
          <w:sz w:val="22"/>
          <w:szCs w:val="22"/>
        </w:rPr>
        <w:t xml:space="preserve">and </w:t>
      </w:r>
      <w:r w:rsidR="002D5432">
        <w:rPr>
          <w:rFonts w:cs="Arial"/>
          <w:sz w:val="22"/>
          <w:szCs w:val="22"/>
        </w:rPr>
        <w:t xml:space="preserve">are retrained </w:t>
      </w:r>
      <w:r w:rsidR="0023134A">
        <w:rPr>
          <w:rFonts w:cs="Arial"/>
          <w:sz w:val="22"/>
          <w:szCs w:val="22"/>
        </w:rPr>
        <w:t>with</w:t>
      </w:r>
      <w:r w:rsidR="002D5432">
        <w:rPr>
          <w:rFonts w:cs="Arial"/>
          <w:sz w:val="22"/>
          <w:szCs w:val="22"/>
        </w:rPr>
        <w:t xml:space="preserve"> a new employer. </w:t>
      </w:r>
      <w:r w:rsidR="00851E9C">
        <w:rPr>
          <w:rFonts w:cs="Arial"/>
          <w:sz w:val="22"/>
          <w:szCs w:val="22"/>
        </w:rPr>
        <w:t xml:space="preserve">This is a reasonable assumption as the new employer has to demonstrate that they have taken all reasonable steps </w:t>
      </w:r>
      <w:r w:rsidR="00C50DE6">
        <w:rPr>
          <w:rFonts w:cs="Arial"/>
          <w:sz w:val="22"/>
          <w:szCs w:val="22"/>
        </w:rPr>
        <w:t>to prevent fraud</w:t>
      </w:r>
      <w:r w:rsidR="002F7012">
        <w:rPr>
          <w:rFonts w:cs="Arial"/>
          <w:sz w:val="22"/>
          <w:szCs w:val="22"/>
        </w:rPr>
        <w:t xml:space="preserve">. </w:t>
      </w:r>
      <w:r>
        <w:rPr>
          <w:rFonts w:cs="Arial"/>
          <w:sz w:val="22"/>
          <w:szCs w:val="22"/>
        </w:rPr>
        <w:t xml:space="preserve"> </w:t>
      </w:r>
    </w:p>
    <w:p w14:paraId="7535D18D" w14:textId="61E4A1E6" w:rsidR="0054332A" w:rsidRPr="00441AF5" w:rsidRDefault="0054332A" w:rsidP="003F40C2">
      <w:pPr>
        <w:pStyle w:val="ListParagraph"/>
        <w:numPr>
          <w:ilvl w:val="0"/>
          <w:numId w:val="10"/>
        </w:numPr>
        <w:spacing w:after="120" w:line="259" w:lineRule="auto"/>
        <w:ind w:left="567" w:hanging="567"/>
        <w:contextualSpacing w:val="0"/>
        <w:jc w:val="both"/>
        <w:rPr>
          <w:rFonts w:cs="Arial"/>
          <w:sz w:val="22"/>
          <w:szCs w:val="22"/>
        </w:rPr>
      </w:pPr>
      <w:r w:rsidRPr="00540C94">
        <w:rPr>
          <w:rFonts w:cs="Arial"/>
          <w:sz w:val="22"/>
          <w:szCs w:val="22"/>
        </w:rPr>
        <w:t xml:space="preserve">Multiplying the cost per entity by the number of organisations in scope </w:t>
      </w:r>
      <w:r w:rsidR="00F013C8" w:rsidRPr="00540C94">
        <w:rPr>
          <w:rFonts w:cs="Arial"/>
          <w:sz w:val="22"/>
          <w:szCs w:val="22"/>
        </w:rPr>
        <w:t xml:space="preserve">for years 2 to 10 </w:t>
      </w:r>
      <w:r w:rsidRPr="00540C94">
        <w:rPr>
          <w:rFonts w:cs="Arial"/>
          <w:sz w:val="22"/>
          <w:szCs w:val="22"/>
        </w:rPr>
        <w:t xml:space="preserve">estimates training </w:t>
      </w:r>
      <w:r w:rsidR="00F013C8" w:rsidRPr="00540C94">
        <w:rPr>
          <w:rFonts w:cs="Arial"/>
          <w:sz w:val="22"/>
          <w:szCs w:val="22"/>
        </w:rPr>
        <w:t>ongoing</w:t>
      </w:r>
      <w:r w:rsidRPr="00540C94">
        <w:rPr>
          <w:rFonts w:cs="Arial"/>
          <w:sz w:val="22"/>
          <w:szCs w:val="22"/>
        </w:rPr>
        <w:t xml:space="preserve"> costs of </w:t>
      </w:r>
      <w:r w:rsidRPr="00540C94">
        <w:rPr>
          <w:rFonts w:cs="Arial"/>
          <w:b/>
          <w:sz w:val="22"/>
          <w:szCs w:val="22"/>
        </w:rPr>
        <w:t>£</w:t>
      </w:r>
      <w:r w:rsidR="00F304C5">
        <w:rPr>
          <w:rFonts w:cs="Arial"/>
          <w:b/>
          <w:sz w:val="22"/>
          <w:szCs w:val="22"/>
        </w:rPr>
        <w:t>28.5</w:t>
      </w:r>
      <w:r w:rsidRPr="00540C94">
        <w:rPr>
          <w:rFonts w:cs="Arial"/>
          <w:b/>
          <w:sz w:val="22"/>
          <w:szCs w:val="22"/>
        </w:rPr>
        <w:t xml:space="preserve"> million</w:t>
      </w:r>
      <w:r w:rsidRPr="00540C94">
        <w:rPr>
          <w:rFonts w:cs="Arial"/>
          <w:sz w:val="22"/>
          <w:szCs w:val="22"/>
        </w:rPr>
        <w:t xml:space="preserve"> (</w:t>
      </w:r>
      <w:r w:rsidR="0011270E" w:rsidRPr="00540C94">
        <w:rPr>
          <w:rFonts w:cs="Arial"/>
          <w:sz w:val="22"/>
          <w:szCs w:val="22"/>
        </w:rPr>
        <w:t xml:space="preserve">PV </w:t>
      </w:r>
      <w:r w:rsidRPr="00540C94">
        <w:rPr>
          <w:rFonts w:cs="Arial"/>
          <w:sz w:val="22"/>
          <w:szCs w:val="22"/>
        </w:rPr>
        <w:t>2024</w:t>
      </w:r>
      <w:r w:rsidR="00546AE9" w:rsidRPr="00540C94">
        <w:rPr>
          <w:rFonts w:cs="Arial"/>
          <w:sz w:val="22"/>
          <w:szCs w:val="22"/>
        </w:rPr>
        <w:t xml:space="preserve"> </w:t>
      </w:r>
      <w:r w:rsidRPr="00540C94">
        <w:rPr>
          <w:rFonts w:cs="Arial"/>
          <w:sz w:val="22"/>
          <w:szCs w:val="22"/>
        </w:rPr>
        <w:t xml:space="preserve">prices) in the low scenario, </w:t>
      </w:r>
      <w:r w:rsidRPr="00540C94">
        <w:rPr>
          <w:rFonts w:cs="Arial"/>
          <w:b/>
          <w:sz w:val="22"/>
          <w:szCs w:val="22"/>
        </w:rPr>
        <w:t>£3</w:t>
      </w:r>
      <w:r w:rsidR="00F304C5">
        <w:rPr>
          <w:rFonts w:cs="Arial"/>
          <w:b/>
          <w:sz w:val="22"/>
          <w:szCs w:val="22"/>
        </w:rPr>
        <w:t>4</w:t>
      </w:r>
      <w:r w:rsidR="00D96B47">
        <w:rPr>
          <w:rFonts w:cs="Arial"/>
          <w:b/>
          <w:sz w:val="22"/>
          <w:szCs w:val="22"/>
        </w:rPr>
        <w:t>.7</w:t>
      </w:r>
      <w:r w:rsidRPr="00540C94">
        <w:rPr>
          <w:rFonts w:cs="Arial"/>
          <w:b/>
          <w:sz w:val="22"/>
          <w:szCs w:val="22"/>
        </w:rPr>
        <w:t xml:space="preserve"> million</w:t>
      </w:r>
      <w:r w:rsidRPr="00540C94">
        <w:rPr>
          <w:rFonts w:cs="Arial"/>
          <w:sz w:val="22"/>
          <w:szCs w:val="22"/>
        </w:rPr>
        <w:t xml:space="preserve"> (</w:t>
      </w:r>
      <w:r w:rsidR="00C11398" w:rsidRPr="00540C94">
        <w:rPr>
          <w:rFonts w:cs="Arial"/>
          <w:sz w:val="22"/>
          <w:szCs w:val="22"/>
        </w:rPr>
        <w:t xml:space="preserve">PV </w:t>
      </w:r>
      <w:r w:rsidRPr="00540C94">
        <w:rPr>
          <w:rFonts w:cs="Arial"/>
          <w:sz w:val="22"/>
          <w:szCs w:val="22"/>
        </w:rPr>
        <w:t xml:space="preserve">2024 prices) in the best/ central scenario and </w:t>
      </w:r>
      <w:r w:rsidRPr="00540C94">
        <w:rPr>
          <w:rFonts w:cs="Arial"/>
          <w:b/>
          <w:sz w:val="22"/>
          <w:szCs w:val="22"/>
        </w:rPr>
        <w:t>£</w:t>
      </w:r>
      <w:r w:rsidR="00D96B47">
        <w:rPr>
          <w:rFonts w:cs="Arial"/>
          <w:b/>
          <w:sz w:val="22"/>
          <w:szCs w:val="22"/>
        </w:rPr>
        <w:t>40.</w:t>
      </w:r>
      <w:r w:rsidR="00643622">
        <w:rPr>
          <w:rFonts w:cs="Arial"/>
          <w:b/>
          <w:sz w:val="22"/>
          <w:szCs w:val="22"/>
        </w:rPr>
        <w:t>8</w:t>
      </w:r>
      <w:r w:rsidRPr="00540C94">
        <w:rPr>
          <w:rFonts w:cs="Arial"/>
          <w:b/>
          <w:sz w:val="22"/>
          <w:szCs w:val="22"/>
        </w:rPr>
        <w:t xml:space="preserve"> million</w:t>
      </w:r>
      <w:r w:rsidRPr="00540C94">
        <w:rPr>
          <w:rFonts w:cs="Arial"/>
          <w:sz w:val="22"/>
          <w:szCs w:val="22"/>
        </w:rPr>
        <w:t xml:space="preserve"> (</w:t>
      </w:r>
      <w:r w:rsidR="0011270E" w:rsidRPr="00540C94">
        <w:rPr>
          <w:rFonts w:cs="Arial"/>
          <w:sz w:val="22"/>
          <w:szCs w:val="22"/>
        </w:rPr>
        <w:t xml:space="preserve">PV </w:t>
      </w:r>
      <w:r w:rsidRPr="00540C94">
        <w:rPr>
          <w:rFonts w:cs="Arial"/>
          <w:sz w:val="22"/>
          <w:szCs w:val="22"/>
        </w:rPr>
        <w:t>2024</w:t>
      </w:r>
      <w:r w:rsidRPr="00441AF5">
        <w:rPr>
          <w:rFonts w:cs="Arial"/>
          <w:sz w:val="22"/>
          <w:szCs w:val="22"/>
        </w:rPr>
        <w:t xml:space="preserve"> prices) in the high scenario.</w:t>
      </w:r>
    </w:p>
    <w:p w14:paraId="0EF7CA0A" w14:textId="0D51C19D" w:rsidR="004420EB" w:rsidRPr="00441AF5" w:rsidRDefault="004420EB" w:rsidP="004420EB">
      <w:pPr>
        <w:pStyle w:val="ListParagraph"/>
        <w:spacing w:after="120" w:line="259" w:lineRule="auto"/>
        <w:ind w:left="567"/>
        <w:contextualSpacing w:val="0"/>
        <w:jc w:val="both"/>
        <w:rPr>
          <w:rFonts w:cs="Arial"/>
          <w:b/>
          <w:sz w:val="22"/>
          <w:szCs w:val="22"/>
        </w:rPr>
      </w:pPr>
      <w:r w:rsidRPr="00441AF5">
        <w:rPr>
          <w:rFonts w:cs="Arial"/>
          <w:b/>
          <w:sz w:val="22"/>
          <w:szCs w:val="22"/>
        </w:rPr>
        <w:t xml:space="preserve">Table </w:t>
      </w:r>
      <w:r w:rsidR="00CB3E59">
        <w:rPr>
          <w:rFonts w:cs="Arial"/>
          <w:b/>
          <w:sz w:val="22"/>
          <w:szCs w:val="22"/>
        </w:rPr>
        <w:t>10</w:t>
      </w:r>
      <w:r w:rsidRPr="00441AF5">
        <w:rPr>
          <w:rFonts w:cs="Arial"/>
          <w:b/>
          <w:sz w:val="22"/>
          <w:szCs w:val="22"/>
        </w:rPr>
        <w:t xml:space="preserve">, </w:t>
      </w:r>
      <w:r w:rsidR="001F2E16" w:rsidRPr="00441AF5">
        <w:rPr>
          <w:rFonts w:cs="Arial"/>
          <w:b/>
          <w:sz w:val="22"/>
          <w:szCs w:val="22"/>
        </w:rPr>
        <w:t>O</w:t>
      </w:r>
      <w:r w:rsidRPr="00441AF5">
        <w:rPr>
          <w:rFonts w:cs="Arial"/>
          <w:b/>
          <w:sz w:val="22"/>
          <w:szCs w:val="22"/>
        </w:rPr>
        <w:t xml:space="preserve">ngoing </w:t>
      </w:r>
      <w:r w:rsidR="001F2E16" w:rsidRPr="00441AF5">
        <w:rPr>
          <w:rFonts w:cs="Arial"/>
          <w:b/>
          <w:sz w:val="22"/>
          <w:szCs w:val="22"/>
        </w:rPr>
        <w:t>T</w:t>
      </w:r>
      <w:r w:rsidRPr="00441AF5">
        <w:rPr>
          <w:rFonts w:cs="Arial"/>
          <w:b/>
          <w:sz w:val="22"/>
          <w:szCs w:val="22"/>
        </w:rPr>
        <w:t xml:space="preserve">raining </w:t>
      </w:r>
      <w:r w:rsidR="001F2E16" w:rsidRPr="00441AF5">
        <w:rPr>
          <w:rFonts w:cs="Arial"/>
          <w:b/>
          <w:sz w:val="22"/>
          <w:szCs w:val="22"/>
        </w:rPr>
        <w:t>C</w:t>
      </w:r>
      <w:r w:rsidRPr="00441AF5">
        <w:rPr>
          <w:rFonts w:cs="Arial"/>
          <w:b/>
          <w:sz w:val="22"/>
          <w:szCs w:val="22"/>
        </w:rPr>
        <w:t>osts</w:t>
      </w:r>
      <w:r w:rsidR="00877379" w:rsidRPr="00441AF5">
        <w:rPr>
          <w:rFonts w:cs="Arial"/>
          <w:b/>
          <w:sz w:val="22"/>
          <w:szCs w:val="22"/>
        </w:rPr>
        <w:t xml:space="preserve">, £ million </w:t>
      </w:r>
      <w:r w:rsidR="00AF2754" w:rsidRPr="00441AF5">
        <w:rPr>
          <w:rFonts w:cs="Arial"/>
          <w:b/>
          <w:sz w:val="22"/>
          <w:szCs w:val="22"/>
        </w:rPr>
        <w:t>(</w:t>
      </w:r>
      <w:r w:rsidR="00280B26" w:rsidRPr="00441AF5">
        <w:rPr>
          <w:rFonts w:cs="Arial"/>
          <w:b/>
          <w:sz w:val="22"/>
          <w:szCs w:val="22"/>
        </w:rPr>
        <w:t xml:space="preserve">PV </w:t>
      </w:r>
      <w:r w:rsidR="00877379" w:rsidRPr="00441AF5">
        <w:rPr>
          <w:rFonts w:cs="Arial"/>
          <w:b/>
          <w:sz w:val="22"/>
          <w:szCs w:val="22"/>
        </w:rPr>
        <w:t>2024 prices</w:t>
      </w:r>
      <w:r w:rsidR="00AF2754" w:rsidRPr="00441AF5">
        <w:rPr>
          <w:rFonts w:cs="Arial"/>
          <w:b/>
          <w:sz w:val="22"/>
          <w:szCs w:val="22"/>
        </w:rPr>
        <w:t>)</w:t>
      </w:r>
      <w:r w:rsidRPr="00441AF5">
        <w:rPr>
          <w:rFonts w:cs="Arial"/>
          <w:b/>
          <w:sz w:val="22"/>
          <w:szCs w:val="22"/>
        </w:rPr>
        <w:t xml:space="preserve">, </w:t>
      </w:r>
      <w:r w:rsidR="001F2E16" w:rsidRPr="00441AF5">
        <w:rPr>
          <w:rFonts w:cs="Arial"/>
          <w:b/>
          <w:sz w:val="22"/>
          <w:szCs w:val="22"/>
        </w:rPr>
        <w:t>Y</w:t>
      </w:r>
      <w:r w:rsidRPr="00441AF5">
        <w:rPr>
          <w:rFonts w:cs="Arial"/>
          <w:b/>
          <w:sz w:val="22"/>
          <w:szCs w:val="22"/>
        </w:rPr>
        <w:t>ears 2 to 10</w:t>
      </w:r>
    </w:p>
    <w:tbl>
      <w:tblPr>
        <w:tblW w:w="8647" w:type="dxa"/>
        <w:tblInd w:w="562" w:type="dxa"/>
        <w:tblLook w:val="04A0" w:firstRow="1" w:lastRow="0" w:firstColumn="1" w:lastColumn="0" w:noHBand="0" w:noVBand="1"/>
      </w:tblPr>
      <w:tblGrid>
        <w:gridCol w:w="1731"/>
        <w:gridCol w:w="2097"/>
        <w:gridCol w:w="2409"/>
        <w:gridCol w:w="2410"/>
      </w:tblGrid>
      <w:tr w:rsidR="001D081D" w:rsidRPr="001D081D" w14:paraId="1E9DC929" w14:textId="77777777" w:rsidTr="001458B6">
        <w:trPr>
          <w:trHeight w:val="340"/>
        </w:trPr>
        <w:tc>
          <w:tcPr>
            <w:tcW w:w="1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48A91" w14:textId="6929E413" w:rsidR="004420EB" w:rsidRPr="00441AF5" w:rsidRDefault="004420EB" w:rsidP="006331E4">
            <w:pPr>
              <w:rPr>
                <w:rFonts w:cs="Arial"/>
                <w:b/>
                <w:sz w:val="22"/>
                <w:szCs w:val="22"/>
                <w:lang w:eastAsia="en-GB"/>
              </w:rPr>
            </w:pPr>
            <w:r w:rsidRPr="00441AF5">
              <w:rPr>
                <w:rFonts w:cs="Arial"/>
                <w:b/>
                <w:sz w:val="22"/>
                <w:szCs w:val="22"/>
              </w:rPr>
              <w:t>Training</w:t>
            </w:r>
          </w:p>
        </w:tc>
        <w:tc>
          <w:tcPr>
            <w:tcW w:w="2097" w:type="dxa"/>
            <w:tcBorders>
              <w:top w:val="single" w:sz="4" w:space="0" w:color="auto"/>
              <w:left w:val="single" w:sz="4" w:space="0" w:color="auto"/>
              <w:bottom w:val="single" w:sz="4" w:space="0" w:color="auto"/>
              <w:right w:val="single" w:sz="4" w:space="0" w:color="auto"/>
            </w:tcBorders>
            <w:vAlign w:val="center"/>
          </w:tcPr>
          <w:p w14:paraId="5640F9E9" w14:textId="54B95C27" w:rsidR="006D0677" w:rsidRPr="00441AF5" w:rsidRDefault="006D0677" w:rsidP="00A631E8">
            <w:pPr>
              <w:jc w:val="center"/>
              <w:rPr>
                <w:rFonts w:cs="Arial"/>
                <w:sz w:val="22"/>
                <w:szCs w:val="22"/>
              </w:rPr>
            </w:pPr>
            <w:r w:rsidRPr="00441AF5">
              <w:rPr>
                <w:rFonts w:cs="Arial"/>
                <w:b/>
                <w:sz w:val="22"/>
                <w:szCs w:val="22"/>
                <w:lang w:eastAsia="en-GB"/>
              </w:rPr>
              <w:t xml:space="preserve">Low </w:t>
            </w:r>
            <w:r w:rsidR="002D51FE" w:rsidRPr="00441AF5">
              <w:rPr>
                <w:rFonts w:cs="Arial"/>
                <w:b/>
                <w:sz w:val="22"/>
                <w:szCs w:val="22"/>
                <w:lang w:eastAsia="en-GB"/>
              </w:rPr>
              <w:t>Estimate</w:t>
            </w:r>
          </w:p>
        </w:tc>
        <w:tc>
          <w:tcPr>
            <w:tcW w:w="2409" w:type="dxa"/>
            <w:tcBorders>
              <w:top w:val="single" w:sz="4" w:space="0" w:color="auto"/>
              <w:left w:val="single" w:sz="4" w:space="0" w:color="auto"/>
              <w:bottom w:val="single" w:sz="4" w:space="0" w:color="auto"/>
              <w:right w:val="single" w:sz="4" w:space="0" w:color="auto"/>
            </w:tcBorders>
            <w:vAlign w:val="center"/>
          </w:tcPr>
          <w:p w14:paraId="1230DB61" w14:textId="66111CF5" w:rsidR="006D0677" w:rsidRPr="00441AF5" w:rsidRDefault="002D51FE" w:rsidP="002D51FE">
            <w:pPr>
              <w:jc w:val="center"/>
              <w:rPr>
                <w:rFonts w:cs="Arial"/>
                <w:sz w:val="22"/>
                <w:szCs w:val="22"/>
              </w:rPr>
            </w:pPr>
            <w:r w:rsidRPr="00441AF5">
              <w:rPr>
                <w:rFonts w:cs="Arial"/>
                <w:b/>
                <w:sz w:val="22"/>
                <w:szCs w:val="22"/>
                <w:lang w:eastAsia="en-GB"/>
              </w:rPr>
              <w:t>Best Estimate</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499D1" w14:textId="3990C636" w:rsidR="004420EB" w:rsidRPr="00441AF5" w:rsidRDefault="006D0677" w:rsidP="00A631E8">
            <w:pPr>
              <w:jc w:val="center"/>
              <w:rPr>
                <w:rFonts w:cs="Arial"/>
                <w:sz w:val="22"/>
                <w:szCs w:val="22"/>
                <w:lang w:eastAsia="en-GB"/>
              </w:rPr>
            </w:pPr>
            <w:r w:rsidRPr="00441AF5">
              <w:rPr>
                <w:rFonts w:cs="Arial"/>
                <w:b/>
                <w:sz w:val="22"/>
                <w:szCs w:val="22"/>
                <w:lang w:eastAsia="en-GB"/>
              </w:rPr>
              <w:t xml:space="preserve">High </w:t>
            </w:r>
            <w:r w:rsidR="002D51FE" w:rsidRPr="00441AF5">
              <w:rPr>
                <w:rFonts w:cs="Arial"/>
                <w:b/>
                <w:sz w:val="22"/>
                <w:szCs w:val="22"/>
                <w:lang w:eastAsia="en-GB"/>
              </w:rPr>
              <w:t>Estimate</w:t>
            </w:r>
          </w:p>
        </w:tc>
      </w:tr>
      <w:tr w:rsidR="001D081D" w:rsidRPr="001D081D" w14:paraId="4AA2D735" w14:textId="77777777" w:rsidTr="001458B6">
        <w:trPr>
          <w:trHeight w:val="340"/>
        </w:trPr>
        <w:tc>
          <w:tcPr>
            <w:tcW w:w="1731" w:type="dxa"/>
            <w:tcBorders>
              <w:top w:val="single" w:sz="4" w:space="0" w:color="auto"/>
              <w:left w:val="single" w:sz="4" w:space="0" w:color="auto"/>
              <w:bottom w:val="nil"/>
              <w:right w:val="single" w:sz="4" w:space="0" w:color="auto"/>
            </w:tcBorders>
            <w:shd w:val="clear" w:color="auto" w:fill="auto"/>
            <w:noWrap/>
            <w:vAlign w:val="bottom"/>
            <w:hideMark/>
          </w:tcPr>
          <w:p w14:paraId="602857EA" w14:textId="73073EF7" w:rsidR="004420EB" w:rsidRPr="00441AF5" w:rsidRDefault="004420EB" w:rsidP="004420EB">
            <w:pPr>
              <w:rPr>
                <w:rFonts w:cs="Arial"/>
                <w:sz w:val="22"/>
                <w:szCs w:val="22"/>
                <w:lang w:eastAsia="en-GB"/>
              </w:rPr>
            </w:pPr>
            <w:r w:rsidRPr="00441AF5">
              <w:rPr>
                <w:rFonts w:cs="Arial"/>
                <w:sz w:val="22"/>
                <w:szCs w:val="22"/>
              </w:rPr>
              <w:t>Large</w:t>
            </w:r>
          </w:p>
        </w:tc>
        <w:tc>
          <w:tcPr>
            <w:tcW w:w="2097" w:type="dxa"/>
            <w:tcBorders>
              <w:top w:val="single" w:sz="4" w:space="0" w:color="auto"/>
              <w:left w:val="nil"/>
              <w:bottom w:val="nil"/>
              <w:right w:val="single" w:sz="4" w:space="0" w:color="auto"/>
            </w:tcBorders>
            <w:vAlign w:val="bottom"/>
          </w:tcPr>
          <w:p w14:paraId="72DED82E" w14:textId="2831EEF4" w:rsidR="006D0677" w:rsidRPr="00441AF5" w:rsidRDefault="002242FC" w:rsidP="006331E4">
            <w:pPr>
              <w:jc w:val="right"/>
              <w:rPr>
                <w:rFonts w:cs="Arial"/>
                <w:sz w:val="22"/>
                <w:szCs w:val="22"/>
              </w:rPr>
            </w:pPr>
            <w:r w:rsidRPr="00441AF5">
              <w:rPr>
                <w:rFonts w:cs="Arial"/>
                <w:sz w:val="22"/>
                <w:szCs w:val="22"/>
              </w:rPr>
              <w:t>3.</w:t>
            </w:r>
            <w:r w:rsidR="0039592F">
              <w:rPr>
                <w:rFonts w:cs="Arial"/>
                <w:sz w:val="22"/>
                <w:szCs w:val="22"/>
              </w:rPr>
              <w:t>7</w:t>
            </w:r>
          </w:p>
        </w:tc>
        <w:tc>
          <w:tcPr>
            <w:tcW w:w="2409" w:type="dxa"/>
            <w:tcBorders>
              <w:top w:val="single" w:sz="4" w:space="0" w:color="auto"/>
              <w:left w:val="single" w:sz="4" w:space="0" w:color="auto"/>
              <w:bottom w:val="nil"/>
              <w:right w:val="single" w:sz="4" w:space="0" w:color="auto"/>
            </w:tcBorders>
            <w:vAlign w:val="bottom"/>
          </w:tcPr>
          <w:p w14:paraId="122F4CF6" w14:textId="1EA8DED6" w:rsidR="006D0677" w:rsidRPr="00441AF5" w:rsidRDefault="00F15DFA" w:rsidP="006331E4">
            <w:pPr>
              <w:jc w:val="right"/>
              <w:rPr>
                <w:rFonts w:cs="Arial"/>
                <w:sz w:val="22"/>
                <w:szCs w:val="22"/>
              </w:rPr>
            </w:pPr>
            <w:r w:rsidRPr="00441AF5">
              <w:rPr>
                <w:rFonts w:cs="Arial"/>
                <w:sz w:val="22"/>
                <w:szCs w:val="22"/>
              </w:rPr>
              <w:t>4.</w:t>
            </w:r>
            <w:r w:rsidR="0039592F">
              <w:rPr>
                <w:rFonts w:cs="Arial"/>
                <w:sz w:val="22"/>
                <w:szCs w:val="22"/>
              </w:rPr>
              <w:t>5</w:t>
            </w:r>
          </w:p>
        </w:tc>
        <w:tc>
          <w:tcPr>
            <w:tcW w:w="2410" w:type="dxa"/>
            <w:tcBorders>
              <w:top w:val="single" w:sz="4" w:space="0" w:color="auto"/>
              <w:left w:val="single" w:sz="4" w:space="0" w:color="auto"/>
              <w:bottom w:val="nil"/>
              <w:right w:val="single" w:sz="4" w:space="0" w:color="auto"/>
            </w:tcBorders>
            <w:shd w:val="clear" w:color="auto" w:fill="auto"/>
            <w:noWrap/>
            <w:vAlign w:val="bottom"/>
            <w:hideMark/>
          </w:tcPr>
          <w:p w14:paraId="06C18F4B" w14:textId="407FCE0A" w:rsidR="004420EB" w:rsidRPr="00441AF5" w:rsidRDefault="004420EB" w:rsidP="006331E4">
            <w:pPr>
              <w:jc w:val="right"/>
              <w:rPr>
                <w:rFonts w:cs="Arial"/>
                <w:sz w:val="22"/>
                <w:szCs w:val="22"/>
                <w:lang w:eastAsia="en-GB"/>
              </w:rPr>
            </w:pPr>
            <w:r w:rsidRPr="00441AF5">
              <w:rPr>
                <w:rFonts w:cs="Arial"/>
                <w:sz w:val="22"/>
                <w:szCs w:val="22"/>
              </w:rPr>
              <w:t>5.</w:t>
            </w:r>
            <w:r w:rsidR="0039592F">
              <w:rPr>
                <w:rFonts w:cs="Arial"/>
                <w:sz w:val="22"/>
                <w:szCs w:val="22"/>
              </w:rPr>
              <w:t>3</w:t>
            </w:r>
          </w:p>
        </w:tc>
      </w:tr>
      <w:tr w:rsidR="001D081D" w:rsidRPr="001D081D" w14:paraId="43F6E45A" w14:textId="77777777" w:rsidTr="001458B6">
        <w:trPr>
          <w:trHeight w:val="34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6426F779" w14:textId="0ADA7A50" w:rsidR="004420EB" w:rsidRPr="00441AF5" w:rsidRDefault="004420EB" w:rsidP="004420EB">
            <w:pPr>
              <w:rPr>
                <w:rFonts w:cs="Arial"/>
                <w:sz w:val="22"/>
                <w:szCs w:val="22"/>
                <w:lang w:eastAsia="en-GB"/>
              </w:rPr>
            </w:pPr>
            <w:r w:rsidRPr="00441AF5">
              <w:rPr>
                <w:rFonts w:cs="Arial"/>
                <w:sz w:val="22"/>
                <w:szCs w:val="22"/>
              </w:rPr>
              <w:t>Largest</w:t>
            </w:r>
          </w:p>
        </w:tc>
        <w:tc>
          <w:tcPr>
            <w:tcW w:w="2097" w:type="dxa"/>
            <w:tcBorders>
              <w:top w:val="nil"/>
              <w:left w:val="nil"/>
              <w:bottom w:val="single" w:sz="4" w:space="0" w:color="auto"/>
              <w:right w:val="single" w:sz="4" w:space="0" w:color="auto"/>
            </w:tcBorders>
            <w:vAlign w:val="bottom"/>
          </w:tcPr>
          <w:p w14:paraId="61DD1D8B" w14:textId="2E3E0305" w:rsidR="006D0677" w:rsidRPr="00441AF5" w:rsidRDefault="00F8426C" w:rsidP="006331E4">
            <w:pPr>
              <w:jc w:val="right"/>
              <w:rPr>
                <w:rFonts w:cs="Arial"/>
                <w:sz w:val="22"/>
                <w:szCs w:val="22"/>
              </w:rPr>
            </w:pPr>
            <w:r w:rsidRPr="00441AF5">
              <w:rPr>
                <w:rFonts w:cs="Arial"/>
                <w:sz w:val="22"/>
                <w:szCs w:val="22"/>
              </w:rPr>
              <w:t>2</w:t>
            </w:r>
            <w:r w:rsidR="00B81701">
              <w:rPr>
                <w:rFonts w:cs="Arial"/>
                <w:sz w:val="22"/>
                <w:szCs w:val="22"/>
              </w:rPr>
              <w:t>4.</w:t>
            </w:r>
            <w:r w:rsidR="0039592F">
              <w:rPr>
                <w:rFonts w:cs="Arial"/>
                <w:sz w:val="22"/>
                <w:szCs w:val="22"/>
              </w:rPr>
              <w:t>8</w:t>
            </w:r>
          </w:p>
        </w:tc>
        <w:tc>
          <w:tcPr>
            <w:tcW w:w="2409" w:type="dxa"/>
            <w:tcBorders>
              <w:top w:val="nil"/>
              <w:left w:val="single" w:sz="4" w:space="0" w:color="auto"/>
              <w:bottom w:val="single" w:sz="4" w:space="0" w:color="auto"/>
              <w:right w:val="single" w:sz="4" w:space="0" w:color="auto"/>
            </w:tcBorders>
            <w:vAlign w:val="bottom"/>
          </w:tcPr>
          <w:p w14:paraId="2F8C4EE1" w14:textId="4F796EB4" w:rsidR="006D0677" w:rsidRPr="00441AF5" w:rsidRDefault="002E4166" w:rsidP="006331E4">
            <w:pPr>
              <w:jc w:val="right"/>
              <w:rPr>
                <w:rFonts w:cs="Arial"/>
                <w:sz w:val="22"/>
                <w:szCs w:val="22"/>
              </w:rPr>
            </w:pPr>
            <w:r>
              <w:rPr>
                <w:rFonts w:cs="Arial"/>
                <w:sz w:val="22"/>
                <w:szCs w:val="22"/>
              </w:rPr>
              <w:t>30.2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5F0DA63" w14:textId="0098BF02" w:rsidR="004420EB" w:rsidRPr="00441AF5" w:rsidRDefault="004420EB" w:rsidP="006331E4">
            <w:pPr>
              <w:jc w:val="right"/>
              <w:rPr>
                <w:rFonts w:cs="Arial"/>
                <w:sz w:val="22"/>
                <w:szCs w:val="22"/>
                <w:lang w:eastAsia="en-GB"/>
              </w:rPr>
            </w:pPr>
            <w:r w:rsidRPr="00441AF5">
              <w:rPr>
                <w:rFonts w:cs="Arial"/>
                <w:sz w:val="22"/>
                <w:szCs w:val="22"/>
              </w:rPr>
              <w:t>3</w:t>
            </w:r>
            <w:r w:rsidR="002E4166">
              <w:rPr>
                <w:rFonts w:cs="Arial"/>
                <w:sz w:val="22"/>
                <w:szCs w:val="22"/>
              </w:rPr>
              <w:t>5.5</w:t>
            </w:r>
          </w:p>
        </w:tc>
      </w:tr>
      <w:tr w:rsidR="001D081D" w:rsidRPr="001D081D" w14:paraId="3F553B98" w14:textId="77777777" w:rsidTr="001458B6">
        <w:trPr>
          <w:trHeight w:val="340"/>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1A3291C" w14:textId="4C2EA224" w:rsidR="004420EB" w:rsidRPr="00441AF5" w:rsidRDefault="004420EB" w:rsidP="004420EB">
            <w:pPr>
              <w:rPr>
                <w:rFonts w:cs="Arial"/>
                <w:b/>
                <w:sz w:val="22"/>
                <w:szCs w:val="22"/>
                <w:lang w:eastAsia="en-GB"/>
              </w:rPr>
            </w:pPr>
            <w:r w:rsidRPr="00441AF5">
              <w:rPr>
                <w:rFonts w:cs="Arial"/>
                <w:b/>
                <w:sz w:val="22"/>
                <w:szCs w:val="22"/>
              </w:rPr>
              <w:t>Total</w:t>
            </w:r>
          </w:p>
        </w:tc>
        <w:tc>
          <w:tcPr>
            <w:tcW w:w="2097" w:type="dxa"/>
            <w:tcBorders>
              <w:top w:val="nil"/>
              <w:left w:val="nil"/>
              <w:bottom w:val="single" w:sz="4" w:space="0" w:color="auto"/>
              <w:right w:val="single" w:sz="4" w:space="0" w:color="auto"/>
            </w:tcBorders>
            <w:vAlign w:val="bottom"/>
          </w:tcPr>
          <w:p w14:paraId="2F7073EE" w14:textId="7EE44FCB" w:rsidR="006D0677" w:rsidRPr="00441AF5" w:rsidRDefault="00A75CB9" w:rsidP="006331E4">
            <w:pPr>
              <w:jc w:val="right"/>
              <w:rPr>
                <w:rFonts w:cs="Arial"/>
                <w:b/>
                <w:sz w:val="22"/>
                <w:szCs w:val="22"/>
              </w:rPr>
            </w:pPr>
            <w:r>
              <w:rPr>
                <w:rFonts w:cs="Arial"/>
                <w:b/>
                <w:sz w:val="22"/>
                <w:szCs w:val="22"/>
              </w:rPr>
              <w:t>28.5</w:t>
            </w:r>
          </w:p>
        </w:tc>
        <w:tc>
          <w:tcPr>
            <w:tcW w:w="2409" w:type="dxa"/>
            <w:tcBorders>
              <w:top w:val="nil"/>
              <w:left w:val="single" w:sz="4" w:space="0" w:color="auto"/>
              <w:bottom w:val="single" w:sz="4" w:space="0" w:color="auto"/>
              <w:right w:val="single" w:sz="4" w:space="0" w:color="auto"/>
            </w:tcBorders>
            <w:vAlign w:val="bottom"/>
          </w:tcPr>
          <w:p w14:paraId="3E17D10D" w14:textId="17D61510" w:rsidR="006D0677" w:rsidRPr="00441AF5" w:rsidRDefault="00852344" w:rsidP="006331E4">
            <w:pPr>
              <w:jc w:val="right"/>
              <w:rPr>
                <w:rFonts w:cs="Arial"/>
                <w:b/>
                <w:sz w:val="22"/>
                <w:szCs w:val="22"/>
              </w:rPr>
            </w:pPr>
            <w:r w:rsidRPr="00441AF5">
              <w:rPr>
                <w:rFonts w:cs="Arial"/>
                <w:b/>
                <w:sz w:val="22"/>
                <w:szCs w:val="22"/>
              </w:rPr>
              <w:t>3</w:t>
            </w:r>
            <w:r w:rsidR="00A75CB9">
              <w:rPr>
                <w:rFonts w:cs="Arial"/>
                <w:b/>
                <w:sz w:val="22"/>
                <w:szCs w:val="22"/>
              </w:rPr>
              <w:t>4.</w:t>
            </w:r>
            <w:r w:rsidR="00AD4ECB">
              <w:rPr>
                <w:rFonts w:cs="Arial"/>
                <w:b/>
                <w:sz w:val="22"/>
                <w:szCs w:val="22"/>
              </w:rPr>
              <w:t>7</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B6CFDE7" w14:textId="0AF2BEA3" w:rsidR="004420EB" w:rsidRPr="00441AF5" w:rsidRDefault="00AD4ECB" w:rsidP="006331E4">
            <w:pPr>
              <w:jc w:val="right"/>
              <w:rPr>
                <w:rFonts w:cs="Arial"/>
                <w:b/>
                <w:sz w:val="22"/>
                <w:szCs w:val="22"/>
                <w:lang w:eastAsia="en-GB"/>
              </w:rPr>
            </w:pPr>
            <w:r>
              <w:rPr>
                <w:rFonts w:cs="Arial"/>
                <w:b/>
                <w:sz w:val="22"/>
                <w:szCs w:val="22"/>
              </w:rPr>
              <w:t>40.</w:t>
            </w:r>
            <w:r w:rsidR="00643622">
              <w:rPr>
                <w:rFonts w:cs="Arial"/>
                <w:b/>
                <w:sz w:val="22"/>
                <w:szCs w:val="22"/>
              </w:rPr>
              <w:t>8</w:t>
            </w:r>
          </w:p>
        </w:tc>
      </w:tr>
    </w:tbl>
    <w:p w14:paraId="74ACC693" w14:textId="4A4B8297" w:rsidR="00E917B0" w:rsidRPr="0029116F" w:rsidRDefault="004928AC" w:rsidP="00F6043B">
      <w:pPr>
        <w:spacing w:after="120" w:line="259" w:lineRule="auto"/>
        <w:ind w:left="567"/>
        <w:jc w:val="both"/>
        <w:rPr>
          <w:rFonts w:cs="Arial"/>
          <w:sz w:val="18"/>
          <w:szCs w:val="18"/>
        </w:rPr>
      </w:pPr>
      <w:r w:rsidRPr="0029116F">
        <w:rPr>
          <w:rFonts w:cs="Arial"/>
          <w:sz w:val="18"/>
          <w:szCs w:val="18"/>
        </w:rPr>
        <w:t>Source: DBT calculation</w:t>
      </w:r>
      <w:r w:rsidR="008F6F87">
        <w:rPr>
          <w:rFonts w:cs="Arial"/>
          <w:sz w:val="18"/>
          <w:szCs w:val="18"/>
        </w:rPr>
        <w:t>s</w:t>
      </w:r>
      <w:r w:rsidR="004D76B9">
        <w:rPr>
          <w:rFonts w:cs="Arial"/>
          <w:sz w:val="18"/>
          <w:szCs w:val="18"/>
        </w:rPr>
        <w:t>. Numbers may not sum due to rounding.</w:t>
      </w:r>
    </w:p>
    <w:p w14:paraId="234AF24F" w14:textId="4FA5B08A" w:rsidR="00E917B0" w:rsidRPr="00441AF5" w:rsidRDefault="00E917B0" w:rsidP="0029116F">
      <w:pPr>
        <w:spacing w:after="120" w:line="259" w:lineRule="auto"/>
        <w:jc w:val="both"/>
        <w:rPr>
          <w:rFonts w:cs="Arial"/>
          <w:sz w:val="22"/>
          <w:szCs w:val="22"/>
        </w:rPr>
      </w:pPr>
      <w:r w:rsidRPr="00441AF5">
        <w:rPr>
          <w:rFonts w:cs="Arial"/>
          <w:b/>
          <w:bCs/>
          <w:sz w:val="22"/>
          <w:szCs w:val="22"/>
        </w:rPr>
        <w:t>Total ongoing costs</w:t>
      </w:r>
    </w:p>
    <w:p w14:paraId="51CDC04A" w14:textId="380C3F5C" w:rsidR="00F6043B" w:rsidRPr="00441AF5" w:rsidRDefault="00E917B0" w:rsidP="00627D49">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The total ongoing cost is estimated by summing the </w:t>
      </w:r>
      <w:r w:rsidRPr="49B33424">
        <w:rPr>
          <w:rFonts w:cs="Arial"/>
          <w:sz w:val="22"/>
          <w:szCs w:val="22"/>
        </w:rPr>
        <w:t>estimates</w:t>
      </w:r>
      <w:r w:rsidRPr="00441AF5">
        <w:rPr>
          <w:rFonts w:cs="Arial"/>
          <w:sz w:val="22"/>
          <w:szCs w:val="22"/>
        </w:rPr>
        <w:t xml:space="preserve"> for risk assessment, communications, and training costs.</w:t>
      </w:r>
      <w:r w:rsidR="00F6043B" w:rsidRPr="00441AF5">
        <w:rPr>
          <w:rFonts w:cs="Arial"/>
          <w:sz w:val="22"/>
          <w:szCs w:val="22"/>
        </w:rPr>
        <w:t xml:space="preserve"> </w:t>
      </w:r>
    </w:p>
    <w:p w14:paraId="5DE3F0BE" w14:textId="1057EC2A" w:rsidR="00EF0968" w:rsidRPr="00540C94" w:rsidRDefault="00E917B0" w:rsidP="00627D49">
      <w:pPr>
        <w:pStyle w:val="ListParagraph"/>
        <w:numPr>
          <w:ilvl w:val="0"/>
          <w:numId w:val="10"/>
        </w:numPr>
        <w:spacing w:after="120" w:line="259" w:lineRule="auto"/>
        <w:ind w:left="567" w:hanging="567"/>
        <w:contextualSpacing w:val="0"/>
        <w:jc w:val="both"/>
        <w:rPr>
          <w:rFonts w:cs="Arial"/>
          <w:sz w:val="22"/>
          <w:szCs w:val="22"/>
        </w:rPr>
      </w:pPr>
      <w:r w:rsidRPr="00540C94">
        <w:rPr>
          <w:rFonts w:cs="Arial"/>
          <w:sz w:val="22"/>
          <w:szCs w:val="22"/>
        </w:rPr>
        <w:t xml:space="preserve">Total </w:t>
      </w:r>
      <w:r w:rsidR="00396A0D" w:rsidRPr="00540C94">
        <w:rPr>
          <w:rFonts w:cs="Arial"/>
          <w:sz w:val="22"/>
          <w:szCs w:val="22"/>
        </w:rPr>
        <w:t>ongoing</w:t>
      </w:r>
      <w:r w:rsidRPr="00540C94">
        <w:rPr>
          <w:rFonts w:cs="Arial"/>
          <w:sz w:val="22"/>
          <w:szCs w:val="22"/>
        </w:rPr>
        <w:t xml:space="preserve"> costs </w:t>
      </w:r>
      <w:r w:rsidR="00546AE9" w:rsidRPr="00540C94">
        <w:rPr>
          <w:rFonts w:cs="Arial"/>
          <w:sz w:val="22"/>
          <w:szCs w:val="22"/>
        </w:rPr>
        <w:t xml:space="preserve">scope for years 2 to 10 estimates a total of </w:t>
      </w:r>
      <w:r w:rsidR="00546AE9" w:rsidRPr="00540C94">
        <w:rPr>
          <w:rFonts w:cs="Arial"/>
          <w:b/>
          <w:sz w:val="22"/>
          <w:szCs w:val="22"/>
        </w:rPr>
        <w:t>£4</w:t>
      </w:r>
      <w:r w:rsidR="00AD3701">
        <w:rPr>
          <w:rFonts w:cs="Arial"/>
          <w:b/>
          <w:sz w:val="22"/>
          <w:szCs w:val="22"/>
        </w:rPr>
        <w:t>1</w:t>
      </w:r>
      <w:r w:rsidR="00FE2C0A">
        <w:rPr>
          <w:rFonts w:cs="Arial"/>
          <w:b/>
          <w:sz w:val="22"/>
          <w:szCs w:val="22"/>
        </w:rPr>
        <w:t>.9</w:t>
      </w:r>
      <w:r w:rsidR="00546AE9" w:rsidRPr="00540C94">
        <w:rPr>
          <w:rFonts w:cs="Arial"/>
          <w:b/>
          <w:sz w:val="22"/>
          <w:szCs w:val="22"/>
        </w:rPr>
        <w:t xml:space="preserve"> million</w:t>
      </w:r>
      <w:r w:rsidR="00546AE9" w:rsidRPr="00540C94">
        <w:rPr>
          <w:rFonts w:cs="Arial"/>
          <w:sz w:val="22"/>
          <w:szCs w:val="22"/>
        </w:rPr>
        <w:t xml:space="preserve"> (</w:t>
      </w:r>
      <w:r w:rsidR="0046011D" w:rsidRPr="00540C94">
        <w:rPr>
          <w:rFonts w:cs="Arial"/>
          <w:sz w:val="22"/>
          <w:szCs w:val="22"/>
        </w:rPr>
        <w:t xml:space="preserve">PV </w:t>
      </w:r>
      <w:r w:rsidR="00546AE9" w:rsidRPr="00540C94">
        <w:rPr>
          <w:rFonts w:cs="Arial"/>
          <w:sz w:val="22"/>
          <w:szCs w:val="22"/>
        </w:rPr>
        <w:t xml:space="preserve">2024 prices) in the low scenario, </w:t>
      </w:r>
      <w:r w:rsidR="00546AE9" w:rsidRPr="00540C94">
        <w:rPr>
          <w:rFonts w:cs="Arial"/>
          <w:b/>
          <w:sz w:val="22"/>
          <w:szCs w:val="22"/>
        </w:rPr>
        <w:t>£</w:t>
      </w:r>
      <w:r w:rsidR="002353D8">
        <w:rPr>
          <w:rFonts w:cs="Arial"/>
          <w:b/>
          <w:sz w:val="22"/>
          <w:szCs w:val="22"/>
        </w:rPr>
        <w:t>50.9</w:t>
      </w:r>
      <w:r w:rsidR="00546AE9" w:rsidRPr="00540C94">
        <w:rPr>
          <w:rFonts w:cs="Arial"/>
          <w:b/>
          <w:sz w:val="22"/>
          <w:szCs w:val="22"/>
        </w:rPr>
        <w:t xml:space="preserve"> million</w:t>
      </w:r>
      <w:r w:rsidR="00546AE9" w:rsidRPr="00540C94">
        <w:rPr>
          <w:rFonts w:cs="Arial"/>
          <w:sz w:val="22"/>
          <w:szCs w:val="22"/>
        </w:rPr>
        <w:t xml:space="preserve"> (</w:t>
      </w:r>
      <w:r w:rsidR="0046011D" w:rsidRPr="00540C94">
        <w:rPr>
          <w:rFonts w:cs="Arial"/>
          <w:sz w:val="22"/>
          <w:szCs w:val="22"/>
        </w:rPr>
        <w:t xml:space="preserve">PV </w:t>
      </w:r>
      <w:r w:rsidR="00546AE9" w:rsidRPr="00540C94">
        <w:rPr>
          <w:rFonts w:cs="Arial"/>
          <w:sz w:val="22"/>
          <w:szCs w:val="22"/>
        </w:rPr>
        <w:t>2024</w:t>
      </w:r>
      <w:r w:rsidR="007B5A1E" w:rsidRPr="00540C94">
        <w:rPr>
          <w:rFonts w:cs="Arial"/>
          <w:sz w:val="22"/>
          <w:szCs w:val="22"/>
        </w:rPr>
        <w:t xml:space="preserve"> </w:t>
      </w:r>
      <w:r w:rsidR="00546AE9" w:rsidRPr="00540C94">
        <w:rPr>
          <w:rFonts w:cs="Arial"/>
          <w:sz w:val="22"/>
          <w:szCs w:val="22"/>
        </w:rPr>
        <w:t xml:space="preserve">prices) in the best/ central scenario and </w:t>
      </w:r>
      <w:r w:rsidR="00546AE9" w:rsidRPr="00540C94">
        <w:rPr>
          <w:rFonts w:cs="Arial"/>
          <w:b/>
          <w:sz w:val="22"/>
          <w:szCs w:val="22"/>
        </w:rPr>
        <w:t>£</w:t>
      </w:r>
      <w:r w:rsidR="002353D8" w:rsidRPr="00540C94">
        <w:rPr>
          <w:rFonts w:cs="Arial"/>
          <w:b/>
          <w:sz w:val="22"/>
          <w:szCs w:val="22"/>
        </w:rPr>
        <w:t>5</w:t>
      </w:r>
      <w:r w:rsidR="002353D8">
        <w:rPr>
          <w:rFonts w:cs="Arial"/>
          <w:b/>
          <w:sz w:val="22"/>
          <w:szCs w:val="22"/>
        </w:rPr>
        <w:t>9</w:t>
      </w:r>
      <w:r w:rsidR="00540C94" w:rsidRPr="00540C94">
        <w:rPr>
          <w:rFonts w:cs="Arial"/>
          <w:b/>
          <w:sz w:val="22"/>
          <w:szCs w:val="22"/>
        </w:rPr>
        <w:t>.</w:t>
      </w:r>
      <w:r w:rsidR="002353D8">
        <w:rPr>
          <w:rFonts w:cs="Arial"/>
          <w:b/>
          <w:sz w:val="22"/>
          <w:szCs w:val="22"/>
        </w:rPr>
        <w:t>9</w:t>
      </w:r>
      <w:r w:rsidR="00546AE9" w:rsidRPr="00540C94">
        <w:rPr>
          <w:rFonts w:cs="Arial"/>
          <w:b/>
          <w:sz w:val="22"/>
          <w:szCs w:val="22"/>
        </w:rPr>
        <w:t xml:space="preserve"> million</w:t>
      </w:r>
      <w:r w:rsidR="00546AE9" w:rsidRPr="00540C94">
        <w:rPr>
          <w:rFonts w:cs="Arial"/>
          <w:sz w:val="22"/>
          <w:szCs w:val="22"/>
        </w:rPr>
        <w:t xml:space="preserve"> (</w:t>
      </w:r>
      <w:r w:rsidR="0046011D" w:rsidRPr="00540C94">
        <w:rPr>
          <w:rFonts w:cs="Arial"/>
          <w:sz w:val="22"/>
          <w:szCs w:val="22"/>
        </w:rPr>
        <w:t xml:space="preserve">PV </w:t>
      </w:r>
      <w:r w:rsidR="00546AE9" w:rsidRPr="00540C94">
        <w:rPr>
          <w:rFonts w:cs="Arial"/>
          <w:sz w:val="22"/>
          <w:szCs w:val="22"/>
        </w:rPr>
        <w:t>2024 prices) in the high scenario.</w:t>
      </w:r>
    </w:p>
    <w:p w14:paraId="218C351D" w14:textId="77777777" w:rsidR="00B51B06" w:rsidRDefault="00B51B06">
      <w:pPr>
        <w:rPr>
          <w:rFonts w:cs="Arial"/>
          <w:b/>
          <w:sz w:val="22"/>
          <w:szCs w:val="22"/>
        </w:rPr>
      </w:pPr>
      <w:r>
        <w:rPr>
          <w:rFonts w:cs="Arial"/>
          <w:b/>
          <w:sz w:val="22"/>
          <w:szCs w:val="22"/>
        </w:rPr>
        <w:br w:type="page"/>
      </w:r>
    </w:p>
    <w:p w14:paraId="4BC27090" w14:textId="38CF984D" w:rsidR="00E917B0" w:rsidRPr="00441AF5" w:rsidRDefault="00E917B0" w:rsidP="00F6043B">
      <w:pPr>
        <w:spacing w:after="120" w:line="259" w:lineRule="auto"/>
        <w:ind w:left="567"/>
        <w:jc w:val="both"/>
        <w:rPr>
          <w:rFonts w:cs="Arial"/>
          <w:b/>
          <w:sz w:val="22"/>
          <w:szCs w:val="22"/>
        </w:rPr>
      </w:pPr>
      <w:r w:rsidRPr="00441AF5">
        <w:rPr>
          <w:rFonts w:cs="Arial"/>
          <w:b/>
          <w:sz w:val="22"/>
          <w:szCs w:val="22"/>
        </w:rPr>
        <w:lastRenderedPageBreak/>
        <w:t>Table</w:t>
      </w:r>
      <w:r w:rsidR="004420EB" w:rsidRPr="00441AF5">
        <w:rPr>
          <w:rFonts w:cs="Arial"/>
          <w:b/>
          <w:sz w:val="22"/>
          <w:szCs w:val="22"/>
        </w:rPr>
        <w:t xml:space="preserve"> 1</w:t>
      </w:r>
      <w:r w:rsidR="00CB3E59">
        <w:rPr>
          <w:rFonts w:cs="Arial"/>
          <w:b/>
          <w:sz w:val="22"/>
          <w:szCs w:val="22"/>
        </w:rPr>
        <w:t>1</w:t>
      </w:r>
      <w:r w:rsidR="00F6043B" w:rsidRPr="00441AF5">
        <w:rPr>
          <w:rFonts w:cs="Arial"/>
          <w:b/>
          <w:sz w:val="22"/>
          <w:szCs w:val="22"/>
        </w:rPr>
        <w:t>,</w:t>
      </w:r>
      <w:r w:rsidRPr="00441AF5">
        <w:rPr>
          <w:rFonts w:cs="Arial"/>
          <w:b/>
          <w:sz w:val="22"/>
          <w:szCs w:val="22"/>
        </w:rPr>
        <w:t xml:space="preserve"> </w:t>
      </w:r>
      <w:r w:rsidR="006B174A">
        <w:rPr>
          <w:rFonts w:cs="Arial"/>
          <w:b/>
          <w:sz w:val="22"/>
          <w:szCs w:val="22"/>
        </w:rPr>
        <w:t>P</w:t>
      </w:r>
      <w:r w:rsidR="00CC6021">
        <w:rPr>
          <w:rFonts w:cs="Arial"/>
          <w:b/>
          <w:sz w:val="22"/>
          <w:szCs w:val="22"/>
        </w:rPr>
        <w:t xml:space="preserve">er </w:t>
      </w:r>
      <w:r w:rsidR="006B174A">
        <w:rPr>
          <w:rFonts w:cs="Arial"/>
          <w:b/>
          <w:sz w:val="22"/>
          <w:szCs w:val="22"/>
        </w:rPr>
        <w:t>Y</w:t>
      </w:r>
      <w:r w:rsidR="00297D7B">
        <w:rPr>
          <w:rFonts w:cs="Arial"/>
          <w:b/>
          <w:sz w:val="22"/>
          <w:szCs w:val="22"/>
        </w:rPr>
        <w:t>ear</w:t>
      </w:r>
      <w:r w:rsidR="00297D7B" w:rsidRPr="00441AF5">
        <w:rPr>
          <w:rFonts w:cs="Arial"/>
          <w:b/>
          <w:sz w:val="22"/>
          <w:szCs w:val="22"/>
        </w:rPr>
        <w:t xml:space="preserve"> </w:t>
      </w:r>
      <w:r w:rsidR="00726C75" w:rsidRPr="00441AF5">
        <w:rPr>
          <w:rFonts w:cs="Arial"/>
          <w:b/>
          <w:sz w:val="22"/>
          <w:szCs w:val="22"/>
        </w:rPr>
        <w:t>O</w:t>
      </w:r>
      <w:r w:rsidRPr="00441AF5">
        <w:rPr>
          <w:rFonts w:cs="Arial"/>
          <w:b/>
          <w:sz w:val="22"/>
          <w:szCs w:val="22"/>
        </w:rPr>
        <w:t xml:space="preserve">ngoing </w:t>
      </w:r>
      <w:r w:rsidR="008B0D6B" w:rsidRPr="00441AF5">
        <w:rPr>
          <w:rFonts w:cs="Arial"/>
          <w:b/>
          <w:sz w:val="22"/>
          <w:szCs w:val="22"/>
        </w:rPr>
        <w:t>C</w:t>
      </w:r>
      <w:r w:rsidRPr="00441AF5">
        <w:rPr>
          <w:rFonts w:cs="Arial"/>
          <w:b/>
          <w:sz w:val="22"/>
          <w:szCs w:val="22"/>
        </w:rPr>
        <w:t>osts</w:t>
      </w:r>
      <w:r w:rsidR="00F6043B" w:rsidRPr="00441AF5">
        <w:rPr>
          <w:rFonts w:cs="Arial"/>
          <w:b/>
          <w:sz w:val="22"/>
          <w:szCs w:val="22"/>
        </w:rPr>
        <w:t>, £ million</w:t>
      </w:r>
      <w:r w:rsidR="00396A0D" w:rsidRPr="00441AF5">
        <w:rPr>
          <w:rFonts w:cs="Arial"/>
          <w:b/>
          <w:sz w:val="22"/>
          <w:szCs w:val="22"/>
        </w:rPr>
        <w:t xml:space="preserve"> </w:t>
      </w:r>
      <w:r w:rsidR="00AF2754" w:rsidRPr="00441AF5">
        <w:rPr>
          <w:rFonts w:cs="Arial"/>
          <w:b/>
          <w:sz w:val="22"/>
          <w:szCs w:val="22"/>
        </w:rPr>
        <w:t>(</w:t>
      </w:r>
      <w:r w:rsidR="00CC6021">
        <w:rPr>
          <w:rFonts w:cs="Arial"/>
          <w:b/>
          <w:sz w:val="22"/>
          <w:szCs w:val="22"/>
        </w:rPr>
        <w:t>C</w:t>
      </w:r>
      <w:r w:rsidR="00CD614B">
        <w:rPr>
          <w:rFonts w:cs="Arial"/>
          <w:b/>
          <w:sz w:val="22"/>
          <w:szCs w:val="22"/>
        </w:rPr>
        <w:t>onstant</w:t>
      </w:r>
      <w:r w:rsidR="00280B26" w:rsidRPr="00441AF5">
        <w:rPr>
          <w:rFonts w:cs="Arial"/>
          <w:b/>
          <w:sz w:val="22"/>
          <w:szCs w:val="22"/>
        </w:rPr>
        <w:t xml:space="preserve"> </w:t>
      </w:r>
      <w:r w:rsidR="00396A0D" w:rsidRPr="00441AF5">
        <w:rPr>
          <w:rFonts w:cs="Arial"/>
          <w:b/>
          <w:sz w:val="22"/>
          <w:szCs w:val="22"/>
        </w:rPr>
        <w:t>20</w:t>
      </w:r>
      <w:r w:rsidR="004420EB" w:rsidRPr="00441AF5">
        <w:rPr>
          <w:rFonts w:cs="Arial"/>
          <w:b/>
          <w:sz w:val="22"/>
          <w:szCs w:val="22"/>
        </w:rPr>
        <w:t>2</w:t>
      </w:r>
      <w:r w:rsidR="00895A3D" w:rsidRPr="00441AF5">
        <w:rPr>
          <w:rFonts w:cs="Arial"/>
          <w:b/>
          <w:sz w:val="22"/>
          <w:szCs w:val="22"/>
        </w:rPr>
        <w:t>4</w:t>
      </w:r>
      <w:r w:rsidR="00396A0D" w:rsidRPr="00441AF5">
        <w:rPr>
          <w:rFonts w:cs="Arial"/>
          <w:b/>
          <w:sz w:val="22"/>
          <w:szCs w:val="22"/>
        </w:rPr>
        <w:t xml:space="preserve"> prices</w:t>
      </w:r>
      <w:r w:rsidR="00AF2754" w:rsidRPr="00441AF5">
        <w:rPr>
          <w:rFonts w:cs="Arial"/>
          <w:b/>
          <w:sz w:val="22"/>
          <w:szCs w:val="22"/>
        </w:rPr>
        <w:t>)</w:t>
      </w:r>
      <w:r w:rsidR="00F6043B" w:rsidRPr="00441AF5">
        <w:rPr>
          <w:rFonts w:cs="Arial"/>
          <w:b/>
          <w:sz w:val="22"/>
          <w:szCs w:val="22"/>
        </w:rPr>
        <w:t xml:space="preserve">, </w:t>
      </w:r>
      <w:r w:rsidR="00726C75" w:rsidRPr="00441AF5">
        <w:rPr>
          <w:rFonts w:cs="Arial"/>
          <w:b/>
          <w:sz w:val="22"/>
          <w:szCs w:val="22"/>
        </w:rPr>
        <w:t>Y</w:t>
      </w:r>
      <w:r w:rsidR="00F6043B" w:rsidRPr="00441AF5">
        <w:rPr>
          <w:rFonts w:cs="Arial"/>
          <w:b/>
          <w:sz w:val="22"/>
          <w:szCs w:val="22"/>
        </w:rPr>
        <w:t xml:space="preserve">ears 2 to </w:t>
      </w:r>
      <w:r w:rsidR="00596C0E" w:rsidRPr="00441AF5">
        <w:rPr>
          <w:rFonts w:cs="Arial"/>
          <w:b/>
          <w:sz w:val="22"/>
          <w:szCs w:val="22"/>
        </w:rPr>
        <w:t>10</w:t>
      </w:r>
    </w:p>
    <w:tbl>
      <w:tblPr>
        <w:tblW w:w="9595" w:type="dxa"/>
        <w:tblInd w:w="606" w:type="dxa"/>
        <w:tblLook w:val="04A0" w:firstRow="1" w:lastRow="0" w:firstColumn="1" w:lastColumn="0" w:noHBand="0" w:noVBand="1"/>
      </w:tblPr>
      <w:tblGrid>
        <w:gridCol w:w="2882"/>
        <w:gridCol w:w="2177"/>
        <w:gridCol w:w="2268"/>
        <w:gridCol w:w="2268"/>
      </w:tblGrid>
      <w:tr w:rsidR="001D081D" w:rsidRPr="001D081D" w14:paraId="31E2DF46" w14:textId="77777777" w:rsidTr="006331E4">
        <w:trPr>
          <w:trHeight w:val="397"/>
        </w:trPr>
        <w:tc>
          <w:tcPr>
            <w:tcW w:w="28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6CCB0" w14:textId="77777777" w:rsidR="00EF0968" w:rsidRPr="00441AF5" w:rsidRDefault="00EF0968" w:rsidP="006331E4">
            <w:pPr>
              <w:rPr>
                <w:rFonts w:cs="Arial"/>
                <w:b/>
                <w:sz w:val="22"/>
                <w:szCs w:val="22"/>
                <w:lang w:eastAsia="en-GB"/>
              </w:rPr>
            </w:pPr>
            <w:r w:rsidRPr="00441AF5">
              <w:rPr>
                <w:rFonts w:cs="Arial"/>
                <w:b/>
                <w:sz w:val="22"/>
                <w:szCs w:val="22"/>
                <w:lang w:eastAsia="en-GB"/>
              </w:rPr>
              <w:t>Total ongoing costs</w:t>
            </w:r>
          </w:p>
        </w:tc>
        <w:tc>
          <w:tcPr>
            <w:tcW w:w="2177" w:type="dxa"/>
            <w:tcBorders>
              <w:top w:val="single" w:sz="4" w:space="0" w:color="auto"/>
              <w:left w:val="single" w:sz="4" w:space="0" w:color="auto"/>
              <w:bottom w:val="single" w:sz="4" w:space="0" w:color="auto"/>
              <w:right w:val="single" w:sz="4" w:space="0" w:color="auto"/>
            </w:tcBorders>
            <w:vAlign w:val="center"/>
          </w:tcPr>
          <w:p w14:paraId="1A5A262B" w14:textId="45AE3956" w:rsidR="00EF0968" w:rsidRPr="00441AF5" w:rsidRDefault="00EF0968" w:rsidP="00EF0968">
            <w:pPr>
              <w:jc w:val="center"/>
              <w:rPr>
                <w:rFonts w:cs="Arial"/>
                <w:b/>
                <w:sz w:val="22"/>
                <w:szCs w:val="22"/>
                <w:lang w:eastAsia="en-GB"/>
              </w:rPr>
            </w:pPr>
            <w:r w:rsidRPr="00441AF5">
              <w:rPr>
                <w:rFonts w:cs="Arial"/>
                <w:b/>
                <w:sz w:val="22"/>
                <w:szCs w:val="22"/>
                <w:lang w:eastAsia="en-GB"/>
              </w:rPr>
              <w:t xml:space="preserve">Low </w:t>
            </w:r>
            <w:r w:rsidR="002D51FE" w:rsidRPr="00441AF5">
              <w:rPr>
                <w:rFonts w:cs="Arial"/>
                <w:b/>
                <w:sz w:val="22"/>
                <w:szCs w:val="22"/>
                <w:lang w:eastAsia="en-GB"/>
              </w:rPr>
              <w:t>Estimate</w:t>
            </w:r>
            <w:r w:rsidR="005A03A3">
              <w:rPr>
                <w:rFonts w:cs="Arial"/>
                <w:b/>
                <w:sz w:val="22"/>
                <w:szCs w:val="22"/>
                <w:lang w:eastAsia="en-GB"/>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186B46B2" w14:textId="5F02A32B" w:rsidR="00EF0968" w:rsidRPr="00441AF5" w:rsidRDefault="002D51FE" w:rsidP="00EF0968">
            <w:pPr>
              <w:jc w:val="center"/>
              <w:rPr>
                <w:rFonts w:cs="Arial"/>
                <w:b/>
                <w:sz w:val="22"/>
                <w:szCs w:val="22"/>
                <w:lang w:eastAsia="en-GB"/>
              </w:rPr>
            </w:pPr>
            <w:r w:rsidRPr="00441AF5">
              <w:rPr>
                <w:rFonts w:cs="Arial"/>
                <w:b/>
                <w:sz w:val="22"/>
                <w:szCs w:val="22"/>
                <w:lang w:eastAsia="en-GB"/>
              </w:rPr>
              <w:t xml:space="preserve">Best Estimate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63A9E97" w14:textId="033A8CA8" w:rsidR="004420EB" w:rsidRPr="00441AF5" w:rsidRDefault="00EF0968" w:rsidP="004420EB">
            <w:pPr>
              <w:jc w:val="center"/>
              <w:rPr>
                <w:rFonts w:cs="Arial"/>
                <w:b/>
                <w:sz w:val="22"/>
                <w:szCs w:val="22"/>
                <w:lang w:eastAsia="en-GB"/>
              </w:rPr>
            </w:pPr>
            <w:r w:rsidRPr="00441AF5">
              <w:rPr>
                <w:rFonts w:cs="Arial"/>
                <w:b/>
                <w:sz w:val="22"/>
                <w:szCs w:val="22"/>
                <w:lang w:eastAsia="en-GB"/>
              </w:rPr>
              <w:t xml:space="preserve">High </w:t>
            </w:r>
            <w:r w:rsidR="002D51FE" w:rsidRPr="00441AF5">
              <w:rPr>
                <w:rFonts w:cs="Arial"/>
                <w:b/>
                <w:sz w:val="22"/>
                <w:szCs w:val="22"/>
                <w:lang w:eastAsia="en-GB"/>
              </w:rPr>
              <w:t>Estimate</w:t>
            </w:r>
            <w:r w:rsidR="005A03A3">
              <w:rPr>
                <w:rFonts w:cs="Arial"/>
                <w:b/>
                <w:sz w:val="22"/>
                <w:szCs w:val="22"/>
                <w:lang w:eastAsia="en-GB"/>
              </w:rPr>
              <w:t xml:space="preserve"> </w:t>
            </w:r>
          </w:p>
        </w:tc>
      </w:tr>
      <w:tr w:rsidR="001D081D" w:rsidRPr="001D081D" w14:paraId="5B32BB39" w14:textId="77777777" w:rsidTr="003F40C2">
        <w:trPr>
          <w:trHeight w:val="397"/>
        </w:trPr>
        <w:tc>
          <w:tcPr>
            <w:tcW w:w="2882" w:type="dxa"/>
            <w:tcBorders>
              <w:top w:val="nil"/>
              <w:left w:val="single" w:sz="4" w:space="0" w:color="auto"/>
              <w:bottom w:val="nil"/>
              <w:right w:val="single" w:sz="4" w:space="0" w:color="auto"/>
            </w:tcBorders>
            <w:shd w:val="clear" w:color="auto" w:fill="auto"/>
            <w:noWrap/>
            <w:vAlign w:val="center"/>
            <w:hideMark/>
          </w:tcPr>
          <w:p w14:paraId="679C40CA" w14:textId="77777777" w:rsidR="004420EB" w:rsidRPr="00441AF5" w:rsidRDefault="004420EB" w:rsidP="006331E4">
            <w:pPr>
              <w:rPr>
                <w:rFonts w:cs="Arial"/>
                <w:sz w:val="22"/>
                <w:szCs w:val="22"/>
                <w:lang w:eastAsia="en-GB"/>
              </w:rPr>
            </w:pPr>
            <w:r w:rsidRPr="00441AF5">
              <w:rPr>
                <w:rFonts w:cs="Arial"/>
                <w:sz w:val="22"/>
                <w:szCs w:val="22"/>
                <w:lang w:eastAsia="en-GB"/>
              </w:rPr>
              <w:t>Risk assessment</w:t>
            </w:r>
          </w:p>
        </w:tc>
        <w:tc>
          <w:tcPr>
            <w:tcW w:w="2177" w:type="dxa"/>
            <w:tcBorders>
              <w:top w:val="nil"/>
              <w:left w:val="single" w:sz="4" w:space="0" w:color="auto"/>
              <w:bottom w:val="nil"/>
              <w:right w:val="single" w:sz="4" w:space="0" w:color="auto"/>
            </w:tcBorders>
            <w:vAlign w:val="center"/>
          </w:tcPr>
          <w:p w14:paraId="57045EA5" w14:textId="5FF2BD70" w:rsidR="00EF0968" w:rsidRPr="0060339F" w:rsidRDefault="00F2403C" w:rsidP="006331E4">
            <w:pPr>
              <w:jc w:val="right"/>
              <w:rPr>
                <w:rFonts w:cs="Arial"/>
                <w:sz w:val="22"/>
                <w:szCs w:val="22"/>
                <w:lang w:eastAsia="en-GB"/>
              </w:rPr>
            </w:pPr>
            <w:r>
              <w:rPr>
                <w:rFonts w:cs="Arial"/>
                <w:sz w:val="22"/>
                <w:szCs w:val="22"/>
              </w:rPr>
              <w:t>6.0</w:t>
            </w:r>
          </w:p>
        </w:tc>
        <w:tc>
          <w:tcPr>
            <w:tcW w:w="2268" w:type="dxa"/>
            <w:tcBorders>
              <w:top w:val="nil"/>
              <w:left w:val="single" w:sz="4" w:space="0" w:color="auto"/>
              <w:bottom w:val="nil"/>
              <w:right w:val="single" w:sz="4" w:space="0" w:color="auto"/>
            </w:tcBorders>
            <w:vAlign w:val="center"/>
          </w:tcPr>
          <w:p w14:paraId="06DCA344" w14:textId="7E5A65BF" w:rsidR="00EF0968" w:rsidRPr="0060339F" w:rsidRDefault="00D67C86" w:rsidP="006331E4">
            <w:pPr>
              <w:jc w:val="right"/>
              <w:rPr>
                <w:rFonts w:cs="Arial"/>
                <w:sz w:val="22"/>
                <w:szCs w:val="22"/>
                <w:lang w:eastAsia="en-GB"/>
              </w:rPr>
            </w:pPr>
            <w:r w:rsidRPr="0060339F">
              <w:rPr>
                <w:rFonts w:cs="Arial"/>
                <w:sz w:val="22"/>
                <w:szCs w:val="22"/>
                <w:lang w:eastAsia="en-GB"/>
              </w:rPr>
              <w:t>7.</w:t>
            </w:r>
            <w:r w:rsidR="00F2403C">
              <w:rPr>
                <w:rFonts w:cs="Arial"/>
                <w:sz w:val="22"/>
                <w:szCs w:val="22"/>
                <w:lang w:eastAsia="en-GB"/>
              </w:rPr>
              <w:t>3</w:t>
            </w:r>
          </w:p>
        </w:tc>
        <w:tc>
          <w:tcPr>
            <w:tcW w:w="2268" w:type="dxa"/>
            <w:tcBorders>
              <w:top w:val="nil"/>
              <w:left w:val="single" w:sz="4" w:space="0" w:color="auto"/>
              <w:bottom w:val="nil"/>
              <w:right w:val="single" w:sz="4" w:space="0" w:color="auto"/>
            </w:tcBorders>
            <w:shd w:val="clear" w:color="auto" w:fill="auto"/>
            <w:noWrap/>
            <w:vAlign w:val="center"/>
            <w:hideMark/>
          </w:tcPr>
          <w:p w14:paraId="706E86B5" w14:textId="6CFE5E73" w:rsidR="004420EB" w:rsidRPr="0060339F" w:rsidRDefault="00DE7828" w:rsidP="006331E4">
            <w:pPr>
              <w:jc w:val="right"/>
              <w:rPr>
                <w:rFonts w:cs="Arial"/>
                <w:sz w:val="22"/>
                <w:szCs w:val="22"/>
                <w:lang w:eastAsia="en-GB"/>
              </w:rPr>
            </w:pPr>
            <w:r w:rsidRPr="0060339F">
              <w:rPr>
                <w:rFonts w:cs="Arial"/>
                <w:sz w:val="22"/>
                <w:szCs w:val="22"/>
              </w:rPr>
              <w:t>8.</w:t>
            </w:r>
            <w:r w:rsidR="00F2403C">
              <w:rPr>
                <w:rFonts w:cs="Arial"/>
                <w:sz w:val="22"/>
                <w:szCs w:val="22"/>
              </w:rPr>
              <w:t>6</w:t>
            </w:r>
          </w:p>
        </w:tc>
      </w:tr>
      <w:tr w:rsidR="001D081D" w:rsidRPr="001D081D" w14:paraId="41C1C096" w14:textId="77777777" w:rsidTr="003F40C2">
        <w:trPr>
          <w:trHeight w:val="397"/>
        </w:trPr>
        <w:tc>
          <w:tcPr>
            <w:tcW w:w="2882" w:type="dxa"/>
            <w:tcBorders>
              <w:top w:val="nil"/>
              <w:left w:val="single" w:sz="4" w:space="0" w:color="auto"/>
              <w:bottom w:val="nil"/>
              <w:right w:val="single" w:sz="4" w:space="0" w:color="auto"/>
            </w:tcBorders>
            <w:shd w:val="clear" w:color="auto" w:fill="auto"/>
            <w:noWrap/>
            <w:vAlign w:val="center"/>
            <w:hideMark/>
          </w:tcPr>
          <w:p w14:paraId="44456215" w14:textId="77777777" w:rsidR="004420EB" w:rsidRPr="00441AF5" w:rsidRDefault="004420EB" w:rsidP="006331E4">
            <w:pPr>
              <w:rPr>
                <w:rFonts w:cs="Arial"/>
                <w:sz w:val="22"/>
                <w:szCs w:val="22"/>
                <w:lang w:eastAsia="en-GB"/>
              </w:rPr>
            </w:pPr>
            <w:r w:rsidRPr="00441AF5">
              <w:rPr>
                <w:rFonts w:cs="Arial"/>
                <w:sz w:val="22"/>
                <w:szCs w:val="22"/>
                <w:lang w:eastAsia="en-GB"/>
              </w:rPr>
              <w:t>Communication</w:t>
            </w:r>
          </w:p>
        </w:tc>
        <w:tc>
          <w:tcPr>
            <w:tcW w:w="2177" w:type="dxa"/>
            <w:tcBorders>
              <w:top w:val="nil"/>
              <w:left w:val="single" w:sz="4" w:space="0" w:color="auto"/>
              <w:bottom w:val="nil"/>
              <w:right w:val="single" w:sz="4" w:space="0" w:color="auto"/>
            </w:tcBorders>
            <w:vAlign w:val="center"/>
          </w:tcPr>
          <w:p w14:paraId="17B45614" w14:textId="757A4A99" w:rsidR="00EF0968" w:rsidRPr="0060339F" w:rsidRDefault="00693732" w:rsidP="006331E4">
            <w:pPr>
              <w:jc w:val="right"/>
              <w:rPr>
                <w:rFonts w:cs="Arial"/>
                <w:sz w:val="22"/>
                <w:szCs w:val="22"/>
                <w:lang w:eastAsia="en-GB"/>
              </w:rPr>
            </w:pPr>
            <w:r w:rsidRPr="0060339F">
              <w:rPr>
                <w:rFonts w:cs="Arial"/>
                <w:sz w:val="22"/>
                <w:szCs w:val="22"/>
              </w:rPr>
              <w:t>7.</w:t>
            </w:r>
            <w:r w:rsidR="00FF3506">
              <w:rPr>
                <w:rFonts w:cs="Arial"/>
                <w:sz w:val="22"/>
                <w:szCs w:val="22"/>
              </w:rPr>
              <w:t>3</w:t>
            </w:r>
          </w:p>
        </w:tc>
        <w:tc>
          <w:tcPr>
            <w:tcW w:w="2268" w:type="dxa"/>
            <w:tcBorders>
              <w:top w:val="nil"/>
              <w:left w:val="single" w:sz="4" w:space="0" w:color="auto"/>
              <w:bottom w:val="nil"/>
              <w:right w:val="single" w:sz="4" w:space="0" w:color="auto"/>
            </w:tcBorders>
            <w:vAlign w:val="center"/>
          </w:tcPr>
          <w:p w14:paraId="22E28153" w14:textId="6F8CD447" w:rsidR="00EF0968" w:rsidRPr="0060339F" w:rsidRDefault="009759C9" w:rsidP="006331E4">
            <w:pPr>
              <w:jc w:val="right"/>
              <w:rPr>
                <w:rFonts w:cs="Arial"/>
                <w:sz w:val="22"/>
                <w:szCs w:val="22"/>
                <w:lang w:eastAsia="en-GB"/>
              </w:rPr>
            </w:pPr>
            <w:r w:rsidRPr="0060339F">
              <w:rPr>
                <w:rFonts w:cs="Arial"/>
                <w:sz w:val="22"/>
                <w:szCs w:val="22"/>
              </w:rPr>
              <w:t>8.</w:t>
            </w:r>
            <w:r w:rsidR="00E34A08">
              <w:rPr>
                <w:rFonts w:cs="Arial"/>
                <w:sz w:val="22"/>
                <w:szCs w:val="22"/>
              </w:rPr>
              <w:t>9</w:t>
            </w:r>
          </w:p>
        </w:tc>
        <w:tc>
          <w:tcPr>
            <w:tcW w:w="2268" w:type="dxa"/>
            <w:tcBorders>
              <w:top w:val="nil"/>
              <w:left w:val="single" w:sz="4" w:space="0" w:color="auto"/>
              <w:bottom w:val="nil"/>
              <w:right w:val="single" w:sz="4" w:space="0" w:color="auto"/>
            </w:tcBorders>
            <w:shd w:val="clear" w:color="auto" w:fill="auto"/>
            <w:noWrap/>
            <w:vAlign w:val="center"/>
            <w:hideMark/>
          </w:tcPr>
          <w:p w14:paraId="34D09A71" w14:textId="08B89C03" w:rsidR="004420EB" w:rsidRPr="0060339F" w:rsidRDefault="002B03EE" w:rsidP="006331E4">
            <w:pPr>
              <w:jc w:val="right"/>
              <w:rPr>
                <w:rFonts w:cs="Arial"/>
                <w:sz w:val="22"/>
                <w:szCs w:val="22"/>
                <w:lang w:eastAsia="en-GB"/>
              </w:rPr>
            </w:pPr>
            <w:r w:rsidRPr="0060339F">
              <w:rPr>
                <w:rFonts w:cs="Arial"/>
                <w:sz w:val="22"/>
                <w:szCs w:val="22"/>
              </w:rPr>
              <w:t>10.</w:t>
            </w:r>
            <w:r w:rsidR="00E34A08">
              <w:rPr>
                <w:rFonts w:cs="Arial"/>
                <w:sz w:val="22"/>
                <w:szCs w:val="22"/>
              </w:rPr>
              <w:t>5</w:t>
            </w:r>
          </w:p>
        </w:tc>
      </w:tr>
      <w:tr w:rsidR="001D081D" w:rsidRPr="001D081D" w14:paraId="2D8BD177" w14:textId="77777777" w:rsidTr="003F40C2">
        <w:trPr>
          <w:trHeight w:val="397"/>
        </w:trPr>
        <w:tc>
          <w:tcPr>
            <w:tcW w:w="2882" w:type="dxa"/>
            <w:tcBorders>
              <w:top w:val="nil"/>
              <w:left w:val="single" w:sz="4" w:space="0" w:color="auto"/>
              <w:bottom w:val="single" w:sz="4" w:space="0" w:color="auto"/>
              <w:right w:val="single" w:sz="4" w:space="0" w:color="auto"/>
            </w:tcBorders>
            <w:shd w:val="clear" w:color="auto" w:fill="auto"/>
            <w:noWrap/>
            <w:vAlign w:val="center"/>
            <w:hideMark/>
          </w:tcPr>
          <w:p w14:paraId="410604AC" w14:textId="77777777" w:rsidR="004420EB" w:rsidRPr="00441AF5" w:rsidRDefault="004420EB" w:rsidP="006331E4">
            <w:pPr>
              <w:rPr>
                <w:rFonts w:cs="Arial"/>
                <w:sz w:val="22"/>
                <w:szCs w:val="22"/>
                <w:lang w:eastAsia="en-GB"/>
              </w:rPr>
            </w:pPr>
            <w:r w:rsidRPr="00441AF5">
              <w:rPr>
                <w:rFonts w:cs="Arial"/>
                <w:sz w:val="22"/>
                <w:szCs w:val="22"/>
                <w:lang w:eastAsia="en-GB"/>
              </w:rPr>
              <w:t>Training</w:t>
            </w:r>
          </w:p>
        </w:tc>
        <w:tc>
          <w:tcPr>
            <w:tcW w:w="2177" w:type="dxa"/>
            <w:tcBorders>
              <w:top w:val="nil"/>
              <w:left w:val="single" w:sz="4" w:space="0" w:color="auto"/>
              <w:bottom w:val="single" w:sz="4" w:space="0" w:color="auto"/>
              <w:right w:val="single" w:sz="4" w:space="0" w:color="auto"/>
            </w:tcBorders>
            <w:vAlign w:val="center"/>
          </w:tcPr>
          <w:p w14:paraId="4E88EC40" w14:textId="69196873" w:rsidR="00EF0968" w:rsidRPr="0060339F" w:rsidRDefault="0016649F" w:rsidP="006331E4">
            <w:pPr>
              <w:jc w:val="right"/>
              <w:rPr>
                <w:rFonts w:cs="Arial"/>
                <w:sz w:val="22"/>
                <w:szCs w:val="22"/>
                <w:lang w:eastAsia="en-GB"/>
              </w:rPr>
            </w:pPr>
            <w:r w:rsidRPr="00627D49">
              <w:rPr>
                <w:rFonts w:cs="Arial"/>
                <w:sz w:val="22"/>
                <w:szCs w:val="22"/>
              </w:rPr>
              <w:t>28.</w:t>
            </w:r>
            <w:r w:rsidRPr="00627D49">
              <w:rPr>
                <w:rFonts w:cs="Arial"/>
                <w:bCs/>
                <w:sz w:val="22"/>
                <w:szCs w:val="22"/>
              </w:rPr>
              <w:t>5</w:t>
            </w:r>
          </w:p>
        </w:tc>
        <w:tc>
          <w:tcPr>
            <w:tcW w:w="2268" w:type="dxa"/>
            <w:tcBorders>
              <w:top w:val="nil"/>
              <w:left w:val="single" w:sz="4" w:space="0" w:color="auto"/>
              <w:bottom w:val="single" w:sz="4" w:space="0" w:color="auto"/>
              <w:right w:val="single" w:sz="4" w:space="0" w:color="auto"/>
            </w:tcBorders>
            <w:vAlign w:val="center"/>
          </w:tcPr>
          <w:p w14:paraId="015C42CE" w14:textId="50D2C40B" w:rsidR="00EF0968" w:rsidRPr="0060339F" w:rsidRDefault="0016649F" w:rsidP="006331E4">
            <w:pPr>
              <w:jc w:val="right"/>
              <w:rPr>
                <w:rFonts w:cs="Arial"/>
                <w:sz w:val="22"/>
                <w:szCs w:val="22"/>
                <w:lang w:eastAsia="en-GB"/>
              </w:rPr>
            </w:pPr>
            <w:r w:rsidRPr="00627D49">
              <w:rPr>
                <w:rFonts w:cs="Arial"/>
                <w:sz w:val="22"/>
                <w:szCs w:val="22"/>
              </w:rPr>
              <w:t>34.</w:t>
            </w:r>
            <w:r w:rsidRPr="00627D49">
              <w:rPr>
                <w:rFonts w:cs="Arial"/>
                <w:bCs/>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EEE0D95" w14:textId="6543CA57" w:rsidR="004420EB" w:rsidRPr="0060339F" w:rsidRDefault="0016649F" w:rsidP="006331E4">
            <w:pPr>
              <w:jc w:val="right"/>
              <w:rPr>
                <w:rFonts w:cs="Arial"/>
                <w:sz w:val="22"/>
                <w:szCs w:val="22"/>
                <w:lang w:eastAsia="en-GB"/>
              </w:rPr>
            </w:pPr>
            <w:r w:rsidRPr="00627D49">
              <w:rPr>
                <w:rFonts w:cs="Arial"/>
                <w:sz w:val="22"/>
                <w:szCs w:val="22"/>
              </w:rPr>
              <w:t>40.</w:t>
            </w:r>
            <w:r w:rsidR="00D02FE2">
              <w:rPr>
                <w:rFonts w:cs="Arial"/>
                <w:bCs/>
                <w:sz w:val="22"/>
                <w:szCs w:val="22"/>
              </w:rPr>
              <w:t>8</w:t>
            </w:r>
          </w:p>
        </w:tc>
      </w:tr>
      <w:tr w:rsidR="001D081D" w:rsidRPr="001D081D" w14:paraId="52349440" w14:textId="77777777" w:rsidTr="003F40C2">
        <w:trPr>
          <w:trHeight w:val="397"/>
        </w:trPr>
        <w:tc>
          <w:tcPr>
            <w:tcW w:w="2882" w:type="dxa"/>
            <w:tcBorders>
              <w:top w:val="single" w:sz="4" w:space="0" w:color="auto"/>
              <w:left w:val="single" w:sz="4" w:space="0" w:color="auto"/>
              <w:bottom w:val="single" w:sz="4" w:space="0" w:color="auto"/>
              <w:right w:val="nil"/>
            </w:tcBorders>
            <w:shd w:val="clear" w:color="auto" w:fill="auto"/>
            <w:noWrap/>
            <w:vAlign w:val="center"/>
            <w:hideMark/>
          </w:tcPr>
          <w:p w14:paraId="67EF8EE1" w14:textId="2B711F11" w:rsidR="004420EB" w:rsidRPr="00441AF5" w:rsidRDefault="004420EB" w:rsidP="006331E4">
            <w:pPr>
              <w:rPr>
                <w:rFonts w:cs="Arial"/>
                <w:b/>
                <w:sz w:val="22"/>
                <w:szCs w:val="22"/>
                <w:lang w:eastAsia="en-GB"/>
              </w:rPr>
            </w:pPr>
            <w:r w:rsidRPr="00441AF5">
              <w:rPr>
                <w:rFonts w:cs="Arial"/>
                <w:b/>
                <w:sz w:val="22"/>
                <w:szCs w:val="22"/>
                <w:lang w:eastAsia="en-GB"/>
              </w:rPr>
              <w:t>Total</w:t>
            </w:r>
            <w:r w:rsidR="00C53FE6">
              <w:rPr>
                <w:rFonts w:cs="Arial"/>
                <w:b/>
                <w:sz w:val="22"/>
                <w:szCs w:val="22"/>
                <w:lang w:eastAsia="en-GB"/>
              </w:rPr>
              <w:t xml:space="preserve"> per year</w:t>
            </w:r>
            <w:r w:rsidR="00DD01A3">
              <w:rPr>
                <w:rFonts w:cs="Arial"/>
                <w:b/>
                <w:sz w:val="22"/>
                <w:szCs w:val="22"/>
                <w:lang w:eastAsia="en-GB"/>
              </w:rPr>
              <w:t xml:space="preserve"> 2024 con</w:t>
            </w:r>
          </w:p>
        </w:tc>
        <w:tc>
          <w:tcPr>
            <w:tcW w:w="2177" w:type="dxa"/>
            <w:tcBorders>
              <w:top w:val="single" w:sz="4" w:space="0" w:color="auto"/>
              <w:left w:val="single" w:sz="4" w:space="0" w:color="auto"/>
              <w:bottom w:val="single" w:sz="4" w:space="0" w:color="auto"/>
              <w:right w:val="single" w:sz="4" w:space="0" w:color="auto"/>
            </w:tcBorders>
            <w:vAlign w:val="center"/>
          </w:tcPr>
          <w:p w14:paraId="2539705E" w14:textId="3B3E3B48" w:rsidR="00EF0968" w:rsidRPr="0060339F" w:rsidRDefault="003D0CAB" w:rsidP="006331E4">
            <w:pPr>
              <w:jc w:val="right"/>
              <w:rPr>
                <w:rFonts w:cs="Arial"/>
                <w:b/>
                <w:sz w:val="22"/>
                <w:szCs w:val="22"/>
                <w:lang w:eastAsia="en-GB"/>
              </w:rPr>
            </w:pPr>
            <w:r w:rsidRPr="0060339F">
              <w:rPr>
                <w:rFonts w:cs="Arial"/>
                <w:b/>
                <w:sz w:val="22"/>
                <w:szCs w:val="22"/>
                <w:lang w:eastAsia="en-GB"/>
              </w:rPr>
              <w:t>4</w:t>
            </w:r>
            <w:r w:rsidR="00AB5A80">
              <w:rPr>
                <w:rFonts w:cs="Arial"/>
                <w:b/>
                <w:sz w:val="22"/>
                <w:szCs w:val="22"/>
                <w:lang w:eastAsia="en-GB"/>
              </w:rPr>
              <w:t>1</w:t>
            </w:r>
            <w:r w:rsidRPr="0060339F">
              <w:rPr>
                <w:rFonts w:cs="Arial"/>
                <w:b/>
                <w:sz w:val="22"/>
                <w:szCs w:val="22"/>
                <w:lang w:eastAsia="en-GB"/>
              </w:rPr>
              <w:t>.</w:t>
            </w:r>
            <w:r w:rsidR="008A6EB1">
              <w:rPr>
                <w:rFonts w:cs="Arial"/>
                <w:b/>
                <w:sz w:val="22"/>
                <w:szCs w:val="22"/>
                <w:lang w:eastAsia="en-GB"/>
              </w:rPr>
              <w:t>9</w:t>
            </w:r>
          </w:p>
        </w:tc>
        <w:tc>
          <w:tcPr>
            <w:tcW w:w="2268" w:type="dxa"/>
            <w:tcBorders>
              <w:top w:val="single" w:sz="4" w:space="0" w:color="auto"/>
              <w:left w:val="single" w:sz="4" w:space="0" w:color="auto"/>
              <w:bottom w:val="single" w:sz="4" w:space="0" w:color="auto"/>
              <w:right w:val="single" w:sz="4" w:space="0" w:color="auto"/>
            </w:tcBorders>
            <w:vAlign w:val="center"/>
          </w:tcPr>
          <w:p w14:paraId="7AE70151" w14:textId="1192A112" w:rsidR="00EF0968" w:rsidRPr="0060339F" w:rsidRDefault="000E65B5" w:rsidP="006331E4">
            <w:pPr>
              <w:jc w:val="right"/>
              <w:rPr>
                <w:rFonts w:cs="Arial"/>
                <w:b/>
                <w:sz w:val="22"/>
                <w:szCs w:val="22"/>
                <w:lang w:eastAsia="en-GB"/>
              </w:rPr>
            </w:pPr>
            <w:r>
              <w:rPr>
                <w:rFonts w:cs="Arial"/>
                <w:b/>
                <w:sz w:val="22"/>
                <w:szCs w:val="22"/>
                <w:lang w:eastAsia="en-GB"/>
              </w:rPr>
              <w:t>50.9</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946F8" w14:textId="4139DDEC" w:rsidR="004420EB" w:rsidRPr="0060339F" w:rsidRDefault="0016649F" w:rsidP="006331E4">
            <w:pPr>
              <w:jc w:val="right"/>
              <w:rPr>
                <w:rFonts w:cs="Arial"/>
                <w:b/>
                <w:sz w:val="22"/>
                <w:szCs w:val="22"/>
                <w:lang w:eastAsia="en-GB"/>
              </w:rPr>
            </w:pPr>
            <w:r w:rsidRPr="0060339F">
              <w:rPr>
                <w:rFonts w:cs="Arial"/>
                <w:b/>
                <w:sz w:val="22"/>
                <w:szCs w:val="22"/>
                <w:lang w:eastAsia="en-GB"/>
              </w:rPr>
              <w:t>5</w:t>
            </w:r>
            <w:r w:rsidR="00C907AE">
              <w:rPr>
                <w:rFonts w:cs="Arial"/>
                <w:b/>
                <w:sz w:val="22"/>
                <w:szCs w:val="22"/>
                <w:lang w:eastAsia="en-GB"/>
              </w:rPr>
              <w:t>9</w:t>
            </w:r>
            <w:r w:rsidRPr="0060339F">
              <w:rPr>
                <w:rFonts w:cs="Arial"/>
                <w:b/>
                <w:sz w:val="22"/>
                <w:szCs w:val="22"/>
                <w:lang w:eastAsia="en-GB"/>
              </w:rPr>
              <w:t>.</w:t>
            </w:r>
            <w:r w:rsidR="00C907AE">
              <w:rPr>
                <w:rFonts w:cs="Arial"/>
                <w:b/>
                <w:sz w:val="22"/>
                <w:szCs w:val="22"/>
                <w:lang w:eastAsia="en-GB"/>
              </w:rPr>
              <w:t>9</w:t>
            </w:r>
          </w:p>
        </w:tc>
      </w:tr>
      <w:tr w:rsidR="0012515E" w:rsidRPr="001D081D" w14:paraId="29244B9F" w14:textId="77777777" w:rsidTr="003F40C2">
        <w:trPr>
          <w:trHeight w:val="397"/>
        </w:trPr>
        <w:tc>
          <w:tcPr>
            <w:tcW w:w="2882" w:type="dxa"/>
            <w:tcBorders>
              <w:top w:val="single" w:sz="4" w:space="0" w:color="auto"/>
              <w:left w:val="single" w:sz="4" w:space="0" w:color="auto"/>
              <w:bottom w:val="single" w:sz="4" w:space="0" w:color="auto"/>
              <w:right w:val="nil"/>
            </w:tcBorders>
            <w:shd w:val="clear" w:color="auto" w:fill="auto"/>
            <w:noWrap/>
            <w:vAlign w:val="center"/>
          </w:tcPr>
          <w:p w14:paraId="49EBB5DC" w14:textId="32253116" w:rsidR="0012515E" w:rsidRPr="00441AF5" w:rsidRDefault="008B5A29" w:rsidP="006331E4">
            <w:pPr>
              <w:ind w:left="709" w:hanging="709"/>
              <w:rPr>
                <w:rFonts w:cs="Arial"/>
                <w:b/>
                <w:sz w:val="22"/>
                <w:szCs w:val="22"/>
                <w:lang w:eastAsia="en-GB"/>
              </w:rPr>
            </w:pPr>
            <w:r>
              <w:rPr>
                <w:rFonts w:cs="Arial"/>
                <w:b/>
                <w:sz w:val="22"/>
                <w:szCs w:val="22"/>
                <w:lang w:eastAsia="en-GB"/>
              </w:rPr>
              <w:t xml:space="preserve">Overall </w:t>
            </w:r>
            <w:r w:rsidR="0012515E">
              <w:rPr>
                <w:rFonts w:cs="Arial"/>
                <w:b/>
                <w:sz w:val="22"/>
                <w:szCs w:val="22"/>
                <w:lang w:eastAsia="en-GB"/>
              </w:rPr>
              <w:t xml:space="preserve">Total </w:t>
            </w:r>
            <w:r w:rsidR="006D43D1">
              <w:rPr>
                <w:rFonts w:cs="Arial"/>
                <w:b/>
                <w:sz w:val="22"/>
                <w:szCs w:val="22"/>
                <w:lang w:eastAsia="en-GB"/>
              </w:rPr>
              <w:t>(P</w:t>
            </w:r>
            <w:r w:rsidR="007357B4">
              <w:rPr>
                <w:rFonts w:cs="Arial"/>
                <w:b/>
                <w:sz w:val="22"/>
                <w:szCs w:val="22"/>
                <w:lang w:eastAsia="en-GB"/>
              </w:rPr>
              <w:t>S</w:t>
            </w:r>
            <w:r w:rsidR="006D43D1">
              <w:rPr>
                <w:rFonts w:cs="Arial"/>
                <w:b/>
                <w:sz w:val="22"/>
                <w:szCs w:val="22"/>
                <w:lang w:eastAsia="en-GB"/>
              </w:rPr>
              <w:t>V 2024)</w:t>
            </w:r>
          </w:p>
        </w:tc>
        <w:tc>
          <w:tcPr>
            <w:tcW w:w="2177" w:type="dxa"/>
            <w:tcBorders>
              <w:top w:val="single" w:sz="4" w:space="0" w:color="auto"/>
              <w:left w:val="single" w:sz="4" w:space="0" w:color="auto"/>
              <w:bottom w:val="single" w:sz="4" w:space="0" w:color="auto"/>
              <w:right w:val="single" w:sz="4" w:space="0" w:color="auto"/>
            </w:tcBorders>
            <w:vAlign w:val="center"/>
          </w:tcPr>
          <w:p w14:paraId="72AC9694" w14:textId="64036AEB" w:rsidR="0012515E" w:rsidRPr="0060339F" w:rsidRDefault="0016649F" w:rsidP="006331E4">
            <w:pPr>
              <w:jc w:val="right"/>
              <w:rPr>
                <w:rFonts w:cs="Arial"/>
                <w:b/>
                <w:sz w:val="22"/>
                <w:szCs w:val="22"/>
                <w:lang w:eastAsia="en-GB"/>
              </w:rPr>
            </w:pPr>
            <w:r>
              <w:rPr>
                <w:rFonts w:cs="Arial"/>
                <w:b/>
                <w:sz w:val="22"/>
                <w:szCs w:val="22"/>
                <w:lang w:eastAsia="en-GB"/>
              </w:rPr>
              <w:t>31</w:t>
            </w:r>
            <w:r w:rsidR="006D587A">
              <w:rPr>
                <w:rFonts w:cs="Arial"/>
                <w:b/>
                <w:sz w:val="22"/>
                <w:szCs w:val="22"/>
                <w:lang w:eastAsia="en-GB"/>
              </w:rPr>
              <w:t>8</w:t>
            </w:r>
            <w:r>
              <w:rPr>
                <w:rFonts w:cs="Arial"/>
                <w:b/>
                <w:sz w:val="22"/>
                <w:szCs w:val="22"/>
                <w:lang w:eastAsia="en-GB"/>
              </w:rPr>
              <w:t>.</w:t>
            </w:r>
            <w:r w:rsidR="006D587A">
              <w:rPr>
                <w:rFonts w:cs="Arial"/>
                <w:b/>
                <w:sz w:val="22"/>
                <w:szCs w:val="22"/>
                <w:lang w:eastAsia="en-GB"/>
              </w:rPr>
              <w:t>7</w:t>
            </w:r>
          </w:p>
        </w:tc>
        <w:tc>
          <w:tcPr>
            <w:tcW w:w="2268" w:type="dxa"/>
            <w:tcBorders>
              <w:top w:val="single" w:sz="4" w:space="0" w:color="auto"/>
              <w:left w:val="single" w:sz="4" w:space="0" w:color="auto"/>
              <w:bottom w:val="single" w:sz="4" w:space="0" w:color="auto"/>
              <w:right w:val="single" w:sz="4" w:space="0" w:color="auto"/>
            </w:tcBorders>
            <w:vAlign w:val="center"/>
          </w:tcPr>
          <w:p w14:paraId="6219ADEA" w14:textId="72299E72" w:rsidR="0012515E" w:rsidRPr="0060339F" w:rsidRDefault="0016649F" w:rsidP="006331E4">
            <w:pPr>
              <w:jc w:val="right"/>
              <w:rPr>
                <w:rFonts w:cs="Arial"/>
                <w:b/>
                <w:sz w:val="22"/>
                <w:szCs w:val="22"/>
                <w:lang w:eastAsia="en-GB"/>
              </w:rPr>
            </w:pPr>
            <w:r>
              <w:rPr>
                <w:rFonts w:cs="Arial"/>
                <w:b/>
                <w:sz w:val="22"/>
                <w:szCs w:val="22"/>
                <w:lang w:eastAsia="en-GB"/>
              </w:rPr>
              <w:t>3</w:t>
            </w:r>
            <w:r w:rsidR="006D587A">
              <w:rPr>
                <w:rFonts w:cs="Arial"/>
                <w:b/>
                <w:sz w:val="22"/>
                <w:szCs w:val="22"/>
                <w:lang w:eastAsia="en-GB"/>
              </w:rPr>
              <w:t>87</w:t>
            </w:r>
            <w:r w:rsidR="004D1FA2">
              <w:rPr>
                <w:rFonts w:cs="Arial"/>
                <w:b/>
                <w:sz w:val="22"/>
                <w:szCs w:val="22"/>
                <w:lang w:eastAsia="en-GB"/>
              </w:rPr>
              <w:t>.0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31D77B" w14:textId="41B07CE4" w:rsidR="0012515E" w:rsidRPr="0060339F" w:rsidRDefault="0016649F" w:rsidP="006331E4">
            <w:pPr>
              <w:jc w:val="right"/>
              <w:rPr>
                <w:rFonts w:cs="Arial"/>
                <w:b/>
                <w:sz w:val="22"/>
                <w:szCs w:val="22"/>
                <w:lang w:eastAsia="en-GB"/>
              </w:rPr>
            </w:pPr>
            <w:r>
              <w:rPr>
                <w:rFonts w:cs="Arial"/>
                <w:b/>
                <w:sz w:val="22"/>
                <w:szCs w:val="22"/>
                <w:lang w:eastAsia="en-GB"/>
              </w:rPr>
              <w:t>4</w:t>
            </w:r>
            <w:r w:rsidR="004D1FA2">
              <w:rPr>
                <w:rFonts w:cs="Arial"/>
                <w:b/>
                <w:sz w:val="22"/>
                <w:szCs w:val="22"/>
                <w:lang w:eastAsia="en-GB"/>
              </w:rPr>
              <w:t>5</w:t>
            </w:r>
            <w:r>
              <w:rPr>
                <w:rFonts w:cs="Arial"/>
                <w:b/>
                <w:sz w:val="22"/>
                <w:szCs w:val="22"/>
                <w:lang w:eastAsia="en-GB"/>
              </w:rPr>
              <w:t>5.</w:t>
            </w:r>
            <w:r w:rsidR="004D1FA2">
              <w:rPr>
                <w:rFonts w:cs="Arial"/>
                <w:b/>
                <w:sz w:val="22"/>
                <w:szCs w:val="22"/>
                <w:lang w:eastAsia="en-GB"/>
              </w:rPr>
              <w:t>3</w:t>
            </w:r>
          </w:p>
        </w:tc>
      </w:tr>
    </w:tbl>
    <w:p w14:paraId="39C83EA2" w14:textId="45BB6134" w:rsidR="0069591B" w:rsidRPr="0029116F" w:rsidRDefault="006E6E80" w:rsidP="00F967AC">
      <w:pPr>
        <w:spacing w:after="120" w:line="259" w:lineRule="auto"/>
        <w:ind w:left="567"/>
        <w:jc w:val="both"/>
        <w:rPr>
          <w:rFonts w:cs="Arial"/>
          <w:sz w:val="18"/>
          <w:szCs w:val="18"/>
        </w:rPr>
      </w:pPr>
      <w:r w:rsidRPr="0029116F">
        <w:rPr>
          <w:rFonts w:cs="Arial"/>
          <w:sz w:val="18"/>
          <w:szCs w:val="18"/>
        </w:rPr>
        <w:t xml:space="preserve">Source: </w:t>
      </w:r>
      <w:r w:rsidR="00CD5B6E" w:rsidRPr="0029116F">
        <w:rPr>
          <w:rFonts w:cs="Arial"/>
          <w:sz w:val="18"/>
          <w:szCs w:val="18"/>
        </w:rPr>
        <w:t>DBT</w:t>
      </w:r>
      <w:r w:rsidRPr="0029116F">
        <w:rPr>
          <w:rFonts w:cs="Arial"/>
          <w:sz w:val="18"/>
          <w:szCs w:val="18"/>
        </w:rPr>
        <w:t xml:space="preserve"> calculations.</w:t>
      </w:r>
      <w:r w:rsidR="004D76B9">
        <w:rPr>
          <w:rFonts w:cs="Arial"/>
          <w:sz w:val="18"/>
          <w:szCs w:val="18"/>
        </w:rPr>
        <w:t xml:space="preserve"> Numbers may not sum due to rounding.</w:t>
      </w:r>
    </w:p>
    <w:p w14:paraId="26C77EFD" w14:textId="410576FD" w:rsidR="00396A0D" w:rsidRPr="00441AF5" w:rsidRDefault="00396A0D" w:rsidP="0029116F">
      <w:pPr>
        <w:pStyle w:val="EBBullet"/>
        <w:numPr>
          <w:ilvl w:val="0"/>
          <w:numId w:val="0"/>
        </w:numPr>
        <w:spacing w:line="259" w:lineRule="auto"/>
        <w:jc w:val="both"/>
        <w:rPr>
          <w:b/>
          <w:bCs w:val="0"/>
          <w:color w:val="auto"/>
        </w:rPr>
      </w:pPr>
      <w:r w:rsidRPr="00441AF5">
        <w:rPr>
          <w:b/>
          <w:bCs w:val="0"/>
          <w:color w:val="auto"/>
        </w:rPr>
        <w:t>Total costs</w:t>
      </w:r>
    </w:p>
    <w:p w14:paraId="5AD51684" w14:textId="51C2EEBD" w:rsidR="00D1630E" w:rsidRPr="005705E9" w:rsidRDefault="0035099B"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 xml:space="preserve">Summing together set-up/ transition costs and </w:t>
      </w:r>
      <w:r w:rsidR="00D1630E" w:rsidRPr="00441AF5">
        <w:rPr>
          <w:rFonts w:cs="Arial"/>
          <w:sz w:val="22"/>
          <w:szCs w:val="22"/>
        </w:rPr>
        <w:t>ongoing costs produces t</w:t>
      </w:r>
      <w:r w:rsidR="00396A0D" w:rsidRPr="00441AF5">
        <w:rPr>
          <w:rFonts w:cs="Arial"/>
          <w:sz w:val="22"/>
          <w:szCs w:val="22"/>
        </w:rPr>
        <w:t>otal cost</w:t>
      </w:r>
      <w:r w:rsidR="00D1630E" w:rsidRPr="00441AF5">
        <w:rPr>
          <w:rFonts w:cs="Arial"/>
          <w:sz w:val="22"/>
          <w:szCs w:val="22"/>
        </w:rPr>
        <w:t xml:space="preserve"> for each scenario. For the low scenario the total cost</w:t>
      </w:r>
      <w:r w:rsidR="00396A0D" w:rsidRPr="00441AF5">
        <w:rPr>
          <w:rFonts w:cs="Arial"/>
          <w:sz w:val="22"/>
          <w:szCs w:val="22"/>
        </w:rPr>
        <w:t xml:space="preserve"> is estimated </w:t>
      </w:r>
      <w:r w:rsidR="004420EB" w:rsidRPr="00441AF5">
        <w:rPr>
          <w:rFonts w:cs="Arial"/>
          <w:sz w:val="22"/>
          <w:szCs w:val="22"/>
        </w:rPr>
        <w:t xml:space="preserve">to </w:t>
      </w:r>
      <w:r w:rsidR="004420EB" w:rsidRPr="00CD0894">
        <w:rPr>
          <w:rFonts w:cs="Arial"/>
          <w:sz w:val="22"/>
          <w:szCs w:val="22"/>
        </w:rPr>
        <w:t>be</w:t>
      </w:r>
      <w:r w:rsidR="00396A0D" w:rsidRPr="00CD0894">
        <w:rPr>
          <w:rFonts w:cs="Arial"/>
          <w:b/>
          <w:sz w:val="22"/>
          <w:szCs w:val="22"/>
        </w:rPr>
        <w:t xml:space="preserve"> £</w:t>
      </w:r>
      <w:r w:rsidR="0053274D" w:rsidRPr="00CD0894">
        <w:rPr>
          <w:rFonts w:cs="Arial"/>
          <w:b/>
          <w:sz w:val="22"/>
          <w:szCs w:val="22"/>
        </w:rPr>
        <w:t>7</w:t>
      </w:r>
      <w:r w:rsidR="00DB4AC3">
        <w:rPr>
          <w:rFonts w:cs="Arial"/>
          <w:b/>
          <w:sz w:val="22"/>
          <w:szCs w:val="22"/>
        </w:rPr>
        <w:t>40</w:t>
      </w:r>
      <w:r w:rsidR="00591EBC">
        <w:rPr>
          <w:rFonts w:cs="Arial"/>
          <w:b/>
          <w:sz w:val="22"/>
          <w:szCs w:val="22"/>
        </w:rPr>
        <w:t>.</w:t>
      </w:r>
      <w:r w:rsidR="00BD1DF6">
        <w:rPr>
          <w:rFonts w:cs="Arial"/>
          <w:b/>
          <w:sz w:val="22"/>
          <w:szCs w:val="22"/>
        </w:rPr>
        <w:t>2</w:t>
      </w:r>
      <w:r w:rsidR="00FC7441" w:rsidRPr="00CD0894">
        <w:rPr>
          <w:rFonts w:cs="Arial"/>
          <w:b/>
          <w:sz w:val="22"/>
          <w:szCs w:val="22"/>
        </w:rPr>
        <w:t xml:space="preserve"> </w:t>
      </w:r>
      <w:r w:rsidR="00333860" w:rsidRPr="00CD0894">
        <w:rPr>
          <w:rFonts w:cs="Arial"/>
          <w:b/>
          <w:sz w:val="22"/>
          <w:szCs w:val="22"/>
        </w:rPr>
        <w:t xml:space="preserve">million </w:t>
      </w:r>
      <w:r w:rsidR="00D1630E" w:rsidRPr="00CD0894">
        <w:rPr>
          <w:rFonts w:cs="Arial"/>
          <w:bCs/>
          <w:sz w:val="22"/>
          <w:szCs w:val="22"/>
        </w:rPr>
        <w:t>(</w:t>
      </w:r>
      <w:r w:rsidR="0046011D" w:rsidRPr="00CD0894">
        <w:rPr>
          <w:rFonts w:cs="Arial"/>
          <w:bCs/>
          <w:sz w:val="22"/>
          <w:szCs w:val="22"/>
        </w:rPr>
        <w:t xml:space="preserve">PV </w:t>
      </w:r>
      <w:r w:rsidR="00D1630E" w:rsidRPr="00CD0894">
        <w:rPr>
          <w:rFonts w:cs="Arial"/>
          <w:bCs/>
          <w:sz w:val="22"/>
          <w:szCs w:val="22"/>
        </w:rPr>
        <w:t xml:space="preserve">2024 </w:t>
      </w:r>
      <w:r w:rsidR="0011270E" w:rsidRPr="00CD0894">
        <w:rPr>
          <w:rFonts w:cs="Arial"/>
          <w:bCs/>
          <w:sz w:val="22"/>
          <w:szCs w:val="22"/>
        </w:rPr>
        <w:t>Prices)</w:t>
      </w:r>
      <w:r w:rsidR="00A17055" w:rsidRPr="00CD0894">
        <w:rPr>
          <w:rFonts w:cs="Arial"/>
          <w:bCs/>
          <w:sz w:val="22"/>
          <w:szCs w:val="22"/>
        </w:rPr>
        <w:t xml:space="preserve">, in the central/best scenario the total cost </w:t>
      </w:r>
      <w:r w:rsidR="00C05643" w:rsidRPr="00CD0894">
        <w:rPr>
          <w:rFonts w:cs="Arial"/>
          <w:bCs/>
          <w:sz w:val="22"/>
          <w:szCs w:val="22"/>
        </w:rPr>
        <w:t>is</w:t>
      </w:r>
      <w:r w:rsidR="00A17055" w:rsidRPr="00CD0894">
        <w:rPr>
          <w:rFonts w:cs="Arial"/>
          <w:bCs/>
          <w:sz w:val="22"/>
          <w:szCs w:val="22"/>
        </w:rPr>
        <w:t xml:space="preserve"> estimated to be </w:t>
      </w:r>
      <w:r w:rsidR="00A17055" w:rsidRPr="00CD0894">
        <w:rPr>
          <w:rFonts w:cs="Arial"/>
          <w:b/>
          <w:sz w:val="22"/>
          <w:szCs w:val="22"/>
        </w:rPr>
        <w:t>£8</w:t>
      </w:r>
      <w:r w:rsidR="00585DF5">
        <w:rPr>
          <w:rFonts w:cs="Arial"/>
          <w:b/>
          <w:sz w:val="22"/>
          <w:szCs w:val="22"/>
        </w:rPr>
        <w:t>73</w:t>
      </w:r>
      <w:r w:rsidR="009F1735" w:rsidRPr="00184450">
        <w:rPr>
          <w:rFonts w:cs="Arial"/>
          <w:b/>
          <w:sz w:val="22"/>
          <w:szCs w:val="22"/>
        </w:rPr>
        <w:t>.</w:t>
      </w:r>
      <w:r w:rsidR="00585DF5">
        <w:rPr>
          <w:rFonts w:cs="Arial"/>
          <w:b/>
          <w:sz w:val="22"/>
          <w:szCs w:val="22"/>
        </w:rPr>
        <w:t>7</w:t>
      </w:r>
      <w:r w:rsidR="00A17055" w:rsidRPr="00CD0894">
        <w:rPr>
          <w:rFonts w:cs="Arial"/>
          <w:b/>
          <w:sz w:val="22"/>
          <w:szCs w:val="22"/>
        </w:rPr>
        <w:t xml:space="preserve"> </w:t>
      </w:r>
      <w:r w:rsidR="007924FF" w:rsidRPr="00CD0894">
        <w:rPr>
          <w:rFonts w:cs="Arial"/>
          <w:b/>
          <w:sz w:val="22"/>
          <w:szCs w:val="22"/>
        </w:rPr>
        <w:t xml:space="preserve">million </w:t>
      </w:r>
      <w:r w:rsidR="007924FF" w:rsidRPr="003F40C2">
        <w:rPr>
          <w:rFonts w:cs="Arial"/>
          <w:sz w:val="22"/>
          <w:szCs w:val="22"/>
        </w:rPr>
        <w:t>(</w:t>
      </w:r>
      <w:r w:rsidR="00A17055" w:rsidRPr="00CD0894">
        <w:rPr>
          <w:rFonts w:cs="Arial"/>
          <w:bCs/>
          <w:sz w:val="22"/>
          <w:szCs w:val="22"/>
        </w:rPr>
        <w:t>PV 2024 Prices)</w:t>
      </w:r>
      <w:r w:rsidR="003B0C74" w:rsidRPr="00CD0894">
        <w:rPr>
          <w:rFonts w:cs="Arial"/>
          <w:bCs/>
          <w:sz w:val="22"/>
          <w:szCs w:val="22"/>
        </w:rPr>
        <w:t xml:space="preserve"> and in the high scenario the total cost is estimated to be</w:t>
      </w:r>
      <w:r w:rsidR="00DC02B9" w:rsidRPr="00CD0894">
        <w:rPr>
          <w:rFonts w:cs="Arial"/>
          <w:bCs/>
          <w:sz w:val="22"/>
          <w:szCs w:val="22"/>
        </w:rPr>
        <w:t xml:space="preserve"> </w:t>
      </w:r>
      <w:r w:rsidR="00DC02B9" w:rsidRPr="00CD0894">
        <w:rPr>
          <w:rFonts w:cs="Arial"/>
          <w:b/>
          <w:sz w:val="22"/>
          <w:szCs w:val="22"/>
        </w:rPr>
        <w:t>£</w:t>
      </w:r>
      <w:r w:rsidR="00585DF5">
        <w:rPr>
          <w:rFonts w:cs="Arial"/>
          <w:b/>
          <w:sz w:val="22"/>
          <w:szCs w:val="22"/>
        </w:rPr>
        <w:t>1,007.3</w:t>
      </w:r>
      <w:r w:rsidR="00DC02B9" w:rsidRPr="00CD0894">
        <w:rPr>
          <w:rFonts w:cs="Arial"/>
          <w:b/>
          <w:sz w:val="22"/>
          <w:szCs w:val="22"/>
        </w:rPr>
        <w:t xml:space="preserve"> million</w:t>
      </w:r>
      <w:r w:rsidR="00DC02B9" w:rsidRPr="009471CC">
        <w:rPr>
          <w:rFonts w:cs="Arial"/>
          <w:b/>
          <w:sz w:val="22"/>
          <w:szCs w:val="22"/>
        </w:rPr>
        <w:t xml:space="preserve"> </w:t>
      </w:r>
      <w:r w:rsidR="00DC02B9" w:rsidRPr="009471CC">
        <w:rPr>
          <w:rFonts w:cs="Arial"/>
          <w:bCs/>
          <w:sz w:val="22"/>
          <w:szCs w:val="22"/>
        </w:rPr>
        <w:t>(PV 2024 Prices)</w:t>
      </w:r>
      <w:r w:rsidR="00D7711E">
        <w:rPr>
          <w:rFonts w:cs="Arial"/>
          <w:bCs/>
          <w:sz w:val="22"/>
          <w:szCs w:val="22"/>
        </w:rPr>
        <w:t>.</w:t>
      </w:r>
    </w:p>
    <w:p w14:paraId="03B32540" w14:textId="2524583A" w:rsidR="001D32D1" w:rsidRDefault="007F399B" w:rsidP="003F40C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To provide assurance over these costs</w:t>
      </w:r>
      <w:r w:rsidR="003D6897">
        <w:rPr>
          <w:rFonts w:cs="Arial"/>
          <w:sz w:val="22"/>
          <w:szCs w:val="22"/>
        </w:rPr>
        <w:t xml:space="preserve">, </w:t>
      </w:r>
      <w:r>
        <w:rPr>
          <w:rFonts w:cs="Arial"/>
          <w:sz w:val="22"/>
          <w:szCs w:val="22"/>
        </w:rPr>
        <w:t xml:space="preserve">the average costs implied by our cost modelling for large and larger companies </w:t>
      </w:r>
      <w:r w:rsidR="00307EC7">
        <w:rPr>
          <w:rFonts w:cs="Arial"/>
          <w:sz w:val="22"/>
          <w:szCs w:val="22"/>
        </w:rPr>
        <w:t>are</w:t>
      </w:r>
      <w:r w:rsidR="003D6897">
        <w:rPr>
          <w:rFonts w:cs="Arial"/>
          <w:sz w:val="22"/>
          <w:szCs w:val="22"/>
        </w:rPr>
        <w:t xml:space="preserve"> compared to</w:t>
      </w:r>
      <w:r>
        <w:rPr>
          <w:rFonts w:cs="Arial"/>
          <w:sz w:val="22"/>
          <w:szCs w:val="22"/>
        </w:rPr>
        <w:t xml:space="preserve"> the </w:t>
      </w:r>
      <w:r w:rsidR="00E51EA6">
        <w:rPr>
          <w:rFonts w:cs="Arial"/>
          <w:sz w:val="22"/>
          <w:szCs w:val="22"/>
        </w:rPr>
        <w:t xml:space="preserve">costs for medium sized organisations of complying </w:t>
      </w:r>
      <w:r w:rsidR="009D03F3">
        <w:rPr>
          <w:rFonts w:cs="Arial"/>
          <w:sz w:val="22"/>
          <w:szCs w:val="22"/>
        </w:rPr>
        <w:t xml:space="preserve">with the failure </w:t>
      </w:r>
      <w:r w:rsidR="003D6897">
        <w:rPr>
          <w:rFonts w:cs="Arial"/>
          <w:sz w:val="22"/>
          <w:szCs w:val="22"/>
        </w:rPr>
        <w:t xml:space="preserve">to prevent bribery </w:t>
      </w:r>
      <w:r w:rsidR="00E10208">
        <w:rPr>
          <w:rFonts w:cs="Arial"/>
          <w:sz w:val="22"/>
          <w:szCs w:val="22"/>
        </w:rPr>
        <w:t xml:space="preserve">offence contained in the research cited earlier. </w:t>
      </w:r>
    </w:p>
    <w:p w14:paraId="57DCDBE1" w14:textId="0D1D86BA" w:rsidR="005705E9" w:rsidRPr="005A6159" w:rsidRDefault="00D542A0" w:rsidP="003F40C2">
      <w:pPr>
        <w:pStyle w:val="ListParagraph"/>
        <w:numPr>
          <w:ilvl w:val="0"/>
          <w:numId w:val="10"/>
        </w:numPr>
        <w:spacing w:after="120" w:line="259" w:lineRule="auto"/>
        <w:ind w:left="567" w:hanging="567"/>
        <w:contextualSpacing w:val="0"/>
        <w:rPr>
          <w:rFonts w:cs="Arial"/>
          <w:sz w:val="22"/>
          <w:szCs w:val="22"/>
        </w:rPr>
      </w:pPr>
      <w:r>
        <w:rPr>
          <w:rFonts w:cs="Arial"/>
          <w:sz w:val="22"/>
          <w:szCs w:val="22"/>
        </w:rPr>
        <w:t>The logic being that the costs</w:t>
      </w:r>
      <w:r w:rsidR="00686730">
        <w:rPr>
          <w:rFonts w:cs="Arial"/>
          <w:sz w:val="22"/>
          <w:szCs w:val="22"/>
        </w:rPr>
        <w:t xml:space="preserve"> in this IA should exceed th</w:t>
      </w:r>
      <w:r w:rsidR="0017189D">
        <w:rPr>
          <w:rFonts w:cs="Arial"/>
          <w:sz w:val="22"/>
          <w:szCs w:val="22"/>
        </w:rPr>
        <w:t>ose identified in the research given that the research finds that costs scale with organisation</w:t>
      </w:r>
      <w:r w:rsidR="00D702AE">
        <w:rPr>
          <w:rFonts w:cs="Arial"/>
          <w:sz w:val="22"/>
          <w:szCs w:val="22"/>
        </w:rPr>
        <w:t>al</w:t>
      </w:r>
      <w:r w:rsidR="0017189D">
        <w:rPr>
          <w:rFonts w:cs="Arial"/>
          <w:sz w:val="22"/>
          <w:szCs w:val="22"/>
        </w:rPr>
        <w:t xml:space="preserve"> size. </w:t>
      </w:r>
    </w:p>
    <w:p w14:paraId="3BBF9633" w14:textId="3B5F9CEC" w:rsidR="008E6447" w:rsidRDefault="008E6447" w:rsidP="005C7432">
      <w:pPr>
        <w:pStyle w:val="ListParagraph"/>
        <w:numPr>
          <w:ilvl w:val="1"/>
          <w:numId w:val="10"/>
        </w:numPr>
        <w:spacing w:after="120" w:line="259" w:lineRule="auto"/>
        <w:ind w:left="1134" w:hanging="425"/>
        <w:contextualSpacing w:val="0"/>
        <w:jc w:val="both"/>
        <w:rPr>
          <w:rFonts w:cs="Arial"/>
          <w:sz w:val="22"/>
          <w:szCs w:val="22"/>
        </w:rPr>
      </w:pPr>
      <w:r>
        <w:rPr>
          <w:rFonts w:cs="Arial"/>
          <w:sz w:val="22"/>
          <w:szCs w:val="22"/>
        </w:rPr>
        <w:t xml:space="preserve">The average </w:t>
      </w:r>
      <w:r w:rsidR="0022401C">
        <w:rPr>
          <w:rFonts w:cs="Arial"/>
          <w:sz w:val="22"/>
          <w:szCs w:val="22"/>
        </w:rPr>
        <w:t xml:space="preserve">per organisation </w:t>
      </w:r>
      <w:r>
        <w:rPr>
          <w:rFonts w:cs="Arial"/>
          <w:sz w:val="22"/>
          <w:szCs w:val="22"/>
        </w:rPr>
        <w:t>costs in the</w:t>
      </w:r>
      <w:r w:rsidR="00334B51">
        <w:rPr>
          <w:rFonts w:cs="Arial"/>
          <w:sz w:val="22"/>
          <w:szCs w:val="22"/>
        </w:rPr>
        <w:t xml:space="preserve"> central scenari</w:t>
      </w:r>
      <w:r w:rsidR="00C87330">
        <w:rPr>
          <w:rFonts w:cs="Arial"/>
          <w:sz w:val="22"/>
          <w:szCs w:val="22"/>
        </w:rPr>
        <w:t>o</w:t>
      </w:r>
      <w:r>
        <w:rPr>
          <w:rFonts w:cs="Arial"/>
          <w:sz w:val="22"/>
          <w:szCs w:val="22"/>
        </w:rPr>
        <w:t xml:space="preserve"> </w:t>
      </w:r>
      <w:r w:rsidR="0022401C">
        <w:rPr>
          <w:rFonts w:cs="Arial"/>
          <w:sz w:val="22"/>
          <w:szCs w:val="22"/>
        </w:rPr>
        <w:t xml:space="preserve">are: </w:t>
      </w:r>
    </w:p>
    <w:p w14:paraId="2A36EF99" w14:textId="0EF43B40" w:rsidR="0022401C" w:rsidRDefault="0022401C" w:rsidP="003F40C2">
      <w:pPr>
        <w:pStyle w:val="ListParagraph"/>
        <w:numPr>
          <w:ilvl w:val="2"/>
          <w:numId w:val="10"/>
        </w:numPr>
        <w:spacing w:after="120" w:line="259" w:lineRule="auto"/>
        <w:ind w:left="1701" w:hanging="425"/>
        <w:contextualSpacing w:val="0"/>
        <w:jc w:val="both"/>
        <w:rPr>
          <w:rFonts w:cs="Arial"/>
          <w:sz w:val="22"/>
          <w:szCs w:val="22"/>
        </w:rPr>
      </w:pPr>
      <w:r>
        <w:rPr>
          <w:rFonts w:cs="Arial"/>
          <w:sz w:val="22"/>
          <w:szCs w:val="22"/>
        </w:rPr>
        <w:t>For large organisations</w:t>
      </w:r>
      <w:r w:rsidR="007D74C4">
        <w:rPr>
          <w:rFonts w:cs="Arial"/>
          <w:sz w:val="22"/>
          <w:szCs w:val="22"/>
        </w:rPr>
        <w:t>,</w:t>
      </w:r>
      <w:r>
        <w:rPr>
          <w:rFonts w:cs="Arial"/>
          <w:sz w:val="22"/>
          <w:szCs w:val="22"/>
        </w:rPr>
        <w:t xml:space="preserve"> set up costs are </w:t>
      </w:r>
      <w:r w:rsidR="00822AAA">
        <w:rPr>
          <w:rFonts w:cs="Arial"/>
          <w:sz w:val="22"/>
          <w:szCs w:val="22"/>
        </w:rPr>
        <w:t>around</w:t>
      </w:r>
      <w:r>
        <w:rPr>
          <w:rFonts w:cs="Arial"/>
          <w:sz w:val="22"/>
          <w:szCs w:val="22"/>
        </w:rPr>
        <w:t xml:space="preserve"> </w:t>
      </w:r>
      <w:r w:rsidR="00584C40">
        <w:rPr>
          <w:rFonts w:cs="Arial"/>
          <w:sz w:val="22"/>
          <w:szCs w:val="22"/>
        </w:rPr>
        <w:t>£8,</w:t>
      </w:r>
      <w:r w:rsidR="007B5C60">
        <w:rPr>
          <w:rFonts w:cs="Arial"/>
          <w:sz w:val="22"/>
          <w:szCs w:val="22"/>
        </w:rPr>
        <w:t>500</w:t>
      </w:r>
      <w:r w:rsidR="00584C40">
        <w:rPr>
          <w:rFonts w:cs="Arial"/>
          <w:sz w:val="22"/>
          <w:szCs w:val="22"/>
        </w:rPr>
        <w:t xml:space="preserve"> </w:t>
      </w:r>
      <w:r w:rsidR="00C60014">
        <w:rPr>
          <w:rFonts w:cs="Arial"/>
          <w:sz w:val="22"/>
          <w:szCs w:val="22"/>
        </w:rPr>
        <w:t>(2024 prices)</w:t>
      </w:r>
      <w:r w:rsidR="00584C40">
        <w:rPr>
          <w:rFonts w:cs="Arial"/>
          <w:sz w:val="22"/>
          <w:szCs w:val="22"/>
        </w:rPr>
        <w:t xml:space="preserve"> and on-going costs are </w:t>
      </w:r>
      <w:r w:rsidR="007D74C4">
        <w:rPr>
          <w:rFonts w:cs="Arial"/>
          <w:sz w:val="22"/>
          <w:szCs w:val="22"/>
        </w:rPr>
        <w:t>£9</w:t>
      </w:r>
      <w:r w:rsidR="007B5C60">
        <w:rPr>
          <w:rFonts w:cs="Arial"/>
          <w:sz w:val="22"/>
          <w:szCs w:val="22"/>
        </w:rPr>
        <w:t>00</w:t>
      </w:r>
      <w:r w:rsidR="001D32D1">
        <w:rPr>
          <w:rFonts w:cs="Arial"/>
          <w:sz w:val="22"/>
          <w:szCs w:val="22"/>
        </w:rPr>
        <w:t xml:space="preserve"> </w:t>
      </w:r>
      <w:r w:rsidR="00C60014">
        <w:rPr>
          <w:rFonts w:cs="Arial"/>
          <w:sz w:val="22"/>
          <w:szCs w:val="22"/>
        </w:rPr>
        <w:t xml:space="preserve">(2024 prices) </w:t>
      </w:r>
      <w:r w:rsidR="001D32D1">
        <w:rPr>
          <w:rFonts w:cs="Arial"/>
          <w:sz w:val="22"/>
          <w:szCs w:val="22"/>
        </w:rPr>
        <w:t>per annum</w:t>
      </w:r>
      <w:r w:rsidR="007D74C4">
        <w:rPr>
          <w:rFonts w:cs="Arial"/>
          <w:sz w:val="22"/>
          <w:szCs w:val="22"/>
        </w:rPr>
        <w:t xml:space="preserve"> </w:t>
      </w:r>
      <w:r w:rsidR="00584C40">
        <w:rPr>
          <w:rFonts w:cs="Arial"/>
          <w:sz w:val="22"/>
          <w:szCs w:val="22"/>
        </w:rPr>
        <w:t xml:space="preserve">in the central </w:t>
      </w:r>
      <w:r w:rsidR="006F05BC">
        <w:rPr>
          <w:rFonts w:cs="Arial"/>
          <w:sz w:val="22"/>
          <w:szCs w:val="22"/>
        </w:rPr>
        <w:t>scenario.</w:t>
      </w:r>
    </w:p>
    <w:p w14:paraId="00AFC7E8" w14:textId="6D0C20D7" w:rsidR="007D74C4" w:rsidRDefault="007D74C4" w:rsidP="003F40C2">
      <w:pPr>
        <w:pStyle w:val="ListParagraph"/>
        <w:numPr>
          <w:ilvl w:val="2"/>
          <w:numId w:val="10"/>
        </w:numPr>
        <w:spacing w:after="120" w:line="259" w:lineRule="auto"/>
        <w:ind w:left="1701" w:hanging="425"/>
        <w:contextualSpacing w:val="0"/>
        <w:jc w:val="both"/>
        <w:rPr>
          <w:rFonts w:cs="Arial"/>
          <w:sz w:val="22"/>
          <w:szCs w:val="22"/>
        </w:rPr>
      </w:pPr>
      <w:r>
        <w:rPr>
          <w:rFonts w:cs="Arial"/>
          <w:sz w:val="22"/>
          <w:szCs w:val="22"/>
        </w:rPr>
        <w:t xml:space="preserve">For </w:t>
      </w:r>
      <w:r w:rsidR="006F05BC">
        <w:rPr>
          <w:rFonts w:cs="Arial"/>
          <w:sz w:val="22"/>
          <w:szCs w:val="22"/>
        </w:rPr>
        <w:t xml:space="preserve">the </w:t>
      </w:r>
      <w:r>
        <w:rPr>
          <w:rFonts w:cs="Arial"/>
          <w:sz w:val="22"/>
          <w:szCs w:val="22"/>
        </w:rPr>
        <w:t>largest organisations, set up costs are £</w:t>
      </w:r>
      <w:r w:rsidR="009B16C0">
        <w:rPr>
          <w:rFonts w:cs="Arial"/>
          <w:sz w:val="22"/>
          <w:szCs w:val="22"/>
        </w:rPr>
        <w:t>30</w:t>
      </w:r>
      <w:r w:rsidR="006F05BC">
        <w:rPr>
          <w:rFonts w:cs="Arial"/>
          <w:sz w:val="22"/>
          <w:szCs w:val="22"/>
        </w:rPr>
        <w:t>,</w:t>
      </w:r>
      <w:r w:rsidR="007B5C60">
        <w:rPr>
          <w:rFonts w:cs="Arial"/>
          <w:sz w:val="22"/>
          <w:szCs w:val="22"/>
        </w:rPr>
        <w:t>1</w:t>
      </w:r>
      <w:r w:rsidR="009B16C0">
        <w:rPr>
          <w:rFonts w:cs="Arial"/>
          <w:sz w:val="22"/>
          <w:szCs w:val="22"/>
        </w:rPr>
        <w:t>0</w:t>
      </w:r>
      <w:r w:rsidR="006F05BC">
        <w:rPr>
          <w:rFonts w:cs="Arial"/>
          <w:sz w:val="22"/>
          <w:szCs w:val="22"/>
        </w:rPr>
        <w:t>0</w:t>
      </w:r>
      <w:r>
        <w:rPr>
          <w:rFonts w:cs="Arial"/>
          <w:sz w:val="22"/>
          <w:szCs w:val="22"/>
        </w:rPr>
        <w:t xml:space="preserve"> and on-going costs are £</w:t>
      </w:r>
      <w:r w:rsidR="006F05BC">
        <w:rPr>
          <w:rFonts w:cs="Arial"/>
          <w:sz w:val="22"/>
          <w:szCs w:val="22"/>
        </w:rPr>
        <w:t>3,</w:t>
      </w:r>
      <w:r w:rsidR="00822AAA">
        <w:rPr>
          <w:rFonts w:cs="Arial"/>
          <w:sz w:val="22"/>
          <w:szCs w:val="22"/>
        </w:rPr>
        <w:t>1</w:t>
      </w:r>
      <w:r w:rsidR="006F05BC">
        <w:rPr>
          <w:rFonts w:cs="Arial"/>
          <w:sz w:val="22"/>
          <w:szCs w:val="22"/>
        </w:rPr>
        <w:t>0</w:t>
      </w:r>
      <w:r>
        <w:rPr>
          <w:rFonts w:cs="Arial"/>
          <w:sz w:val="22"/>
          <w:szCs w:val="22"/>
        </w:rPr>
        <w:t xml:space="preserve">0 in the central </w:t>
      </w:r>
      <w:r w:rsidR="006F05BC">
        <w:rPr>
          <w:rFonts w:cs="Arial"/>
          <w:sz w:val="22"/>
          <w:szCs w:val="22"/>
        </w:rPr>
        <w:t>scenario. The higher costs reflect the</w:t>
      </w:r>
      <w:r w:rsidR="00D5544D">
        <w:rPr>
          <w:rFonts w:cs="Arial"/>
          <w:sz w:val="22"/>
          <w:szCs w:val="22"/>
        </w:rPr>
        <w:t xml:space="preserve"> fact that the largest organisations – those with more than 500 employees – account for a substantial proportion of UK employment</w:t>
      </w:r>
      <w:r w:rsidR="00D5544D">
        <w:rPr>
          <w:rStyle w:val="FootnoteReference"/>
          <w:szCs w:val="22"/>
        </w:rPr>
        <w:footnoteReference w:id="68"/>
      </w:r>
      <w:r w:rsidR="00D5544D">
        <w:rPr>
          <w:rFonts w:cs="Arial"/>
          <w:sz w:val="22"/>
          <w:szCs w:val="22"/>
        </w:rPr>
        <w:t xml:space="preserve">. </w:t>
      </w:r>
    </w:p>
    <w:p w14:paraId="6FDA4DDC" w14:textId="40C63775" w:rsidR="00BF466F" w:rsidRDefault="002A5FC2" w:rsidP="003F40C2">
      <w:pPr>
        <w:pStyle w:val="ListParagraph"/>
        <w:numPr>
          <w:ilvl w:val="1"/>
          <w:numId w:val="10"/>
        </w:numPr>
        <w:spacing w:after="120" w:line="259" w:lineRule="auto"/>
        <w:ind w:left="1134" w:hanging="425"/>
        <w:contextualSpacing w:val="0"/>
        <w:jc w:val="both"/>
        <w:rPr>
          <w:rFonts w:cs="Arial"/>
          <w:sz w:val="22"/>
          <w:szCs w:val="22"/>
        </w:rPr>
      </w:pPr>
      <w:r>
        <w:rPr>
          <w:rFonts w:cs="Arial"/>
          <w:sz w:val="22"/>
          <w:szCs w:val="22"/>
        </w:rPr>
        <w:t>In the research</w:t>
      </w:r>
      <w:r w:rsidR="00DA5202">
        <w:rPr>
          <w:rFonts w:cs="Arial"/>
          <w:sz w:val="22"/>
          <w:szCs w:val="22"/>
        </w:rPr>
        <w:t xml:space="preserve"> on the failure to prevent bribery offence </w:t>
      </w:r>
      <w:r w:rsidR="005F30D2">
        <w:rPr>
          <w:rStyle w:val="FootnoteReference"/>
          <w:szCs w:val="22"/>
        </w:rPr>
        <w:footnoteReference w:id="69"/>
      </w:r>
      <w:r>
        <w:rPr>
          <w:rFonts w:cs="Arial"/>
          <w:sz w:val="22"/>
          <w:szCs w:val="22"/>
        </w:rPr>
        <w:t xml:space="preserve">, medium organisations reported that </w:t>
      </w:r>
      <w:r w:rsidR="00BA5F63">
        <w:rPr>
          <w:rFonts w:cs="Arial"/>
          <w:sz w:val="22"/>
          <w:szCs w:val="22"/>
        </w:rPr>
        <w:t>the costs incurred to date, which we took to be a proxy for set up costs</w:t>
      </w:r>
      <w:r w:rsidR="00BA5F63">
        <w:rPr>
          <w:rStyle w:val="FootnoteReference"/>
          <w:szCs w:val="22"/>
        </w:rPr>
        <w:footnoteReference w:id="70"/>
      </w:r>
      <w:r w:rsidR="00BA5F63">
        <w:rPr>
          <w:rFonts w:cs="Arial"/>
          <w:sz w:val="22"/>
          <w:szCs w:val="22"/>
        </w:rPr>
        <w:t>, of around £4,600 (£5,</w:t>
      </w:r>
      <w:r w:rsidR="00AA070E">
        <w:rPr>
          <w:rFonts w:cs="Arial"/>
          <w:sz w:val="22"/>
          <w:szCs w:val="22"/>
        </w:rPr>
        <w:t>92</w:t>
      </w:r>
      <w:r w:rsidR="00BA5F63">
        <w:rPr>
          <w:rFonts w:cs="Arial"/>
          <w:sz w:val="22"/>
          <w:szCs w:val="22"/>
        </w:rPr>
        <w:t xml:space="preserve">0 PY2024). With the </w:t>
      </w:r>
      <w:r>
        <w:rPr>
          <w:rFonts w:cs="Arial"/>
          <w:sz w:val="22"/>
          <w:szCs w:val="22"/>
        </w:rPr>
        <w:t xml:space="preserve">mean annual costs </w:t>
      </w:r>
      <w:r w:rsidR="006E0202">
        <w:rPr>
          <w:rFonts w:cs="Arial"/>
          <w:sz w:val="22"/>
          <w:szCs w:val="22"/>
        </w:rPr>
        <w:t xml:space="preserve">of </w:t>
      </w:r>
      <w:r w:rsidR="00DF35AF">
        <w:rPr>
          <w:rFonts w:cs="Arial"/>
          <w:sz w:val="22"/>
          <w:szCs w:val="22"/>
        </w:rPr>
        <w:t>bribery prevention procedures</w:t>
      </w:r>
      <w:r w:rsidR="00DF35AF">
        <w:rPr>
          <w:rStyle w:val="FootnoteReference"/>
          <w:szCs w:val="22"/>
        </w:rPr>
        <w:footnoteReference w:id="71"/>
      </w:r>
      <w:r w:rsidR="00DF35AF">
        <w:rPr>
          <w:rFonts w:cs="Arial"/>
          <w:sz w:val="22"/>
          <w:szCs w:val="22"/>
        </w:rPr>
        <w:t xml:space="preserve"> </w:t>
      </w:r>
      <w:r w:rsidR="00BA5F63">
        <w:rPr>
          <w:rFonts w:cs="Arial"/>
          <w:sz w:val="22"/>
          <w:szCs w:val="22"/>
        </w:rPr>
        <w:t>being</w:t>
      </w:r>
      <w:r>
        <w:rPr>
          <w:rFonts w:cs="Arial"/>
          <w:sz w:val="22"/>
          <w:szCs w:val="22"/>
        </w:rPr>
        <w:t xml:space="preserve"> </w:t>
      </w:r>
      <w:r w:rsidR="006E0202">
        <w:rPr>
          <w:rFonts w:cs="Arial"/>
          <w:sz w:val="22"/>
          <w:szCs w:val="22"/>
        </w:rPr>
        <w:t>almost £2</w:t>
      </w:r>
      <w:r w:rsidR="00DF35AF">
        <w:rPr>
          <w:rFonts w:cs="Arial"/>
          <w:sz w:val="22"/>
          <w:szCs w:val="22"/>
        </w:rPr>
        <w:t>,</w:t>
      </w:r>
      <w:r w:rsidR="006E0202">
        <w:rPr>
          <w:rFonts w:cs="Arial"/>
          <w:sz w:val="22"/>
          <w:szCs w:val="22"/>
        </w:rPr>
        <w:t>000</w:t>
      </w:r>
      <w:r w:rsidR="00C06F97">
        <w:rPr>
          <w:rFonts w:cs="Arial"/>
          <w:sz w:val="22"/>
          <w:szCs w:val="22"/>
        </w:rPr>
        <w:t xml:space="preserve"> (£2,</w:t>
      </w:r>
      <w:r w:rsidR="00AA070E">
        <w:rPr>
          <w:rFonts w:cs="Arial"/>
          <w:sz w:val="22"/>
          <w:szCs w:val="22"/>
        </w:rPr>
        <w:t>570</w:t>
      </w:r>
      <w:r w:rsidR="00C06F97">
        <w:rPr>
          <w:rFonts w:cs="Arial"/>
          <w:sz w:val="22"/>
          <w:szCs w:val="22"/>
        </w:rPr>
        <w:t xml:space="preserve"> in PY2024)</w:t>
      </w:r>
      <w:r w:rsidR="00BA5F63">
        <w:rPr>
          <w:rFonts w:cs="Arial"/>
          <w:sz w:val="22"/>
          <w:szCs w:val="22"/>
        </w:rPr>
        <w:t>.</w:t>
      </w:r>
      <w:r w:rsidR="00BA5F63" w:rsidDel="00BA5F63">
        <w:rPr>
          <w:rFonts w:cs="Arial"/>
          <w:sz w:val="22"/>
          <w:szCs w:val="22"/>
        </w:rPr>
        <w:t xml:space="preserve"> </w:t>
      </w:r>
    </w:p>
    <w:p w14:paraId="4DCFCA62" w14:textId="3042894B" w:rsidR="0042766D" w:rsidRDefault="00FA4ED8" w:rsidP="003F40C2">
      <w:pPr>
        <w:pStyle w:val="ListParagraph"/>
        <w:numPr>
          <w:ilvl w:val="1"/>
          <w:numId w:val="10"/>
        </w:numPr>
        <w:spacing w:after="120" w:line="259" w:lineRule="auto"/>
        <w:ind w:left="1134" w:hanging="425"/>
        <w:contextualSpacing w:val="0"/>
        <w:jc w:val="both"/>
        <w:rPr>
          <w:rFonts w:cs="Arial"/>
          <w:sz w:val="22"/>
          <w:szCs w:val="22"/>
        </w:rPr>
      </w:pPr>
      <w:r>
        <w:rPr>
          <w:rFonts w:cs="Arial"/>
          <w:sz w:val="22"/>
          <w:szCs w:val="22"/>
        </w:rPr>
        <w:t>This comparison suggests that</w:t>
      </w:r>
      <w:r w:rsidR="00DA5202">
        <w:rPr>
          <w:rFonts w:cs="Arial"/>
          <w:sz w:val="22"/>
          <w:szCs w:val="22"/>
        </w:rPr>
        <w:t xml:space="preserve"> estimated</w:t>
      </w:r>
      <w:r>
        <w:rPr>
          <w:rFonts w:cs="Arial"/>
          <w:sz w:val="22"/>
          <w:szCs w:val="22"/>
        </w:rPr>
        <w:t xml:space="preserve"> </w:t>
      </w:r>
      <w:r w:rsidR="00B933C4" w:rsidRPr="00184450">
        <w:rPr>
          <w:rFonts w:cs="Arial"/>
          <w:b/>
          <w:sz w:val="22"/>
          <w:szCs w:val="22"/>
        </w:rPr>
        <w:t>set up costs</w:t>
      </w:r>
      <w:r w:rsidR="00205D22">
        <w:rPr>
          <w:rFonts w:cs="Arial"/>
          <w:b/>
          <w:sz w:val="22"/>
          <w:szCs w:val="22"/>
        </w:rPr>
        <w:t xml:space="preserve"> are</w:t>
      </w:r>
      <w:r w:rsidR="00B933C4">
        <w:rPr>
          <w:rFonts w:cs="Arial"/>
          <w:sz w:val="22"/>
          <w:szCs w:val="22"/>
        </w:rPr>
        <w:t xml:space="preserve"> higher for large and largest </w:t>
      </w:r>
      <w:r w:rsidR="00CC4DD1">
        <w:rPr>
          <w:rFonts w:cs="Arial"/>
          <w:sz w:val="22"/>
          <w:szCs w:val="22"/>
        </w:rPr>
        <w:t>organisations</w:t>
      </w:r>
      <w:r w:rsidR="00DA5202">
        <w:rPr>
          <w:rFonts w:cs="Arial"/>
          <w:sz w:val="22"/>
          <w:szCs w:val="22"/>
        </w:rPr>
        <w:t xml:space="preserve"> than for medium </w:t>
      </w:r>
      <w:r w:rsidR="00E65EE5">
        <w:rPr>
          <w:rFonts w:cs="Arial"/>
          <w:sz w:val="22"/>
          <w:szCs w:val="22"/>
        </w:rPr>
        <w:t>businesses in the research.</w:t>
      </w:r>
      <w:r w:rsidR="003377A2">
        <w:rPr>
          <w:rFonts w:cs="Arial"/>
          <w:sz w:val="22"/>
          <w:szCs w:val="22"/>
        </w:rPr>
        <w:t xml:space="preserve"> </w:t>
      </w:r>
      <w:r w:rsidR="00E65EE5">
        <w:rPr>
          <w:rFonts w:cs="Arial"/>
          <w:sz w:val="22"/>
          <w:szCs w:val="22"/>
        </w:rPr>
        <w:t>This is</w:t>
      </w:r>
      <w:r w:rsidR="003377A2">
        <w:rPr>
          <w:rFonts w:cs="Arial"/>
          <w:sz w:val="22"/>
          <w:szCs w:val="22"/>
        </w:rPr>
        <w:t xml:space="preserve"> explainable given that training accounts for a high share of the costs for the largest</w:t>
      </w:r>
      <w:r w:rsidR="00D507C4">
        <w:rPr>
          <w:rFonts w:cs="Arial"/>
          <w:sz w:val="22"/>
          <w:szCs w:val="22"/>
        </w:rPr>
        <w:t xml:space="preserve"> organisations and that employment is disproportionately concentrated in the largest organisations. </w:t>
      </w:r>
      <w:r w:rsidR="002F1874">
        <w:rPr>
          <w:rFonts w:cs="Arial"/>
          <w:sz w:val="22"/>
          <w:szCs w:val="22"/>
        </w:rPr>
        <w:t xml:space="preserve">These will therefore have much higher costs per organisation given that costs partly scale with </w:t>
      </w:r>
      <w:r w:rsidR="00334B51">
        <w:rPr>
          <w:rFonts w:cs="Arial"/>
          <w:sz w:val="22"/>
          <w:szCs w:val="22"/>
        </w:rPr>
        <w:t>employment.</w:t>
      </w:r>
    </w:p>
    <w:p w14:paraId="5CE09B87" w14:textId="0399C6E2" w:rsidR="0048678A" w:rsidRDefault="00334B51" w:rsidP="003F40C2">
      <w:pPr>
        <w:pStyle w:val="ListParagraph"/>
        <w:numPr>
          <w:ilvl w:val="1"/>
          <w:numId w:val="10"/>
        </w:numPr>
        <w:spacing w:after="120" w:line="259" w:lineRule="auto"/>
        <w:ind w:left="1083" w:hanging="425"/>
        <w:contextualSpacing w:val="0"/>
        <w:jc w:val="both"/>
        <w:rPr>
          <w:rFonts w:cs="Arial"/>
          <w:sz w:val="22"/>
          <w:szCs w:val="22"/>
        </w:rPr>
      </w:pPr>
      <w:r>
        <w:rPr>
          <w:rFonts w:cs="Arial"/>
          <w:sz w:val="22"/>
          <w:szCs w:val="22"/>
        </w:rPr>
        <w:lastRenderedPageBreak/>
        <w:t xml:space="preserve">On-going costs </w:t>
      </w:r>
      <w:r w:rsidR="001076DA">
        <w:rPr>
          <w:rFonts w:cs="Arial"/>
          <w:sz w:val="22"/>
          <w:szCs w:val="22"/>
        </w:rPr>
        <w:t xml:space="preserve">for large organisations are less than the research </w:t>
      </w:r>
      <w:r w:rsidR="00CF24A0">
        <w:rPr>
          <w:rFonts w:cs="Arial"/>
          <w:sz w:val="22"/>
          <w:szCs w:val="22"/>
        </w:rPr>
        <w:t xml:space="preserve">suggests for medium organisations; </w:t>
      </w:r>
      <w:r w:rsidR="000971B6">
        <w:rPr>
          <w:rFonts w:cs="Arial"/>
          <w:sz w:val="22"/>
          <w:szCs w:val="22"/>
        </w:rPr>
        <w:t>however,</w:t>
      </w:r>
      <w:r w:rsidR="00CF24A0">
        <w:rPr>
          <w:rFonts w:cs="Arial"/>
          <w:sz w:val="22"/>
          <w:szCs w:val="22"/>
        </w:rPr>
        <w:t xml:space="preserve"> average costs for the largest organisations</w:t>
      </w:r>
      <w:r w:rsidR="000971B6">
        <w:rPr>
          <w:rFonts w:cs="Arial"/>
          <w:sz w:val="22"/>
          <w:szCs w:val="22"/>
        </w:rPr>
        <w:t xml:space="preserve"> are </w:t>
      </w:r>
      <w:r w:rsidR="00CF24A0">
        <w:rPr>
          <w:rFonts w:cs="Arial"/>
          <w:sz w:val="22"/>
          <w:szCs w:val="22"/>
        </w:rPr>
        <w:t>higher</w:t>
      </w:r>
      <w:r w:rsidR="000971B6">
        <w:rPr>
          <w:rFonts w:cs="Arial"/>
          <w:sz w:val="22"/>
          <w:szCs w:val="22"/>
        </w:rPr>
        <w:t xml:space="preserve"> but </w:t>
      </w:r>
      <w:r w:rsidR="00B4618E">
        <w:rPr>
          <w:rFonts w:cs="Arial"/>
          <w:sz w:val="22"/>
          <w:szCs w:val="22"/>
        </w:rPr>
        <w:t xml:space="preserve">are perhaps not as high as might be expected. </w:t>
      </w:r>
      <w:r w:rsidR="00011A0C">
        <w:rPr>
          <w:rFonts w:cs="Arial"/>
          <w:sz w:val="22"/>
          <w:szCs w:val="22"/>
        </w:rPr>
        <w:t>This suggest</w:t>
      </w:r>
      <w:r w:rsidR="008C48DB">
        <w:rPr>
          <w:rFonts w:cs="Arial"/>
          <w:sz w:val="22"/>
          <w:szCs w:val="22"/>
        </w:rPr>
        <w:t>s</w:t>
      </w:r>
      <w:r w:rsidR="00011A0C">
        <w:rPr>
          <w:rFonts w:cs="Arial"/>
          <w:sz w:val="22"/>
          <w:szCs w:val="22"/>
        </w:rPr>
        <w:t xml:space="preserve"> that the </w:t>
      </w:r>
      <w:r w:rsidR="00953F21">
        <w:rPr>
          <w:rFonts w:cs="Arial"/>
          <w:sz w:val="22"/>
          <w:szCs w:val="22"/>
        </w:rPr>
        <w:t xml:space="preserve">on-going costs </w:t>
      </w:r>
      <w:r w:rsidR="00862EA6">
        <w:rPr>
          <w:rFonts w:cs="Arial"/>
          <w:sz w:val="22"/>
          <w:szCs w:val="22"/>
        </w:rPr>
        <w:t xml:space="preserve">in this IA </w:t>
      </w:r>
      <w:r w:rsidR="000971B6">
        <w:rPr>
          <w:rFonts w:cs="Arial"/>
          <w:sz w:val="22"/>
          <w:szCs w:val="22"/>
        </w:rPr>
        <w:t xml:space="preserve">could be </w:t>
      </w:r>
      <w:r w:rsidR="00862EA6">
        <w:rPr>
          <w:rFonts w:cs="Arial"/>
          <w:sz w:val="22"/>
          <w:szCs w:val="22"/>
        </w:rPr>
        <w:t>underestimating</w:t>
      </w:r>
      <w:r w:rsidR="000971B6">
        <w:rPr>
          <w:rFonts w:cs="Arial"/>
          <w:sz w:val="22"/>
          <w:szCs w:val="22"/>
        </w:rPr>
        <w:t xml:space="preserve"> </w:t>
      </w:r>
      <w:r w:rsidR="008C48DB">
        <w:rPr>
          <w:rFonts w:cs="Arial"/>
          <w:sz w:val="22"/>
          <w:szCs w:val="22"/>
        </w:rPr>
        <w:t>for</w:t>
      </w:r>
      <w:r w:rsidR="000971B6">
        <w:rPr>
          <w:rFonts w:cs="Arial"/>
          <w:sz w:val="22"/>
          <w:szCs w:val="22"/>
        </w:rPr>
        <w:t xml:space="preserve"> </w:t>
      </w:r>
      <w:r w:rsidR="008C48DB">
        <w:rPr>
          <w:rFonts w:cs="Arial"/>
          <w:sz w:val="22"/>
          <w:szCs w:val="22"/>
        </w:rPr>
        <w:t>large business</w:t>
      </w:r>
      <w:r w:rsidR="000971B6">
        <w:rPr>
          <w:rFonts w:cs="Arial"/>
          <w:sz w:val="22"/>
          <w:szCs w:val="22"/>
        </w:rPr>
        <w:t>. There</w:t>
      </w:r>
      <w:r w:rsidR="00D437B6">
        <w:rPr>
          <w:rFonts w:cs="Arial"/>
          <w:sz w:val="22"/>
          <w:szCs w:val="22"/>
        </w:rPr>
        <w:t xml:space="preserve"> is a possibility that is this is partly explained by the increase in average UK job tenure since </w:t>
      </w:r>
      <w:r w:rsidR="00E051B7">
        <w:rPr>
          <w:rFonts w:cs="Arial"/>
          <w:sz w:val="22"/>
          <w:szCs w:val="22"/>
        </w:rPr>
        <w:t>the research was undertaken</w:t>
      </w:r>
      <w:r w:rsidR="005F0ACA">
        <w:rPr>
          <w:rStyle w:val="FootnoteReference"/>
          <w:szCs w:val="22"/>
        </w:rPr>
        <w:footnoteReference w:id="72"/>
      </w:r>
      <w:r w:rsidR="00E051B7">
        <w:rPr>
          <w:rFonts w:cs="Arial"/>
          <w:sz w:val="22"/>
          <w:szCs w:val="22"/>
        </w:rPr>
        <w:t xml:space="preserve">. </w:t>
      </w:r>
      <w:r w:rsidR="005F0ACA">
        <w:rPr>
          <w:rFonts w:cs="Arial"/>
          <w:sz w:val="22"/>
          <w:szCs w:val="22"/>
        </w:rPr>
        <w:t>However, this</w:t>
      </w:r>
      <w:r w:rsidR="002105E5">
        <w:rPr>
          <w:rFonts w:cs="Arial"/>
          <w:sz w:val="22"/>
          <w:szCs w:val="22"/>
        </w:rPr>
        <w:t xml:space="preserve"> is unlikely to explain the whole difference. Consequently, the </w:t>
      </w:r>
      <w:r w:rsidR="005717A9">
        <w:rPr>
          <w:rFonts w:cs="Arial"/>
          <w:sz w:val="22"/>
          <w:szCs w:val="22"/>
        </w:rPr>
        <w:t>scale</w:t>
      </w:r>
      <w:r w:rsidR="000A6C67">
        <w:rPr>
          <w:rFonts w:cs="Arial"/>
          <w:sz w:val="22"/>
          <w:szCs w:val="22"/>
        </w:rPr>
        <w:t xml:space="preserve"> of ongoing costs incurred by organisations will be directly </w:t>
      </w:r>
      <w:r w:rsidR="005717A9">
        <w:rPr>
          <w:rFonts w:cs="Arial"/>
          <w:sz w:val="22"/>
          <w:szCs w:val="22"/>
        </w:rPr>
        <w:t>considered as an evaluation question in the post implementation review.</w:t>
      </w:r>
    </w:p>
    <w:p w14:paraId="748801A8" w14:textId="094436C5" w:rsidR="00334B51" w:rsidRPr="0048678A" w:rsidRDefault="00C87CA1" w:rsidP="003F40C2">
      <w:pPr>
        <w:pStyle w:val="ListParagraph"/>
        <w:numPr>
          <w:ilvl w:val="1"/>
          <w:numId w:val="10"/>
        </w:numPr>
        <w:spacing w:after="120" w:line="259" w:lineRule="auto"/>
        <w:ind w:left="1083" w:hanging="425"/>
        <w:contextualSpacing w:val="0"/>
        <w:jc w:val="both"/>
        <w:rPr>
          <w:rFonts w:cs="Arial"/>
          <w:sz w:val="22"/>
          <w:szCs w:val="22"/>
        </w:rPr>
      </w:pPr>
      <w:r>
        <w:rPr>
          <w:rFonts w:cs="Arial"/>
          <w:sz w:val="22"/>
          <w:szCs w:val="22"/>
        </w:rPr>
        <w:t>Notwithstanding</w:t>
      </w:r>
      <w:r w:rsidR="0048678A">
        <w:rPr>
          <w:rFonts w:cs="Arial"/>
          <w:sz w:val="22"/>
          <w:szCs w:val="22"/>
        </w:rPr>
        <w:t xml:space="preserve"> this, g</w:t>
      </w:r>
      <w:r w:rsidR="009F33B6" w:rsidRPr="003F40C2">
        <w:rPr>
          <w:rFonts w:cs="Arial"/>
          <w:sz w:val="22"/>
          <w:szCs w:val="22"/>
        </w:rPr>
        <w:t>iven</w:t>
      </w:r>
      <w:r w:rsidR="009F33B6" w:rsidRPr="000A2E89">
        <w:rPr>
          <w:rFonts w:cs="Arial"/>
          <w:sz w:val="22"/>
          <w:szCs w:val="22"/>
        </w:rPr>
        <w:t xml:space="preserve"> the absence of information to work from in assessing the costs to large</w:t>
      </w:r>
      <w:r w:rsidR="001B482A" w:rsidRPr="000A2E89">
        <w:rPr>
          <w:rFonts w:cs="Arial"/>
          <w:sz w:val="22"/>
          <w:szCs w:val="22"/>
        </w:rPr>
        <w:t xml:space="preserve"> </w:t>
      </w:r>
      <w:r w:rsidR="001B482A" w:rsidRPr="003F40C2">
        <w:rPr>
          <w:rFonts w:cs="Arial"/>
          <w:sz w:val="22"/>
          <w:szCs w:val="22"/>
        </w:rPr>
        <w:t xml:space="preserve">and largest </w:t>
      </w:r>
      <w:r w:rsidR="009F33B6" w:rsidRPr="000A2E89">
        <w:rPr>
          <w:rFonts w:cs="Arial"/>
          <w:sz w:val="22"/>
          <w:szCs w:val="22"/>
        </w:rPr>
        <w:t>organisations</w:t>
      </w:r>
      <w:r w:rsidR="00A0464B" w:rsidRPr="000A2E89">
        <w:rPr>
          <w:rFonts w:cs="Arial"/>
          <w:sz w:val="22"/>
          <w:szCs w:val="22"/>
        </w:rPr>
        <w:t>,</w:t>
      </w:r>
      <w:r w:rsidR="009F33B6" w:rsidRPr="000A2E89">
        <w:rPr>
          <w:rFonts w:cs="Arial"/>
          <w:sz w:val="22"/>
          <w:szCs w:val="22"/>
        </w:rPr>
        <w:t xml:space="preserve"> this analysis suggests that</w:t>
      </w:r>
      <w:r w:rsidR="009A4B19" w:rsidRPr="000A2E89">
        <w:rPr>
          <w:rFonts w:cs="Arial"/>
          <w:sz w:val="22"/>
          <w:szCs w:val="22"/>
        </w:rPr>
        <w:t xml:space="preserve"> the IA cost estimates are </w:t>
      </w:r>
      <w:r w:rsidR="00C724AE" w:rsidRPr="000A2E89">
        <w:rPr>
          <w:rFonts w:cs="Arial"/>
          <w:sz w:val="22"/>
          <w:szCs w:val="22"/>
        </w:rPr>
        <w:t xml:space="preserve">a </w:t>
      </w:r>
      <w:r w:rsidR="00E473C7" w:rsidRPr="003F40C2">
        <w:rPr>
          <w:rFonts w:cs="Arial"/>
          <w:sz w:val="22"/>
          <w:szCs w:val="22"/>
        </w:rPr>
        <w:t>mostly</w:t>
      </w:r>
      <w:r w:rsidR="008F078E" w:rsidRPr="003F40C2">
        <w:rPr>
          <w:rFonts w:cs="Arial"/>
          <w:sz w:val="22"/>
          <w:szCs w:val="22"/>
        </w:rPr>
        <w:t xml:space="preserve"> </w:t>
      </w:r>
      <w:r w:rsidR="00C724AE" w:rsidRPr="000A2E89">
        <w:rPr>
          <w:rFonts w:cs="Arial"/>
          <w:sz w:val="22"/>
          <w:szCs w:val="22"/>
        </w:rPr>
        <w:t>reasonable attempt to capture the cost implications of this policy.</w:t>
      </w:r>
      <w:r w:rsidR="0048678A">
        <w:rPr>
          <w:rFonts w:cs="Arial"/>
          <w:sz w:val="22"/>
          <w:szCs w:val="22"/>
        </w:rPr>
        <w:t xml:space="preserve"> </w:t>
      </w:r>
      <w:r w:rsidR="00800B43" w:rsidRPr="0048678A">
        <w:rPr>
          <w:rFonts w:cs="Arial"/>
          <w:sz w:val="22"/>
          <w:szCs w:val="22"/>
        </w:rPr>
        <w:t>However,</w:t>
      </w:r>
      <w:r w:rsidR="00C37AD7" w:rsidRPr="0048678A">
        <w:rPr>
          <w:rFonts w:cs="Arial"/>
          <w:sz w:val="22"/>
          <w:szCs w:val="22"/>
        </w:rPr>
        <w:t xml:space="preserve"> </w:t>
      </w:r>
      <w:r>
        <w:rPr>
          <w:rFonts w:cs="Arial"/>
          <w:sz w:val="22"/>
          <w:szCs w:val="22"/>
        </w:rPr>
        <w:t>the comparison</w:t>
      </w:r>
      <w:r w:rsidR="00C37AD7" w:rsidRPr="0048678A">
        <w:rPr>
          <w:rFonts w:cs="Arial"/>
          <w:sz w:val="22"/>
          <w:szCs w:val="22"/>
        </w:rPr>
        <w:t xml:space="preserve"> also underlines the importance of </w:t>
      </w:r>
      <w:r w:rsidR="00386F83" w:rsidRPr="0048678A">
        <w:rPr>
          <w:rFonts w:cs="Arial"/>
          <w:sz w:val="22"/>
          <w:szCs w:val="22"/>
        </w:rPr>
        <w:t xml:space="preserve">obtaining </w:t>
      </w:r>
      <w:r w:rsidR="005E103E" w:rsidRPr="0048678A">
        <w:rPr>
          <w:rFonts w:cs="Arial"/>
          <w:sz w:val="22"/>
          <w:szCs w:val="22"/>
        </w:rPr>
        <w:t xml:space="preserve">data to </w:t>
      </w:r>
      <w:r w:rsidR="00911D03">
        <w:rPr>
          <w:rFonts w:cs="Arial"/>
          <w:sz w:val="22"/>
          <w:szCs w:val="22"/>
        </w:rPr>
        <w:t>understand the validity of this IA</w:t>
      </w:r>
      <w:r w:rsidR="0051411B">
        <w:rPr>
          <w:rFonts w:cs="Arial"/>
          <w:sz w:val="22"/>
          <w:szCs w:val="22"/>
        </w:rPr>
        <w:t>’s</w:t>
      </w:r>
      <w:r w:rsidR="00B564EE" w:rsidRPr="0048678A">
        <w:rPr>
          <w:rFonts w:cs="Arial"/>
          <w:sz w:val="22"/>
          <w:szCs w:val="22"/>
        </w:rPr>
        <w:t xml:space="preserve"> </w:t>
      </w:r>
      <w:r w:rsidR="00386F83" w:rsidRPr="0048678A">
        <w:rPr>
          <w:rFonts w:cs="Arial"/>
          <w:sz w:val="22"/>
          <w:szCs w:val="22"/>
        </w:rPr>
        <w:t>compliance cost estimates</w:t>
      </w:r>
      <w:r w:rsidR="0051411B">
        <w:rPr>
          <w:rFonts w:cs="Arial"/>
          <w:sz w:val="22"/>
          <w:szCs w:val="22"/>
        </w:rPr>
        <w:t xml:space="preserve">, especially on-going costs, in </w:t>
      </w:r>
      <w:r w:rsidR="005E103E" w:rsidRPr="0048678A">
        <w:rPr>
          <w:rFonts w:cs="Arial"/>
          <w:sz w:val="22"/>
          <w:szCs w:val="22"/>
        </w:rPr>
        <w:t xml:space="preserve">the first post-implementation review. </w:t>
      </w:r>
    </w:p>
    <w:p w14:paraId="4D59B72C" w14:textId="2F9E81AB" w:rsidR="00141034" w:rsidRPr="009471CC" w:rsidRDefault="00141034" w:rsidP="0029116F">
      <w:pPr>
        <w:spacing w:after="120" w:line="259" w:lineRule="auto"/>
        <w:ind w:firstLine="567"/>
        <w:jc w:val="both"/>
        <w:rPr>
          <w:rFonts w:cs="Arial"/>
          <w:b/>
          <w:sz w:val="22"/>
          <w:szCs w:val="22"/>
        </w:rPr>
      </w:pPr>
      <w:r w:rsidRPr="00F36801">
        <w:rPr>
          <w:rFonts w:cs="Arial"/>
          <w:b/>
          <w:sz w:val="22"/>
          <w:szCs w:val="22"/>
        </w:rPr>
        <w:t>Table</w:t>
      </w:r>
      <w:r w:rsidRPr="009471CC">
        <w:rPr>
          <w:rFonts w:cs="Arial"/>
          <w:b/>
          <w:sz w:val="22"/>
          <w:szCs w:val="22"/>
        </w:rPr>
        <w:t xml:space="preserve"> 1</w:t>
      </w:r>
      <w:r w:rsidR="00CB3E59">
        <w:rPr>
          <w:rFonts w:cs="Arial"/>
          <w:b/>
          <w:sz w:val="22"/>
          <w:szCs w:val="22"/>
        </w:rPr>
        <w:t>2</w:t>
      </w:r>
      <w:r w:rsidRPr="009471CC">
        <w:rPr>
          <w:rFonts w:cs="Arial"/>
          <w:b/>
          <w:sz w:val="22"/>
          <w:szCs w:val="22"/>
        </w:rPr>
        <w:t xml:space="preserve">, Total </w:t>
      </w:r>
      <w:r w:rsidR="008B0D6B" w:rsidRPr="009471CC">
        <w:rPr>
          <w:rFonts w:cs="Arial"/>
          <w:b/>
          <w:sz w:val="22"/>
          <w:szCs w:val="22"/>
        </w:rPr>
        <w:t>C</w:t>
      </w:r>
      <w:r w:rsidRPr="009471CC">
        <w:rPr>
          <w:rFonts w:cs="Arial"/>
          <w:b/>
          <w:sz w:val="22"/>
          <w:szCs w:val="22"/>
        </w:rPr>
        <w:t>osts, £ million (PV</w:t>
      </w:r>
      <w:r w:rsidR="00280B26" w:rsidRPr="009471CC">
        <w:rPr>
          <w:rFonts w:cs="Arial"/>
          <w:b/>
          <w:sz w:val="22"/>
          <w:szCs w:val="22"/>
        </w:rPr>
        <w:t xml:space="preserve"> 2024 prices</w:t>
      </w:r>
      <w:r w:rsidRPr="009471CC">
        <w:rPr>
          <w:rFonts w:cs="Arial"/>
          <w:b/>
          <w:sz w:val="22"/>
          <w:szCs w:val="22"/>
        </w:rPr>
        <w:t>)</w:t>
      </w:r>
    </w:p>
    <w:tbl>
      <w:tblPr>
        <w:tblW w:w="9049" w:type="dxa"/>
        <w:tblInd w:w="57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1"/>
        <w:gridCol w:w="2072"/>
        <w:gridCol w:w="2268"/>
        <w:gridCol w:w="2268"/>
      </w:tblGrid>
      <w:tr w:rsidR="001D081D" w:rsidRPr="009471CC" w14:paraId="760359AE" w14:textId="77E15D63" w:rsidTr="006331E4">
        <w:trPr>
          <w:trHeight w:val="397"/>
        </w:trPr>
        <w:tc>
          <w:tcPr>
            <w:tcW w:w="2441" w:type="dxa"/>
            <w:tcBorders>
              <w:top w:val="single" w:sz="4" w:space="0" w:color="auto"/>
              <w:bottom w:val="single" w:sz="4" w:space="0" w:color="auto"/>
              <w:right w:val="single" w:sz="4" w:space="0" w:color="auto"/>
            </w:tcBorders>
            <w:shd w:val="clear" w:color="auto" w:fill="auto"/>
            <w:noWrap/>
            <w:vAlign w:val="center"/>
            <w:hideMark/>
          </w:tcPr>
          <w:p w14:paraId="5E1F68C6" w14:textId="77777777" w:rsidR="007C3BDA" w:rsidRPr="009471CC" w:rsidRDefault="007C3BDA" w:rsidP="006331E4">
            <w:pPr>
              <w:rPr>
                <w:rFonts w:cs="Arial"/>
                <w:b/>
                <w:sz w:val="22"/>
                <w:szCs w:val="22"/>
                <w:lang w:eastAsia="en-GB"/>
              </w:rPr>
            </w:pPr>
            <w:r w:rsidRPr="009471CC">
              <w:rPr>
                <w:rFonts w:cs="Arial"/>
                <w:b/>
                <w:sz w:val="22"/>
                <w:szCs w:val="22"/>
                <w:lang w:eastAsia="en-GB"/>
              </w:rPr>
              <w:t>Cost Category</w:t>
            </w:r>
          </w:p>
        </w:tc>
        <w:tc>
          <w:tcPr>
            <w:tcW w:w="2072" w:type="dxa"/>
            <w:tcBorders>
              <w:top w:val="single" w:sz="4" w:space="0" w:color="auto"/>
              <w:left w:val="single" w:sz="4" w:space="0" w:color="auto"/>
              <w:bottom w:val="single" w:sz="4" w:space="0" w:color="auto"/>
              <w:right w:val="single" w:sz="4" w:space="0" w:color="auto"/>
            </w:tcBorders>
            <w:vAlign w:val="center"/>
          </w:tcPr>
          <w:p w14:paraId="31FEA7E9" w14:textId="7832A8F3" w:rsidR="00D071BC" w:rsidRPr="009471CC" w:rsidRDefault="006E326B" w:rsidP="00F967AC">
            <w:pPr>
              <w:jc w:val="center"/>
              <w:rPr>
                <w:rFonts w:cs="Arial"/>
                <w:b/>
                <w:sz w:val="22"/>
                <w:szCs w:val="22"/>
                <w:lang w:eastAsia="en-GB"/>
              </w:rPr>
            </w:pPr>
            <w:r w:rsidRPr="009471CC">
              <w:rPr>
                <w:rFonts w:cs="Arial"/>
                <w:b/>
                <w:sz w:val="22"/>
                <w:szCs w:val="22"/>
                <w:lang w:eastAsia="en-GB"/>
              </w:rPr>
              <w:t xml:space="preserve">Low </w:t>
            </w:r>
            <w:r w:rsidR="002D51FE" w:rsidRPr="009471CC">
              <w:rPr>
                <w:rFonts w:cs="Arial"/>
                <w:b/>
                <w:sz w:val="22"/>
                <w:szCs w:val="22"/>
                <w:lang w:eastAsia="en-GB"/>
              </w:rPr>
              <w:t>Estimate</w:t>
            </w:r>
            <w:r w:rsidR="005A03A3" w:rsidRPr="009471CC">
              <w:rPr>
                <w:rFonts w:cs="Arial"/>
                <w:b/>
                <w:sz w:val="22"/>
                <w:szCs w:val="22"/>
                <w:lang w:eastAsia="en-GB"/>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14:paraId="38FACE5F" w14:textId="6C0AAA7B" w:rsidR="00D071BC" w:rsidRPr="009471CC" w:rsidRDefault="002D51FE" w:rsidP="00F967AC">
            <w:pPr>
              <w:jc w:val="center"/>
              <w:rPr>
                <w:rFonts w:cs="Arial"/>
                <w:b/>
                <w:sz w:val="22"/>
                <w:szCs w:val="22"/>
                <w:lang w:eastAsia="en-GB"/>
              </w:rPr>
            </w:pPr>
            <w:r w:rsidRPr="009471CC">
              <w:rPr>
                <w:rFonts w:cs="Arial"/>
                <w:b/>
                <w:sz w:val="22"/>
                <w:szCs w:val="22"/>
                <w:lang w:eastAsia="en-GB"/>
              </w:rPr>
              <w:t>Best Estimate</w:t>
            </w:r>
          </w:p>
        </w:tc>
        <w:tc>
          <w:tcPr>
            <w:tcW w:w="2268" w:type="dxa"/>
            <w:tcBorders>
              <w:top w:val="single" w:sz="4" w:space="0" w:color="auto"/>
              <w:left w:val="single" w:sz="4" w:space="0" w:color="auto"/>
              <w:bottom w:val="single" w:sz="4" w:space="0" w:color="auto"/>
            </w:tcBorders>
            <w:vAlign w:val="center"/>
          </w:tcPr>
          <w:p w14:paraId="4CB2F002" w14:textId="148310D5" w:rsidR="00D071BC" w:rsidRPr="009471CC" w:rsidRDefault="006E326B" w:rsidP="00F967AC">
            <w:pPr>
              <w:jc w:val="center"/>
              <w:rPr>
                <w:rFonts w:cs="Arial"/>
                <w:b/>
                <w:sz w:val="22"/>
                <w:szCs w:val="22"/>
                <w:lang w:eastAsia="en-GB"/>
              </w:rPr>
            </w:pPr>
            <w:r w:rsidRPr="009471CC">
              <w:rPr>
                <w:rFonts w:cs="Arial"/>
                <w:b/>
                <w:sz w:val="22"/>
                <w:szCs w:val="22"/>
                <w:lang w:eastAsia="en-GB"/>
              </w:rPr>
              <w:t xml:space="preserve">High </w:t>
            </w:r>
            <w:r w:rsidR="002D51FE" w:rsidRPr="009471CC">
              <w:rPr>
                <w:rFonts w:cs="Arial"/>
                <w:b/>
                <w:sz w:val="22"/>
                <w:szCs w:val="22"/>
                <w:lang w:eastAsia="en-GB"/>
              </w:rPr>
              <w:t>Estimate</w:t>
            </w:r>
          </w:p>
        </w:tc>
      </w:tr>
      <w:tr w:rsidR="001D081D" w:rsidRPr="009471CC" w14:paraId="4B8DD23D" w14:textId="0BF2FD2A" w:rsidTr="006331E4">
        <w:trPr>
          <w:trHeight w:val="397"/>
        </w:trPr>
        <w:tc>
          <w:tcPr>
            <w:tcW w:w="2441" w:type="dxa"/>
            <w:tcBorders>
              <w:top w:val="single" w:sz="4" w:space="0" w:color="auto"/>
              <w:right w:val="single" w:sz="4" w:space="0" w:color="auto"/>
            </w:tcBorders>
            <w:shd w:val="clear" w:color="auto" w:fill="auto"/>
            <w:noWrap/>
            <w:vAlign w:val="bottom"/>
            <w:hideMark/>
          </w:tcPr>
          <w:p w14:paraId="79945BAC" w14:textId="77777777" w:rsidR="007C3BDA" w:rsidRPr="009471CC" w:rsidRDefault="007C3BDA" w:rsidP="006331E4">
            <w:pPr>
              <w:rPr>
                <w:rFonts w:cs="Arial"/>
                <w:sz w:val="22"/>
                <w:szCs w:val="22"/>
                <w:lang w:eastAsia="en-GB"/>
              </w:rPr>
            </w:pPr>
            <w:r w:rsidRPr="009471CC">
              <w:rPr>
                <w:rFonts w:cs="Arial"/>
                <w:sz w:val="22"/>
                <w:szCs w:val="22"/>
                <w:lang w:eastAsia="en-GB"/>
              </w:rPr>
              <w:t>Set-Up Cost</w:t>
            </w:r>
          </w:p>
        </w:tc>
        <w:tc>
          <w:tcPr>
            <w:tcW w:w="2072" w:type="dxa"/>
            <w:tcBorders>
              <w:top w:val="single" w:sz="4" w:space="0" w:color="auto"/>
              <w:left w:val="single" w:sz="4" w:space="0" w:color="auto"/>
              <w:bottom w:val="nil"/>
              <w:right w:val="single" w:sz="4" w:space="0" w:color="auto"/>
            </w:tcBorders>
            <w:vAlign w:val="bottom"/>
          </w:tcPr>
          <w:p w14:paraId="6463B5AB" w14:textId="204EC82B" w:rsidR="00D071BC" w:rsidRPr="009471CC" w:rsidRDefault="00DE3175" w:rsidP="006331E4">
            <w:pPr>
              <w:jc w:val="right"/>
              <w:rPr>
                <w:rFonts w:cs="Arial"/>
                <w:sz w:val="22"/>
                <w:szCs w:val="22"/>
                <w:lang w:eastAsia="en-GB"/>
              </w:rPr>
            </w:pPr>
            <w:r w:rsidRPr="009471CC">
              <w:rPr>
                <w:rFonts w:cs="Arial"/>
                <w:sz w:val="22"/>
                <w:szCs w:val="22"/>
                <w:lang w:eastAsia="en-GB"/>
              </w:rPr>
              <w:t>4</w:t>
            </w:r>
            <w:r w:rsidR="006B6816">
              <w:rPr>
                <w:rFonts w:cs="Arial"/>
                <w:sz w:val="22"/>
                <w:szCs w:val="22"/>
                <w:lang w:eastAsia="en-GB"/>
              </w:rPr>
              <w:t>2</w:t>
            </w:r>
            <w:r w:rsidR="004B5CC7">
              <w:rPr>
                <w:rFonts w:cs="Arial"/>
                <w:sz w:val="22"/>
                <w:szCs w:val="22"/>
                <w:lang w:eastAsia="en-GB"/>
              </w:rPr>
              <w:t>1</w:t>
            </w:r>
            <w:r w:rsidR="006B6816">
              <w:rPr>
                <w:rFonts w:cs="Arial"/>
                <w:sz w:val="22"/>
                <w:szCs w:val="22"/>
                <w:lang w:eastAsia="en-GB"/>
              </w:rPr>
              <w:t>.</w:t>
            </w:r>
            <w:r w:rsidR="004B5CC7">
              <w:rPr>
                <w:rFonts w:cs="Arial"/>
                <w:sz w:val="22"/>
                <w:szCs w:val="22"/>
                <w:lang w:eastAsia="en-GB"/>
              </w:rPr>
              <w:t>5</w:t>
            </w:r>
          </w:p>
        </w:tc>
        <w:tc>
          <w:tcPr>
            <w:tcW w:w="2268" w:type="dxa"/>
            <w:tcBorders>
              <w:top w:val="single" w:sz="4" w:space="0" w:color="auto"/>
              <w:left w:val="single" w:sz="4" w:space="0" w:color="auto"/>
              <w:bottom w:val="nil"/>
              <w:right w:val="single" w:sz="4" w:space="0" w:color="auto"/>
            </w:tcBorders>
            <w:vAlign w:val="bottom"/>
          </w:tcPr>
          <w:p w14:paraId="40D1C0C9" w14:textId="0961D08C" w:rsidR="00D071BC" w:rsidRPr="009471CC" w:rsidRDefault="00D36B42" w:rsidP="006331E4">
            <w:pPr>
              <w:jc w:val="right"/>
              <w:rPr>
                <w:rFonts w:cs="Arial"/>
                <w:sz w:val="22"/>
                <w:szCs w:val="22"/>
                <w:lang w:eastAsia="en-GB"/>
              </w:rPr>
            </w:pPr>
            <w:r w:rsidRPr="009471CC">
              <w:rPr>
                <w:rFonts w:cs="Arial"/>
                <w:sz w:val="22"/>
                <w:szCs w:val="22"/>
                <w:lang w:eastAsia="en-GB"/>
              </w:rPr>
              <w:t>4</w:t>
            </w:r>
            <w:r w:rsidR="004B5CC7">
              <w:rPr>
                <w:rFonts w:cs="Arial"/>
                <w:sz w:val="22"/>
                <w:szCs w:val="22"/>
                <w:lang w:eastAsia="en-GB"/>
              </w:rPr>
              <w:t>86</w:t>
            </w:r>
            <w:r w:rsidR="00F76FDC">
              <w:rPr>
                <w:rFonts w:cs="Arial"/>
                <w:sz w:val="22"/>
                <w:szCs w:val="22"/>
                <w:lang w:eastAsia="en-GB"/>
              </w:rPr>
              <w:t>.</w:t>
            </w:r>
            <w:r w:rsidR="004B5CC7">
              <w:rPr>
                <w:rFonts w:cs="Arial"/>
                <w:sz w:val="22"/>
                <w:szCs w:val="22"/>
                <w:lang w:eastAsia="en-GB"/>
              </w:rPr>
              <w:t>7</w:t>
            </w:r>
          </w:p>
        </w:tc>
        <w:tc>
          <w:tcPr>
            <w:tcW w:w="2268" w:type="dxa"/>
            <w:tcBorders>
              <w:top w:val="single" w:sz="4" w:space="0" w:color="auto"/>
              <w:left w:val="single" w:sz="4" w:space="0" w:color="auto"/>
            </w:tcBorders>
            <w:vAlign w:val="bottom"/>
          </w:tcPr>
          <w:p w14:paraId="52E1E379" w14:textId="6128B5EB" w:rsidR="00D071BC" w:rsidRPr="009471CC" w:rsidRDefault="00FC2603" w:rsidP="006331E4">
            <w:pPr>
              <w:jc w:val="right"/>
              <w:rPr>
                <w:rFonts w:cs="Arial"/>
                <w:sz w:val="22"/>
                <w:szCs w:val="22"/>
                <w:lang w:eastAsia="en-GB"/>
              </w:rPr>
            </w:pPr>
            <w:r w:rsidRPr="009471CC">
              <w:rPr>
                <w:rFonts w:cs="Arial"/>
                <w:sz w:val="22"/>
                <w:szCs w:val="22"/>
                <w:lang w:eastAsia="en-GB"/>
              </w:rPr>
              <w:t>5</w:t>
            </w:r>
            <w:r w:rsidR="004B5CC7">
              <w:rPr>
                <w:rFonts w:cs="Arial"/>
                <w:sz w:val="22"/>
                <w:szCs w:val="22"/>
                <w:lang w:eastAsia="en-GB"/>
              </w:rPr>
              <w:t>5</w:t>
            </w:r>
            <w:r w:rsidR="000B4BEA">
              <w:rPr>
                <w:rFonts w:cs="Arial"/>
                <w:sz w:val="22"/>
                <w:szCs w:val="22"/>
                <w:lang w:eastAsia="en-GB"/>
              </w:rPr>
              <w:t>2.0</w:t>
            </w:r>
          </w:p>
        </w:tc>
      </w:tr>
      <w:tr w:rsidR="001D081D" w:rsidRPr="009471CC" w14:paraId="6CA01CF6" w14:textId="4241D359" w:rsidTr="006331E4">
        <w:trPr>
          <w:trHeight w:val="397"/>
        </w:trPr>
        <w:tc>
          <w:tcPr>
            <w:tcW w:w="2441" w:type="dxa"/>
            <w:tcBorders>
              <w:bottom w:val="single" w:sz="4" w:space="0" w:color="auto"/>
              <w:right w:val="single" w:sz="4" w:space="0" w:color="auto"/>
            </w:tcBorders>
            <w:shd w:val="clear" w:color="auto" w:fill="auto"/>
            <w:noWrap/>
            <w:vAlign w:val="bottom"/>
            <w:hideMark/>
          </w:tcPr>
          <w:p w14:paraId="1AC758A3" w14:textId="77777777" w:rsidR="007C3BDA" w:rsidRPr="009471CC" w:rsidRDefault="007C3BDA" w:rsidP="006331E4">
            <w:pPr>
              <w:rPr>
                <w:rFonts w:cs="Arial"/>
                <w:sz w:val="22"/>
                <w:szCs w:val="22"/>
                <w:lang w:eastAsia="en-GB"/>
              </w:rPr>
            </w:pPr>
            <w:r w:rsidRPr="009471CC">
              <w:rPr>
                <w:rFonts w:cs="Arial"/>
                <w:sz w:val="22"/>
                <w:szCs w:val="22"/>
                <w:lang w:eastAsia="en-GB"/>
              </w:rPr>
              <w:t>PSV Recurring Cost</w:t>
            </w:r>
          </w:p>
        </w:tc>
        <w:tc>
          <w:tcPr>
            <w:tcW w:w="2072" w:type="dxa"/>
            <w:tcBorders>
              <w:top w:val="nil"/>
              <w:left w:val="single" w:sz="4" w:space="0" w:color="auto"/>
              <w:bottom w:val="single" w:sz="4" w:space="0" w:color="auto"/>
              <w:right w:val="single" w:sz="4" w:space="0" w:color="auto"/>
            </w:tcBorders>
            <w:vAlign w:val="bottom"/>
          </w:tcPr>
          <w:p w14:paraId="7DF94F2D" w14:textId="3B581179" w:rsidR="00D071BC" w:rsidRPr="009471CC" w:rsidRDefault="00043D7D" w:rsidP="006331E4">
            <w:pPr>
              <w:jc w:val="right"/>
              <w:rPr>
                <w:rFonts w:cs="Arial"/>
                <w:sz w:val="22"/>
                <w:szCs w:val="22"/>
                <w:lang w:eastAsia="en-GB"/>
              </w:rPr>
            </w:pPr>
            <w:r w:rsidRPr="009471CC">
              <w:rPr>
                <w:rFonts w:cs="Arial"/>
                <w:sz w:val="22"/>
                <w:szCs w:val="22"/>
                <w:lang w:eastAsia="en-GB"/>
              </w:rPr>
              <w:t>3</w:t>
            </w:r>
            <w:r w:rsidR="00CC02F7">
              <w:rPr>
                <w:rFonts w:cs="Arial"/>
                <w:sz w:val="22"/>
                <w:szCs w:val="22"/>
                <w:lang w:eastAsia="en-GB"/>
              </w:rPr>
              <w:t>1</w:t>
            </w:r>
            <w:r w:rsidR="008006E5">
              <w:rPr>
                <w:rFonts w:cs="Arial"/>
                <w:sz w:val="22"/>
                <w:szCs w:val="22"/>
                <w:lang w:eastAsia="en-GB"/>
              </w:rPr>
              <w:t>8.7</w:t>
            </w:r>
          </w:p>
        </w:tc>
        <w:tc>
          <w:tcPr>
            <w:tcW w:w="2268" w:type="dxa"/>
            <w:tcBorders>
              <w:top w:val="nil"/>
              <w:left w:val="single" w:sz="4" w:space="0" w:color="auto"/>
              <w:bottom w:val="single" w:sz="4" w:space="0" w:color="auto"/>
              <w:right w:val="single" w:sz="4" w:space="0" w:color="auto"/>
            </w:tcBorders>
            <w:vAlign w:val="bottom"/>
          </w:tcPr>
          <w:p w14:paraId="4984E13E" w14:textId="21E336D9" w:rsidR="00D071BC" w:rsidRPr="009471CC" w:rsidRDefault="000712F5" w:rsidP="006331E4">
            <w:pPr>
              <w:jc w:val="right"/>
              <w:rPr>
                <w:rFonts w:cs="Arial"/>
                <w:sz w:val="22"/>
                <w:szCs w:val="22"/>
                <w:lang w:eastAsia="en-GB"/>
              </w:rPr>
            </w:pPr>
            <w:r w:rsidRPr="009471CC">
              <w:rPr>
                <w:rFonts w:cs="Arial"/>
                <w:sz w:val="22"/>
                <w:szCs w:val="22"/>
                <w:lang w:eastAsia="en-GB"/>
              </w:rPr>
              <w:t>3</w:t>
            </w:r>
            <w:r w:rsidR="003A1B77">
              <w:rPr>
                <w:rFonts w:cs="Arial"/>
                <w:sz w:val="22"/>
                <w:szCs w:val="22"/>
                <w:lang w:eastAsia="en-GB"/>
              </w:rPr>
              <w:t>87</w:t>
            </w:r>
            <w:r w:rsidR="00CC02F7">
              <w:rPr>
                <w:rFonts w:cs="Arial"/>
                <w:sz w:val="22"/>
                <w:szCs w:val="22"/>
                <w:lang w:eastAsia="en-GB"/>
              </w:rPr>
              <w:t>.</w:t>
            </w:r>
            <w:r w:rsidR="003A1B77">
              <w:rPr>
                <w:rFonts w:cs="Arial"/>
                <w:sz w:val="22"/>
                <w:szCs w:val="22"/>
                <w:lang w:eastAsia="en-GB"/>
              </w:rPr>
              <w:t>0</w:t>
            </w:r>
          </w:p>
        </w:tc>
        <w:tc>
          <w:tcPr>
            <w:tcW w:w="2268" w:type="dxa"/>
            <w:tcBorders>
              <w:left w:val="single" w:sz="4" w:space="0" w:color="auto"/>
              <w:bottom w:val="single" w:sz="4" w:space="0" w:color="auto"/>
            </w:tcBorders>
            <w:vAlign w:val="bottom"/>
          </w:tcPr>
          <w:p w14:paraId="4FA8BC76" w14:textId="5791C9EB" w:rsidR="00D071BC" w:rsidRPr="009471CC" w:rsidRDefault="005112A1" w:rsidP="006331E4">
            <w:pPr>
              <w:jc w:val="right"/>
              <w:rPr>
                <w:rFonts w:cs="Arial"/>
                <w:sz w:val="22"/>
                <w:szCs w:val="22"/>
                <w:lang w:eastAsia="en-GB"/>
              </w:rPr>
            </w:pPr>
            <w:r w:rsidRPr="009471CC">
              <w:rPr>
                <w:rFonts w:cs="Arial"/>
                <w:sz w:val="22"/>
                <w:szCs w:val="22"/>
                <w:lang w:eastAsia="en-GB"/>
              </w:rPr>
              <w:t>4</w:t>
            </w:r>
            <w:r w:rsidR="00EF5FEA">
              <w:rPr>
                <w:rFonts w:cs="Arial"/>
                <w:sz w:val="22"/>
                <w:szCs w:val="22"/>
                <w:lang w:eastAsia="en-GB"/>
              </w:rPr>
              <w:t>5</w:t>
            </w:r>
            <w:r w:rsidR="008276DF">
              <w:rPr>
                <w:rFonts w:cs="Arial"/>
                <w:sz w:val="22"/>
                <w:szCs w:val="22"/>
                <w:lang w:eastAsia="en-GB"/>
              </w:rPr>
              <w:t>5.</w:t>
            </w:r>
            <w:r w:rsidR="00EF5FEA">
              <w:rPr>
                <w:rFonts w:cs="Arial"/>
                <w:sz w:val="22"/>
                <w:szCs w:val="22"/>
                <w:lang w:eastAsia="en-GB"/>
              </w:rPr>
              <w:t>3</w:t>
            </w:r>
          </w:p>
        </w:tc>
      </w:tr>
      <w:tr w:rsidR="001D081D" w:rsidRPr="001D081D" w14:paraId="407F30B1" w14:textId="581F7C08" w:rsidTr="006331E4">
        <w:trPr>
          <w:trHeight w:val="397"/>
        </w:trPr>
        <w:tc>
          <w:tcPr>
            <w:tcW w:w="2441" w:type="dxa"/>
            <w:tcBorders>
              <w:top w:val="single" w:sz="4" w:space="0" w:color="auto"/>
              <w:bottom w:val="single" w:sz="4" w:space="0" w:color="auto"/>
              <w:right w:val="single" w:sz="4" w:space="0" w:color="auto"/>
            </w:tcBorders>
            <w:shd w:val="clear" w:color="auto" w:fill="auto"/>
            <w:noWrap/>
            <w:vAlign w:val="bottom"/>
            <w:hideMark/>
          </w:tcPr>
          <w:p w14:paraId="5583E89A" w14:textId="77777777" w:rsidR="007C3BDA" w:rsidRPr="009471CC" w:rsidRDefault="007C3BDA" w:rsidP="006331E4">
            <w:pPr>
              <w:rPr>
                <w:rFonts w:cs="Arial"/>
                <w:b/>
                <w:sz w:val="22"/>
                <w:szCs w:val="22"/>
                <w:lang w:eastAsia="en-GB"/>
              </w:rPr>
            </w:pPr>
            <w:r w:rsidRPr="009471CC">
              <w:rPr>
                <w:rFonts w:cs="Arial"/>
                <w:b/>
                <w:sz w:val="22"/>
                <w:szCs w:val="22"/>
                <w:lang w:eastAsia="en-GB"/>
              </w:rPr>
              <w:t>NPSV</w:t>
            </w:r>
          </w:p>
        </w:tc>
        <w:tc>
          <w:tcPr>
            <w:tcW w:w="2072" w:type="dxa"/>
            <w:tcBorders>
              <w:top w:val="single" w:sz="4" w:space="0" w:color="auto"/>
              <w:left w:val="single" w:sz="4" w:space="0" w:color="auto"/>
              <w:bottom w:val="single" w:sz="4" w:space="0" w:color="auto"/>
              <w:right w:val="single" w:sz="4" w:space="0" w:color="auto"/>
            </w:tcBorders>
            <w:vAlign w:val="bottom"/>
          </w:tcPr>
          <w:p w14:paraId="5A904F85" w14:textId="79F80FC0" w:rsidR="00D071BC" w:rsidRPr="009471CC" w:rsidRDefault="00AE29FC" w:rsidP="006331E4">
            <w:pPr>
              <w:jc w:val="right"/>
              <w:rPr>
                <w:rFonts w:cs="Arial"/>
                <w:b/>
                <w:sz w:val="22"/>
                <w:szCs w:val="22"/>
                <w:lang w:eastAsia="en-GB"/>
              </w:rPr>
            </w:pPr>
            <w:r w:rsidRPr="009471CC">
              <w:rPr>
                <w:rFonts w:cs="Arial"/>
                <w:b/>
                <w:sz w:val="22"/>
                <w:szCs w:val="22"/>
                <w:lang w:eastAsia="en-GB"/>
              </w:rPr>
              <w:t>7</w:t>
            </w:r>
            <w:r w:rsidR="00562219">
              <w:rPr>
                <w:rFonts w:cs="Arial"/>
                <w:b/>
                <w:sz w:val="22"/>
                <w:szCs w:val="22"/>
                <w:lang w:eastAsia="en-GB"/>
              </w:rPr>
              <w:t>40</w:t>
            </w:r>
            <w:r w:rsidR="002A623B">
              <w:rPr>
                <w:rFonts w:cs="Arial"/>
                <w:b/>
                <w:sz w:val="22"/>
                <w:szCs w:val="22"/>
                <w:lang w:eastAsia="en-GB"/>
              </w:rPr>
              <w:t>.2</w:t>
            </w:r>
          </w:p>
        </w:tc>
        <w:tc>
          <w:tcPr>
            <w:tcW w:w="2268" w:type="dxa"/>
            <w:tcBorders>
              <w:top w:val="single" w:sz="4" w:space="0" w:color="auto"/>
              <w:left w:val="single" w:sz="4" w:space="0" w:color="auto"/>
              <w:bottom w:val="single" w:sz="4" w:space="0" w:color="auto"/>
              <w:right w:val="single" w:sz="4" w:space="0" w:color="auto"/>
            </w:tcBorders>
            <w:vAlign w:val="bottom"/>
          </w:tcPr>
          <w:p w14:paraId="25D3AAFE" w14:textId="3C812360" w:rsidR="00D071BC" w:rsidRPr="009471CC" w:rsidRDefault="00151B58" w:rsidP="006331E4">
            <w:pPr>
              <w:jc w:val="right"/>
              <w:rPr>
                <w:rFonts w:cs="Arial"/>
                <w:b/>
                <w:sz w:val="22"/>
                <w:szCs w:val="22"/>
                <w:lang w:eastAsia="en-GB"/>
              </w:rPr>
            </w:pPr>
            <w:r w:rsidRPr="009471CC">
              <w:rPr>
                <w:rFonts w:cs="Arial"/>
                <w:b/>
                <w:sz w:val="22"/>
                <w:szCs w:val="22"/>
                <w:lang w:eastAsia="en-GB"/>
              </w:rPr>
              <w:t>8</w:t>
            </w:r>
            <w:r w:rsidR="004B5CC7">
              <w:rPr>
                <w:rFonts w:cs="Arial"/>
                <w:b/>
                <w:sz w:val="22"/>
                <w:szCs w:val="22"/>
                <w:lang w:eastAsia="en-GB"/>
              </w:rPr>
              <w:t>73</w:t>
            </w:r>
            <w:r w:rsidR="008276DF">
              <w:rPr>
                <w:rFonts w:cs="Arial"/>
                <w:b/>
                <w:sz w:val="22"/>
                <w:szCs w:val="22"/>
                <w:lang w:eastAsia="en-GB"/>
              </w:rPr>
              <w:t>.</w:t>
            </w:r>
            <w:r w:rsidR="004B5CC7">
              <w:rPr>
                <w:rFonts w:cs="Arial"/>
                <w:b/>
                <w:sz w:val="22"/>
                <w:szCs w:val="22"/>
                <w:lang w:eastAsia="en-GB"/>
              </w:rPr>
              <w:t>7</w:t>
            </w:r>
          </w:p>
        </w:tc>
        <w:tc>
          <w:tcPr>
            <w:tcW w:w="2268" w:type="dxa"/>
            <w:tcBorders>
              <w:top w:val="single" w:sz="4" w:space="0" w:color="auto"/>
              <w:left w:val="single" w:sz="4" w:space="0" w:color="auto"/>
              <w:bottom w:val="single" w:sz="4" w:space="0" w:color="auto"/>
            </w:tcBorders>
            <w:vAlign w:val="bottom"/>
          </w:tcPr>
          <w:p w14:paraId="464EBAEA" w14:textId="12BA27DD" w:rsidR="00D071BC" w:rsidRPr="009471CC" w:rsidRDefault="004B5CC7" w:rsidP="006331E4">
            <w:pPr>
              <w:jc w:val="right"/>
              <w:rPr>
                <w:rFonts w:cs="Arial"/>
                <w:b/>
                <w:sz w:val="22"/>
                <w:szCs w:val="22"/>
                <w:lang w:eastAsia="en-GB"/>
              </w:rPr>
            </w:pPr>
            <w:r>
              <w:rPr>
                <w:rFonts w:cs="Arial"/>
                <w:b/>
                <w:sz w:val="22"/>
                <w:szCs w:val="22"/>
                <w:lang w:eastAsia="en-GB"/>
              </w:rPr>
              <w:t>1,007.3</w:t>
            </w:r>
          </w:p>
        </w:tc>
      </w:tr>
    </w:tbl>
    <w:p w14:paraId="7365D7FD" w14:textId="3015B69A" w:rsidR="00FE2436" w:rsidRDefault="00F967AC" w:rsidP="00F967AC">
      <w:pPr>
        <w:spacing w:after="120" w:line="259" w:lineRule="auto"/>
        <w:ind w:firstLine="567"/>
        <w:jc w:val="both"/>
        <w:rPr>
          <w:rFonts w:cs="Arial"/>
          <w:sz w:val="18"/>
          <w:szCs w:val="18"/>
        </w:rPr>
      </w:pPr>
      <w:r w:rsidRPr="0029116F">
        <w:rPr>
          <w:rFonts w:cs="Arial"/>
          <w:sz w:val="18"/>
          <w:szCs w:val="18"/>
        </w:rPr>
        <w:t>Source: DBT</w:t>
      </w:r>
      <w:r w:rsidRPr="0029116F" w:rsidDel="006E7154">
        <w:rPr>
          <w:rFonts w:cs="Arial"/>
          <w:sz w:val="18"/>
          <w:szCs w:val="18"/>
        </w:rPr>
        <w:t xml:space="preserve"> </w:t>
      </w:r>
      <w:r w:rsidRPr="0029116F">
        <w:rPr>
          <w:rFonts w:cs="Arial"/>
          <w:sz w:val="18"/>
          <w:szCs w:val="18"/>
        </w:rPr>
        <w:t>calculations.</w:t>
      </w:r>
      <w:r w:rsidR="004D76B9">
        <w:rPr>
          <w:rFonts w:cs="Arial"/>
          <w:sz w:val="18"/>
          <w:szCs w:val="18"/>
        </w:rPr>
        <w:t xml:space="preserve"> Numbers may not sum due to rounding.</w:t>
      </w:r>
    </w:p>
    <w:p w14:paraId="5C5FA909" w14:textId="22AA8FD3" w:rsidR="00D7460B" w:rsidRDefault="00D7460B" w:rsidP="00D7460B">
      <w:pPr>
        <w:spacing w:after="120" w:line="259" w:lineRule="auto"/>
        <w:jc w:val="both"/>
        <w:rPr>
          <w:rFonts w:cs="Arial"/>
          <w:b/>
          <w:bCs/>
          <w:sz w:val="22"/>
          <w:szCs w:val="22"/>
        </w:rPr>
      </w:pPr>
      <w:r w:rsidRPr="008F5FC9">
        <w:rPr>
          <w:rFonts w:cs="Arial"/>
          <w:b/>
          <w:sz w:val="22"/>
          <w:szCs w:val="22"/>
        </w:rPr>
        <w:t>Non</w:t>
      </w:r>
      <w:r w:rsidR="00D9239B" w:rsidRPr="008F5FC9">
        <w:rPr>
          <w:rFonts w:cs="Arial"/>
          <w:b/>
          <w:sz w:val="22"/>
          <w:szCs w:val="22"/>
        </w:rPr>
        <w:t>- Monetised Costs</w:t>
      </w:r>
      <w:r w:rsidR="00D9239B" w:rsidRPr="00D9239B">
        <w:rPr>
          <w:rFonts w:cs="Arial"/>
          <w:b/>
          <w:bCs/>
          <w:sz w:val="22"/>
          <w:szCs w:val="22"/>
        </w:rPr>
        <w:t xml:space="preserve"> </w:t>
      </w:r>
    </w:p>
    <w:p w14:paraId="33DAAC2A" w14:textId="426FC14F" w:rsidR="005D2B36" w:rsidRPr="00996A77" w:rsidRDefault="000A232F" w:rsidP="003F40C2">
      <w:pPr>
        <w:pStyle w:val="ListParagraph"/>
        <w:numPr>
          <w:ilvl w:val="0"/>
          <w:numId w:val="10"/>
        </w:numPr>
        <w:spacing w:after="120" w:line="259" w:lineRule="auto"/>
        <w:ind w:left="567" w:hanging="567"/>
        <w:contextualSpacing w:val="0"/>
        <w:jc w:val="both"/>
        <w:rPr>
          <w:rFonts w:cs="Arial"/>
          <w:b/>
          <w:sz w:val="22"/>
          <w:szCs w:val="22"/>
        </w:rPr>
      </w:pPr>
      <w:r>
        <w:rPr>
          <w:rFonts w:cs="Arial"/>
          <w:sz w:val="22"/>
          <w:szCs w:val="22"/>
        </w:rPr>
        <w:t>The main non-monetised cost i</w:t>
      </w:r>
      <w:r w:rsidR="003012B7">
        <w:rPr>
          <w:rFonts w:cs="Arial"/>
          <w:sz w:val="22"/>
          <w:szCs w:val="22"/>
        </w:rPr>
        <w:t>s the possible increase in CJS cost</w:t>
      </w:r>
      <w:r w:rsidR="005D2B36">
        <w:rPr>
          <w:rFonts w:cs="Arial"/>
          <w:sz w:val="22"/>
          <w:szCs w:val="22"/>
        </w:rPr>
        <w:t xml:space="preserve">s. </w:t>
      </w:r>
      <w:r w:rsidR="005D2B36" w:rsidRPr="005D2B36">
        <w:rPr>
          <w:rFonts w:cs="Arial"/>
          <w:sz w:val="22"/>
          <w:szCs w:val="22"/>
        </w:rPr>
        <w:t>After consultation with the CPS and SFO, additional court cases are expected to be low</w:t>
      </w:r>
      <w:r w:rsidR="005D2B36">
        <w:rPr>
          <w:rFonts w:cs="Arial"/>
          <w:sz w:val="22"/>
          <w:szCs w:val="22"/>
        </w:rPr>
        <w:t xml:space="preserve"> and consequently a</w:t>
      </w:r>
      <w:r w:rsidR="005D2B36" w:rsidRPr="005D2B36">
        <w:rPr>
          <w:rFonts w:cs="Arial"/>
          <w:sz w:val="22"/>
          <w:szCs w:val="22"/>
        </w:rPr>
        <w:t>ny additional costs are expected to be modest.</w:t>
      </w:r>
      <w:r w:rsidR="0013772C">
        <w:rPr>
          <w:rFonts w:cs="Arial"/>
          <w:sz w:val="22"/>
          <w:szCs w:val="22"/>
        </w:rPr>
        <w:t xml:space="preserve"> </w:t>
      </w:r>
    </w:p>
    <w:p w14:paraId="443E4FE7" w14:textId="3A722C2D" w:rsidR="00B62299" w:rsidRPr="008F5FC9" w:rsidRDefault="00EA5F08" w:rsidP="003F40C2">
      <w:pPr>
        <w:pStyle w:val="ListParagraph"/>
        <w:numPr>
          <w:ilvl w:val="0"/>
          <w:numId w:val="10"/>
        </w:numPr>
        <w:spacing w:after="120" w:line="259" w:lineRule="auto"/>
        <w:ind w:left="567" w:hanging="567"/>
        <w:jc w:val="both"/>
        <w:rPr>
          <w:rFonts w:cs="Arial"/>
          <w:sz w:val="22"/>
          <w:szCs w:val="22"/>
        </w:rPr>
      </w:pPr>
      <w:r>
        <w:rPr>
          <w:rFonts w:cs="Arial"/>
          <w:bCs/>
          <w:sz w:val="22"/>
          <w:szCs w:val="22"/>
        </w:rPr>
        <w:t>Some</w:t>
      </w:r>
      <w:r w:rsidR="009E2153" w:rsidRPr="008F5FC9">
        <w:rPr>
          <w:rFonts w:cs="Arial"/>
          <w:sz w:val="22"/>
          <w:szCs w:val="22"/>
        </w:rPr>
        <w:t xml:space="preserve"> </w:t>
      </w:r>
      <w:r w:rsidR="00DD16AD" w:rsidRPr="008F5FC9">
        <w:rPr>
          <w:rFonts w:cs="Arial"/>
          <w:sz w:val="22"/>
          <w:szCs w:val="22"/>
        </w:rPr>
        <w:t xml:space="preserve">public sector </w:t>
      </w:r>
      <w:r w:rsidR="009E2153" w:rsidRPr="008F5FC9">
        <w:rPr>
          <w:rFonts w:cs="Arial"/>
          <w:sz w:val="22"/>
          <w:szCs w:val="22"/>
        </w:rPr>
        <w:t xml:space="preserve">bodies such as </w:t>
      </w:r>
      <w:r w:rsidR="006E7BF1" w:rsidRPr="008F5FC9">
        <w:rPr>
          <w:rFonts w:cs="Arial"/>
          <w:sz w:val="22"/>
          <w:szCs w:val="22"/>
        </w:rPr>
        <w:t>Local Authorities</w:t>
      </w:r>
      <w:r>
        <w:rPr>
          <w:rFonts w:cs="Arial"/>
          <w:bCs/>
          <w:sz w:val="22"/>
          <w:szCs w:val="22"/>
        </w:rPr>
        <w:t xml:space="preserve"> and</w:t>
      </w:r>
      <w:r w:rsidR="006E7BF1" w:rsidRPr="003F40C2">
        <w:rPr>
          <w:rFonts w:cs="Arial"/>
          <w:bCs/>
          <w:sz w:val="22"/>
          <w:szCs w:val="22"/>
        </w:rPr>
        <w:t xml:space="preserve"> </w:t>
      </w:r>
      <w:r w:rsidR="009E2153" w:rsidRPr="003F40C2">
        <w:rPr>
          <w:rFonts w:cs="Arial"/>
          <w:bCs/>
          <w:sz w:val="22"/>
          <w:szCs w:val="22"/>
        </w:rPr>
        <w:t>NHS Trusts</w:t>
      </w:r>
      <w:r w:rsidR="006E7BF1">
        <w:rPr>
          <w:rFonts w:cs="Arial"/>
          <w:sz w:val="22"/>
          <w:szCs w:val="22"/>
        </w:rPr>
        <w:t xml:space="preserve"> </w:t>
      </w:r>
      <w:r w:rsidR="007B4AD1" w:rsidRPr="00A55741">
        <w:rPr>
          <w:rFonts w:cs="Arial"/>
          <w:bCs/>
          <w:sz w:val="22"/>
          <w:szCs w:val="22"/>
        </w:rPr>
        <w:t xml:space="preserve">will be affected by the measure. </w:t>
      </w:r>
      <w:r w:rsidR="1D3961D9" w:rsidRPr="23696E7F">
        <w:rPr>
          <w:rFonts w:cs="Arial"/>
          <w:sz w:val="22"/>
          <w:szCs w:val="22"/>
        </w:rPr>
        <w:t xml:space="preserve">It has not been </w:t>
      </w:r>
      <w:r w:rsidR="1D3961D9" w:rsidRPr="75055EAE">
        <w:rPr>
          <w:rFonts w:cs="Arial"/>
          <w:sz w:val="22"/>
          <w:szCs w:val="22"/>
        </w:rPr>
        <w:t>possible</w:t>
      </w:r>
      <w:r w:rsidR="006B25AC" w:rsidRPr="75055EAE">
        <w:rPr>
          <w:rFonts w:cs="Arial"/>
          <w:sz w:val="22"/>
          <w:szCs w:val="22"/>
        </w:rPr>
        <w:t xml:space="preserve"> </w:t>
      </w:r>
      <w:r w:rsidR="006B25AC" w:rsidRPr="008F5FC9">
        <w:rPr>
          <w:rFonts w:cs="Arial"/>
          <w:sz w:val="22"/>
          <w:szCs w:val="22"/>
        </w:rPr>
        <w:t xml:space="preserve">to </w:t>
      </w:r>
      <w:r w:rsidR="00663B00" w:rsidRPr="008F5FC9">
        <w:rPr>
          <w:rFonts w:cs="Arial"/>
          <w:sz w:val="22"/>
          <w:szCs w:val="22"/>
        </w:rPr>
        <w:t>ascertain</w:t>
      </w:r>
      <w:r w:rsidR="007B4AD1" w:rsidRPr="008F5FC9">
        <w:rPr>
          <w:rFonts w:cs="Arial"/>
          <w:sz w:val="22"/>
          <w:szCs w:val="22"/>
        </w:rPr>
        <w:t xml:space="preserve"> </w:t>
      </w:r>
      <w:r w:rsidR="000C4ACE" w:rsidRPr="008F5FC9">
        <w:rPr>
          <w:rFonts w:cs="Arial"/>
          <w:sz w:val="22"/>
          <w:szCs w:val="22"/>
        </w:rPr>
        <w:t>the number of organisations that fall i</w:t>
      </w:r>
      <w:r w:rsidR="006B25AC" w:rsidRPr="008F5FC9">
        <w:rPr>
          <w:rFonts w:cs="Arial"/>
          <w:sz w:val="22"/>
          <w:szCs w:val="22"/>
        </w:rPr>
        <w:t>nto the large and the largest categories</w:t>
      </w:r>
      <w:r w:rsidR="00EC503C">
        <w:rPr>
          <w:rFonts w:cs="Arial"/>
          <w:sz w:val="22"/>
          <w:szCs w:val="22"/>
        </w:rPr>
        <w:t xml:space="preserve"> and therefore in scope of the legislation</w:t>
      </w:r>
      <w:r w:rsidR="006B25AC" w:rsidRPr="008F5FC9">
        <w:rPr>
          <w:rFonts w:cs="Arial"/>
          <w:sz w:val="22"/>
          <w:szCs w:val="22"/>
        </w:rPr>
        <w:t xml:space="preserve">. Therefore, the costs to the public sector </w:t>
      </w:r>
      <w:r w:rsidR="00322963" w:rsidRPr="008F5FC9">
        <w:rPr>
          <w:rFonts w:cs="Arial"/>
          <w:sz w:val="22"/>
          <w:szCs w:val="22"/>
        </w:rPr>
        <w:t>are non-monetised in this analysis</w:t>
      </w:r>
      <w:r w:rsidR="00560C88" w:rsidRPr="008F5FC9">
        <w:rPr>
          <w:rFonts w:cs="Arial"/>
          <w:sz w:val="22"/>
          <w:szCs w:val="22"/>
        </w:rPr>
        <w:t>. The</w:t>
      </w:r>
      <w:r w:rsidR="00645578">
        <w:rPr>
          <w:rFonts w:cs="Arial"/>
          <w:bCs/>
          <w:sz w:val="22"/>
          <w:szCs w:val="22"/>
        </w:rPr>
        <w:t xml:space="preserve"> average</w:t>
      </w:r>
      <w:r w:rsidR="00560C88" w:rsidRPr="008F5FC9">
        <w:rPr>
          <w:rFonts w:cs="Arial"/>
          <w:sz w:val="22"/>
          <w:szCs w:val="22"/>
        </w:rPr>
        <w:t xml:space="preserve"> costs </w:t>
      </w:r>
      <w:r w:rsidR="00645578">
        <w:rPr>
          <w:rFonts w:cs="Arial"/>
          <w:bCs/>
          <w:sz w:val="22"/>
          <w:szCs w:val="22"/>
        </w:rPr>
        <w:t>per</w:t>
      </w:r>
      <w:r w:rsidR="00D26B39" w:rsidRPr="008F5FC9">
        <w:rPr>
          <w:rFonts w:cs="Arial"/>
          <w:sz w:val="22"/>
          <w:szCs w:val="22"/>
        </w:rPr>
        <w:t xml:space="preserve"> public sector</w:t>
      </w:r>
      <w:r w:rsidR="00671CC1" w:rsidRPr="008F5FC9">
        <w:rPr>
          <w:rFonts w:cs="Arial"/>
          <w:sz w:val="22"/>
          <w:szCs w:val="22"/>
        </w:rPr>
        <w:t xml:space="preserve"> </w:t>
      </w:r>
      <w:r w:rsidR="00671CC1" w:rsidRPr="40374698">
        <w:rPr>
          <w:rFonts w:cs="Arial"/>
          <w:sz w:val="22"/>
          <w:szCs w:val="22"/>
        </w:rPr>
        <w:t>organisation</w:t>
      </w:r>
      <w:r w:rsidR="00671CC1" w:rsidRPr="008F5FC9">
        <w:rPr>
          <w:rFonts w:cs="Arial"/>
          <w:sz w:val="22"/>
          <w:szCs w:val="22"/>
        </w:rPr>
        <w:t xml:space="preserve"> that </w:t>
      </w:r>
      <w:r w:rsidR="00671CC1" w:rsidRPr="40374698">
        <w:rPr>
          <w:rFonts w:cs="Arial"/>
          <w:sz w:val="22"/>
          <w:szCs w:val="22"/>
        </w:rPr>
        <w:t>fall</w:t>
      </w:r>
      <w:r w:rsidR="2F491373" w:rsidRPr="40374698">
        <w:rPr>
          <w:rFonts w:cs="Arial"/>
          <w:sz w:val="22"/>
          <w:szCs w:val="22"/>
        </w:rPr>
        <w:t>s</w:t>
      </w:r>
      <w:r w:rsidR="00671CC1" w:rsidRPr="008F5FC9">
        <w:rPr>
          <w:rFonts w:cs="Arial"/>
          <w:sz w:val="22"/>
          <w:szCs w:val="22"/>
        </w:rPr>
        <w:t xml:space="preserve"> under </w:t>
      </w:r>
      <w:r w:rsidR="00D26B39" w:rsidRPr="008F5FC9">
        <w:rPr>
          <w:rFonts w:cs="Arial"/>
          <w:sz w:val="22"/>
          <w:szCs w:val="22"/>
        </w:rPr>
        <w:t xml:space="preserve">the legislation </w:t>
      </w:r>
      <w:r w:rsidR="00645578">
        <w:rPr>
          <w:rFonts w:cs="Arial"/>
          <w:bCs/>
          <w:sz w:val="22"/>
          <w:szCs w:val="22"/>
        </w:rPr>
        <w:t>is</w:t>
      </w:r>
      <w:r w:rsidR="00D26B39" w:rsidRPr="008F5FC9">
        <w:rPr>
          <w:rFonts w:cs="Arial"/>
          <w:sz w:val="22"/>
          <w:szCs w:val="22"/>
        </w:rPr>
        <w:t xml:space="preserve"> expected to </w:t>
      </w:r>
      <w:r w:rsidR="00802662" w:rsidRPr="008F5FC9">
        <w:rPr>
          <w:rFonts w:cs="Arial"/>
          <w:sz w:val="22"/>
          <w:szCs w:val="22"/>
        </w:rPr>
        <w:t xml:space="preserve">be similar to those experienced </w:t>
      </w:r>
      <w:r w:rsidR="00163E39" w:rsidRPr="008F5FC9">
        <w:rPr>
          <w:rFonts w:cs="Arial"/>
          <w:sz w:val="22"/>
          <w:szCs w:val="22"/>
        </w:rPr>
        <w:t xml:space="preserve">by the entities costed in this IA. </w:t>
      </w:r>
      <w:r w:rsidR="00EC503C">
        <w:rPr>
          <w:rFonts w:cs="Arial"/>
          <w:sz w:val="22"/>
          <w:szCs w:val="22"/>
        </w:rPr>
        <w:t xml:space="preserve">It is expected that a number of these </w:t>
      </w:r>
      <w:r w:rsidR="002D0F87">
        <w:rPr>
          <w:rFonts w:cs="Arial"/>
          <w:sz w:val="22"/>
          <w:szCs w:val="22"/>
        </w:rPr>
        <w:t xml:space="preserve">public sector bodies will have </w:t>
      </w:r>
      <w:r w:rsidR="0057617C">
        <w:rPr>
          <w:rFonts w:cs="Arial"/>
          <w:sz w:val="22"/>
          <w:szCs w:val="22"/>
        </w:rPr>
        <w:t xml:space="preserve">sufficient </w:t>
      </w:r>
      <w:r w:rsidR="00F2220A">
        <w:rPr>
          <w:rFonts w:cs="Arial"/>
          <w:sz w:val="22"/>
          <w:szCs w:val="22"/>
        </w:rPr>
        <w:t>anti-fraud pro</w:t>
      </w:r>
      <w:r w:rsidR="0057617C">
        <w:rPr>
          <w:rFonts w:cs="Arial"/>
          <w:sz w:val="22"/>
          <w:szCs w:val="22"/>
        </w:rPr>
        <w:t>c</w:t>
      </w:r>
      <w:r w:rsidR="00F2220A">
        <w:rPr>
          <w:rFonts w:cs="Arial"/>
          <w:sz w:val="22"/>
          <w:szCs w:val="22"/>
        </w:rPr>
        <w:t xml:space="preserve">edures </w:t>
      </w:r>
      <w:r w:rsidR="0057617C">
        <w:rPr>
          <w:rFonts w:cs="Arial"/>
          <w:sz w:val="22"/>
          <w:szCs w:val="22"/>
        </w:rPr>
        <w:t xml:space="preserve">already </w:t>
      </w:r>
      <w:r w:rsidR="00F2220A">
        <w:rPr>
          <w:rFonts w:cs="Arial"/>
          <w:sz w:val="22"/>
          <w:szCs w:val="22"/>
        </w:rPr>
        <w:t xml:space="preserve">in place </w:t>
      </w:r>
      <w:r w:rsidR="00B43984">
        <w:rPr>
          <w:rFonts w:cs="Arial"/>
          <w:sz w:val="22"/>
          <w:szCs w:val="22"/>
        </w:rPr>
        <w:t xml:space="preserve">and therefore will not occur the full </w:t>
      </w:r>
      <w:r w:rsidR="000F5BBC">
        <w:rPr>
          <w:rFonts w:cs="Arial"/>
          <w:sz w:val="22"/>
          <w:szCs w:val="22"/>
        </w:rPr>
        <w:t>amount</w:t>
      </w:r>
      <w:r w:rsidR="00B43984">
        <w:rPr>
          <w:rFonts w:cs="Arial"/>
          <w:sz w:val="22"/>
          <w:szCs w:val="22"/>
        </w:rPr>
        <w:t xml:space="preserve"> of additional costs as a result of this legisl</w:t>
      </w:r>
      <w:r w:rsidR="000F5BBC">
        <w:rPr>
          <w:rFonts w:cs="Arial"/>
          <w:sz w:val="22"/>
          <w:szCs w:val="22"/>
        </w:rPr>
        <w:t>ation. However, the pro</w:t>
      </w:r>
      <w:r w:rsidR="00154AD3">
        <w:rPr>
          <w:rFonts w:cs="Arial"/>
          <w:sz w:val="22"/>
          <w:szCs w:val="22"/>
        </w:rPr>
        <w:t>portion of public sector bodies which have these already in place is uncertain</w:t>
      </w:r>
      <w:r w:rsidR="4FF569BC" w:rsidRPr="40374698">
        <w:rPr>
          <w:rFonts w:cs="Arial"/>
          <w:sz w:val="22"/>
          <w:szCs w:val="22"/>
        </w:rPr>
        <w:t>.</w:t>
      </w:r>
      <w:r w:rsidR="000551FA">
        <w:rPr>
          <w:rFonts w:cs="Arial"/>
          <w:sz w:val="22"/>
          <w:szCs w:val="22"/>
        </w:rPr>
        <w:t xml:space="preserve"> The cost of this policy to public sector </w:t>
      </w:r>
      <w:r w:rsidR="002D2EE9">
        <w:rPr>
          <w:rFonts w:cs="Arial"/>
          <w:sz w:val="22"/>
          <w:szCs w:val="22"/>
        </w:rPr>
        <w:t xml:space="preserve">bodies will be specifically covered in the post implementation review. </w:t>
      </w:r>
    </w:p>
    <w:p w14:paraId="71C2D17F" w14:textId="79A6144D" w:rsidR="006E6E80" w:rsidRPr="00441AF5" w:rsidRDefault="006E6E80" w:rsidP="0029116F">
      <w:pPr>
        <w:spacing w:after="120" w:line="256" w:lineRule="auto"/>
        <w:jc w:val="both"/>
        <w:rPr>
          <w:rFonts w:cs="Arial"/>
          <w:sz w:val="22"/>
          <w:szCs w:val="22"/>
        </w:rPr>
      </w:pPr>
      <w:r w:rsidRPr="00441AF5">
        <w:rPr>
          <w:rFonts w:cs="Arial"/>
          <w:b/>
          <w:sz w:val="22"/>
          <w:szCs w:val="22"/>
        </w:rPr>
        <w:t>Benefits</w:t>
      </w:r>
    </w:p>
    <w:p w14:paraId="79F2A502" w14:textId="7CC5228F" w:rsidR="00FE2436" w:rsidRPr="00441AF5" w:rsidRDefault="006E6E80"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There is a</w:t>
      </w:r>
      <w:r w:rsidR="00500234">
        <w:rPr>
          <w:rFonts w:cs="Arial"/>
          <w:sz w:val="22"/>
          <w:szCs w:val="22"/>
        </w:rPr>
        <w:t>n absence</w:t>
      </w:r>
      <w:r w:rsidRPr="00441AF5">
        <w:rPr>
          <w:rFonts w:cs="Arial"/>
          <w:sz w:val="22"/>
          <w:szCs w:val="22"/>
        </w:rPr>
        <w:t xml:space="preserve"> of data on the incidence and associated losses of corporate fraud, which makes it difficult to quantify benefits for the measures. </w:t>
      </w:r>
      <w:r w:rsidR="00702FF7">
        <w:rPr>
          <w:rFonts w:cs="Arial"/>
          <w:sz w:val="22"/>
          <w:szCs w:val="22"/>
        </w:rPr>
        <w:t>T</w:t>
      </w:r>
      <w:r w:rsidRPr="00441AF5">
        <w:rPr>
          <w:rFonts w:cs="Arial"/>
          <w:sz w:val="22"/>
          <w:szCs w:val="22"/>
        </w:rPr>
        <w:t xml:space="preserve">his IA only provides a qualitative assessment of benefits. </w:t>
      </w:r>
    </w:p>
    <w:p w14:paraId="1C181706" w14:textId="4346B9D4" w:rsidR="00FE2436" w:rsidRPr="00441AF5" w:rsidRDefault="00F40286"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This legislation</w:t>
      </w:r>
      <w:r w:rsidR="006E6E80" w:rsidRPr="00441AF5">
        <w:rPr>
          <w:rFonts w:cs="Arial"/>
          <w:sz w:val="22"/>
          <w:szCs w:val="22"/>
        </w:rPr>
        <w:t xml:space="preserve"> aim</w:t>
      </w:r>
      <w:r w:rsidRPr="00441AF5">
        <w:rPr>
          <w:rFonts w:cs="Arial"/>
          <w:sz w:val="22"/>
          <w:szCs w:val="22"/>
        </w:rPr>
        <w:t>s</w:t>
      </w:r>
      <w:r w:rsidR="006E6E80" w:rsidRPr="00441AF5">
        <w:rPr>
          <w:rFonts w:cs="Arial"/>
          <w:sz w:val="22"/>
          <w:szCs w:val="22"/>
        </w:rPr>
        <w:t xml:space="preserve"> to reduce the incidence of corporate criminality through behavioural and cultural changes. </w:t>
      </w:r>
    </w:p>
    <w:p w14:paraId="33F0D385" w14:textId="77777777" w:rsidR="006E6E80" w:rsidRPr="00441AF5" w:rsidRDefault="006E6E80" w:rsidP="0029116F">
      <w:pPr>
        <w:spacing w:after="120" w:line="256" w:lineRule="auto"/>
        <w:jc w:val="both"/>
        <w:rPr>
          <w:rFonts w:cs="Arial"/>
          <w:b/>
          <w:sz w:val="22"/>
          <w:szCs w:val="22"/>
        </w:rPr>
      </w:pPr>
      <w:r w:rsidRPr="00441AF5">
        <w:rPr>
          <w:rFonts w:cs="Arial"/>
          <w:b/>
          <w:sz w:val="22"/>
          <w:szCs w:val="22"/>
        </w:rPr>
        <w:t>Non-monetised benefits</w:t>
      </w:r>
    </w:p>
    <w:p w14:paraId="679700A9" w14:textId="769679E6" w:rsidR="00C87A47" w:rsidRPr="00441AF5" w:rsidRDefault="00AB68DD"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The main benefit of this legislation is the cultural change it is intended to create. This change is expected to result in a deterrent effect where increased awareness and corporate liability may deter would-be fraudsters. The threat of criminal liability will encourage organisations to put fraud-prevention measures in place which can reduce fraud as:</w:t>
      </w:r>
    </w:p>
    <w:p w14:paraId="68F2E96C" w14:textId="57BE75DF" w:rsidR="0079224E" w:rsidRPr="00441AF5" w:rsidRDefault="006E6E80" w:rsidP="007335EA">
      <w:pPr>
        <w:pStyle w:val="ListParagraph"/>
        <w:numPr>
          <w:ilvl w:val="0"/>
          <w:numId w:val="24"/>
        </w:numPr>
        <w:spacing w:after="120" w:line="259" w:lineRule="auto"/>
        <w:ind w:left="1134" w:hanging="425"/>
        <w:contextualSpacing w:val="0"/>
        <w:jc w:val="both"/>
        <w:rPr>
          <w:rFonts w:cs="Arial"/>
          <w:sz w:val="22"/>
          <w:szCs w:val="22"/>
        </w:rPr>
      </w:pPr>
      <w:r w:rsidRPr="00441AF5">
        <w:rPr>
          <w:rFonts w:cs="Arial"/>
          <w:sz w:val="22"/>
          <w:szCs w:val="22"/>
        </w:rPr>
        <w:lastRenderedPageBreak/>
        <w:t xml:space="preserve">The new offence allows for an organisation to be </w:t>
      </w:r>
      <w:r w:rsidR="00786CFF">
        <w:rPr>
          <w:rFonts w:cs="Arial"/>
          <w:sz w:val="22"/>
          <w:szCs w:val="22"/>
        </w:rPr>
        <w:t>held</w:t>
      </w:r>
      <w:r w:rsidRPr="00441AF5">
        <w:rPr>
          <w:rFonts w:cs="Arial"/>
          <w:sz w:val="22"/>
          <w:szCs w:val="22"/>
        </w:rPr>
        <w:t xml:space="preserve"> responsible for failing to prevent fraud carried out by any employee</w:t>
      </w:r>
      <w:r w:rsidR="007E3438">
        <w:rPr>
          <w:rFonts w:cs="Arial"/>
          <w:sz w:val="22"/>
          <w:szCs w:val="22"/>
        </w:rPr>
        <w:t xml:space="preserve"> or other associated person</w:t>
      </w:r>
      <w:r w:rsidRPr="00441AF5">
        <w:rPr>
          <w:rFonts w:cs="Arial"/>
          <w:sz w:val="22"/>
          <w:szCs w:val="22"/>
        </w:rPr>
        <w:t xml:space="preserve">: Historically </w:t>
      </w:r>
      <w:r w:rsidR="0088619B">
        <w:rPr>
          <w:rFonts w:cs="Arial"/>
          <w:sz w:val="22"/>
          <w:szCs w:val="22"/>
        </w:rPr>
        <w:t xml:space="preserve">corporate criminal offences have applied only when </w:t>
      </w:r>
      <w:r w:rsidR="008C214E">
        <w:rPr>
          <w:rFonts w:cs="Arial"/>
          <w:sz w:val="22"/>
          <w:szCs w:val="22"/>
        </w:rPr>
        <w:t xml:space="preserve">the person considered to be the “directing mind” of the organisation </w:t>
      </w:r>
      <w:r w:rsidR="0088619B">
        <w:rPr>
          <w:rFonts w:cs="Arial"/>
          <w:sz w:val="22"/>
          <w:szCs w:val="22"/>
        </w:rPr>
        <w:t>has committed the offence.</w:t>
      </w:r>
      <w:r w:rsidR="008C214E">
        <w:rPr>
          <w:rFonts w:cs="Arial"/>
          <w:sz w:val="22"/>
          <w:szCs w:val="22"/>
        </w:rPr>
        <w:t xml:space="preserve"> </w:t>
      </w:r>
      <w:r w:rsidR="00E118E4">
        <w:rPr>
          <w:rFonts w:cs="Arial"/>
          <w:sz w:val="22"/>
          <w:szCs w:val="22"/>
        </w:rPr>
        <w:t>I</w:t>
      </w:r>
      <w:r w:rsidRPr="00441AF5">
        <w:rPr>
          <w:rFonts w:cs="Arial"/>
          <w:sz w:val="22"/>
          <w:szCs w:val="22"/>
        </w:rPr>
        <w:t>n large organisations, where junior management may historically have committed offences to inflate their teams’ performance to senior management, the scale of offences and subsequent losses may be considerable. A new failure to prevent fraud offence aims to incentivise organisations to stop these offences taking place and therefore is likely to reduce the level of fraud and associated losses.</w:t>
      </w:r>
      <w:r w:rsidR="0079224E" w:rsidRPr="00441AF5">
        <w:rPr>
          <w:rFonts w:cs="Arial"/>
          <w:sz w:val="22"/>
          <w:szCs w:val="22"/>
        </w:rPr>
        <w:t xml:space="preserve"> </w:t>
      </w:r>
    </w:p>
    <w:p w14:paraId="39DC4401" w14:textId="527C18CF" w:rsidR="0079224E" w:rsidRPr="00441AF5" w:rsidRDefault="00B97F4D" w:rsidP="007335EA">
      <w:pPr>
        <w:pStyle w:val="ListParagraph"/>
        <w:numPr>
          <w:ilvl w:val="0"/>
          <w:numId w:val="24"/>
        </w:numPr>
        <w:spacing w:after="120" w:line="259" w:lineRule="auto"/>
        <w:ind w:left="1134" w:hanging="425"/>
        <w:contextualSpacing w:val="0"/>
        <w:jc w:val="both"/>
        <w:rPr>
          <w:rFonts w:cs="Arial"/>
          <w:sz w:val="22"/>
          <w:szCs w:val="22"/>
        </w:rPr>
      </w:pPr>
      <w:r w:rsidRPr="00441AF5">
        <w:rPr>
          <w:rFonts w:cs="Arial"/>
          <w:sz w:val="22"/>
          <w:szCs w:val="22"/>
        </w:rPr>
        <w:t>It can enable i</w:t>
      </w:r>
      <w:r w:rsidR="006E6E80" w:rsidRPr="00441AF5">
        <w:rPr>
          <w:rFonts w:cs="Arial"/>
          <w:sz w:val="22"/>
          <w:szCs w:val="22"/>
        </w:rPr>
        <w:t>ncreased detection of fraudulent conduct</w:t>
      </w:r>
      <w:r w:rsidRPr="00441AF5">
        <w:rPr>
          <w:rFonts w:cs="Arial"/>
          <w:sz w:val="22"/>
          <w:szCs w:val="22"/>
        </w:rPr>
        <w:t>.</w:t>
      </w:r>
      <w:r w:rsidR="006E6E80" w:rsidRPr="00441AF5">
        <w:rPr>
          <w:rFonts w:cs="Arial"/>
          <w:sz w:val="22"/>
          <w:szCs w:val="22"/>
        </w:rPr>
        <w:t xml:space="preserve"> Staff awareness of fraud will increase their ability to detect fraud by others and reduce the temptation to conduct fraudulent activity themselves. The benefits rely somewhat on the cultural changes that are expected when most large organisations are in scope.</w:t>
      </w:r>
      <w:r w:rsidR="0079224E" w:rsidRPr="00441AF5">
        <w:rPr>
          <w:rFonts w:cs="Arial"/>
          <w:sz w:val="22"/>
          <w:szCs w:val="22"/>
        </w:rPr>
        <w:t xml:space="preserve"> </w:t>
      </w:r>
    </w:p>
    <w:p w14:paraId="61929A2B" w14:textId="7DD0AEB6" w:rsidR="00C87A47" w:rsidRPr="00441AF5" w:rsidRDefault="00006F0A"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Having greater fraud prevention procedures in place could improve confidence in doing business in the UK. Widespread organisational cultural change would demonstrate that organisations in this country are committed to preventing fraud and could enhance the global economic reputation of the UK, increasing international confidence in conducting business here.</w:t>
      </w:r>
    </w:p>
    <w:p w14:paraId="3AFAF94E" w14:textId="313271C1" w:rsidR="00D90075" w:rsidRPr="00BC4BD2" w:rsidRDefault="00002B0A" w:rsidP="003F40C2">
      <w:pPr>
        <w:pStyle w:val="ListParagraph"/>
        <w:numPr>
          <w:ilvl w:val="0"/>
          <w:numId w:val="10"/>
        </w:numPr>
        <w:spacing w:after="120" w:line="259" w:lineRule="auto"/>
        <w:ind w:left="567" w:hanging="567"/>
        <w:contextualSpacing w:val="0"/>
        <w:jc w:val="both"/>
        <w:rPr>
          <w:rFonts w:cs="Arial"/>
          <w:b/>
          <w:bCs/>
          <w:sz w:val="22"/>
          <w:szCs w:val="22"/>
          <w:lang w:eastAsia="en-GB"/>
        </w:rPr>
      </w:pPr>
      <w:r w:rsidRPr="00441AF5">
        <w:rPr>
          <w:rFonts w:cs="Arial"/>
          <w:sz w:val="22"/>
          <w:szCs w:val="22"/>
        </w:rPr>
        <w:t>As the main benefit is deterrence, a</w:t>
      </w:r>
      <w:r w:rsidR="006E6E80" w:rsidRPr="00441AF5">
        <w:rPr>
          <w:rFonts w:cs="Arial"/>
          <w:sz w:val="22"/>
          <w:szCs w:val="22"/>
        </w:rPr>
        <w:t xml:space="preserve"> significant increase in prosecutions is not expected: </w:t>
      </w:r>
      <w:r w:rsidR="006E6E80" w:rsidRPr="6C18543B">
        <w:rPr>
          <w:rFonts w:cs="Arial"/>
          <w:sz w:val="22"/>
          <w:szCs w:val="22"/>
        </w:rPr>
        <w:t>The</w:t>
      </w:r>
      <w:r w:rsidR="006E6E80" w:rsidRPr="00441AF5">
        <w:rPr>
          <w:rFonts w:cs="Arial"/>
          <w:sz w:val="22"/>
          <w:szCs w:val="22"/>
        </w:rPr>
        <w:t xml:space="preserve"> SFO ha</w:t>
      </w:r>
      <w:r w:rsidR="0002066C">
        <w:rPr>
          <w:rFonts w:cs="Arial"/>
          <w:sz w:val="22"/>
          <w:szCs w:val="22"/>
        </w:rPr>
        <w:t>s prosecuted</w:t>
      </w:r>
      <w:r w:rsidR="006E6E80" w:rsidRPr="00441AF5">
        <w:rPr>
          <w:rFonts w:cs="Arial"/>
          <w:sz w:val="22"/>
          <w:szCs w:val="22"/>
        </w:rPr>
        <w:t xml:space="preserve"> the </w:t>
      </w:r>
      <w:r w:rsidR="003654DA" w:rsidRPr="00441AF5">
        <w:rPr>
          <w:rFonts w:cs="Arial"/>
          <w:sz w:val="22"/>
          <w:szCs w:val="22"/>
        </w:rPr>
        <w:t>f</w:t>
      </w:r>
      <w:r w:rsidR="006E6E80" w:rsidRPr="00441AF5">
        <w:rPr>
          <w:rFonts w:cs="Arial"/>
          <w:sz w:val="22"/>
          <w:szCs w:val="22"/>
        </w:rPr>
        <w:t xml:space="preserve">ailure to </w:t>
      </w:r>
      <w:r w:rsidR="003654DA" w:rsidRPr="00441AF5">
        <w:rPr>
          <w:rFonts w:cs="Arial"/>
          <w:sz w:val="22"/>
          <w:szCs w:val="22"/>
        </w:rPr>
        <w:t>p</w:t>
      </w:r>
      <w:r w:rsidR="006E6E80" w:rsidRPr="00441AF5">
        <w:rPr>
          <w:rFonts w:cs="Arial"/>
          <w:sz w:val="22"/>
          <w:szCs w:val="22"/>
        </w:rPr>
        <w:t xml:space="preserve">revent </w:t>
      </w:r>
      <w:r w:rsidR="003654DA" w:rsidRPr="00441AF5">
        <w:rPr>
          <w:rFonts w:cs="Arial"/>
          <w:sz w:val="22"/>
          <w:szCs w:val="22"/>
        </w:rPr>
        <w:t>b</w:t>
      </w:r>
      <w:r w:rsidR="006E6E80" w:rsidRPr="00441AF5">
        <w:rPr>
          <w:rFonts w:cs="Arial"/>
          <w:sz w:val="22"/>
          <w:szCs w:val="22"/>
        </w:rPr>
        <w:t xml:space="preserve">ribery </w:t>
      </w:r>
      <w:r w:rsidR="003654DA" w:rsidRPr="00441AF5">
        <w:rPr>
          <w:rFonts w:cs="Arial"/>
          <w:sz w:val="22"/>
          <w:szCs w:val="22"/>
        </w:rPr>
        <w:t>o</w:t>
      </w:r>
      <w:r w:rsidR="006E6E80" w:rsidRPr="00441AF5">
        <w:rPr>
          <w:rFonts w:cs="Arial"/>
          <w:sz w:val="22"/>
          <w:szCs w:val="22"/>
        </w:rPr>
        <w:t xml:space="preserve">ffence </w:t>
      </w:r>
      <w:r w:rsidR="004B3506" w:rsidRPr="00441AF5">
        <w:rPr>
          <w:rFonts w:cs="Arial"/>
          <w:sz w:val="22"/>
          <w:szCs w:val="22"/>
        </w:rPr>
        <w:t>(</w:t>
      </w:r>
      <w:r w:rsidR="004B3506">
        <w:rPr>
          <w:rFonts w:cs="Arial"/>
          <w:sz w:val="22"/>
          <w:szCs w:val="22"/>
        </w:rPr>
        <w:t xml:space="preserve">introduced in </w:t>
      </w:r>
      <w:r w:rsidR="004B3506" w:rsidRPr="00441AF5">
        <w:rPr>
          <w:rFonts w:cs="Arial"/>
          <w:sz w:val="22"/>
          <w:szCs w:val="22"/>
        </w:rPr>
        <w:t>2010</w:t>
      </w:r>
      <w:r w:rsidR="004B3506">
        <w:rPr>
          <w:rFonts w:cs="Arial"/>
          <w:sz w:val="22"/>
          <w:szCs w:val="22"/>
        </w:rPr>
        <w:t xml:space="preserve">) </w:t>
      </w:r>
      <w:r w:rsidR="00622DA4">
        <w:rPr>
          <w:rFonts w:cs="Arial"/>
          <w:sz w:val="22"/>
          <w:szCs w:val="22"/>
        </w:rPr>
        <w:t>three times</w:t>
      </w:r>
      <w:r w:rsidR="00622DA4" w:rsidRPr="00441AF5">
        <w:rPr>
          <w:rFonts w:cs="Arial"/>
          <w:sz w:val="22"/>
          <w:szCs w:val="22"/>
        </w:rPr>
        <w:t xml:space="preserve"> </w:t>
      </w:r>
      <w:r w:rsidR="006E6E80" w:rsidRPr="00441AF5">
        <w:rPr>
          <w:rFonts w:cs="Arial"/>
          <w:sz w:val="22"/>
          <w:szCs w:val="22"/>
        </w:rPr>
        <w:t>in the last 1</w:t>
      </w:r>
      <w:r w:rsidR="00B82835" w:rsidRPr="00441AF5">
        <w:rPr>
          <w:rFonts w:cs="Arial"/>
          <w:sz w:val="22"/>
          <w:szCs w:val="22"/>
        </w:rPr>
        <w:t>3</w:t>
      </w:r>
      <w:r w:rsidR="006E6E80" w:rsidRPr="00441AF5">
        <w:rPr>
          <w:rFonts w:cs="Arial"/>
          <w:sz w:val="22"/>
          <w:szCs w:val="22"/>
        </w:rPr>
        <w:t xml:space="preserve"> years</w:t>
      </w:r>
      <w:r w:rsidR="00677E8E" w:rsidRPr="6C18543B">
        <w:rPr>
          <w:rStyle w:val="FootnoteReference"/>
        </w:rPr>
        <w:footnoteReference w:id="73"/>
      </w:r>
      <w:r w:rsidR="000B4DB9">
        <w:rPr>
          <w:rFonts w:cs="Arial"/>
          <w:sz w:val="22"/>
          <w:szCs w:val="22"/>
        </w:rPr>
        <w:t xml:space="preserve">, </w:t>
      </w:r>
      <w:r w:rsidR="00D804DB" w:rsidRPr="6C18543B">
        <w:rPr>
          <w:rStyle w:val="FootnoteReference"/>
        </w:rPr>
        <w:footnoteReference w:id="74"/>
      </w:r>
      <w:r w:rsidR="006D4843">
        <w:rPr>
          <w:rFonts w:cs="Arial"/>
          <w:sz w:val="22"/>
          <w:szCs w:val="22"/>
        </w:rPr>
        <w:t>,</w:t>
      </w:r>
      <w:r w:rsidR="00D804DB" w:rsidRPr="6C18543B">
        <w:rPr>
          <w:rStyle w:val="FootnoteReference"/>
        </w:rPr>
        <w:footnoteReference w:id="75"/>
      </w:r>
      <w:r w:rsidR="00E0410B">
        <w:rPr>
          <w:rFonts w:cs="Arial"/>
          <w:sz w:val="22"/>
          <w:szCs w:val="22"/>
        </w:rPr>
        <w:t>,</w:t>
      </w:r>
      <w:r w:rsidR="00E0410B" w:rsidRPr="6C18543B">
        <w:rPr>
          <w:rStyle w:val="FootnoteReference"/>
        </w:rPr>
        <w:footnoteReference w:id="76"/>
      </w:r>
      <w:r w:rsidR="00E0410B">
        <w:rPr>
          <w:rFonts w:cs="Arial"/>
          <w:sz w:val="22"/>
          <w:szCs w:val="22"/>
        </w:rPr>
        <w:t xml:space="preserve"> </w:t>
      </w:r>
      <w:r w:rsidR="00622DA4">
        <w:rPr>
          <w:rFonts w:cs="Arial"/>
          <w:sz w:val="22"/>
          <w:szCs w:val="22"/>
        </w:rPr>
        <w:t>and the CPS has also prosecuted the offence</w:t>
      </w:r>
      <w:r w:rsidR="005A72A6" w:rsidRPr="6C18543B">
        <w:rPr>
          <w:rStyle w:val="FootnoteReference"/>
        </w:rPr>
        <w:footnoteReference w:id="77"/>
      </w:r>
      <w:r w:rsidR="006E6E80" w:rsidRPr="00441AF5">
        <w:rPr>
          <w:rFonts w:cs="Arial"/>
          <w:sz w:val="22"/>
          <w:szCs w:val="22"/>
        </w:rPr>
        <w:t xml:space="preserve">. It is likely there will be more fraud prosecutions due to relative scale of fraud compared to that of bribery. </w:t>
      </w:r>
      <w:r w:rsidR="00AD5A32" w:rsidRPr="00441AF5">
        <w:rPr>
          <w:rFonts w:cs="Arial"/>
          <w:sz w:val="22"/>
          <w:szCs w:val="22"/>
        </w:rPr>
        <w:t xml:space="preserve">The </w:t>
      </w:r>
      <w:r w:rsidR="00136573">
        <w:rPr>
          <w:rFonts w:cs="Arial"/>
          <w:sz w:val="22"/>
          <w:szCs w:val="22"/>
        </w:rPr>
        <w:t>g</w:t>
      </w:r>
      <w:r w:rsidR="00AD5A32" w:rsidRPr="00441AF5">
        <w:rPr>
          <w:rFonts w:cs="Arial"/>
          <w:sz w:val="22"/>
          <w:szCs w:val="22"/>
        </w:rPr>
        <w:t>overnment</w:t>
      </w:r>
      <w:r w:rsidR="006E6E80" w:rsidRPr="00441AF5">
        <w:rPr>
          <w:rFonts w:cs="Arial"/>
          <w:sz w:val="22"/>
          <w:szCs w:val="22"/>
        </w:rPr>
        <w:t xml:space="preserve"> do</w:t>
      </w:r>
      <w:r w:rsidR="0050004D" w:rsidRPr="00441AF5">
        <w:rPr>
          <w:rFonts w:cs="Arial"/>
          <w:sz w:val="22"/>
          <w:szCs w:val="22"/>
        </w:rPr>
        <w:t>es</w:t>
      </w:r>
      <w:r w:rsidR="006E6E80" w:rsidRPr="00441AF5">
        <w:rPr>
          <w:rFonts w:cs="Arial"/>
          <w:sz w:val="22"/>
          <w:szCs w:val="22"/>
        </w:rPr>
        <w:t xml:space="preserve"> anticipate the use of </w:t>
      </w:r>
      <w:r w:rsidR="00AD5A32" w:rsidRPr="00441AF5">
        <w:rPr>
          <w:rFonts w:cs="Arial"/>
          <w:sz w:val="22"/>
          <w:szCs w:val="22"/>
        </w:rPr>
        <w:t xml:space="preserve">a Deferred </w:t>
      </w:r>
      <w:r w:rsidR="006F48F2" w:rsidRPr="00441AF5">
        <w:rPr>
          <w:rFonts w:cs="Arial"/>
          <w:sz w:val="22"/>
          <w:szCs w:val="22"/>
        </w:rPr>
        <w:t>P</w:t>
      </w:r>
      <w:r w:rsidR="00AD5A32" w:rsidRPr="00441AF5">
        <w:rPr>
          <w:rFonts w:cs="Arial"/>
          <w:sz w:val="22"/>
          <w:szCs w:val="22"/>
        </w:rPr>
        <w:t>rosecution Agreement</w:t>
      </w:r>
      <w:r w:rsidR="0002066C">
        <w:rPr>
          <w:rFonts w:cs="Arial"/>
          <w:sz w:val="22"/>
          <w:szCs w:val="22"/>
        </w:rPr>
        <w:t>s</w:t>
      </w:r>
      <w:r w:rsidR="00AD5A32" w:rsidRPr="00441AF5">
        <w:rPr>
          <w:rFonts w:cs="Arial"/>
          <w:sz w:val="22"/>
          <w:szCs w:val="22"/>
        </w:rPr>
        <w:t xml:space="preserve"> (</w:t>
      </w:r>
      <w:r w:rsidR="006E6E80" w:rsidRPr="00441AF5">
        <w:rPr>
          <w:rFonts w:cs="Arial"/>
          <w:sz w:val="22"/>
          <w:szCs w:val="22"/>
        </w:rPr>
        <w:t>DPA</w:t>
      </w:r>
      <w:r w:rsidR="0002066C">
        <w:rPr>
          <w:rFonts w:cs="Arial"/>
          <w:sz w:val="22"/>
          <w:szCs w:val="22"/>
        </w:rPr>
        <w:t>s</w:t>
      </w:r>
      <w:r w:rsidR="00AD5A32" w:rsidRPr="00441AF5">
        <w:rPr>
          <w:rFonts w:cs="Arial"/>
          <w:sz w:val="22"/>
          <w:szCs w:val="22"/>
        </w:rPr>
        <w:t>)</w:t>
      </w:r>
      <w:r w:rsidR="006E6E80" w:rsidRPr="00441AF5">
        <w:rPr>
          <w:rFonts w:cs="Arial"/>
          <w:sz w:val="22"/>
          <w:szCs w:val="22"/>
        </w:rPr>
        <w:t xml:space="preserve"> which have been used </w:t>
      </w:r>
      <w:r w:rsidR="00996C5C">
        <w:rPr>
          <w:rFonts w:cs="Arial"/>
          <w:sz w:val="22"/>
          <w:szCs w:val="22"/>
        </w:rPr>
        <w:t>ten</w:t>
      </w:r>
      <w:r w:rsidR="00185097" w:rsidRPr="00441AF5">
        <w:rPr>
          <w:rFonts w:cs="Arial"/>
          <w:sz w:val="22"/>
          <w:szCs w:val="22"/>
        </w:rPr>
        <w:t xml:space="preserve"> </w:t>
      </w:r>
      <w:r w:rsidR="006E6E80" w:rsidRPr="00441AF5">
        <w:rPr>
          <w:rFonts w:cs="Arial"/>
          <w:sz w:val="22"/>
          <w:szCs w:val="22"/>
        </w:rPr>
        <w:t xml:space="preserve">times since the introduction of the </w:t>
      </w:r>
      <w:r w:rsidR="00090E6E">
        <w:rPr>
          <w:rFonts w:cs="Arial"/>
          <w:sz w:val="22"/>
          <w:szCs w:val="22"/>
        </w:rPr>
        <w:t>failure to prevent b</w:t>
      </w:r>
      <w:r w:rsidR="006E6E80" w:rsidRPr="00441AF5">
        <w:rPr>
          <w:rFonts w:cs="Arial"/>
          <w:sz w:val="22"/>
          <w:szCs w:val="22"/>
        </w:rPr>
        <w:t xml:space="preserve">ribery </w:t>
      </w:r>
      <w:r w:rsidR="00090E6E">
        <w:rPr>
          <w:rFonts w:cs="Arial"/>
          <w:sz w:val="22"/>
          <w:szCs w:val="22"/>
        </w:rPr>
        <w:t>o</w:t>
      </w:r>
      <w:r w:rsidR="006E6E80" w:rsidRPr="00441AF5">
        <w:rPr>
          <w:rFonts w:cs="Arial"/>
          <w:sz w:val="22"/>
          <w:szCs w:val="22"/>
        </w:rPr>
        <w:t>ffence</w:t>
      </w:r>
      <w:r w:rsidR="00AC546A">
        <w:rPr>
          <w:rStyle w:val="FootnoteReference"/>
          <w:szCs w:val="22"/>
        </w:rPr>
        <w:footnoteReference w:id="78"/>
      </w:r>
      <w:r w:rsidR="00066361">
        <w:rPr>
          <w:rFonts w:cs="Arial"/>
          <w:sz w:val="22"/>
          <w:szCs w:val="22"/>
        </w:rPr>
        <w:t>,</w:t>
      </w:r>
      <w:r w:rsidR="0099209D">
        <w:rPr>
          <w:rFonts w:cs="Arial"/>
          <w:sz w:val="22"/>
          <w:szCs w:val="22"/>
        </w:rPr>
        <w:t xml:space="preserve"> </w:t>
      </w:r>
      <w:r w:rsidR="00066361">
        <w:rPr>
          <w:rFonts w:cs="Arial"/>
          <w:sz w:val="22"/>
          <w:szCs w:val="22"/>
        </w:rPr>
        <w:t>see, for example</w:t>
      </w:r>
      <w:r w:rsidR="00066361" w:rsidRPr="6C18543B">
        <w:rPr>
          <w:rStyle w:val="FootnoteReference"/>
        </w:rPr>
        <w:footnoteReference w:id="79"/>
      </w:r>
      <w:r w:rsidR="00C331A6">
        <w:rPr>
          <w:rFonts w:cs="Arial"/>
          <w:sz w:val="22"/>
          <w:szCs w:val="22"/>
        </w:rPr>
        <w:t>,</w:t>
      </w:r>
      <w:r w:rsidR="00C331A6" w:rsidRPr="6C18543B">
        <w:rPr>
          <w:rStyle w:val="FootnoteReference"/>
        </w:rPr>
        <w:footnoteReference w:id="80"/>
      </w:r>
      <w:r w:rsidR="00996C5C">
        <w:rPr>
          <w:rFonts w:cs="Arial"/>
          <w:sz w:val="22"/>
          <w:szCs w:val="22"/>
        </w:rPr>
        <w:t>,</w:t>
      </w:r>
      <w:r w:rsidR="00996C5C">
        <w:rPr>
          <w:rStyle w:val="FootnoteReference"/>
          <w:szCs w:val="22"/>
        </w:rPr>
        <w:footnoteReference w:id="81"/>
      </w:r>
      <w:r w:rsidR="00066361">
        <w:rPr>
          <w:rFonts w:cs="Arial"/>
          <w:sz w:val="22"/>
          <w:szCs w:val="22"/>
        </w:rPr>
        <w:t xml:space="preserve"> </w:t>
      </w:r>
      <w:r w:rsidR="00CF1CB6">
        <w:rPr>
          <w:rFonts w:cs="Arial"/>
          <w:sz w:val="22"/>
          <w:szCs w:val="22"/>
        </w:rPr>
        <w:t xml:space="preserve">. </w:t>
      </w:r>
      <w:r w:rsidR="00724214" w:rsidRPr="00724214">
        <w:rPr>
          <w:rFonts w:cs="Arial"/>
          <w:sz w:val="22"/>
          <w:szCs w:val="22"/>
        </w:rPr>
        <w:t xml:space="preserve">DPAs involve companies reaching an agreement with a prosecutor, where the company is charged with a criminal </w:t>
      </w:r>
      <w:r w:rsidR="007924FF" w:rsidRPr="00724214">
        <w:rPr>
          <w:rFonts w:cs="Arial"/>
          <w:sz w:val="22"/>
          <w:szCs w:val="22"/>
        </w:rPr>
        <w:t>offence,</w:t>
      </w:r>
      <w:r w:rsidR="00724214" w:rsidRPr="00724214">
        <w:rPr>
          <w:rFonts w:cs="Arial"/>
          <w:sz w:val="22"/>
          <w:szCs w:val="22"/>
        </w:rPr>
        <w:t xml:space="preserve"> but proceedings are automatically suspended. The company agrees to a number of conditions, which may include payment of a financial penalty, payment of compensation and implementation of a corporate compliance programme. </w:t>
      </w:r>
      <w:r w:rsidR="00697004">
        <w:rPr>
          <w:rFonts w:cs="Arial"/>
          <w:sz w:val="22"/>
          <w:szCs w:val="22"/>
        </w:rPr>
        <w:t xml:space="preserve">In addition, </w:t>
      </w:r>
      <w:r w:rsidR="00724214" w:rsidRPr="00724214">
        <w:rPr>
          <w:rFonts w:cs="Arial"/>
          <w:sz w:val="22"/>
          <w:szCs w:val="22"/>
        </w:rPr>
        <w:t xml:space="preserve">DPAs </w:t>
      </w:r>
      <w:r w:rsidR="00192457">
        <w:rPr>
          <w:rFonts w:cs="Arial"/>
          <w:sz w:val="22"/>
          <w:szCs w:val="22"/>
        </w:rPr>
        <w:t xml:space="preserve">are publicly available and, as such, </w:t>
      </w:r>
      <w:r w:rsidR="0043478A">
        <w:rPr>
          <w:rFonts w:cs="Arial"/>
          <w:sz w:val="22"/>
          <w:szCs w:val="22"/>
        </w:rPr>
        <w:t>are intended to drive wider cultural change</w:t>
      </w:r>
      <w:r w:rsidR="00192457">
        <w:rPr>
          <w:rFonts w:cs="Arial"/>
          <w:sz w:val="22"/>
          <w:szCs w:val="22"/>
        </w:rPr>
        <w:t>.</w:t>
      </w:r>
    </w:p>
    <w:p w14:paraId="1346BDA2" w14:textId="23D739E2" w:rsidR="00AD5A32" w:rsidRPr="00EB4ACC" w:rsidRDefault="00D90075" w:rsidP="003F40C2">
      <w:pPr>
        <w:pStyle w:val="ListParagraph"/>
        <w:numPr>
          <w:ilvl w:val="0"/>
          <w:numId w:val="10"/>
        </w:numPr>
        <w:spacing w:after="120" w:line="259" w:lineRule="auto"/>
        <w:ind w:left="567" w:hanging="567"/>
        <w:contextualSpacing w:val="0"/>
        <w:jc w:val="both"/>
        <w:rPr>
          <w:rFonts w:cs="Arial"/>
          <w:b/>
          <w:sz w:val="22"/>
          <w:szCs w:val="22"/>
          <w:lang w:eastAsia="en-GB"/>
        </w:rPr>
      </w:pPr>
      <w:r w:rsidRPr="00441AF5">
        <w:rPr>
          <w:rFonts w:cs="Arial"/>
          <w:sz w:val="22"/>
          <w:szCs w:val="22"/>
        </w:rPr>
        <w:t>The exclusion of small and medium</w:t>
      </w:r>
      <w:r>
        <w:rPr>
          <w:rFonts w:cs="Arial"/>
          <w:sz w:val="22"/>
          <w:szCs w:val="22"/>
        </w:rPr>
        <w:t>-</w:t>
      </w:r>
      <w:r w:rsidR="00397411">
        <w:rPr>
          <w:rFonts w:cs="Arial"/>
          <w:sz w:val="22"/>
          <w:szCs w:val="22"/>
        </w:rPr>
        <w:t xml:space="preserve">sized </w:t>
      </w:r>
      <w:r w:rsidRPr="00441AF5">
        <w:rPr>
          <w:rFonts w:cs="Arial"/>
          <w:sz w:val="22"/>
          <w:szCs w:val="22"/>
        </w:rPr>
        <w:t>business</w:t>
      </w:r>
      <w:r w:rsidR="008179A9">
        <w:rPr>
          <w:rFonts w:cs="Arial"/>
          <w:sz w:val="22"/>
          <w:szCs w:val="22"/>
        </w:rPr>
        <w:t>es</w:t>
      </w:r>
      <w:r w:rsidR="00AF5F1C">
        <w:rPr>
          <w:rStyle w:val="FootnoteReference"/>
          <w:szCs w:val="22"/>
        </w:rPr>
        <w:footnoteReference w:id="82"/>
      </w:r>
      <w:r w:rsidRPr="00441AF5">
        <w:rPr>
          <w:rFonts w:cs="Arial"/>
          <w:sz w:val="22"/>
          <w:szCs w:val="22"/>
        </w:rPr>
        <w:t xml:space="preserve"> </w:t>
      </w:r>
      <w:r w:rsidR="000B3B42" w:rsidRPr="00441AF5">
        <w:rPr>
          <w:rFonts w:cs="Arial"/>
          <w:sz w:val="22"/>
          <w:szCs w:val="22"/>
        </w:rPr>
        <w:t>might be expected to</w:t>
      </w:r>
      <w:r w:rsidRPr="00441AF5">
        <w:rPr>
          <w:rFonts w:cs="Arial"/>
          <w:sz w:val="22"/>
          <w:szCs w:val="22"/>
        </w:rPr>
        <w:t xml:space="preserve"> reduce the possible benefits and the potential for cultural change</w:t>
      </w:r>
      <w:r w:rsidR="00C36E52" w:rsidRPr="00441AF5">
        <w:rPr>
          <w:rFonts w:cs="Arial"/>
          <w:sz w:val="22"/>
          <w:szCs w:val="22"/>
        </w:rPr>
        <w:t xml:space="preserve">. </w:t>
      </w:r>
      <w:r w:rsidR="00744F66">
        <w:rPr>
          <w:rFonts w:cs="Arial"/>
          <w:sz w:val="22"/>
          <w:szCs w:val="22"/>
        </w:rPr>
        <w:t>T</w:t>
      </w:r>
      <w:r w:rsidR="002B46BC" w:rsidRPr="00441AF5">
        <w:rPr>
          <w:rFonts w:cs="Arial"/>
          <w:sz w:val="22"/>
          <w:szCs w:val="22"/>
        </w:rPr>
        <w:t xml:space="preserve">his effect is not anticipated to be large, </w:t>
      </w:r>
      <w:r w:rsidR="000B3B42" w:rsidRPr="00441AF5">
        <w:rPr>
          <w:rFonts w:cs="Arial"/>
          <w:sz w:val="22"/>
          <w:szCs w:val="22"/>
        </w:rPr>
        <w:t xml:space="preserve">since small </w:t>
      </w:r>
      <w:r w:rsidR="00074781" w:rsidRPr="00441AF5">
        <w:rPr>
          <w:rFonts w:cs="Arial"/>
          <w:sz w:val="22"/>
          <w:szCs w:val="22"/>
        </w:rPr>
        <w:t>and medium</w:t>
      </w:r>
      <w:r w:rsidR="00DB23E5">
        <w:rPr>
          <w:rFonts w:cs="Arial"/>
          <w:sz w:val="22"/>
          <w:szCs w:val="22"/>
        </w:rPr>
        <w:t>-</w:t>
      </w:r>
      <w:r w:rsidR="00074781" w:rsidRPr="00441AF5">
        <w:rPr>
          <w:rFonts w:cs="Arial"/>
          <w:sz w:val="22"/>
          <w:szCs w:val="22"/>
        </w:rPr>
        <w:t xml:space="preserve">sized </w:t>
      </w:r>
      <w:r w:rsidR="000B3B42" w:rsidRPr="00441AF5">
        <w:rPr>
          <w:rFonts w:cs="Arial"/>
          <w:sz w:val="22"/>
          <w:szCs w:val="22"/>
        </w:rPr>
        <w:t>organisations are more readily held to account using existing corporate liability offences</w:t>
      </w:r>
      <w:r w:rsidR="00E96FDC">
        <w:rPr>
          <w:rFonts w:cs="Arial"/>
          <w:sz w:val="22"/>
          <w:szCs w:val="22"/>
        </w:rPr>
        <w:t>.</w:t>
      </w:r>
      <w:r w:rsidR="00ED7FFA" w:rsidRPr="00441AF5">
        <w:rPr>
          <w:rFonts w:cs="Arial"/>
          <w:sz w:val="22"/>
          <w:szCs w:val="22"/>
        </w:rPr>
        <w:t xml:space="preserve"> Moreover</w:t>
      </w:r>
      <w:r w:rsidRPr="00441AF5">
        <w:rPr>
          <w:rFonts w:cs="Arial"/>
          <w:sz w:val="22"/>
          <w:szCs w:val="22"/>
        </w:rPr>
        <w:t>, it is possible that small and medium</w:t>
      </w:r>
      <w:r w:rsidR="008179A9">
        <w:rPr>
          <w:rFonts w:cs="Arial"/>
          <w:sz w:val="22"/>
          <w:szCs w:val="22"/>
        </w:rPr>
        <w:t xml:space="preserve"> sized </w:t>
      </w:r>
      <w:r w:rsidRPr="00441AF5">
        <w:rPr>
          <w:rFonts w:cs="Arial"/>
          <w:sz w:val="22"/>
          <w:szCs w:val="22"/>
        </w:rPr>
        <w:t xml:space="preserve">businesses may adopt some of these practices resulting in spill-over benefits. </w:t>
      </w:r>
    </w:p>
    <w:p w14:paraId="71B3E222" w14:textId="77777777" w:rsidR="00B51B06" w:rsidRDefault="00B51B06">
      <w:pPr>
        <w:rPr>
          <w:b/>
          <w:sz w:val="22"/>
          <w:szCs w:val="22"/>
        </w:rPr>
      </w:pPr>
      <w:bookmarkStart w:id="21" w:name="_Hlk120106597"/>
      <w:r>
        <w:rPr>
          <w:b/>
          <w:sz w:val="22"/>
          <w:szCs w:val="22"/>
        </w:rPr>
        <w:br w:type="page"/>
      </w:r>
    </w:p>
    <w:p w14:paraId="7955B2AA" w14:textId="0096A328" w:rsidR="006E6E80" w:rsidRDefault="006E6E80" w:rsidP="0081417F">
      <w:pPr>
        <w:ind w:left="567"/>
        <w:rPr>
          <w:b/>
          <w:sz w:val="22"/>
          <w:szCs w:val="22"/>
        </w:rPr>
      </w:pPr>
      <w:r w:rsidRPr="00627D49">
        <w:rPr>
          <w:b/>
          <w:sz w:val="22"/>
          <w:szCs w:val="22"/>
        </w:rPr>
        <w:lastRenderedPageBreak/>
        <w:t xml:space="preserve">Table </w:t>
      </w:r>
      <w:r w:rsidR="00C76CD7" w:rsidRPr="00627D49">
        <w:rPr>
          <w:b/>
          <w:sz w:val="22"/>
          <w:szCs w:val="22"/>
        </w:rPr>
        <w:t>1</w:t>
      </w:r>
      <w:r w:rsidR="00CB3E59" w:rsidRPr="00627D49">
        <w:rPr>
          <w:b/>
          <w:sz w:val="22"/>
          <w:szCs w:val="22"/>
        </w:rPr>
        <w:t>3</w:t>
      </w:r>
      <w:r w:rsidR="00194E78" w:rsidRPr="00627D49">
        <w:rPr>
          <w:b/>
          <w:sz w:val="22"/>
          <w:szCs w:val="22"/>
        </w:rPr>
        <w:t>,</w:t>
      </w:r>
      <w:r w:rsidRPr="00627D49">
        <w:rPr>
          <w:b/>
          <w:sz w:val="22"/>
          <w:szCs w:val="22"/>
        </w:rPr>
        <w:t xml:space="preserve"> Summary of </w:t>
      </w:r>
      <w:r w:rsidR="008B0D6B" w:rsidRPr="00627D49">
        <w:rPr>
          <w:b/>
          <w:sz w:val="22"/>
          <w:szCs w:val="22"/>
        </w:rPr>
        <w:t>M</w:t>
      </w:r>
      <w:r w:rsidR="00185097" w:rsidRPr="00627D49">
        <w:rPr>
          <w:b/>
          <w:sz w:val="22"/>
          <w:szCs w:val="22"/>
        </w:rPr>
        <w:t xml:space="preserve">onetised </w:t>
      </w:r>
      <w:r w:rsidR="008B0D6B" w:rsidRPr="00627D49">
        <w:rPr>
          <w:b/>
          <w:sz w:val="22"/>
          <w:szCs w:val="22"/>
        </w:rPr>
        <w:t>C</w:t>
      </w:r>
      <w:r w:rsidRPr="00627D49">
        <w:rPr>
          <w:b/>
          <w:sz w:val="22"/>
          <w:szCs w:val="22"/>
        </w:rPr>
        <w:t xml:space="preserve">osts and </w:t>
      </w:r>
      <w:r w:rsidR="008B0D6B" w:rsidRPr="00627D49">
        <w:rPr>
          <w:b/>
          <w:sz w:val="22"/>
          <w:szCs w:val="22"/>
        </w:rPr>
        <w:t>B</w:t>
      </w:r>
      <w:r w:rsidRPr="00627D49">
        <w:rPr>
          <w:b/>
          <w:sz w:val="22"/>
          <w:szCs w:val="22"/>
        </w:rPr>
        <w:t>enefits</w:t>
      </w:r>
      <w:r w:rsidR="00194E78" w:rsidRPr="00627D49">
        <w:rPr>
          <w:b/>
          <w:sz w:val="22"/>
          <w:szCs w:val="22"/>
        </w:rPr>
        <w:t>, £ million (PV 20</w:t>
      </w:r>
      <w:r w:rsidR="00185FE4" w:rsidRPr="00627D49">
        <w:rPr>
          <w:b/>
          <w:sz w:val="22"/>
          <w:szCs w:val="22"/>
        </w:rPr>
        <w:t>24</w:t>
      </w:r>
      <w:r w:rsidR="00194E78" w:rsidRPr="00627D49">
        <w:rPr>
          <w:b/>
          <w:sz w:val="22"/>
          <w:szCs w:val="22"/>
        </w:rPr>
        <w:t xml:space="preserve"> prices</w:t>
      </w:r>
      <w:r w:rsidR="0087348F" w:rsidRPr="00627D49">
        <w:rPr>
          <w:b/>
          <w:sz w:val="22"/>
          <w:szCs w:val="22"/>
        </w:rPr>
        <w:t>)</w:t>
      </w:r>
      <w:r w:rsidR="00194E78" w:rsidRPr="00627D49">
        <w:rPr>
          <w:b/>
          <w:sz w:val="22"/>
          <w:szCs w:val="22"/>
        </w:rPr>
        <w:t xml:space="preserve">, </w:t>
      </w:r>
      <w:r w:rsidR="00E54874" w:rsidRPr="00627D49">
        <w:rPr>
          <w:b/>
          <w:sz w:val="22"/>
          <w:szCs w:val="22"/>
        </w:rPr>
        <w:t xml:space="preserve">over 10 years </w:t>
      </w:r>
      <w:r w:rsidR="00194E78" w:rsidRPr="00627D49">
        <w:rPr>
          <w:b/>
          <w:sz w:val="22"/>
          <w:szCs w:val="22"/>
        </w:rPr>
        <w:t>202</w:t>
      </w:r>
      <w:r w:rsidR="006B1680" w:rsidRPr="00627D49">
        <w:rPr>
          <w:b/>
          <w:sz w:val="22"/>
          <w:szCs w:val="22"/>
        </w:rPr>
        <w:t>3</w:t>
      </w:r>
      <w:r w:rsidR="00194E78" w:rsidRPr="00627D49">
        <w:rPr>
          <w:b/>
          <w:sz w:val="22"/>
          <w:szCs w:val="22"/>
        </w:rPr>
        <w:t>.</w:t>
      </w:r>
    </w:p>
    <w:p w14:paraId="257382BF" w14:textId="77777777" w:rsidR="00D87462" w:rsidRPr="00627D49" w:rsidRDefault="00D87462" w:rsidP="0081417F">
      <w:pPr>
        <w:ind w:left="567"/>
        <w:rPr>
          <w:sz w:val="22"/>
          <w:szCs w:val="22"/>
        </w:rPr>
      </w:pPr>
    </w:p>
    <w:tbl>
      <w:tblPr>
        <w:tblStyle w:val="TableGrid"/>
        <w:tblW w:w="9639" w:type="dxa"/>
        <w:tblInd w:w="562" w:type="dxa"/>
        <w:tblLook w:val="04A0" w:firstRow="1" w:lastRow="0" w:firstColumn="1" w:lastColumn="0" w:noHBand="0" w:noVBand="1"/>
      </w:tblPr>
      <w:tblGrid>
        <w:gridCol w:w="4446"/>
        <w:gridCol w:w="1824"/>
        <w:gridCol w:w="1698"/>
        <w:gridCol w:w="1671"/>
      </w:tblGrid>
      <w:tr w:rsidR="005A5882" w:rsidRPr="001D081D" w14:paraId="3381ADEE" w14:textId="77777777" w:rsidTr="00EF636C">
        <w:trPr>
          <w:trHeight w:val="340"/>
        </w:trPr>
        <w:tc>
          <w:tcPr>
            <w:tcW w:w="4446" w:type="dxa"/>
            <w:tcBorders>
              <w:bottom w:val="single" w:sz="4" w:space="0" w:color="auto"/>
            </w:tcBorders>
            <w:vAlign w:val="center"/>
          </w:tcPr>
          <w:p w14:paraId="443B20B6" w14:textId="14F38F00" w:rsidR="005A5882" w:rsidRPr="00441AF5" w:rsidRDefault="005A5882" w:rsidP="001E3357">
            <w:pPr>
              <w:pStyle w:val="EBBullet"/>
              <w:numPr>
                <w:ilvl w:val="0"/>
                <w:numId w:val="0"/>
              </w:numPr>
              <w:spacing w:before="40" w:after="40" w:line="259" w:lineRule="auto"/>
              <w:rPr>
                <w:b/>
                <w:color w:val="auto"/>
              </w:rPr>
            </w:pPr>
            <w:bookmarkStart w:id="22" w:name="_Hlk120109791"/>
            <w:r w:rsidRPr="00441AF5">
              <w:rPr>
                <w:b/>
                <w:color w:val="auto"/>
              </w:rPr>
              <w:t>Description</w:t>
            </w:r>
          </w:p>
        </w:tc>
        <w:tc>
          <w:tcPr>
            <w:tcW w:w="5193" w:type="dxa"/>
            <w:gridSpan w:val="3"/>
            <w:tcBorders>
              <w:bottom w:val="single" w:sz="4" w:space="0" w:color="auto"/>
            </w:tcBorders>
          </w:tcPr>
          <w:p w14:paraId="2ED068D0" w14:textId="68311F19" w:rsidR="005A5882" w:rsidRPr="00441AF5" w:rsidRDefault="005A5882" w:rsidP="001E3357">
            <w:pPr>
              <w:pStyle w:val="EBBullet"/>
              <w:numPr>
                <w:ilvl w:val="0"/>
                <w:numId w:val="0"/>
              </w:numPr>
              <w:spacing w:before="40" w:after="40" w:line="259" w:lineRule="auto"/>
              <w:jc w:val="center"/>
              <w:rPr>
                <w:b/>
                <w:color w:val="auto"/>
              </w:rPr>
            </w:pPr>
            <w:r>
              <w:rPr>
                <w:b/>
                <w:color w:val="auto"/>
              </w:rPr>
              <w:t>N</w:t>
            </w:r>
            <w:r w:rsidR="0012346E">
              <w:rPr>
                <w:b/>
                <w:color w:val="auto"/>
              </w:rPr>
              <w:t>PSV Scenarios</w:t>
            </w:r>
          </w:p>
        </w:tc>
      </w:tr>
      <w:tr w:rsidR="005A5882" w:rsidRPr="001D081D" w14:paraId="632AC2DD"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10FA57E9" w14:textId="4760D0D9" w:rsidR="005A5882" w:rsidRPr="00441AF5" w:rsidRDefault="005A5882" w:rsidP="005A5882">
            <w:pPr>
              <w:pStyle w:val="EBBullet"/>
              <w:numPr>
                <w:ilvl w:val="0"/>
                <w:numId w:val="0"/>
              </w:numPr>
              <w:spacing w:before="40" w:after="40" w:line="259" w:lineRule="auto"/>
              <w:rPr>
                <w:b/>
                <w:color w:val="auto"/>
              </w:rPr>
            </w:pPr>
            <w:r w:rsidRPr="00441AF5">
              <w:rPr>
                <w:b/>
                <w:color w:val="auto"/>
              </w:rPr>
              <w:t>Set-up cost</w:t>
            </w:r>
          </w:p>
        </w:tc>
        <w:tc>
          <w:tcPr>
            <w:tcW w:w="1824" w:type="dxa"/>
            <w:tcBorders>
              <w:top w:val="single" w:sz="4" w:space="0" w:color="auto"/>
              <w:left w:val="single" w:sz="4" w:space="0" w:color="auto"/>
              <w:bottom w:val="single" w:sz="4" w:space="0" w:color="auto"/>
              <w:right w:val="single" w:sz="4" w:space="0" w:color="auto"/>
            </w:tcBorders>
          </w:tcPr>
          <w:p w14:paraId="4FC1BD1B" w14:textId="02D78118" w:rsidR="005A5882" w:rsidRPr="00441AF5" w:rsidRDefault="00911857" w:rsidP="005A5882">
            <w:pPr>
              <w:pStyle w:val="EBBullet"/>
              <w:numPr>
                <w:ilvl w:val="0"/>
                <w:numId w:val="0"/>
              </w:numPr>
              <w:spacing w:before="40" w:after="40" w:line="259" w:lineRule="auto"/>
              <w:jc w:val="right"/>
              <w:rPr>
                <w:color w:val="auto"/>
              </w:rPr>
            </w:pPr>
            <w:r>
              <w:rPr>
                <w:b/>
                <w:color w:val="auto"/>
              </w:rPr>
              <w:t>High</w:t>
            </w:r>
          </w:p>
        </w:tc>
        <w:tc>
          <w:tcPr>
            <w:tcW w:w="1698" w:type="dxa"/>
            <w:tcBorders>
              <w:top w:val="single" w:sz="4" w:space="0" w:color="auto"/>
              <w:left w:val="single" w:sz="4" w:space="0" w:color="auto"/>
              <w:bottom w:val="single" w:sz="4" w:space="0" w:color="auto"/>
              <w:right w:val="single" w:sz="4" w:space="0" w:color="auto"/>
            </w:tcBorders>
          </w:tcPr>
          <w:p w14:paraId="7BD56D97" w14:textId="0789B551" w:rsidR="005A5882" w:rsidRPr="00441AF5" w:rsidRDefault="005A5882" w:rsidP="005A5882">
            <w:pPr>
              <w:pStyle w:val="EBBullet"/>
              <w:numPr>
                <w:ilvl w:val="0"/>
                <w:numId w:val="0"/>
              </w:numPr>
              <w:spacing w:before="40" w:after="40" w:line="259" w:lineRule="auto"/>
              <w:jc w:val="right"/>
              <w:rPr>
                <w:color w:val="auto"/>
              </w:rPr>
            </w:pPr>
            <w:r w:rsidRPr="00441AF5">
              <w:rPr>
                <w:b/>
                <w:color w:val="auto"/>
              </w:rPr>
              <w:t>Best</w:t>
            </w:r>
          </w:p>
        </w:tc>
        <w:tc>
          <w:tcPr>
            <w:tcW w:w="1671" w:type="dxa"/>
            <w:tcBorders>
              <w:top w:val="single" w:sz="4" w:space="0" w:color="auto"/>
              <w:left w:val="single" w:sz="4" w:space="0" w:color="auto"/>
              <w:bottom w:val="single" w:sz="4" w:space="0" w:color="auto"/>
              <w:right w:val="single" w:sz="4" w:space="0" w:color="auto"/>
            </w:tcBorders>
          </w:tcPr>
          <w:p w14:paraId="720F148B" w14:textId="12DF5050" w:rsidR="005A5882" w:rsidRPr="00441AF5" w:rsidRDefault="00911857" w:rsidP="005A5882">
            <w:pPr>
              <w:pStyle w:val="EBBullet"/>
              <w:numPr>
                <w:ilvl w:val="0"/>
                <w:numId w:val="0"/>
              </w:numPr>
              <w:spacing w:before="40" w:after="40" w:line="259" w:lineRule="auto"/>
              <w:jc w:val="right"/>
              <w:rPr>
                <w:color w:val="auto"/>
              </w:rPr>
            </w:pPr>
            <w:r>
              <w:rPr>
                <w:b/>
                <w:color w:val="auto"/>
              </w:rPr>
              <w:t>Low</w:t>
            </w:r>
          </w:p>
        </w:tc>
      </w:tr>
      <w:tr w:rsidR="005A5882" w:rsidRPr="001D081D" w14:paraId="02A58CDB"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7A8279EA" w14:textId="7667096E" w:rsidR="005A5882" w:rsidRPr="00441AF5" w:rsidRDefault="005A5882" w:rsidP="005A5882">
            <w:pPr>
              <w:pStyle w:val="EBBullet"/>
              <w:numPr>
                <w:ilvl w:val="0"/>
                <w:numId w:val="0"/>
              </w:numPr>
              <w:spacing w:before="40" w:after="40" w:line="259" w:lineRule="auto"/>
              <w:rPr>
                <w:color w:val="auto"/>
              </w:rPr>
            </w:pPr>
            <w:r w:rsidRPr="00441AF5">
              <w:rPr>
                <w:color w:val="auto"/>
              </w:rPr>
              <w:t>Familiarisation</w:t>
            </w:r>
          </w:p>
        </w:tc>
        <w:tc>
          <w:tcPr>
            <w:tcW w:w="1824" w:type="dxa"/>
            <w:tcBorders>
              <w:top w:val="single" w:sz="4" w:space="0" w:color="auto"/>
              <w:left w:val="nil"/>
              <w:bottom w:val="single" w:sz="4" w:space="0" w:color="auto"/>
              <w:right w:val="single" w:sz="4" w:space="0" w:color="auto"/>
            </w:tcBorders>
            <w:shd w:val="clear" w:color="auto" w:fill="auto"/>
            <w:vAlign w:val="bottom"/>
          </w:tcPr>
          <w:p w14:paraId="2F2D223F" w14:textId="3C7E8953" w:rsidR="005A5882" w:rsidRPr="004A5EEB" w:rsidRDefault="00DF10CE" w:rsidP="005A5882">
            <w:pPr>
              <w:pStyle w:val="EBBullet"/>
              <w:numPr>
                <w:ilvl w:val="0"/>
                <w:numId w:val="0"/>
              </w:numPr>
              <w:spacing w:before="40" w:after="40" w:line="259" w:lineRule="auto"/>
              <w:jc w:val="right"/>
              <w:rPr>
                <w:color w:val="auto"/>
              </w:rPr>
            </w:pPr>
            <w:r>
              <w:t>30.</w:t>
            </w:r>
            <w:r w:rsidR="00AA1BBF">
              <w:t>9</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67911E56" w14:textId="75438B77" w:rsidR="005A5882" w:rsidRPr="004A5EEB" w:rsidRDefault="00DF10CE" w:rsidP="005A5882">
            <w:pPr>
              <w:pStyle w:val="EBBullet"/>
              <w:numPr>
                <w:ilvl w:val="0"/>
                <w:numId w:val="0"/>
              </w:numPr>
              <w:spacing w:before="40" w:after="40" w:line="259" w:lineRule="auto"/>
              <w:jc w:val="right"/>
              <w:rPr>
                <w:color w:val="auto"/>
              </w:rPr>
            </w:pPr>
            <w:r>
              <w:t>30.</w:t>
            </w:r>
            <w:r w:rsidR="00AA1BBF">
              <w:t>9</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bottom"/>
          </w:tcPr>
          <w:p w14:paraId="7985BEA9" w14:textId="2C961B43" w:rsidR="005A5882" w:rsidRPr="004A5EEB" w:rsidRDefault="00DF10CE" w:rsidP="005A5882">
            <w:pPr>
              <w:pStyle w:val="EBBullet"/>
              <w:numPr>
                <w:ilvl w:val="0"/>
                <w:numId w:val="0"/>
              </w:numPr>
              <w:spacing w:before="40" w:after="40" w:line="259" w:lineRule="auto"/>
              <w:jc w:val="right"/>
              <w:rPr>
                <w:color w:val="auto"/>
              </w:rPr>
            </w:pPr>
            <w:r>
              <w:t>30.</w:t>
            </w:r>
            <w:r w:rsidR="00AA1BBF">
              <w:t>9</w:t>
            </w:r>
          </w:p>
        </w:tc>
      </w:tr>
      <w:tr w:rsidR="005A5882" w:rsidRPr="001D081D" w14:paraId="73E8F5FE"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24195533" w14:textId="16B8CEF4" w:rsidR="005A5882" w:rsidRPr="00441AF5" w:rsidRDefault="005A5882" w:rsidP="005A5882">
            <w:pPr>
              <w:pStyle w:val="EBBullet"/>
              <w:numPr>
                <w:ilvl w:val="0"/>
                <w:numId w:val="0"/>
              </w:numPr>
              <w:spacing w:before="40" w:after="40" w:line="259" w:lineRule="auto"/>
              <w:rPr>
                <w:color w:val="auto"/>
              </w:rPr>
            </w:pPr>
            <w:r w:rsidRPr="00441AF5">
              <w:rPr>
                <w:color w:val="auto"/>
              </w:rPr>
              <w:t>Risk Assessment</w:t>
            </w:r>
          </w:p>
        </w:tc>
        <w:tc>
          <w:tcPr>
            <w:tcW w:w="1824" w:type="dxa"/>
            <w:tcBorders>
              <w:top w:val="single" w:sz="4" w:space="0" w:color="auto"/>
              <w:left w:val="nil"/>
              <w:bottom w:val="single" w:sz="4" w:space="0" w:color="auto"/>
              <w:right w:val="single" w:sz="4" w:space="0" w:color="auto"/>
            </w:tcBorders>
            <w:shd w:val="clear" w:color="auto" w:fill="auto"/>
            <w:vAlign w:val="bottom"/>
          </w:tcPr>
          <w:p w14:paraId="0B64ECD2" w14:textId="7EB29AA3" w:rsidR="005A5882" w:rsidRPr="004A5EEB" w:rsidRDefault="00AA1BBF" w:rsidP="005A5882">
            <w:pPr>
              <w:pStyle w:val="EBBullet"/>
              <w:numPr>
                <w:ilvl w:val="0"/>
                <w:numId w:val="0"/>
              </w:numPr>
              <w:spacing w:before="40" w:after="40" w:line="259" w:lineRule="auto"/>
              <w:jc w:val="right"/>
              <w:rPr>
                <w:color w:val="auto"/>
              </w:rPr>
            </w:pPr>
            <w:r>
              <w:t>86.0</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FD39B2E" w14:textId="24E359A6" w:rsidR="005A5882" w:rsidRPr="004A5EEB" w:rsidRDefault="00AA1BBF" w:rsidP="005A5882">
            <w:pPr>
              <w:pStyle w:val="EBBullet"/>
              <w:numPr>
                <w:ilvl w:val="0"/>
                <w:numId w:val="0"/>
              </w:numPr>
              <w:spacing w:before="40" w:after="40" w:line="259" w:lineRule="auto"/>
              <w:jc w:val="right"/>
              <w:rPr>
                <w:color w:val="auto"/>
              </w:rPr>
            </w:pPr>
            <w:r>
              <w:t>86.0</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bottom"/>
          </w:tcPr>
          <w:p w14:paraId="22011B18" w14:textId="40F307A7" w:rsidR="005A5882" w:rsidRPr="004A5EEB" w:rsidRDefault="00AA1BBF" w:rsidP="005A5882">
            <w:pPr>
              <w:pStyle w:val="EBBullet"/>
              <w:numPr>
                <w:ilvl w:val="0"/>
                <w:numId w:val="0"/>
              </w:numPr>
              <w:spacing w:before="40" w:after="40" w:line="259" w:lineRule="auto"/>
              <w:jc w:val="right"/>
              <w:rPr>
                <w:color w:val="auto"/>
              </w:rPr>
            </w:pPr>
            <w:r>
              <w:t>86.0</w:t>
            </w:r>
          </w:p>
        </w:tc>
      </w:tr>
      <w:tr w:rsidR="005A5882" w:rsidRPr="001D081D" w14:paraId="3BCEC140"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4BED1EF8" w14:textId="13A01D4A" w:rsidR="005A5882" w:rsidRPr="00441AF5" w:rsidRDefault="005A5882" w:rsidP="005A5882">
            <w:pPr>
              <w:pStyle w:val="EBBullet"/>
              <w:numPr>
                <w:ilvl w:val="0"/>
                <w:numId w:val="0"/>
              </w:numPr>
              <w:spacing w:before="40" w:after="40" w:line="259" w:lineRule="auto"/>
              <w:rPr>
                <w:color w:val="auto"/>
              </w:rPr>
            </w:pPr>
            <w:r w:rsidRPr="00441AF5">
              <w:rPr>
                <w:color w:val="auto"/>
              </w:rPr>
              <w:t>Communication</w:t>
            </w:r>
          </w:p>
        </w:tc>
        <w:tc>
          <w:tcPr>
            <w:tcW w:w="1824" w:type="dxa"/>
            <w:tcBorders>
              <w:top w:val="single" w:sz="4" w:space="0" w:color="auto"/>
              <w:left w:val="nil"/>
              <w:bottom w:val="single" w:sz="4" w:space="0" w:color="auto"/>
              <w:right w:val="single" w:sz="4" w:space="0" w:color="auto"/>
            </w:tcBorders>
            <w:shd w:val="clear" w:color="auto" w:fill="auto"/>
            <w:vAlign w:val="bottom"/>
          </w:tcPr>
          <w:p w14:paraId="3DADCC9F" w14:textId="46795D0C" w:rsidR="005A5882" w:rsidRPr="004A5EEB" w:rsidRDefault="00AA1BBF" w:rsidP="005A5882">
            <w:pPr>
              <w:pStyle w:val="EBBullet"/>
              <w:numPr>
                <w:ilvl w:val="0"/>
                <w:numId w:val="0"/>
              </w:numPr>
              <w:spacing w:before="40" w:after="40" w:line="259" w:lineRule="auto"/>
              <w:jc w:val="right"/>
              <w:rPr>
                <w:color w:val="auto"/>
              </w:rPr>
            </w:pPr>
            <w:r>
              <w:t>14.7</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257024D4" w14:textId="38F364DC" w:rsidR="005A5882" w:rsidRPr="004A5EEB" w:rsidRDefault="00AA1BBF" w:rsidP="005A5882">
            <w:pPr>
              <w:pStyle w:val="EBBullet"/>
              <w:numPr>
                <w:ilvl w:val="0"/>
                <w:numId w:val="0"/>
              </w:numPr>
              <w:spacing w:before="40" w:after="40" w:line="259" w:lineRule="auto"/>
              <w:jc w:val="right"/>
              <w:rPr>
                <w:color w:val="auto"/>
              </w:rPr>
            </w:pPr>
            <w:r>
              <w:t>17.8</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bottom"/>
          </w:tcPr>
          <w:p w14:paraId="6211BC1C" w14:textId="6C711B0B" w:rsidR="005A5882" w:rsidRPr="004A5EEB" w:rsidRDefault="00AA1BBF" w:rsidP="005A5882">
            <w:pPr>
              <w:pStyle w:val="EBBullet"/>
              <w:numPr>
                <w:ilvl w:val="0"/>
                <w:numId w:val="0"/>
              </w:numPr>
              <w:spacing w:before="40" w:after="40" w:line="259" w:lineRule="auto"/>
              <w:jc w:val="right"/>
              <w:rPr>
                <w:color w:val="auto"/>
              </w:rPr>
            </w:pPr>
            <w:r>
              <w:t>21.0</w:t>
            </w:r>
          </w:p>
        </w:tc>
      </w:tr>
      <w:tr w:rsidR="005A5882" w:rsidRPr="001D081D" w14:paraId="0FEEDE00"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05D89416" w14:textId="08327773" w:rsidR="005A5882" w:rsidRPr="00441AF5" w:rsidRDefault="005A5882" w:rsidP="005A5882">
            <w:pPr>
              <w:pStyle w:val="EBBullet"/>
              <w:numPr>
                <w:ilvl w:val="0"/>
                <w:numId w:val="0"/>
              </w:numPr>
              <w:spacing w:before="40" w:after="40" w:line="259" w:lineRule="auto"/>
              <w:rPr>
                <w:color w:val="auto"/>
              </w:rPr>
            </w:pPr>
            <w:r w:rsidRPr="00441AF5">
              <w:rPr>
                <w:color w:val="auto"/>
              </w:rPr>
              <w:t>Training</w:t>
            </w:r>
          </w:p>
        </w:tc>
        <w:tc>
          <w:tcPr>
            <w:tcW w:w="1824" w:type="dxa"/>
            <w:tcBorders>
              <w:top w:val="single" w:sz="4" w:space="0" w:color="auto"/>
              <w:left w:val="nil"/>
              <w:bottom w:val="single" w:sz="4" w:space="0" w:color="auto"/>
              <w:right w:val="single" w:sz="4" w:space="0" w:color="auto"/>
            </w:tcBorders>
            <w:shd w:val="clear" w:color="auto" w:fill="auto"/>
            <w:vAlign w:val="bottom"/>
          </w:tcPr>
          <w:p w14:paraId="0388D99F" w14:textId="65B403B0" w:rsidR="005A5882" w:rsidRPr="004A5EEB" w:rsidRDefault="00AA1BBF" w:rsidP="005A5882">
            <w:pPr>
              <w:pStyle w:val="EBBullet"/>
              <w:numPr>
                <w:ilvl w:val="0"/>
                <w:numId w:val="0"/>
              </w:numPr>
              <w:spacing w:before="40" w:after="40" w:line="259" w:lineRule="auto"/>
              <w:jc w:val="right"/>
              <w:rPr>
                <w:color w:val="auto"/>
              </w:rPr>
            </w:pPr>
            <w:r>
              <w:t>289.9</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11CCE146" w14:textId="4B33B405" w:rsidR="005A5882" w:rsidRPr="004A5EEB" w:rsidRDefault="00AA1BBF" w:rsidP="005A5882">
            <w:pPr>
              <w:pStyle w:val="EBBullet"/>
              <w:numPr>
                <w:ilvl w:val="0"/>
                <w:numId w:val="0"/>
              </w:numPr>
              <w:spacing w:before="40" w:after="40" w:line="259" w:lineRule="auto"/>
              <w:jc w:val="right"/>
              <w:rPr>
                <w:color w:val="auto"/>
              </w:rPr>
            </w:pPr>
            <w:r>
              <w:t>352.0</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bottom"/>
          </w:tcPr>
          <w:p w14:paraId="63AC9233" w14:textId="198E0F1E" w:rsidR="005A5882" w:rsidRPr="004A5EEB" w:rsidRDefault="00AA1BBF" w:rsidP="005A5882">
            <w:pPr>
              <w:pStyle w:val="EBBullet"/>
              <w:numPr>
                <w:ilvl w:val="0"/>
                <w:numId w:val="0"/>
              </w:numPr>
              <w:spacing w:before="40" w:after="40" w:line="259" w:lineRule="auto"/>
              <w:jc w:val="right"/>
              <w:rPr>
                <w:color w:val="auto"/>
              </w:rPr>
            </w:pPr>
            <w:r>
              <w:t>414.</w:t>
            </w:r>
            <w:r w:rsidR="00FE2B2B">
              <w:t>1</w:t>
            </w:r>
          </w:p>
        </w:tc>
      </w:tr>
      <w:tr w:rsidR="005A5882" w:rsidRPr="001D081D" w14:paraId="7A8F9DF7" w14:textId="77777777" w:rsidTr="00EF636C">
        <w:trPr>
          <w:trHeight w:val="567"/>
        </w:trPr>
        <w:tc>
          <w:tcPr>
            <w:tcW w:w="4446" w:type="dxa"/>
            <w:tcBorders>
              <w:top w:val="single" w:sz="4" w:space="0" w:color="auto"/>
              <w:left w:val="single" w:sz="4" w:space="0" w:color="auto"/>
              <w:bottom w:val="single" w:sz="4" w:space="0" w:color="auto"/>
              <w:right w:val="single" w:sz="4" w:space="0" w:color="auto"/>
            </w:tcBorders>
            <w:vAlign w:val="center"/>
          </w:tcPr>
          <w:p w14:paraId="4B31FD05" w14:textId="076884EF" w:rsidR="005A5882" w:rsidRPr="00441AF5" w:rsidRDefault="005A5882" w:rsidP="005A5882">
            <w:pPr>
              <w:pStyle w:val="EBBullet"/>
              <w:numPr>
                <w:ilvl w:val="0"/>
                <w:numId w:val="0"/>
              </w:numPr>
              <w:spacing w:before="40" w:after="40" w:line="259" w:lineRule="auto"/>
              <w:rPr>
                <w:b/>
                <w:color w:val="auto"/>
              </w:rPr>
            </w:pPr>
            <w:r w:rsidRPr="00441AF5">
              <w:rPr>
                <w:b/>
                <w:color w:val="auto"/>
              </w:rPr>
              <w:t>Total set-up cost</w:t>
            </w:r>
          </w:p>
        </w:tc>
        <w:tc>
          <w:tcPr>
            <w:tcW w:w="1824" w:type="dxa"/>
            <w:tcBorders>
              <w:top w:val="single" w:sz="4" w:space="0" w:color="auto"/>
              <w:left w:val="nil"/>
              <w:bottom w:val="single" w:sz="4" w:space="0" w:color="auto"/>
              <w:right w:val="single" w:sz="4" w:space="0" w:color="auto"/>
            </w:tcBorders>
            <w:shd w:val="clear" w:color="auto" w:fill="auto"/>
            <w:vAlign w:val="bottom"/>
          </w:tcPr>
          <w:p w14:paraId="1C0235A9" w14:textId="360B6F47" w:rsidR="005A5882" w:rsidRPr="004A5EEB" w:rsidRDefault="00AA1BBF" w:rsidP="005A5882">
            <w:pPr>
              <w:pStyle w:val="EBBullet"/>
              <w:numPr>
                <w:ilvl w:val="0"/>
                <w:numId w:val="0"/>
              </w:numPr>
              <w:spacing w:before="40" w:after="40" w:line="259" w:lineRule="auto"/>
              <w:jc w:val="right"/>
              <w:rPr>
                <w:b/>
                <w:color w:val="auto"/>
              </w:rPr>
            </w:pPr>
            <w:r w:rsidRPr="00627D49">
              <w:rPr>
                <w:b/>
              </w:rPr>
              <w:t>421.</w:t>
            </w:r>
            <w:r w:rsidRPr="00627D49">
              <w:rPr>
                <w:b/>
                <w:bCs w:val="0"/>
              </w:rPr>
              <w:t>5</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26D9478D" w14:textId="6FB8C192" w:rsidR="005A5882" w:rsidRPr="004A5EEB" w:rsidRDefault="00AA1BBF" w:rsidP="005A5882">
            <w:pPr>
              <w:pStyle w:val="EBBullet"/>
              <w:numPr>
                <w:ilvl w:val="0"/>
                <w:numId w:val="0"/>
              </w:numPr>
              <w:spacing w:before="40" w:after="40" w:line="259" w:lineRule="auto"/>
              <w:jc w:val="right"/>
              <w:rPr>
                <w:b/>
                <w:color w:val="auto"/>
              </w:rPr>
            </w:pPr>
            <w:r w:rsidRPr="00627D49">
              <w:rPr>
                <w:b/>
              </w:rPr>
              <w:t>486.</w:t>
            </w:r>
            <w:r w:rsidRPr="00627D49">
              <w:rPr>
                <w:b/>
                <w:bCs w:val="0"/>
              </w:rPr>
              <w:t>7</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bottom"/>
          </w:tcPr>
          <w:p w14:paraId="30CDE6D7" w14:textId="1DE6E285" w:rsidR="005A5882" w:rsidRPr="004A5EEB" w:rsidRDefault="00AA1BBF" w:rsidP="005A5882">
            <w:pPr>
              <w:pStyle w:val="EBBullet"/>
              <w:numPr>
                <w:ilvl w:val="0"/>
                <w:numId w:val="0"/>
              </w:numPr>
              <w:spacing w:before="40" w:after="40" w:line="259" w:lineRule="auto"/>
              <w:jc w:val="right"/>
              <w:rPr>
                <w:b/>
                <w:color w:val="auto"/>
              </w:rPr>
            </w:pPr>
            <w:r w:rsidRPr="00627D49">
              <w:rPr>
                <w:b/>
              </w:rPr>
              <w:t>552.</w:t>
            </w:r>
            <w:r w:rsidRPr="00627D49">
              <w:rPr>
                <w:b/>
                <w:bCs w:val="0"/>
              </w:rPr>
              <w:t>0</w:t>
            </w:r>
          </w:p>
        </w:tc>
      </w:tr>
      <w:tr w:rsidR="005A5882" w:rsidRPr="001D081D" w14:paraId="0A96C527" w14:textId="77777777" w:rsidTr="003F40C2">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72AC103A" w14:textId="243B2EB3" w:rsidR="005A5882" w:rsidRPr="00441AF5" w:rsidRDefault="005A5882" w:rsidP="005A5882">
            <w:pPr>
              <w:pStyle w:val="EBBullet"/>
              <w:numPr>
                <w:ilvl w:val="0"/>
                <w:numId w:val="0"/>
              </w:numPr>
              <w:spacing w:before="40" w:after="40" w:line="259" w:lineRule="auto"/>
              <w:rPr>
                <w:b/>
                <w:color w:val="auto"/>
              </w:rPr>
            </w:pPr>
            <w:r w:rsidRPr="00441AF5">
              <w:rPr>
                <w:b/>
                <w:color w:val="auto"/>
              </w:rPr>
              <w:t>Ongoing cost</w:t>
            </w:r>
          </w:p>
        </w:tc>
        <w:tc>
          <w:tcPr>
            <w:tcW w:w="1824" w:type="dxa"/>
            <w:tcBorders>
              <w:top w:val="single" w:sz="4" w:space="0" w:color="auto"/>
              <w:left w:val="single" w:sz="4" w:space="0" w:color="auto"/>
              <w:bottom w:val="single" w:sz="4" w:space="0" w:color="auto"/>
              <w:right w:val="single" w:sz="4" w:space="0" w:color="auto"/>
            </w:tcBorders>
            <w:vAlign w:val="center"/>
          </w:tcPr>
          <w:p w14:paraId="67CBC790" w14:textId="77777777" w:rsidR="005A5882" w:rsidRPr="00137A82" w:rsidRDefault="005A5882" w:rsidP="005A5882">
            <w:pPr>
              <w:pStyle w:val="EBBullet"/>
              <w:numPr>
                <w:ilvl w:val="0"/>
                <w:numId w:val="0"/>
              </w:numPr>
              <w:spacing w:before="40" w:after="40" w:line="259" w:lineRule="auto"/>
              <w:jc w:val="right"/>
              <w:rPr>
                <w:color w:val="auto"/>
                <w:highlight w:val="yellow"/>
              </w:rPr>
            </w:pPr>
          </w:p>
        </w:tc>
        <w:tc>
          <w:tcPr>
            <w:tcW w:w="1698" w:type="dxa"/>
            <w:tcBorders>
              <w:top w:val="single" w:sz="4" w:space="0" w:color="auto"/>
              <w:left w:val="single" w:sz="4" w:space="0" w:color="auto"/>
              <w:bottom w:val="single" w:sz="4" w:space="0" w:color="auto"/>
              <w:right w:val="single" w:sz="4" w:space="0" w:color="auto"/>
            </w:tcBorders>
            <w:vAlign w:val="center"/>
          </w:tcPr>
          <w:p w14:paraId="26C98433" w14:textId="77777777" w:rsidR="005A5882" w:rsidRPr="00137A82" w:rsidRDefault="005A5882" w:rsidP="005A5882">
            <w:pPr>
              <w:pStyle w:val="EBBullet"/>
              <w:numPr>
                <w:ilvl w:val="0"/>
                <w:numId w:val="0"/>
              </w:numPr>
              <w:spacing w:before="40" w:after="40" w:line="259" w:lineRule="auto"/>
              <w:jc w:val="right"/>
              <w:rPr>
                <w:color w:val="auto"/>
                <w:highlight w:val="yellow"/>
              </w:rPr>
            </w:pPr>
          </w:p>
        </w:tc>
        <w:tc>
          <w:tcPr>
            <w:tcW w:w="1671" w:type="dxa"/>
            <w:tcBorders>
              <w:top w:val="single" w:sz="4" w:space="0" w:color="auto"/>
              <w:left w:val="single" w:sz="4" w:space="0" w:color="auto"/>
              <w:bottom w:val="single" w:sz="4" w:space="0" w:color="auto"/>
              <w:right w:val="single" w:sz="4" w:space="0" w:color="auto"/>
            </w:tcBorders>
            <w:vAlign w:val="center"/>
          </w:tcPr>
          <w:p w14:paraId="002F8A0A" w14:textId="11B6A44B" w:rsidR="005A5882" w:rsidRPr="00137A82" w:rsidRDefault="005A5882" w:rsidP="005A5882">
            <w:pPr>
              <w:pStyle w:val="EBBullet"/>
              <w:numPr>
                <w:ilvl w:val="0"/>
                <w:numId w:val="0"/>
              </w:numPr>
              <w:spacing w:before="40" w:after="40" w:line="259" w:lineRule="auto"/>
              <w:jc w:val="right"/>
              <w:rPr>
                <w:color w:val="auto"/>
                <w:highlight w:val="yellow"/>
              </w:rPr>
            </w:pPr>
          </w:p>
        </w:tc>
      </w:tr>
      <w:tr w:rsidR="005A5882" w:rsidRPr="001D081D" w14:paraId="35EB8D2E"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093C4331" w14:textId="413C4C13" w:rsidR="005A5882" w:rsidRPr="00441AF5" w:rsidRDefault="005A5882" w:rsidP="005A5882">
            <w:pPr>
              <w:pStyle w:val="EBBullet"/>
              <w:numPr>
                <w:ilvl w:val="0"/>
                <w:numId w:val="0"/>
              </w:numPr>
              <w:spacing w:before="40" w:after="40" w:line="259" w:lineRule="auto"/>
              <w:rPr>
                <w:color w:val="auto"/>
              </w:rPr>
            </w:pPr>
            <w:r w:rsidRPr="00441AF5">
              <w:rPr>
                <w:color w:val="auto"/>
              </w:rPr>
              <w:t>Risk Assessment</w:t>
            </w:r>
          </w:p>
        </w:tc>
        <w:tc>
          <w:tcPr>
            <w:tcW w:w="1824" w:type="dxa"/>
            <w:tcBorders>
              <w:top w:val="single" w:sz="4" w:space="0" w:color="auto"/>
              <w:left w:val="nil"/>
              <w:bottom w:val="single" w:sz="4" w:space="0" w:color="auto"/>
              <w:right w:val="single" w:sz="4" w:space="0" w:color="auto"/>
            </w:tcBorders>
            <w:shd w:val="clear" w:color="auto" w:fill="auto"/>
            <w:vAlign w:val="bottom"/>
          </w:tcPr>
          <w:p w14:paraId="5F417EDB" w14:textId="3D8CD21F" w:rsidR="005A5882" w:rsidRPr="00E7274E" w:rsidRDefault="00C51DC5" w:rsidP="005A5882">
            <w:pPr>
              <w:pStyle w:val="EBBullet"/>
              <w:numPr>
                <w:ilvl w:val="0"/>
                <w:numId w:val="0"/>
              </w:numPr>
              <w:spacing w:before="40" w:after="40" w:line="259" w:lineRule="auto"/>
              <w:jc w:val="right"/>
              <w:rPr>
                <w:color w:val="auto"/>
              </w:rPr>
            </w:pPr>
            <w:r>
              <w:t>45.8</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7C7A3526" w14:textId="016521AF" w:rsidR="005A5882" w:rsidRPr="00E7274E" w:rsidRDefault="00C51DC5" w:rsidP="005A5882">
            <w:pPr>
              <w:pStyle w:val="EBBullet"/>
              <w:numPr>
                <w:ilvl w:val="0"/>
                <w:numId w:val="0"/>
              </w:numPr>
              <w:spacing w:before="40" w:after="40" w:line="259" w:lineRule="auto"/>
              <w:jc w:val="right"/>
              <w:rPr>
                <w:color w:val="auto"/>
              </w:rPr>
            </w:pPr>
            <w:r>
              <w:t>55.</w:t>
            </w:r>
            <w:r w:rsidR="005A5882">
              <w:t>6</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bottom"/>
          </w:tcPr>
          <w:p w14:paraId="322A6030" w14:textId="1DE30064" w:rsidR="005A5882" w:rsidRPr="00E7274E" w:rsidRDefault="00C51DC5" w:rsidP="005A5882">
            <w:pPr>
              <w:pStyle w:val="EBBullet"/>
              <w:numPr>
                <w:ilvl w:val="0"/>
                <w:numId w:val="0"/>
              </w:numPr>
              <w:spacing w:before="40" w:after="40" w:line="259" w:lineRule="auto"/>
              <w:jc w:val="right"/>
              <w:rPr>
                <w:color w:val="auto"/>
              </w:rPr>
            </w:pPr>
            <w:r>
              <w:t>65.4</w:t>
            </w:r>
          </w:p>
        </w:tc>
      </w:tr>
      <w:tr w:rsidR="005A5882" w:rsidRPr="001D081D" w14:paraId="3DE0FC30"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635C9844" w14:textId="443CC265" w:rsidR="005A5882" w:rsidRPr="00441AF5" w:rsidRDefault="005A5882" w:rsidP="005A5882">
            <w:pPr>
              <w:pStyle w:val="EBBullet"/>
              <w:numPr>
                <w:ilvl w:val="0"/>
                <w:numId w:val="0"/>
              </w:numPr>
              <w:spacing w:before="40" w:after="40" w:line="259" w:lineRule="auto"/>
              <w:rPr>
                <w:color w:val="auto"/>
              </w:rPr>
            </w:pPr>
            <w:r w:rsidRPr="00441AF5">
              <w:rPr>
                <w:color w:val="auto"/>
              </w:rPr>
              <w:t>Communication</w:t>
            </w:r>
          </w:p>
        </w:tc>
        <w:tc>
          <w:tcPr>
            <w:tcW w:w="1824" w:type="dxa"/>
            <w:tcBorders>
              <w:top w:val="single" w:sz="4" w:space="0" w:color="auto"/>
              <w:left w:val="nil"/>
              <w:bottom w:val="single" w:sz="4" w:space="0" w:color="auto"/>
              <w:right w:val="single" w:sz="4" w:space="0" w:color="auto"/>
            </w:tcBorders>
            <w:shd w:val="clear" w:color="auto" w:fill="auto"/>
            <w:vAlign w:val="bottom"/>
          </w:tcPr>
          <w:p w14:paraId="20AC6C9F" w14:textId="2892D190" w:rsidR="005A5882" w:rsidRPr="00E7274E" w:rsidRDefault="00C51DC5" w:rsidP="005A5882">
            <w:pPr>
              <w:pStyle w:val="EBBullet"/>
              <w:numPr>
                <w:ilvl w:val="0"/>
                <w:numId w:val="0"/>
              </w:numPr>
              <w:spacing w:before="40" w:after="40" w:line="259" w:lineRule="auto"/>
              <w:jc w:val="right"/>
              <w:rPr>
                <w:color w:val="auto"/>
              </w:rPr>
            </w:pPr>
            <w:r>
              <w:t>55.8</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02F091D" w14:textId="1F9CB7A6" w:rsidR="005A5882" w:rsidRPr="00E7274E" w:rsidRDefault="00C51DC5" w:rsidP="005A5882">
            <w:pPr>
              <w:pStyle w:val="EBBullet"/>
              <w:numPr>
                <w:ilvl w:val="0"/>
                <w:numId w:val="0"/>
              </w:numPr>
              <w:spacing w:before="40" w:after="40" w:line="259" w:lineRule="auto"/>
              <w:jc w:val="right"/>
              <w:rPr>
                <w:color w:val="auto"/>
              </w:rPr>
            </w:pPr>
            <w:r>
              <w:t>67.7</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bottom"/>
          </w:tcPr>
          <w:p w14:paraId="3AE82D34" w14:textId="2A09F496" w:rsidR="005A5882" w:rsidRPr="00E7274E" w:rsidRDefault="00C51DC5" w:rsidP="005A5882">
            <w:pPr>
              <w:pStyle w:val="EBBullet"/>
              <w:numPr>
                <w:ilvl w:val="0"/>
                <w:numId w:val="0"/>
              </w:numPr>
              <w:spacing w:before="40" w:after="40" w:line="259" w:lineRule="auto"/>
              <w:jc w:val="right"/>
              <w:rPr>
                <w:color w:val="auto"/>
              </w:rPr>
            </w:pPr>
            <w:r>
              <w:t>79.7</w:t>
            </w:r>
          </w:p>
        </w:tc>
      </w:tr>
      <w:tr w:rsidR="005A5882" w:rsidRPr="001D081D" w14:paraId="6AF180FE"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1D4B92E6" w14:textId="12B15873" w:rsidR="005A5882" w:rsidRPr="00441AF5" w:rsidRDefault="005A5882" w:rsidP="005A5882">
            <w:pPr>
              <w:pStyle w:val="EBBullet"/>
              <w:numPr>
                <w:ilvl w:val="0"/>
                <w:numId w:val="0"/>
              </w:numPr>
              <w:spacing w:before="40" w:after="40" w:line="259" w:lineRule="auto"/>
              <w:rPr>
                <w:color w:val="auto"/>
              </w:rPr>
            </w:pPr>
            <w:r w:rsidRPr="00441AF5">
              <w:rPr>
                <w:color w:val="auto"/>
              </w:rPr>
              <w:t>Training</w:t>
            </w:r>
          </w:p>
        </w:tc>
        <w:tc>
          <w:tcPr>
            <w:tcW w:w="1824" w:type="dxa"/>
            <w:tcBorders>
              <w:top w:val="single" w:sz="4" w:space="0" w:color="auto"/>
              <w:left w:val="nil"/>
              <w:bottom w:val="single" w:sz="4" w:space="0" w:color="auto"/>
              <w:right w:val="single" w:sz="4" w:space="0" w:color="auto"/>
            </w:tcBorders>
            <w:shd w:val="clear" w:color="auto" w:fill="auto"/>
            <w:vAlign w:val="bottom"/>
          </w:tcPr>
          <w:p w14:paraId="49605AD6" w14:textId="53F689CC" w:rsidR="005A5882" w:rsidRPr="00E7274E" w:rsidRDefault="00C51DC5" w:rsidP="005A5882">
            <w:pPr>
              <w:pStyle w:val="EBBullet"/>
              <w:numPr>
                <w:ilvl w:val="0"/>
                <w:numId w:val="0"/>
              </w:numPr>
              <w:spacing w:before="40" w:after="40" w:line="259" w:lineRule="auto"/>
              <w:jc w:val="right"/>
              <w:rPr>
                <w:color w:val="auto"/>
              </w:rPr>
            </w:pPr>
            <w:r>
              <w:t>217.1</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7E3D3044" w14:textId="0970538F" w:rsidR="005A5882" w:rsidRPr="00E7274E" w:rsidRDefault="00C51DC5" w:rsidP="005A5882">
            <w:pPr>
              <w:pStyle w:val="EBBullet"/>
              <w:numPr>
                <w:ilvl w:val="0"/>
                <w:numId w:val="0"/>
              </w:numPr>
              <w:spacing w:before="40" w:after="40" w:line="259" w:lineRule="auto"/>
              <w:jc w:val="right"/>
              <w:rPr>
                <w:color w:val="auto"/>
              </w:rPr>
            </w:pPr>
            <w:r>
              <w:t>263.7</w:t>
            </w:r>
          </w:p>
        </w:tc>
        <w:tc>
          <w:tcPr>
            <w:tcW w:w="1671" w:type="dxa"/>
            <w:tcBorders>
              <w:top w:val="single" w:sz="4" w:space="0" w:color="auto"/>
              <w:left w:val="single" w:sz="4" w:space="0" w:color="auto"/>
              <w:bottom w:val="single" w:sz="4" w:space="0" w:color="auto"/>
              <w:right w:val="single" w:sz="4" w:space="0" w:color="auto"/>
            </w:tcBorders>
            <w:shd w:val="clear" w:color="auto" w:fill="auto"/>
            <w:vAlign w:val="bottom"/>
          </w:tcPr>
          <w:p w14:paraId="3B32D0EB" w14:textId="35424B93" w:rsidR="005A5882" w:rsidRPr="00E7274E" w:rsidRDefault="00C51DC5" w:rsidP="005A5882">
            <w:pPr>
              <w:pStyle w:val="EBBullet"/>
              <w:numPr>
                <w:ilvl w:val="0"/>
                <w:numId w:val="0"/>
              </w:numPr>
              <w:spacing w:before="40" w:after="40" w:line="259" w:lineRule="auto"/>
              <w:jc w:val="right"/>
              <w:rPr>
                <w:color w:val="auto"/>
              </w:rPr>
            </w:pPr>
            <w:r>
              <w:t>310.2</w:t>
            </w:r>
          </w:p>
        </w:tc>
      </w:tr>
      <w:tr w:rsidR="005A5882" w:rsidRPr="001D081D" w14:paraId="00AD9CA3" w14:textId="77777777" w:rsidTr="003F40C2">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642B96EA" w14:textId="7B9B8047" w:rsidR="005A5882" w:rsidRPr="00441AF5" w:rsidRDefault="005A5882" w:rsidP="005A5882">
            <w:pPr>
              <w:pStyle w:val="EBBullet"/>
              <w:numPr>
                <w:ilvl w:val="0"/>
                <w:numId w:val="0"/>
              </w:numPr>
              <w:spacing w:before="40" w:after="40" w:line="259" w:lineRule="auto"/>
              <w:rPr>
                <w:b/>
                <w:color w:val="auto"/>
              </w:rPr>
            </w:pPr>
            <w:r w:rsidRPr="00441AF5">
              <w:rPr>
                <w:b/>
                <w:color w:val="auto"/>
              </w:rPr>
              <w:t>Total ongoing cost</w:t>
            </w:r>
          </w:p>
        </w:tc>
        <w:tc>
          <w:tcPr>
            <w:tcW w:w="1824" w:type="dxa"/>
            <w:tcBorders>
              <w:top w:val="single" w:sz="4" w:space="0" w:color="auto"/>
              <w:left w:val="single" w:sz="4" w:space="0" w:color="auto"/>
              <w:bottom w:val="single" w:sz="4" w:space="0" w:color="auto"/>
              <w:right w:val="single" w:sz="4" w:space="0" w:color="auto"/>
            </w:tcBorders>
            <w:vAlign w:val="bottom"/>
          </w:tcPr>
          <w:p w14:paraId="76CA46DD" w14:textId="583842DD" w:rsidR="005A5882" w:rsidRPr="00E7274E" w:rsidRDefault="00C51DC5" w:rsidP="005A5882">
            <w:pPr>
              <w:pStyle w:val="EBBullet"/>
              <w:numPr>
                <w:ilvl w:val="0"/>
                <w:numId w:val="0"/>
              </w:numPr>
              <w:spacing w:before="40" w:after="40" w:line="259" w:lineRule="auto"/>
              <w:jc w:val="right"/>
              <w:rPr>
                <w:b/>
                <w:color w:val="auto"/>
              </w:rPr>
            </w:pPr>
            <w:r w:rsidRPr="00627D49">
              <w:rPr>
                <w:b/>
              </w:rPr>
              <w:t>318.7</w:t>
            </w:r>
          </w:p>
        </w:tc>
        <w:tc>
          <w:tcPr>
            <w:tcW w:w="1698" w:type="dxa"/>
            <w:tcBorders>
              <w:top w:val="single" w:sz="4" w:space="0" w:color="auto"/>
              <w:left w:val="single" w:sz="4" w:space="0" w:color="auto"/>
              <w:bottom w:val="single" w:sz="4" w:space="0" w:color="auto"/>
              <w:right w:val="single" w:sz="4" w:space="0" w:color="auto"/>
            </w:tcBorders>
            <w:vAlign w:val="bottom"/>
          </w:tcPr>
          <w:p w14:paraId="647C6B46" w14:textId="5918A02F" w:rsidR="005A5882" w:rsidRPr="00E7274E" w:rsidRDefault="00C51DC5" w:rsidP="005A5882">
            <w:pPr>
              <w:pStyle w:val="EBBullet"/>
              <w:numPr>
                <w:ilvl w:val="0"/>
                <w:numId w:val="0"/>
              </w:numPr>
              <w:spacing w:before="40" w:after="40" w:line="259" w:lineRule="auto"/>
              <w:jc w:val="right"/>
              <w:rPr>
                <w:b/>
                <w:color w:val="auto"/>
              </w:rPr>
            </w:pPr>
            <w:r w:rsidRPr="00627D49">
              <w:rPr>
                <w:b/>
              </w:rPr>
              <w:t>387.0</w:t>
            </w:r>
          </w:p>
        </w:tc>
        <w:tc>
          <w:tcPr>
            <w:tcW w:w="1671" w:type="dxa"/>
            <w:tcBorders>
              <w:top w:val="single" w:sz="4" w:space="0" w:color="auto"/>
              <w:left w:val="single" w:sz="4" w:space="0" w:color="auto"/>
              <w:bottom w:val="single" w:sz="4" w:space="0" w:color="auto"/>
              <w:right w:val="single" w:sz="4" w:space="0" w:color="auto"/>
            </w:tcBorders>
            <w:vAlign w:val="bottom"/>
          </w:tcPr>
          <w:p w14:paraId="570A9194" w14:textId="682D3CD7" w:rsidR="005A5882" w:rsidRPr="00E7274E" w:rsidRDefault="00C51DC5" w:rsidP="005A5882">
            <w:pPr>
              <w:pStyle w:val="EBBullet"/>
              <w:numPr>
                <w:ilvl w:val="0"/>
                <w:numId w:val="0"/>
              </w:numPr>
              <w:spacing w:before="40" w:after="40" w:line="259" w:lineRule="auto"/>
              <w:jc w:val="right"/>
              <w:rPr>
                <w:b/>
                <w:color w:val="auto"/>
              </w:rPr>
            </w:pPr>
            <w:r w:rsidRPr="00627D49">
              <w:rPr>
                <w:b/>
              </w:rPr>
              <w:t>455.3</w:t>
            </w:r>
          </w:p>
        </w:tc>
      </w:tr>
      <w:tr w:rsidR="005A5882" w:rsidRPr="001D081D" w14:paraId="5D64E699" w14:textId="77777777" w:rsidTr="003F40C2">
        <w:trPr>
          <w:trHeight w:val="567"/>
        </w:trPr>
        <w:tc>
          <w:tcPr>
            <w:tcW w:w="4446" w:type="dxa"/>
            <w:tcBorders>
              <w:top w:val="single" w:sz="4" w:space="0" w:color="auto"/>
              <w:left w:val="single" w:sz="4" w:space="0" w:color="auto"/>
              <w:bottom w:val="single" w:sz="4" w:space="0" w:color="auto"/>
              <w:right w:val="single" w:sz="4" w:space="0" w:color="auto"/>
            </w:tcBorders>
            <w:vAlign w:val="center"/>
          </w:tcPr>
          <w:p w14:paraId="1F5EBADC" w14:textId="630D09E5" w:rsidR="005A5882" w:rsidRPr="00441AF5" w:rsidRDefault="005A5882" w:rsidP="005A5882">
            <w:pPr>
              <w:pStyle w:val="EBBullet"/>
              <w:numPr>
                <w:ilvl w:val="0"/>
                <w:numId w:val="0"/>
              </w:numPr>
              <w:spacing w:before="40" w:after="40" w:line="259" w:lineRule="auto"/>
              <w:rPr>
                <w:b/>
                <w:color w:val="auto"/>
              </w:rPr>
            </w:pPr>
            <w:bookmarkStart w:id="23" w:name="_Hlk132794841"/>
            <w:r w:rsidRPr="00441AF5">
              <w:rPr>
                <w:b/>
                <w:color w:val="auto"/>
              </w:rPr>
              <w:t>Total cost</w:t>
            </w:r>
          </w:p>
        </w:tc>
        <w:tc>
          <w:tcPr>
            <w:tcW w:w="1824" w:type="dxa"/>
            <w:tcBorders>
              <w:top w:val="single" w:sz="4" w:space="0" w:color="auto"/>
              <w:left w:val="single" w:sz="4" w:space="0" w:color="auto"/>
              <w:bottom w:val="single" w:sz="4" w:space="0" w:color="auto"/>
              <w:right w:val="single" w:sz="4" w:space="0" w:color="auto"/>
            </w:tcBorders>
            <w:vAlign w:val="bottom"/>
          </w:tcPr>
          <w:p w14:paraId="7C0C28C9" w14:textId="220E45C2" w:rsidR="005A5882" w:rsidRPr="009B07D2" w:rsidRDefault="00C51DC5" w:rsidP="005A5882">
            <w:pPr>
              <w:pStyle w:val="EBBullet"/>
              <w:numPr>
                <w:ilvl w:val="0"/>
                <w:numId w:val="0"/>
              </w:numPr>
              <w:spacing w:before="40" w:after="40" w:line="259" w:lineRule="auto"/>
              <w:jc w:val="right"/>
              <w:rPr>
                <w:b/>
                <w:color w:val="auto"/>
              </w:rPr>
            </w:pPr>
            <w:r w:rsidRPr="009471CC">
              <w:rPr>
                <w:b/>
              </w:rPr>
              <w:t>7</w:t>
            </w:r>
            <w:r>
              <w:rPr>
                <w:b/>
              </w:rPr>
              <w:t>40.2</w:t>
            </w:r>
          </w:p>
        </w:tc>
        <w:tc>
          <w:tcPr>
            <w:tcW w:w="1698" w:type="dxa"/>
            <w:tcBorders>
              <w:top w:val="single" w:sz="4" w:space="0" w:color="auto"/>
              <w:left w:val="single" w:sz="4" w:space="0" w:color="auto"/>
              <w:bottom w:val="single" w:sz="4" w:space="0" w:color="auto"/>
              <w:right w:val="single" w:sz="4" w:space="0" w:color="auto"/>
            </w:tcBorders>
            <w:vAlign w:val="bottom"/>
          </w:tcPr>
          <w:p w14:paraId="754A84E2" w14:textId="1896E4E4" w:rsidR="005A5882" w:rsidRPr="009B07D2" w:rsidRDefault="00C51DC5" w:rsidP="005A5882">
            <w:pPr>
              <w:pStyle w:val="EBBullet"/>
              <w:numPr>
                <w:ilvl w:val="0"/>
                <w:numId w:val="0"/>
              </w:numPr>
              <w:spacing w:before="40" w:after="40" w:line="259" w:lineRule="auto"/>
              <w:jc w:val="right"/>
              <w:rPr>
                <w:b/>
                <w:color w:val="auto"/>
              </w:rPr>
            </w:pPr>
            <w:r w:rsidRPr="009471CC">
              <w:rPr>
                <w:b/>
              </w:rPr>
              <w:t>8</w:t>
            </w:r>
            <w:r>
              <w:rPr>
                <w:b/>
              </w:rPr>
              <w:t>73.7</w:t>
            </w:r>
          </w:p>
        </w:tc>
        <w:tc>
          <w:tcPr>
            <w:tcW w:w="1671" w:type="dxa"/>
            <w:tcBorders>
              <w:top w:val="single" w:sz="4" w:space="0" w:color="auto"/>
              <w:left w:val="single" w:sz="4" w:space="0" w:color="auto"/>
              <w:bottom w:val="single" w:sz="4" w:space="0" w:color="auto"/>
              <w:right w:val="single" w:sz="4" w:space="0" w:color="auto"/>
            </w:tcBorders>
            <w:vAlign w:val="bottom"/>
          </w:tcPr>
          <w:p w14:paraId="6E4C9D22" w14:textId="299C5428" w:rsidR="005A5882" w:rsidRPr="009B07D2" w:rsidRDefault="00C51DC5" w:rsidP="005A5882">
            <w:pPr>
              <w:pStyle w:val="EBBullet"/>
              <w:numPr>
                <w:ilvl w:val="0"/>
                <w:numId w:val="0"/>
              </w:numPr>
              <w:spacing w:before="40" w:after="40" w:line="259" w:lineRule="auto"/>
              <w:jc w:val="right"/>
              <w:rPr>
                <w:b/>
                <w:color w:val="auto"/>
              </w:rPr>
            </w:pPr>
            <w:r>
              <w:rPr>
                <w:b/>
              </w:rPr>
              <w:t>1,007.3</w:t>
            </w:r>
          </w:p>
        </w:tc>
      </w:tr>
      <w:bookmarkEnd w:id="23"/>
      <w:tr w:rsidR="005A5882" w:rsidRPr="001D081D" w14:paraId="2780BB61"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1BEAADBC" w14:textId="05929BA2" w:rsidR="005A5882" w:rsidRPr="00441AF5" w:rsidRDefault="005A5882" w:rsidP="005A5882">
            <w:pPr>
              <w:pStyle w:val="EBBullet"/>
              <w:numPr>
                <w:ilvl w:val="0"/>
                <w:numId w:val="0"/>
              </w:numPr>
              <w:spacing w:before="40" w:after="40" w:line="259" w:lineRule="auto"/>
              <w:rPr>
                <w:b/>
                <w:color w:val="auto"/>
              </w:rPr>
            </w:pPr>
            <w:r w:rsidRPr="00441AF5">
              <w:rPr>
                <w:b/>
                <w:color w:val="auto"/>
              </w:rPr>
              <w:t>Benefit</w:t>
            </w:r>
          </w:p>
        </w:tc>
        <w:tc>
          <w:tcPr>
            <w:tcW w:w="1824" w:type="dxa"/>
            <w:tcBorders>
              <w:top w:val="single" w:sz="4" w:space="0" w:color="auto"/>
              <w:left w:val="single" w:sz="4" w:space="0" w:color="auto"/>
              <w:bottom w:val="single" w:sz="4" w:space="0" w:color="auto"/>
              <w:right w:val="single" w:sz="4" w:space="0" w:color="auto"/>
            </w:tcBorders>
            <w:vAlign w:val="center"/>
          </w:tcPr>
          <w:p w14:paraId="7EA554FB" w14:textId="483DE39A" w:rsidR="005A5882" w:rsidRPr="00D5132B" w:rsidRDefault="005A5882" w:rsidP="005A5882">
            <w:pPr>
              <w:pStyle w:val="EBBullet"/>
              <w:numPr>
                <w:ilvl w:val="0"/>
                <w:numId w:val="0"/>
              </w:numPr>
              <w:spacing w:before="40" w:after="40" w:line="259" w:lineRule="auto"/>
              <w:jc w:val="right"/>
              <w:rPr>
                <w:color w:val="auto"/>
              </w:rPr>
            </w:pPr>
            <w:r w:rsidRPr="00D5132B">
              <w:rPr>
                <w:b/>
                <w:color w:val="auto"/>
              </w:rPr>
              <w:t>N/A</w:t>
            </w:r>
          </w:p>
        </w:tc>
        <w:tc>
          <w:tcPr>
            <w:tcW w:w="1698" w:type="dxa"/>
            <w:tcBorders>
              <w:top w:val="single" w:sz="4" w:space="0" w:color="auto"/>
              <w:left w:val="single" w:sz="4" w:space="0" w:color="auto"/>
              <w:bottom w:val="single" w:sz="4" w:space="0" w:color="auto"/>
              <w:right w:val="single" w:sz="4" w:space="0" w:color="auto"/>
            </w:tcBorders>
            <w:vAlign w:val="center"/>
          </w:tcPr>
          <w:p w14:paraId="50F001B5" w14:textId="7CCDC18B" w:rsidR="005A5882" w:rsidRPr="00D5132B" w:rsidRDefault="005A5882" w:rsidP="005A5882">
            <w:pPr>
              <w:pStyle w:val="EBBullet"/>
              <w:numPr>
                <w:ilvl w:val="0"/>
                <w:numId w:val="0"/>
              </w:numPr>
              <w:spacing w:before="40" w:after="40" w:line="259" w:lineRule="auto"/>
              <w:jc w:val="right"/>
              <w:rPr>
                <w:b/>
                <w:color w:val="auto"/>
              </w:rPr>
            </w:pPr>
            <w:r w:rsidRPr="00D5132B">
              <w:rPr>
                <w:b/>
                <w:color w:val="auto"/>
              </w:rPr>
              <w:t>N/A</w:t>
            </w:r>
          </w:p>
        </w:tc>
        <w:tc>
          <w:tcPr>
            <w:tcW w:w="1671" w:type="dxa"/>
            <w:tcBorders>
              <w:top w:val="single" w:sz="4" w:space="0" w:color="auto"/>
              <w:left w:val="single" w:sz="4" w:space="0" w:color="auto"/>
              <w:bottom w:val="single" w:sz="4" w:space="0" w:color="auto"/>
              <w:right w:val="single" w:sz="4" w:space="0" w:color="auto"/>
            </w:tcBorders>
            <w:vAlign w:val="center"/>
          </w:tcPr>
          <w:p w14:paraId="2AEA0B04" w14:textId="7641AF53" w:rsidR="005A5882" w:rsidRPr="00D5132B" w:rsidRDefault="005A5882" w:rsidP="005A5882">
            <w:pPr>
              <w:pStyle w:val="EBBullet"/>
              <w:numPr>
                <w:ilvl w:val="0"/>
                <w:numId w:val="0"/>
              </w:numPr>
              <w:spacing w:before="40" w:after="40" w:line="259" w:lineRule="auto"/>
              <w:jc w:val="right"/>
              <w:rPr>
                <w:color w:val="auto"/>
              </w:rPr>
            </w:pPr>
            <w:r w:rsidRPr="00D5132B">
              <w:rPr>
                <w:b/>
                <w:color w:val="auto"/>
              </w:rPr>
              <w:t>N/A</w:t>
            </w:r>
          </w:p>
        </w:tc>
      </w:tr>
      <w:tr w:rsidR="005A5882" w:rsidRPr="001D081D" w14:paraId="1C638C61" w14:textId="77777777" w:rsidTr="00EF636C">
        <w:trPr>
          <w:trHeight w:val="340"/>
        </w:trPr>
        <w:tc>
          <w:tcPr>
            <w:tcW w:w="4446" w:type="dxa"/>
            <w:tcBorders>
              <w:top w:val="single" w:sz="4" w:space="0" w:color="auto"/>
              <w:left w:val="single" w:sz="4" w:space="0" w:color="auto"/>
              <w:bottom w:val="single" w:sz="4" w:space="0" w:color="auto"/>
              <w:right w:val="single" w:sz="4" w:space="0" w:color="auto"/>
            </w:tcBorders>
            <w:vAlign w:val="center"/>
          </w:tcPr>
          <w:p w14:paraId="4CA03A0D" w14:textId="2B1DADB7" w:rsidR="005A5882" w:rsidRPr="00441AF5" w:rsidRDefault="005A5882" w:rsidP="005A5882">
            <w:pPr>
              <w:pStyle w:val="EBBullet"/>
              <w:numPr>
                <w:ilvl w:val="0"/>
                <w:numId w:val="0"/>
              </w:numPr>
              <w:spacing w:before="40" w:after="40" w:line="259" w:lineRule="auto"/>
              <w:rPr>
                <w:b/>
                <w:color w:val="auto"/>
              </w:rPr>
            </w:pPr>
            <w:r w:rsidRPr="00441AF5">
              <w:rPr>
                <w:b/>
                <w:color w:val="auto"/>
              </w:rPr>
              <w:t>Total benefit</w:t>
            </w:r>
          </w:p>
        </w:tc>
        <w:tc>
          <w:tcPr>
            <w:tcW w:w="1824" w:type="dxa"/>
            <w:tcBorders>
              <w:top w:val="single" w:sz="4" w:space="0" w:color="auto"/>
              <w:left w:val="single" w:sz="4" w:space="0" w:color="auto"/>
              <w:bottom w:val="single" w:sz="4" w:space="0" w:color="auto"/>
              <w:right w:val="single" w:sz="4" w:space="0" w:color="auto"/>
            </w:tcBorders>
            <w:vAlign w:val="center"/>
          </w:tcPr>
          <w:p w14:paraId="088F1ABB" w14:textId="2A2041F8" w:rsidR="005A5882" w:rsidRPr="00D5132B" w:rsidRDefault="005A5882" w:rsidP="005A5882">
            <w:pPr>
              <w:pStyle w:val="EBBullet"/>
              <w:numPr>
                <w:ilvl w:val="0"/>
                <w:numId w:val="0"/>
              </w:numPr>
              <w:spacing w:before="40" w:after="40" w:line="259" w:lineRule="auto"/>
              <w:jc w:val="right"/>
              <w:rPr>
                <w:b/>
                <w:color w:val="auto"/>
              </w:rPr>
            </w:pPr>
            <w:r w:rsidRPr="00D5132B">
              <w:rPr>
                <w:b/>
                <w:color w:val="auto"/>
              </w:rPr>
              <w:t>N/A</w:t>
            </w:r>
          </w:p>
        </w:tc>
        <w:tc>
          <w:tcPr>
            <w:tcW w:w="1698" w:type="dxa"/>
            <w:tcBorders>
              <w:top w:val="single" w:sz="4" w:space="0" w:color="auto"/>
              <w:left w:val="single" w:sz="4" w:space="0" w:color="auto"/>
              <w:bottom w:val="single" w:sz="4" w:space="0" w:color="auto"/>
              <w:right w:val="single" w:sz="4" w:space="0" w:color="auto"/>
            </w:tcBorders>
            <w:vAlign w:val="center"/>
          </w:tcPr>
          <w:p w14:paraId="4932551F" w14:textId="7C86E6C1" w:rsidR="005A5882" w:rsidRPr="00D5132B" w:rsidRDefault="005A5882" w:rsidP="005A5882">
            <w:pPr>
              <w:pStyle w:val="EBBullet"/>
              <w:numPr>
                <w:ilvl w:val="0"/>
                <w:numId w:val="0"/>
              </w:numPr>
              <w:spacing w:before="40" w:after="40" w:line="259" w:lineRule="auto"/>
              <w:jc w:val="right"/>
              <w:rPr>
                <w:b/>
                <w:color w:val="auto"/>
              </w:rPr>
            </w:pPr>
            <w:r w:rsidRPr="00D5132B">
              <w:rPr>
                <w:b/>
                <w:color w:val="auto"/>
              </w:rPr>
              <w:t>N/A</w:t>
            </w:r>
          </w:p>
        </w:tc>
        <w:tc>
          <w:tcPr>
            <w:tcW w:w="1671" w:type="dxa"/>
            <w:tcBorders>
              <w:top w:val="single" w:sz="4" w:space="0" w:color="auto"/>
              <w:left w:val="single" w:sz="4" w:space="0" w:color="auto"/>
              <w:bottom w:val="single" w:sz="4" w:space="0" w:color="auto"/>
              <w:right w:val="single" w:sz="4" w:space="0" w:color="auto"/>
            </w:tcBorders>
            <w:vAlign w:val="center"/>
          </w:tcPr>
          <w:p w14:paraId="5C3B9500" w14:textId="6B5F7C59" w:rsidR="005A5882" w:rsidRPr="00D5132B" w:rsidRDefault="005A5882" w:rsidP="005A5882">
            <w:pPr>
              <w:pStyle w:val="EBBullet"/>
              <w:numPr>
                <w:ilvl w:val="0"/>
                <w:numId w:val="0"/>
              </w:numPr>
              <w:spacing w:before="40" w:after="40" w:line="259" w:lineRule="auto"/>
              <w:jc w:val="right"/>
              <w:rPr>
                <w:b/>
                <w:color w:val="auto"/>
              </w:rPr>
            </w:pPr>
            <w:r w:rsidRPr="00D5132B">
              <w:rPr>
                <w:b/>
                <w:color w:val="auto"/>
              </w:rPr>
              <w:t>N/A</w:t>
            </w:r>
          </w:p>
        </w:tc>
      </w:tr>
      <w:tr w:rsidR="005A5882" w:rsidRPr="001D081D" w14:paraId="597CBFCA" w14:textId="77777777" w:rsidTr="003F40C2">
        <w:trPr>
          <w:cantSplit/>
          <w:trHeight w:val="340"/>
        </w:trPr>
        <w:tc>
          <w:tcPr>
            <w:tcW w:w="4446" w:type="dxa"/>
            <w:tcBorders>
              <w:top w:val="single" w:sz="4" w:space="0" w:color="auto"/>
              <w:bottom w:val="single" w:sz="4" w:space="0" w:color="auto"/>
            </w:tcBorders>
            <w:vAlign w:val="center"/>
          </w:tcPr>
          <w:p w14:paraId="27FBD62C" w14:textId="78192366" w:rsidR="005A5882" w:rsidRPr="00441AF5" w:rsidRDefault="005A5882" w:rsidP="005A5882">
            <w:pPr>
              <w:pStyle w:val="EBBullet"/>
              <w:numPr>
                <w:ilvl w:val="0"/>
                <w:numId w:val="0"/>
              </w:numPr>
              <w:spacing w:before="40" w:after="40" w:line="259" w:lineRule="auto"/>
              <w:rPr>
                <w:b/>
                <w:color w:val="auto"/>
              </w:rPr>
            </w:pPr>
            <w:r w:rsidRPr="00441AF5">
              <w:rPr>
                <w:b/>
                <w:color w:val="auto"/>
              </w:rPr>
              <w:t>NPSV</w:t>
            </w:r>
          </w:p>
        </w:tc>
        <w:tc>
          <w:tcPr>
            <w:tcW w:w="1824" w:type="dxa"/>
            <w:tcBorders>
              <w:top w:val="single" w:sz="4" w:space="0" w:color="auto"/>
              <w:bottom w:val="single" w:sz="4" w:space="0" w:color="auto"/>
            </w:tcBorders>
            <w:vAlign w:val="bottom"/>
          </w:tcPr>
          <w:p w14:paraId="54D66518" w14:textId="2E583315" w:rsidR="005A5882" w:rsidRPr="00691542" w:rsidRDefault="00EF636C" w:rsidP="005A5882">
            <w:pPr>
              <w:pStyle w:val="EBBullet"/>
              <w:numPr>
                <w:ilvl w:val="0"/>
                <w:numId w:val="0"/>
              </w:numPr>
              <w:spacing w:before="40" w:after="40" w:line="259" w:lineRule="auto"/>
              <w:jc w:val="right"/>
              <w:rPr>
                <w:b/>
                <w:color w:val="auto"/>
              </w:rPr>
            </w:pPr>
            <w:r>
              <w:rPr>
                <w:b/>
              </w:rPr>
              <w:t>-</w:t>
            </w:r>
            <w:r w:rsidRPr="009471CC">
              <w:rPr>
                <w:b/>
              </w:rPr>
              <w:t>7</w:t>
            </w:r>
            <w:r>
              <w:rPr>
                <w:b/>
              </w:rPr>
              <w:t>40.2</w:t>
            </w:r>
          </w:p>
        </w:tc>
        <w:tc>
          <w:tcPr>
            <w:tcW w:w="1698" w:type="dxa"/>
            <w:tcBorders>
              <w:top w:val="single" w:sz="4" w:space="0" w:color="auto"/>
              <w:bottom w:val="single" w:sz="4" w:space="0" w:color="auto"/>
            </w:tcBorders>
            <w:vAlign w:val="bottom"/>
          </w:tcPr>
          <w:p w14:paraId="7345487E" w14:textId="7DB6908C" w:rsidR="005A5882" w:rsidRPr="00691542" w:rsidRDefault="00EF636C" w:rsidP="005A5882">
            <w:pPr>
              <w:pStyle w:val="EBBullet"/>
              <w:numPr>
                <w:ilvl w:val="0"/>
                <w:numId w:val="0"/>
              </w:numPr>
              <w:spacing w:before="40" w:after="40" w:line="259" w:lineRule="auto"/>
              <w:jc w:val="right"/>
              <w:rPr>
                <w:b/>
                <w:color w:val="auto"/>
              </w:rPr>
            </w:pPr>
            <w:r>
              <w:rPr>
                <w:b/>
              </w:rPr>
              <w:t>-</w:t>
            </w:r>
            <w:r w:rsidRPr="009471CC">
              <w:rPr>
                <w:b/>
              </w:rPr>
              <w:t>8</w:t>
            </w:r>
            <w:r>
              <w:rPr>
                <w:b/>
              </w:rPr>
              <w:t>73.7</w:t>
            </w:r>
          </w:p>
        </w:tc>
        <w:tc>
          <w:tcPr>
            <w:tcW w:w="1671" w:type="dxa"/>
            <w:tcBorders>
              <w:top w:val="single" w:sz="4" w:space="0" w:color="auto"/>
              <w:bottom w:val="single" w:sz="4" w:space="0" w:color="auto"/>
            </w:tcBorders>
            <w:vAlign w:val="bottom"/>
          </w:tcPr>
          <w:p w14:paraId="15039BFA" w14:textId="6FE8AFBB" w:rsidR="005A5882" w:rsidRPr="00691542" w:rsidRDefault="00EF636C" w:rsidP="005A5882">
            <w:pPr>
              <w:pStyle w:val="EBBullet"/>
              <w:numPr>
                <w:ilvl w:val="0"/>
                <w:numId w:val="0"/>
              </w:numPr>
              <w:spacing w:before="40" w:after="40" w:line="259" w:lineRule="auto"/>
              <w:jc w:val="right"/>
              <w:rPr>
                <w:b/>
                <w:color w:val="auto"/>
              </w:rPr>
            </w:pPr>
            <w:r>
              <w:rPr>
                <w:b/>
              </w:rPr>
              <w:t>-1,007.3</w:t>
            </w:r>
          </w:p>
        </w:tc>
      </w:tr>
      <w:tr w:rsidR="005A5882" w:rsidRPr="001D081D" w14:paraId="3D0E290F" w14:textId="77777777" w:rsidTr="003F40C2">
        <w:trPr>
          <w:trHeight w:val="340"/>
        </w:trPr>
        <w:tc>
          <w:tcPr>
            <w:tcW w:w="4446" w:type="dxa"/>
            <w:tcBorders>
              <w:top w:val="single" w:sz="4" w:space="0" w:color="auto"/>
              <w:bottom w:val="single" w:sz="4" w:space="0" w:color="auto"/>
            </w:tcBorders>
            <w:vAlign w:val="center"/>
          </w:tcPr>
          <w:p w14:paraId="648C204E" w14:textId="5C4F45A7" w:rsidR="005A5882" w:rsidRPr="00441AF5" w:rsidRDefault="005A5882" w:rsidP="005A5882">
            <w:pPr>
              <w:pStyle w:val="EBBullet"/>
              <w:numPr>
                <w:ilvl w:val="0"/>
                <w:numId w:val="0"/>
              </w:numPr>
              <w:spacing w:before="40" w:after="40" w:line="259" w:lineRule="auto"/>
              <w:rPr>
                <w:b/>
                <w:color w:val="auto"/>
              </w:rPr>
            </w:pPr>
            <w:r w:rsidRPr="00441AF5">
              <w:rPr>
                <w:b/>
                <w:color w:val="auto"/>
              </w:rPr>
              <w:t>BNPV</w:t>
            </w:r>
          </w:p>
        </w:tc>
        <w:tc>
          <w:tcPr>
            <w:tcW w:w="1824" w:type="dxa"/>
            <w:tcBorders>
              <w:top w:val="single" w:sz="4" w:space="0" w:color="auto"/>
              <w:bottom w:val="single" w:sz="4" w:space="0" w:color="auto"/>
            </w:tcBorders>
            <w:vAlign w:val="bottom"/>
          </w:tcPr>
          <w:p w14:paraId="6B69DC78" w14:textId="198D8983" w:rsidR="005A5882" w:rsidRPr="00691542" w:rsidRDefault="00EF636C" w:rsidP="005A5882">
            <w:pPr>
              <w:pStyle w:val="EBBullet"/>
              <w:numPr>
                <w:ilvl w:val="0"/>
                <w:numId w:val="0"/>
              </w:numPr>
              <w:spacing w:before="40" w:after="40" w:line="259" w:lineRule="auto"/>
              <w:jc w:val="right"/>
              <w:rPr>
                <w:b/>
                <w:color w:val="auto"/>
              </w:rPr>
            </w:pPr>
            <w:r>
              <w:rPr>
                <w:b/>
              </w:rPr>
              <w:t>-</w:t>
            </w:r>
            <w:r w:rsidRPr="009471CC">
              <w:rPr>
                <w:b/>
              </w:rPr>
              <w:t>7</w:t>
            </w:r>
            <w:r>
              <w:rPr>
                <w:b/>
              </w:rPr>
              <w:t>40.2</w:t>
            </w:r>
          </w:p>
        </w:tc>
        <w:tc>
          <w:tcPr>
            <w:tcW w:w="1698" w:type="dxa"/>
            <w:tcBorders>
              <w:top w:val="single" w:sz="4" w:space="0" w:color="auto"/>
              <w:bottom w:val="single" w:sz="4" w:space="0" w:color="auto"/>
            </w:tcBorders>
            <w:vAlign w:val="bottom"/>
          </w:tcPr>
          <w:p w14:paraId="37D110AA" w14:textId="0708377B" w:rsidR="005A5882" w:rsidRPr="00691542" w:rsidRDefault="00EF636C" w:rsidP="005A5882">
            <w:pPr>
              <w:pStyle w:val="EBBullet"/>
              <w:numPr>
                <w:ilvl w:val="0"/>
                <w:numId w:val="0"/>
              </w:numPr>
              <w:spacing w:before="40" w:after="40" w:line="259" w:lineRule="auto"/>
              <w:jc w:val="right"/>
              <w:rPr>
                <w:b/>
                <w:color w:val="auto"/>
              </w:rPr>
            </w:pPr>
            <w:r>
              <w:rPr>
                <w:b/>
              </w:rPr>
              <w:t>-</w:t>
            </w:r>
            <w:r w:rsidRPr="009471CC">
              <w:rPr>
                <w:b/>
              </w:rPr>
              <w:t>8</w:t>
            </w:r>
            <w:r>
              <w:rPr>
                <w:b/>
              </w:rPr>
              <w:t>73.7</w:t>
            </w:r>
          </w:p>
        </w:tc>
        <w:tc>
          <w:tcPr>
            <w:tcW w:w="1671" w:type="dxa"/>
            <w:tcBorders>
              <w:top w:val="single" w:sz="4" w:space="0" w:color="auto"/>
              <w:bottom w:val="single" w:sz="4" w:space="0" w:color="auto"/>
            </w:tcBorders>
            <w:vAlign w:val="bottom"/>
          </w:tcPr>
          <w:p w14:paraId="0D70BAF0" w14:textId="355C89F8" w:rsidR="005A5882" w:rsidRPr="00691542" w:rsidRDefault="00EF636C" w:rsidP="005A5882">
            <w:pPr>
              <w:pStyle w:val="EBBullet"/>
              <w:numPr>
                <w:ilvl w:val="0"/>
                <w:numId w:val="0"/>
              </w:numPr>
              <w:spacing w:before="40" w:after="40" w:line="259" w:lineRule="auto"/>
              <w:jc w:val="right"/>
              <w:rPr>
                <w:b/>
                <w:color w:val="auto"/>
              </w:rPr>
            </w:pPr>
            <w:r>
              <w:rPr>
                <w:b/>
              </w:rPr>
              <w:t>-1,007.3</w:t>
            </w:r>
          </w:p>
        </w:tc>
      </w:tr>
      <w:tr w:rsidR="005A5882" w:rsidRPr="00C2743D" w14:paraId="1F98565E" w14:textId="77777777" w:rsidTr="003F40C2">
        <w:trPr>
          <w:trHeight w:val="340"/>
        </w:trPr>
        <w:tc>
          <w:tcPr>
            <w:tcW w:w="4446" w:type="dxa"/>
            <w:tcBorders>
              <w:top w:val="single" w:sz="4" w:space="0" w:color="auto"/>
            </w:tcBorders>
            <w:vAlign w:val="center"/>
          </w:tcPr>
          <w:p w14:paraId="634A0AB9" w14:textId="591650BD" w:rsidR="005A5882" w:rsidRPr="00441AF5" w:rsidRDefault="005A5882" w:rsidP="005A5882">
            <w:pPr>
              <w:pStyle w:val="EBBullet"/>
              <w:numPr>
                <w:ilvl w:val="0"/>
                <w:numId w:val="0"/>
              </w:numPr>
              <w:spacing w:before="40" w:after="40" w:line="259" w:lineRule="auto"/>
              <w:rPr>
                <w:b/>
                <w:color w:val="auto"/>
              </w:rPr>
            </w:pPr>
            <w:r w:rsidRPr="00441AF5">
              <w:rPr>
                <w:b/>
                <w:color w:val="auto"/>
              </w:rPr>
              <w:t>EANDCB (2019 prices, 2020 PV)</w:t>
            </w:r>
          </w:p>
        </w:tc>
        <w:tc>
          <w:tcPr>
            <w:tcW w:w="1824" w:type="dxa"/>
            <w:tcBorders>
              <w:top w:val="single" w:sz="4" w:space="0" w:color="auto"/>
            </w:tcBorders>
            <w:shd w:val="clear" w:color="auto" w:fill="auto"/>
            <w:vAlign w:val="center"/>
          </w:tcPr>
          <w:p w14:paraId="38C5EA69" w14:textId="701A8B0B" w:rsidR="005A5882" w:rsidRPr="00627D49" w:rsidRDefault="005A5882" w:rsidP="005A5882">
            <w:pPr>
              <w:pStyle w:val="EBBullet"/>
              <w:numPr>
                <w:ilvl w:val="0"/>
                <w:numId w:val="0"/>
              </w:numPr>
              <w:spacing w:before="40" w:after="40" w:line="259" w:lineRule="auto"/>
              <w:jc w:val="right"/>
              <w:rPr>
                <w:rStyle w:val="CommentReference"/>
                <w:b/>
                <w:color w:val="auto"/>
                <w:sz w:val="22"/>
                <w:szCs w:val="22"/>
                <w:lang w:eastAsia="en-US"/>
              </w:rPr>
            </w:pPr>
            <w:r w:rsidRPr="00627D49">
              <w:rPr>
                <w:rStyle w:val="CommentReference"/>
                <w:b/>
                <w:color w:val="auto"/>
                <w:sz w:val="22"/>
                <w:szCs w:val="22"/>
                <w:lang w:eastAsia="en-US"/>
              </w:rPr>
              <w:t>6</w:t>
            </w:r>
            <w:r w:rsidR="006A5645" w:rsidRPr="00627D49">
              <w:rPr>
                <w:rStyle w:val="CommentReference"/>
                <w:b/>
                <w:color w:val="auto"/>
                <w:sz w:val="22"/>
                <w:szCs w:val="22"/>
                <w:lang w:eastAsia="en-US"/>
              </w:rPr>
              <w:t>4</w:t>
            </w:r>
            <w:r w:rsidR="00BF4DEE" w:rsidRPr="00627D49">
              <w:rPr>
                <w:rStyle w:val="CommentReference"/>
                <w:b/>
                <w:sz w:val="22"/>
                <w:szCs w:val="22"/>
                <w:lang w:eastAsia="en-US"/>
              </w:rPr>
              <w:t>.</w:t>
            </w:r>
            <w:r w:rsidR="006A5645" w:rsidRPr="00627D49">
              <w:rPr>
                <w:rStyle w:val="CommentReference"/>
                <w:b/>
                <w:sz w:val="22"/>
                <w:szCs w:val="22"/>
                <w:lang w:eastAsia="en-US"/>
              </w:rPr>
              <w:t>8</w:t>
            </w:r>
          </w:p>
        </w:tc>
        <w:tc>
          <w:tcPr>
            <w:tcW w:w="1698" w:type="dxa"/>
            <w:tcBorders>
              <w:top w:val="single" w:sz="4" w:space="0" w:color="auto"/>
            </w:tcBorders>
            <w:shd w:val="clear" w:color="auto" w:fill="auto"/>
            <w:vAlign w:val="center"/>
          </w:tcPr>
          <w:p w14:paraId="10D53DAF" w14:textId="766E731D" w:rsidR="005A5882" w:rsidRPr="00627D49" w:rsidRDefault="005A5882" w:rsidP="005A5882">
            <w:pPr>
              <w:pStyle w:val="EBBullet"/>
              <w:numPr>
                <w:ilvl w:val="0"/>
                <w:numId w:val="0"/>
              </w:numPr>
              <w:spacing w:before="40" w:after="40" w:line="259" w:lineRule="auto"/>
              <w:jc w:val="right"/>
              <w:rPr>
                <w:rStyle w:val="CommentReference"/>
                <w:b/>
                <w:color w:val="auto"/>
                <w:sz w:val="22"/>
                <w:szCs w:val="22"/>
                <w:lang w:eastAsia="en-US"/>
              </w:rPr>
            </w:pPr>
            <w:r w:rsidRPr="00627D49">
              <w:rPr>
                <w:b/>
                <w:color w:val="auto"/>
              </w:rPr>
              <w:t>7</w:t>
            </w:r>
            <w:r w:rsidR="00A6618D" w:rsidRPr="00627D49">
              <w:rPr>
                <w:b/>
                <w:color w:val="auto"/>
              </w:rPr>
              <w:t>6</w:t>
            </w:r>
            <w:r w:rsidR="007D5B1B">
              <w:rPr>
                <w:b/>
                <w:color w:val="auto"/>
              </w:rPr>
              <w:t>.</w:t>
            </w:r>
            <w:r w:rsidR="00A6618D" w:rsidRPr="00627D49">
              <w:rPr>
                <w:b/>
                <w:color w:val="auto"/>
              </w:rPr>
              <w:t>4</w:t>
            </w:r>
          </w:p>
        </w:tc>
        <w:tc>
          <w:tcPr>
            <w:tcW w:w="1671" w:type="dxa"/>
            <w:tcBorders>
              <w:top w:val="single" w:sz="4" w:space="0" w:color="auto"/>
            </w:tcBorders>
            <w:shd w:val="clear" w:color="auto" w:fill="auto"/>
            <w:vAlign w:val="center"/>
          </w:tcPr>
          <w:p w14:paraId="07130230" w14:textId="156A1A64" w:rsidR="005A5882" w:rsidRPr="00627D49" w:rsidRDefault="00813FA2" w:rsidP="005A5882">
            <w:pPr>
              <w:pStyle w:val="EBBullet"/>
              <w:numPr>
                <w:ilvl w:val="0"/>
                <w:numId w:val="0"/>
              </w:numPr>
              <w:spacing w:before="40" w:after="40" w:line="259" w:lineRule="auto"/>
              <w:jc w:val="right"/>
              <w:rPr>
                <w:rStyle w:val="CommentReference"/>
                <w:b/>
                <w:color w:val="auto"/>
                <w:sz w:val="22"/>
                <w:szCs w:val="22"/>
                <w:lang w:eastAsia="en-US"/>
              </w:rPr>
            </w:pPr>
            <w:r w:rsidRPr="00627D49">
              <w:rPr>
                <w:rStyle w:val="CommentReference"/>
                <w:b/>
                <w:sz w:val="22"/>
                <w:szCs w:val="22"/>
                <w:lang w:eastAsia="en-US"/>
              </w:rPr>
              <w:t>88.</w:t>
            </w:r>
            <w:r w:rsidRPr="00627D49">
              <w:rPr>
                <w:rStyle w:val="CommentReference"/>
                <w:b/>
                <w:color w:val="auto"/>
                <w:sz w:val="22"/>
                <w:szCs w:val="22"/>
                <w:lang w:eastAsia="en-US"/>
              </w:rPr>
              <w:t>1</w:t>
            </w:r>
          </w:p>
        </w:tc>
      </w:tr>
    </w:tbl>
    <w:bookmarkEnd w:id="22"/>
    <w:p w14:paraId="701AC934" w14:textId="5E4FC8AD" w:rsidR="0069591B" w:rsidRPr="0029116F" w:rsidRDefault="00B30DE4" w:rsidP="00C23109">
      <w:pPr>
        <w:pStyle w:val="EBBullet"/>
        <w:numPr>
          <w:ilvl w:val="0"/>
          <w:numId w:val="0"/>
        </w:numPr>
        <w:spacing w:line="259" w:lineRule="auto"/>
        <w:ind w:left="567"/>
        <w:jc w:val="both"/>
        <w:rPr>
          <w:color w:val="auto"/>
          <w:sz w:val="18"/>
          <w:szCs w:val="18"/>
        </w:rPr>
      </w:pPr>
      <w:r w:rsidRPr="0029116F">
        <w:rPr>
          <w:color w:val="auto"/>
          <w:sz w:val="18"/>
          <w:szCs w:val="18"/>
        </w:rPr>
        <w:t xml:space="preserve">Source: Home Office and </w:t>
      </w:r>
      <w:r w:rsidR="00CD5B6E" w:rsidRPr="0029116F">
        <w:rPr>
          <w:color w:val="auto"/>
          <w:sz w:val="18"/>
          <w:szCs w:val="18"/>
        </w:rPr>
        <w:t>DBT</w:t>
      </w:r>
      <w:r w:rsidRPr="0029116F">
        <w:rPr>
          <w:color w:val="auto"/>
          <w:sz w:val="18"/>
          <w:szCs w:val="18"/>
        </w:rPr>
        <w:t>, own estimates.</w:t>
      </w:r>
      <w:r w:rsidR="004D76B9">
        <w:rPr>
          <w:color w:val="auto"/>
          <w:sz w:val="18"/>
          <w:szCs w:val="18"/>
        </w:rPr>
        <w:t xml:space="preserve"> </w:t>
      </w:r>
      <w:r w:rsidR="004D76B9">
        <w:rPr>
          <w:sz w:val="18"/>
          <w:szCs w:val="18"/>
        </w:rPr>
        <w:t>Numbers may not sum due to rounding.</w:t>
      </w:r>
    </w:p>
    <w:bookmarkEnd w:id="21"/>
    <w:p w14:paraId="66FCBA34" w14:textId="17E0D157" w:rsidR="0069591B" w:rsidRPr="00441AF5" w:rsidRDefault="00B30DE4" w:rsidP="00BC3FAC">
      <w:pPr>
        <w:pStyle w:val="EBBullet"/>
        <w:numPr>
          <w:ilvl w:val="0"/>
          <w:numId w:val="0"/>
        </w:numPr>
        <w:spacing w:line="259" w:lineRule="auto"/>
        <w:jc w:val="both"/>
        <w:rPr>
          <w:b/>
          <w:bCs w:val="0"/>
          <w:color w:val="auto"/>
        </w:rPr>
      </w:pPr>
      <w:r w:rsidRPr="00441AF5">
        <w:rPr>
          <w:b/>
          <w:bCs w:val="0"/>
          <w:color w:val="auto"/>
        </w:rPr>
        <w:t>Summary o</w:t>
      </w:r>
      <w:r w:rsidR="006A5C4C" w:rsidRPr="00441AF5">
        <w:rPr>
          <w:b/>
          <w:bCs w:val="0"/>
          <w:color w:val="auto"/>
        </w:rPr>
        <w:t>f</w:t>
      </w:r>
      <w:r w:rsidRPr="00441AF5">
        <w:rPr>
          <w:b/>
          <w:bCs w:val="0"/>
          <w:color w:val="auto"/>
        </w:rPr>
        <w:t xml:space="preserve"> non-monetised benefits</w:t>
      </w:r>
    </w:p>
    <w:p w14:paraId="7B706C6D" w14:textId="43B8ED81" w:rsidR="00B30DE4" w:rsidRPr="00441AF5" w:rsidRDefault="00AD5A32" w:rsidP="003F40C2">
      <w:pPr>
        <w:pStyle w:val="ListParagraph"/>
        <w:numPr>
          <w:ilvl w:val="0"/>
          <w:numId w:val="10"/>
        </w:numPr>
        <w:spacing w:after="120" w:line="259" w:lineRule="auto"/>
        <w:ind w:left="567" w:hanging="567"/>
        <w:contextualSpacing w:val="0"/>
        <w:jc w:val="both"/>
      </w:pPr>
      <w:r w:rsidRPr="003F40C2">
        <w:rPr>
          <w:sz w:val="22"/>
          <w:szCs w:val="22"/>
        </w:rPr>
        <w:t xml:space="preserve">This </w:t>
      </w:r>
      <w:r w:rsidRPr="003F40C2">
        <w:rPr>
          <w:rFonts w:cs="Arial"/>
          <w:sz w:val="22"/>
          <w:szCs w:val="22"/>
        </w:rPr>
        <w:t>c</w:t>
      </w:r>
      <w:r w:rsidR="00B30DE4" w:rsidRPr="003F40C2">
        <w:rPr>
          <w:rFonts w:cs="Arial"/>
          <w:sz w:val="22"/>
          <w:szCs w:val="22"/>
        </w:rPr>
        <w:t>aptures</w:t>
      </w:r>
      <w:r w:rsidR="00B30DE4" w:rsidRPr="003F40C2">
        <w:rPr>
          <w:sz w:val="22"/>
          <w:szCs w:val="22"/>
        </w:rPr>
        <w:t xml:space="preserve"> large organisations, where challenges prosecuting corporate fraud are currently greatest</w:t>
      </w:r>
      <w:r w:rsidR="00A22FD4" w:rsidRPr="003F40C2">
        <w:rPr>
          <w:sz w:val="22"/>
          <w:szCs w:val="22"/>
        </w:rPr>
        <w:t xml:space="preserve">. </w:t>
      </w:r>
      <w:r w:rsidR="00E76F97" w:rsidRPr="003F40C2">
        <w:rPr>
          <w:sz w:val="22"/>
          <w:szCs w:val="22"/>
        </w:rPr>
        <w:t xml:space="preserve">        </w:t>
      </w:r>
    </w:p>
    <w:p w14:paraId="22FC7CE6" w14:textId="0C62BB8C" w:rsidR="00B30DE4" w:rsidRPr="00441AF5" w:rsidRDefault="00B30DE4" w:rsidP="003F40C2">
      <w:pPr>
        <w:pStyle w:val="ListParagraph"/>
        <w:numPr>
          <w:ilvl w:val="0"/>
          <w:numId w:val="10"/>
        </w:numPr>
        <w:spacing w:after="120" w:line="259" w:lineRule="auto"/>
        <w:ind w:left="567" w:hanging="567"/>
        <w:contextualSpacing w:val="0"/>
        <w:jc w:val="both"/>
      </w:pPr>
      <w:r w:rsidRPr="003F40C2">
        <w:rPr>
          <w:sz w:val="22"/>
          <w:szCs w:val="22"/>
        </w:rPr>
        <w:t>With all large organisations in scope, an increase in positive corporate culture is expected. This is intended to reduce the level of fraudulent activity, benefitting potential victims of fraud (including the public sector).</w:t>
      </w:r>
    </w:p>
    <w:p w14:paraId="4B503B3A" w14:textId="1502BF2D" w:rsidR="00B30DE4" w:rsidRPr="00441AF5" w:rsidRDefault="00B30DE4" w:rsidP="003F40C2">
      <w:pPr>
        <w:pStyle w:val="ListParagraph"/>
        <w:numPr>
          <w:ilvl w:val="0"/>
          <w:numId w:val="10"/>
        </w:numPr>
        <w:spacing w:after="120" w:line="259" w:lineRule="auto"/>
        <w:ind w:left="567" w:hanging="567"/>
        <w:contextualSpacing w:val="0"/>
        <w:jc w:val="both"/>
      </w:pPr>
      <w:r w:rsidRPr="003F40C2">
        <w:rPr>
          <w:sz w:val="22"/>
          <w:szCs w:val="22"/>
        </w:rPr>
        <w:t>This is evidenced by the House of Lords post-legislative scrutiny of the BA 2010 (which created the failure to prevent bribery offence), which noted that organisations have seen improved corporate anti-bribery culture</w:t>
      </w:r>
      <w:r w:rsidR="00BF7C31" w:rsidRPr="00C225A2">
        <w:rPr>
          <w:rStyle w:val="FootnoteReference"/>
          <w:szCs w:val="22"/>
        </w:rPr>
        <w:footnoteReference w:id="83"/>
      </w:r>
      <w:r w:rsidRPr="003F40C2">
        <w:rPr>
          <w:sz w:val="22"/>
          <w:szCs w:val="22"/>
        </w:rPr>
        <w:t>.</w:t>
      </w:r>
    </w:p>
    <w:p w14:paraId="5FFCF856" w14:textId="0548D63D" w:rsidR="00B30DE4" w:rsidRDefault="00B30DE4" w:rsidP="003F40C2">
      <w:pPr>
        <w:pStyle w:val="ListParagraph"/>
        <w:numPr>
          <w:ilvl w:val="0"/>
          <w:numId w:val="10"/>
        </w:numPr>
        <w:spacing w:after="120" w:line="259" w:lineRule="auto"/>
        <w:ind w:left="567" w:hanging="567"/>
        <w:contextualSpacing w:val="0"/>
        <w:jc w:val="both"/>
      </w:pPr>
      <w:r w:rsidRPr="003F40C2">
        <w:rPr>
          <w:sz w:val="22"/>
          <w:szCs w:val="22"/>
        </w:rPr>
        <w:t>Though the exclusion of small and medium</w:t>
      </w:r>
      <w:r w:rsidR="009556AB" w:rsidRPr="003F40C2">
        <w:rPr>
          <w:sz w:val="22"/>
          <w:szCs w:val="22"/>
        </w:rPr>
        <w:t>-</w:t>
      </w:r>
      <w:r w:rsidRPr="003F40C2">
        <w:rPr>
          <w:sz w:val="22"/>
          <w:szCs w:val="22"/>
        </w:rPr>
        <w:t xml:space="preserve">sized </w:t>
      </w:r>
      <w:r w:rsidR="00243F59" w:rsidRPr="003F40C2">
        <w:rPr>
          <w:sz w:val="22"/>
          <w:szCs w:val="22"/>
        </w:rPr>
        <w:t>organisations</w:t>
      </w:r>
      <w:r w:rsidR="002C6452" w:rsidRPr="00C225A2">
        <w:rPr>
          <w:rStyle w:val="FootnoteReference"/>
          <w:szCs w:val="22"/>
        </w:rPr>
        <w:footnoteReference w:id="84"/>
      </w:r>
      <w:r w:rsidR="001237DA" w:rsidRPr="003F40C2">
        <w:rPr>
          <w:sz w:val="22"/>
          <w:szCs w:val="22"/>
        </w:rPr>
        <w:t xml:space="preserve"> </w:t>
      </w:r>
      <w:r w:rsidRPr="003F40C2">
        <w:rPr>
          <w:sz w:val="22"/>
          <w:szCs w:val="22"/>
        </w:rPr>
        <w:t>will limit the scale of a cultural shift, there is potentially a spill-over effect where some SM</w:t>
      </w:r>
      <w:r w:rsidR="002C1A59" w:rsidRPr="003F40C2">
        <w:rPr>
          <w:sz w:val="22"/>
          <w:szCs w:val="22"/>
        </w:rPr>
        <w:t>B</w:t>
      </w:r>
      <w:r w:rsidRPr="003F40C2">
        <w:rPr>
          <w:sz w:val="22"/>
          <w:szCs w:val="22"/>
        </w:rPr>
        <w:t>s may adopt similar measures.</w:t>
      </w:r>
    </w:p>
    <w:p w14:paraId="62C9745A" w14:textId="77777777" w:rsidR="00B51B06" w:rsidRDefault="00B51B06">
      <w:pPr>
        <w:rPr>
          <w:b/>
        </w:rPr>
      </w:pPr>
      <w:r>
        <w:rPr>
          <w:b/>
        </w:rPr>
        <w:br w:type="page"/>
      </w:r>
    </w:p>
    <w:p w14:paraId="6C5647B4" w14:textId="77777777" w:rsidR="0091320D" w:rsidRPr="00AE2A5D" w:rsidRDefault="00A93A47" w:rsidP="003F40C2">
      <w:pPr>
        <w:spacing w:after="120" w:line="259" w:lineRule="auto"/>
        <w:jc w:val="both"/>
        <w:rPr>
          <w:b/>
        </w:rPr>
      </w:pPr>
      <w:r w:rsidRPr="003F40C2">
        <w:rPr>
          <w:b/>
          <w:sz w:val="22"/>
          <w:szCs w:val="22"/>
        </w:rPr>
        <w:lastRenderedPageBreak/>
        <w:t>Value for Money</w:t>
      </w:r>
      <w:r w:rsidR="00AF0E26" w:rsidRPr="003F40C2">
        <w:rPr>
          <w:b/>
          <w:sz w:val="22"/>
          <w:szCs w:val="22"/>
        </w:rPr>
        <w:t xml:space="preserve"> (VfM)</w:t>
      </w:r>
    </w:p>
    <w:p w14:paraId="74ED4D8C" w14:textId="1654789D" w:rsidR="00D67F5A" w:rsidRPr="00BC3FAC" w:rsidRDefault="0091320D" w:rsidP="00B80D4C">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To be considered value for money </w:t>
      </w:r>
      <w:r w:rsidR="00564314">
        <w:rPr>
          <w:rFonts w:cs="Arial"/>
          <w:sz w:val="22"/>
          <w:szCs w:val="22"/>
        </w:rPr>
        <w:t>a policy must meet its strategic objectives.</w:t>
      </w:r>
      <w:r>
        <w:rPr>
          <w:rFonts w:cs="Arial"/>
          <w:sz w:val="22"/>
          <w:szCs w:val="22"/>
        </w:rPr>
        <w:t xml:space="preserve"> </w:t>
      </w:r>
      <w:r w:rsidR="00C5799B" w:rsidRPr="00BC3FAC">
        <w:rPr>
          <w:rFonts w:cs="Arial"/>
          <w:sz w:val="22"/>
          <w:szCs w:val="22"/>
        </w:rPr>
        <w:t xml:space="preserve">Failure to Prevent Fraud </w:t>
      </w:r>
      <w:r w:rsidR="007722D8" w:rsidRPr="00BC3FAC">
        <w:rPr>
          <w:rFonts w:cs="Arial"/>
          <w:sz w:val="22"/>
          <w:szCs w:val="22"/>
        </w:rPr>
        <w:t xml:space="preserve">meets its </w:t>
      </w:r>
      <w:r w:rsidR="00383A00" w:rsidRPr="00BC3FAC">
        <w:rPr>
          <w:rFonts w:cs="Arial"/>
          <w:sz w:val="22"/>
          <w:szCs w:val="22"/>
        </w:rPr>
        <w:t xml:space="preserve">strategic </w:t>
      </w:r>
      <w:r w:rsidR="00710D5D" w:rsidRPr="00BC3FAC">
        <w:rPr>
          <w:rFonts w:cs="Arial"/>
          <w:sz w:val="22"/>
          <w:szCs w:val="22"/>
        </w:rPr>
        <w:t>objectives</w:t>
      </w:r>
      <w:r w:rsidR="007722D8" w:rsidRPr="00BC3FAC">
        <w:rPr>
          <w:rFonts w:cs="Arial"/>
          <w:sz w:val="22"/>
          <w:szCs w:val="22"/>
        </w:rPr>
        <w:t xml:space="preserve"> </w:t>
      </w:r>
      <w:r w:rsidR="007924FF" w:rsidRPr="00BC3FAC">
        <w:rPr>
          <w:rFonts w:cs="Arial"/>
          <w:sz w:val="22"/>
          <w:szCs w:val="22"/>
        </w:rPr>
        <w:t>of</w:t>
      </w:r>
      <w:r w:rsidR="004922FB" w:rsidRPr="00BC3FAC">
        <w:rPr>
          <w:rFonts w:cs="Arial"/>
          <w:sz w:val="22"/>
          <w:szCs w:val="22"/>
        </w:rPr>
        <w:t xml:space="preserve"> a) </w:t>
      </w:r>
      <w:r w:rsidR="007722D8" w:rsidRPr="00BC3FAC">
        <w:rPr>
          <w:rFonts w:cs="Arial"/>
          <w:sz w:val="22"/>
          <w:szCs w:val="22"/>
        </w:rPr>
        <w:t>R</w:t>
      </w:r>
      <w:r w:rsidR="00C5799B" w:rsidRPr="00BC3FAC">
        <w:rPr>
          <w:rFonts w:cs="Arial"/>
          <w:sz w:val="22"/>
          <w:szCs w:val="22"/>
        </w:rPr>
        <w:t>educ</w:t>
      </w:r>
      <w:r w:rsidR="007722D8" w:rsidRPr="00BC3FAC">
        <w:rPr>
          <w:rFonts w:cs="Arial"/>
          <w:sz w:val="22"/>
          <w:szCs w:val="22"/>
        </w:rPr>
        <w:t>ing</w:t>
      </w:r>
      <w:r w:rsidR="00C5799B" w:rsidRPr="00BC3FAC">
        <w:rPr>
          <w:rFonts w:cs="Arial"/>
          <w:sz w:val="22"/>
          <w:szCs w:val="22"/>
        </w:rPr>
        <w:t xml:space="preserve"> crime, specifically fraud.</w:t>
      </w:r>
      <w:r w:rsidR="006A1C93" w:rsidRPr="00BC3FAC">
        <w:rPr>
          <w:rFonts w:cs="Arial"/>
          <w:sz w:val="22"/>
          <w:szCs w:val="22"/>
        </w:rPr>
        <w:t xml:space="preserve"> Specifically, </w:t>
      </w:r>
      <w:r w:rsidR="005174FA" w:rsidRPr="00BC3FAC">
        <w:rPr>
          <w:rFonts w:cs="Arial"/>
          <w:sz w:val="22"/>
          <w:szCs w:val="22"/>
        </w:rPr>
        <w:t xml:space="preserve">that </w:t>
      </w:r>
      <w:r w:rsidR="00C5799B" w:rsidRPr="00BC3FAC">
        <w:rPr>
          <w:rFonts w:cs="Arial"/>
          <w:sz w:val="22"/>
          <w:szCs w:val="22"/>
        </w:rPr>
        <w:t>enabled and perpetuated by organisations.</w:t>
      </w:r>
      <w:r w:rsidR="005174FA" w:rsidRPr="00BC3FAC">
        <w:rPr>
          <w:rFonts w:cs="Arial"/>
          <w:sz w:val="22"/>
          <w:szCs w:val="22"/>
        </w:rPr>
        <w:t xml:space="preserve"> </w:t>
      </w:r>
      <w:r w:rsidR="004922FB" w:rsidRPr="00BC3FAC">
        <w:rPr>
          <w:rFonts w:cs="Arial"/>
          <w:sz w:val="22"/>
          <w:szCs w:val="22"/>
        </w:rPr>
        <w:t xml:space="preserve">b) </w:t>
      </w:r>
      <w:r w:rsidR="00E92045" w:rsidRPr="00BC3FAC">
        <w:rPr>
          <w:rFonts w:cs="Arial"/>
          <w:sz w:val="22"/>
          <w:szCs w:val="22"/>
        </w:rPr>
        <w:t>P</w:t>
      </w:r>
      <w:r w:rsidR="00C5799B" w:rsidRPr="00BC3FAC">
        <w:rPr>
          <w:rFonts w:cs="Arial"/>
          <w:sz w:val="22"/>
          <w:szCs w:val="22"/>
        </w:rPr>
        <w:t>rotect</w:t>
      </w:r>
      <w:r w:rsidR="004922FB" w:rsidRPr="00BC3FAC">
        <w:rPr>
          <w:rFonts w:cs="Arial"/>
          <w:sz w:val="22"/>
          <w:szCs w:val="22"/>
        </w:rPr>
        <w:t>ing</w:t>
      </w:r>
      <w:r w:rsidR="00C5799B" w:rsidRPr="00BC3FAC">
        <w:rPr>
          <w:rFonts w:cs="Arial"/>
          <w:sz w:val="22"/>
          <w:szCs w:val="22"/>
        </w:rPr>
        <w:t xml:space="preserve"> the integrity of the UK as a safe place to conduct business. </w:t>
      </w:r>
      <w:r w:rsidR="004922FB" w:rsidRPr="00BC3FAC">
        <w:rPr>
          <w:rFonts w:cs="Arial"/>
          <w:sz w:val="22"/>
          <w:szCs w:val="22"/>
        </w:rPr>
        <w:t xml:space="preserve">c) </w:t>
      </w:r>
      <w:r w:rsidR="00AE6239" w:rsidRPr="00BC3FAC">
        <w:rPr>
          <w:rFonts w:cs="Arial"/>
          <w:sz w:val="22"/>
          <w:szCs w:val="22"/>
        </w:rPr>
        <w:t>S</w:t>
      </w:r>
      <w:r w:rsidR="00C5799B" w:rsidRPr="00BC3FAC">
        <w:rPr>
          <w:rFonts w:cs="Arial"/>
          <w:sz w:val="22"/>
          <w:szCs w:val="22"/>
        </w:rPr>
        <w:t xml:space="preserve">trengthening the ability for prosecutors to hold to account, and appropriately deal with, organisations whose employees, agents, or other associated persons perpetuate or facilitate economic crime. This includes clamping down on organisations without sufficient procedures in place to prevent the most common </w:t>
      </w:r>
      <w:r w:rsidR="003B48B4">
        <w:rPr>
          <w:rFonts w:cs="Arial"/>
          <w:sz w:val="22"/>
          <w:szCs w:val="22"/>
        </w:rPr>
        <w:t xml:space="preserve">CSEW recorded </w:t>
      </w:r>
      <w:r w:rsidR="00C5799B" w:rsidRPr="00BC3FAC">
        <w:rPr>
          <w:rFonts w:cs="Arial"/>
          <w:sz w:val="22"/>
          <w:szCs w:val="22"/>
        </w:rPr>
        <w:t>crime – fraud</w:t>
      </w:r>
      <w:r w:rsidR="00C5799B" w:rsidRPr="00441AF5">
        <w:rPr>
          <w:rStyle w:val="FootnoteReference"/>
          <w:rFonts w:cs="Arial"/>
          <w:szCs w:val="22"/>
        </w:rPr>
        <w:footnoteReference w:id="85"/>
      </w:r>
      <w:r w:rsidR="00BC3FAC" w:rsidRPr="00BC3FAC">
        <w:rPr>
          <w:rFonts w:cs="Arial"/>
          <w:sz w:val="22"/>
          <w:szCs w:val="22"/>
        </w:rPr>
        <w:t>.</w:t>
      </w:r>
      <w:r w:rsidR="008A721D">
        <w:rPr>
          <w:rFonts w:cs="Arial"/>
          <w:sz w:val="22"/>
          <w:szCs w:val="22"/>
        </w:rPr>
        <w:t xml:space="preserve"> The </w:t>
      </w:r>
      <w:r w:rsidR="00FA0C0F">
        <w:rPr>
          <w:rFonts w:cs="Arial"/>
          <w:sz w:val="22"/>
          <w:szCs w:val="22"/>
        </w:rPr>
        <w:t>progress of the policy against its strategic objectives will be</w:t>
      </w:r>
      <w:r w:rsidR="00C13D7E">
        <w:rPr>
          <w:rFonts w:cs="Arial"/>
          <w:sz w:val="22"/>
          <w:szCs w:val="22"/>
        </w:rPr>
        <w:t xml:space="preserve"> a specific evaluation question in the post implementation review.</w:t>
      </w:r>
      <w:r w:rsidR="00FA0C0F">
        <w:rPr>
          <w:rFonts w:cs="Arial"/>
          <w:sz w:val="22"/>
          <w:szCs w:val="22"/>
        </w:rPr>
        <w:t xml:space="preserve"> </w:t>
      </w:r>
    </w:p>
    <w:p w14:paraId="4162CA16" w14:textId="6DF66CED" w:rsidR="00452205" w:rsidRDefault="00D67F5A" w:rsidP="00B80D4C">
      <w:pPr>
        <w:pStyle w:val="ListParagraph"/>
        <w:numPr>
          <w:ilvl w:val="0"/>
          <w:numId w:val="10"/>
        </w:numPr>
        <w:spacing w:after="120" w:line="259" w:lineRule="auto"/>
        <w:ind w:left="567" w:hanging="567"/>
        <w:contextualSpacing w:val="0"/>
        <w:jc w:val="both"/>
        <w:rPr>
          <w:rFonts w:cs="Arial"/>
          <w:sz w:val="22"/>
          <w:szCs w:val="22"/>
        </w:rPr>
      </w:pPr>
      <w:r w:rsidRPr="00BC3FAC">
        <w:rPr>
          <w:rFonts w:cs="Arial"/>
          <w:sz w:val="22"/>
          <w:szCs w:val="22"/>
        </w:rPr>
        <w:t xml:space="preserve">Failure to prevent fraud </w:t>
      </w:r>
      <w:r w:rsidR="00502CC8" w:rsidRPr="00BC3FAC">
        <w:rPr>
          <w:rFonts w:cs="Arial"/>
          <w:sz w:val="22"/>
          <w:szCs w:val="22"/>
        </w:rPr>
        <w:t xml:space="preserve">has a </w:t>
      </w:r>
      <w:r w:rsidR="00D542E3" w:rsidRPr="00BC3FAC">
        <w:rPr>
          <w:rFonts w:cs="Arial"/>
          <w:sz w:val="22"/>
          <w:szCs w:val="22"/>
        </w:rPr>
        <w:t>h</w:t>
      </w:r>
      <w:r w:rsidR="00502CC8" w:rsidRPr="00BC3FAC">
        <w:rPr>
          <w:rFonts w:cs="Arial"/>
          <w:sz w:val="22"/>
          <w:szCs w:val="22"/>
        </w:rPr>
        <w:t>ighly negative NP</w:t>
      </w:r>
      <w:r w:rsidR="002D2F1B" w:rsidRPr="00BC3FAC">
        <w:rPr>
          <w:rFonts w:cs="Arial"/>
          <w:sz w:val="22"/>
          <w:szCs w:val="22"/>
        </w:rPr>
        <w:t>S</w:t>
      </w:r>
      <w:r w:rsidR="00502CC8" w:rsidRPr="00BC3FAC">
        <w:rPr>
          <w:rFonts w:cs="Arial"/>
          <w:sz w:val="22"/>
          <w:szCs w:val="22"/>
        </w:rPr>
        <w:t>V.</w:t>
      </w:r>
      <w:r w:rsidR="001C17AA" w:rsidRPr="00BC3FAC">
        <w:rPr>
          <w:rFonts w:cs="Arial"/>
          <w:sz w:val="22"/>
          <w:szCs w:val="22"/>
        </w:rPr>
        <w:t xml:space="preserve"> </w:t>
      </w:r>
      <w:r w:rsidR="00B87FD6">
        <w:rPr>
          <w:rFonts w:cs="Arial"/>
          <w:sz w:val="22"/>
          <w:szCs w:val="22"/>
        </w:rPr>
        <w:t>W</w:t>
      </w:r>
      <w:r w:rsidR="001C17AA" w:rsidRPr="00BC3FAC">
        <w:rPr>
          <w:rFonts w:cs="Arial"/>
          <w:sz w:val="22"/>
          <w:szCs w:val="22"/>
        </w:rPr>
        <w:t>hilst the</w:t>
      </w:r>
      <w:r w:rsidR="00492426" w:rsidRPr="00BC3FAC">
        <w:rPr>
          <w:rFonts w:cs="Arial"/>
          <w:sz w:val="22"/>
          <w:szCs w:val="22"/>
        </w:rPr>
        <w:t>re has been a monetisation of the costs</w:t>
      </w:r>
      <w:r w:rsidR="006026A5">
        <w:rPr>
          <w:rFonts w:cs="Arial"/>
          <w:sz w:val="22"/>
          <w:szCs w:val="22"/>
        </w:rPr>
        <w:t>,</w:t>
      </w:r>
      <w:r w:rsidR="00492426" w:rsidRPr="00BC3FAC">
        <w:rPr>
          <w:rFonts w:cs="Arial"/>
          <w:sz w:val="22"/>
          <w:szCs w:val="22"/>
        </w:rPr>
        <w:t xml:space="preserve"> the benefits </w:t>
      </w:r>
      <w:r w:rsidR="001648FA" w:rsidRPr="00BC3FAC">
        <w:rPr>
          <w:rFonts w:cs="Arial"/>
          <w:sz w:val="22"/>
          <w:szCs w:val="22"/>
        </w:rPr>
        <w:t xml:space="preserve">are </w:t>
      </w:r>
      <w:r w:rsidR="005F389F" w:rsidRPr="00BC3FAC">
        <w:rPr>
          <w:rFonts w:cs="Arial"/>
          <w:sz w:val="22"/>
          <w:szCs w:val="22"/>
        </w:rPr>
        <w:t xml:space="preserve">qualitative. </w:t>
      </w:r>
      <w:r w:rsidR="005E6F42" w:rsidRPr="00BC3FAC">
        <w:rPr>
          <w:rFonts w:cs="Arial"/>
          <w:sz w:val="22"/>
          <w:szCs w:val="22"/>
        </w:rPr>
        <w:t xml:space="preserve">Consequently, the </w:t>
      </w:r>
      <w:r w:rsidR="00117F00" w:rsidRPr="00BC3FAC">
        <w:rPr>
          <w:rFonts w:cs="Arial"/>
          <w:sz w:val="22"/>
          <w:szCs w:val="22"/>
        </w:rPr>
        <w:t xml:space="preserve">estimated </w:t>
      </w:r>
      <w:r w:rsidR="005E6F42" w:rsidRPr="00BC3FAC">
        <w:rPr>
          <w:rFonts w:cs="Arial"/>
          <w:sz w:val="22"/>
          <w:szCs w:val="22"/>
        </w:rPr>
        <w:t>NP</w:t>
      </w:r>
      <w:r w:rsidR="00054F9C" w:rsidRPr="00BC3FAC">
        <w:rPr>
          <w:rFonts w:cs="Arial"/>
          <w:sz w:val="22"/>
          <w:szCs w:val="22"/>
        </w:rPr>
        <w:t>S</w:t>
      </w:r>
      <w:r w:rsidR="005E6F42" w:rsidRPr="00BC3FAC">
        <w:rPr>
          <w:rFonts w:cs="Arial"/>
          <w:sz w:val="22"/>
          <w:szCs w:val="22"/>
        </w:rPr>
        <w:t>V</w:t>
      </w:r>
      <w:r w:rsidR="00452205" w:rsidRPr="00BC3FAC">
        <w:rPr>
          <w:rFonts w:cs="Arial"/>
          <w:sz w:val="22"/>
          <w:szCs w:val="22"/>
        </w:rPr>
        <w:t xml:space="preserve"> </w:t>
      </w:r>
      <w:r w:rsidR="00117F00" w:rsidRPr="00BC3FAC">
        <w:rPr>
          <w:rFonts w:cs="Arial"/>
          <w:sz w:val="22"/>
          <w:szCs w:val="22"/>
        </w:rPr>
        <w:t>in this IA</w:t>
      </w:r>
      <w:r w:rsidR="005E6F42" w:rsidRPr="00BC3FAC">
        <w:rPr>
          <w:rFonts w:cs="Arial"/>
          <w:sz w:val="22"/>
          <w:szCs w:val="22"/>
        </w:rPr>
        <w:t xml:space="preserve"> cannot be </w:t>
      </w:r>
      <w:r w:rsidR="00117F00" w:rsidRPr="00BC3FAC">
        <w:rPr>
          <w:rFonts w:cs="Arial"/>
          <w:sz w:val="22"/>
          <w:szCs w:val="22"/>
        </w:rPr>
        <w:t xml:space="preserve">considered indicative of the overall value for money for society. </w:t>
      </w:r>
    </w:p>
    <w:p w14:paraId="3BEAE99B" w14:textId="77777777" w:rsidR="00D264ED" w:rsidRDefault="00F46FCF" w:rsidP="00B80D4C">
      <w:pPr>
        <w:pStyle w:val="ListParagraph"/>
        <w:numPr>
          <w:ilvl w:val="0"/>
          <w:numId w:val="10"/>
        </w:numPr>
        <w:spacing w:after="120" w:line="259" w:lineRule="auto"/>
        <w:ind w:left="567" w:hanging="567"/>
        <w:contextualSpacing w:val="0"/>
        <w:jc w:val="both"/>
        <w:rPr>
          <w:rFonts w:cs="Arial"/>
          <w:sz w:val="22"/>
          <w:szCs w:val="22"/>
        </w:rPr>
      </w:pPr>
      <w:r w:rsidRPr="00BC3FAC">
        <w:rPr>
          <w:rFonts w:cs="Arial"/>
          <w:sz w:val="22"/>
          <w:szCs w:val="22"/>
        </w:rPr>
        <w:t>The benefits of th</w:t>
      </w:r>
      <w:r w:rsidR="00F66267">
        <w:rPr>
          <w:rFonts w:cs="Arial"/>
          <w:sz w:val="22"/>
          <w:szCs w:val="22"/>
        </w:rPr>
        <w:t>is</w:t>
      </w:r>
      <w:r w:rsidRPr="00BC3FAC">
        <w:rPr>
          <w:rFonts w:cs="Arial"/>
          <w:sz w:val="22"/>
          <w:szCs w:val="22"/>
        </w:rPr>
        <w:t xml:space="preserve"> legislation are </w:t>
      </w:r>
      <w:r w:rsidR="00054F9C" w:rsidRPr="00BC3FAC">
        <w:rPr>
          <w:rFonts w:cs="Arial"/>
          <w:sz w:val="22"/>
          <w:szCs w:val="22"/>
        </w:rPr>
        <w:t>non-</w:t>
      </w:r>
      <w:r w:rsidRPr="00BC3FAC">
        <w:rPr>
          <w:rFonts w:cs="Arial"/>
          <w:sz w:val="22"/>
          <w:szCs w:val="22"/>
        </w:rPr>
        <w:t>moneti</w:t>
      </w:r>
      <w:r w:rsidR="004928F7">
        <w:rPr>
          <w:rFonts w:cs="Arial"/>
          <w:sz w:val="22"/>
          <w:szCs w:val="22"/>
        </w:rPr>
        <w:t>s</w:t>
      </w:r>
      <w:r w:rsidRPr="00BC3FAC">
        <w:rPr>
          <w:rFonts w:cs="Arial"/>
          <w:sz w:val="22"/>
          <w:szCs w:val="22"/>
        </w:rPr>
        <w:t xml:space="preserve">able </w:t>
      </w:r>
      <w:r w:rsidR="007B6D15" w:rsidRPr="00BC3FAC">
        <w:rPr>
          <w:rFonts w:cs="Arial"/>
          <w:sz w:val="22"/>
          <w:szCs w:val="22"/>
        </w:rPr>
        <w:t>due to an absence of data</w:t>
      </w:r>
      <w:r w:rsidR="00EC40C4" w:rsidRPr="00BC3FAC">
        <w:rPr>
          <w:rFonts w:cs="Arial"/>
          <w:sz w:val="22"/>
          <w:szCs w:val="22"/>
        </w:rPr>
        <w:t xml:space="preserve"> on the incidence and losses of corporate fraud. The benefits are</w:t>
      </w:r>
      <w:r w:rsidR="00A36FD8" w:rsidRPr="00BC3FAC">
        <w:rPr>
          <w:rFonts w:cs="Arial"/>
          <w:sz w:val="22"/>
          <w:szCs w:val="22"/>
        </w:rPr>
        <w:t xml:space="preserve"> </w:t>
      </w:r>
      <w:r w:rsidR="002D2F1B" w:rsidRPr="00BC3FAC">
        <w:rPr>
          <w:rFonts w:cs="Arial"/>
          <w:sz w:val="22"/>
          <w:szCs w:val="22"/>
        </w:rPr>
        <w:t>predominately</w:t>
      </w:r>
      <w:r w:rsidR="00EC40C4" w:rsidRPr="00BC3FAC">
        <w:rPr>
          <w:rFonts w:cs="Arial"/>
          <w:sz w:val="22"/>
          <w:szCs w:val="22"/>
        </w:rPr>
        <w:t xml:space="preserve"> driven </w:t>
      </w:r>
      <w:r w:rsidR="00BC4BD2" w:rsidRPr="00BC3FAC">
        <w:rPr>
          <w:rFonts w:cs="Arial"/>
          <w:sz w:val="22"/>
          <w:szCs w:val="22"/>
        </w:rPr>
        <w:t>by</w:t>
      </w:r>
      <w:r w:rsidR="00EC40C4" w:rsidRPr="00BC3FAC">
        <w:rPr>
          <w:rFonts w:cs="Arial"/>
          <w:sz w:val="22"/>
          <w:szCs w:val="22"/>
        </w:rPr>
        <w:t xml:space="preserve"> </w:t>
      </w:r>
      <w:r w:rsidR="00373ED0" w:rsidRPr="00BC3FAC">
        <w:rPr>
          <w:rFonts w:cs="Arial"/>
          <w:sz w:val="22"/>
          <w:szCs w:val="22"/>
        </w:rPr>
        <w:t>improvement</w:t>
      </w:r>
      <w:r w:rsidR="00497DB5" w:rsidRPr="00BC3FAC">
        <w:rPr>
          <w:rFonts w:cs="Arial"/>
          <w:sz w:val="22"/>
          <w:szCs w:val="22"/>
        </w:rPr>
        <w:t xml:space="preserve">s </w:t>
      </w:r>
      <w:r w:rsidR="00BC4BD2" w:rsidRPr="00BC3FAC">
        <w:rPr>
          <w:rFonts w:cs="Arial"/>
          <w:sz w:val="22"/>
          <w:szCs w:val="22"/>
        </w:rPr>
        <w:t>in</w:t>
      </w:r>
      <w:r w:rsidR="00373ED0" w:rsidRPr="00BC3FAC">
        <w:rPr>
          <w:rFonts w:cs="Arial"/>
          <w:sz w:val="22"/>
          <w:szCs w:val="22"/>
        </w:rPr>
        <w:t xml:space="preserve"> the behaviour and culture within orga</w:t>
      </w:r>
      <w:r w:rsidR="00497DB5" w:rsidRPr="00BC3FAC">
        <w:rPr>
          <w:rFonts w:cs="Arial"/>
          <w:sz w:val="22"/>
          <w:szCs w:val="22"/>
        </w:rPr>
        <w:t>n</w:t>
      </w:r>
      <w:r w:rsidR="00373ED0" w:rsidRPr="00BC3FAC">
        <w:rPr>
          <w:rFonts w:cs="Arial"/>
          <w:sz w:val="22"/>
          <w:szCs w:val="22"/>
        </w:rPr>
        <w:t xml:space="preserve">isations in </w:t>
      </w:r>
      <w:r w:rsidR="00497DB5" w:rsidRPr="00BC3FAC">
        <w:rPr>
          <w:rFonts w:cs="Arial"/>
          <w:sz w:val="22"/>
          <w:szCs w:val="22"/>
        </w:rPr>
        <w:t>regard</w:t>
      </w:r>
      <w:r w:rsidR="00373ED0" w:rsidRPr="00BC3FAC">
        <w:rPr>
          <w:rFonts w:cs="Arial"/>
          <w:sz w:val="22"/>
          <w:szCs w:val="22"/>
        </w:rPr>
        <w:t xml:space="preserve"> to fraud. </w:t>
      </w:r>
      <w:r w:rsidR="00A36FD8" w:rsidRPr="00BC3FAC">
        <w:rPr>
          <w:rFonts w:cs="Arial"/>
          <w:sz w:val="22"/>
          <w:szCs w:val="22"/>
        </w:rPr>
        <w:t xml:space="preserve">This </w:t>
      </w:r>
      <w:r w:rsidR="00566195" w:rsidRPr="00BC3FAC">
        <w:rPr>
          <w:rFonts w:cs="Arial"/>
          <w:sz w:val="22"/>
          <w:szCs w:val="22"/>
        </w:rPr>
        <w:t xml:space="preserve">will aim to then reduce fraud committed by these </w:t>
      </w:r>
      <w:r w:rsidR="002D2F1B" w:rsidRPr="00BC3FAC">
        <w:rPr>
          <w:rFonts w:cs="Arial"/>
          <w:sz w:val="22"/>
          <w:szCs w:val="22"/>
        </w:rPr>
        <w:t>organisations</w:t>
      </w:r>
      <w:r w:rsidR="00566195" w:rsidRPr="00BC3FAC">
        <w:rPr>
          <w:rFonts w:cs="Arial"/>
          <w:sz w:val="22"/>
          <w:szCs w:val="22"/>
        </w:rPr>
        <w:t xml:space="preserve"> against both other </w:t>
      </w:r>
      <w:r w:rsidR="002D2F1B" w:rsidRPr="00BC3FAC">
        <w:rPr>
          <w:rFonts w:cs="Arial"/>
          <w:sz w:val="22"/>
          <w:szCs w:val="22"/>
        </w:rPr>
        <w:t>organisations</w:t>
      </w:r>
      <w:r w:rsidR="00566195" w:rsidRPr="00BC3FAC">
        <w:rPr>
          <w:rFonts w:cs="Arial"/>
          <w:sz w:val="22"/>
          <w:szCs w:val="22"/>
        </w:rPr>
        <w:t xml:space="preserve"> and </w:t>
      </w:r>
      <w:r w:rsidR="002D2F1B" w:rsidRPr="00BC3FAC">
        <w:rPr>
          <w:rFonts w:cs="Arial"/>
          <w:sz w:val="22"/>
          <w:szCs w:val="22"/>
        </w:rPr>
        <w:t>individuals</w:t>
      </w:r>
      <w:r w:rsidR="00566195" w:rsidRPr="00BC3FAC">
        <w:rPr>
          <w:rFonts w:cs="Arial"/>
          <w:sz w:val="22"/>
          <w:szCs w:val="22"/>
        </w:rPr>
        <w:t>.</w:t>
      </w:r>
      <w:r w:rsidR="00B54436" w:rsidRPr="00BC3FAC">
        <w:rPr>
          <w:rFonts w:cs="Arial"/>
          <w:sz w:val="22"/>
          <w:szCs w:val="22"/>
        </w:rPr>
        <w:t xml:space="preserve"> </w:t>
      </w:r>
    </w:p>
    <w:p w14:paraId="7EE13DC7" w14:textId="2170D840" w:rsidR="00996BB9" w:rsidRDefault="00996BB9" w:rsidP="00B80D4C">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Breakeven analysis is not possible because a Home Office approved cost of fraud to businesses does not exist. A cost of fraud to businesses is vital to determining the number of frauds that would need to be prevented by the policy for its benefits to breakeven with its cost. The cost of fraud to individuals is available but research</w:t>
      </w:r>
      <w:r>
        <w:rPr>
          <w:rStyle w:val="FootnoteReference"/>
          <w:szCs w:val="22"/>
        </w:rPr>
        <w:footnoteReference w:id="86"/>
      </w:r>
      <w:r>
        <w:rPr>
          <w:rFonts w:cs="Arial"/>
          <w:sz w:val="22"/>
          <w:szCs w:val="22"/>
        </w:rPr>
        <w:t xml:space="preserve"> </w:t>
      </w:r>
      <w:r>
        <w:rPr>
          <w:rStyle w:val="FootnoteReference"/>
          <w:szCs w:val="22"/>
        </w:rPr>
        <w:footnoteReference w:id="87"/>
      </w:r>
      <w:r>
        <w:rPr>
          <w:rFonts w:cs="Arial"/>
          <w:sz w:val="22"/>
          <w:szCs w:val="22"/>
        </w:rPr>
        <w:t xml:space="preserve"> indicates that this is significantly smaller than the cost of fraud to business, and therefore would not be suitable for analysis.</w:t>
      </w:r>
    </w:p>
    <w:p w14:paraId="0C68D138" w14:textId="48DD94DC" w:rsidR="00996BB9" w:rsidRPr="003F40C2" w:rsidRDefault="00F732A1" w:rsidP="003F40C2">
      <w:pPr>
        <w:pStyle w:val="ListParagraph"/>
        <w:numPr>
          <w:ilvl w:val="0"/>
          <w:numId w:val="10"/>
        </w:numPr>
        <w:spacing w:after="120" w:line="259" w:lineRule="auto"/>
        <w:ind w:left="567" w:hanging="567"/>
        <w:contextualSpacing w:val="0"/>
        <w:jc w:val="both"/>
        <w:rPr>
          <w:rFonts w:cs="Arial"/>
          <w:sz w:val="22"/>
          <w:szCs w:val="22"/>
        </w:rPr>
      </w:pPr>
      <w:r w:rsidRPr="00BC3FAC">
        <w:rPr>
          <w:rFonts w:cs="Arial"/>
          <w:sz w:val="22"/>
          <w:szCs w:val="22"/>
        </w:rPr>
        <w:t xml:space="preserve">Fraud is the most common </w:t>
      </w:r>
      <w:r>
        <w:rPr>
          <w:rFonts w:cs="Arial"/>
          <w:sz w:val="22"/>
          <w:szCs w:val="22"/>
        </w:rPr>
        <w:t xml:space="preserve">CSEW recorded </w:t>
      </w:r>
      <w:r w:rsidRPr="00BC3FAC">
        <w:rPr>
          <w:rFonts w:cs="Arial"/>
          <w:sz w:val="22"/>
          <w:szCs w:val="22"/>
        </w:rPr>
        <w:t>crime with large costs to society.</w:t>
      </w:r>
      <w:r w:rsidR="002636A5">
        <w:rPr>
          <w:rFonts w:cs="Arial"/>
          <w:sz w:val="22"/>
          <w:szCs w:val="22"/>
        </w:rPr>
        <w:t xml:space="preserve"> </w:t>
      </w:r>
      <w:r w:rsidR="009020E8">
        <w:rPr>
          <w:rFonts w:cs="Arial"/>
          <w:sz w:val="22"/>
          <w:szCs w:val="22"/>
        </w:rPr>
        <w:t>T</w:t>
      </w:r>
      <w:r w:rsidR="00996BB9">
        <w:rPr>
          <w:rFonts w:cs="Arial"/>
          <w:sz w:val="22"/>
          <w:szCs w:val="22"/>
        </w:rPr>
        <w:t>he total cost of fraud against individuals in England and Wales was estimated to be at least £6.8 billion in 2019</w:t>
      </w:r>
      <w:r w:rsidR="002636A5">
        <w:rPr>
          <w:rStyle w:val="FootnoteReference"/>
          <w:szCs w:val="22"/>
        </w:rPr>
        <w:footnoteReference w:id="88"/>
      </w:r>
      <w:r w:rsidR="00996BB9">
        <w:rPr>
          <w:rFonts w:cs="Arial"/>
          <w:sz w:val="22"/>
          <w:szCs w:val="22"/>
        </w:rPr>
        <w:t xml:space="preserve">. </w:t>
      </w:r>
      <w:r w:rsidR="0016703D" w:rsidRPr="008A6ECC">
        <w:rPr>
          <w:rFonts w:cs="Arial"/>
          <w:sz w:val="22"/>
          <w:szCs w:val="22"/>
        </w:rPr>
        <w:t>Whilst there is no</w:t>
      </w:r>
      <w:r w:rsidR="009B57FF">
        <w:rPr>
          <w:rFonts w:cs="Arial"/>
          <w:sz w:val="22"/>
          <w:szCs w:val="22"/>
        </w:rPr>
        <w:t xml:space="preserve"> official </w:t>
      </w:r>
      <w:r w:rsidR="0016703D" w:rsidRPr="008A6ECC">
        <w:rPr>
          <w:rFonts w:cs="Arial"/>
          <w:sz w:val="22"/>
          <w:szCs w:val="22"/>
        </w:rPr>
        <w:t>Home Office estimate of the cost to society of fraud against businesses</w:t>
      </w:r>
      <w:r w:rsidR="0016703D">
        <w:rPr>
          <w:rFonts w:cs="Arial"/>
          <w:sz w:val="22"/>
          <w:szCs w:val="22"/>
        </w:rPr>
        <w:t xml:space="preserve">, </w:t>
      </w:r>
      <w:r w:rsidR="005676EB">
        <w:rPr>
          <w:rFonts w:cs="Arial"/>
          <w:sz w:val="22"/>
          <w:szCs w:val="22"/>
        </w:rPr>
        <w:t>unofficial e</w:t>
      </w:r>
      <w:r w:rsidR="00996BB9">
        <w:rPr>
          <w:rFonts w:cs="Arial"/>
          <w:sz w:val="22"/>
          <w:szCs w:val="22"/>
        </w:rPr>
        <w:t>xternal research indicates that the total cost of fraud against businesses may be</w:t>
      </w:r>
      <w:r w:rsidR="00354CDC">
        <w:rPr>
          <w:rFonts w:cs="Arial"/>
          <w:sz w:val="22"/>
          <w:szCs w:val="22"/>
        </w:rPr>
        <w:t xml:space="preserve"> significantly</w:t>
      </w:r>
      <w:r w:rsidR="00996BB9">
        <w:rPr>
          <w:rFonts w:cs="Arial"/>
          <w:sz w:val="22"/>
          <w:szCs w:val="22"/>
        </w:rPr>
        <w:t xml:space="preserve"> higher than against individuals</w:t>
      </w:r>
      <w:r w:rsidR="00996BB9">
        <w:rPr>
          <w:rStyle w:val="FootnoteReference"/>
          <w:szCs w:val="22"/>
        </w:rPr>
        <w:footnoteReference w:id="89"/>
      </w:r>
      <w:r w:rsidR="00996BB9">
        <w:rPr>
          <w:rFonts w:cs="Arial"/>
          <w:sz w:val="22"/>
          <w:szCs w:val="22"/>
        </w:rPr>
        <w:t>.</w:t>
      </w:r>
      <w:r w:rsidR="009020E8">
        <w:rPr>
          <w:rFonts w:cs="Arial"/>
          <w:sz w:val="22"/>
          <w:szCs w:val="22"/>
        </w:rPr>
        <w:t xml:space="preserve"> </w:t>
      </w:r>
      <w:r>
        <w:rPr>
          <w:rFonts w:cs="Arial"/>
          <w:sz w:val="22"/>
          <w:szCs w:val="22"/>
        </w:rPr>
        <w:t>Consequently, a</w:t>
      </w:r>
      <w:r w:rsidR="00D264ED" w:rsidRPr="003F40C2">
        <w:rPr>
          <w:rFonts w:cs="Arial"/>
          <w:sz w:val="22"/>
          <w:szCs w:val="22"/>
        </w:rPr>
        <w:t>ny</w:t>
      </w:r>
      <w:r w:rsidR="00D264ED" w:rsidRPr="000B51AA">
        <w:rPr>
          <w:rFonts w:cs="Arial"/>
          <w:sz w:val="22"/>
          <w:szCs w:val="22"/>
        </w:rPr>
        <w:t xml:space="preserve"> reductions in fraud because of this legislation could have significant societal benefits and offset the costs estimated in this IA.</w:t>
      </w:r>
    </w:p>
    <w:p w14:paraId="376D6816" w14:textId="0DFF27E1" w:rsidR="002D2F1B" w:rsidRDefault="002D2F1B" w:rsidP="364E7517">
      <w:pPr>
        <w:pStyle w:val="ListParagraph"/>
        <w:numPr>
          <w:ilvl w:val="0"/>
          <w:numId w:val="10"/>
        </w:numPr>
        <w:spacing w:after="120" w:line="259" w:lineRule="auto"/>
        <w:ind w:left="567" w:hanging="567"/>
        <w:jc w:val="both"/>
        <w:rPr>
          <w:rFonts w:cs="Arial"/>
          <w:sz w:val="22"/>
          <w:szCs w:val="22"/>
        </w:rPr>
      </w:pPr>
      <w:r w:rsidRPr="00BC3FAC">
        <w:rPr>
          <w:rFonts w:cs="Arial"/>
          <w:sz w:val="22"/>
          <w:szCs w:val="22"/>
        </w:rPr>
        <w:t xml:space="preserve">Additionally, having greater fraud prevention procedures in place could improve confidence in doing business in the UK by demonstrating that organisations in this country are committed to preventing fraud. This could enhance the global economic reputation of the UK, increasing international confidence in conducting business here which, whilst </w:t>
      </w:r>
      <w:r w:rsidR="008F2813">
        <w:rPr>
          <w:rFonts w:cs="Arial"/>
          <w:sz w:val="22"/>
          <w:szCs w:val="22"/>
        </w:rPr>
        <w:t>non-</w:t>
      </w:r>
      <w:r w:rsidRPr="00BC3FAC">
        <w:rPr>
          <w:rFonts w:cs="Arial"/>
          <w:sz w:val="22"/>
          <w:szCs w:val="22"/>
        </w:rPr>
        <w:t>moneti</w:t>
      </w:r>
      <w:r w:rsidR="004928F7">
        <w:rPr>
          <w:rFonts w:cs="Arial"/>
          <w:sz w:val="22"/>
          <w:szCs w:val="22"/>
        </w:rPr>
        <w:t>s</w:t>
      </w:r>
      <w:r w:rsidRPr="00BC3FAC">
        <w:rPr>
          <w:rFonts w:cs="Arial"/>
          <w:sz w:val="22"/>
          <w:szCs w:val="22"/>
        </w:rPr>
        <w:t xml:space="preserve">able, could provide significant benefits to society. </w:t>
      </w:r>
    </w:p>
    <w:p w14:paraId="4CAE1AC4" w14:textId="77777777" w:rsidR="00354CDC" w:rsidRDefault="00354CDC" w:rsidP="003F40C2">
      <w:pPr>
        <w:pStyle w:val="ListParagraph"/>
        <w:spacing w:after="120" w:line="259" w:lineRule="auto"/>
        <w:ind w:left="567"/>
        <w:jc w:val="both"/>
        <w:rPr>
          <w:rFonts w:cs="Arial"/>
          <w:sz w:val="22"/>
          <w:szCs w:val="22"/>
        </w:rPr>
      </w:pPr>
    </w:p>
    <w:p w14:paraId="49F432AB" w14:textId="1408934A" w:rsidR="00D264ED" w:rsidRPr="003F40C2" w:rsidRDefault="00D264ED" w:rsidP="00354CDC">
      <w:pPr>
        <w:pStyle w:val="ListParagraph"/>
        <w:numPr>
          <w:ilvl w:val="0"/>
          <w:numId w:val="10"/>
        </w:numPr>
        <w:spacing w:after="120" w:line="259" w:lineRule="auto"/>
        <w:ind w:left="567" w:hanging="567"/>
        <w:contextualSpacing w:val="0"/>
        <w:jc w:val="both"/>
        <w:rPr>
          <w:rFonts w:cs="Arial"/>
          <w:sz w:val="22"/>
          <w:szCs w:val="22"/>
        </w:rPr>
      </w:pPr>
      <w:r w:rsidRPr="00452205">
        <w:rPr>
          <w:rFonts w:cs="Arial"/>
          <w:sz w:val="22"/>
          <w:szCs w:val="22"/>
        </w:rPr>
        <w:t>The costs of the policy solely fall on business</w:t>
      </w:r>
      <w:r>
        <w:rPr>
          <w:rFonts w:cs="Arial"/>
          <w:sz w:val="22"/>
          <w:szCs w:val="22"/>
        </w:rPr>
        <w:t xml:space="preserve">. The largest costs are attributable, across both set-up and ongoing, to the training costs. </w:t>
      </w:r>
      <w:r w:rsidRPr="0076240B">
        <w:rPr>
          <w:rFonts w:cs="Arial"/>
          <w:sz w:val="22"/>
          <w:szCs w:val="22"/>
        </w:rPr>
        <w:t>The remaining costs predominately stem from the costs to employees in terms of familiarisation, risk assessment and communication</w:t>
      </w:r>
      <w:r>
        <w:rPr>
          <w:rFonts w:cs="Arial"/>
          <w:sz w:val="22"/>
          <w:szCs w:val="22"/>
        </w:rPr>
        <w:t>.</w:t>
      </w:r>
    </w:p>
    <w:p w14:paraId="44EF2D74" w14:textId="6D527D31" w:rsidR="00EC06A1" w:rsidRPr="000B51AA" w:rsidRDefault="002D2F1B" w:rsidP="00B80D4C">
      <w:pPr>
        <w:pStyle w:val="ListParagraph"/>
        <w:numPr>
          <w:ilvl w:val="0"/>
          <w:numId w:val="10"/>
        </w:numPr>
        <w:spacing w:after="120" w:line="259" w:lineRule="auto"/>
        <w:ind w:left="567" w:hanging="567"/>
        <w:contextualSpacing w:val="0"/>
        <w:jc w:val="both"/>
        <w:rPr>
          <w:rFonts w:cs="Arial"/>
          <w:b/>
          <w:sz w:val="22"/>
          <w:szCs w:val="22"/>
          <w:lang w:eastAsia="en-GB"/>
        </w:rPr>
      </w:pPr>
      <w:r w:rsidRPr="00BF1262">
        <w:rPr>
          <w:rFonts w:cs="Arial"/>
          <w:sz w:val="22"/>
          <w:szCs w:val="22"/>
        </w:rPr>
        <w:t>Consequently</w:t>
      </w:r>
      <w:r w:rsidR="0027693E" w:rsidRPr="00BF1262">
        <w:rPr>
          <w:rFonts w:cs="Arial"/>
          <w:sz w:val="22"/>
          <w:szCs w:val="22"/>
        </w:rPr>
        <w:t>,</w:t>
      </w:r>
      <w:r w:rsidR="00B54436" w:rsidRPr="00BF1262">
        <w:rPr>
          <w:rFonts w:cs="Arial"/>
          <w:sz w:val="22"/>
          <w:szCs w:val="22"/>
        </w:rPr>
        <w:t xml:space="preserve"> </w:t>
      </w:r>
      <w:r w:rsidR="00650380" w:rsidRPr="00BF1262">
        <w:rPr>
          <w:rFonts w:cs="Arial"/>
          <w:sz w:val="22"/>
          <w:szCs w:val="22"/>
        </w:rPr>
        <w:t>the</w:t>
      </w:r>
      <w:r w:rsidRPr="00BF1262">
        <w:rPr>
          <w:rFonts w:cs="Arial"/>
          <w:sz w:val="22"/>
          <w:szCs w:val="22"/>
        </w:rPr>
        <w:t xml:space="preserve"> NPSV </w:t>
      </w:r>
      <w:r w:rsidR="00396F11" w:rsidRPr="00BF1262">
        <w:rPr>
          <w:rFonts w:cs="Arial"/>
          <w:sz w:val="22"/>
          <w:szCs w:val="22"/>
        </w:rPr>
        <w:t>cannot be considered</w:t>
      </w:r>
      <w:r w:rsidRPr="00BF1262">
        <w:rPr>
          <w:rFonts w:cs="Arial"/>
          <w:sz w:val="22"/>
          <w:szCs w:val="22"/>
        </w:rPr>
        <w:t xml:space="preserve"> in this case to</w:t>
      </w:r>
      <w:r w:rsidR="0027693E" w:rsidRPr="00BF1262">
        <w:rPr>
          <w:rFonts w:cs="Arial"/>
          <w:sz w:val="22"/>
          <w:szCs w:val="22"/>
        </w:rPr>
        <w:t xml:space="preserve"> be</w:t>
      </w:r>
      <w:r w:rsidR="00650380" w:rsidRPr="00BF1262">
        <w:rPr>
          <w:rFonts w:cs="Arial"/>
          <w:sz w:val="22"/>
          <w:szCs w:val="22"/>
        </w:rPr>
        <w:t xml:space="preserve"> exclusively</w:t>
      </w:r>
      <w:r w:rsidRPr="00BF1262">
        <w:rPr>
          <w:rFonts w:cs="Arial"/>
          <w:sz w:val="22"/>
          <w:szCs w:val="22"/>
        </w:rPr>
        <w:t xml:space="preserve"> indicat</w:t>
      </w:r>
      <w:r w:rsidR="0027693E" w:rsidRPr="00BF1262">
        <w:rPr>
          <w:rFonts w:cs="Arial"/>
          <w:sz w:val="22"/>
          <w:szCs w:val="22"/>
        </w:rPr>
        <w:t>ive of</w:t>
      </w:r>
      <w:r w:rsidRPr="00BF1262">
        <w:rPr>
          <w:rFonts w:cs="Arial"/>
          <w:sz w:val="22"/>
          <w:szCs w:val="22"/>
        </w:rPr>
        <w:t xml:space="preserve"> the</w:t>
      </w:r>
      <w:r w:rsidR="00650380" w:rsidRPr="00BF1262">
        <w:rPr>
          <w:rFonts w:cs="Arial"/>
          <w:sz w:val="22"/>
          <w:szCs w:val="22"/>
        </w:rPr>
        <w:t xml:space="preserve"> overall</w:t>
      </w:r>
      <w:r w:rsidRPr="00BF1262">
        <w:rPr>
          <w:rFonts w:cs="Arial"/>
          <w:sz w:val="22"/>
          <w:szCs w:val="22"/>
        </w:rPr>
        <w:t xml:space="preserve"> VfM to society of this legislation</w:t>
      </w:r>
      <w:r w:rsidR="0027693E" w:rsidRPr="00BF1262">
        <w:rPr>
          <w:rFonts w:cs="Arial"/>
          <w:sz w:val="22"/>
          <w:szCs w:val="22"/>
        </w:rPr>
        <w:t xml:space="preserve">. Whilst there are significant costs borne on businesses, due to the </w:t>
      </w:r>
      <w:r w:rsidR="0027693E" w:rsidRPr="00BF1262">
        <w:rPr>
          <w:rFonts w:cs="Arial"/>
          <w:sz w:val="22"/>
          <w:szCs w:val="22"/>
        </w:rPr>
        <w:lastRenderedPageBreak/>
        <w:t xml:space="preserve">scale of harm that fraud causes to society. A reduction in fraud because of this policy has the potential to </w:t>
      </w:r>
      <w:r w:rsidR="00A44263" w:rsidRPr="00BF1262">
        <w:rPr>
          <w:rFonts w:cs="Arial"/>
          <w:sz w:val="22"/>
          <w:szCs w:val="22"/>
        </w:rPr>
        <w:t>provide</w:t>
      </w:r>
      <w:r w:rsidR="0027693E" w:rsidRPr="00BF1262">
        <w:rPr>
          <w:rFonts w:cs="Arial"/>
          <w:sz w:val="22"/>
          <w:szCs w:val="22"/>
        </w:rPr>
        <w:t xml:space="preserve"> significant benefit to society and increase its wellbeing. </w:t>
      </w:r>
    </w:p>
    <w:p w14:paraId="57CAFEFA" w14:textId="0303870C" w:rsidR="00B30DE4" w:rsidRPr="003A0120" w:rsidRDefault="00B30DE4" w:rsidP="003F40C2">
      <w:pPr>
        <w:spacing w:after="120"/>
        <w:rPr>
          <w:b/>
        </w:rPr>
      </w:pPr>
      <w:r w:rsidRPr="003F40C2">
        <w:rPr>
          <w:b/>
          <w:sz w:val="22"/>
          <w:szCs w:val="22"/>
        </w:rPr>
        <w:t>Place based analysi</w:t>
      </w:r>
      <w:r w:rsidR="002D2F1B" w:rsidRPr="003F40C2">
        <w:rPr>
          <w:b/>
          <w:sz w:val="22"/>
          <w:szCs w:val="22"/>
        </w:rPr>
        <w:t>s</w:t>
      </w:r>
    </w:p>
    <w:p w14:paraId="277E7EC0" w14:textId="191AA904" w:rsidR="00B30DE4" w:rsidRPr="00441AF5" w:rsidRDefault="00B30DE4" w:rsidP="003F40C2">
      <w:pPr>
        <w:pStyle w:val="ListParagraph"/>
        <w:numPr>
          <w:ilvl w:val="0"/>
          <w:numId w:val="10"/>
        </w:numPr>
        <w:spacing w:after="120" w:line="259" w:lineRule="auto"/>
        <w:ind w:left="567" w:hanging="567"/>
        <w:contextualSpacing w:val="0"/>
        <w:jc w:val="both"/>
        <w:rPr>
          <w:rFonts w:cs="Arial"/>
          <w:sz w:val="22"/>
          <w:szCs w:val="22"/>
        </w:rPr>
      </w:pPr>
      <w:r w:rsidRPr="00441AF5">
        <w:rPr>
          <w:rFonts w:cs="Arial"/>
          <w:sz w:val="22"/>
          <w:szCs w:val="22"/>
        </w:rPr>
        <w:t>As the obligations fall on</w:t>
      </w:r>
      <w:r w:rsidR="00A30648" w:rsidRPr="00441AF5">
        <w:rPr>
          <w:rFonts w:cs="Arial"/>
          <w:sz w:val="22"/>
          <w:szCs w:val="22"/>
        </w:rPr>
        <w:t xml:space="preserve"> large</w:t>
      </w:r>
      <w:r w:rsidRPr="00441AF5">
        <w:rPr>
          <w:rFonts w:cs="Arial"/>
          <w:sz w:val="22"/>
          <w:szCs w:val="22"/>
        </w:rPr>
        <w:t xml:space="preserve"> organisations, the spatial impacts will follow the distribution of entities and their economic activities. </w:t>
      </w:r>
    </w:p>
    <w:p w14:paraId="6CAA4D76" w14:textId="19808C3B" w:rsidR="006B5C3D" w:rsidRDefault="006B5C3D" w:rsidP="00A37A5D">
      <w:pPr>
        <w:pStyle w:val="EBBullet"/>
        <w:numPr>
          <w:ilvl w:val="0"/>
          <w:numId w:val="0"/>
        </w:numPr>
        <w:spacing w:line="259" w:lineRule="auto"/>
        <w:ind w:left="567" w:hanging="567"/>
        <w:jc w:val="both"/>
        <w:rPr>
          <w:b/>
          <w:bCs w:val="0"/>
          <w:color w:val="auto"/>
        </w:rPr>
      </w:pPr>
      <w:r w:rsidRPr="00441AF5">
        <w:rPr>
          <w:b/>
          <w:bCs w:val="0"/>
          <w:color w:val="auto"/>
        </w:rPr>
        <w:t>Sensitivity Analysis</w:t>
      </w:r>
    </w:p>
    <w:p w14:paraId="30AB22C0" w14:textId="39608225" w:rsidR="00FD3B6F" w:rsidRPr="00765FD8" w:rsidRDefault="00E9260C" w:rsidP="003F40C2">
      <w:pPr>
        <w:pStyle w:val="ListParagraph"/>
        <w:numPr>
          <w:ilvl w:val="0"/>
          <w:numId w:val="10"/>
        </w:numPr>
        <w:spacing w:after="120" w:line="259" w:lineRule="auto"/>
        <w:ind w:left="567" w:hanging="567"/>
        <w:jc w:val="both"/>
        <w:rPr>
          <w:b/>
        </w:rPr>
      </w:pPr>
      <w:r w:rsidRPr="003F40C2">
        <w:rPr>
          <w:rFonts w:cs="Arial"/>
          <w:sz w:val="22"/>
          <w:szCs w:val="22"/>
        </w:rPr>
        <w:t>Sensitivity</w:t>
      </w:r>
      <w:r w:rsidRPr="003F40C2">
        <w:rPr>
          <w:sz w:val="22"/>
          <w:szCs w:val="22"/>
        </w:rPr>
        <w:t xml:space="preserve"> analysis was under</w:t>
      </w:r>
      <w:r w:rsidR="00726A65" w:rsidRPr="003F40C2">
        <w:rPr>
          <w:sz w:val="22"/>
          <w:szCs w:val="22"/>
        </w:rPr>
        <w:t>taken</w:t>
      </w:r>
      <w:r w:rsidR="00732226" w:rsidRPr="003F40C2">
        <w:rPr>
          <w:sz w:val="22"/>
          <w:szCs w:val="22"/>
        </w:rPr>
        <w:t xml:space="preserve"> for the key assumptions for where there </w:t>
      </w:r>
      <w:r w:rsidR="0053443A" w:rsidRPr="003F40C2">
        <w:rPr>
          <w:sz w:val="22"/>
          <w:szCs w:val="22"/>
        </w:rPr>
        <w:t>is remaining uncertainty</w:t>
      </w:r>
      <w:r w:rsidR="00492360" w:rsidRPr="003F40C2">
        <w:rPr>
          <w:sz w:val="22"/>
          <w:szCs w:val="22"/>
        </w:rPr>
        <w:t>. Th</w:t>
      </w:r>
      <w:r w:rsidR="00134717" w:rsidRPr="003F40C2">
        <w:rPr>
          <w:sz w:val="22"/>
          <w:szCs w:val="22"/>
        </w:rPr>
        <w:t>e</w:t>
      </w:r>
      <w:r w:rsidR="00096C52" w:rsidRPr="003F40C2">
        <w:rPr>
          <w:sz w:val="22"/>
          <w:szCs w:val="22"/>
        </w:rPr>
        <w:t xml:space="preserve"> lack of </w:t>
      </w:r>
      <w:r w:rsidR="00DE5FBB" w:rsidRPr="003F40C2">
        <w:rPr>
          <w:sz w:val="22"/>
          <w:szCs w:val="22"/>
        </w:rPr>
        <w:t xml:space="preserve">guidance at the time </w:t>
      </w:r>
      <w:r w:rsidR="00E0648B" w:rsidRPr="003F40C2">
        <w:rPr>
          <w:sz w:val="22"/>
          <w:szCs w:val="22"/>
        </w:rPr>
        <w:t xml:space="preserve">of writing means that these assumptions </w:t>
      </w:r>
      <w:r w:rsidR="002772C9" w:rsidRPr="003F40C2">
        <w:rPr>
          <w:sz w:val="22"/>
          <w:szCs w:val="22"/>
        </w:rPr>
        <w:t>could not</w:t>
      </w:r>
      <w:r w:rsidR="00E0648B" w:rsidRPr="003F40C2">
        <w:rPr>
          <w:sz w:val="22"/>
          <w:szCs w:val="22"/>
        </w:rPr>
        <w:t xml:space="preserve"> be </w:t>
      </w:r>
      <w:r w:rsidR="00140F82" w:rsidRPr="003F40C2">
        <w:rPr>
          <w:sz w:val="22"/>
          <w:szCs w:val="22"/>
        </w:rPr>
        <w:t>tested</w:t>
      </w:r>
      <w:r w:rsidR="00E0648B" w:rsidRPr="003F40C2">
        <w:rPr>
          <w:sz w:val="22"/>
          <w:szCs w:val="22"/>
        </w:rPr>
        <w:t xml:space="preserve"> with </w:t>
      </w:r>
      <w:r w:rsidR="00140F82" w:rsidRPr="003F40C2">
        <w:rPr>
          <w:sz w:val="22"/>
          <w:szCs w:val="22"/>
        </w:rPr>
        <w:t>stakeholders. Whilst there is evidence to validate that the assumptions are reasonable</w:t>
      </w:r>
      <w:r w:rsidR="00DC4ACA">
        <w:rPr>
          <w:sz w:val="22"/>
          <w:szCs w:val="22"/>
        </w:rPr>
        <w:t>,</w:t>
      </w:r>
      <w:r w:rsidR="004928D2" w:rsidRPr="003F40C2">
        <w:rPr>
          <w:sz w:val="22"/>
          <w:szCs w:val="22"/>
        </w:rPr>
        <w:t xml:space="preserve"> the validity of the assumptions will be tested in the post implementation review</w:t>
      </w:r>
      <w:r w:rsidR="00140F82" w:rsidRPr="003F40C2">
        <w:rPr>
          <w:sz w:val="22"/>
          <w:szCs w:val="22"/>
        </w:rPr>
        <w:t xml:space="preserve">. The sensitivity analysis explores how the </w:t>
      </w:r>
      <w:r w:rsidR="00A018EE" w:rsidRPr="003F40C2">
        <w:rPr>
          <w:sz w:val="22"/>
          <w:szCs w:val="22"/>
        </w:rPr>
        <w:t xml:space="preserve">overall </w:t>
      </w:r>
      <w:r w:rsidR="00140F82" w:rsidRPr="003F40C2">
        <w:rPr>
          <w:sz w:val="22"/>
          <w:szCs w:val="22"/>
        </w:rPr>
        <w:t xml:space="preserve">cost of the policy </w:t>
      </w:r>
      <w:r w:rsidR="00B24B12" w:rsidRPr="003F40C2">
        <w:rPr>
          <w:sz w:val="22"/>
          <w:szCs w:val="22"/>
        </w:rPr>
        <w:t>change</w:t>
      </w:r>
      <w:r w:rsidR="004928D2" w:rsidRPr="003F40C2">
        <w:rPr>
          <w:sz w:val="22"/>
          <w:szCs w:val="22"/>
        </w:rPr>
        <w:t>s</w:t>
      </w:r>
      <w:r w:rsidR="00B24B12" w:rsidRPr="003F40C2">
        <w:rPr>
          <w:sz w:val="22"/>
          <w:szCs w:val="22"/>
        </w:rPr>
        <w:t xml:space="preserve"> in the face of </w:t>
      </w:r>
      <w:r w:rsidR="00386C8D" w:rsidRPr="003F40C2">
        <w:rPr>
          <w:sz w:val="22"/>
          <w:szCs w:val="22"/>
        </w:rPr>
        <w:t xml:space="preserve">the assumptions varying. </w:t>
      </w:r>
    </w:p>
    <w:p w14:paraId="7A58C51A" w14:textId="7CE909D3" w:rsidR="00A109E7" w:rsidRPr="00441AF5" w:rsidRDefault="00A109E7" w:rsidP="00A37A5D">
      <w:pPr>
        <w:pStyle w:val="EBBullet"/>
        <w:numPr>
          <w:ilvl w:val="0"/>
          <w:numId w:val="0"/>
        </w:numPr>
        <w:spacing w:line="259" w:lineRule="auto"/>
        <w:ind w:left="567" w:hanging="567"/>
        <w:jc w:val="both"/>
        <w:rPr>
          <w:b/>
          <w:bCs w:val="0"/>
          <w:color w:val="auto"/>
        </w:rPr>
      </w:pPr>
      <w:r>
        <w:rPr>
          <w:b/>
          <w:bCs w:val="0"/>
          <w:color w:val="auto"/>
        </w:rPr>
        <w:t>Number of</w:t>
      </w:r>
      <w:r w:rsidR="00A560E4">
        <w:rPr>
          <w:b/>
          <w:bCs w:val="0"/>
          <w:color w:val="auto"/>
        </w:rPr>
        <w:t xml:space="preserve"> Entities wh</w:t>
      </w:r>
      <w:r w:rsidR="00280F8F">
        <w:rPr>
          <w:b/>
          <w:bCs w:val="0"/>
          <w:color w:val="auto"/>
        </w:rPr>
        <w:t>ich</w:t>
      </w:r>
      <w:r w:rsidR="00A560E4">
        <w:rPr>
          <w:b/>
          <w:bCs w:val="0"/>
          <w:color w:val="auto"/>
        </w:rPr>
        <w:t xml:space="preserve"> have Sufficient Measures in Plac</w:t>
      </w:r>
      <w:r w:rsidR="00362AF1">
        <w:rPr>
          <w:b/>
          <w:bCs w:val="0"/>
          <w:color w:val="auto"/>
        </w:rPr>
        <w:t>e Already</w:t>
      </w:r>
    </w:p>
    <w:p w14:paraId="2B0AFE4E" w14:textId="5F54847B" w:rsidR="008A224E" w:rsidRPr="00B75D0A" w:rsidRDefault="008A224E">
      <w:pPr>
        <w:pStyle w:val="ListParagraph"/>
        <w:numPr>
          <w:ilvl w:val="0"/>
          <w:numId w:val="10"/>
        </w:numPr>
        <w:spacing w:after="120" w:line="259" w:lineRule="auto"/>
        <w:ind w:left="567" w:hanging="567"/>
        <w:contextualSpacing w:val="0"/>
        <w:jc w:val="both"/>
        <w:rPr>
          <w:sz w:val="22"/>
          <w:szCs w:val="22"/>
        </w:rPr>
      </w:pPr>
      <w:r w:rsidRPr="003F40C2">
        <w:rPr>
          <w:sz w:val="22"/>
          <w:szCs w:val="22"/>
        </w:rPr>
        <w:t xml:space="preserve">Many organisations will have measures in place to prevent fraud against them. The FTPF offence is concerned with preventing fraud that benefits the organisation. </w:t>
      </w:r>
      <w:r w:rsidR="00D5089B" w:rsidRPr="003F40C2">
        <w:rPr>
          <w:sz w:val="22"/>
          <w:szCs w:val="22"/>
        </w:rPr>
        <w:t>In some cases, the existing measures may be sufficient to do this</w:t>
      </w:r>
      <w:r w:rsidR="00E50E34" w:rsidRPr="003F40C2">
        <w:rPr>
          <w:sz w:val="22"/>
          <w:szCs w:val="22"/>
        </w:rPr>
        <w:t>, in other cases, organisations will need to develop new measures</w:t>
      </w:r>
      <w:r w:rsidR="00E25489">
        <w:rPr>
          <w:sz w:val="22"/>
          <w:szCs w:val="22"/>
        </w:rPr>
        <w:t>.</w:t>
      </w:r>
    </w:p>
    <w:p w14:paraId="4D3D9F8C" w14:textId="0B2FD40A" w:rsidR="00DF77C0" w:rsidRPr="00441AF5" w:rsidRDefault="00D331B5" w:rsidP="006E4831">
      <w:pPr>
        <w:pStyle w:val="ListParagraph"/>
        <w:numPr>
          <w:ilvl w:val="0"/>
          <w:numId w:val="10"/>
        </w:numPr>
        <w:spacing w:after="120" w:line="259" w:lineRule="auto"/>
        <w:ind w:left="567" w:hanging="567"/>
        <w:contextualSpacing w:val="0"/>
        <w:jc w:val="both"/>
      </w:pPr>
      <w:r w:rsidRPr="006E4831">
        <w:rPr>
          <w:sz w:val="22"/>
          <w:szCs w:val="22"/>
        </w:rPr>
        <w:t xml:space="preserve">The </w:t>
      </w:r>
      <w:r w:rsidRPr="006E4831">
        <w:rPr>
          <w:rFonts w:cs="Arial"/>
          <w:sz w:val="22"/>
          <w:szCs w:val="22"/>
        </w:rPr>
        <w:t>sensitivity</w:t>
      </w:r>
      <w:r w:rsidRPr="006E4831">
        <w:rPr>
          <w:sz w:val="22"/>
          <w:szCs w:val="22"/>
        </w:rPr>
        <w:t xml:space="preserve"> analysis estimates </w:t>
      </w:r>
      <w:r w:rsidR="00E441D5" w:rsidRPr="006E4831">
        <w:rPr>
          <w:sz w:val="22"/>
          <w:szCs w:val="22"/>
        </w:rPr>
        <w:t xml:space="preserve">how </w:t>
      </w:r>
      <w:r w:rsidRPr="006E4831">
        <w:rPr>
          <w:sz w:val="22"/>
          <w:szCs w:val="22"/>
        </w:rPr>
        <w:t xml:space="preserve">the </w:t>
      </w:r>
      <w:r w:rsidR="00B72653" w:rsidRPr="006E4831">
        <w:rPr>
          <w:sz w:val="22"/>
          <w:szCs w:val="22"/>
        </w:rPr>
        <w:t>total</w:t>
      </w:r>
      <w:r w:rsidRPr="006E4831">
        <w:rPr>
          <w:sz w:val="22"/>
          <w:szCs w:val="22"/>
        </w:rPr>
        <w:t xml:space="preserve"> cost of </w:t>
      </w:r>
      <w:r w:rsidR="00180CEE" w:rsidRPr="006E4831">
        <w:rPr>
          <w:sz w:val="22"/>
          <w:szCs w:val="22"/>
        </w:rPr>
        <w:t xml:space="preserve">the implementing the </w:t>
      </w:r>
      <w:r w:rsidR="00F94204" w:rsidRPr="006E4831">
        <w:rPr>
          <w:sz w:val="22"/>
          <w:szCs w:val="22"/>
        </w:rPr>
        <w:t>FTPF</w:t>
      </w:r>
      <w:r w:rsidR="00180CEE" w:rsidRPr="006E4831">
        <w:rPr>
          <w:sz w:val="22"/>
          <w:szCs w:val="22"/>
        </w:rPr>
        <w:t xml:space="preserve"> policy </w:t>
      </w:r>
      <w:r w:rsidR="00E441D5" w:rsidRPr="006E4831">
        <w:rPr>
          <w:sz w:val="22"/>
          <w:szCs w:val="22"/>
        </w:rPr>
        <w:t>varies</w:t>
      </w:r>
      <w:r w:rsidR="009F41B3" w:rsidRPr="006E4831">
        <w:rPr>
          <w:sz w:val="22"/>
          <w:szCs w:val="22"/>
        </w:rPr>
        <w:t xml:space="preserve"> </w:t>
      </w:r>
      <w:r w:rsidR="007E0D6D" w:rsidRPr="006E4831">
        <w:rPr>
          <w:sz w:val="22"/>
          <w:szCs w:val="22"/>
        </w:rPr>
        <w:t xml:space="preserve">for when different </w:t>
      </w:r>
      <w:r w:rsidR="00DF77C0" w:rsidRPr="006E4831">
        <w:rPr>
          <w:sz w:val="22"/>
          <w:szCs w:val="22"/>
        </w:rPr>
        <w:t>proportion</w:t>
      </w:r>
      <w:r w:rsidR="007E0D6D" w:rsidRPr="006E4831">
        <w:rPr>
          <w:sz w:val="22"/>
          <w:szCs w:val="22"/>
        </w:rPr>
        <w:t>s</w:t>
      </w:r>
      <w:r w:rsidR="00465474" w:rsidRPr="006E4831">
        <w:rPr>
          <w:sz w:val="22"/>
          <w:szCs w:val="22"/>
        </w:rPr>
        <w:t xml:space="preserve"> of</w:t>
      </w:r>
      <w:r w:rsidR="00DF77C0" w:rsidRPr="006E4831">
        <w:rPr>
          <w:sz w:val="22"/>
          <w:szCs w:val="22"/>
        </w:rPr>
        <w:t xml:space="preserve"> </w:t>
      </w:r>
      <w:r w:rsidR="009F41B3" w:rsidRPr="006E4831">
        <w:rPr>
          <w:sz w:val="22"/>
          <w:szCs w:val="22"/>
        </w:rPr>
        <w:t xml:space="preserve">organisations </w:t>
      </w:r>
      <w:r w:rsidR="00673AFE" w:rsidRPr="006E4831">
        <w:rPr>
          <w:sz w:val="22"/>
          <w:szCs w:val="22"/>
        </w:rPr>
        <w:t>con</w:t>
      </w:r>
      <w:r w:rsidR="00B5561F" w:rsidRPr="006E4831">
        <w:rPr>
          <w:sz w:val="22"/>
          <w:szCs w:val="22"/>
        </w:rPr>
        <w:t xml:space="preserve">clude they have sufficient </w:t>
      </w:r>
      <w:r w:rsidR="002E3CD8" w:rsidRPr="006E4831">
        <w:rPr>
          <w:sz w:val="22"/>
          <w:szCs w:val="22"/>
        </w:rPr>
        <w:t>existing</w:t>
      </w:r>
      <w:r w:rsidR="00B5561F" w:rsidRPr="006E4831">
        <w:rPr>
          <w:sz w:val="22"/>
          <w:szCs w:val="22"/>
        </w:rPr>
        <w:t xml:space="preserve"> measures in place</w:t>
      </w:r>
      <w:r w:rsidR="000A5814" w:rsidRPr="006E4831">
        <w:rPr>
          <w:sz w:val="22"/>
          <w:szCs w:val="22"/>
        </w:rPr>
        <w:t xml:space="preserve"> and therefore do not need to implement additional measures.</w:t>
      </w:r>
    </w:p>
    <w:p w14:paraId="4321B694" w14:textId="3419B154" w:rsidR="00C3277C" w:rsidRPr="00441AF5" w:rsidRDefault="000A5814" w:rsidP="006E4831">
      <w:pPr>
        <w:pStyle w:val="ListParagraph"/>
        <w:numPr>
          <w:ilvl w:val="0"/>
          <w:numId w:val="10"/>
        </w:numPr>
        <w:spacing w:after="120" w:line="259" w:lineRule="auto"/>
        <w:ind w:left="567" w:hanging="567"/>
        <w:contextualSpacing w:val="0"/>
        <w:jc w:val="both"/>
      </w:pPr>
      <w:r w:rsidRPr="003F40C2">
        <w:rPr>
          <w:sz w:val="22"/>
          <w:szCs w:val="22"/>
        </w:rPr>
        <w:t xml:space="preserve">Whilst the </w:t>
      </w:r>
      <w:r w:rsidR="00682BF3" w:rsidRPr="003F40C2">
        <w:rPr>
          <w:sz w:val="22"/>
          <w:szCs w:val="22"/>
        </w:rPr>
        <w:t xml:space="preserve">estimates drawn from the </w:t>
      </w:r>
      <w:r w:rsidR="00C928CA" w:rsidRPr="003F40C2">
        <w:rPr>
          <w:sz w:val="22"/>
          <w:szCs w:val="22"/>
        </w:rPr>
        <w:t>ECS</w:t>
      </w:r>
      <w:r w:rsidR="00682BF3" w:rsidRPr="003F40C2">
        <w:rPr>
          <w:sz w:val="22"/>
          <w:szCs w:val="22"/>
        </w:rPr>
        <w:t xml:space="preserve"> allow a range of costs to be constructed. </w:t>
      </w:r>
      <w:r w:rsidR="00400261" w:rsidRPr="003F40C2">
        <w:rPr>
          <w:sz w:val="22"/>
          <w:szCs w:val="22"/>
        </w:rPr>
        <w:t>Th</w:t>
      </w:r>
      <w:r w:rsidR="002C2377" w:rsidRPr="003F40C2">
        <w:rPr>
          <w:sz w:val="22"/>
          <w:szCs w:val="22"/>
        </w:rPr>
        <w:t xml:space="preserve">e ECS estimates may not be directly </w:t>
      </w:r>
      <w:r w:rsidR="00311300" w:rsidRPr="003F40C2">
        <w:rPr>
          <w:sz w:val="22"/>
          <w:szCs w:val="22"/>
        </w:rPr>
        <w:t>applicable</w:t>
      </w:r>
      <w:r w:rsidR="00C52D90" w:rsidRPr="003F40C2">
        <w:rPr>
          <w:sz w:val="22"/>
          <w:szCs w:val="22"/>
        </w:rPr>
        <w:t xml:space="preserve"> to th</w:t>
      </w:r>
      <w:r w:rsidR="00BA04EF" w:rsidRPr="003F40C2">
        <w:rPr>
          <w:sz w:val="22"/>
          <w:szCs w:val="22"/>
        </w:rPr>
        <w:t>is</w:t>
      </w:r>
      <w:r w:rsidR="00C52D90" w:rsidRPr="003F40C2">
        <w:rPr>
          <w:sz w:val="22"/>
          <w:szCs w:val="22"/>
        </w:rPr>
        <w:t xml:space="preserve"> new legislation and </w:t>
      </w:r>
      <w:r w:rsidR="0024033B" w:rsidRPr="003F40C2">
        <w:rPr>
          <w:sz w:val="22"/>
          <w:szCs w:val="22"/>
        </w:rPr>
        <w:t xml:space="preserve">the proportion of companies who have sufficient measures in place may </w:t>
      </w:r>
      <w:r w:rsidR="009913E7" w:rsidRPr="003F40C2">
        <w:rPr>
          <w:sz w:val="22"/>
          <w:szCs w:val="22"/>
        </w:rPr>
        <w:t>fall below the low estimate or at different levels between the low and high estimate</w:t>
      </w:r>
      <w:r w:rsidR="0024033B" w:rsidRPr="003F40C2">
        <w:rPr>
          <w:sz w:val="22"/>
          <w:szCs w:val="22"/>
        </w:rPr>
        <w:t xml:space="preserve">. Consequently, sensitivity analysis has been conducted </w:t>
      </w:r>
      <w:r w:rsidR="007E4C9E" w:rsidRPr="003F40C2">
        <w:rPr>
          <w:sz w:val="22"/>
          <w:szCs w:val="22"/>
        </w:rPr>
        <w:t xml:space="preserve">to demonstrate </w:t>
      </w:r>
      <w:r w:rsidR="00A83E1D" w:rsidRPr="003F40C2">
        <w:rPr>
          <w:sz w:val="22"/>
          <w:szCs w:val="22"/>
        </w:rPr>
        <w:t xml:space="preserve">how the overall cost of implementing the FTFP policy </w:t>
      </w:r>
      <w:r w:rsidR="00FA7510" w:rsidRPr="003F40C2">
        <w:rPr>
          <w:sz w:val="22"/>
          <w:szCs w:val="22"/>
        </w:rPr>
        <w:t xml:space="preserve">varies </w:t>
      </w:r>
      <w:r w:rsidR="00525C87" w:rsidRPr="003F40C2">
        <w:rPr>
          <w:sz w:val="22"/>
          <w:szCs w:val="22"/>
        </w:rPr>
        <w:t xml:space="preserve">for different proportions of companies </w:t>
      </w:r>
      <w:r w:rsidR="00F757A2" w:rsidRPr="003F40C2">
        <w:rPr>
          <w:sz w:val="22"/>
          <w:szCs w:val="22"/>
        </w:rPr>
        <w:t xml:space="preserve">who </w:t>
      </w:r>
      <w:r w:rsidR="00E97D81" w:rsidRPr="003F40C2">
        <w:rPr>
          <w:sz w:val="22"/>
          <w:szCs w:val="22"/>
        </w:rPr>
        <w:t>need to implement new anti-</w:t>
      </w:r>
      <w:r w:rsidR="00560322" w:rsidRPr="003F40C2">
        <w:rPr>
          <w:sz w:val="22"/>
          <w:szCs w:val="22"/>
        </w:rPr>
        <w:t>f</w:t>
      </w:r>
      <w:r w:rsidR="00E97D81" w:rsidRPr="003F40C2">
        <w:rPr>
          <w:sz w:val="22"/>
          <w:szCs w:val="22"/>
        </w:rPr>
        <w:t>ra</w:t>
      </w:r>
      <w:r w:rsidR="00560322" w:rsidRPr="003F40C2">
        <w:rPr>
          <w:sz w:val="22"/>
          <w:szCs w:val="22"/>
        </w:rPr>
        <w:t>u</w:t>
      </w:r>
      <w:r w:rsidR="00E97D81" w:rsidRPr="003F40C2">
        <w:rPr>
          <w:sz w:val="22"/>
          <w:szCs w:val="22"/>
        </w:rPr>
        <w:t xml:space="preserve">d measures </w:t>
      </w:r>
      <w:r w:rsidR="007B6153" w:rsidRPr="003F40C2">
        <w:rPr>
          <w:sz w:val="22"/>
          <w:szCs w:val="22"/>
        </w:rPr>
        <w:t xml:space="preserve">to </w:t>
      </w:r>
      <w:r w:rsidR="00E16819" w:rsidRPr="003F40C2">
        <w:rPr>
          <w:sz w:val="22"/>
          <w:szCs w:val="22"/>
        </w:rPr>
        <w:t>be compliant with the new measures</w:t>
      </w:r>
      <w:r w:rsidR="006A60BA" w:rsidRPr="003F40C2">
        <w:rPr>
          <w:sz w:val="22"/>
          <w:szCs w:val="22"/>
        </w:rPr>
        <w:t>.</w:t>
      </w:r>
    </w:p>
    <w:p w14:paraId="013271A7" w14:textId="3BA82E95" w:rsidR="00185116" w:rsidRPr="00441AF5" w:rsidRDefault="00185116" w:rsidP="006E4831">
      <w:pPr>
        <w:pStyle w:val="ListParagraph"/>
        <w:numPr>
          <w:ilvl w:val="0"/>
          <w:numId w:val="10"/>
        </w:numPr>
        <w:spacing w:after="120" w:line="259" w:lineRule="auto"/>
        <w:ind w:left="567" w:hanging="567"/>
        <w:contextualSpacing w:val="0"/>
        <w:jc w:val="both"/>
      </w:pPr>
      <w:r w:rsidRPr="003F40C2">
        <w:rPr>
          <w:sz w:val="22"/>
          <w:szCs w:val="22"/>
        </w:rPr>
        <w:t xml:space="preserve">The sensitivity analysis utilises the same methodology as the low and best/central scenarios. The ECS provides </w:t>
      </w:r>
      <w:r w:rsidR="00F70344" w:rsidRPr="003F40C2">
        <w:rPr>
          <w:sz w:val="22"/>
          <w:szCs w:val="22"/>
        </w:rPr>
        <w:t>estimates</w:t>
      </w:r>
      <w:r w:rsidRPr="003F40C2">
        <w:rPr>
          <w:sz w:val="22"/>
          <w:szCs w:val="22"/>
        </w:rPr>
        <w:t xml:space="preserve"> on the proportions of companies who may have sufficient </w:t>
      </w:r>
      <w:r w:rsidR="00F70344" w:rsidRPr="003F40C2">
        <w:rPr>
          <w:sz w:val="22"/>
          <w:szCs w:val="22"/>
        </w:rPr>
        <w:t>existing</w:t>
      </w:r>
      <w:r w:rsidRPr="003F40C2">
        <w:rPr>
          <w:sz w:val="22"/>
          <w:szCs w:val="22"/>
        </w:rPr>
        <w:t xml:space="preserve"> measures in place for these scenarios. Full methodology for the sensitivity analysis is in Annex 2.</w:t>
      </w:r>
    </w:p>
    <w:p w14:paraId="7027FE53" w14:textId="77777777" w:rsidR="00D36C96" w:rsidRPr="00505930" w:rsidRDefault="000B5A11" w:rsidP="00D36C96">
      <w:pPr>
        <w:pStyle w:val="ListParagraph"/>
        <w:numPr>
          <w:ilvl w:val="0"/>
          <w:numId w:val="10"/>
        </w:numPr>
        <w:spacing w:after="120" w:line="259" w:lineRule="auto"/>
        <w:ind w:left="567" w:hanging="567"/>
        <w:contextualSpacing w:val="0"/>
        <w:jc w:val="both"/>
        <w:rPr>
          <w:sz w:val="22"/>
          <w:szCs w:val="22"/>
        </w:rPr>
      </w:pPr>
      <w:r w:rsidRPr="003F40C2">
        <w:rPr>
          <w:sz w:val="22"/>
          <w:szCs w:val="22"/>
        </w:rPr>
        <w:t xml:space="preserve">The sensitivity analysis provides overall costs </w:t>
      </w:r>
      <w:r w:rsidR="00F70344" w:rsidRPr="003F40C2">
        <w:rPr>
          <w:sz w:val="22"/>
          <w:szCs w:val="22"/>
        </w:rPr>
        <w:t>estimates</w:t>
      </w:r>
      <w:r w:rsidRPr="003F40C2">
        <w:rPr>
          <w:sz w:val="22"/>
          <w:szCs w:val="22"/>
        </w:rPr>
        <w:t xml:space="preserve"> for </w:t>
      </w:r>
      <w:r w:rsidR="00B2465A" w:rsidRPr="003F40C2">
        <w:rPr>
          <w:sz w:val="22"/>
          <w:szCs w:val="22"/>
        </w:rPr>
        <w:t xml:space="preserve">each decile for the </w:t>
      </w:r>
      <w:r w:rsidR="005A378F" w:rsidRPr="003F40C2">
        <w:rPr>
          <w:sz w:val="22"/>
          <w:szCs w:val="22"/>
        </w:rPr>
        <w:t>proportion</w:t>
      </w:r>
      <w:r w:rsidR="00B2465A" w:rsidRPr="003F40C2">
        <w:rPr>
          <w:sz w:val="22"/>
          <w:szCs w:val="22"/>
        </w:rPr>
        <w:t xml:space="preserve"> of companies who </w:t>
      </w:r>
      <w:r w:rsidR="00B2465A" w:rsidRPr="00505930">
        <w:rPr>
          <w:sz w:val="22"/>
          <w:szCs w:val="22"/>
        </w:rPr>
        <w:t>need to implement anti-fraud measures</w:t>
      </w:r>
      <w:r w:rsidR="00581B17" w:rsidRPr="00505930">
        <w:rPr>
          <w:sz w:val="22"/>
          <w:szCs w:val="22"/>
        </w:rPr>
        <w:t>.</w:t>
      </w:r>
    </w:p>
    <w:p w14:paraId="5E04D874" w14:textId="5CC7428E" w:rsidR="00BF1262" w:rsidRPr="004C29E2" w:rsidRDefault="008A50EA" w:rsidP="004C29E2">
      <w:pPr>
        <w:pStyle w:val="ListParagraph"/>
        <w:numPr>
          <w:ilvl w:val="0"/>
          <w:numId w:val="10"/>
        </w:numPr>
        <w:spacing w:after="120" w:line="259" w:lineRule="auto"/>
        <w:ind w:left="567" w:hanging="567"/>
        <w:contextualSpacing w:val="0"/>
        <w:jc w:val="both"/>
        <w:rPr>
          <w:sz w:val="22"/>
          <w:szCs w:val="22"/>
        </w:rPr>
      </w:pPr>
      <w:r w:rsidRPr="00505930">
        <w:rPr>
          <w:sz w:val="22"/>
          <w:szCs w:val="22"/>
        </w:rPr>
        <w:t xml:space="preserve">The sensitivity analysis </w:t>
      </w:r>
      <w:r w:rsidR="00A00AF2" w:rsidRPr="00505930">
        <w:rPr>
          <w:sz w:val="22"/>
          <w:szCs w:val="22"/>
        </w:rPr>
        <w:t xml:space="preserve">estimates that if </w:t>
      </w:r>
      <w:r w:rsidR="00A251E2" w:rsidRPr="00505930">
        <w:rPr>
          <w:sz w:val="22"/>
          <w:szCs w:val="22"/>
        </w:rPr>
        <w:t xml:space="preserve">all </w:t>
      </w:r>
      <w:r w:rsidR="00C92D86" w:rsidRPr="00505930">
        <w:rPr>
          <w:sz w:val="22"/>
          <w:szCs w:val="22"/>
        </w:rPr>
        <w:t xml:space="preserve">the </w:t>
      </w:r>
      <w:r w:rsidR="0041424B" w:rsidRPr="00505930">
        <w:rPr>
          <w:sz w:val="22"/>
          <w:szCs w:val="22"/>
        </w:rPr>
        <w:t>organisations</w:t>
      </w:r>
      <w:r w:rsidR="00A251E2" w:rsidRPr="00505930">
        <w:rPr>
          <w:sz w:val="22"/>
          <w:szCs w:val="22"/>
        </w:rPr>
        <w:t xml:space="preserve"> have </w:t>
      </w:r>
      <w:r w:rsidR="004D7206" w:rsidRPr="00505930">
        <w:rPr>
          <w:sz w:val="22"/>
          <w:szCs w:val="22"/>
        </w:rPr>
        <w:t>appropriate communi</w:t>
      </w:r>
      <w:r w:rsidR="00837211" w:rsidRPr="00505930">
        <w:rPr>
          <w:sz w:val="22"/>
          <w:szCs w:val="22"/>
        </w:rPr>
        <w:t>c</w:t>
      </w:r>
      <w:r w:rsidR="004D7206" w:rsidRPr="00505930">
        <w:rPr>
          <w:sz w:val="22"/>
          <w:szCs w:val="22"/>
        </w:rPr>
        <w:t>at</w:t>
      </w:r>
      <w:r w:rsidR="00837211" w:rsidRPr="00505930">
        <w:rPr>
          <w:sz w:val="22"/>
          <w:szCs w:val="22"/>
        </w:rPr>
        <w:t>i</w:t>
      </w:r>
      <w:r w:rsidR="004D7206" w:rsidRPr="00505930">
        <w:rPr>
          <w:sz w:val="22"/>
          <w:szCs w:val="22"/>
        </w:rPr>
        <w:t xml:space="preserve">ons and training in </w:t>
      </w:r>
      <w:r w:rsidR="00F70344" w:rsidRPr="00505930">
        <w:rPr>
          <w:sz w:val="22"/>
          <w:szCs w:val="22"/>
        </w:rPr>
        <w:t>place, that</w:t>
      </w:r>
      <w:r w:rsidR="00CD0F4D" w:rsidRPr="00505930">
        <w:rPr>
          <w:sz w:val="22"/>
          <w:szCs w:val="22"/>
        </w:rPr>
        <w:t xml:space="preserve"> is</w:t>
      </w:r>
      <w:r w:rsidR="004D7206" w:rsidRPr="00505930">
        <w:rPr>
          <w:sz w:val="22"/>
          <w:szCs w:val="22"/>
        </w:rPr>
        <w:t xml:space="preserve">, they only need </w:t>
      </w:r>
      <w:r w:rsidR="001B2978" w:rsidRPr="00505930">
        <w:rPr>
          <w:sz w:val="22"/>
          <w:szCs w:val="22"/>
        </w:rPr>
        <w:t xml:space="preserve">spend on </w:t>
      </w:r>
      <w:r w:rsidR="00F70344" w:rsidRPr="00505930">
        <w:rPr>
          <w:sz w:val="22"/>
          <w:szCs w:val="22"/>
        </w:rPr>
        <w:t>familiarisation</w:t>
      </w:r>
      <w:r w:rsidR="001B2978" w:rsidRPr="00505930">
        <w:rPr>
          <w:sz w:val="22"/>
          <w:szCs w:val="22"/>
        </w:rPr>
        <w:t xml:space="preserve"> and risk assessment),</w:t>
      </w:r>
      <w:r w:rsidR="009E00BE" w:rsidRPr="00505930">
        <w:rPr>
          <w:sz w:val="22"/>
          <w:szCs w:val="22"/>
        </w:rPr>
        <w:t xml:space="preserve"> then the </w:t>
      </w:r>
      <w:r w:rsidR="003E3469" w:rsidRPr="00505930">
        <w:rPr>
          <w:sz w:val="22"/>
          <w:szCs w:val="22"/>
        </w:rPr>
        <w:t>t</w:t>
      </w:r>
      <w:r w:rsidR="009E00BE" w:rsidRPr="00505930">
        <w:rPr>
          <w:sz w:val="22"/>
          <w:szCs w:val="22"/>
        </w:rPr>
        <w:t xml:space="preserve">otal cost for the policy will be </w:t>
      </w:r>
      <w:r w:rsidR="009E00BE" w:rsidRPr="00505930">
        <w:rPr>
          <w:b/>
          <w:sz w:val="22"/>
          <w:szCs w:val="22"/>
        </w:rPr>
        <w:t>£1</w:t>
      </w:r>
      <w:r w:rsidR="00E2097C" w:rsidRPr="00505930">
        <w:rPr>
          <w:b/>
          <w:sz w:val="22"/>
          <w:szCs w:val="22"/>
        </w:rPr>
        <w:t>1</w:t>
      </w:r>
      <w:r w:rsidR="00EF690C">
        <w:rPr>
          <w:b/>
          <w:sz w:val="22"/>
          <w:szCs w:val="22"/>
        </w:rPr>
        <w:t>6</w:t>
      </w:r>
      <w:r w:rsidR="005274D9" w:rsidRPr="00505930">
        <w:rPr>
          <w:b/>
          <w:sz w:val="22"/>
          <w:szCs w:val="22"/>
        </w:rPr>
        <w:t>.</w:t>
      </w:r>
      <w:r w:rsidR="00EF690C">
        <w:rPr>
          <w:b/>
          <w:sz w:val="22"/>
          <w:szCs w:val="22"/>
        </w:rPr>
        <w:t>9</w:t>
      </w:r>
      <w:r w:rsidR="00CD0F4D" w:rsidRPr="00505930">
        <w:rPr>
          <w:b/>
          <w:sz w:val="22"/>
          <w:szCs w:val="22"/>
        </w:rPr>
        <w:t xml:space="preserve"> </w:t>
      </w:r>
      <w:r w:rsidR="009E00BE" w:rsidRPr="00505930">
        <w:rPr>
          <w:b/>
          <w:sz w:val="22"/>
          <w:szCs w:val="22"/>
        </w:rPr>
        <w:t>m</w:t>
      </w:r>
      <w:r w:rsidR="00CD0F4D" w:rsidRPr="00505930">
        <w:rPr>
          <w:b/>
          <w:sz w:val="22"/>
          <w:szCs w:val="22"/>
        </w:rPr>
        <w:t>illion</w:t>
      </w:r>
      <w:r w:rsidR="009E00BE" w:rsidRPr="00505930">
        <w:rPr>
          <w:b/>
          <w:sz w:val="22"/>
          <w:szCs w:val="22"/>
        </w:rPr>
        <w:t xml:space="preserve"> (PV </w:t>
      </w:r>
      <w:r w:rsidR="00D22C98" w:rsidRPr="00505930">
        <w:rPr>
          <w:b/>
          <w:sz w:val="22"/>
          <w:szCs w:val="22"/>
        </w:rPr>
        <w:t>20</w:t>
      </w:r>
      <w:r w:rsidR="009E00BE" w:rsidRPr="00505930">
        <w:rPr>
          <w:b/>
          <w:sz w:val="22"/>
          <w:szCs w:val="22"/>
        </w:rPr>
        <w:t xml:space="preserve">24). </w:t>
      </w:r>
      <w:r w:rsidR="001B2978" w:rsidRPr="00505930">
        <w:rPr>
          <w:sz w:val="22"/>
          <w:szCs w:val="22"/>
        </w:rPr>
        <w:t xml:space="preserve">If half of the firms have the appropriate communications and training in place, </w:t>
      </w:r>
      <w:r w:rsidR="009E00BE" w:rsidRPr="00505930">
        <w:rPr>
          <w:sz w:val="22"/>
          <w:szCs w:val="22"/>
        </w:rPr>
        <w:t xml:space="preserve">then the </w:t>
      </w:r>
      <w:r w:rsidR="003E3469" w:rsidRPr="00505930">
        <w:rPr>
          <w:sz w:val="22"/>
          <w:szCs w:val="22"/>
        </w:rPr>
        <w:t>t</w:t>
      </w:r>
      <w:r w:rsidR="009E00BE" w:rsidRPr="00505930">
        <w:rPr>
          <w:sz w:val="22"/>
          <w:szCs w:val="22"/>
        </w:rPr>
        <w:t xml:space="preserve">otal cost for the policy will be </w:t>
      </w:r>
      <w:r w:rsidR="009E00BE" w:rsidRPr="00505930">
        <w:rPr>
          <w:b/>
          <w:sz w:val="22"/>
          <w:szCs w:val="22"/>
        </w:rPr>
        <w:t>£5</w:t>
      </w:r>
      <w:r w:rsidR="00EF690C">
        <w:rPr>
          <w:b/>
          <w:sz w:val="22"/>
          <w:szCs w:val="22"/>
        </w:rPr>
        <w:t>62.1</w:t>
      </w:r>
      <w:r w:rsidR="009B2637" w:rsidRPr="00505930">
        <w:rPr>
          <w:b/>
          <w:sz w:val="22"/>
          <w:szCs w:val="22"/>
        </w:rPr>
        <w:t xml:space="preserve"> </w:t>
      </w:r>
      <w:r w:rsidR="009E00BE" w:rsidRPr="00505930">
        <w:rPr>
          <w:b/>
          <w:sz w:val="22"/>
          <w:szCs w:val="22"/>
        </w:rPr>
        <w:t>m</w:t>
      </w:r>
      <w:r w:rsidR="009B2637" w:rsidRPr="00505930">
        <w:rPr>
          <w:b/>
          <w:sz w:val="22"/>
          <w:szCs w:val="22"/>
        </w:rPr>
        <w:t>illion</w:t>
      </w:r>
      <w:r w:rsidR="009E00BE" w:rsidRPr="00505930">
        <w:rPr>
          <w:b/>
          <w:sz w:val="22"/>
          <w:szCs w:val="22"/>
        </w:rPr>
        <w:t xml:space="preserve"> (PV 2</w:t>
      </w:r>
      <w:r w:rsidR="00D22C98" w:rsidRPr="00505930">
        <w:rPr>
          <w:b/>
          <w:sz w:val="22"/>
          <w:szCs w:val="22"/>
        </w:rPr>
        <w:t>0</w:t>
      </w:r>
      <w:r w:rsidR="009E00BE" w:rsidRPr="00505930">
        <w:rPr>
          <w:b/>
          <w:sz w:val="22"/>
          <w:szCs w:val="22"/>
        </w:rPr>
        <w:t xml:space="preserve">24). </w:t>
      </w:r>
      <w:r w:rsidR="009E00BE" w:rsidRPr="00505930">
        <w:rPr>
          <w:sz w:val="22"/>
          <w:szCs w:val="22"/>
        </w:rPr>
        <w:t xml:space="preserve">If </w:t>
      </w:r>
      <w:r w:rsidR="00F938E8" w:rsidRPr="00505930">
        <w:rPr>
          <w:sz w:val="22"/>
          <w:szCs w:val="22"/>
        </w:rPr>
        <w:t>none of the firms have appropriate communication and training in place, then the total cost of the policy will be</w:t>
      </w:r>
      <w:r w:rsidR="005C5377" w:rsidRPr="00505930">
        <w:rPr>
          <w:sz w:val="22"/>
          <w:szCs w:val="22"/>
        </w:rPr>
        <w:t xml:space="preserve"> of </w:t>
      </w:r>
      <w:r w:rsidR="005C5377" w:rsidRPr="00505930">
        <w:rPr>
          <w:b/>
          <w:sz w:val="22"/>
          <w:szCs w:val="22"/>
        </w:rPr>
        <w:t>£</w:t>
      </w:r>
      <w:r w:rsidR="00EF690C">
        <w:rPr>
          <w:b/>
          <w:sz w:val="22"/>
          <w:szCs w:val="22"/>
        </w:rPr>
        <w:t>1,007.3</w:t>
      </w:r>
      <w:r w:rsidR="009B2637" w:rsidRPr="004A62C4">
        <w:rPr>
          <w:b/>
          <w:sz w:val="22"/>
          <w:szCs w:val="22"/>
        </w:rPr>
        <w:t xml:space="preserve"> </w:t>
      </w:r>
      <w:r w:rsidR="005C5377" w:rsidRPr="004A62C4">
        <w:rPr>
          <w:b/>
          <w:sz w:val="22"/>
          <w:szCs w:val="22"/>
        </w:rPr>
        <w:t>m</w:t>
      </w:r>
      <w:r w:rsidR="009B2637" w:rsidRPr="004A62C4">
        <w:rPr>
          <w:b/>
          <w:sz w:val="22"/>
          <w:szCs w:val="22"/>
        </w:rPr>
        <w:t>illion</w:t>
      </w:r>
      <w:r w:rsidR="005C5377" w:rsidRPr="004A62C4">
        <w:rPr>
          <w:b/>
          <w:sz w:val="22"/>
          <w:szCs w:val="22"/>
        </w:rPr>
        <w:t xml:space="preserve"> (PV </w:t>
      </w:r>
      <w:r w:rsidR="00A85EC7" w:rsidRPr="004A62C4">
        <w:rPr>
          <w:b/>
          <w:sz w:val="22"/>
          <w:szCs w:val="22"/>
        </w:rPr>
        <w:t>20</w:t>
      </w:r>
      <w:r w:rsidR="005C5377" w:rsidRPr="004A62C4">
        <w:rPr>
          <w:b/>
          <w:sz w:val="22"/>
          <w:szCs w:val="22"/>
        </w:rPr>
        <w:t>24).</w:t>
      </w:r>
    </w:p>
    <w:p w14:paraId="48B85A5D" w14:textId="77777777" w:rsidR="00B51B06" w:rsidRDefault="00B51B06">
      <w:pPr>
        <w:rPr>
          <w:b/>
          <w:sz w:val="22"/>
          <w:szCs w:val="22"/>
        </w:rPr>
      </w:pPr>
      <w:r>
        <w:rPr>
          <w:b/>
          <w:sz w:val="22"/>
          <w:szCs w:val="22"/>
        </w:rPr>
        <w:br w:type="page"/>
      </w:r>
    </w:p>
    <w:p w14:paraId="0A06F968" w14:textId="6351271D" w:rsidR="004B635D" w:rsidRPr="003F40C2" w:rsidRDefault="00941D3F" w:rsidP="00505930">
      <w:pPr>
        <w:spacing w:after="120" w:line="259" w:lineRule="auto"/>
        <w:ind w:left="567"/>
        <w:rPr>
          <w:b/>
          <w:sz w:val="22"/>
          <w:szCs w:val="22"/>
        </w:rPr>
      </w:pPr>
      <w:r w:rsidRPr="00505930">
        <w:rPr>
          <w:b/>
          <w:sz w:val="22"/>
          <w:szCs w:val="22"/>
        </w:rPr>
        <w:lastRenderedPageBreak/>
        <w:t>Table 1</w:t>
      </w:r>
      <w:r w:rsidR="00CB3E59" w:rsidRPr="003F40C2">
        <w:rPr>
          <w:b/>
          <w:sz w:val="22"/>
          <w:szCs w:val="22"/>
        </w:rPr>
        <w:t>4</w:t>
      </w:r>
      <w:r w:rsidR="00640EA8" w:rsidRPr="003F40C2">
        <w:rPr>
          <w:b/>
          <w:sz w:val="22"/>
          <w:szCs w:val="22"/>
        </w:rPr>
        <w:t>,</w:t>
      </w:r>
      <w:r w:rsidR="009737F2" w:rsidRPr="003F40C2">
        <w:rPr>
          <w:b/>
          <w:sz w:val="22"/>
          <w:szCs w:val="22"/>
        </w:rPr>
        <w:t xml:space="preserve"> Sensitivity </w:t>
      </w:r>
      <w:r w:rsidR="003E3469" w:rsidRPr="003F40C2">
        <w:rPr>
          <w:b/>
          <w:sz w:val="22"/>
          <w:szCs w:val="22"/>
        </w:rPr>
        <w:t>a</w:t>
      </w:r>
      <w:r w:rsidR="009737F2" w:rsidRPr="003F40C2">
        <w:rPr>
          <w:b/>
          <w:sz w:val="22"/>
          <w:szCs w:val="22"/>
        </w:rPr>
        <w:t xml:space="preserve">nalysis </w:t>
      </w:r>
      <w:r w:rsidR="00AC3D27" w:rsidRPr="003F40C2">
        <w:rPr>
          <w:b/>
          <w:sz w:val="22"/>
          <w:szCs w:val="22"/>
        </w:rPr>
        <w:t xml:space="preserve">of </w:t>
      </w:r>
      <w:r w:rsidR="00554B88" w:rsidRPr="003F40C2">
        <w:rPr>
          <w:b/>
          <w:sz w:val="22"/>
          <w:szCs w:val="22"/>
        </w:rPr>
        <w:t xml:space="preserve">total </w:t>
      </w:r>
      <w:r w:rsidR="00AC3D27" w:rsidRPr="003F40C2">
        <w:rPr>
          <w:b/>
          <w:sz w:val="22"/>
          <w:szCs w:val="22"/>
        </w:rPr>
        <w:t>costs</w:t>
      </w:r>
      <w:r w:rsidR="00554B88" w:rsidRPr="003F40C2">
        <w:rPr>
          <w:b/>
          <w:sz w:val="22"/>
          <w:szCs w:val="22"/>
        </w:rPr>
        <w:t xml:space="preserve">, </w:t>
      </w:r>
      <w:r w:rsidR="00554B88" w:rsidRPr="00505930">
        <w:rPr>
          <w:b/>
          <w:sz w:val="22"/>
          <w:szCs w:val="22"/>
        </w:rPr>
        <w:t>£</w:t>
      </w:r>
      <w:r w:rsidR="00842184" w:rsidRPr="00505930">
        <w:rPr>
          <w:b/>
          <w:sz w:val="22"/>
          <w:szCs w:val="22"/>
        </w:rPr>
        <w:t xml:space="preserve"> </w:t>
      </w:r>
      <w:r w:rsidR="00554B88" w:rsidRPr="00505930">
        <w:rPr>
          <w:b/>
          <w:sz w:val="22"/>
          <w:szCs w:val="22"/>
        </w:rPr>
        <w:t>m</w:t>
      </w:r>
      <w:r w:rsidR="00842184" w:rsidRPr="00505930">
        <w:rPr>
          <w:b/>
          <w:sz w:val="22"/>
          <w:szCs w:val="22"/>
        </w:rPr>
        <w:t>illion</w:t>
      </w:r>
      <w:r w:rsidR="00554B88" w:rsidRPr="00505930">
        <w:rPr>
          <w:b/>
          <w:sz w:val="22"/>
          <w:szCs w:val="22"/>
        </w:rPr>
        <w:t xml:space="preserve"> (PV 2024)</w:t>
      </w:r>
      <w:r w:rsidR="00AC3D27" w:rsidRPr="00505930">
        <w:rPr>
          <w:b/>
          <w:sz w:val="22"/>
          <w:szCs w:val="22"/>
        </w:rPr>
        <w:t xml:space="preserve"> </w:t>
      </w:r>
      <w:r w:rsidR="00300F69" w:rsidRPr="003F40C2">
        <w:rPr>
          <w:b/>
          <w:sz w:val="22"/>
          <w:szCs w:val="22"/>
        </w:rPr>
        <w:t xml:space="preserve">as a result of changing the </w:t>
      </w:r>
      <w:r w:rsidR="003E3469" w:rsidRPr="003F40C2">
        <w:rPr>
          <w:b/>
          <w:sz w:val="22"/>
          <w:szCs w:val="22"/>
        </w:rPr>
        <w:t>n</w:t>
      </w:r>
      <w:r w:rsidR="00571AC4" w:rsidRPr="003F40C2">
        <w:rPr>
          <w:b/>
          <w:sz w:val="22"/>
          <w:szCs w:val="22"/>
        </w:rPr>
        <w:t xml:space="preserve">umber of </w:t>
      </w:r>
      <w:r w:rsidR="003E3469" w:rsidRPr="003F40C2">
        <w:rPr>
          <w:b/>
          <w:sz w:val="22"/>
          <w:szCs w:val="22"/>
        </w:rPr>
        <w:t>b</w:t>
      </w:r>
      <w:r w:rsidR="00571AC4" w:rsidRPr="003F40C2">
        <w:rPr>
          <w:b/>
          <w:sz w:val="22"/>
          <w:szCs w:val="22"/>
        </w:rPr>
        <w:t xml:space="preserve">usinesses that already have measures in place and do not have to </w:t>
      </w:r>
      <w:r w:rsidR="0054541D" w:rsidRPr="003F40C2">
        <w:rPr>
          <w:b/>
          <w:sz w:val="22"/>
          <w:szCs w:val="22"/>
        </w:rPr>
        <w:t>implement any changes.</w:t>
      </w:r>
    </w:p>
    <w:tbl>
      <w:tblPr>
        <w:tblStyle w:val="TableGrid"/>
        <w:tblW w:w="0" w:type="auto"/>
        <w:tblInd w:w="567" w:type="dxa"/>
        <w:tblLook w:val="04A0" w:firstRow="1" w:lastRow="0" w:firstColumn="1" w:lastColumn="0" w:noHBand="0" w:noVBand="1"/>
      </w:tblPr>
      <w:tblGrid>
        <w:gridCol w:w="6091"/>
        <w:gridCol w:w="3260"/>
      </w:tblGrid>
      <w:tr w:rsidR="001D081D" w:rsidRPr="001D081D" w14:paraId="25C40F19" w14:textId="77777777" w:rsidTr="003F40C2">
        <w:trPr>
          <w:trHeight w:val="340"/>
        </w:trPr>
        <w:tc>
          <w:tcPr>
            <w:tcW w:w="6091" w:type="dxa"/>
            <w:vAlign w:val="center"/>
          </w:tcPr>
          <w:p w14:paraId="1A44EEDC" w14:textId="4569D3AA" w:rsidR="00217173" w:rsidRPr="003F40C2" w:rsidRDefault="00217173" w:rsidP="000A4F1D">
            <w:pPr>
              <w:jc w:val="center"/>
              <w:rPr>
                <w:b/>
                <w:sz w:val="22"/>
                <w:szCs w:val="22"/>
              </w:rPr>
            </w:pPr>
            <w:r w:rsidRPr="003F40C2">
              <w:rPr>
                <w:b/>
                <w:sz w:val="22"/>
                <w:szCs w:val="22"/>
              </w:rPr>
              <w:t>Proportion of businesses in scope which implement new procedures to prevent employees committing fraud</w:t>
            </w:r>
          </w:p>
        </w:tc>
        <w:tc>
          <w:tcPr>
            <w:tcW w:w="3260" w:type="dxa"/>
            <w:vAlign w:val="center"/>
          </w:tcPr>
          <w:p w14:paraId="2B1402F9" w14:textId="34FE8FC5" w:rsidR="00573929" w:rsidRDefault="007E58C8" w:rsidP="00C23109">
            <w:pPr>
              <w:jc w:val="center"/>
              <w:rPr>
                <w:rFonts w:cs="Arial"/>
                <w:b/>
                <w:sz w:val="22"/>
                <w:szCs w:val="22"/>
              </w:rPr>
            </w:pPr>
            <w:r w:rsidRPr="00441AF5">
              <w:rPr>
                <w:rFonts w:cs="Arial"/>
                <w:b/>
                <w:sz w:val="22"/>
                <w:szCs w:val="22"/>
              </w:rPr>
              <w:t>Total</w:t>
            </w:r>
          </w:p>
          <w:p w14:paraId="73EEA886" w14:textId="4A61F580" w:rsidR="006668D8" w:rsidRPr="00441AF5" w:rsidRDefault="00573929" w:rsidP="00C23109">
            <w:pPr>
              <w:jc w:val="center"/>
              <w:rPr>
                <w:rFonts w:cs="Arial"/>
                <w:b/>
                <w:sz w:val="22"/>
                <w:szCs w:val="22"/>
                <w:lang w:eastAsia="en-GB"/>
              </w:rPr>
            </w:pPr>
            <w:r w:rsidRPr="003F40C2">
              <w:rPr>
                <w:b/>
                <w:sz w:val="22"/>
                <w:szCs w:val="22"/>
              </w:rPr>
              <w:t>£ million (PV 2024)</w:t>
            </w:r>
          </w:p>
        </w:tc>
      </w:tr>
      <w:tr w:rsidR="001D081D" w:rsidRPr="001D081D" w14:paraId="366D1E78" w14:textId="77777777" w:rsidTr="003F40C2">
        <w:trPr>
          <w:trHeight w:val="340"/>
        </w:trPr>
        <w:tc>
          <w:tcPr>
            <w:tcW w:w="6091" w:type="dxa"/>
            <w:vAlign w:val="bottom"/>
          </w:tcPr>
          <w:p w14:paraId="6D83F3A4" w14:textId="60C0CBF6" w:rsidR="006668D8" w:rsidRPr="00441AF5" w:rsidRDefault="005B5B7F" w:rsidP="0047008F">
            <w:pPr>
              <w:pStyle w:val="EBBullet"/>
              <w:numPr>
                <w:ilvl w:val="0"/>
                <w:numId w:val="0"/>
              </w:numPr>
              <w:spacing w:line="259" w:lineRule="auto"/>
              <w:rPr>
                <w:color w:val="auto"/>
              </w:rPr>
            </w:pPr>
            <w:r w:rsidRPr="00441AF5">
              <w:rPr>
                <w:color w:val="auto"/>
              </w:rPr>
              <w:t>0%</w:t>
            </w:r>
          </w:p>
        </w:tc>
        <w:tc>
          <w:tcPr>
            <w:tcW w:w="3260" w:type="dxa"/>
            <w:shd w:val="clear" w:color="000000" w:fill="FFFFFF"/>
            <w:vAlign w:val="bottom"/>
          </w:tcPr>
          <w:p w14:paraId="5A061554" w14:textId="7109CA46" w:rsidR="006668D8" w:rsidRPr="00881304" w:rsidRDefault="00D77EAC" w:rsidP="00217173">
            <w:pPr>
              <w:pStyle w:val="EBBullet"/>
              <w:numPr>
                <w:ilvl w:val="0"/>
                <w:numId w:val="0"/>
              </w:numPr>
              <w:spacing w:line="259" w:lineRule="auto"/>
              <w:jc w:val="right"/>
              <w:rPr>
                <w:color w:val="auto"/>
              </w:rPr>
            </w:pPr>
            <w:r>
              <w:t>-</w:t>
            </w:r>
            <w:r w:rsidR="00A66366">
              <w:t>116.9</w:t>
            </w:r>
          </w:p>
        </w:tc>
      </w:tr>
      <w:tr w:rsidR="001D081D" w:rsidRPr="001D081D" w14:paraId="3DD59707" w14:textId="77777777" w:rsidTr="003F40C2">
        <w:trPr>
          <w:trHeight w:val="340"/>
        </w:trPr>
        <w:tc>
          <w:tcPr>
            <w:tcW w:w="6091" w:type="dxa"/>
            <w:vAlign w:val="bottom"/>
          </w:tcPr>
          <w:p w14:paraId="1336AB1A" w14:textId="5F5D9659" w:rsidR="006668D8" w:rsidRPr="00441AF5" w:rsidRDefault="005B5B7F" w:rsidP="0047008F">
            <w:pPr>
              <w:pStyle w:val="EBBullet"/>
              <w:numPr>
                <w:ilvl w:val="0"/>
                <w:numId w:val="0"/>
              </w:numPr>
              <w:spacing w:line="259" w:lineRule="auto"/>
              <w:rPr>
                <w:color w:val="auto"/>
              </w:rPr>
            </w:pPr>
            <w:r w:rsidRPr="00441AF5">
              <w:rPr>
                <w:color w:val="auto"/>
              </w:rPr>
              <w:t>10%</w:t>
            </w:r>
          </w:p>
        </w:tc>
        <w:tc>
          <w:tcPr>
            <w:tcW w:w="3260" w:type="dxa"/>
            <w:shd w:val="clear" w:color="000000" w:fill="FFFFFF"/>
            <w:vAlign w:val="bottom"/>
          </w:tcPr>
          <w:p w14:paraId="5A2E5090" w14:textId="34E09E05" w:rsidR="006668D8" w:rsidRPr="00881304" w:rsidRDefault="00D77EAC" w:rsidP="00217173">
            <w:pPr>
              <w:pStyle w:val="EBBullet"/>
              <w:numPr>
                <w:ilvl w:val="0"/>
                <w:numId w:val="0"/>
              </w:numPr>
              <w:spacing w:line="259" w:lineRule="auto"/>
              <w:jc w:val="right"/>
              <w:rPr>
                <w:color w:val="auto"/>
              </w:rPr>
            </w:pPr>
            <w:r>
              <w:t>-</w:t>
            </w:r>
            <w:r w:rsidR="00A66366">
              <w:t>206.0</w:t>
            </w:r>
          </w:p>
        </w:tc>
      </w:tr>
      <w:tr w:rsidR="001D081D" w:rsidRPr="001D081D" w14:paraId="6EC7281F" w14:textId="77777777" w:rsidTr="003F40C2">
        <w:trPr>
          <w:trHeight w:val="340"/>
        </w:trPr>
        <w:tc>
          <w:tcPr>
            <w:tcW w:w="6091" w:type="dxa"/>
            <w:vAlign w:val="bottom"/>
          </w:tcPr>
          <w:p w14:paraId="460FC4E7" w14:textId="245DC972" w:rsidR="006668D8" w:rsidRPr="00441AF5" w:rsidRDefault="005B5B7F" w:rsidP="0047008F">
            <w:pPr>
              <w:pStyle w:val="EBBullet"/>
              <w:numPr>
                <w:ilvl w:val="0"/>
                <w:numId w:val="0"/>
              </w:numPr>
              <w:spacing w:line="259" w:lineRule="auto"/>
              <w:rPr>
                <w:color w:val="auto"/>
              </w:rPr>
            </w:pPr>
            <w:r w:rsidRPr="00441AF5">
              <w:rPr>
                <w:color w:val="auto"/>
              </w:rPr>
              <w:t>20%</w:t>
            </w:r>
          </w:p>
        </w:tc>
        <w:tc>
          <w:tcPr>
            <w:tcW w:w="3260" w:type="dxa"/>
            <w:shd w:val="clear" w:color="000000" w:fill="FFFFFF"/>
            <w:vAlign w:val="bottom"/>
          </w:tcPr>
          <w:p w14:paraId="1A594C0C" w14:textId="71907D65" w:rsidR="006668D8" w:rsidRPr="00881304" w:rsidRDefault="00D77EAC" w:rsidP="00217173">
            <w:pPr>
              <w:pStyle w:val="EBBullet"/>
              <w:numPr>
                <w:ilvl w:val="0"/>
                <w:numId w:val="0"/>
              </w:numPr>
              <w:spacing w:line="259" w:lineRule="auto"/>
              <w:jc w:val="right"/>
              <w:rPr>
                <w:color w:val="auto"/>
              </w:rPr>
            </w:pPr>
            <w:r>
              <w:t>-</w:t>
            </w:r>
            <w:r w:rsidR="00A66366">
              <w:t>295.0</w:t>
            </w:r>
          </w:p>
        </w:tc>
      </w:tr>
      <w:tr w:rsidR="001D081D" w:rsidRPr="001D081D" w14:paraId="4DB15F2F" w14:textId="77777777" w:rsidTr="003F40C2">
        <w:trPr>
          <w:trHeight w:val="340"/>
        </w:trPr>
        <w:tc>
          <w:tcPr>
            <w:tcW w:w="6091" w:type="dxa"/>
            <w:vAlign w:val="bottom"/>
          </w:tcPr>
          <w:p w14:paraId="695B1D34" w14:textId="3D05F095" w:rsidR="006668D8" w:rsidRPr="00441AF5" w:rsidRDefault="005B5B7F" w:rsidP="0047008F">
            <w:pPr>
              <w:pStyle w:val="EBBullet"/>
              <w:numPr>
                <w:ilvl w:val="0"/>
                <w:numId w:val="0"/>
              </w:numPr>
              <w:spacing w:line="259" w:lineRule="auto"/>
              <w:rPr>
                <w:color w:val="auto"/>
              </w:rPr>
            </w:pPr>
            <w:r w:rsidRPr="00441AF5">
              <w:rPr>
                <w:color w:val="auto"/>
              </w:rPr>
              <w:t>30%</w:t>
            </w:r>
          </w:p>
        </w:tc>
        <w:tc>
          <w:tcPr>
            <w:tcW w:w="3260" w:type="dxa"/>
            <w:shd w:val="clear" w:color="000000" w:fill="FFFFFF"/>
            <w:vAlign w:val="bottom"/>
          </w:tcPr>
          <w:p w14:paraId="3E6BEEB5" w14:textId="49641566" w:rsidR="006668D8" w:rsidRPr="00881304" w:rsidRDefault="00D77EAC" w:rsidP="00217173">
            <w:pPr>
              <w:pStyle w:val="EBBullet"/>
              <w:numPr>
                <w:ilvl w:val="0"/>
                <w:numId w:val="0"/>
              </w:numPr>
              <w:spacing w:line="259" w:lineRule="auto"/>
              <w:jc w:val="right"/>
              <w:rPr>
                <w:color w:val="auto"/>
              </w:rPr>
            </w:pPr>
            <w:r>
              <w:t>-</w:t>
            </w:r>
            <w:r w:rsidR="00A66366">
              <w:t>384.0</w:t>
            </w:r>
          </w:p>
        </w:tc>
      </w:tr>
      <w:tr w:rsidR="001D081D" w:rsidRPr="001D081D" w14:paraId="33E0D8AE" w14:textId="77777777" w:rsidTr="003F40C2">
        <w:trPr>
          <w:trHeight w:val="340"/>
        </w:trPr>
        <w:tc>
          <w:tcPr>
            <w:tcW w:w="6091" w:type="dxa"/>
            <w:vAlign w:val="bottom"/>
          </w:tcPr>
          <w:p w14:paraId="534BCE46" w14:textId="27EB59A0" w:rsidR="006668D8" w:rsidRPr="00441AF5" w:rsidRDefault="005B5B7F" w:rsidP="0047008F">
            <w:pPr>
              <w:pStyle w:val="EBBullet"/>
              <w:numPr>
                <w:ilvl w:val="0"/>
                <w:numId w:val="0"/>
              </w:numPr>
              <w:spacing w:line="259" w:lineRule="auto"/>
              <w:rPr>
                <w:color w:val="auto"/>
              </w:rPr>
            </w:pPr>
            <w:r w:rsidRPr="00441AF5">
              <w:rPr>
                <w:color w:val="auto"/>
              </w:rPr>
              <w:t>40%</w:t>
            </w:r>
          </w:p>
        </w:tc>
        <w:tc>
          <w:tcPr>
            <w:tcW w:w="3260" w:type="dxa"/>
            <w:shd w:val="clear" w:color="000000" w:fill="FFFFFF"/>
            <w:vAlign w:val="bottom"/>
          </w:tcPr>
          <w:p w14:paraId="10CA16FE" w14:textId="180DAEE1" w:rsidR="006668D8" w:rsidRPr="00881304" w:rsidRDefault="00D77EAC" w:rsidP="00217173">
            <w:pPr>
              <w:pStyle w:val="EBBullet"/>
              <w:numPr>
                <w:ilvl w:val="0"/>
                <w:numId w:val="0"/>
              </w:numPr>
              <w:spacing w:line="259" w:lineRule="auto"/>
              <w:jc w:val="right"/>
              <w:rPr>
                <w:color w:val="auto"/>
              </w:rPr>
            </w:pPr>
            <w:r>
              <w:t>-</w:t>
            </w:r>
            <w:r w:rsidR="00A66366">
              <w:t>473.1</w:t>
            </w:r>
          </w:p>
        </w:tc>
      </w:tr>
      <w:tr w:rsidR="001D081D" w:rsidRPr="001D081D" w14:paraId="6D744D20" w14:textId="77777777" w:rsidTr="003F40C2">
        <w:trPr>
          <w:trHeight w:val="340"/>
        </w:trPr>
        <w:tc>
          <w:tcPr>
            <w:tcW w:w="6091" w:type="dxa"/>
            <w:vAlign w:val="bottom"/>
          </w:tcPr>
          <w:p w14:paraId="53E54CD9" w14:textId="0ADA0C45" w:rsidR="006668D8" w:rsidRPr="00441AF5" w:rsidRDefault="005B5B7F" w:rsidP="0047008F">
            <w:pPr>
              <w:pStyle w:val="EBBullet"/>
              <w:numPr>
                <w:ilvl w:val="0"/>
                <w:numId w:val="0"/>
              </w:numPr>
              <w:spacing w:line="259" w:lineRule="auto"/>
              <w:rPr>
                <w:color w:val="auto"/>
              </w:rPr>
            </w:pPr>
            <w:r w:rsidRPr="00441AF5">
              <w:rPr>
                <w:color w:val="auto"/>
              </w:rPr>
              <w:t>50%</w:t>
            </w:r>
          </w:p>
        </w:tc>
        <w:tc>
          <w:tcPr>
            <w:tcW w:w="3260" w:type="dxa"/>
            <w:shd w:val="clear" w:color="000000" w:fill="FFFFFF"/>
            <w:vAlign w:val="bottom"/>
          </w:tcPr>
          <w:p w14:paraId="6D082B5C" w14:textId="34131EFC" w:rsidR="006668D8" w:rsidRPr="00881304" w:rsidRDefault="00D77EAC" w:rsidP="00217173">
            <w:pPr>
              <w:pStyle w:val="EBBullet"/>
              <w:numPr>
                <w:ilvl w:val="0"/>
                <w:numId w:val="0"/>
              </w:numPr>
              <w:spacing w:line="259" w:lineRule="auto"/>
              <w:jc w:val="right"/>
              <w:rPr>
                <w:color w:val="auto"/>
              </w:rPr>
            </w:pPr>
            <w:r>
              <w:t>-</w:t>
            </w:r>
            <w:r w:rsidR="00A66366">
              <w:t>562.1</w:t>
            </w:r>
          </w:p>
        </w:tc>
      </w:tr>
      <w:tr w:rsidR="001D081D" w:rsidRPr="001D081D" w14:paraId="2468B6BF" w14:textId="77777777" w:rsidTr="003F40C2">
        <w:trPr>
          <w:trHeight w:val="340"/>
        </w:trPr>
        <w:tc>
          <w:tcPr>
            <w:tcW w:w="6091" w:type="dxa"/>
            <w:vAlign w:val="bottom"/>
          </w:tcPr>
          <w:p w14:paraId="21BFA343" w14:textId="6A156EEF" w:rsidR="006668D8" w:rsidRPr="00441AF5" w:rsidRDefault="005B5B7F" w:rsidP="0047008F">
            <w:pPr>
              <w:pStyle w:val="EBBullet"/>
              <w:numPr>
                <w:ilvl w:val="0"/>
                <w:numId w:val="0"/>
              </w:numPr>
              <w:spacing w:line="259" w:lineRule="auto"/>
              <w:rPr>
                <w:color w:val="auto"/>
              </w:rPr>
            </w:pPr>
            <w:r w:rsidRPr="00441AF5">
              <w:rPr>
                <w:color w:val="auto"/>
              </w:rPr>
              <w:t>60%</w:t>
            </w:r>
          </w:p>
        </w:tc>
        <w:tc>
          <w:tcPr>
            <w:tcW w:w="3260" w:type="dxa"/>
            <w:shd w:val="clear" w:color="000000" w:fill="FFFFFF"/>
            <w:vAlign w:val="bottom"/>
          </w:tcPr>
          <w:p w14:paraId="2427C2CB" w14:textId="7DD1122A" w:rsidR="006668D8" w:rsidRPr="00881304" w:rsidRDefault="00D77EAC" w:rsidP="00217173">
            <w:pPr>
              <w:pStyle w:val="EBBullet"/>
              <w:numPr>
                <w:ilvl w:val="0"/>
                <w:numId w:val="0"/>
              </w:numPr>
              <w:spacing w:line="259" w:lineRule="auto"/>
              <w:jc w:val="right"/>
              <w:rPr>
                <w:color w:val="auto"/>
              </w:rPr>
            </w:pPr>
            <w:r>
              <w:t>-</w:t>
            </w:r>
            <w:r w:rsidR="00A66366">
              <w:t>651.2</w:t>
            </w:r>
          </w:p>
        </w:tc>
      </w:tr>
      <w:tr w:rsidR="001D081D" w:rsidRPr="001D081D" w14:paraId="1A68A837" w14:textId="77777777" w:rsidTr="003F40C2">
        <w:trPr>
          <w:trHeight w:val="340"/>
        </w:trPr>
        <w:tc>
          <w:tcPr>
            <w:tcW w:w="6091" w:type="dxa"/>
            <w:vAlign w:val="bottom"/>
          </w:tcPr>
          <w:p w14:paraId="289D6837" w14:textId="534DA5AF" w:rsidR="006668D8" w:rsidRPr="00441AF5" w:rsidRDefault="005B5B7F" w:rsidP="0047008F">
            <w:pPr>
              <w:pStyle w:val="EBBullet"/>
              <w:numPr>
                <w:ilvl w:val="0"/>
                <w:numId w:val="0"/>
              </w:numPr>
              <w:spacing w:line="259" w:lineRule="auto"/>
              <w:rPr>
                <w:color w:val="auto"/>
              </w:rPr>
            </w:pPr>
            <w:r w:rsidRPr="00441AF5">
              <w:rPr>
                <w:color w:val="auto"/>
              </w:rPr>
              <w:t>70%</w:t>
            </w:r>
          </w:p>
        </w:tc>
        <w:tc>
          <w:tcPr>
            <w:tcW w:w="3260" w:type="dxa"/>
            <w:shd w:val="clear" w:color="000000" w:fill="FFFFFF"/>
            <w:vAlign w:val="bottom"/>
          </w:tcPr>
          <w:p w14:paraId="457E53FB" w14:textId="3DA40278" w:rsidR="006668D8" w:rsidRPr="00881304" w:rsidRDefault="00D77EAC" w:rsidP="00217173">
            <w:pPr>
              <w:pStyle w:val="EBBullet"/>
              <w:numPr>
                <w:ilvl w:val="0"/>
                <w:numId w:val="0"/>
              </w:numPr>
              <w:spacing w:line="259" w:lineRule="auto"/>
              <w:jc w:val="right"/>
              <w:rPr>
                <w:color w:val="auto"/>
              </w:rPr>
            </w:pPr>
            <w:r>
              <w:t>-</w:t>
            </w:r>
            <w:r w:rsidR="00A66366">
              <w:t>740.2</w:t>
            </w:r>
          </w:p>
        </w:tc>
      </w:tr>
      <w:tr w:rsidR="001D081D" w:rsidRPr="001D081D" w14:paraId="08AA33D7" w14:textId="77777777" w:rsidTr="003F40C2">
        <w:trPr>
          <w:trHeight w:val="340"/>
        </w:trPr>
        <w:tc>
          <w:tcPr>
            <w:tcW w:w="6091" w:type="dxa"/>
            <w:vAlign w:val="bottom"/>
          </w:tcPr>
          <w:p w14:paraId="3C0A0C44" w14:textId="64DA02C3" w:rsidR="006668D8" w:rsidRPr="00441AF5" w:rsidRDefault="005B5B7F" w:rsidP="0047008F">
            <w:pPr>
              <w:pStyle w:val="EBBullet"/>
              <w:numPr>
                <w:ilvl w:val="0"/>
                <w:numId w:val="0"/>
              </w:numPr>
              <w:spacing w:line="259" w:lineRule="auto"/>
              <w:rPr>
                <w:color w:val="auto"/>
              </w:rPr>
            </w:pPr>
            <w:r w:rsidRPr="00441AF5">
              <w:rPr>
                <w:color w:val="auto"/>
              </w:rPr>
              <w:t>80%</w:t>
            </w:r>
          </w:p>
        </w:tc>
        <w:tc>
          <w:tcPr>
            <w:tcW w:w="3260" w:type="dxa"/>
            <w:shd w:val="clear" w:color="000000" w:fill="FFFFFF"/>
            <w:vAlign w:val="bottom"/>
          </w:tcPr>
          <w:p w14:paraId="208425C8" w14:textId="6ECCA7CA" w:rsidR="006668D8" w:rsidRPr="00881304" w:rsidRDefault="00D77EAC" w:rsidP="00217173">
            <w:pPr>
              <w:pStyle w:val="EBBullet"/>
              <w:numPr>
                <w:ilvl w:val="0"/>
                <w:numId w:val="0"/>
              </w:numPr>
              <w:spacing w:line="259" w:lineRule="auto"/>
              <w:jc w:val="right"/>
              <w:rPr>
                <w:color w:val="auto"/>
              </w:rPr>
            </w:pPr>
            <w:r>
              <w:t>-</w:t>
            </w:r>
            <w:r w:rsidR="00A66366">
              <w:t>829.2</w:t>
            </w:r>
          </w:p>
        </w:tc>
      </w:tr>
      <w:tr w:rsidR="00A7602B" w:rsidRPr="001D081D" w14:paraId="2C758D01" w14:textId="77777777" w:rsidTr="003F40C2">
        <w:trPr>
          <w:trHeight w:val="340"/>
        </w:trPr>
        <w:tc>
          <w:tcPr>
            <w:tcW w:w="6091" w:type="dxa"/>
            <w:vAlign w:val="bottom"/>
          </w:tcPr>
          <w:p w14:paraId="7AD44FD7" w14:textId="77777777" w:rsidR="00AC6AEE" w:rsidRDefault="00AC6AEE" w:rsidP="00AC6AEE">
            <w:pPr>
              <w:pStyle w:val="EBBullet"/>
              <w:numPr>
                <w:ilvl w:val="0"/>
                <w:numId w:val="0"/>
              </w:numPr>
              <w:spacing w:line="259" w:lineRule="auto"/>
              <w:rPr>
                <w:color w:val="auto"/>
              </w:rPr>
            </w:pPr>
            <w:r>
              <w:rPr>
                <w:color w:val="auto"/>
              </w:rPr>
              <w:t>85%</w:t>
            </w:r>
          </w:p>
        </w:tc>
        <w:tc>
          <w:tcPr>
            <w:tcW w:w="3260" w:type="dxa"/>
            <w:shd w:val="clear" w:color="000000" w:fill="FFFFFF"/>
            <w:vAlign w:val="bottom"/>
          </w:tcPr>
          <w:p w14:paraId="0450D7DB" w14:textId="2D0D4252" w:rsidR="00A7602B" w:rsidRDefault="00D77EAC" w:rsidP="00A7602B">
            <w:pPr>
              <w:pStyle w:val="EBBullet"/>
              <w:numPr>
                <w:ilvl w:val="0"/>
                <w:numId w:val="0"/>
              </w:numPr>
              <w:spacing w:line="259" w:lineRule="auto"/>
              <w:jc w:val="right"/>
            </w:pPr>
            <w:r>
              <w:t>-</w:t>
            </w:r>
            <w:r w:rsidR="00A66366">
              <w:t>873.7</w:t>
            </w:r>
          </w:p>
        </w:tc>
      </w:tr>
      <w:tr w:rsidR="001D081D" w:rsidRPr="001D081D" w14:paraId="70631621" w14:textId="77777777" w:rsidTr="003F40C2">
        <w:trPr>
          <w:trHeight w:val="340"/>
        </w:trPr>
        <w:tc>
          <w:tcPr>
            <w:tcW w:w="6091" w:type="dxa"/>
            <w:vAlign w:val="bottom"/>
          </w:tcPr>
          <w:p w14:paraId="04936BD7" w14:textId="1AA8EB07" w:rsidR="006668D8" w:rsidRPr="00441AF5" w:rsidRDefault="005B5B7F" w:rsidP="0047008F">
            <w:pPr>
              <w:pStyle w:val="EBBullet"/>
              <w:numPr>
                <w:ilvl w:val="0"/>
                <w:numId w:val="0"/>
              </w:numPr>
              <w:spacing w:line="259" w:lineRule="auto"/>
              <w:rPr>
                <w:color w:val="auto"/>
              </w:rPr>
            </w:pPr>
            <w:r w:rsidRPr="00441AF5">
              <w:rPr>
                <w:color w:val="auto"/>
              </w:rPr>
              <w:t>90%</w:t>
            </w:r>
          </w:p>
        </w:tc>
        <w:tc>
          <w:tcPr>
            <w:tcW w:w="3260" w:type="dxa"/>
            <w:shd w:val="clear" w:color="000000" w:fill="FFFFFF"/>
            <w:vAlign w:val="bottom"/>
          </w:tcPr>
          <w:p w14:paraId="628DAE42" w14:textId="17CC7DBF" w:rsidR="006668D8" w:rsidRPr="00881304" w:rsidRDefault="00160F9D" w:rsidP="00217173">
            <w:pPr>
              <w:pStyle w:val="EBBullet"/>
              <w:numPr>
                <w:ilvl w:val="0"/>
                <w:numId w:val="0"/>
              </w:numPr>
              <w:spacing w:line="259" w:lineRule="auto"/>
              <w:jc w:val="right"/>
              <w:rPr>
                <w:color w:val="auto"/>
              </w:rPr>
            </w:pPr>
            <w:r>
              <w:t>-</w:t>
            </w:r>
            <w:r w:rsidR="00A66366">
              <w:t>918.3</w:t>
            </w:r>
          </w:p>
        </w:tc>
      </w:tr>
      <w:tr w:rsidR="001D081D" w:rsidRPr="001D081D" w14:paraId="4ED62E49" w14:textId="77777777" w:rsidTr="003F40C2">
        <w:trPr>
          <w:trHeight w:val="340"/>
        </w:trPr>
        <w:tc>
          <w:tcPr>
            <w:tcW w:w="6091" w:type="dxa"/>
            <w:vAlign w:val="bottom"/>
          </w:tcPr>
          <w:p w14:paraId="06814A81" w14:textId="5D4D2C81" w:rsidR="005B5B7F" w:rsidRPr="00441AF5" w:rsidRDefault="005B5B7F" w:rsidP="0047008F">
            <w:pPr>
              <w:pStyle w:val="EBBullet"/>
              <w:numPr>
                <w:ilvl w:val="0"/>
                <w:numId w:val="0"/>
              </w:numPr>
              <w:spacing w:line="259" w:lineRule="auto"/>
              <w:rPr>
                <w:color w:val="auto"/>
              </w:rPr>
            </w:pPr>
            <w:r w:rsidRPr="00441AF5">
              <w:rPr>
                <w:color w:val="auto"/>
              </w:rPr>
              <w:t>100%</w:t>
            </w:r>
          </w:p>
        </w:tc>
        <w:tc>
          <w:tcPr>
            <w:tcW w:w="3260" w:type="dxa"/>
            <w:shd w:val="clear" w:color="000000" w:fill="FFFFFF"/>
            <w:vAlign w:val="bottom"/>
          </w:tcPr>
          <w:p w14:paraId="628CCE60" w14:textId="1DB81CEE" w:rsidR="005B5B7F" w:rsidRPr="00881304" w:rsidRDefault="00160F9D" w:rsidP="00217173">
            <w:pPr>
              <w:pStyle w:val="EBBullet"/>
              <w:numPr>
                <w:ilvl w:val="0"/>
                <w:numId w:val="0"/>
              </w:numPr>
              <w:spacing w:line="259" w:lineRule="auto"/>
              <w:jc w:val="right"/>
              <w:rPr>
                <w:color w:val="auto"/>
              </w:rPr>
            </w:pPr>
            <w:r>
              <w:t>-</w:t>
            </w:r>
            <w:r w:rsidR="00A66366">
              <w:t>1,007.3</w:t>
            </w:r>
          </w:p>
        </w:tc>
      </w:tr>
    </w:tbl>
    <w:p w14:paraId="07865646" w14:textId="7F1050BE" w:rsidR="006B5C3D" w:rsidRDefault="00A8434F" w:rsidP="00131917">
      <w:pPr>
        <w:pStyle w:val="EBBullet"/>
        <w:numPr>
          <w:ilvl w:val="0"/>
          <w:numId w:val="0"/>
        </w:numPr>
        <w:spacing w:line="259" w:lineRule="auto"/>
        <w:ind w:left="567"/>
        <w:jc w:val="both"/>
        <w:rPr>
          <w:color w:val="auto"/>
          <w:sz w:val="18"/>
          <w:szCs w:val="18"/>
        </w:rPr>
      </w:pPr>
      <w:r w:rsidRPr="0029116F">
        <w:rPr>
          <w:color w:val="auto"/>
          <w:sz w:val="18"/>
          <w:szCs w:val="18"/>
        </w:rPr>
        <w:t>Source: H</w:t>
      </w:r>
      <w:r w:rsidR="00EA4AA1" w:rsidRPr="0029116F">
        <w:rPr>
          <w:color w:val="auto"/>
          <w:sz w:val="18"/>
          <w:szCs w:val="18"/>
        </w:rPr>
        <w:t>ome Office</w:t>
      </w:r>
      <w:r w:rsidRPr="0029116F">
        <w:rPr>
          <w:color w:val="auto"/>
          <w:sz w:val="18"/>
          <w:szCs w:val="18"/>
        </w:rPr>
        <w:t xml:space="preserve"> </w:t>
      </w:r>
      <w:r w:rsidR="0083371E">
        <w:rPr>
          <w:color w:val="auto"/>
          <w:sz w:val="18"/>
          <w:szCs w:val="18"/>
        </w:rPr>
        <w:t xml:space="preserve">and DBT </w:t>
      </w:r>
      <w:r w:rsidR="00EA4AA1" w:rsidRPr="0029116F">
        <w:rPr>
          <w:color w:val="auto"/>
          <w:sz w:val="18"/>
          <w:szCs w:val="18"/>
        </w:rPr>
        <w:t>a</w:t>
      </w:r>
      <w:r w:rsidRPr="0029116F">
        <w:rPr>
          <w:color w:val="auto"/>
          <w:sz w:val="18"/>
          <w:szCs w:val="18"/>
        </w:rPr>
        <w:t xml:space="preserve">nalysis </w:t>
      </w:r>
    </w:p>
    <w:p w14:paraId="6673D786" w14:textId="1E9346F7" w:rsidR="00FF74E8" w:rsidRPr="00EC76BF" w:rsidRDefault="00FF74E8" w:rsidP="00A560E4">
      <w:pPr>
        <w:pStyle w:val="EBBullet"/>
        <w:numPr>
          <w:ilvl w:val="0"/>
          <w:numId w:val="0"/>
        </w:numPr>
        <w:spacing w:line="259" w:lineRule="auto"/>
        <w:ind w:left="284" w:hanging="284"/>
        <w:jc w:val="both"/>
        <w:rPr>
          <w:b/>
          <w:color w:val="auto"/>
        </w:rPr>
      </w:pPr>
      <w:r w:rsidRPr="00EC76BF">
        <w:rPr>
          <w:b/>
          <w:color w:val="auto"/>
        </w:rPr>
        <w:t xml:space="preserve">Training Costs </w:t>
      </w:r>
    </w:p>
    <w:p w14:paraId="529734C1" w14:textId="4EFD2A52" w:rsidR="00FF74E8" w:rsidRPr="00EC76BF" w:rsidRDefault="00C1520B" w:rsidP="003F40C2">
      <w:pPr>
        <w:pStyle w:val="ListParagraph"/>
        <w:numPr>
          <w:ilvl w:val="0"/>
          <w:numId w:val="10"/>
        </w:numPr>
        <w:spacing w:after="120" w:line="259" w:lineRule="auto"/>
        <w:ind w:left="567" w:hanging="567"/>
        <w:contextualSpacing w:val="0"/>
        <w:jc w:val="both"/>
      </w:pPr>
      <w:r w:rsidRPr="003F40C2">
        <w:rPr>
          <w:sz w:val="22"/>
          <w:szCs w:val="22"/>
        </w:rPr>
        <w:t>Training costs are around 70 per cent of the total cost of this legislation in the central scenario.</w:t>
      </w:r>
      <w:r w:rsidR="00D2674E" w:rsidRPr="003F40C2">
        <w:rPr>
          <w:sz w:val="22"/>
          <w:szCs w:val="22"/>
        </w:rPr>
        <w:t xml:space="preserve"> </w:t>
      </w:r>
      <w:r w:rsidR="002A4DEC">
        <w:rPr>
          <w:sz w:val="22"/>
          <w:szCs w:val="22"/>
        </w:rPr>
        <w:t>T</w:t>
      </w:r>
      <w:r w:rsidR="00D2674E" w:rsidRPr="003F40C2">
        <w:rPr>
          <w:sz w:val="22"/>
          <w:szCs w:val="22"/>
        </w:rPr>
        <w:t xml:space="preserve">he assumptions used to estimate training costs were based on </w:t>
      </w:r>
      <w:r w:rsidR="00831BB3" w:rsidRPr="003F40C2">
        <w:rPr>
          <w:sz w:val="22"/>
          <w:szCs w:val="22"/>
        </w:rPr>
        <w:t xml:space="preserve">similar comparable </w:t>
      </w:r>
      <w:r w:rsidR="00830BC2" w:rsidRPr="003F40C2">
        <w:rPr>
          <w:sz w:val="22"/>
          <w:szCs w:val="22"/>
        </w:rPr>
        <w:t xml:space="preserve">to failure to prevent bribery training. </w:t>
      </w:r>
      <w:r w:rsidR="0050676F" w:rsidRPr="003F40C2">
        <w:rPr>
          <w:sz w:val="22"/>
          <w:szCs w:val="22"/>
        </w:rPr>
        <w:t xml:space="preserve">The lack of existing guidance on the </w:t>
      </w:r>
      <w:r w:rsidR="00030FAF" w:rsidRPr="003F40C2">
        <w:rPr>
          <w:sz w:val="22"/>
          <w:szCs w:val="22"/>
        </w:rPr>
        <w:t xml:space="preserve">failure to prevent fraud offence means that there is a degree of remaining uncertainty around the training costs. </w:t>
      </w:r>
      <w:r w:rsidR="00A12AA2" w:rsidRPr="003F40C2">
        <w:rPr>
          <w:sz w:val="22"/>
          <w:szCs w:val="22"/>
        </w:rPr>
        <w:t xml:space="preserve">This </w:t>
      </w:r>
      <w:r w:rsidR="00502E59" w:rsidRPr="003F40C2">
        <w:rPr>
          <w:sz w:val="22"/>
          <w:szCs w:val="22"/>
        </w:rPr>
        <w:t xml:space="preserve">prevents </w:t>
      </w:r>
      <w:r w:rsidR="00A12AA2" w:rsidRPr="003F40C2">
        <w:rPr>
          <w:sz w:val="22"/>
          <w:szCs w:val="22"/>
        </w:rPr>
        <w:t>training costs</w:t>
      </w:r>
      <w:r w:rsidR="00502E59" w:rsidRPr="003F40C2">
        <w:rPr>
          <w:sz w:val="22"/>
          <w:szCs w:val="22"/>
        </w:rPr>
        <w:t xml:space="preserve"> assumptions</w:t>
      </w:r>
      <w:r w:rsidR="00A12AA2" w:rsidRPr="003F40C2">
        <w:rPr>
          <w:sz w:val="22"/>
          <w:szCs w:val="22"/>
        </w:rPr>
        <w:t xml:space="preserve"> be</w:t>
      </w:r>
      <w:r w:rsidR="00502E59" w:rsidRPr="003F40C2">
        <w:rPr>
          <w:sz w:val="22"/>
          <w:szCs w:val="22"/>
        </w:rPr>
        <w:t xml:space="preserve">ing </w:t>
      </w:r>
      <w:r w:rsidR="00A12AA2" w:rsidRPr="003F40C2">
        <w:rPr>
          <w:sz w:val="22"/>
          <w:szCs w:val="22"/>
        </w:rPr>
        <w:t xml:space="preserve">tailored </w:t>
      </w:r>
      <w:r w:rsidR="00A526C3" w:rsidRPr="003F40C2">
        <w:rPr>
          <w:sz w:val="22"/>
          <w:szCs w:val="22"/>
        </w:rPr>
        <w:t>precisely</w:t>
      </w:r>
      <w:r w:rsidR="00502E59" w:rsidRPr="003F40C2">
        <w:rPr>
          <w:sz w:val="22"/>
          <w:szCs w:val="22"/>
        </w:rPr>
        <w:t xml:space="preserve"> to the legislation and </w:t>
      </w:r>
      <w:r w:rsidR="00694996" w:rsidRPr="003F40C2">
        <w:rPr>
          <w:sz w:val="22"/>
          <w:szCs w:val="22"/>
        </w:rPr>
        <w:t xml:space="preserve">the ability to test any assumptions with </w:t>
      </w:r>
      <w:r w:rsidR="00081378">
        <w:rPr>
          <w:sz w:val="22"/>
          <w:szCs w:val="22"/>
        </w:rPr>
        <w:t>s</w:t>
      </w:r>
      <w:r w:rsidR="00694996" w:rsidRPr="003F40C2">
        <w:rPr>
          <w:sz w:val="22"/>
          <w:szCs w:val="22"/>
        </w:rPr>
        <w:t>take</w:t>
      </w:r>
      <w:r w:rsidR="00694996" w:rsidRPr="00A55741">
        <w:rPr>
          <w:sz w:val="22"/>
          <w:szCs w:val="22"/>
        </w:rPr>
        <w:t xml:space="preserve">holders. </w:t>
      </w:r>
    </w:p>
    <w:p w14:paraId="07340EA8" w14:textId="0C7EB652" w:rsidR="005836B1" w:rsidRPr="003F40C2" w:rsidRDefault="00694996" w:rsidP="003F40C2">
      <w:pPr>
        <w:pStyle w:val="ListParagraph"/>
        <w:numPr>
          <w:ilvl w:val="0"/>
          <w:numId w:val="10"/>
        </w:numPr>
        <w:spacing w:after="120" w:line="259" w:lineRule="auto"/>
        <w:ind w:left="567" w:hanging="567"/>
        <w:contextualSpacing w:val="0"/>
        <w:jc w:val="both"/>
        <w:rPr>
          <w:sz w:val="22"/>
          <w:szCs w:val="22"/>
        </w:rPr>
      </w:pPr>
      <w:r w:rsidRPr="003F40C2">
        <w:rPr>
          <w:sz w:val="22"/>
          <w:szCs w:val="22"/>
        </w:rPr>
        <w:t xml:space="preserve">Consequently, </w:t>
      </w:r>
      <w:r w:rsidR="008013B3" w:rsidRPr="003F40C2">
        <w:rPr>
          <w:sz w:val="22"/>
          <w:szCs w:val="22"/>
        </w:rPr>
        <w:t xml:space="preserve">sensitivity </w:t>
      </w:r>
      <w:r w:rsidR="00423718" w:rsidRPr="003F40C2">
        <w:rPr>
          <w:sz w:val="22"/>
          <w:szCs w:val="22"/>
        </w:rPr>
        <w:t xml:space="preserve">analysis is </w:t>
      </w:r>
      <w:r w:rsidR="004B7234" w:rsidRPr="003F40C2">
        <w:rPr>
          <w:sz w:val="22"/>
          <w:szCs w:val="22"/>
        </w:rPr>
        <w:t>conducted</w:t>
      </w:r>
      <w:r w:rsidR="00423718" w:rsidRPr="003F40C2">
        <w:rPr>
          <w:sz w:val="22"/>
          <w:szCs w:val="22"/>
        </w:rPr>
        <w:t xml:space="preserve"> </w:t>
      </w:r>
      <w:r w:rsidR="00B33317" w:rsidRPr="003F40C2">
        <w:rPr>
          <w:sz w:val="22"/>
          <w:szCs w:val="22"/>
        </w:rPr>
        <w:t>to understand the</w:t>
      </w:r>
      <w:r w:rsidR="003F01F6" w:rsidRPr="003F40C2">
        <w:rPr>
          <w:sz w:val="22"/>
          <w:szCs w:val="22"/>
        </w:rPr>
        <w:t xml:space="preserve"> impact </w:t>
      </w:r>
      <w:r w:rsidR="004B7234" w:rsidRPr="003F40C2">
        <w:rPr>
          <w:sz w:val="22"/>
          <w:szCs w:val="22"/>
        </w:rPr>
        <w:t>on the overall NPSV of the policy</w:t>
      </w:r>
      <w:r w:rsidR="00245E95" w:rsidRPr="003F40C2">
        <w:rPr>
          <w:sz w:val="22"/>
          <w:szCs w:val="22"/>
        </w:rPr>
        <w:t xml:space="preserve"> </w:t>
      </w:r>
      <w:r w:rsidR="0073195D" w:rsidRPr="003F40C2">
        <w:rPr>
          <w:sz w:val="22"/>
          <w:szCs w:val="22"/>
        </w:rPr>
        <w:t xml:space="preserve">of </w:t>
      </w:r>
      <w:r w:rsidR="00912BBC" w:rsidRPr="003F40C2">
        <w:rPr>
          <w:sz w:val="22"/>
          <w:szCs w:val="22"/>
        </w:rPr>
        <w:t xml:space="preserve">these assumptions </w:t>
      </w:r>
      <w:r w:rsidR="00BF7A8C" w:rsidRPr="003F40C2">
        <w:rPr>
          <w:sz w:val="22"/>
          <w:szCs w:val="22"/>
        </w:rPr>
        <w:t>being different to that used in the estimation.</w:t>
      </w:r>
    </w:p>
    <w:p w14:paraId="6125BDAC" w14:textId="72D9671A" w:rsidR="004D1BB3" w:rsidRPr="00EC76BF" w:rsidRDefault="00F35AB5" w:rsidP="00EC76BF">
      <w:pPr>
        <w:spacing w:after="120" w:line="259" w:lineRule="auto"/>
        <w:jc w:val="both"/>
        <w:rPr>
          <w:rFonts w:cs="Arial"/>
          <w:sz w:val="22"/>
          <w:szCs w:val="22"/>
        </w:rPr>
      </w:pPr>
      <w:r w:rsidRPr="003F40C2">
        <w:rPr>
          <w:b/>
          <w:sz w:val="22"/>
          <w:szCs w:val="22"/>
        </w:rPr>
        <w:t xml:space="preserve">Changes to the Discount Rate for Training </w:t>
      </w:r>
    </w:p>
    <w:p w14:paraId="68607EA5" w14:textId="665DCFB0" w:rsidR="001D29D4" w:rsidRDefault="00BF7A8C" w:rsidP="003F40C2">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 xml:space="preserve">One of the </w:t>
      </w:r>
      <w:r w:rsidR="00537ECE">
        <w:rPr>
          <w:rFonts w:cs="Arial"/>
          <w:sz w:val="22"/>
          <w:szCs w:val="22"/>
        </w:rPr>
        <w:t>important</w:t>
      </w:r>
      <w:r w:rsidR="00FD3D89">
        <w:rPr>
          <w:rFonts w:cs="Arial"/>
          <w:sz w:val="22"/>
          <w:szCs w:val="22"/>
        </w:rPr>
        <w:t xml:space="preserve"> assumptions in the training cost is the </w:t>
      </w:r>
      <w:r w:rsidR="0071283E">
        <w:rPr>
          <w:rFonts w:cs="Arial"/>
          <w:sz w:val="22"/>
          <w:szCs w:val="22"/>
        </w:rPr>
        <w:t xml:space="preserve">discount rate offered </w:t>
      </w:r>
      <w:r w:rsidR="005B5B3F">
        <w:rPr>
          <w:rFonts w:cs="Arial"/>
          <w:sz w:val="22"/>
          <w:szCs w:val="22"/>
        </w:rPr>
        <w:t xml:space="preserve">to companies. </w:t>
      </w:r>
      <w:r w:rsidR="005C6E98">
        <w:rPr>
          <w:rFonts w:cs="Arial"/>
          <w:sz w:val="22"/>
          <w:szCs w:val="22"/>
        </w:rPr>
        <w:t>Whilst the</w:t>
      </w:r>
      <w:r w:rsidR="001A17D5">
        <w:rPr>
          <w:rFonts w:cs="Arial"/>
          <w:sz w:val="22"/>
          <w:szCs w:val="22"/>
        </w:rPr>
        <w:t xml:space="preserve"> rate used in the </w:t>
      </w:r>
      <w:r w:rsidR="00E40240">
        <w:rPr>
          <w:rFonts w:cs="Arial"/>
          <w:sz w:val="22"/>
          <w:szCs w:val="22"/>
        </w:rPr>
        <w:t>main estimates</w:t>
      </w:r>
      <w:r w:rsidR="001A17D5">
        <w:rPr>
          <w:rFonts w:cs="Arial"/>
          <w:sz w:val="22"/>
          <w:szCs w:val="22"/>
        </w:rPr>
        <w:t xml:space="preserve"> is based</w:t>
      </w:r>
      <w:r w:rsidR="00E40240">
        <w:rPr>
          <w:rFonts w:cs="Arial"/>
          <w:sz w:val="22"/>
          <w:szCs w:val="22"/>
        </w:rPr>
        <w:t xml:space="preserve"> on training to meet similar and comparable failure to prevent bribery requirements</w:t>
      </w:r>
      <w:r w:rsidR="00E40240" w:rsidRPr="00441AF5">
        <w:rPr>
          <w:rStyle w:val="FootnoteReference"/>
          <w:rFonts w:eastAsiaTheme="minorEastAsia" w:cs="Arial"/>
          <w:szCs w:val="22"/>
        </w:rPr>
        <w:footnoteReference w:id="90"/>
      </w:r>
      <w:r w:rsidR="00E40240">
        <w:rPr>
          <w:rFonts w:cs="Arial"/>
          <w:sz w:val="22"/>
          <w:szCs w:val="22"/>
        </w:rPr>
        <w:t>. T</w:t>
      </w:r>
      <w:r w:rsidR="001A17D5">
        <w:rPr>
          <w:rFonts w:cs="Arial"/>
          <w:sz w:val="22"/>
          <w:szCs w:val="22"/>
        </w:rPr>
        <w:t xml:space="preserve">he sensitivity analysis explores the impact </w:t>
      </w:r>
      <w:r w:rsidR="00E40240">
        <w:rPr>
          <w:rFonts w:cs="Arial"/>
          <w:sz w:val="22"/>
          <w:szCs w:val="22"/>
        </w:rPr>
        <w:t xml:space="preserve">on overall NPSV of the policy </w:t>
      </w:r>
      <w:r w:rsidR="001A17D5">
        <w:rPr>
          <w:rFonts w:cs="Arial"/>
          <w:sz w:val="22"/>
          <w:szCs w:val="22"/>
        </w:rPr>
        <w:t xml:space="preserve">of </w:t>
      </w:r>
      <w:r w:rsidR="00E40240">
        <w:rPr>
          <w:rFonts w:cs="Arial"/>
          <w:sz w:val="22"/>
          <w:szCs w:val="22"/>
        </w:rPr>
        <w:t xml:space="preserve">the average training rate differing from the main assumption used in the analysis. </w:t>
      </w:r>
    </w:p>
    <w:p w14:paraId="20BA09D2" w14:textId="33610B23" w:rsidR="00334393" w:rsidRPr="008675FD" w:rsidRDefault="005B5B3F" w:rsidP="002C2E30">
      <w:pPr>
        <w:pStyle w:val="ListParagraph"/>
        <w:numPr>
          <w:ilvl w:val="0"/>
          <w:numId w:val="10"/>
        </w:numPr>
        <w:spacing w:after="120" w:line="259" w:lineRule="auto"/>
        <w:ind w:left="567" w:hanging="567"/>
        <w:contextualSpacing w:val="0"/>
        <w:jc w:val="both"/>
        <w:rPr>
          <w:rFonts w:cs="Arial"/>
          <w:b/>
          <w:sz w:val="22"/>
          <w:szCs w:val="22"/>
          <w:lang w:eastAsia="en-GB"/>
        </w:rPr>
      </w:pPr>
      <w:r>
        <w:rPr>
          <w:rFonts w:cs="Arial"/>
          <w:sz w:val="22"/>
          <w:szCs w:val="22"/>
        </w:rPr>
        <w:t>T</w:t>
      </w:r>
      <w:r w:rsidR="007E291F">
        <w:rPr>
          <w:rFonts w:cs="Arial"/>
          <w:sz w:val="22"/>
          <w:szCs w:val="22"/>
        </w:rPr>
        <w:t xml:space="preserve">able 14 </w:t>
      </w:r>
      <w:r w:rsidR="00FC7C2A">
        <w:rPr>
          <w:rFonts w:cs="Arial"/>
          <w:sz w:val="22"/>
          <w:szCs w:val="22"/>
        </w:rPr>
        <w:t xml:space="preserve">shows the impact on the overall NPSV of </w:t>
      </w:r>
      <w:r w:rsidR="004D1BB3">
        <w:rPr>
          <w:rFonts w:cs="Arial"/>
          <w:sz w:val="22"/>
          <w:szCs w:val="22"/>
        </w:rPr>
        <w:t>the policy</w:t>
      </w:r>
      <w:r w:rsidR="001D29D4">
        <w:rPr>
          <w:rFonts w:cs="Arial"/>
          <w:sz w:val="22"/>
          <w:szCs w:val="22"/>
        </w:rPr>
        <w:t xml:space="preserve"> of changing the training discount rate</w:t>
      </w:r>
      <w:r w:rsidR="004D1BB3">
        <w:rPr>
          <w:rFonts w:cs="Arial"/>
          <w:sz w:val="22"/>
          <w:szCs w:val="22"/>
        </w:rPr>
        <w:t xml:space="preserve">. </w:t>
      </w:r>
      <w:r w:rsidR="00C76FC7" w:rsidRPr="00EC76BF">
        <w:rPr>
          <w:rFonts w:cs="Arial"/>
          <w:sz w:val="22"/>
          <w:szCs w:val="22"/>
        </w:rPr>
        <w:t xml:space="preserve">This shows that, </w:t>
      </w:r>
      <w:r w:rsidR="00AB4826">
        <w:rPr>
          <w:rFonts w:cs="Arial"/>
          <w:sz w:val="22"/>
          <w:szCs w:val="22"/>
        </w:rPr>
        <w:t xml:space="preserve">a 10 per cent </w:t>
      </w:r>
      <w:r w:rsidR="00CC6A50">
        <w:rPr>
          <w:rFonts w:cs="Arial"/>
          <w:sz w:val="22"/>
          <w:szCs w:val="22"/>
        </w:rPr>
        <w:t xml:space="preserve">change in the training discount results in a </w:t>
      </w:r>
      <w:r w:rsidR="001F140A">
        <w:rPr>
          <w:rFonts w:cs="Arial"/>
          <w:sz w:val="22"/>
          <w:szCs w:val="22"/>
        </w:rPr>
        <w:t>5</w:t>
      </w:r>
      <w:r w:rsidR="00D92331">
        <w:rPr>
          <w:rFonts w:cs="Arial"/>
          <w:sz w:val="22"/>
          <w:szCs w:val="22"/>
        </w:rPr>
        <w:t xml:space="preserve"> per cent</w:t>
      </w:r>
      <w:r w:rsidR="001F140A">
        <w:rPr>
          <w:rFonts w:cs="Arial"/>
          <w:sz w:val="22"/>
          <w:szCs w:val="22"/>
        </w:rPr>
        <w:t xml:space="preserve"> change in the </w:t>
      </w:r>
      <w:r w:rsidR="00A37E92">
        <w:rPr>
          <w:rFonts w:cs="Arial"/>
          <w:sz w:val="22"/>
          <w:szCs w:val="22"/>
        </w:rPr>
        <w:t xml:space="preserve">NPSV. </w:t>
      </w:r>
      <w:r w:rsidR="00C76FC7" w:rsidRPr="00EC76BF">
        <w:rPr>
          <w:rFonts w:cs="Arial"/>
          <w:sz w:val="22"/>
          <w:szCs w:val="22"/>
        </w:rPr>
        <w:t xml:space="preserve"> </w:t>
      </w:r>
      <w:r w:rsidR="00A37E92">
        <w:rPr>
          <w:rFonts w:cs="Arial"/>
          <w:sz w:val="22"/>
          <w:szCs w:val="22"/>
        </w:rPr>
        <w:t>F</w:t>
      </w:r>
      <w:r w:rsidR="00C76FC7" w:rsidRPr="00EC76BF">
        <w:rPr>
          <w:rFonts w:cs="Arial"/>
          <w:sz w:val="22"/>
          <w:szCs w:val="22"/>
        </w:rPr>
        <w:t xml:space="preserve">or the central </w:t>
      </w:r>
      <w:r w:rsidR="00EC1DEE" w:rsidRPr="00EC76BF">
        <w:rPr>
          <w:rFonts w:cs="Arial"/>
          <w:sz w:val="22"/>
          <w:szCs w:val="22"/>
        </w:rPr>
        <w:t>s</w:t>
      </w:r>
      <w:r w:rsidR="00C76FC7" w:rsidRPr="00EC76BF">
        <w:rPr>
          <w:rFonts w:cs="Arial"/>
          <w:sz w:val="22"/>
          <w:szCs w:val="22"/>
        </w:rPr>
        <w:t>cenario,</w:t>
      </w:r>
      <w:r w:rsidR="00EC1DEE" w:rsidRPr="00EC76BF">
        <w:rPr>
          <w:rFonts w:cs="Arial"/>
          <w:sz w:val="22"/>
          <w:szCs w:val="22"/>
        </w:rPr>
        <w:t xml:space="preserve"> if the training </w:t>
      </w:r>
      <w:r w:rsidR="00D83A4E" w:rsidRPr="00EC76BF">
        <w:rPr>
          <w:rFonts w:cs="Arial"/>
          <w:sz w:val="22"/>
          <w:szCs w:val="22"/>
        </w:rPr>
        <w:t xml:space="preserve">discount fee was only at 10 </w:t>
      </w:r>
      <w:r w:rsidR="00C821CC">
        <w:rPr>
          <w:rFonts w:cs="Arial"/>
          <w:sz w:val="22"/>
          <w:szCs w:val="22"/>
        </w:rPr>
        <w:t>per cent</w:t>
      </w:r>
      <w:r w:rsidR="00D83A4E" w:rsidRPr="00EC76BF">
        <w:rPr>
          <w:rFonts w:cs="Arial"/>
          <w:sz w:val="22"/>
          <w:szCs w:val="22"/>
        </w:rPr>
        <w:t xml:space="preserve"> the </w:t>
      </w:r>
      <w:r w:rsidR="00B7500D" w:rsidRPr="00EC76BF">
        <w:rPr>
          <w:rFonts w:cs="Arial"/>
          <w:sz w:val="22"/>
          <w:szCs w:val="22"/>
        </w:rPr>
        <w:t xml:space="preserve">NPSV for the policy would </w:t>
      </w:r>
      <w:r w:rsidR="00E12960" w:rsidRPr="00EC76BF">
        <w:rPr>
          <w:rFonts w:cs="Arial"/>
          <w:sz w:val="22"/>
          <w:szCs w:val="22"/>
        </w:rPr>
        <w:t>decrease</w:t>
      </w:r>
      <w:r w:rsidR="00B7500D" w:rsidRPr="00EC76BF">
        <w:rPr>
          <w:rFonts w:cs="Arial"/>
          <w:sz w:val="22"/>
          <w:szCs w:val="22"/>
        </w:rPr>
        <w:t xml:space="preserve"> to </w:t>
      </w:r>
      <w:r w:rsidR="00E12960" w:rsidRPr="00EC76BF">
        <w:rPr>
          <w:rFonts w:cs="Arial"/>
          <w:b/>
          <w:sz w:val="22"/>
          <w:szCs w:val="22"/>
        </w:rPr>
        <w:t>-</w:t>
      </w:r>
      <w:r w:rsidR="00302E0C" w:rsidRPr="00EC76BF">
        <w:rPr>
          <w:rFonts w:cs="Arial"/>
          <w:b/>
          <w:sz w:val="22"/>
          <w:szCs w:val="22"/>
        </w:rPr>
        <w:t>£</w:t>
      </w:r>
      <w:r w:rsidR="008D30DF">
        <w:rPr>
          <w:rFonts w:cs="Arial"/>
          <w:b/>
          <w:bCs/>
          <w:sz w:val="22"/>
          <w:szCs w:val="22"/>
        </w:rPr>
        <w:t>1,006.6</w:t>
      </w:r>
      <w:r w:rsidR="00302E0C" w:rsidRPr="00EC76BF">
        <w:rPr>
          <w:rFonts w:cs="Arial"/>
          <w:b/>
          <w:bCs/>
          <w:sz w:val="22"/>
          <w:szCs w:val="22"/>
        </w:rPr>
        <w:t>m</w:t>
      </w:r>
      <w:r w:rsidR="00302E0C" w:rsidRPr="00EC76BF">
        <w:rPr>
          <w:rFonts w:cs="Arial"/>
          <w:b/>
          <w:sz w:val="22"/>
          <w:szCs w:val="22"/>
        </w:rPr>
        <w:t xml:space="preserve"> (PV 2024).</w:t>
      </w:r>
      <w:r w:rsidR="00302E0C" w:rsidRPr="00EC76BF">
        <w:rPr>
          <w:rFonts w:cs="Arial"/>
          <w:sz w:val="22"/>
          <w:szCs w:val="22"/>
        </w:rPr>
        <w:t xml:space="preserve"> </w:t>
      </w:r>
      <w:r w:rsidR="00F77A71" w:rsidRPr="00EC76BF">
        <w:rPr>
          <w:rFonts w:cs="Arial"/>
          <w:sz w:val="22"/>
          <w:szCs w:val="22"/>
        </w:rPr>
        <w:t xml:space="preserve">If the </w:t>
      </w:r>
      <w:r w:rsidR="0055576B" w:rsidRPr="00EC76BF">
        <w:rPr>
          <w:rFonts w:cs="Arial"/>
          <w:sz w:val="22"/>
          <w:szCs w:val="22"/>
        </w:rPr>
        <w:t>training discount rate i</w:t>
      </w:r>
      <w:r w:rsidR="008D30DF">
        <w:rPr>
          <w:rFonts w:cs="Arial"/>
          <w:sz w:val="22"/>
          <w:szCs w:val="22"/>
        </w:rPr>
        <w:t>s</w:t>
      </w:r>
      <w:r w:rsidR="0055576B" w:rsidRPr="00EC76BF">
        <w:rPr>
          <w:rFonts w:cs="Arial"/>
          <w:sz w:val="22"/>
          <w:szCs w:val="22"/>
        </w:rPr>
        <w:t xml:space="preserve"> higher at 60</w:t>
      </w:r>
      <w:r w:rsidR="00C821CC">
        <w:rPr>
          <w:rFonts w:cs="Arial"/>
          <w:sz w:val="22"/>
          <w:szCs w:val="22"/>
        </w:rPr>
        <w:t xml:space="preserve"> per cent</w:t>
      </w:r>
      <w:r w:rsidR="0055576B" w:rsidRPr="00EC76BF">
        <w:rPr>
          <w:rFonts w:cs="Arial"/>
          <w:sz w:val="22"/>
          <w:szCs w:val="22"/>
        </w:rPr>
        <w:t xml:space="preserve"> then the </w:t>
      </w:r>
      <w:r w:rsidR="00F936EF" w:rsidRPr="00EC76BF">
        <w:rPr>
          <w:rFonts w:cs="Arial"/>
          <w:sz w:val="22"/>
          <w:szCs w:val="22"/>
        </w:rPr>
        <w:t xml:space="preserve">NPSV increases to </w:t>
      </w:r>
      <w:r w:rsidR="00F936EF" w:rsidRPr="00EC76BF">
        <w:rPr>
          <w:rFonts w:cs="Arial"/>
          <w:b/>
          <w:sz w:val="22"/>
          <w:szCs w:val="22"/>
        </w:rPr>
        <w:t>-£</w:t>
      </w:r>
      <w:r w:rsidR="00A636EC">
        <w:rPr>
          <w:rFonts w:cs="Arial"/>
          <w:b/>
          <w:bCs/>
          <w:sz w:val="22"/>
          <w:szCs w:val="22"/>
        </w:rPr>
        <w:t>7</w:t>
      </w:r>
      <w:r w:rsidR="009F7417">
        <w:rPr>
          <w:rFonts w:cs="Arial"/>
          <w:b/>
          <w:bCs/>
          <w:sz w:val="22"/>
          <w:szCs w:val="22"/>
        </w:rPr>
        <w:t>85.1</w:t>
      </w:r>
      <w:r w:rsidR="00F936EF" w:rsidRPr="00EC76BF">
        <w:rPr>
          <w:rFonts w:cs="Arial"/>
          <w:b/>
          <w:bCs/>
          <w:sz w:val="22"/>
          <w:szCs w:val="22"/>
        </w:rPr>
        <w:t>m</w:t>
      </w:r>
      <w:r w:rsidR="00F936EF" w:rsidRPr="00EC76BF">
        <w:rPr>
          <w:rFonts w:cs="Arial"/>
          <w:b/>
          <w:sz w:val="22"/>
          <w:szCs w:val="22"/>
        </w:rPr>
        <w:t xml:space="preserve"> (PV 2024).</w:t>
      </w:r>
      <w:r w:rsidR="005C6E98" w:rsidRPr="00EC76BF">
        <w:rPr>
          <w:rFonts w:cs="Arial"/>
          <w:b/>
          <w:sz w:val="22"/>
          <w:szCs w:val="22"/>
        </w:rPr>
        <w:t xml:space="preserve"> </w:t>
      </w:r>
    </w:p>
    <w:p w14:paraId="43A4BC2D" w14:textId="6B1F27BA" w:rsidR="002B1B6F" w:rsidRPr="008675FD" w:rsidRDefault="00B51B06">
      <w:pPr>
        <w:rPr>
          <w:rFonts w:cs="Arial"/>
          <w:b/>
          <w:sz w:val="22"/>
          <w:szCs w:val="22"/>
          <w:lang w:eastAsia="en-GB"/>
        </w:rPr>
      </w:pPr>
      <w:r>
        <w:rPr>
          <w:rFonts w:cs="Arial"/>
          <w:b/>
          <w:sz w:val="22"/>
          <w:szCs w:val="22"/>
          <w:lang w:eastAsia="en-GB"/>
        </w:rPr>
        <w:br w:type="page"/>
      </w:r>
    </w:p>
    <w:p w14:paraId="78A34E37" w14:textId="4361921B" w:rsidR="00A560E4" w:rsidRPr="0047008F" w:rsidRDefault="004D1BB3" w:rsidP="007549A6">
      <w:pPr>
        <w:pStyle w:val="EBBullet"/>
        <w:numPr>
          <w:ilvl w:val="0"/>
          <w:numId w:val="0"/>
        </w:numPr>
        <w:spacing w:line="259" w:lineRule="auto"/>
        <w:ind w:left="567"/>
        <w:jc w:val="both"/>
        <w:rPr>
          <w:b/>
          <w:color w:val="auto"/>
        </w:rPr>
      </w:pPr>
      <w:r>
        <w:rPr>
          <w:b/>
          <w:bCs w:val="0"/>
          <w:color w:val="auto"/>
        </w:rPr>
        <w:lastRenderedPageBreak/>
        <w:t>Table 1</w:t>
      </w:r>
      <w:r w:rsidR="001E0461">
        <w:rPr>
          <w:b/>
          <w:bCs w:val="0"/>
          <w:color w:val="auto"/>
        </w:rPr>
        <w:t>5</w:t>
      </w:r>
      <w:r>
        <w:rPr>
          <w:b/>
          <w:bCs w:val="0"/>
          <w:color w:val="auto"/>
        </w:rPr>
        <w:t xml:space="preserve">, </w:t>
      </w:r>
      <w:r w:rsidRPr="00441AF5">
        <w:rPr>
          <w:b/>
          <w:color w:val="auto"/>
        </w:rPr>
        <w:t xml:space="preserve">Sensitivity analysis of </w:t>
      </w:r>
      <w:r>
        <w:rPr>
          <w:b/>
          <w:color w:val="auto"/>
        </w:rPr>
        <w:t xml:space="preserve">total </w:t>
      </w:r>
      <w:r w:rsidRPr="00441AF5">
        <w:rPr>
          <w:b/>
          <w:color w:val="auto"/>
        </w:rPr>
        <w:t>costs</w:t>
      </w:r>
      <w:r>
        <w:rPr>
          <w:b/>
          <w:color w:val="auto"/>
        </w:rPr>
        <w:t xml:space="preserve">, </w:t>
      </w:r>
      <w:r w:rsidRPr="00441AF5">
        <w:rPr>
          <w:b/>
        </w:rPr>
        <w:t>£</w:t>
      </w:r>
      <w:r>
        <w:rPr>
          <w:b/>
        </w:rPr>
        <w:t xml:space="preserve"> </w:t>
      </w:r>
      <w:r w:rsidRPr="00441AF5">
        <w:rPr>
          <w:b/>
        </w:rPr>
        <w:t>m</w:t>
      </w:r>
      <w:r>
        <w:rPr>
          <w:b/>
        </w:rPr>
        <w:t>illion</w:t>
      </w:r>
      <w:r w:rsidRPr="00441AF5">
        <w:rPr>
          <w:b/>
        </w:rPr>
        <w:t xml:space="preserve"> </w:t>
      </w:r>
      <w:r>
        <w:rPr>
          <w:b/>
        </w:rPr>
        <w:t>(</w:t>
      </w:r>
      <w:r w:rsidRPr="00441AF5">
        <w:rPr>
          <w:b/>
        </w:rPr>
        <w:t>PV 2024)</w:t>
      </w:r>
      <w:r>
        <w:rPr>
          <w:b/>
        </w:rPr>
        <w:t xml:space="preserve"> </w:t>
      </w:r>
      <w:r w:rsidRPr="00441AF5">
        <w:rPr>
          <w:b/>
          <w:color w:val="auto"/>
        </w:rPr>
        <w:t xml:space="preserve">as a result of changing the </w:t>
      </w:r>
      <w:r>
        <w:rPr>
          <w:b/>
          <w:color w:val="auto"/>
        </w:rPr>
        <w:t xml:space="preserve">training </w:t>
      </w:r>
      <w:r w:rsidR="00AB44B7">
        <w:rPr>
          <w:b/>
          <w:color w:val="auto"/>
        </w:rPr>
        <w:t>discount rate</w:t>
      </w:r>
    </w:p>
    <w:tbl>
      <w:tblPr>
        <w:tblStyle w:val="TableGrid"/>
        <w:tblW w:w="0" w:type="auto"/>
        <w:tblInd w:w="704" w:type="dxa"/>
        <w:tblLook w:val="04A0" w:firstRow="1" w:lastRow="0" w:firstColumn="1" w:lastColumn="0" w:noHBand="0" w:noVBand="1"/>
      </w:tblPr>
      <w:tblGrid>
        <w:gridCol w:w="2268"/>
        <w:gridCol w:w="2410"/>
        <w:gridCol w:w="2410"/>
        <w:gridCol w:w="2403"/>
      </w:tblGrid>
      <w:tr w:rsidR="00950B98" w14:paraId="3173090C" w14:textId="77777777" w:rsidTr="007549A6">
        <w:tc>
          <w:tcPr>
            <w:tcW w:w="2268" w:type="dxa"/>
          </w:tcPr>
          <w:p w14:paraId="48683328" w14:textId="112EF366" w:rsidR="000D007C" w:rsidRPr="0047008F" w:rsidRDefault="00D83A4E" w:rsidP="00AA7F7D">
            <w:pPr>
              <w:spacing w:after="120" w:line="259" w:lineRule="auto"/>
              <w:jc w:val="center"/>
              <w:rPr>
                <w:rFonts w:cs="Arial"/>
                <w:b/>
                <w:sz w:val="22"/>
                <w:szCs w:val="22"/>
              </w:rPr>
            </w:pPr>
            <w:r>
              <w:rPr>
                <w:rFonts w:cs="Arial"/>
                <w:b/>
                <w:sz w:val="22"/>
                <w:szCs w:val="22"/>
              </w:rPr>
              <w:t xml:space="preserve">Training </w:t>
            </w:r>
            <w:r w:rsidR="000D007C" w:rsidRPr="0047008F">
              <w:rPr>
                <w:rFonts w:cs="Arial"/>
                <w:b/>
                <w:sz w:val="22"/>
                <w:szCs w:val="22"/>
              </w:rPr>
              <w:t xml:space="preserve">Discount </w:t>
            </w:r>
            <w:r w:rsidR="0055576B">
              <w:rPr>
                <w:rFonts w:cs="Arial"/>
                <w:b/>
                <w:sz w:val="22"/>
                <w:szCs w:val="22"/>
              </w:rPr>
              <w:t>Rate</w:t>
            </w:r>
            <w:r w:rsidR="000D007C" w:rsidRPr="0047008F">
              <w:rPr>
                <w:rFonts w:cs="Arial"/>
                <w:b/>
                <w:sz w:val="22"/>
                <w:szCs w:val="22"/>
              </w:rPr>
              <w:t xml:space="preserve"> (%)</w:t>
            </w:r>
          </w:p>
        </w:tc>
        <w:tc>
          <w:tcPr>
            <w:tcW w:w="2410" w:type="dxa"/>
            <w:tcBorders>
              <w:bottom w:val="single" w:sz="4" w:space="0" w:color="auto"/>
            </w:tcBorders>
          </w:tcPr>
          <w:p w14:paraId="607F6630" w14:textId="0BEABD7D" w:rsidR="000D007C" w:rsidRPr="0047008F" w:rsidRDefault="000D007C" w:rsidP="00AA7F7D">
            <w:pPr>
              <w:spacing w:after="120" w:line="259" w:lineRule="auto"/>
              <w:jc w:val="center"/>
              <w:rPr>
                <w:rFonts w:cs="Arial"/>
                <w:b/>
                <w:sz w:val="22"/>
                <w:szCs w:val="22"/>
              </w:rPr>
            </w:pPr>
            <w:r w:rsidRPr="0047008F">
              <w:rPr>
                <w:rFonts w:cs="Arial"/>
                <w:b/>
                <w:sz w:val="22"/>
                <w:szCs w:val="22"/>
              </w:rPr>
              <w:t xml:space="preserve">High </w:t>
            </w:r>
            <w:r w:rsidR="00D83A4E">
              <w:rPr>
                <w:rFonts w:cs="Arial"/>
                <w:b/>
                <w:sz w:val="22"/>
                <w:szCs w:val="22"/>
              </w:rPr>
              <w:t>N</w:t>
            </w:r>
            <w:r w:rsidRPr="0047008F">
              <w:rPr>
                <w:rFonts w:cs="Arial"/>
                <w:b/>
                <w:sz w:val="22"/>
                <w:szCs w:val="22"/>
              </w:rPr>
              <w:t>P</w:t>
            </w:r>
            <w:r w:rsidR="00D83A4E">
              <w:rPr>
                <w:rFonts w:cs="Arial"/>
                <w:b/>
                <w:sz w:val="22"/>
                <w:szCs w:val="22"/>
              </w:rPr>
              <w:t>S</w:t>
            </w:r>
            <w:r w:rsidRPr="0047008F">
              <w:rPr>
                <w:rFonts w:cs="Arial"/>
                <w:b/>
                <w:sz w:val="22"/>
                <w:szCs w:val="22"/>
              </w:rPr>
              <w:t xml:space="preserve">V </w:t>
            </w:r>
            <w:r w:rsidR="00302E0C">
              <w:rPr>
                <w:rFonts w:cs="Arial"/>
                <w:b/>
                <w:sz w:val="22"/>
                <w:szCs w:val="22"/>
              </w:rPr>
              <w:t xml:space="preserve">(PV </w:t>
            </w:r>
            <w:r w:rsidRPr="0047008F">
              <w:rPr>
                <w:rFonts w:cs="Arial"/>
                <w:b/>
                <w:sz w:val="22"/>
                <w:szCs w:val="22"/>
              </w:rPr>
              <w:t>2024 Prices</w:t>
            </w:r>
            <w:r w:rsidR="009A31C9">
              <w:rPr>
                <w:rFonts w:cs="Arial"/>
                <w:b/>
                <w:sz w:val="22"/>
                <w:szCs w:val="22"/>
              </w:rPr>
              <w:t>, £m</w:t>
            </w:r>
            <w:r w:rsidRPr="0047008F">
              <w:rPr>
                <w:rFonts w:cs="Arial"/>
                <w:b/>
                <w:sz w:val="22"/>
                <w:szCs w:val="22"/>
              </w:rPr>
              <w:t>)</w:t>
            </w:r>
          </w:p>
        </w:tc>
        <w:tc>
          <w:tcPr>
            <w:tcW w:w="2410" w:type="dxa"/>
            <w:tcBorders>
              <w:bottom w:val="single" w:sz="4" w:space="0" w:color="auto"/>
            </w:tcBorders>
          </w:tcPr>
          <w:p w14:paraId="128030E2" w14:textId="2CF51E60" w:rsidR="000D007C" w:rsidRPr="0047008F" w:rsidRDefault="000D007C" w:rsidP="00AA7F7D">
            <w:pPr>
              <w:spacing w:after="120" w:line="259" w:lineRule="auto"/>
              <w:jc w:val="center"/>
              <w:rPr>
                <w:rFonts w:cs="Arial"/>
                <w:b/>
                <w:sz w:val="22"/>
                <w:szCs w:val="22"/>
              </w:rPr>
            </w:pPr>
            <w:r w:rsidRPr="0047008F">
              <w:rPr>
                <w:rFonts w:cs="Arial"/>
                <w:b/>
                <w:sz w:val="22"/>
                <w:szCs w:val="22"/>
              </w:rPr>
              <w:t xml:space="preserve">Central </w:t>
            </w:r>
            <w:r w:rsidR="00D83A4E">
              <w:rPr>
                <w:rFonts w:cs="Arial"/>
                <w:b/>
                <w:sz w:val="22"/>
                <w:szCs w:val="22"/>
              </w:rPr>
              <w:t>N</w:t>
            </w:r>
            <w:r w:rsidRPr="0047008F">
              <w:rPr>
                <w:rFonts w:cs="Arial"/>
                <w:b/>
                <w:sz w:val="22"/>
                <w:szCs w:val="22"/>
              </w:rPr>
              <w:t>P</w:t>
            </w:r>
            <w:r w:rsidR="00D83A4E">
              <w:rPr>
                <w:rFonts w:cs="Arial"/>
                <w:b/>
                <w:sz w:val="22"/>
                <w:szCs w:val="22"/>
              </w:rPr>
              <w:t>S</w:t>
            </w:r>
            <w:r w:rsidRPr="0047008F">
              <w:rPr>
                <w:rFonts w:cs="Arial"/>
                <w:b/>
                <w:sz w:val="22"/>
                <w:szCs w:val="22"/>
              </w:rPr>
              <w:t xml:space="preserve">V </w:t>
            </w:r>
            <w:r w:rsidR="00EF690C">
              <w:rPr>
                <w:rFonts w:cs="Arial"/>
                <w:b/>
                <w:sz w:val="22"/>
                <w:szCs w:val="22"/>
              </w:rPr>
              <w:t>(</w:t>
            </w:r>
            <w:r w:rsidR="00302E0C">
              <w:rPr>
                <w:rFonts w:cs="Arial"/>
                <w:b/>
                <w:sz w:val="22"/>
                <w:szCs w:val="22"/>
              </w:rPr>
              <w:t xml:space="preserve">PV </w:t>
            </w:r>
            <w:r w:rsidRPr="0047008F">
              <w:rPr>
                <w:rFonts w:cs="Arial"/>
                <w:b/>
                <w:sz w:val="22"/>
                <w:szCs w:val="22"/>
              </w:rPr>
              <w:t>2024 Prices</w:t>
            </w:r>
            <w:r w:rsidR="009A31C9">
              <w:rPr>
                <w:rFonts w:cs="Arial"/>
                <w:b/>
                <w:sz w:val="22"/>
                <w:szCs w:val="22"/>
              </w:rPr>
              <w:t>, £m</w:t>
            </w:r>
            <w:r w:rsidRPr="0047008F">
              <w:rPr>
                <w:rFonts w:cs="Arial"/>
                <w:b/>
                <w:sz w:val="22"/>
                <w:szCs w:val="22"/>
              </w:rPr>
              <w:t>)</w:t>
            </w:r>
          </w:p>
        </w:tc>
        <w:tc>
          <w:tcPr>
            <w:tcW w:w="2403" w:type="dxa"/>
            <w:tcBorders>
              <w:bottom w:val="single" w:sz="4" w:space="0" w:color="auto"/>
            </w:tcBorders>
          </w:tcPr>
          <w:p w14:paraId="5AE001BA" w14:textId="740165BD" w:rsidR="000D007C" w:rsidRPr="0047008F" w:rsidRDefault="000D007C" w:rsidP="00AA7F7D">
            <w:pPr>
              <w:spacing w:after="120" w:line="259" w:lineRule="auto"/>
              <w:jc w:val="center"/>
              <w:rPr>
                <w:rFonts w:cs="Arial"/>
                <w:b/>
                <w:sz w:val="22"/>
                <w:szCs w:val="22"/>
              </w:rPr>
            </w:pPr>
            <w:r w:rsidRPr="0047008F">
              <w:rPr>
                <w:rFonts w:cs="Arial"/>
                <w:b/>
                <w:sz w:val="22"/>
                <w:szCs w:val="22"/>
              </w:rPr>
              <w:t xml:space="preserve">Low </w:t>
            </w:r>
            <w:r w:rsidR="00D83A4E">
              <w:rPr>
                <w:rFonts w:cs="Arial"/>
                <w:b/>
                <w:sz w:val="22"/>
                <w:szCs w:val="22"/>
              </w:rPr>
              <w:t>N</w:t>
            </w:r>
            <w:r w:rsidRPr="0047008F">
              <w:rPr>
                <w:rFonts w:cs="Arial"/>
                <w:b/>
                <w:sz w:val="22"/>
                <w:szCs w:val="22"/>
              </w:rPr>
              <w:t>P</w:t>
            </w:r>
            <w:r w:rsidR="00D83A4E">
              <w:rPr>
                <w:rFonts w:cs="Arial"/>
                <w:b/>
                <w:sz w:val="22"/>
                <w:szCs w:val="22"/>
              </w:rPr>
              <w:t>S</w:t>
            </w:r>
            <w:r w:rsidRPr="0047008F">
              <w:rPr>
                <w:rFonts w:cs="Arial"/>
                <w:b/>
                <w:sz w:val="22"/>
                <w:szCs w:val="22"/>
              </w:rPr>
              <w:t>V</w:t>
            </w:r>
            <w:r w:rsidR="00EF690C">
              <w:rPr>
                <w:rFonts w:cs="Arial"/>
                <w:b/>
                <w:sz w:val="22"/>
                <w:szCs w:val="22"/>
              </w:rPr>
              <w:t xml:space="preserve"> </w:t>
            </w:r>
            <w:r w:rsidR="00302E0C">
              <w:rPr>
                <w:rFonts w:cs="Arial"/>
                <w:b/>
                <w:sz w:val="22"/>
                <w:szCs w:val="22"/>
              </w:rPr>
              <w:t>(PV</w:t>
            </w:r>
            <w:r w:rsidRPr="0047008F">
              <w:rPr>
                <w:rFonts w:cs="Arial"/>
                <w:b/>
                <w:sz w:val="22"/>
                <w:szCs w:val="22"/>
              </w:rPr>
              <w:t xml:space="preserve"> 2024 Prices</w:t>
            </w:r>
            <w:r w:rsidR="009A31C9">
              <w:rPr>
                <w:rFonts w:cs="Arial"/>
                <w:b/>
                <w:sz w:val="22"/>
                <w:szCs w:val="22"/>
              </w:rPr>
              <w:t>, £m</w:t>
            </w:r>
            <w:r w:rsidRPr="0047008F">
              <w:rPr>
                <w:rFonts w:cs="Arial"/>
                <w:b/>
                <w:sz w:val="22"/>
                <w:szCs w:val="22"/>
              </w:rPr>
              <w:t>)</w:t>
            </w:r>
          </w:p>
        </w:tc>
      </w:tr>
      <w:tr w:rsidR="00950B98" w14:paraId="19AFCF86" w14:textId="77777777" w:rsidTr="003F40C2">
        <w:trPr>
          <w:trHeight w:val="340"/>
        </w:trPr>
        <w:tc>
          <w:tcPr>
            <w:tcW w:w="2268" w:type="dxa"/>
          </w:tcPr>
          <w:p w14:paraId="7ED8E1DB" w14:textId="77777777" w:rsidR="000D007C" w:rsidRPr="006C4C36" w:rsidRDefault="000D007C">
            <w:pPr>
              <w:spacing w:after="120" w:line="259" w:lineRule="auto"/>
              <w:jc w:val="both"/>
              <w:rPr>
                <w:rFonts w:cs="Arial"/>
                <w:sz w:val="22"/>
                <w:szCs w:val="22"/>
              </w:rPr>
            </w:pPr>
            <w:r>
              <w:rPr>
                <w:rFonts w:cs="Arial"/>
                <w:sz w:val="22"/>
                <w:szCs w:val="22"/>
              </w:rPr>
              <w:t>10%</w:t>
            </w:r>
          </w:p>
        </w:tc>
        <w:tc>
          <w:tcPr>
            <w:tcW w:w="2410" w:type="dxa"/>
            <w:tcBorders>
              <w:top w:val="single" w:sz="4" w:space="0" w:color="auto"/>
              <w:left w:val="single" w:sz="4" w:space="0" w:color="auto"/>
              <w:bottom w:val="single" w:sz="4" w:space="0" w:color="auto"/>
              <w:right w:val="single" w:sz="4" w:space="0" w:color="auto"/>
            </w:tcBorders>
            <w:shd w:val="clear" w:color="000000" w:fill="FFFFFF"/>
            <w:vAlign w:val="bottom"/>
          </w:tcPr>
          <w:p w14:paraId="615D83E5" w14:textId="15F21461" w:rsidR="000D007C" w:rsidRPr="00217638" w:rsidRDefault="00827CA3" w:rsidP="004038E6">
            <w:pPr>
              <w:spacing w:after="120" w:line="259" w:lineRule="auto"/>
              <w:jc w:val="right"/>
              <w:rPr>
                <w:rFonts w:cs="Arial"/>
                <w:sz w:val="22"/>
                <w:szCs w:val="22"/>
              </w:rPr>
            </w:pPr>
            <w:r w:rsidRPr="003F40C2">
              <w:rPr>
                <w:rFonts w:cs="Arial"/>
                <w:color w:val="000000"/>
                <w:sz w:val="22"/>
                <w:szCs w:val="22"/>
              </w:rPr>
              <w:t>-</w:t>
            </w:r>
            <w:r w:rsidR="00CC6A2C" w:rsidRPr="003F40C2">
              <w:rPr>
                <w:rFonts w:cs="Arial"/>
                <w:color w:val="000000"/>
                <w:sz w:val="22"/>
                <w:szCs w:val="22"/>
              </w:rPr>
              <w:t>849.6</w:t>
            </w:r>
          </w:p>
        </w:tc>
        <w:tc>
          <w:tcPr>
            <w:tcW w:w="2410" w:type="dxa"/>
            <w:tcBorders>
              <w:top w:val="single" w:sz="4" w:space="0" w:color="auto"/>
              <w:left w:val="nil"/>
              <w:bottom w:val="single" w:sz="4" w:space="0" w:color="auto"/>
              <w:right w:val="single" w:sz="4" w:space="0" w:color="auto"/>
            </w:tcBorders>
            <w:shd w:val="clear" w:color="000000" w:fill="FFFFFF"/>
            <w:vAlign w:val="bottom"/>
          </w:tcPr>
          <w:p w14:paraId="5B99D36A" w14:textId="52D1C353" w:rsidR="000D007C" w:rsidRPr="00217638" w:rsidRDefault="00827CA3" w:rsidP="004038E6">
            <w:pPr>
              <w:spacing w:after="120" w:line="259" w:lineRule="auto"/>
              <w:jc w:val="right"/>
              <w:rPr>
                <w:rFonts w:cs="Arial"/>
                <w:sz w:val="22"/>
                <w:szCs w:val="22"/>
              </w:rPr>
            </w:pPr>
            <w:r w:rsidRPr="004038E6">
              <w:rPr>
                <w:rFonts w:cs="Arial"/>
                <w:color w:val="000000"/>
                <w:sz w:val="22"/>
                <w:szCs w:val="22"/>
              </w:rPr>
              <w:t>-</w:t>
            </w:r>
            <w:r w:rsidR="00CC6A2C" w:rsidRPr="004038E6">
              <w:rPr>
                <w:rFonts w:cs="Arial"/>
                <w:color w:val="000000"/>
                <w:sz w:val="22"/>
                <w:szCs w:val="22"/>
              </w:rPr>
              <w:t>1</w:t>
            </w:r>
            <w:r w:rsidRPr="004038E6">
              <w:rPr>
                <w:rFonts w:cs="Arial"/>
                <w:color w:val="000000"/>
                <w:sz w:val="22"/>
                <w:szCs w:val="22"/>
              </w:rPr>
              <w:t>,</w:t>
            </w:r>
            <w:r w:rsidR="00CC6A2C" w:rsidRPr="004038E6">
              <w:rPr>
                <w:rFonts w:cs="Arial"/>
                <w:color w:val="000000"/>
                <w:sz w:val="22"/>
                <w:szCs w:val="22"/>
              </w:rPr>
              <w:t>006.6</w:t>
            </w:r>
          </w:p>
        </w:tc>
        <w:tc>
          <w:tcPr>
            <w:tcW w:w="2403" w:type="dxa"/>
            <w:tcBorders>
              <w:top w:val="single" w:sz="4" w:space="0" w:color="auto"/>
              <w:left w:val="nil"/>
              <w:bottom w:val="single" w:sz="4" w:space="0" w:color="auto"/>
              <w:right w:val="single" w:sz="8" w:space="0" w:color="auto"/>
            </w:tcBorders>
            <w:shd w:val="clear" w:color="000000" w:fill="FFFFFF"/>
            <w:vAlign w:val="bottom"/>
          </w:tcPr>
          <w:p w14:paraId="37506093" w14:textId="4956FED2" w:rsidR="000D007C" w:rsidRPr="00217638" w:rsidRDefault="00827CA3" w:rsidP="004038E6">
            <w:pPr>
              <w:spacing w:after="120" w:line="259" w:lineRule="auto"/>
              <w:jc w:val="right"/>
              <w:rPr>
                <w:rFonts w:cs="Arial"/>
                <w:sz w:val="22"/>
                <w:szCs w:val="22"/>
              </w:rPr>
            </w:pPr>
            <w:r w:rsidRPr="004038E6">
              <w:rPr>
                <w:rFonts w:cs="Arial"/>
                <w:color w:val="000000"/>
                <w:sz w:val="22"/>
                <w:szCs w:val="22"/>
              </w:rPr>
              <w:t>-</w:t>
            </w:r>
            <w:r w:rsidR="00CC6A2C" w:rsidRPr="004038E6">
              <w:rPr>
                <w:rFonts w:cs="Arial"/>
                <w:color w:val="000000"/>
                <w:sz w:val="22"/>
                <w:szCs w:val="22"/>
              </w:rPr>
              <w:t>1</w:t>
            </w:r>
            <w:r w:rsidRPr="004038E6">
              <w:rPr>
                <w:rFonts w:cs="Arial"/>
                <w:color w:val="000000"/>
                <w:sz w:val="22"/>
                <w:szCs w:val="22"/>
              </w:rPr>
              <w:t>,</w:t>
            </w:r>
            <w:r w:rsidR="00CC6A2C" w:rsidRPr="004038E6">
              <w:rPr>
                <w:rFonts w:cs="Arial"/>
                <w:color w:val="000000"/>
                <w:sz w:val="22"/>
                <w:szCs w:val="22"/>
              </w:rPr>
              <w:t>163.6</w:t>
            </w:r>
          </w:p>
        </w:tc>
      </w:tr>
      <w:tr w:rsidR="00950B98" w14:paraId="252E0CBB" w14:textId="77777777" w:rsidTr="003F40C2">
        <w:trPr>
          <w:trHeight w:val="340"/>
        </w:trPr>
        <w:tc>
          <w:tcPr>
            <w:tcW w:w="2268" w:type="dxa"/>
          </w:tcPr>
          <w:p w14:paraId="0984F4CD" w14:textId="77777777" w:rsidR="000D007C" w:rsidRPr="006C4C36" w:rsidRDefault="000D007C">
            <w:pPr>
              <w:spacing w:after="120" w:line="259" w:lineRule="auto"/>
              <w:jc w:val="both"/>
              <w:rPr>
                <w:rFonts w:cs="Arial"/>
                <w:sz w:val="22"/>
                <w:szCs w:val="22"/>
              </w:rPr>
            </w:pPr>
            <w:r>
              <w:rPr>
                <w:rFonts w:cs="Arial"/>
                <w:sz w:val="22"/>
                <w:szCs w:val="22"/>
              </w:rPr>
              <w:t>20%</w:t>
            </w:r>
          </w:p>
        </w:tc>
        <w:tc>
          <w:tcPr>
            <w:tcW w:w="2410" w:type="dxa"/>
            <w:tcBorders>
              <w:top w:val="nil"/>
              <w:left w:val="single" w:sz="4" w:space="0" w:color="auto"/>
              <w:bottom w:val="single" w:sz="4" w:space="0" w:color="auto"/>
              <w:right w:val="single" w:sz="4" w:space="0" w:color="auto"/>
            </w:tcBorders>
            <w:shd w:val="clear" w:color="000000" w:fill="FFFFFF"/>
            <w:vAlign w:val="bottom"/>
          </w:tcPr>
          <w:p w14:paraId="4CB01CD6" w14:textId="72506134" w:rsidR="000D007C" w:rsidRPr="00217638" w:rsidRDefault="00827CA3" w:rsidP="00A55741">
            <w:pPr>
              <w:spacing w:after="120" w:line="259" w:lineRule="auto"/>
              <w:jc w:val="right"/>
              <w:rPr>
                <w:rFonts w:cs="Arial"/>
                <w:sz w:val="22"/>
                <w:szCs w:val="22"/>
              </w:rPr>
            </w:pPr>
            <w:r w:rsidRPr="004038E6">
              <w:rPr>
                <w:rFonts w:cs="Arial"/>
                <w:color w:val="000000"/>
                <w:sz w:val="22"/>
                <w:szCs w:val="22"/>
              </w:rPr>
              <w:t>-</w:t>
            </w:r>
            <w:r w:rsidR="00CC6A2C" w:rsidRPr="004038E6">
              <w:rPr>
                <w:rFonts w:cs="Arial"/>
                <w:color w:val="000000"/>
                <w:sz w:val="22"/>
                <w:szCs w:val="22"/>
              </w:rPr>
              <w:t>813.1</w:t>
            </w:r>
          </w:p>
        </w:tc>
        <w:tc>
          <w:tcPr>
            <w:tcW w:w="2410" w:type="dxa"/>
            <w:tcBorders>
              <w:top w:val="nil"/>
              <w:left w:val="nil"/>
              <w:bottom w:val="single" w:sz="4" w:space="0" w:color="auto"/>
              <w:right w:val="single" w:sz="4" w:space="0" w:color="auto"/>
            </w:tcBorders>
            <w:shd w:val="clear" w:color="000000" w:fill="FFFFFF"/>
            <w:vAlign w:val="bottom"/>
          </w:tcPr>
          <w:p w14:paraId="1B4F18B5" w14:textId="1DA1AF5E" w:rsidR="000D007C" w:rsidRPr="00217638" w:rsidRDefault="00827CA3" w:rsidP="00A55741">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962.3</w:t>
            </w:r>
          </w:p>
        </w:tc>
        <w:tc>
          <w:tcPr>
            <w:tcW w:w="2403" w:type="dxa"/>
            <w:tcBorders>
              <w:top w:val="nil"/>
              <w:left w:val="nil"/>
              <w:bottom w:val="single" w:sz="4" w:space="0" w:color="auto"/>
              <w:right w:val="single" w:sz="8" w:space="0" w:color="auto"/>
            </w:tcBorders>
            <w:shd w:val="clear" w:color="000000" w:fill="FFFFFF"/>
            <w:vAlign w:val="bottom"/>
          </w:tcPr>
          <w:p w14:paraId="44739EDC" w14:textId="3EF982B8" w:rsidR="000D007C" w:rsidRPr="00217638" w:rsidRDefault="00827CA3" w:rsidP="00A55741">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1</w:t>
            </w:r>
            <w:r w:rsidRPr="00A55741">
              <w:rPr>
                <w:rFonts w:cs="Arial"/>
                <w:color w:val="000000"/>
                <w:sz w:val="22"/>
                <w:szCs w:val="22"/>
              </w:rPr>
              <w:t>,</w:t>
            </w:r>
            <w:r w:rsidR="00CC6A2C" w:rsidRPr="00A55741">
              <w:rPr>
                <w:rFonts w:cs="Arial"/>
                <w:color w:val="000000"/>
                <w:sz w:val="22"/>
                <w:szCs w:val="22"/>
              </w:rPr>
              <w:t>111.5</w:t>
            </w:r>
          </w:p>
        </w:tc>
      </w:tr>
      <w:tr w:rsidR="00950B98" w14:paraId="7D0F3A37" w14:textId="77777777" w:rsidTr="003F40C2">
        <w:trPr>
          <w:trHeight w:val="340"/>
        </w:trPr>
        <w:tc>
          <w:tcPr>
            <w:tcW w:w="2268" w:type="dxa"/>
          </w:tcPr>
          <w:p w14:paraId="466CCC8D" w14:textId="77777777" w:rsidR="000D007C" w:rsidRPr="006C4C36" w:rsidRDefault="000D007C">
            <w:pPr>
              <w:spacing w:after="120" w:line="259" w:lineRule="auto"/>
              <w:jc w:val="both"/>
              <w:rPr>
                <w:rFonts w:cs="Arial"/>
                <w:sz w:val="22"/>
                <w:szCs w:val="22"/>
              </w:rPr>
            </w:pPr>
            <w:r>
              <w:rPr>
                <w:rFonts w:cs="Arial"/>
                <w:sz w:val="22"/>
                <w:szCs w:val="22"/>
              </w:rPr>
              <w:t>30%</w:t>
            </w:r>
          </w:p>
        </w:tc>
        <w:tc>
          <w:tcPr>
            <w:tcW w:w="2410" w:type="dxa"/>
            <w:tcBorders>
              <w:top w:val="nil"/>
              <w:left w:val="single" w:sz="4" w:space="0" w:color="auto"/>
              <w:bottom w:val="single" w:sz="4" w:space="0" w:color="auto"/>
              <w:right w:val="single" w:sz="4" w:space="0" w:color="auto"/>
            </w:tcBorders>
            <w:shd w:val="clear" w:color="000000" w:fill="FFFFFF"/>
            <w:vAlign w:val="bottom"/>
          </w:tcPr>
          <w:p w14:paraId="56F020E0" w14:textId="0AEFDB19" w:rsidR="000D007C" w:rsidRPr="00217638" w:rsidRDefault="00827CA3" w:rsidP="004038E6">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776.7</w:t>
            </w:r>
          </w:p>
        </w:tc>
        <w:tc>
          <w:tcPr>
            <w:tcW w:w="2410" w:type="dxa"/>
            <w:tcBorders>
              <w:top w:val="nil"/>
              <w:left w:val="nil"/>
              <w:bottom w:val="single" w:sz="4" w:space="0" w:color="auto"/>
              <w:right w:val="single" w:sz="4" w:space="0" w:color="auto"/>
            </w:tcBorders>
            <w:shd w:val="clear" w:color="000000" w:fill="FFFFFF"/>
            <w:vAlign w:val="bottom"/>
          </w:tcPr>
          <w:p w14:paraId="552A218B" w14:textId="297D0218" w:rsidR="000D007C" w:rsidRPr="00217638" w:rsidRDefault="00827CA3" w:rsidP="004038E6">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918.</w:t>
            </w:r>
          </w:p>
        </w:tc>
        <w:tc>
          <w:tcPr>
            <w:tcW w:w="2403" w:type="dxa"/>
            <w:tcBorders>
              <w:top w:val="nil"/>
              <w:left w:val="nil"/>
              <w:bottom w:val="single" w:sz="4" w:space="0" w:color="auto"/>
              <w:right w:val="single" w:sz="8" w:space="0" w:color="auto"/>
            </w:tcBorders>
            <w:shd w:val="clear" w:color="000000" w:fill="FFFFFF"/>
            <w:vAlign w:val="bottom"/>
          </w:tcPr>
          <w:p w14:paraId="4C55A81D" w14:textId="658E8157" w:rsidR="000D007C" w:rsidRPr="00217638" w:rsidRDefault="00827CA3" w:rsidP="004038E6">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1</w:t>
            </w:r>
            <w:r w:rsidRPr="00A55741">
              <w:rPr>
                <w:rFonts w:cs="Arial"/>
                <w:color w:val="000000"/>
                <w:sz w:val="22"/>
                <w:szCs w:val="22"/>
              </w:rPr>
              <w:t>,</w:t>
            </w:r>
            <w:r w:rsidR="00CC6A2C" w:rsidRPr="00A55741">
              <w:rPr>
                <w:rFonts w:cs="Arial"/>
                <w:color w:val="000000"/>
                <w:sz w:val="22"/>
                <w:szCs w:val="22"/>
              </w:rPr>
              <w:t>059.4</w:t>
            </w:r>
          </w:p>
        </w:tc>
      </w:tr>
      <w:tr w:rsidR="00950B98" w14:paraId="5FE919F2" w14:textId="77777777" w:rsidTr="003F40C2">
        <w:trPr>
          <w:trHeight w:val="340"/>
        </w:trPr>
        <w:tc>
          <w:tcPr>
            <w:tcW w:w="2268" w:type="dxa"/>
          </w:tcPr>
          <w:p w14:paraId="01ECC81A" w14:textId="2B8B7841" w:rsidR="000D007C" w:rsidRPr="00A55741" w:rsidRDefault="000D007C">
            <w:pPr>
              <w:spacing w:after="120" w:line="259" w:lineRule="auto"/>
              <w:jc w:val="both"/>
              <w:rPr>
                <w:rFonts w:cs="Arial"/>
                <w:b/>
                <w:sz w:val="22"/>
                <w:szCs w:val="22"/>
              </w:rPr>
            </w:pPr>
            <w:r w:rsidRPr="00A55741">
              <w:rPr>
                <w:rFonts w:cs="Arial"/>
                <w:b/>
                <w:sz w:val="22"/>
                <w:szCs w:val="22"/>
              </w:rPr>
              <w:t>40% (</w:t>
            </w:r>
            <w:r w:rsidR="005D3724" w:rsidRPr="00A55741">
              <w:rPr>
                <w:rFonts w:cs="Arial"/>
                <w:b/>
                <w:sz w:val="22"/>
                <w:szCs w:val="22"/>
              </w:rPr>
              <w:t>Main</w:t>
            </w:r>
            <w:r w:rsidRPr="00A55741">
              <w:rPr>
                <w:rFonts w:cs="Arial"/>
                <w:b/>
                <w:sz w:val="22"/>
                <w:szCs w:val="22"/>
              </w:rPr>
              <w:t xml:space="preserve">) </w:t>
            </w:r>
          </w:p>
        </w:tc>
        <w:tc>
          <w:tcPr>
            <w:tcW w:w="2410" w:type="dxa"/>
            <w:tcBorders>
              <w:top w:val="nil"/>
              <w:left w:val="single" w:sz="4" w:space="0" w:color="auto"/>
              <w:bottom w:val="single" w:sz="4" w:space="0" w:color="auto"/>
              <w:right w:val="single" w:sz="4" w:space="0" w:color="auto"/>
            </w:tcBorders>
            <w:shd w:val="clear" w:color="auto" w:fill="auto"/>
            <w:vAlign w:val="bottom"/>
          </w:tcPr>
          <w:p w14:paraId="73C54B8F" w14:textId="29FDE460" w:rsidR="000D007C" w:rsidRPr="00A55741" w:rsidRDefault="00827CA3" w:rsidP="00A55741">
            <w:pPr>
              <w:spacing w:after="120" w:line="259" w:lineRule="auto"/>
              <w:jc w:val="right"/>
              <w:rPr>
                <w:rFonts w:cs="Arial"/>
                <w:b/>
                <w:sz w:val="22"/>
                <w:szCs w:val="22"/>
              </w:rPr>
            </w:pPr>
            <w:r w:rsidRPr="00A55741">
              <w:rPr>
                <w:rFonts w:cs="Arial"/>
                <w:b/>
                <w:color w:val="000000"/>
                <w:sz w:val="22"/>
                <w:szCs w:val="22"/>
              </w:rPr>
              <w:t>-</w:t>
            </w:r>
            <w:r w:rsidR="00CC6A2C" w:rsidRPr="00A55741">
              <w:rPr>
                <w:rFonts w:cs="Arial"/>
                <w:b/>
                <w:color w:val="000000"/>
                <w:sz w:val="22"/>
                <w:szCs w:val="22"/>
              </w:rPr>
              <w:t>740.2</w:t>
            </w:r>
          </w:p>
        </w:tc>
        <w:tc>
          <w:tcPr>
            <w:tcW w:w="2410" w:type="dxa"/>
            <w:tcBorders>
              <w:top w:val="nil"/>
              <w:left w:val="nil"/>
              <w:bottom w:val="single" w:sz="4" w:space="0" w:color="auto"/>
              <w:right w:val="single" w:sz="4" w:space="0" w:color="auto"/>
            </w:tcBorders>
            <w:shd w:val="clear" w:color="auto" w:fill="auto"/>
            <w:vAlign w:val="bottom"/>
          </w:tcPr>
          <w:p w14:paraId="72F09D0B" w14:textId="12A1D29E" w:rsidR="000D007C" w:rsidRPr="00A55741" w:rsidRDefault="00827CA3" w:rsidP="00A55741">
            <w:pPr>
              <w:spacing w:after="120" w:line="259" w:lineRule="auto"/>
              <w:jc w:val="right"/>
              <w:rPr>
                <w:rFonts w:cs="Arial"/>
                <w:b/>
                <w:sz w:val="22"/>
                <w:szCs w:val="22"/>
              </w:rPr>
            </w:pPr>
            <w:r w:rsidRPr="00A55741">
              <w:rPr>
                <w:rFonts w:cs="Arial"/>
                <w:b/>
                <w:color w:val="000000"/>
                <w:sz w:val="22"/>
                <w:szCs w:val="22"/>
              </w:rPr>
              <w:t>-</w:t>
            </w:r>
            <w:r w:rsidR="00CC6A2C" w:rsidRPr="00A55741">
              <w:rPr>
                <w:rFonts w:cs="Arial"/>
                <w:b/>
                <w:color w:val="000000"/>
                <w:sz w:val="22"/>
                <w:szCs w:val="22"/>
              </w:rPr>
              <w:t>873.7</w:t>
            </w:r>
          </w:p>
        </w:tc>
        <w:tc>
          <w:tcPr>
            <w:tcW w:w="2403" w:type="dxa"/>
            <w:tcBorders>
              <w:top w:val="nil"/>
              <w:left w:val="nil"/>
              <w:bottom w:val="single" w:sz="4" w:space="0" w:color="auto"/>
              <w:right w:val="single" w:sz="8" w:space="0" w:color="auto"/>
            </w:tcBorders>
            <w:shd w:val="clear" w:color="auto" w:fill="auto"/>
            <w:vAlign w:val="bottom"/>
          </w:tcPr>
          <w:p w14:paraId="13C595BA" w14:textId="67983B1F" w:rsidR="000D007C" w:rsidRPr="00A55741" w:rsidRDefault="00827CA3" w:rsidP="00A55741">
            <w:pPr>
              <w:spacing w:after="120" w:line="259" w:lineRule="auto"/>
              <w:jc w:val="right"/>
              <w:rPr>
                <w:rFonts w:cs="Arial"/>
                <w:b/>
                <w:sz w:val="22"/>
                <w:szCs w:val="22"/>
              </w:rPr>
            </w:pPr>
            <w:r w:rsidRPr="00A55741">
              <w:rPr>
                <w:rFonts w:cs="Arial"/>
                <w:b/>
                <w:color w:val="000000"/>
                <w:sz w:val="22"/>
                <w:szCs w:val="22"/>
              </w:rPr>
              <w:t>-</w:t>
            </w:r>
            <w:r w:rsidR="00CC6A2C" w:rsidRPr="00A55741">
              <w:rPr>
                <w:rFonts w:cs="Arial"/>
                <w:b/>
                <w:color w:val="000000"/>
                <w:sz w:val="22"/>
                <w:szCs w:val="22"/>
              </w:rPr>
              <w:t>1</w:t>
            </w:r>
            <w:r w:rsidRPr="00A55741">
              <w:rPr>
                <w:rFonts w:cs="Arial"/>
                <w:b/>
                <w:color w:val="000000"/>
                <w:sz w:val="22"/>
                <w:szCs w:val="22"/>
              </w:rPr>
              <w:t>,</w:t>
            </w:r>
            <w:r w:rsidR="00CC6A2C" w:rsidRPr="00A55741">
              <w:rPr>
                <w:rFonts w:cs="Arial"/>
                <w:b/>
                <w:color w:val="000000"/>
                <w:sz w:val="22"/>
                <w:szCs w:val="22"/>
              </w:rPr>
              <w:t>007.3</w:t>
            </w:r>
          </w:p>
        </w:tc>
      </w:tr>
      <w:tr w:rsidR="00950B98" w14:paraId="1E0FBC3F" w14:textId="77777777" w:rsidTr="003F40C2">
        <w:trPr>
          <w:trHeight w:val="340"/>
        </w:trPr>
        <w:tc>
          <w:tcPr>
            <w:tcW w:w="2268" w:type="dxa"/>
          </w:tcPr>
          <w:p w14:paraId="0EEEFFF7" w14:textId="77777777" w:rsidR="000D007C" w:rsidRPr="006C4C36" w:rsidRDefault="000D007C">
            <w:pPr>
              <w:spacing w:after="120" w:line="259" w:lineRule="auto"/>
              <w:jc w:val="both"/>
              <w:rPr>
                <w:rFonts w:cs="Arial"/>
                <w:sz w:val="22"/>
                <w:szCs w:val="22"/>
              </w:rPr>
            </w:pPr>
            <w:r>
              <w:rPr>
                <w:rFonts w:cs="Arial"/>
                <w:sz w:val="22"/>
                <w:szCs w:val="22"/>
              </w:rPr>
              <w:t>50%</w:t>
            </w:r>
          </w:p>
        </w:tc>
        <w:tc>
          <w:tcPr>
            <w:tcW w:w="2410" w:type="dxa"/>
            <w:tcBorders>
              <w:top w:val="nil"/>
              <w:left w:val="single" w:sz="4" w:space="0" w:color="auto"/>
              <w:bottom w:val="single" w:sz="4" w:space="0" w:color="auto"/>
              <w:right w:val="single" w:sz="4" w:space="0" w:color="auto"/>
            </w:tcBorders>
            <w:shd w:val="clear" w:color="000000" w:fill="FFFFFF"/>
            <w:vAlign w:val="bottom"/>
          </w:tcPr>
          <w:p w14:paraId="01DE648D" w14:textId="2D5CBFA7" w:rsidR="000D007C" w:rsidRPr="00217638" w:rsidRDefault="00827CA3" w:rsidP="00A55741">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703.7</w:t>
            </w:r>
          </w:p>
        </w:tc>
        <w:tc>
          <w:tcPr>
            <w:tcW w:w="2410" w:type="dxa"/>
            <w:tcBorders>
              <w:top w:val="nil"/>
              <w:left w:val="nil"/>
              <w:bottom w:val="single" w:sz="4" w:space="0" w:color="auto"/>
              <w:right w:val="single" w:sz="4" w:space="0" w:color="auto"/>
            </w:tcBorders>
            <w:shd w:val="clear" w:color="000000" w:fill="FFFFFF"/>
            <w:vAlign w:val="bottom"/>
          </w:tcPr>
          <w:p w14:paraId="4BC42314" w14:textId="5E19D7B2" w:rsidR="000D007C" w:rsidRPr="00217638" w:rsidRDefault="00827CA3" w:rsidP="00A55741">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829.4</w:t>
            </w:r>
          </w:p>
        </w:tc>
        <w:tc>
          <w:tcPr>
            <w:tcW w:w="2403" w:type="dxa"/>
            <w:tcBorders>
              <w:top w:val="nil"/>
              <w:left w:val="nil"/>
              <w:bottom w:val="single" w:sz="4" w:space="0" w:color="auto"/>
              <w:right w:val="single" w:sz="8" w:space="0" w:color="auto"/>
            </w:tcBorders>
            <w:shd w:val="clear" w:color="000000" w:fill="FFFFFF"/>
            <w:vAlign w:val="bottom"/>
          </w:tcPr>
          <w:p w14:paraId="3E829667" w14:textId="7F709A76" w:rsidR="000D007C" w:rsidRPr="00217638" w:rsidRDefault="00827CA3" w:rsidP="00A55741">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955.2</w:t>
            </w:r>
          </w:p>
        </w:tc>
      </w:tr>
      <w:tr w:rsidR="00950B98" w14:paraId="7C6203F4" w14:textId="77777777" w:rsidTr="003F40C2">
        <w:trPr>
          <w:trHeight w:val="340"/>
        </w:trPr>
        <w:tc>
          <w:tcPr>
            <w:tcW w:w="2268" w:type="dxa"/>
          </w:tcPr>
          <w:p w14:paraId="0C6DD830" w14:textId="77777777" w:rsidR="000D007C" w:rsidRPr="006C4C36" w:rsidRDefault="000D007C">
            <w:pPr>
              <w:spacing w:after="120" w:line="259" w:lineRule="auto"/>
              <w:jc w:val="both"/>
              <w:rPr>
                <w:rFonts w:cs="Arial"/>
                <w:sz w:val="22"/>
                <w:szCs w:val="22"/>
              </w:rPr>
            </w:pPr>
            <w:r>
              <w:rPr>
                <w:rFonts w:cs="Arial"/>
                <w:sz w:val="22"/>
                <w:szCs w:val="22"/>
              </w:rPr>
              <w:t>60%</w:t>
            </w:r>
          </w:p>
        </w:tc>
        <w:tc>
          <w:tcPr>
            <w:tcW w:w="2410" w:type="dxa"/>
            <w:tcBorders>
              <w:top w:val="nil"/>
              <w:left w:val="single" w:sz="4" w:space="0" w:color="auto"/>
              <w:bottom w:val="single" w:sz="4" w:space="0" w:color="auto"/>
              <w:right w:val="single" w:sz="4" w:space="0" w:color="auto"/>
            </w:tcBorders>
            <w:shd w:val="clear" w:color="000000" w:fill="FFFFFF"/>
            <w:vAlign w:val="bottom"/>
          </w:tcPr>
          <w:p w14:paraId="6D0B7197" w14:textId="357FB9AF" w:rsidR="000D007C" w:rsidRPr="00217638" w:rsidRDefault="00827CA3" w:rsidP="00A55741">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667.2</w:t>
            </w:r>
          </w:p>
        </w:tc>
        <w:tc>
          <w:tcPr>
            <w:tcW w:w="2410" w:type="dxa"/>
            <w:tcBorders>
              <w:top w:val="nil"/>
              <w:left w:val="nil"/>
              <w:bottom w:val="single" w:sz="4" w:space="0" w:color="auto"/>
              <w:right w:val="single" w:sz="4" w:space="0" w:color="auto"/>
            </w:tcBorders>
            <w:shd w:val="clear" w:color="000000" w:fill="FFFFFF"/>
            <w:vAlign w:val="bottom"/>
          </w:tcPr>
          <w:p w14:paraId="6B11AAFC" w14:textId="3F1D6BD7" w:rsidR="000D007C" w:rsidRPr="00217638" w:rsidRDefault="00827CA3" w:rsidP="00A55741">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785.1</w:t>
            </w:r>
          </w:p>
        </w:tc>
        <w:tc>
          <w:tcPr>
            <w:tcW w:w="2403" w:type="dxa"/>
            <w:tcBorders>
              <w:top w:val="nil"/>
              <w:left w:val="nil"/>
              <w:bottom w:val="single" w:sz="4" w:space="0" w:color="auto"/>
              <w:right w:val="single" w:sz="8" w:space="0" w:color="auto"/>
            </w:tcBorders>
            <w:shd w:val="clear" w:color="000000" w:fill="FFFFFF"/>
            <w:vAlign w:val="bottom"/>
          </w:tcPr>
          <w:p w14:paraId="1FD96C93" w14:textId="02FE761B" w:rsidR="000D007C" w:rsidRPr="00217638" w:rsidRDefault="00827CA3" w:rsidP="00A55741">
            <w:pPr>
              <w:spacing w:after="120" w:line="259" w:lineRule="auto"/>
              <w:jc w:val="right"/>
              <w:rPr>
                <w:rFonts w:cs="Arial"/>
                <w:sz w:val="22"/>
                <w:szCs w:val="22"/>
              </w:rPr>
            </w:pPr>
            <w:r w:rsidRPr="00A55741">
              <w:rPr>
                <w:rFonts w:cs="Arial"/>
                <w:color w:val="000000"/>
                <w:sz w:val="22"/>
                <w:szCs w:val="22"/>
              </w:rPr>
              <w:t>-</w:t>
            </w:r>
            <w:r w:rsidR="00CC6A2C" w:rsidRPr="00A55741">
              <w:rPr>
                <w:rFonts w:cs="Arial"/>
                <w:color w:val="000000"/>
                <w:sz w:val="22"/>
                <w:szCs w:val="22"/>
              </w:rPr>
              <w:t>903.1</w:t>
            </w:r>
          </w:p>
        </w:tc>
      </w:tr>
      <w:tr w:rsidR="006D6900" w14:paraId="7DD35DDE" w14:textId="77777777" w:rsidTr="00A45545">
        <w:trPr>
          <w:trHeight w:val="340"/>
        </w:trPr>
        <w:tc>
          <w:tcPr>
            <w:tcW w:w="2268" w:type="dxa"/>
          </w:tcPr>
          <w:p w14:paraId="39904ED0" w14:textId="69132BA0" w:rsidR="00DF6C58" w:rsidRDefault="00DF6C58" w:rsidP="00DF6C58">
            <w:pPr>
              <w:spacing w:after="120" w:line="259" w:lineRule="auto"/>
              <w:jc w:val="both"/>
              <w:rPr>
                <w:rFonts w:cs="Arial"/>
                <w:sz w:val="22"/>
                <w:szCs w:val="22"/>
              </w:rPr>
            </w:pPr>
            <w:r>
              <w:rPr>
                <w:rFonts w:cs="Arial"/>
                <w:sz w:val="22"/>
                <w:szCs w:val="22"/>
              </w:rPr>
              <w:t>70%</w:t>
            </w:r>
          </w:p>
        </w:tc>
        <w:tc>
          <w:tcPr>
            <w:tcW w:w="2410" w:type="dxa"/>
            <w:tcBorders>
              <w:top w:val="nil"/>
              <w:left w:val="single" w:sz="4" w:space="0" w:color="auto"/>
              <w:bottom w:val="single" w:sz="4" w:space="0" w:color="auto"/>
              <w:right w:val="single" w:sz="4" w:space="0" w:color="auto"/>
            </w:tcBorders>
            <w:shd w:val="clear" w:color="000000" w:fill="FFFFFF"/>
            <w:vAlign w:val="bottom"/>
          </w:tcPr>
          <w:p w14:paraId="702C4D76" w14:textId="6323EBA1" w:rsidR="00DF6C58" w:rsidRPr="00DF6C58" w:rsidRDefault="00827CA3">
            <w:pPr>
              <w:spacing w:after="120" w:line="259" w:lineRule="auto"/>
              <w:jc w:val="right"/>
              <w:rPr>
                <w:rFonts w:cs="Arial"/>
                <w:color w:val="000000"/>
                <w:sz w:val="22"/>
                <w:szCs w:val="22"/>
              </w:rPr>
            </w:pPr>
            <w:r w:rsidRPr="00A55741">
              <w:rPr>
                <w:rFonts w:cs="Arial"/>
                <w:color w:val="000000"/>
                <w:sz w:val="22"/>
                <w:szCs w:val="22"/>
              </w:rPr>
              <w:t>-</w:t>
            </w:r>
            <w:r w:rsidR="00CC6A2C" w:rsidRPr="00A55741">
              <w:rPr>
                <w:rFonts w:cs="Arial"/>
                <w:color w:val="000000"/>
                <w:sz w:val="22"/>
                <w:szCs w:val="22"/>
              </w:rPr>
              <w:t>630.7</w:t>
            </w:r>
          </w:p>
        </w:tc>
        <w:tc>
          <w:tcPr>
            <w:tcW w:w="2410" w:type="dxa"/>
            <w:tcBorders>
              <w:top w:val="nil"/>
              <w:left w:val="nil"/>
              <w:bottom w:val="single" w:sz="4" w:space="0" w:color="auto"/>
              <w:right w:val="single" w:sz="4" w:space="0" w:color="auto"/>
            </w:tcBorders>
            <w:shd w:val="clear" w:color="000000" w:fill="FFFFFF"/>
            <w:vAlign w:val="bottom"/>
          </w:tcPr>
          <w:p w14:paraId="6EA4A824" w14:textId="61C996AB" w:rsidR="00DF6C58" w:rsidRPr="00DF6C58" w:rsidRDefault="00827CA3">
            <w:pPr>
              <w:spacing w:after="120" w:line="259" w:lineRule="auto"/>
              <w:jc w:val="right"/>
              <w:rPr>
                <w:rFonts w:cs="Arial"/>
                <w:color w:val="000000"/>
                <w:sz w:val="22"/>
                <w:szCs w:val="22"/>
              </w:rPr>
            </w:pPr>
            <w:r w:rsidRPr="00A55741">
              <w:rPr>
                <w:rFonts w:cs="Arial"/>
                <w:color w:val="000000"/>
                <w:sz w:val="22"/>
                <w:szCs w:val="22"/>
              </w:rPr>
              <w:t>-</w:t>
            </w:r>
            <w:r w:rsidR="00CC6A2C" w:rsidRPr="00A55741">
              <w:rPr>
                <w:rFonts w:cs="Arial"/>
                <w:color w:val="000000"/>
                <w:sz w:val="22"/>
                <w:szCs w:val="22"/>
              </w:rPr>
              <w:t>740.8</w:t>
            </w:r>
          </w:p>
        </w:tc>
        <w:tc>
          <w:tcPr>
            <w:tcW w:w="2403" w:type="dxa"/>
            <w:tcBorders>
              <w:top w:val="nil"/>
              <w:left w:val="nil"/>
              <w:bottom w:val="single" w:sz="4" w:space="0" w:color="auto"/>
              <w:right w:val="single" w:sz="8" w:space="0" w:color="auto"/>
            </w:tcBorders>
            <w:shd w:val="clear" w:color="000000" w:fill="FFFFFF"/>
            <w:vAlign w:val="bottom"/>
          </w:tcPr>
          <w:p w14:paraId="3DD36C15" w14:textId="087B74FF" w:rsidR="00DF6C58" w:rsidRPr="00DF6C58" w:rsidRDefault="00827CA3">
            <w:pPr>
              <w:spacing w:after="120" w:line="259" w:lineRule="auto"/>
              <w:jc w:val="right"/>
              <w:rPr>
                <w:rFonts w:cs="Arial"/>
                <w:color w:val="000000"/>
                <w:sz w:val="22"/>
                <w:szCs w:val="22"/>
              </w:rPr>
            </w:pPr>
            <w:r w:rsidRPr="00A55741">
              <w:rPr>
                <w:rFonts w:cs="Arial"/>
                <w:color w:val="000000"/>
                <w:sz w:val="22"/>
                <w:szCs w:val="22"/>
              </w:rPr>
              <w:t>-8</w:t>
            </w:r>
            <w:r w:rsidR="00CC6A2C" w:rsidRPr="00A55741">
              <w:rPr>
                <w:rFonts w:cs="Arial"/>
                <w:color w:val="000000"/>
                <w:sz w:val="22"/>
                <w:szCs w:val="22"/>
              </w:rPr>
              <w:t>50.9</w:t>
            </w:r>
          </w:p>
        </w:tc>
      </w:tr>
    </w:tbl>
    <w:p w14:paraId="7819C2AE" w14:textId="77777777" w:rsidR="00E434E9" w:rsidRDefault="00E434E9" w:rsidP="00E434E9">
      <w:pPr>
        <w:pStyle w:val="EBBullet"/>
        <w:numPr>
          <w:ilvl w:val="0"/>
          <w:numId w:val="0"/>
        </w:numPr>
        <w:spacing w:line="259" w:lineRule="auto"/>
        <w:ind w:left="567"/>
        <w:jc w:val="both"/>
        <w:rPr>
          <w:color w:val="auto"/>
          <w:sz w:val="18"/>
          <w:szCs w:val="18"/>
        </w:rPr>
      </w:pPr>
      <w:r w:rsidRPr="0029116F">
        <w:rPr>
          <w:color w:val="auto"/>
          <w:sz w:val="18"/>
          <w:szCs w:val="18"/>
        </w:rPr>
        <w:t xml:space="preserve">Source: Home Office </w:t>
      </w:r>
      <w:r>
        <w:rPr>
          <w:color w:val="auto"/>
          <w:sz w:val="18"/>
          <w:szCs w:val="18"/>
        </w:rPr>
        <w:t xml:space="preserve">and DBT </w:t>
      </w:r>
      <w:r w:rsidRPr="0029116F">
        <w:rPr>
          <w:color w:val="auto"/>
          <w:sz w:val="18"/>
          <w:szCs w:val="18"/>
        </w:rPr>
        <w:t xml:space="preserve">analysis </w:t>
      </w:r>
    </w:p>
    <w:p w14:paraId="204327CF" w14:textId="7B454FA1" w:rsidR="00F35AB5" w:rsidRDefault="007F4998">
      <w:pPr>
        <w:pStyle w:val="EBBullet"/>
        <w:numPr>
          <w:ilvl w:val="0"/>
          <w:numId w:val="0"/>
        </w:numPr>
        <w:spacing w:line="259" w:lineRule="auto"/>
        <w:jc w:val="both"/>
        <w:rPr>
          <w:b/>
          <w:color w:val="auto"/>
        </w:rPr>
      </w:pPr>
      <w:r w:rsidRPr="00A55741">
        <w:rPr>
          <w:b/>
          <w:color w:val="auto"/>
        </w:rPr>
        <w:t>Percentage</w:t>
      </w:r>
      <w:r w:rsidR="00C96A73" w:rsidRPr="00A55741">
        <w:rPr>
          <w:b/>
          <w:color w:val="auto"/>
        </w:rPr>
        <w:t xml:space="preserve"> of Staff </w:t>
      </w:r>
      <w:r w:rsidR="00A1791F" w:rsidRPr="00A55741">
        <w:rPr>
          <w:b/>
          <w:color w:val="auto"/>
        </w:rPr>
        <w:t>T</w:t>
      </w:r>
      <w:r w:rsidR="00C96A73" w:rsidRPr="00A55741">
        <w:rPr>
          <w:b/>
          <w:color w:val="auto"/>
        </w:rPr>
        <w:t xml:space="preserve">hat </w:t>
      </w:r>
      <w:r w:rsidR="00A1791F" w:rsidRPr="00A55741">
        <w:rPr>
          <w:b/>
          <w:color w:val="auto"/>
        </w:rPr>
        <w:t>Need</w:t>
      </w:r>
      <w:r w:rsidR="00C96A73" w:rsidRPr="00A55741">
        <w:rPr>
          <w:b/>
          <w:color w:val="auto"/>
        </w:rPr>
        <w:t xml:space="preserve"> to </w:t>
      </w:r>
      <w:r w:rsidR="00A1791F" w:rsidRPr="00A55741">
        <w:rPr>
          <w:b/>
          <w:color w:val="auto"/>
        </w:rPr>
        <w:t>U</w:t>
      </w:r>
      <w:r w:rsidR="00C96A73" w:rsidRPr="00A55741">
        <w:rPr>
          <w:b/>
          <w:color w:val="auto"/>
        </w:rPr>
        <w:t xml:space="preserve">ndergo </w:t>
      </w:r>
      <w:r w:rsidR="00A1791F" w:rsidRPr="00A55741">
        <w:rPr>
          <w:b/>
          <w:color w:val="auto"/>
        </w:rPr>
        <w:t>T</w:t>
      </w:r>
      <w:r w:rsidR="00C96A73" w:rsidRPr="00A55741">
        <w:rPr>
          <w:b/>
          <w:color w:val="auto"/>
        </w:rPr>
        <w:t>raining</w:t>
      </w:r>
      <w:r w:rsidR="00C96A73" w:rsidRPr="00A55741">
        <w:rPr>
          <w:b/>
          <w:bCs w:val="0"/>
          <w:color w:val="auto"/>
        </w:rPr>
        <w:t xml:space="preserve"> </w:t>
      </w:r>
    </w:p>
    <w:p w14:paraId="4905221D" w14:textId="6F8823D3" w:rsidR="00DA2027" w:rsidRPr="00DA2027" w:rsidRDefault="002E1D86" w:rsidP="00A900CE">
      <w:pPr>
        <w:pStyle w:val="ListParagraph"/>
        <w:numPr>
          <w:ilvl w:val="0"/>
          <w:numId w:val="10"/>
        </w:numPr>
        <w:spacing w:after="120" w:line="259" w:lineRule="auto"/>
        <w:ind w:left="567" w:hanging="567"/>
        <w:contextualSpacing w:val="0"/>
        <w:jc w:val="both"/>
        <w:rPr>
          <w:rFonts w:cs="Arial"/>
          <w:sz w:val="22"/>
          <w:szCs w:val="22"/>
        </w:rPr>
      </w:pPr>
      <w:r w:rsidRPr="00A55741">
        <w:rPr>
          <w:rFonts w:cs="Arial"/>
          <w:sz w:val="22"/>
          <w:szCs w:val="22"/>
        </w:rPr>
        <w:t xml:space="preserve">One of the </w:t>
      </w:r>
      <w:r w:rsidR="00CC23C8">
        <w:rPr>
          <w:rFonts w:cs="Arial"/>
          <w:sz w:val="22"/>
          <w:szCs w:val="22"/>
        </w:rPr>
        <w:t>important</w:t>
      </w:r>
      <w:r w:rsidRPr="00A55741">
        <w:rPr>
          <w:rFonts w:cs="Arial"/>
          <w:sz w:val="22"/>
          <w:szCs w:val="22"/>
        </w:rPr>
        <w:t xml:space="preserve"> assumptions i</w:t>
      </w:r>
      <w:r w:rsidR="30E1FEEF" w:rsidRPr="1C02DF59">
        <w:rPr>
          <w:rFonts w:cs="Arial"/>
          <w:sz w:val="22"/>
          <w:szCs w:val="22"/>
        </w:rPr>
        <w:t>s</w:t>
      </w:r>
      <w:r w:rsidRPr="00A55741">
        <w:rPr>
          <w:rFonts w:cs="Arial"/>
          <w:sz w:val="22"/>
          <w:szCs w:val="22"/>
        </w:rPr>
        <w:t xml:space="preserve"> the</w:t>
      </w:r>
      <w:r w:rsidR="00D05C51">
        <w:rPr>
          <w:rFonts w:cs="Arial"/>
          <w:sz w:val="22"/>
          <w:szCs w:val="22"/>
        </w:rPr>
        <w:t xml:space="preserve"> assumption around the number of staff </w:t>
      </w:r>
      <w:r w:rsidR="00C23634">
        <w:rPr>
          <w:rFonts w:cs="Arial"/>
          <w:sz w:val="22"/>
          <w:szCs w:val="22"/>
        </w:rPr>
        <w:t>that entities deemed to require training</w:t>
      </w:r>
      <w:r w:rsidRPr="00A55741">
        <w:rPr>
          <w:rFonts w:cs="Arial"/>
          <w:sz w:val="22"/>
          <w:szCs w:val="22"/>
        </w:rPr>
        <w:t xml:space="preserve">. </w:t>
      </w:r>
      <w:r w:rsidR="00D609D1">
        <w:rPr>
          <w:rFonts w:cs="Arial"/>
          <w:sz w:val="22"/>
          <w:szCs w:val="22"/>
        </w:rPr>
        <w:t>T</w:t>
      </w:r>
      <w:r w:rsidR="00C23634">
        <w:rPr>
          <w:rFonts w:cs="Arial"/>
          <w:sz w:val="22"/>
          <w:szCs w:val="22"/>
        </w:rPr>
        <w:t xml:space="preserve">he </w:t>
      </w:r>
      <w:r w:rsidR="00D609D1">
        <w:rPr>
          <w:rFonts w:cs="Arial"/>
          <w:sz w:val="22"/>
          <w:szCs w:val="22"/>
        </w:rPr>
        <w:t>main assumption is that all employees will be required to undertake training.</w:t>
      </w:r>
      <w:r w:rsidR="00A1791F">
        <w:rPr>
          <w:rFonts w:cs="Arial"/>
          <w:sz w:val="22"/>
          <w:szCs w:val="22"/>
        </w:rPr>
        <w:t xml:space="preserve">  This assumption is deemed reasonable </w:t>
      </w:r>
      <w:r w:rsidR="00F37FD5">
        <w:rPr>
          <w:rFonts w:cs="Arial"/>
          <w:sz w:val="22"/>
          <w:szCs w:val="22"/>
        </w:rPr>
        <w:t>a</w:t>
      </w:r>
      <w:r w:rsidR="00A1791F">
        <w:rPr>
          <w:rFonts w:cs="Arial"/>
          <w:sz w:val="22"/>
          <w:szCs w:val="22"/>
        </w:rPr>
        <w:t>s organisations will not know who is likely to commit fraud</w:t>
      </w:r>
      <w:r w:rsidR="00DC5A89">
        <w:rPr>
          <w:rFonts w:cs="Arial"/>
          <w:sz w:val="22"/>
          <w:szCs w:val="22"/>
        </w:rPr>
        <w:t>.</w:t>
      </w:r>
      <w:r w:rsidR="00A1791F">
        <w:rPr>
          <w:rFonts w:cs="Arial"/>
          <w:sz w:val="22"/>
          <w:szCs w:val="22"/>
        </w:rPr>
        <w:t xml:space="preserve"> </w:t>
      </w:r>
      <w:r w:rsidR="00DC5A89">
        <w:rPr>
          <w:rFonts w:cs="Arial"/>
          <w:sz w:val="22"/>
          <w:szCs w:val="22"/>
        </w:rPr>
        <w:t>A</w:t>
      </w:r>
      <w:r w:rsidR="00F37FD5">
        <w:rPr>
          <w:rFonts w:cs="Arial"/>
          <w:sz w:val="22"/>
          <w:szCs w:val="22"/>
        </w:rPr>
        <w:t xml:space="preserve">s </w:t>
      </w:r>
      <w:r w:rsidR="00A1791F">
        <w:rPr>
          <w:rFonts w:cs="Arial"/>
          <w:sz w:val="22"/>
          <w:szCs w:val="22"/>
        </w:rPr>
        <w:t xml:space="preserve">the burden of proof is on the organisation to take all reasonable steps to prevent fraud, the analysis assumes that </w:t>
      </w:r>
      <w:r w:rsidR="00817ACF">
        <w:rPr>
          <w:rFonts w:cs="Arial"/>
          <w:sz w:val="22"/>
          <w:szCs w:val="22"/>
        </w:rPr>
        <w:t>an</w:t>
      </w:r>
      <w:r w:rsidR="00A1791F">
        <w:rPr>
          <w:rFonts w:cs="Arial"/>
          <w:sz w:val="22"/>
          <w:szCs w:val="22"/>
        </w:rPr>
        <w:t xml:space="preserve"> organisation is likely to train all staff.</w:t>
      </w:r>
    </w:p>
    <w:p w14:paraId="5B2566B1" w14:textId="025B31A0" w:rsidR="002E1D86" w:rsidRDefault="0097001C" w:rsidP="00A55741">
      <w:pPr>
        <w:pStyle w:val="ListParagraph"/>
        <w:numPr>
          <w:ilvl w:val="0"/>
          <w:numId w:val="10"/>
        </w:numPr>
        <w:spacing w:after="120" w:line="259" w:lineRule="auto"/>
        <w:ind w:left="567" w:hanging="567"/>
        <w:contextualSpacing w:val="0"/>
        <w:jc w:val="both"/>
        <w:rPr>
          <w:rFonts w:cs="Arial"/>
          <w:sz w:val="22"/>
          <w:szCs w:val="22"/>
        </w:rPr>
      </w:pPr>
      <w:r w:rsidRPr="00BE28BD">
        <w:rPr>
          <w:rFonts w:cs="Arial"/>
          <w:sz w:val="22"/>
          <w:szCs w:val="22"/>
        </w:rPr>
        <w:t xml:space="preserve">However, </w:t>
      </w:r>
      <w:r w:rsidR="000B7EBB" w:rsidRPr="00BE28BD">
        <w:rPr>
          <w:rFonts w:cs="Arial"/>
          <w:sz w:val="22"/>
          <w:szCs w:val="22"/>
        </w:rPr>
        <w:t xml:space="preserve">the lack of guidance </w:t>
      </w:r>
      <w:r w:rsidR="00024601">
        <w:rPr>
          <w:rFonts w:cs="Arial"/>
          <w:sz w:val="22"/>
          <w:szCs w:val="22"/>
        </w:rPr>
        <w:t xml:space="preserve">at the time of writing </w:t>
      </w:r>
      <w:r w:rsidR="00BE28BD" w:rsidRPr="00BE28BD">
        <w:rPr>
          <w:rFonts w:cs="Arial"/>
          <w:sz w:val="22"/>
          <w:szCs w:val="22"/>
        </w:rPr>
        <w:t>meant it</w:t>
      </w:r>
      <w:r w:rsidR="00BE28BD">
        <w:rPr>
          <w:rFonts w:cs="Arial"/>
          <w:sz w:val="22"/>
          <w:szCs w:val="22"/>
        </w:rPr>
        <w:t xml:space="preserve"> </w:t>
      </w:r>
      <w:r w:rsidR="00A902A5">
        <w:rPr>
          <w:rFonts w:cs="Arial"/>
          <w:sz w:val="22"/>
          <w:szCs w:val="22"/>
        </w:rPr>
        <w:t>was</w:t>
      </w:r>
      <w:r w:rsidR="00BE28BD" w:rsidRPr="00BE28BD">
        <w:rPr>
          <w:rFonts w:cs="Arial"/>
          <w:sz w:val="22"/>
          <w:szCs w:val="22"/>
        </w:rPr>
        <w:t xml:space="preserve"> impossible to test this assumption with stakeholders</w:t>
      </w:r>
      <w:r w:rsidR="00A902A5">
        <w:rPr>
          <w:rFonts w:cs="Arial"/>
          <w:sz w:val="22"/>
          <w:szCs w:val="22"/>
        </w:rPr>
        <w:t>. Consequently, th</w:t>
      </w:r>
      <w:r w:rsidR="00BC6E5D">
        <w:rPr>
          <w:rFonts w:cs="Arial"/>
          <w:sz w:val="22"/>
          <w:szCs w:val="22"/>
        </w:rPr>
        <w:t xml:space="preserve">e sensitivity analysis explores </w:t>
      </w:r>
      <w:r w:rsidR="00950B98">
        <w:rPr>
          <w:rFonts w:cs="Arial"/>
          <w:sz w:val="22"/>
          <w:szCs w:val="22"/>
        </w:rPr>
        <w:t>the impact on the overall NPSV of the policy of changing assumption on the number of staff that are required to undergo training.</w:t>
      </w:r>
      <w:r w:rsidR="00666D44">
        <w:rPr>
          <w:rFonts w:cs="Arial"/>
          <w:sz w:val="22"/>
          <w:szCs w:val="22"/>
        </w:rPr>
        <w:t xml:space="preserve"> </w:t>
      </w:r>
      <w:r w:rsidR="00C34FD4">
        <w:rPr>
          <w:rFonts w:cs="Arial"/>
          <w:sz w:val="22"/>
          <w:szCs w:val="22"/>
        </w:rPr>
        <w:t xml:space="preserve">For every 10 per cent decrease in the number of staff </w:t>
      </w:r>
      <w:r w:rsidR="00EE1A22">
        <w:rPr>
          <w:rFonts w:cs="Arial"/>
          <w:sz w:val="22"/>
          <w:szCs w:val="22"/>
        </w:rPr>
        <w:t xml:space="preserve">who </w:t>
      </w:r>
      <w:r w:rsidR="00C34FD4">
        <w:rPr>
          <w:rFonts w:cs="Arial"/>
          <w:sz w:val="22"/>
          <w:szCs w:val="22"/>
        </w:rPr>
        <w:t>requir</w:t>
      </w:r>
      <w:r w:rsidR="00EE1A22">
        <w:rPr>
          <w:rFonts w:cs="Arial"/>
          <w:sz w:val="22"/>
          <w:szCs w:val="22"/>
        </w:rPr>
        <w:t>e</w:t>
      </w:r>
      <w:r w:rsidR="00C34FD4">
        <w:rPr>
          <w:rFonts w:cs="Arial"/>
          <w:sz w:val="22"/>
          <w:szCs w:val="22"/>
        </w:rPr>
        <w:t xml:space="preserve"> train</w:t>
      </w:r>
      <w:r w:rsidR="00EE1A22">
        <w:rPr>
          <w:rFonts w:cs="Arial"/>
          <w:sz w:val="22"/>
          <w:szCs w:val="22"/>
        </w:rPr>
        <w:t>ing</w:t>
      </w:r>
      <w:r w:rsidR="00C34FD4">
        <w:rPr>
          <w:rFonts w:cs="Arial"/>
          <w:sz w:val="22"/>
          <w:szCs w:val="22"/>
        </w:rPr>
        <w:t xml:space="preserve">, the overall NPSV </w:t>
      </w:r>
      <w:r w:rsidR="00BE6D41">
        <w:rPr>
          <w:rFonts w:cs="Arial"/>
          <w:sz w:val="22"/>
          <w:szCs w:val="22"/>
        </w:rPr>
        <w:t xml:space="preserve">increases by </w:t>
      </w:r>
      <w:r w:rsidR="00EF690C">
        <w:rPr>
          <w:rFonts w:cs="Arial"/>
          <w:sz w:val="22"/>
          <w:szCs w:val="22"/>
        </w:rPr>
        <w:t>7</w:t>
      </w:r>
      <w:r w:rsidR="00B014DE">
        <w:rPr>
          <w:rFonts w:cs="Arial"/>
          <w:sz w:val="22"/>
          <w:szCs w:val="22"/>
        </w:rPr>
        <w:t xml:space="preserve"> per cent. </w:t>
      </w:r>
    </w:p>
    <w:p w14:paraId="44E17CD3" w14:textId="75C2ED80" w:rsidR="002E1D86" w:rsidRPr="00546D65" w:rsidRDefault="002E1D86" w:rsidP="00A55741">
      <w:pPr>
        <w:pStyle w:val="ListParagraph"/>
        <w:numPr>
          <w:ilvl w:val="0"/>
          <w:numId w:val="10"/>
        </w:numPr>
        <w:spacing w:after="120" w:line="259" w:lineRule="auto"/>
        <w:ind w:left="567" w:hanging="567"/>
        <w:contextualSpacing w:val="0"/>
        <w:jc w:val="both"/>
        <w:rPr>
          <w:rFonts w:cs="Arial"/>
          <w:sz w:val="22"/>
          <w:szCs w:val="22"/>
        </w:rPr>
      </w:pPr>
      <w:r>
        <w:rPr>
          <w:rFonts w:cs="Arial"/>
          <w:sz w:val="22"/>
          <w:szCs w:val="22"/>
        </w:rPr>
        <w:t>Table 1</w:t>
      </w:r>
      <w:r w:rsidR="00361DE7">
        <w:rPr>
          <w:rFonts w:cs="Arial"/>
          <w:sz w:val="22"/>
          <w:szCs w:val="22"/>
        </w:rPr>
        <w:t>6</w:t>
      </w:r>
      <w:r>
        <w:rPr>
          <w:rFonts w:cs="Arial"/>
          <w:sz w:val="22"/>
          <w:szCs w:val="22"/>
        </w:rPr>
        <w:t xml:space="preserve"> shows </w:t>
      </w:r>
      <w:r w:rsidRPr="00546D65">
        <w:rPr>
          <w:rFonts w:cs="Arial"/>
          <w:sz w:val="22"/>
          <w:szCs w:val="22"/>
        </w:rPr>
        <w:t xml:space="preserve">that, for the central scenario, if the </w:t>
      </w:r>
      <w:r w:rsidR="001E7EC2">
        <w:rPr>
          <w:rFonts w:cs="Arial"/>
          <w:sz w:val="22"/>
          <w:szCs w:val="22"/>
        </w:rPr>
        <w:t>percentage of staff trained</w:t>
      </w:r>
      <w:r w:rsidRPr="00546D65">
        <w:rPr>
          <w:rFonts w:cs="Arial"/>
          <w:sz w:val="22"/>
          <w:szCs w:val="22"/>
        </w:rPr>
        <w:t xml:space="preserve"> was only at 10 </w:t>
      </w:r>
      <w:r w:rsidR="00AA4FC4">
        <w:rPr>
          <w:rFonts w:cs="Arial"/>
          <w:sz w:val="22"/>
          <w:szCs w:val="22"/>
        </w:rPr>
        <w:t>per cent</w:t>
      </w:r>
      <w:r w:rsidRPr="00546D65">
        <w:rPr>
          <w:rFonts w:cs="Arial"/>
          <w:sz w:val="22"/>
          <w:szCs w:val="22"/>
        </w:rPr>
        <w:t xml:space="preserve"> the NPSV for the policy would </w:t>
      </w:r>
      <w:r w:rsidR="001E7EC2">
        <w:rPr>
          <w:rFonts w:cs="Arial"/>
          <w:sz w:val="22"/>
          <w:szCs w:val="22"/>
        </w:rPr>
        <w:t>increase</w:t>
      </w:r>
      <w:r w:rsidRPr="00546D65">
        <w:rPr>
          <w:rFonts w:cs="Arial"/>
          <w:sz w:val="22"/>
          <w:szCs w:val="22"/>
        </w:rPr>
        <w:t xml:space="preserve"> to </w:t>
      </w:r>
      <w:r w:rsidRPr="00546D65">
        <w:rPr>
          <w:rFonts w:cs="Arial"/>
          <w:b/>
          <w:bCs/>
          <w:sz w:val="22"/>
          <w:szCs w:val="22"/>
        </w:rPr>
        <w:t>-£</w:t>
      </w:r>
      <w:r w:rsidR="004A6A75">
        <w:rPr>
          <w:rFonts w:cs="Arial"/>
          <w:b/>
          <w:bCs/>
          <w:sz w:val="22"/>
          <w:szCs w:val="22"/>
        </w:rPr>
        <w:t>3</w:t>
      </w:r>
      <w:r w:rsidR="00F66AC4">
        <w:rPr>
          <w:rFonts w:cs="Arial"/>
          <w:b/>
          <w:bCs/>
          <w:sz w:val="22"/>
          <w:szCs w:val="22"/>
        </w:rPr>
        <w:t>19.7</w:t>
      </w:r>
      <w:r w:rsidR="007549A6">
        <w:rPr>
          <w:rFonts w:cs="Arial"/>
          <w:b/>
          <w:bCs/>
          <w:sz w:val="22"/>
          <w:szCs w:val="22"/>
        </w:rPr>
        <w:t xml:space="preserve"> </w:t>
      </w:r>
      <w:r w:rsidRPr="00546D65">
        <w:rPr>
          <w:rFonts w:cs="Arial"/>
          <w:b/>
          <w:bCs/>
          <w:sz w:val="22"/>
          <w:szCs w:val="22"/>
        </w:rPr>
        <w:t>m</w:t>
      </w:r>
      <w:r w:rsidR="007549A6">
        <w:rPr>
          <w:rFonts w:cs="Arial"/>
          <w:b/>
          <w:bCs/>
          <w:sz w:val="22"/>
          <w:szCs w:val="22"/>
        </w:rPr>
        <w:t>illion</w:t>
      </w:r>
      <w:r w:rsidRPr="00546D65">
        <w:rPr>
          <w:rFonts w:cs="Arial"/>
          <w:b/>
          <w:bCs/>
          <w:sz w:val="22"/>
          <w:szCs w:val="22"/>
        </w:rPr>
        <w:t xml:space="preserve"> (PV 2024).</w:t>
      </w:r>
      <w:r w:rsidRPr="00546D65">
        <w:rPr>
          <w:rFonts w:cs="Arial"/>
          <w:sz w:val="22"/>
          <w:szCs w:val="22"/>
        </w:rPr>
        <w:t xml:space="preserve"> </w:t>
      </w:r>
      <w:r w:rsidR="004A6A75">
        <w:rPr>
          <w:rFonts w:cs="Arial"/>
          <w:sz w:val="22"/>
          <w:szCs w:val="22"/>
        </w:rPr>
        <w:t>I</w:t>
      </w:r>
      <w:r w:rsidR="004A6A75" w:rsidRPr="00546D65">
        <w:rPr>
          <w:rFonts w:cs="Arial"/>
          <w:sz w:val="22"/>
          <w:szCs w:val="22"/>
        </w:rPr>
        <w:t xml:space="preserve">f the </w:t>
      </w:r>
      <w:r w:rsidR="004A6A75">
        <w:rPr>
          <w:rFonts w:cs="Arial"/>
          <w:sz w:val="22"/>
          <w:szCs w:val="22"/>
        </w:rPr>
        <w:t>percentage of staff needing to be trained</w:t>
      </w:r>
      <w:r w:rsidR="004A6A75" w:rsidRPr="00546D65">
        <w:rPr>
          <w:rFonts w:cs="Arial"/>
          <w:sz w:val="22"/>
          <w:szCs w:val="22"/>
        </w:rPr>
        <w:t xml:space="preserve"> was </w:t>
      </w:r>
      <w:r w:rsidR="004A6A75">
        <w:rPr>
          <w:rFonts w:cs="Arial"/>
          <w:sz w:val="22"/>
          <w:szCs w:val="22"/>
        </w:rPr>
        <w:t>5</w:t>
      </w:r>
      <w:r w:rsidR="004A6A75" w:rsidRPr="00546D65">
        <w:rPr>
          <w:rFonts w:cs="Arial"/>
          <w:sz w:val="22"/>
          <w:szCs w:val="22"/>
        </w:rPr>
        <w:t xml:space="preserve">0 </w:t>
      </w:r>
      <w:r w:rsidR="007549A6">
        <w:rPr>
          <w:rFonts w:cs="Arial"/>
          <w:sz w:val="22"/>
          <w:szCs w:val="22"/>
        </w:rPr>
        <w:t>per cent</w:t>
      </w:r>
      <w:r w:rsidR="004A6A75" w:rsidRPr="00546D65">
        <w:rPr>
          <w:rFonts w:cs="Arial"/>
          <w:sz w:val="22"/>
          <w:szCs w:val="22"/>
        </w:rPr>
        <w:t xml:space="preserve"> the NPSV for the policy would </w:t>
      </w:r>
      <w:r w:rsidR="004A6A75">
        <w:rPr>
          <w:rFonts w:cs="Arial"/>
          <w:sz w:val="22"/>
          <w:szCs w:val="22"/>
        </w:rPr>
        <w:t>increase</w:t>
      </w:r>
      <w:r w:rsidR="004A6A75" w:rsidRPr="00546D65">
        <w:rPr>
          <w:rFonts w:cs="Arial"/>
          <w:sz w:val="22"/>
          <w:szCs w:val="22"/>
        </w:rPr>
        <w:t xml:space="preserve"> to </w:t>
      </w:r>
      <w:r w:rsidR="004A6A75" w:rsidRPr="00546D65">
        <w:rPr>
          <w:rFonts w:cs="Arial"/>
          <w:b/>
          <w:bCs/>
          <w:sz w:val="22"/>
          <w:szCs w:val="22"/>
        </w:rPr>
        <w:t>-£</w:t>
      </w:r>
      <w:r w:rsidR="00D33D7A">
        <w:rPr>
          <w:rFonts w:cs="Arial"/>
          <w:b/>
          <w:bCs/>
          <w:sz w:val="22"/>
          <w:szCs w:val="22"/>
        </w:rPr>
        <w:t>5</w:t>
      </w:r>
      <w:r w:rsidR="002C2F5C">
        <w:rPr>
          <w:rFonts w:cs="Arial"/>
          <w:b/>
          <w:bCs/>
          <w:sz w:val="22"/>
          <w:szCs w:val="22"/>
        </w:rPr>
        <w:t>65</w:t>
      </w:r>
      <w:r w:rsidR="00D96328">
        <w:rPr>
          <w:rFonts w:cs="Arial"/>
          <w:b/>
          <w:bCs/>
          <w:sz w:val="22"/>
          <w:szCs w:val="22"/>
        </w:rPr>
        <w:t>.</w:t>
      </w:r>
      <w:r w:rsidR="002C2F5C">
        <w:rPr>
          <w:rFonts w:cs="Arial"/>
          <w:b/>
          <w:bCs/>
          <w:sz w:val="22"/>
          <w:szCs w:val="22"/>
        </w:rPr>
        <w:t>9</w:t>
      </w:r>
      <w:r w:rsidR="007549A6">
        <w:rPr>
          <w:rFonts w:cs="Arial"/>
          <w:b/>
          <w:bCs/>
          <w:sz w:val="22"/>
          <w:szCs w:val="22"/>
        </w:rPr>
        <w:t xml:space="preserve"> </w:t>
      </w:r>
      <w:r w:rsidR="004A6A75" w:rsidRPr="00546D65">
        <w:rPr>
          <w:rFonts w:cs="Arial"/>
          <w:b/>
          <w:bCs/>
          <w:sz w:val="22"/>
          <w:szCs w:val="22"/>
        </w:rPr>
        <w:t>m</w:t>
      </w:r>
      <w:r w:rsidR="007549A6">
        <w:rPr>
          <w:rFonts w:cs="Arial"/>
          <w:b/>
          <w:bCs/>
          <w:sz w:val="22"/>
          <w:szCs w:val="22"/>
        </w:rPr>
        <w:t>illion</w:t>
      </w:r>
      <w:r w:rsidR="004A6A75" w:rsidRPr="00546D65">
        <w:rPr>
          <w:rFonts w:cs="Arial"/>
          <w:b/>
          <w:bCs/>
          <w:sz w:val="22"/>
          <w:szCs w:val="22"/>
        </w:rPr>
        <w:t xml:space="preserve"> (PV 2024).</w:t>
      </w:r>
      <w:r w:rsidR="00D33D7A">
        <w:rPr>
          <w:rFonts w:cs="Arial"/>
          <w:b/>
          <w:bCs/>
          <w:sz w:val="22"/>
          <w:szCs w:val="22"/>
        </w:rPr>
        <w:t xml:space="preserve"> </w:t>
      </w:r>
      <w:r w:rsidR="00D33D7A">
        <w:rPr>
          <w:rFonts w:cs="Arial"/>
          <w:sz w:val="22"/>
          <w:szCs w:val="22"/>
        </w:rPr>
        <w:t>I</w:t>
      </w:r>
      <w:r w:rsidR="00D33D7A" w:rsidRPr="00546D65">
        <w:rPr>
          <w:rFonts w:cs="Arial"/>
          <w:sz w:val="22"/>
          <w:szCs w:val="22"/>
        </w:rPr>
        <w:t xml:space="preserve">f the </w:t>
      </w:r>
      <w:r w:rsidR="00D33D7A">
        <w:rPr>
          <w:rFonts w:cs="Arial"/>
          <w:sz w:val="22"/>
          <w:szCs w:val="22"/>
        </w:rPr>
        <w:t>percentage of staff needing to be trained</w:t>
      </w:r>
      <w:r w:rsidR="00D33D7A" w:rsidRPr="00546D65">
        <w:rPr>
          <w:rFonts w:cs="Arial"/>
          <w:sz w:val="22"/>
          <w:szCs w:val="22"/>
        </w:rPr>
        <w:t xml:space="preserve"> was </w:t>
      </w:r>
      <w:r w:rsidR="00D33D7A">
        <w:rPr>
          <w:rFonts w:cs="Arial"/>
          <w:sz w:val="22"/>
          <w:szCs w:val="22"/>
        </w:rPr>
        <w:t>90</w:t>
      </w:r>
      <w:r w:rsidR="00D33D7A" w:rsidRPr="00546D65">
        <w:rPr>
          <w:rFonts w:cs="Arial"/>
          <w:sz w:val="22"/>
          <w:szCs w:val="22"/>
        </w:rPr>
        <w:t xml:space="preserve"> </w:t>
      </w:r>
      <w:r w:rsidR="007549A6">
        <w:rPr>
          <w:rFonts w:cs="Arial"/>
          <w:sz w:val="22"/>
          <w:szCs w:val="22"/>
        </w:rPr>
        <w:t>per cent</w:t>
      </w:r>
      <w:r w:rsidR="00D33D7A" w:rsidRPr="00546D65">
        <w:rPr>
          <w:rFonts w:cs="Arial"/>
          <w:sz w:val="22"/>
          <w:szCs w:val="22"/>
        </w:rPr>
        <w:t xml:space="preserve"> the NPSV for the policy would </w:t>
      </w:r>
      <w:r w:rsidR="00D33D7A">
        <w:rPr>
          <w:rFonts w:cs="Arial"/>
          <w:sz w:val="22"/>
          <w:szCs w:val="22"/>
        </w:rPr>
        <w:t>increase</w:t>
      </w:r>
      <w:r w:rsidR="00D33D7A" w:rsidRPr="00546D65">
        <w:rPr>
          <w:rFonts w:cs="Arial"/>
          <w:sz w:val="22"/>
          <w:szCs w:val="22"/>
        </w:rPr>
        <w:t xml:space="preserve"> to </w:t>
      </w:r>
      <w:r w:rsidR="00D33D7A" w:rsidRPr="00546D65">
        <w:rPr>
          <w:rFonts w:cs="Arial"/>
          <w:b/>
          <w:bCs/>
          <w:sz w:val="22"/>
          <w:szCs w:val="22"/>
        </w:rPr>
        <w:t>-£</w:t>
      </w:r>
      <w:r w:rsidR="002C2F5C">
        <w:rPr>
          <w:rFonts w:cs="Arial"/>
          <w:b/>
          <w:bCs/>
          <w:sz w:val="22"/>
          <w:szCs w:val="22"/>
        </w:rPr>
        <w:t>812</w:t>
      </w:r>
      <w:r w:rsidR="002E7F69">
        <w:rPr>
          <w:rFonts w:cs="Arial"/>
          <w:b/>
          <w:bCs/>
          <w:sz w:val="22"/>
          <w:szCs w:val="22"/>
        </w:rPr>
        <w:t>.2</w:t>
      </w:r>
      <w:r w:rsidR="007549A6">
        <w:rPr>
          <w:rFonts w:cs="Arial"/>
          <w:b/>
          <w:bCs/>
          <w:sz w:val="22"/>
          <w:szCs w:val="22"/>
        </w:rPr>
        <w:t xml:space="preserve"> </w:t>
      </w:r>
      <w:r w:rsidR="00D33D7A" w:rsidRPr="00546D65">
        <w:rPr>
          <w:rFonts w:cs="Arial"/>
          <w:b/>
          <w:bCs/>
          <w:sz w:val="22"/>
          <w:szCs w:val="22"/>
        </w:rPr>
        <w:t>m</w:t>
      </w:r>
      <w:r w:rsidR="007549A6">
        <w:rPr>
          <w:rFonts w:cs="Arial"/>
          <w:b/>
          <w:bCs/>
          <w:sz w:val="22"/>
          <w:szCs w:val="22"/>
        </w:rPr>
        <w:t>illion</w:t>
      </w:r>
      <w:r w:rsidR="00D33D7A" w:rsidRPr="00546D65">
        <w:rPr>
          <w:rFonts w:cs="Arial"/>
          <w:b/>
          <w:bCs/>
          <w:sz w:val="22"/>
          <w:szCs w:val="22"/>
        </w:rPr>
        <w:t xml:space="preserve"> (PV 2024).</w:t>
      </w:r>
    </w:p>
    <w:p w14:paraId="66EAFA7E" w14:textId="15A43823" w:rsidR="005C6E98" w:rsidRPr="004B39C3" w:rsidRDefault="00FA3056" w:rsidP="00A55741">
      <w:pPr>
        <w:pStyle w:val="EBBullet"/>
        <w:numPr>
          <w:ilvl w:val="0"/>
          <w:numId w:val="0"/>
        </w:numPr>
        <w:spacing w:line="259" w:lineRule="auto"/>
        <w:ind w:left="567"/>
        <w:jc w:val="both"/>
        <w:rPr>
          <w:b/>
          <w:color w:val="auto"/>
        </w:rPr>
      </w:pPr>
      <w:r>
        <w:rPr>
          <w:b/>
          <w:bCs w:val="0"/>
          <w:color w:val="auto"/>
        </w:rPr>
        <w:t>Table 1</w:t>
      </w:r>
      <w:r w:rsidR="001E0461">
        <w:rPr>
          <w:b/>
          <w:bCs w:val="0"/>
          <w:color w:val="auto"/>
        </w:rPr>
        <w:t>6</w:t>
      </w:r>
      <w:r>
        <w:rPr>
          <w:b/>
          <w:bCs w:val="0"/>
          <w:color w:val="auto"/>
        </w:rPr>
        <w:t>, Impact on</w:t>
      </w:r>
      <w:r w:rsidR="00D36822">
        <w:rPr>
          <w:b/>
          <w:bCs w:val="0"/>
          <w:color w:val="auto"/>
        </w:rPr>
        <w:t xml:space="preserve"> overall NPSV from</w:t>
      </w:r>
      <w:r>
        <w:rPr>
          <w:b/>
          <w:bCs w:val="0"/>
          <w:color w:val="auto"/>
        </w:rPr>
        <w:t xml:space="preserve"> </w:t>
      </w:r>
      <w:r w:rsidR="000848B5">
        <w:rPr>
          <w:b/>
          <w:bCs w:val="0"/>
          <w:color w:val="auto"/>
        </w:rPr>
        <w:t>C</w:t>
      </w:r>
      <w:r w:rsidR="00D36822">
        <w:rPr>
          <w:b/>
          <w:bCs w:val="0"/>
          <w:color w:val="auto"/>
        </w:rPr>
        <w:t xml:space="preserve">hanging the Percentage of </w:t>
      </w:r>
      <w:r w:rsidR="000848B5">
        <w:rPr>
          <w:b/>
          <w:bCs w:val="0"/>
          <w:color w:val="auto"/>
        </w:rPr>
        <w:t xml:space="preserve">Staff who </w:t>
      </w:r>
      <w:r w:rsidR="009020F3">
        <w:rPr>
          <w:b/>
          <w:bCs w:val="0"/>
          <w:color w:val="auto"/>
        </w:rPr>
        <w:t xml:space="preserve">require </w:t>
      </w:r>
      <w:r w:rsidR="000848B5">
        <w:rPr>
          <w:b/>
          <w:bCs w:val="0"/>
          <w:color w:val="auto"/>
        </w:rPr>
        <w:t>training</w:t>
      </w:r>
    </w:p>
    <w:tbl>
      <w:tblPr>
        <w:tblStyle w:val="TableGrid"/>
        <w:tblW w:w="0" w:type="auto"/>
        <w:tblInd w:w="562" w:type="dxa"/>
        <w:tblLook w:val="04A0" w:firstRow="1" w:lastRow="0" w:firstColumn="1" w:lastColumn="0" w:noHBand="0" w:noVBand="1"/>
      </w:tblPr>
      <w:tblGrid>
        <w:gridCol w:w="2268"/>
        <w:gridCol w:w="2410"/>
        <w:gridCol w:w="2552"/>
        <w:gridCol w:w="2403"/>
      </w:tblGrid>
      <w:tr w:rsidR="004D1BB3" w14:paraId="5AFCAC9C" w14:textId="77777777" w:rsidTr="00A55741">
        <w:trPr>
          <w:trHeight w:val="580"/>
        </w:trPr>
        <w:tc>
          <w:tcPr>
            <w:tcW w:w="2268" w:type="dxa"/>
            <w:shd w:val="clear" w:color="auto" w:fill="auto"/>
          </w:tcPr>
          <w:p w14:paraId="0F64585B" w14:textId="55B063E0" w:rsidR="00F62EA6" w:rsidRPr="006C4C36" w:rsidRDefault="003C64B6" w:rsidP="004B39C3">
            <w:pPr>
              <w:spacing w:after="120" w:line="259" w:lineRule="auto"/>
              <w:jc w:val="center"/>
              <w:rPr>
                <w:rFonts w:cs="Arial"/>
                <w:b/>
                <w:bCs/>
                <w:sz w:val="22"/>
                <w:szCs w:val="22"/>
              </w:rPr>
            </w:pPr>
            <w:r>
              <w:rPr>
                <w:rFonts w:cs="Arial"/>
                <w:b/>
                <w:bCs/>
                <w:sz w:val="22"/>
                <w:szCs w:val="22"/>
              </w:rPr>
              <w:t xml:space="preserve">Largest </w:t>
            </w:r>
            <w:r w:rsidR="00690EB0" w:rsidRPr="00690EB0">
              <w:rPr>
                <w:rFonts w:cs="Arial"/>
                <w:b/>
                <w:bCs/>
                <w:sz w:val="22"/>
                <w:szCs w:val="22"/>
              </w:rPr>
              <w:t>a</w:t>
            </w:r>
            <w:r w:rsidR="00690EB0" w:rsidRPr="004B39C3">
              <w:rPr>
                <w:b/>
                <w:szCs w:val="22"/>
              </w:rPr>
              <w:t xml:space="preserve">nd Large </w:t>
            </w:r>
            <w:r>
              <w:rPr>
                <w:rFonts w:cs="Arial"/>
                <w:b/>
                <w:bCs/>
                <w:sz w:val="22"/>
                <w:szCs w:val="22"/>
              </w:rPr>
              <w:t>Firm</w:t>
            </w:r>
            <w:r w:rsidR="00D017EA">
              <w:rPr>
                <w:rFonts w:cs="Arial"/>
                <w:b/>
                <w:bCs/>
                <w:sz w:val="22"/>
                <w:szCs w:val="22"/>
              </w:rPr>
              <w:t>s</w:t>
            </w:r>
          </w:p>
        </w:tc>
        <w:tc>
          <w:tcPr>
            <w:tcW w:w="2410" w:type="dxa"/>
            <w:tcBorders>
              <w:bottom w:val="single" w:sz="4" w:space="0" w:color="auto"/>
            </w:tcBorders>
            <w:shd w:val="clear" w:color="auto" w:fill="auto"/>
          </w:tcPr>
          <w:p w14:paraId="179E65FE" w14:textId="77319333" w:rsidR="00F62EA6" w:rsidRPr="006C4C36" w:rsidRDefault="00F62EA6" w:rsidP="004B39C3">
            <w:pPr>
              <w:spacing w:after="120" w:line="259" w:lineRule="auto"/>
              <w:jc w:val="center"/>
              <w:rPr>
                <w:rFonts w:cs="Arial"/>
                <w:b/>
                <w:bCs/>
                <w:sz w:val="22"/>
                <w:szCs w:val="22"/>
              </w:rPr>
            </w:pPr>
            <w:r w:rsidRPr="006C4C36">
              <w:rPr>
                <w:rFonts w:cs="Arial"/>
                <w:b/>
                <w:bCs/>
                <w:sz w:val="22"/>
                <w:szCs w:val="22"/>
              </w:rPr>
              <w:t>High (PV 2024 Prices</w:t>
            </w:r>
            <w:r w:rsidR="00782BCF">
              <w:rPr>
                <w:rFonts w:cs="Arial"/>
                <w:b/>
                <w:bCs/>
                <w:sz w:val="22"/>
                <w:szCs w:val="22"/>
              </w:rPr>
              <w:t>,</w:t>
            </w:r>
            <w:r w:rsidR="00782BCF">
              <w:rPr>
                <w:rFonts w:cs="Arial"/>
                <w:b/>
                <w:sz w:val="22"/>
                <w:szCs w:val="22"/>
              </w:rPr>
              <w:t xml:space="preserve"> £m</w:t>
            </w:r>
            <w:r w:rsidRPr="006C4C36">
              <w:rPr>
                <w:rFonts w:cs="Arial"/>
                <w:b/>
                <w:bCs/>
                <w:sz w:val="22"/>
                <w:szCs w:val="22"/>
              </w:rPr>
              <w:t>)</w:t>
            </w:r>
          </w:p>
        </w:tc>
        <w:tc>
          <w:tcPr>
            <w:tcW w:w="2552" w:type="dxa"/>
            <w:tcBorders>
              <w:bottom w:val="single" w:sz="4" w:space="0" w:color="auto"/>
            </w:tcBorders>
            <w:shd w:val="clear" w:color="auto" w:fill="auto"/>
          </w:tcPr>
          <w:p w14:paraId="32BB7277" w14:textId="5E5F1CC4" w:rsidR="00F62EA6" w:rsidRPr="006C4C36" w:rsidRDefault="00F62EA6" w:rsidP="004B39C3">
            <w:pPr>
              <w:spacing w:after="120" w:line="259" w:lineRule="auto"/>
              <w:jc w:val="center"/>
              <w:rPr>
                <w:rFonts w:cs="Arial"/>
                <w:b/>
                <w:bCs/>
                <w:sz w:val="22"/>
                <w:szCs w:val="22"/>
              </w:rPr>
            </w:pPr>
            <w:r w:rsidRPr="006C4C36">
              <w:rPr>
                <w:rFonts w:cs="Arial"/>
                <w:b/>
                <w:bCs/>
                <w:sz w:val="22"/>
                <w:szCs w:val="22"/>
              </w:rPr>
              <w:t>Central (PV 2024 Prices</w:t>
            </w:r>
            <w:r w:rsidR="00782BCF">
              <w:rPr>
                <w:rFonts w:cs="Arial"/>
                <w:b/>
                <w:bCs/>
                <w:sz w:val="22"/>
                <w:szCs w:val="22"/>
              </w:rPr>
              <w:t>,</w:t>
            </w:r>
            <w:r w:rsidR="00782BCF">
              <w:rPr>
                <w:rFonts w:cs="Arial"/>
                <w:b/>
                <w:sz w:val="22"/>
                <w:szCs w:val="22"/>
              </w:rPr>
              <w:t xml:space="preserve"> £m</w:t>
            </w:r>
            <w:r w:rsidRPr="006C4C36">
              <w:rPr>
                <w:rFonts w:cs="Arial"/>
                <w:b/>
                <w:bCs/>
                <w:sz w:val="22"/>
                <w:szCs w:val="22"/>
              </w:rPr>
              <w:t>)</w:t>
            </w:r>
          </w:p>
        </w:tc>
        <w:tc>
          <w:tcPr>
            <w:tcW w:w="2403" w:type="dxa"/>
            <w:tcBorders>
              <w:bottom w:val="single" w:sz="4" w:space="0" w:color="auto"/>
            </w:tcBorders>
            <w:shd w:val="clear" w:color="auto" w:fill="auto"/>
          </w:tcPr>
          <w:p w14:paraId="5C230F5D" w14:textId="0F80590D" w:rsidR="00F62EA6" w:rsidRPr="006C4C36" w:rsidRDefault="00F62EA6" w:rsidP="004B39C3">
            <w:pPr>
              <w:spacing w:after="120" w:line="259" w:lineRule="auto"/>
              <w:jc w:val="center"/>
              <w:rPr>
                <w:rFonts w:cs="Arial"/>
                <w:b/>
                <w:bCs/>
                <w:sz w:val="22"/>
                <w:szCs w:val="22"/>
              </w:rPr>
            </w:pPr>
            <w:r w:rsidRPr="006C4C36">
              <w:rPr>
                <w:rFonts w:cs="Arial"/>
                <w:b/>
                <w:bCs/>
                <w:sz w:val="22"/>
                <w:szCs w:val="22"/>
              </w:rPr>
              <w:t>Low (PV 2024 Prices</w:t>
            </w:r>
            <w:r w:rsidR="00782BCF">
              <w:rPr>
                <w:rFonts w:cs="Arial"/>
                <w:b/>
                <w:bCs/>
                <w:sz w:val="22"/>
                <w:szCs w:val="22"/>
              </w:rPr>
              <w:t>,</w:t>
            </w:r>
            <w:r w:rsidR="00782BCF">
              <w:rPr>
                <w:rFonts w:cs="Arial"/>
                <w:b/>
                <w:sz w:val="22"/>
                <w:szCs w:val="22"/>
              </w:rPr>
              <w:t xml:space="preserve"> £m</w:t>
            </w:r>
            <w:r w:rsidRPr="006C4C36">
              <w:rPr>
                <w:rFonts w:cs="Arial"/>
                <w:b/>
                <w:bCs/>
                <w:sz w:val="22"/>
                <w:szCs w:val="22"/>
              </w:rPr>
              <w:t>)</w:t>
            </w:r>
          </w:p>
        </w:tc>
      </w:tr>
      <w:tr w:rsidR="004D1BB3" w14:paraId="0602FCEB" w14:textId="77777777" w:rsidTr="00A55741">
        <w:trPr>
          <w:trHeight w:val="340"/>
        </w:trPr>
        <w:tc>
          <w:tcPr>
            <w:tcW w:w="2268" w:type="dxa"/>
            <w:shd w:val="clear" w:color="auto" w:fill="auto"/>
          </w:tcPr>
          <w:p w14:paraId="5CB4F534" w14:textId="1154BE7C" w:rsidR="00F62EA6" w:rsidRPr="00A55741" w:rsidRDefault="003C64B6">
            <w:pPr>
              <w:spacing w:after="120" w:line="259" w:lineRule="auto"/>
              <w:jc w:val="both"/>
              <w:rPr>
                <w:rFonts w:cs="Arial"/>
                <w:b/>
                <w:sz w:val="22"/>
                <w:szCs w:val="22"/>
              </w:rPr>
            </w:pPr>
            <w:r w:rsidRPr="00A55741">
              <w:rPr>
                <w:rFonts w:cs="Arial"/>
                <w:b/>
                <w:sz w:val="22"/>
                <w:szCs w:val="22"/>
              </w:rPr>
              <w:t>100%</w:t>
            </w:r>
            <w:r w:rsidR="005B5B3F" w:rsidRPr="00A55741">
              <w:rPr>
                <w:rFonts w:cs="Arial"/>
                <w:b/>
                <w:sz w:val="22"/>
                <w:szCs w:val="22"/>
              </w:rPr>
              <w:t xml:space="preserve"> (Main)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252FA6A1" w14:textId="73E5419E" w:rsidR="00F62EA6" w:rsidRPr="00A55741" w:rsidRDefault="00F2597D" w:rsidP="00A55741">
            <w:pPr>
              <w:spacing w:after="120" w:line="259" w:lineRule="auto"/>
              <w:jc w:val="right"/>
              <w:rPr>
                <w:rFonts w:cs="Arial"/>
                <w:b/>
                <w:sz w:val="22"/>
                <w:szCs w:val="22"/>
              </w:rPr>
            </w:pPr>
            <w:r w:rsidRPr="00A55741">
              <w:rPr>
                <w:rFonts w:cs="Arial"/>
                <w:b/>
                <w:color w:val="000000"/>
                <w:sz w:val="22"/>
                <w:szCs w:val="22"/>
              </w:rPr>
              <w:t>-</w:t>
            </w:r>
            <w:r w:rsidR="00AB649A" w:rsidRPr="00A55741">
              <w:rPr>
                <w:rFonts w:cs="Arial"/>
                <w:b/>
                <w:color w:val="000000"/>
                <w:sz w:val="22"/>
                <w:szCs w:val="22"/>
              </w:rPr>
              <w:t>740.2</w:t>
            </w:r>
          </w:p>
        </w:tc>
        <w:tc>
          <w:tcPr>
            <w:tcW w:w="2552" w:type="dxa"/>
            <w:tcBorders>
              <w:top w:val="single" w:sz="4" w:space="0" w:color="auto"/>
              <w:left w:val="nil"/>
              <w:bottom w:val="single" w:sz="4" w:space="0" w:color="auto"/>
              <w:right w:val="single" w:sz="4" w:space="0" w:color="auto"/>
            </w:tcBorders>
            <w:shd w:val="clear" w:color="auto" w:fill="auto"/>
            <w:vAlign w:val="bottom"/>
          </w:tcPr>
          <w:p w14:paraId="3018470E" w14:textId="69982067" w:rsidR="00F62EA6" w:rsidRPr="00A55741" w:rsidRDefault="00782BCF" w:rsidP="00A55741">
            <w:pPr>
              <w:spacing w:after="120" w:line="259" w:lineRule="auto"/>
              <w:jc w:val="right"/>
              <w:rPr>
                <w:rFonts w:cs="Arial"/>
                <w:b/>
                <w:sz w:val="22"/>
                <w:szCs w:val="22"/>
              </w:rPr>
            </w:pPr>
            <w:r w:rsidRPr="00A55741">
              <w:rPr>
                <w:rFonts w:cs="Arial"/>
                <w:b/>
                <w:color w:val="000000"/>
                <w:sz w:val="22"/>
                <w:szCs w:val="22"/>
              </w:rPr>
              <w:t>-</w:t>
            </w:r>
            <w:r w:rsidR="00AB649A" w:rsidRPr="00A55741">
              <w:rPr>
                <w:rFonts w:cs="Arial"/>
                <w:b/>
                <w:color w:val="000000"/>
                <w:sz w:val="22"/>
                <w:szCs w:val="22"/>
              </w:rPr>
              <w:t>873.7</w:t>
            </w:r>
          </w:p>
        </w:tc>
        <w:tc>
          <w:tcPr>
            <w:tcW w:w="2403" w:type="dxa"/>
            <w:tcBorders>
              <w:top w:val="single" w:sz="4" w:space="0" w:color="auto"/>
              <w:left w:val="nil"/>
              <w:bottom w:val="single" w:sz="4" w:space="0" w:color="auto"/>
              <w:right w:val="single" w:sz="8" w:space="0" w:color="auto"/>
            </w:tcBorders>
            <w:shd w:val="clear" w:color="auto" w:fill="auto"/>
            <w:vAlign w:val="bottom"/>
          </w:tcPr>
          <w:p w14:paraId="2E6AB263" w14:textId="2FD6078C" w:rsidR="00F62EA6" w:rsidRPr="00A55741" w:rsidRDefault="00782BCF" w:rsidP="00A55741">
            <w:pPr>
              <w:spacing w:after="120" w:line="259" w:lineRule="auto"/>
              <w:jc w:val="right"/>
              <w:rPr>
                <w:rFonts w:cs="Arial"/>
                <w:b/>
                <w:sz w:val="22"/>
                <w:szCs w:val="22"/>
              </w:rPr>
            </w:pPr>
            <w:r w:rsidRPr="00A55741">
              <w:rPr>
                <w:rFonts w:cs="Arial"/>
                <w:b/>
                <w:color w:val="000000"/>
                <w:sz w:val="22"/>
                <w:szCs w:val="22"/>
              </w:rPr>
              <w:t>-</w:t>
            </w:r>
            <w:r w:rsidR="00AB649A" w:rsidRPr="00A55741">
              <w:rPr>
                <w:rFonts w:cs="Arial"/>
                <w:b/>
                <w:color w:val="000000"/>
                <w:sz w:val="22"/>
                <w:szCs w:val="22"/>
              </w:rPr>
              <w:t>1</w:t>
            </w:r>
            <w:r w:rsidRPr="00A55741">
              <w:rPr>
                <w:rFonts w:cs="Arial"/>
                <w:b/>
                <w:color w:val="000000"/>
                <w:sz w:val="22"/>
                <w:szCs w:val="22"/>
              </w:rPr>
              <w:t>,</w:t>
            </w:r>
            <w:r w:rsidR="00AB649A" w:rsidRPr="00A55741">
              <w:rPr>
                <w:rFonts w:cs="Arial"/>
                <w:b/>
                <w:color w:val="000000"/>
                <w:sz w:val="22"/>
                <w:szCs w:val="22"/>
              </w:rPr>
              <w:t>007.3</w:t>
            </w:r>
          </w:p>
        </w:tc>
      </w:tr>
      <w:tr w:rsidR="004D1BB3" w14:paraId="710BE6A8" w14:textId="77777777" w:rsidTr="00A55741">
        <w:trPr>
          <w:trHeight w:val="340"/>
        </w:trPr>
        <w:tc>
          <w:tcPr>
            <w:tcW w:w="2268" w:type="dxa"/>
            <w:shd w:val="clear" w:color="auto" w:fill="auto"/>
          </w:tcPr>
          <w:p w14:paraId="1452F1CC" w14:textId="0FD4B4F0" w:rsidR="00F62EA6" w:rsidRPr="006C4C36" w:rsidRDefault="003C64B6">
            <w:pPr>
              <w:spacing w:after="120" w:line="259" w:lineRule="auto"/>
              <w:jc w:val="both"/>
              <w:rPr>
                <w:rFonts w:cs="Arial"/>
                <w:sz w:val="22"/>
                <w:szCs w:val="22"/>
              </w:rPr>
            </w:pPr>
            <w:r>
              <w:rPr>
                <w:rFonts w:cs="Arial"/>
                <w:sz w:val="22"/>
                <w:szCs w:val="22"/>
              </w:rPr>
              <w:t>90%</w:t>
            </w:r>
          </w:p>
        </w:tc>
        <w:tc>
          <w:tcPr>
            <w:tcW w:w="2410" w:type="dxa"/>
            <w:tcBorders>
              <w:top w:val="nil"/>
              <w:left w:val="single" w:sz="4" w:space="0" w:color="auto"/>
              <w:bottom w:val="single" w:sz="4" w:space="0" w:color="auto"/>
              <w:right w:val="single" w:sz="4" w:space="0" w:color="auto"/>
            </w:tcBorders>
            <w:shd w:val="clear" w:color="auto" w:fill="auto"/>
            <w:vAlign w:val="bottom"/>
          </w:tcPr>
          <w:p w14:paraId="4D12DA01" w14:textId="3293D6FA" w:rsidR="00F62EA6" w:rsidRPr="006C4C3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689.5</w:t>
            </w:r>
          </w:p>
        </w:tc>
        <w:tc>
          <w:tcPr>
            <w:tcW w:w="2552" w:type="dxa"/>
            <w:tcBorders>
              <w:top w:val="nil"/>
              <w:left w:val="nil"/>
              <w:bottom w:val="single" w:sz="4" w:space="0" w:color="auto"/>
              <w:right w:val="single" w:sz="4" w:space="0" w:color="auto"/>
            </w:tcBorders>
            <w:shd w:val="clear" w:color="auto" w:fill="auto"/>
            <w:vAlign w:val="bottom"/>
          </w:tcPr>
          <w:p w14:paraId="6742295C" w14:textId="198BC4CF" w:rsidR="00F62EA6" w:rsidRPr="006C4C3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812</w:t>
            </w:r>
            <w:r w:rsidR="00FF55AA" w:rsidRPr="00A55741">
              <w:rPr>
                <w:rFonts w:cs="Arial"/>
                <w:color w:val="000000"/>
                <w:sz w:val="22"/>
                <w:szCs w:val="22"/>
              </w:rPr>
              <w:t>.</w:t>
            </w:r>
            <w:r w:rsidR="00AB649A" w:rsidRPr="00A55741">
              <w:rPr>
                <w:rFonts w:cs="Arial"/>
                <w:color w:val="000000"/>
                <w:sz w:val="22"/>
                <w:szCs w:val="22"/>
              </w:rPr>
              <w:t>2</w:t>
            </w:r>
          </w:p>
        </w:tc>
        <w:tc>
          <w:tcPr>
            <w:tcW w:w="2403" w:type="dxa"/>
            <w:tcBorders>
              <w:top w:val="nil"/>
              <w:left w:val="nil"/>
              <w:bottom w:val="single" w:sz="4" w:space="0" w:color="auto"/>
              <w:right w:val="single" w:sz="8" w:space="0" w:color="auto"/>
            </w:tcBorders>
            <w:shd w:val="clear" w:color="auto" w:fill="auto"/>
            <w:vAlign w:val="bottom"/>
          </w:tcPr>
          <w:p w14:paraId="703995D2" w14:textId="59EC7592" w:rsidR="00F62EA6" w:rsidRPr="006C4C3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934.9</w:t>
            </w:r>
          </w:p>
        </w:tc>
      </w:tr>
      <w:tr w:rsidR="004D1BB3" w14:paraId="580BFE03" w14:textId="77777777" w:rsidTr="00A55741">
        <w:trPr>
          <w:trHeight w:val="340"/>
        </w:trPr>
        <w:tc>
          <w:tcPr>
            <w:tcW w:w="2268" w:type="dxa"/>
            <w:shd w:val="clear" w:color="auto" w:fill="auto"/>
          </w:tcPr>
          <w:p w14:paraId="5D5FDEC3" w14:textId="5FEB9FD0" w:rsidR="00F62EA6" w:rsidRPr="006C4C36" w:rsidRDefault="003C64B6">
            <w:pPr>
              <w:spacing w:after="120" w:line="259" w:lineRule="auto"/>
              <w:jc w:val="both"/>
              <w:rPr>
                <w:rFonts w:cs="Arial"/>
                <w:sz w:val="22"/>
                <w:szCs w:val="22"/>
              </w:rPr>
            </w:pPr>
            <w:r>
              <w:rPr>
                <w:rFonts w:cs="Arial"/>
                <w:sz w:val="22"/>
                <w:szCs w:val="22"/>
              </w:rPr>
              <w:t>80%</w:t>
            </w:r>
          </w:p>
        </w:tc>
        <w:tc>
          <w:tcPr>
            <w:tcW w:w="2410" w:type="dxa"/>
            <w:tcBorders>
              <w:top w:val="nil"/>
              <w:left w:val="single" w:sz="4" w:space="0" w:color="auto"/>
              <w:bottom w:val="single" w:sz="4" w:space="0" w:color="auto"/>
              <w:right w:val="single" w:sz="4" w:space="0" w:color="auto"/>
            </w:tcBorders>
            <w:shd w:val="clear" w:color="auto" w:fill="auto"/>
            <w:vAlign w:val="bottom"/>
          </w:tcPr>
          <w:p w14:paraId="41F1D18E" w14:textId="61030504" w:rsidR="00F62EA6" w:rsidRPr="006C4C3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638.8</w:t>
            </w:r>
          </w:p>
        </w:tc>
        <w:tc>
          <w:tcPr>
            <w:tcW w:w="2552" w:type="dxa"/>
            <w:tcBorders>
              <w:top w:val="nil"/>
              <w:left w:val="nil"/>
              <w:bottom w:val="single" w:sz="4" w:space="0" w:color="auto"/>
              <w:right w:val="single" w:sz="4" w:space="0" w:color="auto"/>
            </w:tcBorders>
            <w:shd w:val="clear" w:color="auto" w:fill="auto"/>
            <w:vAlign w:val="bottom"/>
          </w:tcPr>
          <w:p w14:paraId="750111F2" w14:textId="70A47FAC" w:rsidR="00F62EA6" w:rsidRPr="006C4C3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750.6</w:t>
            </w:r>
          </w:p>
        </w:tc>
        <w:tc>
          <w:tcPr>
            <w:tcW w:w="2403" w:type="dxa"/>
            <w:tcBorders>
              <w:top w:val="nil"/>
              <w:left w:val="nil"/>
              <w:bottom w:val="single" w:sz="4" w:space="0" w:color="auto"/>
              <w:right w:val="single" w:sz="8" w:space="0" w:color="auto"/>
            </w:tcBorders>
            <w:shd w:val="clear" w:color="auto" w:fill="auto"/>
            <w:vAlign w:val="bottom"/>
          </w:tcPr>
          <w:p w14:paraId="451A5731" w14:textId="70E56FAE" w:rsidR="00F62EA6" w:rsidRPr="006C4C3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862</w:t>
            </w:r>
            <w:r w:rsidR="00FF55AA" w:rsidRPr="00A55741">
              <w:rPr>
                <w:rFonts w:cs="Arial"/>
                <w:color w:val="000000"/>
                <w:sz w:val="22"/>
                <w:szCs w:val="22"/>
              </w:rPr>
              <w:t>.</w:t>
            </w:r>
            <w:r w:rsidR="00AB649A" w:rsidRPr="00A55741">
              <w:rPr>
                <w:rFonts w:cs="Arial"/>
                <w:color w:val="000000"/>
                <w:sz w:val="22"/>
                <w:szCs w:val="22"/>
              </w:rPr>
              <w:t>4</w:t>
            </w:r>
          </w:p>
        </w:tc>
      </w:tr>
      <w:tr w:rsidR="004D1BB3" w14:paraId="5EE38EDA" w14:textId="77777777" w:rsidTr="00A55741">
        <w:trPr>
          <w:trHeight w:val="340"/>
        </w:trPr>
        <w:tc>
          <w:tcPr>
            <w:tcW w:w="2268" w:type="dxa"/>
            <w:shd w:val="clear" w:color="auto" w:fill="auto"/>
          </w:tcPr>
          <w:p w14:paraId="0D544522" w14:textId="38D8DE4E" w:rsidR="00F62EA6" w:rsidRPr="006C4C36" w:rsidRDefault="00C646B1">
            <w:pPr>
              <w:spacing w:after="120" w:line="259" w:lineRule="auto"/>
              <w:jc w:val="both"/>
              <w:rPr>
                <w:rFonts w:cs="Arial"/>
                <w:sz w:val="22"/>
                <w:szCs w:val="22"/>
              </w:rPr>
            </w:pPr>
            <w:r>
              <w:rPr>
                <w:rFonts w:cs="Arial"/>
                <w:sz w:val="22"/>
                <w:szCs w:val="22"/>
              </w:rPr>
              <w:t>70%</w:t>
            </w:r>
          </w:p>
        </w:tc>
        <w:tc>
          <w:tcPr>
            <w:tcW w:w="2410" w:type="dxa"/>
            <w:tcBorders>
              <w:top w:val="nil"/>
              <w:left w:val="single" w:sz="4" w:space="0" w:color="auto"/>
              <w:bottom w:val="single" w:sz="4" w:space="0" w:color="auto"/>
              <w:right w:val="single" w:sz="4" w:space="0" w:color="auto"/>
            </w:tcBorders>
            <w:shd w:val="clear" w:color="auto" w:fill="auto"/>
            <w:vAlign w:val="bottom"/>
          </w:tcPr>
          <w:p w14:paraId="74ECE4EB" w14:textId="6764EC26" w:rsidR="00F62EA6" w:rsidRPr="006C4C3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588.1</w:t>
            </w:r>
          </w:p>
        </w:tc>
        <w:tc>
          <w:tcPr>
            <w:tcW w:w="2552" w:type="dxa"/>
            <w:tcBorders>
              <w:top w:val="nil"/>
              <w:left w:val="nil"/>
              <w:bottom w:val="single" w:sz="4" w:space="0" w:color="auto"/>
              <w:right w:val="single" w:sz="4" w:space="0" w:color="auto"/>
            </w:tcBorders>
            <w:shd w:val="clear" w:color="auto" w:fill="auto"/>
            <w:vAlign w:val="bottom"/>
          </w:tcPr>
          <w:p w14:paraId="3F16F4B8" w14:textId="0FCE70D9" w:rsidR="00F62EA6" w:rsidRPr="006C4C3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689.1</w:t>
            </w:r>
          </w:p>
        </w:tc>
        <w:tc>
          <w:tcPr>
            <w:tcW w:w="2403" w:type="dxa"/>
            <w:tcBorders>
              <w:top w:val="nil"/>
              <w:left w:val="nil"/>
              <w:bottom w:val="single" w:sz="4" w:space="0" w:color="auto"/>
              <w:right w:val="single" w:sz="8" w:space="0" w:color="auto"/>
            </w:tcBorders>
            <w:shd w:val="clear" w:color="auto" w:fill="auto"/>
            <w:vAlign w:val="bottom"/>
          </w:tcPr>
          <w:p w14:paraId="6EB71FAA" w14:textId="35B79B00" w:rsidR="00F62EA6" w:rsidRPr="006C4C3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790.</w:t>
            </w:r>
            <w:r w:rsidR="00272AB8" w:rsidRPr="00A55741">
              <w:rPr>
                <w:rFonts w:cs="Arial"/>
                <w:color w:val="000000"/>
                <w:sz w:val="22"/>
                <w:szCs w:val="22"/>
              </w:rPr>
              <w:t>0</w:t>
            </w:r>
          </w:p>
        </w:tc>
      </w:tr>
      <w:tr w:rsidR="004D1BB3" w14:paraId="06354955" w14:textId="77777777" w:rsidTr="00A55741">
        <w:trPr>
          <w:trHeight w:val="340"/>
        </w:trPr>
        <w:tc>
          <w:tcPr>
            <w:tcW w:w="2268" w:type="dxa"/>
            <w:shd w:val="clear" w:color="auto" w:fill="auto"/>
          </w:tcPr>
          <w:p w14:paraId="2CA6CAC8" w14:textId="07AD4AE2" w:rsidR="003C64B6" w:rsidRDefault="00C646B1">
            <w:pPr>
              <w:spacing w:after="120" w:line="259" w:lineRule="auto"/>
              <w:jc w:val="both"/>
              <w:rPr>
                <w:rFonts w:cs="Arial"/>
                <w:sz w:val="22"/>
                <w:szCs w:val="22"/>
              </w:rPr>
            </w:pPr>
            <w:r>
              <w:rPr>
                <w:rFonts w:cs="Arial"/>
                <w:sz w:val="22"/>
                <w:szCs w:val="22"/>
              </w:rPr>
              <w:t>60%</w:t>
            </w:r>
          </w:p>
        </w:tc>
        <w:tc>
          <w:tcPr>
            <w:tcW w:w="2410" w:type="dxa"/>
            <w:tcBorders>
              <w:top w:val="nil"/>
              <w:left w:val="single" w:sz="4" w:space="0" w:color="auto"/>
              <w:bottom w:val="single" w:sz="4" w:space="0" w:color="auto"/>
              <w:right w:val="single" w:sz="4" w:space="0" w:color="auto"/>
            </w:tcBorders>
            <w:shd w:val="clear" w:color="auto" w:fill="auto"/>
            <w:vAlign w:val="bottom"/>
          </w:tcPr>
          <w:p w14:paraId="15BE2BCE" w14:textId="4A87FB17" w:rsidR="003C64B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537.4</w:t>
            </w:r>
          </w:p>
        </w:tc>
        <w:tc>
          <w:tcPr>
            <w:tcW w:w="2552" w:type="dxa"/>
            <w:tcBorders>
              <w:top w:val="nil"/>
              <w:left w:val="nil"/>
              <w:bottom w:val="single" w:sz="4" w:space="0" w:color="auto"/>
              <w:right w:val="single" w:sz="4" w:space="0" w:color="auto"/>
            </w:tcBorders>
            <w:shd w:val="clear" w:color="auto" w:fill="auto"/>
            <w:vAlign w:val="bottom"/>
          </w:tcPr>
          <w:p w14:paraId="3BA34CD0" w14:textId="313A4F09"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627</w:t>
            </w:r>
            <w:r w:rsidR="00FF55AA" w:rsidRPr="00A55741">
              <w:rPr>
                <w:rFonts w:cs="Arial"/>
                <w:color w:val="000000"/>
                <w:sz w:val="22"/>
                <w:szCs w:val="22"/>
              </w:rPr>
              <w:t>.</w:t>
            </w:r>
            <w:r w:rsidR="00AB649A" w:rsidRPr="00A55741">
              <w:rPr>
                <w:rFonts w:cs="Arial"/>
                <w:color w:val="000000"/>
                <w:sz w:val="22"/>
                <w:szCs w:val="22"/>
              </w:rPr>
              <w:t>5</w:t>
            </w:r>
          </w:p>
        </w:tc>
        <w:tc>
          <w:tcPr>
            <w:tcW w:w="2403" w:type="dxa"/>
            <w:tcBorders>
              <w:top w:val="nil"/>
              <w:left w:val="nil"/>
              <w:bottom w:val="single" w:sz="4" w:space="0" w:color="auto"/>
              <w:right w:val="single" w:sz="8" w:space="0" w:color="auto"/>
            </w:tcBorders>
            <w:shd w:val="clear" w:color="auto" w:fill="auto"/>
            <w:vAlign w:val="bottom"/>
          </w:tcPr>
          <w:p w14:paraId="02C68C47" w14:textId="74D09357"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717.6</w:t>
            </w:r>
          </w:p>
        </w:tc>
      </w:tr>
      <w:tr w:rsidR="004D1BB3" w14:paraId="3F80A12F" w14:textId="77777777" w:rsidTr="00A55741">
        <w:trPr>
          <w:trHeight w:val="340"/>
        </w:trPr>
        <w:tc>
          <w:tcPr>
            <w:tcW w:w="2268" w:type="dxa"/>
            <w:shd w:val="clear" w:color="auto" w:fill="auto"/>
          </w:tcPr>
          <w:p w14:paraId="2D6D2A35" w14:textId="31B1B5FB" w:rsidR="003C64B6" w:rsidRDefault="00C646B1">
            <w:pPr>
              <w:spacing w:after="120" w:line="259" w:lineRule="auto"/>
              <w:jc w:val="both"/>
              <w:rPr>
                <w:rFonts w:cs="Arial"/>
                <w:sz w:val="22"/>
                <w:szCs w:val="22"/>
              </w:rPr>
            </w:pPr>
            <w:r>
              <w:rPr>
                <w:rFonts w:cs="Arial"/>
                <w:sz w:val="22"/>
                <w:szCs w:val="22"/>
              </w:rPr>
              <w:t>50%</w:t>
            </w:r>
          </w:p>
        </w:tc>
        <w:tc>
          <w:tcPr>
            <w:tcW w:w="2410" w:type="dxa"/>
            <w:tcBorders>
              <w:top w:val="nil"/>
              <w:left w:val="single" w:sz="4" w:space="0" w:color="auto"/>
              <w:bottom w:val="single" w:sz="4" w:space="0" w:color="auto"/>
              <w:right w:val="single" w:sz="4" w:space="0" w:color="auto"/>
            </w:tcBorders>
            <w:shd w:val="clear" w:color="auto" w:fill="auto"/>
            <w:vAlign w:val="bottom"/>
          </w:tcPr>
          <w:p w14:paraId="4FF8ECB9" w14:textId="3B7A3F8E" w:rsidR="003C64B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486</w:t>
            </w:r>
            <w:r w:rsidR="00FF55AA" w:rsidRPr="00A55741">
              <w:rPr>
                <w:rFonts w:cs="Arial"/>
                <w:color w:val="000000"/>
                <w:sz w:val="22"/>
                <w:szCs w:val="22"/>
              </w:rPr>
              <w:t>.</w:t>
            </w:r>
            <w:r w:rsidR="00AB649A" w:rsidRPr="00A55741">
              <w:rPr>
                <w:rFonts w:cs="Arial"/>
                <w:color w:val="000000"/>
                <w:sz w:val="22"/>
                <w:szCs w:val="22"/>
              </w:rPr>
              <w:t>7</w:t>
            </w:r>
          </w:p>
        </w:tc>
        <w:tc>
          <w:tcPr>
            <w:tcW w:w="2552" w:type="dxa"/>
            <w:tcBorders>
              <w:top w:val="nil"/>
              <w:left w:val="nil"/>
              <w:bottom w:val="single" w:sz="4" w:space="0" w:color="auto"/>
              <w:right w:val="single" w:sz="4" w:space="0" w:color="auto"/>
            </w:tcBorders>
            <w:shd w:val="clear" w:color="auto" w:fill="auto"/>
            <w:vAlign w:val="bottom"/>
          </w:tcPr>
          <w:p w14:paraId="1B9E5B43" w14:textId="6369E67F"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565.9</w:t>
            </w:r>
          </w:p>
        </w:tc>
        <w:tc>
          <w:tcPr>
            <w:tcW w:w="2403" w:type="dxa"/>
            <w:tcBorders>
              <w:top w:val="nil"/>
              <w:left w:val="nil"/>
              <w:bottom w:val="single" w:sz="4" w:space="0" w:color="auto"/>
              <w:right w:val="single" w:sz="8" w:space="0" w:color="auto"/>
            </w:tcBorders>
            <w:shd w:val="clear" w:color="auto" w:fill="auto"/>
            <w:vAlign w:val="bottom"/>
          </w:tcPr>
          <w:p w14:paraId="251FDBF4" w14:textId="155F05BF"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645.2</w:t>
            </w:r>
          </w:p>
        </w:tc>
      </w:tr>
      <w:tr w:rsidR="004D1BB3" w14:paraId="0DA3F7CD" w14:textId="77777777" w:rsidTr="00A55741">
        <w:trPr>
          <w:trHeight w:val="340"/>
        </w:trPr>
        <w:tc>
          <w:tcPr>
            <w:tcW w:w="2268" w:type="dxa"/>
            <w:shd w:val="clear" w:color="auto" w:fill="auto"/>
          </w:tcPr>
          <w:p w14:paraId="5E8137E2" w14:textId="3CBAE830" w:rsidR="003C64B6" w:rsidRDefault="00C646B1">
            <w:pPr>
              <w:spacing w:after="120" w:line="259" w:lineRule="auto"/>
              <w:jc w:val="both"/>
              <w:rPr>
                <w:rFonts w:cs="Arial"/>
                <w:sz w:val="22"/>
                <w:szCs w:val="22"/>
              </w:rPr>
            </w:pPr>
            <w:r>
              <w:rPr>
                <w:rFonts w:cs="Arial"/>
                <w:sz w:val="22"/>
                <w:szCs w:val="22"/>
              </w:rPr>
              <w:t>40%</w:t>
            </w:r>
          </w:p>
        </w:tc>
        <w:tc>
          <w:tcPr>
            <w:tcW w:w="2410" w:type="dxa"/>
            <w:tcBorders>
              <w:top w:val="nil"/>
              <w:left w:val="single" w:sz="4" w:space="0" w:color="auto"/>
              <w:bottom w:val="single" w:sz="4" w:space="0" w:color="auto"/>
              <w:right w:val="single" w:sz="4" w:space="0" w:color="auto"/>
            </w:tcBorders>
            <w:shd w:val="clear" w:color="auto" w:fill="auto"/>
            <w:vAlign w:val="bottom"/>
          </w:tcPr>
          <w:p w14:paraId="1E49CCA5" w14:textId="48CE3C99" w:rsidR="003C64B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436.</w:t>
            </w:r>
            <w:r w:rsidRPr="00A55741">
              <w:rPr>
                <w:rFonts w:cs="Arial"/>
                <w:color w:val="000000"/>
                <w:sz w:val="22"/>
                <w:szCs w:val="22"/>
              </w:rPr>
              <w:t>0</w:t>
            </w:r>
          </w:p>
        </w:tc>
        <w:tc>
          <w:tcPr>
            <w:tcW w:w="2552" w:type="dxa"/>
            <w:tcBorders>
              <w:top w:val="nil"/>
              <w:left w:val="nil"/>
              <w:bottom w:val="single" w:sz="4" w:space="0" w:color="auto"/>
              <w:right w:val="single" w:sz="4" w:space="0" w:color="auto"/>
            </w:tcBorders>
            <w:shd w:val="clear" w:color="auto" w:fill="auto"/>
            <w:vAlign w:val="bottom"/>
          </w:tcPr>
          <w:p w14:paraId="103C8CDE" w14:textId="59770C1E"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504.4</w:t>
            </w:r>
          </w:p>
        </w:tc>
        <w:tc>
          <w:tcPr>
            <w:tcW w:w="2403" w:type="dxa"/>
            <w:tcBorders>
              <w:top w:val="nil"/>
              <w:left w:val="nil"/>
              <w:bottom w:val="single" w:sz="4" w:space="0" w:color="auto"/>
              <w:right w:val="single" w:sz="8" w:space="0" w:color="auto"/>
            </w:tcBorders>
            <w:shd w:val="clear" w:color="auto" w:fill="auto"/>
            <w:vAlign w:val="bottom"/>
          </w:tcPr>
          <w:p w14:paraId="7DF4D997" w14:textId="38860514"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572.7</w:t>
            </w:r>
          </w:p>
        </w:tc>
      </w:tr>
      <w:tr w:rsidR="004D1BB3" w14:paraId="4EE8F9CE" w14:textId="77777777" w:rsidTr="00A55741">
        <w:trPr>
          <w:trHeight w:val="340"/>
        </w:trPr>
        <w:tc>
          <w:tcPr>
            <w:tcW w:w="2268" w:type="dxa"/>
            <w:shd w:val="clear" w:color="auto" w:fill="auto"/>
          </w:tcPr>
          <w:p w14:paraId="519EEC17" w14:textId="0C6F633D" w:rsidR="003C64B6" w:rsidRDefault="00C646B1">
            <w:pPr>
              <w:spacing w:after="120" w:line="259" w:lineRule="auto"/>
              <w:jc w:val="both"/>
              <w:rPr>
                <w:rFonts w:cs="Arial"/>
                <w:sz w:val="22"/>
                <w:szCs w:val="22"/>
              </w:rPr>
            </w:pPr>
            <w:r>
              <w:rPr>
                <w:rFonts w:cs="Arial"/>
                <w:sz w:val="22"/>
                <w:szCs w:val="22"/>
              </w:rPr>
              <w:t>30%</w:t>
            </w:r>
          </w:p>
        </w:tc>
        <w:tc>
          <w:tcPr>
            <w:tcW w:w="2410" w:type="dxa"/>
            <w:tcBorders>
              <w:top w:val="nil"/>
              <w:left w:val="single" w:sz="4" w:space="0" w:color="auto"/>
              <w:bottom w:val="single" w:sz="4" w:space="0" w:color="auto"/>
              <w:right w:val="single" w:sz="4" w:space="0" w:color="auto"/>
            </w:tcBorders>
            <w:shd w:val="clear" w:color="auto" w:fill="auto"/>
            <w:vAlign w:val="bottom"/>
          </w:tcPr>
          <w:p w14:paraId="58D41EE6" w14:textId="65150EAA" w:rsidR="003C64B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385.3</w:t>
            </w:r>
          </w:p>
        </w:tc>
        <w:tc>
          <w:tcPr>
            <w:tcW w:w="2552" w:type="dxa"/>
            <w:tcBorders>
              <w:top w:val="nil"/>
              <w:left w:val="nil"/>
              <w:bottom w:val="single" w:sz="4" w:space="0" w:color="auto"/>
              <w:right w:val="single" w:sz="4" w:space="0" w:color="auto"/>
            </w:tcBorders>
            <w:shd w:val="clear" w:color="auto" w:fill="auto"/>
            <w:vAlign w:val="bottom"/>
          </w:tcPr>
          <w:p w14:paraId="5CB230A6" w14:textId="41E4126D"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442.8</w:t>
            </w:r>
          </w:p>
        </w:tc>
        <w:tc>
          <w:tcPr>
            <w:tcW w:w="2403" w:type="dxa"/>
            <w:tcBorders>
              <w:top w:val="nil"/>
              <w:left w:val="nil"/>
              <w:bottom w:val="single" w:sz="4" w:space="0" w:color="auto"/>
              <w:right w:val="single" w:sz="8" w:space="0" w:color="auto"/>
            </w:tcBorders>
            <w:shd w:val="clear" w:color="auto" w:fill="auto"/>
            <w:vAlign w:val="bottom"/>
          </w:tcPr>
          <w:p w14:paraId="3B013B01" w14:textId="3E965020"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500.3</w:t>
            </w:r>
          </w:p>
        </w:tc>
      </w:tr>
      <w:tr w:rsidR="004D1BB3" w14:paraId="27E8247A" w14:textId="77777777" w:rsidTr="00A55741">
        <w:trPr>
          <w:trHeight w:val="340"/>
        </w:trPr>
        <w:tc>
          <w:tcPr>
            <w:tcW w:w="2268" w:type="dxa"/>
            <w:shd w:val="clear" w:color="auto" w:fill="auto"/>
          </w:tcPr>
          <w:p w14:paraId="1C5A0654" w14:textId="19431F4D" w:rsidR="003C64B6" w:rsidRDefault="00C646B1">
            <w:pPr>
              <w:spacing w:after="120" w:line="259" w:lineRule="auto"/>
              <w:jc w:val="both"/>
              <w:rPr>
                <w:rFonts w:cs="Arial"/>
                <w:sz w:val="22"/>
                <w:szCs w:val="22"/>
              </w:rPr>
            </w:pPr>
            <w:r>
              <w:rPr>
                <w:rFonts w:cs="Arial"/>
                <w:sz w:val="22"/>
                <w:szCs w:val="22"/>
              </w:rPr>
              <w:t>20%</w:t>
            </w:r>
          </w:p>
        </w:tc>
        <w:tc>
          <w:tcPr>
            <w:tcW w:w="2410" w:type="dxa"/>
            <w:tcBorders>
              <w:top w:val="nil"/>
              <w:left w:val="single" w:sz="4" w:space="0" w:color="auto"/>
              <w:bottom w:val="single" w:sz="4" w:space="0" w:color="auto"/>
              <w:right w:val="single" w:sz="4" w:space="0" w:color="auto"/>
            </w:tcBorders>
            <w:shd w:val="clear" w:color="auto" w:fill="auto"/>
            <w:vAlign w:val="bottom"/>
          </w:tcPr>
          <w:p w14:paraId="44B173F2" w14:textId="1BB69C7E" w:rsidR="003C64B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334.6</w:t>
            </w:r>
          </w:p>
        </w:tc>
        <w:tc>
          <w:tcPr>
            <w:tcW w:w="2552" w:type="dxa"/>
            <w:tcBorders>
              <w:top w:val="nil"/>
              <w:left w:val="nil"/>
              <w:bottom w:val="single" w:sz="4" w:space="0" w:color="auto"/>
              <w:right w:val="single" w:sz="4" w:space="0" w:color="auto"/>
            </w:tcBorders>
            <w:shd w:val="clear" w:color="auto" w:fill="auto"/>
            <w:vAlign w:val="bottom"/>
          </w:tcPr>
          <w:p w14:paraId="66B9E3ED" w14:textId="0C18AD33"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381.2</w:t>
            </w:r>
          </w:p>
        </w:tc>
        <w:tc>
          <w:tcPr>
            <w:tcW w:w="2403" w:type="dxa"/>
            <w:tcBorders>
              <w:top w:val="nil"/>
              <w:left w:val="nil"/>
              <w:bottom w:val="single" w:sz="4" w:space="0" w:color="auto"/>
              <w:right w:val="single" w:sz="8" w:space="0" w:color="auto"/>
            </w:tcBorders>
            <w:shd w:val="clear" w:color="auto" w:fill="auto"/>
            <w:vAlign w:val="bottom"/>
          </w:tcPr>
          <w:p w14:paraId="0469F336" w14:textId="4EEE7D61"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427.9</w:t>
            </w:r>
          </w:p>
        </w:tc>
      </w:tr>
      <w:tr w:rsidR="004D1BB3" w14:paraId="03A5B22F" w14:textId="77777777" w:rsidTr="00A55741">
        <w:trPr>
          <w:trHeight w:val="340"/>
        </w:trPr>
        <w:tc>
          <w:tcPr>
            <w:tcW w:w="2268" w:type="dxa"/>
            <w:shd w:val="clear" w:color="auto" w:fill="auto"/>
          </w:tcPr>
          <w:p w14:paraId="05510925" w14:textId="236D61B6" w:rsidR="003C64B6" w:rsidRDefault="00C646B1">
            <w:pPr>
              <w:spacing w:after="120" w:line="259" w:lineRule="auto"/>
              <w:jc w:val="both"/>
              <w:rPr>
                <w:rFonts w:cs="Arial"/>
                <w:sz w:val="22"/>
                <w:szCs w:val="22"/>
              </w:rPr>
            </w:pPr>
            <w:r>
              <w:rPr>
                <w:rFonts w:cs="Arial"/>
                <w:sz w:val="22"/>
                <w:szCs w:val="22"/>
              </w:rPr>
              <w:t>1</w:t>
            </w:r>
            <w:r w:rsidR="00BF6572">
              <w:rPr>
                <w:rFonts w:cs="Arial"/>
                <w:sz w:val="22"/>
                <w:szCs w:val="22"/>
              </w:rPr>
              <w:t>0%</w:t>
            </w:r>
          </w:p>
        </w:tc>
        <w:tc>
          <w:tcPr>
            <w:tcW w:w="2410" w:type="dxa"/>
            <w:tcBorders>
              <w:top w:val="nil"/>
              <w:left w:val="single" w:sz="4" w:space="0" w:color="auto"/>
              <w:bottom w:val="single" w:sz="4" w:space="0" w:color="auto"/>
              <w:right w:val="single" w:sz="4" w:space="0" w:color="auto"/>
            </w:tcBorders>
            <w:shd w:val="clear" w:color="auto" w:fill="auto"/>
            <w:vAlign w:val="bottom"/>
          </w:tcPr>
          <w:p w14:paraId="10D87649" w14:textId="13558A32" w:rsidR="003C64B6"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283.9</w:t>
            </w:r>
          </w:p>
        </w:tc>
        <w:tc>
          <w:tcPr>
            <w:tcW w:w="2552" w:type="dxa"/>
            <w:tcBorders>
              <w:top w:val="nil"/>
              <w:left w:val="nil"/>
              <w:bottom w:val="single" w:sz="4" w:space="0" w:color="auto"/>
              <w:right w:val="single" w:sz="4" w:space="0" w:color="auto"/>
            </w:tcBorders>
            <w:shd w:val="clear" w:color="auto" w:fill="auto"/>
            <w:vAlign w:val="bottom"/>
          </w:tcPr>
          <w:p w14:paraId="5B3E7794" w14:textId="15E8910A"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319.7</w:t>
            </w:r>
          </w:p>
        </w:tc>
        <w:tc>
          <w:tcPr>
            <w:tcW w:w="2403" w:type="dxa"/>
            <w:tcBorders>
              <w:top w:val="nil"/>
              <w:left w:val="nil"/>
              <w:bottom w:val="single" w:sz="4" w:space="0" w:color="auto"/>
              <w:right w:val="single" w:sz="8" w:space="0" w:color="auto"/>
            </w:tcBorders>
            <w:shd w:val="clear" w:color="auto" w:fill="auto"/>
            <w:vAlign w:val="bottom"/>
          </w:tcPr>
          <w:p w14:paraId="067E574A" w14:textId="481B4264" w:rsidR="003C64B6"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355.5</w:t>
            </w:r>
          </w:p>
        </w:tc>
      </w:tr>
      <w:tr w:rsidR="004D1BB3" w14:paraId="3A9479FE" w14:textId="77777777" w:rsidTr="00A55741">
        <w:trPr>
          <w:trHeight w:val="340"/>
        </w:trPr>
        <w:tc>
          <w:tcPr>
            <w:tcW w:w="2268" w:type="dxa"/>
            <w:shd w:val="clear" w:color="auto" w:fill="auto"/>
          </w:tcPr>
          <w:p w14:paraId="40EBEBCC" w14:textId="24A5F3FC" w:rsidR="00BF6572" w:rsidRDefault="00BF6572">
            <w:pPr>
              <w:spacing w:after="120" w:line="259" w:lineRule="auto"/>
              <w:jc w:val="both"/>
              <w:rPr>
                <w:rFonts w:cs="Arial"/>
                <w:sz w:val="22"/>
                <w:szCs w:val="22"/>
              </w:rPr>
            </w:pPr>
            <w:r>
              <w:rPr>
                <w:rFonts w:cs="Arial"/>
                <w:sz w:val="22"/>
                <w:szCs w:val="22"/>
              </w:rPr>
              <w:t>0%</w:t>
            </w:r>
          </w:p>
        </w:tc>
        <w:tc>
          <w:tcPr>
            <w:tcW w:w="2410" w:type="dxa"/>
            <w:tcBorders>
              <w:top w:val="nil"/>
              <w:left w:val="single" w:sz="4" w:space="0" w:color="auto"/>
              <w:bottom w:val="single" w:sz="8" w:space="0" w:color="auto"/>
              <w:right w:val="single" w:sz="4" w:space="0" w:color="auto"/>
            </w:tcBorders>
            <w:shd w:val="clear" w:color="auto" w:fill="auto"/>
            <w:vAlign w:val="bottom"/>
          </w:tcPr>
          <w:p w14:paraId="35C1D4B1" w14:textId="42AE6E70" w:rsidR="00BF6572" w:rsidRDefault="00F2597D"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233.2</w:t>
            </w:r>
          </w:p>
        </w:tc>
        <w:tc>
          <w:tcPr>
            <w:tcW w:w="2552" w:type="dxa"/>
            <w:tcBorders>
              <w:top w:val="nil"/>
              <w:left w:val="nil"/>
              <w:bottom w:val="single" w:sz="8" w:space="0" w:color="auto"/>
              <w:right w:val="single" w:sz="4" w:space="0" w:color="auto"/>
            </w:tcBorders>
            <w:shd w:val="clear" w:color="auto" w:fill="auto"/>
            <w:vAlign w:val="bottom"/>
          </w:tcPr>
          <w:p w14:paraId="68094D22" w14:textId="6D31C201" w:rsidR="00BF6572"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258</w:t>
            </w:r>
            <w:r w:rsidR="00FF55AA" w:rsidRPr="00A55741">
              <w:rPr>
                <w:rFonts w:cs="Arial"/>
                <w:color w:val="000000"/>
                <w:sz w:val="22"/>
                <w:szCs w:val="22"/>
              </w:rPr>
              <w:t>.</w:t>
            </w:r>
            <w:r w:rsidR="00AB649A" w:rsidRPr="00A55741">
              <w:rPr>
                <w:rFonts w:cs="Arial"/>
                <w:color w:val="000000"/>
                <w:sz w:val="22"/>
                <w:szCs w:val="22"/>
              </w:rPr>
              <w:t>1</w:t>
            </w:r>
          </w:p>
        </w:tc>
        <w:tc>
          <w:tcPr>
            <w:tcW w:w="2403" w:type="dxa"/>
            <w:tcBorders>
              <w:top w:val="nil"/>
              <w:left w:val="nil"/>
              <w:bottom w:val="single" w:sz="8" w:space="0" w:color="auto"/>
              <w:right w:val="single" w:sz="8" w:space="0" w:color="auto"/>
            </w:tcBorders>
            <w:shd w:val="clear" w:color="auto" w:fill="auto"/>
            <w:vAlign w:val="bottom"/>
          </w:tcPr>
          <w:p w14:paraId="47E11274" w14:textId="36470809" w:rsidR="00BF6572" w:rsidRDefault="00782BCF" w:rsidP="00A55741">
            <w:pPr>
              <w:spacing w:after="120" w:line="259" w:lineRule="auto"/>
              <w:jc w:val="right"/>
              <w:rPr>
                <w:rFonts w:cs="Arial"/>
                <w:sz w:val="22"/>
                <w:szCs w:val="22"/>
              </w:rPr>
            </w:pPr>
            <w:r w:rsidRPr="00A55741">
              <w:rPr>
                <w:rFonts w:cs="Arial"/>
                <w:color w:val="000000"/>
                <w:sz w:val="22"/>
                <w:szCs w:val="22"/>
              </w:rPr>
              <w:t>-</w:t>
            </w:r>
            <w:r w:rsidR="00AB649A" w:rsidRPr="00A55741">
              <w:rPr>
                <w:rFonts w:cs="Arial"/>
                <w:color w:val="000000"/>
                <w:sz w:val="22"/>
                <w:szCs w:val="22"/>
              </w:rPr>
              <w:t>283.0</w:t>
            </w:r>
          </w:p>
        </w:tc>
      </w:tr>
    </w:tbl>
    <w:p w14:paraId="33BEE5AC" w14:textId="69E5669E" w:rsidR="00E434E9" w:rsidRDefault="00E434E9" w:rsidP="00E434E9">
      <w:pPr>
        <w:pStyle w:val="EBBullet"/>
        <w:numPr>
          <w:ilvl w:val="0"/>
          <w:numId w:val="0"/>
        </w:numPr>
        <w:spacing w:line="259" w:lineRule="auto"/>
        <w:ind w:left="567"/>
        <w:jc w:val="both"/>
        <w:rPr>
          <w:color w:val="auto"/>
          <w:sz w:val="18"/>
          <w:szCs w:val="18"/>
        </w:rPr>
      </w:pPr>
      <w:r w:rsidRPr="0029116F">
        <w:rPr>
          <w:color w:val="auto"/>
          <w:sz w:val="18"/>
          <w:szCs w:val="18"/>
        </w:rPr>
        <w:lastRenderedPageBreak/>
        <w:t xml:space="preserve">Source: Home Office </w:t>
      </w:r>
      <w:r>
        <w:rPr>
          <w:color w:val="auto"/>
          <w:sz w:val="18"/>
          <w:szCs w:val="18"/>
        </w:rPr>
        <w:t xml:space="preserve">and DBT </w:t>
      </w:r>
      <w:r w:rsidRPr="0029116F">
        <w:rPr>
          <w:color w:val="auto"/>
          <w:sz w:val="18"/>
          <w:szCs w:val="18"/>
        </w:rPr>
        <w:t xml:space="preserve">analysis </w:t>
      </w:r>
    </w:p>
    <w:p w14:paraId="4A7FFB8C" w14:textId="2C38EF1F" w:rsidR="007C1C85" w:rsidRPr="00DE43BF" w:rsidRDefault="007C1C85" w:rsidP="00A55741">
      <w:pPr>
        <w:pStyle w:val="Style3"/>
        <w:spacing w:after="120"/>
      </w:pPr>
      <w:r w:rsidRPr="00DE43BF">
        <w:t xml:space="preserve">Changes to the Core Team size </w:t>
      </w:r>
    </w:p>
    <w:p w14:paraId="7C711D30" w14:textId="7900D342" w:rsidR="002839A8" w:rsidRDefault="002839A8" w:rsidP="00A55741">
      <w:pPr>
        <w:pStyle w:val="ListParagraph"/>
        <w:numPr>
          <w:ilvl w:val="0"/>
          <w:numId w:val="10"/>
        </w:numPr>
        <w:spacing w:after="120" w:line="259" w:lineRule="auto"/>
        <w:ind w:left="567" w:hanging="567"/>
        <w:contextualSpacing w:val="0"/>
        <w:jc w:val="both"/>
      </w:pPr>
      <w:r w:rsidRPr="00A55741">
        <w:rPr>
          <w:rFonts w:cs="Arial"/>
          <w:sz w:val="22"/>
          <w:szCs w:val="22"/>
        </w:rPr>
        <w:t>Anoth</w:t>
      </w:r>
      <w:r w:rsidR="00ED2BBD" w:rsidRPr="00A55741">
        <w:rPr>
          <w:sz w:val="22"/>
          <w:szCs w:val="22"/>
        </w:rPr>
        <w:t xml:space="preserve">er </w:t>
      </w:r>
      <w:r w:rsidR="00CC23C8">
        <w:rPr>
          <w:sz w:val="22"/>
          <w:szCs w:val="22"/>
        </w:rPr>
        <w:t>important</w:t>
      </w:r>
      <w:r w:rsidR="00ED2BBD" w:rsidRPr="00A55741">
        <w:rPr>
          <w:sz w:val="22"/>
          <w:szCs w:val="22"/>
        </w:rPr>
        <w:t xml:space="preserve"> assumption</w:t>
      </w:r>
      <w:r w:rsidR="000D2B65" w:rsidRPr="00A55741">
        <w:rPr>
          <w:sz w:val="22"/>
          <w:szCs w:val="22"/>
        </w:rPr>
        <w:t xml:space="preserve"> in this assessment</w:t>
      </w:r>
      <w:r w:rsidR="003D2F95" w:rsidRPr="00A55741">
        <w:rPr>
          <w:sz w:val="22"/>
          <w:szCs w:val="22"/>
        </w:rPr>
        <w:t xml:space="preserve"> is</w:t>
      </w:r>
      <w:r w:rsidR="00777AD2" w:rsidRPr="00A55741">
        <w:rPr>
          <w:sz w:val="22"/>
          <w:szCs w:val="22"/>
        </w:rPr>
        <w:t xml:space="preserve"> </w:t>
      </w:r>
      <w:r w:rsidR="00014DA2" w:rsidRPr="00A55741">
        <w:rPr>
          <w:sz w:val="22"/>
          <w:szCs w:val="22"/>
        </w:rPr>
        <w:t xml:space="preserve">around core team size. For </w:t>
      </w:r>
      <w:r w:rsidR="006078EE" w:rsidRPr="00A55741">
        <w:rPr>
          <w:sz w:val="22"/>
          <w:szCs w:val="22"/>
        </w:rPr>
        <w:t xml:space="preserve">the largest firms, this is assumed to be </w:t>
      </w:r>
      <w:r w:rsidR="00AA7F7D" w:rsidRPr="00A55741">
        <w:rPr>
          <w:sz w:val="22"/>
          <w:szCs w:val="22"/>
        </w:rPr>
        <w:t>five</w:t>
      </w:r>
      <w:r w:rsidR="00F9293D" w:rsidRPr="00A55741">
        <w:rPr>
          <w:sz w:val="22"/>
          <w:szCs w:val="22"/>
        </w:rPr>
        <w:t xml:space="preserve"> full-time staff, with </w:t>
      </w:r>
      <w:r w:rsidR="00AA7F7D" w:rsidRPr="00A55741">
        <w:rPr>
          <w:sz w:val="22"/>
          <w:szCs w:val="22"/>
        </w:rPr>
        <w:t>four</w:t>
      </w:r>
      <w:r w:rsidR="00F9293D" w:rsidRPr="00A55741">
        <w:rPr>
          <w:sz w:val="22"/>
          <w:szCs w:val="22"/>
        </w:rPr>
        <w:t xml:space="preserve"> </w:t>
      </w:r>
      <w:r w:rsidR="00DE32B1" w:rsidRPr="00A55741">
        <w:rPr>
          <w:sz w:val="22"/>
          <w:szCs w:val="22"/>
        </w:rPr>
        <w:t xml:space="preserve">assumed to be the core team size of large firms. </w:t>
      </w:r>
      <w:r w:rsidR="004050EA" w:rsidRPr="00A55741">
        <w:rPr>
          <w:sz w:val="22"/>
          <w:szCs w:val="22"/>
        </w:rPr>
        <w:t xml:space="preserve">In both cases these teams are managed by a project director who dedicates 20 per cent of their time to the project. </w:t>
      </w:r>
      <w:r w:rsidR="009A3D94" w:rsidRPr="00A55741">
        <w:rPr>
          <w:sz w:val="22"/>
          <w:szCs w:val="22"/>
        </w:rPr>
        <w:t>This input from senior staff is based on the current Bribery Act 2010 guidance which states that processes should show “top level commitment”.</w:t>
      </w:r>
      <w:r w:rsidR="00361DE7" w:rsidRPr="00A55741">
        <w:rPr>
          <w:sz w:val="22"/>
          <w:szCs w:val="22"/>
        </w:rPr>
        <w:t xml:space="preserve"> </w:t>
      </w:r>
      <w:r w:rsidR="00D50262" w:rsidRPr="00A55741">
        <w:rPr>
          <w:sz w:val="22"/>
          <w:szCs w:val="22"/>
        </w:rPr>
        <w:t xml:space="preserve">The </w:t>
      </w:r>
      <w:r w:rsidR="00712171" w:rsidRPr="00A55741">
        <w:rPr>
          <w:sz w:val="22"/>
          <w:szCs w:val="22"/>
        </w:rPr>
        <w:t>assumption on the</w:t>
      </w:r>
      <w:r w:rsidR="00D50262" w:rsidRPr="00A55741">
        <w:rPr>
          <w:sz w:val="22"/>
          <w:szCs w:val="22"/>
        </w:rPr>
        <w:t xml:space="preserve"> level of staffing in the central scenario</w:t>
      </w:r>
      <w:r w:rsidR="00BC79BD" w:rsidRPr="00A55741">
        <w:rPr>
          <w:sz w:val="22"/>
          <w:szCs w:val="22"/>
        </w:rPr>
        <w:t xml:space="preserve"> was provided by DBT </w:t>
      </w:r>
      <w:r w:rsidR="00D86A00" w:rsidRPr="00A55741">
        <w:rPr>
          <w:sz w:val="22"/>
          <w:szCs w:val="22"/>
        </w:rPr>
        <w:t xml:space="preserve">therefore sensitivity analysis </w:t>
      </w:r>
      <w:r w:rsidR="004F527B" w:rsidRPr="00A55741">
        <w:rPr>
          <w:sz w:val="22"/>
          <w:szCs w:val="22"/>
        </w:rPr>
        <w:t xml:space="preserve">assesses the effect of core size on NPSV. </w:t>
      </w:r>
    </w:p>
    <w:p w14:paraId="6C5489BF" w14:textId="1B8EFF91" w:rsidR="00F24212" w:rsidRDefault="002D19D4" w:rsidP="00A55741">
      <w:pPr>
        <w:pStyle w:val="ListParagraph"/>
        <w:numPr>
          <w:ilvl w:val="0"/>
          <w:numId w:val="10"/>
        </w:numPr>
        <w:spacing w:after="120" w:line="259" w:lineRule="auto"/>
        <w:ind w:left="567" w:hanging="567"/>
        <w:contextualSpacing w:val="0"/>
        <w:jc w:val="both"/>
      </w:pPr>
      <w:r w:rsidRPr="00A55741">
        <w:rPr>
          <w:rFonts w:cs="Arial"/>
          <w:sz w:val="22"/>
          <w:szCs w:val="22"/>
        </w:rPr>
        <w:t>Table</w:t>
      </w:r>
      <w:r w:rsidRPr="00A55741">
        <w:rPr>
          <w:sz w:val="22"/>
          <w:szCs w:val="22"/>
        </w:rPr>
        <w:t xml:space="preserve"> 17 shows the effect on NPS</w:t>
      </w:r>
      <w:r w:rsidR="00BE376C" w:rsidRPr="00A55741">
        <w:rPr>
          <w:sz w:val="22"/>
          <w:szCs w:val="22"/>
        </w:rPr>
        <w:t xml:space="preserve">V </w:t>
      </w:r>
      <w:r w:rsidR="008F7D61" w:rsidRPr="00A55741">
        <w:rPr>
          <w:sz w:val="22"/>
          <w:szCs w:val="22"/>
        </w:rPr>
        <w:t xml:space="preserve">if </w:t>
      </w:r>
      <w:r w:rsidR="0060641A" w:rsidRPr="00A55741">
        <w:rPr>
          <w:sz w:val="22"/>
          <w:szCs w:val="22"/>
        </w:rPr>
        <w:t xml:space="preserve">firms </w:t>
      </w:r>
      <w:r w:rsidR="000A41D8" w:rsidRPr="00A55741">
        <w:rPr>
          <w:sz w:val="22"/>
          <w:szCs w:val="22"/>
        </w:rPr>
        <w:t>of both sizes</w:t>
      </w:r>
      <w:r w:rsidR="0060641A" w:rsidRPr="00A55741">
        <w:rPr>
          <w:sz w:val="22"/>
          <w:szCs w:val="22"/>
        </w:rPr>
        <w:t xml:space="preserve"> had </w:t>
      </w:r>
      <w:r w:rsidR="000A41D8" w:rsidRPr="00A55741">
        <w:rPr>
          <w:sz w:val="22"/>
          <w:szCs w:val="22"/>
        </w:rPr>
        <w:t xml:space="preserve">increased or decreased the </w:t>
      </w:r>
      <w:r w:rsidR="003B0DEC" w:rsidRPr="00A55741">
        <w:rPr>
          <w:sz w:val="22"/>
          <w:szCs w:val="22"/>
        </w:rPr>
        <w:t>size of</w:t>
      </w:r>
      <w:r w:rsidR="008F7D61" w:rsidRPr="00A55741">
        <w:rPr>
          <w:sz w:val="22"/>
          <w:szCs w:val="22"/>
        </w:rPr>
        <w:t xml:space="preserve"> </w:t>
      </w:r>
      <w:r w:rsidR="000A41D8" w:rsidRPr="00A55741">
        <w:rPr>
          <w:sz w:val="22"/>
          <w:szCs w:val="22"/>
        </w:rPr>
        <w:t>their</w:t>
      </w:r>
      <w:r w:rsidR="003B0DEC" w:rsidRPr="00A55741">
        <w:rPr>
          <w:sz w:val="22"/>
          <w:szCs w:val="22"/>
        </w:rPr>
        <w:t xml:space="preserve"> </w:t>
      </w:r>
      <w:r w:rsidR="008F7D61" w:rsidRPr="00A55741">
        <w:rPr>
          <w:sz w:val="22"/>
          <w:szCs w:val="22"/>
        </w:rPr>
        <w:t xml:space="preserve">core teams </w:t>
      </w:r>
      <w:r w:rsidR="003B0DEC" w:rsidRPr="00A55741">
        <w:rPr>
          <w:sz w:val="22"/>
          <w:szCs w:val="22"/>
        </w:rPr>
        <w:t xml:space="preserve">relative </w:t>
      </w:r>
      <w:r w:rsidR="008F7D61" w:rsidRPr="00A55741">
        <w:rPr>
          <w:sz w:val="22"/>
          <w:szCs w:val="22"/>
        </w:rPr>
        <w:t xml:space="preserve">to </w:t>
      </w:r>
      <w:r w:rsidR="003B0DEC" w:rsidRPr="00A55741">
        <w:rPr>
          <w:sz w:val="22"/>
          <w:szCs w:val="22"/>
        </w:rPr>
        <w:t xml:space="preserve">the central scenario in the analysis. </w:t>
      </w:r>
      <w:r w:rsidR="002814B5" w:rsidRPr="00A55741">
        <w:rPr>
          <w:sz w:val="22"/>
          <w:szCs w:val="22"/>
        </w:rPr>
        <w:t xml:space="preserve">If the </w:t>
      </w:r>
      <w:r w:rsidR="000C4FFB" w:rsidRPr="00A55741">
        <w:rPr>
          <w:sz w:val="22"/>
          <w:szCs w:val="22"/>
        </w:rPr>
        <w:t>firm</w:t>
      </w:r>
      <w:r w:rsidR="002814B5" w:rsidRPr="00A55741">
        <w:rPr>
          <w:sz w:val="22"/>
          <w:szCs w:val="22"/>
        </w:rPr>
        <w:t xml:space="preserve">s had a </w:t>
      </w:r>
      <w:r w:rsidR="005B39F0" w:rsidRPr="00A55741">
        <w:rPr>
          <w:sz w:val="22"/>
          <w:szCs w:val="22"/>
        </w:rPr>
        <w:t xml:space="preserve">smaller </w:t>
      </w:r>
      <w:r w:rsidR="000C2824" w:rsidRPr="00A55741">
        <w:rPr>
          <w:sz w:val="22"/>
          <w:szCs w:val="22"/>
        </w:rPr>
        <w:t>core team size</w:t>
      </w:r>
      <w:r w:rsidR="00B67AD6" w:rsidRPr="00A55741">
        <w:rPr>
          <w:sz w:val="22"/>
          <w:szCs w:val="22"/>
        </w:rPr>
        <w:t xml:space="preserve">, </w:t>
      </w:r>
      <w:r w:rsidR="00303864" w:rsidRPr="00A55741">
        <w:rPr>
          <w:sz w:val="22"/>
          <w:szCs w:val="22"/>
        </w:rPr>
        <w:t xml:space="preserve">to </w:t>
      </w:r>
      <w:r w:rsidR="00AA7F7D">
        <w:rPr>
          <w:sz w:val="22"/>
          <w:szCs w:val="22"/>
        </w:rPr>
        <w:t>three</w:t>
      </w:r>
      <w:r w:rsidR="000C2824" w:rsidRPr="00A55741">
        <w:rPr>
          <w:sz w:val="22"/>
          <w:szCs w:val="22"/>
        </w:rPr>
        <w:t xml:space="preserve"> </w:t>
      </w:r>
      <w:r w:rsidR="00E0144A" w:rsidRPr="00A55741">
        <w:rPr>
          <w:sz w:val="22"/>
          <w:szCs w:val="22"/>
        </w:rPr>
        <w:t xml:space="preserve">staff for </w:t>
      </w:r>
      <w:r w:rsidR="00867624" w:rsidRPr="00A55741">
        <w:rPr>
          <w:sz w:val="22"/>
          <w:szCs w:val="22"/>
        </w:rPr>
        <w:t xml:space="preserve">large firms </w:t>
      </w:r>
      <w:r w:rsidR="00E0144A" w:rsidRPr="00A55741">
        <w:rPr>
          <w:sz w:val="22"/>
          <w:szCs w:val="22"/>
        </w:rPr>
        <w:t xml:space="preserve">and </w:t>
      </w:r>
      <w:r w:rsidR="00AA7F7D">
        <w:rPr>
          <w:sz w:val="22"/>
          <w:szCs w:val="22"/>
        </w:rPr>
        <w:t>four</w:t>
      </w:r>
      <w:r w:rsidR="00E0144A" w:rsidRPr="00A55741">
        <w:rPr>
          <w:sz w:val="22"/>
          <w:szCs w:val="22"/>
        </w:rPr>
        <w:t xml:space="preserve"> </w:t>
      </w:r>
      <w:r w:rsidR="00AF509E" w:rsidRPr="00A55741">
        <w:rPr>
          <w:sz w:val="22"/>
          <w:szCs w:val="22"/>
        </w:rPr>
        <w:t>for the largest firms</w:t>
      </w:r>
      <w:r w:rsidR="005B39F0" w:rsidRPr="00A55741">
        <w:rPr>
          <w:sz w:val="22"/>
          <w:szCs w:val="22"/>
        </w:rPr>
        <w:t xml:space="preserve">, </w:t>
      </w:r>
      <w:r w:rsidR="000C2824" w:rsidRPr="00A55741">
        <w:rPr>
          <w:sz w:val="22"/>
          <w:szCs w:val="22"/>
        </w:rPr>
        <w:t xml:space="preserve">NPSV would </w:t>
      </w:r>
      <w:r w:rsidR="005B39F0" w:rsidRPr="00A55741">
        <w:rPr>
          <w:sz w:val="22"/>
          <w:szCs w:val="22"/>
        </w:rPr>
        <w:t>in</w:t>
      </w:r>
      <w:r w:rsidR="000C2824" w:rsidRPr="00A55741">
        <w:rPr>
          <w:sz w:val="22"/>
          <w:szCs w:val="22"/>
        </w:rPr>
        <w:t xml:space="preserve">crease to </w:t>
      </w:r>
      <w:r w:rsidR="001F1F4C" w:rsidRPr="00A55741">
        <w:rPr>
          <w:sz w:val="22"/>
          <w:szCs w:val="22"/>
        </w:rPr>
        <w:t xml:space="preserve">around </w:t>
      </w:r>
      <w:r w:rsidR="005B39F0" w:rsidRPr="00A55741">
        <w:rPr>
          <w:b/>
          <w:sz w:val="22"/>
          <w:szCs w:val="22"/>
        </w:rPr>
        <w:t>-</w:t>
      </w:r>
      <w:r w:rsidR="000C2824" w:rsidRPr="00A55741">
        <w:rPr>
          <w:b/>
          <w:sz w:val="22"/>
          <w:szCs w:val="22"/>
        </w:rPr>
        <w:t>£8</w:t>
      </w:r>
      <w:r w:rsidR="00FB1C32" w:rsidRPr="00241505">
        <w:rPr>
          <w:b/>
          <w:sz w:val="22"/>
          <w:szCs w:val="22"/>
        </w:rPr>
        <w:t>20</w:t>
      </w:r>
      <w:r w:rsidR="00985C01" w:rsidRPr="00A55741">
        <w:rPr>
          <w:b/>
          <w:sz w:val="22"/>
          <w:szCs w:val="22"/>
        </w:rPr>
        <w:t>.</w:t>
      </w:r>
      <w:r w:rsidR="00FB1C32" w:rsidRPr="00241505">
        <w:rPr>
          <w:b/>
          <w:sz w:val="22"/>
          <w:szCs w:val="22"/>
        </w:rPr>
        <w:t>9</w:t>
      </w:r>
      <w:r w:rsidR="00AA7F7D" w:rsidRPr="00241505">
        <w:rPr>
          <w:b/>
          <w:sz w:val="22"/>
          <w:szCs w:val="22"/>
        </w:rPr>
        <w:t xml:space="preserve"> </w:t>
      </w:r>
      <w:r w:rsidR="00345EE6" w:rsidRPr="00A55741">
        <w:rPr>
          <w:b/>
          <w:sz w:val="22"/>
          <w:szCs w:val="22"/>
        </w:rPr>
        <w:t>m</w:t>
      </w:r>
      <w:r w:rsidR="00AA7F7D" w:rsidRPr="00241505">
        <w:rPr>
          <w:b/>
          <w:sz w:val="22"/>
          <w:szCs w:val="22"/>
        </w:rPr>
        <w:t>illion</w:t>
      </w:r>
      <w:r w:rsidR="00241505">
        <w:rPr>
          <w:sz w:val="22"/>
          <w:szCs w:val="22"/>
        </w:rPr>
        <w:t xml:space="preserve"> </w:t>
      </w:r>
      <w:r w:rsidR="00241505" w:rsidRPr="00546D65">
        <w:rPr>
          <w:rFonts w:cs="Arial"/>
          <w:b/>
          <w:bCs/>
          <w:sz w:val="22"/>
          <w:szCs w:val="22"/>
        </w:rPr>
        <w:t>(PV 2024</w:t>
      </w:r>
      <w:r w:rsidR="00241505">
        <w:rPr>
          <w:rFonts w:cs="Arial"/>
          <w:b/>
          <w:bCs/>
          <w:sz w:val="22"/>
          <w:szCs w:val="22"/>
        </w:rPr>
        <w:t>)</w:t>
      </w:r>
      <w:r w:rsidR="00345EE6" w:rsidRPr="00A55741">
        <w:rPr>
          <w:sz w:val="22"/>
          <w:szCs w:val="22"/>
        </w:rPr>
        <w:t xml:space="preserve">. </w:t>
      </w:r>
      <w:r w:rsidR="00D72107" w:rsidRPr="00A55741">
        <w:rPr>
          <w:sz w:val="22"/>
          <w:szCs w:val="22"/>
        </w:rPr>
        <w:t xml:space="preserve">If </w:t>
      </w:r>
      <w:r w:rsidR="005B39F0" w:rsidRPr="00A55741">
        <w:rPr>
          <w:sz w:val="22"/>
          <w:szCs w:val="22"/>
        </w:rPr>
        <w:t>firms had</w:t>
      </w:r>
      <w:r w:rsidR="009B5523" w:rsidRPr="00A55741">
        <w:rPr>
          <w:sz w:val="22"/>
          <w:szCs w:val="22"/>
        </w:rPr>
        <w:t xml:space="preserve"> increased core team size</w:t>
      </w:r>
      <w:r w:rsidR="00D0170C" w:rsidRPr="00A55741">
        <w:rPr>
          <w:sz w:val="22"/>
          <w:szCs w:val="22"/>
        </w:rPr>
        <w:t>,</w:t>
      </w:r>
      <w:r w:rsidR="009B5523" w:rsidRPr="00A55741">
        <w:rPr>
          <w:sz w:val="22"/>
          <w:szCs w:val="22"/>
        </w:rPr>
        <w:t xml:space="preserve"> to </w:t>
      </w:r>
      <w:r w:rsidR="00AA7F7D">
        <w:rPr>
          <w:sz w:val="22"/>
          <w:szCs w:val="22"/>
        </w:rPr>
        <w:t>s</w:t>
      </w:r>
      <w:r w:rsidR="000B50AD">
        <w:rPr>
          <w:sz w:val="22"/>
          <w:szCs w:val="22"/>
        </w:rPr>
        <w:t>ix</w:t>
      </w:r>
      <w:r w:rsidR="00C42EC3" w:rsidRPr="00A55741">
        <w:rPr>
          <w:sz w:val="22"/>
          <w:szCs w:val="22"/>
        </w:rPr>
        <w:t xml:space="preserve"> </w:t>
      </w:r>
      <w:r w:rsidR="00575F3E" w:rsidRPr="00A55741">
        <w:rPr>
          <w:sz w:val="22"/>
          <w:szCs w:val="22"/>
        </w:rPr>
        <w:t xml:space="preserve">for </w:t>
      </w:r>
      <w:r w:rsidR="00F16CAA" w:rsidRPr="00A55741">
        <w:rPr>
          <w:sz w:val="22"/>
          <w:szCs w:val="22"/>
        </w:rPr>
        <w:t xml:space="preserve">the </w:t>
      </w:r>
      <w:r w:rsidR="00575F3E" w:rsidRPr="00A55741">
        <w:rPr>
          <w:sz w:val="22"/>
          <w:szCs w:val="22"/>
        </w:rPr>
        <w:t xml:space="preserve">largest firms and </w:t>
      </w:r>
      <w:r w:rsidR="000B50AD">
        <w:rPr>
          <w:sz w:val="22"/>
          <w:szCs w:val="22"/>
        </w:rPr>
        <w:t>five</w:t>
      </w:r>
      <w:r w:rsidR="00F16CAA" w:rsidRPr="00A55741">
        <w:rPr>
          <w:sz w:val="22"/>
          <w:szCs w:val="22"/>
        </w:rPr>
        <w:t xml:space="preserve"> for</w:t>
      </w:r>
      <w:r w:rsidR="00C42EC3" w:rsidRPr="00A55741">
        <w:rPr>
          <w:sz w:val="22"/>
          <w:szCs w:val="22"/>
        </w:rPr>
        <w:t xml:space="preserve"> </w:t>
      </w:r>
      <w:r w:rsidR="00E831FC" w:rsidRPr="00A55741">
        <w:rPr>
          <w:sz w:val="22"/>
          <w:szCs w:val="22"/>
        </w:rPr>
        <w:t>large firms</w:t>
      </w:r>
      <w:r w:rsidR="00FA04EC" w:rsidRPr="00A55741">
        <w:rPr>
          <w:sz w:val="22"/>
          <w:szCs w:val="22"/>
        </w:rPr>
        <w:t>,</w:t>
      </w:r>
      <w:r w:rsidR="00EC332F" w:rsidRPr="00A55741">
        <w:rPr>
          <w:sz w:val="22"/>
          <w:szCs w:val="22"/>
        </w:rPr>
        <w:t xml:space="preserve"> NPSV would increase to </w:t>
      </w:r>
      <w:r w:rsidR="005B39F0" w:rsidRPr="00A55741">
        <w:rPr>
          <w:b/>
          <w:sz w:val="22"/>
          <w:szCs w:val="22"/>
        </w:rPr>
        <w:t>-</w:t>
      </w:r>
      <w:r w:rsidR="00EC332F" w:rsidRPr="00A55741">
        <w:rPr>
          <w:b/>
          <w:sz w:val="22"/>
          <w:szCs w:val="22"/>
        </w:rPr>
        <w:t>£</w:t>
      </w:r>
      <w:r w:rsidR="00F25E3C" w:rsidRPr="00A55741">
        <w:rPr>
          <w:b/>
          <w:sz w:val="22"/>
          <w:szCs w:val="22"/>
        </w:rPr>
        <w:t>9</w:t>
      </w:r>
      <w:r w:rsidR="00FB1C32" w:rsidRPr="00241505">
        <w:rPr>
          <w:b/>
          <w:sz w:val="22"/>
          <w:szCs w:val="22"/>
        </w:rPr>
        <w:t xml:space="preserve">26.5 </w:t>
      </w:r>
      <w:r w:rsidR="00F25E3C" w:rsidRPr="00A55741">
        <w:rPr>
          <w:b/>
          <w:sz w:val="22"/>
          <w:szCs w:val="22"/>
        </w:rPr>
        <w:t>m</w:t>
      </w:r>
      <w:r w:rsidR="00AA7F7D" w:rsidRPr="00A55741">
        <w:rPr>
          <w:b/>
          <w:sz w:val="22"/>
          <w:szCs w:val="22"/>
        </w:rPr>
        <w:t>illion</w:t>
      </w:r>
      <w:r w:rsidR="00A23A39" w:rsidRPr="00241505">
        <w:rPr>
          <w:b/>
          <w:sz w:val="22"/>
          <w:szCs w:val="22"/>
        </w:rPr>
        <w:t xml:space="preserve"> </w:t>
      </w:r>
      <w:r w:rsidR="00241505" w:rsidRPr="00546D65">
        <w:rPr>
          <w:rFonts w:cs="Arial"/>
          <w:b/>
          <w:bCs/>
          <w:sz w:val="22"/>
          <w:szCs w:val="22"/>
        </w:rPr>
        <w:t>(PV 2024</w:t>
      </w:r>
      <w:r w:rsidR="00241505">
        <w:rPr>
          <w:rFonts w:cs="Arial"/>
          <w:b/>
          <w:bCs/>
          <w:sz w:val="22"/>
          <w:szCs w:val="22"/>
        </w:rPr>
        <w:t>)</w:t>
      </w:r>
      <w:r w:rsidR="00A23A39" w:rsidRPr="00A55741">
        <w:rPr>
          <w:sz w:val="22"/>
          <w:szCs w:val="22"/>
        </w:rPr>
        <w:t xml:space="preserve"> in the central scena</w:t>
      </w:r>
      <w:r w:rsidR="005A3B56" w:rsidRPr="00A55741">
        <w:rPr>
          <w:sz w:val="22"/>
          <w:szCs w:val="22"/>
        </w:rPr>
        <w:t xml:space="preserve">rio. </w:t>
      </w:r>
    </w:p>
    <w:p w14:paraId="7997B509" w14:textId="5A327A17" w:rsidR="0036372A" w:rsidRPr="00546D65" w:rsidRDefault="001E0461" w:rsidP="00A55741">
      <w:pPr>
        <w:pStyle w:val="EBBullet"/>
        <w:numPr>
          <w:ilvl w:val="0"/>
          <w:numId w:val="0"/>
        </w:numPr>
        <w:spacing w:line="259" w:lineRule="auto"/>
        <w:ind w:left="567"/>
        <w:jc w:val="both"/>
        <w:rPr>
          <w:b/>
          <w:bCs w:val="0"/>
          <w:color w:val="auto"/>
        </w:rPr>
      </w:pPr>
      <w:r>
        <w:rPr>
          <w:b/>
          <w:bCs w:val="0"/>
          <w:color w:val="auto"/>
        </w:rPr>
        <w:t xml:space="preserve">Table 17, </w:t>
      </w:r>
      <w:r w:rsidR="0036372A">
        <w:rPr>
          <w:b/>
          <w:bCs w:val="0"/>
          <w:color w:val="auto"/>
        </w:rPr>
        <w:t>Changes to the Core Team size reviewing the Legislation (Largest and Large firms)</w:t>
      </w:r>
    </w:p>
    <w:tbl>
      <w:tblPr>
        <w:tblStyle w:val="TableGrid"/>
        <w:tblW w:w="9639" w:type="dxa"/>
        <w:tblInd w:w="562" w:type="dxa"/>
        <w:tblLook w:val="04A0" w:firstRow="1" w:lastRow="0" w:firstColumn="1" w:lastColumn="0" w:noHBand="0" w:noVBand="1"/>
      </w:tblPr>
      <w:tblGrid>
        <w:gridCol w:w="3496"/>
        <w:gridCol w:w="1954"/>
        <w:gridCol w:w="1954"/>
        <w:gridCol w:w="2235"/>
      </w:tblGrid>
      <w:tr w:rsidR="0036372A" w14:paraId="000AA033" w14:textId="77777777" w:rsidTr="00A55741">
        <w:tc>
          <w:tcPr>
            <w:tcW w:w="3496" w:type="dxa"/>
          </w:tcPr>
          <w:p w14:paraId="4C092317" w14:textId="0491F3C5" w:rsidR="0036372A" w:rsidRPr="00546D65" w:rsidRDefault="0036372A">
            <w:pPr>
              <w:spacing w:after="120" w:line="259" w:lineRule="auto"/>
              <w:jc w:val="both"/>
              <w:rPr>
                <w:rFonts w:cs="Arial"/>
                <w:b/>
                <w:sz w:val="22"/>
                <w:szCs w:val="22"/>
              </w:rPr>
            </w:pPr>
          </w:p>
        </w:tc>
        <w:tc>
          <w:tcPr>
            <w:tcW w:w="1954" w:type="dxa"/>
          </w:tcPr>
          <w:p w14:paraId="1593F6E9" w14:textId="7F4466F8" w:rsidR="0036372A" w:rsidRPr="00546D65" w:rsidRDefault="0036372A" w:rsidP="00DE43BF">
            <w:pPr>
              <w:spacing w:after="120" w:line="259" w:lineRule="auto"/>
              <w:jc w:val="center"/>
              <w:rPr>
                <w:rFonts w:cs="Arial"/>
                <w:b/>
                <w:sz w:val="22"/>
                <w:szCs w:val="22"/>
              </w:rPr>
            </w:pPr>
            <w:r w:rsidRPr="00546D65">
              <w:rPr>
                <w:rFonts w:cs="Arial"/>
                <w:b/>
                <w:sz w:val="22"/>
                <w:szCs w:val="22"/>
              </w:rPr>
              <w:t>High (PV 2024 Prices</w:t>
            </w:r>
            <w:r w:rsidR="003015AE">
              <w:rPr>
                <w:rFonts w:cs="Arial"/>
                <w:b/>
                <w:sz w:val="22"/>
                <w:szCs w:val="22"/>
              </w:rPr>
              <w:t>, £m</w:t>
            </w:r>
            <w:r w:rsidRPr="00546D65">
              <w:rPr>
                <w:rFonts w:cs="Arial"/>
                <w:b/>
                <w:sz w:val="22"/>
                <w:szCs w:val="22"/>
              </w:rPr>
              <w:t>)</w:t>
            </w:r>
          </w:p>
        </w:tc>
        <w:tc>
          <w:tcPr>
            <w:tcW w:w="1954" w:type="dxa"/>
          </w:tcPr>
          <w:p w14:paraId="6873FC0B" w14:textId="041C3BEE" w:rsidR="0036372A" w:rsidRPr="00546D65" w:rsidRDefault="0036372A" w:rsidP="00DE43BF">
            <w:pPr>
              <w:spacing w:after="120" w:line="259" w:lineRule="auto"/>
              <w:jc w:val="center"/>
              <w:rPr>
                <w:rFonts w:cs="Arial"/>
                <w:b/>
                <w:sz w:val="22"/>
                <w:szCs w:val="22"/>
              </w:rPr>
            </w:pPr>
            <w:r w:rsidRPr="00546D65">
              <w:rPr>
                <w:rFonts w:cs="Arial"/>
                <w:b/>
                <w:sz w:val="22"/>
                <w:szCs w:val="22"/>
              </w:rPr>
              <w:t>Central (PV 2024 Prices</w:t>
            </w:r>
            <w:r w:rsidR="003015AE">
              <w:rPr>
                <w:rFonts w:cs="Arial"/>
                <w:b/>
                <w:sz w:val="22"/>
                <w:szCs w:val="22"/>
              </w:rPr>
              <w:t>, £m</w:t>
            </w:r>
            <w:r w:rsidRPr="00546D65">
              <w:rPr>
                <w:rFonts w:cs="Arial"/>
                <w:b/>
                <w:sz w:val="22"/>
                <w:szCs w:val="22"/>
              </w:rPr>
              <w:t>)</w:t>
            </w:r>
          </w:p>
        </w:tc>
        <w:tc>
          <w:tcPr>
            <w:tcW w:w="2235" w:type="dxa"/>
          </w:tcPr>
          <w:p w14:paraId="44992310" w14:textId="0DB68190" w:rsidR="0036372A" w:rsidRPr="00546D65" w:rsidRDefault="0036372A" w:rsidP="00DE43BF">
            <w:pPr>
              <w:spacing w:after="120" w:line="259" w:lineRule="auto"/>
              <w:jc w:val="center"/>
              <w:rPr>
                <w:rFonts w:cs="Arial"/>
                <w:b/>
                <w:sz w:val="22"/>
                <w:szCs w:val="22"/>
              </w:rPr>
            </w:pPr>
            <w:r w:rsidRPr="00546D65">
              <w:rPr>
                <w:rFonts w:cs="Arial"/>
                <w:b/>
                <w:sz w:val="22"/>
                <w:szCs w:val="22"/>
              </w:rPr>
              <w:t>Low (PV 2024 Prices</w:t>
            </w:r>
            <w:r w:rsidR="003015AE">
              <w:rPr>
                <w:rFonts w:cs="Arial"/>
                <w:b/>
                <w:sz w:val="22"/>
                <w:szCs w:val="22"/>
              </w:rPr>
              <w:t>, £m</w:t>
            </w:r>
            <w:r w:rsidRPr="00546D65">
              <w:rPr>
                <w:rFonts w:cs="Arial"/>
                <w:b/>
                <w:sz w:val="22"/>
                <w:szCs w:val="22"/>
              </w:rPr>
              <w:t>)</w:t>
            </w:r>
          </w:p>
        </w:tc>
      </w:tr>
      <w:tr w:rsidR="0036372A" w14:paraId="69CC33EE" w14:textId="77777777" w:rsidTr="00A55741">
        <w:tc>
          <w:tcPr>
            <w:tcW w:w="3496" w:type="dxa"/>
          </w:tcPr>
          <w:p w14:paraId="3BAA1001" w14:textId="671C31F3" w:rsidR="0036372A" w:rsidRPr="006C4C36" w:rsidRDefault="001C3EA4" w:rsidP="00A55741">
            <w:pPr>
              <w:rPr>
                <w:rFonts w:cs="Arial"/>
                <w:sz w:val="22"/>
                <w:szCs w:val="22"/>
              </w:rPr>
            </w:pPr>
            <w:r w:rsidRPr="00A55741">
              <w:rPr>
                <w:rFonts w:cs="Arial"/>
                <w:b/>
                <w:bCs/>
                <w:sz w:val="22"/>
                <w:szCs w:val="22"/>
              </w:rPr>
              <w:t>Smalle</w:t>
            </w:r>
            <w:r w:rsidR="00F92C97">
              <w:rPr>
                <w:rFonts w:cs="Arial"/>
                <w:b/>
                <w:bCs/>
                <w:sz w:val="22"/>
                <w:szCs w:val="22"/>
              </w:rPr>
              <w:t>r</w:t>
            </w:r>
            <w:r w:rsidRPr="00A55741">
              <w:rPr>
                <w:rFonts w:cs="Arial"/>
                <w:b/>
                <w:bCs/>
                <w:sz w:val="22"/>
                <w:szCs w:val="22"/>
              </w:rPr>
              <w:t xml:space="preserve"> teams</w:t>
            </w:r>
            <w:r w:rsidRPr="006C49F6">
              <w:rPr>
                <w:rFonts w:cs="Arial"/>
                <w:sz w:val="22"/>
                <w:szCs w:val="22"/>
              </w:rPr>
              <w:t xml:space="preserve"> (L</w:t>
            </w:r>
            <w:r>
              <w:rPr>
                <w:rFonts w:cs="Arial"/>
                <w:sz w:val="22"/>
                <w:szCs w:val="22"/>
              </w:rPr>
              <w:t>arge firms</w:t>
            </w:r>
            <w:r w:rsidR="004F1FB7">
              <w:rPr>
                <w:rFonts w:cs="Arial"/>
                <w:sz w:val="22"/>
                <w:szCs w:val="22"/>
              </w:rPr>
              <w:t xml:space="preserve"> </w:t>
            </w:r>
            <w:r w:rsidRPr="006C49F6">
              <w:rPr>
                <w:rFonts w:cs="Arial"/>
                <w:sz w:val="22"/>
                <w:szCs w:val="22"/>
              </w:rPr>
              <w:t>=</w:t>
            </w:r>
            <w:r w:rsidR="004F1FB7">
              <w:rPr>
                <w:rFonts w:cs="Arial"/>
                <w:sz w:val="22"/>
                <w:szCs w:val="22"/>
              </w:rPr>
              <w:t xml:space="preserve"> </w:t>
            </w:r>
            <w:r w:rsidRPr="006C49F6">
              <w:rPr>
                <w:rFonts w:cs="Arial"/>
                <w:sz w:val="22"/>
                <w:szCs w:val="22"/>
              </w:rPr>
              <w:t>3</w:t>
            </w:r>
            <w:r w:rsidR="004F1FB7">
              <w:rPr>
                <w:rFonts w:cs="Arial"/>
                <w:sz w:val="22"/>
                <w:szCs w:val="22"/>
              </w:rPr>
              <w:t xml:space="preserve"> </w:t>
            </w:r>
            <w:r>
              <w:rPr>
                <w:rFonts w:cs="Arial"/>
                <w:sz w:val="22"/>
                <w:szCs w:val="22"/>
              </w:rPr>
              <w:t>staff</w:t>
            </w:r>
            <w:r w:rsidRPr="006C49F6">
              <w:rPr>
                <w:rFonts w:cs="Arial"/>
                <w:sz w:val="22"/>
                <w:szCs w:val="22"/>
              </w:rPr>
              <w:t xml:space="preserve">, </w:t>
            </w:r>
            <w:r>
              <w:rPr>
                <w:rFonts w:cs="Arial"/>
                <w:sz w:val="22"/>
                <w:szCs w:val="22"/>
              </w:rPr>
              <w:t>Largest firms</w:t>
            </w:r>
            <w:r w:rsidR="004F1FB7">
              <w:rPr>
                <w:rFonts w:cs="Arial"/>
                <w:sz w:val="22"/>
                <w:szCs w:val="22"/>
              </w:rPr>
              <w:t xml:space="preserve"> </w:t>
            </w:r>
            <w:r w:rsidRPr="006C49F6">
              <w:rPr>
                <w:rFonts w:cs="Arial"/>
                <w:sz w:val="22"/>
                <w:szCs w:val="22"/>
              </w:rPr>
              <w:t>=</w:t>
            </w:r>
            <w:r w:rsidR="004F1FB7">
              <w:rPr>
                <w:rFonts w:cs="Arial"/>
                <w:sz w:val="22"/>
                <w:szCs w:val="22"/>
              </w:rPr>
              <w:t xml:space="preserve"> </w:t>
            </w:r>
            <w:r w:rsidRPr="006C49F6">
              <w:rPr>
                <w:rFonts w:cs="Arial"/>
                <w:sz w:val="22"/>
                <w:szCs w:val="22"/>
              </w:rPr>
              <w:t>4</w:t>
            </w:r>
            <w:r w:rsidR="004F1FB7">
              <w:rPr>
                <w:rFonts w:cs="Arial"/>
                <w:sz w:val="22"/>
                <w:szCs w:val="22"/>
              </w:rPr>
              <w:t xml:space="preserve"> staff</w:t>
            </w:r>
            <w:r w:rsidRPr="006C49F6">
              <w:rPr>
                <w:rFonts w:cs="Arial"/>
                <w:sz w:val="22"/>
                <w:szCs w:val="22"/>
              </w:rPr>
              <w:t>)</w:t>
            </w:r>
          </w:p>
        </w:tc>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0634C5A4" w14:textId="78ADC271" w:rsidR="0036372A" w:rsidRPr="00A55741" w:rsidRDefault="003015AE" w:rsidP="00A55741">
            <w:pPr>
              <w:spacing w:after="120" w:line="259" w:lineRule="auto"/>
              <w:jc w:val="right"/>
              <w:rPr>
                <w:rFonts w:cs="Arial"/>
                <w:color w:val="000000"/>
                <w:sz w:val="22"/>
                <w:szCs w:val="22"/>
                <w:lang w:eastAsia="en-GB"/>
              </w:rPr>
            </w:pPr>
            <w:r w:rsidRPr="00A55741">
              <w:rPr>
                <w:rFonts w:cs="Arial"/>
                <w:color w:val="000000"/>
                <w:sz w:val="22"/>
                <w:szCs w:val="22"/>
              </w:rPr>
              <w:t>-692.6</w:t>
            </w:r>
          </w:p>
        </w:tc>
        <w:tc>
          <w:tcPr>
            <w:tcW w:w="1954" w:type="dxa"/>
            <w:tcBorders>
              <w:top w:val="single" w:sz="4" w:space="0" w:color="auto"/>
              <w:left w:val="nil"/>
              <w:bottom w:val="single" w:sz="4" w:space="0" w:color="auto"/>
              <w:right w:val="single" w:sz="4" w:space="0" w:color="auto"/>
            </w:tcBorders>
            <w:shd w:val="clear" w:color="auto" w:fill="auto"/>
            <w:vAlign w:val="bottom"/>
          </w:tcPr>
          <w:p w14:paraId="318EDECC" w14:textId="62CCF966" w:rsidR="0036372A" w:rsidRPr="006C4C36" w:rsidRDefault="003015AE" w:rsidP="00A55741">
            <w:pPr>
              <w:spacing w:after="120" w:line="259" w:lineRule="auto"/>
              <w:jc w:val="right"/>
              <w:rPr>
                <w:rFonts w:cs="Arial"/>
                <w:sz w:val="22"/>
                <w:szCs w:val="22"/>
              </w:rPr>
            </w:pPr>
            <w:r w:rsidRPr="00A55741">
              <w:rPr>
                <w:rFonts w:cs="Arial"/>
                <w:color w:val="000000"/>
                <w:sz w:val="22"/>
                <w:szCs w:val="22"/>
              </w:rPr>
              <w:t>-820.9</w:t>
            </w:r>
          </w:p>
        </w:tc>
        <w:tc>
          <w:tcPr>
            <w:tcW w:w="2235" w:type="dxa"/>
            <w:tcBorders>
              <w:top w:val="single" w:sz="4" w:space="0" w:color="auto"/>
              <w:left w:val="nil"/>
              <w:bottom w:val="single" w:sz="4" w:space="0" w:color="auto"/>
              <w:right w:val="single" w:sz="8" w:space="0" w:color="auto"/>
            </w:tcBorders>
            <w:shd w:val="clear" w:color="auto" w:fill="auto"/>
            <w:vAlign w:val="bottom"/>
          </w:tcPr>
          <w:p w14:paraId="5106171E" w14:textId="6B524671" w:rsidR="0036372A" w:rsidRPr="006C4C36" w:rsidRDefault="003015AE" w:rsidP="00A55741">
            <w:pPr>
              <w:spacing w:after="120" w:line="259" w:lineRule="auto"/>
              <w:jc w:val="right"/>
              <w:rPr>
                <w:rFonts w:cs="Arial"/>
                <w:sz w:val="22"/>
                <w:szCs w:val="22"/>
              </w:rPr>
            </w:pPr>
            <w:r w:rsidRPr="00A55741">
              <w:rPr>
                <w:rFonts w:cs="Arial"/>
                <w:color w:val="000000"/>
                <w:sz w:val="22"/>
                <w:szCs w:val="22"/>
              </w:rPr>
              <w:t>-949.3</w:t>
            </w:r>
          </w:p>
        </w:tc>
      </w:tr>
      <w:tr w:rsidR="0036372A" w14:paraId="7B52BD61" w14:textId="77777777" w:rsidTr="00A55741">
        <w:tc>
          <w:tcPr>
            <w:tcW w:w="3496" w:type="dxa"/>
          </w:tcPr>
          <w:p w14:paraId="4B20961F" w14:textId="2DDDDDCA" w:rsidR="0036372A" w:rsidRPr="00A55741" w:rsidRDefault="00F92C97" w:rsidP="00A55741">
            <w:pPr>
              <w:rPr>
                <w:rFonts w:cs="Arial"/>
                <w:sz w:val="22"/>
                <w:szCs w:val="22"/>
              </w:rPr>
            </w:pPr>
            <w:r>
              <w:rPr>
                <w:rFonts w:cs="Arial"/>
                <w:b/>
                <w:bCs/>
                <w:sz w:val="22"/>
                <w:szCs w:val="22"/>
              </w:rPr>
              <w:t>Main</w:t>
            </w:r>
            <w:r w:rsidR="004F1FB7">
              <w:rPr>
                <w:rFonts w:cs="Arial"/>
                <w:b/>
                <w:sz w:val="22"/>
                <w:szCs w:val="22"/>
              </w:rPr>
              <w:t xml:space="preserve"> scenario</w:t>
            </w:r>
            <w:r w:rsidR="001C3EA4" w:rsidRPr="006C49F6">
              <w:rPr>
                <w:rFonts w:cs="Arial"/>
                <w:sz w:val="22"/>
                <w:szCs w:val="22"/>
              </w:rPr>
              <w:t xml:space="preserve"> (L</w:t>
            </w:r>
            <w:r w:rsidR="004F1FB7">
              <w:rPr>
                <w:rFonts w:cs="Arial"/>
                <w:sz w:val="22"/>
                <w:szCs w:val="22"/>
              </w:rPr>
              <w:t>arge firms</w:t>
            </w:r>
            <w:r w:rsidR="001C3EA4" w:rsidRPr="006C49F6">
              <w:rPr>
                <w:rFonts w:cs="Arial"/>
                <w:sz w:val="22"/>
                <w:szCs w:val="22"/>
              </w:rPr>
              <w:t xml:space="preserve">=4, </w:t>
            </w:r>
            <w:r w:rsidR="004F1FB7">
              <w:rPr>
                <w:rFonts w:cs="Arial"/>
                <w:sz w:val="22"/>
                <w:szCs w:val="22"/>
              </w:rPr>
              <w:t xml:space="preserve">Largest Firms </w:t>
            </w:r>
            <w:r w:rsidR="001C3EA4" w:rsidRPr="006C49F6">
              <w:rPr>
                <w:rFonts w:cs="Arial"/>
                <w:sz w:val="22"/>
                <w:szCs w:val="22"/>
              </w:rPr>
              <w:t>=</w:t>
            </w:r>
            <w:r w:rsidR="004F1FB7">
              <w:rPr>
                <w:rFonts w:cs="Arial"/>
                <w:sz w:val="22"/>
                <w:szCs w:val="22"/>
              </w:rPr>
              <w:t xml:space="preserve"> </w:t>
            </w:r>
            <w:r w:rsidR="001C3EA4" w:rsidRPr="006C49F6">
              <w:rPr>
                <w:rFonts w:cs="Arial"/>
                <w:sz w:val="22"/>
                <w:szCs w:val="22"/>
              </w:rPr>
              <w:t>5</w:t>
            </w:r>
            <w:r w:rsidR="004F1FB7">
              <w:rPr>
                <w:rFonts w:cs="Arial"/>
                <w:sz w:val="22"/>
                <w:szCs w:val="22"/>
              </w:rPr>
              <w:t xml:space="preserve"> staff</w:t>
            </w:r>
            <w:r w:rsidR="001C3EA4" w:rsidRPr="006C49F6">
              <w:rPr>
                <w:rFonts w:cs="Arial"/>
                <w:sz w:val="22"/>
                <w:szCs w:val="22"/>
              </w:rPr>
              <w:t>)</w:t>
            </w:r>
          </w:p>
        </w:tc>
        <w:tc>
          <w:tcPr>
            <w:tcW w:w="1954" w:type="dxa"/>
            <w:tcBorders>
              <w:top w:val="nil"/>
              <w:left w:val="single" w:sz="4" w:space="0" w:color="auto"/>
              <w:bottom w:val="single" w:sz="4" w:space="0" w:color="auto"/>
              <w:right w:val="single" w:sz="4" w:space="0" w:color="auto"/>
            </w:tcBorders>
            <w:shd w:val="clear" w:color="auto" w:fill="auto"/>
            <w:vAlign w:val="bottom"/>
          </w:tcPr>
          <w:p w14:paraId="3C2C0B7D" w14:textId="0E85686C" w:rsidR="0036372A" w:rsidRPr="00DE43BF" w:rsidRDefault="003015AE" w:rsidP="00A55741">
            <w:pPr>
              <w:spacing w:after="120" w:line="259" w:lineRule="auto"/>
              <w:jc w:val="right"/>
              <w:rPr>
                <w:rFonts w:cs="Arial"/>
                <w:b/>
                <w:sz w:val="22"/>
                <w:szCs w:val="22"/>
              </w:rPr>
            </w:pPr>
            <w:r w:rsidRPr="00A55741">
              <w:rPr>
                <w:rFonts w:cs="Arial"/>
                <w:b/>
                <w:color w:val="000000"/>
                <w:sz w:val="22"/>
                <w:szCs w:val="22"/>
              </w:rPr>
              <w:t>-740.2</w:t>
            </w:r>
          </w:p>
        </w:tc>
        <w:tc>
          <w:tcPr>
            <w:tcW w:w="1954" w:type="dxa"/>
            <w:tcBorders>
              <w:top w:val="nil"/>
              <w:left w:val="nil"/>
              <w:bottom w:val="single" w:sz="4" w:space="0" w:color="auto"/>
              <w:right w:val="single" w:sz="4" w:space="0" w:color="auto"/>
            </w:tcBorders>
            <w:shd w:val="clear" w:color="auto" w:fill="auto"/>
            <w:vAlign w:val="bottom"/>
          </w:tcPr>
          <w:p w14:paraId="00C1874A" w14:textId="2FDDA0CE" w:rsidR="0036372A" w:rsidRPr="00DE43BF" w:rsidRDefault="003015AE" w:rsidP="00A55741">
            <w:pPr>
              <w:spacing w:after="120" w:line="259" w:lineRule="auto"/>
              <w:jc w:val="right"/>
              <w:rPr>
                <w:rFonts w:cs="Arial"/>
                <w:b/>
                <w:sz w:val="22"/>
                <w:szCs w:val="22"/>
              </w:rPr>
            </w:pPr>
            <w:r w:rsidRPr="00A55741">
              <w:rPr>
                <w:rFonts w:cs="Arial"/>
                <w:b/>
                <w:color w:val="000000"/>
                <w:sz w:val="22"/>
                <w:szCs w:val="22"/>
              </w:rPr>
              <w:t>-873.7</w:t>
            </w:r>
          </w:p>
        </w:tc>
        <w:tc>
          <w:tcPr>
            <w:tcW w:w="2235" w:type="dxa"/>
            <w:tcBorders>
              <w:top w:val="nil"/>
              <w:left w:val="nil"/>
              <w:bottom w:val="single" w:sz="4" w:space="0" w:color="auto"/>
              <w:right w:val="single" w:sz="8" w:space="0" w:color="auto"/>
            </w:tcBorders>
            <w:shd w:val="clear" w:color="auto" w:fill="auto"/>
            <w:vAlign w:val="bottom"/>
          </w:tcPr>
          <w:p w14:paraId="1B6FE34C" w14:textId="24A6AF3D" w:rsidR="0036372A" w:rsidRPr="00DE43BF" w:rsidRDefault="003015AE" w:rsidP="00A55741">
            <w:pPr>
              <w:spacing w:after="120" w:line="259" w:lineRule="auto"/>
              <w:jc w:val="right"/>
              <w:rPr>
                <w:rFonts w:cs="Arial"/>
                <w:b/>
                <w:sz w:val="22"/>
                <w:szCs w:val="22"/>
              </w:rPr>
            </w:pPr>
            <w:r w:rsidRPr="00A55741">
              <w:rPr>
                <w:rFonts w:cs="Arial"/>
                <w:b/>
                <w:color w:val="000000"/>
                <w:sz w:val="22"/>
                <w:szCs w:val="22"/>
              </w:rPr>
              <w:t>-1,007.3</w:t>
            </w:r>
          </w:p>
        </w:tc>
      </w:tr>
      <w:tr w:rsidR="0036372A" w14:paraId="28F36A2A" w14:textId="77777777" w:rsidTr="002A2598">
        <w:trPr>
          <w:trHeight w:val="442"/>
        </w:trPr>
        <w:tc>
          <w:tcPr>
            <w:tcW w:w="3496" w:type="dxa"/>
          </w:tcPr>
          <w:p w14:paraId="0BF4F947" w14:textId="2B45B1B6" w:rsidR="0036372A" w:rsidRPr="006C4C36" w:rsidRDefault="001C3EA4">
            <w:pPr>
              <w:spacing w:after="120" w:line="259" w:lineRule="auto"/>
              <w:jc w:val="both"/>
              <w:rPr>
                <w:rFonts w:cs="Arial"/>
                <w:sz w:val="22"/>
                <w:szCs w:val="22"/>
              </w:rPr>
            </w:pPr>
            <w:r w:rsidRPr="00A55741">
              <w:rPr>
                <w:rFonts w:cs="Arial"/>
                <w:b/>
                <w:bCs/>
                <w:sz w:val="22"/>
                <w:szCs w:val="22"/>
              </w:rPr>
              <w:t>Bigge</w:t>
            </w:r>
            <w:r w:rsidR="00F92C97">
              <w:rPr>
                <w:rFonts w:cs="Arial"/>
                <w:b/>
                <w:bCs/>
                <w:sz w:val="22"/>
                <w:szCs w:val="22"/>
              </w:rPr>
              <w:t>r</w:t>
            </w:r>
            <w:r w:rsidRPr="00A55741">
              <w:rPr>
                <w:rFonts w:cs="Arial"/>
                <w:b/>
                <w:bCs/>
                <w:sz w:val="22"/>
                <w:szCs w:val="22"/>
              </w:rPr>
              <w:t xml:space="preserve"> teams</w:t>
            </w:r>
            <w:r w:rsidRPr="006C49F6">
              <w:rPr>
                <w:rFonts w:cs="Arial"/>
                <w:sz w:val="22"/>
                <w:szCs w:val="22"/>
              </w:rPr>
              <w:t xml:space="preserve"> (L</w:t>
            </w:r>
            <w:r w:rsidR="004F1FB7">
              <w:rPr>
                <w:rFonts w:cs="Arial"/>
                <w:sz w:val="22"/>
                <w:szCs w:val="22"/>
              </w:rPr>
              <w:t xml:space="preserve">arge firms </w:t>
            </w:r>
            <w:r w:rsidRPr="006C49F6">
              <w:rPr>
                <w:rFonts w:cs="Arial"/>
                <w:sz w:val="22"/>
                <w:szCs w:val="22"/>
              </w:rPr>
              <w:t>=</w:t>
            </w:r>
            <w:r w:rsidR="004F1FB7">
              <w:rPr>
                <w:rFonts w:cs="Arial"/>
                <w:sz w:val="22"/>
                <w:szCs w:val="22"/>
              </w:rPr>
              <w:t xml:space="preserve"> </w:t>
            </w:r>
            <w:r w:rsidR="0034040E">
              <w:rPr>
                <w:rFonts w:cs="Arial"/>
                <w:sz w:val="22"/>
                <w:szCs w:val="22"/>
              </w:rPr>
              <w:t>5</w:t>
            </w:r>
            <w:r w:rsidR="004F1FB7">
              <w:rPr>
                <w:rFonts w:cs="Arial"/>
                <w:sz w:val="22"/>
                <w:szCs w:val="22"/>
              </w:rPr>
              <w:t xml:space="preserve"> staff</w:t>
            </w:r>
            <w:r w:rsidRPr="006C49F6">
              <w:rPr>
                <w:rFonts w:cs="Arial"/>
                <w:sz w:val="22"/>
                <w:szCs w:val="22"/>
              </w:rPr>
              <w:t xml:space="preserve">, </w:t>
            </w:r>
            <w:r w:rsidR="004F1FB7">
              <w:rPr>
                <w:rFonts w:cs="Arial"/>
                <w:sz w:val="22"/>
                <w:szCs w:val="22"/>
              </w:rPr>
              <w:t xml:space="preserve">Largest firms </w:t>
            </w:r>
            <w:r w:rsidRPr="006C49F6">
              <w:rPr>
                <w:rFonts w:cs="Arial"/>
                <w:sz w:val="22"/>
                <w:szCs w:val="22"/>
              </w:rPr>
              <w:t>=</w:t>
            </w:r>
            <w:r w:rsidR="004F1FB7">
              <w:rPr>
                <w:rFonts w:cs="Arial"/>
                <w:sz w:val="22"/>
                <w:szCs w:val="22"/>
              </w:rPr>
              <w:t xml:space="preserve"> </w:t>
            </w:r>
            <w:r w:rsidR="0034040E">
              <w:rPr>
                <w:rFonts w:cs="Arial"/>
                <w:sz w:val="22"/>
                <w:szCs w:val="22"/>
              </w:rPr>
              <w:t>6</w:t>
            </w:r>
            <w:r w:rsidR="004F1FB7">
              <w:rPr>
                <w:rFonts w:cs="Arial"/>
                <w:sz w:val="22"/>
                <w:szCs w:val="22"/>
              </w:rPr>
              <w:t xml:space="preserve"> staff</w:t>
            </w:r>
            <w:r w:rsidRPr="006C49F6">
              <w:rPr>
                <w:rFonts w:cs="Arial"/>
                <w:sz w:val="22"/>
                <w:szCs w:val="22"/>
              </w:rPr>
              <w:t>)</w:t>
            </w:r>
            <w:r w:rsidRPr="006C49F6" w:rsidDel="00255486">
              <w:rPr>
                <w:rFonts w:cs="Arial"/>
                <w:sz w:val="22"/>
                <w:szCs w:val="22"/>
              </w:rPr>
              <w:t xml:space="preserve"> </w:t>
            </w:r>
          </w:p>
        </w:tc>
        <w:tc>
          <w:tcPr>
            <w:tcW w:w="1954" w:type="dxa"/>
            <w:tcBorders>
              <w:top w:val="nil"/>
              <w:left w:val="single" w:sz="4" w:space="0" w:color="auto"/>
              <w:bottom w:val="single" w:sz="8" w:space="0" w:color="auto"/>
              <w:right w:val="single" w:sz="4" w:space="0" w:color="auto"/>
            </w:tcBorders>
            <w:shd w:val="clear" w:color="auto" w:fill="auto"/>
            <w:vAlign w:val="bottom"/>
          </w:tcPr>
          <w:p w14:paraId="500BC842" w14:textId="358718AB" w:rsidR="0036372A" w:rsidRPr="006C4C36" w:rsidRDefault="003015AE" w:rsidP="00A55741">
            <w:pPr>
              <w:spacing w:after="120" w:line="259" w:lineRule="auto"/>
              <w:jc w:val="right"/>
              <w:rPr>
                <w:rFonts w:cs="Arial"/>
                <w:sz w:val="22"/>
                <w:szCs w:val="22"/>
              </w:rPr>
            </w:pPr>
            <w:r w:rsidRPr="00A55741">
              <w:rPr>
                <w:rFonts w:cs="Arial"/>
                <w:color w:val="000000"/>
                <w:sz w:val="22"/>
                <w:szCs w:val="22"/>
              </w:rPr>
              <w:t>-787.8</w:t>
            </w:r>
          </w:p>
        </w:tc>
        <w:tc>
          <w:tcPr>
            <w:tcW w:w="1954" w:type="dxa"/>
            <w:tcBorders>
              <w:top w:val="nil"/>
              <w:left w:val="nil"/>
              <w:bottom w:val="single" w:sz="8" w:space="0" w:color="auto"/>
              <w:right w:val="single" w:sz="4" w:space="0" w:color="auto"/>
            </w:tcBorders>
            <w:shd w:val="clear" w:color="auto" w:fill="auto"/>
            <w:vAlign w:val="bottom"/>
          </w:tcPr>
          <w:p w14:paraId="6F0E7BA8" w14:textId="0AFF77BB" w:rsidR="0036372A" w:rsidRPr="006C4C36" w:rsidRDefault="003015AE" w:rsidP="00A55741">
            <w:pPr>
              <w:spacing w:after="120" w:line="259" w:lineRule="auto"/>
              <w:jc w:val="right"/>
              <w:rPr>
                <w:rFonts w:cs="Arial"/>
                <w:sz w:val="22"/>
                <w:szCs w:val="22"/>
              </w:rPr>
            </w:pPr>
            <w:r w:rsidRPr="00A55741">
              <w:rPr>
                <w:rFonts w:cs="Arial"/>
                <w:color w:val="000000"/>
                <w:sz w:val="22"/>
                <w:szCs w:val="22"/>
              </w:rPr>
              <w:t>-926.5</w:t>
            </w:r>
          </w:p>
        </w:tc>
        <w:tc>
          <w:tcPr>
            <w:tcW w:w="2235" w:type="dxa"/>
            <w:tcBorders>
              <w:top w:val="nil"/>
              <w:left w:val="nil"/>
              <w:bottom w:val="single" w:sz="8" w:space="0" w:color="auto"/>
              <w:right w:val="single" w:sz="8" w:space="0" w:color="auto"/>
            </w:tcBorders>
            <w:shd w:val="clear" w:color="auto" w:fill="auto"/>
            <w:vAlign w:val="bottom"/>
          </w:tcPr>
          <w:p w14:paraId="19AABEF0" w14:textId="5237FBA0" w:rsidR="0036372A" w:rsidRPr="006C4C36" w:rsidRDefault="003015AE" w:rsidP="00A55741">
            <w:pPr>
              <w:spacing w:after="120" w:line="259" w:lineRule="auto"/>
              <w:jc w:val="right"/>
              <w:rPr>
                <w:rFonts w:cs="Arial"/>
                <w:sz w:val="22"/>
                <w:szCs w:val="22"/>
              </w:rPr>
            </w:pPr>
            <w:r w:rsidRPr="00A55741">
              <w:rPr>
                <w:rFonts w:cs="Arial"/>
                <w:color w:val="000000"/>
                <w:sz w:val="22"/>
                <w:szCs w:val="22"/>
              </w:rPr>
              <w:t>-1,065.3</w:t>
            </w:r>
          </w:p>
        </w:tc>
      </w:tr>
    </w:tbl>
    <w:p w14:paraId="72F43C2D" w14:textId="209EA739" w:rsidR="00E434E9" w:rsidRDefault="00E434E9" w:rsidP="00E434E9">
      <w:pPr>
        <w:pStyle w:val="EBBullet"/>
        <w:numPr>
          <w:ilvl w:val="0"/>
          <w:numId w:val="0"/>
        </w:numPr>
        <w:spacing w:line="259" w:lineRule="auto"/>
        <w:ind w:left="567"/>
        <w:jc w:val="both"/>
        <w:rPr>
          <w:color w:val="auto"/>
          <w:sz w:val="18"/>
          <w:szCs w:val="18"/>
        </w:rPr>
      </w:pPr>
      <w:r w:rsidRPr="0029116F">
        <w:rPr>
          <w:color w:val="auto"/>
          <w:sz w:val="18"/>
          <w:szCs w:val="18"/>
        </w:rPr>
        <w:t xml:space="preserve">Source: Home Office </w:t>
      </w:r>
      <w:r>
        <w:rPr>
          <w:color w:val="auto"/>
          <w:sz w:val="18"/>
          <w:szCs w:val="18"/>
        </w:rPr>
        <w:t xml:space="preserve">and DBT </w:t>
      </w:r>
      <w:r w:rsidRPr="0029116F">
        <w:rPr>
          <w:color w:val="auto"/>
          <w:sz w:val="18"/>
          <w:szCs w:val="18"/>
        </w:rPr>
        <w:t xml:space="preserve">analysis </w:t>
      </w:r>
    </w:p>
    <w:p w14:paraId="69C1B183" w14:textId="51CCAD2E" w:rsidR="00312EBF" w:rsidRDefault="0059256D" w:rsidP="00A55741">
      <w:pPr>
        <w:pStyle w:val="EBBullet"/>
        <w:numPr>
          <w:ilvl w:val="0"/>
          <w:numId w:val="0"/>
        </w:numPr>
        <w:spacing w:line="259" w:lineRule="auto"/>
        <w:ind w:left="284" w:hanging="284"/>
        <w:jc w:val="both"/>
        <w:rPr>
          <w:b/>
          <w:color w:val="auto"/>
        </w:rPr>
      </w:pPr>
      <w:r w:rsidRPr="00A55741">
        <w:rPr>
          <w:b/>
          <w:color w:val="auto"/>
        </w:rPr>
        <w:t xml:space="preserve">Changes in time taken to complete </w:t>
      </w:r>
      <w:r w:rsidRPr="00A55741">
        <w:rPr>
          <w:b/>
          <w:bCs w:val="0"/>
          <w:color w:val="auto"/>
        </w:rPr>
        <w:t>task</w:t>
      </w:r>
      <w:r w:rsidR="0062635F" w:rsidRPr="00A55741">
        <w:rPr>
          <w:b/>
          <w:bCs w:val="0"/>
          <w:color w:val="auto"/>
        </w:rPr>
        <w:t>s outline</w:t>
      </w:r>
      <w:r w:rsidR="00DD6C70">
        <w:rPr>
          <w:b/>
          <w:bCs w:val="0"/>
          <w:color w:val="auto"/>
        </w:rPr>
        <w:t>d</w:t>
      </w:r>
      <w:r w:rsidR="0062635F" w:rsidRPr="00A55741">
        <w:rPr>
          <w:b/>
          <w:bCs w:val="0"/>
          <w:color w:val="auto"/>
        </w:rPr>
        <w:t xml:space="preserve"> in the legislation </w:t>
      </w:r>
    </w:p>
    <w:p w14:paraId="3D804F02" w14:textId="44BCFC02" w:rsidR="00DD6C70" w:rsidRPr="00A55741" w:rsidRDefault="00DD6C70" w:rsidP="00A55741">
      <w:pPr>
        <w:pStyle w:val="ListParagraph"/>
        <w:numPr>
          <w:ilvl w:val="0"/>
          <w:numId w:val="10"/>
        </w:numPr>
        <w:spacing w:after="120" w:line="259" w:lineRule="auto"/>
        <w:ind w:left="567" w:hanging="567"/>
        <w:contextualSpacing w:val="0"/>
        <w:jc w:val="both"/>
        <w:rPr>
          <w:b/>
          <w:sz w:val="22"/>
          <w:szCs w:val="22"/>
        </w:rPr>
      </w:pPr>
      <w:r w:rsidRPr="00A55741">
        <w:rPr>
          <w:sz w:val="22"/>
          <w:szCs w:val="22"/>
        </w:rPr>
        <w:t xml:space="preserve">There are multiple </w:t>
      </w:r>
      <w:r w:rsidR="002266B7" w:rsidRPr="00A55741">
        <w:rPr>
          <w:sz w:val="22"/>
          <w:szCs w:val="22"/>
        </w:rPr>
        <w:t>assumption</w:t>
      </w:r>
      <w:r w:rsidR="0047368C" w:rsidRPr="00A55741">
        <w:rPr>
          <w:sz w:val="22"/>
          <w:szCs w:val="22"/>
        </w:rPr>
        <w:t>s</w:t>
      </w:r>
      <w:r w:rsidR="002266B7" w:rsidRPr="00A55741">
        <w:rPr>
          <w:sz w:val="22"/>
          <w:szCs w:val="22"/>
        </w:rPr>
        <w:t xml:space="preserve"> in place around the time taken for firms to </w:t>
      </w:r>
      <w:r w:rsidR="00F93B34" w:rsidRPr="00A55741">
        <w:rPr>
          <w:sz w:val="22"/>
          <w:szCs w:val="22"/>
        </w:rPr>
        <w:t>familiarise themselves with the guidance, develop a plan, risk assessment</w:t>
      </w:r>
      <w:r w:rsidR="0047368C" w:rsidRPr="00A55741">
        <w:rPr>
          <w:sz w:val="22"/>
          <w:szCs w:val="22"/>
        </w:rPr>
        <w:t>,</w:t>
      </w:r>
      <w:r w:rsidR="00F93B34" w:rsidRPr="00A55741">
        <w:rPr>
          <w:sz w:val="22"/>
          <w:szCs w:val="22"/>
        </w:rPr>
        <w:t xml:space="preserve"> and </w:t>
      </w:r>
      <w:r w:rsidR="00552F35" w:rsidRPr="00A55741">
        <w:rPr>
          <w:sz w:val="22"/>
          <w:szCs w:val="22"/>
        </w:rPr>
        <w:t xml:space="preserve">take measures against those risks. This </w:t>
      </w:r>
      <w:r w:rsidR="00531D5E" w:rsidRPr="00A55741">
        <w:rPr>
          <w:sz w:val="22"/>
          <w:szCs w:val="22"/>
        </w:rPr>
        <w:t xml:space="preserve">also includes oversight required by seniors to deliver these changes. </w:t>
      </w:r>
      <w:r w:rsidR="004F52C6" w:rsidRPr="00A55741">
        <w:rPr>
          <w:sz w:val="22"/>
          <w:szCs w:val="22"/>
        </w:rPr>
        <w:t xml:space="preserve">Such assumptions are informed by the current Bribery Act 2010 guidance. </w:t>
      </w:r>
    </w:p>
    <w:p w14:paraId="2F780A22" w14:textId="71353475" w:rsidR="004F52C6" w:rsidRPr="00A55741" w:rsidRDefault="004F52C6" w:rsidP="00A55741">
      <w:pPr>
        <w:pStyle w:val="ListParagraph"/>
        <w:numPr>
          <w:ilvl w:val="0"/>
          <w:numId w:val="10"/>
        </w:numPr>
        <w:spacing w:after="120" w:line="259" w:lineRule="auto"/>
        <w:ind w:left="567" w:hanging="567"/>
        <w:contextualSpacing w:val="0"/>
        <w:jc w:val="both"/>
        <w:rPr>
          <w:b/>
          <w:sz w:val="22"/>
          <w:szCs w:val="22"/>
        </w:rPr>
      </w:pPr>
      <w:r w:rsidRPr="00A55741">
        <w:rPr>
          <w:sz w:val="22"/>
          <w:szCs w:val="22"/>
        </w:rPr>
        <w:t xml:space="preserve">Table 18 shows the effect of these tasks taking both 10 </w:t>
      </w:r>
      <w:r w:rsidR="00CA4EEA" w:rsidRPr="00A55741">
        <w:rPr>
          <w:sz w:val="22"/>
          <w:szCs w:val="22"/>
        </w:rPr>
        <w:t>per cent</w:t>
      </w:r>
      <w:r w:rsidRPr="00A55741">
        <w:rPr>
          <w:sz w:val="22"/>
          <w:szCs w:val="22"/>
        </w:rPr>
        <w:t xml:space="preserve"> longer and </w:t>
      </w:r>
      <w:r w:rsidR="001963A9" w:rsidRPr="00A55741">
        <w:rPr>
          <w:sz w:val="22"/>
          <w:szCs w:val="22"/>
        </w:rPr>
        <w:t xml:space="preserve">10 </w:t>
      </w:r>
      <w:r w:rsidR="00CA4EEA" w:rsidRPr="00A55741">
        <w:rPr>
          <w:sz w:val="22"/>
          <w:szCs w:val="22"/>
        </w:rPr>
        <w:t>per cent</w:t>
      </w:r>
      <w:r w:rsidR="001963A9" w:rsidRPr="00A55741">
        <w:rPr>
          <w:sz w:val="22"/>
          <w:szCs w:val="22"/>
        </w:rPr>
        <w:t xml:space="preserve"> </w:t>
      </w:r>
      <w:r w:rsidR="00046EFF" w:rsidRPr="00A55741">
        <w:rPr>
          <w:sz w:val="22"/>
          <w:szCs w:val="22"/>
        </w:rPr>
        <w:t xml:space="preserve">less time than </w:t>
      </w:r>
      <w:r w:rsidR="00475856" w:rsidRPr="00A55741">
        <w:rPr>
          <w:sz w:val="22"/>
          <w:szCs w:val="22"/>
        </w:rPr>
        <w:t>the main assumptions</w:t>
      </w:r>
      <w:r w:rsidR="00046EFF" w:rsidRPr="00A55741">
        <w:rPr>
          <w:sz w:val="22"/>
          <w:szCs w:val="22"/>
        </w:rPr>
        <w:t xml:space="preserve"> in the central scenario</w:t>
      </w:r>
      <w:r w:rsidR="00F263BF" w:rsidRPr="00A55741">
        <w:rPr>
          <w:sz w:val="22"/>
          <w:szCs w:val="22"/>
        </w:rPr>
        <w:t xml:space="preserve"> on NPSV. </w:t>
      </w:r>
      <w:r w:rsidR="003C7808">
        <w:rPr>
          <w:sz w:val="22"/>
          <w:szCs w:val="22"/>
        </w:rPr>
        <w:t xml:space="preserve">Such </w:t>
      </w:r>
      <w:r w:rsidR="00804BEC">
        <w:rPr>
          <w:sz w:val="22"/>
          <w:szCs w:val="22"/>
        </w:rPr>
        <w:t>shifts in the time taken</w:t>
      </w:r>
      <w:r w:rsidR="003C7808">
        <w:rPr>
          <w:sz w:val="22"/>
          <w:szCs w:val="22"/>
        </w:rPr>
        <w:t xml:space="preserve"> </w:t>
      </w:r>
      <w:r w:rsidR="00D278BB">
        <w:rPr>
          <w:sz w:val="22"/>
          <w:szCs w:val="22"/>
        </w:rPr>
        <w:t xml:space="preserve">to complete task </w:t>
      </w:r>
      <w:r w:rsidR="000B286D">
        <w:rPr>
          <w:sz w:val="22"/>
          <w:szCs w:val="22"/>
        </w:rPr>
        <w:t xml:space="preserve">could </w:t>
      </w:r>
      <w:r w:rsidR="00D278BB">
        <w:rPr>
          <w:sz w:val="22"/>
          <w:szCs w:val="22"/>
        </w:rPr>
        <w:t xml:space="preserve">result in a </w:t>
      </w:r>
      <w:r w:rsidR="008D77E2">
        <w:rPr>
          <w:sz w:val="22"/>
          <w:szCs w:val="22"/>
        </w:rPr>
        <w:t xml:space="preserve">3% change in NPSV. </w:t>
      </w:r>
      <w:r w:rsidR="001963A9" w:rsidRPr="00A55741">
        <w:rPr>
          <w:sz w:val="22"/>
          <w:szCs w:val="22"/>
        </w:rPr>
        <w:t>If task</w:t>
      </w:r>
      <w:r w:rsidR="00B4088F" w:rsidRPr="00A55741">
        <w:rPr>
          <w:sz w:val="22"/>
          <w:szCs w:val="22"/>
        </w:rPr>
        <w:t>s</w:t>
      </w:r>
      <w:r w:rsidR="001963A9" w:rsidRPr="00A55741">
        <w:rPr>
          <w:sz w:val="22"/>
          <w:szCs w:val="22"/>
        </w:rPr>
        <w:t xml:space="preserve"> take 10 </w:t>
      </w:r>
      <w:r w:rsidR="00CA4EEA" w:rsidRPr="00A55741">
        <w:rPr>
          <w:sz w:val="22"/>
          <w:szCs w:val="22"/>
        </w:rPr>
        <w:t>per cent</w:t>
      </w:r>
      <w:r w:rsidR="001963A9" w:rsidRPr="00A55741">
        <w:rPr>
          <w:sz w:val="22"/>
          <w:szCs w:val="22"/>
        </w:rPr>
        <w:t xml:space="preserve"> longer, </w:t>
      </w:r>
      <w:r w:rsidR="00F40132" w:rsidRPr="00A55741">
        <w:rPr>
          <w:sz w:val="22"/>
          <w:szCs w:val="22"/>
        </w:rPr>
        <w:t xml:space="preserve">NPSV decreases to </w:t>
      </w:r>
      <w:r w:rsidR="00B4088F" w:rsidRPr="00A55741">
        <w:rPr>
          <w:b/>
          <w:sz w:val="22"/>
          <w:szCs w:val="22"/>
        </w:rPr>
        <w:t>-</w:t>
      </w:r>
      <w:r w:rsidR="00B4088F" w:rsidRPr="004818C7">
        <w:rPr>
          <w:b/>
          <w:sz w:val="22"/>
          <w:szCs w:val="22"/>
        </w:rPr>
        <w:t>£</w:t>
      </w:r>
      <w:r w:rsidR="00B4088F" w:rsidRPr="00A55741">
        <w:rPr>
          <w:b/>
          <w:sz w:val="22"/>
          <w:szCs w:val="22"/>
        </w:rPr>
        <w:t>8</w:t>
      </w:r>
      <w:r w:rsidR="001956D7" w:rsidRPr="004818C7">
        <w:rPr>
          <w:b/>
          <w:sz w:val="22"/>
          <w:szCs w:val="22"/>
        </w:rPr>
        <w:t>99.0</w:t>
      </w:r>
      <w:r w:rsidR="00CA4EEA" w:rsidRPr="00A55741">
        <w:rPr>
          <w:b/>
          <w:sz w:val="22"/>
          <w:szCs w:val="22"/>
        </w:rPr>
        <w:t xml:space="preserve"> </w:t>
      </w:r>
      <w:r w:rsidR="00B4088F" w:rsidRPr="00A55741">
        <w:rPr>
          <w:b/>
          <w:sz w:val="22"/>
          <w:szCs w:val="22"/>
        </w:rPr>
        <w:t>m</w:t>
      </w:r>
      <w:r w:rsidR="00CA4EEA" w:rsidRPr="00A55741">
        <w:rPr>
          <w:b/>
          <w:sz w:val="22"/>
          <w:szCs w:val="22"/>
        </w:rPr>
        <w:t>illion</w:t>
      </w:r>
      <w:r w:rsidR="00B4088F">
        <w:rPr>
          <w:sz w:val="22"/>
          <w:szCs w:val="22"/>
        </w:rPr>
        <w:t xml:space="preserve"> </w:t>
      </w:r>
      <w:r w:rsidR="004818C7" w:rsidRPr="00546D65">
        <w:rPr>
          <w:rFonts w:cs="Arial"/>
          <w:b/>
          <w:bCs/>
          <w:sz w:val="22"/>
          <w:szCs w:val="22"/>
        </w:rPr>
        <w:t>(PV 2024</w:t>
      </w:r>
      <w:r w:rsidR="004818C7">
        <w:rPr>
          <w:rFonts w:cs="Arial"/>
          <w:b/>
          <w:bCs/>
          <w:sz w:val="22"/>
          <w:szCs w:val="22"/>
        </w:rPr>
        <w:t>)</w:t>
      </w:r>
      <w:r w:rsidR="00B4088F" w:rsidRPr="00A55741">
        <w:rPr>
          <w:sz w:val="22"/>
          <w:szCs w:val="22"/>
        </w:rPr>
        <w:t xml:space="preserve"> in the central scenario. If tasks are performed 10</w:t>
      </w:r>
      <w:r w:rsidR="00CA4EEA" w:rsidRPr="00A55741">
        <w:rPr>
          <w:sz w:val="22"/>
          <w:szCs w:val="22"/>
        </w:rPr>
        <w:t xml:space="preserve"> per cent</w:t>
      </w:r>
      <w:r w:rsidR="00B4088F" w:rsidRPr="00A55741">
        <w:rPr>
          <w:sz w:val="22"/>
          <w:szCs w:val="22"/>
        </w:rPr>
        <w:t xml:space="preserve"> quicker, NPSV </w:t>
      </w:r>
      <w:r w:rsidR="009450E5" w:rsidRPr="00A55741">
        <w:rPr>
          <w:sz w:val="22"/>
          <w:szCs w:val="22"/>
        </w:rPr>
        <w:t>increases</w:t>
      </w:r>
      <w:r w:rsidR="00B4088F" w:rsidRPr="00A55741">
        <w:rPr>
          <w:sz w:val="22"/>
          <w:szCs w:val="22"/>
        </w:rPr>
        <w:t xml:space="preserve"> to </w:t>
      </w:r>
      <w:r w:rsidR="00B4088F" w:rsidRPr="00A55741">
        <w:rPr>
          <w:b/>
          <w:sz w:val="22"/>
          <w:szCs w:val="22"/>
        </w:rPr>
        <w:t>-£8</w:t>
      </w:r>
      <w:r w:rsidR="001956D7" w:rsidRPr="004818C7">
        <w:rPr>
          <w:b/>
          <w:sz w:val="22"/>
          <w:szCs w:val="22"/>
        </w:rPr>
        <w:t>48.5</w:t>
      </w:r>
      <w:r w:rsidR="00CA4EEA" w:rsidRPr="00A55741">
        <w:rPr>
          <w:b/>
          <w:sz w:val="22"/>
          <w:szCs w:val="22"/>
        </w:rPr>
        <w:t xml:space="preserve"> </w:t>
      </w:r>
      <w:r w:rsidR="00B4088F" w:rsidRPr="00A55741">
        <w:rPr>
          <w:b/>
          <w:sz w:val="22"/>
          <w:szCs w:val="22"/>
        </w:rPr>
        <w:t>m</w:t>
      </w:r>
      <w:r w:rsidR="00CA4EEA" w:rsidRPr="00A55741">
        <w:rPr>
          <w:b/>
          <w:sz w:val="22"/>
          <w:szCs w:val="22"/>
        </w:rPr>
        <w:t>illion</w:t>
      </w:r>
      <w:r w:rsidR="00B4088F">
        <w:rPr>
          <w:sz w:val="22"/>
          <w:szCs w:val="22"/>
        </w:rPr>
        <w:t xml:space="preserve"> </w:t>
      </w:r>
      <w:r w:rsidR="004818C7" w:rsidRPr="00546D65">
        <w:rPr>
          <w:rFonts w:cs="Arial"/>
          <w:b/>
          <w:bCs/>
          <w:sz w:val="22"/>
          <w:szCs w:val="22"/>
        </w:rPr>
        <w:t>(PV 2024</w:t>
      </w:r>
      <w:r w:rsidR="004818C7">
        <w:rPr>
          <w:rFonts w:cs="Arial"/>
          <w:b/>
          <w:bCs/>
          <w:sz w:val="22"/>
          <w:szCs w:val="22"/>
        </w:rPr>
        <w:t>)</w:t>
      </w:r>
      <w:r w:rsidR="00B4088F" w:rsidRPr="00A55741">
        <w:rPr>
          <w:sz w:val="22"/>
          <w:szCs w:val="22"/>
        </w:rPr>
        <w:t xml:space="preserve"> in the central scenario.</w:t>
      </w:r>
    </w:p>
    <w:p w14:paraId="320BAC29" w14:textId="3DD17F37" w:rsidR="00894072" w:rsidRPr="006C4C36" w:rsidRDefault="00312EBF" w:rsidP="00A55741">
      <w:pPr>
        <w:pStyle w:val="EBBullet"/>
        <w:numPr>
          <w:ilvl w:val="0"/>
          <w:numId w:val="0"/>
        </w:numPr>
        <w:spacing w:line="259" w:lineRule="auto"/>
        <w:ind w:left="567"/>
        <w:jc w:val="both"/>
        <w:rPr>
          <w:b/>
          <w:bCs w:val="0"/>
          <w:color w:val="auto"/>
        </w:rPr>
      </w:pPr>
      <w:r w:rsidRPr="00A55741">
        <w:rPr>
          <w:b/>
          <w:color w:val="auto"/>
        </w:rPr>
        <w:t>Table 18, Changes to time taken to complete tasks outlines in the legislation</w:t>
      </w:r>
    </w:p>
    <w:tbl>
      <w:tblPr>
        <w:tblStyle w:val="TableGrid"/>
        <w:tblW w:w="9639" w:type="dxa"/>
        <w:tblInd w:w="562" w:type="dxa"/>
        <w:tblLook w:val="04A0" w:firstRow="1" w:lastRow="0" w:firstColumn="1" w:lastColumn="0" w:noHBand="0" w:noVBand="1"/>
      </w:tblPr>
      <w:tblGrid>
        <w:gridCol w:w="3119"/>
        <w:gridCol w:w="2126"/>
        <w:gridCol w:w="2268"/>
        <w:gridCol w:w="2126"/>
      </w:tblGrid>
      <w:tr w:rsidR="00312EBF" w14:paraId="63EB6E14" w14:textId="77777777" w:rsidTr="0018480E">
        <w:tc>
          <w:tcPr>
            <w:tcW w:w="3119" w:type="dxa"/>
          </w:tcPr>
          <w:p w14:paraId="0D2046F9" w14:textId="77777777" w:rsidR="00312EBF" w:rsidRPr="006C4C36" w:rsidRDefault="00312EBF" w:rsidP="00D67355">
            <w:pPr>
              <w:spacing w:after="120" w:line="259" w:lineRule="auto"/>
              <w:jc w:val="center"/>
              <w:rPr>
                <w:rFonts w:cs="Arial"/>
                <w:b/>
                <w:bCs/>
                <w:sz w:val="22"/>
                <w:szCs w:val="22"/>
              </w:rPr>
            </w:pPr>
            <w:r w:rsidRPr="006C4C36">
              <w:rPr>
                <w:rFonts w:cs="Arial"/>
                <w:b/>
                <w:bCs/>
                <w:sz w:val="22"/>
                <w:szCs w:val="22"/>
              </w:rPr>
              <w:t>Time taken to complete the task</w:t>
            </w:r>
          </w:p>
        </w:tc>
        <w:tc>
          <w:tcPr>
            <w:tcW w:w="2126" w:type="dxa"/>
            <w:tcBorders>
              <w:bottom w:val="single" w:sz="4" w:space="0" w:color="auto"/>
            </w:tcBorders>
          </w:tcPr>
          <w:p w14:paraId="2A4F723C" w14:textId="461CC658" w:rsidR="00312EBF" w:rsidRPr="006C4C36" w:rsidRDefault="00312EBF" w:rsidP="00D67355">
            <w:pPr>
              <w:spacing w:after="120" w:line="259" w:lineRule="auto"/>
              <w:jc w:val="center"/>
              <w:rPr>
                <w:rFonts w:cs="Arial"/>
                <w:b/>
                <w:bCs/>
                <w:sz w:val="22"/>
                <w:szCs w:val="22"/>
              </w:rPr>
            </w:pPr>
            <w:r w:rsidRPr="006C4C36">
              <w:rPr>
                <w:rFonts w:cs="Arial"/>
                <w:b/>
                <w:bCs/>
                <w:sz w:val="22"/>
                <w:szCs w:val="22"/>
              </w:rPr>
              <w:t>High (PV 2024 Prices</w:t>
            </w:r>
            <w:r w:rsidR="00E735DD">
              <w:rPr>
                <w:rFonts w:cs="Arial"/>
                <w:b/>
                <w:bCs/>
                <w:sz w:val="22"/>
                <w:szCs w:val="22"/>
              </w:rPr>
              <w:t>, £m</w:t>
            </w:r>
            <w:r w:rsidRPr="006C4C36">
              <w:rPr>
                <w:rFonts w:cs="Arial"/>
                <w:b/>
                <w:bCs/>
                <w:sz w:val="22"/>
                <w:szCs w:val="22"/>
              </w:rPr>
              <w:t>)</w:t>
            </w:r>
          </w:p>
        </w:tc>
        <w:tc>
          <w:tcPr>
            <w:tcW w:w="2268" w:type="dxa"/>
            <w:tcBorders>
              <w:bottom w:val="single" w:sz="4" w:space="0" w:color="auto"/>
            </w:tcBorders>
          </w:tcPr>
          <w:p w14:paraId="44DE2EFB" w14:textId="6BBC3D77" w:rsidR="00312EBF" w:rsidRPr="006C4C36" w:rsidRDefault="00312EBF" w:rsidP="00D67355">
            <w:pPr>
              <w:spacing w:after="120" w:line="259" w:lineRule="auto"/>
              <w:jc w:val="center"/>
              <w:rPr>
                <w:rFonts w:cs="Arial"/>
                <w:b/>
                <w:bCs/>
                <w:sz w:val="22"/>
                <w:szCs w:val="22"/>
              </w:rPr>
            </w:pPr>
            <w:r w:rsidRPr="006C4C36">
              <w:rPr>
                <w:rFonts w:cs="Arial"/>
                <w:b/>
                <w:bCs/>
                <w:sz w:val="22"/>
                <w:szCs w:val="22"/>
              </w:rPr>
              <w:t>Central (PV 2024 Prices</w:t>
            </w:r>
            <w:r w:rsidR="00E735DD">
              <w:rPr>
                <w:rFonts w:cs="Arial"/>
                <w:b/>
                <w:bCs/>
                <w:sz w:val="22"/>
                <w:szCs w:val="22"/>
              </w:rPr>
              <w:t>, £m</w:t>
            </w:r>
            <w:r w:rsidRPr="006C4C36">
              <w:rPr>
                <w:rFonts w:cs="Arial"/>
                <w:b/>
                <w:bCs/>
                <w:sz w:val="22"/>
                <w:szCs w:val="22"/>
              </w:rPr>
              <w:t>)</w:t>
            </w:r>
          </w:p>
        </w:tc>
        <w:tc>
          <w:tcPr>
            <w:tcW w:w="2126" w:type="dxa"/>
            <w:tcBorders>
              <w:bottom w:val="single" w:sz="4" w:space="0" w:color="auto"/>
            </w:tcBorders>
          </w:tcPr>
          <w:p w14:paraId="1ABD1C17" w14:textId="16064884" w:rsidR="00312EBF" w:rsidRPr="006C4C36" w:rsidRDefault="00312EBF" w:rsidP="00A74EDA">
            <w:pPr>
              <w:spacing w:after="120" w:line="259" w:lineRule="auto"/>
              <w:jc w:val="center"/>
              <w:rPr>
                <w:rFonts w:cs="Arial"/>
                <w:b/>
                <w:bCs/>
                <w:sz w:val="22"/>
                <w:szCs w:val="22"/>
              </w:rPr>
            </w:pPr>
            <w:r w:rsidRPr="006C4C36">
              <w:rPr>
                <w:rFonts w:cs="Arial"/>
                <w:b/>
                <w:bCs/>
                <w:sz w:val="22"/>
                <w:szCs w:val="22"/>
              </w:rPr>
              <w:t>Low (PV 2024 Prices</w:t>
            </w:r>
            <w:r w:rsidR="00E735DD">
              <w:rPr>
                <w:rFonts w:cs="Arial"/>
                <w:b/>
                <w:bCs/>
                <w:sz w:val="22"/>
                <w:szCs w:val="22"/>
              </w:rPr>
              <w:t>, £m</w:t>
            </w:r>
            <w:r w:rsidRPr="006C4C36">
              <w:rPr>
                <w:rFonts w:cs="Arial"/>
                <w:b/>
                <w:bCs/>
                <w:sz w:val="22"/>
                <w:szCs w:val="22"/>
              </w:rPr>
              <w:t>)</w:t>
            </w:r>
          </w:p>
        </w:tc>
      </w:tr>
      <w:tr w:rsidR="00F87D84" w14:paraId="00ADAAEE" w14:textId="77777777" w:rsidTr="00A55741">
        <w:tc>
          <w:tcPr>
            <w:tcW w:w="3119" w:type="dxa"/>
          </w:tcPr>
          <w:p w14:paraId="59EAD94B" w14:textId="31676107" w:rsidR="00F87D84" w:rsidRPr="006C4C36" w:rsidRDefault="00F87D84" w:rsidP="00F87D84">
            <w:pPr>
              <w:spacing w:after="120" w:line="259" w:lineRule="auto"/>
              <w:jc w:val="both"/>
              <w:rPr>
                <w:rFonts w:cs="Arial"/>
                <w:sz w:val="22"/>
                <w:szCs w:val="22"/>
              </w:rPr>
            </w:pPr>
            <w:r>
              <w:rPr>
                <w:rFonts w:cs="Arial"/>
                <w:sz w:val="22"/>
                <w:szCs w:val="22"/>
              </w:rPr>
              <w:t xml:space="preserve">10% less </w:t>
            </w:r>
            <w:r w:rsidR="00695778">
              <w:rPr>
                <w:rFonts w:cs="Arial"/>
                <w:sz w:val="22"/>
                <w:szCs w:val="22"/>
              </w:rPr>
              <w:t>time take</w:t>
            </w:r>
            <w:r w:rsidR="00904D51">
              <w:rPr>
                <w:rFonts w:cs="Arial"/>
                <w:sz w:val="22"/>
                <w:szCs w:val="22"/>
              </w:rPr>
              <w:t>n</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tcPr>
          <w:p w14:paraId="219EFEE5" w14:textId="5CBEAAA9" w:rsidR="00F87D84" w:rsidRPr="00F87D84" w:rsidRDefault="00FB1C32" w:rsidP="00A55741">
            <w:pPr>
              <w:spacing w:after="120" w:line="259" w:lineRule="auto"/>
              <w:jc w:val="right"/>
              <w:rPr>
                <w:rFonts w:cs="Arial"/>
                <w:sz w:val="22"/>
                <w:szCs w:val="22"/>
              </w:rPr>
            </w:pPr>
            <w:r w:rsidRPr="00A55741">
              <w:rPr>
                <w:rFonts w:cs="Arial"/>
                <w:color w:val="000000"/>
                <w:sz w:val="22"/>
                <w:szCs w:val="22"/>
              </w:rPr>
              <w:t>-717.4</w:t>
            </w:r>
          </w:p>
        </w:tc>
        <w:tc>
          <w:tcPr>
            <w:tcW w:w="2268" w:type="dxa"/>
            <w:tcBorders>
              <w:top w:val="single" w:sz="4" w:space="0" w:color="auto"/>
              <w:left w:val="nil"/>
              <w:bottom w:val="single" w:sz="4" w:space="0" w:color="auto"/>
              <w:right w:val="single" w:sz="4" w:space="0" w:color="auto"/>
            </w:tcBorders>
            <w:shd w:val="clear" w:color="auto" w:fill="auto"/>
            <w:vAlign w:val="bottom"/>
          </w:tcPr>
          <w:p w14:paraId="6BA55933" w14:textId="787317E9" w:rsidR="00F87D84" w:rsidRPr="00F87D84" w:rsidRDefault="00FB1C32" w:rsidP="00A55741">
            <w:pPr>
              <w:spacing w:after="120" w:line="259" w:lineRule="auto"/>
              <w:jc w:val="right"/>
              <w:rPr>
                <w:rFonts w:cs="Arial"/>
                <w:sz w:val="22"/>
                <w:szCs w:val="22"/>
              </w:rPr>
            </w:pPr>
            <w:r w:rsidRPr="00A55741">
              <w:rPr>
                <w:rFonts w:cs="Arial"/>
                <w:color w:val="000000"/>
                <w:sz w:val="22"/>
                <w:szCs w:val="22"/>
              </w:rPr>
              <w:t>-848.5</w:t>
            </w:r>
          </w:p>
        </w:tc>
        <w:tc>
          <w:tcPr>
            <w:tcW w:w="2126" w:type="dxa"/>
            <w:tcBorders>
              <w:top w:val="single" w:sz="4" w:space="0" w:color="auto"/>
              <w:left w:val="nil"/>
              <w:bottom w:val="single" w:sz="4" w:space="0" w:color="auto"/>
              <w:right w:val="single" w:sz="8" w:space="0" w:color="auto"/>
            </w:tcBorders>
            <w:shd w:val="clear" w:color="auto" w:fill="auto"/>
            <w:vAlign w:val="bottom"/>
          </w:tcPr>
          <w:p w14:paraId="415BFAB4" w14:textId="5EC6E428" w:rsidR="00F87D84" w:rsidRPr="00F87D84" w:rsidRDefault="00FB1C32" w:rsidP="00A55741">
            <w:pPr>
              <w:spacing w:after="120" w:line="259" w:lineRule="auto"/>
              <w:jc w:val="right"/>
              <w:rPr>
                <w:rFonts w:cs="Arial"/>
                <w:sz w:val="22"/>
                <w:szCs w:val="22"/>
              </w:rPr>
            </w:pPr>
            <w:r w:rsidRPr="00A55741">
              <w:rPr>
                <w:rFonts w:cs="Arial"/>
                <w:color w:val="000000"/>
                <w:sz w:val="22"/>
                <w:szCs w:val="22"/>
              </w:rPr>
              <w:t>-979.6</w:t>
            </w:r>
          </w:p>
        </w:tc>
      </w:tr>
      <w:tr w:rsidR="00F87D84" w14:paraId="6A222BF2" w14:textId="77777777" w:rsidTr="00A55741">
        <w:tc>
          <w:tcPr>
            <w:tcW w:w="3119" w:type="dxa"/>
          </w:tcPr>
          <w:p w14:paraId="21831047" w14:textId="71B0AEA7" w:rsidR="00F87D84" w:rsidRPr="00736CB5" w:rsidRDefault="00F87D84" w:rsidP="00F87D84">
            <w:pPr>
              <w:spacing w:after="120" w:line="259" w:lineRule="auto"/>
              <w:jc w:val="both"/>
              <w:rPr>
                <w:rFonts w:cs="Arial"/>
                <w:b/>
                <w:sz w:val="22"/>
                <w:szCs w:val="22"/>
              </w:rPr>
            </w:pPr>
            <w:r>
              <w:rPr>
                <w:rFonts w:cs="Arial"/>
                <w:b/>
                <w:sz w:val="22"/>
                <w:szCs w:val="22"/>
              </w:rPr>
              <w:t>Main Assumptions</w:t>
            </w:r>
          </w:p>
        </w:tc>
        <w:tc>
          <w:tcPr>
            <w:tcW w:w="2126" w:type="dxa"/>
            <w:tcBorders>
              <w:top w:val="nil"/>
              <w:left w:val="single" w:sz="4" w:space="0" w:color="auto"/>
              <w:bottom w:val="single" w:sz="4" w:space="0" w:color="auto"/>
              <w:right w:val="single" w:sz="4" w:space="0" w:color="auto"/>
            </w:tcBorders>
            <w:shd w:val="clear" w:color="auto" w:fill="auto"/>
            <w:vAlign w:val="bottom"/>
          </w:tcPr>
          <w:p w14:paraId="3C1446E4" w14:textId="193BEB37" w:rsidR="00F87D84" w:rsidRPr="00F87D84" w:rsidRDefault="00FB1C32" w:rsidP="00A55741">
            <w:pPr>
              <w:spacing w:after="120" w:line="259" w:lineRule="auto"/>
              <w:jc w:val="right"/>
              <w:rPr>
                <w:rFonts w:cs="Arial"/>
                <w:b/>
                <w:sz w:val="22"/>
                <w:szCs w:val="22"/>
              </w:rPr>
            </w:pPr>
            <w:r w:rsidRPr="00A55741">
              <w:rPr>
                <w:rFonts w:cs="Arial"/>
                <w:b/>
                <w:color w:val="000000"/>
                <w:sz w:val="22"/>
                <w:szCs w:val="22"/>
              </w:rPr>
              <w:t>-740.2</w:t>
            </w:r>
          </w:p>
        </w:tc>
        <w:tc>
          <w:tcPr>
            <w:tcW w:w="2268" w:type="dxa"/>
            <w:tcBorders>
              <w:top w:val="nil"/>
              <w:left w:val="nil"/>
              <w:bottom w:val="single" w:sz="4" w:space="0" w:color="auto"/>
              <w:right w:val="single" w:sz="4" w:space="0" w:color="auto"/>
            </w:tcBorders>
            <w:shd w:val="clear" w:color="auto" w:fill="auto"/>
            <w:vAlign w:val="bottom"/>
          </w:tcPr>
          <w:p w14:paraId="70F068A9" w14:textId="7F836BBD" w:rsidR="00F87D84" w:rsidRPr="00F87D84" w:rsidRDefault="00FB1C32" w:rsidP="00A55741">
            <w:pPr>
              <w:spacing w:after="120" w:line="259" w:lineRule="auto"/>
              <w:jc w:val="right"/>
              <w:rPr>
                <w:rFonts w:cs="Arial"/>
                <w:b/>
                <w:sz w:val="22"/>
                <w:szCs w:val="22"/>
              </w:rPr>
            </w:pPr>
            <w:r w:rsidRPr="00A55741">
              <w:rPr>
                <w:rFonts w:cs="Arial"/>
                <w:b/>
                <w:color w:val="000000"/>
                <w:sz w:val="22"/>
                <w:szCs w:val="22"/>
              </w:rPr>
              <w:t>-873.7</w:t>
            </w:r>
          </w:p>
        </w:tc>
        <w:tc>
          <w:tcPr>
            <w:tcW w:w="2126" w:type="dxa"/>
            <w:tcBorders>
              <w:top w:val="nil"/>
              <w:left w:val="nil"/>
              <w:bottom w:val="single" w:sz="4" w:space="0" w:color="auto"/>
              <w:right w:val="single" w:sz="8" w:space="0" w:color="auto"/>
            </w:tcBorders>
            <w:shd w:val="clear" w:color="auto" w:fill="auto"/>
            <w:vAlign w:val="bottom"/>
          </w:tcPr>
          <w:p w14:paraId="51EC1D05" w14:textId="423FA228" w:rsidR="00F87D84" w:rsidRPr="00F87D84" w:rsidRDefault="00FB1C32" w:rsidP="00A55741">
            <w:pPr>
              <w:spacing w:after="120" w:line="259" w:lineRule="auto"/>
              <w:jc w:val="right"/>
              <w:rPr>
                <w:rFonts w:cs="Arial"/>
                <w:b/>
                <w:sz w:val="22"/>
                <w:szCs w:val="22"/>
              </w:rPr>
            </w:pPr>
            <w:r w:rsidRPr="00A55741">
              <w:rPr>
                <w:rFonts w:cs="Arial"/>
                <w:b/>
                <w:color w:val="000000"/>
                <w:sz w:val="22"/>
                <w:szCs w:val="22"/>
              </w:rPr>
              <w:t>-1,007.3</w:t>
            </w:r>
          </w:p>
        </w:tc>
      </w:tr>
      <w:tr w:rsidR="00F87D84" w14:paraId="7821D2EE" w14:textId="77777777" w:rsidTr="00A55741">
        <w:tc>
          <w:tcPr>
            <w:tcW w:w="3119" w:type="dxa"/>
            <w:vAlign w:val="center"/>
          </w:tcPr>
          <w:p w14:paraId="3BFCC8AB" w14:textId="65E937A2" w:rsidR="00F87D84" w:rsidRPr="006C4C36" w:rsidRDefault="00F87D84" w:rsidP="00A55741">
            <w:pPr>
              <w:spacing w:after="120" w:line="259" w:lineRule="auto"/>
              <w:rPr>
                <w:rFonts w:cs="Arial"/>
                <w:sz w:val="22"/>
                <w:szCs w:val="22"/>
              </w:rPr>
            </w:pPr>
            <w:r>
              <w:rPr>
                <w:rFonts w:cs="Arial"/>
                <w:sz w:val="22"/>
                <w:szCs w:val="22"/>
              </w:rPr>
              <w:t>10% more</w:t>
            </w:r>
            <w:r w:rsidR="00904D51">
              <w:rPr>
                <w:rFonts w:cs="Arial"/>
                <w:sz w:val="22"/>
                <w:szCs w:val="22"/>
              </w:rPr>
              <w:t xml:space="preserve"> time taken</w:t>
            </w:r>
          </w:p>
        </w:tc>
        <w:tc>
          <w:tcPr>
            <w:tcW w:w="2126" w:type="dxa"/>
            <w:tcBorders>
              <w:top w:val="nil"/>
              <w:left w:val="single" w:sz="4" w:space="0" w:color="auto"/>
              <w:bottom w:val="single" w:sz="8" w:space="0" w:color="auto"/>
              <w:right w:val="single" w:sz="4" w:space="0" w:color="auto"/>
            </w:tcBorders>
            <w:shd w:val="clear" w:color="auto" w:fill="auto"/>
            <w:vAlign w:val="bottom"/>
          </w:tcPr>
          <w:p w14:paraId="6BAB1538" w14:textId="0BADAF3D" w:rsidR="00F87D84" w:rsidRPr="00F87D84" w:rsidRDefault="00FB1C32" w:rsidP="00A55741">
            <w:pPr>
              <w:spacing w:after="120" w:line="259" w:lineRule="auto"/>
              <w:jc w:val="right"/>
              <w:rPr>
                <w:rFonts w:cs="Arial"/>
                <w:sz w:val="22"/>
                <w:szCs w:val="22"/>
              </w:rPr>
            </w:pPr>
            <w:r w:rsidRPr="00A55741">
              <w:rPr>
                <w:rFonts w:cs="Arial"/>
                <w:color w:val="000000"/>
                <w:sz w:val="22"/>
                <w:szCs w:val="22"/>
              </w:rPr>
              <w:t>-762.9</w:t>
            </w:r>
          </w:p>
        </w:tc>
        <w:tc>
          <w:tcPr>
            <w:tcW w:w="2268" w:type="dxa"/>
            <w:tcBorders>
              <w:top w:val="nil"/>
              <w:left w:val="nil"/>
              <w:bottom w:val="single" w:sz="8" w:space="0" w:color="auto"/>
              <w:right w:val="single" w:sz="4" w:space="0" w:color="auto"/>
            </w:tcBorders>
            <w:shd w:val="clear" w:color="auto" w:fill="auto"/>
            <w:vAlign w:val="bottom"/>
          </w:tcPr>
          <w:p w14:paraId="1D5A0207" w14:textId="0F2AA4E6" w:rsidR="00F87D84" w:rsidRPr="00F87D84" w:rsidRDefault="00FB1C32" w:rsidP="00A55741">
            <w:pPr>
              <w:spacing w:after="120" w:line="259" w:lineRule="auto"/>
              <w:jc w:val="right"/>
              <w:rPr>
                <w:rFonts w:cs="Arial"/>
                <w:sz w:val="22"/>
                <w:szCs w:val="22"/>
              </w:rPr>
            </w:pPr>
            <w:r w:rsidRPr="00A55741">
              <w:rPr>
                <w:rFonts w:cs="Arial"/>
                <w:color w:val="000000"/>
                <w:sz w:val="22"/>
                <w:szCs w:val="22"/>
              </w:rPr>
              <w:t>-899.0</w:t>
            </w:r>
          </w:p>
        </w:tc>
        <w:tc>
          <w:tcPr>
            <w:tcW w:w="2126" w:type="dxa"/>
            <w:tcBorders>
              <w:top w:val="nil"/>
              <w:left w:val="nil"/>
              <w:bottom w:val="single" w:sz="8" w:space="0" w:color="auto"/>
              <w:right w:val="single" w:sz="8" w:space="0" w:color="auto"/>
            </w:tcBorders>
            <w:shd w:val="clear" w:color="auto" w:fill="auto"/>
            <w:vAlign w:val="bottom"/>
          </w:tcPr>
          <w:p w14:paraId="210C839D" w14:textId="00435C9A" w:rsidR="00F87D84" w:rsidRPr="00F87D84" w:rsidRDefault="00FB1C32" w:rsidP="00A55741">
            <w:pPr>
              <w:spacing w:after="120" w:line="259" w:lineRule="auto"/>
              <w:jc w:val="right"/>
              <w:rPr>
                <w:rFonts w:cs="Arial"/>
                <w:sz w:val="22"/>
                <w:szCs w:val="22"/>
              </w:rPr>
            </w:pPr>
            <w:r w:rsidRPr="00A55741">
              <w:rPr>
                <w:rFonts w:cs="Arial"/>
                <w:color w:val="000000"/>
                <w:sz w:val="22"/>
                <w:szCs w:val="22"/>
              </w:rPr>
              <w:t>-</w:t>
            </w:r>
            <w:r w:rsidR="00F87D84" w:rsidRPr="00A55741">
              <w:rPr>
                <w:rFonts w:cs="Arial"/>
                <w:color w:val="000000"/>
                <w:sz w:val="22"/>
                <w:szCs w:val="22"/>
              </w:rPr>
              <w:t>1</w:t>
            </w:r>
            <w:r w:rsidR="00F723F5" w:rsidRPr="00A55741">
              <w:rPr>
                <w:rFonts w:cs="Arial"/>
                <w:color w:val="000000"/>
                <w:sz w:val="22"/>
                <w:szCs w:val="22"/>
              </w:rPr>
              <w:t>,</w:t>
            </w:r>
            <w:r w:rsidRPr="00A55741">
              <w:rPr>
                <w:rFonts w:cs="Arial"/>
                <w:color w:val="000000"/>
                <w:sz w:val="22"/>
                <w:szCs w:val="22"/>
              </w:rPr>
              <w:t>035.0</w:t>
            </w:r>
          </w:p>
        </w:tc>
      </w:tr>
    </w:tbl>
    <w:p w14:paraId="44A5FDCE" w14:textId="77777777" w:rsidR="00312EBF" w:rsidRDefault="00312EBF" w:rsidP="00312EBF">
      <w:pPr>
        <w:pStyle w:val="EBBullet"/>
        <w:numPr>
          <w:ilvl w:val="0"/>
          <w:numId w:val="0"/>
        </w:numPr>
        <w:spacing w:line="259" w:lineRule="auto"/>
        <w:ind w:left="567"/>
        <w:jc w:val="both"/>
        <w:rPr>
          <w:color w:val="auto"/>
          <w:sz w:val="18"/>
          <w:szCs w:val="18"/>
        </w:rPr>
      </w:pPr>
      <w:r w:rsidRPr="0029116F">
        <w:rPr>
          <w:color w:val="auto"/>
          <w:sz w:val="18"/>
          <w:szCs w:val="18"/>
        </w:rPr>
        <w:t xml:space="preserve">Source: Home Office </w:t>
      </w:r>
      <w:r>
        <w:rPr>
          <w:color w:val="auto"/>
          <w:sz w:val="18"/>
          <w:szCs w:val="18"/>
        </w:rPr>
        <w:t xml:space="preserve">and DBT </w:t>
      </w:r>
      <w:r w:rsidRPr="0029116F">
        <w:rPr>
          <w:color w:val="auto"/>
          <w:sz w:val="18"/>
          <w:szCs w:val="18"/>
        </w:rPr>
        <w:t xml:space="preserve">analysis </w:t>
      </w:r>
    </w:p>
    <w:p w14:paraId="4C63BC7B" w14:textId="075D59BD" w:rsidR="00131917" w:rsidRPr="00441AF5" w:rsidRDefault="00616FDD" w:rsidP="0029116F">
      <w:pPr>
        <w:pStyle w:val="EBBullet"/>
        <w:numPr>
          <w:ilvl w:val="0"/>
          <w:numId w:val="0"/>
        </w:numPr>
        <w:spacing w:line="259" w:lineRule="auto"/>
        <w:jc w:val="both"/>
        <w:rPr>
          <w:b/>
          <w:color w:val="auto"/>
        </w:rPr>
      </w:pPr>
      <w:r w:rsidRPr="00441AF5">
        <w:rPr>
          <w:b/>
          <w:bCs w:val="0"/>
          <w:color w:val="auto"/>
        </w:rPr>
        <w:t>Small and micro business assessment</w:t>
      </w:r>
      <w:r w:rsidR="002446DF">
        <w:rPr>
          <w:b/>
          <w:bCs w:val="0"/>
          <w:color w:val="auto"/>
        </w:rPr>
        <w:t xml:space="preserve"> (SaMBA)</w:t>
      </w:r>
    </w:p>
    <w:p w14:paraId="034D5218" w14:textId="44DD81D2" w:rsidR="00C16D06" w:rsidRDefault="00B035F0" w:rsidP="00A55741">
      <w:pPr>
        <w:pStyle w:val="ListParagraph"/>
        <w:numPr>
          <w:ilvl w:val="0"/>
          <w:numId w:val="10"/>
        </w:numPr>
        <w:spacing w:after="120" w:line="259" w:lineRule="auto"/>
        <w:ind w:left="567" w:hanging="567"/>
        <w:contextualSpacing w:val="0"/>
        <w:jc w:val="both"/>
      </w:pPr>
      <w:bookmarkStart w:id="24" w:name="_Hlk130395035"/>
      <w:r w:rsidRPr="00A55741">
        <w:rPr>
          <w:sz w:val="22"/>
          <w:szCs w:val="22"/>
        </w:rPr>
        <w:t>There will be no direct impact on small</w:t>
      </w:r>
      <w:r w:rsidR="001C04CB" w:rsidRPr="00A55741">
        <w:rPr>
          <w:sz w:val="22"/>
          <w:szCs w:val="22"/>
        </w:rPr>
        <w:t>, medium and</w:t>
      </w:r>
      <w:r w:rsidRPr="00A55741">
        <w:rPr>
          <w:sz w:val="22"/>
          <w:szCs w:val="22"/>
        </w:rPr>
        <w:t xml:space="preserve"> micro-businesses</w:t>
      </w:r>
      <w:r w:rsidR="75EE3FEA" w:rsidRPr="00A55741">
        <w:rPr>
          <w:sz w:val="22"/>
          <w:szCs w:val="22"/>
        </w:rPr>
        <w:t xml:space="preserve"> as the offence will apply to large organisations only</w:t>
      </w:r>
      <w:r w:rsidR="1429543E" w:rsidRPr="00A55741">
        <w:rPr>
          <w:sz w:val="22"/>
          <w:szCs w:val="22"/>
        </w:rPr>
        <w:t>.</w:t>
      </w:r>
      <w:r w:rsidR="4A62E5ED" w:rsidRPr="00A55741">
        <w:rPr>
          <w:sz w:val="22"/>
          <w:szCs w:val="22"/>
        </w:rPr>
        <w:t xml:space="preserve"> </w:t>
      </w:r>
      <w:r w:rsidR="0065231D" w:rsidRPr="00A55741">
        <w:rPr>
          <w:sz w:val="22"/>
          <w:szCs w:val="22"/>
        </w:rPr>
        <w:t>S</w:t>
      </w:r>
      <w:r w:rsidR="4A62E5ED" w:rsidRPr="00A55741">
        <w:rPr>
          <w:sz w:val="22"/>
          <w:szCs w:val="22"/>
        </w:rPr>
        <w:t>mall</w:t>
      </w:r>
      <w:r w:rsidR="001C04CB" w:rsidRPr="00A55741">
        <w:rPr>
          <w:sz w:val="22"/>
          <w:szCs w:val="22"/>
        </w:rPr>
        <w:t>, medium</w:t>
      </w:r>
      <w:r w:rsidR="4A62E5ED" w:rsidRPr="00A55741">
        <w:rPr>
          <w:sz w:val="22"/>
          <w:szCs w:val="22"/>
        </w:rPr>
        <w:t xml:space="preserve"> and micro-businesses will be exempt</w:t>
      </w:r>
      <w:r w:rsidR="00CE7E0F" w:rsidRPr="00A55741">
        <w:rPr>
          <w:sz w:val="22"/>
          <w:szCs w:val="22"/>
        </w:rPr>
        <w:t xml:space="preserve"> and are out of scope</w:t>
      </w:r>
      <w:r w:rsidR="00A73DBB" w:rsidRPr="00A55741">
        <w:rPr>
          <w:sz w:val="22"/>
          <w:szCs w:val="22"/>
        </w:rPr>
        <w:t xml:space="preserve"> of this policy</w:t>
      </w:r>
      <w:r w:rsidR="22825FEE" w:rsidRPr="00A55741">
        <w:rPr>
          <w:sz w:val="22"/>
          <w:szCs w:val="22"/>
        </w:rPr>
        <w:t xml:space="preserve">. </w:t>
      </w:r>
    </w:p>
    <w:p w14:paraId="73B1F122" w14:textId="1C351703" w:rsidR="00A6073A" w:rsidRPr="005C614D" w:rsidRDefault="00A6073A" w:rsidP="00EB44FE">
      <w:pPr>
        <w:pStyle w:val="ListParagraph"/>
        <w:numPr>
          <w:ilvl w:val="0"/>
          <w:numId w:val="10"/>
        </w:numPr>
        <w:spacing w:after="120" w:line="259" w:lineRule="auto"/>
        <w:ind w:left="567" w:hanging="567"/>
        <w:contextualSpacing w:val="0"/>
        <w:jc w:val="both"/>
        <w:rPr>
          <w:rFonts w:cs="Arial"/>
          <w:sz w:val="22"/>
          <w:szCs w:val="22"/>
        </w:rPr>
      </w:pPr>
      <w:r w:rsidRPr="005C614D">
        <w:rPr>
          <w:rFonts w:cs="Arial"/>
          <w:sz w:val="22"/>
          <w:szCs w:val="22"/>
        </w:rPr>
        <w:lastRenderedPageBreak/>
        <w:t>Fraud is committed by businesses of all sizes from sole traders to multi-national conglomerates</w:t>
      </w:r>
      <w:r w:rsidRPr="005C614D">
        <w:rPr>
          <w:rStyle w:val="FootnoteReference"/>
          <w:szCs w:val="22"/>
        </w:rPr>
        <w:footnoteReference w:id="91"/>
      </w:r>
      <w:r w:rsidRPr="005C614D">
        <w:rPr>
          <w:rFonts w:cs="Arial"/>
          <w:sz w:val="22"/>
          <w:szCs w:val="22"/>
        </w:rPr>
        <w:t>. It could be argued that the offence of failure to prevent fraud should be extended to organisations of all sizes</w:t>
      </w:r>
      <w:r w:rsidR="001D0928">
        <w:rPr>
          <w:rFonts w:cs="Arial"/>
          <w:sz w:val="22"/>
          <w:szCs w:val="22"/>
        </w:rPr>
        <w:t xml:space="preserve"> and that the exclusion of SMBs could undermine the policy’s </w:t>
      </w:r>
      <w:r w:rsidR="00E14DE1">
        <w:rPr>
          <w:rFonts w:cs="Arial"/>
          <w:sz w:val="22"/>
          <w:szCs w:val="22"/>
        </w:rPr>
        <w:t>ability to meet its objectives.</w:t>
      </w:r>
    </w:p>
    <w:p w14:paraId="0C7CA076" w14:textId="4294EDAE" w:rsidR="00A6073A" w:rsidRPr="005C614D" w:rsidRDefault="00A6073A" w:rsidP="00EB44FE">
      <w:pPr>
        <w:pStyle w:val="ListParagraph"/>
        <w:numPr>
          <w:ilvl w:val="0"/>
          <w:numId w:val="10"/>
        </w:numPr>
        <w:spacing w:after="120" w:line="259" w:lineRule="auto"/>
        <w:ind w:left="567" w:hanging="567"/>
        <w:contextualSpacing w:val="0"/>
        <w:jc w:val="both"/>
        <w:rPr>
          <w:rFonts w:cs="Arial"/>
          <w:sz w:val="22"/>
          <w:szCs w:val="22"/>
        </w:rPr>
      </w:pPr>
      <w:r w:rsidRPr="005C614D">
        <w:rPr>
          <w:rFonts w:cs="Arial"/>
          <w:sz w:val="22"/>
          <w:szCs w:val="22"/>
        </w:rPr>
        <w:t>However, in a small or medium company, it is expected to be easier to identify the perpetrator of a fraud than in a larger one</w:t>
      </w:r>
      <w:r w:rsidR="006F34A3">
        <w:rPr>
          <w:rStyle w:val="FootnoteReference"/>
          <w:szCs w:val="22"/>
        </w:rPr>
        <w:footnoteReference w:id="92"/>
      </w:r>
      <w:r w:rsidRPr="005C614D">
        <w:rPr>
          <w:rFonts w:cs="Arial"/>
          <w:sz w:val="22"/>
          <w:szCs w:val="22"/>
        </w:rPr>
        <w:t>. In 2022, the Law Commission noted that small organisations are more readily held to account using (then) existing corporate liability offences</w:t>
      </w:r>
      <w:r w:rsidR="00B54085">
        <w:rPr>
          <w:rStyle w:val="FootnoteReference"/>
          <w:szCs w:val="22"/>
        </w:rPr>
        <w:footnoteReference w:id="93"/>
      </w:r>
      <w:r w:rsidRPr="005C614D">
        <w:rPr>
          <w:rFonts w:cs="Arial"/>
          <w:sz w:val="22"/>
          <w:szCs w:val="22"/>
        </w:rPr>
        <w:t xml:space="preserve"> whilst large multi-national companies were able to evade action due to complex structures</w:t>
      </w:r>
      <w:r w:rsidRPr="005C614D">
        <w:rPr>
          <w:rStyle w:val="FootnoteReference"/>
          <w:szCs w:val="22"/>
        </w:rPr>
        <w:footnoteReference w:id="94"/>
      </w:r>
      <w:r w:rsidRPr="00546D65">
        <w:rPr>
          <w:rFonts w:cs="Arial"/>
          <w:sz w:val="22"/>
          <w:szCs w:val="22"/>
        </w:rPr>
        <w:t xml:space="preserve"> and also noted that the same discrepancy would be expected to persist even after the introduction of the amendments to the identification principle</w:t>
      </w:r>
      <w:r w:rsidRPr="00546D65">
        <w:rPr>
          <w:rStyle w:val="FootnoteReference"/>
          <w:szCs w:val="22"/>
        </w:rPr>
        <w:footnoteReference w:id="95"/>
      </w:r>
      <w:r w:rsidRPr="005C614D">
        <w:rPr>
          <w:rFonts w:cs="Arial"/>
          <w:sz w:val="22"/>
          <w:szCs w:val="22"/>
        </w:rPr>
        <w:t xml:space="preserve">.  </w:t>
      </w:r>
    </w:p>
    <w:p w14:paraId="20614BAF" w14:textId="2C6C3340" w:rsidR="001A5EFC" w:rsidRPr="00764578" w:rsidRDefault="00A6073A" w:rsidP="00A55741">
      <w:pPr>
        <w:pStyle w:val="ListParagraph"/>
        <w:numPr>
          <w:ilvl w:val="0"/>
          <w:numId w:val="10"/>
        </w:numPr>
        <w:spacing w:after="120" w:line="259" w:lineRule="auto"/>
        <w:ind w:left="567" w:hanging="567"/>
        <w:contextualSpacing w:val="0"/>
        <w:jc w:val="both"/>
        <w:rPr>
          <w:rFonts w:cs="Arial"/>
          <w:sz w:val="22"/>
          <w:szCs w:val="22"/>
        </w:rPr>
      </w:pPr>
      <w:r w:rsidRPr="00546D65">
        <w:rPr>
          <w:rFonts w:cs="Arial"/>
          <w:sz w:val="22"/>
          <w:szCs w:val="22"/>
        </w:rPr>
        <w:t xml:space="preserve">In smaller, less complex organisations, it is deemed more straightforward to prosecute and therefore the </w:t>
      </w:r>
      <w:r w:rsidR="00E14DE1">
        <w:rPr>
          <w:rFonts w:cs="Arial"/>
          <w:sz w:val="22"/>
          <w:szCs w:val="22"/>
        </w:rPr>
        <w:t xml:space="preserve">potential </w:t>
      </w:r>
      <w:r w:rsidRPr="00546D65">
        <w:rPr>
          <w:rFonts w:cs="Arial"/>
          <w:sz w:val="22"/>
          <w:szCs w:val="22"/>
        </w:rPr>
        <w:t>benefits of a failure to prevent fraud offence are significantly lower</w:t>
      </w:r>
      <w:r w:rsidR="006A3049">
        <w:rPr>
          <w:rFonts w:cs="Arial"/>
          <w:sz w:val="22"/>
          <w:szCs w:val="22"/>
        </w:rPr>
        <w:t xml:space="preserve"> when applied to these </w:t>
      </w:r>
      <w:r w:rsidR="00204CE5">
        <w:rPr>
          <w:rFonts w:cs="Arial"/>
          <w:sz w:val="22"/>
          <w:szCs w:val="22"/>
        </w:rPr>
        <w:t>SMBs</w:t>
      </w:r>
      <w:r w:rsidR="008142F0">
        <w:rPr>
          <w:rFonts w:cs="Arial"/>
          <w:sz w:val="22"/>
          <w:szCs w:val="22"/>
        </w:rPr>
        <w:t>.  A</w:t>
      </w:r>
      <w:r w:rsidR="006A3049">
        <w:rPr>
          <w:rFonts w:cs="Arial"/>
          <w:sz w:val="22"/>
          <w:szCs w:val="22"/>
        </w:rPr>
        <w:t>t the same time</w:t>
      </w:r>
      <w:r w:rsidR="00664ADB">
        <w:rPr>
          <w:rFonts w:cs="Arial"/>
          <w:sz w:val="22"/>
          <w:szCs w:val="22"/>
        </w:rPr>
        <w:t>,</w:t>
      </w:r>
      <w:r w:rsidR="006A3049">
        <w:rPr>
          <w:rFonts w:cs="Arial"/>
          <w:sz w:val="22"/>
          <w:szCs w:val="22"/>
        </w:rPr>
        <w:t xml:space="preserve"> they would </w:t>
      </w:r>
      <w:r w:rsidR="00204CE5">
        <w:rPr>
          <w:rFonts w:cs="Arial"/>
          <w:sz w:val="22"/>
          <w:szCs w:val="22"/>
        </w:rPr>
        <w:t>potentially face</w:t>
      </w:r>
      <w:r w:rsidRPr="00546D65">
        <w:rPr>
          <w:rFonts w:cs="Arial"/>
          <w:sz w:val="22"/>
          <w:szCs w:val="22"/>
        </w:rPr>
        <w:t xml:space="preserve"> </w:t>
      </w:r>
      <w:r w:rsidRPr="005C614D">
        <w:rPr>
          <w:rFonts w:cs="Arial"/>
          <w:sz w:val="22"/>
          <w:szCs w:val="22"/>
        </w:rPr>
        <w:t xml:space="preserve">disproportionate </w:t>
      </w:r>
      <w:r w:rsidR="00BE1DC9">
        <w:rPr>
          <w:rFonts w:cs="Arial"/>
          <w:sz w:val="22"/>
          <w:szCs w:val="22"/>
        </w:rPr>
        <w:t>implementation</w:t>
      </w:r>
      <w:r w:rsidR="00656C1C">
        <w:rPr>
          <w:rFonts w:cs="Arial"/>
          <w:sz w:val="22"/>
          <w:szCs w:val="22"/>
        </w:rPr>
        <w:t xml:space="preserve"> </w:t>
      </w:r>
      <w:r w:rsidRPr="005C614D">
        <w:rPr>
          <w:rFonts w:cs="Arial"/>
          <w:sz w:val="22"/>
          <w:szCs w:val="22"/>
        </w:rPr>
        <w:t>burdens</w:t>
      </w:r>
      <w:r w:rsidR="000629E3">
        <w:rPr>
          <w:rFonts w:cs="Arial"/>
          <w:sz w:val="22"/>
          <w:szCs w:val="22"/>
        </w:rPr>
        <w:t xml:space="preserve"> </w:t>
      </w:r>
      <w:r w:rsidR="005C403D">
        <w:rPr>
          <w:rFonts w:cs="Arial"/>
          <w:sz w:val="22"/>
          <w:szCs w:val="22"/>
        </w:rPr>
        <w:t xml:space="preserve">if </w:t>
      </w:r>
      <w:r w:rsidR="00045FF3">
        <w:rPr>
          <w:rFonts w:cs="Arial"/>
          <w:sz w:val="22"/>
          <w:szCs w:val="22"/>
        </w:rPr>
        <w:t>not exempt.</w:t>
      </w:r>
      <w:r w:rsidR="00AE1B96">
        <w:rPr>
          <w:rFonts w:cs="Arial"/>
          <w:sz w:val="22"/>
          <w:szCs w:val="22"/>
        </w:rPr>
        <w:t xml:space="preserve"> Consequently</w:t>
      </w:r>
      <w:r w:rsidRPr="00546D65">
        <w:rPr>
          <w:rFonts w:cs="Arial"/>
          <w:sz w:val="22"/>
          <w:szCs w:val="22"/>
        </w:rPr>
        <w:t xml:space="preserve">, </w:t>
      </w:r>
      <w:r w:rsidR="006A3049">
        <w:rPr>
          <w:rFonts w:cs="Arial"/>
          <w:sz w:val="22"/>
          <w:szCs w:val="22"/>
        </w:rPr>
        <w:t xml:space="preserve">the </w:t>
      </w:r>
      <w:r w:rsidR="00C47F90">
        <w:rPr>
          <w:rFonts w:cs="Arial"/>
          <w:sz w:val="22"/>
          <w:szCs w:val="22"/>
        </w:rPr>
        <w:t>g</w:t>
      </w:r>
      <w:r w:rsidRPr="00546D65">
        <w:rPr>
          <w:rFonts w:cs="Arial"/>
          <w:sz w:val="22"/>
          <w:szCs w:val="22"/>
        </w:rPr>
        <w:t>overnment decided to restrict the offence of failure to prevent fraud to large organisations only</w:t>
      </w:r>
      <w:r w:rsidRPr="005C614D">
        <w:rPr>
          <w:rFonts w:cs="Arial"/>
          <w:sz w:val="22"/>
          <w:szCs w:val="22"/>
        </w:rPr>
        <w:t xml:space="preserve">. </w:t>
      </w:r>
    </w:p>
    <w:p w14:paraId="3D02C810" w14:textId="4E890AF3" w:rsidR="00F81FED" w:rsidRPr="004A4B27" w:rsidRDefault="00C50313" w:rsidP="00A55741">
      <w:pPr>
        <w:pStyle w:val="ListParagraph"/>
        <w:numPr>
          <w:ilvl w:val="0"/>
          <w:numId w:val="10"/>
        </w:numPr>
        <w:spacing w:after="120" w:line="259" w:lineRule="auto"/>
        <w:ind w:left="567" w:hanging="567"/>
        <w:contextualSpacing w:val="0"/>
        <w:jc w:val="both"/>
      </w:pPr>
      <w:r>
        <w:rPr>
          <w:rFonts w:cs="Arial"/>
          <w:sz w:val="22"/>
          <w:szCs w:val="22"/>
        </w:rPr>
        <w:t xml:space="preserve">The post implementation review will </w:t>
      </w:r>
      <w:r w:rsidRPr="00FF7568">
        <w:rPr>
          <w:sz w:val="22"/>
          <w:szCs w:val="22"/>
        </w:rPr>
        <w:t>specifically consider</w:t>
      </w:r>
      <w:r>
        <w:rPr>
          <w:rFonts w:cs="Arial"/>
          <w:sz w:val="22"/>
          <w:szCs w:val="22"/>
        </w:rPr>
        <w:t xml:space="preserve"> </w:t>
      </w:r>
      <w:r w:rsidRPr="00FF7568">
        <w:rPr>
          <w:sz w:val="22"/>
          <w:szCs w:val="22"/>
        </w:rPr>
        <w:t xml:space="preserve">an evaluation question around </w:t>
      </w:r>
      <w:r>
        <w:rPr>
          <w:rFonts w:cs="Arial"/>
          <w:sz w:val="22"/>
          <w:szCs w:val="22"/>
        </w:rPr>
        <w:t xml:space="preserve">if </w:t>
      </w:r>
      <w:r w:rsidRPr="00FF7568">
        <w:rPr>
          <w:sz w:val="22"/>
          <w:szCs w:val="22"/>
        </w:rPr>
        <w:t>the exclusion</w:t>
      </w:r>
      <w:r>
        <w:rPr>
          <w:rFonts w:cs="Arial"/>
          <w:sz w:val="22"/>
          <w:szCs w:val="22"/>
        </w:rPr>
        <w:t xml:space="preserve"> </w:t>
      </w:r>
      <w:r w:rsidRPr="00FF7568">
        <w:rPr>
          <w:sz w:val="22"/>
          <w:szCs w:val="22"/>
        </w:rPr>
        <w:t xml:space="preserve">of </w:t>
      </w:r>
      <w:r>
        <w:rPr>
          <w:rFonts w:cs="Arial"/>
          <w:sz w:val="22"/>
          <w:szCs w:val="22"/>
        </w:rPr>
        <w:t>SMB</w:t>
      </w:r>
      <w:r w:rsidRPr="00FF7568">
        <w:rPr>
          <w:sz w:val="22"/>
          <w:szCs w:val="22"/>
        </w:rPr>
        <w:t>s has undermined the ability to of the policy to meet its objectives.</w:t>
      </w:r>
      <w:r w:rsidR="00F81FED" w:rsidRPr="00FF7568">
        <w:rPr>
          <w:sz w:val="22"/>
          <w:szCs w:val="22"/>
        </w:rPr>
        <w:t xml:space="preserve"> </w:t>
      </w:r>
      <w:r w:rsidR="00AE1B96" w:rsidRPr="00FF7568">
        <w:rPr>
          <w:sz w:val="22"/>
          <w:szCs w:val="22"/>
        </w:rPr>
        <w:t>T</w:t>
      </w:r>
      <w:r w:rsidR="00AE1B96" w:rsidRPr="005C614D">
        <w:rPr>
          <w:rFonts w:cs="Arial"/>
          <w:sz w:val="22"/>
          <w:szCs w:val="22"/>
        </w:rPr>
        <w:t>he threshold can be amended in future if required through secondary legislation.</w:t>
      </w:r>
    </w:p>
    <w:p w14:paraId="2001A667" w14:textId="3C52CFA3" w:rsidR="00903E0E" w:rsidRPr="00164412" w:rsidRDefault="00971BB3" w:rsidP="002F4C95">
      <w:pPr>
        <w:pStyle w:val="EBBullet"/>
        <w:numPr>
          <w:ilvl w:val="0"/>
          <w:numId w:val="10"/>
        </w:numPr>
        <w:spacing w:line="259" w:lineRule="auto"/>
        <w:ind w:left="567" w:hanging="567"/>
        <w:jc w:val="both"/>
      </w:pPr>
      <w:r w:rsidRPr="00164412">
        <w:t>S</w:t>
      </w:r>
      <w:r w:rsidR="00A87833" w:rsidRPr="00164412">
        <w:t xml:space="preserve">mall and medium businesses may benefit from the expected </w:t>
      </w:r>
      <w:r w:rsidR="00ED78D8" w:rsidRPr="00164412">
        <w:t>reduction in fraud committed by large corporates</w:t>
      </w:r>
      <w:r w:rsidR="003B0577" w:rsidRPr="00164412">
        <w:t>.</w:t>
      </w:r>
      <w:r w:rsidR="007606C6" w:rsidRPr="00164412">
        <w:t xml:space="preserve"> </w:t>
      </w:r>
    </w:p>
    <w:p w14:paraId="75522E30" w14:textId="17F36446" w:rsidR="007A6E60" w:rsidRDefault="007C583D" w:rsidP="002F4C95">
      <w:pPr>
        <w:pStyle w:val="EBBullet"/>
        <w:numPr>
          <w:ilvl w:val="0"/>
          <w:numId w:val="10"/>
        </w:numPr>
        <w:spacing w:line="259" w:lineRule="auto"/>
        <w:ind w:left="567" w:hanging="567"/>
        <w:jc w:val="both"/>
      </w:pPr>
      <w:r w:rsidRPr="00164412">
        <w:t>As discussed in paragraph</w:t>
      </w:r>
      <w:r w:rsidR="00EA5564">
        <w:t xml:space="preserve">s </w:t>
      </w:r>
      <w:r w:rsidR="00417089">
        <w:fldChar w:fldCharType="begin"/>
      </w:r>
      <w:r w:rsidR="00417089">
        <w:instrText xml:space="preserve"> REF _Ref176441459 \r \h </w:instrText>
      </w:r>
      <w:r w:rsidR="00417089">
        <w:fldChar w:fldCharType="separate"/>
      </w:r>
      <w:r w:rsidR="00D356B9">
        <w:t>53</w:t>
      </w:r>
      <w:r w:rsidR="00417089">
        <w:fldChar w:fldCharType="end"/>
      </w:r>
      <w:r w:rsidR="003105D4">
        <w:t xml:space="preserve"> to </w:t>
      </w:r>
      <w:r w:rsidR="00417089">
        <w:fldChar w:fldCharType="begin"/>
      </w:r>
      <w:r w:rsidR="00417089">
        <w:instrText xml:space="preserve"> REF _Ref176441461 \r \h </w:instrText>
      </w:r>
      <w:r w:rsidR="00417089">
        <w:fldChar w:fldCharType="separate"/>
      </w:r>
      <w:r w:rsidR="00D356B9">
        <w:t>54</w:t>
      </w:r>
      <w:r w:rsidR="00417089">
        <w:fldChar w:fldCharType="end"/>
      </w:r>
      <w:r w:rsidRPr="00164412">
        <w:t xml:space="preserve">, </w:t>
      </w:r>
      <w:r w:rsidR="000B6389" w:rsidRPr="00164412">
        <w:t xml:space="preserve">the definition of large business used in the </w:t>
      </w:r>
      <w:r w:rsidR="00241A63">
        <w:t>ECCT 2023</w:t>
      </w:r>
      <w:r w:rsidR="000B6389" w:rsidRPr="00164412">
        <w:t xml:space="preserve"> is different to the new definition in the </w:t>
      </w:r>
      <w:r w:rsidR="00C01495" w:rsidRPr="00164412">
        <w:t>“Medium sized business regulatory exemption assessment: supplementary guidance”</w:t>
      </w:r>
      <w:r w:rsidR="00815506" w:rsidRPr="00164412">
        <w:t>. Using the latter definition would lead to all businesses with fewer than 500 employees from being exempt</w:t>
      </w:r>
      <w:r w:rsidR="00B75DBA" w:rsidRPr="00164412">
        <w:t xml:space="preserve"> from the offence</w:t>
      </w:r>
      <w:r w:rsidR="00670305" w:rsidRPr="00164412">
        <w:t xml:space="preserve"> and would therefore be likely to significantly reduce the </w:t>
      </w:r>
      <w:r w:rsidR="00AA76A5">
        <w:t>intended effects of the FTPF measure.</w:t>
      </w:r>
    </w:p>
    <w:p w14:paraId="3D5D6FED" w14:textId="6FC71478" w:rsidR="0087027F" w:rsidRPr="00F6557B" w:rsidRDefault="008C0FFB" w:rsidP="002F4C95">
      <w:pPr>
        <w:pStyle w:val="EBBullet"/>
        <w:numPr>
          <w:ilvl w:val="0"/>
          <w:numId w:val="10"/>
        </w:numPr>
        <w:spacing w:line="259" w:lineRule="auto"/>
        <w:ind w:left="567" w:hanging="567"/>
        <w:jc w:val="both"/>
      </w:pPr>
      <w:r>
        <w:t>L</w:t>
      </w:r>
      <w:r w:rsidR="00A152C6" w:rsidRPr="00A152C6">
        <w:t xml:space="preserve">arge organisations </w:t>
      </w:r>
      <w:r>
        <w:t>may</w:t>
      </w:r>
      <w:r w:rsidR="00A152C6" w:rsidRPr="00A152C6">
        <w:t xml:space="preserve"> put contractual clauses on small ones that provide services for them or on their behalf.</w:t>
      </w:r>
      <w:r w:rsidR="00A152C6">
        <w:t xml:space="preserve"> This </w:t>
      </w:r>
      <w:r>
        <w:t>may</w:t>
      </w:r>
      <w:r w:rsidR="00A152C6">
        <w:t xml:space="preserve"> result in small and medium and micro-businesses </w:t>
      </w:r>
      <w:r w:rsidR="0067158A">
        <w:t xml:space="preserve">incurring </w:t>
      </w:r>
      <w:r w:rsidR="00D341D1">
        <w:t xml:space="preserve">some </w:t>
      </w:r>
      <w:r w:rsidR="0067158A">
        <w:t xml:space="preserve">costs </w:t>
      </w:r>
      <w:r w:rsidR="004A6E2B">
        <w:t>in relation to putting in place anti-fraud procedures.</w:t>
      </w:r>
      <w:r w:rsidR="00BA1CD6">
        <w:t xml:space="preserve"> </w:t>
      </w:r>
      <w:r w:rsidR="007C5E19">
        <w:t>The</w:t>
      </w:r>
      <w:r w:rsidR="00BA1CD6">
        <w:t xml:space="preserve"> associated costs </w:t>
      </w:r>
      <w:r w:rsidR="007C5E19">
        <w:t>are expected to</w:t>
      </w:r>
      <w:r w:rsidR="00BA1CD6">
        <w:t xml:space="preserve"> be low, since the anti-fraud procedures would be </w:t>
      </w:r>
      <w:r w:rsidR="00E50EB4">
        <w:t>re</w:t>
      </w:r>
      <w:r w:rsidR="00F92C97">
        <w:t>s</w:t>
      </w:r>
      <w:r w:rsidR="00E50EB4">
        <w:t xml:space="preserve">tricted to measures </w:t>
      </w:r>
      <w:r w:rsidR="00BA1CD6">
        <w:t xml:space="preserve">designed to prevent the contractors (the small companies) from committing fraud that benefits the </w:t>
      </w:r>
      <w:r w:rsidR="00E50EB4">
        <w:t>large organisation or its clients.</w:t>
      </w:r>
    </w:p>
    <w:p w14:paraId="279A12BD" w14:textId="0F7C8B0C" w:rsidR="0036372A" w:rsidRPr="00441AF5" w:rsidRDefault="007606C6" w:rsidP="002F4C95">
      <w:pPr>
        <w:pStyle w:val="EBBullet"/>
        <w:numPr>
          <w:ilvl w:val="0"/>
          <w:numId w:val="10"/>
        </w:numPr>
        <w:spacing w:line="259" w:lineRule="auto"/>
        <w:ind w:left="567" w:hanging="567"/>
        <w:jc w:val="both"/>
      </w:pPr>
      <w:r w:rsidRPr="00E81F14">
        <w:t>There</w:t>
      </w:r>
      <w:r>
        <w:t xml:space="preserve"> is a</w:t>
      </w:r>
      <w:r w:rsidR="0087027F">
        <w:t xml:space="preserve"> very</w:t>
      </w:r>
      <w:r>
        <w:t xml:space="preserve"> small risk that large organisations</w:t>
      </w:r>
      <w:r w:rsidR="00947963">
        <w:t xml:space="preserve"> in scope of this legislation</w:t>
      </w:r>
      <w:r>
        <w:t xml:space="preserve"> are </w:t>
      </w:r>
      <w:r w:rsidR="00052A89">
        <w:t>deterred</w:t>
      </w:r>
      <w:r>
        <w:t xml:space="preserve"> from engaging with organisations that are out of scope of this legislation.  </w:t>
      </w:r>
      <w:r w:rsidR="00947963">
        <w:t xml:space="preserve">Large </w:t>
      </w:r>
      <w:r>
        <w:t>organisations</w:t>
      </w:r>
      <w:r w:rsidR="00947963">
        <w:t xml:space="preserve"> in scope of this legislation could</w:t>
      </w:r>
      <w:r>
        <w:t xml:space="preserve"> perceiv</w:t>
      </w:r>
      <w:r w:rsidR="00947963">
        <w:t>e</w:t>
      </w:r>
      <w:r>
        <w:t xml:space="preserve"> those not covered by this legislation as more likely to pose a higher risk of fraud</w:t>
      </w:r>
      <w:r w:rsidR="00947963">
        <w:t xml:space="preserve">. </w:t>
      </w:r>
      <w:r>
        <w:t xml:space="preserve">This </w:t>
      </w:r>
      <w:r w:rsidR="00B87A1A">
        <w:t xml:space="preserve">could result in large organisations passing up </w:t>
      </w:r>
      <w:r w:rsidR="00D33CFB">
        <w:t>engagement with companies not covered by th</w:t>
      </w:r>
      <w:r w:rsidR="00946DEE">
        <w:t>is</w:t>
      </w:r>
      <w:r w:rsidR="00D33CFB">
        <w:t xml:space="preserve"> legislation</w:t>
      </w:r>
      <w:r w:rsidR="00983010">
        <w:t>,</w:t>
      </w:r>
      <w:r w:rsidR="00D33CFB">
        <w:t xml:space="preserve"> which do not have to put fraud procedures in place</w:t>
      </w:r>
      <w:r w:rsidR="00983010">
        <w:t>,</w:t>
      </w:r>
      <w:r w:rsidR="00E120D2">
        <w:t xml:space="preserve"> in favour of </w:t>
      </w:r>
      <w:r w:rsidR="00BF1B54">
        <w:t xml:space="preserve">companies which are </w:t>
      </w:r>
      <w:r w:rsidR="00582943">
        <w:t xml:space="preserve">covered by this legislation where the perceived risk of fraud could be </w:t>
      </w:r>
      <w:r w:rsidR="00582943" w:rsidDel="00D56990">
        <w:t>lower</w:t>
      </w:r>
      <w:r w:rsidR="00D56990">
        <w:t>.</w:t>
      </w:r>
      <w:r w:rsidR="00582943">
        <w:t xml:space="preserve"> </w:t>
      </w:r>
    </w:p>
    <w:bookmarkEnd w:id="24"/>
    <w:p w14:paraId="40BAE011" w14:textId="1922C319" w:rsidR="00B035F0" w:rsidRDefault="00B035F0">
      <w:pPr>
        <w:rPr>
          <w:rFonts w:cs="Arial"/>
          <w:sz w:val="22"/>
          <w:szCs w:val="22"/>
          <w:lang w:eastAsia="en-GB"/>
        </w:rPr>
      </w:pPr>
    </w:p>
    <w:p w14:paraId="6004C9E9" w14:textId="77777777" w:rsidR="00B035F0" w:rsidRPr="00441AF5" w:rsidRDefault="00B035F0" w:rsidP="00B035F0">
      <w:pPr>
        <w:pStyle w:val="EBBullet"/>
        <w:numPr>
          <w:ilvl w:val="0"/>
          <w:numId w:val="0"/>
        </w:numPr>
        <w:ind w:left="567"/>
        <w:jc w:val="both"/>
        <w:rPr>
          <w:color w:val="auto"/>
        </w:rPr>
      </w:pPr>
    </w:p>
    <w:p w14:paraId="08082E4B" w14:textId="77777777" w:rsidR="00B035F0" w:rsidRPr="00BF1262" w:rsidRDefault="00B035F0" w:rsidP="00B035F0">
      <w:pPr>
        <w:pStyle w:val="EBBullet"/>
        <w:numPr>
          <w:ilvl w:val="0"/>
          <w:numId w:val="4"/>
        </w:numPr>
        <w:ind w:left="567" w:hanging="567"/>
        <w:jc w:val="both"/>
        <w:rPr>
          <w:color w:val="auto"/>
          <w:sz w:val="28"/>
          <w:szCs w:val="28"/>
        </w:rPr>
      </w:pPr>
      <w:r w:rsidRPr="0029116F">
        <w:rPr>
          <w:b/>
          <w:color w:val="auto"/>
          <w:sz w:val="28"/>
          <w:szCs w:val="28"/>
        </w:rPr>
        <w:t>Proportionality</w:t>
      </w:r>
    </w:p>
    <w:p w14:paraId="3A1822F7" w14:textId="77777777" w:rsidR="00BF1262" w:rsidRPr="0029116F" w:rsidRDefault="00BF1262" w:rsidP="00BF1262">
      <w:pPr>
        <w:pStyle w:val="EBBullet"/>
        <w:numPr>
          <w:ilvl w:val="0"/>
          <w:numId w:val="0"/>
        </w:numPr>
        <w:jc w:val="both"/>
        <w:rPr>
          <w:color w:val="auto"/>
          <w:sz w:val="28"/>
          <w:szCs w:val="28"/>
        </w:rPr>
      </w:pPr>
    </w:p>
    <w:p w14:paraId="78492A3E" w14:textId="50EAE832" w:rsidR="00B035F0" w:rsidRPr="00441AF5" w:rsidRDefault="00B035F0" w:rsidP="00A55741">
      <w:pPr>
        <w:pStyle w:val="EBBullet"/>
        <w:numPr>
          <w:ilvl w:val="0"/>
          <w:numId w:val="10"/>
        </w:numPr>
        <w:spacing w:line="259" w:lineRule="auto"/>
        <w:ind w:left="567" w:hanging="567"/>
        <w:jc w:val="both"/>
      </w:pPr>
      <w:r w:rsidRPr="00441AF5">
        <w:t xml:space="preserve">Given the potential impacts, this IA follows a </w:t>
      </w:r>
      <w:r w:rsidR="007924FF" w:rsidRPr="00441AF5">
        <w:t>high evidence</w:t>
      </w:r>
      <w:r w:rsidRPr="00441AF5">
        <w:t xml:space="preserve"> approach as set out in Regulatory Policy Committee (RPC) guidance</w:t>
      </w:r>
      <w:r w:rsidRPr="00441AF5">
        <w:rPr>
          <w:rStyle w:val="FootnoteReference"/>
          <w:rFonts w:cs="Arial"/>
        </w:rPr>
        <w:footnoteReference w:id="96"/>
      </w:r>
      <w:r w:rsidRPr="00441AF5">
        <w:t xml:space="preserve">. This </w:t>
      </w:r>
      <w:r w:rsidR="007924FF" w:rsidRPr="00441AF5">
        <w:t>IA:</w:t>
      </w:r>
      <w:r w:rsidRPr="00441AF5">
        <w:t xml:space="preserve"> </w:t>
      </w:r>
    </w:p>
    <w:p w14:paraId="70AA5DAB" w14:textId="29E67354" w:rsidR="00B035F0" w:rsidRPr="00441AF5" w:rsidRDefault="00B035F0" w:rsidP="007335EA">
      <w:pPr>
        <w:pStyle w:val="ListParagraph"/>
        <w:numPr>
          <w:ilvl w:val="0"/>
          <w:numId w:val="17"/>
        </w:numPr>
        <w:spacing w:after="120" w:line="259" w:lineRule="auto"/>
        <w:ind w:left="1134" w:hanging="425"/>
        <w:contextualSpacing w:val="0"/>
        <w:jc w:val="both"/>
        <w:rPr>
          <w:rFonts w:cs="Arial"/>
          <w:sz w:val="22"/>
          <w:szCs w:val="22"/>
        </w:rPr>
      </w:pPr>
      <w:r w:rsidRPr="00441AF5">
        <w:rPr>
          <w:rFonts w:cs="Arial"/>
          <w:sz w:val="22"/>
          <w:szCs w:val="22"/>
        </w:rPr>
        <w:t>Clearly sets out the policy, the rationale for it and its objectives.</w:t>
      </w:r>
    </w:p>
    <w:p w14:paraId="52D859E3" w14:textId="27ACA235" w:rsidR="00B035F0" w:rsidRPr="00441AF5" w:rsidRDefault="00B035F0" w:rsidP="007335EA">
      <w:pPr>
        <w:pStyle w:val="ListParagraph"/>
        <w:numPr>
          <w:ilvl w:val="0"/>
          <w:numId w:val="17"/>
        </w:numPr>
        <w:spacing w:after="120" w:line="259" w:lineRule="auto"/>
        <w:ind w:left="1134" w:hanging="425"/>
        <w:contextualSpacing w:val="0"/>
        <w:jc w:val="both"/>
        <w:rPr>
          <w:rFonts w:cs="Arial"/>
          <w:sz w:val="22"/>
          <w:szCs w:val="22"/>
        </w:rPr>
      </w:pPr>
      <w:r w:rsidRPr="00441AF5">
        <w:rPr>
          <w:rFonts w:cs="Arial"/>
          <w:sz w:val="22"/>
          <w:szCs w:val="22"/>
        </w:rPr>
        <w:t>Sets out how organisations would be affected and monetised these where possible and fully set out how these were modelled with assumptions used.</w:t>
      </w:r>
      <w:r w:rsidR="00D73C85" w:rsidRPr="00441AF5">
        <w:rPr>
          <w:rFonts w:cs="Arial"/>
          <w:sz w:val="22"/>
          <w:szCs w:val="22"/>
        </w:rPr>
        <w:t xml:space="preserve"> </w:t>
      </w:r>
    </w:p>
    <w:p w14:paraId="50FD418A" w14:textId="77FAD5B5" w:rsidR="00B035F0" w:rsidRPr="00441AF5" w:rsidRDefault="00B035F0" w:rsidP="007335EA">
      <w:pPr>
        <w:pStyle w:val="ListParagraph"/>
        <w:numPr>
          <w:ilvl w:val="0"/>
          <w:numId w:val="17"/>
        </w:numPr>
        <w:spacing w:after="120" w:line="259" w:lineRule="auto"/>
        <w:ind w:left="1134" w:hanging="425"/>
        <w:contextualSpacing w:val="0"/>
        <w:jc w:val="both"/>
        <w:rPr>
          <w:rFonts w:cs="Arial"/>
          <w:sz w:val="22"/>
          <w:szCs w:val="22"/>
        </w:rPr>
      </w:pPr>
      <w:r w:rsidRPr="00441AF5">
        <w:rPr>
          <w:rFonts w:cs="Arial"/>
          <w:sz w:val="22"/>
          <w:szCs w:val="22"/>
        </w:rPr>
        <w:t xml:space="preserve">Drawn on existing data sources, for example, Companies House through </w:t>
      </w:r>
      <w:r w:rsidR="00700769" w:rsidRPr="00441AF5">
        <w:rPr>
          <w:rFonts w:cs="Arial"/>
          <w:sz w:val="22"/>
          <w:szCs w:val="22"/>
        </w:rPr>
        <w:t>Fame</w:t>
      </w:r>
      <w:r w:rsidR="00542600" w:rsidRPr="00441AF5">
        <w:rPr>
          <w:rStyle w:val="FootnoteReference"/>
          <w:rFonts w:cs="Arial"/>
          <w:szCs w:val="22"/>
        </w:rPr>
        <w:footnoteReference w:id="97"/>
      </w:r>
      <w:r w:rsidRPr="00441AF5">
        <w:rPr>
          <w:rFonts w:cs="Arial"/>
          <w:sz w:val="22"/>
          <w:szCs w:val="22"/>
        </w:rPr>
        <w:t xml:space="preserve"> and BPE.</w:t>
      </w:r>
    </w:p>
    <w:p w14:paraId="1EC83070" w14:textId="77777777" w:rsidR="00B035F0" w:rsidRPr="00441AF5" w:rsidRDefault="00B035F0" w:rsidP="007335EA">
      <w:pPr>
        <w:pStyle w:val="ListParagraph"/>
        <w:numPr>
          <w:ilvl w:val="0"/>
          <w:numId w:val="17"/>
        </w:numPr>
        <w:spacing w:after="120" w:line="259" w:lineRule="auto"/>
        <w:ind w:left="1134" w:hanging="425"/>
        <w:contextualSpacing w:val="0"/>
        <w:jc w:val="both"/>
        <w:rPr>
          <w:rFonts w:cs="Arial"/>
          <w:sz w:val="22"/>
          <w:szCs w:val="22"/>
        </w:rPr>
      </w:pPr>
      <w:r w:rsidRPr="00441AF5">
        <w:rPr>
          <w:rFonts w:cs="Arial"/>
          <w:sz w:val="22"/>
          <w:szCs w:val="22"/>
        </w:rPr>
        <w:t xml:space="preserve">Given the circumstances of the measure’s introduction it has not been possible to test assumptions with stakeholders. However, costs have been tested against the costs of comparable measures and scenario analysis has been used to show the impacts of changing assumptions. </w:t>
      </w:r>
    </w:p>
    <w:p w14:paraId="00F70259" w14:textId="4390B319" w:rsidR="00B035F0" w:rsidRPr="00441AF5" w:rsidRDefault="00B035F0" w:rsidP="007335EA">
      <w:pPr>
        <w:pStyle w:val="ListParagraph"/>
        <w:numPr>
          <w:ilvl w:val="0"/>
          <w:numId w:val="17"/>
        </w:numPr>
        <w:spacing w:after="120" w:line="259" w:lineRule="auto"/>
        <w:ind w:left="1134" w:hanging="425"/>
        <w:contextualSpacing w:val="0"/>
        <w:jc w:val="both"/>
        <w:rPr>
          <w:rFonts w:cs="Arial"/>
          <w:sz w:val="22"/>
          <w:szCs w:val="22"/>
        </w:rPr>
      </w:pPr>
      <w:r w:rsidRPr="00441AF5">
        <w:rPr>
          <w:rFonts w:cs="Arial"/>
          <w:sz w:val="22"/>
          <w:szCs w:val="22"/>
        </w:rPr>
        <w:t xml:space="preserve">Clearly states where impacts are direct or indirect and whether they fall within scope of the EANDCB (see table </w:t>
      </w:r>
      <w:r w:rsidR="007315C5">
        <w:rPr>
          <w:rFonts w:cs="Arial"/>
          <w:sz w:val="22"/>
          <w:szCs w:val="22"/>
        </w:rPr>
        <w:t>1</w:t>
      </w:r>
      <w:r w:rsidR="00325F43">
        <w:rPr>
          <w:rFonts w:cs="Arial"/>
          <w:sz w:val="22"/>
          <w:szCs w:val="22"/>
        </w:rPr>
        <w:t>9</w:t>
      </w:r>
      <w:r w:rsidRPr="00441AF5">
        <w:rPr>
          <w:rFonts w:cs="Arial"/>
          <w:sz w:val="22"/>
          <w:szCs w:val="22"/>
        </w:rPr>
        <w:t xml:space="preserve">). </w:t>
      </w:r>
    </w:p>
    <w:p w14:paraId="1F21B2A7" w14:textId="1E8954CB" w:rsidR="00B035F0" w:rsidRPr="00441AF5" w:rsidRDefault="00B035F0" w:rsidP="007335EA">
      <w:pPr>
        <w:pStyle w:val="ListParagraph"/>
        <w:numPr>
          <w:ilvl w:val="0"/>
          <w:numId w:val="17"/>
        </w:numPr>
        <w:spacing w:after="120" w:line="259" w:lineRule="auto"/>
        <w:ind w:left="1134" w:hanging="425"/>
        <w:contextualSpacing w:val="0"/>
        <w:jc w:val="both"/>
        <w:rPr>
          <w:rFonts w:cs="Arial"/>
          <w:sz w:val="22"/>
          <w:szCs w:val="22"/>
        </w:rPr>
      </w:pPr>
      <w:r w:rsidRPr="00441AF5">
        <w:rPr>
          <w:rFonts w:cs="Arial"/>
          <w:sz w:val="22"/>
          <w:szCs w:val="22"/>
        </w:rPr>
        <w:t xml:space="preserve">Sets out how the Home Office envisages the benefits will be realised. Given </w:t>
      </w:r>
      <w:r w:rsidR="0011355C" w:rsidRPr="00441AF5">
        <w:rPr>
          <w:rFonts w:cs="Arial"/>
          <w:sz w:val="22"/>
          <w:szCs w:val="22"/>
        </w:rPr>
        <w:t>the</w:t>
      </w:r>
      <w:r w:rsidRPr="00441AF5">
        <w:rPr>
          <w:rFonts w:cs="Arial"/>
          <w:sz w:val="22"/>
          <w:szCs w:val="22"/>
        </w:rPr>
        <w:t xml:space="preserve"> </w:t>
      </w:r>
      <w:r w:rsidR="002C6A07">
        <w:rPr>
          <w:rFonts w:cs="Arial"/>
          <w:sz w:val="22"/>
          <w:szCs w:val="22"/>
        </w:rPr>
        <w:t>absence</w:t>
      </w:r>
      <w:r w:rsidR="002C6A07" w:rsidRPr="00441AF5">
        <w:rPr>
          <w:rFonts w:cs="Arial"/>
          <w:sz w:val="22"/>
          <w:szCs w:val="22"/>
        </w:rPr>
        <w:t xml:space="preserve"> </w:t>
      </w:r>
      <w:r w:rsidRPr="00441AF5">
        <w:rPr>
          <w:rFonts w:cs="Arial"/>
          <w:sz w:val="22"/>
          <w:szCs w:val="22"/>
        </w:rPr>
        <w:t>of data, quantification of the benefits was not possible.</w:t>
      </w:r>
    </w:p>
    <w:p w14:paraId="3135883E" w14:textId="77777777" w:rsidR="00596E1C" w:rsidRPr="00441AF5" w:rsidRDefault="00596E1C" w:rsidP="006878B4">
      <w:pPr>
        <w:pStyle w:val="EBBullet"/>
        <w:numPr>
          <w:ilvl w:val="0"/>
          <w:numId w:val="0"/>
        </w:numPr>
        <w:spacing w:line="259" w:lineRule="auto"/>
        <w:ind w:left="567" w:hanging="567"/>
        <w:jc w:val="both"/>
        <w:rPr>
          <w:color w:val="auto"/>
        </w:rPr>
      </w:pPr>
    </w:p>
    <w:p w14:paraId="3C0912C0" w14:textId="72E2542A" w:rsidR="00686F5E" w:rsidRPr="0029116F" w:rsidRDefault="00686F5E" w:rsidP="006878B4">
      <w:pPr>
        <w:pStyle w:val="EBBullet"/>
        <w:numPr>
          <w:ilvl w:val="0"/>
          <w:numId w:val="4"/>
        </w:numPr>
        <w:spacing w:line="259" w:lineRule="auto"/>
        <w:ind w:left="567" w:hanging="567"/>
        <w:jc w:val="both"/>
        <w:rPr>
          <w:color w:val="auto"/>
          <w:sz w:val="28"/>
          <w:szCs w:val="28"/>
        </w:rPr>
      </w:pPr>
      <w:r w:rsidRPr="0029116F">
        <w:rPr>
          <w:b/>
          <w:color w:val="auto"/>
          <w:sz w:val="28"/>
          <w:szCs w:val="28"/>
        </w:rPr>
        <w:t>Risks</w:t>
      </w:r>
    </w:p>
    <w:p w14:paraId="3F0247C7" w14:textId="55886C0B" w:rsidR="00FB311F" w:rsidRPr="00441AF5" w:rsidRDefault="00FB311F" w:rsidP="006878B4">
      <w:pPr>
        <w:pStyle w:val="EBBullet"/>
        <w:numPr>
          <w:ilvl w:val="0"/>
          <w:numId w:val="0"/>
        </w:numPr>
        <w:spacing w:line="259" w:lineRule="auto"/>
        <w:ind w:left="567" w:hanging="567"/>
        <w:jc w:val="both"/>
        <w:rPr>
          <w:color w:val="auto"/>
        </w:rPr>
      </w:pPr>
    </w:p>
    <w:p w14:paraId="0E9CF1AA" w14:textId="4A2DF0B7" w:rsidR="00766CBB" w:rsidRPr="00441AF5" w:rsidRDefault="000C05E5" w:rsidP="006878B4">
      <w:pPr>
        <w:spacing w:after="120" w:line="259" w:lineRule="auto"/>
        <w:ind w:left="567" w:hanging="567"/>
        <w:jc w:val="both"/>
        <w:rPr>
          <w:rFonts w:cs="Arial"/>
          <w:b/>
          <w:bCs/>
          <w:sz w:val="22"/>
          <w:szCs w:val="22"/>
        </w:rPr>
      </w:pPr>
      <w:r w:rsidRPr="00441AF5">
        <w:rPr>
          <w:rFonts w:cs="Arial"/>
          <w:b/>
          <w:bCs/>
          <w:sz w:val="22"/>
          <w:szCs w:val="22"/>
        </w:rPr>
        <w:t>Economic and analytical r</w:t>
      </w:r>
      <w:r w:rsidR="00B736E1" w:rsidRPr="00441AF5">
        <w:rPr>
          <w:rFonts w:cs="Arial"/>
          <w:b/>
          <w:bCs/>
          <w:sz w:val="22"/>
          <w:szCs w:val="22"/>
        </w:rPr>
        <w:t>isks</w:t>
      </w:r>
      <w:r w:rsidRPr="00441AF5">
        <w:rPr>
          <w:rFonts w:cs="Arial"/>
          <w:b/>
          <w:bCs/>
          <w:sz w:val="22"/>
          <w:szCs w:val="22"/>
        </w:rPr>
        <w:t>,</w:t>
      </w:r>
      <w:r w:rsidR="00B736E1" w:rsidRPr="00441AF5">
        <w:rPr>
          <w:rFonts w:cs="Arial"/>
          <w:b/>
          <w:bCs/>
          <w:sz w:val="22"/>
          <w:szCs w:val="22"/>
        </w:rPr>
        <w:t xml:space="preserve"> and uncertainties</w:t>
      </w:r>
    </w:p>
    <w:p w14:paraId="28354024" w14:textId="1586AED7" w:rsidR="006D0443" w:rsidRPr="00441AF5" w:rsidRDefault="006D0443" w:rsidP="00920D27">
      <w:pPr>
        <w:pStyle w:val="EBBullet"/>
        <w:numPr>
          <w:ilvl w:val="0"/>
          <w:numId w:val="10"/>
        </w:numPr>
        <w:spacing w:line="259" w:lineRule="auto"/>
        <w:jc w:val="both"/>
      </w:pPr>
      <w:r w:rsidRPr="00441AF5">
        <w:t xml:space="preserve">The biggest risk is the inability to quantify the benefits of introducing a </w:t>
      </w:r>
      <w:r w:rsidR="00612DC8">
        <w:t>FTPF</w:t>
      </w:r>
      <w:r w:rsidRPr="00441AF5">
        <w:t xml:space="preserve"> offence. </w:t>
      </w:r>
    </w:p>
    <w:p w14:paraId="2E746483" w14:textId="03D63E71" w:rsidR="006D0443" w:rsidRPr="00441AF5" w:rsidRDefault="00123220" w:rsidP="00A55741">
      <w:pPr>
        <w:pStyle w:val="EBBullet"/>
        <w:numPr>
          <w:ilvl w:val="0"/>
          <w:numId w:val="10"/>
        </w:numPr>
        <w:spacing w:line="259" w:lineRule="auto"/>
        <w:ind w:left="567" w:hanging="567"/>
        <w:jc w:val="both"/>
      </w:pPr>
      <w:r>
        <w:t xml:space="preserve">Not being able to estimate </w:t>
      </w:r>
      <w:r w:rsidR="006E7DE7">
        <w:t xml:space="preserve">CJS costs is a risk. </w:t>
      </w:r>
      <w:r w:rsidR="0011355C" w:rsidRPr="00441AF5">
        <w:t>The CJS</w:t>
      </w:r>
      <w:r w:rsidR="006D0443" w:rsidRPr="00441AF5">
        <w:t xml:space="preserve"> costs: </w:t>
      </w:r>
      <w:r w:rsidR="00624796" w:rsidRPr="00441AF5">
        <w:t>d</w:t>
      </w:r>
      <w:r w:rsidR="006D0443" w:rsidRPr="00441AF5">
        <w:t>ue to a</w:t>
      </w:r>
      <w:r w:rsidR="00612DC8">
        <w:t>n absence</w:t>
      </w:r>
      <w:r w:rsidR="006D0443" w:rsidRPr="00441AF5">
        <w:t xml:space="preserve"> of evidence on potential volumes, this has not been estimated. The Home Office expects case volumes and therefore </w:t>
      </w:r>
      <w:r w:rsidR="0011355C" w:rsidRPr="00441AF5">
        <w:t>CJS</w:t>
      </w:r>
      <w:r w:rsidR="006D0443" w:rsidRPr="00441AF5">
        <w:t xml:space="preserve"> costs to be low. </w:t>
      </w:r>
    </w:p>
    <w:p w14:paraId="7B6AF3CF" w14:textId="77777777" w:rsidR="00A36EEC" w:rsidRDefault="006D0443" w:rsidP="00A55741">
      <w:pPr>
        <w:pStyle w:val="EBBullet"/>
        <w:numPr>
          <w:ilvl w:val="0"/>
          <w:numId w:val="10"/>
        </w:numPr>
        <w:spacing w:line="259" w:lineRule="auto"/>
        <w:ind w:left="567" w:hanging="567"/>
        <w:jc w:val="both"/>
      </w:pPr>
      <w:r w:rsidRPr="00441AF5">
        <w:t xml:space="preserve">Without enforcement a partial adoption of these measures is possible. The analysis assumes that all companies will put measures in place and thus carry costs of doing so. </w:t>
      </w:r>
      <w:r w:rsidR="00B57A9C">
        <w:t>I</w:t>
      </w:r>
      <w:r w:rsidRPr="00441AF5">
        <w:t>t is possible some organisations may choose not to put precautions and checks in place. This would reduce both the cost to business and the benefits from a cultural shift outlined</w:t>
      </w:r>
      <w:r w:rsidR="003C6E8F">
        <w:t xml:space="preserve"> above</w:t>
      </w:r>
      <w:r w:rsidRPr="00441AF5">
        <w:t xml:space="preserve">. </w:t>
      </w:r>
    </w:p>
    <w:p w14:paraId="718E3FBA" w14:textId="7A75DDDF" w:rsidR="00AE2239" w:rsidRPr="00742742" w:rsidRDefault="00AE2239" w:rsidP="00A55741">
      <w:pPr>
        <w:pStyle w:val="EBBullet"/>
        <w:numPr>
          <w:ilvl w:val="0"/>
          <w:numId w:val="10"/>
        </w:numPr>
        <w:spacing w:line="259" w:lineRule="auto"/>
        <w:ind w:hanging="549"/>
        <w:jc w:val="both"/>
      </w:pPr>
      <w:r w:rsidRPr="00A36EEC">
        <w:t xml:space="preserve">Whilst the ECS is the best </w:t>
      </w:r>
      <w:r w:rsidR="00742742" w:rsidRPr="00A36EEC">
        <w:t>available</w:t>
      </w:r>
      <w:r w:rsidRPr="00A36EEC">
        <w:t xml:space="preserve"> evidence for </w:t>
      </w:r>
      <w:r w:rsidR="00742742" w:rsidRPr="00A36EEC">
        <w:t>estimating</w:t>
      </w:r>
      <w:r w:rsidRPr="00A36EEC">
        <w:t xml:space="preserve"> the proportion of organisations that have </w:t>
      </w:r>
      <w:r w:rsidR="00742742" w:rsidRPr="00A36EEC">
        <w:t>existing</w:t>
      </w:r>
      <w:r w:rsidRPr="00A36EEC">
        <w:t xml:space="preserve"> fraud prevention measures</w:t>
      </w:r>
      <w:r w:rsidR="00101D66">
        <w:t>, t</w:t>
      </w:r>
      <w:r w:rsidRPr="00A36EEC">
        <w:t xml:space="preserve">here are </w:t>
      </w:r>
      <w:r w:rsidR="008A43D4">
        <w:t>four</w:t>
      </w:r>
      <w:r w:rsidR="008A43D4" w:rsidRPr="00A36EEC">
        <w:t xml:space="preserve"> </w:t>
      </w:r>
      <w:r w:rsidRPr="00A36EEC">
        <w:t>main risks arising from the use of ECS</w:t>
      </w:r>
      <w:r w:rsidR="00A36EEC" w:rsidRPr="00A36EEC">
        <w:t>:</w:t>
      </w:r>
      <w:r w:rsidR="00CD717B">
        <w:t xml:space="preserve"> (1)</w:t>
      </w:r>
      <w:r w:rsidR="00A36EEC" w:rsidRPr="00A36EEC">
        <w:t xml:space="preserve"> The ECS dates from 2020 and may be outdated despite being the most recent data available</w:t>
      </w:r>
      <w:r w:rsidR="00A36EEC">
        <w:t xml:space="preserve">, </w:t>
      </w:r>
      <w:r w:rsidR="00CD717B">
        <w:t xml:space="preserve">(2) </w:t>
      </w:r>
      <w:r w:rsidR="00A36EEC">
        <w:t>t</w:t>
      </w:r>
      <w:r w:rsidR="00A36EEC" w:rsidRPr="00A36EEC">
        <w:t xml:space="preserve">he results cover the full range of </w:t>
      </w:r>
      <w:r w:rsidR="00742742" w:rsidRPr="00A36EEC">
        <w:t>organisational</w:t>
      </w:r>
      <w:r w:rsidR="00A36EEC" w:rsidRPr="00A36EEC">
        <w:t xml:space="preserve"> sizes and may not be representative </w:t>
      </w:r>
      <w:r w:rsidR="00A36EEC">
        <w:t>for</w:t>
      </w:r>
      <w:r w:rsidR="00A36EEC" w:rsidRPr="00A36EEC">
        <w:t xml:space="preserve"> the just the large and largest organisations</w:t>
      </w:r>
      <w:r w:rsidR="00F9615F">
        <w:t xml:space="preserve"> that are</w:t>
      </w:r>
      <w:r w:rsidR="00A36EEC" w:rsidRPr="00A36EEC">
        <w:t xml:space="preserve"> in scope of this legislatio</w:t>
      </w:r>
      <w:r w:rsidR="00F9615F">
        <w:t>n</w:t>
      </w:r>
      <w:r w:rsidR="008A43D4">
        <w:t>,</w:t>
      </w:r>
      <w:r w:rsidR="004A0574">
        <w:t>(3)</w:t>
      </w:r>
      <w:r w:rsidR="00F9615F">
        <w:t xml:space="preserve"> that </w:t>
      </w:r>
      <w:r w:rsidR="00A36EEC" w:rsidRPr="00F9615F">
        <w:t xml:space="preserve">the proportion of companies that have anti-fraud measures and anti-fraud training in place are not accurate proxies from which to </w:t>
      </w:r>
      <w:r w:rsidR="00742742" w:rsidRPr="00F9615F">
        <w:t>estimate</w:t>
      </w:r>
      <w:r w:rsidR="00A36EEC" w:rsidRPr="00F9615F">
        <w:t xml:space="preserve"> low and central scenarios from</w:t>
      </w:r>
      <w:r w:rsidR="008A43D4">
        <w:t xml:space="preserve"> and (4) the </w:t>
      </w:r>
      <w:r w:rsidR="00A77615">
        <w:t xml:space="preserve">fraud prevention measures </w:t>
      </w:r>
      <w:r w:rsidR="00130A16">
        <w:t xml:space="preserve">that </w:t>
      </w:r>
      <w:r w:rsidR="004D1147">
        <w:t xml:space="preserve">some </w:t>
      </w:r>
      <w:r w:rsidR="00130A16">
        <w:t xml:space="preserve">companies report having </w:t>
      </w:r>
      <w:r w:rsidR="00A77615">
        <w:t>in the ECS</w:t>
      </w:r>
      <w:r w:rsidR="0044470F">
        <w:t xml:space="preserve"> does not </w:t>
      </w:r>
      <w:r w:rsidR="004D1147">
        <w:t xml:space="preserve">cover </w:t>
      </w:r>
      <w:r w:rsidR="00A77615">
        <w:t xml:space="preserve">fraud committed </w:t>
      </w:r>
      <w:r w:rsidR="00130A16">
        <w:t>for the benefit of the organisation</w:t>
      </w:r>
      <w:r w:rsidR="0044470F">
        <w:t>,</w:t>
      </w:r>
      <w:r w:rsidR="00130A16">
        <w:t xml:space="preserve"> therefore</w:t>
      </w:r>
      <w:r w:rsidR="009B2E4C">
        <w:t xml:space="preserve"> </w:t>
      </w:r>
      <w:r w:rsidR="004D1147">
        <w:t>the</w:t>
      </w:r>
      <w:r w:rsidR="148E409A">
        <w:t>y</w:t>
      </w:r>
      <w:r w:rsidR="004D1147">
        <w:t xml:space="preserve"> </w:t>
      </w:r>
      <w:r w:rsidR="009B2E4C">
        <w:t xml:space="preserve">do not accurately reflect </w:t>
      </w:r>
      <w:r w:rsidR="0044470F">
        <w:t xml:space="preserve">the measures that would align </w:t>
      </w:r>
      <w:r w:rsidR="004D1147">
        <w:t>with the guidance</w:t>
      </w:r>
      <w:r w:rsidR="00B95F8B">
        <w:t>.</w:t>
      </w:r>
      <w:r w:rsidR="00761C24">
        <w:t xml:space="preserve"> </w:t>
      </w:r>
      <w:r w:rsidRPr="00761C24">
        <w:t>The impact of these risks could be that the estimates of the low and best cost scenarios</w:t>
      </w:r>
      <w:r w:rsidR="00761C24" w:rsidRPr="00761C24">
        <w:t xml:space="preserve"> are</w:t>
      </w:r>
      <w:r w:rsidRPr="00761C24">
        <w:t xml:space="preserve"> not accurate. Consequently, sensitivity analysis has been conducted to demonstrate</w:t>
      </w:r>
      <w:r w:rsidR="00D16BD5" w:rsidRPr="00761C24">
        <w:t xml:space="preserve"> how</w:t>
      </w:r>
      <w:r w:rsidRPr="00761C24">
        <w:t xml:space="preserve"> the </w:t>
      </w:r>
      <w:r w:rsidRPr="00761C24">
        <w:lastRenderedPageBreak/>
        <w:t xml:space="preserve">overall cost of implementing the FTFP </w:t>
      </w:r>
      <w:r w:rsidR="005D6D0A" w:rsidRPr="00761C24">
        <w:t xml:space="preserve">could </w:t>
      </w:r>
      <w:r w:rsidR="00D16BD5" w:rsidRPr="00761C24">
        <w:t>change</w:t>
      </w:r>
      <w:r w:rsidR="005D6D0A" w:rsidRPr="00761C24">
        <w:t xml:space="preserve"> if </w:t>
      </w:r>
      <w:r w:rsidR="007924FF" w:rsidRPr="00761C24">
        <w:t>the proportion</w:t>
      </w:r>
      <w:r w:rsidRPr="00761C24">
        <w:t xml:space="preserve"> of companies</w:t>
      </w:r>
      <w:r w:rsidR="00B3698A" w:rsidRPr="00761C24">
        <w:t xml:space="preserve"> that</w:t>
      </w:r>
      <w:r w:rsidRPr="00761C24">
        <w:t xml:space="preserve"> need to put in place sufficient measures</w:t>
      </w:r>
      <w:r w:rsidR="00FB025E">
        <w:t xml:space="preserve"> </w:t>
      </w:r>
      <w:r w:rsidR="009774FF">
        <w:t xml:space="preserve">varied from the scenarios. </w:t>
      </w:r>
    </w:p>
    <w:p w14:paraId="681C4F50" w14:textId="4A53C8F8" w:rsidR="006D11C1" w:rsidRPr="00742742" w:rsidRDefault="006D11C1" w:rsidP="000D4708">
      <w:pPr>
        <w:pStyle w:val="EBBullet"/>
        <w:numPr>
          <w:ilvl w:val="0"/>
          <w:numId w:val="10"/>
        </w:numPr>
        <w:spacing w:line="259" w:lineRule="auto"/>
        <w:ind w:left="567" w:hanging="567"/>
        <w:jc w:val="both"/>
      </w:pPr>
      <w:r>
        <w:t xml:space="preserve">A </w:t>
      </w:r>
      <w:r w:rsidR="00C5366D">
        <w:t xml:space="preserve">significant risk is </w:t>
      </w:r>
      <w:r w:rsidR="003F325A">
        <w:t>that the</w:t>
      </w:r>
      <w:r w:rsidR="00221150">
        <w:t xml:space="preserve"> IA was</w:t>
      </w:r>
      <w:r w:rsidR="003F325A">
        <w:t xml:space="preserve"> </w:t>
      </w:r>
      <w:r w:rsidR="00221150">
        <w:t>finished</w:t>
      </w:r>
      <w:r w:rsidR="003F325A">
        <w:t xml:space="preserve"> before the </w:t>
      </w:r>
      <w:r w:rsidR="00221150">
        <w:t xml:space="preserve">guidance for the legislation </w:t>
      </w:r>
      <w:r w:rsidR="00955DDF">
        <w:t>has been produced and published</w:t>
      </w:r>
      <w:r w:rsidR="00221150">
        <w:t xml:space="preserve">. This means that </w:t>
      </w:r>
      <w:r w:rsidR="00955DDF">
        <w:t>there is a risk that there is a misalignment between the IA and the guidance. Th</w:t>
      </w:r>
      <w:r w:rsidR="00A21574">
        <w:t xml:space="preserve">is risk is mitigated by drawing guidance from </w:t>
      </w:r>
      <w:r w:rsidR="005E3D4A">
        <w:t>existing</w:t>
      </w:r>
      <w:r w:rsidR="00A21574">
        <w:t xml:space="preserve"> failure to prevent legislation</w:t>
      </w:r>
      <w:r w:rsidR="00506E8A">
        <w:t xml:space="preserve">- taking the assumption that the guidance for the failure to prevent fraud offence will be similar. </w:t>
      </w:r>
      <w:r w:rsidR="00185E0A">
        <w:t xml:space="preserve">However, there is a remaining risk that the guidance deviates from </w:t>
      </w:r>
      <w:r w:rsidR="004B7351">
        <w:t>previous</w:t>
      </w:r>
      <w:r w:rsidR="00987FB6">
        <w:t xml:space="preserve"> guidance for</w:t>
      </w:r>
      <w:r w:rsidR="001D1505">
        <w:t xml:space="preserve"> other</w:t>
      </w:r>
      <w:r w:rsidR="004B7351">
        <w:t xml:space="preserve"> failure to prevent offences. This risk has been </w:t>
      </w:r>
      <w:r w:rsidR="00893601">
        <w:t>mitigated</w:t>
      </w:r>
      <w:r w:rsidR="004B7351">
        <w:t xml:space="preserve"> by including additional sensitivity analysis to understand the impact of </w:t>
      </w:r>
      <w:r w:rsidR="00893601">
        <w:t xml:space="preserve">changes to the assumptions on the overall estimates. Additionally, the post implementation review will specifically </w:t>
      </w:r>
      <w:r w:rsidR="00CA5328">
        <w:t xml:space="preserve">evaluate the validity of the assumptions following the </w:t>
      </w:r>
      <w:r w:rsidR="001D1505">
        <w:t>guidance being published</w:t>
      </w:r>
      <w:r w:rsidR="00CA5328">
        <w:t xml:space="preserve"> and any impacts of this on the overall NPSV of this policy.</w:t>
      </w:r>
    </w:p>
    <w:p w14:paraId="213036D4" w14:textId="60020D1C" w:rsidR="00542E94" w:rsidRDefault="004B047A" w:rsidP="000D4708">
      <w:pPr>
        <w:pStyle w:val="EBBullet"/>
        <w:numPr>
          <w:ilvl w:val="0"/>
          <w:numId w:val="10"/>
        </w:numPr>
        <w:spacing w:line="259" w:lineRule="auto"/>
        <w:ind w:left="567" w:hanging="567"/>
        <w:jc w:val="both"/>
      </w:pPr>
      <w:r>
        <w:t xml:space="preserve">This risk is compounded by the inability to </w:t>
      </w:r>
      <w:r w:rsidR="00E1324C">
        <w:t>test assumptions with stakeholders</w:t>
      </w:r>
      <w:r w:rsidR="008D410B">
        <w:t>, as would usually be expected,</w:t>
      </w:r>
      <w:r w:rsidR="00E1324C">
        <w:t xml:space="preserve"> due to th</w:t>
      </w:r>
      <w:r w:rsidR="008D410B">
        <w:t>e</w:t>
      </w:r>
      <w:r w:rsidR="00851DC5">
        <w:t xml:space="preserve"> guidance</w:t>
      </w:r>
      <w:r w:rsidR="008D410B">
        <w:t xml:space="preserve"> not being published at the time of writing</w:t>
      </w:r>
      <w:r w:rsidR="00643058">
        <w:t xml:space="preserve"> this IA</w:t>
      </w:r>
      <w:r w:rsidR="008D410B">
        <w:t xml:space="preserve">. </w:t>
      </w:r>
      <w:r w:rsidR="00AB7624">
        <w:t>The risk pre</w:t>
      </w:r>
      <w:r w:rsidR="000D029A">
        <w:t xml:space="preserve">sented </w:t>
      </w:r>
      <w:r w:rsidR="00162AC7">
        <w:t xml:space="preserve">by this </w:t>
      </w:r>
      <w:r w:rsidR="000D029A">
        <w:t>was mitigated though</w:t>
      </w:r>
      <w:r w:rsidR="000664A8">
        <w:t xml:space="preserve"> </w:t>
      </w:r>
      <w:r w:rsidR="00F4304A">
        <w:t>transparency</w:t>
      </w:r>
      <w:r w:rsidR="000664A8">
        <w:t xml:space="preserve"> </w:t>
      </w:r>
      <w:r w:rsidR="00F73D52">
        <w:t>in</w:t>
      </w:r>
      <w:r w:rsidR="000664A8">
        <w:t xml:space="preserve"> the evidence</w:t>
      </w:r>
      <w:r w:rsidR="005A19CF">
        <w:t xml:space="preserve"> a</w:t>
      </w:r>
      <w:r w:rsidR="0053228E">
        <w:t>nd rationale</w:t>
      </w:r>
      <w:r w:rsidR="000664A8">
        <w:t xml:space="preserve"> behind the</w:t>
      </w:r>
      <w:r w:rsidR="00F4304A">
        <w:t xml:space="preserve"> generation</w:t>
      </w:r>
      <w:r w:rsidR="00F73D52">
        <w:t xml:space="preserve"> of the</w:t>
      </w:r>
      <w:r w:rsidR="000664A8">
        <w:t xml:space="preserve"> assumptions</w:t>
      </w:r>
      <w:r w:rsidR="00F4304A">
        <w:t xml:space="preserve"> </w:t>
      </w:r>
      <w:r w:rsidR="003A2C42">
        <w:t xml:space="preserve">- </w:t>
      </w:r>
      <w:r w:rsidR="00557701">
        <w:t>that</w:t>
      </w:r>
      <w:r w:rsidR="00564D8F">
        <w:t xml:space="preserve"> they have been drawn from </w:t>
      </w:r>
      <w:r w:rsidR="005E3D4A">
        <w:t>existing</w:t>
      </w:r>
      <w:r w:rsidR="00564D8F">
        <w:t xml:space="preserve"> failure to prevent offences</w:t>
      </w:r>
      <w:r w:rsidR="00F4304A">
        <w:t>. Alongside this,</w:t>
      </w:r>
      <w:r w:rsidR="00564D8F">
        <w:t xml:space="preserve"> </w:t>
      </w:r>
      <w:r w:rsidR="006C54B2">
        <w:t xml:space="preserve">sensitivity analysis of </w:t>
      </w:r>
      <w:r w:rsidR="00F4304A">
        <w:t>has been undertaken</w:t>
      </w:r>
      <w:r w:rsidR="006C54B2">
        <w:t xml:space="preserve"> to understand the </w:t>
      </w:r>
      <w:r w:rsidR="00A109E7">
        <w:t xml:space="preserve">impact </w:t>
      </w:r>
      <w:r w:rsidR="002D4818">
        <w:t xml:space="preserve">on the overall NPSV </w:t>
      </w:r>
      <w:r w:rsidR="003A2C42">
        <w:t>of</w:t>
      </w:r>
      <w:r w:rsidR="00A109E7">
        <w:t xml:space="preserve"> </w:t>
      </w:r>
      <w:r w:rsidR="003278F1">
        <w:t>the assumptions deviating from the</w:t>
      </w:r>
      <w:r w:rsidR="002D4818">
        <w:t xml:space="preserve"> </w:t>
      </w:r>
      <w:r w:rsidR="00A74EDA">
        <w:t>estimate</w:t>
      </w:r>
      <w:r w:rsidR="003278F1">
        <w:t xml:space="preserve"> used in the IA</w:t>
      </w:r>
      <w:r w:rsidR="00564D8F">
        <w:t xml:space="preserve">. </w:t>
      </w:r>
      <w:r w:rsidR="008A6167">
        <w:t>Additionally</w:t>
      </w:r>
      <w:r w:rsidR="00A36C4F">
        <w:t>,</w:t>
      </w:r>
      <w:r w:rsidR="008A6167">
        <w:t xml:space="preserve"> </w:t>
      </w:r>
      <w:r w:rsidR="00542E94">
        <w:t>t</w:t>
      </w:r>
      <w:r w:rsidR="00542E94" w:rsidRPr="00546D65">
        <w:t>hese assumptions will be tested</w:t>
      </w:r>
      <w:r w:rsidR="00557701">
        <w:t xml:space="preserve"> </w:t>
      </w:r>
      <w:r w:rsidR="00557701" w:rsidRPr="00546D65">
        <w:t>in the post implementation review</w:t>
      </w:r>
      <w:r w:rsidR="00D47AB0">
        <w:t xml:space="preserve"> </w:t>
      </w:r>
      <w:r w:rsidR="00A36C4F">
        <w:t xml:space="preserve">through </w:t>
      </w:r>
      <w:r w:rsidR="00741B5F">
        <w:t xml:space="preserve">assumption </w:t>
      </w:r>
      <w:r w:rsidR="00557701">
        <w:t xml:space="preserve">specific </w:t>
      </w:r>
      <w:r w:rsidR="00A36C4F">
        <w:t xml:space="preserve">evaluation questions </w:t>
      </w:r>
      <w:r w:rsidR="005921F1">
        <w:t xml:space="preserve">to understand </w:t>
      </w:r>
      <w:r w:rsidR="00D47AB0">
        <w:t xml:space="preserve">the accuracy of </w:t>
      </w:r>
      <w:r w:rsidR="00557701">
        <w:t>those</w:t>
      </w:r>
      <w:r w:rsidR="00D47AB0">
        <w:t xml:space="preserve"> used in the analysis.</w:t>
      </w:r>
      <w:r w:rsidR="004859E5">
        <w:t xml:space="preserve"> </w:t>
      </w:r>
    </w:p>
    <w:p w14:paraId="1421D9B9" w14:textId="16CDACCD" w:rsidR="00A547C0" w:rsidRPr="00B36A60" w:rsidRDefault="0090564F" w:rsidP="00A55741">
      <w:pPr>
        <w:pStyle w:val="EBBullet"/>
        <w:numPr>
          <w:ilvl w:val="0"/>
          <w:numId w:val="10"/>
        </w:numPr>
        <w:spacing w:line="259" w:lineRule="auto"/>
        <w:ind w:hanging="549"/>
        <w:jc w:val="both"/>
      </w:pPr>
      <w:r>
        <w:t>The</w:t>
      </w:r>
      <w:r w:rsidR="00EC6055" w:rsidRPr="00B36A60">
        <w:t xml:space="preserve"> </w:t>
      </w:r>
      <w:r w:rsidR="00FB6964" w:rsidRPr="00B36A60">
        <w:t>assumption</w:t>
      </w:r>
      <w:r w:rsidR="00472B2C" w:rsidRPr="00B36A60">
        <w:t>s</w:t>
      </w:r>
      <w:r w:rsidR="00FB6964" w:rsidRPr="00B36A60">
        <w:t xml:space="preserve"> or estimate</w:t>
      </w:r>
      <w:r w:rsidR="00472B2C" w:rsidRPr="00B36A60">
        <w:t>s</w:t>
      </w:r>
      <w:r w:rsidR="00FB6964" w:rsidRPr="00B36A60">
        <w:t xml:space="preserve"> made w</w:t>
      </w:r>
      <w:r w:rsidR="00472B2C" w:rsidRPr="00B36A60">
        <w:t>ere</w:t>
      </w:r>
      <w:r w:rsidR="00FB6964" w:rsidRPr="00B36A60">
        <w:t xml:space="preserve"> derived from</w:t>
      </w:r>
      <w:r w:rsidR="00FA513E">
        <w:t xml:space="preserve"> the existing</w:t>
      </w:r>
      <w:r w:rsidR="00A2037E">
        <w:t xml:space="preserve"> guidance for the offences of </w:t>
      </w:r>
      <w:r w:rsidR="00486FC6">
        <w:t xml:space="preserve">failure to </w:t>
      </w:r>
      <w:r w:rsidR="006A2ABE">
        <w:t xml:space="preserve">prevent </w:t>
      </w:r>
      <w:r w:rsidR="00C113C5">
        <w:t xml:space="preserve">bribery and </w:t>
      </w:r>
      <w:r w:rsidR="00A2037E">
        <w:t xml:space="preserve">failure to prevent the criminal facilitation of </w:t>
      </w:r>
      <w:r w:rsidR="00C113C5">
        <w:t xml:space="preserve">tax-evasion </w:t>
      </w:r>
      <w:r w:rsidR="006A2ABE">
        <w:t>and</w:t>
      </w:r>
      <w:r w:rsidR="00FB6964" w:rsidRPr="00B36A60">
        <w:t xml:space="preserve"> </w:t>
      </w:r>
      <w:r w:rsidR="00C113C5">
        <w:t xml:space="preserve">used </w:t>
      </w:r>
      <w:r w:rsidR="00FB6964" w:rsidRPr="00B36A60">
        <w:t>the best available information</w:t>
      </w:r>
      <w:r w:rsidR="000D4708">
        <w:t>.</w:t>
      </w:r>
      <w:r w:rsidR="00FB6964" w:rsidRPr="00B36A60">
        <w:t xml:space="preserve"> </w:t>
      </w:r>
      <w:r w:rsidR="005D0C97" w:rsidRPr="00B36A60">
        <w:t xml:space="preserve">Highlighted below are </w:t>
      </w:r>
      <w:r w:rsidR="00716739" w:rsidRPr="00B36A60">
        <w:t>the</w:t>
      </w:r>
      <w:r w:rsidR="00280F4D" w:rsidRPr="00B36A60">
        <w:t xml:space="preserve"> assumptions </w:t>
      </w:r>
      <w:r w:rsidR="00716739" w:rsidRPr="00B36A60">
        <w:t xml:space="preserve">where there </w:t>
      </w:r>
      <w:r w:rsidR="00DF265B" w:rsidRPr="00B36A60">
        <w:t>are remaining uncertainties</w:t>
      </w:r>
      <w:r w:rsidR="008F719E">
        <w:t xml:space="preserve">, driven by the absence of the specific </w:t>
      </w:r>
      <w:r w:rsidR="00BC5433">
        <w:t xml:space="preserve">FTPF </w:t>
      </w:r>
      <w:r w:rsidR="008F719E">
        <w:t>guidance at time of writing,</w:t>
      </w:r>
      <w:r w:rsidR="00965D7B">
        <w:t xml:space="preserve"> </w:t>
      </w:r>
      <w:r w:rsidR="009B21F3">
        <w:t xml:space="preserve">and </w:t>
      </w:r>
      <w:r w:rsidR="00965D7B">
        <w:t xml:space="preserve">the </w:t>
      </w:r>
      <w:r w:rsidR="009B21F3">
        <w:t>steps taken to mitigate the risks</w:t>
      </w:r>
      <w:r w:rsidR="00BB7923">
        <w:t xml:space="preserve"> present</w:t>
      </w:r>
      <w:r w:rsidR="00F165DD">
        <w:t>ed</w:t>
      </w:r>
      <w:r w:rsidR="00BB7923">
        <w:t xml:space="preserve"> by th</w:t>
      </w:r>
      <w:r w:rsidR="00F165DD">
        <w:t>is:</w:t>
      </w:r>
      <w:r w:rsidR="00BB7923">
        <w:t xml:space="preserve"> </w:t>
      </w:r>
    </w:p>
    <w:p w14:paraId="579DEB84" w14:textId="5A5C1579" w:rsidR="002C529A" w:rsidRPr="00A55741" w:rsidRDefault="006D0443" w:rsidP="00E70F1B">
      <w:pPr>
        <w:pStyle w:val="EBBullet"/>
        <w:numPr>
          <w:ilvl w:val="1"/>
          <w:numId w:val="10"/>
        </w:numPr>
        <w:spacing w:line="259" w:lineRule="auto"/>
        <w:ind w:left="1134" w:hanging="425"/>
        <w:jc w:val="both"/>
        <w:rPr>
          <w:sz w:val="20"/>
          <w:szCs w:val="20"/>
        </w:rPr>
      </w:pPr>
      <w:r w:rsidRPr="00C57B17">
        <w:t>The training cost</w:t>
      </w:r>
      <w:r w:rsidR="00767B81" w:rsidRPr="00C57B17">
        <w:t>s</w:t>
      </w:r>
      <w:r w:rsidRPr="00C57B17">
        <w:t xml:space="preserve"> </w:t>
      </w:r>
      <w:r w:rsidR="00B80E81" w:rsidRPr="00C57B17">
        <w:t xml:space="preserve">are </w:t>
      </w:r>
      <w:r w:rsidR="00B80E81" w:rsidRPr="00C57B17" w:rsidDel="00F61032">
        <w:t xml:space="preserve">DBT internal </w:t>
      </w:r>
      <w:r w:rsidRPr="00C57B17" w:rsidDel="00F61032">
        <w:t xml:space="preserve">estimates </w:t>
      </w:r>
      <w:r w:rsidRPr="00C57B17">
        <w:t>based on market costs and durations for comparable training courses.</w:t>
      </w:r>
      <w:r w:rsidR="00F970FB" w:rsidRPr="00C57B17">
        <w:t xml:space="preserve"> This includes a</w:t>
      </w:r>
      <w:r w:rsidR="00C246DD" w:rsidRPr="00C57B17">
        <w:t xml:space="preserve"> </w:t>
      </w:r>
      <w:r w:rsidR="00F970FB" w:rsidRPr="00C57B17">
        <w:t xml:space="preserve">discount </w:t>
      </w:r>
      <w:r w:rsidR="008D002D" w:rsidRPr="00C57B17">
        <w:t>on the per person fee</w:t>
      </w:r>
      <w:r w:rsidR="00F970FB" w:rsidRPr="00C57B17">
        <w:t xml:space="preserve"> for large and largest companies</w:t>
      </w:r>
      <w:r w:rsidR="007A71D3" w:rsidRPr="00C57B17">
        <w:t xml:space="preserve">. The </w:t>
      </w:r>
      <w:r w:rsidR="00AB683F">
        <w:t>size</w:t>
      </w:r>
      <w:r w:rsidR="007A71D3" w:rsidRPr="00C57B17">
        <w:t xml:space="preserve"> of the discount was</w:t>
      </w:r>
      <w:r w:rsidR="002E447E" w:rsidRPr="00C57B17" w:rsidDel="00F61032">
        <w:t xml:space="preserve"> </w:t>
      </w:r>
      <w:r w:rsidR="002E447E" w:rsidRPr="00C57B17">
        <w:t>based on providers offering courses for similar offences (</w:t>
      </w:r>
      <w:r w:rsidR="0085422F">
        <w:t>for example</w:t>
      </w:r>
      <w:r w:rsidR="007924FF" w:rsidRPr="00C57B17">
        <w:t>,</w:t>
      </w:r>
      <w:r w:rsidR="002E447E" w:rsidRPr="00C57B17">
        <w:t xml:space="preserve"> failure to prevent bribery). Some providers noted and provided indicative discounts for larger training cohorts.  </w:t>
      </w:r>
      <w:r w:rsidR="002B5A29" w:rsidRPr="00C57B17">
        <w:t xml:space="preserve">As training costs </w:t>
      </w:r>
      <w:r w:rsidR="004900E5" w:rsidRPr="00C57B17">
        <w:t xml:space="preserve">are around 70 </w:t>
      </w:r>
      <w:r w:rsidR="0085422F">
        <w:t>per cent</w:t>
      </w:r>
      <w:r w:rsidR="004900E5" w:rsidRPr="00C57B17">
        <w:t xml:space="preserve"> of the total cost of th</w:t>
      </w:r>
      <w:r w:rsidR="006F4C39">
        <w:t>is</w:t>
      </w:r>
      <w:r w:rsidR="004900E5" w:rsidRPr="00C57B17">
        <w:t xml:space="preserve"> legislation </w:t>
      </w:r>
      <w:r w:rsidR="00033783" w:rsidRPr="00C57B17">
        <w:t>in the central scenario</w:t>
      </w:r>
      <w:r w:rsidR="006211FC" w:rsidRPr="00C57B17">
        <w:t>.</w:t>
      </w:r>
      <w:r w:rsidR="00033783" w:rsidRPr="00C57B17">
        <w:t xml:space="preserve"> </w:t>
      </w:r>
      <w:r w:rsidR="006211FC" w:rsidRPr="00C57B17">
        <w:t>There is a risk that if the discount estimate is not reflective on the true discount being provided for training in large and largest organisations then there could be a significant imp</w:t>
      </w:r>
      <w:r w:rsidR="00993829" w:rsidRPr="00C57B17">
        <w:t>act on overall cost</w:t>
      </w:r>
      <w:r w:rsidR="00840960">
        <w:t xml:space="preserve"> of this legislation to businesses.</w:t>
      </w:r>
      <w:r w:rsidR="00684DB4">
        <w:t xml:space="preserve"> </w:t>
      </w:r>
      <w:r w:rsidR="00226C61">
        <w:t xml:space="preserve">The risk is mitigated by </w:t>
      </w:r>
      <w:r w:rsidR="00BB76C5">
        <w:t xml:space="preserve">undertaking </w:t>
      </w:r>
      <w:r w:rsidR="00226C61">
        <w:t>sensitivity analysis</w:t>
      </w:r>
      <w:r w:rsidR="00A018EE">
        <w:t xml:space="preserve"> </w:t>
      </w:r>
      <w:r w:rsidR="00A018EE">
        <w:rPr>
          <w:color w:val="auto"/>
        </w:rPr>
        <w:t xml:space="preserve">to explore how the cost of the policy changes in the face of varying </w:t>
      </w:r>
      <w:r w:rsidR="005D7FB9">
        <w:rPr>
          <w:color w:val="auto"/>
        </w:rPr>
        <w:t>these assumptions</w:t>
      </w:r>
      <w:r w:rsidR="00C94649">
        <w:rPr>
          <w:color w:val="auto"/>
        </w:rPr>
        <w:t xml:space="preserve"> and </w:t>
      </w:r>
      <w:r w:rsidR="00A36C4F">
        <w:rPr>
          <w:color w:val="auto"/>
        </w:rPr>
        <w:t>having specific evaluation questions on assumptions in</w:t>
      </w:r>
      <w:r w:rsidR="0047378C" w:rsidRPr="00546D65">
        <w:t xml:space="preserve"> </w:t>
      </w:r>
      <w:r w:rsidR="000406C5">
        <w:t xml:space="preserve">the </w:t>
      </w:r>
      <w:r w:rsidR="0047378C" w:rsidRPr="00546D65">
        <w:t>post implementation review</w:t>
      </w:r>
      <w:r w:rsidR="0047378C">
        <w:t xml:space="preserve"> to understand the</w:t>
      </w:r>
      <w:r w:rsidR="000406C5">
        <w:t>ir validity</w:t>
      </w:r>
      <w:r w:rsidR="002C529A">
        <w:t>.</w:t>
      </w:r>
    </w:p>
    <w:p w14:paraId="1053B249" w14:textId="620460E7" w:rsidR="002C529A" w:rsidRPr="002C529A" w:rsidRDefault="009C670C" w:rsidP="00A55741">
      <w:pPr>
        <w:pStyle w:val="EBBullet"/>
        <w:numPr>
          <w:ilvl w:val="1"/>
          <w:numId w:val="10"/>
        </w:numPr>
        <w:spacing w:line="259" w:lineRule="auto"/>
        <w:ind w:left="1134" w:hanging="425"/>
        <w:jc w:val="both"/>
        <w:rPr>
          <w:sz w:val="20"/>
          <w:szCs w:val="20"/>
        </w:rPr>
      </w:pPr>
      <w:r>
        <w:t>A</w:t>
      </w:r>
      <w:r w:rsidR="002C529A" w:rsidRPr="002C529A">
        <w:t xml:space="preserve"> main assumption</w:t>
      </w:r>
      <w:r>
        <w:t xml:space="preserve"> for training costs</w:t>
      </w:r>
      <w:r w:rsidR="002C529A" w:rsidRPr="002C529A">
        <w:t xml:space="preserve"> is that all employees will be required to undertake training.  This assumption is deemed reasonable as organisations will not know who is likely to commit fraud. As the burden of proof is on the organisation to take all reasonable steps to prevent fraud, the analysis assumes that an organisation is likely to train all staff.</w:t>
      </w:r>
      <w:r w:rsidR="002C529A">
        <w:t xml:space="preserve"> </w:t>
      </w:r>
      <w:r w:rsidR="002C529A" w:rsidRPr="002C529A">
        <w:t xml:space="preserve">However, the lack of guidance meant it was impossible to test this assumption with stakeholders. </w:t>
      </w:r>
      <w:r>
        <w:t xml:space="preserve">The risk is mitigated by undertaking sensitivity analysis </w:t>
      </w:r>
      <w:r>
        <w:rPr>
          <w:color w:val="auto"/>
        </w:rPr>
        <w:t xml:space="preserve">to explore how the cost of the policy changes in the face of varying </w:t>
      </w:r>
      <w:r w:rsidR="005D7FB9">
        <w:rPr>
          <w:color w:val="auto"/>
        </w:rPr>
        <w:t>these assumptions</w:t>
      </w:r>
      <w:r>
        <w:rPr>
          <w:color w:val="auto"/>
        </w:rPr>
        <w:t xml:space="preserve">. </w:t>
      </w:r>
      <w:r>
        <w:t xml:space="preserve"> Additionally, </w:t>
      </w:r>
      <w:r w:rsidR="005D7FB9">
        <w:t>t</w:t>
      </w:r>
      <w:r w:rsidR="005D7FB9" w:rsidRPr="00546D65">
        <w:t>h</w:t>
      </w:r>
      <w:r w:rsidR="005D7FB9">
        <w:t>ese assumptions</w:t>
      </w:r>
      <w:r w:rsidRPr="00546D65">
        <w:t xml:space="preserve"> will be tested</w:t>
      </w:r>
      <w:r>
        <w:t xml:space="preserve"> </w:t>
      </w:r>
      <w:r w:rsidRPr="00546D65">
        <w:t>in the post implementation review</w:t>
      </w:r>
      <w:r>
        <w:t xml:space="preserve"> through assumption specific evaluation questions to understand the accuracy of those used in the analysis.</w:t>
      </w:r>
    </w:p>
    <w:p w14:paraId="1D94E716" w14:textId="7E31B3E1" w:rsidR="00AC714D" w:rsidRPr="004516BF" w:rsidRDefault="00113401" w:rsidP="00A55741">
      <w:pPr>
        <w:pStyle w:val="EBBullet"/>
        <w:numPr>
          <w:ilvl w:val="1"/>
          <w:numId w:val="10"/>
        </w:numPr>
        <w:spacing w:line="259" w:lineRule="auto"/>
        <w:ind w:left="1134" w:hanging="425"/>
        <w:jc w:val="both"/>
      </w:pPr>
      <w:r w:rsidRPr="00C57B17">
        <w:t>The n</w:t>
      </w:r>
      <w:r w:rsidR="00AC714D" w:rsidRPr="00C57B17">
        <w:t xml:space="preserve">umber of staff </w:t>
      </w:r>
      <w:r w:rsidR="009B51D5" w:rsidRPr="00C57B17">
        <w:t>that form the team that</w:t>
      </w:r>
      <w:r w:rsidR="00F4317A" w:rsidRPr="00C57B17">
        <w:t xml:space="preserve"> undergoes the necessary work </w:t>
      </w:r>
      <w:r w:rsidR="007924FF" w:rsidRPr="00C57B17">
        <w:t>in regard to</w:t>
      </w:r>
      <w:r w:rsidR="008634F8" w:rsidRPr="00C57B17">
        <w:t xml:space="preserve"> familiarisation, risk assessment and communications</w:t>
      </w:r>
      <w:r w:rsidR="009B51D5" w:rsidRPr="00C57B17">
        <w:t xml:space="preserve"> </w:t>
      </w:r>
      <w:r w:rsidR="009962E3">
        <w:t xml:space="preserve">is </w:t>
      </w:r>
      <w:r w:rsidR="00A16E5B" w:rsidRPr="00C57B17">
        <w:t>based on the</w:t>
      </w:r>
      <w:r w:rsidR="00DE7697" w:rsidRPr="00C57B17">
        <w:t xml:space="preserve"> expect</w:t>
      </w:r>
      <w:r w:rsidR="00A16E5B" w:rsidRPr="00C57B17">
        <w:t>ation</w:t>
      </w:r>
      <w:r w:rsidR="00DE7697" w:rsidRPr="00C57B17">
        <w:t xml:space="preserve"> that a range of individuals from different departments</w:t>
      </w:r>
      <w:r w:rsidR="00A16E5B" w:rsidRPr="00C57B17">
        <w:t xml:space="preserve"> </w:t>
      </w:r>
      <w:r w:rsidR="00DE7697" w:rsidRPr="00C57B17">
        <w:t>would be involved in complying, and documenting compliance, with the regulations. From familiarisation and planning to conducting risk assessments and dissemination.</w:t>
      </w:r>
      <w:r w:rsidR="000D650D" w:rsidRPr="00C57B17">
        <w:t xml:space="preserve"> </w:t>
      </w:r>
      <w:r w:rsidR="00DE7697" w:rsidRPr="00C57B17">
        <w:t xml:space="preserve"> </w:t>
      </w:r>
      <w:r w:rsidR="001530E5" w:rsidRPr="00C57B17">
        <w:t xml:space="preserve">There is a risk that the estimate around the number of staff required to perform these tasks is not </w:t>
      </w:r>
      <w:r w:rsidR="001530E5" w:rsidRPr="004516BF">
        <w:t>reflective of the true</w:t>
      </w:r>
      <w:r w:rsidR="000D650D" w:rsidRPr="004516BF">
        <w:t xml:space="preserve"> number of staf</w:t>
      </w:r>
      <w:r w:rsidR="00C57B17" w:rsidRPr="004516BF">
        <w:t>f</w:t>
      </w:r>
      <w:r w:rsidR="00840960">
        <w:t xml:space="preserve"> and this would then have an impact on the overall cost of this legislation to businesses.</w:t>
      </w:r>
      <w:r w:rsidR="00840960" w:rsidDel="009B21F3">
        <w:t xml:space="preserve"> </w:t>
      </w:r>
      <w:r w:rsidR="0047378C">
        <w:t xml:space="preserve">The risk is mitigated by undertaking sensitivity analysis </w:t>
      </w:r>
      <w:r w:rsidR="0047378C">
        <w:rPr>
          <w:color w:val="auto"/>
        </w:rPr>
        <w:t xml:space="preserve">to explore how the cost of the policy changes in the face of </w:t>
      </w:r>
      <w:r w:rsidR="0047378C">
        <w:rPr>
          <w:color w:val="auto"/>
        </w:rPr>
        <w:lastRenderedPageBreak/>
        <w:t xml:space="preserve">varying </w:t>
      </w:r>
      <w:r w:rsidR="0047378C" w:rsidDel="000D29A2">
        <w:rPr>
          <w:color w:val="auto"/>
        </w:rPr>
        <w:t xml:space="preserve">this </w:t>
      </w:r>
      <w:r w:rsidR="000D29A2">
        <w:rPr>
          <w:color w:val="auto"/>
        </w:rPr>
        <w:t>assumption</w:t>
      </w:r>
      <w:r w:rsidR="0047378C">
        <w:rPr>
          <w:color w:val="auto"/>
        </w:rPr>
        <w:t xml:space="preserve">. </w:t>
      </w:r>
      <w:r w:rsidR="0047378C">
        <w:t xml:space="preserve"> Additionally</w:t>
      </w:r>
      <w:r w:rsidR="000D29A2">
        <w:t>,</w:t>
      </w:r>
      <w:r w:rsidR="0047378C">
        <w:t xml:space="preserve"> all</w:t>
      </w:r>
      <w:r w:rsidR="0047378C" w:rsidDel="0042264F">
        <w:t xml:space="preserve"> </w:t>
      </w:r>
      <w:r w:rsidR="0047378C" w:rsidRPr="00546D65">
        <w:t>assumptions will be tested</w:t>
      </w:r>
      <w:r w:rsidR="0047378C">
        <w:t xml:space="preserve"> specifically</w:t>
      </w:r>
      <w:r w:rsidR="0047378C" w:rsidRPr="00546D65">
        <w:t xml:space="preserve"> in the post implementation review</w:t>
      </w:r>
      <w:r w:rsidR="0047378C">
        <w:t xml:space="preserve"> to understand the accuracy of the assumption used in the analysis.</w:t>
      </w:r>
    </w:p>
    <w:p w14:paraId="249F7952" w14:textId="0878216E" w:rsidR="00312EBF" w:rsidRDefault="00C45CB6" w:rsidP="00A55741">
      <w:pPr>
        <w:pStyle w:val="EBBullet"/>
        <w:numPr>
          <w:ilvl w:val="1"/>
          <w:numId w:val="10"/>
        </w:numPr>
        <w:spacing w:line="259" w:lineRule="auto"/>
        <w:ind w:left="1134" w:hanging="425"/>
        <w:jc w:val="both"/>
      </w:pPr>
      <w:r w:rsidRPr="004516BF">
        <w:t xml:space="preserve">There is uncertainty around the extent of </w:t>
      </w:r>
      <w:r w:rsidR="007924FF" w:rsidRPr="004516BF">
        <w:t>the time</w:t>
      </w:r>
      <w:r w:rsidRPr="004516BF">
        <w:t xml:space="preserve"> and labour commitment involved in each task</w:t>
      </w:r>
      <w:r w:rsidR="004516BF" w:rsidRPr="004516BF">
        <w:t xml:space="preserve"> involved in complying, and documenting compliance, with the regulations</w:t>
      </w:r>
      <w:r w:rsidRPr="004516BF">
        <w:t xml:space="preserve">. </w:t>
      </w:r>
      <w:r w:rsidR="000D3971" w:rsidRPr="004516BF">
        <w:t>Time taken to complete tasks</w:t>
      </w:r>
      <w:r w:rsidR="004516BF" w:rsidRPr="004516BF">
        <w:t xml:space="preserve"> were </w:t>
      </w:r>
      <w:r w:rsidR="002E447E" w:rsidRPr="004516BF">
        <w:t xml:space="preserve">estimates based on the time </w:t>
      </w:r>
      <w:r w:rsidR="004516BF" w:rsidRPr="004516BF">
        <w:t>a</w:t>
      </w:r>
      <w:r w:rsidR="002E447E" w:rsidRPr="004516BF">
        <w:t xml:space="preserve"> reasonably competent person </w:t>
      </w:r>
      <w:r w:rsidR="004516BF" w:rsidRPr="004516BF">
        <w:t xml:space="preserve">would </w:t>
      </w:r>
      <w:r w:rsidR="002E447E" w:rsidRPr="004516BF">
        <w:t>need to complet</w:t>
      </w:r>
      <w:r w:rsidR="004516BF">
        <w:t xml:space="preserve">e a task. There is a risk that there are </w:t>
      </w:r>
      <w:r w:rsidR="00840960">
        <w:t>these time esti</w:t>
      </w:r>
      <w:r w:rsidR="00C15557">
        <w:t>mates</w:t>
      </w:r>
      <w:r w:rsidR="00840960">
        <w:t xml:space="preserve"> </w:t>
      </w:r>
      <w:r w:rsidR="00C15557">
        <w:t>is not reflective of the true time taken to complete these tasks</w:t>
      </w:r>
      <w:r w:rsidR="00E93CE5">
        <w:t xml:space="preserve">. This would then have an </w:t>
      </w:r>
      <w:r w:rsidR="00E93CE5" w:rsidRPr="00B36A60">
        <w:t>impact on the overall cost of this legislation to businesses.</w:t>
      </w:r>
      <w:r w:rsidR="0047378C">
        <w:t xml:space="preserve"> </w:t>
      </w:r>
      <w:r w:rsidR="00FA7F80">
        <w:t xml:space="preserve">The risk is mitigated by undertaking sensitivity analysis </w:t>
      </w:r>
      <w:r w:rsidR="00FA7F80">
        <w:rPr>
          <w:color w:val="auto"/>
        </w:rPr>
        <w:t xml:space="preserve">to explore how the cost of the policy changes in the face of varying </w:t>
      </w:r>
      <w:r w:rsidR="000D29A2">
        <w:rPr>
          <w:color w:val="auto"/>
        </w:rPr>
        <w:t>these assumptions</w:t>
      </w:r>
      <w:r w:rsidR="00FA7F80">
        <w:rPr>
          <w:color w:val="auto"/>
        </w:rPr>
        <w:t xml:space="preserve">. </w:t>
      </w:r>
      <w:r w:rsidR="00FA7F80">
        <w:t xml:space="preserve"> </w:t>
      </w:r>
      <w:r w:rsidR="00035F2B">
        <w:t xml:space="preserve">Additionally, </w:t>
      </w:r>
      <w:r w:rsidR="000D29A2">
        <w:t>t</w:t>
      </w:r>
      <w:r w:rsidR="000D29A2" w:rsidRPr="00546D65">
        <w:t>h</w:t>
      </w:r>
      <w:r w:rsidR="000D29A2">
        <w:t>ese assumptions</w:t>
      </w:r>
      <w:r w:rsidR="00035F2B" w:rsidRPr="00546D65">
        <w:t xml:space="preserve"> will be tested</w:t>
      </w:r>
      <w:r w:rsidR="00035F2B">
        <w:t xml:space="preserve"> </w:t>
      </w:r>
      <w:r w:rsidR="00035F2B" w:rsidRPr="00546D65">
        <w:t>in the post implementation review</w:t>
      </w:r>
      <w:r w:rsidR="00035F2B">
        <w:t xml:space="preserve"> through assumption specific evaluation questions to understand the accuracy of those used in the analysis.</w:t>
      </w:r>
    </w:p>
    <w:p w14:paraId="18A7362B" w14:textId="050FD4BF" w:rsidR="00683539" w:rsidRPr="00066078" w:rsidRDefault="006D0443" w:rsidP="00E70F1B">
      <w:pPr>
        <w:pStyle w:val="EBBullet"/>
        <w:numPr>
          <w:ilvl w:val="0"/>
          <w:numId w:val="10"/>
        </w:numPr>
        <w:spacing w:line="259" w:lineRule="auto"/>
        <w:ind w:left="567" w:hanging="567"/>
        <w:jc w:val="both"/>
      </w:pPr>
      <w:r w:rsidRPr="00066078">
        <w:t>Non-commercial organisations not covered by the Better Regulation Framework</w:t>
      </w:r>
      <w:r w:rsidRPr="00B36A60">
        <w:rPr>
          <w:rStyle w:val="FootnoteReference"/>
          <w:rFonts w:cs="Arial"/>
        </w:rPr>
        <w:footnoteReference w:id="98"/>
      </w:r>
      <w:r w:rsidRPr="00066078">
        <w:t>, for example</w:t>
      </w:r>
      <w:r w:rsidR="005A3732" w:rsidRPr="00066078">
        <w:t>, l</w:t>
      </w:r>
      <w:r w:rsidRPr="00066078">
        <w:t xml:space="preserve">ocal </w:t>
      </w:r>
      <w:r w:rsidR="005A3732" w:rsidRPr="00066078">
        <w:t>a</w:t>
      </w:r>
      <w:r w:rsidRPr="00066078">
        <w:t xml:space="preserve">uthorities are not included in the estimates of </w:t>
      </w:r>
      <w:r w:rsidR="00BE6DEF" w:rsidRPr="00066078">
        <w:t xml:space="preserve">the numbers of </w:t>
      </w:r>
      <w:r w:rsidRPr="00066078">
        <w:t xml:space="preserve">organisations in scope. </w:t>
      </w:r>
      <w:r w:rsidR="00D13351">
        <w:t xml:space="preserve">Whilst there was an intention to include these organisations in the sider NPSV, robust </w:t>
      </w:r>
      <w:r w:rsidR="001271EE">
        <w:t xml:space="preserve">estimates for the number of public sector bodies in scope could not be </w:t>
      </w:r>
      <w:r w:rsidR="008A1A42">
        <w:t xml:space="preserve">calculated. </w:t>
      </w:r>
      <w:r w:rsidRPr="00066078">
        <w:t xml:space="preserve">This means that the costs to these </w:t>
      </w:r>
      <w:r w:rsidR="00A2601B" w:rsidRPr="00066078">
        <w:t xml:space="preserve">bodies </w:t>
      </w:r>
      <w:r w:rsidR="00B17E97">
        <w:t>cannot be monetised, and so</w:t>
      </w:r>
      <w:r w:rsidR="00FA7F80">
        <w:t xml:space="preserve"> </w:t>
      </w:r>
      <w:r w:rsidR="006560EA" w:rsidRPr="00066078">
        <w:t xml:space="preserve">have not </w:t>
      </w:r>
      <w:r w:rsidR="007F11B8" w:rsidRPr="00066078">
        <w:t>been</w:t>
      </w:r>
      <w:r w:rsidRPr="00066078">
        <w:t xml:space="preserve"> included</w:t>
      </w:r>
      <w:r w:rsidR="00FA7F80">
        <w:t xml:space="preserve"> in the monetised NPSV</w:t>
      </w:r>
      <w:r w:rsidRPr="00066078">
        <w:t xml:space="preserve">. </w:t>
      </w:r>
      <w:r w:rsidR="00250A3E">
        <w:t xml:space="preserve">The cost of the legislation to public sector bodies will be specifically considered in the post implementation review. </w:t>
      </w:r>
    </w:p>
    <w:p w14:paraId="540EA9A3" w14:textId="60699F52" w:rsidR="00532368" w:rsidRPr="00683539" w:rsidRDefault="000D13D4" w:rsidP="00A55741">
      <w:pPr>
        <w:pStyle w:val="EBBullet"/>
        <w:numPr>
          <w:ilvl w:val="0"/>
          <w:numId w:val="10"/>
        </w:numPr>
        <w:spacing w:line="259" w:lineRule="auto"/>
        <w:ind w:left="567" w:hanging="567"/>
        <w:jc w:val="both"/>
      </w:pPr>
      <w:r w:rsidRPr="00683539">
        <w:t xml:space="preserve">There is a risk that organisations undertake </w:t>
      </w:r>
      <w:r w:rsidR="002A510A" w:rsidRPr="00683539">
        <w:t xml:space="preserve">further actions beyond those covered in the scope of this </w:t>
      </w:r>
      <w:r w:rsidR="007257CD">
        <w:t>IA</w:t>
      </w:r>
      <w:r w:rsidR="002A510A" w:rsidRPr="00683539">
        <w:t xml:space="preserve">. In this case, </w:t>
      </w:r>
      <w:r w:rsidR="00746A10" w:rsidRPr="00683539">
        <w:t>the costs arising from this legislation could be higher than estimated.</w:t>
      </w:r>
      <w:r w:rsidR="00C620B4" w:rsidRPr="00683539">
        <w:t xml:space="preserve"> </w:t>
      </w:r>
      <w:r w:rsidR="00253C86">
        <w:t>T</w:t>
      </w:r>
      <w:r w:rsidR="00C620B4" w:rsidRPr="00683539">
        <w:t xml:space="preserve">he guidance issued on this legislation </w:t>
      </w:r>
      <w:r w:rsidR="002236CA" w:rsidRPr="00683539">
        <w:t>will</w:t>
      </w:r>
      <w:r w:rsidR="00C620B4" w:rsidRPr="00683539">
        <w:t xml:space="preserve"> allow firms to be properly informed on the necessary procedures </w:t>
      </w:r>
      <w:r w:rsidR="002236CA" w:rsidRPr="00683539">
        <w:t xml:space="preserve">needed </w:t>
      </w:r>
      <w:r w:rsidR="00C620B4" w:rsidRPr="00683539">
        <w:t>so to provide an adequate defence in the</w:t>
      </w:r>
      <w:r w:rsidR="00746A10" w:rsidRPr="00683539">
        <w:t xml:space="preserve"> </w:t>
      </w:r>
      <w:r w:rsidR="00C620B4" w:rsidRPr="00683539">
        <w:t>case of a prosecution</w:t>
      </w:r>
      <w:r w:rsidR="002236CA" w:rsidRPr="00683539">
        <w:t xml:space="preserve">. This should mean that it is unlikely that firms will take </w:t>
      </w:r>
      <w:r w:rsidR="00520FBA" w:rsidRPr="00683539">
        <w:t xml:space="preserve">additional steps. </w:t>
      </w:r>
    </w:p>
    <w:p w14:paraId="4739C16F" w14:textId="4B023133" w:rsidR="006D0443" w:rsidRPr="00441AF5" w:rsidRDefault="00761D3E" w:rsidP="00C23109">
      <w:pPr>
        <w:spacing w:after="120" w:line="259" w:lineRule="auto"/>
        <w:ind w:left="567" w:hanging="567"/>
        <w:jc w:val="both"/>
        <w:rPr>
          <w:rFonts w:cs="Arial"/>
          <w:sz w:val="22"/>
          <w:szCs w:val="22"/>
        </w:rPr>
      </w:pPr>
      <w:r w:rsidRPr="00441AF5">
        <w:rPr>
          <w:rFonts w:cs="Arial"/>
          <w:b/>
          <w:sz w:val="22"/>
          <w:szCs w:val="22"/>
        </w:rPr>
        <w:t xml:space="preserve">Main </w:t>
      </w:r>
      <w:r w:rsidR="006D0443" w:rsidRPr="00441AF5">
        <w:rPr>
          <w:rFonts w:cs="Arial"/>
          <w:b/>
          <w:sz w:val="22"/>
          <w:szCs w:val="22"/>
        </w:rPr>
        <w:t>assumptions in the analysis</w:t>
      </w:r>
    </w:p>
    <w:p w14:paraId="4C3193D5" w14:textId="53CEB4C0" w:rsidR="006D0443" w:rsidRPr="00441AF5" w:rsidRDefault="00864E91" w:rsidP="00A55741">
      <w:pPr>
        <w:pStyle w:val="EBBullet"/>
        <w:numPr>
          <w:ilvl w:val="0"/>
          <w:numId w:val="10"/>
        </w:numPr>
        <w:spacing w:line="259" w:lineRule="auto"/>
        <w:ind w:left="567" w:hanging="567"/>
        <w:jc w:val="both"/>
      </w:pPr>
      <w:r w:rsidRPr="00441AF5">
        <w:t>In-scope</w:t>
      </w:r>
      <w:r w:rsidR="006D0443" w:rsidRPr="00441AF5">
        <w:t xml:space="preserve"> organisations fully </w:t>
      </w:r>
      <w:r w:rsidR="001158BD">
        <w:t>adopt the steps set out in the guidance for the offence of</w:t>
      </w:r>
      <w:r w:rsidR="006D0443" w:rsidRPr="00441AF5">
        <w:t xml:space="preserve"> failure to prevent fraud</w:t>
      </w:r>
      <w:r w:rsidR="00024ADB" w:rsidRPr="00441AF5">
        <w:t>.</w:t>
      </w:r>
    </w:p>
    <w:p w14:paraId="2086C140" w14:textId="71FC2008" w:rsidR="006D0443" w:rsidRPr="00441AF5" w:rsidRDefault="006D0443" w:rsidP="00A55741">
      <w:pPr>
        <w:pStyle w:val="EBBullet"/>
        <w:numPr>
          <w:ilvl w:val="0"/>
          <w:numId w:val="10"/>
        </w:numPr>
        <w:spacing w:line="259" w:lineRule="auto"/>
        <w:ind w:left="567" w:hanging="567"/>
        <w:jc w:val="both"/>
      </w:pPr>
      <w:r w:rsidRPr="00441AF5">
        <w:t xml:space="preserve">The </w:t>
      </w:r>
      <w:r w:rsidR="00AD0D2B">
        <w:t xml:space="preserve">actions set out in the guidance to provide a reasonable defence in case of prosecution for failure to prevent fraud will be similar </w:t>
      </w:r>
      <w:r w:rsidR="00AD0D2B" w:rsidDel="009D390D">
        <w:t xml:space="preserve">to </w:t>
      </w:r>
      <w:r w:rsidR="009D390D" w:rsidRPr="00441AF5">
        <w:t>those</w:t>
      </w:r>
      <w:r w:rsidR="00F36B54" w:rsidRPr="00441AF5">
        <w:t xml:space="preserve"> relating to </w:t>
      </w:r>
      <w:r w:rsidR="00AD0D2B">
        <w:t>existing</w:t>
      </w:r>
      <w:r w:rsidRPr="00441AF5">
        <w:t xml:space="preserve"> failure to prevent offences. </w:t>
      </w:r>
    </w:p>
    <w:p w14:paraId="67823C74" w14:textId="77777777" w:rsidR="00030F7B" w:rsidRPr="00441AF5" w:rsidRDefault="00030F7B" w:rsidP="006D0443">
      <w:pPr>
        <w:spacing w:after="120" w:line="259" w:lineRule="auto"/>
        <w:ind w:left="567"/>
        <w:jc w:val="both"/>
        <w:rPr>
          <w:rFonts w:cs="Arial"/>
          <w:sz w:val="22"/>
          <w:szCs w:val="22"/>
        </w:rPr>
      </w:pPr>
    </w:p>
    <w:p w14:paraId="0DFB5AD7" w14:textId="77777777" w:rsidR="00BD3857" w:rsidRPr="0029116F" w:rsidRDefault="00BD3857" w:rsidP="00BD3857">
      <w:pPr>
        <w:pStyle w:val="EBBullet"/>
        <w:numPr>
          <w:ilvl w:val="0"/>
          <w:numId w:val="4"/>
        </w:numPr>
        <w:ind w:left="567" w:hanging="567"/>
        <w:jc w:val="both"/>
        <w:rPr>
          <w:color w:val="auto"/>
          <w:sz w:val="28"/>
          <w:szCs w:val="28"/>
        </w:rPr>
      </w:pPr>
      <w:r w:rsidRPr="0029116F">
        <w:rPr>
          <w:b/>
          <w:color w:val="auto"/>
          <w:sz w:val="28"/>
          <w:szCs w:val="28"/>
        </w:rPr>
        <w:t>Direct costs and benefits to business calculations</w:t>
      </w:r>
    </w:p>
    <w:p w14:paraId="7ED89A22" w14:textId="77777777" w:rsidR="00BD3857" w:rsidRPr="00441AF5" w:rsidRDefault="00BD3857" w:rsidP="00BD3857">
      <w:pPr>
        <w:pStyle w:val="EBBullet"/>
        <w:numPr>
          <w:ilvl w:val="0"/>
          <w:numId w:val="0"/>
        </w:numPr>
        <w:spacing w:line="259" w:lineRule="auto"/>
        <w:ind w:left="567"/>
        <w:jc w:val="both"/>
        <w:rPr>
          <w:color w:val="auto"/>
        </w:rPr>
      </w:pPr>
    </w:p>
    <w:p w14:paraId="2FC48F7C" w14:textId="082F8910" w:rsidR="00BD3857" w:rsidRPr="00441AF5" w:rsidRDefault="00BD3857" w:rsidP="00E54874">
      <w:pPr>
        <w:pStyle w:val="EBBullet"/>
        <w:numPr>
          <w:ilvl w:val="0"/>
          <w:numId w:val="0"/>
        </w:numPr>
        <w:spacing w:line="259" w:lineRule="auto"/>
        <w:ind w:left="567" w:right="-285"/>
        <w:jc w:val="both"/>
        <w:rPr>
          <w:b/>
          <w:color w:val="auto"/>
        </w:rPr>
      </w:pPr>
      <w:r w:rsidRPr="00441AF5">
        <w:rPr>
          <w:b/>
          <w:color w:val="auto"/>
        </w:rPr>
        <w:t xml:space="preserve">Table </w:t>
      </w:r>
      <w:r w:rsidR="00C76CD7" w:rsidRPr="00441AF5">
        <w:rPr>
          <w:b/>
          <w:color w:val="auto"/>
        </w:rPr>
        <w:t>1</w:t>
      </w:r>
      <w:r w:rsidR="001E0461">
        <w:rPr>
          <w:b/>
          <w:color w:val="auto"/>
        </w:rPr>
        <w:t>9</w:t>
      </w:r>
      <w:r w:rsidR="00226B1E">
        <w:rPr>
          <w:b/>
          <w:color w:val="auto"/>
        </w:rPr>
        <w:t>,</w:t>
      </w:r>
      <w:r w:rsidRPr="00441AF5">
        <w:rPr>
          <w:b/>
          <w:color w:val="auto"/>
        </w:rPr>
        <w:t xml:space="preserve"> </w:t>
      </w:r>
      <w:r w:rsidR="00DF0649" w:rsidRPr="00441AF5">
        <w:rPr>
          <w:b/>
          <w:color w:val="auto"/>
        </w:rPr>
        <w:t>FTPF</w:t>
      </w:r>
      <w:r w:rsidRPr="00441AF5">
        <w:rPr>
          <w:b/>
          <w:color w:val="auto"/>
        </w:rPr>
        <w:t xml:space="preserve"> direct costs and benefits to business £ million </w:t>
      </w:r>
      <w:r w:rsidR="004420EB" w:rsidRPr="00441AF5">
        <w:rPr>
          <w:b/>
          <w:color w:val="auto"/>
        </w:rPr>
        <w:t>(2024 prices)</w:t>
      </w:r>
      <w:r w:rsidRPr="00441AF5">
        <w:rPr>
          <w:b/>
          <w:color w:val="auto"/>
        </w:rPr>
        <w:t xml:space="preserve">, </w:t>
      </w:r>
      <w:r w:rsidR="00E54874" w:rsidRPr="00441AF5">
        <w:rPr>
          <w:b/>
          <w:color w:val="auto"/>
        </w:rPr>
        <w:t>over 10 years</w:t>
      </w:r>
    </w:p>
    <w:tbl>
      <w:tblPr>
        <w:tblStyle w:val="TableGrid"/>
        <w:tblW w:w="9493" w:type="dxa"/>
        <w:tblInd w:w="567" w:type="dxa"/>
        <w:tblLayout w:type="fixed"/>
        <w:tblLook w:val="04A0" w:firstRow="1" w:lastRow="0" w:firstColumn="1" w:lastColumn="0" w:noHBand="0" w:noVBand="1"/>
      </w:tblPr>
      <w:tblGrid>
        <w:gridCol w:w="4531"/>
        <w:gridCol w:w="1134"/>
        <w:gridCol w:w="1843"/>
        <w:gridCol w:w="1985"/>
      </w:tblGrid>
      <w:tr w:rsidR="001D081D" w:rsidRPr="001D081D" w14:paraId="215BD227" w14:textId="16729A40" w:rsidTr="006D535C">
        <w:tc>
          <w:tcPr>
            <w:tcW w:w="4531" w:type="dxa"/>
            <w:vAlign w:val="bottom"/>
          </w:tcPr>
          <w:p w14:paraId="6BA7C33E" w14:textId="3AECAD4A" w:rsidR="00864E91" w:rsidRPr="00441AF5" w:rsidRDefault="00864E91" w:rsidP="006D535C">
            <w:pPr>
              <w:pStyle w:val="EBBullet"/>
              <w:numPr>
                <w:ilvl w:val="0"/>
                <w:numId w:val="0"/>
              </w:numPr>
              <w:spacing w:before="40" w:after="40" w:line="259" w:lineRule="auto"/>
              <w:rPr>
                <w:b/>
                <w:color w:val="auto"/>
              </w:rPr>
            </w:pPr>
          </w:p>
        </w:tc>
        <w:tc>
          <w:tcPr>
            <w:tcW w:w="1134" w:type="dxa"/>
            <w:vAlign w:val="bottom"/>
          </w:tcPr>
          <w:p w14:paraId="1FA1F1AF" w14:textId="40006C36" w:rsidR="00864E91" w:rsidRPr="00441AF5" w:rsidRDefault="00864E91" w:rsidP="006D535C">
            <w:pPr>
              <w:pStyle w:val="EBBullet"/>
              <w:numPr>
                <w:ilvl w:val="0"/>
                <w:numId w:val="0"/>
              </w:numPr>
              <w:spacing w:before="40" w:after="40" w:line="259" w:lineRule="auto"/>
              <w:rPr>
                <w:b/>
                <w:color w:val="auto"/>
              </w:rPr>
            </w:pPr>
            <w:r w:rsidRPr="00441AF5">
              <w:rPr>
                <w:b/>
                <w:color w:val="auto"/>
              </w:rPr>
              <w:t>BIT scope</w:t>
            </w:r>
          </w:p>
        </w:tc>
        <w:tc>
          <w:tcPr>
            <w:tcW w:w="1843" w:type="dxa"/>
            <w:vAlign w:val="bottom"/>
          </w:tcPr>
          <w:p w14:paraId="22C178A1" w14:textId="4A33A948" w:rsidR="00864E91" w:rsidRPr="00441AF5" w:rsidRDefault="00864E91" w:rsidP="006D535C">
            <w:pPr>
              <w:pStyle w:val="EBBullet"/>
              <w:numPr>
                <w:ilvl w:val="0"/>
                <w:numId w:val="0"/>
              </w:numPr>
              <w:spacing w:before="40" w:after="40" w:line="259" w:lineRule="auto"/>
              <w:rPr>
                <w:b/>
                <w:color w:val="auto"/>
              </w:rPr>
            </w:pPr>
            <w:r w:rsidRPr="00441AF5">
              <w:rPr>
                <w:b/>
                <w:color w:val="auto"/>
              </w:rPr>
              <w:t>Direct / Indirect</w:t>
            </w:r>
          </w:p>
        </w:tc>
        <w:tc>
          <w:tcPr>
            <w:tcW w:w="1985" w:type="dxa"/>
            <w:vAlign w:val="bottom"/>
          </w:tcPr>
          <w:p w14:paraId="18521E29" w14:textId="21552A4B" w:rsidR="00864E91" w:rsidRPr="00441AF5" w:rsidRDefault="005A5882" w:rsidP="006D535C">
            <w:pPr>
              <w:pStyle w:val="EBBullet"/>
              <w:numPr>
                <w:ilvl w:val="0"/>
                <w:numId w:val="0"/>
              </w:numPr>
              <w:spacing w:before="40" w:after="40" w:line="259" w:lineRule="auto"/>
              <w:rPr>
                <w:b/>
                <w:color w:val="auto"/>
              </w:rPr>
            </w:pPr>
            <w:r>
              <w:rPr>
                <w:b/>
                <w:color w:val="auto"/>
              </w:rPr>
              <w:t>Central Scenario</w:t>
            </w:r>
          </w:p>
        </w:tc>
      </w:tr>
      <w:tr w:rsidR="001D081D" w:rsidRPr="001D081D" w14:paraId="2329B9A9" w14:textId="639F9518" w:rsidTr="006D535C">
        <w:trPr>
          <w:trHeight w:val="340"/>
        </w:trPr>
        <w:tc>
          <w:tcPr>
            <w:tcW w:w="4531" w:type="dxa"/>
            <w:vAlign w:val="bottom"/>
          </w:tcPr>
          <w:p w14:paraId="5A99F20A" w14:textId="0244A27B" w:rsidR="00864E91" w:rsidRPr="00441AF5" w:rsidRDefault="00864E91" w:rsidP="006D535C">
            <w:pPr>
              <w:pStyle w:val="EBBullet"/>
              <w:numPr>
                <w:ilvl w:val="0"/>
                <w:numId w:val="0"/>
              </w:numPr>
              <w:spacing w:before="40" w:after="40" w:line="259" w:lineRule="auto"/>
              <w:rPr>
                <w:b/>
                <w:color w:val="auto"/>
              </w:rPr>
            </w:pPr>
            <w:r w:rsidRPr="00441AF5">
              <w:rPr>
                <w:b/>
                <w:color w:val="auto"/>
              </w:rPr>
              <w:t>Set-up cost</w:t>
            </w:r>
          </w:p>
        </w:tc>
        <w:tc>
          <w:tcPr>
            <w:tcW w:w="1134" w:type="dxa"/>
            <w:vMerge w:val="restart"/>
            <w:vAlign w:val="center"/>
          </w:tcPr>
          <w:p w14:paraId="6CB1E0FC" w14:textId="77777777" w:rsidR="00864E91" w:rsidRPr="00441AF5" w:rsidRDefault="00864E91" w:rsidP="008D0EA4">
            <w:pPr>
              <w:pStyle w:val="EBBullet"/>
              <w:numPr>
                <w:ilvl w:val="0"/>
                <w:numId w:val="0"/>
              </w:numPr>
              <w:spacing w:before="40" w:after="40" w:line="259" w:lineRule="auto"/>
              <w:jc w:val="center"/>
              <w:rPr>
                <w:color w:val="auto"/>
              </w:rPr>
            </w:pPr>
          </w:p>
        </w:tc>
        <w:tc>
          <w:tcPr>
            <w:tcW w:w="1843" w:type="dxa"/>
            <w:vAlign w:val="center"/>
          </w:tcPr>
          <w:p w14:paraId="7F110CAB" w14:textId="77777777" w:rsidR="00864E91" w:rsidRPr="00441AF5" w:rsidRDefault="00864E91" w:rsidP="006D535C">
            <w:pPr>
              <w:pStyle w:val="EBBullet"/>
              <w:numPr>
                <w:ilvl w:val="0"/>
                <w:numId w:val="0"/>
              </w:numPr>
              <w:spacing w:before="40" w:after="40" w:line="259" w:lineRule="auto"/>
              <w:rPr>
                <w:color w:val="auto"/>
              </w:rPr>
            </w:pPr>
            <w:r w:rsidRPr="00441AF5">
              <w:rPr>
                <w:color w:val="auto"/>
              </w:rPr>
              <w:t>Direct</w:t>
            </w:r>
          </w:p>
        </w:tc>
        <w:tc>
          <w:tcPr>
            <w:tcW w:w="1985" w:type="dxa"/>
            <w:vAlign w:val="center"/>
          </w:tcPr>
          <w:p w14:paraId="0139D840" w14:textId="2B5E9506" w:rsidR="00864E91" w:rsidRPr="008F0E0B" w:rsidRDefault="003D5574" w:rsidP="008D0EA4">
            <w:pPr>
              <w:pStyle w:val="EBBullet"/>
              <w:numPr>
                <w:ilvl w:val="0"/>
                <w:numId w:val="0"/>
              </w:numPr>
              <w:spacing w:before="40" w:after="40" w:line="259" w:lineRule="auto"/>
              <w:jc w:val="right"/>
              <w:rPr>
                <w:color w:val="auto"/>
              </w:rPr>
            </w:pPr>
            <w:r w:rsidRPr="008F0E0B">
              <w:rPr>
                <w:color w:val="auto"/>
              </w:rPr>
              <w:t>4</w:t>
            </w:r>
            <w:r w:rsidR="00ED599B" w:rsidRPr="008F0E0B">
              <w:rPr>
                <w:color w:val="auto"/>
              </w:rPr>
              <w:t>86.7</w:t>
            </w:r>
          </w:p>
        </w:tc>
      </w:tr>
      <w:tr w:rsidR="001D081D" w:rsidRPr="001D081D" w14:paraId="7E39BA28" w14:textId="16997803" w:rsidTr="006D535C">
        <w:trPr>
          <w:trHeight w:val="340"/>
        </w:trPr>
        <w:tc>
          <w:tcPr>
            <w:tcW w:w="4531" w:type="dxa"/>
            <w:vAlign w:val="bottom"/>
          </w:tcPr>
          <w:p w14:paraId="12C45AE5" w14:textId="388931B4" w:rsidR="00864E91" w:rsidRPr="00441AF5" w:rsidRDefault="00864E91" w:rsidP="006D535C">
            <w:pPr>
              <w:pStyle w:val="EBBullet"/>
              <w:numPr>
                <w:ilvl w:val="0"/>
                <w:numId w:val="0"/>
              </w:numPr>
              <w:spacing w:before="40" w:after="40" w:line="259" w:lineRule="auto"/>
              <w:rPr>
                <w:b/>
                <w:color w:val="auto"/>
              </w:rPr>
            </w:pPr>
            <w:r w:rsidRPr="00441AF5">
              <w:rPr>
                <w:b/>
                <w:color w:val="auto"/>
              </w:rPr>
              <w:t>On-going cost</w:t>
            </w:r>
          </w:p>
        </w:tc>
        <w:tc>
          <w:tcPr>
            <w:tcW w:w="1134" w:type="dxa"/>
            <w:vMerge/>
            <w:vAlign w:val="center"/>
          </w:tcPr>
          <w:p w14:paraId="5014ACD9" w14:textId="77777777" w:rsidR="00864E91" w:rsidRPr="00441AF5" w:rsidRDefault="00864E91" w:rsidP="008D0EA4">
            <w:pPr>
              <w:pStyle w:val="EBBullet"/>
              <w:numPr>
                <w:ilvl w:val="0"/>
                <w:numId w:val="0"/>
              </w:numPr>
              <w:spacing w:before="40" w:after="40" w:line="259" w:lineRule="auto"/>
              <w:jc w:val="center"/>
              <w:rPr>
                <w:color w:val="auto"/>
              </w:rPr>
            </w:pPr>
          </w:p>
        </w:tc>
        <w:tc>
          <w:tcPr>
            <w:tcW w:w="1843" w:type="dxa"/>
            <w:vAlign w:val="center"/>
          </w:tcPr>
          <w:p w14:paraId="4437D11E" w14:textId="77777777" w:rsidR="00864E91" w:rsidRPr="00441AF5" w:rsidRDefault="00864E91" w:rsidP="006D535C">
            <w:pPr>
              <w:pStyle w:val="EBBullet"/>
              <w:numPr>
                <w:ilvl w:val="0"/>
                <w:numId w:val="0"/>
              </w:numPr>
              <w:spacing w:before="40" w:after="40" w:line="259" w:lineRule="auto"/>
              <w:rPr>
                <w:color w:val="auto"/>
              </w:rPr>
            </w:pPr>
            <w:r w:rsidRPr="00441AF5">
              <w:rPr>
                <w:color w:val="auto"/>
              </w:rPr>
              <w:t>Direct</w:t>
            </w:r>
          </w:p>
        </w:tc>
        <w:tc>
          <w:tcPr>
            <w:tcW w:w="1985" w:type="dxa"/>
            <w:vAlign w:val="center"/>
          </w:tcPr>
          <w:p w14:paraId="38610CED" w14:textId="1E4B90BB" w:rsidR="00864E91" w:rsidRPr="008F0E0B" w:rsidRDefault="00530C41" w:rsidP="008F0E0B">
            <w:pPr>
              <w:pStyle w:val="EBBullet"/>
              <w:numPr>
                <w:ilvl w:val="0"/>
                <w:numId w:val="0"/>
              </w:numPr>
              <w:spacing w:before="40" w:after="40" w:line="259" w:lineRule="auto"/>
              <w:ind w:left="720"/>
              <w:jc w:val="right"/>
              <w:rPr>
                <w:color w:val="auto"/>
              </w:rPr>
            </w:pPr>
            <w:r w:rsidRPr="008F0E0B">
              <w:rPr>
                <w:color w:val="auto"/>
              </w:rPr>
              <w:t>457.9</w:t>
            </w:r>
          </w:p>
        </w:tc>
      </w:tr>
      <w:tr w:rsidR="001D081D" w:rsidRPr="001D081D" w14:paraId="72CE1C62" w14:textId="77777777" w:rsidTr="006D535C">
        <w:trPr>
          <w:trHeight w:val="340"/>
        </w:trPr>
        <w:tc>
          <w:tcPr>
            <w:tcW w:w="4531" w:type="dxa"/>
            <w:vAlign w:val="bottom"/>
          </w:tcPr>
          <w:p w14:paraId="2FF1A6B3" w14:textId="07DCB144" w:rsidR="00B92B4D" w:rsidRPr="00441AF5" w:rsidRDefault="00B92B4D" w:rsidP="006D535C">
            <w:pPr>
              <w:pStyle w:val="EBBullet"/>
              <w:numPr>
                <w:ilvl w:val="0"/>
                <w:numId w:val="0"/>
              </w:numPr>
              <w:spacing w:before="40" w:after="40" w:line="259" w:lineRule="auto"/>
              <w:rPr>
                <w:b/>
                <w:color w:val="auto"/>
              </w:rPr>
            </w:pPr>
            <w:r w:rsidRPr="00441AF5">
              <w:rPr>
                <w:b/>
                <w:color w:val="auto"/>
              </w:rPr>
              <w:t>Total cost</w:t>
            </w:r>
          </w:p>
        </w:tc>
        <w:tc>
          <w:tcPr>
            <w:tcW w:w="1134" w:type="dxa"/>
            <w:vMerge/>
            <w:vAlign w:val="center"/>
          </w:tcPr>
          <w:p w14:paraId="6494E12A" w14:textId="77777777" w:rsidR="00B92B4D" w:rsidRPr="00441AF5" w:rsidRDefault="00B92B4D" w:rsidP="008D0EA4">
            <w:pPr>
              <w:pStyle w:val="EBBullet"/>
              <w:numPr>
                <w:ilvl w:val="0"/>
                <w:numId w:val="0"/>
              </w:numPr>
              <w:spacing w:before="40" w:after="40" w:line="259" w:lineRule="auto"/>
              <w:jc w:val="center"/>
              <w:rPr>
                <w:color w:val="auto"/>
              </w:rPr>
            </w:pPr>
          </w:p>
        </w:tc>
        <w:tc>
          <w:tcPr>
            <w:tcW w:w="1843" w:type="dxa"/>
            <w:vAlign w:val="center"/>
          </w:tcPr>
          <w:p w14:paraId="3E8EF4AE" w14:textId="063C1160" w:rsidR="00B92B4D" w:rsidRPr="00441AF5" w:rsidRDefault="00B92B4D" w:rsidP="006D535C">
            <w:pPr>
              <w:pStyle w:val="EBBullet"/>
              <w:numPr>
                <w:ilvl w:val="0"/>
                <w:numId w:val="0"/>
              </w:numPr>
              <w:spacing w:before="40" w:after="40" w:line="259" w:lineRule="auto"/>
              <w:rPr>
                <w:b/>
                <w:color w:val="auto"/>
              </w:rPr>
            </w:pPr>
            <w:r w:rsidRPr="00441AF5">
              <w:rPr>
                <w:b/>
                <w:color w:val="auto"/>
              </w:rPr>
              <w:t>Direct</w:t>
            </w:r>
          </w:p>
        </w:tc>
        <w:tc>
          <w:tcPr>
            <w:tcW w:w="1985" w:type="dxa"/>
            <w:vAlign w:val="center"/>
          </w:tcPr>
          <w:p w14:paraId="0D4D8AAF" w14:textId="6406E828" w:rsidR="00B92B4D" w:rsidRPr="008F0E0B" w:rsidRDefault="00530C41" w:rsidP="006D535C">
            <w:pPr>
              <w:pStyle w:val="EBBullet"/>
              <w:numPr>
                <w:ilvl w:val="0"/>
                <w:numId w:val="0"/>
              </w:numPr>
              <w:spacing w:before="40" w:after="40" w:line="259" w:lineRule="auto"/>
              <w:jc w:val="right"/>
              <w:rPr>
                <w:b/>
                <w:color w:val="auto"/>
              </w:rPr>
            </w:pPr>
            <w:r w:rsidRPr="008F0E0B">
              <w:rPr>
                <w:b/>
                <w:color w:val="auto"/>
              </w:rPr>
              <w:t>944.6</w:t>
            </w:r>
          </w:p>
        </w:tc>
      </w:tr>
      <w:tr w:rsidR="001D081D" w:rsidRPr="001D081D" w14:paraId="04E931AA" w14:textId="75CA1C2C" w:rsidTr="006D535C">
        <w:trPr>
          <w:trHeight w:val="340"/>
        </w:trPr>
        <w:tc>
          <w:tcPr>
            <w:tcW w:w="4531" w:type="dxa"/>
            <w:vAlign w:val="bottom"/>
          </w:tcPr>
          <w:p w14:paraId="07A79D7A" w14:textId="788A5FC4" w:rsidR="00864E91" w:rsidRPr="00441AF5" w:rsidRDefault="00864E91" w:rsidP="006D535C">
            <w:pPr>
              <w:pStyle w:val="EBBullet"/>
              <w:numPr>
                <w:ilvl w:val="0"/>
                <w:numId w:val="0"/>
              </w:numPr>
              <w:spacing w:before="40" w:after="40" w:line="259" w:lineRule="auto"/>
              <w:rPr>
                <w:b/>
                <w:color w:val="auto"/>
              </w:rPr>
            </w:pPr>
            <w:r w:rsidRPr="00441AF5">
              <w:rPr>
                <w:b/>
                <w:color w:val="auto"/>
              </w:rPr>
              <w:t>Benefits</w:t>
            </w:r>
            <w:r w:rsidRPr="00441AF5">
              <w:rPr>
                <w:b/>
                <w:color w:val="auto"/>
                <w:vertAlign w:val="superscript"/>
              </w:rPr>
              <w:t>1</w:t>
            </w:r>
          </w:p>
        </w:tc>
        <w:tc>
          <w:tcPr>
            <w:tcW w:w="1134" w:type="dxa"/>
            <w:vMerge/>
            <w:vAlign w:val="center"/>
          </w:tcPr>
          <w:p w14:paraId="71492DC4" w14:textId="77777777" w:rsidR="00864E91" w:rsidRPr="00441AF5" w:rsidRDefault="00864E91" w:rsidP="008D0EA4">
            <w:pPr>
              <w:pStyle w:val="EBBullet"/>
              <w:numPr>
                <w:ilvl w:val="0"/>
                <w:numId w:val="0"/>
              </w:numPr>
              <w:spacing w:before="40" w:after="40" w:line="259" w:lineRule="auto"/>
              <w:jc w:val="center"/>
              <w:rPr>
                <w:color w:val="auto"/>
              </w:rPr>
            </w:pPr>
          </w:p>
        </w:tc>
        <w:tc>
          <w:tcPr>
            <w:tcW w:w="1843" w:type="dxa"/>
            <w:vAlign w:val="center"/>
          </w:tcPr>
          <w:p w14:paraId="1F6D9BA3" w14:textId="77777777" w:rsidR="00864E91" w:rsidRPr="00441AF5" w:rsidRDefault="00864E91" w:rsidP="006D535C">
            <w:pPr>
              <w:pStyle w:val="EBBullet"/>
              <w:numPr>
                <w:ilvl w:val="0"/>
                <w:numId w:val="0"/>
              </w:numPr>
              <w:spacing w:before="40" w:after="40" w:line="259" w:lineRule="auto"/>
              <w:rPr>
                <w:color w:val="auto"/>
              </w:rPr>
            </w:pPr>
            <w:r w:rsidRPr="00441AF5">
              <w:rPr>
                <w:color w:val="auto"/>
              </w:rPr>
              <w:t>Indirect</w:t>
            </w:r>
          </w:p>
        </w:tc>
        <w:tc>
          <w:tcPr>
            <w:tcW w:w="1985" w:type="dxa"/>
            <w:vAlign w:val="center"/>
          </w:tcPr>
          <w:p w14:paraId="381B2863" w14:textId="2F5C2245" w:rsidR="00864E91" w:rsidRPr="008F0E0B" w:rsidRDefault="00864E91" w:rsidP="008D0EA4">
            <w:pPr>
              <w:pStyle w:val="EBBullet"/>
              <w:numPr>
                <w:ilvl w:val="0"/>
                <w:numId w:val="0"/>
              </w:numPr>
              <w:spacing w:before="40" w:after="40" w:line="259" w:lineRule="auto"/>
              <w:jc w:val="right"/>
              <w:rPr>
                <w:color w:val="auto"/>
              </w:rPr>
            </w:pPr>
            <w:r w:rsidRPr="008F0E0B">
              <w:rPr>
                <w:color w:val="auto"/>
              </w:rPr>
              <w:t>0.0</w:t>
            </w:r>
          </w:p>
        </w:tc>
      </w:tr>
      <w:tr w:rsidR="001D081D" w:rsidRPr="001D081D" w14:paraId="04AA3BAF" w14:textId="70FE6D18" w:rsidTr="006D535C">
        <w:trPr>
          <w:trHeight w:val="340"/>
        </w:trPr>
        <w:tc>
          <w:tcPr>
            <w:tcW w:w="4531" w:type="dxa"/>
            <w:vAlign w:val="bottom"/>
          </w:tcPr>
          <w:p w14:paraId="0122F61E" w14:textId="77777777" w:rsidR="00864E91" w:rsidRPr="00441AF5" w:rsidRDefault="00864E91" w:rsidP="006D535C">
            <w:pPr>
              <w:pStyle w:val="EBBullet"/>
              <w:numPr>
                <w:ilvl w:val="0"/>
                <w:numId w:val="0"/>
              </w:numPr>
              <w:spacing w:before="40" w:after="40" w:line="259" w:lineRule="auto"/>
              <w:rPr>
                <w:b/>
                <w:color w:val="auto"/>
              </w:rPr>
            </w:pPr>
            <w:r w:rsidRPr="00441AF5">
              <w:rPr>
                <w:b/>
                <w:color w:val="auto"/>
              </w:rPr>
              <w:t>NPSV</w:t>
            </w:r>
          </w:p>
        </w:tc>
        <w:tc>
          <w:tcPr>
            <w:tcW w:w="1134" w:type="dxa"/>
            <w:vMerge/>
            <w:vAlign w:val="center"/>
          </w:tcPr>
          <w:p w14:paraId="3AAC9200" w14:textId="77777777" w:rsidR="00864E91" w:rsidRPr="00441AF5" w:rsidRDefault="00864E91" w:rsidP="007335EA">
            <w:pPr>
              <w:pStyle w:val="EBBullet"/>
              <w:numPr>
                <w:ilvl w:val="2"/>
                <w:numId w:val="5"/>
              </w:numPr>
              <w:spacing w:before="40" w:after="40" w:line="259" w:lineRule="auto"/>
              <w:jc w:val="center"/>
              <w:rPr>
                <w:color w:val="auto"/>
              </w:rPr>
            </w:pPr>
          </w:p>
        </w:tc>
        <w:tc>
          <w:tcPr>
            <w:tcW w:w="1843" w:type="dxa"/>
            <w:vAlign w:val="center"/>
          </w:tcPr>
          <w:p w14:paraId="0969CF20" w14:textId="77777777" w:rsidR="00864E91" w:rsidRPr="00441AF5" w:rsidRDefault="00864E91" w:rsidP="006D535C">
            <w:pPr>
              <w:pStyle w:val="EBBullet"/>
              <w:numPr>
                <w:ilvl w:val="0"/>
                <w:numId w:val="0"/>
              </w:numPr>
              <w:spacing w:before="40" w:after="40" w:line="259" w:lineRule="auto"/>
              <w:rPr>
                <w:b/>
                <w:color w:val="auto"/>
              </w:rPr>
            </w:pPr>
            <w:r w:rsidRPr="00441AF5">
              <w:rPr>
                <w:b/>
                <w:color w:val="auto"/>
              </w:rPr>
              <w:t>Indirect</w:t>
            </w:r>
          </w:p>
        </w:tc>
        <w:tc>
          <w:tcPr>
            <w:tcW w:w="1985" w:type="dxa"/>
            <w:vAlign w:val="center"/>
          </w:tcPr>
          <w:p w14:paraId="7C8B3CD9" w14:textId="73EAC6DF" w:rsidR="00864E91" w:rsidRPr="008F0E0B" w:rsidRDefault="008454A3" w:rsidP="008D0EA4">
            <w:pPr>
              <w:pStyle w:val="EBBullet"/>
              <w:numPr>
                <w:ilvl w:val="0"/>
                <w:numId w:val="0"/>
              </w:numPr>
              <w:spacing w:before="40" w:after="40" w:line="259" w:lineRule="auto"/>
              <w:jc w:val="right"/>
              <w:rPr>
                <w:b/>
                <w:color w:val="auto"/>
              </w:rPr>
            </w:pPr>
            <w:r>
              <w:rPr>
                <w:b/>
                <w:color w:val="auto"/>
              </w:rPr>
              <w:t>-</w:t>
            </w:r>
            <w:r w:rsidR="006038A6">
              <w:rPr>
                <w:b/>
                <w:color w:val="auto"/>
              </w:rPr>
              <w:t>873.</w:t>
            </w:r>
            <w:r w:rsidR="00F31ADB" w:rsidRPr="008F0E0B">
              <w:rPr>
                <w:b/>
                <w:color w:val="auto"/>
              </w:rPr>
              <w:t>7</w:t>
            </w:r>
          </w:p>
        </w:tc>
      </w:tr>
      <w:tr w:rsidR="001D081D" w:rsidRPr="001D081D" w14:paraId="2620975F" w14:textId="46D06A3E" w:rsidTr="006D535C">
        <w:trPr>
          <w:trHeight w:val="340"/>
        </w:trPr>
        <w:tc>
          <w:tcPr>
            <w:tcW w:w="4531" w:type="dxa"/>
            <w:vAlign w:val="bottom"/>
          </w:tcPr>
          <w:p w14:paraId="11C05CF4" w14:textId="77777777" w:rsidR="00864E91" w:rsidRPr="00441AF5" w:rsidRDefault="00864E91" w:rsidP="006D535C">
            <w:pPr>
              <w:pStyle w:val="EBBullet"/>
              <w:numPr>
                <w:ilvl w:val="0"/>
                <w:numId w:val="0"/>
              </w:numPr>
              <w:spacing w:before="40" w:after="40" w:line="259" w:lineRule="auto"/>
              <w:rPr>
                <w:b/>
                <w:color w:val="auto"/>
              </w:rPr>
            </w:pPr>
            <w:r w:rsidRPr="00441AF5">
              <w:rPr>
                <w:b/>
                <w:color w:val="auto"/>
              </w:rPr>
              <w:t>BNPV</w:t>
            </w:r>
          </w:p>
        </w:tc>
        <w:tc>
          <w:tcPr>
            <w:tcW w:w="1134" w:type="dxa"/>
            <w:vMerge/>
            <w:vAlign w:val="center"/>
          </w:tcPr>
          <w:p w14:paraId="63D262C4" w14:textId="77777777" w:rsidR="00864E91" w:rsidRPr="00441AF5" w:rsidRDefault="00864E91" w:rsidP="008D0EA4">
            <w:pPr>
              <w:pStyle w:val="EBBullet"/>
              <w:numPr>
                <w:ilvl w:val="0"/>
                <w:numId w:val="0"/>
              </w:numPr>
              <w:spacing w:before="40" w:after="40" w:line="259" w:lineRule="auto"/>
              <w:jc w:val="center"/>
              <w:rPr>
                <w:color w:val="auto"/>
              </w:rPr>
            </w:pPr>
          </w:p>
        </w:tc>
        <w:tc>
          <w:tcPr>
            <w:tcW w:w="1843" w:type="dxa"/>
            <w:vAlign w:val="center"/>
          </w:tcPr>
          <w:p w14:paraId="1923F24A" w14:textId="77777777" w:rsidR="00864E91" w:rsidRPr="00441AF5" w:rsidRDefault="00864E91" w:rsidP="006D535C">
            <w:pPr>
              <w:pStyle w:val="EBBullet"/>
              <w:numPr>
                <w:ilvl w:val="0"/>
                <w:numId w:val="0"/>
              </w:numPr>
              <w:spacing w:before="40" w:after="40" w:line="259" w:lineRule="auto"/>
              <w:rPr>
                <w:b/>
                <w:color w:val="auto"/>
              </w:rPr>
            </w:pPr>
            <w:r w:rsidRPr="00441AF5">
              <w:rPr>
                <w:b/>
                <w:color w:val="auto"/>
              </w:rPr>
              <w:t>Direct</w:t>
            </w:r>
          </w:p>
        </w:tc>
        <w:tc>
          <w:tcPr>
            <w:tcW w:w="1985" w:type="dxa"/>
            <w:vAlign w:val="center"/>
          </w:tcPr>
          <w:p w14:paraId="52ABDBEB" w14:textId="46CFD71D" w:rsidR="003F305F" w:rsidRPr="008F0E0B" w:rsidRDefault="00F31ADB" w:rsidP="008D0EA4">
            <w:pPr>
              <w:pStyle w:val="EBBullet"/>
              <w:numPr>
                <w:ilvl w:val="0"/>
                <w:numId w:val="0"/>
              </w:numPr>
              <w:spacing w:before="40" w:after="40" w:line="259" w:lineRule="auto"/>
              <w:jc w:val="right"/>
              <w:rPr>
                <w:b/>
                <w:color w:val="auto"/>
              </w:rPr>
            </w:pPr>
            <w:r>
              <w:rPr>
                <w:b/>
                <w:color w:val="auto"/>
              </w:rPr>
              <w:t>-873.7</w:t>
            </w:r>
          </w:p>
        </w:tc>
      </w:tr>
      <w:tr w:rsidR="001D081D" w:rsidRPr="001D081D" w14:paraId="33D446E9" w14:textId="4C2BEF62" w:rsidTr="006D535C">
        <w:trPr>
          <w:trHeight w:val="340"/>
        </w:trPr>
        <w:tc>
          <w:tcPr>
            <w:tcW w:w="4531" w:type="dxa"/>
            <w:vAlign w:val="bottom"/>
          </w:tcPr>
          <w:p w14:paraId="4B5BD88D" w14:textId="065A58E8" w:rsidR="00864E91" w:rsidRPr="00441AF5" w:rsidRDefault="00864E91" w:rsidP="006D535C">
            <w:pPr>
              <w:pStyle w:val="EBBullet"/>
              <w:numPr>
                <w:ilvl w:val="0"/>
                <w:numId w:val="0"/>
              </w:numPr>
              <w:spacing w:before="40" w:after="40" w:line="259" w:lineRule="auto"/>
              <w:rPr>
                <w:b/>
                <w:color w:val="auto"/>
              </w:rPr>
            </w:pPr>
            <w:r w:rsidRPr="00441AF5">
              <w:rPr>
                <w:b/>
                <w:color w:val="auto"/>
              </w:rPr>
              <w:t xml:space="preserve">EANDCB </w:t>
            </w:r>
            <w:r w:rsidR="0027706E" w:rsidRPr="00441AF5">
              <w:rPr>
                <w:b/>
                <w:color w:val="auto"/>
              </w:rPr>
              <w:t>(20</w:t>
            </w:r>
            <w:r w:rsidR="00E2299C">
              <w:rPr>
                <w:b/>
                <w:color w:val="auto"/>
              </w:rPr>
              <w:t>19</w:t>
            </w:r>
            <w:r w:rsidR="0027706E" w:rsidRPr="00441AF5">
              <w:rPr>
                <w:b/>
                <w:color w:val="auto"/>
              </w:rPr>
              <w:t xml:space="preserve"> prices, 20</w:t>
            </w:r>
            <w:r w:rsidR="00E2299C">
              <w:rPr>
                <w:b/>
                <w:color w:val="auto"/>
              </w:rPr>
              <w:t>20</w:t>
            </w:r>
            <w:r w:rsidR="0027706E" w:rsidRPr="00441AF5">
              <w:rPr>
                <w:b/>
                <w:color w:val="auto"/>
              </w:rPr>
              <w:t xml:space="preserve"> </w:t>
            </w:r>
            <w:r w:rsidR="00E2299C">
              <w:rPr>
                <w:b/>
                <w:color w:val="auto"/>
              </w:rPr>
              <w:t>B</w:t>
            </w:r>
            <w:r w:rsidR="0027706E" w:rsidRPr="00441AF5">
              <w:rPr>
                <w:b/>
                <w:color w:val="auto"/>
              </w:rPr>
              <w:t>ase</w:t>
            </w:r>
            <w:r w:rsidR="00E2299C">
              <w:rPr>
                <w:b/>
                <w:color w:val="auto"/>
              </w:rPr>
              <w:t xml:space="preserve"> Year</w:t>
            </w:r>
            <w:r w:rsidR="0027706E" w:rsidRPr="00441AF5">
              <w:rPr>
                <w:b/>
                <w:color w:val="auto"/>
              </w:rPr>
              <w:t>)</w:t>
            </w:r>
          </w:p>
        </w:tc>
        <w:tc>
          <w:tcPr>
            <w:tcW w:w="1134" w:type="dxa"/>
            <w:vAlign w:val="center"/>
          </w:tcPr>
          <w:p w14:paraId="214F94BB" w14:textId="77777777" w:rsidR="00864E91" w:rsidRPr="00441AF5" w:rsidRDefault="00864E91" w:rsidP="006D535C">
            <w:pPr>
              <w:pStyle w:val="EBBullet"/>
              <w:numPr>
                <w:ilvl w:val="0"/>
                <w:numId w:val="0"/>
              </w:numPr>
              <w:spacing w:before="40" w:after="40" w:line="259" w:lineRule="auto"/>
              <w:jc w:val="center"/>
              <w:rPr>
                <w:color w:val="auto"/>
              </w:rPr>
            </w:pPr>
            <w:r w:rsidRPr="00441AF5">
              <w:rPr>
                <w:color w:val="auto"/>
              </w:rPr>
              <w:t>Y</w:t>
            </w:r>
          </w:p>
        </w:tc>
        <w:tc>
          <w:tcPr>
            <w:tcW w:w="1843" w:type="dxa"/>
            <w:vAlign w:val="center"/>
          </w:tcPr>
          <w:p w14:paraId="05098F3F" w14:textId="77777777" w:rsidR="00864E91" w:rsidRPr="00441AF5" w:rsidRDefault="00864E91" w:rsidP="006D535C">
            <w:pPr>
              <w:pStyle w:val="EBBullet"/>
              <w:numPr>
                <w:ilvl w:val="0"/>
                <w:numId w:val="0"/>
              </w:numPr>
              <w:spacing w:before="40" w:after="40" w:line="259" w:lineRule="auto"/>
              <w:rPr>
                <w:b/>
                <w:color w:val="auto"/>
              </w:rPr>
            </w:pPr>
            <w:r w:rsidRPr="00441AF5">
              <w:rPr>
                <w:b/>
                <w:color w:val="auto"/>
              </w:rPr>
              <w:t>Direct</w:t>
            </w:r>
          </w:p>
        </w:tc>
        <w:tc>
          <w:tcPr>
            <w:tcW w:w="1985" w:type="dxa"/>
            <w:vAlign w:val="center"/>
          </w:tcPr>
          <w:p w14:paraId="6FABFB4A" w14:textId="7CBB1394" w:rsidR="00864E91" w:rsidRPr="008F0E0B" w:rsidRDefault="00295C82" w:rsidP="007D61C8">
            <w:pPr>
              <w:pStyle w:val="EBBullet"/>
              <w:numPr>
                <w:ilvl w:val="0"/>
                <w:numId w:val="0"/>
              </w:numPr>
              <w:spacing w:before="40" w:after="40" w:line="259" w:lineRule="auto"/>
              <w:jc w:val="right"/>
              <w:rPr>
                <w:b/>
                <w:color w:val="auto"/>
              </w:rPr>
            </w:pPr>
            <w:r w:rsidRPr="008F0E0B">
              <w:rPr>
                <w:b/>
                <w:color w:val="auto"/>
              </w:rPr>
              <w:t>7</w:t>
            </w:r>
            <w:r w:rsidR="003B29C1" w:rsidRPr="008F0E0B">
              <w:rPr>
                <w:b/>
                <w:color w:val="auto"/>
              </w:rPr>
              <w:t>6</w:t>
            </w:r>
            <w:r w:rsidR="007F6366" w:rsidRPr="008F0E0B">
              <w:rPr>
                <w:b/>
                <w:color w:val="auto"/>
              </w:rPr>
              <w:t>.</w:t>
            </w:r>
            <w:r w:rsidR="003B29C1" w:rsidRPr="008F0E0B">
              <w:rPr>
                <w:b/>
                <w:color w:val="auto"/>
              </w:rPr>
              <w:t>4</w:t>
            </w:r>
          </w:p>
        </w:tc>
      </w:tr>
    </w:tbl>
    <w:p w14:paraId="71B12A63" w14:textId="5F98480E" w:rsidR="00BD3857" w:rsidRPr="00511D4A" w:rsidRDefault="00BD3857" w:rsidP="00BD3857">
      <w:pPr>
        <w:pStyle w:val="EBBullet"/>
        <w:numPr>
          <w:ilvl w:val="0"/>
          <w:numId w:val="0"/>
        </w:numPr>
        <w:spacing w:after="0" w:line="259" w:lineRule="auto"/>
        <w:ind w:left="567"/>
        <w:jc w:val="both"/>
        <w:rPr>
          <w:bCs w:val="0"/>
          <w:color w:val="auto"/>
          <w:sz w:val="18"/>
          <w:szCs w:val="18"/>
        </w:rPr>
      </w:pPr>
      <w:r w:rsidRPr="00511D4A">
        <w:rPr>
          <w:bCs w:val="0"/>
          <w:color w:val="auto"/>
          <w:sz w:val="18"/>
          <w:szCs w:val="18"/>
        </w:rPr>
        <w:t>Source: Home Office, own estimates.</w:t>
      </w:r>
    </w:p>
    <w:p w14:paraId="45FB2830" w14:textId="77777777" w:rsidR="00C564A8" w:rsidRDefault="00BD3857" w:rsidP="00C564A8">
      <w:pPr>
        <w:pStyle w:val="EBBullet"/>
        <w:numPr>
          <w:ilvl w:val="0"/>
          <w:numId w:val="0"/>
        </w:numPr>
        <w:spacing w:line="259" w:lineRule="auto"/>
        <w:ind w:left="567"/>
        <w:contextualSpacing/>
        <w:jc w:val="both"/>
        <w:rPr>
          <w:bCs w:val="0"/>
          <w:color w:val="auto"/>
          <w:sz w:val="18"/>
          <w:szCs w:val="18"/>
        </w:rPr>
      </w:pPr>
      <w:r w:rsidRPr="00511D4A">
        <w:rPr>
          <w:bCs w:val="0"/>
          <w:color w:val="auto"/>
          <w:sz w:val="18"/>
          <w:szCs w:val="18"/>
        </w:rPr>
        <w:t xml:space="preserve">Note: </w:t>
      </w:r>
      <w:r w:rsidR="00DF0649" w:rsidRPr="00511D4A">
        <w:rPr>
          <w:bCs w:val="0"/>
          <w:color w:val="auto"/>
          <w:sz w:val="18"/>
          <w:szCs w:val="18"/>
        </w:rPr>
        <w:t>Option 2 applies to all large organisations.</w:t>
      </w:r>
      <w:r w:rsidR="00B92B4D" w:rsidRPr="00511D4A">
        <w:rPr>
          <w:bCs w:val="0"/>
          <w:color w:val="auto"/>
          <w:sz w:val="18"/>
          <w:szCs w:val="18"/>
        </w:rPr>
        <w:t xml:space="preserve"> </w:t>
      </w:r>
    </w:p>
    <w:p w14:paraId="71A95352" w14:textId="2DB6E252" w:rsidR="00BD3857" w:rsidRPr="00511D4A" w:rsidRDefault="00BD3857" w:rsidP="00C564A8">
      <w:pPr>
        <w:pStyle w:val="EBBullet"/>
        <w:numPr>
          <w:ilvl w:val="0"/>
          <w:numId w:val="0"/>
        </w:numPr>
        <w:spacing w:line="259" w:lineRule="auto"/>
        <w:ind w:left="567"/>
        <w:contextualSpacing/>
        <w:jc w:val="both"/>
        <w:rPr>
          <w:bCs w:val="0"/>
          <w:color w:val="auto"/>
          <w:sz w:val="18"/>
          <w:szCs w:val="18"/>
        </w:rPr>
      </w:pPr>
      <w:r w:rsidRPr="00511D4A">
        <w:rPr>
          <w:bCs w:val="0"/>
          <w:color w:val="auto"/>
          <w:sz w:val="18"/>
          <w:szCs w:val="18"/>
        </w:rPr>
        <w:t>1. Qualitative assessment only for benefits</w:t>
      </w:r>
      <w:r w:rsidR="00DF0649" w:rsidRPr="00511D4A">
        <w:rPr>
          <w:bCs w:val="0"/>
          <w:color w:val="auto"/>
          <w:sz w:val="18"/>
          <w:szCs w:val="18"/>
        </w:rPr>
        <w:t>. Estimates of NPSV and EANDCB assume that the measure comes into force in 202</w:t>
      </w:r>
      <w:r w:rsidR="00FA5299">
        <w:rPr>
          <w:bCs w:val="0"/>
          <w:color w:val="auto"/>
          <w:sz w:val="18"/>
          <w:szCs w:val="18"/>
        </w:rPr>
        <w:t>4</w:t>
      </w:r>
      <w:r w:rsidR="00DF0649" w:rsidRPr="00511D4A">
        <w:rPr>
          <w:bCs w:val="0"/>
          <w:color w:val="auto"/>
          <w:sz w:val="18"/>
          <w:szCs w:val="18"/>
        </w:rPr>
        <w:t xml:space="preserve"> and the costs arise from that point on</w:t>
      </w:r>
      <w:r w:rsidR="00FE476A" w:rsidRPr="00511D4A">
        <w:rPr>
          <w:bCs w:val="0"/>
          <w:color w:val="auto"/>
          <w:sz w:val="18"/>
          <w:szCs w:val="18"/>
        </w:rPr>
        <w:t>.</w:t>
      </w:r>
    </w:p>
    <w:p w14:paraId="63949F91" w14:textId="77777777" w:rsidR="00D75084" w:rsidRPr="00441AF5" w:rsidRDefault="00D75084" w:rsidP="00BD3857">
      <w:pPr>
        <w:pStyle w:val="EBBullet"/>
        <w:numPr>
          <w:ilvl w:val="0"/>
          <w:numId w:val="0"/>
        </w:numPr>
        <w:spacing w:line="259" w:lineRule="auto"/>
        <w:ind w:left="567"/>
        <w:jc w:val="both"/>
        <w:rPr>
          <w:bCs w:val="0"/>
          <w:color w:val="auto"/>
        </w:rPr>
      </w:pPr>
    </w:p>
    <w:p w14:paraId="13B0D673" w14:textId="16D132EE" w:rsidR="006F495A" w:rsidRPr="00C564A8" w:rsidRDefault="001F5423" w:rsidP="00234D97">
      <w:pPr>
        <w:pStyle w:val="EBBullet"/>
        <w:numPr>
          <w:ilvl w:val="0"/>
          <w:numId w:val="4"/>
        </w:numPr>
        <w:ind w:left="567" w:hanging="567"/>
        <w:jc w:val="both"/>
        <w:rPr>
          <w:b/>
          <w:color w:val="auto"/>
          <w:sz w:val="28"/>
          <w:szCs w:val="28"/>
        </w:rPr>
      </w:pPr>
      <w:r w:rsidRPr="00C564A8">
        <w:rPr>
          <w:b/>
          <w:color w:val="auto"/>
          <w:sz w:val="28"/>
          <w:szCs w:val="28"/>
        </w:rPr>
        <w:lastRenderedPageBreak/>
        <w:t>Wider</w:t>
      </w:r>
      <w:r w:rsidR="008B6E42" w:rsidRPr="00C564A8">
        <w:rPr>
          <w:b/>
          <w:color w:val="auto"/>
          <w:sz w:val="28"/>
          <w:szCs w:val="28"/>
        </w:rPr>
        <w:t xml:space="preserve"> impacts</w:t>
      </w:r>
    </w:p>
    <w:p w14:paraId="729B8370" w14:textId="530E5B9E" w:rsidR="00234D97" w:rsidRPr="00441AF5" w:rsidRDefault="00234D97" w:rsidP="001E00D1">
      <w:pPr>
        <w:pStyle w:val="EBBullet"/>
        <w:numPr>
          <w:ilvl w:val="0"/>
          <w:numId w:val="0"/>
        </w:numPr>
        <w:ind w:left="567"/>
        <w:jc w:val="both"/>
        <w:rPr>
          <w:bCs w:val="0"/>
          <w:color w:val="auto"/>
        </w:rPr>
      </w:pPr>
    </w:p>
    <w:p w14:paraId="5394D16F" w14:textId="77777777" w:rsidR="001114FA" w:rsidRDefault="00911DD4" w:rsidP="00A55741">
      <w:pPr>
        <w:pStyle w:val="EBBullet"/>
        <w:numPr>
          <w:ilvl w:val="0"/>
          <w:numId w:val="10"/>
        </w:numPr>
        <w:spacing w:line="259" w:lineRule="auto"/>
        <w:ind w:left="567" w:hanging="567"/>
        <w:jc w:val="both"/>
      </w:pPr>
      <w:r>
        <w:t>No groups with protected characteristics are disp</w:t>
      </w:r>
      <w:r w:rsidR="006E0E0D">
        <w:t>roportionately affected by this new legislation.</w:t>
      </w:r>
    </w:p>
    <w:p w14:paraId="1C9802E1" w14:textId="729550EC" w:rsidR="00587F3D" w:rsidRDefault="00587F3D" w:rsidP="00A55741">
      <w:pPr>
        <w:pStyle w:val="EBBullet"/>
        <w:numPr>
          <w:ilvl w:val="0"/>
          <w:numId w:val="10"/>
        </w:numPr>
        <w:spacing w:line="259" w:lineRule="auto"/>
        <w:ind w:left="567" w:hanging="567"/>
        <w:jc w:val="both"/>
      </w:pPr>
      <w:r>
        <w:t xml:space="preserve">It is not expected that this legislation will have any wider impact against </w:t>
      </w:r>
      <w:r w:rsidR="00D60D8E">
        <w:t xml:space="preserve">the environment, </w:t>
      </w:r>
      <w:r w:rsidR="00812DBB">
        <w:t xml:space="preserve">behaviours </w:t>
      </w:r>
      <w:r w:rsidR="006E1506">
        <w:t>or incentives or society in ge</w:t>
      </w:r>
      <w:r w:rsidR="00467FEB">
        <w:t>neral.</w:t>
      </w:r>
    </w:p>
    <w:p w14:paraId="03E440F4" w14:textId="43AB5798" w:rsidR="00317DF6" w:rsidRDefault="00CF472A" w:rsidP="00A55741">
      <w:pPr>
        <w:pStyle w:val="EBBullet"/>
        <w:numPr>
          <w:ilvl w:val="0"/>
          <w:numId w:val="10"/>
        </w:numPr>
        <w:spacing w:line="259" w:lineRule="auto"/>
        <w:ind w:left="567" w:hanging="567"/>
        <w:jc w:val="both"/>
      </w:pPr>
      <w:r>
        <w:t xml:space="preserve">There is a possibility that the </w:t>
      </w:r>
      <w:r w:rsidR="002E7B63">
        <w:t xml:space="preserve">there is an unintended impact on the behaviour of organisations that </w:t>
      </w:r>
      <w:r w:rsidR="009E52CB">
        <w:t xml:space="preserve">are already putting place sufficient anti-fraud procedures. There is a chance that this firms may further </w:t>
      </w:r>
      <w:r w:rsidR="00F51DCC">
        <w:t xml:space="preserve">improve their behaviours so to maintain a higher standard of anti-fraud procedures than organisations. This is especially likely to be the case </w:t>
      </w:r>
      <w:r w:rsidR="00275A33">
        <w:t xml:space="preserve">for organisations which </w:t>
      </w:r>
      <w:r w:rsidR="00176323">
        <w:t>market or pride</w:t>
      </w:r>
      <w:r w:rsidR="00275A33">
        <w:t xml:space="preserve"> themselves on having </w:t>
      </w:r>
      <w:r w:rsidR="00176323">
        <w:t>better anti-fraud procedures than o</w:t>
      </w:r>
      <w:r w:rsidR="00EA0CEC">
        <w:t xml:space="preserve">thers. In this case this may cause </w:t>
      </w:r>
      <w:r w:rsidR="007302B8">
        <w:t xml:space="preserve">organisations to incur costs even when they already meet the procedures that would provide </w:t>
      </w:r>
      <w:r w:rsidR="00FC434F">
        <w:t xml:space="preserve">them </w:t>
      </w:r>
      <w:r w:rsidR="007302B8">
        <w:t>sufficient defence in the event of prosecution.</w:t>
      </w:r>
      <w:permStart w:id="1217420138" w:edGrp="everyone"/>
      <w:permEnd w:id="1217420138"/>
    </w:p>
    <w:p w14:paraId="1F372296" w14:textId="54A7D9D7" w:rsidR="00234D97" w:rsidRPr="00441AF5" w:rsidRDefault="00234D97" w:rsidP="00E70F1B">
      <w:pPr>
        <w:pStyle w:val="EBBullet"/>
        <w:numPr>
          <w:ilvl w:val="0"/>
          <w:numId w:val="0"/>
        </w:numPr>
        <w:spacing w:line="259" w:lineRule="auto"/>
        <w:ind w:left="567" w:hanging="567"/>
        <w:jc w:val="both"/>
        <w:rPr>
          <w:b/>
          <w:color w:val="auto"/>
        </w:rPr>
      </w:pPr>
      <w:r w:rsidRPr="00441AF5">
        <w:rPr>
          <w:b/>
          <w:color w:val="auto"/>
        </w:rPr>
        <w:t xml:space="preserve">Competition </w:t>
      </w:r>
      <w:r w:rsidR="00D4783F" w:rsidRPr="00441AF5">
        <w:rPr>
          <w:b/>
          <w:color w:val="auto"/>
        </w:rPr>
        <w:t xml:space="preserve">and Innovation </w:t>
      </w:r>
      <w:r w:rsidRPr="00441AF5">
        <w:rPr>
          <w:b/>
          <w:color w:val="auto"/>
        </w:rPr>
        <w:t>Test</w:t>
      </w:r>
    </w:p>
    <w:p w14:paraId="129CECCE" w14:textId="4CE8049B" w:rsidR="008B4650" w:rsidRPr="00441AF5" w:rsidRDefault="00D4783F" w:rsidP="00E70F1B">
      <w:pPr>
        <w:pStyle w:val="EBBullet"/>
        <w:numPr>
          <w:ilvl w:val="0"/>
          <w:numId w:val="10"/>
        </w:numPr>
        <w:spacing w:line="259" w:lineRule="auto"/>
        <w:ind w:left="567" w:hanging="567"/>
        <w:jc w:val="both"/>
      </w:pPr>
      <w:r w:rsidRPr="00441AF5">
        <w:t xml:space="preserve">The proposed reforms affect companies across </w:t>
      </w:r>
      <w:r w:rsidR="00B536FC">
        <w:t xml:space="preserve">all </w:t>
      </w:r>
      <w:r w:rsidRPr="00441AF5">
        <w:t xml:space="preserve">sectors, and </w:t>
      </w:r>
      <w:r w:rsidR="00F0712B">
        <w:t xml:space="preserve">therefore </w:t>
      </w:r>
      <w:r w:rsidR="003F0E4C">
        <w:t xml:space="preserve">no </w:t>
      </w:r>
      <w:r w:rsidR="00B43830">
        <w:t xml:space="preserve">major </w:t>
      </w:r>
      <w:r w:rsidRPr="00441AF5">
        <w:t>competition and innovation impacts</w:t>
      </w:r>
      <w:r w:rsidR="003F0E4C">
        <w:t xml:space="preserve"> have been identified</w:t>
      </w:r>
      <w:r w:rsidRPr="00441AF5">
        <w:t xml:space="preserve">. The proposals will help strengthen and protect businesses </w:t>
      </w:r>
      <w:r w:rsidR="00C50541">
        <w:t xml:space="preserve">and also consumers </w:t>
      </w:r>
      <w:r w:rsidRPr="00441AF5">
        <w:t xml:space="preserve">who </w:t>
      </w:r>
      <w:r w:rsidR="002E4F2D" w:rsidRPr="00441AF5">
        <w:t xml:space="preserve">are the target of fraud </w:t>
      </w:r>
      <w:r w:rsidRPr="00441AF5">
        <w:t>from those who aim to abuse the current corporate framework.</w:t>
      </w:r>
      <w:r w:rsidR="00026393" w:rsidRPr="00441AF5">
        <w:t xml:space="preserve"> </w:t>
      </w:r>
    </w:p>
    <w:p w14:paraId="097D3D4F" w14:textId="3D9570B6" w:rsidR="00B43830" w:rsidRPr="001114FA" w:rsidRDefault="00B43830" w:rsidP="00A55741">
      <w:pPr>
        <w:pStyle w:val="EBBullet"/>
        <w:numPr>
          <w:ilvl w:val="0"/>
          <w:numId w:val="10"/>
        </w:numPr>
        <w:spacing w:line="259" w:lineRule="auto"/>
        <w:ind w:hanging="549"/>
        <w:jc w:val="both"/>
        <w:rPr>
          <w:rStyle w:val="CommentReference"/>
          <w:sz w:val="22"/>
          <w:szCs w:val="22"/>
        </w:rPr>
      </w:pPr>
      <w:r>
        <w:t xml:space="preserve">There is a chance that the exemptions of SMBs could provide them a competitive advantage. This may arise from organisations who fall under this legislation incurring the additional costs associated with the policy. This could be especially </w:t>
      </w:r>
      <w:r w:rsidR="009D3F7B">
        <w:t xml:space="preserve">true </w:t>
      </w:r>
      <w:r>
        <w:t xml:space="preserve">for organisations </w:t>
      </w:r>
      <w:r w:rsidR="7F378992">
        <w:t xml:space="preserve">just </w:t>
      </w:r>
      <w:r>
        <w:t>either</w:t>
      </w:r>
      <w:r w:rsidR="009D3F7B">
        <w:t xml:space="preserve"> </w:t>
      </w:r>
      <w:r>
        <w:t xml:space="preserve">side of the inclusion criteria, with organisations falling just below the thresholds and not incurring any costs gaining an advantage against competitors who fall above the threshold and do incur costs. </w:t>
      </w:r>
      <w:r w:rsidR="00F16426">
        <w:t xml:space="preserve">However, it is </w:t>
      </w:r>
      <w:r w:rsidR="000927D7">
        <w:t xml:space="preserve">very unlikely </w:t>
      </w:r>
      <w:r w:rsidR="00F16426">
        <w:t xml:space="preserve">that </w:t>
      </w:r>
      <w:r w:rsidR="000927D7">
        <w:t xml:space="preserve">the average </w:t>
      </w:r>
      <w:r w:rsidR="000A7ACB">
        <w:t xml:space="preserve">cost to </w:t>
      </w:r>
      <w:r w:rsidR="000927D7">
        <w:t xml:space="preserve">a </w:t>
      </w:r>
      <w:r w:rsidR="00151900">
        <w:t>business</w:t>
      </w:r>
      <w:r w:rsidR="000A7ACB">
        <w:t xml:space="preserve"> </w:t>
      </w:r>
      <w:r w:rsidR="000927D7">
        <w:t>around</w:t>
      </w:r>
      <w:r w:rsidR="000A7ACB">
        <w:t xml:space="preserve"> </w:t>
      </w:r>
      <w:r w:rsidR="004C5E85">
        <w:t>the</w:t>
      </w:r>
      <w:r w:rsidR="000A7ACB">
        <w:t xml:space="preserve"> threshold are </w:t>
      </w:r>
      <w:r w:rsidR="000927D7">
        <w:t xml:space="preserve">large enough to </w:t>
      </w:r>
      <w:r w:rsidR="004006F0">
        <w:t>produce any meaningful competitive disadvantage</w:t>
      </w:r>
      <w:r w:rsidR="004C5E85">
        <w:t xml:space="preserve"> for those who incur the costs. </w:t>
      </w:r>
    </w:p>
    <w:p w14:paraId="7AE56908" w14:textId="21F773D1" w:rsidR="00234D97" w:rsidRPr="00441AF5" w:rsidRDefault="00234D97" w:rsidP="00E70F1B">
      <w:pPr>
        <w:pStyle w:val="EBBullet"/>
        <w:numPr>
          <w:ilvl w:val="0"/>
          <w:numId w:val="0"/>
        </w:numPr>
        <w:spacing w:line="259" w:lineRule="auto"/>
        <w:ind w:left="567" w:hanging="567"/>
        <w:jc w:val="both"/>
        <w:rPr>
          <w:b/>
          <w:color w:val="auto"/>
        </w:rPr>
      </w:pPr>
      <w:r w:rsidRPr="00441AF5">
        <w:rPr>
          <w:b/>
          <w:color w:val="auto"/>
        </w:rPr>
        <w:t>Justice Impact Test</w:t>
      </w:r>
    </w:p>
    <w:p w14:paraId="657225E3" w14:textId="54E3CE4D" w:rsidR="00596E1C" w:rsidRDefault="00B66A89" w:rsidP="00A55741">
      <w:pPr>
        <w:pStyle w:val="EBBullet"/>
        <w:numPr>
          <w:ilvl w:val="0"/>
          <w:numId w:val="10"/>
        </w:numPr>
        <w:spacing w:line="259" w:lineRule="auto"/>
        <w:jc w:val="both"/>
      </w:pPr>
      <w:r w:rsidRPr="00441AF5">
        <w:rPr>
          <w:b/>
        </w:rPr>
        <w:t>Failure to prevent fraud:</w:t>
      </w:r>
      <w:r w:rsidR="0031301A">
        <w:t xml:space="preserve"> </w:t>
      </w:r>
      <w:r w:rsidR="00F16426" w:rsidRPr="00441AF5">
        <w:t>As the main benefit is deterrence, a significant increase in prosecutions is not expected</w:t>
      </w:r>
      <w:r w:rsidR="00F16426">
        <w:t xml:space="preserve">. </w:t>
      </w:r>
      <w:r w:rsidRPr="00441AF5">
        <w:t xml:space="preserve">Since the </w:t>
      </w:r>
      <w:r w:rsidR="00291594">
        <w:t>f</w:t>
      </w:r>
      <w:r w:rsidRPr="00441AF5">
        <w:t xml:space="preserve">ailure to </w:t>
      </w:r>
      <w:r w:rsidR="00291594">
        <w:t>p</w:t>
      </w:r>
      <w:r w:rsidRPr="00441AF5">
        <w:t xml:space="preserve">revent </w:t>
      </w:r>
      <w:r w:rsidR="00291594">
        <w:t>b</w:t>
      </w:r>
      <w:r w:rsidRPr="00441AF5">
        <w:t>ribery</w:t>
      </w:r>
      <w:r w:rsidR="00291594">
        <w:t xml:space="preserve"> offence </w:t>
      </w:r>
      <w:r w:rsidR="00473DA7">
        <w:t xml:space="preserve">was introduced </w:t>
      </w:r>
      <w:r w:rsidR="00291594">
        <w:t>under BA 2010,</w:t>
      </w:r>
      <w:r w:rsidRPr="00441AF5">
        <w:t xml:space="preserve"> the SFO has prosecuted t</w:t>
      </w:r>
      <w:r w:rsidR="0080033A">
        <w:t>hree</w:t>
      </w:r>
      <w:r w:rsidRPr="00441AF5">
        <w:t xml:space="preserve"> corporations and </w:t>
      </w:r>
      <w:r w:rsidR="004A7C4A">
        <w:t xml:space="preserve">has implemented nine </w:t>
      </w:r>
      <w:r w:rsidR="00FF27CA">
        <w:t>DPAs</w:t>
      </w:r>
      <w:r w:rsidR="00A158E1">
        <w:t xml:space="preserve"> </w:t>
      </w:r>
      <w:r w:rsidR="00677CE1">
        <w:t>while the</w:t>
      </w:r>
      <w:r w:rsidR="004A7C4A">
        <w:t xml:space="preserve"> CPS has prosecuted</w:t>
      </w:r>
      <w:r w:rsidR="00CF3B9D">
        <w:t xml:space="preserve"> one case and </w:t>
      </w:r>
      <w:r w:rsidR="00530ED4">
        <w:t xml:space="preserve">implemented one </w:t>
      </w:r>
      <w:r w:rsidR="00FF27CA">
        <w:t>DPA</w:t>
      </w:r>
      <w:r w:rsidR="00677CE1">
        <w:t xml:space="preserve"> under this legislation</w:t>
      </w:r>
      <w:r w:rsidR="00530ED4" w:rsidRPr="009A239F">
        <w:t>.</w:t>
      </w:r>
      <w:r w:rsidR="00FF27CA" w:rsidRPr="009A239F">
        <w:t xml:space="preserve"> </w:t>
      </w:r>
      <w:r w:rsidR="009B558A">
        <w:t xml:space="preserve"> Overall, therefore, the Home Office does not expect a high number of criminal </w:t>
      </w:r>
      <w:r w:rsidR="00975B44">
        <w:t>proceedings relating to failure to prevent fraud.</w:t>
      </w:r>
    </w:p>
    <w:p w14:paraId="60162908" w14:textId="77777777" w:rsidR="00D93A83" w:rsidRDefault="00D93A83" w:rsidP="00E70F1B">
      <w:pPr>
        <w:pStyle w:val="EBBullet"/>
        <w:numPr>
          <w:ilvl w:val="0"/>
          <w:numId w:val="0"/>
        </w:numPr>
        <w:spacing w:line="259" w:lineRule="auto"/>
        <w:ind w:left="567" w:hanging="567"/>
        <w:jc w:val="both"/>
        <w:rPr>
          <w:b/>
          <w:color w:val="auto"/>
          <w:sz w:val="28"/>
          <w:szCs w:val="28"/>
        </w:rPr>
      </w:pPr>
    </w:p>
    <w:p w14:paraId="4FBC193D" w14:textId="5C767AC2" w:rsidR="00D93A83" w:rsidRPr="00B27F98" w:rsidRDefault="00D93A83" w:rsidP="00E70F1B">
      <w:pPr>
        <w:pStyle w:val="EBBullet"/>
        <w:numPr>
          <w:ilvl w:val="0"/>
          <w:numId w:val="4"/>
        </w:numPr>
        <w:spacing w:line="259" w:lineRule="auto"/>
        <w:ind w:left="567" w:hanging="567"/>
        <w:jc w:val="both"/>
        <w:rPr>
          <w:color w:val="auto"/>
          <w:sz w:val="28"/>
          <w:szCs w:val="28"/>
        </w:rPr>
      </w:pPr>
      <w:r w:rsidRPr="0029116F">
        <w:rPr>
          <w:b/>
          <w:color w:val="auto"/>
          <w:sz w:val="28"/>
          <w:szCs w:val="28"/>
        </w:rPr>
        <w:t>Trade Impac</w:t>
      </w:r>
      <w:r>
        <w:rPr>
          <w:b/>
          <w:color w:val="auto"/>
          <w:sz w:val="28"/>
          <w:szCs w:val="28"/>
        </w:rPr>
        <w:t>t</w:t>
      </w:r>
    </w:p>
    <w:p w14:paraId="0F4F14F0" w14:textId="77777777" w:rsidR="00695FF7" w:rsidRPr="00B27F98" w:rsidRDefault="00695FF7" w:rsidP="00695FF7">
      <w:pPr>
        <w:pStyle w:val="EBBullet"/>
        <w:numPr>
          <w:ilvl w:val="0"/>
          <w:numId w:val="0"/>
        </w:numPr>
        <w:spacing w:line="259" w:lineRule="auto"/>
        <w:jc w:val="both"/>
        <w:rPr>
          <w:color w:val="auto"/>
          <w:sz w:val="28"/>
          <w:szCs w:val="28"/>
        </w:rPr>
      </w:pPr>
    </w:p>
    <w:p w14:paraId="30224AE5" w14:textId="68D30055" w:rsidR="00600D06" w:rsidRPr="000A2E89" w:rsidRDefault="00EB59CD" w:rsidP="00E70F1B">
      <w:pPr>
        <w:pStyle w:val="EBBullet"/>
        <w:numPr>
          <w:ilvl w:val="0"/>
          <w:numId w:val="10"/>
        </w:numPr>
        <w:spacing w:line="259" w:lineRule="auto"/>
        <w:ind w:left="567" w:hanging="567"/>
        <w:jc w:val="both"/>
        <w:rPr>
          <w:color w:val="auto"/>
          <w:sz w:val="28"/>
          <w:szCs w:val="28"/>
        </w:rPr>
      </w:pPr>
      <w:r w:rsidRPr="00441AF5">
        <w:t>No impact</w:t>
      </w:r>
      <w:r w:rsidR="004B3643">
        <w:t xml:space="preserve"> on trade</w:t>
      </w:r>
      <w:r w:rsidRPr="00441AF5">
        <w:t xml:space="preserve">. </w:t>
      </w:r>
      <w:r w:rsidR="001A671B" w:rsidRPr="00441AF5">
        <w:t>This measure will apply to UK registered co</w:t>
      </w:r>
      <w:r w:rsidR="00F9427F" w:rsidRPr="00441AF5">
        <w:t>rporates</w:t>
      </w:r>
      <w:r w:rsidR="00C50541">
        <w:t xml:space="preserve"> </w:t>
      </w:r>
      <w:r w:rsidR="001A671B" w:rsidRPr="00441AF5">
        <w:t xml:space="preserve">and will apply equally to UK residents and non-UK residents who own UK companies. </w:t>
      </w:r>
      <w:r w:rsidR="422E6904" w:rsidRPr="00441AF5">
        <w:t>Foreign domiciled co</w:t>
      </w:r>
      <w:r w:rsidR="00F9427F" w:rsidRPr="00441AF5">
        <w:t>rporates</w:t>
      </w:r>
      <w:r w:rsidR="422E6904" w:rsidRPr="00441AF5">
        <w:t xml:space="preserve"> would only be impacted to the extent that they operate a UK branch or operate a UK subsidiary</w:t>
      </w:r>
      <w:r w:rsidR="00A34656">
        <w:t>, or if they, or their associated persons commit a fraud that causes a loss to</w:t>
      </w:r>
      <w:r w:rsidR="00737160" w:rsidRPr="00441AF5">
        <w:t xml:space="preserve"> </w:t>
      </w:r>
      <w:r w:rsidR="00591964">
        <w:t xml:space="preserve">victims in the UK. The </w:t>
      </w:r>
      <w:r w:rsidR="00F11B86">
        <w:t>measure</w:t>
      </w:r>
      <w:r w:rsidR="00591964">
        <w:t xml:space="preserve"> </w:t>
      </w:r>
      <w:r w:rsidR="001422CD">
        <w:t>d</w:t>
      </w:r>
      <w:r w:rsidR="00737160" w:rsidRPr="00441AF5">
        <w:t>oes not discriminate between country of domiciliation</w:t>
      </w:r>
      <w:r w:rsidR="422E6904" w:rsidRPr="00441AF5">
        <w:t xml:space="preserve">. </w:t>
      </w:r>
      <w:r w:rsidR="001A671B" w:rsidRPr="00441AF5">
        <w:t xml:space="preserve">This measure is consistent with the UK’s international trade </w:t>
      </w:r>
      <w:r w:rsidR="00234D97" w:rsidRPr="00441AF5">
        <w:t>obligations</w:t>
      </w:r>
      <w:r w:rsidR="001A671B" w:rsidRPr="00441AF5">
        <w:t xml:space="preserve">. </w:t>
      </w:r>
    </w:p>
    <w:p w14:paraId="7130575B" w14:textId="615EF61F" w:rsidR="007311EA" w:rsidRPr="00A55741" w:rsidRDefault="007311EA" w:rsidP="00E70F1B">
      <w:pPr>
        <w:pStyle w:val="EBBullet"/>
        <w:numPr>
          <w:ilvl w:val="0"/>
          <w:numId w:val="10"/>
        </w:numPr>
        <w:spacing w:line="259" w:lineRule="auto"/>
        <w:ind w:left="567" w:hanging="567"/>
        <w:jc w:val="both"/>
        <w:rPr>
          <w:color w:val="auto"/>
        </w:rPr>
      </w:pPr>
      <w:r w:rsidRPr="00A55741">
        <w:rPr>
          <w:color w:val="auto"/>
        </w:rPr>
        <w:t>It is highly unlikely FTPF will deter foreign-domiciled companies opening a UK branch as a result of this legislation</w:t>
      </w:r>
      <w:r>
        <w:rPr>
          <w:color w:val="auto"/>
        </w:rPr>
        <w:t>.</w:t>
      </w:r>
    </w:p>
    <w:p w14:paraId="79369BA8" w14:textId="456DC0B6" w:rsidR="00596E1C" w:rsidRPr="00441AF5" w:rsidRDefault="00131CC6">
      <w:pPr>
        <w:rPr>
          <w:rFonts w:cs="Arial"/>
          <w:sz w:val="22"/>
          <w:szCs w:val="22"/>
        </w:rPr>
      </w:pPr>
      <w:r>
        <w:rPr>
          <w:rFonts w:cs="Arial"/>
          <w:sz w:val="22"/>
          <w:szCs w:val="22"/>
        </w:rPr>
        <w:br w:type="page"/>
      </w:r>
    </w:p>
    <w:p w14:paraId="1E86DC96" w14:textId="77777777" w:rsidR="00596E1C" w:rsidRPr="00441AF5" w:rsidRDefault="00596E1C" w:rsidP="00E70F1B">
      <w:pPr>
        <w:pStyle w:val="ListParagraph"/>
        <w:spacing w:after="120" w:line="259" w:lineRule="auto"/>
        <w:ind w:left="567" w:hanging="567"/>
        <w:contextualSpacing w:val="0"/>
        <w:jc w:val="both"/>
        <w:rPr>
          <w:rFonts w:cs="Arial"/>
          <w:sz w:val="22"/>
          <w:szCs w:val="22"/>
        </w:rPr>
      </w:pPr>
    </w:p>
    <w:p w14:paraId="7AAD8E35" w14:textId="5B747C4E" w:rsidR="003E549B" w:rsidRPr="0029116F" w:rsidRDefault="00241457" w:rsidP="00E70F1B">
      <w:pPr>
        <w:pStyle w:val="EBBullet"/>
        <w:numPr>
          <w:ilvl w:val="0"/>
          <w:numId w:val="4"/>
        </w:numPr>
        <w:spacing w:line="259" w:lineRule="auto"/>
        <w:ind w:left="567" w:hanging="567"/>
        <w:jc w:val="both"/>
        <w:rPr>
          <w:b/>
          <w:color w:val="auto"/>
          <w:sz w:val="28"/>
          <w:szCs w:val="28"/>
        </w:rPr>
      </w:pPr>
      <w:r w:rsidRPr="0029116F">
        <w:rPr>
          <w:b/>
          <w:color w:val="auto"/>
          <w:sz w:val="28"/>
          <w:szCs w:val="28"/>
        </w:rPr>
        <w:t>M</w:t>
      </w:r>
      <w:r w:rsidR="0098130D" w:rsidRPr="0029116F">
        <w:rPr>
          <w:b/>
          <w:color w:val="auto"/>
          <w:sz w:val="28"/>
          <w:szCs w:val="28"/>
        </w:rPr>
        <w:t xml:space="preserve">onitoring and evaluation </w:t>
      </w:r>
      <w:bookmarkEnd w:id="19"/>
      <w:r w:rsidR="006D6573" w:rsidRPr="0029116F">
        <w:rPr>
          <w:b/>
          <w:color w:val="auto"/>
          <w:sz w:val="28"/>
          <w:szCs w:val="28"/>
        </w:rPr>
        <w:t>plan</w:t>
      </w:r>
    </w:p>
    <w:p w14:paraId="7A51F14A" w14:textId="77777777" w:rsidR="006F495A" w:rsidRDefault="006F495A" w:rsidP="00E70F1B">
      <w:pPr>
        <w:pStyle w:val="EBBullet"/>
        <w:numPr>
          <w:ilvl w:val="0"/>
          <w:numId w:val="0"/>
        </w:numPr>
        <w:spacing w:line="259" w:lineRule="auto"/>
        <w:ind w:left="567" w:hanging="567"/>
        <w:jc w:val="both"/>
        <w:rPr>
          <w:b/>
          <w:color w:val="auto"/>
          <w:sz w:val="28"/>
          <w:szCs w:val="28"/>
        </w:rPr>
      </w:pPr>
    </w:p>
    <w:p w14:paraId="2077B7CB" w14:textId="276B0E79" w:rsidR="00A42155" w:rsidRPr="00D93A83" w:rsidRDefault="00131C67" w:rsidP="00E70F1B">
      <w:pPr>
        <w:pStyle w:val="EBBullet"/>
        <w:numPr>
          <w:ilvl w:val="0"/>
          <w:numId w:val="10"/>
        </w:numPr>
        <w:spacing w:line="259" w:lineRule="auto"/>
        <w:ind w:left="567" w:hanging="567"/>
        <w:jc w:val="both"/>
        <w:rPr>
          <w:rStyle w:val="normaltextrun"/>
          <w:b/>
          <w:color w:val="auto"/>
          <w:sz w:val="28"/>
          <w:szCs w:val="28"/>
        </w:rPr>
      </w:pPr>
      <w:r>
        <w:t>T</w:t>
      </w:r>
      <w:r w:rsidR="00A42155" w:rsidRPr="001114FA">
        <w:t xml:space="preserve">he Home Office is required to carry out a </w:t>
      </w:r>
      <w:r w:rsidR="00E844EE">
        <w:t>p</w:t>
      </w:r>
      <w:r w:rsidR="00A42155" w:rsidRPr="001114FA">
        <w:t>ost</w:t>
      </w:r>
      <w:r w:rsidR="00E844EE">
        <w:t xml:space="preserve"> i</w:t>
      </w:r>
      <w:r w:rsidR="00A42155" w:rsidRPr="001114FA">
        <w:t xml:space="preserve">mplementation </w:t>
      </w:r>
      <w:r w:rsidR="00E844EE">
        <w:t>r</w:t>
      </w:r>
      <w:r w:rsidR="00A42155" w:rsidRPr="001114FA">
        <w:t>eview of the measure within five years after implementation</w:t>
      </w:r>
      <w:r w:rsidR="00A42155">
        <w:t xml:space="preserve">. </w:t>
      </w:r>
    </w:p>
    <w:p w14:paraId="0843929A" w14:textId="4A2240BE" w:rsidR="00600D06" w:rsidRPr="00441AF5" w:rsidRDefault="001346F7" w:rsidP="00A55741">
      <w:pPr>
        <w:pStyle w:val="EBBullet"/>
        <w:numPr>
          <w:ilvl w:val="0"/>
          <w:numId w:val="10"/>
        </w:numPr>
        <w:spacing w:line="259" w:lineRule="auto"/>
        <w:ind w:left="567" w:hanging="567"/>
        <w:jc w:val="both"/>
      </w:pPr>
      <w:r w:rsidRPr="00441AF5">
        <w:rPr>
          <w:rStyle w:val="normaltextrun"/>
          <w:rFonts w:eastAsiaTheme="minorEastAsia"/>
        </w:rPr>
        <w:t xml:space="preserve">As this measure </w:t>
      </w:r>
      <w:r w:rsidR="00131C67">
        <w:rPr>
          <w:rStyle w:val="normaltextrun"/>
          <w:rFonts w:eastAsiaTheme="minorEastAsia"/>
        </w:rPr>
        <w:t>is expected to have a significant</w:t>
      </w:r>
      <w:r w:rsidR="00E045A4" w:rsidRPr="003B26B9">
        <w:rPr>
          <w:rStyle w:val="normaltextrun"/>
          <w:rFonts w:eastAsiaTheme="minorEastAsia"/>
        </w:rPr>
        <w:t xml:space="preserve"> impact </w:t>
      </w:r>
      <w:r w:rsidR="00131C67">
        <w:rPr>
          <w:rStyle w:val="normaltextrun"/>
          <w:rFonts w:eastAsiaTheme="minorEastAsia"/>
        </w:rPr>
        <w:t>on</w:t>
      </w:r>
      <w:r w:rsidR="00E045A4" w:rsidRPr="003B26B9">
        <w:rPr>
          <w:rStyle w:val="normaltextrun"/>
          <w:rFonts w:eastAsiaTheme="minorEastAsia"/>
        </w:rPr>
        <w:t xml:space="preserve"> businesses</w:t>
      </w:r>
      <w:r w:rsidR="00D76724">
        <w:rPr>
          <w:rStyle w:val="normaltextrun"/>
          <w:rFonts w:eastAsiaTheme="minorEastAsia"/>
        </w:rPr>
        <w:t>,</w:t>
      </w:r>
      <w:r w:rsidR="00E045A4" w:rsidRPr="003B26B9">
        <w:rPr>
          <w:rStyle w:val="normaltextrun"/>
          <w:rFonts w:eastAsiaTheme="minorEastAsia"/>
        </w:rPr>
        <w:t xml:space="preserve"> </w:t>
      </w:r>
      <w:r w:rsidR="00131C67">
        <w:rPr>
          <w:rStyle w:val="normaltextrun"/>
          <w:rFonts w:eastAsiaTheme="minorEastAsia"/>
        </w:rPr>
        <w:t>t</w:t>
      </w:r>
      <w:r w:rsidR="001655FD" w:rsidRPr="003B26B9">
        <w:rPr>
          <w:rStyle w:val="CommentReference"/>
          <w:rFonts w:eastAsiaTheme="minorEastAsia"/>
          <w:sz w:val="22"/>
          <w:szCs w:val="22"/>
        </w:rPr>
        <w:t>h</w:t>
      </w:r>
      <w:r w:rsidR="001655FD" w:rsidRPr="00441AF5">
        <w:rPr>
          <w:rStyle w:val="normaltextrun"/>
          <w:rFonts w:eastAsiaTheme="minorEastAsia"/>
        </w:rPr>
        <w:t>e</w:t>
      </w:r>
      <w:r w:rsidR="001655FD" w:rsidRPr="003B26B9">
        <w:rPr>
          <w:rStyle w:val="normaltextrun"/>
          <w:rFonts w:eastAsiaTheme="minorEastAsia"/>
        </w:rPr>
        <w:t xml:space="preserve"> Home Office</w:t>
      </w:r>
      <w:r w:rsidRPr="003B26B9" w:rsidDel="001655FD">
        <w:rPr>
          <w:rStyle w:val="normaltextrun"/>
          <w:rFonts w:eastAsiaTheme="minorEastAsia"/>
        </w:rPr>
        <w:t xml:space="preserve"> </w:t>
      </w:r>
      <w:r w:rsidR="001655FD" w:rsidRPr="003B26B9">
        <w:rPr>
          <w:rStyle w:val="normaltextrun"/>
          <w:rFonts w:eastAsiaTheme="minorEastAsia"/>
        </w:rPr>
        <w:t xml:space="preserve">will </w:t>
      </w:r>
      <w:r w:rsidRPr="003B26B9">
        <w:rPr>
          <w:rStyle w:val="normaltextrun"/>
          <w:rFonts w:eastAsiaTheme="minorEastAsia"/>
        </w:rPr>
        <w:t xml:space="preserve">take a high evidence approach to evaluating this legislation. </w:t>
      </w:r>
      <w:r w:rsidR="001655FD" w:rsidRPr="003B26B9">
        <w:rPr>
          <w:rStyle w:val="normaltextrun"/>
          <w:rFonts w:eastAsiaTheme="minorEastAsia"/>
        </w:rPr>
        <w:t xml:space="preserve">The </w:t>
      </w:r>
      <w:r w:rsidRPr="003B26B9">
        <w:rPr>
          <w:rStyle w:val="normaltextrun"/>
          <w:rFonts w:eastAsiaTheme="minorEastAsia"/>
        </w:rPr>
        <w:t xml:space="preserve">RPC guidance </w:t>
      </w:r>
      <w:r w:rsidR="001655FD" w:rsidRPr="003B26B9">
        <w:rPr>
          <w:rStyle w:val="normaltextrun"/>
          <w:rFonts w:eastAsiaTheme="minorEastAsia"/>
        </w:rPr>
        <w:t>and both the Green Book and Magenta Book</w:t>
      </w:r>
      <w:r w:rsidR="00DA7649" w:rsidRPr="003B26B9">
        <w:rPr>
          <w:rStyle w:val="FootnoteReference"/>
          <w:rFonts w:eastAsiaTheme="minorEastAsia"/>
        </w:rPr>
        <w:footnoteReference w:id="99"/>
      </w:r>
      <w:r w:rsidR="00ED2913" w:rsidRPr="003B26B9" w:rsidDel="001655FD">
        <w:rPr>
          <w:rStyle w:val="normaltextrun"/>
          <w:rFonts w:eastAsiaTheme="minorEastAsia"/>
        </w:rPr>
        <w:t xml:space="preserve"> </w:t>
      </w:r>
      <w:r w:rsidR="00ED2913" w:rsidRPr="003B26B9">
        <w:rPr>
          <w:rStyle w:val="normaltextrun"/>
          <w:rFonts w:eastAsiaTheme="minorEastAsia"/>
        </w:rPr>
        <w:t xml:space="preserve">sets out </w:t>
      </w:r>
      <w:r w:rsidR="001655FD" w:rsidRPr="003B26B9">
        <w:rPr>
          <w:rStyle w:val="normaltextrun"/>
          <w:rFonts w:eastAsiaTheme="minorEastAsia"/>
        </w:rPr>
        <w:t xml:space="preserve">best practice and </w:t>
      </w:r>
      <w:r w:rsidR="00ED2913" w:rsidRPr="003B26B9">
        <w:rPr>
          <w:rStyle w:val="normaltextrun"/>
          <w:rFonts w:eastAsiaTheme="minorEastAsia"/>
        </w:rPr>
        <w:t xml:space="preserve">what </w:t>
      </w:r>
      <w:r w:rsidRPr="003B26B9">
        <w:rPr>
          <w:rStyle w:val="normaltextrun"/>
          <w:rFonts w:eastAsiaTheme="minorEastAsia"/>
        </w:rPr>
        <w:t>a high evidence</w:t>
      </w:r>
      <w:r w:rsidRPr="00441AF5">
        <w:rPr>
          <w:rStyle w:val="normaltextrun"/>
          <w:rFonts w:eastAsiaTheme="minorEastAsia"/>
        </w:rPr>
        <w:t xml:space="preserve"> approach requires</w:t>
      </w:r>
      <w:r w:rsidR="00ED2913" w:rsidRPr="00441AF5">
        <w:rPr>
          <w:rStyle w:val="normaltextrun"/>
          <w:rFonts w:eastAsiaTheme="minorEastAsia"/>
        </w:rPr>
        <w:t>. This includes</w:t>
      </w:r>
      <w:r w:rsidR="004E11F6" w:rsidRPr="00441AF5">
        <w:rPr>
          <w:rStyle w:val="normaltextrun"/>
          <w:rFonts w:eastAsiaTheme="minorEastAsia"/>
        </w:rPr>
        <w:t>:</w:t>
      </w:r>
      <w:r w:rsidRPr="00441AF5">
        <w:rPr>
          <w:rStyle w:val="normaltextrun"/>
          <w:rFonts w:eastAsiaTheme="minorEastAsia"/>
        </w:rPr>
        <w:t xml:space="preserve"> </w:t>
      </w:r>
    </w:p>
    <w:p w14:paraId="2326EF76" w14:textId="7B39A9B8" w:rsidR="001655FD" w:rsidRPr="00441AF5" w:rsidRDefault="00517DE4"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lang w:eastAsia="en-US"/>
        </w:rPr>
      </w:pPr>
      <w:r w:rsidRPr="00441AF5">
        <w:rPr>
          <w:rStyle w:val="eop"/>
          <w:rFonts w:ascii="Arial" w:hAnsi="Arial" w:cs="Arial"/>
          <w:sz w:val="22"/>
          <w:szCs w:val="22"/>
        </w:rPr>
        <w:t>A clear statement as to whether the measure has met the obligation.</w:t>
      </w:r>
    </w:p>
    <w:p w14:paraId="7B91149E" w14:textId="4BECA10D" w:rsidR="00517DE4" w:rsidRPr="00441AF5"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 xml:space="preserve">A thorough approach to consultation and research, normally including formal and wide-ranging consultation of the affected agents and analysis of published data sources, and commissioning of bespoke research if necessary. A comprehensive survey with high response rates to capture outcomes for </w:t>
      </w:r>
      <w:r w:rsidR="007F11B8" w:rsidRPr="00441AF5">
        <w:rPr>
          <w:rStyle w:val="eop"/>
          <w:rFonts w:ascii="Arial" w:hAnsi="Arial" w:cs="Arial"/>
          <w:sz w:val="22"/>
          <w:szCs w:val="22"/>
        </w:rPr>
        <w:t>business should</w:t>
      </w:r>
      <w:r w:rsidRPr="00441AF5">
        <w:rPr>
          <w:rStyle w:val="eop"/>
          <w:rFonts w:ascii="Arial" w:hAnsi="Arial" w:cs="Arial"/>
          <w:sz w:val="22"/>
          <w:szCs w:val="22"/>
        </w:rPr>
        <w:t xml:space="preserve"> be employed, as should an empirical impact evaluation with well-designed counterfactual.</w:t>
      </w:r>
    </w:p>
    <w:p w14:paraId="406FB558" w14:textId="23ED0A48" w:rsidR="00600D06" w:rsidRPr="00441AF5"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A thorough explanation for the recommendation to renew, revise, remove or replace.</w:t>
      </w:r>
    </w:p>
    <w:p w14:paraId="05C1F619" w14:textId="76871012" w:rsidR="00600D06" w:rsidRPr="00441AF5"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 xml:space="preserve">A </w:t>
      </w:r>
      <w:r w:rsidRPr="00191D74">
        <w:rPr>
          <w:rStyle w:val="eop"/>
          <w:rFonts w:ascii="Arial" w:hAnsi="Arial" w:cs="Arial"/>
          <w:sz w:val="22"/>
          <w:szCs w:val="22"/>
        </w:rPr>
        <w:t>rigorous scrutiny of all key assumptions underpinning the original assessment and a detailed analysis of the counterfactual, aimed at identifying methodological errors which might have influenced original impact estimates.</w:t>
      </w:r>
      <w:r w:rsidR="00A22080">
        <w:rPr>
          <w:rStyle w:val="eop"/>
          <w:rFonts w:ascii="Arial" w:hAnsi="Arial" w:cs="Arial"/>
          <w:sz w:val="22"/>
          <w:szCs w:val="22"/>
        </w:rPr>
        <w:t xml:space="preserve"> </w:t>
      </w:r>
    </w:p>
    <w:p w14:paraId="67C63092" w14:textId="05BB9CDD" w:rsidR="00600D06" w:rsidRPr="00441AF5"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 xml:space="preserve">Detailed considerations of the </w:t>
      </w:r>
      <w:r w:rsidR="007F11B8" w:rsidRPr="00441AF5">
        <w:rPr>
          <w:rStyle w:val="eop"/>
          <w:rFonts w:ascii="Arial" w:hAnsi="Arial" w:cs="Arial"/>
          <w:sz w:val="22"/>
          <w:szCs w:val="22"/>
        </w:rPr>
        <w:t>scope for</w:t>
      </w:r>
      <w:r w:rsidRPr="00441AF5">
        <w:rPr>
          <w:rStyle w:val="eop"/>
          <w:rFonts w:ascii="Arial" w:hAnsi="Arial" w:cs="Arial"/>
          <w:sz w:val="22"/>
          <w:szCs w:val="22"/>
        </w:rPr>
        <w:t xml:space="preserve"> the amending </w:t>
      </w:r>
      <w:r w:rsidR="004C6F98">
        <w:rPr>
          <w:rStyle w:val="eop"/>
          <w:rFonts w:ascii="Arial" w:hAnsi="Arial" w:cs="Arial"/>
          <w:sz w:val="22"/>
          <w:szCs w:val="22"/>
        </w:rPr>
        <w:t>legislation</w:t>
      </w:r>
      <w:r w:rsidRPr="00441AF5">
        <w:rPr>
          <w:rStyle w:val="eop"/>
          <w:rFonts w:ascii="Arial" w:hAnsi="Arial" w:cs="Arial"/>
          <w:sz w:val="22"/>
          <w:szCs w:val="22"/>
        </w:rPr>
        <w:t>, especially if the original measure was costly to business, and a discussion of the feasibility and purpose of the proposed amendments.</w:t>
      </w:r>
    </w:p>
    <w:p w14:paraId="55FADA39" w14:textId="1D71FC3B" w:rsidR="00600D06" w:rsidRPr="00441AF5"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Conclusions with reference to evidence from a wide range of stakeholders, including industry groups, civil society organisations and independent experts.</w:t>
      </w:r>
    </w:p>
    <w:p w14:paraId="38E6169C" w14:textId="0D8A68D4" w:rsidR="00600D06" w:rsidRPr="00441AF5"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Evidence from a wide variety of data sources</w:t>
      </w:r>
      <w:r w:rsidR="00C15B8F" w:rsidRPr="00441AF5">
        <w:rPr>
          <w:rStyle w:val="eop"/>
          <w:rFonts w:ascii="Arial" w:hAnsi="Arial" w:cs="Arial"/>
          <w:sz w:val="22"/>
          <w:szCs w:val="22"/>
        </w:rPr>
        <w:t>, for example,</w:t>
      </w:r>
      <w:r w:rsidRPr="00441AF5">
        <w:rPr>
          <w:rStyle w:val="eop"/>
          <w:rFonts w:ascii="Arial" w:hAnsi="Arial" w:cs="Arial"/>
          <w:sz w:val="22"/>
          <w:szCs w:val="22"/>
        </w:rPr>
        <w:t xml:space="preserve"> survey/desk research/academic literature/studies etc.</w:t>
      </w:r>
    </w:p>
    <w:p w14:paraId="721962A7" w14:textId="0B08C9AC" w:rsidR="00600D06" w:rsidRPr="00441AF5"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Considerations and discussion of unintended consequences and the wider effects of the policy.</w:t>
      </w:r>
    </w:p>
    <w:p w14:paraId="17F8DF68" w14:textId="72CCB8A8" w:rsidR="00600D06" w:rsidRPr="00FE294E" w:rsidRDefault="00600D06" w:rsidP="00FE294E">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A discussion of the limitations and uncertainties related to analysis identified in the original IA.</w:t>
      </w:r>
    </w:p>
    <w:p w14:paraId="18F5BE19" w14:textId="0FC6AFAD" w:rsidR="006A546B" w:rsidRPr="006A546B"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A discussion of the level of compliance with regulations under review.</w:t>
      </w:r>
    </w:p>
    <w:p w14:paraId="5045B01D" w14:textId="61ED61CB" w:rsidR="00600D06" w:rsidRPr="00441AF5" w:rsidRDefault="00600D06" w:rsidP="007335EA">
      <w:pPr>
        <w:pStyle w:val="paragraph"/>
        <w:numPr>
          <w:ilvl w:val="0"/>
          <w:numId w:val="6"/>
        </w:numPr>
        <w:spacing w:before="0" w:beforeAutospacing="0" w:after="120" w:afterAutospacing="0" w:line="259" w:lineRule="auto"/>
        <w:ind w:left="1134" w:hanging="425"/>
        <w:jc w:val="both"/>
        <w:textAlignment w:val="baseline"/>
        <w:rPr>
          <w:rStyle w:val="eop"/>
          <w:rFonts w:ascii="Arial" w:hAnsi="Arial" w:cs="Arial"/>
          <w:sz w:val="22"/>
          <w:szCs w:val="22"/>
        </w:rPr>
      </w:pPr>
      <w:r w:rsidRPr="00441AF5">
        <w:rPr>
          <w:rStyle w:val="eop"/>
          <w:rFonts w:ascii="Arial" w:hAnsi="Arial" w:cs="Arial"/>
          <w:sz w:val="22"/>
          <w:szCs w:val="22"/>
        </w:rPr>
        <w:t xml:space="preserve">A consideration of </w:t>
      </w:r>
      <w:r w:rsidR="00552A74" w:rsidRPr="00441AF5">
        <w:rPr>
          <w:rStyle w:val="eop"/>
          <w:rFonts w:ascii="Arial" w:hAnsi="Arial" w:cs="Arial"/>
          <w:sz w:val="22"/>
          <w:szCs w:val="22"/>
        </w:rPr>
        <w:t>lessons</w:t>
      </w:r>
      <w:r w:rsidRPr="00441AF5">
        <w:rPr>
          <w:rStyle w:val="eop"/>
          <w:rFonts w:ascii="Arial" w:hAnsi="Arial" w:cs="Arial"/>
          <w:sz w:val="22"/>
          <w:szCs w:val="22"/>
        </w:rPr>
        <w:t xml:space="preserve"> for future IAs and, if considered necessary, a re-calculation of the estimates of benefits to business.</w:t>
      </w:r>
    </w:p>
    <w:p w14:paraId="500071D4" w14:textId="3883D28C" w:rsidR="004C293A" w:rsidRDefault="00C05F84" w:rsidP="00E70F1B">
      <w:pPr>
        <w:pStyle w:val="EBBullet"/>
        <w:numPr>
          <w:ilvl w:val="0"/>
          <w:numId w:val="10"/>
        </w:numPr>
        <w:spacing w:line="259" w:lineRule="auto"/>
        <w:ind w:left="567" w:hanging="567"/>
        <w:jc w:val="both"/>
      </w:pPr>
      <w:r>
        <w:t>The Home Office</w:t>
      </w:r>
      <w:r w:rsidR="004C293A">
        <w:t xml:space="preserve"> propose that the post-implem</w:t>
      </w:r>
      <w:r w:rsidR="00E42D27">
        <w:t>e</w:t>
      </w:r>
      <w:r w:rsidR="004C293A">
        <w:t xml:space="preserve">ntation review is led by the Home Office, with input from DBT, </w:t>
      </w:r>
      <w:r w:rsidR="006E76BE">
        <w:t>MoJ</w:t>
      </w:r>
      <w:r w:rsidR="00906C81">
        <w:t>, Devolved Administrations, CPS, SFO and devolved prosecutors</w:t>
      </w:r>
      <w:r w:rsidR="006C6419">
        <w:t xml:space="preserve"> and, potentially, the Law Commission.</w:t>
      </w:r>
      <w:r w:rsidR="00906C81">
        <w:t xml:space="preserve"> </w:t>
      </w:r>
      <w:r w:rsidR="004C293A">
        <w:t xml:space="preserve"> </w:t>
      </w:r>
    </w:p>
    <w:p w14:paraId="5FF2586F" w14:textId="7ABCABAE" w:rsidR="00C86916" w:rsidRPr="00C86916" w:rsidRDefault="007726C1" w:rsidP="00C86916">
      <w:pPr>
        <w:pStyle w:val="EBBullet"/>
        <w:numPr>
          <w:ilvl w:val="0"/>
          <w:numId w:val="10"/>
        </w:numPr>
        <w:spacing w:line="259" w:lineRule="auto"/>
        <w:ind w:left="567" w:hanging="567"/>
      </w:pPr>
      <w:r w:rsidRPr="007726C1">
        <w:t>The post</w:t>
      </w:r>
      <w:r w:rsidR="00667D5E">
        <w:t xml:space="preserve"> </w:t>
      </w:r>
      <w:r w:rsidRPr="007726C1">
        <w:t>implementation review will be informed by the methods used in the post</w:t>
      </w:r>
      <w:r w:rsidR="00667D5E">
        <w:t xml:space="preserve"> </w:t>
      </w:r>
      <w:r w:rsidRPr="007726C1">
        <w:t>implementation review of the Bribery Act 2010</w:t>
      </w:r>
      <w:r w:rsidRPr="007726C1">
        <w:rPr>
          <w:vertAlign w:val="superscript"/>
        </w:rPr>
        <w:footnoteReference w:id="100"/>
      </w:r>
      <w:r>
        <w:t xml:space="preserve">. </w:t>
      </w:r>
      <w:r w:rsidRPr="00C86916">
        <w:t>T</w:t>
      </w:r>
      <w:r w:rsidR="00600D06" w:rsidRPr="00C86916">
        <w:t>he Home Office will</w:t>
      </w:r>
      <w:r w:rsidR="00C86916" w:rsidRPr="00C86916">
        <w:t xml:space="preserve"> engage with businesses. The exact approach will be defined closer to the time of the PIR, but a survey with businesses is suggested as an appropriate mechanism: consideration will need to be given as to whether this could form part of any existing surveys with businesses. This could cover: </w:t>
      </w:r>
    </w:p>
    <w:p w14:paraId="5CF1D95E" w14:textId="28C8F886" w:rsidR="00594D72" w:rsidRDefault="00594D72" w:rsidP="00A55741">
      <w:pPr>
        <w:pStyle w:val="ListParagraph"/>
        <w:numPr>
          <w:ilvl w:val="0"/>
          <w:numId w:val="104"/>
        </w:numPr>
        <w:spacing w:after="120" w:line="259" w:lineRule="auto"/>
        <w:ind w:left="1134" w:hanging="425"/>
        <w:contextualSpacing w:val="0"/>
        <w:jc w:val="both"/>
        <w:rPr>
          <w:rStyle w:val="normaltextrun"/>
          <w:rFonts w:cs="Arial"/>
          <w:sz w:val="22"/>
          <w:szCs w:val="22"/>
        </w:rPr>
      </w:pPr>
      <w:r>
        <w:rPr>
          <w:rStyle w:val="normaltextrun"/>
          <w:rFonts w:cs="Arial"/>
          <w:sz w:val="22"/>
          <w:szCs w:val="22"/>
        </w:rPr>
        <w:lastRenderedPageBreak/>
        <w:t xml:space="preserve">Awareness of the </w:t>
      </w:r>
      <w:r w:rsidR="006369EB">
        <w:rPr>
          <w:rStyle w:val="normaltextrun"/>
          <w:rFonts w:cs="Arial"/>
          <w:sz w:val="22"/>
          <w:szCs w:val="22"/>
        </w:rPr>
        <w:t>offence</w:t>
      </w:r>
      <w:r w:rsidR="00E2341D">
        <w:rPr>
          <w:rStyle w:val="FootnoteReference"/>
        </w:rPr>
        <w:footnoteReference w:id="101"/>
      </w:r>
    </w:p>
    <w:p w14:paraId="452CDD44" w14:textId="67DC72EB" w:rsidR="00594D72" w:rsidRDefault="00594D72" w:rsidP="00A55741">
      <w:pPr>
        <w:pStyle w:val="ListParagraph"/>
        <w:numPr>
          <w:ilvl w:val="0"/>
          <w:numId w:val="104"/>
        </w:numPr>
        <w:spacing w:after="120" w:line="259" w:lineRule="auto"/>
        <w:ind w:left="1134" w:hanging="425"/>
        <w:contextualSpacing w:val="0"/>
        <w:jc w:val="both"/>
        <w:rPr>
          <w:rStyle w:val="normaltextrun"/>
          <w:rFonts w:cs="Arial"/>
          <w:sz w:val="22"/>
          <w:szCs w:val="22"/>
        </w:rPr>
      </w:pPr>
      <w:r>
        <w:rPr>
          <w:rStyle w:val="normaltextrun"/>
          <w:rFonts w:cs="Arial"/>
          <w:sz w:val="22"/>
          <w:szCs w:val="22"/>
        </w:rPr>
        <w:t>Costs of developing and implementing fraud prevention measures</w:t>
      </w:r>
      <w:r w:rsidR="00B1282C">
        <w:rPr>
          <w:rStyle w:val="normaltextrun"/>
          <w:rFonts w:cs="Arial"/>
          <w:sz w:val="22"/>
          <w:szCs w:val="22"/>
        </w:rPr>
        <w:t>.</w:t>
      </w:r>
    </w:p>
    <w:p w14:paraId="653145AE" w14:textId="5428DAEB" w:rsidR="00594D72" w:rsidRDefault="00594D72" w:rsidP="00A55741">
      <w:pPr>
        <w:pStyle w:val="ListParagraph"/>
        <w:numPr>
          <w:ilvl w:val="0"/>
          <w:numId w:val="104"/>
        </w:numPr>
        <w:spacing w:after="120" w:line="259" w:lineRule="auto"/>
        <w:ind w:left="1134" w:hanging="425"/>
        <w:contextualSpacing w:val="0"/>
        <w:jc w:val="both"/>
        <w:rPr>
          <w:rStyle w:val="normaltextrun"/>
          <w:rFonts w:cs="Arial"/>
          <w:sz w:val="22"/>
          <w:szCs w:val="22"/>
        </w:rPr>
      </w:pPr>
      <w:r>
        <w:rPr>
          <w:rStyle w:val="normaltextrun"/>
          <w:rFonts w:cs="Arial"/>
          <w:sz w:val="22"/>
          <w:szCs w:val="22"/>
        </w:rPr>
        <w:t>Perceived benefits</w:t>
      </w:r>
      <w:r w:rsidR="00B1282C">
        <w:rPr>
          <w:rStyle w:val="normaltextrun"/>
          <w:rFonts w:cs="Arial"/>
          <w:sz w:val="22"/>
          <w:szCs w:val="22"/>
        </w:rPr>
        <w:t>.</w:t>
      </w:r>
    </w:p>
    <w:p w14:paraId="7F94C04E" w14:textId="629FCB59" w:rsidR="006369EB" w:rsidRDefault="006369EB" w:rsidP="00A55741">
      <w:pPr>
        <w:pStyle w:val="ListParagraph"/>
        <w:numPr>
          <w:ilvl w:val="0"/>
          <w:numId w:val="104"/>
        </w:numPr>
        <w:spacing w:after="120" w:line="259" w:lineRule="auto"/>
        <w:ind w:left="1134" w:hanging="425"/>
        <w:contextualSpacing w:val="0"/>
        <w:jc w:val="both"/>
        <w:rPr>
          <w:rStyle w:val="normaltextrun"/>
          <w:rFonts w:cs="Arial"/>
          <w:sz w:val="22"/>
          <w:szCs w:val="22"/>
        </w:rPr>
      </w:pPr>
      <w:r>
        <w:rPr>
          <w:rStyle w:val="normaltextrun"/>
          <w:rFonts w:cs="Arial"/>
          <w:sz w:val="22"/>
          <w:szCs w:val="22"/>
        </w:rPr>
        <w:t>Unintended consequences for businesses.</w:t>
      </w:r>
    </w:p>
    <w:p w14:paraId="6D4096C1" w14:textId="1104F7A5" w:rsidR="00600D06" w:rsidRPr="00553C1E" w:rsidRDefault="00600D06" w:rsidP="00A55741">
      <w:pPr>
        <w:pStyle w:val="ListParagraph"/>
        <w:numPr>
          <w:ilvl w:val="0"/>
          <w:numId w:val="104"/>
        </w:numPr>
        <w:spacing w:after="120" w:line="259" w:lineRule="auto"/>
        <w:ind w:left="1134" w:hanging="425"/>
        <w:contextualSpacing w:val="0"/>
        <w:jc w:val="both"/>
        <w:rPr>
          <w:rStyle w:val="normaltextrun"/>
          <w:rFonts w:cs="Arial"/>
          <w:sz w:val="22"/>
          <w:szCs w:val="22"/>
        </w:rPr>
      </w:pPr>
      <w:r w:rsidRPr="00441AF5">
        <w:rPr>
          <w:rStyle w:val="normaltextrun"/>
          <w:rFonts w:eastAsiaTheme="minorEastAsia" w:cs="Arial"/>
          <w:sz w:val="22"/>
          <w:szCs w:val="22"/>
        </w:rPr>
        <w:t xml:space="preserve">Seek feedback from law enforcement on the impact from the </w:t>
      </w:r>
      <w:r w:rsidR="00644A45">
        <w:rPr>
          <w:rStyle w:val="normaltextrun"/>
          <w:rFonts w:eastAsiaTheme="minorEastAsia" w:cs="Arial"/>
          <w:sz w:val="22"/>
          <w:szCs w:val="22"/>
        </w:rPr>
        <w:t>legislative</w:t>
      </w:r>
      <w:r w:rsidR="00644A45" w:rsidRPr="00441AF5">
        <w:rPr>
          <w:rStyle w:val="normaltextrun"/>
          <w:rFonts w:eastAsiaTheme="minorEastAsia" w:cs="Arial"/>
          <w:sz w:val="22"/>
          <w:szCs w:val="22"/>
        </w:rPr>
        <w:t xml:space="preserve"> </w:t>
      </w:r>
      <w:r w:rsidRPr="00441AF5">
        <w:rPr>
          <w:rStyle w:val="normaltextrun"/>
          <w:rFonts w:eastAsiaTheme="minorEastAsia" w:cs="Arial"/>
          <w:sz w:val="22"/>
          <w:szCs w:val="22"/>
        </w:rPr>
        <w:t>change on fraud investigations</w:t>
      </w:r>
      <w:r w:rsidR="00B40133">
        <w:rPr>
          <w:rStyle w:val="normaltextrun"/>
          <w:rFonts w:eastAsiaTheme="minorEastAsia" w:cs="Arial"/>
          <w:sz w:val="22"/>
          <w:szCs w:val="22"/>
        </w:rPr>
        <w:t>,</w:t>
      </w:r>
      <w:r w:rsidRPr="00441AF5">
        <w:rPr>
          <w:rStyle w:val="normaltextrun"/>
          <w:rFonts w:eastAsiaTheme="minorEastAsia" w:cs="Arial"/>
          <w:sz w:val="22"/>
          <w:szCs w:val="22"/>
        </w:rPr>
        <w:t xml:space="preserve"> prosecutions</w:t>
      </w:r>
      <w:r w:rsidR="00733259">
        <w:rPr>
          <w:rStyle w:val="normaltextrun"/>
          <w:rFonts w:eastAsiaTheme="minorEastAsia" w:cs="Arial"/>
          <w:sz w:val="22"/>
          <w:szCs w:val="22"/>
        </w:rPr>
        <w:t>,</w:t>
      </w:r>
      <w:r w:rsidR="00B40133">
        <w:rPr>
          <w:rStyle w:val="normaltextrun"/>
          <w:rFonts w:eastAsiaTheme="minorEastAsia" w:cs="Arial"/>
          <w:sz w:val="22"/>
          <w:szCs w:val="22"/>
        </w:rPr>
        <w:t xml:space="preserve"> and deferred prosecution agreements</w:t>
      </w:r>
      <w:r w:rsidRPr="00441AF5">
        <w:rPr>
          <w:rStyle w:val="normaltextrun"/>
          <w:rFonts w:eastAsiaTheme="minorEastAsia" w:cs="Arial"/>
          <w:sz w:val="22"/>
          <w:szCs w:val="22"/>
        </w:rPr>
        <w:t>.</w:t>
      </w:r>
    </w:p>
    <w:p w14:paraId="727715D7" w14:textId="1D6CEA45" w:rsidR="00B56C9B" w:rsidRPr="00553C1E" w:rsidRDefault="00B56C9B" w:rsidP="00A55741">
      <w:pPr>
        <w:pStyle w:val="ListParagraph"/>
        <w:numPr>
          <w:ilvl w:val="0"/>
          <w:numId w:val="104"/>
        </w:numPr>
        <w:spacing w:after="120" w:line="259" w:lineRule="auto"/>
        <w:ind w:left="1134" w:hanging="425"/>
        <w:contextualSpacing w:val="0"/>
        <w:jc w:val="both"/>
        <w:rPr>
          <w:rStyle w:val="normaltextrun"/>
          <w:rFonts w:cs="Arial"/>
          <w:sz w:val="22"/>
          <w:szCs w:val="22"/>
        </w:rPr>
      </w:pPr>
      <w:r>
        <w:rPr>
          <w:rStyle w:val="normaltextrun"/>
          <w:rFonts w:eastAsiaTheme="minorEastAsia" w:cs="Arial"/>
          <w:sz w:val="22"/>
          <w:szCs w:val="22"/>
        </w:rPr>
        <w:t>Seek feedback from other stakeholders, such as corporate investigators</w:t>
      </w:r>
      <w:r w:rsidR="00CF6293">
        <w:rPr>
          <w:rStyle w:val="normaltextrun"/>
          <w:rFonts w:eastAsiaTheme="minorEastAsia" w:cs="Arial"/>
          <w:sz w:val="22"/>
          <w:szCs w:val="22"/>
        </w:rPr>
        <w:t xml:space="preserve">, providers of </w:t>
      </w:r>
      <w:r w:rsidR="00BD6219">
        <w:rPr>
          <w:rStyle w:val="normaltextrun"/>
          <w:rFonts w:eastAsiaTheme="minorEastAsia" w:cs="Arial"/>
          <w:sz w:val="22"/>
          <w:szCs w:val="22"/>
        </w:rPr>
        <w:t>anti-fraud training and other specialists</w:t>
      </w:r>
      <w:r w:rsidR="00D7704B">
        <w:rPr>
          <w:rStyle w:val="normaltextrun"/>
          <w:rFonts w:eastAsiaTheme="minorEastAsia" w:cs="Arial"/>
          <w:sz w:val="22"/>
          <w:szCs w:val="22"/>
        </w:rPr>
        <w:t xml:space="preserve"> </w:t>
      </w:r>
      <w:r w:rsidR="006E2AD4">
        <w:rPr>
          <w:rStyle w:val="normaltextrun"/>
          <w:rFonts w:eastAsiaTheme="minorEastAsia" w:cs="Arial"/>
          <w:sz w:val="22"/>
          <w:szCs w:val="22"/>
        </w:rPr>
        <w:t>or professional bodies</w:t>
      </w:r>
      <w:r w:rsidR="00BD6219">
        <w:rPr>
          <w:rStyle w:val="normaltextrun"/>
          <w:rFonts w:eastAsiaTheme="minorEastAsia" w:cs="Arial"/>
          <w:sz w:val="22"/>
          <w:szCs w:val="22"/>
        </w:rPr>
        <w:t xml:space="preserve"> who may be consulted by companies when putting in place their </w:t>
      </w:r>
      <w:r w:rsidR="00A36289">
        <w:rPr>
          <w:rStyle w:val="normaltextrun"/>
          <w:rFonts w:eastAsiaTheme="minorEastAsia" w:cs="Arial"/>
          <w:sz w:val="22"/>
          <w:szCs w:val="22"/>
        </w:rPr>
        <w:t>fraud prevention procedures</w:t>
      </w:r>
      <w:r w:rsidR="00A36289">
        <w:rPr>
          <w:rStyle w:val="FootnoteReference"/>
          <w:rFonts w:eastAsiaTheme="minorEastAsia"/>
          <w:szCs w:val="22"/>
        </w:rPr>
        <w:footnoteReference w:id="102"/>
      </w:r>
      <w:r>
        <w:rPr>
          <w:rStyle w:val="normaltextrun"/>
          <w:rFonts w:eastAsiaTheme="minorEastAsia" w:cs="Arial"/>
          <w:sz w:val="22"/>
          <w:szCs w:val="22"/>
        </w:rPr>
        <w:t>.</w:t>
      </w:r>
    </w:p>
    <w:p w14:paraId="5BBFC683" w14:textId="690DB3D2" w:rsidR="00DD15F2" w:rsidRPr="00E70F1B" w:rsidRDefault="001D3E93" w:rsidP="00A55741">
      <w:pPr>
        <w:pStyle w:val="ListParagraph"/>
        <w:numPr>
          <w:ilvl w:val="0"/>
          <w:numId w:val="10"/>
        </w:numPr>
        <w:spacing w:after="120" w:line="259" w:lineRule="auto"/>
        <w:ind w:left="567" w:hanging="567"/>
        <w:contextualSpacing w:val="0"/>
        <w:jc w:val="both"/>
        <w:rPr>
          <w:rStyle w:val="eop"/>
          <w:sz w:val="22"/>
          <w:szCs w:val="22"/>
        </w:rPr>
      </w:pPr>
      <w:r w:rsidRPr="00E70F1B">
        <w:rPr>
          <w:rStyle w:val="eop"/>
          <w:sz w:val="22"/>
          <w:szCs w:val="22"/>
        </w:rPr>
        <w:t xml:space="preserve">In addition to this </w:t>
      </w:r>
      <w:r w:rsidR="00E53535">
        <w:rPr>
          <w:rStyle w:val="eop"/>
          <w:sz w:val="22"/>
          <w:szCs w:val="22"/>
        </w:rPr>
        <w:t xml:space="preserve">suggested </w:t>
      </w:r>
      <w:r w:rsidRPr="00E70F1B">
        <w:rPr>
          <w:rStyle w:val="eop"/>
          <w:sz w:val="22"/>
          <w:szCs w:val="22"/>
        </w:rPr>
        <w:t>survey, the Home Office pro</w:t>
      </w:r>
      <w:r w:rsidR="006369EB" w:rsidRPr="00E70F1B">
        <w:rPr>
          <w:rStyle w:val="eop"/>
          <w:sz w:val="22"/>
          <w:szCs w:val="22"/>
        </w:rPr>
        <w:t>pose</w:t>
      </w:r>
      <w:r w:rsidRPr="00E70F1B">
        <w:rPr>
          <w:rStyle w:val="eop"/>
          <w:sz w:val="22"/>
          <w:szCs w:val="22"/>
        </w:rPr>
        <w:t>s</w:t>
      </w:r>
      <w:r w:rsidR="006369EB" w:rsidRPr="00E70F1B">
        <w:rPr>
          <w:rStyle w:val="eop"/>
          <w:sz w:val="22"/>
          <w:szCs w:val="22"/>
        </w:rPr>
        <w:t xml:space="preserve"> to use </w:t>
      </w:r>
      <w:r w:rsidR="006369EB" w:rsidRPr="00E70F1B">
        <w:rPr>
          <w:sz w:val="22"/>
          <w:szCs w:val="22"/>
        </w:rPr>
        <w:t xml:space="preserve">a mix of primary and secondary data sources to assess the impact of the measure on businesses. </w:t>
      </w:r>
      <w:r w:rsidR="00402380" w:rsidRPr="00E70F1B">
        <w:rPr>
          <w:rStyle w:val="eop"/>
          <w:sz w:val="22"/>
          <w:szCs w:val="22"/>
        </w:rPr>
        <w:t>Potential sources of data include, but are not limited to:</w:t>
      </w:r>
    </w:p>
    <w:p w14:paraId="73C8B86D" w14:textId="26C1DF32" w:rsidR="00402380" w:rsidRPr="00402380" w:rsidRDefault="00402380" w:rsidP="00E70F1B">
      <w:pPr>
        <w:pStyle w:val="ListParagraph"/>
        <w:numPr>
          <w:ilvl w:val="1"/>
          <w:numId w:val="44"/>
        </w:numPr>
        <w:spacing w:after="120" w:line="259" w:lineRule="auto"/>
        <w:ind w:left="1134" w:hanging="425"/>
        <w:contextualSpacing w:val="0"/>
        <w:jc w:val="both"/>
        <w:rPr>
          <w:rStyle w:val="eop"/>
          <w:rFonts w:cs="Arial"/>
          <w:sz w:val="22"/>
          <w:szCs w:val="22"/>
        </w:rPr>
      </w:pPr>
      <w:r>
        <w:rPr>
          <w:rStyle w:val="eop"/>
          <w:rFonts w:cs="Arial"/>
          <w:sz w:val="22"/>
          <w:szCs w:val="22"/>
        </w:rPr>
        <w:t>The Economic Crime Survey</w:t>
      </w:r>
      <w:r w:rsidR="0097582F">
        <w:rPr>
          <w:rStyle w:val="eop"/>
          <w:rFonts w:cs="Arial"/>
          <w:sz w:val="22"/>
          <w:szCs w:val="22"/>
        </w:rPr>
        <w:t>;</w:t>
      </w:r>
    </w:p>
    <w:p w14:paraId="39725B81" w14:textId="769C371C" w:rsidR="00C55208" w:rsidRPr="00402380" w:rsidRDefault="00F87EC1" w:rsidP="00E70F1B">
      <w:pPr>
        <w:pStyle w:val="ListParagraph"/>
        <w:numPr>
          <w:ilvl w:val="1"/>
          <w:numId w:val="44"/>
        </w:numPr>
        <w:spacing w:after="120" w:line="259" w:lineRule="auto"/>
        <w:ind w:left="1134" w:hanging="425"/>
        <w:contextualSpacing w:val="0"/>
        <w:jc w:val="both"/>
        <w:rPr>
          <w:rStyle w:val="eop"/>
          <w:rFonts w:cs="Arial"/>
          <w:sz w:val="22"/>
          <w:szCs w:val="22"/>
        </w:rPr>
      </w:pPr>
      <w:r>
        <w:rPr>
          <w:rStyle w:val="eop"/>
          <w:rFonts w:cs="Arial"/>
          <w:sz w:val="22"/>
          <w:szCs w:val="22"/>
        </w:rPr>
        <w:t xml:space="preserve">Uptake of </w:t>
      </w:r>
      <w:r w:rsidR="00235FD1">
        <w:rPr>
          <w:rStyle w:val="eop"/>
          <w:rFonts w:cs="Arial"/>
          <w:sz w:val="22"/>
          <w:szCs w:val="22"/>
        </w:rPr>
        <w:t>counter-fraud training programmes by eligible businesses</w:t>
      </w:r>
      <w:r w:rsidR="0097582F">
        <w:rPr>
          <w:rStyle w:val="eop"/>
          <w:rFonts w:cs="Arial"/>
          <w:sz w:val="22"/>
          <w:szCs w:val="22"/>
        </w:rPr>
        <w:t>;</w:t>
      </w:r>
    </w:p>
    <w:p w14:paraId="5A6E0456" w14:textId="2BA5C12C" w:rsidR="008A63B7" w:rsidRDefault="008A63B7" w:rsidP="00E70F1B">
      <w:pPr>
        <w:pStyle w:val="ListParagraph"/>
        <w:numPr>
          <w:ilvl w:val="1"/>
          <w:numId w:val="44"/>
        </w:numPr>
        <w:spacing w:after="120" w:line="259" w:lineRule="auto"/>
        <w:ind w:left="1134" w:hanging="425"/>
        <w:contextualSpacing w:val="0"/>
        <w:jc w:val="both"/>
        <w:rPr>
          <w:rStyle w:val="eop"/>
          <w:rFonts w:cs="Arial"/>
          <w:sz w:val="22"/>
          <w:szCs w:val="22"/>
        </w:rPr>
      </w:pPr>
      <w:r>
        <w:rPr>
          <w:rStyle w:val="eop"/>
          <w:rFonts w:cs="Arial"/>
          <w:sz w:val="22"/>
          <w:szCs w:val="22"/>
        </w:rPr>
        <w:t xml:space="preserve">Estimated costs associated with </w:t>
      </w:r>
      <w:r w:rsidR="00A4730B">
        <w:rPr>
          <w:rStyle w:val="eop"/>
          <w:rFonts w:cs="Arial"/>
          <w:sz w:val="22"/>
          <w:szCs w:val="22"/>
        </w:rPr>
        <w:t xml:space="preserve">developing </w:t>
      </w:r>
      <w:r w:rsidR="00144128">
        <w:rPr>
          <w:rStyle w:val="eop"/>
          <w:rFonts w:cs="Arial"/>
          <w:sz w:val="22"/>
          <w:szCs w:val="22"/>
        </w:rPr>
        <w:t>fraud prevention plans</w:t>
      </w:r>
      <w:r w:rsidR="0088604D">
        <w:rPr>
          <w:rStyle w:val="eop"/>
          <w:rFonts w:cs="Arial"/>
          <w:sz w:val="22"/>
          <w:szCs w:val="22"/>
        </w:rPr>
        <w:t>;</w:t>
      </w:r>
    </w:p>
    <w:p w14:paraId="5D3A75B1" w14:textId="49EDF28D" w:rsidR="0097582F" w:rsidRDefault="008815A3" w:rsidP="00E70F1B">
      <w:pPr>
        <w:pStyle w:val="ListParagraph"/>
        <w:numPr>
          <w:ilvl w:val="1"/>
          <w:numId w:val="44"/>
        </w:numPr>
        <w:spacing w:after="120" w:line="259" w:lineRule="auto"/>
        <w:ind w:left="1134" w:hanging="425"/>
        <w:contextualSpacing w:val="0"/>
        <w:jc w:val="both"/>
        <w:rPr>
          <w:rStyle w:val="eop"/>
          <w:rFonts w:cs="Arial"/>
          <w:sz w:val="22"/>
          <w:szCs w:val="22"/>
        </w:rPr>
      </w:pPr>
      <w:r>
        <w:rPr>
          <w:rStyle w:val="eop"/>
          <w:rFonts w:cs="Arial"/>
          <w:sz w:val="22"/>
          <w:szCs w:val="22"/>
        </w:rPr>
        <w:t>Any s</w:t>
      </w:r>
      <w:r w:rsidR="0097582F">
        <w:rPr>
          <w:rStyle w:val="eop"/>
          <w:rFonts w:cs="Arial"/>
          <w:sz w:val="22"/>
          <w:szCs w:val="22"/>
        </w:rPr>
        <w:t>ector-specific reviews</w:t>
      </w:r>
      <w:r w:rsidR="00BB07AA">
        <w:rPr>
          <w:rStyle w:val="eop"/>
          <w:rFonts w:cs="Arial"/>
          <w:sz w:val="22"/>
          <w:szCs w:val="22"/>
        </w:rPr>
        <w:t xml:space="preserve"> and surveys</w:t>
      </w:r>
      <w:r w:rsidR="00987C53">
        <w:rPr>
          <w:rStyle w:val="eop"/>
          <w:rFonts w:cs="Arial"/>
          <w:sz w:val="22"/>
          <w:szCs w:val="22"/>
        </w:rPr>
        <w:t>.</w:t>
      </w:r>
    </w:p>
    <w:p w14:paraId="00B65A86" w14:textId="185E0695" w:rsidR="00325F43" w:rsidRDefault="003D3A93" w:rsidP="005E2F6F">
      <w:pPr>
        <w:pStyle w:val="EBBullet"/>
        <w:numPr>
          <w:ilvl w:val="0"/>
          <w:numId w:val="10"/>
        </w:numPr>
        <w:spacing w:line="259" w:lineRule="auto"/>
        <w:ind w:left="567" w:hanging="567"/>
        <w:jc w:val="both"/>
      </w:pPr>
      <w:r>
        <w:t>The</w:t>
      </w:r>
      <w:r w:rsidR="004414EB">
        <w:t xml:space="preserve"> </w:t>
      </w:r>
      <w:r w:rsidR="004414EB" w:rsidRPr="00C23109">
        <w:rPr>
          <w:rStyle w:val="eop"/>
        </w:rPr>
        <w:t>post</w:t>
      </w:r>
      <w:r w:rsidR="004414EB">
        <w:t xml:space="preserve"> </w:t>
      </w:r>
      <w:r w:rsidR="004414EB" w:rsidRPr="00422C95">
        <w:rPr>
          <w:rStyle w:val="eop"/>
        </w:rPr>
        <w:t>implementation</w:t>
      </w:r>
      <w:r w:rsidR="004414EB">
        <w:t xml:space="preserve"> review will </w:t>
      </w:r>
      <w:r w:rsidR="00A1094B">
        <w:t>specifically</w:t>
      </w:r>
      <w:r w:rsidR="004414EB">
        <w:t xml:space="preserve"> </w:t>
      </w:r>
      <w:r w:rsidR="00E20BEA">
        <w:t>consider</w:t>
      </w:r>
      <w:r w:rsidR="004414EB">
        <w:t xml:space="preserve"> </w:t>
      </w:r>
      <w:r w:rsidR="00101C92">
        <w:t>evaluation</w:t>
      </w:r>
      <w:r w:rsidR="00A275CF">
        <w:t xml:space="preserve"> questions regarding</w:t>
      </w:r>
      <w:r w:rsidR="004414EB">
        <w:t xml:space="preserve"> </w:t>
      </w:r>
      <w:r w:rsidR="000912B1">
        <w:t>t</w:t>
      </w:r>
      <w:r w:rsidR="004414EB">
        <w:t xml:space="preserve">he assumptions used in the </w:t>
      </w:r>
      <w:r w:rsidR="0090054F">
        <w:t>analysis</w:t>
      </w:r>
      <w:r w:rsidR="004414EB">
        <w:t xml:space="preserve"> and </w:t>
      </w:r>
      <w:r w:rsidR="00DD15F2">
        <w:t>assess whether</w:t>
      </w:r>
      <w:r w:rsidR="004414EB">
        <w:t xml:space="preserve"> these were </w:t>
      </w:r>
      <w:r w:rsidR="007F11B8">
        <w:t>accurate and</w:t>
      </w:r>
      <w:r w:rsidR="004414EB">
        <w:t xml:space="preserve"> identify any impact of errors in these assumptions to the overall cost of this legislation. </w:t>
      </w:r>
      <w:r w:rsidR="00374621">
        <w:t>Some of the</w:t>
      </w:r>
      <w:r w:rsidR="001252A4">
        <w:t xml:space="preserve"> assumptions and estimates that will be reviewed will include but not be limited to:</w:t>
      </w:r>
    </w:p>
    <w:p w14:paraId="30BCE853" w14:textId="12EC5747" w:rsidR="001252A4" w:rsidRDefault="001252A4" w:rsidP="008055D8">
      <w:pPr>
        <w:pStyle w:val="EBBullet"/>
        <w:numPr>
          <w:ilvl w:val="1"/>
          <w:numId w:val="10"/>
        </w:numPr>
        <w:spacing w:line="259" w:lineRule="auto"/>
        <w:ind w:left="1069"/>
        <w:jc w:val="both"/>
      </w:pPr>
      <w:r>
        <w:t>The overall cost of the legislation.</w:t>
      </w:r>
    </w:p>
    <w:p w14:paraId="5A299656" w14:textId="77777777" w:rsidR="001252A4" w:rsidRDefault="001252A4" w:rsidP="008055D8">
      <w:pPr>
        <w:pStyle w:val="EBBullet"/>
        <w:numPr>
          <w:ilvl w:val="1"/>
          <w:numId w:val="10"/>
        </w:numPr>
        <w:spacing w:line="259" w:lineRule="auto"/>
        <w:ind w:left="1069"/>
        <w:jc w:val="both"/>
      </w:pPr>
      <w:r>
        <w:t>The cost to public sector bodies.</w:t>
      </w:r>
    </w:p>
    <w:p w14:paraId="08794773" w14:textId="77777777" w:rsidR="001252A4" w:rsidRDefault="001252A4" w:rsidP="008055D8">
      <w:pPr>
        <w:pStyle w:val="EBBullet"/>
        <w:numPr>
          <w:ilvl w:val="1"/>
          <w:numId w:val="10"/>
        </w:numPr>
        <w:spacing w:line="259" w:lineRule="auto"/>
        <w:ind w:left="1069"/>
        <w:jc w:val="both"/>
      </w:pPr>
      <w:r>
        <w:t>The number of organisations in scope of the legislation who introduced new anti-fraud procedures.</w:t>
      </w:r>
    </w:p>
    <w:p w14:paraId="2FB6B0F7" w14:textId="77777777" w:rsidR="001252A4" w:rsidRDefault="001252A4" w:rsidP="008055D8">
      <w:pPr>
        <w:pStyle w:val="EBBullet"/>
        <w:numPr>
          <w:ilvl w:val="1"/>
          <w:numId w:val="10"/>
        </w:numPr>
        <w:spacing w:line="259" w:lineRule="auto"/>
        <w:ind w:left="1069"/>
        <w:jc w:val="both"/>
      </w:pPr>
      <w:r>
        <w:t>The training cost assumptions for both set-up and on-going costs</w:t>
      </w:r>
    </w:p>
    <w:p w14:paraId="0EAFB153" w14:textId="77777777" w:rsidR="001252A4" w:rsidRDefault="001252A4" w:rsidP="008055D8">
      <w:pPr>
        <w:pStyle w:val="EBBullet"/>
        <w:numPr>
          <w:ilvl w:val="1"/>
          <w:numId w:val="10"/>
        </w:numPr>
        <w:spacing w:line="259" w:lineRule="auto"/>
        <w:ind w:left="1069"/>
        <w:jc w:val="both"/>
      </w:pPr>
      <w:r>
        <w:t>The assumptions around the number of staff and time needed to conduct the familiarisation, risk assessment and communications.</w:t>
      </w:r>
    </w:p>
    <w:p w14:paraId="05327C78" w14:textId="77777777" w:rsidR="001252A4" w:rsidRPr="00441AF5" w:rsidRDefault="001252A4" w:rsidP="008055D8">
      <w:pPr>
        <w:pStyle w:val="EBBullet"/>
        <w:numPr>
          <w:ilvl w:val="1"/>
          <w:numId w:val="10"/>
        </w:numPr>
        <w:spacing w:line="259" w:lineRule="auto"/>
        <w:ind w:left="1069"/>
        <w:jc w:val="both"/>
      </w:pPr>
      <w:r>
        <w:t>Any impacts or costs on the CJS.</w:t>
      </w:r>
    </w:p>
    <w:p w14:paraId="1BFDC3A1" w14:textId="5D8212C1" w:rsidR="00A275CF" w:rsidRPr="00441AF5" w:rsidRDefault="009C1F31" w:rsidP="00A55741">
      <w:pPr>
        <w:pStyle w:val="EBBullet"/>
        <w:numPr>
          <w:ilvl w:val="0"/>
          <w:numId w:val="10"/>
        </w:numPr>
        <w:spacing w:line="259" w:lineRule="auto"/>
        <w:ind w:left="567" w:hanging="567"/>
        <w:jc w:val="both"/>
      </w:pPr>
      <w:r>
        <w:t>A</w:t>
      </w:r>
      <w:r w:rsidR="00F06C9C">
        <w:t xml:space="preserve"> </w:t>
      </w:r>
      <w:r w:rsidR="0018404F">
        <w:t>significant</w:t>
      </w:r>
      <w:r w:rsidR="00F06C9C">
        <w:t xml:space="preserve"> challenge was th</w:t>
      </w:r>
      <w:r w:rsidR="00FE7085">
        <w:t xml:space="preserve">at </w:t>
      </w:r>
      <w:r w:rsidR="00F06C9C">
        <w:t xml:space="preserve">guidance </w:t>
      </w:r>
      <w:r w:rsidR="00FE7085">
        <w:t xml:space="preserve">had not yet been published when the IA was written. </w:t>
      </w:r>
      <w:r w:rsidR="00B8671F">
        <w:t>This meant that the assumptions could n</w:t>
      </w:r>
      <w:r w:rsidR="008057CE">
        <w:t xml:space="preserve">ot </w:t>
      </w:r>
      <w:r w:rsidR="00DF43C3">
        <w:t>be tested</w:t>
      </w:r>
      <w:r w:rsidR="008057CE">
        <w:t xml:space="preserve"> with stakeholders</w:t>
      </w:r>
      <w:r w:rsidR="008055D8">
        <w:t>,</w:t>
      </w:r>
      <w:r w:rsidR="006A4816">
        <w:t xml:space="preserve"> </w:t>
      </w:r>
      <w:r w:rsidR="008057CE">
        <w:t>o</w:t>
      </w:r>
      <w:r w:rsidR="006A4816">
        <w:t>r</w:t>
      </w:r>
      <w:r w:rsidR="00B56677">
        <w:t xml:space="preserve"> </w:t>
      </w:r>
      <w:r w:rsidR="00E853C4">
        <w:t>it be</w:t>
      </w:r>
      <w:r w:rsidR="00B56677">
        <w:t xml:space="preserve"> know</w:t>
      </w:r>
      <w:r w:rsidR="00E853C4">
        <w:t>n</w:t>
      </w:r>
      <w:r w:rsidR="006A4816">
        <w:t xml:space="preserve"> if the guidance </w:t>
      </w:r>
      <w:r w:rsidR="00B56677">
        <w:t xml:space="preserve">would </w:t>
      </w:r>
      <w:r w:rsidR="006A4816">
        <w:t xml:space="preserve">differ from the </w:t>
      </w:r>
      <w:r w:rsidR="00861C3B">
        <w:t>existing</w:t>
      </w:r>
      <w:r w:rsidR="00927F8D">
        <w:t xml:space="preserve"> </w:t>
      </w:r>
      <w:r w:rsidR="006A4816">
        <w:t xml:space="preserve">guidance for failure to prevent </w:t>
      </w:r>
      <w:r w:rsidR="00D5275D">
        <w:t xml:space="preserve">bribery and tax evasion </w:t>
      </w:r>
      <w:r w:rsidR="006A4816">
        <w:t>offences that the</w:t>
      </w:r>
      <w:r w:rsidR="00B56677">
        <w:t xml:space="preserve"> assumptions</w:t>
      </w:r>
      <w:r w:rsidR="006A4816">
        <w:t xml:space="preserve"> </w:t>
      </w:r>
      <w:r w:rsidR="00AE49CF">
        <w:t xml:space="preserve">in this IA </w:t>
      </w:r>
      <w:r w:rsidR="006A4816">
        <w:t xml:space="preserve">were drawn from. </w:t>
      </w:r>
      <w:r w:rsidR="004C07D6">
        <w:t xml:space="preserve">The post implementation review will specifically look </w:t>
      </w:r>
      <w:r w:rsidR="0099600E">
        <w:t>at</w:t>
      </w:r>
      <w:r w:rsidR="0090054F">
        <w:t xml:space="preserve"> the continued validity of the</w:t>
      </w:r>
      <w:r w:rsidR="009D0ECD">
        <w:t xml:space="preserve"> </w:t>
      </w:r>
      <w:r w:rsidR="00F06C9C">
        <w:t xml:space="preserve">assumptions and </w:t>
      </w:r>
      <w:r w:rsidR="0099600E">
        <w:t xml:space="preserve">the estimation of </w:t>
      </w:r>
      <w:r w:rsidR="009D0ECD">
        <w:t xml:space="preserve">overall cost </w:t>
      </w:r>
      <w:r w:rsidR="002772C9">
        <w:t>following the publishing of the guidance.</w:t>
      </w:r>
      <w:r w:rsidR="000613FA">
        <w:t xml:space="preserve"> </w:t>
      </w:r>
    </w:p>
    <w:p w14:paraId="5A285AEE" w14:textId="7DA53AD7" w:rsidR="00D20EFC" w:rsidRDefault="00B56677" w:rsidP="001252A4">
      <w:pPr>
        <w:pStyle w:val="EBBullet"/>
        <w:numPr>
          <w:ilvl w:val="0"/>
          <w:numId w:val="10"/>
        </w:numPr>
        <w:spacing w:line="259" w:lineRule="auto"/>
        <w:ind w:left="567" w:hanging="567"/>
        <w:jc w:val="both"/>
      </w:pPr>
      <w:r>
        <w:t xml:space="preserve">The post implementation review will also </w:t>
      </w:r>
      <w:r w:rsidR="00E20BEA">
        <w:t xml:space="preserve">consider </w:t>
      </w:r>
      <w:r w:rsidR="0090054F">
        <w:t>evaluation questions considering the</w:t>
      </w:r>
      <w:r w:rsidR="00E509FC">
        <w:t xml:space="preserve"> </w:t>
      </w:r>
      <w:r w:rsidR="001A065E">
        <w:t>progress o</w:t>
      </w:r>
      <w:r w:rsidR="006879E0">
        <w:t>f</w:t>
      </w:r>
      <w:r w:rsidR="00E20BEA">
        <w:t xml:space="preserve"> </w:t>
      </w:r>
      <w:r w:rsidR="00D821EC">
        <w:t>the policy</w:t>
      </w:r>
      <w:r w:rsidR="00E509FC">
        <w:t xml:space="preserve"> </w:t>
      </w:r>
      <w:r w:rsidR="001A065E">
        <w:t>against its objectives</w:t>
      </w:r>
      <w:r w:rsidR="00F63E3B">
        <w:t xml:space="preserve"> –</w:t>
      </w:r>
      <w:r w:rsidR="001A065E">
        <w:t xml:space="preserve"> </w:t>
      </w:r>
      <w:r w:rsidR="006879E0">
        <w:t>which</w:t>
      </w:r>
      <w:r w:rsidR="00F63E3B">
        <w:t xml:space="preserve"> </w:t>
      </w:r>
      <w:r w:rsidR="006879E0">
        <w:t>are to reduce fraud</w:t>
      </w:r>
      <w:r w:rsidR="005F5BB5">
        <w:t>, and</w:t>
      </w:r>
      <w:r w:rsidR="006879E0" w:rsidDel="005F5BB5">
        <w:t xml:space="preserve"> </w:t>
      </w:r>
      <w:r w:rsidR="005F5BB5">
        <w:t>t</w:t>
      </w:r>
      <w:r w:rsidR="00A65E52">
        <w:t>o improve</w:t>
      </w:r>
      <w:r w:rsidR="006879E0" w:rsidRPr="00441AF5">
        <w:t xml:space="preserve"> the ability for prosecutors to hold to account, and appropriately deal with, organisations whose employees</w:t>
      </w:r>
      <w:r w:rsidR="006879E0">
        <w:t xml:space="preserve">, agents, or other </w:t>
      </w:r>
      <w:r w:rsidR="006879E0">
        <w:lastRenderedPageBreak/>
        <w:t xml:space="preserve">associated persons </w:t>
      </w:r>
      <w:r w:rsidR="006879E0" w:rsidRPr="00441AF5">
        <w:t xml:space="preserve">perpetuate </w:t>
      </w:r>
      <w:r w:rsidR="003E7F3E">
        <w:t>fraud</w:t>
      </w:r>
      <w:r w:rsidR="00D821EC">
        <w:t>. Th</w:t>
      </w:r>
      <w:r w:rsidR="002758B8">
        <w:t xml:space="preserve">e review will </w:t>
      </w:r>
      <w:r w:rsidR="00FE26C3">
        <w:t xml:space="preserve">specifically consider </w:t>
      </w:r>
      <w:r w:rsidR="00E20BEA">
        <w:t xml:space="preserve">an evaluation of </w:t>
      </w:r>
      <w:r w:rsidR="002758B8">
        <w:t xml:space="preserve">if </w:t>
      </w:r>
      <w:r w:rsidR="00E509FC">
        <w:t xml:space="preserve">the exclusion </w:t>
      </w:r>
      <w:r w:rsidR="00927F8D">
        <w:t xml:space="preserve">of </w:t>
      </w:r>
      <w:r w:rsidR="002758B8">
        <w:t>SMB</w:t>
      </w:r>
      <w:r w:rsidR="00A62479">
        <w:t>s</w:t>
      </w:r>
      <w:r w:rsidR="002D0956">
        <w:t xml:space="preserve"> has </w:t>
      </w:r>
      <w:r w:rsidR="001526F1">
        <w:t xml:space="preserve">undermined </w:t>
      </w:r>
      <w:r w:rsidR="00FE26C3">
        <w:t xml:space="preserve">the ability </w:t>
      </w:r>
      <w:r w:rsidR="006D4410">
        <w:t>to of the policy to meet its objectives.</w:t>
      </w:r>
    </w:p>
    <w:p w14:paraId="1EFDE51C" w14:textId="46CF3E18" w:rsidR="004846A8" w:rsidRDefault="004846A8" w:rsidP="001252A4">
      <w:pPr>
        <w:pStyle w:val="EBBullet"/>
        <w:numPr>
          <w:ilvl w:val="0"/>
          <w:numId w:val="10"/>
        </w:numPr>
        <w:spacing w:line="259" w:lineRule="auto"/>
        <w:ind w:left="567" w:hanging="567"/>
        <w:jc w:val="both"/>
      </w:pPr>
      <w:r w:rsidRPr="00435492">
        <w:t>The post</w:t>
      </w:r>
      <w:r w:rsidR="00B50EFB">
        <w:t xml:space="preserve"> </w:t>
      </w:r>
      <w:r w:rsidRPr="00435492">
        <w:t>implementation review will make recommendations, based on the available data</w:t>
      </w:r>
      <w:r>
        <w:t xml:space="preserve"> or will recommend seeking additional information before determining whether any amendments should be made to the legislation or its implementation</w:t>
      </w:r>
      <w:r w:rsidR="00E509FC">
        <w:t>.</w:t>
      </w:r>
    </w:p>
    <w:p w14:paraId="15839335" w14:textId="63079D0F" w:rsidR="00281DE2" w:rsidRDefault="0010533E" w:rsidP="00E70F1B">
      <w:pPr>
        <w:pStyle w:val="EBBullet"/>
        <w:numPr>
          <w:ilvl w:val="0"/>
          <w:numId w:val="10"/>
        </w:numPr>
        <w:spacing w:line="259" w:lineRule="auto"/>
        <w:ind w:left="567" w:hanging="567"/>
        <w:jc w:val="both"/>
      </w:pPr>
      <w:r w:rsidRPr="004232E8">
        <w:rPr>
          <w:rStyle w:val="eop"/>
        </w:rPr>
        <w:t>The</w:t>
      </w:r>
      <w:r w:rsidRPr="001114FA">
        <w:t xml:space="preserve"> government does not intend to monitor in relation to Public Sector Equality Duty specifically. </w:t>
      </w:r>
    </w:p>
    <w:p w14:paraId="226753F1" w14:textId="178DFF74" w:rsidR="00BF1262" w:rsidRPr="00281DE2" w:rsidRDefault="0010533E" w:rsidP="00A55741">
      <w:pPr>
        <w:pStyle w:val="EBBullet"/>
        <w:numPr>
          <w:ilvl w:val="0"/>
          <w:numId w:val="10"/>
        </w:numPr>
        <w:spacing w:line="259" w:lineRule="auto"/>
        <w:ind w:left="567" w:hanging="567"/>
        <w:jc w:val="both"/>
        <w:rPr>
          <w:b/>
        </w:rPr>
      </w:pPr>
      <w:r>
        <w:rPr>
          <w:rStyle w:val="eop"/>
        </w:rPr>
        <w:t>Section</w:t>
      </w:r>
      <w:r w:rsidRPr="00281DE2">
        <w:rPr>
          <w:rStyle w:val="eop"/>
        </w:rPr>
        <w:t>s 201(6) to (7) of the ECCT 2023 allow the</w:t>
      </w:r>
      <w:r w:rsidR="00F05963">
        <w:rPr>
          <w:rStyle w:val="eop"/>
        </w:rPr>
        <w:t xml:space="preserve"> Home</w:t>
      </w:r>
      <w:r w:rsidRPr="00281DE2">
        <w:rPr>
          <w:rStyle w:val="eop"/>
        </w:rPr>
        <w:t xml:space="preserve"> Secretary to amend the criteria for an organisation to be in scope of the offence.  The post</w:t>
      </w:r>
      <w:r w:rsidR="00C3318C">
        <w:rPr>
          <w:rStyle w:val="eop"/>
        </w:rPr>
        <w:t xml:space="preserve"> </w:t>
      </w:r>
      <w:r w:rsidRPr="00281DE2">
        <w:rPr>
          <w:rStyle w:val="eop"/>
        </w:rPr>
        <w:t>implementation review will also assess the extent to which smaller businesses have voluntarily adopted the fraud prevention measures suggested in the guidance</w:t>
      </w:r>
      <w:r>
        <w:t xml:space="preserve">. </w:t>
      </w:r>
    </w:p>
    <w:p w14:paraId="7957E886" w14:textId="4838F3BC" w:rsidR="0031271E" w:rsidRPr="00441AF5" w:rsidRDefault="00E70F1B">
      <w:pPr>
        <w:rPr>
          <w:rFonts w:cs="Arial"/>
          <w:b/>
          <w:bCs/>
          <w:sz w:val="22"/>
          <w:szCs w:val="22"/>
          <w:lang w:eastAsia="en-GB"/>
        </w:rPr>
      </w:pPr>
      <w:r>
        <w:rPr>
          <w:rFonts w:cs="Arial"/>
          <w:b/>
          <w:bCs/>
          <w:sz w:val="22"/>
          <w:szCs w:val="22"/>
          <w:lang w:eastAsia="en-GB"/>
        </w:rPr>
        <w:br w:type="page"/>
      </w:r>
    </w:p>
    <w:p w14:paraId="27600C17" w14:textId="77777777" w:rsidR="0031271E" w:rsidRPr="00441AF5" w:rsidRDefault="0031271E" w:rsidP="00E70F1B">
      <w:pPr>
        <w:spacing w:after="120" w:line="259" w:lineRule="auto"/>
        <w:ind w:left="567" w:hanging="567"/>
        <w:jc w:val="both"/>
        <w:rPr>
          <w:rFonts w:cs="Arial"/>
          <w:b/>
          <w:bCs/>
          <w:sz w:val="22"/>
          <w:szCs w:val="22"/>
          <w:lang w:eastAsia="en-GB"/>
        </w:rPr>
      </w:pPr>
    </w:p>
    <w:p w14:paraId="6BB256A2" w14:textId="2C4306C4" w:rsidR="008B6E42" w:rsidRPr="0029116F" w:rsidRDefault="0098130D" w:rsidP="00E70F1B">
      <w:pPr>
        <w:pStyle w:val="EBBullet"/>
        <w:numPr>
          <w:ilvl w:val="0"/>
          <w:numId w:val="4"/>
        </w:numPr>
        <w:spacing w:line="259" w:lineRule="auto"/>
        <w:ind w:left="567" w:hanging="567"/>
        <w:jc w:val="both"/>
        <w:rPr>
          <w:b/>
          <w:color w:val="auto"/>
          <w:sz w:val="28"/>
          <w:szCs w:val="28"/>
        </w:rPr>
      </w:pPr>
      <w:r w:rsidRPr="0029116F">
        <w:rPr>
          <w:b/>
          <w:color w:val="auto"/>
          <w:sz w:val="28"/>
          <w:szCs w:val="28"/>
        </w:rPr>
        <w:t>Annexes</w:t>
      </w:r>
    </w:p>
    <w:p w14:paraId="6F15CCC6" w14:textId="2DF9F397" w:rsidR="00B27B11" w:rsidRPr="00441AF5" w:rsidRDefault="00B27B11" w:rsidP="000D58CF">
      <w:pPr>
        <w:pStyle w:val="EBBullet"/>
        <w:numPr>
          <w:ilvl w:val="0"/>
          <w:numId w:val="0"/>
        </w:numPr>
        <w:spacing w:line="259" w:lineRule="auto"/>
        <w:ind w:left="567"/>
        <w:jc w:val="both"/>
        <w:rPr>
          <w:color w:val="auto"/>
        </w:rPr>
      </w:pPr>
    </w:p>
    <w:p w14:paraId="5625322F" w14:textId="46E015ED" w:rsidR="00423D9E" w:rsidRPr="00441AF5" w:rsidRDefault="00423D9E" w:rsidP="000D58CF">
      <w:pPr>
        <w:pStyle w:val="EBBullet"/>
        <w:numPr>
          <w:ilvl w:val="0"/>
          <w:numId w:val="0"/>
        </w:numPr>
        <w:spacing w:line="259" w:lineRule="auto"/>
        <w:jc w:val="both"/>
        <w:rPr>
          <w:b/>
          <w:color w:val="auto"/>
        </w:rPr>
      </w:pPr>
      <w:r w:rsidRPr="00441AF5">
        <w:rPr>
          <w:b/>
          <w:color w:val="auto"/>
        </w:rPr>
        <w:t xml:space="preserve">Annex </w:t>
      </w:r>
      <w:r w:rsidR="00B04B8D" w:rsidRPr="00441AF5">
        <w:rPr>
          <w:b/>
          <w:color w:val="auto"/>
        </w:rPr>
        <w:t>1</w:t>
      </w:r>
      <w:r w:rsidRPr="00441AF5">
        <w:rPr>
          <w:b/>
          <w:color w:val="auto"/>
        </w:rPr>
        <w:t>: Detailed methodology for estimating organisations in scope of failure to prevent fraud</w:t>
      </w:r>
      <w:r w:rsidRPr="00441AF5">
        <w:rPr>
          <w:color w:val="auto"/>
        </w:rPr>
        <w:t xml:space="preserve"> </w:t>
      </w:r>
    </w:p>
    <w:p w14:paraId="072F095B" w14:textId="24032465" w:rsidR="0038739F" w:rsidRPr="00441AF5" w:rsidRDefault="0038739F" w:rsidP="0029116F">
      <w:pPr>
        <w:spacing w:after="120" w:line="259" w:lineRule="auto"/>
        <w:jc w:val="both"/>
        <w:rPr>
          <w:rFonts w:cs="Arial"/>
          <w:b/>
          <w:sz w:val="22"/>
          <w:szCs w:val="22"/>
        </w:rPr>
      </w:pPr>
      <w:r w:rsidRPr="00441AF5">
        <w:rPr>
          <w:rFonts w:cs="Arial"/>
          <w:b/>
          <w:sz w:val="22"/>
          <w:szCs w:val="22"/>
        </w:rPr>
        <w:t>Approach</w:t>
      </w:r>
      <w:r w:rsidR="0031271E" w:rsidRPr="00441AF5">
        <w:rPr>
          <w:rFonts w:cs="Arial"/>
          <w:b/>
          <w:sz w:val="22"/>
          <w:szCs w:val="22"/>
        </w:rPr>
        <w:t>,</w:t>
      </w:r>
      <w:r w:rsidRPr="00441AF5">
        <w:rPr>
          <w:rFonts w:cs="Arial"/>
          <w:b/>
          <w:sz w:val="22"/>
          <w:szCs w:val="22"/>
        </w:rPr>
        <w:t xml:space="preserve"> Entity-based definition</w:t>
      </w:r>
    </w:p>
    <w:p w14:paraId="2BED9604" w14:textId="2D99961A" w:rsidR="00423D9E" w:rsidRPr="00441AF5" w:rsidRDefault="0038739F" w:rsidP="00C23109">
      <w:pPr>
        <w:pStyle w:val="EBBullet"/>
        <w:numPr>
          <w:ilvl w:val="0"/>
          <w:numId w:val="7"/>
        </w:numPr>
        <w:spacing w:line="259" w:lineRule="auto"/>
        <w:ind w:left="567" w:hanging="567"/>
        <w:jc w:val="both"/>
        <w:rPr>
          <w:color w:val="auto"/>
        </w:rPr>
      </w:pPr>
      <w:r w:rsidRPr="00441AF5">
        <w:rPr>
          <w:color w:val="auto"/>
        </w:rPr>
        <w:t>To estimate the number of companies in scope, including subsidiaries of other companies, the number of active UK companies that were above the VAT threshold was estimated in the following categories:</w:t>
      </w:r>
    </w:p>
    <w:p w14:paraId="0FB666BF" w14:textId="01DC7363" w:rsidR="00C71023" w:rsidRPr="009B0A1F" w:rsidRDefault="0038739F" w:rsidP="00C23109">
      <w:pPr>
        <w:pStyle w:val="ListParagraph"/>
        <w:numPr>
          <w:ilvl w:val="0"/>
          <w:numId w:val="32"/>
        </w:numPr>
        <w:spacing w:after="120" w:line="259" w:lineRule="auto"/>
        <w:ind w:left="1134" w:hanging="425"/>
        <w:contextualSpacing w:val="0"/>
        <w:jc w:val="both"/>
        <w:rPr>
          <w:rFonts w:cs="Arial"/>
          <w:sz w:val="22"/>
          <w:szCs w:val="22"/>
        </w:rPr>
      </w:pPr>
      <w:r w:rsidRPr="009B0A1F">
        <w:rPr>
          <w:rFonts w:cs="Arial"/>
          <w:sz w:val="22"/>
          <w:szCs w:val="22"/>
        </w:rPr>
        <w:t>Large entities and largest entities</w:t>
      </w:r>
      <w:r w:rsidR="00A74262" w:rsidRPr="009B0A1F">
        <w:rPr>
          <w:rFonts w:cs="Arial"/>
          <w:sz w:val="22"/>
          <w:szCs w:val="22"/>
        </w:rPr>
        <w:t xml:space="preserve"> that</w:t>
      </w:r>
      <w:r w:rsidRPr="009B0A1F">
        <w:rPr>
          <w:rFonts w:cs="Arial"/>
          <w:sz w:val="22"/>
          <w:szCs w:val="22"/>
        </w:rPr>
        <w:t xml:space="preserve"> meet two </w:t>
      </w:r>
      <w:r w:rsidR="00EF0861" w:rsidRPr="009B0A1F">
        <w:rPr>
          <w:rFonts w:cs="Arial"/>
          <w:sz w:val="22"/>
          <w:szCs w:val="22"/>
        </w:rPr>
        <w:t xml:space="preserve">or </w:t>
      </w:r>
      <w:r w:rsidRPr="009B0A1F">
        <w:rPr>
          <w:rFonts w:cs="Arial"/>
          <w:sz w:val="22"/>
          <w:szCs w:val="22"/>
        </w:rPr>
        <w:t>three of the following</w:t>
      </w:r>
      <w:r w:rsidR="00A74262" w:rsidRPr="009B0A1F">
        <w:rPr>
          <w:rFonts w:cs="Arial"/>
          <w:sz w:val="22"/>
          <w:szCs w:val="22"/>
        </w:rPr>
        <w:t xml:space="preserve"> criteria</w:t>
      </w:r>
      <w:r w:rsidR="000B41EE">
        <w:rPr>
          <w:rStyle w:val="FootnoteReference"/>
          <w:szCs w:val="22"/>
        </w:rPr>
        <w:footnoteReference w:id="103"/>
      </w:r>
      <w:r w:rsidRPr="009B0A1F">
        <w:rPr>
          <w:rFonts w:cs="Arial"/>
          <w:sz w:val="22"/>
          <w:szCs w:val="22"/>
        </w:rPr>
        <w:t xml:space="preserve">: </w:t>
      </w:r>
    </w:p>
    <w:p w14:paraId="381ABE1A" w14:textId="4A591D27" w:rsidR="00C71023" w:rsidRDefault="0038739F" w:rsidP="000D58CF">
      <w:pPr>
        <w:pStyle w:val="ListParagraph"/>
        <w:numPr>
          <w:ilvl w:val="2"/>
          <w:numId w:val="7"/>
        </w:numPr>
        <w:spacing w:after="120" w:line="259" w:lineRule="auto"/>
        <w:ind w:left="1701" w:hanging="425"/>
        <w:contextualSpacing w:val="0"/>
        <w:jc w:val="both"/>
        <w:rPr>
          <w:rFonts w:cs="Arial"/>
          <w:sz w:val="22"/>
          <w:szCs w:val="22"/>
        </w:rPr>
      </w:pPr>
      <w:r w:rsidRPr="00441AF5">
        <w:rPr>
          <w:rFonts w:cs="Arial"/>
          <w:sz w:val="22"/>
          <w:szCs w:val="22"/>
        </w:rPr>
        <w:t>more than 250 employees</w:t>
      </w:r>
      <w:r w:rsidR="00A74262">
        <w:rPr>
          <w:rFonts w:cs="Arial"/>
          <w:sz w:val="22"/>
          <w:szCs w:val="22"/>
        </w:rPr>
        <w:t>.</w:t>
      </w:r>
      <w:r w:rsidRPr="00441AF5">
        <w:rPr>
          <w:rFonts w:cs="Arial"/>
          <w:sz w:val="22"/>
          <w:szCs w:val="22"/>
        </w:rPr>
        <w:t xml:space="preserve"> </w:t>
      </w:r>
    </w:p>
    <w:p w14:paraId="4B7D95CE" w14:textId="57C03EC1" w:rsidR="00A74262" w:rsidRDefault="0038739F" w:rsidP="000D58CF">
      <w:pPr>
        <w:pStyle w:val="ListParagraph"/>
        <w:numPr>
          <w:ilvl w:val="2"/>
          <w:numId w:val="7"/>
        </w:numPr>
        <w:spacing w:after="120" w:line="259" w:lineRule="auto"/>
        <w:ind w:left="1701" w:hanging="425"/>
        <w:contextualSpacing w:val="0"/>
        <w:jc w:val="both"/>
        <w:rPr>
          <w:rFonts w:cs="Arial"/>
          <w:sz w:val="22"/>
          <w:szCs w:val="22"/>
        </w:rPr>
      </w:pPr>
      <w:r w:rsidRPr="00441AF5">
        <w:rPr>
          <w:rFonts w:cs="Arial"/>
          <w:sz w:val="22"/>
          <w:szCs w:val="22"/>
        </w:rPr>
        <w:t>more than £36 million turnover</w:t>
      </w:r>
      <w:r w:rsidR="00A74262">
        <w:rPr>
          <w:rFonts w:cs="Arial"/>
          <w:sz w:val="22"/>
          <w:szCs w:val="22"/>
        </w:rPr>
        <w:t>.</w:t>
      </w:r>
    </w:p>
    <w:p w14:paraId="6524C5C0" w14:textId="5F4A9687" w:rsidR="0038739F" w:rsidRPr="00441AF5" w:rsidRDefault="0038739F" w:rsidP="000D58CF">
      <w:pPr>
        <w:pStyle w:val="ListParagraph"/>
        <w:numPr>
          <w:ilvl w:val="2"/>
          <w:numId w:val="7"/>
        </w:numPr>
        <w:spacing w:after="120" w:line="259" w:lineRule="auto"/>
        <w:ind w:left="1701" w:hanging="425"/>
        <w:contextualSpacing w:val="0"/>
        <w:jc w:val="both"/>
        <w:rPr>
          <w:rFonts w:cs="Arial"/>
          <w:sz w:val="22"/>
          <w:szCs w:val="22"/>
        </w:rPr>
      </w:pPr>
      <w:r w:rsidRPr="00441AF5">
        <w:rPr>
          <w:rFonts w:cs="Arial"/>
          <w:sz w:val="22"/>
          <w:szCs w:val="22"/>
        </w:rPr>
        <w:t xml:space="preserve">more than £18 million in total assets.  </w:t>
      </w:r>
    </w:p>
    <w:p w14:paraId="2A310CF1" w14:textId="40F3F149" w:rsidR="004D7A4C" w:rsidRDefault="0038739F" w:rsidP="00C23109">
      <w:pPr>
        <w:pStyle w:val="EBBullet"/>
        <w:numPr>
          <w:ilvl w:val="0"/>
          <w:numId w:val="7"/>
        </w:numPr>
        <w:spacing w:line="259" w:lineRule="auto"/>
        <w:ind w:left="567" w:hanging="567"/>
        <w:jc w:val="both"/>
        <w:rPr>
          <w:color w:val="auto"/>
        </w:rPr>
      </w:pPr>
      <w:r w:rsidRPr="00441AF5">
        <w:rPr>
          <w:color w:val="auto"/>
        </w:rPr>
        <w:t xml:space="preserve">For the purposes of the costing, the large entity count was equally split between large and largest categories. A breakdown of all companies by employment in </w:t>
      </w:r>
      <w:r w:rsidR="00700769" w:rsidRPr="00441AF5">
        <w:rPr>
          <w:color w:val="auto"/>
        </w:rPr>
        <w:t>FAME</w:t>
      </w:r>
      <w:r w:rsidR="00700769" w:rsidRPr="00441AF5">
        <w:rPr>
          <w:rStyle w:val="FootnoteReference"/>
          <w:rFonts w:cs="Arial"/>
          <w:color w:val="auto"/>
        </w:rPr>
        <w:footnoteReference w:id="104"/>
      </w:r>
      <w:r w:rsidRPr="00441AF5">
        <w:rPr>
          <w:color w:val="auto"/>
        </w:rPr>
        <w:t xml:space="preserve"> indicated that the number of companies with global employees in the 250</w:t>
      </w:r>
      <w:r w:rsidR="0062411C">
        <w:rPr>
          <w:color w:val="auto"/>
        </w:rPr>
        <w:t xml:space="preserve"> to </w:t>
      </w:r>
      <w:r w:rsidRPr="00441AF5">
        <w:rPr>
          <w:color w:val="auto"/>
        </w:rPr>
        <w:t xml:space="preserve">499 </w:t>
      </w:r>
      <w:r w:rsidR="006A695E" w:rsidRPr="00441AF5">
        <w:rPr>
          <w:color w:val="auto"/>
        </w:rPr>
        <w:t>employee size</w:t>
      </w:r>
      <w:r w:rsidR="005E6B50" w:rsidRPr="00441AF5">
        <w:rPr>
          <w:color w:val="auto"/>
        </w:rPr>
        <w:t xml:space="preserve"> </w:t>
      </w:r>
      <w:r w:rsidR="006A695E" w:rsidRPr="00441AF5">
        <w:rPr>
          <w:color w:val="auto"/>
        </w:rPr>
        <w:t>and</w:t>
      </w:r>
      <w:r w:rsidRPr="00441AF5" w:rsidDel="006A695E">
        <w:rPr>
          <w:color w:val="auto"/>
        </w:rPr>
        <w:t xml:space="preserve"> </w:t>
      </w:r>
      <w:r w:rsidRPr="00441AF5">
        <w:rPr>
          <w:color w:val="auto"/>
        </w:rPr>
        <w:t>was broadly similar to the number with more than 500 global employees.</w:t>
      </w:r>
    </w:p>
    <w:p w14:paraId="46648529" w14:textId="4B08C316" w:rsidR="00423D9E" w:rsidRPr="004D7A4C" w:rsidRDefault="0038739F" w:rsidP="00C23109">
      <w:pPr>
        <w:pStyle w:val="EBBullet"/>
        <w:numPr>
          <w:ilvl w:val="0"/>
          <w:numId w:val="7"/>
        </w:numPr>
        <w:spacing w:line="259" w:lineRule="auto"/>
        <w:ind w:left="567" w:hanging="567"/>
        <w:jc w:val="both"/>
        <w:rPr>
          <w:color w:val="auto"/>
        </w:rPr>
      </w:pPr>
      <w:r w:rsidRPr="004D7A4C">
        <w:rPr>
          <w:color w:val="auto"/>
        </w:rPr>
        <w:t xml:space="preserve">In total, there are around 2.2 million companies above the VAT threshold, with a size breakdown given </w:t>
      </w:r>
      <w:r w:rsidR="006A695E" w:rsidRPr="004D7A4C">
        <w:rPr>
          <w:color w:val="auto"/>
        </w:rPr>
        <w:t>in Table A.3</w:t>
      </w:r>
      <w:r w:rsidRPr="004D7A4C">
        <w:rPr>
          <w:color w:val="auto"/>
        </w:rPr>
        <w:t>.</w:t>
      </w:r>
    </w:p>
    <w:p w14:paraId="6C635929" w14:textId="04F393F9" w:rsidR="00701C3E" w:rsidRPr="00441AF5" w:rsidRDefault="00701C3E" w:rsidP="0038739F">
      <w:pPr>
        <w:pStyle w:val="EBBullet"/>
        <w:numPr>
          <w:ilvl w:val="0"/>
          <w:numId w:val="0"/>
        </w:numPr>
        <w:spacing w:line="259" w:lineRule="auto"/>
        <w:ind w:left="567"/>
        <w:jc w:val="both"/>
        <w:rPr>
          <w:color w:val="auto"/>
        </w:rPr>
      </w:pPr>
      <w:r w:rsidRPr="00441AF5">
        <w:rPr>
          <w:b/>
          <w:color w:val="auto"/>
        </w:rPr>
        <w:t>Table A</w:t>
      </w:r>
      <w:r w:rsidR="006A695E" w:rsidRPr="00441AF5">
        <w:rPr>
          <w:b/>
          <w:color w:val="auto"/>
        </w:rPr>
        <w:t>.</w:t>
      </w:r>
      <w:r w:rsidR="00C72641">
        <w:rPr>
          <w:b/>
          <w:color w:val="auto"/>
        </w:rPr>
        <w:t>1:</w:t>
      </w:r>
      <w:r w:rsidRPr="00441AF5">
        <w:rPr>
          <w:b/>
          <w:color w:val="auto"/>
        </w:rPr>
        <w:t xml:space="preserve"> Number of companies and LLPs by size</w:t>
      </w:r>
      <w:r w:rsidR="006A695E" w:rsidRPr="00441AF5">
        <w:rPr>
          <w:b/>
          <w:color w:val="auto"/>
        </w:rPr>
        <w:t>,</w:t>
      </w:r>
      <w:r w:rsidRPr="00441AF5">
        <w:rPr>
          <w:b/>
          <w:color w:val="auto"/>
        </w:rPr>
        <w:t xml:space="preserve"> entity based definition </w:t>
      </w:r>
    </w:p>
    <w:tbl>
      <w:tblPr>
        <w:tblW w:w="0" w:type="auto"/>
        <w:tblInd w:w="567" w:type="dxa"/>
        <w:tblLook w:val="04A0" w:firstRow="1" w:lastRow="0" w:firstColumn="1" w:lastColumn="0" w:noHBand="0" w:noVBand="1"/>
      </w:tblPr>
      <w:tblGrid>
        <w:gridCol w:w="4294"/>
        <w:gridCol w:w="4455"/>
      </w:tblGrid>
      <w:tr w:rsidR="001D081D" w:rsidRPr="001D081D" w14:paraId="2184EBA2" w14:textId="77777777" w:rsidTr="00C51206">
        <w:trPr>
          <w:trHeight w:val="397"/>
        </w:trPr>
        <w:tc>
          <w:tcPr>
            <w:tcW w:w="4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8C130" w14:textId="77777777" w:rsidR="00701C3E" w:rsidRPr="00441AF5" w:rsidRDefault="00701C3E" w:rsidP="00C23109">
            <w:pPr>
              <w:spacing w:after="120" w:line="259" w:lineRule="auto"/>
              <w:ind w:left="35"/>
              <w:rPr>
                <w:rFonts w:cs="Arial"/>
                <w:b/>
                <w:sz w:val="22"/>
                <w:szCs w:val="22"/>
                <w:lang w:eastAsia="en-GB"/>
              </w:rPr>
            </w:pPr>
            <w:r w:rsidRPr="00441AF5">
              <w:rPr>
                <w:rFonts w:cs="Arial"/>
                <w:b/>
                <w:sz w:val="22"/>
                <w:szCs w:val="22"/>
                <w:lang w:eastAsia="en-GB"/>
              </w:rPr>
              <w:t>Corporate Body Size</w:t>
            </w:r>
          </w:p>
        </w:tc>
        <w:tc>
          <w:tcPr>
            <w:tcW w:w="4455" w:type="dxa"/>
            <w:tcBorders>
              <w:top w:val="single" w:sz="4" w:space="0" w:color="auto"/>
              <w:left w:val="nil"/>
              <w:bottom w:val="single" w:sz="4" w:space="0" w:color="auto"/>
              <w:right w:val="single" w:sz="4" w:space="0" w:color="auto"/>
            </w:tcBorders>
            <w:shd w:val="clear" w:color="auto" w:fill="auto"/>
            <w:noWrap/>
            <w:vAlign w:val="bottom"/>
            <w:hideMark/>
          </w:tcPr>
          <w:p w14:paraId="1EB8238F" w14:textId="77777777" w:rsidR="00701C3E" w:rsidRPr="00441AF5" w:rsidRDefault="00701C3E" w:rsidP="00C23109">
            <w:pPr>
              <w:spacing w:after="120" w:line="259" w:lineRule="auto"/>
              <w:ind w:left="567"/>
              <w:jc w:val="right"/>
              <w:rPr>
                <w:rFonts w:cs="Arial"/>
                <w:b/>
                <w:sz w:val="22"/>
                <w:szCs w:val="22"/>
                <w:lang w:eastAsia="en-GB"/>
              </w:rPr>
            </w:pPr>
            <w:r w:rsidRPr="00441AF5">
              <w:rPr>
                <w:rFonts w:cs="Arial"/>
                <w:b/>
                <w:sz w:val="22"/>
                <w:szCs w:val="22"/>
                <w:lang w:eastAsia="en-GB"/>
              </w:rPr>
              <w:t>Company &amp; LLPs Size</w:t>
            </w:r>
          </w:p>
        </w:tc>
      </w:tr>
      <w:tr w:rsidR="001D081D" w:rsidRPr="001D081D" w14:paraId="0A38B6F0" w14:textId="77777777" w:rsidTr="004A5109">
        <w:trPr>
          <w:trHeight w:val="397"/>
        </w:trPr>
        <w:tc>
          <w:tcPr>
            <w:tcW w:w="4294" w:type="dxa"/>
            <w:tcBorders>
              <w:top w:val="nil"/>
              <w:left w:val="single" w:sz="4" w:space="0" w:color="auto"/>
              <w:bottom w:val="single" w:sz="4" w:space="0" w:color="auto"/>
              <w:right w:val="single" w:sz="4" w:space="0" w:color="auto"/>
            </w:tcBorders>
            <w:shd w:val="clear" w:color="auto" w:fill="auto"/>
            <w:noWrap/>
            <w:vAlign w:val="bottom"/>
            <w:hideMark/>
          </w:tcPr>
          <w:p w14:paraId="75763C99" w14:textId="77777777" w:rsidR="00701C3E" w:rsidRPr="00441AF5" w:rsidRDefault="00701C3E" w:rsidP="00C23109">
            <w:pPr>
              <w:spacing w:after="120" w:line="259" w:lineRule="auto"/>
              <w:ind w:left="35"/>
              <w:rPr>
                <w:rFonts w:cs="Arial"/>
                <w:sz w:val="22"/>
                <w:szCs w:val="22"/>
                <w:lang w:eastAsia="en-GB"/>
              </w:rPr>
            </w:pPr>
            <w:r w:rsidRPr="00441AF5">
              <w:rPr>
                <w:rFonts w:cs="Arial"/>
                <w:sz w:val="22"/>
                <w:szCs w:val="22"/>
                <w:lang w:eastAsia="en-GB"/>
              </w:rPr>
              <w:t>Large</w:t>
            </w:r>
          </w:p>
        </w:tc>
        <w:tc>
          <w:tcPr>
            <w:tcW w:w="4455" w:type="dxa"/>
            <w:tcBorders>
              <w:top w:val="nil"/>
              <w:left w:val="nil"/>
              <w:bottom w:val="single" w:sz="4" w:space="0" w:color="auto"/>
              <w:right w:val="single" w:sz="4" w:space="0" w:color="auto"/>
            </w:tcBorders>
            <w:shd w:val="clear" w:color="auto" w:fill="auto"/>
            <w:noWrap/>
            <w:vAlign w:val="bottom"/>
            <w:hideMark/>
          </w:tcPr>
          <w:p w14:paraId="53FF9D3C" w14:textId="5A573546" w:rsidR="00701C3E" w:rsidRPr="00441AF5" w:rsidRDefault="00701C3E" w:rsidP="004A5109">
            <w:pPr>
              <w:spacing w:after="120" w:line="259" w:lineRule="auto"/>
              <w:ind w:left="567"/>
              <w:jc w:val="right"/>
              <w:rPr>
                <w:rFonts w:cs="Arial"/>
                <w:sz w:val="22"/>
                <w:szCs w:val="22"/>
                <w:lang w:eastAsia="en-GB"/>
              </w:rPr>
            </w:pPr>
            <w:r w:rsidRPr="00441AF5">
              <w:rPr>
                <w:rFonts w:cs="Arial"/>
                <w:sz w:val="22"/>
                <w:szCs w:val="22"/>
                <w:lang w:eastAsia="en-GB"/>
              </w:rPr>
              <w:t>11,00</w:t>
            </w:r>
            <w:r w:rsidR="004E1C48">
              <w:rPr>
                <w:rFonts w:cs="Arial"/>
                <w:sz w:val="22"/>
                <w:szCs w:val="22"/>
                <w:lang w:eastAsia="en-GB"/>
              </w:rPr>
              <w:t>8</w:t>
            </w:r>
          </w:p>
        </w:tc>
      </w:tr>
      <w:tr w:rsidR="001D081D" w:rsidRPr="001D081D" w14:paraId="698AA7F2" w14:textId="77777777" w:rsidTr="004A5109">
        <w:trPr>
          <w:trHeight w:val="397"/>
        </w:trPr>
        <w:tc>
          <w:tcPr>
            <w:tcW w:w="4294" w:type="dxa"/>
            <w:tcBorders>
              <w:top w:val="nil"/>
              <w:left w:val="single" w:sz="4" w:space="0" w:color="auto"/>
              <w:bottom w:val="single" w:sz="4" w:space="0" w:color="auto"/>
              <w:right w:val="single" w:sz="4" w:space="0" w:color="auto"/>
            </w:tcBorders>
            <w:shd w:val="clear" w:color="auto" w:fill="auto"/>
            <w:noWrap/>
            <w:vAlign w:val="bottom"/>
            <w:hideMark/>
          </w:tcPr>
          <w:p w14:paraId="646995BD" w14:textId="77777777" w:rsidR="00701C3E" w:rsidRPr="00441AF5" w:rsidRDefault="00701C3E" w:rsidP="00C23109">
            <w:pPr>
              <w:spacing w:after="120" w:line="259" w:lineRule="auto"/>
              <w:ind w:left="35"/>
              <w:rPr>
                <w:rFonts w:cs="Arial"/>
                <w:sz w:val="22"/>
                <w:szCs w:val="22"/>
                <w:lang w:eastAsia="en-GB"/>
              </w:rPr>
            </w:pPr>
            <w:r w:rsidRPr="00441AF5">
              <w:rPr>
                <w:rFonts w:cs="Arial"/>
                <w:sz w:val="22"/>
                <w:szCs w:val="22"/>
                <w:lang w:eastAsia="en-GB"/>
              </w:rPr>
              <w:t>Largest</w:t>
            </w:r>
          </w:p>
        </w:tc>
        <w:tc>
          <w:tcPr>
            <w:tcW w:w="4455" w:type="dxa"/>
            <w:tcBorders>
              <w:top w:val="nil"/>
              <w:left w:val="nil"/>
              <w:bottom w:val="single" w:sz="4" w:space="0" w:color="auto"/>
              <w:right w:val="single" w:sz="4" w:space="0" w:color="auto"/>
            </w:tcBorders>
            <w:shd w:val="clear" w:color="auto" w:fill="auto"/>
            <w:noWrap/>
            <w:vAlign w:val="bottom"/>
            <w:hideMark/>
          </w:tcPr>
          <w:p w14:paraId="41A26793" w14:textId="44AB10FD" w:rsidR="00701C3E" w:rsidRPr="00441AF5" w:rsidRDefault="00701C3E" w:rsidP="004A5109">
            <w:pPr>
              <w:spacing w:after="120" w:line="259" w:lineRule="auto"/>
              <w:ind w:left="567"/>
              <w:jc w:val="right"/>
              <w:rPr>
                <w:rFonts w:cs="Arial"/>
                <w:sz w:val="22"/>
                <w:szCs w:val="22"/>
                <w:lang w:eastAsia="en-GB"/>
              </w:rPr>
            </w:pPr>
            <w:r w:rsidRPr="00441AF5">
              <w:rPr>
                <w:rFonts w:cs="Arial"/>
                <w:sz w:val="22"/>
                <w:szCs w:val="22"/>
                <w:lang w:eastAsia="en-GB"/>
              </w:rPr>
              <w:t>11,00</w:t>
            </w:r>
            <w:r w:rsidR="004E1C48">
              <w:rPr>
                <w:rFonts w:cs="Arial"/>
                <w:sz w:val="22"/>
                <w:szCs w:val="22"/>
                <w:lang w:eastAsia="en-GB"/>
              </w:rPr>
              <w:t>8</w:t>
            </w:r>
          </w:p>
        </w:tc>
      </w:tr>
    </w:tbl>
    <w:p w14:paraId="1B7FD9E4" w14:textId="685EA857" w:rsidR="00701C3E" w:rsidRPr="0029116F" w:rsidRDefault="00701C3E" w:rsidP="00701C3E">
      <w:pPr>
        <w:spacing w:after="120" w:line="259" w:lineRule="auto"/>
        <w:ind w:left="567"/>
        <w:rPr>
          <w:rFonts w:cs="Arial"/>
          <w:sz w:val="18"/>
          <w:szCs w:val="18"/>
        </w:rPr>
      </w:pPr>
      <w:r w:rsidRPr="0029116F">
        <w:rPr>
          <w:rFonts w:cs="Arial"/>
          <w:sz w:val="18"/>
          <w:szCs w:val="18"/>
        </w:rPr>
        <w:t xml:space="preserve">Source: </w:t>
      </w:r>
      <w:r w:rsidR="00700769" w:rsidRPr="0029116F">
        <w:rPr>
          <w:rFonts w:cs="Arial"/>
          <w:sz w:val="18"/>
          <w:szCs w:val="18"/>
        </w:rPr>
        <w:t>FAME</w:t>
      </w:r>
      <w:r w:rsidRPr="0029116F">
        <w:rPr>
          <w:rFonts w:cs="Arial"/>
          <w:sz w:val="18"/>
          <w:szCs w:val="18"/>
        </w:rPr>
        <w:t xml:space="preserve"> download, accessed 2 August 2022</w:t>
      </w:r>
    </w:p>
    <w:p w14:paraId="748EF33E" w14:textId="5F5BA342" w:rsidR="00701C3E" w:rsidRPr="00441AF5" w:rsidRDefault="00701C3E" w:rsidP="000D58CF">
      <w:pPr>
        <w:spacing w:after="120" w:line="259" w:lineRule="auto"/>
        <w:ind w:left="567" w:hanging="567"/>
        <w:jc w:val="both"/>
        <w:rPr>
          <w:rFonts w:cs="Arial"/>
          <w:b/>
          <w:sz w:val="22"/>
          <w:szCs w:val="22"/>
        </w:rPr>
      </w:pPr>
      <w:r w:rsidRPr="00441AF5">
        <w:rPr>
          <w:rFonts w:cs="Arial"/>
          <w:b/>
          <w:sz w:val="22"/>
          <w:szCs w:val="22"/>
        </w:rPr>
        <w:t>Total number of companies in scope</w:t>
      </w:r>
    </w:p>
    <w:p w14:paraId="076F9960" w14:textId="4A9A53F9" w:rsidR="006A695E" w:rsidRPr="00F13055" w:rsidRDefault="00701C3E" w:rsidP="000D58CF">
      <w:pPr>
        <w:pStyle w:val="ListParagraph"/>
        <w:numPr>
          <w:ilvl w:val="0"/>
          <w:numId w:val="7"/>
        </w:numPr>
        <w:spacing w:after="120" w:line="259" w:lineRule="auto"/>
        <w:ind w:left="567" w:hanging="567"/>
        <w:jc w:val="both"/>
        <w:rPr>
          <w:rFonts w:cs="Arial"/>
          <w:sz w:val="22"/>
          <w:szCs w:val="22"/>
        </w:rPr>
      </w:pPr>
      <w:r w:rsidRPr="00F13055">
        <w:rPr>
          <w:rFonts w:cs="Arial"/>
          <w:sz w:val="22"/>
          <w:szCs w:val="22"/>
        </w:rPr>
        <w:t xml:space="preserve">Under </w:t>
      </w:r>
      <w:r w:rsidR="006A695E" w:rsidRPr="00F13055">
        <w:rPr>
          <w:rFonts w:cs="Arial"/>
          <w:b/>
          <w:bCs/>
          <w:sz w:val="22"/>
          <w:szCs w:val="22"/>
        </w:rPr>
        <w:t>O</w:t>
      </w:r>
      <w:r w:rsidRPr="00F13055">
        <w:rPr>
          <w:rFonts w:cs="Arial"/>
          <w:b/>
          <w:bCs/>
          <w:sz w:val="22"/>
          <w:szCs w:val="22"/>
        </w:rPr>
        <w:t>ption 2</w:t>
      </w:r>
      <w:r w:rsidRPr="00F13055">
        <w:rPr>
          <w:rFonts w:cs="Arial"/>
          <w:sz w:val="22"/>
          <w:szCs w:val="22"/>
        </w:rPr>
        <w:t xml:space="preserve">, the total number of large companies in scope using </w:t>
      </w:r>
      <w:r w:rsidR="00552A74" w:rsidRPr="00F13055">
        <w:rPr>
          <w:rFonts w:cs="Arial"/>
          <w:sz w:val="22"/>
          <w:szCs w:val="22"/>
        </w:rPr>
        <w:t>an</w:t>
      </w:r>
      <w:r w:rsidRPr="00F13055">
        <w:rPr>
          <w:rFonts w:cs="Arial"/>
          <w:sz w:val="22"/>
          <w:szCs w:val="22"/>
        </w:rPr>
        <w:t xml:space="preserve"> entity-based definition is 22,340, employing 10.6 million</w:t>
      </w:r>
      <w:r w:rsidR="006A695E" w:rsidRPr="00F13055">
        <w:rPr>
          <w:rFonts w:cs="Arial"/>
          <w:sz w:val="22"/>
          <w:szCs w:val="22"/>
        </w:rPr>
        <w:t xml:space="preserve"> people</w:t>
      </w:r>
      <w:r w:rsidRPr="00F13055">
        <w:rPr>
          <w:rFonts w:cs="Arial"/>
          <w:sz w:val="22"/>
          <w:szCs w:val="22"/>
        </w:rPr>
        <w:t>.</w:t>
      </w:r>
    </w:p>
    <w:p w14:paraId="3564A341" w14:textId="0B8BA618" w:rsidR="00701C3E" w:rsidRPr="00441AF5" w:rsidRDefault="00701C3E" w:rsidP="000D58CF">
      <w:pPr>
        <w:spacing w:after="120" w:line="259" w:lineRule="auto"/>
        <w:ind w:left="567" w:hanging="567"/>
        <w:jc w:val="both"/>
        <w:rPr>
          <w:rFonts w:cs="Arial"/>
          <w:b/>
          <w:sz w:val="22"/>
          <w:szCs w:val="22"/>
        </w:rPr>
      </w:pPr>
      <w:r w:rsidRPr="00441AF5">
        <w:rPr>
          <w:rFonts w:cs="Arial"/>
          <w:b/>
          <w:sz w:val="22"/>
          <w:szCs w:val="22"/>
        </w:rPr>
        <w:t>Partnerships</w:t>
      </w:r>
    </w:p>
    <w:p w14:paraId="70D7B4AD" w14:textId="0D70A25D" w:rsidR="00701C3E" w:rsidRPr="00F13055" w:rsidRDefault="006A695E" w:rsidP="000D58CF">
      <w:pPr>
        <w:pStyle w:val="ListParagraph"/>
        <w:numPr>
          <w:ilvl w:val="0"/>
          <w:numId w:val="7"/>
        </w:numPr>
        <w:spacing w:after="120" w:line="259" w:lineRule="auto"/>
        <w:ind w:left="567" w:hanging="567"/>
        <w:jc w:val="both"/>
        <w:rPr>
          <w:rFonts w:cs="Arial"/>
          <w:sz w:val="22"/>
          <w:szCs w:val="22"/>
        </w:rPr>
      </w:pPr>
      <w:r w:rsidRPr="00F13055">
        <w:rPr>
          <w:rFonts w:cs="Arial"/>
          <w:sz w:val="22"/>
          <w:szCs w:val="22"/>
        </w:rPr>
        <w:t xml:space="preserve">The </w:t>
      </w:r>
      <w:r w:rsidR="00701C3E" w:rsidRPr="00F13055">
        <w:rPr>
          <w:rFonts w:cs="Arial"/>
          <w:sz w:val="22"/>
          <w:szCs w:val="22"/>
        </w:rPr>
        <w:t>BPE was used to estimate the number of partnerships in scope and their total employment as it is the one source that provides entity numbers and UK employment data. The same number of partnerships has been used for both group and entity definitions. This means that the number of partnerships in scope is less than 50 partnerships, employing 34,000 people.</w:t>
      </w:r>
    </w:p>
    <w:p w14:paraId="085C0296" w14:textId="462FC348" w:rsidR="00701C3E" w:rsidRPr="00441AF5" w:rsidRDefault="00701C3E" w:rsidP="00701C3E">
      <w:pPr>
        <w:spacing w:after="120" w:line="259" w:lineRule="auto"/>
        <w:ind w:left="567"/>
        <w:jc w:val="both"/>
        <w:rPr>
          <w:rFonts w:cs="Arial"/>
          <w:sz w:val="22"/>
          <w:szCs w:val="22"/>
        </w:rPr>
      </w:pPr>
      <w:r w:rsidRPr="00441AF5">
        <w:rPr>
          <w:rFonts w:cs="Arial"/>
          <w:b/>
          <w:bCs/>
          <w:sz w:val="22"/>
          <w:szCs w:val="22"/>
        </w:rPr>
        <w:t>Table A</w:t>
      </w:r>
      <w:r w:rsidR="006A695E" w:rsidRPr="00441AF5">
        <w:rPr>
          <w:rFonts w:cs="Arial"/>
          <w:b/>
          <w:bCs/>
          <w:sz w:val="22"/>
          <w:szCs w:val="22"/>
        </w:rPr>
        <w:t>.</w:t>
      </w:r>
      <w:r w:rsidR="00C72641">
        <w:rPr>
          <w:rFonts w:cs="Arial"/>
          <w:b/>
          <w:bCs/>
          <w:sz w:val="22"/>
          <w:szCs w:val="22"/>
        </w:rPr>
        <w:t>2</w:t>
      </w:r>
      <w:r w:rsidR="004F76E3">
        <w:rPr>
          <w:rFonts w:cs="Arial"/>
          <w:b/>
          <w:bCs/>
          <w:sz w:val="22"/>
          <w:szCs w:val="22"/>
        </w:rPr>
        <w:t>:</w:t>
      </w:r>
      <w:r w:rsidRPr="00441AF5">
        <w:rPr>
          <w:rFonts w:cs="Arial"/>
          <w:b/>
          <w:bCs/>
          <w:sz w:val="22"/>
          <w:szCs w:val="22"/>
        </w:rPr>
        <w:t xml:space="preserve"> Number of UK partnerships</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5"/>
        <w:gridCol w:w="2268"/>
        <w:gridCol w:w="2126"/>
      </w:tblGrid>
      <w:tr w:rsidR="001D081D" w:rsidRPr="001D081D" w14:paraId="6447EB2D" w14:textId="77777777" w:rsidTr="00C51206">
        <w:trPr>
          <w:trHeight w:val="437"/>
        </w:trPr>
        <w:tc>
          <w:tcPr>
            <w:tcW w:w="2405" w:type="dxa"/>
            <w:shd w:val="clear" w:color="auto" w:fill="auto"/>
            <w:noWrap/>
            <w:tcMar>
              <w:top w:w="15" w:type="dxa"/>
              <w:left w:w="15" w:type="dxa"/>
              <w:bottom w:w="0" w:type="dxa"/>
              <w:right w:w="15" w:type="dxa"/>
            </w:tcMar>
            <w:vAlign w:val="bottom"/>
            <w:hideMark/>
          </w:tcPr>
          <w:p w14:paraId="4EC4DDDB" w14:textId="77777777" w:rsidR="00701C3E" w:rsidRPr="00441AF5" w:rsidRDefault="00701C3E" w:rsidP="00C23109">
            <w:pPr>
              <w:spacing w:after="120" w:line="259" w:lineRule="auto"/>
              <w:ind w:left="124"/>
              <w:rPr>
                <w:rFonts w:cs="Arial"/>
                <w:b/>
                <w:sz w:val="22"/>
                <w:szCs w:val="22"/>
              </w:rPr>
            </w:pPr>
            <w:r w:rsidRPr="00441AF5">
              <w:rPr>
                <w:rFonts w:cs="Arial"/>
                <w:b/>
                <w:sz w:val="22"/>
                <w:szCs w:val="22"/>
              </w:rPr>
              <w:t>Corporate Body Size</w:t>
            </w:r>
          </w:p>
        </w:tc>
        <w:tc>
          <w:tcPr>
            <w:tcW w:w="2268" w:type="dxa"/>
            <w:shd w:val="clear" w:color="auto" w:fill="auto"/>
            <w:noWrap/>
            <w:tcMar>
              <w:top w:w="15" w:type="dxa"/>
              <w:left w:w="15" w:type="dxa"/>
              <w:bottom w:w="0" w:type="dxa"/>
              <w:right w:w="15" w:type="dxa"/>
            </w:tcMar>
            <w:vAlign w:val="bottom"/>
            <w:hideMark/>
          </w:tcPr>
          <w:p w14:paraId="717FF43F" w14:textId="700FB512" w:rsidR="00701C3E" w:rsidRPr="00441AF5" w:rsidRDefault="00701C3E" w:rsidP="00C23109">
            <w:pPr>
              <w:spacing w:after="120" w:line="259" w:lineRule="auto"/>
              <w:ind w:right="132"/>
              <w:jc w:val="right"/>
              <w:rPr>
                <w:rFonts w:cs="Arial"/>
                <w:b/>
                <w:sz w:val="22"/>
                <w:szCs w:val="22"/>
              </w:rPr>
            </w:pPr>
            <w:r w:rsidRPr="00441AF5">
              <w:rPr>
                <w:rFonts w:cs="Arial"/>
                <w:b/>
                <w:sz w:val="22"/>
                <w:szCs w:val="22"/>
              </w:rPr>
              <w:t xml:space="preserve">Size </w:t>
            </w:r>
            <w:r w:rsidR="00552A74" w:rsidRPr="00441AF5">
              <w:rPr>
                <w:rFonts w:cs="Arial"/>
                <w:b/>
                <w:sz w:val="22"/>
                <w:szCs w:val="22"/>
              </w:rPr>
              <w:t>Employees</w:t>
            </w:r>
          </w:p>
        </w:tc>
        <w:tc>
          <w:tcPr>
            <w:tcW w:w="2126" w:type="dxa"/>
            <w:shd w:val="clear" w:color="auto" w:fill="auto"/>
            <w:noWrap/>
            <w:tcMar>
              <w:top w:w="15" w:type="dxa"/>
              <w:left w:w="15" w:type="dxa"/>
              <w:bottom w:w="0" w:type="dxa"/>
              <w:right w:w="15" w:type="dxa"/>
            </w:tcMar>
            <w:vAlign w:val="bottom"/>
            <w:hideMark/>
          </w:tcPr>
          <w:p w14:paraId="54C9FEFC" w14:textId="77777777" w:rsidR="00701C3E" w:rsidRPr="00441AF5" w:rsidRDefault="00701C3E" w:rsidP="00C23109">
            <w:pPr>
              <w:spacing w:after="120" w:line="259" w:lineRule="auto"/>
              <w:ind w:right="121"/>
              <w:jc w:val="right"/>
              <w:rPr>
                <w:rFonts w:cs="Arial"/>
                <w:b/>
                <w:sz w:val="22"/>
                <w:szCs w:val="22"/>
              </w:rPr>
            </w:pPr>
            <w:r w:rsidRPr="00441AF5">
              <w:rPr>
                <w:rFonts w:cs="Arial"/>
                <w:b/>
                <w:sz w:val="22"/>
                <w:szCs w:val="22"/>
              </w:rPr>
              <w:t>Partnership Size</w:t>
            </w:r>
          </w:p>
        </w:tc>
      </w:tr>
      <w:tr w:rsidR="001D081D" w:rsidRPr="001D081D" w14:paraId="02B945E7" w14:textId="77777777" w:rsidTr="00A9456A">
        <w:trPr>
          <w:trHeight w:val="397"/>
        </w:trPr>
        <w:tc>
          <w:tcPr>
            <w:tcW w:w="2405" w:type="dxa"/>
            <w:shd w:val="clear" w:color="auto" w:fill="auto"/>
            <w:noWrap/>
            <w:tcMar>
              <w:top w:w="15" w:type="dxa"/>
              <w:left w:w="15" w:type="dxa"/>
              <w:bottom w:w="0" w:type="dxa"/>
              <w:right w:w="15" w:type="dxa"/>
            </w:tcMar>
            <w:vAlign w:val="bottom"/>
            <w:hideMark/>
          </w:tcPr>
          <w:p w14:paraId="36161130" w14:textId="77777777" w:rsidR="00701C3E" w:rsidRPr="00441AF5" w:rsidRDefault="00701C3E" w:rsidP="00C23109">
            <w:pPr>
              <w:spacing w:after="120" w:line="259" w:lineRule="auto"/>
              <w:ind w:left="124"/>
              <w:rPr>
                <w:rFonts w:cs="Arial"/>
                <w:sz w:val="22"/>
                <w:szCs w:val="22"/>
              </w:rPr>
            </w:pPr>
            <w:r w:rsidRPr="00441AF5">
              <w:rPr>
                <w:rFonts w:cs="Arial"/>
                <w:sz w:val="22"/>
                <w:szCs w:val="22"/>
              </w:rPr>
              <w:t>Large</w:t>
            </w:r>
          </w:p>
        </w:tc>
        <w:tc>
          <w:tcPr>
            <w:tcW w:w="2268" w:type="dxa"/>
            <w:shd w:val="clear" w:color="auto" w:fill="auto"/>
            <w:noWrap/>
            <w:tcMar>
              <w:top w:w="15" w:type="dxa"/>
              <w:left w:w="15" w:type="dxa"/>
              <w:bottom w:w="0" w:type="dxa"/>
              <w:right w:w="15" w:type="dxa"/>
            </w:tcMar>
            <w:vAlign w:val="bottom"/>
            <w:hideMark/>
          </w:tcPr>
          <w:p w14:paraId="079E313D" w14:textId="2EDD4A4C" w:rsidR="00701C3E" w:rsidRPr="00441AF5" w:rsidRDefault="00701C3E" w:rsidP="00C23109">
            <w:pPr>
              <w:spacing w:after="120" w:line="259" w:lineRule="auto"/>
              <w:ind w:right="132"/>
              <w:jc w:val="right"/>
              <w:rPr>
                <w:rFonts w:cs="Arial"/>
                <w:sz w:val="22"/>
                <w:szCs w:val="22"/>
              </w:rPr>
            </w:pPr>
            <w:r w:rsidRPr="00441AF5">
              <w:rPr>
                <w:rFonts w:cs="Arial"/>
                <w:sz w:val="22"/>
                <w:szCs w:val="22"/>
              </w:rPr>
              <w:t>250</w:t>
            </w:r>
            <w:r w:rsidR="00C51206">
              <w:rPr>
                <w:rFonts w:cs="Arial"/>
                <w:sz w:val="22"/>
                <w:szCs w:val="22"/>
              </w:rPr>
              <w:t xml:space="preserve"> </w:t>
            </w:r>
            <w:r w:rsidR="00C51206">
              <w:rPr>
                <w:rFonts w:cs="Arial"/>
              </w:rPr>
              <w:t xml:space="preserve">to </w:t>
            </w:r>
            <w:r w:rsidRPr="00441AF5">
              <w:rPr>
                <w:rFonts w:cs="Arial"/>
                <w:sz w:val="22"/>
                <w:szCs w:val="22"/>
              </w:rPr>
              <w:t>499</w:t>
            </w:r>
          </w:p>
        </w:tc>
        <w:tc>
          <w:tcPr>
            <w:tcW w:w="2126" w:type="dxa"/>
            <w:shd w:val="clear" w:color="auto" w:fill="auto"/>
            <w:noWrap/>
            <w:tcMar>
              <w:top w:w="15" w:type="dxa"/>
              <w:left w:w="15" w:type="dxa"/>
              <w:bottom w:w="0" w:type="dxa"/>
              <w:right w:w="15" w:type="dxa"/>
            </w:tcMar>
            <w:vAlign w:val="bottom"/>
            <w:hideMark/>
          </w:tcPr>
          <w:p w14:paraId="5AD3999F" w14:textId="77777777" w:rsidR="00701C3E" w:rsidRPr="00441AF5" w:rsidRDefault="00701C3E" w:rsidP="00C23109">
            <w:pPr>
              <w:spacing w:after="120" w:line="259" w:lineRule="auto"/>
              <w:ind w:right="121"/>
              <w:jc w:val="right"/>
              <w:rPr>
                <w:rFonts w:cs="Arial"/>
                <w:sz w:val="22"/>
                <w:szCs w:val="22"/>
              </w:rPr>
            </w:pPr>
            <w:r w:rsidRPr="00441AF5">
              <w:rPr>
                <w:rFonts w:cs="Arial"/>
                <w:sz w:val="22"/>
                <w:szCs w:val="22"/>
              </w:rPr>
              <w:t>30</w:t>
            </w:r>
          </w:p>
        </w:tc>
      </w:tr>
      <w:tr w:rsidR="001D081D" w:rsidRPr="001D081D" w14:paraId="1AB720F6" w14:textId="77777777" w:rsidTr="00A9456A">
        <w:trPr>
          <w:trHeight w:val="397"/>
        </w:trPr>
        <w:tc>
          <w:tcPr>
            <w:tcW w:w="2405" w:type="dxa"/>
            <w:shd w:val="clear" w:color="auto" w:fill="auto"/>
            <w:noWrap/>
            <w:tcMar>
              <w:top w:w="15" w:type="dxa"/>
              <w:left w:w="15" w:type="dxa"/>
              <w:bottom w:w="0" w:type="dxa"/>
              <w:right w:w="15" w:type="dxa"/>
            </w:tcMar>
            <w:vAlign w:val="bottom"/>
            <w:hideMark/>
          </w:tcPr>
          <w:p w14:paraId="18BB59EE" w14:textId="77777777" w:rsidR="00701C3E" w:rsidRPr="00441AF5" w:rsidRDefault="00701C3E" w:rsidP="00C23109">
            <w:pPr>
              <w:spacing w:after="120" w:line="259" w:lineRule="auto"/>
              <w:ind w:left="124"/>
              <w:rPr>
                <w:rFonts w:cs="Arial"/>
                <w:sz w:val="22"/>
                <w:szCs w:val="22"/>
              </w:rPr>
            </w:pPr>
            <w:r w:rsidRPr="00441AF5">
              <w:rPr>
                <w:rFonts w:cs="Arial"/>
                <w:sz w:val="22"/>
                <w:szCs w:val="22"/>
              </w:rPr>
              <w:t>Largest</w:t>
            </w:r>
          </w:p>
        </w:tc>
        <w:tc>
          <w:tcPr>
            <w:tcW w:w="2268" w:type="dxa"/>
            <w:shd w:val="clear" w:color="auto" w:fill="auto"/>
            <w:noWrap/>
            <w:tcMar>
              <w:top w:w="15" w:type="dxa"/>
              <w:left w:w="15" w:type="dxa"/>
              <w:bottom w:w="0" w:type="dxa"/>
              <w:right w:w="15" w:type="dxa"/>
            </w:tcMar>
            <w:vAlign w:val="bottom"/>
            <w:hideMark/>
          </w:tcPr>
          <w:p w14:paraId="6675BCFA" w14:textId="77777777" w:rsidR="00701C3E" w:rsidRPr="00441AF5" w:rsidRDefault="00701C3E" w:rsidP="00C23109">
            <w:pPr>
              <w:spacing w:after="120" w:line="259" w:lineRule="auto"/>
              <w:ind w:right="132"/>
              <w:jc w:val="right"/>
              <w:rPr>
                <w:rFonts w:cs="Arial"/>
                <w:sz w:val="22"/>
                <w:szCs w:val="22"/>
              </w:rPr>
            </w:pPr>
            <w:r w:rsidRPr="00441AF5">
              <w:rPr>
                <w:rFonts w:cs="Arial"/>
                <w:sz w:val="22"/>
                <w:szCs w:val="22"/>
              </w:rPr>
              <w:t>500 or more</w:t>
            </w:r>
          </w:p>
        </w:tc>
        <w:tc>
          <w:tcPr>
            <w:tcW w:w="2126" w:type="dxa"/>
            <w:shd w:val="clear" w:color="auto" w:fill="auto"/>
            <w:noWrap/>
            <w:tcMar>
              <w:top w:w="15" w:type="dxa"/>
              <w:left w:w="15" w:type="dxa"/>
              <w:bottom w:w="0" w:type="dxa"/>
              <w:right w:w="15" w:type="dxa"/>
            </w:tcMar>
            <w:vAlign w:val="bottom"/>
            <w:hideMark/>
          </w:tcPr>
          <w:p w14:paraId="4DDFB888" w14:textId="77777777" w:rsidR="00701C3E" w:rsidRPr="00441AF5" w:rsidRDefault="00701C3E" w:rsidP="00C23109">
            <w:pPr>
              <w:spacing w:after="120" w:line="259" w:lineRule="auto"/>
              <w:ind w:right="121"/>
              <w:jc w:val="right"/>
              <w:rPr>
                <w:rFonts w:cs="Arial"/>
                <w:sz w:val="22"/>
                <w:szCs w:val="22"/>
              </w:rPr>
            </w:pPr>
            <w:r w:rsidRPr="00441AF5">
              <w:rPr>
                <w:rFonts w:cs="Arial"/>
                <w:sz w:val="22"/>
                <w:szCs w:val="22"/>
              </w:rPr>
              <w:t>10</w:t>
            </w:r>
          </w:p>
        </w:tc>
      </w:tr>
    </w:tbl>
    <w:p w14:paraId="7E7831E3" w14:textId="45256663" w:rsidR="00701C3E" w:rsidRPr="0029116F" w:rsidRDefault="00701C3E" w:rsidP="000D58CF">
      <w:pPr>
        <w:spacing w:after="120" w:line="259" w:lineRule="auto"/>
        <w:ind w:left="567"/>
        <w:rPr>
          <w:rFonts w:cs="Arial"/>
          <w:sz w:val="18"/>
          <w:szCs w:val="18"/>
        </w:rPr>
      </w:pPr>
      <w:r w:rsidRPr="0029116F">
        <w:rPr>
          <w:rFonts w:cs="Arial"/>
          <w:sz w:val="18"/>
          <w:szCs w:val="18"/>
        </w:rPr>
        <w:t>Source: Business Population Estimates, Table 3, 2021</w:t>
      </w:r>
      <w:r w:rsidRPr="0029116F">
        <w:rPr>
          <w:rStyle w:val="FootnoteReference"/>
          <w:rFonts w:cs="Arial"/>
          <w:sz w:val="18"/>
          <w:szCs w:val="18"/>
        </w:rPr>
        <w:footnoteReference w:id="105"/>
      </w:r>
    </w:p>
    <w:p w14:paraId="46D5CD2A" w14:textId="6F133FC9" w:rsidR="00701C3E" w:rsidRPr="00441AF5" w:rsidRDefault="00DA1379" w:rsidP="00A55741">
      <w:pPr>
        <w:spacing w:after="120" w:line="259" w:lineRule="auto"/>
        <w:ind w:firstLine="567"/>
        <w:rPr>
          <w:rFonts w:cs="Arial"/>
          <w:sz w:val="22"/>
          <w:szCs w:val="22"/>
        </w:rPr>
      </w:pPr>
      <w:r>
        <w:rPr>
          <w:rFonts w:cs="Arial"/>
          <w:b/>
          <w:bCs/>
          <w:sz w:val="22"/>
          <w:szCs w:val="22"/>
          <w:lang w:eastAsia="en-GB"/>
        </w:rPr>
        <w:br w:type="page"/>
      </w:r>
      <w:r w:rsidR="00701C3E" w:rsidRPr="00441AF5">
        <w:rPr>
          <w:rFonts w:cs="Arial"/>
          <w:b/>
          <w:bCs/>
          <w:sz w:val="22"/>
          <w:szCs w:val="22"/>
          <w:lang w:eastAsia="en-GB"/>
        </w:rPr>
        <w:lastRenderedPageBreak/>
        <w:t>Table A</w:t>
      </w:r>
      <w:r w:rsidR="006A695E" w:rsidRPr="00441AF5">
        <w:rPr>
          <w:rFonts w:cs="Arial"/>
          <w:b/>
          <w:bCs/>
          <w:sz w:val="22"/>
          <w:szCs w:val="22"/>
          <w:lang w:eastAsia="en-GB"/>
        </w:rPr>
        <w:t>.</w:t>
      </w:r>
      <w:r w:rsidR="00C72641">
        <w:rPr>
          <w:rFonts w:cs="Arial"/>
          <w:b/>
          <w:bCs/>
          <w:sz w:val="22"/>
          <w:szCs w:val="22"/>
          <w:lang w:eastAsia="en-GB"/>
        </w:rPr>
        <w:t>3</w:t>
      </w:r>
      <w:r w:rsidR="004F76E3">
        <w:rPr>
          <w:rFonts w:cs="Arial"/>
          <w:b/>
          <w:bCs/>
          <w:sz w:val="22"/>
          <w:szCs w:val="22"/>
          <w:lang w:eastAsia="en-GB"/>
        </w:rPr>
        <w:t>:</w:t>
      </w:r>
      <w:r w:rsidR="00701C3E" w:rsidRPr="00441AF5">
        <w:rPr>
          <w:rFonts w:cs="Arial"/>
          <w:b/>
          <w:bCs/>
          <w:sz w:val="22"/>
          <w:szCs w:val="22"/>
          <w:lang w:eastAsia="en-GB"/>
        </w:rPr>
        <w:t xml:space="preserve"> Employment by partnership size</w:t>
      </w:r>
    </w:p>
    <w:tbl>
      <w:tblPr>
        <w:tblW w:w="8448" w:type="dxa"/>
        <w:tblInd w:w="567" w:type="dxa"/>
        <w:tblLook w:val="04A0" w:firstRow="1" w:lastRow="0" w:firstColumn="1" w:lastColumn="0" w:noHBand="0" w:noVBand="1"/>
      </w:tblPr>
      <w:tblGrid>
        <w:gridCol w:w="3300"/>
        <w:gridCol w:w="2512"/>
        <w:gridCol w:w="2636"/>
      </w:tblGrid>
      <w:tr w:rsidR="001D081D" w:rsidRPr="001D081D" w14:paraId="6FBA4C0C" w14:textId="77777777" w:rsidTr="00A9456A">
        <w:trPr>
          <w:trHeight w:val="397"/>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352A8" w14:textId="77777777" w:rsidR="006A695E" w:rsidRPr="00441AF5" w:rsidRDefault="006A695E" w:rsidP="000D58CF">
            <w:pPr>
              <w:spacing w:after="120" w:line="259" w:lineRule="auto"/>
              <w:rPr>
                <w:rFonts w:cs="Arial"/>
                <w:b/>
                <w:sz w:val="22"/>
                <w:szCs w:val="22"/>
                <w:lang w:eastAsia="en-GB"/>
              </w:rPr>
            </w:pPr>
            <w:r w:rsidRPr="00441AF5">
              <w:rPr>
                <w:rFonts w:cs="Arial"/>
                <w:b/>
                <w:sz w:val="22"/>
                <w:szCs w:val="22"/>
                <w:lang w:eastAsia="en-GB"/>
              </w:rPr>
              <w:t>Corporate Body Size</w:t>
            </w:r>
          </w:p>
        </w:tc>
        <w:tc>
          <w:tcPr>
            <w:tcW w:w="2512" w:type="dxa"/>
            <w:tcBorders>
              <w:top w:val="single" w:sz="4" w:space="0" w:color="auto"/>
              <w:left w:val="nil"/>
              <w:bottom w:val="single" w:sz="4" w:space="0" w:color="auto"/>
              <w:right w:val="single" w:sz="4" w:space="0" w:color="auto"/>
            </w:tcBorders>
            <w:shd w:val="clear" w:color="auto" w:fill="auto"/>
            <w:noWrap/>
            <w:vAlign w:val="bottom"/>
            <w:hideMark/>
          </w:tcPr>
          <w:p w14:paraId="5FE6DE35" w14:textId="77777777" w:rsidR="006A695E" w:rsidRPr="00441AF5" w:rsidRDefault="006A695E" w:rsidP="000D58CF">
            <w:pPr>
              <w:spacing w:after="120" w:line="259" w:lineRule="auto"/>
              <w:jc w:val="right"/>
              <w:rPr>
                <w:rFonts w:cs="Arial"/>
                <w:b/>
                <w:sz w:val="22"/>
                <w:szCs w:val="22"/>
                <w:lang w:eastAsia="en-GB"/>
              </w:rPr>
            </w:pPr>
            <w:r w:rsidRPr="00441AF5">
              <w:rPr>
                <w:rFonts w:cs="Arial"/>
                <w:b/>
                <w:sz w:val="22"/>
                <w:szCs w:val="22"/>
                <w:lang w:eastAsia="en-GB"/>
              </w:rPr>
              <w:t>Size Employees</w:t>
            </w:r>
          </w:p>
        </w:tc>
        <w:tc>
          <w:tcPr>
            <w:tcW w:w="2636" w:type="dxa"/>
            <w:tcBorders>
              <w:top w:val="single" w:sz="4" w:space="0" w:color="auto"/>
              <w:left w:val="nil"/>
              <w:bottom w:val="single" w:sz="4" w:space="0" w:color="auto"/>
              <w:right w:val="single" w:sz="4" w:space="0" w:color="auto"/>
            </w:tcBorders>
            <w:shd w:val="clear" w:color="auto" w:fill="auto"/>
            <w:noWrap/>
            <w:vAlign w:val="bottom"/>
            <w:hideMark/>
          </w:tcPr>
          <w:p w14:paraId="36E775AA" w14:textId="77777777" w:rsidR="006A695E" w:rsidRPr="00441AF5" w:rsidRDefault="006A695E" w:rsidP="000D58CF">
            <w:pPr>
              <w:spacing w:after="120" w:line="259" w:lineRule="auto"/>
              <w:jc w:val="right"/>
              <w:rPr>
                <w:rFonts w:cs="Arial"/>
                <w:b/>
                <w:sz w:val="22"/>
                <w:szCs w:val="22"/>
                <w:lang w:eastAsia="en-GB"/>
              </w:rPr>
            </w:pPr>
            <w:r w:rsidRPr="00441AF5">
              <w:rPr>
                <w:rFonts w:cs="Arial"/>
                <w:b/>
                <w:sz w:val="22"/>
                <w:szCs w:val="22"/>
                <w:lang w:eastAsia="en-GB"/>
              </w:rPr>
              <w:t>Partnership Size</w:t>
            </w:r>
          </w:p>
        </w:tc>
      </w:tr>
      <w:tr w:rsidR="001D081D" w:rsidRPr="001D081D" w14:paraId="10DB60E4" w14:textId="77777777" w:rsidTr="00E162E7">
        <w:trPr>
          <w:trHeight w:val="397"/>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59044D70" w14:textId="77777777" w:rsidR="006A695E" w:rsidRPr="00441AF5" w:rsidRDefault="006A695E" w:rsidP="000D58CF">
            <w:pPr>
              <w:spacing w:after="120" w:line="259" w:lineRule="auto"/>
              <w:rPr>
                <w:rFonts w:cs="Arial"/>
                <w:sz w:val="22"/>
                <w:szCs w:val="22"/>
                <w:lang w:eastAsia="en-GB"/>
              </w:rPr>
            </w:pPr>
            <w:r w:rsidRPr="00441AF5">
              <w:rPr>
                <w:rFonts w:cs="Arial"/>
                <w:sz w:val="22"/>
                <w:szCs w:val="22"/>
                <w:lang w:eastAsia="en-GB"/>
              </w:rPr>
              <w:t>Large</w:t>
            </w:r>
          </w:p>
        </w:tc>
        <w:tc>
          <w:tcPr>
            <w:tcW w:w="2512" w:type="dxa"/>
            <w:tcBorders>
              <w:top w:val="nil"/>
              <w:left w:val="nil"/>
              <w:bottom w:val="single" w:sz="4" w:space="0" w:color="auto"/>
              <w:right w:val="single" w:sz="4" w:space="0" w:color="auto"/>
            </w:tcBorders>
            <w:shd w:val="clear" w:color="auto" w:fill="auto"/>
            <w:noWrap/>
            <w:vAlign w:val="bottom"/>
            <w:hideMark/>
          </w:tcPr>
          <w:p w14:paraId="151B9CE1" w14:textId="34C42A1B" w:rsidR="006A695E" w:rsidRPr="00441AF5" w:rsidRDefault="006A695E" w:rsidP="00E162E7">
            <w:pPr>
              <w:spacing w:after="120" w:line="259" w:lineRule="auto"/>
              <w:jc w:val="right"/>
              <w:rPr>
                <w:rFonts w:cs="Arial"/>
                <w:sz w:val="22"/>
                <w:szCs w:val="22"/>
                <w:lang w:eastAsia="en-GB"/>
              </w:rPr>
            </w:pPr>
            <w:r w:rsidRPr="00441AF5">
              <w:rPr>
                <w:rFonts w:cs="Arial"/>
                <w:sz w:val="22"/>
                <w:szCs w:val="22"/>
                <w:lang w:eastAsia="en-GB"/>
              </w:rPr>
              <w:t>250</w:t>
            </w:r>
            <w:r w:rsidR="00C51206" w:rsidRPr="00C23109">
              <w:rPr>
                <w:rFonts w:cs="Arial"/>
                <w:sz w:val="20"/>
                <w:szCs w:val="20"/>
                <w:lang w:eastAsia="en-GB"/>
              </w:rPr>
              <w:t xml:space="preserve"> </w:t>
            </w:r>
            <w:r w:rsidR="00C51206" w:rsidRPr="00C23109">
              <w:rPr>
                <w:rFonts w:cs="Arial"/>
                <w:sz w:val="22"/>
                <w:szCs w:val="22"/>
                <w:lang w:eastAsia="en-GB"/>
              </w:rPr>
              <w:t xml:space="preserve">to </w:t>
            </w:r>
            <w:r w:rsidRPr="00441AF5">
              <w:rPr>
                <w:rFonts w:cs="Arial"/>
                <w:sz w:val="22"/>
                <w:szCs w:val="22"/>
                <w:lang w:eastAsia="en-GB"/>
              </w:rPr>
              <w:t>499</w:t>
            </w:r>
          </w:p>
        </w:tc>
        <w:tc>
          <w:tcPr>
            <w:tcW w:w="2636" w:type="dxa"/>
            <w:tcBorders>
              <w:top w:val="nil"/>
              <w:left w:val="nil"/>
              <w:bottom w:val="single" w:sz="4" w:space="0" w:color="auto"/>
              <w:right w:val="single" w:sz="4" w:space="0" w:color="auto"/>
            </w:tcBorders>
            <w:shd w:val="clear" w:color="auto" w:fill="auto"/>
            <w:noWrap/>
            <w:vAlign w:val="bottom"/>
            <w:hideMark/>
          </w:tcPr>
          <w:p w14:paraId="5F5E1963" w14:textId="77777777" w:rsidR="006A695E" w:rsidRPr="00441AF5" w:rsidRDefault="006A695E" w:rsidP="00E162E7">
            <w:pPr>
              <w:spacing w:after="120" w:line="259" w:lineRule="auto"/>
              <w:jc w:val="right"/>
              <w:rPr>
                <w:rFonts w:cs="Arial"/>
                <w:sz w:val="22"/>
                <w:szCs w:val="22"/>
                <w:lang w:eastAsia="en-GB"/>
              </w:rPr>
            </w:pPr>
            <w:r w:rsidRPr="00441AF5">
              <w:rPr>
                <w:rFonts w:cs="Arial"/>
                <w:sz w:val="22"/>
                <w:szCs w:val="22"/>
                <w:lang w:eastAsia="en-GB"/>
              </w:rPr>
              <w:t>34</w:t>
            </w:r>
          </w:p>
        </w:tc>
      </w:tr>
      <w:tr w:rsidR="001D081D" w:rsidRPr="001D081D" w14:paraId="2118A4B1" w14:textId="77777777" w:rsidTr="00E162E7">
        <w:trPr>
          <w:trHeight w:val="397"/>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4B20BD8E" w14:textId="77777777" w:rsidR="006A695E" w:rsidRPr="00441AF5" w:rsidRDefault="006A695E" w:rsidP="000D58CF">
            <w:pPr>
              <w:spacing w:after="120" w:line="259" w:lineRule="auto"/>
              <w:rPr>
                <w:rFonts w:cs="Arial"/>
                <w:sz w:val="22"/>
                <w:szCs w:val="22"/>
                <w:lang w:eastAsia="en-GB"/>
              </w:rPr>
            </w:pPr>
            <w:r w:rsidRPr="00441AF5">
              <w:rPr>
                <w:rFonts w:cs="Arial"/>
                <w:sz w:val="22"/>
                <w:szCs w:val="22"/>
                <w:lang w:eastAsia="en-GB"/>
              </w:rPr>
              <w:t>Largest</w:t>
            </w:r>
          </w:p>
        </w:tc>
        <w:tc>
          <w:tcPr>
            <w:tcW w:w="2512" w:type="dxa"/>
            <w:tcBorders>
              <w:top w:val="nil"/>
              <w:left w:val="nil"/>
              <w:bottom w:val="single" w:sz="4" w:space="0" w:color="auto"/>
              <w:right w:val="single" w:sz="4" w:space="0" w:color="auto"/>
            </w:tcBorders>
            <w:shd w:val="clear" w:color="auto" w:fill="auto"/>
            <w:noWrap/>
            <w:vAlign w:val="bottom"/>
            <w:hideMark/>
          </w:tcPr>
          <w:p w14:paraId="4214C94D" w14:textId="77777777" w:rsidR="006A695E" w:rsidRPr="00441AF5" w:rsidRDefault="006A695E" w:rsidP="00E162E7">
            <w:pPr>
              <w:spacing w:after="120" w:line="259" w:lineRule="auto"/>
              <w:jc w:val="right"/>
              <w:rPr>
                <w:rFonts w:cs="Arial"/>
                <w:sz w:val="22"/>
                <w:szCs w:val="22"/>
                <w:lang w:eastAsia="en-GB"/>
              </w:rPr>
            </w:pPr>
            <w:r w:rsidRPr="00441AF5">
              <w:rPr>
                <w:rFonts w:cs="Arial"/>
                <w:sz w:val="22"/>
                <w:szCs w:val="22"/>
                <w:lang w:eastAsia="en-GB"/>
              </w:rPr>
              <w:t>500 or more</w:t>
            </w:r>
          </w:p>
        </w:tc>
        <w:tc>
          <w:tcPr>
            <w:tcW w:w="2636" w:type="dxa"/>
            <w:tcBorders>
              <w:top w:val="nil"/>
              <w:left w:val="nil"/>
              <w:bottom w:val="single" w:sz="4" w:space="0" w:color="auto"/>
              <w:right w:val="single" w:sz="4" w:space="0" w:color="auto"/>
            </w:tcBorders>
            <w:shd w:val="clear" w:color="auto" w:fill="auto"/>
            <w:noWrap/>
            <w:vAlign w:val="bottom"/>
            <w:hideMark/>
          </w:tcPr>
          <w:p w14:paraId="327B6B36" w14:textId="77777777" w:rsidR="006A695E" w:rsidRPr="00441AF5" w:rsidRDefault="006A695E" w:rsidP="00E162E7">
            <w:pPr>
              <w:spacing w:after="120" w:line="259" w:lineRule="auto"/>
              <w:jc w:val="right"/>
              <w:rPr>
                <w:rFonts w:cs="Arial"/>
                <w:sz w:val="22"/>
                <w:szCs w:val="22"/>
                <w:lang w:eastAsia="en-GB"/>
              </w:rPr>
            </w:pPr>
            <w:r w:rsidRPr="00441AF5">
              <w:rPr>
                <w:rFonts w:cs="Arial"/>
                <w:sz w:val="22"/>
                <w:szCs w:val="22"/>
                <w:lang w:eastAsia="en-GB"/>
              </w:rPr>
              <w:t>24</w:t>
            </w:r>
          </w:p>
        </w:tc>
      </w:tr>
    </w:tbl>
    <w:p w14:paraId="570D48FC" w14:textId="015545A1" w:rsidR="00701C3E" w:rsidRPr="0029116F" w:rsidRDefault="00701C3E" w:rsidP="000D58CF">
      <w:pPr>
        <w:spacing w:after="120" w:line="259" w:lineRule="auto"/>
        <w:ind w:left="567"/>
        <w:contextualSpacing/>
        <w:rPr>
          <w:rFonts w:cs="Arial"/>
          <w:sz w:val="18"/>
          <w:szCs w:val="18"/>
        </w:rPr>
      </w:pPr>
      <w:r w:rsidRPr="0029116F">
        <w:rPr>
          <w:rFonts w:cs="Arial"/>
          <w:sz w:val="18"/>
          <w:szCs w:val="18"/>
        </w:rPr>
        <w:t>Source: Business Population Estimates, Table 3, 2021</w:t>
      </w:r>
      <w:r w:rsidR="006A695E" w:rsidRPr="0029116F">
        <w:rPr>
          <w:rFonts w:cs="Arial"/>
          <w:sz w:val="18"/>
          <w:szCs w:val="18"/>
        </w:rPr>
        <w:t xml:space="preserve"> (see footnote </w:t>
      </w:r>
      <w:r w:rsidR="004E1C48">
        <w:rPr>
          <w:rFonts w:cs="Arial"/>
          <w:sz w:val="18"/>
          <w:szCs w:val="18"/>
        </w:rPr>
        <w:t>13</w:t>
      </w:r>
      <w:r w:rsidR="006A695E" w:rsidRPr="0029116F">
        <w:rPr>
          <w:rFonts w:cs="Arial"/>
          <w:sz w:val="18"/>
          <w:szCs w:val="18"/>
        </w:rPr>
        <w:t>)</w:t>
      </w:r>
      <w:r w:rsidRPr="0029116F">
        <w:rPr>
          <w:rFonts w:cs="Arial"/>
          <w:sz w:val="18"/>
          <w:szCs w:val="18"/>
        </w:rPr>
        <w:t>.</w:t>
      </w:r>
    </w:p>
    <w:p w14:paraId="545B7C51" w14:textId="0B5500D3" w:rsidR="00701C3E" w:rsidRPr="0029116F" w:rsidRDefault="00701C3E" w:rsidP="000D58CF">
      <w:pPr>
        <w:spacing w:after="120" w:line="259" w:lineRule="auto"/>
        <w:ind w:left="567"/>
        <w:contextualSpacing/>
        <w:rPr>
          <w:rFonts w:cs="Arial"/>
          <w:sz w:val="18"/>
          <w:szCs w:val="18"/>
        </w:rPr>
      </w:pPr>
      <w:r w:rsidRPr="0029116F">
        <w:rPr>
          <w:rFonts w:cs="Arial"/>
          <w:sz w:val="18"/>
          <w:szCs w:val="18"/>
        </w:rPr>
        <w:t>Note some size categories had to be estimated as some published figures were suppressed to avoid disclosure.</w:t>
      </w:r>
    </w:p>
    <w:p w14:paraId="288CA326" w14:textId="77777777" w:rsidR="008B71E3" w:rsidRPr="00441AF5" w:rsidRDefault="008B71E3" w:rsidP="000D58CF">
      <w:pPr>
        <w:pStyle w:val="EBBullet"/>
        <w:numPr>
          <w:ilvl w:val="0"/>
          <w:numId w:val="0"/>
        </w:numPr>
        <w:spacing w:line="259" w:lineRule="auto"/>
        <w:ind w:left="567" w:hanging="567"/>
        <w:jc w:val="both"/>
        <w:rPr>
          <w:b/>
          <w:bCs w:val="0"/>
          <w:color w:val="auto"/>
        </w:rPr>
      </w:pPr>
      <w:r w:rsidRPr="00441AF5">
        <w:rPr>
          <w:b/>
          <w:bCs w:val="0"/>
          <w:color w:val="auto"/>
        </w:rPr>
        <w:t>Other commercial organisations and UK activities of overseas incorporated companies</w:t>
      </w:r>
    </w:p>
    <w:p w14:paraId="40F52DA1" w14:textId="365BA2CD" w:rsidR="00423D9E" w:rsidRPr="00441AF5" w:rsidRDefault="008B71E3" w:rsidP="000D58CF">
      <w:pPr>
        <w:pStyle w:val="EBBullet"/>
        <w:numPr>
          <w:ilvl w:val="0"/>
          <w:numId w:val="0"/>
        </w:numPr>
        <w:spacing w:line="259" w:lineRule="auto"/>
        <w:ind w:left="567" w:hanging="567"/>
        <w:jc w:val="both"/>
        <w:rPr>
          <w:b/>
          <w:bCs w:val="0"/>
          <w:color w:val="auto"/>
        </w:rPr>
      </w:pPr>
      <w:r w:rsidRPr="00441AF5">
        <w:rPr>
          <w:b/>
          <w:bCs w:val="0"/>
          <w:color w:val="auto"/>
        </w:rPr>
        <w:t>Other commercial organisations</w:t>
      </w:r>
    </w:p>
    <w:p w14:paraId="0974B9AB" w14:textId="2CB569E1" w:rsidR="00423D9E" w:rsidRPr="00441AF5" w:rsidRDefault="008B71E3" w:rsidP="000D58CF">
      <w:pPr>
        <w:pStyle w:val="EBBullet"/>
        <w:numPr>
          <w:ilvl w:val="0"/>
          <w:numId w:val="7"/>
        </w:numPr>
        <w:spacing w:line="259" w:lineRule="auto"/>
        <w:ind w:left="567" w:hanging="567"/>
        <w:jc w:val="both"/>
        <w:rPr>
          <w:color w:val="auto"/>
        </w:rPr>
      </w:pPr>
      <w:r w:rsidRPr="00441AF5">
        <w:rPr>
          <w:color w:val="auto"/>
        </w:rPr>
        <w:t>There are several other types of commercial entities that would be defined as organisations. These include:</w:t>
      </w:r>
    </w:p>
    <w:p w14:paraId="7D149673" w14:textId="77777777" w:rsidR="008B71E3" w:rsidRPr="00913CB7" w:rsidRDefault="008B71E3" w:rsidP="00B042F7">
      <w:pPr>
        <w:pStyle w:val="ListParagraph"/>
        <w:numPr>
          <w:ilvl w:val="0"/>
          <w:numId w:val="32"/>
        </w:numPr>
        <w:spacing w:after="120" w:line="259" w:lineRule="auto"/>
        <w:ind w:left="1134" w:hanging="425"/>
        <w:contextualSpacing w:val="0"/>
        <w:jc w:val="both"/>
        <w:rPr>
          <w:sz w:val="22"/>
          <w:szCs w:val="22"/>
        </w:rPr>
      </w:pPr>
      <w:r w:rsidRPr="00913CB7">
        <w:rPr>
          <w:sz w:val="22"/>
          <w:szCs w:val="22"/>
        </w:rPr>
        <w:t>Unlimited companies, that is incorporated companies where shareholders have unlimited liability for any losses.</w:t>
      </w:r>
    </w:p>
    <w:p w14:paraId="19DCB902" w14:textId="77777777" w:rsidR="008B71E3" w:rsidRPr="00913CB7" w:rsidRDefault="008B71E3" w:rsidP="00B042F7">
      <w:pPr>
        <w:pStyle w:val="ListParagraph"/>
        <w:numPr>
          <w:ilvl w:val="0"/>
          <w:numId w:val="32"/>
        </w:numPr>
        <w:spacing w:after="120" w:line="259" w:lineRule="auto"/>
        <w:ind w:left="1134" w:hanging="425"/>
        <w:contextualSpacing w:val="0"/>
        <w:jc w:val="both"/>
        <w:rPr>
          <w:sz w:val="22"/>
          <w:szCs w:val="22"/>
        </w:rPr>
      </w:pPr>
      <w:r w:rsidRPr="00913CB7">
        <w:rPr>
          <w:sz w:val="22"/>
          <w:szCs w:val="22"/>
        </w:rPr>
        <w:t>Companies established by Royal Charter.</w:t>
      </w:r>
    </w:p>
    <w:p w14:paraId="19AF1935" w14:textId="6AB874EE" w:rsidR="00686B68" w:rsidRPr="00913CB7" w:rsidRDefault="00686B68" w:rsidP="00B042F7">
      <w:pPr>
        <w:pStyle w:val="ListParagraph"/>
        <w:numPr>
          <w:ilvl w:val="0"/>
          <w:numId w:val="32"/>
        </w:numPr>
        <w:spacing w:after="120" w:line="259" w:lineRule="auto"/>
        <w:ind w:left="1134" w:hanging="425"/>
        <w:contextualSpacing w:val="0"/>
        <w:jc w:val="both"/>
        <w:rPr>
          <w:sz w:val="22"/>
          <w:szCs w:val="22"/>
        </w:rPr>
      </w:pPr>
      <w:r w:rsidRPr="00913CB7">
        <w:rPr>
          <w:sz w:val="22"/>
          <w:szCs w:val="22"/>
        </w:rPr>
        <w:t>Companies incorporated by statute</w:t>
      </w:r>
      <w:r w:rsidR="004820BB" w:rsidRPr="00913CB7">
        <w:rPr>
          <w:sz w:val="22"/>
          <w:szCs w:val="22"/>
        </w:rPr>
        <w:t>.</w:t>
      </w:r>
    </w:p>
    <w:p w14:paraId="43B245B0" w14:textId="77777777" w:rsidR="008B71E3" w:rsidRPr="00913CB7" w:rsidRDefault="008B71E3" w:rsidP="00B042F7">
      <w:pPr>
        <w:pStyle w:val="ListParagraph"/>
        <w:numPr>
          <w:ilvl w:val="0"/>
          <w:numId w:val="32"/>
        </w:numPr>
        <w:spacing w:after="120" w:line="259" w:lineRule="auto"/>
        <w:ind w:left="1134" w:hanging="425"/>
        <w:contextualSpacing w:val="0"/>
        <w:jc w:val="both"/>
        <w:rPr>
          <w:sz w:val="22"/>
          <w:szCs w:val="22"/>
        </w:rPr>
      </w:pPr>
      <w:r w:rsidRPr="00913CB7">
        <w:rPr>
          <w:sz w:val="22"/>
          <w:szCs w:val="22"/>
        </w:rPr>
        <w:t>Industrial and Provident Companies and Registered Societies.</w:t>
      </w:r>
    </w:p>
    <w:p w14:paraId="086C7410" w14:textId="5BD8744E" w:rsidR="005F1788" w:rsidRPr="00913CB7" w:rsidRDefault="005F1788" w:rsidP="00B042F7">
      <w:pPr>
        <w:pStyle w:val="ListParagraph"/>
        <w:numPr>
          <w:ilvl w:val="0"/>
          <w:numId w:val="32"/>
        </w:numPr>
        <w:spacing w:after="120" w:line="259" w:lineRule="auto"/>
        <w:ind w:left="1134" w:hanging="425"/>
        <w:contextualSpacing w:val="0"/>
        <w:jc w:val="both"/>
        <w:rPr>
          <w:sz w:val="22"/>
          <w:szCs w:val="22"/>
        </w:rPr>
      </w:pPr>
      <w:r w:rsidRPr="00913CB7">
        <w:rPr>
          <w:sz w:val="22"/>
          <w:szCs w:val="22"/>
        </w:rPr>
        <w:t>Partnerships</w:t>
      </w:r>
      <w:r w:rsidR="00F7197D" w:rsidRPr="00913CB7">
        <w:rPr>
          <w:sz w:val="22"/>
          <w:szCs w:val="22"/>
        </w:rPr>
        <w:t xml:space="preserve"> formed under the Limited Liability Partnerships Act 2000</w:t>
      </w:r>
    </w:p>
    <w:p w14:paraId="2D0633E9" w14:textId="7548980B" w:rsidR="005F1788" w:rsidRPr="00913CB7" w:rsidRDefault="0CBC10AC" w:rsidP="00B042F7">
      <w:pPr>
        <w:pStyle w:val="ListParagraph"/>
        <w:numPr>
          <w:ilvl w:val="0"/>
          <w:numId w:val="32"/>
        </w:numPr>
        <w:spacing w:after="120" w:line="259" w:lineRule="auto"/>
        <w:ind w:left="1134" w:hanging="425"/>
        <w:contextualSpacing w:val="0"/>
        <w:jc w:val="both"/>
        <w:rPr>
          <w:sz w:val="22"/>
          <w:szCs w:val="22"/>
        </w:rPr>
      </w:pPr>
      <w:r w:rsidRPr="00913CB7">
        <w:rPr>
          <w:sz w:val="22"/>
          <w:szCs w:val="22"/>
        </w:rPr>
        <w:t>Companies incorporated abroad</w:t>
      </w:r>
      <w:r w:rsidR="008B71E3" w:rsidRPr="00913CB7">
        <w:rPr>
          <w:sz w:val="22"/>
          <w:szCs w:val="22"/>
        </w:rPr>
        <w:t xml:space="preserve">. </w:t>
      </w:r>
    </w:p>
    <w:p w14:paraId="2F7385CC" w14:textId="77777777" w:rsidR="00F7197D" w:rsidRPr="00F7197D" w:rsidRDefault="00F7197D" w:rsidP="000D58CF">
      <w:pPr>
        <w:pStyle w:val="EBBullet"/>
        <w:numPr>
          <w:ilvl w:val="0"/>
          <w:numId w:val="7"/>
        </w:numPr>
        <w:spacing w:line="259" w:lineRule="auto"/>
        <w:ind w:left="567" w:hanging="567"/>
        <w:jc w:val="both"/>
      </w:pPr>
      <w:r w:rsidRPr="00F7197D">
        <w:t xml:space="preserve">The offence applies to partnerships which are not bodies corporate (including Scottish partnerships and Limited </w:t>
      </w:r>
      <w:r w:rsidRPr="00D7460B">
        <w:rPr>
          <w:color w:val="auto"/>
        </w:rPr>
        <w:t>Partnerships</w:t>
      </w:r>
      <w:r w:rsidRPr="00F7197D">
        <w:t xml:space="preserve"> formed under the Limited Partnerships Act 1907).</w:t>
      </w:r>
    </w:p>
    <w:p w14:paraId="46D31BD1" w14:textId="42499362" w:rsidR="00423D9E" w:rsidRPr="00441AF5" w:rsidRDefault="008B71E3" w:rsidP="000D58CF">
      <w:pPr>
        <w:pStyle w:val="EBBullet"/>
        <w:numPr>
          <w:ilvl w:val="0"/>
          <w:numId w:val="7"/>
        </w:numPr>
        <w:spacing w:line="259" w:lineRule="auto"/>
        <w:ind w:left="567" w:hanging="567"/>
        <w:jc w:val="both"/>
        <w:rPr>
          <w:color w:val="auto"/>
        </w:rPr>
      </w:pPr>
      <w:r w:rsidRPr="00441AF5">
        <w:rPr>
          <w:color w:val="auto"/>
        </w:rPr>
        <w:t>These should already be included in the group-based definition, and employment estimates, sourced from the BPE provided the corporate is above the VAT threshold. For the entity-based definition, it is estimated that around 14,500 entities fall within these categories. The sizing data is sparse so in the absence of more specific data it is assumed that the size distribution of these companies follows that of the wider company population with employees.</w:t>
      </w:r>
    </w:p>
    <w:p w14:paraId="5C42BBA1" w14:textId="77777777" w:rsidR="008B71E3" w:rsidRPr="00441AF5" w:rsidRDefault="008B71E3" w:rsidP="000D58CF">
      <w:pPr>
        <w:spacing w:after="120" w:line="259" w:lineRule="auto"/>
        <w:ind w:left="567" w:hanging="567"/>
        <w:jc w:val="both"/>
        <w:rPr>
          <w:rFonts w:cs="Arial"/>
          <w:b/>
          <w:sz w:val="22"/>
          <w:szCs w:val="22"/>
        </w:rPr>
      </w:pPr>
      <w:r w:rsidRPr="00441AF5">
        <w:rPr>
          <w:rFonts w:cs="Arial"/>
          <w:b/>
          <w:sz w:val="22"/>
          <w:szCs w:val="22"/>
        </w:rPr>
        <w:t>UK activities of overseas incorporated companies</w:t>
      </w:r>
    </w:p>
    <w:p w14:paraId="225E12AC" w14:textId="77777777" w:rsidR="000A4FC2" w:rsidRPr="00F13055" w:rsidRDefault="000A4FC2" w:rsidP="000D58CF">
      <w:pPr>
        <w:pStyle w:val="ListParagraph"/>
        <w:numPr>
          <w:ilvl w:val="0"/>
          <w:numId w:val="7"/>
        </w:numPr>
        <w:spacing w:after="120" w:line="259" w:lineRule="auto"/>
        <w:ind w:left="567" w:hanging="567"/>
        <w:contextualSpacing w:val="0"/>
        <w:jc w:val="both"/>
        <w:rPr>
          <w:rFonts w:cs="Arial"/>
          <w:sz w:val="22"/>
          <w:szCs w:val="22"/>
        </w:rPr>
      </w:pPr>
      <w:r w:rsidRPr="00F13055">
        <w:rPr>
          <w:rFonts w:cs="Arial"/>
          <w:sz w:val="22"/>
          <w:szCs w:val="22"/>
        </w:rPr>
        <w:t>Foreign entities can carry out business in the UK either via the creation of a UK company; or it can establish a branch</w:t>
      </w:r>
      <w:r w:rsidRPr="00441AF5">
        <w:rPr>
          <w:rStyle w:val="FootnoteReference"/>
          <w:rFonts w:cs="Arial"/>
          <w:szCs w:val="22"/>
        </w:rPr>
        <w:footnoteReference w:id="106"/>
      </w:r>
      <w:r w:rsidRPr="00F13055">
        <w:rPr>
          <w:rFonts w:cs="Arial"/>
          <w:sz w:val="22"/>
          <w:szCs w:val="22"/>
        </w:rPr>
        <w:t xml:space="preserve">. In terms of how they affect the estimates:  </w:t>
      </w:r>
    </w:p>
    <w:p w14:paraId="0DFF0876" w14:textId="77777777" w:rsidR="000A4FC2" w:rsidRPr="00441AF5" w:rsidRDefault="000A4FC2" w:rsidP="00B042F7">
      <w:pPr>
        <w:pStyle w:val="ListParagraph"/>
        <w:numPr>
          <w:ilvl w:val="0"/>
          <w:numId w:val="34"/>
        </w:numPr>
        <w:spacing w:after="120" w:line="259" w:lineRule="auto"/>
        <w:ind w:left="1134" w:hanging="425"/>
        <w:contextualSpacing w:val="0"/>
        <w:jc w:val="both"/>
        <w:rPr>
          <w:rFonts w:cs="Arial"/>
          <w:sz w:val="22"/>
          <w:szCs w:val="22"/>
        </w:rPr>
      </w:pPr>
      <w:r w:rsidRPr="00441AF5">
        <w:rPr>
          <w:rFonts w:cs="Arial"/>
          <w:sz w:val="22"/>
          <w:szCs w:val="22"/>
        </w:rPr>
        <w:t xml:space="preserve">Any foreign owned but UK domiciled companies will be included in the company number estimates, provided the company is trading above the VAT threshold. </w:t>
      </w:r>
    </w:p>
    <w:p w14:paraId="0BF43E48" w14:textId="77777777" w:rsidR="000A4FC2" w:rsidRPr="00441AF5" w:rsidRDefault="000A4FC2" w:rsidP="00B042F7">
      <w:pPr>
        <w:pStyle w:val="ListParagraph"/>
        <w:numPr>
          <w:ilvl w:val="0"/>
          <w:numId w:val="34"/>
        </w:numPr>
        <w:spacing w:after="120" w:line="259" w:lineRule="auto"/>
        <w:ind w:left="1134" w:hanging="425"/>
        <w:contextualSpacing w:val="0"/>
        <w:jc w:val="both"/>
        <w:rPr>
          <w:rFonts w:cs="Arial"/>
          <w:sz w:val="22"/>
          <w:szCs w:val="22"/>
        </w:rPr>
      </w:pPr>
      <w:r w:rsidRPr="00441AF5">
        <w:rPr>
          <w:rFonts w:cs="Arial"/>
          <w:sz w:val="22"/>
          <w:szCs w:val="22"/>
        </w:rPr>
        <w:t>There are, according to Companies House statistics</w:t>
      </w:r>
      <w:r w:rsidRPr="00441AF5">
        <w:rPr>
          <w:rStyle w:val="FootnoteReference"/>
          <w:rFonts w:cs="Arial"/>
          <w:szCs w:val="22"/>
        </w:rPr>
        <w:footnoteReference w:id="107"/>
      </w:r>
      <w:r w:rsidRPr="00441AF5">
        <w:rPr>
          <w:rFonts w:cs="Arial"/>
          <w:sz w:val="22"/>
          <w:szCs w:val="22"/>
        </w:rPr>
        <w:t xml:space="preserve">, around 13,600 overseas companies in the UK which are branches of foreign domiciled companies with a physical presence in the UK. </w:t>
      </w:r>
    </w:p>
    <w:p w14:paraId="34061877" w14:textId="1450B48E" w:rsidR="000A4FC2" w:rsidRPr="00441AF5" w:rsidRDefault="000A4FC2" w:rsidP="00B042F7">
      <w:pPr>
        <w:pStyle w:val="ListParagraph"/>
        <w:numPr>
          <w:ilvl w:val="0"/>
          <w:numId w:val="34"/>
        </w:numPr>
        <w:spacing w:after="120" w:line="259" w:lineRule="auto"/>
        <w:ind w:left="1134" w:hanging="425"/>
        <w:contextualSpacing w:val="0"/>
        <w:jc w:val="both"/>
        <w:rPr>
          <w:rFonts w:cs="Arial"/>
          <w:sz w:val="22"/>
          <w:szCs w:val="22"/>
        </w:rPr>
      </w:pPr>
      <w:r w:rsidRPr="00441AF5">
        <w:rPr>
          <w:rFonts w:cs="Arial"/>
          <w:sz w:val="22"/>
          <w:szCs w:val="22"/>
        </w:rPr>
        <w:t xml:space="preserve">If these branches exceed the VAT </w:t>
      </w:r>
      <w:r w:rsidR="007F11B8" w:rsidRPr="00441AF5">
        <w:rPr>
          <w:rFonts w:cs="Arial"/>
          <w:sz w:val="22"/>
          <w:szCs w:val="22"/>
        </w:rPr>
        <w:t>threshold,</w:t>
      </w:r>
      <w:r w:rsidRPr="00441AF5">
        <w:rPr>
          <w:rFonts w:cs="Arial"/>
          <w:sz w:val="22"/>
          <w:szCs w:val="22"/>
        </w:rPr>
        <w:t xml:space="preserve"> then they will be included in the</w:t>
      </w:r>
      <w:r w:rsidRPr="00441AF5">
        <w:rPr>
          <w:rFonts w:cs="Arial"/>
          <w:sz w:val="22"/>
          <w:szCs w:val="22"/>
          <w:shd w:val="clear" w:color="auto" w:fill="FFFFFF"/>
        </w:rPr>
        <w:t xml:space="preserve"> Inter-Departmental Business Register (</w:t>
      </w:r>
      <w:r w:rsidRPr="00441AF5">
        <w:rPr>
          <w:rStyle w:val="Emphasis"/>
          <w:rFonts w:eastAsiaTheme="majorEastAsia" w:cs="Arial"/>
          <w:i w:val="0"/>
          <w:iCs w:val="0"/>
          <w:sz w:val="22"/>
          <w:szCs w:val="22"/>
          <w:shd w:val="clear" w:color="auto" w:fill="FFFFFF"/>
        </w:rPr>
        <w:t>IDBR</w:t>
      </w:r>
      <w:r w:rsidRPr="00441AF5">
        <w:rPr>
          <w:rFonts w:cs="Arial"/>
          <w:sz w:val="22"/>
          <w:szCs w:val="22"/>
        </w:rPr>
        <w:t>)</w:t>
      </w:r>
      <w:r w:rsidRPr="00441AF5">
        <w:rPr>
          <w:rFonts w:cs="Arial"/>
          <w:sz w:val="22"/>
          <w:szCs w:val="22"/>
          <w:shd w:val="clear" w:color="auto" w:fill="FFFFFF"/>
        </w:rPr>
        <w:t xml:space="preserve"> (a comprehensive list of UK businesses used by government for statistical purposes) </w:t>
      </w:r>
      <w:r w:rsidRPr="00441AF5">
        <w:rPr>
          <w:rFonts w:cs="Arial"/>
          <w:sz w:val="22"/>
          <w:szCs w:val="22"/>
        </w:rPr>
        <w:t xml:space="preserve">counts upon which the BPE estimates are derived that is they should be included in the </w:t>
      </w:r>
      <w:r w:rsidRPr="00441AF5">
        <w:rPr>
          <w:rFonts w:cs="Arial"/>
          <w:i/>
          <w:iCs/>
          <w:sz w:val="22"/>
          <w:szCs w:val="22"/>
        </w:rPr>
        <w:t>group-based estimate</w:t>
      </w:r>
      <w:r w:rsidRPr="00441AF5">
        <w:rPr>
          <w:rFonts w:cs="Arial"/>
          <w:sz w:val="22"/>
          <w:szCs w:val="22"/>
        </w:rPr>
        <w:t xml:space="preserve"> for numbers of companies and total employment.</w:t>
      </w:r>
    </w:p>
    <w:p w14:paraId="68E54B92" w14:textId="77777777" w:rsidR="000A4FC2" w:rsidRPr="00441AF5" w:rsidRDefault="000A4FC2" w:rsidP="00B042F7">
      <w:pPr>
        <w:pStyle w:val="ListParagraph"/>
        <w:numPr>
          <w:ilvl w:val="0"/>
          <w:numId w:val="34"/>
        </w:numPr>
        <w:spacing w:after="120" w:line="259" w:lineRule="auto"/>
        <w:ind w:left="1134" w:hanging="425"/>
        <w:contextualSpacing w:val="0"/>
        <w:jc w:val="both"/>
        <w:rPr>
          <w:rFonts w:cs="Arial"/>
          <w:sz w:val="22"/>
          <w:szCs w:val="22"/>
        </w:rPr>
      </w:pPr>
      <w:r w:rsidRPr="00441AF5">
        <w:rPr>
          <w:rFonts w:cs="Arial"/>
          <w:sz w:val="22"/>
          <w:szCs w:val="22"/>
        </w:rPr>
        <w:lastRenderedPageBreak/>
        <w:t xml:space="preserve">However, they are not included in the count of companies in the </w:t>
      </w:r>
      <w:r w:rsidRPr="00441AF5">
        <w:rPr>
          <w:rFonts w:cs="Arial"/>
          <w:i/>
          <w:iCs/>
          <w:sz w:val="22"/>
          <w:szCs w:val="22"/>
        </w:rPr>
        <w:t>entity-based estimate</w:t>
      </w:r>
      <w:r w:rsidRPr="00441AF5">
        <w:rPr>
          <w:rFonts w:cs="Arial"/>
          <w:sz w:val="22"/>
          <w:szCs w:val="22"/>
        </w:rPr>
        <w:t xml:space="preserve"> for numbers of companies. This means that overseas companies are excluded from the company count. </w:t>
      </w:r>
    </w:p>
    <w:p w14:paraId="207A88EC" w14:textId="418B5B26" w:rsidR="008B71E3" w:rsidRPr="00D827D0" w:rsidRDefault="008B71E3" w:rsidP="00B042F7">
      <w:pPr>
        <w:pStyle w:val="ListParagraph"/>
        <w:numPr>
          <w:ilvl w:val="0"/>
          <w:numId w:val="7"/>
        </w:numPr>
        <w:spacing w:after="120" w:line="259" w:lineRule="auto"/>
        <w:ind w:left="567" w:hanging="567"/>
        <w:contextualSpacing w:val="0"/>
        <w:jc w:val="both"/>
        <w:rPr>
          <w:rFonts w:cs="Arial"/>
          <w:sz w:val="22"/>
          <w:szCs w:val="22"/>
        </w:rPr>
      </w:pPr>
      <w:r w:rsidRPr="00F13055">
        <w:rPr>
          <w:rFonts w:cs="Arial"/>
          <w:sz w:val="22"/>
          <w:szCs w:val="22"/>
        </w:rPr>
        <w:t xml:space="preserve">There is no size data for UK branches of foreign domiciled companies. In the absence of more specific </w:t>
      </w:r>
      <w:r w:rsidR="007F11B8" w:rsidRPr="00F13055">
        <w:rPr>
          <w:rFonts w:cs="Arial"/>
          <w:sz w:val="22"/>
          <w:szCs w:val="22"/>
        </w:rPr>
        <w:t>data,</w:t>
      </w:r>
      <w:r w:rsidRPr="00F13055">
        <w:rPr>
          <w:rFonts w:cs="Arial"/>
          <w:sz w:val="22"/>
          <w:szCs w:val="22"/>
        </w:rPr>
        <w:t xml:space="preserve"> it is assumed that the size distribution of these organisations follows that of the wider UK company population which employs staff. As the employment estimate derived from the BPE was used, employment in UK branches of foreign registered companies should be caught (provided the branch is above the VAT threshold).</w:t>
      </w:r>
    </w:p>
    <w:p w14:paraId="13434B38" w14:textId="77777777" w:rsidR="008B71E3" w:rsidRPr="00441AF5" w:rsidRDefault="008B71E3" w:rsidP="000D58CF">
      <w:pPr>
        <w:spacing w:after="120" w:line="259" w:lineRule="auto"/>
        <w:ind w:left="567" w:hanging="567"/>
        <w:jc w:val="both"/>
        <w:rPr>
          <w:rFonts w:cs="Arial"/>
          <w:b/>
          <w:sz w:val="22"/>
          <w:szCs w:val="22"/>
        </w:rPr>
      </w:pPr>
      <w:r w:rsidRPr="00441AF5">
        <w:rPr>
          <w:rFonts w:cs="Arial"/>
          <w:b/>
          <w:sz w:val="22"/>
          <w:szCs w:val="22"/>
        </w:rPr>
        <w:t>Non-commercial organisations</w:t>
      </w:r>
    </w:p>
    <w:p w14:paraId="2BE189D7" w14:textId="1E734579" w:rsidR="008B71E3" w:rsidRDefault="008B71E3" w:rsidP="00C23109">
      <w:pPr>
        <w:pStyle w:val="ListParagraph"/>
        <w:numPr>
          <w:ilvl w:val="0"/>
          <w:numId w:val="7"/>
        </w:numPr>
        <w:spacing w:after="120" w:line="259" w:lineRule="auto"/>
        <w:ind w:left="567" w:hanging="567"/>
        <w:contextualSpacing w:val="0"/>
        <w:jc w:val="both"/>
        <w:rPr>
          <w:rFonts w:cs="Arial"/>
          <w:sz w:val="22"/>
          <w:szCs w:val="22"/>
        </w:rPr>
      </w:pPr>
      <w:r w:rsidRPr="00F13055">
        <w:rPr>
          <w:rFonts w:cs="Arial"/>
          <w:sz w:val="22"/>
          <w:szCs w:val="22"/>
        </w:rPr>
        <w:t xml:space="preserve">The failure to prevent fraud measure will cover all </w:t>
      </w:r>
      <w:r w:rsidR="007F11B8" w:rsidRPr="00F13055">
        <w:rPr>
          <w:rFonts w:cs="Arial"/>
          <w:sz w:val="22"/>
          <w:szCs w:val="22"/>
        </w:rPr>
        <w:t>large, incorporated</w:t>
      </w:r>
      <w:r w:rsidRPr="00F13055">
        <w:rPr>
          <w:rFonts w:cs="Arial"/>
          <w:sz w:val="22"/>
          <w:szCs w:val="22"/>
        </w:rPr>
        <w:t xml:space="preserve"> bodies whether they are commercial or not. The estimates in the previous sections only included commercial incorporated bodies. This section costs the impacts of non-commercial incorporated bodies.</w:t>
      </w:r>
      <w:r w:rsidRPr="00F13055" w:rsidDel="00584F02">
        <w:rPr>
          <w:rFonts w:cs="Arial"/>
          <w:sz w:val="22"/>
          <w:szCs w:val="22"/>
        </w:rPr>
        <w:t xml:space="preserve"> </w:t>
      </w:r>
      <w:r w:rsidRPr="00F13055">
        <w:rPr>
          <w:rFonts w:cs="Arial"/>
          <w:sz w:val="22"/>
          <w:szCs w:val="22"/>
        </w:rPr>
        <w:t xml:space="preserve">Only costs to entities that are covered by the </w:t>
      </w:r>
      <w:r w:rsidRPr="00F13055">
        <w:rPr>
          <w:rFonts w:cs="Arial"/>
          <w:b/>
          <w:sz w:val="22"/>
          <w:szCs w:val="22"/>
        </w:rPr>
        <w:t>Better Regulation framework</w:t>
      </w:r>
      <w:r w:rsidRPr="00441AF5">
        <w:rPr>
          <w:rStyle w:val="FootnoteReference"/>
          <w:rFonts w:cs="Arial"/>
          <w:b/>
          <w:szCs w:val="22"/>
        </w:rPr>
        <w:footnoteReference w:id="108"/>
      </w:r>
      <w:r w:rsidRPr="00F13055">
        <w:rPr>
          <w:rFonts w:cs="Arial"/>
          <w:sz w:val="22"/>
          <w:szCs w:val="22"/>
        </w:rPr>
        <w:t xml:space="preserve"> and are described under section 27 (5) of the Small Business, Enterprise and Employment Act 2015</w:t>
      </w:r>
      <w:r w:rsidR="00B04B8D" w:rsidRPr="00441AF5">
        <w:rPr>
          <w:rStyle w:val="FootnoteReference"/>
          <w:rFonts w:cs="Arial"/>
          <w:szCs w:val="22"/>
        </w:rPr>
        <w:footnoteReference w:id="109"/>
      </w:r>
      <w:r w:rsidRPr="00F13055">
        <w:rPr>
          <w:rFonts w:cs="Arial"/>
          <w:sz w:val="22"/>
          <w:szCs w:val="22"/>
        </w:rPr>
        <w:t xml:space="preserve"> are considered. </w:t>
      </w:r>
      <w:r w:rsidRPr="00F13055">
        <w:rPr>
          <w:rFonts w:cs="Arial"/>
          <w:b/>
          <w:bCs/>
          <w:sz w:val="22"/>
          <w:szCs w:val="22"/>
        </w:rPr>
        <w:t>Annex 2</w:t>
      </w:r>
      <w:r w:rsidRPr="00F13055">
        <w:rPr>
          <w:rFonts w:cs="Arial"/>
          <w:sz w:val="22"/>
          <w:szCs w:val="22"/>
        </w:rPr>
        <w:t xml:space="preserve"> of this IA sets out the range of entities covered by the measure and of those which are covered by the framework. </w:t>
      </w:r>
    </w:p>
    <w:p w14:paraId="5616AD31" w14:textId="77777777" w:rsidR="008B71E3" w:rsidRPr="00F13055" w:rsidRDefault="008B71E3" w:rsidP="00C23109">
      <w:pPr>
        <w:pStyle w:val="ListParagraph"/>
        <w:numPr>
          <w:ilvl w:val="0"/>
          <w:numId w:val="7"/>
        </w:numPr>
        <w:spacing w:after="120" w:line="259" w:lineRule="auto"/>
        <w:ind w:left="567" w:hanging="567"/>
        <w:contextualSpacing w:val="0"/>
        <w:jc w:val="both"/>
        <w:rPr>
          <w:rFonts w:cs="Arial"/>
          <w:sz w:val="22"/>
          <w:szCs w:val="22"/>
        </w:rPr>
      </w:pPr>
      <w:r w:rsidRPr="00F13055">
        <w:rPr>
          <w:rFonts w:cs="Arial"/>
          <w:sz w:val="22"/>
          <w:szCs w:val="22"/>
        </w:rPr>
        <w:t xml:space="preserve">The </w:t>
      </w:r>
      <w:r w:rsidR="00700769" w:rsidRPr="00F13055">
        <w:rPr>
          <w:rFonts w:cs="Arial"/>
          <w:sz w:val="22"/>
          <w:szCs w:val="22"/>
        </w:rPr>
        <w:t>FAME</w:t>
      </w:r>
      <w:r w:rsidRPr="00F13055">
        <w:rPr>
          <w:rFonts w:cs="Arial"/>
          <w:sz w:val="22"/>
          <w:szCs w:val="22"/>
        </w:rPr>
        <w:t xml:space="preserve"> sizing data was sparse for the entity count so, the same approach was applied to size other organisations, that is to assume it follows the distribution of companies with staff. This is a reasonable assumption as data from the </w:t>
      </w:r>
      <w:r w:rsidRPr="00F13055">
        <w:rPr>
          <w:rFonts w:cs="Arial"/>
          <w:sz w:val="22"/>
          <w:szCs w:val="22"/>
          <w:shd w:val="clear" w:color="auto" w:fill="FFFFFF"/>
        </w:rPr>
        <w:t>National Council for Voluntary Organisations</w:t>
      </w:r>
      <w:r w:rsidRPr="00F13055">
        <w:rPr>
          <w:rFonts w:cs="Arial"/>
          <w:sz w:val="22"/>
          <w:szCs w:val="22"/>
        </w:rPr>
        <w:t xml:space="preserve"> (NCVO) shows that the size distribution of general charities is skewed in a similar way to companies</w:t>
      </w:r>
      <w:r w:rsidRPr="00441AF5">
        <w:rPr>
          <w:rStyle w:val="FootnoteReference"/>
          <w:rFonts w:cs="Arial"/>
          <w:szCs w:val="22"/>
        </w:rPr>
        <w:footnoteReference w:id="110"/>
      </w:r>
      <w:r w:rsidRPr="00F13055">
        <w:rPr>
          <w:rFonts w:cs="Arial"/>
          <w:sz w:val="22"/>
          <w:szCs w:val="22"/>
        </w:rPr>
        <w:t xml:space="preserve">.  </w:t>
      </w:r>
    </w:p>
    <w:p w14:paraId="17999536" w14:textId="2CB6FFB3" w:rsidR="008B71E3" w:rsidRPr="00441AF5" w:rsidRDefault="008B71E3" w:rsidP="007335EA">
      <w:pPr>
        <w:pStyle w:val="ListParagraph"/>
        <w:numPr>
          <w:ilvl w:val="0"/>
          <w:numId w:val="20"/>
        </w:numPr>
        <w:spacing w:after="120" w:line="259" w:lineRule="auto"/>
        <w:ind w:left="1134" w:hanging="425"/>
        <w:contextualSpacing w:val="0"/>
        <w:jc w:val="both"/>
        <w:rPr>
          <w:rFonts w:cs="Arial"/>
          <w:sz w:val="22"/>
          <w:szCs w:val="22"/>
        </w:rPr>
      </w:pPr>
      <w:r w:rsidRPr="00441AF5">
        <w:rPr>
          <w:rFonts w:cs="Arial"/>
          <w:sz w:val="22"/>
          <w:szCs w:val="22"/>
        </w:rPr>
        <w:t>This means that using an entity-based definition are, the number of large non</w:t>
      </w:r>
      <w:r w:rsidR="00552A74" w:rsidRPr="00441AF5">
        <w:rPr>
          <w:rFonts w:cs="Arial"/>
          <w:sz w:val="22"/>
          <w:szCs w:val="22"/>
        </w:rPr>
        <w:t>-</w:t>
      </w:r>
      <w:r w:rsidRPr="00441AF5">
        <w:rPr>
          <w:rFonts w:cs="Arial"/>
          <w:sz w:val="22"/>
          <w:szCs w:val="22"/>
        </w:rPr>
        <w:t>commercial bodies in scope is 2,550, employing 1.3 million people.</w:t>
      </w:r>
    </w:p>
    <w:p w14:paraId="1D43074C" w14:textId="20CAD50E" w:rsidR="008B71E3" w:rsidRPr="00441AF5" w:rsidRDefault="008B71E3" w:rsidP="007335EA">
      <w:pPr>
        <w:pStyle w:val="ListParagraph"/>
        <w:numPr>
          <w:ilvl w:val="0"/>
          <w:numId w:val="20"/>
        </w:numPr>
        <w:spacing w:after="120" w:line="259" w:lineRule="auto"/>
        <w:ind w:left="1134" w:hanging="425"/>
        <w:contextualSpacing w:val="0"/>
        <w:jc w:val="both"/>
        <w:rPr>
          <w:rFonts w:cs="Arial"/>
          <w:sz w:val="22"/>
          <w:szCs w:val="22"/>
        </w:rPr>
      </w:pPr>
      <w:r w:rsidRPr="00441AF5">
        <w:rPr>
          <w:rFonts w:cs="Arial"/>
          <w:sz w:val="22"/>
          <w:szCs w:val="22"/>
        </w:rPr>
        <w:t xml:space="preserve">The total number of organisations in-scope was estimated by summing the number of large companies, partnerships and non-commercial bodies estimated above. </w:t>
      </w:r>
      <w:r w:rsidR="007C5DB5" w:rsidRPr="00441AF5">
        <w:rPr>
          <w:rFonts w:cs="Arial"/>
          <w:sz w:val="22"/>
          <w:szCs w:val="22"/>
        </w:rPr>
        <w:t>These yields</w:t>
      </w:r>
      <w:r w:rsidRPr="00441AF5">
        <w:rPr>
          <w:rFonts w:cs="Arial"/>
          <w:sz w:val="22"/>
          <w:szCs w:val="22"/>
        </w:rPr>
        <w:t>:</w:t>
      </w:r>
    </w:p>
    <w:p w14:paraId="59346D3C" w14:textId="51A1C41D" w:rsidR="008B71E3" w:rsidRPr="00441AF5" w:rsidRDefault="008B71E3" w:rsidP="007335EA">
      <w:pPr>
        <w:pStyle w:val="ListParagraph"/>
        <w:numPr>
          <w:ilvl w:val="0"/>
          <w:numId w:val="21"/>
        </w:numPr>
        <w:spacing w:after="120" w:line="259" w:lineRule="auto"/>
        <w:ind w:left="1701" w:hanging="425"/>
        <w:contextualSpacing w:val="0"/>
        <w:jc w:val="both"/>
        <w:rPr>
          <w:rFonts w:cs="Arial"/>
          <w:sz w:val="22"/>
          <w:szCs w:val="22"/>
        </w:rPr>
      </w:pPr>
      <w:r w:rsidRPr="00441AF5">
        <w:rPr>
          <w:rFonts w:cs="Arial"/>
          <w:sz w:val="22"/>
          <w:szCs w:val="22"/>
        </w:rPr>
        <w:t xml:space="preserve">Under the </w:t>
      </w:r>
      <w:r w:rsidR="00EF7385" w:rsidRPr="00441AF5">
        <w:rPr>
          <w:rFonts w:cs="Arial"/>
          <w:sz w:val="22"/>
          <w:szCs w:val="22"/>
        </w:rPr>
        <w:t>entity-based</w:t>
      </w:r>
      <w:r w:rsidRPr="00441AF5">
        <w:rPr>
          <w:rFonts w:cs="Arial"/>
          <w:sz w:val="22"/>
          <w:szCs w:val="22"/>
        </w:rPr>
        <w:t xml:space="preserve"> definition: 24,</w:t>
      </w:r>
      <w:r w:rsidR="00EF7385">
        <w:rPr>
          <w:rFonts w:cs="Arial"/>
          <w:sz w:val="22"/>
          <w:szCs w:val="22"/>
        </w:rPr>
        <w:t>888</w:t>
      </w:r>
      <w:r w:rsidRPr="00441AF5">
        <w:rPr>
          <w:rFonts w:cs="Arial"/>
          <w:sz w:val="22"/>
          <w:szCs w:val="22"/>
        </w:rPr>
        <w:t>.</w:t>
      </w:r>
    </w:p>
    <w:p w14:paraId="58657EB8" w14:textId="78422125" w:rsidR="008B71E3" w:rsidRDefault="008B71E3">
      <w:pPr>
        <w:rPr>
          <w:rFonts w:cs="Arial"/>
          <w:b/>
          <w:sz w:val="22"/>
          <w:szCs w:val="22"/>
        </w:rPr>
      </w:pPr>
    </w:p>
    <w:p w14:paraId="2371A7DB" w14:textId="550C8302" w:rsidR="00ED0276" w:rsidRPr="00441AF5" w:rsidRDefault="008036C3" w:rsidP="00C23109">
      <w:pPr>
        <w:spacing w:after="120" w:line="259" w:lineRule="auto"/>
        <w:ind w:left="567" w:hanging="567"/>
        <w:jc w:val="both"/>
        <w:rPr>
          <w:rFonts w:cs="Arial"/>
          <w:b/>
          <w:bCs/>
          <w:iCs/>
          <w:sz w:val="22"/>
          <w:szCs w:val="22"/>
        </w:rPr>
      </w:pPr>
      <w:r w:rsidRPr="00441AF5">
        <w:rPr>
          <w:rFonts w:cs="Arial"/>
          <w:b/>
          <w:bCs/>
          <w:iCs/>
          <w:sz w:val="22"/>
          <w:szCs w:val="22"/>
        </w:rPr>
        <w:t xml:space="preserve">Annex 2: </w:t>
      </w:r>
      <w:r w:rsidR="00CF4601" w:rsidRPr="00441AF5">
        <w:rPr>
          <w:rFonts w:cs="Arial"/>
          <w:b/>
          <w:bCs/>
          <w:iCs/>
          <w:sz w:val="22"/>
          <w:szCs w:val="22"/>
        </w:rPr>
        <w:t xml:space="preserve">Methodology used </w:t>
      </w:r>
      <w:r w:rsidR="00FF77F0" w:rsidRPr="00441AF5">
        <w:rPr>
          <w:rFonts w:cs="Arial"/>
          <w:b/>
          <w:bCs/>
          <w:iCs/>
          <w:sz w:val="22"/>
          <w:szCs w:val="22"/>
        </w:rPr>
        <w:t>to Calculate Costs</w:t>
      </w:r>
      <w:r w:rsidR="003D7113">
        <w:rPr>
          <w:rFonts w:cs="Arial"/>
          <w:b/>
          <w:bCs/>
          <w:iCs/>
          <w:sz w:val="22"/>
          <w:szCs w:val="22"/>
        </w:rPr>
        <w:t xml:space="preserve"> from proportion of firms who will have to implement new anti-fraud measures</w:t>
      </w:r>
      <w:r w:rsidR="00FF77F0" w:rsidRPr="00441AF5">
        <w:rPr>
          <w:rFonts w:cs="Arial"/>
          <w:b/>
          <w:bCs/>
          <w:iCs/>
          <w:sz w:val="22"/>
          <w:szCs w:val="22"/>
        </w:rPr>
        <w:t xml:space="preserve"> in Scenarios and in Sensitivity Analysis </w:t>
      </w:r>
      <w:r w:rsidRPr="00441AF5">
        <w:rPr>
          <w:rFonts w:cs="Arial"/>
          <w:b/>
          <w:bCs/>
          <w:iCs/>
          <w:sz w:val="22"/>
          <w:szCs w:val="22"/>
        </w:rPr>
        <w:t xml:space="preserve">  </w:t>
      </w:r>
    </w:p>
    <w:p w14:paraId="7CD9365A" w14:textId="3B820018" w:rsidR="00F13055" w:rsidRPr="00AD31B4" w:rsidRDefault="00FF77F0" w:rsidP="00C23109">
      <w:pPr>
        <w:pStyle w:val="ListParagraph"/>
        <w:numPr>
          <w:ilvl w:val="0"/>
          <w:numId w:val="7"/>
        </w:numPr>
        <w:spacing w:after="120" w:line="259" w:lineRule="auto"/>
        <w:ind w:left="567" w:hanging="567"/>
        <w:contextualSpacing w:val="0"/>
        <w:jc w:val="both"/>
        <w:rPr>
          <w:rFonts w:cs="Arial"/>
          <w:iCs/>
          <w:sz w:val="22"/>
          <w:szCs w:val="22"/>
        </w:rPr>
      </w:pPr>
      <w:r w:rsidRPr="00AD31B4">
        <w:rPr>
          <w:rFonts w:cs="Arial"/>
          <w:iCs/>
          <w:sz w:val="22"/>
          <w:szCs w:val="22"/>
        </w:rPr>
        <w:t xml:space="preserve">The calculation of the low, best/central and high scenarios </w:t>
      </w:r>
      <w:r w:rsidR="00FC4A13" w:rsidRPr="00AD31B4">
        <w:rPr>
          <w:rFonts w:cs="Arial"/>
          <w:iCs/>
          <w:sz w:val="22"/>
          <w:szCs w:val="22"/>
        </w:rPr>
        <w:t>follows an identical methodology to the sensitivity analysis</w:t>
      </w:r>
      <w:r w:rsidR="00A37E9D" w:rsidRPr="00AD31B4">
        <w:rPr>
          <w:rFonts w:cs="Arial"/>
          <w:iCs/>
          <w:sz w:val="22"/>
          <w:szCs w:val="22"/>
        </w:rPr>
        <w:t xml:space="preserve">. The scenarios use specific </w:t>
      </w:r>
      <w:r w:rsidR="00A7400F" w:rsidRPr="00AD31B4">
        <w:rPr>
          <w:rFonts w:cs="Arial"/>
          <w:iCs/>
          <w:sz w:val="22"/>
          <w:szCs w:val="22"/>
        </w:rPr>
        <w:t>proportions of firms having to implement new anti-fraud measures as a result of th</w:t>
      </w:r>
      <w:r w:rsidR="008E3A28">
        <w:rPr>
          <w:rFonts w:cs="Arial"/>
          <w:iCs/>
          <w:sz w:val="22"/>
          <w:szCs w:val="22"/>
        </w:rPr>
        <w:t>is</w:t>
      </w:r>
      <w:r w:rsidR="00A7400F" w:rsidRPr="00AD31B4">
        <w:rPr>
          <w:rFonts w:cs="Arial"/>
          <w:iCs/>
          <w:sz w:val="22"/>
          <w:szCs w:val="22"/>
        </w:rPr>
        <w:t xml:space="preserve"> legislation</w:t>
      </w:r>
      <w:r w:rsidR="00525B57" w:rsidRPr="00AD31B4">
        <w:rPr>
          <w:rFonts w:cs="Arial"/>
          <w:iCs/>
          <w:sz w:val="22"/>
          <w:szCs w:val="22"/>
        </w:rPr>
        <w:t xml:space="preserve">. Whilst </w:t>
      </w:r>
      <w:r w:rsidR="00A7400F" w:rsidRPr="00AD31B4">
        <w:rPr>
          <w:rFonts w:cs="Arial"/>
          <w:iCs/>
          <w:sz w:val="22"/>
          <w:szCs w:val="22"/>
        </w:rPr>
        <w:t xml:space="preserve">the sensitivity analysis </w:t>
      </w:r>
      <w:r w:rsidR="00525B57" w:rsidRPr="00AD31B4">
        <w:rPr>
          <w:rFonts w:cs="Arial"/>
          <w:iCs/>
          <w:sz w:val="22"/>
          <w:szCs w:val="22"/>
        </w:rPr>
        <w:t>es</w:t>
      </w:r>
      <w:r w:rsidR="009A6A8E" w:rsidRPr="00AD31B4">
        <w:rPr>
          <w:rFonts w:cs="Arial"/>
          <w:iCs/>
          <w:sz w:val="22"/>
          <w:szCs w:val="22"/>
        </w:rPr>
        <w:t>t</w:t>
      </w:r>
      <w:r w:rsidR="00525B57" w:rsidRPr="00AD31B4">
        <w:rPr>
          <w:rFonts w:cs="Arial"/>
          <w:iCs/>
          <w:sz w:val="22"/>
          <w:szCs w:val="22"/>
        </w:rPr>
        <w:t xml:space="preserve">imates the cost at intervals of 10 </w:t>
      </w:r>
      <w:r w:rsidR="003B0FF1" w:rsidRPr="00AD31B4">
        <w:rPr>
          <w:rFonts w:cs="Arial"/>
          <w:iCs/>
          <w:sz w:val="22"/>
          <w:szCs w:val="22"/>
        </w:rPr>
        <w:t>per cent</w:t>
      </w:r>
      <w:r w:rsidR="00525B57" w:rsidRPr="00AD31B4">
        <w:rPr>
          <w:rFonts w:cs="Arial"/>
          <w:iCs/>
          <w:sz w:val="22"/>
          <w:szCs w:val="22"/>
        </w:rPr>
        <w:t xml:space="preserve"> for the proportions of firms having to implement new anti-fraud measures as a result of th</w:t>
      </w:r>
      <w:r w:rsidR="008E3A28">
        <w:rPr>
          <w:rFonts w:cs="Arial"/>
          <w:iCs/>
          <w:sz w:val="22"/>
          <w:szCs w:val="22"/>
        </w:rPr>
        <w:t>is</w:t>
      </w:r>
      <w:r w:rsidR="00525B57" w:rsidRPr="00AD31B4">
        <w:rPr>
          <w:rFonts w:cs="Arial"/>
          <w:iCs/>
          <w:sz w:val="22"/>
          <w:szCs w:val="22"/>
        </w:rPr>
        <w:t xml:space="preserve"> legislation.</w:t>
      </w:r>
    </w:p>
    <w:p w14:paraId="552B6433" w14:textId="1E1F16F7" w:rsidR="00F13055" w:rsidRPr="00AD31B4" w:rsidRDefault="00580053" w:rsidP="00C23109">
      <w:pPr>
        <w:pStyle w:val="ListParagraph"/>
        <w:numPr>
          <w:ilvl w:val="0"/>
          <w:numId w:val="7"/>
        </w:numPr>
        <w:spacing w:after="120" w:line="259" w:lineRule="auto"/>
        <w:ind w:left="567" w:hanging="567"/>
        <w:contextualSpacing w:val="0"/>
        <w:jc w:val="both"/>
        <w:rPr>
          <w:sz w:val="22"/>
          <w:szCs w:val="22"/>
        </w:rPr>
      </w:pPr>
      <w:r w:rsidRPr="00AD31B4">
        <w:rPr>
          <w:sz w:val="22"/>
          <w:szCs w:val="22"/>
        </w:rPr>
        <w:t xml:space="preserve">Familiarisation and </w:t>
      </w:r>
      <w:r w:rsidR="00A231E8" w:rsidRPr="00AD31B4">
        <w:rPr>
          <w:sz w:val="22"/>
          <w:szCs w:val="22"/>
        </w:rPr>
        <w:t>r</w:t>
      </w:r>
      <w:r w:rsidRPr="00AD31B4">
        <w:rPr>
          <w:sz w:val="22"/>
          <w:szCs w:val="22"/>
        </w:rPr>
        <w:t xml:space="preserve">isk </w:t>
      </w:r>
      <w:r w:rsidR="00A231E8" w:rsidRPr="00AD31B4">
        <w:rPr>
          <w:sz w:val="22"/>
          <w:szCs w:val="22"/>
        </w:rPr>
        <w:t>a</w:t>
      </w:r>
      <w:r w:rsidRPr="00AD31B4">
        <w:rPr>
          <w:sz w:val="22"/>
          <w:szCs w:val="22"/>
        </w:rPr>
        <w:t xml:space="preserve">ssessment set up costs are assumed to apply across all companies who have to familiarise themselves with the regulation and conduct a risk assessment to assess whether current procedures are </w:t>
      </w:r>
      <w:r w:rsidR="00D35573" w:rsidRPr="00AD31B4">
        <w:rPr>
          <w:sz w:val="22"/>
          <w:szCs w:val="22"/>
        </w:rPr>
        <w:t>sufficient</w:t>
      </w:r>
      <w:r w:rsidRPr="00AD31B4">
        <w:rPr>
          <w:sz w:val="22"/>
          <w:szCs w:val="22"/>
        </w:rPr>
        <w:t>.</w:t>
      </w:r>
    </w:p>
    <w:p w14:paraId="251C026C" w14:textId="27202261" w:rsidR="00F13055" w:rsidRPr="00AD31B4" w:rsidRDefault="00580053" w:rsidP="00C23109">
      <w:pPr>
        <w:pStyle w:val="ListParagraph"/>
        <w:numPr>
          <w:ilvl w:val="0"/>
          <w:numId w:val="7"/>
        </w:numPr>
        <w:spacing w:after="120" w:line="259" w:lineRule="auto"/>
        <w:ind w:left="567" w:hanging="567"/>
        <w:contextualSpacing w:val="0"/>
        <w:jc w:val="both"/>
        <w:rPr>
          <w:sz w:val="22"/>
          <w:szCs w:val="22"/>
        </w:rPr>
      </w:pPr>
      <w:r w:rsidRPr="00AD31B4">
        <w:rPr>
          <w:sz w:val="22"/>
          <w:szCs w:val="22"/>
        </w:rPr>
        <w:t xml:space="preserve">Training and communication set-up costs alongside all on-going costs are then assumed only to be incurred when a company </w:t>
      </w:r>
      <w:r w:rsidR="00936559" w:rsidRPr="00AD31B4">
        <w:rPr>
          <w:sz w:val="22"/>
          <w:szCs w:val="22"/>
        </w:rPr>
        <w:t>decides</w:t>
      </w:r>
      <w:r w:rsidRPr="00AD31B4">
        <w:rPr>
          <w:sz w:val="22"/>
          <w:szCs w:val="22"/>
        </w:rPr>
        <w:t xml:space="preserve"> that current anti-fraud procedures are not </w:t>
      </w:r>
      <w:r w:rsidR="00D35573" w:rsidRPr="00AD31B4">
        <w:rPr>
          <w:sz w:val="22"/>
          <w:szCs w:val="22"/>
        </w:rPr>
        <w:t>sufficient</w:t>
      </w:r>
      <w:r w:rsidRPr="00AD31B4">
        <w:rPr>
          <w:sz w:val="22"/>
          <w:szCs w:val="22"/>
        </w:rPr>
        <w:t xml:space="preserve">. Such costs are calculated at intervals of 10 </w:t>
      </w:r>
      <w:r w:rsidR="004B6CDD" w:rsidRPr="00AD31B4">
        <w:rPr>
          <w:sz w:val="22"/>
          <w:szCs w:val="22"/>
        </w:rPr>
        <w:t>per cent</w:t>
      </w:r>
      <w:r w:rsidRPr="00AD31B4">
        <w:rPr>
          <w:sz w:val="22"/>
          <w:szCs w:val="22"/>
        </w:rPr>
        <w:t xml:space="preserve"> of the total number </w:t>
      </w:r>
      <w:r w:rsidR="00936559" w:rsidRPr="00AD31B4">
        <w:rPr>
          <w:sz w:val="22"/>
          <w:szCs w:val="22"/>
        </w:rPr>
        <w:t>organisations</w:t>
      </w:r>
      <w:r w:rsidRPr="00AD31B4">
        <w:rPr>
          <w:sz w:val="22"/>
          <w:szCs w:val="22"/>
        </w:rPr>
        <w:t xml:space="preserve"> in scope. From 0</w:t>
      </w:r>
      <w:r w:rsidR="004B6CDD" w:rsidRPr="00AD31B4">
        <w:rPr>
          <w:sz w:val="22"/>
          <w:szCs w:val="22"/>
        </w:rPr>
        <w:t xml:space="preserve"> per cent </w:t>
      </w:r>
      <w:r w:rsidRPr="00AD31B4">
        <w:rPr>
          <w:sz w:val="22"/>
          <w:szCs w:val="22"/>
        </w:rPr>
        <w:t>- whereby no organisations in scope need to implement any further procedures, to 100</w:t>
      </w:r>
      <w:r w:rsidR="004B6CDD" w:rsidRPr="00AD31B4">
        <w:rPr>
          <w:sz w:val="22"/>
          <w:szCs w:val="22"/>
        </w:rPr>
        <w:t xml:space="preserve"> per cent</w:t>
      </w:r>
      <w:r w:rsidRPr="00AD31B4">
        <w:rPr>
          <w:sz w:val="22"/>
          <w:szCs w:val="22"/>
        </w:rPr>
        <w:t xml:space="preserve"> - where all organisations in scope need to implement new procedures. This is the policy’s high estimate. </w:t>
      </w:r>
    </w:p>
    <w:p w14:paraId="5B8473B8" w14:textId="46BEC3FE" w:rsidR="00580053" w:rsidRPr="00AD31B4" w:rsidRDefault="00580053" w:rsidP="00C23109">
      <w:pPr>
        <w:pStyle w:val="ListParagraph"/>
        <w:numPr>
          <w:ilvl w:val="0"/>
          <w:numId w:val="7"/>
        </w:numPr>
        <w:spacing w:after="120" w:line="259" w:lineRule="auto"/>
        <w:ind w:left="567" w:hanging="567"/>
        <w:contextualSpacing w:val="0"/>
        <w:jc w:val="both"/>
        <w:rPr>
          <w:sz w:val="22"/>
          <w:szCs w:val="22"/>
        </w:rPr>
      </w:pPr>
      <w:r w:rsidRPr="00AD31B4">
        <w:rPr>
          <w:sz w:val="22"/>
          <w:szCs w:val="22"/>
        </w:rPr>
        <w:t xml:space="preserve">The </w:t>
      </w:r>
      <w:r w:rsidR="00936559" w:rsidRPr="00AD31B4">
        <w:rPr>
          <w:sz w:val="22"/>
          <w:szCs w:val="22"/>
        </w:rPr>
        <w:t>familiarisation</w:t>
      </w:r>
      <w:r w:rsidRPr="00AD31B4">
        <w:rPr>
          <w:sz w:val="22"/>
          <w:szCs w:val="22"/>
        </w:rPr>
        <w:t xml:space="preserve"> and risk assessment costs which are uniform for each interval were then added to the training, communication and on-going costs for each interval to produce a total cost estimates </w:t>
      </w:r>
      <w:r w:rsidRPr="00AD31B4">
        <w:rPr>
          <w:sz w:val="22"/>
          <w:szCs w:val="22"/>
        </w:rPr>
        <w:lastRenderedPageBreak/>
        <w:t xml:space="preserve">for each interval for the proportion of organisations that need to implement procedures to prevent employees committing fraud.  </w:t>
      </w:r>
    </w:p>
    <w:p w14:paraId="706EB68A" w14:textId="05B50741" w:rsidR="00B04B8D" w:rsidRPr="00441AF5" w:rsidRDefault="00B04B8D" w:rsidP="00C23109">
      <w:pPr>
        <w:pStyle w:val="EBBullet"/>
        <w:numPr>
          <w:ilvl w:val="0"/>
          <w:numId w:val="0"/>
        </w:numPr>
        <w:spacing w:line="259" w:lineRule="auto"/>
        <w:jc w:val="both"/>
        <w:rPr>
          <w:b/>
          <w:bCs w:val="0"/>
          <w:iCs/>
          <w:color w:val="auto"/>
        </w:rPr>
      </w:pPr>
      <w:r w:rsidRPr="00441AF5">
        <w:rPr>
          <w:b/>
          <w:bCs w:val="0"/>
          <w:iCs/>
          <w:color w:val="auto"/>
        </w:rPr>
        <w:t xml:space="preserve">Annex </w:t>
      </w:r>
      <w:r w:rsidR="008036C3" w:rsidRPr="00441AF5">
        <w:rPr>
          <w:b/>
          <w:bCs w:val="0"/>
          <w:iCs/>
          <w:color w:val="auto"/>
        </w:rPr>
        <w:t>3</w:t>
      </w:r>
      <w:r w:rsidRPr="00441AF5">
        <w:rPr>
          <w:b/>
          <w:bCs w:val="0"/>
          <w:iCs/>
          <w:color w:val="auto"/>
        </w:rPr>
        <w:t xml:space="preserve">: Organisations covered by failure to prevent fraud offence and whether in scope of better regulation framework </w:t>
      </w:r>
      <w:r w:rsidR="001B3C0A">
        <w:rPr>
          <w:b/>
          <w:bCs w:val="0"/>
          <w:iCs/>
          <w:color w:val="auto"/>
        </w:rPr>
        <w:t>(</w:t>
      </w:r>
      <w:r w:rsidRPr="00441AF5">
        <w:rPr>
          <w:b/>
          <w:bCs w:val="0"/>
          <w:iCs/>
          <w:color w:val="auto"/>
        </w:rPr>
        <w:t>BRF)</w:t>
      </w:r>
    </w:p>
    <w:p w14:paraId="0EF17D28" w14:textId="527AA2E6" w:rsidR="00FB37DA" w:rsidRPr="00441AF5" w:rsidRDefault="00FB37DA" w:rsidP="00C23109">
      <w:pPr>
        <w:spacing w:after="120" w:line="259" w:lineRule="auto"/>
        <w:ind w:left="567"/>
        <w:jc w:val="both"/>
        <w:rPr>
          <w:rFonts w:cs="Arial"/>
          <w:sz w:val="22"/>
          <w:szCs w:val="22"/>
        </w:rPr>
      </w:pPr>
      <w:r w:rsidRPr="00441AF5">
        <w:rPr>
          <w:rFonts w:cs="Arial"/>
          <w:b/>
          <w:bCs/>
          <w:sz w:val="22"/>
          <w:szCs w:val="22"/>
          <w:lang w:eastAsia="en-GB"/>
        </w:rPr>
        <w:t>Table A.</w:t>
      </w:r>
      <w:r w:rsidR="00AB4D6E">
        <w:rPr>
          <w:rFonts w:cs="Arial"/>
          <w:b/>
          <w:bCs/>
          <w:sz w:val="22"/>
          <w:szCs w:val="22"/>
          <w:lang w:eastAsia="en-GB"/>
        </w:rPr>
        <w:t>4</w:t>
      </w:r>
      <w:r w:rsidRPr="00441AF5">
        <w:rPr>
          <w:rFonts w:cs="Arial"/>
          <w:b/>
          <w:bCs/>
          <w:sz w:val="22"/>
          <w:szCs w:val="22"/>
          <w:lang w:eastAsia="en-GB"/>
        </w:rPr>
        <w:t>, Organisations covered by FTPF and whether in scope of BRF, 2022.</w:t>
      </w:r>
    </w:p>
    <w:tbl>
      <w:tblPr>
        <w:tblStyle w:val="TableGrid"/>
        <w:tblW w:w="9634" w:type="dxa"/>
        <w:tblInd w:w="567" w:type="dxa"/>
        <w:tblCellMar>
          <w:left w:w="57" w:type="dxa"/>
          <w:right w:w="57" w:type="dxa"/>
        </w:tblCellMar>
        <w:tblLook w:val="04A0" w:firstRow="1" w:lastRow="0" w:firstColumn="1" w:lastColumn="0" w:noHBand="0" w:noVBand="1"/>
      </w:tblPr>
      <w:tblGrid>
        <w:gridCol w:w="3823"/>
        <w:gridCol w:w="4110"/>
        <w:gridCol w:w="1701"/>
      </w:tblGrid>
      <w:tr w:rsidR="001D081D" w:rsidRPr="001D081D" w14:paraId="0B3BF54F" w14:textId="77777777" w:rsidTr="004E31DD">
        <w:trPr>
          <w:tblHeader/>
        </w:trPr>
        <w:tc>
          <w:tcPr>
            <w:tcW w:w="3823" w:type="dxa"/>
          </w:tcPr>
          <w:p w14:paraId="1FFBCA98" w14:textId="77777777" w:rsidR="00B04B8D" w:rsidRPr="00441AF5" w:rsidRDefault="00B04B8D" w:rsidP="00B04B8D">
            <w:pPr>
              <w:spacing w:before="40" w:after="40"/>
              <w:jc w:val="both"/>
              <w:rPr>
                <w:rFonts w:cs="Arial"/>
                <w:b/>
                <w:sz w:val="22"/>
                <w:szCs w:val="22"/>
              </w:rPr>
            </w:pPr>
            <w:r w:rsidRPr="00441AF5">
              <w:rPr>
                <w:rFonts w:cs="Arial"/>
                <w:b/>
                <w:sz w:val="22"/>
                <w:szCs w:val="22"/>
              </w:rPr>
              <w:t>Entity</w:t>
            </w:r>
          </w:p>
        </w:tc>
        <w:tc>
          <w:tcPr>
            <w:tcW w:w="4110" w:type="dxa"/>
          </w:tcPr>
          <w:p w14:paraId="1997E1B8" w14:textId="77777777" w:rsidR="00B04B8D" w:rsidRPr="00441AF5" w:rsidRDefault="00B04B8D" w:rsidP="00B04B8D">
            <w:pPr>
              <w:spacing w:before="40" w:after="40"/>
              <w:rPr>
                <w:rFonts w:cs="Arial"/>
                <w:b/>
                <w:sz w:val="22"/>
                <w:szCs w:val="22"/>
              </w:rPr>
            </w:pPr>
            <w:r w:rsidRPr="00441AF5">
              <w:rPr>
                <w:rFonts w:cs="Arial"/>
                <w:b/>
                <w:sz w:val="22"/>
                <w:szCs w:val="22"/>
              </w:rPr>
              <w:t>Incorporated and therefore within scope of FTP Fraud?</w:t>
            </w:r>
          </w:p>
        </w:tc>
        <w:tc>
          <w:tcPr>
            <w:tcW w:w="1701" w:type="dxa"/>
          </w:tcPr>
          <w:p w14:paraId="72BB01AB" w14:textId="4A6DEE3C" w:rsidR="00B04B8D" w:rsidRPr="00441AF5" w:rsidRDefault="00B04B8D" w:rsidP="00A9456A">
            <w:pPr>
              <w:spacing w:before="40" w:after="40"/>
              <w:ind w:right="91"/>
              <w:jc w:val="right"/>
              <w:rPr>
                <w:rFonts w:cs="Arial"/>
                <w:b/>
                <w:sz w:val="22"/>
                <w:szCs w:val="22"/>
              </w:rPr>
            </w:pPr>
            <w:r w:rsidRPr="00441AF5">
              <w:rPr>
                <w:rFonts w:cs="Arial"/>
                <w:b/>
                <w:sz w:val="22"/>
                <w:szCs w:val="22"/>
              </w:rPr>
              <w:t>In scope BRF</w:t>
            </w:r>
          </w:p>
        </w:tc>
      </w:tr>
      <w:tr w:rsidR="001D081D" w:rsidRPr="001D081D" w14:paraId="45E0800D" w14:textId="77777777" w:rsidTr="004E31DD">
        <w:tc>
          <w:tcPr>
            <w:tcW w:w="3823" w:type="dxa"/>
            <w:vAlign w:val="center"/>
          </w:tcPr>
          <w:p w14:paraId="163E98AA" w14:textId="77777777" w:rsidR="00B04B8D" w:rsidRPr="00441AF5" w:rsidRDefault="00B04B8D" w:rsidP="00CD5B6E">
            <w:pPr>
              <w:spacing w:before="40" w:after="40"/>
              <w:rPr>
                <w:rFonts w:cs="Arial"/>
                <w:sz w:val="22"/>
                <w:szCs w:val="22"/>
              </w:rPr>
            </w:pPr>
            <w:r w:rsidRPr="00441AF5">
              <w:rPr>
                <w:rFonts w:cs="Arial"/>
                <w:sz w:val="22"/>
                <w:szCs w:val="22"/>
              </w:rPr>
              <w:t>Companies limited by shares, LLPs, ordinary partnerships</w:t>
            </w:r>
          </w:p>
        </w:tc>
        <w:tc>
          <w:tcPr>
            <w:tcW w:w="4110" w:type="dxa"/>
            <w:vAlign w:val="center"/>
          </w:tcPr>
          <w:p w14:paraId="7A7377BD" w14:textId="2F7CCFDD" w:rsidR="00B04B8D" w:rsidRPr="00441AF5" w:rsidRDefault="00B04B8D" w:rsidP="00A07C1F">
            <w:pPr>
              <w:spacing w:before="40" w:after="40"/>
              <w:rPr>
                <w:rFonts w:cs="Arial"/>
                <w:sz w:val="22"/>
                <w:szCs w:val="22"/>
              </w:rPr>
            </w:pPr>
            <w:r w:rsidRPr="00441AF5">
              <w:rPr>
                <w:rFonts w:cs="Arial"/>
                <w:sz w:val="22"/>
                <w:szCs w:val="22"/>
              </w:rPr>
              <w:t>Yes, CA 2006 or other</w:t>
            </w:r>
          </w:p>
        </w:tc>
        <w:tc>
          <w:tcPr>
            <w:tcW w:w="1701" w:type="dxa"/>
            <w:vAlign w:val="center"/>
          </w:tcPr>
          <w:p w14:paraId="3AC58087" w14:textId="77777777" w:rsidR="00B04B8D" w:rsidRPr="00441AF5" w:rsidRDefault="00B04B8D" w:rsidP="00A9456A">
            <w:pPr>
              <w:spacing w:before="40" w:after="40"/>
              <w:ind w:right="91"/>
              <w:jc w:val="right"/>
              <w:rPr>
                <w:rFonts w:cs="Arial"/>
                <w:sz w:val="22"/>
                <w:szCs w:val="22"/>
              </w:rPr>
            </w:pPr>
            <w:r w:rsidRPr="00441AF5">
              <w:rPr>
                <w:rFonts w:cs="Arial"/>
                <w:sz w:val="22"/>
                <w:szCs w:val="22"/>
              </w:rPr>
              <w:t>Yes</w:t>
            </w:r>
          </w:p>
        </w:tc>
      </w:tr>
      <w:tr w:rsidR="001D081D" w:rsidRPr="001D081D" w14:paraId="132AE8A1" w14:textId="77777777" w:rsidTr="004E31DD">
        <w:tc>
          <w:tcPr>
            <w:tcW w:w="3823" w:type="dxa"/>
            <w:vAlign w:val="center"/>
          </w:tcPr>
          <w:p w14:paraId="509D57BA" w14:textId="77777777" w:rsidR="00B04B8D" w:rsidRPr="00441AF5" w:rsidRDefault="00B04B8D" w:rsidP="00CD5B6E">
            <w:pPr>
              <w:spacing w:before="40" w:after="40"/>
              <w:rPr>
                <w:rFonts w:cs="Arial"/>
                <w:sz w:val="22"/>
                <w:szCs w:val="22"/>
              </w:rPr>
            </w:pPr>
            <w:r w:rsidRPr="00441AF5">
              <w:rPr>
                <w:rFonts w:cs="Arial"/>
                <w:sz w:val="22"/>
                <w:szCs w:val="22"/>
              </w:rPr>
              <w:t>Companies limited by guarantee (CLG)</w:t>
            </w:r>
          </w:p>
        </w:tc>
        <w:tc>
          <w:tcPr>
            <w:tcW w:w="4110" w:type="dxa"/>
            <w:vAlign w:val="center"/>
          </w:tcPr>
          <w:p w14:paraId="3F3B4EB7" w14:textId="16961DF8" w:rsidR="00B04B8D" w:rsidRPr="00441AF5" w:rsidRDefault="00B04B8D" w:rsidP="00A07C1F">
            <w:pPr>
              <w:spacing w:before="40" w:after="40"/>
              <w:rPr>
                <w:rFonts w:cs="Arial"/>
                <w:sz w:val="22"/>
                <w:szCs w:val="22"/>
              </w:rPr>
            </w:pPr>
            <w:r w:rsidRPr="00441AF5">
              <w:rPr>
                <w:rFonts w:cs="Arial"/>
                <w:sz w:val="22"/>
                <w:szCs w:val="22"/>
              </w:rPr>
              <w:t>Yes, CA 2006</w:t>
            </w:r>
          </w:p>
        </w:tc>
        <w:tc>
          <w:tcPr>
            <w:tcW w:w="1701" w:type="dxa"/>
            <w:vAlign w:val="center"/>
          </w:tcPr>
          <w:p w14:paraId="61479BA5" w14:textId="77777777" w:rsidR="00B04B8D" w:rsidRPr="00441AF5" w:rsidRDefault="00B04B8D" w:rsidP="00A9456A">
            <w:pPr>
              <w:spacing w:before="40" w:after="40"/>
              <w:ind w:right="91"/>
              <w:jc w:val="right"/>
              <w:rPr>
                <w:rFonts w:cs="Arial"/>
                <w:sz w:val="22"/>
                <w:szCs w:val="22"/>
              </w:rPr>
            </w:pPr>
            <w:r w:rsidRPr="00441AF5">
              <w:rPr>
                <w:rFonts w:cs="Arial"/>
                <w:sz w:val="22"/>
                <w:szCs w:val="22"/>
              </w:rPr>
              <w:t>Yes</w:t>
            </w:r>
          </w:p>
        </w:tc>
      </w:tr>
      <w:tr w:rsidR="001D081D" w:rsidRPr="001D081D" w14:paraId="099A6AA3" w14:textId="77777777" w:rsidTr="004E31DD">
        <w:tc>
          <w:tcPr>
            <w:tcW w:w="3823" w:type="dxa"/>
            <w:vAlign w:val="center"/>
          </w:tcPr>
          <w:p w14:paraId="702B1A3D" w14:textId="77777777" w:rsidR="00B04B8D" w:rsidRPr="00441AF5" w:rsidRDefault="00B04B8D" w:rsidP="00CD5B6E">
            <w:pPr>
              <w:spacing w:before="40" w:after="40"/>
              <w:rPr>
                <w:rFonts w:cs="Arial"/>
                <w:sz w:val="22"/>
                <w:szCs w:val="22"/>
              </w:rPr>
            </w:pPr>
            <w:r w:rsidRPr="00441AF5">
              <w:rPr>
                <w:rFonts w:cs="Arial"/>
                <w:sz w:val="22"/>
                <w:szCs w:val="22"/>
              </w:rPr>
              <w:t>Community Interest Companies (CIC)</w:t>
            </w:r>
          </w:p>
        </w:tc>
        <w:tc>
          <w:tcPr>
            <w:tcW w:w="4110" w:type="dxa"/>
            <w:vAlign w:val="center"/>
          </w:tcPr>
          <w:p w14:paraId="409A8761" w14:textId="77777777" w:rsidR="00B04B8D" w:rsidRPr="00441AF5" w:rsidRDefault="00B04B8D" w:rsidP="00A07C1F">
            <w:pPr>
              <w:spacing w:before="40" w:after="40"/>
              <w:rPr>
                <w:rFonts w:cs="Arial"/>
                <w:sz w:val="22"/>
                <w:szCs w:val="22"/>
              </w:rPr>
            </w:pPr>
            <w:r w:rsidRPr="00441AF5">
              <w:rPr>
                <w:rFonts w:cs="Arial"/>
                <w:sz w:val="22"/>
                <w:szCs w:val="22"/>
              </w:rPr>
              <w:t>Yes, CICs are companies for community causes and are incorporated as other companies</w:t>
            </w:r>
            <w:r w:rsidRPr="00441AF5">
              <w:rPr>
                <w:rStyle w:val="FootnoteReference"/>
                <w:rFonts w:eastAsia="SimSun" w:cs="Arial"/>
                <w:szCs w:val="22"/>
              </w:rPr>
              <w:footnoteReference w:id="111"/>
            </w:r>
            <w:r w:rsidRPr="00441AF5">
              <w:rPr>
                <w:rFonts w:cs="Arial"/>
                <w:sz w:val="22"/>
                <w:szCs w:val="22"/>
              </w:rPr>
              <w:t xml:space="preserve"> </w:t>
            </w:r>
          </w:p>
        </w:tc>
        <w:tc>
          <w:tcPr>
            <w:tcW w:w="1701" w:type="dxa"/>
            <w:vAlign w:val="center"/>
          </w:tcPr>
          <w:p w14:paraId="03485967" w14:textId="77777777" w:rsidR="00B04B8D" w:rsidRPr="00441AF5" w:rsidRDefault="00B04B8D" w:rsidP="00A9456A">
            <w:pPr>
              <w:spacing w:before="40" w:after="40"/>
              <w:ind w:right="91"/>
              <w:jc w:val="right"/>
              <w:rPr>
                <w:rFonts w:cs="Arial"/>
                <w:sz w:val="22"/>
                <w:szCs w:val="22"/>
              </w:rPr>
            </w:pPr>
            <w:r w:rsidRPr="00441AF5">
              <w:rPr>
                <w:rFonts w:cs="Arial"/>
                <w:sz w:val="22"/>
                <w:szCs w:val="22"/>
              </w:rPr>
              <w:t>Yes</w:t>
            </w:r>
          </w:p>
        </w:tc>
      </w:tr>
      <w:tr w:rsidR="001D081D" w:rsidRPr="001D081D" w14:paraId="20409A8D" w14:textId="77777777" w:rsidTr="004E31DD">
        <w:tc>
          <w:tcPr>
            <w:tcW w:w="3823" w:type="dxa"/>
            <w:vAlign w:val="center"/>
          </w:tcPr>
          <w:p w14:paraId="03F994C3" w14:textId="77777777" w:rsidR="00B04B8D" w:rsidRPr="00441AF5" w:rsidRDefault="00B04B8D" w:rsidP="00CD5B6E">
            <w:pPr>
              <w:spacing w:before="40" w:after="40"/>
              <w:rPr>
                <w:rFonts w:cs="Arial"/>
                <w:sz w:val="22"/>
                <w:szCs w:val="22"/>
              </w:rPr>
            </w:pPr>
            <w:r w:rsidRPr="00441AF5">
              <w:rPr>
                <w:rFonts w:cs="Arial"/>
                <w:sz w:val="22"/>
                <w:szCs w:val="22"/>
              </w:rPr>
              <w:t>Registered Societies</w:t>
            </w:r>
          </w:p>
        </w:tc>
        <w:tc>
          <w:tcPr>
            <w:tcW w:w="4110" w:type="dxa"/>
            <w:vAlign w:val="center"/>
          </w:tcPr>
          <w:p w14:paraId="18CCA106" w14:textId="77777777" w:rsidR="00B04B8D" w:rsidRPr="00441AF5" w:rsidRDefault="00B04B8D" w:rsidP="00A07C1F">
            <w:pPr>
              <w:spacing w:before="40" w:after="40"/>
              <w:rPr>
                <w:rFonts w:cs="Arial"/>
                <w:sz w:val="22"/>
                <w:szCs w:val="22"/>
              </w:rPr>
            </w:pPr>
            <w:r w:rsidRPr="00441AF5">
              <w:rPr>
                <w:rFonts w:cs="Arial"/>
                <w:sz w:val="22"/>
                <w:szCs w:val="22"/>
              </w:rPr>
              <w:t>Yes</w:t>
            </w:r>
            <w:r w:rsidRPr="00441AF5">
              <w:rPr>
                <w:rStyle w:val="FootnoteReference"/>
                <w:rFonts w:eastAsia="SimSun" w:cs="Arial"/>
                <w:szCs w:val="22"/>
              </w:rPr>
              <w:footnoteReference w:id="112"/>
            </w:r>
          </w:p>
        </w:tc>
        <w:tc>
          <w:tcPr>
            <w:tcW w:w="1701" w:type="dxa"/>
            <w:vAlign w:val="center"/>
          </w:tcPr>
          <w:p w14:paraId="7D4A237E" w14:textId="77777777" w:rsidR="00B04B8D" w:rsidRPr="00441AF5" w:rsidRDefault="00B04B8D" w:rsidP="00A9456A">
            <w:pPr>
              <w:spacing w:before="40" w:after="40"/>
              <w:ind w:right="91"/>
              <w:jc w:val="right"/>
              <w:rPr>
                <w:rFonts w:cs="Arial"/>
                <w:sz w:val="22"/>
                <w:szCs w:val="22"/>
              </w:rPr>
            </w:pPr>
            <w:r w:rsidRPr="00441AF5">
              <w:rPr>
                <w:rFonts w:cs="Arial"/>
                <w:sz w:val="22"/>
                <w:szCs w:val="22"/>
              </w:rPr>
              <w:t>Yes</w:t>
            </w:r>
          </w:p>
        </w:tc>
      </w:tr>
      <w:tr w:rsidR="001D081D" w:rsidRPr="001D081D" w14:paraId="1902F2E6" w14:textId="77777777" w:rsidTr="004E31DD">
        <w:tc>
          <w:tcPr>
            <w:tcW w:w="3823" w:type="dxa"/>
            <w:vAlign w:val="center"/>
          </w:tcPr>
          <w:p w14:paraId="6975DDC6" w14:textId="77777777" w:rsidR="00B04B8D" w:rsidRPr="00441AF5" w:rsidRDefault="00B04B8D" w:rsidP="00CD5B6E">
            <w:pPr>
              <w:spacing w:before="40" w:after="40"/>
              <w:rPr>
                <w:rFonts w:cs="Arial"/>
                <w:sz w:val="22"/>
                <w:szCs w:val="22"/>
              </w:rPr>
            </w:pPr>
            <w:r w:rsidRPr="00441AF5">
              <w:rPr>
                <w:rFonts w:cs="Arial"/>
                <w:sz w:val="22"/>
                <w:szCs w:val="22"/>
              </w:rPr>
              <w:t>Industrial and Provident Societies</w:t>
            </w:r>
          </w:p>
        </w:tc>
        <w:tc>
          <w:tcPr>
            <w:tcW w:w="4110" w:type="dxa"/>
            <w:vAlign w:val="center"/>
          </w:tcPr>
          <w:p w14:paraId="0A0F738D" w14:textId="51EB8283" w:rsidR="00B04B8D" w:rsidRPr="00441AF5" w:rsidRDefault="00B04B8D" w:rsidP="00A07C1F">
            <w:pPr>
              <w:spacing w:before="40" w:after="40"/>
              <w:rPr>
                <w:rFonts w:cs="Arial"/>
                <w:sz w:val="22"/>
                <w:szCs w:val="22"/>
              </w:rPr>
            </w:pPr>
            <w:r w:rsidRPr="00441AF5">
              <w:rPr>
                <w:rFonts w:cs="Arial"/>
                <w:sz w:val="22"/>
                <w:szCs w:val="22"/>
              </w:rPr>
              <w:t>Yes</w:t>
            </w:r>
            <w:r w:rsidRPr="00441AF5">
              <w:rPr>
                <w:rStyle w:val="FootnoteReference"/>
                <w:rFonts w:eastAsia="SimSun" w:cs="Arial"/>
                <w:szCs w:val="22"/>
              </w:rPr>
              <w:footnoteReference w:id="113"/>
            </w:r>
            <w:r w:rsidRPr="00441AF5">
              <w:rPr>
                <w:rFonts w:cs="Arial"/>
                <w:sz w:val="22"/>
                <w:szCs w:val="22"/>
              </w:rPr>
              <w:t xml:space="preserve">  </w:t>
            </w:r>
          </w:p>
        </w:tc>
        <w:tc>
          <w:tcPr>
            <w:tcW w:w="1701" w:type="dxa"/>
            <w:vAlign w:val="center"/>
          </w:tcPr>
          <w:p w14:paraId="0DD0A97E" w14:textId="77777777" w:rsidR="00B04B8D" w:rsidRPr="00441AF5" w:rsidRDefault="00B04B8D" w:rsidP="00A9456A">
            <w:pPr>
              <w:spacing w:before="40" w:after="40"/>
              <w:ind w:right="91"/>
              <w:jc w:val="right"/>
              <w:rPr>
                <w:rFonts w:cs="Arial"/>
                <w:sz w:val="22"/>
                <w:szCs w:val="22"/>
              </w:rPr>
            </w:pPr>
            <w:r w:rsidRPr="00441AF5">
              <w:rPr>
                <w:rFonts w:cs="Arial"/>
                <w:sz w:val="22"/>
                <w:szCs w:val="22"/>
              </w:rPr>
              <w:t>Yes</w:t>
            </w:r>
          </w:p>
        </w:tc>
      </w:tr>
      <w:tr w:rsidR="001D081D" w:rsidRPr="001D081D" w14:paraId="0C7559EE" w14:textId="77777777" w:rsidTr="004E31DD">
        <w:tc>
          <w:tcPr>
            <w:tcW w:w="3823" w:type="dxa"/>
            <w:vAlign w:val="center"/>
          </w:tcPr>
          <w:p w14:paraId="212D2BA0" w14:textId="77777777" w:rsidR="00B04B8D" w:rsidRPr="00441AF5" w:rsidRDefault="00B04B8D" w:rsidP="00CD5B6E">
            <w:pPr>
              <w:spacing w:before="40" w:after="40"/>
              <w:rPr>
                <w:rFonts w:cs="Arial"/>
                <w:sz w:val="22"/>
                <w:szCs w:val="22"/>
              </w:rPr>
            </w:pPr>
            <w:r w:rsidRPr="00441AF5">
              <w:rPr>
                <w:rFonts w:cs="Arial"/>
                <w:sz w:val="22"/>
                <w:szCs w:val="22"/>
              </w:rPr>
              <w:t>Charitable Incorporated Organisation, including Scottish Charitable Incorporated Organisation</w:t>
            </w:r>
          </w:p>
        </w:tc>
        <w:tc>
          <w:tcPr>
            <w:tcW w:w="4110" w:type="dxa"/>
            <w:vAlign w:val="center"/>
          </w:tcPr>
          <w:p w14:paraId="5CEF4E96" w14:textId="7480F34C" w:rsidR="00B04B8D" w:rsidRPr="00441AF5" w:rsidRDefault="00B04B8D" w:rsidP="00A07C1F">
            <w:pPr>
              <w:spacing w:before="40" w:after="40"/>
              <w:rPr>
                <w:rFonts w:cs="Arial"/>
                <w:sz w:val="22"/>
                <w:szCs w:val="22"/>
              </w:rPr>
            </w:pPr>
            <w:r w:rsidRPr="00441AF5">
              <w:rPr>
                <w:rFonts w:cs="Arial"/>
                <w:sz w:val="22"/>
                <w:szCs w:val="22"/>
              </w:rPr>
              <w:t>Yes, but non-CA 2006.</w:t>
            </w:r>
          </w:p>
        </w:tc>
        <w:tc>
          <w:tcPr>
            <w:tcW w:w="1701" w:type="dxa"/>
            <w:vAlign w:val="center"/>
          </w:tcPr>
          <w:p w14:paraId="63A6AE30" w14:textId="77777777" w:rsidR="00B04B8D" w:rsidRPr="00441AF5" w:rsidRDefault="00B04B8D" w:rsidP="00A9456A">
            <w:pPr>
              <w:spacing w:before="40" w:after="40"/>
              <w:ind w:right="91"/>
              <w:jc w:val="right"/>
              <w:rPr>
                <w:rFonts w:cs="Arial"/>
                <w:sz w:val="22"/>
                <w:szCs w:val="22"/>
              </w:rPr>
            </w:pPr>
            <w:r w:rsidRPr="00441AF5">
              <w:rPr>
                <w:rFonts w:cs="Arial"/>
                <w:sz w:val="22"/>
                <w:szCs w:val="22"/>
              </w:rPr>
              <w:t>Yes</w:t>
            </w:r>
          </w:p>
        </w:tc>
      </w:tr>
      <w:tr w:rsidR="001D081D" w:rsidRPr="001D081D" w14:paraId="7266F322" w14:textId="77777777" w:rsidTr="004E31DD">
        <w:tc>
          <w:tcPr>
            <w:tcW w:w="3823" w:type="dxa"/>
            <w:vAlign w:val="center"/>
          </w:tcPr>
          <w:p w14:paraId="0D07C7EC" w14:textId="77777777" w:rsidR="00B04B8D" w:rsidRPr="00441AF5" w:rsidRDefault="00B04B8D" w:rsidP="00CD5B6E">
            <w:pPr>
              <w:spacing w:before="40" w:after="40"/>
              <w:rPr>
                <w:rFonts w:cs="Arial"/>
                <w:sz w:val="22"/>
                <w:szCs w:val="22"/>
              </w:rPr>
            </w:pPr>
            <w:r w:rsidRPr="00441AF5">
              <w:rPr>
                <w:rFonts w:cs="Arial"/>
                <w:sz w:val="22"/>
                <w:szCs w:val="22"/>
              </w:rPr>
              <w:t>Local Authorities</w:t>
            </w:r>
          </w:p>
        </w:tc>
        <w:tc>
          <w:tcPr>
            <w:tcW w:w="4110" w:type="dxa"/>
            <w:vAlign w:val="center"/>
          </w:tcPr>
          <w:p w14:paraId="7E8D4EA5" w14:textId="77777777" w:rsidR="00B04B8D" w:rsidRPr="00441AF5" w:rsidRDefault="00B04B8D" w:rsidP="00A07C1F">
            <w:pPr>
              <w:spacing w:before="40" w:after="40"/>
              <w:rPr>
                <w:rFonts w:cs="Arial"/>
                <w:sz w:val="22"/>
                <w:szCs w:val="22"/>
              </w:rPr>
            </w:pPr>
            <w:r w:rsidRPr="00441AF5">
              <w:rPr>
                <w:rFonts w:cs="Arial"/>
                <w:sz w:val="22"/>
                <w:szCs w:val="22"/>
              </w:rPr>
              <w:t>Yes</w:t>
            </w:r>
          </w:p>
        </w:tc>
        <w:tc>
          <w:tcPr>
            <w:tcW w:w="1701" w:type="dxa"/>
            <w:vAlign w:val="center"/>
          </w:tcPr>
          <w:p w14:paraId="0E0F0CB3" w14:textId="77777777" w:rsidR="00B04B8D" w:rsidRPr="00441AF5" w:rsidRDefault="00B04B8D" w:rsidP="00A9456A">
            <w:pPr>
              <w:spacing w:before="40" w:after="40"/>
              <w:ind w:right="91"/>
              <w:jc w:val="right"/>
              <w:rPr>
                <w:rFonts w:cs="Arial"/>
                <w:sz w:val="22"/>
                <w:szCs w:val="22"/>
              </w:rPr>
            </w:pPr>
            <w:r w:rsidRPr="00441AF5">
              <w:rPr>
                <w:rFonts w:cs="Arial"/>
                <w:sz w:val="22"/>
                <w:szCs w:val="22"/>
              </w:rPr>
              <w:t>No</w:t>
            </w:r>
          </w:p>
        </w:tc>
      </w:tr>
      <w:tr w:rsidR="001D081D" w:rsidRPr="001D081D" w14:paraId="5392C4CD" w14:textId="77777777" w:rsidTr="004E31DD">
        <w:tc>
          <w:tcPr>
            <w:tcW w:w="3823" w:type="dxa"/>
            <w:vAlign w:val="center"/>
          </w:tcPr>
          <w:p w14:paraId="728A63D2" w14:textId="77777777" w:rsidR="00B04B8D" w:rsidRPr="00441AF5" w:rsidRDefault="00B04B8D" w:rsidP="00CD5B6E">
            <w:pPr>
              <w:spacing w:before="40" w:after="40"/>
              <w:rPr>
                <w:rFonts w:cs="Arial"/>
                <w:sz w:val="22"/>
                <w:szCs w:val="22"/>
              </w:rPr>
            </w:pPr>
            <w:r w:rsidRPr="00441AF5">
              <w:rPr>
                <w:rFonts w:cs="Arial"/>
                <w:sz w:val="22"/>
                <w:szCs w:val="22"/>
              </w:rPr>
              <w:t>Trade Unions</w:t>
            </w:r>
          </w:p>
        </w:tc>
        <w:tc>
          <w:tcPr>
            <w:tcW w:w="4110" w:type="dxa"/>
            <w:vAlign w:val="center"/>
          </w:tcPr>
          <w:p w14:paraId="422474E3" w14:textId="77777777" w:rsidR="00B04B8D" w:rsidRPr="00441AF5" w:rsidRDefault="00B04B8D" w:rsidP="00A07C1F">
            <w:pPr>
              <w:spacing w:before="40" w:after="40"/>
              <w:rPr>
                <w:rFonts w:cs="Arial"/>
                <w:sz w:val="22"/>
                <w:szCs w:val="22"/>
              </w:rPr>
            </w:pPr>
            <w:r w:rsidRPr="00441AF5">
              <w:rPr>
                <w:rFonts w:cs="Arial"/>
                <w:sz w:val="22"/>
                <w:szCs w:val="22"/>
              </w:rPr>
              <w:t>No, unincorporated associations of individuals</w:t>
            </w:r>
            <w:r w:rsidRPr="00441AF5">
              <w:rPr>
                <w:rStyle w:val="FootnoteReference"/>
                <w:rFonts w:eastAsia="SimSun" w:cs="Arial"/>
                <w:szCs w:val="22"/>
              </w:rPr>
              <w:footnoteReference w:id="114"/>
            </w:r>
            <w:r w:rsidRPr="00441AF5">
              <w:rPr>
                <w:rFonts w:cs="Arial"/>
                <w:sz w:val="22"/>
                <w:szCs w:val="22"/>
              </w:rPr>
              <w:t xml:space="preserve">. </w:t>
            </w:r>
          </w:p>
        </w:tc>
        <w:tc>
          <w:tcPr>
            <w:tcW w:w="1701" w:type="dxa"/>
            <w:vAlign w:val="center"/>
          </w:tcPr>
          <w:p w14:paraId="0BA4FD36" w14:textId="77777777" w:rsidR="00B04B8D" w:rsidRPr="00441AF5" w:rsidRDefault="00B04B8D" w:rsidP="00A9456A">
            <w:pPr>
              <w:spacing w:before="40" w:after="40"/>
              <w:ind w:right="91"/>
              <w:jc w:val="right"/>
              <w:rPr>
                <w:rFonts w:cs="Arial"/>
                <w:sz w:val="22"/>
                <w:szCs w:val="22"/>
              </w:rPr>
            </w:pPr>
            <w:r w:rsidRPr="00441AF5">
              <w:rPr>
                <w:rFonts w:cs="Arial"/>
                <w:sz w:val="22"/>
                <w:szCs w:val="22"/>
              </w:rPr>
              <w:t>Yes</w:t>
            </w:r>
          </w:p>
        </w:tc>
      </w:tr>
      <w:tr w:rsidR="001D081D" w:rsidRPr="001D081D" w14:paraId="76AA9993" w14:textId="77777777" w:rsidTr="004E31DD">
        <w:tc>
          <w:tcPr>
            <w:tcW w:w="3823" w:type="dxa"/>
            <w:vAlign w:val="center"/>
          </w:tcPr>
          <w:p w14:paraId="4094D18D" w14:textId="77777777" w:rsidR="00B04B8D" w:rsidRPr="00441AF5" w:rsidRDefault="00B04B8D" w:rsidP="00CD5B6E">
            <w:pPr>
              <w:spacing w:before="40" w:after="40"/>
              <w:rPr>
                <w:rFonts w:cs="Arial"/>
                <w:sz w:val="22"/>
                <w:szCs w:val="22"/>
              </w:rPr>
            </w:pPr>
            <w:r w:rsidRPr="00441AF5">
              <w:rPr>
                <w:rFonts w:cs="Arial"/>
                <w:sz w:val="22"/>
                <w:szCs w:val="22"/>
              </w:rPr>
              <w:t>NHS Trusts</w:t>
            </w:r>
          </w:p>
        </w:tc>
        <w:tc>
          <w:tcPr>
            <w:tcW w:w="4110" w:type="dxa"/>
            <w:vAlign w:val="center"/>
          </w:tcPr>
          <w:p w14:paraId="2837E956" w14:textId="77777777" w:rsidR="00B04B8D" w:rsidRPr="00441AF5" w:rsidRDefault="00B04B8D" w:rsidP="00A07C1F">
            <w:pPr>
              <w:spacing w:before="40" w:after="40"/>
              <w:rPr>
                <w:rFonts w:cs="Arial"/>
                <w:sz w:val="22"/>
                <w:szCs w:val="22"/>
              </w:rPr>
            </w:pPr>
            <w:r w:rsidRPr="00441AF5">
              <w:rPr>
                <w:rFonts w:cs="Arial"/>
                <w:sz w:val="22"/>
                <w:szCs w:val="22"/>
              </w:rPr>
              <w:t>Yes</w:t>
            </w:r>
          </w:p>
        </w:tc>
        <w:tc>
          <w:tcPr>
            <w:tcW w:w="1701" w:type="dxa"/>
            <w:vAlign w:val="center"/>
          </w:tcPr>
          <w:p w14:paraId="03FF5D4A" w14:textId="77777777" w:rsidR="00B04B8D" w:rsidRPr="00441AF5" w:rsidRDefault="00B04B8D" w:rsidP="00A9456A">
            <w:pPr>
              <w:spacing w:before="40" w:after="40"/>
              <w:ind w:right="91"/>
              <w:jc w:val="right"/>
              <w:rPr>
                <w:rFonts w:cs="Arial"/>
                <w:sz w:val="22"/>
                <w:szCs w:val="22"/>
              </w:rPr>
            </w:pPr>
            <w:r w:rsidRPr="00441AF5">
              <w:rPr>
                <w:rFonts w:cs="Arial"/>
                <w:sz w:val="22"/>
                <w:szCs w:val="22"/>
              </w:rPr>
              <w:t>No</w:t>
            </w:r>
          </w:p>
        </w:tc>
      </w:tr>
      <w:tr w:rsidR="001D081D" w:rsidRPr="001D081D" w14:paraId="70CCDE52" w14:textId="77777777" w:rsidTr="004E31DD">
        <w:tc>
          <w:tcPr>
            <w:tcW w:w="3823" w:type="dxa"/>
            <w:vAlign w:val="center"/>
          </w:tcPr>
          <w:p w14:paraId="09D2975D" w14:textId="77777777" w:rsidR="00B04B8D" w:rsidRPr="00441AF5" w:rsidRDefault="00B04B8D" w:rsidP="00CD5B6E">
            <w:pPr>
              <w:spacing w:before="40" w:after="40"/>
              <w:rPr>
                <w:rFonts w:cs="Arial"/>
                <w:sz w:val="22"/>
                <w:szCs w:val="22"/>
              </w:rPr>
            </w:pPr>
            <w:r w:rsidRPr="00441AF5">
              <w:rPr>
                <w:rFonts w:cs="Arial"/>
                <w:sz w:val="22"/>
                <w:szCs w:val="22"/>
              </w:rPr>
              <w:t>Police forces</w:t>
            </w:r>
          </w:p>
        </w:tc>
        <w:tc>
          <w:tcPr>
            <w:tcW w:w="4110" w:type="dxa"/>
            <w:vAlign w:val="center"/>
          </w:tcPr>
          <w:p w14:paraId="6F05811B" w14:textId="77777777" w:rsidR="00B04B8D" w:rsidRPr="00441AF5" w:rsidRDefault="00B04B8D" w:rsidP="00A07C1F">
            <w:pPr>
              <w:spacing w:before="40" w:after="40"/>
              <w:rPr>
                <w:rFonts w:cs="Arial"/>
                <w:sz w:val="22"/>
                <w:szCs w:val="22"/>
              </w:rPr>
            </w:pPr>
            <w:r w:rsidRPr="00441AF5">
              <w:rPr>
                <w:rFonts w:cs="Arial"/>
                <w:sz w:val="22"/>
                <w:szCs w:val="22"/>
              </w:rPr>
              <w:t>No</w:t>
            </w:r>
          </w:p>
        </w:tc>
        <w:tc>
          <w:tcPr>
            <w:tcW w:w="1701" w:type="dxa"/>
            <w:vAlign w:val="center"/>
          </w:tcPr>
          <w:p w14:paraId="4136DD19" w14:textId="77777777" w:rsidR="00B04B8D" w:rsidRPr="00441AF5" w:rsidRDefault="00B04B8D" w:rsidP="00A9456A">
            <w:pPr>
              <w:spacing w:before="40" w:after="40"/>
              <w:ind w:right="91"/>
              <w:jc w:val="right"/>
              <w:rPr>
                <w:rFonts w:cs="Arial"/>
                <w:sz w:val="22"/>
                <w:szCs w:val="22"/>
              </w:rPr>
            </w:pPr>
            <w:r w:rsidRPr="00441AF5">
              <w:rPr>
                <w:rFonts w:cs="Arial"/>
                <w:sz w:val="22"/>
                <w:szCs w:val="22"/>
              </w:rPr>
              <w:t>No</w:t>
            </w:r>
          </w:p>
        </w:tc>
      </w:tr>
      <w:tr w:rsidR="001D081D" w:rsidRPr="001D081D" w14:paraId="18660650" w14:textId="77777777" w:rsidTr="004E31DD">
        <w:tc>
          <w:tcPr>
            <w:tcW w:w="3823" w:type="dxa"/>
            <w:vAlign w:val="center"/>
          </w:tcPr>
          <w:p w14:paraId="7E79F29C" w14:textId="77777777" w:rsidR="00B04B8D" w:rsidRPr="00441AF5" w:rsidRDefault="00B04B8D" w:rsidP="00CD5B6E">
            <w:pPr>
              <w:spacing w:before="40" w:after="40"/>
              <w:rPr>
                <w:rFonts w:cs="Arial"/>
                <w:sz w:val="22"/>
                <w:szCs w:val="22"/>
              </w:rPr>
            </w:pPr>
            <w:r w:rsidRPr="00441AF5">
              <w:rPr>
                <w:rFonts w:cs="Arial"/>
                <w:sz w:val="22"/>
                <w:szCs w:val="22"/>
              </w:rPr>
              <w:t>Government departments</w:t>
            </w:r>
          </w:p>
        </w:tc>
        <w:tc>
          <w:tcPr>
            <w:tcW w:w="4110" w:type="dxa"/>
            <w:vAlign w:val="center"/>
          </w:tcPr>
          <w:p w14:paraId="275D5092" w14:textId="77777777" w:rsidR="00B04B8D" w:rsidRPr="00441AF5" w:rsidRDefault="00B04B8D" w:rsidP="00A07C1F">
            <w:pPr>
              <w:spacing w:before="40" w:after="40"/>
              <w:rPr>
                <w:rFonts w:cs="Arial"/>
                <w:sz w:val="22"/>
                <w:szCs w:val="22"/>
              </w:rPr>
            </w:pPr>
            <w:r w:rsidRPr="00441AF5">
              <w:rPr>
                <w:rFonts w:cs="Arial"/>
                <w:sz w:val="22"/>
                <w:szCs w:val="22"/>
              </w:rPr>
              <w:t>No</w:t>
            </w:r>
          </w:p>
        </w:tc>
        <w:tc>
          <w:tcPr>
            <w:tcW w:w="1701" w:type="dxa"/>
            <w:vAlign w:val="center"/>
          </w:tcPr>
          <w:p w14:paraId="41E8BB4B" w14:textId="77777777" w:rsidR="00B04B8D" w:rsidRPr="00441AF5" w:rsidRDefault="00B04B8D" w:rsidP="00A9456A">
            <w:pPr>
              <w:spacing w:before="40" w:after="40"/>
              <w:ind w:right="91"/>
              <w:jc w:val="right"/>
              <w:rPr>
                <w:rFonts w:cs="Arial"/>
                <w:sz w:val="22"/>
                <w:szCs w:val="22"/>
              </w:rPr>
            </w:pPr>
          </w:p>
        </w:tc>
      </w:tr>
      <w:tr w:rsidR="001D081D" w:rsidRPr="001D081D" w14:paraId="09B4A6C5" w14:textId="77777777" w:rsidTr="004E31DD">
        <w:tc>
          <w:tcPr>
            <w:tcW w:w="3823" w:type="dxa"/>
            <w:vAlign w:val="center"/>
          </w:tcPr>
          <w:p w14:paraId="1D0CEB47" w14:textId="2AFBE787" w:rsidR="00B04B8D" w:rsidRPr="00441AF5" w:rsidRDefault="00B04B8D" w:rsidP="00CD5B6E">
            <w:pPr>
              <w:spacing w:before="40" w:after="40"/>
              <w:rPr>
                <w:rFonts w:cs="Arial"/>
                <w:sz w:val="22"/>
                <w:szCs w:val="22"/>
              </w:rPr>
            </w:pPr>
            <w:r w:rsidRPr="00441AF5">
              <w:rPr>
                <w:rFonts w:cs="Arial"/>
                <w:sz w:val="22"/>
                <w:szCs w:val="22"/>
              </w:rPr>
              <w:t>Schools –</w:t>
            </w:r>
            <w:r w:rsidR="004E31DD">
              <w:rPr>
                <w:rFonts w:cs="Arial"/>
                <w:sz w:val="22"/>
                <w:szCs w:val="22"/>
              </w:rPr>
              <w:t xml:space="preserve"> </w:t>
            </w:r>
            <w:r w:rsidRPr="00441AF5">
              <w:rPr>
                <w:rFonts w:cs="Arial"/>
                <w:sz w:val="22"/>
                <w:szCs w:val="22"/>
              </w:rPr>
              <w:t>L</w:t>
            </w:r>
            <w:r w:rsidR="00E31D08">
              <w:rPr>
                <w:rFonts w:cs="Arial"/>
                <w:sz w:val="22"/>
                <w:szCs w:val="22"/>
              </w:rPr>
              <w:t>ocal Authority</w:t>
            </w:r>
            <w:r w:rsidRPr="00441AF5">
              <w:rPr>
                <w:rFonts w:cs="Arial"/>
                <w:sz w:val="22"/>
                <w:szCs w:val="22"/>
              </w:rPr>
              <w:t xml:space="preserve"> maintained</w:t>
            </w:r>
          </w:p>
        </w:tc>
        <w:tc>
          <w:tcPr>
            <w:tcW w:w="4110" w:type="dxa"/>
            <w:vAlign w:val="center"/>
          </w:tcPr>
          <w:p w14:paraId="13AACFD3" w14:textId="77777777" w:rsidR="00B04B8D" w:rsidRPr="00441AF5" w:rsidRDefault="00B04B8D" w:rsidP="00A07C1F">
            <w:pPr>
              <w:spacing w:before="40" w:after="40"/>
              <w:rPr>
                <w:rFonts w:cs="Arial"/>
                <w:sz w:val="22"/>
                <w:szCs w:val="22"/>
              </w:rPr>
            </w:pPr>
            <w:r w:rsidRPr="00441AF5">
              <w:rPr>
                <w:rFonts w:cs="Arial"/>
                <w:sz w:val="22"/>
                <w:szCs w:val="22"/>
              </w:rPr>
              <w:t>Yes</w:t>
            </w:r>
          </w:p>
        </w:tc>
        <w:tc>
          <w:tcPr>
            <w:tcW w:w="1701" w:type="dxa"/>
            <w:vAlign w:val="center"/>
          </w:tcPr>
          <w:p w14:paraId="1AF37AA4" w14:textId="77777777" w:rsidR="00B04B8D" w:rsidRPr="00441AF5" w:rsidRDefault="00B04B8D" w:rsidP="00A9456A">
            <w:pPr>
              <w:spacing w:before="40" w:after="40"/>
              <w:ind w:right="91"/>
              <w:jc w:val="right"/>
              <w:rPr>
                <w:rFonts w:cs="Arial"/>
                <w:sz w:val="22"/>
                <w:szCs w:val="22"/>
              </w:rPr>
            </w:pPr>
            <w:r w:rsidRPr="00441AF5">
              <w:rPr>
                <w:rFonts w:cs="Arial"/>
                <w:sz w:val="22"/>
                <w:szCs w:val="22"/>
              </w:rPr>
              <w:t>No</w:t>
            </w:r>
          </w:p>
        </w:tc>
      </w:tr>
      <w:tr w:rsidR="001D081D" w:rsidRPr="001D081D" w14:paraId="6C13D9A7" w14:textId="77777777" w:rsidTr="004E31DD">
        <w:tc>
          <w:tcPr>
            <w:tcW w:w="3823" w:type="dxa"/>
            <w:vAlign w:val="center"/>
          </w:tcPr>
          <w:p w14:paraId="726E8817" w14:textId="25DC4270" w:rsidR="00B04B8D" w:rsidRPr="00441AF5" w:rsidRDefault="00B04B8D" w:rsidP="00CD5B6E">
            <w:pPr>
              <w:spacing w:before="40" w:after="40"/>
              <w:rPr>
                <w:rFonts w:cs="Arial"/>
                <w:sz w:val="22"/>
                <w:szCs w:val="22"/>
              </w:rPr>
            </w:pPr>
            <w:r w:rsidRPr="00441AF5">
              <w:rPr>
                <w:rFonts w:cs="Arial"/>
                <w:sz w:val="22"/>
                <w:szCs w:val="22"/>
              </w:rPr>
              <w:t>Unincorporated business, for example</w:t>
            </w:r>
            <w:r w:rsidR="00AD31B4">
              <w:rPr>
                <w:rFonts w:cs="Arial"/>
                <w:sz w:val="22"/>
                <w:szCs w:val="22"/>
              </w:rPr>
              <w:t>,</w:t>
            </w:r>
            <w:r w:rsidRPr="00441AF5">
              <w:rPr>
                <w:rFonts w:cs="Arial"/>
                <w:sz w:val="22"/>
                <w:szCs w:val="22"/>
              </w:rPr>
              <w:t xml:space="preserve"> sole traders</w:t>
            </w:r>
          </w:p>
        </w:tc>
        <w:tc>
          <w:tcPr>
            <w:tcW w:w="4110" w:type="dxa"/>
            <w:vAlign w:val="center"/>
          </w:tcPr>
          <w:p w14:paraId="1567C0DC" w14:textId="77777777" w:rsidR="00B04B8D" w:rsidRPr="00441AF5" w:rsidRDefault="00B04B8D" w:rsidP="00A07C1F">
            <w:pPr>
              <w:spacing w:before="40" w:after="40"/>
              <w:rPr>
                <w:rFonts w:cs="Arial"/>
                <w:sz w:val="22"/>
                <w:szCs w:val="22"/>
              </w:rPr>
            </w:pPr>
            <w:r w:rsidRPr="00441AF5">
              <w:rPr>
                <w:rFonts w:cs="Arial"/>
                <w:sz w:val="22"/>
                <w:szCs w:val="22"/>
              </w:rPr>
              <w:t>No</w:t>
            </w:r>
          </w:p>
        </w:tc>
        <w:tc>
          <w:tcPr>
            <w:tcW w:w="1701" w:type="dxa"/>
            <w:vAlign w:val="center"/>
          </w:tcPr>
          <w:p w14:paraId="485E7DFB" w14:textId="77777777" w:rsidR="00B04B8D" w:rsidRPr="00441AF5" w:rsidRDefault="00B04B8D" w:rsidP="00A9456A">
            <w:pPr>
              <w:spacing w:before="40" w:after="40"/>
              <w:ind w:right="91"/>
              <w:jc w:val="right"/>
              <w:rPr>
                <w:rFonts w:cs="Arial"/>
                <w:sz w:val="22"/>
                <w:szCs w:val="22"/>
              </w:rPr>
            </w:pPr>
            <w:r w:rsidRPr="00441AF5">
              <w:rPr>
                <w:rFonts w:cs="Arial"/>
                <w:sz w:val="22"/>
                <w:szCs w:val="22"/>
              </w:rPr>
              <w:t>Yes</w:t>
            </w:r>
          </w:p>
        </w:tc>
      </w:tr>
    </w:tbl>
    <w:p w14:paraId="4B7396A6" w14:textId="2C674B8D" w:rsidR="008B71E3" w:rsidRPr="00441AF5" w:rsidRDefault="008B71E3" w:rsidP="0038739F">
      <w:pPr>
        <w:pStyle w:val="EBBullet"/>
        <w:numPr>
          <w:ilvl w:val="0"/>
          <w:numId w:val="0"/>
        </w:numPr>
        <w:spacing w:line="259" w:lineRule="auto"/>
        <w:ind w:left="567"/>
        <w:jc w:val="both"/>
        <w:rPr>
          <w:iCs/>
          <w:color w:val="auto"/>
        </w:rPr>
      </w:pPr>
    </w:p>
    <w:p w14:paraId="11CA339F" w14:textId="152B149C" w:rsidR="008B71E3" w:rsidRPr="00441AF5" w:rsidRDefault="008B71E3" w:rsidP="0038739F">
      <w:pPr>
        <w:pStyle w:val="EBBullet"/>
        <w:numPr>
          <w:ilvl w:val="0"/>
          <w:numId w:val="0"/>
        </w:numPr>
        <w:spacing w:line="259" w:lineRule="auto"/>
        <w:ind w:left="567"/>
        <w:jc w:val="both"/>
        <w:rPr>
          <w:color w:val="auto"/>
        </w:rPr>
      </w:pPr>
    </w:p>
    <w:p w14:paraId="30C260D7" w14:textId="2C09EC7A" w:rsidR="008B71E3" w:rsidRPr="00441AF5" w:rsidRDefault="008B71E3" w:rsidP="0038739F">
      <w:pPr>
        <w:pStyle w:val="EBBullet"/>
        <w:numPr>
          <w:ilvl w:val="0"/>
          <w:numId w:val="0"/>
        </w:numPr>
        <w:spacing w:line="259" w:lineRule="auto"/>
        <w:ind w:left="567"/>
        <w:jc w:val="both"/>
        <w:rPr>
          <w:color w:val="auto"/>
        </w:rPr>
      </w:pPr>
    </w:p>
    <w:p w14:paraId="13C1CC08" w14:textId="0CBCFBDE" w:rsidR="008B71E3" w:rsidRPr="00441AF5" w:rsidRDefault="008B71E3" w:rsidP="0038739F">
      <w:pPr>
        <w:pStyle w:val="EBBullet"/>
        <w:numPr>
          <w:ilvl w:val="0"/>
          <w:numId w:val="0"/>
        </w:numPr>
        <w:spacing w:line="259" w:lineRule="auto"/>
        <w:ind w:left="567"/>
        <w:jc w:val="both"/>
        <w:rPr>
          <w:color w:val="auto"/>
        </w:rPr>
      </w:pPr>
    </w:p>
    <w:bookmarkEnd w:id="10"/>
    <w:p w14:paraId="6DBCE867" w14:textId="032CB4C7" w:rsidR="00942769" w:rsidRPr="00441AF5" w:rsidRDefault="00942769" w:rsidP="00B27B11">
      <w:pPr>
        <w:pStyle w:val="EBBullet"/>
        <w:numPr>
          <w:ilvl w:val="0"/>
          <w:numId w:val="0"/>
        </w:numPr>
        <w:ind w:left="567"/>
        <w:jc w:val="both"/>
        <w:rPr>
          <w:color w:val="auto"/>
        </w:rPr>
      </w:pPr>
    </w:p>
    <w:p w14:paraId="1F7A5D12" w14:textId="77777777" w:rsidR="002411DA" w:rsidRPr="00441AF5" w:rsidRDefault="002411DA">
      <w:pPr>
        <w:rPr>
          <w:rFonts w:cs="Arial"/>
          <w:b/>
          <w:bCs/>
          <w:sz w:val="22"/>
          <w:szCs w:val="22"/>
        </w:rPr>
      </w:pPr>
      <w:r w:rsidRPr="00441AF5">
        <w:rPr>
          <w:rFonts w:cs="Arial"/>
          <w:b/>
          <w:bCs/>
          <w:sz w:val="22"/>
          <w:szCs w:val="22"/>
        </w:rPr>
        <w:br w:type="page"/>
      </w:r>
    </w:p>
    <w:p w14:paraId="1723E5C3" w14:textId="6404994F" w:rsidR="00942769" w:rsidRPr="00441AF5" w:rsidRDefault="00942769" w:rsidP="00942769">
      <w:pPr>
        <w:jc w:val="both"/>
        <w:rPr>
          <w:rFonts w:cs="Arial"/>
          <w:bCs/>
          <w:sz w:val="22"/>
          <w:szCs w:val="22"/>
        </w:rPr>
      </w:pPr>
      <w:r w:rsidRPr="00441AF5">
        <w:rPr>
          <w:rFonts w:cs="Arial"/>
          <w:b/>
          <w:bCs/>
          <w:sz w:val="22"/>
          <w:szCs w:val="22"/>
        </w:rPr>
        <w:lastRenderedPageBreak/>
        <w:t>Specific Impact Test Checklist</w:t>
      </w:r>
    </w:p>
    <w:p w14:paraId="573232D2" w14:textId="77777777" w:rsidR="00942769" w:rsidRPr="00441AF5" w:rsidRDefault="00942769" w:rsidP="00942769">
      <w:pPr>
        <w:rPr>
          <w:rFonts w:cs="Arial"/>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4"/>
        <w:gridCol w:w="1219"/>
      </w:tblGrid>
      <w:tr w:rsidR="001D081D" w:rsidRPr="001D081D" w14:paraId="59600060" w14:textId="77777777" w:rsidTr="00C00584">
        <w:tc>
          <w:tcPr>
            <w:tcW w:w="9209" w:type="dxa"/>
          </w:tcPr>
          <w:p w14:paraId="3BD478FB" w14:textId="77777777" w:rsidR="00942769" w:rsidRPr="00441AF5" w:rsidRDefault="00942769" w:rsidP="00D32FF0">
            <w:pPr>
              <w:spacing w:before="60" w:after="120"/>
              <w:rPr>
                <w:rFonts w:cs="Arial"/>
                <w:b/>
                <w:sz w:val="22"/>
                <w:szCs w:val="22"/>
              </w:rPr>
            </w:pPr>
            <w:r w:rsidRPr="00441AF5">
              <w:rPr>
                <w:rFonts w:cs="Arial"/>
                <w:b/>
                <w:sz w:val="22"/>
                <w:szCs w:val="22"/>
              </w:rPr>
              <w:t>Mandatory specific impact test Statutory Equalities Duties</w:t>
            </w:r>
          </w:p>
        </w:tc>
        <w:tc>
          <w:tcPr>
            <w:tcW w:w="1134" w:type="dxa"/>
            <w:vAlign w:val="center"/>
          </w:tcPr>
          <w:p w14:paraId="61321517" w14:textId="77777777" w:rsidR="00942769" w:rsidRPr="00441AF5" w:rsidRDefault="00942769" w:rsidP="00D32FF0">
            <w:pPr>
              <w:spacing w:before="60" w:after="120"/>
              <w:jc w:val="center"/>
              <w:rPr>
                <w:rFonts w:cs="Arial"/>
                <w:b/>
                <w:sz w:val="22"/>
                <w:szCs w:val="22"/>
              </w:rPr>
            </w:pPr>
            <w:r w:rsidRPr="00441AF5">
              <w:rPr>
                <w:rFonts w:cs="Arial"/>
                <w:b/>
                <w:sz w:val="22"/>
                <w:szCs w:val="22"/>
              </w:rPr>
              <w:t>Complete</w:t>
            </w:r>
          </w:p>
        </w:tc>
      </w:tr>
      <w:tr w:rsidR="001D081D" w:rsidRPr="001D081D" w14:paraId="74C8ED1C" w14:textId="77777777" w:rsidTr="00C00584">
        <w:tc>
          <w:tcPr>
            <w:tcW w:w="9209" w:type="dxa"/>
          </w:tcPr>
          <w:p w14:paraId="498F6FE9" w14:textId="77777777" w:rsidR="00942769" w:rsidRPr="00441AF5" w:rsidRDefault="00942769" w:rsidP="00D32FF0">
            <w:pPr>
              <w:rPr>
                <w:rFonts w:cs="Arial"/>
                <w:b/>
                <w:sz w:val="22"/>
                <w:szCs w:val="22"/>
              </w:rPr>
            </w:pPr>
          </w:p>
          <w:p w14:paraId="1EC521E7" w14:textId="77777777" w:rsidR="00942769" w:rsidRPr="00441AF5" w:rsidRDefault="00942769" w:rsidP="00D32FF0">
            <w:pPr>
              <w:spacing w:after="120"/>
              <w:rPr>
                <w:rFonts w:cs="Arial"/>
                <w:b/>
                <w:sz w:val="22"/>
                <w:szCs w:val="22"/>
              </w:rPr>
            </w:pPr>
            <w:r w:rsidRPr="00441AF5">
              <w:rPr>
                <w:rFonts w:cs="Arial"/>
                <w:b/>
                <w:sz w:val="22"/>
                <w:szCs w:val="22"/>
              </w:rPr>
              <w:t>Statutory Equalities Duties</w:t>
            </w:r>
          </w:p>
          <w:p w14:paraId="0BB24FBF" w14:textId="46923F3A" w:rsidR="00F1043F" w:rsidRPr="00441AF5" w:rsidRDefault="00E47C0D" w:rsidP="0031271E">
            <w:pPr>
              <w:spacing w:after="120" w:line="259" w:lineRule="auto"/>
              <w:jc w:val="both"/>
              <w:rPr>
                <w:rFonts w:cs="Arial"/>
                <w:sz w:val="22"/>
                <w:szCs w:val="22"/>
              </w:rPr>
            </w:pPr>
            <w:r w:rsidRPr="00441AF5">
              <w:rPr>
                <w:rFonts w:cs="Arial"/>
                <w:sz w:val="22"/>
                <w:szCs w:val="22"/>
              </w:rPr>
              <w:t xml:space="preserve">These measures create an offence for failure to prevent fraud </w:t>
            </w:r>
            <w:r w:rsidR="008F2803" w:rsidRPr="00441AF5">
              <w:rPr>
                <w:rFonts w:cs="Arial"/>
                <w:sz w:val="22"/>
                <w:szCs w:val="22"/>
              </w:rPr>
              <w:t>to create</w:t>
            </w:r>
            <w:r w:rsidR="006B6E1F" w:rsidRPr="00441AF5">
              <w:rPr>
                <w:rFonts w:cs="Arial"/>
                <w:sz w:val="22"/>
                <w:szCs w:val="22"/>
              </w:rPr>
              <w:t xml:space="preserve"> a culture change to </w:t>
            </w:r>
            <w:r w:rsidR="00276B9A" w:rsidRPr="00441AF5">
              <w:rPr>
                <w:rFonts w:cs="Arial"/>
                <w:sz w:val="22"/>
                <w:szCs w:val="22"/>
              </w:rPr>
              <w:t xml:space="preserve">increase fraud </w:t>
            </w:r>
            <w:r w:rsidR="005E6B50" w:rsidRPr="00441AF5">
              <w:rPr>
                <w:rFonts w:cs="Arial"/>
                <w:sz w:val="22"/>
                <w:szCs w:val="22"/>
              </w:rPr>
              <w:t xml:space="preserve">prevention and </w:t>
            </w:r>
            <w:r w:rsidR="00276B9A" w:rsidRPr="00441AF5">
              <w:rPr>
                <w:rFonts w:cs="Arial"/>
                <w:sz w:val="22"/>
                <w:szCs w:val="22"/>
              </w:rPr>
              <w:t>detection</w:t>
            </w:r>
            <w:r w:rsidR="005E6B50" w:rsidRPr="00441AF5">
              <w:rPr>
                <w:rFonts w:cs="Arial"/>
                <w:sz w:val="22"/>
                <w:szCs w:val="22"/>
              </w:rPr>
              <w:t>.</w:t>
            </w:r>
            <w:r w:rsidR="00276B9A" w:rsidRPr="00441AF5">
              <w:rPr>
                <w:rFonts w:cs="Arial"/>
                <w:sz w:val="22"/>
                <w:szCs w:val="22"/>
              </w:rPr>
              <w:t xml:space="preserve"> </w:t>
            </w:r>
          </w:p>
          <w:p w14:paraId="6AA25932" w14:textId="69DAEF05" w:rsidR="00C00584" w:rsidRPr="00441AF5" w:rsidRDefault="00B6291F" w:rsidP="0031271E">
            <w:pPr>
              <w:spacing w:after="120" w:line="259" w:lineRule="auto"/>
              <w:jc w:val="both"/>
              <w:rPr>
                <w:rFonts w:eastAsiaTheme="minorHAnsi" w:cs="Arial"/>
                <w:sz w:val="22"/>
                <w:szCs w:val="22"/>
              </w:rPr>
            </w:pPr>
            <w:r w:rsidRPr="00441AF5">
              <w:rPr>
                <w:rFonts w:cs="Arial"/>
                <w:sz w:val="22"/>
                <w:szCs w:val="22"/>
              </w:rPr>
              <w:t xml:space="preserve">Any burden is placed on the corporate entity and not directly on individuals. Individuals may be impacted indirectly in a professional capacity due to their role in the company and </w:t>
            </w:r>
            <w:r w:rsidR="00EC5BCB" w:rsidRPr="00441AF5">
              <w:rPr>
                <w:rFonts w:cs="Arial"/>
                <w:sz w:val="22"/>
                <w:szCs w:val="22"/>
              </w:rPr>
              <w:t xml:space="preserve">may be prosecuted separately to the measures. </w:t>
            </w:r>
          </w:p>
          <w:p w14:paraId="7144C281" w14:textId="4F9BFB74" w:rsidR="00A16D13" w:rsidRPr="00441AF5" w:rsidRDefault="002245FF" w:rsidP="0031271E">
            <w:pPr>
              <w:spacing w:after="120" w:line="259" w:lineRule="auto"/>
              <w:jc w:val="both"/>
              <w:rPr>
                <w:rFonts w:cs="Arial"/>
                <w:sz w:val="22"/>
                <w:szCs w:val="22"/>
              </w:rPr>
            </w:pPr>
            <w:r w:rsidRPr="00441AF5">
              <w:rPr>
                <w:rFonts w:cs="Arial"/>
                <w:sz w:val="22"/>
                <w:szCs w:val="22"/>
              </w:rPr>
              <w:t xml:space="preserve">The failure to prevent fraud offence </w:t>
            </w:r>
            <w:r w:rsidRPr="00441AF5">
              <w:rPr>
                <w:rStyle w:val="eop"/>
                <w:rFonts w:eastAsiaTheme="minorEastAsia" w:cs="Arial"/>
                <w:sz w:val="22"/>
                <w:szCs w:val="22"/>
              </w:rPr>
              <w:t xml:space="preserve">is intended to create a cultural change within organisations and increase preventative measures against fraud. This is likely to have a positive impact on individuals who may have been vulnerable to fraud </w:t>
            </w:r>
            <w:r w:rsidR="005E6B50" w:rsidRPr="00441AF5">
              <w:rPr>
                <w:rStyle w:val="eop"/>
                <w:rFonts w:eastAsiaTheme="minorEastAsia" w:cs="Arial"/>
                <w:sz w:val="22"/>
                <w:szCs w:val="22"/>
              </w:rPr>
              <w:t>and will implement measures to decrease the risk of fraud.</w:t>
            </w:r>
          </w:p>
          <w:p w14:paraId="75E6CBEA" w14:textId="2E0A7D90" w:rsidR="00646EA9" w:rsidRPr="00441AF5" w:rsidRDefault="002245FF" w:rsidP="0031271E">
            <w:pPr>
              <w:pStyle w:val="paragraph"/>
              <w:spacing w:before="0" w:beforeAutospacing="0" w:after="120" w:afterAutospacing="0" w:line="259" w:lineRule="auto"/>
              <w:jc w:val="both"/>
              <w:textAlignment w:val="baseline"/>
              <w:rPr>
                <w:rStyle w:val="eop"/>
                <w:rFonts w:ascii="Arial" w:eastAsiaTheme="minorEastAsia" w:hAnsi="Arial" w:cs="Arial"/>
                <w:sz w:val="22"/>
                <w:szCs w:val="22"/>
              </w:rPr>
            </w:pPr>
            <w:r w:rsidRPr="00441AF5">
              <w:rPr>
                <w:rStyle w:val="eop"/>
                <w:rFonts w:ascii="Arial" w:eastAsiaTheme="minorEastAsia" w:hAnsi="Arial" w:cs="Arial"/>
                <w:sz w:val="22"/>
                <w:szCs w:val="22"/>
              </w:rPr>
              <w:t>S</w:t>
            </w:r>
            <w:r w:rsidR="00646EA9" w:rsidRPr="00441AF5">
              <w:rPr>
                <w:rStyle w:val="eop"/>
                <w:rFonts w:ascii="Arial" w:eastAsiaTheme="minorEastAsia" w:hAnsi="Arial" w:cs="Arial"/>
                <w:sz w:val="22"/>
                <w:szCs w:val="22"/>
              </w:rPr>
              <w:t xml:space="preserve">afeguards exist in relation to the prosecution of a company that governs the use of </w:t>
            </w:r>
            <w:r w:rsidR="005724A8" w:rsidRPr="00441AF5">
              <w:rPr>
                <w:rStyle w:val="eop"/>
                <w:rFonts w:ascii="Arial" w:eastAsiaTheme="minorEastAsia" w:hAnsi="Arial" w:cs="Arial"/>
                <w:sz w:val="22"/>
                <w:szCs w:val="22"/>
              </w:rPr>
              <w:t>both measures</w:t>
            </w:r>
            <w:r w:rsidR="00646EA9" w:rsidRPr="00441AF5">
              <w:rPr>
                <w:rStyle w:val="eop"/>
                <w:rFonts w:ascii="Arial" w:eastAsiaTheme="minorEastAsia" w:hAnsi="Arial" w:cs="Arial"/>
                <w:sz w:val="22"/>
                <w:szCs w:val="22"/>
              </w:rPr>
              <w:t xml:space="preserve"> for all business-types. Prosecutors must act in accordance with the Code for Crown Prosecutors – prosecutors can only start prosecutions if satisfied that the case meets both stages of the two-code test: </w:t>
            </w:r>
          </w:p>
          <w:p w14:paraId="3229D65B" w14:textId="36EAA80C" w:rsidR="00646EA9" w:rsidRPr="00441AF5" w:rsidRDefault="00646EA9" w:rsidP="007335EA">
            <w:pPr>
              <w:pStyle w:val="paragraph"/>
              <w:numPr>
                <w:ilvl w:val="0"/>
                <w:numId w:val="23"/>
              </w:numPr>
              <w:spacing w:before="0" w:beforeAutospacing="0" w:after="120" w:afterAutospacing="0" w:line="259" w:lineRule="auto"/>
              <w:ind w:left="709" w:hanging="425"/>
              <w:jc w:val="both"/>
              <w:textAlignment w:val="baseline"/>
              <w:rPr>
                <w:rStyle w:val="eop"/>
                <w:rFonts w:ascii="Arial" w:eastAsiaTheme="minorEastAsia" w:hAnsi="Arial" w:cs="Arial"/>
                <w:sz w:val="22"/>
                <w:szCs w:val="22"/>
              </w:rPr>
            </w:pPr>
            <w:r w:rsidRPr="00441AF5">
              <w:rPr>
                <w:rStyle w:val="eop"/>
                <w:rFonts w:ascii="Arial" w:hAnsi="Arial" w:cs="Arial"/>
                <w:sz w:val="22"/>
                <w:szCs w:val="22"/>
              </w:rPr>
              <w:t>The prosecutor is satisfied that there is sufficient evidence to provide a realistic prospect of conviction</w:t>
            </w:r>
            <w:r w:rsidR="004168BE" w:rsidRPr="00441AF5">
              <w:rPr>
                <w:rStyle w:val="eop"/>
                <w:rFonts w:ascii="Arial" w:hAnsi="Arial" w:cs="Arial"/>
                <w:sz w:val="22"/>
                <w:szCs w:val="22"/>
              </w:rPr>
              <w:t>.</w:t>
            </w:r>
            <w:r w:rsidR="00563CA3" w:rsidRPr="00441AF5">
              <w:rPr>
                <w:rStyle w:val="eop"/>
                <w:rFonts w:ascii="Arial" w:hAnsi="Arial" w:cs="Arial"/>
                <w:sz w:val="22"/>
                <w:szCs w:val="22"/>
              </w:rPr>
              <w:t xml:space="preserve"> </w:t>
            </w:r>
            <w:r w:rsidR="004A6820" w:rsidRPr="00441AF5">
              <w:rPr>
                <w:rStyle w:val="eop"/>
                <w:rFonts w:ascii="Arial" w:hAnsi="Arial" w:cs="Arial"/>
                <w:sz w:val="22"/>
                <w:szCs w:val="22"/>
              </w:rPr>
              <w:t>Factors that could be considered include identifying the correct corporate from the outset that is accurately named; the employer/employee relationship is outlined; the directing mind must be clearly identified</w:t>
            </w:r>
            <w:r w:rsidR="004923B1">
              <w:rPr>
                <w:rStyle w:val="eop"/>
                <w:rFonts w:ascii="Arial" w:hAnsi="Arial" w:cs="Arial"/>
                <w:sz w:val="22"/>
                <w:szCs w:val="22"/>
              </w:rPr>
              <w:t>,</w:t>
            </w:r>
            <w:r w:rsidR="004A6820" w:rsidRPr="00441AF5">
              <w:rPr>
                <w:rStyle w:val="eop"/>
                <w:rFonts w:ascii="Arial" w:hAnsi="Arial" w:cs="Arial"/>
                <w:sz w:val="22"/>
                <w:szCs w:val="22"/>
              </w:rPr>
              <w:t xml:space="preserve"> and their status and functions established. </w:t>
            </w:r>
          </w:p>
          <w:p w14:paraId="0A112EC3" w14:textId="77777777" w:rsidR="00646EA9" w:rsidRPr="00441AF5" w:rsidRDefault="00646EA9" w:rsidP="007335EA">
            <w:pPr>
              <w:pStyle w:val="paragraph"/>
              <w:numPr>
                <w:ilvl w:val="0"/>
                <w:numId w:val="23"/>
              </w:numPr>
              <w:spacing w:before="0" w:beforeAutospacing="0" w:after="120" w:afterAutospacing="0" w:line="259" w:lineRule="auto"/>
              <w:ind w:left="709" w:hanging="425"/>
              <w:jc w:val="both"/>
              <w:textAlignment w:val="baseline"/>
              <w:rPr>
                <w:rStyle w:val="eop"/>
                <w:rFonts w:ascii="Arial" w:eastAsiaTheme="minorEastAsia" w:hAnsi="Arial" w:cs="Arial"/>
                <w:sz w:val="22"/>
                <w:szCs w:val="22"/>
              </w:rPr>
            </w:pPr>
            <w:r w:rsidRPr="00441AF5">
              <w:rPr>
                <w:rStyle w:val="eop"/>
                <w:rFonts w:ascii="Arial" w:hAnsi="Arial" w:cs="Arial"/>
                <w:sz w:val="22"/>
                <w:szCs w:val="22"/>
              </w:rPr>
              <w:t xml:space="preserve">The prosecutor is satisfied that the prosecution is required in the public interest. </w:t>
            </w:r>
            <w:r w:rsidR="0085572B" w:rsidRPr="00441AF5">
              <w:rPr>
                <w:rStyle w:val="eop"/>
                <w:rFonts w:ascii="Arial" w:hAnsi="Arial" w:cs="Arial"/>
                <w:sz w:val="22"/>
                <w:szCs w:val="22"/>
              </w:rPr>
              <w:t xml:space="preserve">Factors that could be considered include: a history of similar conduct by the corporation; the alleged conduct is part of the practices of the company; failing to report the conduct; or, against prosecution: a positive approach to remedial action; the existence of a proactive and effective compliance programme; the offending represents the isolated actions by one individual. </w:t>
            </w:r>
          </w:p>
          <w:p w14:paraId="21E9BB07" w14:textId="38F6A6C4" w:rsidR="00FD28BD" w:rsidRPr="00FD28BD" w:rsidRDefault="00FD28BD" w:rsidP="005E6B50">
            <w:pPr>
              <w:spacing w:after="120"/>
              <w:rPr>
                <w:rFonts w:eastAsiaTheme="minorEastAsia" w:cs="Arial"/>
                <w:b/>
                <w:bCs/>
                <w:sz w:val="22"/>
                <w:szCs w:val="22"/>
              </w:rPr>
            </w:pPr>
            <w:r w:rsidRPr="00FD28BD">
              <w:rPr>
                <w:rFonts w:eastAsiaTheme="minorEastAsia" w:cs="Arial"/>
                <w:b/>
                <w:bCs/>
                <w:sz w:val="22"/>
                <w:szCs w:val="22"/>
              </w:rPr>
              <w:t xml:space="preserve">SaMBA Impact Summary </w:t>
            </w:r>
          </w:p>
          <w:p w14:paraId="79DAF6F9" w14:textId="11DBB6B2" w:rsidR="00FD28BD" w:rsidRPr="00FD28BD" w:rsidRDefault="00FD28BD" w:rsidP="00FD28BD">
            <w:pPr>
              <w:spacing w:after="120" w:line="259" w:lineRule="auto"/>
              <w:jc w:val="both"/>
              <w:rPr>
                <w:rFonts w:cs="Arial"/>
                <w:sz w:val="22"/>
                <w:szCs w:val="22"/>
              </w:rPr>
            </w:pPr>
            <w:r w:rsidRPr="00FD28BD">
              <w:rPr>
                <w:rFonts w:cs="Arial"/>
                <w:sz w:val="22"/>
                <w:szCs w:val="22"/>
              </w:rPr>
              <w:t>There will be no direct impact on small, medium</w:t>
            </w:r>
            <w:r w:rsidR="004923B1">
              <w:rPr>
                <w:rFonts w:cs="Arial"/>
                <w:sz w:val="22"/>
                <w:szCs w:val="22"/>
              </w:rPr>
              <w:t>,</w:t>
            </w:r>
            <w:r w:rsidRPr="00FD28BD">
              <w:rPr>
                <w:rFonts w:cs="Arial"/>
                <w:sz w:val="22"/>
                <w:szCs w:val="22"/>
              </w:rPr>
              <w:t xml:space="preserve"> and micro-businesses as the offence will apply to large organisations only. Small, medium</w:t>
            </w:r>
            <w:r w:rsidR="004923B1">
              <w:rPr>
                <w:rFonts w:cs="Arial"/>
                <w:sz w:val="22"/>
                <w:szCs w:val="22"/>
              </w:rPr>
              <w:t>,</w:t>
            </w:r>
            <w:r w:rsidRPr="00FD28BD">
              <w:rPr>
                <w:rFonts w:cs="Arial"/>
                <w:sz w:val="22"/>
                <w:szCs w:val="22"/>
              </w:rPr>
              <w:t xml:space="preserve"> and micro-businesses will be exempt and are out of scope of this policy. This is to reduce the compliance burden on smaller organisations, who will have fewer resources to enable them to understand and implement reasonable fraud prevention procedures. Small and medium businesses may benefit from the expected reduction in fraud committed by large corporates. </w:t>
            </w:r>
          </w:p>
          <w:p w14:paraId="313FDBAB" w14:textId="77777777" w:rsidR="00FD28BD" w:rsidRPr="00441AF5" w:rsidRDefault="00FD28BD" w:rsidP="005E6B50">
            <w:pPr>
              <w:spacing w:after="120"/>
              <w:rPr>
                <w:rFonts w:eastAsiaTheme="minorEastAsia" w:cs="Arial"/>
                <w:sz w:val="22"/>
                <w:szCs w:val="22"/>
              </w:rPr>
            </w:pPr>
          </w:p>
          <w:p w14:paraId="1CE2972D" w14:textId="77777777" w:rsidR="00942769" w:rsidRPr="00441AF5" w:rsidRDefault="00942769" w:rsidP="00D32FF0">
            <w:pPr>
              <w:spacing w:after="120"/>
              <w:rPr>
                <w:rFonts w:cs="Arial"/>
                <w:b/>
                <w:sz w:val="22"/>
                <w:szCs w:val="22"/>
              </w:rPr>
            </w:pPr>
            <w:r w:rsidRPr="00441AF5">
              <w:rPr>
                <w:rFonts w:cs="Arial"/>
                <w:b/>
                <w:sz w:val="22"/>
                <w:szCs w:val="22"/>
              </w:rPr>
              <w:t>The SRO has agreed these summary findings from the Equality Impact Assessment.</w:t>
            </w:r>
          </w:p>
          <w:p w14:paraId="7EA3F9AA" w14:textId="77777777" w:rsidR="00942769" w:rsidRPr="00441AF5" w:rsidRDefault="00942769" w:rsidP="00D32FF0">
            <w:pPr>
              <w:rPr>
                <w:rFonts w:cs="Arial"/>
                <w:sz w:val="22"/>
                <w:szCs w:val="22"/>
              </w:rPr>
            </w:pPr>
          </w:p>
        </w:tc>
        <w:tc>
          <w:tcPr>
            <w:tcW w:w="1134" w:type="dxa"/>
            <w:vAlign w:val="center"/>
          </w:tcPr>
          <w:p w14:paraId="73ADFCD2" w14:textId="77777777" w:rsidR="00942769" w:rsidRPr="00441AF5" w:rsidRDefault="00942769" w:rsidP="00D32FF0">
            <w:pPr>
              <w:jc w:val="center"/>
              <w:rPr>
                <w:rFonts w:cs="Arial"/>
                <w:b/>
                <w:sz w:val="22"/>
                <w:szCs w:val="22"/>
              </w:rPr>
            </w:pPr>
            <w:r w:rsidRPr="00441AF5">
              <w:rPr>
                <w:rFonts w:cs="Arial"/>
                <w:b/>
                <w:sz w:val="22"/>
                <w:szCs w:val="22"/>
              </w:rPr>
              <w:t>Yes</w:t>
            </w:r>
          </w:p>
        </w:tc>
      </w:tr>
    </w:tbl>
    <w:p w14:paraId="5B3D4FDE" w14:textId="77777777" w:rsidR="00942769" w:rsidRPr="00441AF5" w:rsidRDefault="00942769" w:rsidP="00942769">
      <w:pPr>
        <w:rPr>
          <w:rFonts w:cs="Arial"/>
          <w:sz w:val="22"/>
          <w:szCs w:val="22"/>
        </w:rPr>
      </w:pPr>
    </w:p>
    <w:p w14:paraId="7968A9CE" w14:textId="3F47344E" w:rsidR="00942769" w:rsidRPr="001D081D" w:rsidRDefault="00942769" w:rsidP="00851C86">
      <w:pPr>
        <w:pStyle w:val="EBBullet"/>
        <w:numPr>
          <w:ilvl w:val="0"/>
          <w:numId w:val="0"/>
        </w:numPr>
        <w:jc w:val="both"/>
        <w:rPr>
          <w:color w:val="auto"/>
          <w:sz w:val="24"/>
          <w:szCs w:val="24"/>
        </w:rPr>
      </w:pPr>
    </w:p>
    <w:sectPr w:rsidR="00942769" w:rsidRPr="001D081D" w:rsidSect="004C4829">
      <w:headerReference w:type="even" r:id="rId14"/>
      <w:footerReference w:type="default" r:id="rId15"/>
      <w:footnotePr>
        <w:numRestart w:val="eachSect"/>
      </w:footnotePr>
      <w:pgSz w:w="11907" w:h="16840" w:code="9"/>
      <w:pgMar w:top="680" w:right="851" w:bottom="680" w:left="851" w:header="284"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6A5F" w14:textId="77777777" w:rsidR="009F593F" w:rsidRDefault="009F593F">
      <w:r>
        <w:separator/>
      </w:r>
    </w:p>
  </w:endnote>
  <w:endnote w:type="continuationSeparator" w:id="0">
    <w:p w14:paraId="557D2C21" w14:textId="77777777" w:rsidR="009F593F" w:rsidRDefault="009F593F">
      <w:r>
        <w:continuationSeparator/>
      </w:r>
    </w:p>
  </w:endnote>
  <w:endnote w:type="continuationNotice" w:id="1">
    <w:p w14:paraId="73940A26" w14:textId="77777777" w:rsidR="009F593F" w:rsidRDefault="009F59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708B" w14:textId="77777777" w:rsidR="00E772C5" w:rsidRPr="00EB43FD" w:rsidRDefault="00E772C5" w:rsidP="005A3880">
    <w:pPr>
      <w:pStyle w:val="Footer"/>
    </w:pPr>
    <w:r w:rsidRPr="00EB43FD">
      <w:rPr>
        <w:rStyle w:val="PageNumber"/>
        <w:rFonts w:eastAsia="SimSun"/>
        <w:b w:val="0"/>
        <w:szCs w:val="18"/>
      </w:rPr>
      <w:fldChar w:fldCharType="begin"/>
    </w:r>
    <w:r w:rsidRPr="00EB43FD">
      <w:rPr>
        <w:rStyle w:val="PageNumber"/>
        <w:rFonts w:eastAsia="SimSun"/>
        <w:b w:val="0"/>
        <w:szCs w:val="18"/>
      </w:rPr>
      <w:instrText xml:space="preserve"> PAGE </w:instrText>
    </w:r>
    <w:r w:rsidRPr="00EB43FD">
      <w:rPr>
        <w:rStyle w:val="PageNumber"/>
        <w:rFonts w:eastAsia="SimSun"/>
        <w:b w:val="0"/>
        <w:szCs w:val="18"/>
      </w:rPr>
      <w:fldChar w:fldCharType="separate"/>
    </w:r>
    <w:r>
      <w:rPr>
        <w:rStyle w:val="PageNumber"/>
        <w:rFonts w:eastAsia="SimSun"/>
        <w:b w:val="0"/>
        <w:noProof/>
        <w:szCs w:val="18"/>
      </w:rPr>
      <w:t>1</w:t>
    </w:r>
    <w:r w:rsidRPr="00EB43FD">
      <w:rPr>
        <w:rStyle w:val="PageNumber"/>
        <w:rFonts w:eastAsia="SimSun"/>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A0DF" w14:textId="77777777" w:rsidR="00E772C5" w:rsidRPr="00EB43FD" w:rsidRDefault="00E772C5" w:rsidP="000407D8">
    <w:pPr>
      <w:pStyle w:val="Footer"/>
    </w:pPr>
    <w:r w:rsidRPr="00EB43FD">
      <w:rPr>
        <w:rStyle w:val="PageNumber"/>
        <w:b w:val="0"/>
        <w:szCs w:val="18"/>
      </w:rPr>
      <w:fldChar w:fldCharType="begin"/>
    </w:r>
    <w:r w:rsidRPr="00EB43FD">
      <w:rPr>
        <w:rStyle w:val="PageNumber"/>
        <w:b w:val="0"/>
        <w:szCs w:val="18"/>
      </w:rPr>
      <w:instrText xml:space="preserve"> PAGE </w:instrText>
    </w:r>
    <w:r w:rsidRPr="00EB43FD">
      <w:rPr>
        <w:rStyle w:val="PageNumber"/>
        <w:b w:val="0"/>
        <w:szCs w:val="18"/>
      </w:rPr>
      <w:fldChar w:fldCharType="separate"/>
    </w:r>
    <w:r>
      <w:rPr>
        <w:rStyle w:val="PageNumber"/>
        <w:b w:val="0"/>
        <w:noProof/>
        <w:szCs w:val="18"/>
      </w:rPr>
      <w:t>3</w:t>
    </w:r>
    <w:r w:rsidRPr="00EB43FD">
      <w:rPr>
        <w:rStyle w:val="PageNumber"/>
        <w:b w:val="0"/>
        <w:szCs w:val="18"/>
      </w:rPr>
      <w:fldChar w:fldCharType="end"/>
    </w:r>
  </w:p>
  <w:p w14:paraId="7FCE54BD" w14:textId="77777777" w:rsidR="00E772C5" w:rsidRDefault="00E772C5"/>
  <w:p w14:paraId="2995CCAD" w14:textId="77777777" w:rsidR="00E772C5" w:rsidRDefault="00E772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50A0" w14:textId="77777777" w:rsidR="009F593F" w:rsidRDefault="009F593F">
      <w:r>
        <w:separator/>
      </w:r>
    </w:p>
  </w:footnote>
  <w:footnote w:type="continuationSeparator" w:id="0">
    <w:p w14:paraId="540A8674" w14:textId="77777777" w:rsidR="009F593F" w:rsidRDefault="009F593F">
      <w:r>
        <w:continuationSeparator/>
      </w:r>
    </w:p>
  </w:footnote>
  <w:footnote w:type="continuationNotice" w:id="1">
    <w:p w14:paraId="2D6610C1" w14:textId="77777777" w:rsidR="009F593F" w:rsidRDefault="009F593F"/>
  </w:footnote>
  <w:footnote w:id="2">
    <w:p w14:paraId="5B45F213" w14:textId="77777777" w:rsidR="00D945F1" w:rsidRPr="002A7CF1" w:rsidRDefault="00D945F1" w:rsidP="00D945F1">
      <w:pPr>
        <w:pStyle w:val="FootnoteText"/>
        <w:rPr>
          <w:sz w:val="18"/>
          <w:szCs w:val="18"/>
        </w:rPr>
      </w:pPr>
      <w:r w:rsidRPr="002A7CF1">
        <w:rPr>
          <w:rStyle w:val="FootnoteReference"/>
          <w:sz w:val="18"/>
          <w:szCs w:val="18"/>
        </w:rPr>
        <w:footnoteRef/>
      </w:r>
      <w:r w:rsidRPr="002A7CF1">
        <w:rPr>
          <w:sz w:val="18"/>
          <w:szCs w:val="18"/>
        </w:rPr>
        <w:t xml:space="preserve"> Per the </w:t>
      </w:r>
      <w:r w:rsidRPr="0029116F">
        <w:rPr>
          <w:sz w:val="18"/>
          <w:szCs w:val="18"/>
        </w:rPr>
        <w:t>Crime Survey for England and Wales</w:t>
      </w:r>
      <w:r>
        <w:rPr>
          <w:sz w:val="18"/>
          <w:szCs w:val="18"/>
        </w:rPr>
        <w:t>,</w:t>
      </w:r>
      <w:r w:rsidRPr="002A7CF1">
        <w:rPr>
          <w:sz w:val="18"/>
          <w:szCs w:val="18"/>
        </w:rPr>
        <w:t xml:space="preserve"> Appendix </w:t>
      </w:r>
      <w:r>
        <w:rPr>
          <w:sz w:val="18"/>
          <w:szCs w:val="18"/>
        </w:rPr>
        <w:t>,</w:t>
      </w:r>
      <w:r w:rsidRPr="002A7CF1">
        <w:rPr>
          <w:sz w:val="18"/>
          <w:szCs w:val="18"/>
        </w:rPr>
        <w:t>Table 3, fraud constitutes 40</w:t>
      </w:r>
      <w:r>
        <w:rPr>
          <w:sz w:val="18"/>
          <w:szCs w:val="18"/>
        </w:rPr>
        <w:t xml:space="preserve"> per cent</w:t>
      </w:r>
      <w:r w:rsidRPr="002A7CF1">
        <w:rPr>
          <w:sz w:val="18"/>
          <w:szCs w:val="18"/>
        </w:rPr>
        <w:t xml:space="preserve"> of estimated crime against individuals</w:t>
      </w:r>
      <w:r>
        <w:rPr>
          <w:sz w:val="18"/>
          <w:szCs w:val="18"/>
        </w:rPr>
        <w:t xml:space="preserve">. </w:t>
      </w:r>
      <w:hyperlink r:id="rId1" w:history="1">
        <w:r w:rsidRPr="0073757C">
          <w:rPr>
            <w:rStyle w:val="Hyperlink"/>
            <w:sz w:val="18"/>
            <w:szCs w:val="18"/>
          </w:rPr>
          <w:t>https://www.ons.gov.uk/peoplepopulationandcommunity/crimeandjustice/datasets/crimeinenglandandwalesappendixtables</w:t>
        </w:r>
      </w:hyperlink>
      <w:r>
        <w:rPr>
          <w:sz w:val="18"/>
          <w:szCs w:val="18"/>
        </w:rPr>
        <w:t xml:space="preserve"> </w:t>
      </w:r>
    </w:p>
  </w:footnote>
  <w:footnote w:id="3">
    <w:p w14:paraId="307ADCE3" w14:textId="73ED9908" w:rsidR="002428EF" w:rsidRDefault="002428EF">
      <w:pPr>
        <w:pStyle w:val="FootnoteText"/>
      </w:pPr>
      <w:r>
        <w:rPr>
          <w:rStyle w:val="FootnoteReference"/>
        </w:rPr>
        <w:footnoteRef/>
      </w:r>
      <w:r>
        <w:t xml:space="preserve"> </w:t>
      </w:r>
      <w:r w:rsidR="00CE0862" w:rsidRPr="004D6369">
        <w:rPr>
          <w:sz w:val="18"/>
          <w:szCs w:val="18"/>
        </w:rPr>
        <w:t xml:space="preserve">“Corporate Criminal Liability: an options paper”, Law Commission, June 2022: </w:t>
      </w:r>
      <w:hyperlink r:id="rId2" w:history="1">
        <w:r w:rsidR="00CE0862" w:rsidRPr="004D6369">
          <w:rPr>
            <w:rStyle w:val="Hyperlink"/>
            <w:sz w:val="18"/>
            <w:szCs w:val="18"/>
          </w:rPr>
          <w:t>https://lawcom.gov.uk/project/corporate-criminal-liability/</w:t>
        </w:r>
      </w:hyperlink>
      <w:r w:rsidR="00CE0862" w:rsidRPr="004D6369">
        <w:rPr>
          <w:sz w:val="18"/>
          <w:szCs w:val="18"/>
        </w:rPr>
        <w:t xml:space="preserve">  and Corporate Criminal Liability Options Paper: </w:t>
      </w:r>
      <w:hyperlink r:id="rId3" w:history="1">
        <w:r w:rsidR="00CE0862" w:rsidRPr="004D6369">
          <w:rPr>
            <w:rStyle w:val="Hyperlink"/>
            <w:sz w:val="18"/>
            <w:szCs w:val="18"/>
          </w:rPr>
          <w:t>https://s3-eu-west-2.amazonaws.com/cloud-platform-e218f50a4812967ba1215eaecede923f/uploads/sites/30/2022/06/Corporate-Criminal-Liability-Options-Paper_LC.pdf</w:t>
        </w:r>
      </w:hyperlink>
    </w:p>
  </w:footnote>
  <w:footnote w:id="4">
    <w:p w14:paraId="356A179D" w14:textId="688FA4FE" w:rsidR="00FA2934" w:rsidRDefault="00FA2934">
      <w:pPr>
        <w:pStyle w:val="FootnoteText"/>
      </w:pPr>
      <w:r>
        <w:rPr>
          <w:rStyle w:val="FootnoteReference"/>
        </w:rPr>
        <w:footnoteRef/>
      </w:r>
      <w:r>
        <w:t xml:space="preserve"> </w:t>
      </w:r>
      <w:r w:rsidRPr="00CF2238">
        <w:rPr>
          <w:sz w:val="18"/>
          <w:szCs w:val="18"/>
        </w:rPr>
        <w:t>By “base fraud offences”, we mean the offences that are covered by the offence of failure to prevent fraud</w:t>
      </w:r>
      <w:r w:rsidR="00DB1FD9" w:rsidRPr="00CF2238">
        <w:rPr>
          <w:sz w:val="18"/>
          <w:szCs w:val="18"/>
        </w:rPr>
        <w:t>, as set out in Schedule 13 of E</w:t>
      </w:r>
      <w:r w:rsidR="00892FC5" w:rsidRPr="00CF2238">
        <w:rPr>
          <w:sz w:val="18"/>
          <w:szCs w:val="18"/>
        </w:rPr>
        <w:t>CCT</w:t>
      </w:r>
      <w:r w:rsidR="00DB1FD9" w:rsidRPr="00CF2238">
        <w:rPr>
          <w:sz w:val="18"/>
          <w:szCs w:val="18"/>
        </w:rPr>
        <w:t xml:space="preserve"> </w:t>
      </w:r>
      <w:r w:rsidR="00913174" w:rsidRPr="00CF2238">
        <w:rPr>
          <w:sz w:val="18"/>
          <w:szCs w:val="18"/>
        </w:rPr>
        <w:t>2023</w:t>
      </w:r>
      <w:r w:rsidR="00DB1FD9" w:rsidRPr="00CF2238">
        <w:rPr>
          <w:sz w:val="18"/>
          <w:szCs w:val="18"/>
        </w:rPr>
        <w:t>.</w:t>
      </w:r>
      <w:r w:rsidR="00892FC5">
        <w:t xml:space="preserve"> </w:t>
      </w:r>
    </w:p>
  </w:footnote>
  <w:footnote w:id="5">
    <w:p w14:paraId="2564AB5B" w14:textId="77777777" w:rsidR="00D945F1" w:rsidRPr="002A7CF1" w:rsidRDefault="00D945F1" w:rsidP="00D945F1">
      <w:pPr>
        <w:pStyle w:val="FootnoteText"/>
        <w:rPr>
          <w:sz w:val="18"/>
          <w:szCs w:val="18"/>
        </w:rPr>
      </w:pPr>
      <w:r w:rsidRPr="002A7CF1">
        <w:rPr>
          <w:rStyle w:val="FootnoteReference"/>
          <w:sz w:val="18"/>
          <w:szCs w:val="18"/>
        </w:rPr>
        <w:footnoteRef/>
      </w:r>
      <w:r w:rsidRPr="002A7CF1">
        <w:rPr>
          <w:sz w:val="18"/>
          <w:szCs w:val="18"/>
        </w:rPr>
        <w:t xml:space="preserve"> </w:t>
      </w:r>
      <w:hyperlink r:id="rId4" w:history="1">
        <w:r w:rsidRPr="002A7CF1">
          <w:rPr>
            <w:rStyle w:val="Hyperlink"/>
            <w:sz w:val="18"/>
            <w:szCs w:val="18"/>
          </w:rPr>
          <w:t>https://www.lawcom.gov.uk/project/corporate-criminal-liability/</w:t>
        </w:r>
      </w:hyperlink>
      <w:r w:rsidRPr="002A7CF1">
        <w:rPr>
          <w:sz w:val="18"/>
          <w:szCs w:val="18"/>
        </w:rPr>
        <w:t xml:space="preserve"> </w:t>
      </w:r>
      <w:r>
        <w:rPr>
          <w:rStyle w:val="Hyperlink"/>
          <w:sz w:val="18"/>
          <w:szCs w:val="18"/>
          <w:u w:val="none"/>
        </w:rPr>
        <w:t xml:space="preserve"> </w:t>
      </w:r>
      <w:r w:rsidRPr="0029116F">
        <w:rPr>
          <w:rStyle w:val="Hyperlink"/>
          <w:sz w:val="18"/>
          <w:szCs w:val="18"/>
          <w:u w:val="none"/>
        </w:rPr>
        <w:t>page 1 -</w:t>
      </w:r>
      <w:r>
        <w:rPr>
          <w:rStyle w:val="Hyperlink"/>
          <w:sz w:val="18"/>
          <w:szCs w:val="18"/>
          <w:u w:val="none"/>
        </w:rPr>
        <w:t xml:space="preserve"> </w:t>
      </w:r>
      <w:r w:rsidRPr="002A7CF1">
        <w:rPr>
          <w:sz w:val="18"/>
          <w:szCs w:val="18"/>
        </w:rPr>
        <w:t>Ministry of Justice, Criminal Justice system statistics quarterly, September 2020, Table Q5.1. The need for cautioned arises because, according to the Ministry of Justice, ambiguity in the status of small business owners can lead to individual defendants being recorded as corporations, and, by implication, vice versa (for instance, some corporations were recorded as having received sentences only available to natural persons, such as community or custodial sentences. Figures up to September 2020, as opposed to more recent figures, have been used because of the disruption caused to prosecutions due to COVID-19.</w:t>
      </w:r>
    </w:p>
  </w:footnote>
  <w:footnote w:id="6">
    <w:p w14:paraId="133B0B7F" w14:textId="677E3A21" w:rsidR="00E34BC3" w:rsidRPr="008E345D" w:rsidRDefault="00E34BC3">
      <w:pPr>
        <w:pStyle w:val="FootnoteText"/>
        <w:rPr>
          <w:sz w:val="18"/>
          <w:szCs w:val="22"/>
        </w:rPr>
      </w:pPr>
      <w:r>
        <w:rPr>
          <w:rStyle w:val="FootnoteReference"/>
        </w:rPr>
        <w:footnoteRef/>
      </w:r>
      <w:r>
        <w:t xml:space="preserve"> </w:t>
      </w:r>
      <w:r w:rsidRPr="008E345D">
        <w:rPr>
          <w:sz w:val="18"/>
          <w:szCs w:val="18"/>
        </w:rPr>
        <w:t xml:space="preserve">ECCT 2023, Schedule 13: </w:t>
      </w:r>
      <w:hyperlink r:id="rId5" w:history="1">
        <w:r w:rsidR="007A756E" w:rsidRPr="008E345D">
          <w:rPr>
            <w:rStyle w:val="Hyperlink"/>
            <w:sz w:val="18"/>
            <w:szCs w:val="18"/>
          </w:rPr>
          <w:t>https://www.legislation.gov.uk/ukpga/2023/56/schedule/13</w:t>
        </w:r>
      </w:hyperlink>
    </w:p>
  </w:footnote>
  <w:footnote w:id="7">
    <w:p w14:paraId="220E7D7B" w14:textId="77777777" w:rsidR="00D945F1" w:rsidRPr="009C4987" w:rsidRDefault="00D945F1" w:rsidP="00D945F1">
      <w:pPr>
        <w:pStyle w:val="FootnoteText"/>
        <w:rPr>
          <w:sz w:val="18"/>
        </w:rPr>
      </w:pPr>
      <w:r w:rsidRPr="00816E07">
        <w:rPr>
          <w:rStyle w:val="FootnoteReference"/>
          <w:sz w:val="18"/>
          <w:szCs w:val="18"/>
        </w:rPr>
        <w:footnoteRef/>
      </w:r>
      <w:r w:rsidRPr="00816E07">
        <w:rPr>
          <w:sz w:val="18"/>
          <w:szCs w:val="18"/>
        </w:rPr>
        <w:t xml:space="preserve"> </w:t>
      </w:r>
      <w:r>
        <w:rPr>
          <w:sz w:val="18"/>
          <w:szCs w:val="18"/>
        </w:rPr>
        <w:t>I</w:t>
      </w:r>
      <w:r w:rsidRPr="00816E07">
        <w:rPr>
          <w:sz w:val="18"/>
          <w:szCs w:val="18"/>
        </w:rPr>
        <w:t>f the entity were a victim of fraud, consideration of fault would not arise.</w:t>
      </w:r>
    </w:p>
  </w:footnote>
  <w:footnote w:id="8">
    <w:p w14:paraId="20F08CBC" w14:textId="77777777" w:rsidR="00D945F1" w:rsidRPr="00561B0C" w:rsidRDefault="00D945F1" w:rsidP="00D945F1">
      <w:pPr>
        <w:pStyle w:val="FootnoteText"/>
        <w:rPr>
          <w:sz w:val="18"/>
          <w:szCs w:val="18"/>
        </w:rPr>
      </w:pPr>
      <w:r w:rsidRPr="00816E07">
        <w:rPr>
          <w:rStyle w:val="FootnoteReference"/>
          <w:sz w:val="18"/>
          <w:szCs w:val="18"/>
        </w:rPr>
        <w:footnoteRef/>
      </w:r>
      <w:r w:rsidRPr="00816E07">
        <w:rPr>
          <w:sz w:val="18"/>
          <w:szCs w:val="18"/>
        </w:rPr>
        <w:t xml:space="preserve"> Where large is defined as following the Companies Act 2006 definition -  that is they meet two out of three of the following criteria: more than 250 employees, more than £36 million turnover and more than £18 million in total assets.</w:t>
      </w:r>
    </w:p>
  </w:footnote>
  <w:footnote w:id="9">
    <w:p w14:paraId="4753D2DA" w14:textId="77777777" w:rsidR="00D945F1" w:rsidRPr="00045780" w:rsidRDefault="00D945F1" w:rsidP="00D945F1">
      <w:pPr>
        <w:pStyle w:val="FootnoteText"/>
        <w:rPr>
          <w:sz w:val="18"/>
          <w:szCs w:val="18"/>
        </w:rPr>
      </w:pPr>
      <w:r w:rsidRPr="00545C74">
        <w:rPr>
          <w:rStyle w:val="FootnoteReference"/>
          <w:sz w:val="18"/>
          <w:szCs w:val="18"/>
        </w:rPr>
        <w:footnoteRef/>
      </w:r>
      <w:r w:rsidRPr="00545C74">
        <w:rPr>
          <w:sz w:val="18"/>
          <w:szCs w:val="18"/>
        </w:rPr>
        <w:t xml:space="preserve"> </w:t>
      </w:r>
      <w:hyperlink r:id="rId6" w:history="1">
        <w:r w:rsidRPr="00045780">
          <w:rPr>
            <w:rStyle w:val="Hyperlink"/>
            <w:sz w:val="18"/>
            <w:szCs w:val="18"/>
          </w:rPr>
          <w:t>https://www.lawcom.gov.uk/law-commission-seek-views-on-corporate-criminal-liability/</w:t>
        </w:r>
      </w:hyperlink>
      <w:r w:rsidRPr="00045780">
        <w:rPr>
          <w:sz w:val="18"/>
          <w:szCs w:val="18"/>
        </w:rPr>
        <w:t xml:space="preserve"> </w:t>
      </w:r>
    </w:p>
  </w:footnote>
  <w:footnote w:id="10">
    <w:p w14:paraId="18E2AC52" w14:textId="31BA9F89" w:rsidR="00745DE5" w:rsidRDefault="00745DE5" w:rsidP="00745DE5">
      <w:pPr>
        <w:pStyle w:val="FootnoteText"/>
      </w:pPr>
      <w:r>
        <w:rPr>
          <w:rStyle w:val="FootnoteReference"/>
        </w:rPr>
        <w:footnoteRef/>
      </w:r>
      <w:r>
        <w:t xml:space="preserve"> </w:t>
      </w:r>
      <w:r w:rsidRPr="008E345D">
        <w:rPr>
          <w:sz w:val="18"/>
          <w:szCs w:val="22"/>
        </w:rPr>
        <w:t xml:space="preserve">Other failure to prevent offences, not directly relevant to this IA, were examined. These include failure to prevent human rights abuses, failure to prevent ill-treatment or neglect and failure to prevent computer </w:t>
      </w:r>
      <w:r w:rsidR="003F7F8F" w:rsidRPr="008E345D">
        <w:rPr>
          <w:sz w:val="18"/>
          <w:szCs w:val="22"/>
        </w:rPr>
        <w:t>misuse</w:t>
      </w:r>
      <w:r w:rsidRPr="008E345D">
        <w:rPr>
          <w:sz w:val="18"/>
          <w:szCs w:val="22"/>
        </w:rPr>
        <w:t xml:space="preserve">. </w:t>
      </w:r>
    </w:p>
  </w:footnote>
  <w:footnote w:id="11">
    <w:p w14:paraId="22D9D594" w14:textId="07BB9F67" w:rsidR="002F61EF" w:rsidRDefault="002F61EF">
      <w:pPr>
        <w:pStyle w:val="FootnoteText"/>
      </w:pPr>
      <w:r>
        <w:rPr>
          <w:rStyle w:val="FootnoteReference"/>
        </w:rPr>
        <w:footnoteRef/>
      </w:r>
      <w:r>
        <w:t xml:space="preserve"> </w:t>
      </w:r>
      <w:r w:rsidRPr="008E345D">
        <w:rPr>
          <w:sz w:val="18"/>
          <w:szCs w:val="22"/>
        </w:rPr>
        <w:t>The Law Commission paper notes that this is the</w:t>
      </w:r>
      <w:r w:rsidR="005436FD" w:rsidRPr="008E345D">
        <w:rPr>
          <w:sz w:val="18"/>
          <w:szCs w:val="22"/>
        </w:rPr>
        <w:t xml:space="preserve"> general approach taken in Italy.</w:t>
      </w:r>
    </w:p>
  </w:footnote>
  <w:footnote w:id="12">
    <w:p w14:paraId="4AF99630" w14:textId="77738397" w:rsidR="00745DE5" w:rsidRDefault="00745DE5" w:rsidP="00745DE5">
      <w:pPr>
        <w:pStyle w:val="FootnoteText"/>
      </w:pPr>
      <w:r>
        <w:rPr>
          <w:rStyle w:val="FootnoteReference"/>
        </w:rPr>
        <w:footnoteRef/>
      </w:r>
      <w:r>
        <w:t xml:space="preserve"> </w:t>
      </w:r>
      <w:r w:rsidRPr="004C69A8">
        <w:rPr>
          <w:sz w:val="18"/>
          <w:szCs w:val="22"/>
        </w:rPr>
        <w:t xml:space="preserve">The proposals were that this reporting requirement would be based on either the reporting requirements in the Companies Act 2006 section 414CB </w:t>
      </w:r>
      <w:r w:rsidR="00241201">
        <w:rPr>
          <w:sz w:val="18"/>
          <w:szCs w:val="22"/>
        </w:rPr>
        <w:t>(</w:t>
      </w:r>
      <w:r w:rsidR="00272234">
        <w:rPr>
          <w:sz w:val="18"/>
          <w:szCs w:val="22"/>
        </w:rPr>
        <w:t>t</w:t>
      </w:r>
      <w:r w:rsidR="00241201" w:rsidRPr="00241201">
        <w:rPr>
          <w:sz w:val="18"/>
          <w:szCs w:val="22"/>
        </w:rPr>
        <w:t>he non-financial and sustainability information statement</w:t>
      </w:r>
      <w:r w:rsidR="00241201">
        <w:rPr>
          <w:sz w:val="18"/>
          <w:szCs w:val="22"/>
        </w:rPr>
        <w:t xml:space="preserve">) </w:t>
      </w:r>
      <w:r w:rsidRPr="004C69A8">
        <w:rPr>
          <w:sz w:val="18"/>
          <w:szCs w:val="22"/>
        </w:rPr>
        <w:t>or the requirement in section 54 of the Modern Slavery Act 2015.</w:t>
      </w:r>
    </w:p>
  </w:footnote>
  <w:footnote w:id="13">
    <w:p w14:paraId="17B4CF10" w14:textId="258C3BA8" w:rsidR="00730345" w:rsidRPr="004C69A8" w:rsidRDefault="00730345" w:rsidP="002A05A8">
      <w:pPr>
        <w:pStyle w:val="FootnoteText"/>
        <w:rPr>
          <w:sz w:val="18"/>
          <w:szCs w:val="18"/>
        </w:rPr>
      </w:pPr>
      <w:r>
        <w:rPr>
          <w:rStyle w:val="FootnoteReference"/>
        </w:rPr>
        <w:footnoteRef/>
      </w:r>
      <w:r w:rsidR="002A05A8">
        <w:t xml:space="preserve"> </w:t>
      </w:r>
      <w:r w:rsidR="002A05A8" w:rsidRPr="004C69A8">
        <w:rPr>
          <w:sz w:val="18"/>
          <w:szCs w:val="18"/>
        </w:rPr>
        <w:t>“Corporate Criminal Liability: an options paper”, L</w:t>
      </w:r>
      <w:r w:rsidR="00E71A71">
        <w:rPr>
          <w:sz w:val="18"/>
          <w:szCs w:val="18"/>
        </w:rPr>
        <w:t>a</w:t>
      </w:r>
      <w:r w:rsidR="002A05A8" w:rsidRPr="004C69A8">
        <w:rPr>
          <w:sz w:val="18"/>
          <w:szCs w:val="18"/>
        </w:rPr>
        <w:t>w Commission, June 2022</w:t>
      </w:r>
      <w:r w:rsidR="007524A2">
        <w:rPr>
          <w:sz w:val="18"/>
          <w:szCs w:val="18"/>
        </w:rPr>
        <w:t xml:space="preserve">: </w:t>
      </w:r>
      <w:hyperlink r:id="rId7" w:history="1">
        <w:r w:rsidR="007524A2" w:rsidRPr="007524A2">
          <w:rPr>
            <w:rStyle w:val="Hyperlink"/>
            <w:sz w:val="18"/>
            <w:szCs w:val="18"/>
          </w:rPr>
          <w:t>https://lawcom.gov.uk/project/corporate-criminal-liability/</w:t>
        </w:r>
      </w:hyperlink>
      <w:r w:rsidR="002A05A8" w:rsidRPr="00FA1FEC">
        <w:rPr>
          <w:sz w:val="18"/>
          <w:szCs w:val="18"/>
        </w:rPr>
        <w:t xml:space="preserve"> </w:t>
      </w:r>
      <w:r w:rsidR="002A05A8">
        <w:rPr>
          <w:sz w:val="18"/>
          <w:szCs w:val="18"/>
        </w:rPr>
        <w:t xml:space="preserve">and </w:t>
      </w:r>
      <w:r w:rsidR="00E96DB8" w:rsidRPr="004C69A8">
        <w:t>Corporate</w:t>
      </w:r>
      <w:r w:rsidR="00E96DB8" w:rsidRPr="00084B75">
        <w:rPr>
          <w:sz w:val="18"/>
          <w:szCs w:val="18"/>
        </w:rPr>
        <w:t xml:space="preserve"> </w:t>
      </w:r>
      <w:r w:rsidR="00E96DB8" w:rsidRPr="004C69A8">
        <w:t>Criminal</w:t>
      </w:r>
      <w:r w:rsidR="00E96DB8" w:rsidRPr="00084B75">
        <w:rPr>
          <w:sz w:val="18"/>
          <w:szCs w:val="18"/>
        </w:rPr>
        <w:t xml:space="preserve"> </w:t>
      </w:r>
      <w:r w:rsidR="00E96DB8" w:rsidRPr="004C69A8">
        <w:t>Liability</w:t>
      </w:r>
      <w:r w:rsidR="00E96DB8" w:rsidRPr="00084B75">
        <w:rPr>
          <w:sz w:val="18"/>
          <w:szCs w:val="18"/>
        </w:rPr>
        <w:t xml:space="preserve"> </w:t>
      </w:r>
      <w:r w:rsidR="00E96DB8" w:rsidRPr="004C69A8">
        <w:t>Options</w:t>
      </w:r>
      <w:r w:rsidR="00E96DB8" w:rsidRPr="00084B75">
        <w:rPr>
          <w:sz w:val="18"/>
          <w:szCs w:val="18"/>
        </w:rPr>
        <w:t xml:space="preserve"> </w:t>
      </w:r>
      <w:r w:rsidR="00E96DB8" w:rsidRPr="004C69A8">
        <w:t>Paper</w:t>
      </w:r>
      <w:r w:rsidR="00E96DB8">
        <w:rPr>
          <w:sz w:val="18"/>
          <w:szCs w:val="18"/>
        </w:rPr>
        <w:t xml:space="preserve">: </w:t>
      </w:r>
      <w:hyperlink r:id="rId8" w:history="1">
        <w:r w:rsidR="00E96DB8" w:rsidRPr="00E96DB8">
          <w:rPr>
            <w:rStyle w:val="Hyperlink"/>
            <w:sz w:val="18"/>
            <w:szCs w:val="18"/>
          </w:rPr>
          <w:t>https://s3-eu-west-2.amazonaws.com/cloud-platform-e218f50a4812967ba1215eaecede923f/uploads/sites/30/2022/06/Corporate-Criminal-Liability-Options-Paper_LC.pdf</w:t>
        </w:r>
      </w:hyperlink>
    </w:p>
  </w:footnote>
  <w:footnote w:id="14">
    <w:p w14:paraId="2873917F" w14:textId="21B75E47" w:rsidR="0053470F" w:rsidRDefault="0053470F" w:rsidP="0053470F">
      <w:pPr>
        <w:pStyle w:val="FootnoteText"/>
      </w:pPr>
      <w:r>
        <w:rPr>
          <w:rStyle w:val="FootnoteReference"/>
        </w:rPr>
        <w:footnoteRef/>
      </w:r>
      <w:r>
        <w:t xml:space="preserve"> </w:t>
      </w:r>
      <w:r w:rsidRPr="006970C6">
        <w:rPr>
          <w:sz w:val="18"/>
          <w:szCs w:val="22"/>
        </w:rPr>
        <w:t>See sections 11.110 and 11.111 of the Law Commissio</w:t>
      </w:r>
      <w:r w:rsidR="005A6B37">
        <w:rPr>
          <w:sz w:val="18"/>
          <w:szCs w:val="22"/>
        </w:rPr>
        <w:t>n’s Corporate Criminal Liability: an o</w:t>
      </w:r>
      <w:r w:rsidRPr="00A55741">
        <w:rPr>
          <w:sz w:val="18"/>
          <w:szCs w:val="22"/>
        </w:rPr>
        <w:t>ptions paper</w:t>
      </w:r>
      <w:r w:rsidR="00FD5543">
        <w:rPr>
          <w:sz w:val="18"/>
          <w:szCs w:val="22"/>
        </w:rPr>
        <w:t xml:space="preserve">: </w:t>
      </w:r>
      <w:hyperlink r:id="rId9" w:anchor="page=194" w:history="1">
        <w:r w:rsidR="00FD5543" w:rsidRPr="00FD5543">
          <w:rPr>
            <w:rStyle w:val="Hyperlink"/>
            <w:sz w:val="18"/>
            <w:szCs w:val="22"/>
          </w:rPr>
          <w:t>https://s3-eu-west-2.amazonaws.com/cloud-platform-e218f50a4812967ba1215eaecede923f/uploads/sites/30/2022/06/Corporate-Criminal-Liability-Options-Paper_LC.pdf#page=194</w:t>
        </w:r>
      </w:hyperlink>
    </w:p>
  </w:footnote>
  <w:footnote w:id="15">
    <w:p w14:paraId="5CDCED79" w14:textId="12A87F85" w:rsidR="00890362" w:rsidRDefault="00890362">
      <w:pPr>
        <w:pStyle w:val="FootnoteText"/>
      </w:pPr>
      <w:r>
        <w:rPr>
          <w:rStyle w:val="FootnoteReference"/>
        </w:rPr>
        <w:footnoteRef/>
      </w:r>
      <w:r>
        <w:t xml:space="preserve"> </w:t>
      </w:r>
      <w:r w:rsidR="003D320E" w:rsidRPr="006970C6">
        <w:rPr>
          <w:sz w:val="18"/>
          <w:szCs w:val="22"/>
        </w:rPr>
        <w:t>Government Action on Fraud in COVID-19 Support Schemes - GOV.UK (www.gov.uk)</w:t>
      </w:r>
      <w:r w:rsidR="00071AC8" w:rsidRPr="006970C6">
        <w:rPr>
          <w:sz w:val="18"/>
          <w:szCs w:val="22"/>
        </w:rPr>
        <w:t xml:space="preserve"> updated May 2024</w:t>
      </w:r>
      <w:r w:rsidR="003D320E" w:rsidRPr="006970C6">
        <w:rPr>
          <w:sz w:val="18"/>
          <w:szCs w:val="22"/>
        </w:rPr>
        <w:t xml:space="preserve">: </w:t>
      </w:r>
      <w:hyperlink r:id="rId10" w:history="1">
        <w:r w:rsidR="003D320E" w:rsidRPr="006970C6">
          <w:rPr>
            <w:rStyle w:val="Hyperlink"/>
            <w:sz w:val="18"/>
            <w:szCs w:val="22"/>
          </w:rPr>
          <w:t>https://www.gov.uk/government/publications/government-action-on-fraud-in-covid-support-schemes/government-action-on-fraud-in-covid-support-schemes</w:t>
        </w:r>
      </w:hyperlink>
    </w:p>
  </w:footnote>
  <w:footnote w:id="16">
    <w:p w14:paraId="228F1E50" w14:textId="6530CDDB" w:rsidR="003655F5" w:rsidRDefault="003655F5" w:rsidP="003655F5">
      <w:pPr>
        <w:pStyle w:val="FootnoteText"/>
      </w:pPr>
      <w:r>
        <w:rPr>
          <w:rStyle w:val="FootnoteReference"/>
        </w:rPr>
        <w:footnoteRef/>
      </w:r>
      <w:r>
        <w:t xml:space="preserve"> </w:t>
      </w:r>
      <w:r w:rsidRPr="006970C6">
        <w:rPr>
          <w:sz w:val="18"/>
          <w:szCs w:val="22"/>
        </w:rPr>
        <w:t xml:space="preserve">The Economic Crime Survey 2020 </w:t>
      </w:r>
      <w:r w:rsidR="007E6836" w:rsidRPr="006970C6">
        <w:rPr>
          <w:sz w:val="18"/>
          <w:szCs w:val="22"/>
        </w:rPr>
        <w:t>(www.gov.uk):</w:t>
      </w:r>
      <w:hyperlink r:id="rId11" w:history="1">
        <w:r w:rsidR="007E6836" w:rsidRPr="006970C6">
          <w:rPr>
            <w:rStyle w:val="Hyperlink"/>
            <w:sz w:val="18"/>
            <w:szCs w:val="22"/>
          </w:rPr>
          <w:t>https://www.gov.uk/government/publications/economic-crime-survey-2020</w:t>
        </w:r>
      </w:hyperlink>
    </w:p>
  </w:footnote>
  <w:footnote w:id="17">
    <w:p w14:paraId="17EA5CF2" w14:textId="3A0DC050" w:rsidR="009A401E" w:rsidRDefault="009A401E">
      <w:pPr>
        <w:pStyle w:val="FootnoteText"/>
      </w:pPr>
      <w:r>
        <w:rPr>
          <w:rStyle w:val="FootnoteReference"/>
        </w:rPr>
        <w:footnoteRef/>
      </w:r>
      <w:r>
        <w:t xml:space="preserve"> </w:t>
      </w:r>
      <w:r w:rsidRPr="006970C6">
        <w:rPr>
          <w:sz w:val="18"/>
          <w:szCs w:val="18"/>
        </w:rPr>
        <w:t xml:space="preserve">For example, the US Department of Justice lists 30 ongoing </w:t>
      </w:r>
      <w:r w:rsidR="006D402E" w:rsidRPr="006970C6">
        <w:rPr>
          <w:sz w:val="18"/>
          <w:szCs w:val="18"/>
        </w:rPr>
        <w:t>federal fraud cases against corporations:</w:t>
      </w:r>
      <w:r w:rsidR="00AA367E">
        <w:rPr>
          <w:sz w:val="18"/>
          <w:szCs w:val="18"/>
        </w:rPr>
        <w:t xml:space="preserve"> </w:t>
      </w:r>
      <w:hyperlink r:id="rId12" w:history="1">
        <w:r w:rsidR="00AA367E" w:rsidRPr="00AA367E">
          <w:rPr>
            <w:rStyle w:val="Hyperlink"/>
            <w:sz w:val="18"/>
            <w:szCs w:val="18"/>
          </w:rPr>
          <w:t>https://www.justice.gov/corporate-crime/corporate-crime-case-database?f%5B0%5D=cases_index_list_component%3A4271</w:t>
        </w:r>
      </w:hyperlink>
      <w:r w:rsidR="006D402E" w:rsidRPr="006970C6">
        <w:rPr>
          <w:sz w:val="18"/>
          <w:szCs w:val="18"/>
        </w:rPr>
        <w:t xml:space="preserve"> </w:t>
      </w:r>
    </w:p>
  </w:footnote>
  <w:footnote w:id="18">
    <w:p w14:paraId="29FB08AD" w14:textId="3425FC08" w:rsidR="00B253FA" w:rsidRDefault="00B253FA">
      <w:pPr>
        <w:pStyle w:val="FootnoteText"/>
      </w:pPr>
      <w:r>
        <w:rPr>
          <w:rStyle w:val="FootnoteReference"/>
        </w:rPr>
        <w:footnoteRef/>
      </w:r>
      <w:r>
        <w:t xml:space="preserve"> </w:t>
      </w:r>
      <w:r w:rsidRPr="006970C6">
        <w:rPr>
          <w:sz w:val="18"/>
          <w:szCs w:val="22"/>
        </w:rPr>
        <w:t>Economic Crime and Corporate Transparency Act 2023, sections 196</w:t>
      </w:r>
      <w:r w:rsidR="00AA367E" w:rsidRPr="006970C6">
        <w:rPr>
          <w:sz w:val="18"/>
          <w:szCs w:val="22"/>
        </w:rPr>
        <w:t xml:space="preserve"> to </w:t>
      </w:r>
      <w:r w:rsidRPr="006970C6">
        <w:rPr>
          <w:sz w:val="18"/>
          <w:szCs w:val="22"/>
        </w:rPr>
        <w:t>198</w:t>
      </w:r>
      <w:r w:rsidR="002C18C4">
        <w:rPr>
          <w:sz w:val="18"/>
          <w:szCs w:val="22"/>
        </w:rPr>
        <w:t xml:space="preserve">: </w:t>
      </w:r>
      <w:hyperlink r:id="rId13" w:history="1">
        <w:r w:rsidR="002C18C4" w:rsidRPr="002C18C4">
          <w:rPr>
            <w:rStyle w:val="Hyperlink"/>
            <w:sz w:val="18"/>
            <w:szCs w:val="22"/>
          </w:rPr>
          <w:t>https://www.legislation.gov.uk/ukpga/2023/56/part/5/crossheading/attributing-criminal-liability-for-economic-crimes-to-certain-bodies</w:t>
        </w:r>
      </w:hyperlink>
    </w:p>
  </w:footnote>
  <w:footnote w:id="19">
    <w:p w14:paraId="1E88AD44" w14:textId="3042941A" w:rsidR="00D945F1" w:rsidRDefault="00D945F1" w:rsidP="00D945F1">
      <w:pPr>
        <w:pStyle w:val="FootnoteText"/>
      </w:pPr>
      <w:r>
        <w:rPr>
          <w:rStyle w:val="FootnoteReference"/>
        </w:rPr>
        <w:footnoteRef/>
      </w:r>
      <w:r>
        <w:t xml:space="preserve"> </w:t>
      </w:r>
      <w:r w:rsidRPr="006970C6">
        <w:rPr>
          <w:sz w:val="18"/>
          <w:szCs w:val="22"/>
        </w:rPr>
        <w:t>“The Bribery Act 2010: post-legislative scrutiny” House of Lords Select Committee, published March 2019</w:t>
      </w:r>
      <w:r w:rsidR="008F081F">
        <w:rPr>
          <w:sz w:val="18"/>
          <w:szCs w:val="22"/>
        </w:rPr>
        <w:t xml:space="preserve">: </w:t>
      </w:r>
      <w:hyperlink r:id="rId14" w:history="1">
        <w:r w:rsidR="008F081F" w:rsidRPr="008F081F">
          <w:rPr>
            <w:rStyle w:val="Hyperlink"/>
            <w:sz w:val="18"/>
            <w:szCs w:val="22"/>
          </w:rPr>
          <w:t>https://publications.parliament.uk/pa/ld201719/ldselect/ldbribact/303/303.pdf</w:t>
        </w:r>
      </w:hyperlink>
    </w:p>
  </w:footnote>
  <w:footnote w:id="20">
    <w:p w14:paraId="777B36EC" w14:textId="3EA39952" w:rsidR="009F73C6" w:rsidDel="00CE6806" w:rsidRDefault="00CE6806">
      <w:pPr>
        <w:pStyle w:val="FootnoteText"/>
      </w:pPr>
      <w:r>
        <w:rPr>
          <w:rStyle w:val="FootnoteReference"/>
        </w:rPr>
        <w:footnoteRef/>
      </w:r>
      <w:r>
        <w:t xml:space="preserve"> </w:t>
      </w:r>
      <w:r w:rsidRPr="006970C6">
        <w:rPr>
          <w:sz w:val="18"/>
          <w:szCs w:val="22"/>
        </w:rPr>
        <w:t>Business population estimates for the UK and regions 2023: statistical rele</w:t>
      </w:r>
      <w:r w:rsidRPr="006970C6">
        <w:rPr>
          <w:rFonts w:cs="Arial"/>
          <w:sz w:val="18"/>
          <w:szCs w:val="18"/>
        </w:rPr>
        <w:t>ase</w:t>
      </w:r>
      <w:r w:rsidR="00917053" w:rsidRPr="00A45348">
        <w:rPr>
          <w:rFonts w:cs="Arial"/>
          <w:sz w:val="18"/>
          <w:szCs w:val="18"/>
        </w:rPr>
        <w:t>,</w:t>
      </w:r>
      <w:r w:rsidRPr="006970C6">
        <w:rPr>
          <w:rFonts w:cs="Arial"/>
          <w:sz w:val="18"/>
          <w:szCs w:val="18"/>
        </w:rPr>
        <w:t xml:space="preserve"> </w:t>
      </w:r>
      <w:r w:rsidR="00917053" w:rsidRPr="006970C6">
        <w:rPr>
          <w:rFonts w:cs="Arial"/>
          <w:sz w:val="18"/>
          <w:szCs w:val="18"/>
        </w:rPr>
        <w:t>p</w:t>
      </w:r>
      <w:r w:rsidRPr="00A55741">
        <w:rPr>
          <w:rFonts w:cs="Arial"/>
          <w:sz w:val="18"/>
          <w:szCs w:val="18"/>
        </w:rPr>
        <w:t>ublished</w:t>
      </w:r>
      <w:r w:rsidRPr="00A55741">
        <w:rPr>
          <w:sz w:val="18"/>
          <w:szCs w:val="22"/>
        </w:rPr>
        <w:t xml:space="preserve"> 5 October 2023</w:t>
      </w:r>
      <w:r w:rsidR="00917053" w:rsidRPr="00A55741">
        <w:rPr>
          <w:sz w:val="18"/>
          <w:szCs w:val="22"/>
        </w:rPr>
        <w:t xml:space="preserve">: </w:t>
      </w:r>
      <w:hyperlink r:id="rId15" w:history="1">
        <w:r w:rsidR="00917053" w:rsidRPr="006970C6">
          <w:rPr>
            <w:rStyle w:val="Hyperlink"/>
            <w:sz w:val="18"/>
            <w:szCs w:val="22"/>
          </w:rPr>
          <w:t>https://www.gov.uk/government/statistics/business-population-estimates-2023/business-population-estimates-for-the-uk-and-regions-2023-statistical-release</w:t>
        </w:r>
      </w:hyperlink>
      <w:r w:rsidR="00917053" w:rsidRPr="00A55741" w:rsidDel="00917053">
        <w:rPr>
          <w:sz w:val="18"/>
          <w:szCs w:val="22"/>
        </w:rPr>
        <w:t xml:space="preserve"> </w:t>
      </w:r>
    </w:p>
  </w:footnote>
  <w:footnote w:id="21">
    <w:p w14:paraId="4ED3043C" w14:textId="77777777" w:rsidR="00F953D2" w:rsidRDefault="00F953D2">
      <w:pPr>
        <w:pStyle w:val="FootnoteText"/>
      </w:pPr>
      <w:r>
        <w:rPr>
          <w:rStyle w:val="FootnoteReference"/>
        </w:rPr>
        <w:footnoteRef/>
      </w:r>
      <w:r w:rsidR="00847F7B">
        <w:t xml:space="preserve"> </w:t>
      </w:r>
      <w:r w:rsidR="00847F7B" w:rsidRPr="00234F5B">
        <w:rPr>
          <w:sz w:val="18"/>
          <w:szCs w:val="22"/>
        </w:rPr>
        <w:t>For example, the Serious Fraud Office (SFO) website lists 29 serious fraud cases</w:t>
      </w:r>
      <w:r w:rsidR="007854A2" w:rsidRPr="00234F5B">
        <w:rPr>
          <w:sz w:val="18"/>
          <w:szCs w:val="22"/>
        </w:rPr>
        <w:t>, some completed, some ongoing</w:t>
      </w:r>
      <w:r w:rsidR="00847F7B" w:rsidRPr="00234F5B">
        <w:rPr>
          <w:sz w:val="18"/>
          <w:szCs w:val="22"/>
        </w:rPr>
        <w:t>. The perpetrators or alleged perpetrators range from individuals to small companies to international consortia</w:t>
      </w:r>
      <w:r w:rsidR="00D35AE0" w:rsidRPr="00234F5B">
        <w:rPr>
          <w:sz w:val="18"/>
          <w:szCs w:val="22"/>
        </w:rPr>
        <w:t xml:space="preserve">: </w:t>
      </w:r>
      <w:hyperlink r:id="rId16" w:history="1">
        <w:r w:rsidR="00234F5B" w:rsidRPr="00234F5B">
          <w:rPr>
            <w:rStyle w:val="Hyperlink"/>
            <w:sz w:val="18"/>
            <w:szCs w:val="22"/>
          </w:rPr>
          <w:t>https://www.sfo.gov.uk/our-cases/</w:t>
        </w:r>
      </w:hyperlink>
    </w:p>
  </w:footnote>
  <w:footnote w:id="22">
    <w:p w14:paraId="2EC63F93" w14:textId="253DC4D8" w:rsidR="00D53FA9" w:rsidRDefault="00D53FA9">
      <w:pPr>
        <w:pStyle w:val="FootnoteText"/>
      </w:pPr>
      <w:r>
        <w:rPr>
          <w:rStyle w:val="FootnoteReference"/>
        </w:rPr>
        <w:footnoteRef/>
      </w:r>
      <w:r>
        <w:t xml:space="preserve"> </w:t>
      </w:r>
      <w:r w:rsidRPr="009B3F83">
        <w:rPr>
          <w:sz w:val="18"/>
          <w:szCs w:val="22"/>
        </w:rPr>
        <w:t>Section 3.69</w:t>
      </w:r>
      <w:r w:rsidR="00BA0176" w:rsidRPr="009B3F83">
        <w:rPr>
          <w:sz w:val="18"/>
          <w:szCs w:val="22"/>
        </w:rPr>
        <w:t xml:space="preserve"> to </w:t>
      </w:r>
      <w:r w:rsidRPr="009B3F83">
        <w:rPr>
          <w:sz w:val="18"/>
          <w:szCs w:val="22"/>
        </w:rPr>
        <w:t xml:space="preserve">3.72: </w:t>
      </w:r>
      <w:r w:rsidR="00D67F02" w:rsidRPr="009B3F83">
        <w:rPr>
          <w:sz w:val="18"/>
          <w:szCs w:val="22"/>
        </w:rPr>
        <w:t xml:space="preserve">“Corporate Criminal Liability: an options paper”, </w:t>
      </w:r>
      <w:r w:rsidR="00E30805" w:rsidRPr="009B3F83">
        <w:rPr>
          <w:sz w:val="18"/>
          <w:szCs w:val="22"/>
        </w:rPr>
        <w:t>Law Commission 2022.</w:t>
      </w:r>
    </w:p>
  </w:footnote>
  <w:footnote w:id="23">
    <w:p w14:paraId="0681C3F2" w14:textId="1AE9AFCC" w:rsidR="003E2270" w:rsidRDefault="003E2270">
      <w:pPr>
        <w:pStyle w:val="FootnoteText"/>
      </w:pPr>
      <w:r>
        <w:rPr>
          <w:rStyle w:val="FootnoteReference"/>
        </w:rPr>
        <w:footnoteRef/>
      </w:r>
      <w:r>
        <w:t xml:space="preserve"> </w:t>
      </w:r>
      <w:r w:rsidRPr="009B3F83">
        <w:rPr>
          <w:sz w:val="18"/>
          <w:szCs w:val="22"/>
        </w:rPr>
        <w:t>The Law Commission report states “Even with a modest expansion of the identification principle this discrepancy would be likely to persist. If, for instance, the doctrine were expanded to allow identification on the basis of the culpability of a single senior manager , there will inevitably continue to be cases in which a small company would be convicted, but not a large company, because it would be inherently more likely that in the small firm senior managers would be closer to the level at which misconduct took place and therefore more likely to have the knowledge needed to fix the company with liability.”</w:t>
      </w:r>
      <w:r w:rsidR="00FF31F3" w:rsidRPr="009B3F83">
        <w:rPr>
          <w:sz w:val="18"/>
          <w:szCs w:val="22"/>
        </w:rPr>
        <w:t xml:space="preserve"> Note that this is exactly the amendment that was included in the Economic Crime and Corporate </w:t>
      </w:r>
      <w:r w:rsidR="003D0653">
        <w:rPr>
          <w:sz w:val="18"/>
          <w:szCs w:val="22"/>
        </w:rPr>
        <w:t>T</w:t>
      </w:r>
      <w:r w:rsidR="00FF31F3" w:rsidRPr="009B3F83">
        <w:rPr>
          <w:sz w:val="18"/>
          <w:szCs w:val="22"/>
        </w:rPr>
        <w:t>ransparency Act 2023 (sections 196</w:t>
      </w:r>
      <w:r w:rsidR="00BA0176" w:rsidRPr="009B3F83">
        <w:rPr>
          <w:sz w:val="18"/>
          <w:szCs w:val="22"/>
        </w:rPr>
        <w:t xml:space="preserve"> to </w:t>
      </w:r>
      <w:r w:rsidR="00FF31F3" w:rsidRPr="009B3F83">
        <w:rPr>
          <w:sz w:val="18"/>
          <w:szCs w:val="22"/>
        </w:rPr>
        <w:t>198).</w:t>
      </w:r>
    </w:p>
  </w:footnote>
  <w:footnote w:id="24">
    <w:p w14:paraId="00100447" w14:textId="77777777" w:rsidR="004C7BBD" w:rsidRDefault="004C7BBD"/>
  </w:footnote>
  <w:footnote w:id="25">
    <w:p w14:paraId="3B46D0B7" w14:textId="77777777" w:rsidR="002B224D" w:rsidRDefault="002B224D" w:rsidP="002B224D">
      <w:pPr>
        <w:pStyle w:val="FootnoteText"/>
      </w:pPr>
      <w:r>
        <w:rPr>
          <w:rStyle w:val="FootnoteReference"/>
        </w:rPr>
        <w:footnoteRef/>
      </w:r>
      <w:r>
        <w:t xml:space="preserve"> </w:t>
      </w:r>
      <w:r w:rsidRPr="00234F5B">
        <w:rPr>
          <w:sz w:val="18"/>
          <w:szCs w:val="22"/>
        </w:rPr>
        <w:t xml:space="preserve">Note that some charities are incorporated and would therefore be in scope if they meet the criteria to be considered a “large organisation” as described in </w:t>
      </w:r>
      <w:r w:rsidR="003B1CDA" w:rsidRPr="00234F5B">
        <w:rPr>
          <w:sz w:val="18"/>
          <w:szCs w:val="22"/>
        </w:rPr>
        <w:t>the legislation</w:t>
      </w:r>
      <w:r w:rsidRPr="00234F5B">
        <w:rPr>
          <w:sz w:val="18"/>
          <w:szCs w:val="22"/>
        </w:rPr>
        <w:t>.</w:t>
      </w:r>
    </w:p>
  </w:footnote>
  <w:footnote w:id="26">
    <w:p w14:paraId="718342DD" w14:textId="77777777" w:rsidR="00D945F1" w:rsidRPr="00C23109" w:rsidRDefault="00D945F1" w:rsidP="00D945F1">
      <w:pPr>
        <w:pStyle w:val="FootnoteText"/>
        <w:rPr>
          <w:rFonts w:cs="Arial"/>
          <w:sz w:val="18"/>
          <w:szCs w:val="18"/>
        </w:rPr>
      </w:pPr>
      <w:r w:rsidRPr="00C23109">
        <w:rPr>
          <w:rStyle w:val="FootnoteReference"/>
          <w:rFonts w:cs="Arial"/>
          <w:sz w:val="18"/>
          <w:szCs w:val="18"/>
        </w:rPr>
        <w:footnoteRef/>
      </w:r>
      <w:r w:rsidRPr="00C23109">
        <w:rPr>
          <w:rFonts w:cs="Arial"/>
          <w:sz w:val="18"/>
          <w:szCs w:val="18"/>
        </w:rPr>
        <w:t xml:space="preserve"> The definition is in the Economic Crime and Corporate Transparency Act 2023, section 201. Note that this is the same as the definition in the Companies Act 2006, but that definition will be updated, while the one in the ECCT</w:t>
      </w:r>
      <w:r>
        <w:rPr>
          <w:rFonts w:cs="Arial"/>
          <w:sz w:val="18"/>
          <w:szCs w:val="18"/>
        </w:rPr>
        <w:t xml:space="preserve"> 2023</w:t>
      </w:r>
      <w:r w:rsidRPr="00C23109">
        <w:rPr>
          <w:rFonts w:cs="Arial"/>
          <w:sz w:val="18"/>
          <w:szCs w:val="18"/>
        </w:rPr>
        <w:t xml:space="preserve"> will remain. </w:t>
      </w:r>
    </w:p>
  </w:footnote>
  <w:footnote w:id="27">
    <w:p w14:paraId="53A91C62" w14:textId="77777777" w:rsidR="00D945F1" w:rsidRPr="00C23109" w:rsidRDefault="00D945F1" w:rsidP="00D945F1">
      <w:pPr>
        <w:pStyle w:val="FootnoteText"/>
        <w:rPr>
          <w:rFonts w:cs="Arial"/>
          <w:sz w:val="18"/>
          <w:szCs w:val="18"/>
        </w:rPr>
      </w:pPr>
      <w:r w:rsidRPr="00C23109">
        <w:rPr>
          <w:rStyle w:val="FootnoteReference"/>
          <w:rFonts w:cs="Arial"/>
          <w:sz w:val="18"/>
          <w:szCs w:val="18"/>
        </w:rPr>
        <w:footnoteRef/>
      </w:r>
      <w:r w:rsidRPr="00C23109">
        <w:rPr>
          <w:rFonts w:cs="Arial"/>
          <w:sz w:val="18"/>
          <w:szCs w:val="18"/>
        </w:rPr>
        <w:t xml:space="preserve"> Economic Crime and Corporate Transparency Act 2023</w:t>
      </w:r>
      <w:r>
        <w:rPr>
          <w:rFonts w:cs="Arial"/>
          <w:sz w:val="18"/>
          <w:szCs w:val="18"/>
        </w:rPr>
        <w:t>, section 201 to 202:</w:t>
      </w:r>
      <w:r w:rsidRPr="00C23109">
        <w:rPr>
          <w:rFonts w:cs="Arial"/>
          <w:sz w:val="18"/>
          <w:szCs w:val="18"/>
        </w:rPr>
        <w:t xml:space="preserve"> </w:t>
      </w:r>
      <w:hyperlink r:id="rId17" w:history="1">
        <w:r w:rsidRPr="00C23109">
          <w:rPr>
            <w:rStyle w:val="Hyperlink"/>
            <w:rFonts w:cs="Arial"/>
            <w:sz w:val="18"/>
            <w:szCs w:val="18"/>
          </w:rPr>
          <w:t>https://www.legislation.gov.uk/ukpga/2023/56/section/202/2023-12-26</w:t>
        </w:r>
      </w:hyperlink>
    </w:p>
  </w:footnote>
  <w:footnote w:id="28">
    <w:p w14:paraId="19B2BE6F" w14:textId="77777777" w:rsidR="00D945F1" w:rsidRPr="00C23109" w:rsidRDefault="00D945F1" w:rsidP="00D945F1">
      <w:pPr>
        <w:pStyle w:val="FootnoteText"/>
        <w:rPr>
          <w:rFonts w:cs="Arial"/>
          <w:sz w:val="18"/>
          <w:szCs w:val="18"/>
        </w:rPr>
      </w:pPr>
      <w:r w:rsidRPr="00C23109">
        <w:rPr>
          <w:rStyle w:val="FootnoteReference"/>
          <w:rFonts w:cs="Arial"/>
          <w:sz w:val="18"/>
          <w:szCs w:val="18"/>
        </w:rPr>
        <w:footnoteRef/>
      </w:r>
      <w:r w:rsidRPr="00C23109">
        <w:rPr>
          <w:rFonts w:cs="Arial"/>
          <w:sz w:val="18"/>
          <w:szCs w:val="18"/>
        </w:rPr>
        <w:t xml:space="preserve"> </w:t>
      </w:r>
      <w:hyperlink r:id="rId18" w:anchor="fn:4" w:history="1">
        <w:r w:rsidRPr="00C23109">
          <w:rPr>
            <w:rStyle w:val="Hyperlink"/>
            <w:rFonts w:cs="Arial"/>
            <w:sz w:val="18"/>
            <w:szCs w:val="18"/>
          </w:rPr>
          <w:t>https://www.gov.uk/government/calls-for-evidence/smarter-regulation-non-financial-reporting-review-call-for-evidence/smarter-regulation-non-financial-reporting-review-call-for-evidence#fn:4</w:t>
        </w:r>
      </w:hyperlink>
    </w:p>
  </w:footnote>
  <w:footnote w:id="29">
    <w:p w14:paraId="79407233" w14:textId="77777777" w:rsidR="00D945F1" w:rsidRPr="00C23109" w:rsidRDefault="00D945F1" w:rsidP="00D945F1">
      <w:pPr>
        <w:pStyle w:val="FootnoteText"/>
        <w:rPr>
          <w:rFonts w:cs="Arial"/>
          <w:sz w:val="18"/>
          <w:szCs w:val="18"/>
        </w:rPr>
      </w:pPr>
      <w:r w:rsidRPr="00C23109">
        <w:rPr>
          <w:rStyle w:val="FootnoteReference"/>
          <w:rFonts w:cs="Arial"/>
          <w:sz w:val="18"/>
          <w:szCs w:val="18"/>
        </w:rPr>
        <w:footnoteRef/>
      </w:r>
      <w:r w:rsidRPr="00C23109">
        <w:rPr>
          <w:rFonts w:cs="Arial"/>
          <w:sz w:val="18"/>
          <w:szCs w:val="18"/>
        </w:rPr>
        <w:t xml:space="preserve"> </w:t>
      </w:r>
      <w:hyperlink r:id="rId19" w:history="1">
        <w:r w:rsidRPr="00C23109">
          <w:rPr>
            <w:rStyle w:val="Hyperlink"/>
            <w:rFonts w:cs="Arial"/>
            <w:sz w:val="18"/>
            <w:szCs w:val="18"/>
          </w:rPr>
          <w:t>https://www.gov.uk/government/publications/better-regulation-framework/medium-sized-business-regulatory-exemption-assessment-supplementary-guidance--2</w:t>
        </w:r>
      </w:hyperlink>
      <w:r w:rsidRPr="00C23109">
        <w:rPr>
          <w:rFonts w:cs="Arial"/>
          <w:sz w:val="18"/>
          <w:szCs w:val="18"/>
        </w:rPr>
        <w:t xml:space="preserve"> </w:t>
      </w:r>
    </w:p>
  </w:footnote>
  <w:footnote w:id="30">
    <w:p w14:paraId="386A127A" w14:textId="77777777" w:rsidR="00D945F1" w:rsidRPr="00C23109" w:rsidRDefault="00D945F1" w:rsidP="00D945F1">
      <w:pPr>
        <w:pStyle w:val="FootnoteText"/>
        <w:rPr>
          <w:rFonts w:cs="Arial"/>
          <w:sz w:val="18"/>
          <w:szCs w:val="18"/>
        </w:rPr>
      </w:pPr>
      <w:r w:rsidRPr="00C23109">
        <w:rPr>
          <w:rStyle w:val="FootnoteReference"/>
          <w:rFonts w:cs="Arial"/>
          <w:sz w:val="18"/>
          <w:szCs w:val="18"/>
        </w:rPr>
        <w:footnoteRef/>
      </w:r>
      <w:r w:rsidRPr="00C23109">
        <w:rPr>
          <w:rFonts w:cs="Arial"/>
          <w:sz w:val="18"/>
          <w:szCs w:val="18"/>
        </w:rPr>
        <w:t xml:space="preserve"> Criminal Finances Act 2017, Part 3: </w:t>
      </w:r>
      <w:hyperlink r:id="rId20" w:history="1">
        <w:r w:rsidRPr="00C23109">
          <w:rPr>
            <w:rStyle w:val="Hyperlink"/>
            <w:rFonts w:cs="Arial"/>
            <w:sz w:val="18"/>
            <w:szCs w:val="18"/>
          </w:rPr>
          <w:t>https://www.legislation.gov.uk/ukpga/2017/22/part/3</w:t>
        </w:r>
      </w:hyperlink>
    </w:p>
  </w:footnote>
  <w:footnote w:id="31">
    <w:p w14:paraId="5853A737" w14:textId="77777777" w:rsidR="00D945F1" w:rsidRPr="0029116F" w:rsidRDefault="00D945F1" w:rsidP="00D945F1">
      <w:pPr>
        <w:pStyle w:val="FootnoteText"/>
        <w:rPr>
          <w:sz w:val="20"/>
        </w:rPr>
      </w:pPr>
      <w:r w:rsidRPr="00C23109">
        <w:rPr>
          <w:rStyle w:val="FootnoteReference"/>
          <w:rFonts w:cs="Arial"/>
          <w:sz w:val="18"/>
          <w:szCs w:val="18"/>
        </w:rPr>
        <w:footnoteRef/>
      </w:r>
      <w:r w:rsidRPr="00C23109">
        <w:rPr>
          <w:rFonts w:cs="Arial"/>
          <w:sz w:val="18"/>
          <w:szCs w:val="18"/>
        </w:rPr>
        <w:t xml:space="preserve"> See the guidance, “ Corporate offences for failing to prevent criminal facilitation of tax evasion”: </w:t>
      </w:r>
      <w:hyperlink r:id="rId21" w:history="1">
        <w:r w:rsidRPr="005727B4">
          <w:rPr>
            <w:rStyle w:val="Hyperlink"/>
            <w:rFonts w:cs="Arial"/>
            <w:sz w:val="18"/>
            <w:szCs w:val="18"/>
          </w:rPr>
          <w:t>https://www.gov.uk/government/publications/corporate-offences-for-failing-to-prevent-criminal-facilitation-of-tax-evasion</w:t>
        </w:r>
      </w:hyperlink>
      <w:hyperlink w:history="1">
        <w:r w:rsidRPr="0076240B" w:rsidDel="005727B4">
          <w:rPr>
            <w:rStyle w:val="Hyperlink"/>
            <w:rFonts w:cs="Arial"/>
            <w:sz w:val="18"/>
            <w:szCs w:val="18"/>
          </w:rPr>
          <w:t>Corporate offences for failing to prevent criminal facilitation of tax evasion - GOV.UK (www.gov.uk)</w:t>
        </w:r>
      </w:hyperlink>
      <w:r w:rsidRPr="0029116F" w:rsidDel="005727B4">
        <w:rPr>
          <w:sz w:val="20"/>
        </w:rPr>
        <w:t xml:space="preserve"> </w:t>
      </w:r>
    </w:p>
  </w:footnote>
  <w:footnote w:id="32">
    <w:p w14:paraId="168967CF" w14:textId="655D7CA1" w:rsidR="002A39D1" w:rsidRDefault="002A39D1">
      <w:pPr>
        <w:pStyle w:val="FootnoteText"/>
      </w:pPr>
      <w:r>
        <w:rPr>
          <w:rStyle w:val="FootnoteReference"/>
        </w:rPr>
        <w:footnoteRef/>
      </w:r>
      <w:r>
        <w:t xml:space="preserve"> </w:t>
      </w:r>
      <w:r w:rsidRPr="0037693F">
        <w:rPr>
          <w:sz w:val="18"/>
          <w:szCs w:val="18"/>
        </w:rPr>
        <w:t xml:space="preserve">See footnote no. </w:t>
      </w:r>
      <w:r w:rsidR="001F6482" w:rsidRPr="0037693F">
        <w:rPr>
          <w:sz w:val="18"/>
          <w:szCs w:val="18"/>
        </w:rPr>
        <w:t>28</w:t>
      </w:r>
    </w:p>
  </w:footnote>
  <w:footnote w:id="33">
    <w:p w14:paraId="73F36329" w14:textId="2B3D73A9" w:rsidR="00857166" w:rsidRDefault="00857166">
      <w:pPr>
        <w:pStyle w:val="FootnoteText"/>
      </w:pPr>
      <w:r>
        <w:rPr>
          <w:rStyle w:val="FootnoteReference"/>
        </w:rPr>
        <w:footnoteRef/>
      </w:r>
      <w:r>
        <w:t xml:space="preserve"> </w:t>
      </w:r>
      <w:r w:rsidRPr="00C23109">
        <w:rPr>
          <w:rStyle w:val="Hyperlink"/>
          <w:sz w:val="18"/>
          <w:szCs w:val="18"/>
          <w:u w:val="none"/>
        </w:rPr>
        <w:t xml:space="preserve">The figures were </w:t>
      </w:r>
      <w:r w:rsidR="009E1AF7">
        <w:rPr>
          <w:rStyle w:val="Hyperlink"/>
          <w:sz w:val="18"/>
          <w:szCs w:val="18"/>
          <w:u w:val="none"/>
        </w:rPr>
        <w:t>from</w:t>
      </w:r>
      <w:r w:rsidR="004A66C1">
        <w:rPr>
          <w:rStyle w:val="Hyperlink"/>
          <w:sz w:val="18"/>
          <w:szCs w:val="18"/>
          <w:u w:val="none"/>
        </w:rPr>
        <w:t xml:space="preserve"> </w:t>
      </w:r>
      <w:r w:rsidRPr="00C23109">
        <w:rPr>
          <w:rStyle w:val="Hyperlink"/>
          <w:sz w:val="18"/>
          <w:szCs w:val="18"/>
          <w:u w:val="none"/>
        </w:rPr>
        <w:t>BPE 202</w:t>
      </w:r>
      <w:r w:rsidR="004E1C48">
        <w:rPr>
          <w:rStyle w:val="Hyperlink"/>
          <w:sz w:val="18"/>
          <w:szCs w:val="18"/>
          <w:u w:val="none"/>
        </w:rPr>
        <w:t>1</w:t>
      </w:r>
      <w:r>
        <w:rPr>
          <w:rStyle w:val="Hyperlink"/>
          <w:sz w:val="20"/>
        </w:rPr>
        <w:t>.</w:t>
      </w:r>
      <w:r>
        <w:rPr>
          <w:sz w:val="18"/>
          <w:szCs w:val="18"/>
        </w:rPr>
        <w:t xml:space="preserve">  </w:t>
      </w:r>
      <w:r w:rsidRPr="00C23109">
        <w:rPr>
          <w:sz w:val="18"/>
          <w:szCs w:val="18"/>
        </w:rPr>
        <w:t>Business population estimates for the UK and regions 202</w:t>
      </w:r>
      <w:r w:rsidR="004E1C48">
        <w:rPr>
          <w:sz w:val="18"/>
          <w:szCs w:val="18"/>
        </w:rPr>
        <w:t>1</w:t>
      </w:r>
      <w:r w:rsidRPr="00C23109">
        <w:rPr>
          <w:sz w:val="18"/>
          <w:szCs w:val="18"/>
        </w:rPr>
        <w:t xml:space="preserve">: statistical release (HTML) - GOV.UK: </w:t>
      </w:r>
      <w:hyperlink r:id="rId22" w:history="1">
        <w:r w:rsidR="005C36D9" w:rsidRPr="005C36D9">
          <w:rPr>
            <w:rStyle w:val="Hyperlink"/>
            <w:sz w:val="18"/>
            <w:szCs w:val="18"/>
          </w:rPr>
          <w:t>https://www.gov.uk/government/statistics/business-population-estimates-2021</w:t>
        </w:r>
      </w:hyperlink>
    </w:p>
  </w:footnote>
  <w:footnote w:id="34">
    <w:p w14:paraId="19A95107" w14:textId="2EF73095" w:rsidR="00CB2121" w:rsidRPr="008916F9" w:rsidRDefault="00CB2121">
      <w:pPr>
        <w:pStyle w:val="FootnoteText"/>
        <w:rPr>
          <w:rFonts w:cs="Arial"/>
          <w:sz w:val="18"/>
          <w:szCs w:val="18"/>
        </w:rPr>
      </w:pPr>
      <w:r>
        <w:rPr>
          <w:rStyle w:val="FootnoteReference"/>
        </w:rPr>
        <w:footnoteRef/>
      </w:r>
      <w:r>
        <w:t xml:space="preserve"> </w:t>
      </w:r>
      <w:r w:rsidRPr="008916F9">
        <w:rPr>
          <w:rStyle w:val="cf01"/>
          <w:rFonts w:ascii="Arial" w:hAnsi="Arial" w:cs="Arial"/>
        </w:rPr>
        <w:t xml:space="preserve">Fame - Digital Marketplace – Fame is a source of company information in the UK and Ireland: </w:t>
      </w:r>
      <w:hyperlink r:id="rId23" w:history="1">
        <w:r w:rsidRPr="008916F9">
          <w:rPr>
            <w:rStyle w:val="cf01"/>
            <w:rFonts w:ascii="Arial" w:hAnsi="Arial" w:cs="Arial"/>
            <w:u w:val="single"/>
          </w:rPr>
          <w:t>https://www.digitalmarketplace.service.gov.uk/g-cloud/services/279752966611539</w:t>
        </w:r>
      </w:hyperlink>
    </w:p>
  </w:footnote>
  <w:footnote w:id="35">
    <w:p w14:paraId="1984C864" w14:textId="39B3A4E0" w:rsidR="00595C3E" w:rsidRPr="0037693F" w:rsidRDefault="00595C3E">
      <w:pPr>
        <w:pStyle w:val="FootnoteText"/>
        <w:rPr>
          <w:sz w:val="18"/>
          <w:szCs w:val="22"/>
        </w:rPr>
      </w:pPr>
      <w:r>
        <w:rPr>
          <w:rStyle w:val="FootnoteReference"/>
        </w:rPr>
        <w:footnoteRef/>
      </w:r>
      <w:r>
        <w:t xml:space="preserve"> </w:t>
      </w:r>
      <w:r w:rsidR="00052FEC" w:rsidRPr="0037693F">
        <w:rPr>
          <w:sz w:val="18"/>
          <w:szCs w:val="22"/>
        </w:rPr>
        <w:t xml:space="preserve">The offence of failure to prevent fraud applies across the </w:t>
      </w:r>
      <w:r w:rsidR="003B729A" w:rsidRPr="0037693F">
        <w:rPr>
          <w:sz w:val="18"/>
          <w:szCs w:val="22"/>
        </w:rPr>
        <w:t>UK,</w:t>
      </w:r>
    </w:p>
  </w:footnote>
  <w:footnote w:id="36">
    <w:p w14:paraId="13EA6972" w14:textId="29230B8B" w:rsidR="00857166" w:rsidRPr="00857166" w:rsidRDefault="00857166" w:rsidP="00857166">
      <w:pPr>
        <w:rPr>
          <w:rFonts w:cs="Arial"/>
          <w:b/>
          <w:sz w:val="22"/>
          <w:szCs w:val="22"/>
          <w:lang w:eastAsia="en-GB"/>
        </w:rPr>
      </w:pPr>
      <w:r>
        <w:rPr>
          <w:rStyle w:val="FootnoteReference"/>
        </w:rPr>
        <w:footnoteRef/>
      </w:r>
      <w:r>
        <w:t xml:space="preserve"> </w:t>
      </w:r>
      <w:r w:rsidRPr="00C23109">
        <w:rPr>
          <w:sz w:val="18"/>
          <w:szCs w:val="22"/>
        </w:rPr>
        <w:t xml:space="preserve">Note that if </w:t>
      </w:r>
      <w:r>
        <w:rPr>
          <w:sz w:val="18"/>
          <w:szCs w:val="22"/>
        </w:rPr>
        <w:t>g</w:t>
      </w:r>
      <w:r w:rsidRPr="00C23109">
        <w:rPr>
          <w:sz w:val="18"/>
          <w:szCs w:val="22"/>
        </w:rPr>
        <w:t>overnment had used the definitions of small and medium business in the “Medium sized business regulatory exemption assessment: supplementary guidance”, as mentioned in paragraph</w:t>
      </w:r>
      <w:r w:rsidR="00417089">
        <w:rPr>
          <w:sz w:val="18"/>
          <w:szCs w:val="22"/>
        </w:rPr>
        <w:t>s</w:t>
      </w:r>
      <w:r w:rsidRPr="00C23109">
        <w:rPr>
          <w:sz w:val="18"/>
          <w:szCs w:val="22"/>
        </w:rPr>
        <w:t xml:space="preserve"> </w:t>
      </w:r>
      <w:r w:rsidR="00417089">
        <w:rPr>
          <w:sz w:val="18"/>
          <w:szCs w:val="22"/>
        </w:rPr>
        <w:fldChar w:fldCharType="begin"/>
      </w:r>
      <w:r w:rsidR="00417089">
        <w:rPr>
          <w:sz w:val="18"/>
          <w:szCs w:val="22"/>
        </w:rPr>
        <w:instrText xml:space="preserve"> REF _Ref176441459 \r \h </w:instrText>
      </w:r>
      <w:r w:rsidR="00417089">
        <w:rPr>
          <w:sz w:val="18"/>
          <w:szCs w:val="22"/>
        </w:rPr>
      </w:r>
      <w:r w:rsidR="00417089">
        <w:rPr>
          <w:sz w:val="18"/>
          <w:szCs w:val="22"/>
        </w:rPr>
        <w:fldChar w:fldCharType="separate"/>
      </w:r>
      <w:r w:rsidR="00D356B9">
        <w:rPr>
          <w:sz w:val="18"/>
          <w:szCs w:val="22"/>
        </w:rPr>
        <w:t>53</w:t>
      </w:r>
      <w:r w:rsidR="00417089">
        <w:rPr>
          <w:sz w:val="18"/>
          <w:szCs w:val="22"/>
        </w:rPr>
        <w:fldChar w:fldCharType="end"/>
      </w:r>
      <w:r w:rsidR="00F11741">
        <w:rPr>
          <w:sz w:val="18"/>
          <w:szCs w:val="22"/>
        </w:rPr>
        <w:t xml:space="preserve"> to </w:t>
      </w:r>
      <w:r w:rsidR="00417089">
        <w:rPr>
          <w:sz w:val="18"/>
          <w:szCs w:val="22"/>
        </w:rPr>
        <w:fldChar w:fldCharType="begin"/>
      </w:r>
      <w:r w:rsidR="00417089">
        <w:rPr>
          <w:sz w:val="18"/>
          <w:szCs w:val="22"/>
        </w:rPr>
        <w:instrText xml:space="preserve"> REF _Ref176441461 \r \h </w:instrText>
      </w:r>
      <w:r w:rsidR="00417089">
        <w:rPr>
          <w:sz w:val="18"/>
          <w:szCs w:val="22"/>
        </w:rPr>
      </w:r>
      <w:r w:rsidR="00417089">
        <w:rPr>
          <w:sz w:val="18"/>
          <w:szCs w:val="22"/>
        </w:rPr>
        <w:fldChar w:fldCharType="separate"/>
      </w:r>
      <w:r w:rsidR="00D356B9">
        <w:rPr>
          <w:sz w:val="18"/>
          <w:szCs w:val="22"/>
        </w:rPr>
        <w:t>54</w:t>
      </w:r>
      <w:r w:rsidR="00417089">
        <w:rPr>
          <w:sz w:val="18"/>
          <w:szCs w:val="22"/>
        </w:rPr>
        <w:fldChar w:fldCharType="end"/>
      </w:r>
      <w:r w:rsidRPr="00C23109">
        <w:rPr>
          <w:sz w:val="18"/>
          <w:szCs w:val="22"/>
        </w:rPr>
        <w:t>, only companies with more than 500 employees would be in scope of the offence. </w:t>
      </w:r>
    </w:p>
  </w:footnote>
  <w:footnote w:id="37">
    <w:p w14:paraId="1ABDB998" w14:textId="0AD9A685" w:rsidR="008E4E75" w:rsidRDefault="008E4E75">
      <w:pPr>
        <w:pStyle w:val="FootnoteText"/>
      </w:pPr>
      <w:r>
        <w:rPr>
          <w:rStyle w:val="FootnoteReference"/>
        </w:rPr>
        <w:footnoteRef/>
      </w:r>
      <w:r>
        <w:t xml:space="preserve"> </w:t>
      </w:r>
      <w:r w:rsidR="00DC0234" w:rsidRPr="0029116F">
        <w:rPr>
          <w:sz w:val="18"/>
          <w:szCs w:val="18"/>
        </w:rPr>
        <w:t>Economic Crime Survey 2020 - GOV.UK (</w:t>
      </w:r>
      <w:hyperlink r:id="rId24" w:history="1">
        <w:r w:rsidR="00DC0234" w:rsidRPr="0029116F">
          <w:rPr>
            <w:rStyle w:val="Hyperlink"/>
            <w:sz w:val="18"/>
            <w:szCs w:val="18"/>
          </w:rPr>
          <w:t>www.gov.uk</w:t>
        </w:r>
      </w:hyperlink>
      <w:r w:rsidR="00DC0234" w:rsidRPr="0029116F">
        <w:rPr>
          <w:sz w:val="18"/>
          <w:szCs w:val="18"/>
        </w:rPr>
        <w:t xml:space="preserve">): </w:t>
      </w:r>
      <w:hyperlink r:id="rId25" w:anchor="section5" w:history="1">
        <w:r w:rsidR="00DC0234" w:rsidRPr="0029116F">
          <w:rPr>
            <w:rStyle w:val="Hyperlink"/>
            <w:sz w:val="18"/>
            <w:szCs w:val="18"/>
          </w:rPr>
          <w:t>https://www.gov.uk/government/publications/economic-crime-survey-2020/economic-crime-survey-2020#section5</w:t>
        </w:r>
      </w:hyperlink>
    </w:p>
  </w:footnote>
  <w:footnote w:id="38">
    <w:p w14:paraId="14BBA9A1" w14:textId="5AD60332" w:rsidR="00CE1F8D" w:rsidRDefault="00CE1F8D">
      <w:pPr>
        <w:pStyle w:val="FootnoteText"/>
      </w:pPr>
      <w:r>
        <w:rPr>
          <w:rStyle w:val="FootnoteReference"/>
        </w:rPr>
        <w:footnoteRef/>
      </w:r>
      <w:r w:rsidRPr="0029116F">
        <w:rPr>
          <w:sz w:val="18"/>
          <w:szCs w:val="22"/>
        </w:rPr>
        <w:t xml:space="preserve"> </w:t>
      </w:r>
      <w:r w:rsidR="00DC0234" w:rsidRPr="0029116F">
        <w:rPr>
          <w:sz w:val="18"/>
          <w:szCs w:val="22"/>
        </w:rPr>
        <w:t>Economic Crime Survey 2020 - GOV.UK (</w:t>
      </w:r>
      <w:hyperlink r:id="rId26" w:history="1">
        <w:r w:rsidR="00DC0234" w:rsidRPr="0029116F">
          <w:rPr>
            <w:rStyle w:val="Hyperlink"/>
            <w:sz w:val="18"/>
            <w:szCs w:val="22"/>
          </w:rPr>
          <w:t>www.gov.uk</w:t>
        </w:r>
      </w:hyperlink>
      <w:r w:rsidR="00DC0234" w:rsidRPr="0029116F">
        <w:rPr>
          <w:sz w:val="18"/>
          <w:szCs w:val="22"/>
        </w:rPr>
        <w:t xml:space="preserve">): </w:t>
      </w:r>
      <w:hyperlink r:id="rId27" w:anchor="section5" w:history="1">
        <w:r w:rsidR="00DC0234" w:rsidRPr="0029116F">
          <w:rPr>
            <w:rStyle w:val="Hyperlink"/>
            <w:sz w:val="18"/>
            <w:szCs w:val="22"/>
          </w:rPr>
          <w:t>https://www.gov.uk/government/publications/economic-crime-survey-2020/economic-crime-survey-2020#section5</w:t>
        </w:r>
      </w:hyperlink>
    </w:p>
  </w:footnote>
  <w:footnote w:id="39">
    <w:p w14:paraId="394F9FDC" w14:textId="03ED09CA" w:rsidR="00E772C5" w:rsidRPr="008C0ECE" w:rsidRDefault="00E772C5" w:rsidP="00385333">
      <w:pPr>
        <w:pStyle w:val="FootnoteText"/>
        <w:rPr>
          <w:sz w:val="18"/>
          <w:szCs w:val="18"/>
        </w:rPr>
      </w:pPr>
      <w:r w:rsidRPr="008C0ECE">
        <w:rPr>
          <w:rStyle w:val="FootnoteReference"/>
          <w:sz w:val="18"/>
          <w:szCs w:val="18"/>
        </w:rPr>
        <w:footnoteRef/>
      </w:r>
      <w:r w:rsidRPr="008C0ECE">
        <w:rPr>
          <w:sz w:val="18"/>
          <w:szCs w:val="18"/>
        </w:rPr>
        <w:t xml:space="preserve"> </w:t>
      </w:r>
      <w:r w:rsidR="00A07C1F" w:rsidRPr="0029116F">
        <w:rPr>
          <w:sz w:val="18"/>
          <w:szCs w:val="18"/>
        </w:rPr>
        <w:t>Better regulation framework</w:t>
      </w:r>
      <w:r w:rsidR="009545ED">
        <w:rPr>
          <w:sz w:val="18"/>
          <w:szCs w:val="18"/>
        </w:rPr>
        <w:t xml:space="preserve">: </w:t>
      </w:r>
      <w:r w:rsidR="005517EE">
        <w:rPr>
          <w:sz w:val="18"/>
          <w:szCs w:val="18"/>
        </w:rPr>
        <w:t>interim guidance</w:t>
      </w:r>
      <w:r w:rsidR="00A07C1F" w:rsidRPr="0029116F">
        <w:rPr>
          <w:sz w:val="18"/>
          <w:szCs w:val="18"/>
        </w:rPr>
        <w:t xml:space="preserve"> - GOV.UK</w:t>
      </w:r>
      <w:r w:rsidR="00A07C1F">
        <w:rPr>
          <w:sz w:val="18"/>
          <w:szCs w:val="18"/>
        </w:rPr>
        <w:t xml:space="preserve">: </w:t>
      </w:r>
      <w:hyperlink r:id="rId28" w:history="1">
        <w:r w:rsidR="00A07C1F" w:rsidRPr="00A07C1F">
          <w:rPr>
            <w:rStyle w:val="Hyperlink"/>
            <w:sz w:val="18"/>
            <w:szCs w:val="18"/>
          </w:rPr>
          <w:t>https://www.gov.uk/government/publications/better-regulation-framework</w:t>
        </w:r>
      </w:hyperlink>
    </w:p>
  </w:footnote>
  <w:footnote w:id="40">
    <w:p w14:paraId="0D019FFB" w14:textId="78312BF8" w:rsidR="00E772C5" w:rsidRPr="00596C0E" w:rsidRDefault="00E772C5">
      <w:pPr>
        <w:pStyle w:val="FootnoteText"/>
        <w:rPr>
          <w:sz w:val="18"/>
          <w:szCs w:val="18"/>
        </w:rPr>
      </w:pPr>
      <w:r w:rsidRPr="00596C0E">
        <w:rPr>
          <w:rStyle w:val="FootnoteReference"/>
          <w:sz w:val="18"/>
          <w:szCs w:val="18"/>
        </w:rPr>
        <w:footnoteRef/>
      </w:r>
      <w:r w:rsidRPr="00596C0E">
        <w:rPr>
          <w:sz w:val="18"/>
          <w:szCs w:val="18"/>
        </w:rPr>
        <w:t xml:space="preserve"> </w:t>
      </w:r>
      <w:r w:rsidR="00A07C1F" w:rsidRPr="0029116F">
        <w:rPr>
          <w:sz w:val="18"/>
          <w:szCs w:val="18"/>
        </w:rPr>
        <w:t>The Green Book (publishing.service.gov.uk)</w:t>
      </w:r>
      <w:r w:rsidR="00A07C1F" w:rsidRPr="006C62A5">
        <w:rPr>
          <w:sz w:val="18"/>
          <w:szCs w:val="18"/>
        </w:rPr>
        <w:t xml:space="preserve">: </w:t>
      </w:r>
      <w:hyperlink r:id="rId29" w:history="1">
        <w:r w:rsidR="00A07C1F" w:rsidRPr="00A07C1F">
          <w:rPr>
            <w:rStyle w:val="Hyperlink"/>
            <w:sz w:val="18"/>
            <w:szCs w:val="18"/>
          </w:rPr>
          <w:t>https://assets.publishing.service.gov.uk/government/uploads/system/uploads/attachment_data/file/1063330/Green_Book_2022.pdf</w:t>
        </w:r>
      </w:hyperlink>
    </w:p>
  </w:footnote>
  <w:footnote w:id="41">
    <w:p w14:paraId="77BF2C47" w14:textId="43ED464F" w:rsidR="00E772C5" w:rsidRPr="00596C0E" w:rsidRDefault="00E772C5">
      <w:pPr>
        <w:pStyle w:val="FootnoteText"/>
        <w:rPr>
          <w:sz w:val="18"/>
          <w:szCs w:val="18"/>
        </w:rPr>
      </w:pPr>
      <w:r w:rsidRPr="00596C0E">
        <w:rPr>
          <w:rStyle w:val="FootnoteReference"/>
          <w:sz w:val="18"/>
          <w:szCs w:val="18"/>
        </w:rPr>
        <w:footnoteRef/>
      </w:r>
      <w:r w:rsidRPr="00596C0E">
        <w:rPr>
          <w:sz w:val="18"/>
          <w:szCs w:val="18"/>
        </w:rPr>
        <w:t xml:space="preserve"> </w:t>
      </w:r>
      <w:r w:rsidR="00027FCC" w:rsidRPr="00C23109">
        <w:rPr>
          <w:sz w:val="18"/>
          <w:szCs w:val="18"/>
        </w:rPr>
        <w:t xml:space="preserve">Free Speed Reading Test: How fast do you read? (readingsoft.com): </w:t>
      </w:r>
      <w:hyperlink r:id="rId30" w:history="1">
        <w:r w:rsidR="00027FCC" w:rsidRPr="00C23109">
          <w:rPr>
            <w:rStyle w:val="Hyperlink"/>
            <w:sz w:val="18"/>
            <w:szCs w:val="18"/>
          </w:rPr>
          <w:t>https://readingsoft.com/</w:t>
        </w:r>
      </w:hyperlink>
    </w:p>
  </w:footnote>
  <w:footnote w:id="42">
    <w:p w14:paraId="3C5CBDDF" w14:textId="2A258D27" w:rsidR="006B35D8" w:rsidRDefault="006B35D8">
      <w:pPr>
        <w:pStyle w:val="FootnoteText"/>
      </w:pPr>
      <w:r>
        <w:rPr>
          <w:rStyle w:val="FootnoteReference"/>
        </w:rPr>
        <w:footnoteRef/>
      </w:r>
      <w:r>
        <w:t xml:space="preserve"> </w:t>
      </w:r>
      <w:r w:rsidRPr="0029116F">
        <w:rPr>
          <w:sz w:val="18"/>
          <w:szCs w:val="22"/>
        </w:rPr>
        <w:t>Sensitivity analysis has been undertaken to consider the impact on costs if this assumption does not hold and there are already companies which have sufficient anti-fraud measures in place and therefore do not have to change behaviour as a result of this regulation.</w:t>
      </w:r>
    </w:p>
  </w:footnote>
  <w:footnote w:id="43">
    <w:p w14:paraId="35B3F945" w14:textId="747ADA23" w:rsidR="00894610" w:rsidRDefault="00894610">
      <w:pPr>
        <w:pStyle w:val="FootnoteText"/>
      </w:pPr>
      <w:r>
        <w:rPr>
          <w:rStyle w:val="FootnoteReference"/>
        </w:rPr>
        <w:footnoteRef/>
      </w:r>
      <w:r>
        <w:t xml:space="preserve"> </w:t>
      </w:r>
      <w:r w:rsidRPr="0029116F">
        <w:rPr>
          <w:sz w:val="18"/>
          <w:szCs w:val="22"/>
        </w:rPr>
        <w:t>There is no way of disentangling the level of training/communication in place</w:t>
      </w:r>
      <w:r w:rsidR="00763961">
        <w:rPr>
          <w:sz w:val="18"/>
          <w:szCs w:val="22"/>
        </w:rPr>
        <w:t>.</w:t>
      </w:r>
    </w:p>
  </w:footnote>
  <w:footnote w:id="44">
    <w:p w14:paraId="19B487B0" w14:textId="5F458EEC" w:rsidR="0080518A" w:rsidRDefault="0080518A">
      <w:pPr>
        <w:pStyle w:val="FootnoteText"/>
      </w:pPr>
      <w:r>
        <w:rPr>
          <w:rStyle w:val="FootnoteReference"/>
        </w:rPr>
        <w:footnoteRef/>
      </w:r>
      <w:r>
        <w:t xml:space="preserve"> </w:t>
      </w:r>
      <w:r w:rsidR="008B4AB0" w:rsidRPr="0029116F">
        <w:rPr>
          <w:sz w:val="18"/>
          <w:szCs w:val="22"/>
        </w:rPr>
        <w:t>Economic Crime Survey 2020 - GOV.UK (</w:t>
      </w:r>
      <w:hyperlink r:id="rId31" w:history="1">
        <w:r w:rsidR="008B4AB0" w:rsidRPr="0029116F">
          <w:rPr>
            <w:rStyle w:val="Hyperlink"/>
            <w:sz w:val="18"/>
            <w:szCs w:val="22"/>
          </w:rPr>
          <w:t>www.gov.uk</w:t>
        </w:r>
      </w:hyperlink>
      <w:r w:rsidR="008B4AB0" w:rsidRPr="0029116F">
        <w:rPr>
          <w:sz w:val="18"/>
          <w:szCs w:val="22"/>
        </w:rPr>
        <w:t xml:space="preserve">): </w:t>
      </w:r>
      <w:hyperlink r:id="rId32" w:anchor="section5" w:history="1">
        <w:r w:rsidR="008B4AB0" w:rsidRPr="0029116F">
          <w:rPr>
            <w:rStyle w:val="Hyperlink"/>
            <w:sz w:val="18"/>
            <w:szCs w:val="22"/>
          </w:rPr>
          <w:t>https://www.gov.uk/government/publications/economic-crime-survey-2020/economic-crime-survey-2020#section5</w:t>
        </w:r>
      </w:hyperlink>
    </w:p>
  </w:footnote>
  <w:footnote w:id="45">
    <w:p w14:paraId="3BEE293E" w14:textId="58339150" w:rsidR="00E772C5" w:rsidRPr="00596C0E" w:rsidRDefault="00E772C5">
      <w:pPr>
        <w:pStyle w:val="FootnoteText"/>
        <w:rPr>
          <w:sz w:val="18"/>
          <w:szCs w:val="18"/>
        </w:rPr>
      </w:pPr>
      <w:r w:rsidRPr="00596C0E">
        <w:rPr>
          <w:rStyle w:val="FootnoteReference"/>
          <w:sz w:val="18"/>
          <w:szCs w:val="18"/>
        </w:rPr>
        <w:footnoteRef/>
      </w:r>
      <w:r w:rsidRPr="00596C0E">
        <w:rPr>
          <w:sz w:val="18"/>
          <w:szCs w:val="18"/>
        </w:rPr>
        <w:t xml:space="preserve"> </w:t>
      </w:r>
      <w:r w:rsidR="006C62A5" w:rsidRPr="0029116F">
        <w:rPr>
          <w:sz w:val="18"/>
          <w:szCs w:val="18"/>
        </w:rPr>
        <w:t>Business population estimates for the UK and regions 202</w:t>
      </w:r>
      <w:r w:rsidR="003F3E6A">
        <w:rPr>
          <w:sz w:val="18"/>
          <w:szCs w:val="18"/>
        </w:rPr>
        <w:t>1</w:t>
      </w:r>
      <w:r w:rsidR="006C62A5" w:rsidRPr="0029116F">
        <w:rPr>
          <w:sz w:val="18"/>
          <w:szCs w:val="18"/>
        </w:rPr>
        <w:t>: statistical release (HTML) - GOV.UK</w:t>
      </w:r>
      <w:r w:rsidR="00027FCC">
        <w:rPr>
          <w:rStyle w:val="Hyperlink"/>
        </w:rPr>
        <w:t xml:space="preserve">: </w:t>
      </w:r>
      <w:hyperlink r:id="rId33" w:history="1">
        <w:r w:rsidR="00027FCC" w:rsidRPr="00C23109">
          <w:rPr>
            <w:rStyle w:val="Hyperlink"/>
            <w:sz w:val="18"/>
            <w:szCs w:val="22"/>
          </w:rPr>
          <w:t>https://www.gov.uk/government/statistics/business-population-estimates-2021</w:t>
        </w:r>
      </w:hyperlink>
    </w:p>
  </w:footnote>
  <w:footnote w:id="46">
    <w:p w14:paraId="2E6E271D" w14:textId="283C1A78" w:rsidR="00E772C5" w:rsidRPr="00596C0E" w:rsidRDefault="00E772C5" w:rsidP="00596C0E">
      <w:pPr>
        <w:pStyle w:val="FootnoteText"/>
        <w:ind w:right="-143"/>
        <w:rPr>
          <w:sz w:val="18"/>
          <w:szCs w:val="18"/>
        </w:rPr>
      </w:pPr>
      <w:r w:rsidRPr="00596C0E">
        <w:rPr>
          <w:rStyle w:val="FootnoteReference"/>
          <w:sz w:val="18"/>
          <w:szCs w:val="18"/>
        </w:rPr>
        <w:footnoteRef/>
      </w:r>
      <w:r w:rsidR="00D857DA" w:rsidRPr="003F40C2">
        <w:rPr>
          <w:sz w:val="18"/>
          <w:szCs w:val="18"/>
        </w:rPr>
        <w:t xml:space="preserve">Median </w:t>
      </w:r>
      <w:r w:rsidR="001A1EF1" w:rsidRPr="003F40C2">
        <w:rPr>
          <w:sz w:val="18"/>
          <w:szCs w:val="18"/>
        </w:rPr>
        <w:t>Earnings and hours worked, occupation by four-digit SOC: ASHE Table 14 - Office for National Statistics (ons.gov.uk)</w:t>
      </w:r>
    </w:p>
  </w:footnote>
  <w:footnote w:id="47">
    <w:p w14:paraId="0B044E91" w14:textId="73B5017F" w:rsidR="00285865" w:rsidRPr="00C06328" w:rsidRDefault="00285865">
      <w:pPr>
        <w:pStyle w:val="FootnoteText"/>
        <w:rPr>
          <w:sz w:val="18"/>
          <w:szCs w:val="18"/>
        </w:rPr>
      </w:pPr>
      <w:r w:rsidRPr="00C06328">
        <w:rPr>
          <w:rStyle w:val="FootnoteReference"/>
          <w:sz w:val="18"/>
          <w:szCs w:val="18"/>
        </w:rPr>
        <w:footnoteRef/>
      </w:r>
      <w:r w:rsidRPr="00C06328">
        <w:rPr>
          <w:sz w:val="18"/>
          <w:szCs w:val="18"/>
        </w:rPr>
        <w:t xml:space="preserve"> </w:t>
      </w:r>
      <w:r w:rsidR="00B878F0" w:rsidRPr="00C06328">
        <w:rPr>
          <w:sz w:val="18"/>
          <w:szCs w:val="18"/>
        </w:rPr>
        <w:t xml:space="preserve">See here: </w:t>
      </w:r>
      <w:r w:rsidR="0086291C" w:rsidRPr="003F40C2">
        <w:rPr>
          <w:rFonts w:eastAsia="Times New Roman"/>
          <w:sz w:val="18"/>
          <w:szCs w:val="18"/>
          <w:lang w:eastAsia="en-US"/>
        </w:rPr>
        <w:t xml:space="preserve">Corporate criminal offences of failure to prevent the facilitation of tax evasion (pinsentmasons.com): </w:t>
      </w:r>
      <w:hyperlink r:id="rId34" w:anchor=":~:text=A%20defence%20of%20reasonable%20prevention,to%20be%20procedures%20in%20place." w:history="1">
        <w:r w:rsidR="0086291C" w:rsidRPr="0086291C">
          <w:rPr>
            <w:rStyle w:val="Hyperlink"/>
            <w:rFonts w:eastAsia="Times New Roman"/>
            <w:sz w:val="18"/>
            <w:szCs w:val="18"/>
            <w:lang w:eastAsia="en-US"/>
          </w:rPr>
          <w:t>https://www.pinsentmasons.com/out-law/guides/corporate-criminal-offences-of-failing-to-prevent-the-facilitation-of-tax-evasion-#:~:text=A%20defence%20of%20reasonable%20prevention,to%20be%20procedures%20in%20place.</w:t>
        </w:r>
      </w:hyperlink>
    </w:p>
  </w:footnote>
  <w:footnote w:id="48">
    <w:p w14:paraId="5606FB28" w14:textId="0BA055EC" w:rsidR="00230505" w:rsidRPr="00C06328" w:rsidRDefault="00230505">
      <w:pPr>
        <w:pStyle w:val="FootnoteText"/>
        <w:rPr>
          <w:sz w:val="18"/>
          <w:szCs w:val="18"/>
        </w:rPr>
      </w:pPr>
      <w:r w:rsidRPr="00C06328">
        <w:rPr>
          <w:rStyle w:val="FootnoteReference"/>
          <w:sz w:val="18"/>
          <w:szCs w:val="18"/>
        </w:rPr>
        <w:footnoteRef/>
      </w:r>
      <w:r w:rsidRPr="00C06328">
        <w:rPr>
          <w:sz w:val="18"/>
          <w:szCs w:val="18"/>
        </w:rPr>
        <w:t xml:space="preserve"> </w:t>
      </w:r>
      <w:r w:rsidR="008B79FC" w:rsidRPr="00C06328">
        <w:rPr>
          <w:sz w:val="18"/>
          <w:szCs w:val="18"/>
        </w:rPr>
        <w:t xml:space="preserve">The Bribery Act 2010 was introduced before the better regulation requirements were introduced under </w:t>
      </w:r>
      <w:r w:rsidR="008F3986">
        <w:rPr>
          <w:sz w:val="18"/>
          <w:szCs w:val="18"/>
        </w:rPr>
        <w:t>the Small Business, Enterprise and Employment Act</w:t>
      </w:r>
      <w:r w:rsidR="008B79FC" w:rsidRPr="00C06328">
        <w:rPr>
          <w:sz w:val="18"/>
          <w:szCs w:val="18"/>
        </w:rPr>
        <w:t xml:space="preserve"> 2015</w:t>
      </w:r>
      <w:r w:rsidR="008F3986">
        <w:rPr>
          <w:sz w:val="18"/>
          <w:szCs w:val="18"/>
        </w:rPr>
        <w:t xml:space="preserve"> (</w:t>
      </w:r>
      <w:r w:rsidR="008B79FC" w:rsidRPr="00C06328">
        <w:rPr>
          <w:sz w:val="18"/>
          <w:szCs w:val="18"/>
        </w:rPr>
        <w:t>SBEE 2015</w:t>
      </w:r>
      <w:r w:rsidR="008F3986">
        <w:rPr>
          <w:sz w:val="18"/>
          <w:szCs w:val="18"/>
        </w:rPr>
        <w:t>)</w:t>
      </w:r>
      <w:r w:rsidR="008B79FC" w:rsidRPr="00C06328">
        <w:rPr>
          <w:sz w:val="18"/>
          <w:szCs w:val="18"/>
        </w:rPr>
        <w:t xml:space="preserve">; the failure to prevent tax evasion offence was introduced after SBEE 2015 but was introduced as a tax measure. </w:t>
      </w:r>
    </w:p>
  </w:footnote>
  <w:footnote w:id="49">
    <w:p w14:paraId="639B4DFB" w14:textId="3A73B60F" w:rsidR="009F67F8" w:rsidRPr="00C06328" w:rsidRDefault="009F67F8">
      <w:pPr>
        <w:pStyle w:val="FootnoteText"/>
        <w:rPr>
          <w:sz w:val="18"/>
          <w:szCs w:val="18"/>
        </w:rPr>
      </w:pPr>
      <w:r w:rsidRPr="00C06328">
        <w:rPr>
          <w:rStyle w:val="FootnoteReference"/>
          <w:sz w:val="18"/>
          <w:szCs w:val="18"/>
        </w:rPr>
        <w:footnoteRef/>
      </w:r>
      <w:r w:rsidRPr="00C06328">
        <w:rPr>
          <w:sz w:val="18"/>
          <w:szCs w:val="18"/>
        </w:rPr>
        <w:t xml:space="preserve"> </w:t>
      </w:r>
      <w:r w:rsidR="00440E69" w:rsidRPr="003F40C2">
        <w:rPr>
          <w:rFonts w:eastAsia="Times New Roman"/>
          <w:sz w:val="18"/>
          <w:szCs w:val="18"/>
          <w:lang w:eastAsia="en-US"/>
        </w:rPr>
        <w:t>Insight into awareness and impact of the Bribery Act 2010 Among small and medium sized enterprises (SMEs)</w:t>
      </w:r>
      <w:r w:rsidR="00B43B30" w:rsidRPr="003F40C2">
        <w:rPr>
          <w:rFonts w:eastAsia="Times New Roman"/>
          <w:sz w:val="18"/>
          <w:szCs w:val="18"/>
          <w:lang w:eastAsia="en-US"/>
        </w:rPr>
        <w:t>:</w:t>
      </w:r>
      <w:r w:rsidR="00B43B30" w:rsidRPr="003F40C2">
        <w:rPr>
          <w:rFonts w:eastAsia="Times New Roman"/>
          <w:sz w:val="18"/>
          <w:szCs w:val="18"/>
          <w:u w:val="single"/>
          <w:lang w:eastAsia="en-US"/>
        </w:rPr>
        <w:t xml:space="preserve"> </w:t>
      </w:r>
      <w:hyperlink r:id="rId35" w:history="1">
        <w:r w:rsidR="00B43B30" w:rsidRPr="00B43B30">
          <w:rPr>
            <w:rStyle w:val="Hyperlink"/>
            <w:rFonts w:eastAsia="Times New Roman"/>
            <w:sz w:val="18"/>
            <w:szCs w:val="18"/>
            <w:lang w:eastAsia="en-US"/>
          </w:rPr>
          <w:t>https://assets.publishing.service.gov.uk/media/5a809f87e5274a2e8ab5134c/insight-into-awareness-and-impact-of-the-bribery-act-2010.pdf</w:t>
        </w:r>
      </w:hyperlink>
      <w:r w:rsidR="00440E69" w:rsidRPr="00C06328">
        <w:rPr>
          <w:rFonts w:eastAsia="Times New Roman"/>
          <w:color w:val="0000FF"/>
          <w:sz w:val="18"/>
          <w:szCs w:val="18"/>
          <w:u w:val="single"/>
          <w:lang w:eastAsia="en-US"/>
        </w:rPr>
        <w:t xml:space="preserve"> </w:t>
      </w:r>
      <w:r w:rsidR="00440E69" w:rsidRPr="003F40C2">
        <w:rPr>
          <w:rFonts w:eastAsia="Times New Roman"/>
          <w:sz w:val="18"/>
          <w:szCs w:val="18"/>
          <w:u w:val="single"/>
          <w:lang w:eastAsia="en-US"/>
        </w:rPr>
        <w:t>(publishing.service.gov.uk)</w:t>
      </w:r>
    </w:p>
  </w:footnote>
  <w:footnote w:id="50">
    <w:p w14:paraId="059432A4" w14:textId="36B90F44" w:rsidR="00E772C5" w:rsidRPr="00FF5678" w:rsidRDefault="00E772C5" w:rsidP="00953D04">
      <w:pPr>
        <w:pStyle w:val="FootnoteText"/>
        <w:rPr>
          <w:sz w:val="18"/>
          <w:szCs w:val="18"/>
        </w:rPr>
      </w:pPr>
      <w:r w:rsidRPr="00FF5678">
        <w:rPr>
          <w:rStyle w:val="FootnoteReference"/>
          <w:sz w:val="18"/>
          <w:szCs w:val="18"/>
        </w:rPr>
        <w:footnoteRef/>
      </w:r>
      <w:r w:rsidRPr="00FF5678">
        <w:rPr>
          <w:sz w:val="18"/>
          <w:szCs w:val="18"/>
        </w:rPr>
        <w:t xml:space="preserve"> </w:t>
      </w:r>
      <w:r w:rsidR="00FA33AF" w:rsidRPr="00FF5678">
        <w:rPr>
          <w:sz w:val="18"/>
          <w:szCs w:val="18"/>
        </w:rPr>
        <w:t xml:space="preserve">Bribery Act 2010 guidance: </w:t>
      </w:r>
      <w:hyperlink r:id="rId36" w:history="1">
        <w:r w:rsidR="00FA33AF" w:rsidRPr="00FF5678">
          <w:rPr>
            <w:rStyle w:val="Hyperlink"/>
            <w:sz w:val="18"/>
            <w:szCs w:val="18"/>
          </w:rPr>
          <w:t>https://www.justice.gov.uk/downloads/legislation/bribery-act-2010-guidance.pdf</w:t>
        </w:r>
      </w:hyperlink>
      <w:r w:rsidRPr="00FF5678">
        <w:rPr>
          <w:sz w:val="18"/>
          <w:szCs w:val="18"/>
        </w:rPr>
        <w:t xml:space="preserve"> </w:t>
      </w:r>
    </w:p>
  </w:footnote>
  <w:footnote w:id="51">
    <w:p w14:paraId="45103743" w14:textId="559EAEA3" w:rsidR="00517F29" w:rsidRDefault="00517F29" w:rsidP="003F40C2">
      <w:pPr>
        <w:pStyle w:val="Style1"/>
      </w:pPr>
      <w:r w:rsidRPr="00C06328">
        <w:rPr>
          <w:rStyle w:val="FootnoteReference"/>
          <w:sz w:val="18"/>
        </w:rPr>
        <w:footnoteRef/>
      </w:r>
      <w:r w:rsidRPr="00C06328">
        <w:t xml:space="preserve"> </w:t>
      </w:r>
      <w:r w:rsidR="00BF27DC" w:rsidRPr="003F40C2">
        <w:t>Corporate offences for failing to prevent criminal facilitation of tax evasion - GOV.UK (</w:t>
      </w:r>
      <w:hyperlink r:id="rId37" w:history="1">
        <w:r w:rsidR="00BF27DC" w:rsidRPr="00393312">
          <w:rPr>
            <w:rStyle w:val="Hyperlink"/>
          </w:rPr>
          <w:t>www.gov.uk</w:t>
        </w:r>
      </w:hyperlink>
      <w:r w:rsidR="00BF27DC" w:rsidRPr="003F40C2">
        <w:t>)</w:t>
      </w:r>
      <w:r w:rsidR="00BF27DC" w:rsidRPr="00393312">
        <w:t xml:space="preserve">: </w:t>
      </w:r>
      <w:hyperlink r:id="rId38" w:history="1">
        <w:r w:rsidR="00BF27DC" w:rsidRPr="00EC0B0E">
          <w:rPr>
            <w:rStyle w:val="Hyperlink"/>
          </w:rPr>
          <w:t>https://www.gov.uk/government/publications/corporate-offences-for-failing-to-prevent-criminal-facilitation-of-tax-evasion</w:t>
        </w:r>
      </w:hyperlink>
    </w:p>
  </w:footnote>
  <w:footnote w:id="52">
    <w:p w14:paraId="2167619F" w14:textId="2EAADD26" w:rsidR="00E772C5" w:rsidRPr="00596C0E" w:rsidRDefault="00E772C5" w:rsidP="00953D04">
      <w:pPr>
        <w:pStyle w:val="FootnoteText"/>
        <w:rPr>
          <w:sz w:val="18"/>
          <w:szCs w:val="18"/>
        </w:rPr>
      </w:pPr>
      <w:r w:rsidRPr="00596C0E">
        <w:rPr>
          <w:rStyle w:val="FootnoteReference"/>
          <w:sz w:val="18"/>
          <w:szCs w:val="18"/>
        </w:rPr>
        <w:footnoteRef/>
      </w:r>
      <w:r w:rsidRPr="00596C0E">
        <w:rPr>
          <w:sz w:val="18"/>
          <w:szCs w:val="18"/>
        </w:rPr>
        <w:t xml:space="preserve"> It is assumed the refresh costs will be 10</w:t>
      </w:r>
      <w:r w:rsidR="006C62A5">
        <w:rPr>
          <w:sz w:val="18"/>
          <w:szCs w:val="18"/>
        </w:rPr>
        <w:t xml:space="preserve"> per cent</w:t>
      </w:r>
      <w:r w:rsidRPr="00596C0E">
        <w:rPr>
          <w:sz w:val="18"/>
          <w:szCs w:val="18"/>
        </w:rPr>
        <w:t xml:space="preserve"> of the cost of the original assessment. Source: </w:t>
      </w:r>
      <w:r w:rsidR="00CD5B6E">
        <w:rPr>
          <w:sz w:val="18"/>
          <w:szCs w:val="18"/>
        </w:rPr>
        <w:t>DBT</w:t>
      </w:r>
    </w:p>
  </w:footnote>
  <w:footnote w:id="53">
    <w:p w14:paraId="14C13166" w14:textId="1209F24A" w:rsidR="00AC3463" w:rsidRDefault="00AC3463">
      <w:pPr>
        <w:pStyle w:val="FootnoteText"/>
      </w:pPr>
      <w:r>
        <w:rPr>
          <w:rStyle w:val="FootnoteReference"/>
        </w:rPr>
        <w:footnoteRef/>
      </w:r>
      <w:r>
        <w:t xml:space="preserve"> </w:t>
      </w:r>
      <w:r w:rsidR="00787659" w:rsidRPr="003F40C2">
        <w:rPr>
          <w:rFonts w:eastAsia="Times New Roman"/>
          <w:sz w:val="18"/>
          <w:szCs w:val="18"/>
          <w:lang w:eastAsia="en-US"/>
        </w:rPr>
        <w:t>Insight into awareness and impact of the Bribery Act 2010 Among small and medium sized enterprises (SMEs)</w:t>
      </w:r>
      <w:r w:rsidR="00787659" w:rsidRPr="003F40C2">
        <w:rPr>
          <w:rFonts w:eastAsia="Times New Roman"/>
          <w:sz w:val="18"/>
          <w:szCs w:val="18"/>
          <w:u w:val="single"/>
          <w:lang w:eastAsia="en-US"/>
        </w:rPr>
        <w:t xml:space="preserve"> (publishing.service.gov.uk)</w:t>
      </w:r>
      <w:r w:rsidRPr="00787659">
        <w:t xml:space="preserve">, </w:t>
      </w:r>
      <w:r w:rsidRPr="003F40C2">
        <w:rPr>
          <w:sz w:val="18"/>
          <w:szCs w:val="22"/>
        </w:rPr>
        <w:t xml:space="preserve">page </w:t>
      </w:r>
      <w:r w:rsidR="00F20071" w:rsidRPr="003F40C2">
        <w:rPr>
          <w:sz w:val="18"/>
          <w:szCs w:val="22"/>
        </w:rPr>
        <w:t>29</w:t>
      </w:r>
      <w:r w:rsidR="00787659">
        <w:rPr>
          <w:sz w:val="18"/>
          <w:szCs w:val="22"/>
        </w:rPr>
        <w:t xml:space="preserve">: </w:t>
      </w:r>
      <w:hyperlink r:id="rId39" w:anchor="page=32" w:history="1">
        <w:r w:rsidR="00787659" w:rsidRPr="00787659">
          <w:rPr>
            <w:rStyle w:val="Hyperlink"/>
            <w:sz w:val="18"/>
            <w:szCs w:val="22"/>
          </w:rPr>
          <w:t>https://assets.publishing.service.gov.uk/media/5a809f87e5274a2e8ab5134c/insight-into-awareness-and-impact-of-the-bribery-act-2010.pdf#page=32</w:t>
        </w:r>
      </w:hyperlink>
    </w:p>
  </w:footnote>
  <w:footnote w:id="54">
    <w:p w14:paraId="5BA91D5A" w14:textId="48831693" w:rsidR="00441B10" w:rsidRDefault="00441B10">
      <w:pPr>
        <w:pStyle w:val="FootnoteText"/>
        <w:rPr>
          <w:sz w:val="18"/>
          <w:szCs w:val="22"/>
        </w:rPr>
      </w:pPr>
      <w:r>
        <w:rPr>
          <w:rStyle w:val="FootnoteReference"/>
        </w:rPr>
        <w:footnoteRef/>
      </w:r>
      <w:r>
        <w:t xml:space="preserve"> </w:t>
      </w:r>
      <w:r w:rsidRPr="00441B10">
        <w:rPr>
          <w:sz w:val="18"/>
          <w:szCs w:val="22"/>
        </w:rPr>
        <w:t>ASHE 202</w:t>
      </w:r>
      <w:r w:rsidR="001A1EF1">
        <w:rPr>
          <w:sz w:val="18"/>
          <w:szCs w:val="22"/>
        </w:rPr>
        <w:t>3</w:t>
      </w:r>
      <w:r w:rsidRPr="00441B10">
        <w:rPr>
          <w:sz w:val="18"/>
          <w:szCs w:val="22"/>
        </w:rPr>
        <w:t xml:space="preserve"> Figures uplifted by GDP Deflator</w:t>
      </w:r>
      <w:r w:rsidR="0087711E">
        <w:rPr>
          <w:sz w:val="18"/>
          <w:szCs w:val="22"/>
        </w:rPr>
        <w:t xml:space="preserve"> to 2024 Calendar Year Prices</w:t>
      </w:r>
      <w:r w:rsidR="00041882">
        <w:rPr>
          <w:sz w:val="18"/>
          <w:szCs w:val="22"/>
        </w:rPr>
        <w:t>:</w:t>
      </w:r>
    </w:p>
    <w:p w14:paraId="34C214DF" w14:textId="4D5A98F5" w:rsidR="00441B10" w:rsidRPr="00441B10" w:rsidRDefault="00055594">
      <w:pPr>
        <w:pStyle w:val="FootnoteText"/>
        <w:rPr>
          <w:sz w:val="18"/>
          <w:szCs w:val="22"/>
        </w:rPr>
      </w:pPr>
      <w:hyperlink r:id="rId40" w:history="1">
        <w:r w:rsidR="002C72D0" w:rsidRPr="00C23109">
          <w:rPr>
            <w:rStyle w:val="Hyperlink"/>
            <w:sz w:val="18"/>
            <w:szCs w:val="22"/>
          </w:rPr>
          <w:t>https://www.gov.uk/government/statistics/gdp-deflators-at-market-prices-and-money-gdp-september-2023-quarterly-national-accounts</w:t>
        </w:r>
      </w:hyperlink>
    </w:p>
  </w:footnote>
  <w:footnote w:id="55">
    <w:p w14:paraId="36295D8E" w14:textId="0A88D3F2" w:rsidR="004B77E5" w:rsidRPr="00212EFD" w:rsidRDefault="00E772C5" w:rsidP="00953D04">
      <w:pPr>
        <w:pStyle w:val="FootnoteText"/>
        <w:rPr>
          <w:sz w:val="18"/>
          <w:szCs w:val="18"/>
        </w:rPr>
      </w:pPr>
      <w:r w:rsidRPr="00212EFD">
        <w:rPr>
          <w:rStyle w:val="FootnoteReference"/>
          <w:sz w:val="18"/>
          <w:szCs w:val="18"/>
        </w:rPr>
        <w:footnoteRef/>
      </w:r>
      <w:r w:rsidRPr="00212EFD">
        <w:rPr>
          <w:sz w:val="18"/>
          <w:szCs w:val="18"/>
        </w:rPr>
        <w:t xml:space="preserve"> </w:t>
      </w:r>
      <w:hyperlink r:id="rId41" w:history="1">
        <w:r w:rsidRPr="00212EFD">
          <w:rPr>
            <w:rStyle w:val="Hyperlink"/>
            <w:sz w:val="18"/>
            <w:szCs w:val="18"/>
            <w:u w:val="none"/>
          </w:rPr>
          <w:t xml:space="preserve">Employee earnings in the UK - Office for National Statistics:  </w:t>
        </w:r>
      </w:hyperlink>
      <w:hyperlink r:id="rId42" w:anchor="related-links" w:history="1">
        <w:r w:rsidR="0094095F" w:rsidRPr="0094095F">
          <w:rPr>
            <w:rStyle w:val="Hyperlink"/>
            <w:sz w:val="18"/>
            <w:szCs w:val="18"/>
          </w:rPr>
          <w:t>https://www.ons.gov.uk/employmentandlabourmarket/peopleinwork/earningsandworkinghours/bulletins/annualsurveyofhoursandearnings/2021#related-links</w:t>
        </w:r>
      </w:hyperlink>
      <w:r w:rsidR="00AC3AB5" w:rsidRPr="00AC3AB5">
        <w:t xml:space="preserve"> </w:t>
      </w:r>
    </w:p>
  </w:footnote>
  <w:footnote w:id="56">
    <w:p w14:paraId="2EB9DE41" w14:textId="22968356" w:rsidR="00E772C5" w:rsidRPr="00212EFD" w:rsidRDefault="00E772C5" w:rsidP="009F77CF">
      <w:pPr>
        <w:pStyle w:val="FootnoteText"/>
        <w:rPr>
          <w:sz w:val="18"/>
          <w:szCs w:val="18"/>
        </w:rPr>
      </w:pPr>
      <w:r w:rsidRPr="00212EFD">
        <w:rPr>
          <w:rStyle w:val="FootnoteReference"/>
          <w:sz w:val="18"/>
          <w:szCs w:val="18"/>
        </w:rPr>
        <w:footnoteRef/>
      </w:r>
      <w:r w:rsidR="006C62A5">
        <w:rPr>
          <w:sz w:val="18"/>
          <w:szCs w:val="18"/>
        </w:rPr>
        <w:t xml:space="preserve"> </w:t>
      </w:r>
      <w:r w:rsidRPr="00212EFD">
        <w:rPr>
          <w:sz w:val="18"/>
          <w:szCs w:val="18"/>
        </w:rPr>
        <w:t>Median hourly pay rates from ASHE for all employees in SOC 242: Business, Research and Administrative Professionals.</w:t>
      </w:r>
    </w:p>
  </w:footnote>
  <w:footnote w:id="57">
    <w:p w14:paraId="2B902C85" w14:textId="77777777" w:rsidR="00E772C5" w:rsidRPr="00212EFD" w:rsidRDefault="00E772C5" w:rsidP="009F77CF">
      <w:pPr>
        <w:pStyle w:val="FootnoteText"/>
        <w:rPr>
          <w:sz w:val="18"/>
          <w:szCs w:val="18"/>
        </w:rPr>
      </w:pPr>
      <w:r w:rsidRPr="00212EFD">
        <w:rPr>
          <w:rStyle w:val="FootnoteReference"/>
          <w:sz w:val="18"/>
          <w:szCs w:val="18"/>
        </w:rPr>
        <w:footnoteRef/>
      </w:r>
      <w:r w:rsidRPr="00212EFD">
        <w:rPr>
          <w:sz w:val="18"/>
          <w:szCs w:val="18"/>
        </w:rPr>
        <w:t xml:space="preserve"> Median hourly pay rates from ASHE for all employees in SOC 113: Functional managers and directors.</w:t>
      </w:r>
    </w:p>
  </w:footnote>
  <w:footnote w:id="58">
    <w:p w14:paraId="3D0B1E82" w14:textId="7D7A5625" w:rsidR="007B3446" w:rsidRDefault="007B3446">
      <w:pPr>
        <w:pStyle w:val="FootnoteText"/>
      </w:pPr>
      <w:r>
        <w:rPr>
          <w:rStyle w:val="FootnoteReference"/>
        </w:rPr>
        <w:footnoteRef/>
      </w:r>
      <w:r>
        <w:t xml:space="preserve"> </w:t>
      </w:r>
      <w:hyperlink r:id="rId43" w:anchor="page=25" w:history="1">
        <w:r w:rsidRPr="003F40C2">
          <w:rPr>
            <w:rStyle w:val="Hyperlink"/>
            <w:sz w:val="18"/>
            <w:szCs w:val="18"/>
          </w:rPr>
          <w:t>https://assets.publishing.service.gov.uk/media/5a82aaa0e5274a2e8ab58b82/Tackling-tax-evasion-corporate-offences.pdf#page=25</w:t>
        </w:r>
      </w:hyperlink>
    </w:p>
  </w:footnote>
  <w:footnote w:id="59">
    <w:p w14:paraId="233553B5" w14:textId="498A92AE" w:rsidR="00E616EA" w:rsidRDefault="00E616EA">
      <w:pPr>
        <w:pStyle w:val="FootnoteText"/>
      </w:pPr>
      <w:r>
        <w:rPr>
          <w:rStyle w:val="FootnoteReference"/>
        </w:rPr>
        <w:footnoteRef/>
      </w:r>
      <w:r>
        <w:t xml:space="preserve"> </w:t>
      </w:r>
      <w:r w:rsidR="005B4C1E" w:rsidRPr="003F40C2">
        <w:rPr>
          <w:sz w:val="18"/>
          <w:szCs w:val="22"/>
        </w:rPr>
        <w:t xml:space="preserve">Based on a reading speed </w:t>
      </w:r>
      <w:r w:rsidR="005F12FC" w:rsidRPr="003F40C2">
        <w:rPr>
          <w:sz w:val="18"/>
          <w:szCs w:val="22"/>
        </w:rPr>
        <w:t xml:space="preserve">of </w:t>
      </w:r>
      <w:r w:rsidR="002A168D" w:rsidRPr="003F40C2">
        <w:rPr>
          <w:sz w:val="18"/>
          <w:szCs w:val="22"/>
        </w:rPr>
        <w:t>3</w:t>
      </w:r>
      <w:r w:rsidR="005F12FC" w:rsidRPr="003F40C2">
        <w:rPr>
          <w:sz w:val="18"/>
          <w:szCs w:val="22"/>
        </w:rPr>
        <w:t>00 wpm at 80</w:t>
      </w:r>
      <w:r w:rsidR="001458B6">
        <w:rPr>
          <w:sz w:val="18"/>
          <w:szCs w:val="22"/>
        </w:rPr>
        <w:t xml:space="preserve"> per cent</w:t>
      </w:r>
      <w:r w:rsidR="005F12FC" w:rsidRPr="003F40C2">
        <w:rPr>
          <w:sz w:val="18"/>
          <w:szCs w:val="22"/>
        </w:rPr>
        <w:t xml:space="preserve"> comprehension</w:t>
      </w:r>
      <w:r w:rsidR="00DA1D01" w:rsidRPr="003F40C2">
        <w:rPr>
          <w:sz w:val="18"/>
          <w:szCs w:val="22"/>
        </w:rPr>
        <w:t xml:space="preserve">. This is an average </w:t>
      </w:r>
      <w:r w:rsidR="00877DA3" w:rsidRPr="003F40C2">
        <w:rPr>
          <w:sz w:val="18"/>
          <w:szCs w:val="22"/>
        </w:rPr>
        <w:t>reading speed for an adult.</w:t>
      </w:r>
    </w:p>
  </w:footnote>
  <w:footnote w:id="60">
    <w:p w14:paraId="6F04A824" w14:textId="31A9FB84" w:rsidR="003F2833" w:rsidRDefault="003F2833">
      <w:pPr>
        <w:pStyle w:val="FootnoteText"/>
      </w:pPr>
      <w:r>
        <w:rPr>
          <w:rStyle w:val="FootnoteReference"/>
        </w:rPr>
        <w:footnoteRef/>
      </w:r>
      <w:r>
        <w:t xml:space="preserve"> </w:t>
      </w:r>
      <w:hyperlink r:id="rId44" w:anchor="page=24" w:history="1">
        <w:r w:rsidRPr="003F40C2">
          <w:rPr>
            <w:rStyle w:val="Hyperlink"/>
            <w:sz w:val="18"/>
            <w:szCs w:val="22"/>
          </w:rPr>
          <w:t>https://assets.publishing.service.gov.uk/media/5a82aaa0e5274a2e8ab58b82/Tackling-tax-evasion-corporate-offences.pdf#page=24</w:t>
        </w:r>
      </w:hyperlink>
    </w:p>
  </w:footnote>
  <w:footnote w:id="61">
    <w:p w14:paraId="68AEC5E0" w14:textId="3EFE03FB" w:rsidR="00AC6EDC" w:rsidRPr="00211735" w:rsidRDefault="0022377C">
      <w:pPr>
        <w:pStyle w:val="FootnoteText"/>
        <w:rPr>
          <w:sz w:val="18"/>
          <w:szCs w:val="22"/>
        </w:rPr>
      </w:pPr>
      <w:r>
        <w:rPr>
          <w:rStyle w:val="FootnoteReference"/>
        </w:rPr>
        <w:footnoteRef/>
      </w:r>
      <w:r>
        <w:t xml:space="preserve"> </w:t>
      </w:r>
      <w:r w:rsidR="00A63CA8" w:rsidRPr="003F40C2">
        <w:rPr>
          <w:sz w:val="18"/>
          <w:szCs w:val="22"/>
        </w:rPr>
        <w:t>For example</w:t>
      </w:r>
      <w:r w:rsidR="0020632A" w:rsidRPr="003F40C2">
        <w:rPr>
          <w:sz w:val="18"/>
          <w:szCs w:val="22"/>
        </w:rPr>
        <w:t>,</w:t>
      </w:r>
      <w:r w:rsidR="00A63CA8" w:rsidRPr="003F40C2">
        <w:rPr>
          <w:sz w:val="18"/>
          <w:szCs w:val="22"/>
        </w:rPr>
        <w:t xml:space="preserve"> companies like Shell have a web page dedicated to the steps it takes against bribery</w:t>
      </w:r>
      <w:r w:rsidR="0020632A" w:rsidRPr="003F40C2">
        <w:rPr>
          <w:sz w:val="18"/>
          <w:szCs w:val="22"/>
        </w:rPr>
        <w:t>; even low</w:t>
      </w:r>
      <w:r w:rsidR="00D03D16">
        <w:rPr>
          <w:sz w:val="18"/>
          <w:szCs w:val="22"/>
        </w:rPr>
        <w:t>er</w:t>
      </w:r>
      <w:r w:rsidR="0020632A" w:rsidRPr="003F40C2">
        <w:rPr>
          <w:sz w:val="18"/>
          <w:szCs w:val="22"/>
        </w:rPr>
        <w:t xml:space="preserve"> risk companies such as Tesco PLC have similar pages. </w:t>
      </w:r>
    </w:p>
    <w:p w14:paraId="4F41C5D0" w14:textId="0AB83926" w:rsidR="0022377C" w:rsidRDefault="0020632A">
      <w:pPr>
        <w:pStyle w:val="FootnoteText"/>
      </w:pPr>
      <w:r w:rsidRPr="003F40C2">
        <w:rPr>
          <w:sz w:val="18"/>
          <w:szCs w:val="22"/>
        </w:rPr>
        <w:t xml:space="preserve">See: </w:t>
      </w:r>
      <w:r w:rsidR="00AC6EDC" w:rsidRPr="003F40C2">
        <w:rPr>
          <w:sz w:val="18"/>
          <w:szCs w:val="22"/>
        </w:rPr>
        <w:t>Group Anti-Bribery policy (tescoplc.com)</w:t>
      </w:r>
      <w:r w:rsidR="00AC6EDC" w:rsidRPr="00211735">
        <w:rPr>
          <w:sz w:val="18"/>
          <w:szCs w:val="22"/>
        </w:rPr>
        <w:t xml:space="preserve">: </w:t>
      </w:r>
      <w:r w:rsidR="009B01B9" w:rsidRPr="00211735">
        <w:rPr>
          <w:sz w:val="18"/>
          <w:szCs w:val="22"/>
        </w:rPr>
        <w:fldChar w:fldCharType="begin"/>
      </w:r>
      <w:r w:rsidR="009B01B9" w:rsidRPr="00211735">
        <w:rPr>
          <w:sz w:val="18"/>
          <w:szCs w:val="22"/>
        </w:rPr>
        <w:fldChar w:fldCharType="separate"/>
      </w:r>
      <w:r w:rsidR="00AC6EDC" w:rsidRPr="00211735">
        <w:rPr>
          <w:rStyle w:val="Hyperlink"/>
          <w:sz w:val="18"/>
          <w:szCs w:val="22"/>
        </w:rPr>
        <w:t>https://www.tescoplc.com/sustainability/documents/policies/group-anti-bribery-policy</w:t>
      </w:r>
      <w:r w:rsidR="009B01B9" w:rsidRPr="00211735">
        <w:rPr>
          <w:sz w:val="18"/>
          <w:szCs w:val="22"/>
        </w:rPr>
        <w:fldChar w:fldCharType="end"/>
      </w:r>
      <w:r w:rsidR="000409C9">
        <w:rPr>
          <w:sz w:val="18"/>
          <w:szCs w:val="22"/>
        </w:rPr>
        <w:t xml:space="preserve"> </w:t>
      </w:r>
      <w:r w:rsidR="009B01B9" w:rsidRPr="00A55741">
        <w:rPr>
          <w:sz w:val="18"/>
          <w:szCs w:val="22"/>
        </w:rPr>
        <w:t xml:space="preserve">and </w:t>
      </w:r>
      <w:r w:rsidR="00211735" w:rsidRPr="003F40C2">
        <w:rPr>
          <w:sz w:val="18"/>
          <w:szCs w:val="22"/>
        </w:rPr>
        <w:t xml:space="preserve">Transparency and </w:t>
      </w:r>
      <w:r w:rsidR="00527FAC" w:rsidRPr="00527FAC">
        <w:rPr>
          <w:sz w:val="18"/>
          <w:szCs w:val="22"/>
        </w:rPr>
        <w:t>Anti-Corruption</w:t>
      </w:r>
      <w:r w:rsidR="00211735" w:rsidRPr="003F40C2">
        <w:rPr>
          <w:sz w:val="18"/>
          <w:szCs w:val="22"/>
        </w:rPr>
        <w:t xml:space="preserve"> | Shell Global</w:t>
      </w:r>
      <w:r w:rsidR="00211735" w:rsidRPr="00211735">
        <w:rPr>
          <w:sz w:val="18"/>
          <w:szCs w:val="22"/>
        </w:rPr>
        <w:t xml:space="preserve">: </w:t>
      </w:r>
      <w:r w:rsidR="008C1AFC" w:rsidRPr="00A55741">
        <w:rPr>
          <w:sz w:val="18"/>
          <w:szCs w:val="22"/>
        </w:rPr>
        <w:t xml:space="preserve"> </w:t>
      </w:r>
      <w:hyperlink r:id="rId45" w:history="1">
        <w:r w:rsidR="00211735" w:rsidRPr="00211735">
          <w:rPr>
            <w:rStyle w:val="Hyperlink"/>
            <w:sz w:val="18"/>
            <w:szCs w:val="22"/>
          </w:rPr>
          <w:t>https://www.shell.com/sustainability/transparency-and-sustainability-reporting/transparency-and-anti-corruption.html</w:t>
        </w:r>
      </w:hyperlink>
    </w:p>
  </w:footnote>
  <w:footnote w:id="62">
    <w:p w14:paraId="634CF4BD" w14:textId="22170D57" w:rsidR="00E772C5" w:rsidRPr="00596C0E" w:rsidRDefault="00E772C5" w:rsidP="007030AD">
      <w:pPr>
        <w:pStyle w:val="FootnoteText"/>
        <w:rPr>
          <w:sz w:val="18"/>
          <w:szCs w:val="18"/>
        </w:rPr>
      </w:pPr>
      <w:r w:rsidRPr="00596C0E">
        <w:rPr>
          <w:rStyle w:val="FootnoteReference"/>
          <w:sz w:val="18"/>
          <w:szCs w:val="18"/>
        </w:rPr>
        <w:footnoteRef/>
      </w:r>
      <w:r w:rsidRPr="00596C0E">
        <w:rPr>
          <w:sz w:val="18"/>
          <w:szCs w:val="18"/>
        </w:rPr>
        <w:t xml:space="preserve"> </w:t>
      </w:r>
      <w:r w:rsidRPr="00EA74A3">
        <w:rPr>
          <w:sz w:val="20"/>
        </w:rPr>
        <w:t xml:space="preserve"> </w:t>
      </w:r>
      <w:r w:rsidR="00084BD8" w:rsidRPr="00EA74A3">
        <w:rPr>
          <w:sz w:val="18"/>
          <w:szCs w:val="22"/>
        </w:rPr>
        <w:t>Business population estimates 2021 - GOV.UK</w:t>
      </w:r>
      <w:r w:rsidR="00EA74A3" w:rsidRPr="00EA74A3">
        <w:rPr>
          <w:sz w:val="18"/>
          <w:szCs w:val="22"/>
        </w:rPr>
        <w:t xml:space="preserve">: </w:t>
      </w:r>
      <w:hyperlink r:id="rId46" w:history="1">
        <w:r w:rsidR="00EA74A3" w:rsidRPr="00EA74A3">
          <w:rPr>
            <w:rStyle w:val="Hyperlink"/>
            <w:sz w:val="18"/>
            <w:szCs w:val="22"/>
          </w:rPr>
          <w:t>https://www.gov.uk/government/statistics/business-population-estimates-2021</w:t>
        </w:r>
      </w:hyperlink>
    </w:p>
  </w:footnote>
  <w:footnote w:id="63">
    <w:p w14:paraId="3202D56B" w14:textId="77777777" w:rsidR="001D4E38" w:rsidRPr="00596C0E" w:rsidRDefault="001D4E38" w:rsidP="001D4E38">
      <w:pPr>
        <w:pStyle w:val="FootnoteText"/>
        <w:rPr>
          <w:sz w:val="18"/>
          <w:szCs w:val="18"/>
        </w:rPr>
      </w:pPr>
      <w:r w:rsidRPr="00596C0E">
        <w:rPr>
          <w:rStyle w:val="FootnoteReference"/>
          <w:sz w:val="18"/>
          <w:szCs w:val="18"/>
        </w:rPr>
        <w:footnoteRef/>
      </w:r>
      <w:r w:rsidRPr="00596C0E">
        <w:rPr>
          <w:sz w:val="18"/>
          <w:szCs w:val="18"/>
        </w:rPr>
        <w:t xml:space="preserve"> It is assumed that companies with less than 10 employees receive no discount, but the discount is as high as 40 per cent for the largest companies. This is consistent with fee schedules on websites offering anti-bribery training, see: </w:t>
      </w:r>
      <w:hyperlink r:id="rId47" w:history="1">
        <w:r w:rsidRPr="00596C0E">
          <w:rPr>
            <w:rStyle w:val="Hyperlink"/>
            <w:sz w:val="18"/>
            <w:szCs w:val="18"/>
          </w:rPr>
          <w:t>https://www.virtual-college.co.uk/courses/compliance/the-bribery-act-2010</w:t>
        </w:r>
      </w:hyperlink>
      <w:r w:rsidRPr="00596C0E">
        <w:rPr>
          <w:sz w:val="18"/>
          <w:szCs w:val="18"/>
        </w:rPr>
        <w:t xml:space="preserve"> </w:t>
      </w:r>
    </w:p>
  </w:footnote>
  <w:footnote w:id="64">
    <w:p w14:paraId="6B575736" w14:textId="7B15F2B3" w:rsidR="00E772C5" w:rsidRPr="00596C0E" w:rsidRDefault="00E772C5" w:rsidP="007030AD">
      <w:pPr>
        <w:pStyle w:val="FootnoteText"/>
        <w:rPr>
          <w:sz w:val="18"/>
          <w:szCs w:val="18"/>
        </w:rPr>
      </w:pPr>
      <w:r w:rsidRPr="00596C0E">
        <w:rPr>
          <w:rStyle w:val="FootnoteReference"/>
          <w:sz w:val="18"/>
          <w:szCs w:val="18"/>
        </w:rPr>
        <w:footnoteRef/>
      </w:r>
      <w:r w:rsidRPr="00596C0E">
        <w:rPr>
          <w:sz w:val="18"/>
          <w:szCs w:val="18"/>
        </w:rPr>
        <w:t xml:space="preserve"> Opportunity cost is defined as the wage rate multiplied by 1.</w:t>
      </w:r>
      <w:r w:rsidR="008A394F">
        <w:rPr>
          <w:sz w:val="18"/>
          <w:szCs w:val="18"/>
        </w:rPr>
        <w:t>22</w:t>
      </w:r>
      <w:r w:rsidRPr="00596C0E">
        <w:rPr>
          <w:sz w:val="18"/>
          <w:szCs w:val="18"/>
        </w:rPr>
        <w:t xml:space="preserve"> to account for non-wage labour costs.</w:t>
      </w:r>
    </w:p>
  </w:footnote>
  <w:footnote w:id="65">
    <w:p w14:paraId="418D8ECC" w14:textId="4F7F10F4" w:rsidR="001A3A28" w:rsidRDefault="001A3A28">
      <w:pPr>
        <w:pStyle w:val="FootnoteText"/>
      </w:pPr>
      <w:r>
        <w:rPr>
          <w:rStyle w:val="FootnoteReference"/>
        </w:rPr>
        <w:footnoteRef/>
      </w:r>
      <w:r>
        <w:t xml:space="preserve"> </w:t>
      </w:r>
      <w:r>
        <w:rPr>
          <w:sz w:val="18"/>
          <w:szCs w:val="18"/>
        </w:rPr>
        <w:t>S</w:t>
      </w:r>
      <w:r w:rsidRPr="00596C0E">
        <w:rPr>
          <w:sz w:val="18"/>
          <w:szCs w:val="18"/>
        </w:rPr>
        <w:t xml:space="preserve">ee: </w:t>
      </w:r>
      <w:hyperlink r:id="rId48" w:history="1">
        <w:r w:rsidRPr="00596C0E">
          <w:rPr>
            <w:rStyle w:val="Hyperlink"/>
            <w:sz w:val="18"/>
            <w:szCs w:val="18"/>
          </w:rPr>
          <w:t>https://www.virtual-college.co.uk/courses/compliance/the-bribery-act-2010</w:t>
        </w:r>
      </w:hyperlink>
    </w:p>
  </w:footnote>
  <w:footnote w:id="66">
    <w:p w14:paraId="5CBA888B" w14:textId="23196051" w:rsidR="001C5D5A" w:rsidRDefault="001C5D5A">
      <w:pPr>
        <w:pStyle w:val="FootnoteText"/>
      </w:pPr>
      <w:r>
        <w:rPr>
          <w:rStyle w:val="FootnoteReference"/>
        </w:rPr>
        <w:footnoteRef/>
      </w:r>
      <w:r>
        <w:t xml:space="preserve"> </w:t>
      </w:r>
      <w:r w:rsidR="00C06F97" w:rsidRPr="002D09D5">
        <w:rPr>
          <w:sz w:val="18"/>
          <w:szCs w:val="18"/>
        </w:rPr>
        <w:t>Insight into awareness and impact of the Bribery Act 2010 Among small and medium sized enterprises (SMEs) (publishing.service.gov.uk)</w:t>
      </w:r>
      <w:r w:rsidR="002D09D5" w:rsidRPr="002D09D5">
        <w:rPr>
          <w:sz w:val="18"/>
          <w:szCs w:val="18"/>
        </w:rPr>
        <w:t xml:space="preserve">: </w:t>
      </w:r>
      <w:hyperlink r:id="rId49" w:history="1">
        <w:r w:rsidR="002D09D5" w:rsidRPr="002D09D5">
          <w:rPr>
            <w:rStyle w:val="Hyperlink"/>
            <w:sz w:val="18"/>
            <w:szCs w:val="18"/>
          </w:rPr>
          <w:t>https://assets.publishing.service.gov.uk/media/5a809f87e5274a2e8ab5134c/insight-into-awareness-and-impact-of-the-bribery-act-2010.pdf</w:t>
        </w:r>
      </w:hyperlink>
    </w:p>
  </w:footnote>
  <w:footnote w:id="67">
    <w:p w14:paraId="2B19CCCE" w14:textId="58751C14" w:rsidR="00ED6A5F" w:rsidRDefault="00ED6A5F">
      <w:pPr>
        <w:pStyle w:val="FootnoteText"/>
      </w:pPr>
      <w:r>
        <w:rPr>
          <w:rStyle w:val="FootnoteReference"/>
        </w:rPr>
        <w:footnoteRef/>
      </w:r>
      <w:r w:rsidR="00B12094" w:rsidRPr="003F40C2">
        <w:rPr>
          <w:sz w:val="18"/>
          <w:szCs w:val="18"/>
        </w:rPr>
        <w:t xml:space="preserve">OECD Data Explorer • Employment by job tenure intervals - average job tenure: </w:t>
      </w:r>
      <w:hyperlink r:id="rId50" w:history="1">
        <w:r w:rsidR="00B12094" w:rsidRPr="003F40C2">
          <w:rPr>
            <w:rStyle w:val="Hyperlink"/>
            <w:sz w:val="18"/>
            <w:szCs w:val="18"/>
          </w:rPr>
          <w:t>https://data-explorer.oecd.org/vis?df[ds]=DisseminateFinalDMZ&amp;df[id]=DSD_TENURE%40DF_TENURE_AVE&amp;df[ag]=OECD.ELS.SAE&amp;dq=.TENURE_EMP.._T._T..A&amp;pd=2015%2C&amp;to[TIME_PERIOD]=false</w:t>
        </w:r>
      </w:hyperlink>
    </w:p>
  </w:footnote>
  <w:footnote w:id="68">
    <w:p w14:paraId="7F626BCD" w14:textId="1FC30ABA" w:rsidR="00D5544D" w:rsidRDefault="00D5544D">
      <w:pPr>
        <w:pStyle w:val="FootnoteText"/>
      </w:pPr>
      <w:r>
        <w:rPr>
          <w:rStyle w:val="FootnoteReference"/>
        </w:rPr>
        <w:footnoteRef/>
      </w:r>
      <w:r>
        <w:t xml:space="preserve"> </w:t>
      </w:r>
      <w:r w:rsidR="009E1AF7" w:rsidRPr="003F40C2">
        <w:rPr>
          <w:sz w:val="18"/>
          <w:szCs w:val="22"/>
        </w:rPr>
        <w:t xml:space="preserve">According to the Business Population estimates </w:t>
      </w:r>
      <w:r w:rsidR="007D1EF7" w:rsidRPr="003F40C2">
        <w:rPr>
          <w:sz w:val="18"/>
          <w:szCs w:val="22"/>
        </w:rPr>
        <w:t>companies</w:t>
      </w:r>
      <w:r w:rsidR="006A43A0" w:rsidRPr="003F40C2">
        <w:rPr>
          <w:sz w:val="18"/>
          <w:szCs w:val="22"/>
        </w:rPr>
        <w:t xml:space="preserve"> with more than 500 employees account for </w:t>
      </w:r>
      <w:r w:rsidR="007D1EF7" w:rsidRPr="003F40C2">
        <w:rPr>
          <w:sz w:val="18"/>
          <w:szCs w:val="22"/>
        </w:rPr>
        <w:t>10.6</w:t>
      </w:r>
      <w:r w:rsidR="00857782">
        <w:rPr>
          <w:sz w:val="18"/>
          <w:szCs w:val="22"/>
        </w:rPr>
        <w:t xml:space="preserve"> </w:t>
      </w:r>
      <w:r w:rsidR="006A43A0" w:rsidRPr="003F40C2">
        <w:rPr>
          <w:sz w:val="18"/>
          <w:szCs w:val="22"/>
        </w:rPr>
        <w:t>m</w:t>
      </w:r>
      <w:r w:rsidR="00857782">
        <w:rPr>
          <w:sz w:val="18"/>
          <w:szCs w:val="22"/>
        </w:rPr>
        <w:t>illion</w:t>
      </w:r>
      <w:r w:rsidR="006A43A0" w:rsidRPr="003F40C2">
        <w:rPr>
          <w:sz w:val="18"/>
          <w:szCs w:val="22"/>
        </w:rPr>
        <w:t xml:space="preserve"> </w:t>
      </w:r>
      <w:r w:rsidR="00A43B8F" w:rsidRPr="00A43B8F">
        <w:rPr>
          <w:sz w:val="18"/>
          <w:szCs w:val="22"/>
        </w:rPr>
        <w:t>employments</w:t>
      </w:r>
      <w:r w:rsidR="006A43A0" w:rsidRPr="003F40C2">
        <w:rPr>
          <w:sz w:val="18"/>
          <w:szCs w:val="22"/>
        </w:rPr>
        <w:t xml:space="preserve"> out of </w:t>
      </w:r>
      <w:r w:rsidR="00581277" w:rsidRPr="003F40C2">
        <w:rPr>
          <w:sz w:val="18"/>
          <w:szCs w:val="22"/>
        </w:rPr>
        <w:t>2</w:t>
      </w:r>
      <w:r w:rsidR="00395D99">
        <w:rPr>
          <w:sz w:val="18"/>
          <w:szCs w:val="22"/>
        </w:rPr>
        <w:t>7</w:t>
      </w:r>
      <w:r w:rsidR="00857782">
        <w:rPr>
          <w:sz w:val="18"/>
          <w:szCs w:val="22"/>
        </w:rPr>
        <w:t xml:space="preserve"> million</w:t>
      </w:r>
      <w:r w:rsidR="00581277" w:rsidRPr="003F40C2">
        <w:rPr>
          <w:sz w:val="18"/>
          <w:szCs w:val="22"/>
        </w:rPr>
        <w:t xml:space="preserve"> employed in all UK employer</w:t>
      </w:r>
      <w:r w:rsidR="0018548E" w:rsidRPr="003F40C2">
        <w:rPr>
          <w:sz w:val="18"/>
          <w:szCs w:val="22"/>
        </w:rPr>
        <w:t xml:space="preserve"> companies</w:t>
      </w:r>
      <w:r w:rsidR="00581277" w:rsidRPr="003F40C2">
        <w:rPr>
          <w:sz w:val="18"/>
          <w:szCs w:val="22"/>
        </w:rPr>
        <w:t>, BPE 202</w:t>
      </w:r>
      <w:r w:rsidR="007D1EF7" w:rsidRPr="003F40C2">
        <w:rPr>
          <w:sz w:val="18"/>
          <w:szCs w:val="22"/>
        </w:rPr>
        <w:t>1</w:t>
      </w:r>
      <w:r w:rsidR="00393D80" w:rsidRPr="003F40C2">
        <w:rPr>
          <w:sz w:val="18"/>
          <w:szCs w:val="22"/>
        </w:rPr>
        <w:t xml:space="preserve">, table </w:t>
      </w:r>
      <w:r w:rsidR="0018548E" w:rsidRPr="003F40C2">
        <w:rPr>
          <w:sz w:val="18"/>
          <w:szCs w:val="22"/>
        </w:rPr>
        <w:t>3</w:t>
      </w:r>
      <w:r w:rsidR="00581277" w:rsidRPr="003F40C2">
        <w:rPr>
          <w:sz w:val="18"/>
          <w:szCs w:val="22"/>
        </w:rPr>
        <w:t xml:space="preserve">. </w:t>
      </w:r>
    </w:p>
  </w:footnote>
  <w:footnote w:id="69">
    <w:p w14:paraId="4348ECB8" w14:textId="73564F5F" w:rsidR="005F30D2" w:rsidRPr="003F40C2" w:rsidRDefault="005F30D2">
      <w:pPr>
        <w:pStyle w:val="FootnoteText"/>
        <w:rPr>
          <w:sz w:val="18"/>
          <w:szCs w:val="22"/>
        </w:rPr>
      </w:pPr>
      <w:r>
        <w:rPr>
          <w:rStyle w:val="FootnoteReference"/>
        </w:rPr>
        <w:footnoteRef/>
      </w:r>
      <w:r>
        <w:t xml:space="preserve"> </w:t>
      </w:r>
      <w:r w:rsidR="00824A92" w:rsidRPr="003F40C2">
        <w:rPr>
          <w:sz w:val="18"/>
          <w:szCs w:val="22"/>
        </w:rPr>
        <w:t>Insight into awareness and impact of the Bribery Act 2010 Among small and medium sized enterprises (SMEs) (publishing.service.gov.uk)</w:t>
      </w:r>
      <w:r w:rsidR="00824A92">
        <w:rPr>
          <w:sz w:val="18"/>
          <w:szCs w:val="22"/>
        </w:rPr>
        <w:t xml:space="preserve">: </w:t>
      </w:r>
      <w:hyperlink r:id="rId51" w:history="1">
        <w:r w:rsidR="00824A92" w:rsidRPr="00824A92">
          <w:rPr>
            <w:rStyle w:val="Hyperlink"/>
            <w:sz w:val="18"/>
            <w:szCs w:val="22"/>
          </w:rPr>
          <w:t>https://assets.publishing.service.gov.uk/government/uploads/system/uploads/attachment_data/file/440661/insight-into-awareness-and-impact-of-the-bribery-act-2010.pdf</w:t>
        </w:r>
      </w:hyperlink>
      <w:r w:rsidR="003818CA">
        <w:rPr>
          <w:sz w:val="18"/>
          <w:szCs w:val="22"/>
        </w:rPr>
        <w:t xml:space="preserve"> </w:t>
      </w:r>
      <w:r w:rsidR="001E22F4">
        <w:rPr>
          <w:sz w:val="18"/>
          <w:szCs w:val="22"/>
        </w:rPr>
        <w:t xml:space="preserve">- </w:t>
      </w:r>
      <w:r w:rsidR="003818CA">
        <w:rPr>
          <w:sz w:val="18"/>
          <w:szCs w:val="22"/>
        </w:rPr>
        <w:t>page 5</w:t>
      </w:r>
      <w:r w:rsidR="001E22F4">
        <w:rPr>
          <w:sz w:val="18"/>
          <w:szCs w:val="22"/>
        </w:rPr>
        <w:t xml:space="preserve"> </w:t>
      </w:r>
    </w:p>
  </w:footnote>
  <w:footnote w:id="70">
    <w:p w14:paraId="200AA11C" w14:textId="77777777" w:rsidR="00BA5F63" w:rsidRDefault="00BA5F63" w:rsidP="00BA5F63">
      <w:pPr>
        <w:pStyle w:val="FootnoteText"/>
      </w:pPr>
      <w:r>
        <w:rPr>
          <w:rStyle w:val="FootnoteReference"/>
        </w:rPr>
        <w:footnoteRef/>
      </w:r>
      <w:r>
        <w:t xml:space="preserve"> </w:t>
      </w:r>
      <w:r w:rsidRPr="008A6ECC">
        <w:rPr>
          <w:sz w:val="18"/>
          <w:szCs w:val="22"/>
        </w:rPr>
        <w:t xml:space="preserve">As the </w:t>
      </w:r>
      <w:r>
        <w:rPr>
          <w:sz w:val="18"/>
          <w:szCs w:val="22"/>
        </w:rPr>
        <w:t xml:space="preserve">Bribery Act </w:t>
      </w:r>
      <w:r w:rsidRPr="008A6ECC">
        <w:rPr>
          <w:sz w:val="18"/>
          <w:szCs w:val="22"/>
        </w:rPr>
        <w:t xml:space="preserve">2010 did not commence until the middle of 2011 and the survey took place in January 2014, the costs incurred before the interview are likely to relate to the setup of systems. </w:t>
      </w:r>
    </w:p>
  </w:footnote>
  <w:footnote w:id="71">
    <w:p w14:paraId="1812A1D2" w14:textId="0C089622" w:rsidR="00DF35AF" w:rsidRPr="003F40C2" w:rsidRDefault="00DF35AF">
      <w:pPr>
        <w:pStyle w:val="FootnoteText"/>
        <w:rPr>
          <w:i/>
          <w:iCs/>
        </w:rPr>
      </w:pPr>
      <w:r>
        <w:rPr>
          <w:rStyle w:val="FootnoteReference"/>
        </w:rPr>
        <w:footnoteRef/>
      </w:r>
      <w:r>
        <w:t xml:space="preserve"> </w:t>
      </w:r>
      <w:r w:rsidR="00B00BC8" w:rsidRPr="003F40C2">
        <w:rPr>
          <w:sz w:val="18"/>
          <w:szCs w:val="22"/>
        </w:rPr>
        <w:t>The procedures included all the relevant</w:t>
      </w:r>
      <w:r w:rsidR="00DA7BBC" w:rsidRPr="003F40C2">
        <w:rPr>
          <w:sz w:val="18"/>
          <w:szCs w:val="22"/>
        </w:rPr>
        <w:t xml:space="preserve"> cost elements included </w:t>
      </w:r>
      <w:r w:rsidR="00F42ADC" w:rsidRPr="003F40C2">
        <w:rPr>
          <w:sz w:val="18"/>
          <w:szCs w:val="22"/>
        </w:rPr>
        <w:t xml:space="preserve">in the IA calculations. </w:t>
      </w:r>
      <w:r w:rsidR="007D3C66" w:rsidRPr="003F40C2">
        <w:rPr>
          <w:sz w:val="18"/>
          <w:szCs w:val="22"/>
        </w:rPr>
        <w:t>Home Office</w:t>
      </w:r>
      <w:r w:rsidR="00F42ADC" w:rsidRPr="003F40C2">
        <w:rPr>
          <w:sz w:val="18"/>
          <w:szCs w:val="22"/>
        </w:rPr>
        <w:t xml:space="preserve"> use mean cost estimates instead of median. This is because all the guidance reviewed suggested that </w:t>
      </w:r>
      <w:r w:rsidR="00FC5A84" w:rsidRPr="003F40C2">
        <w:rPr>
          <w:sz w:val="18"/>
          <w:szCs w:val="22"/>
        </w:rPr>
        <w:t xml:space="preserve">requirements were likely to vary significantly between organisations. </w:t>
      </w:r>
      <w:r w:rsidR="0059157A" w:rsidRPr="003F40C2">
        <w:rPr>
          <w:sz w:val="18"/>
          <w:szCs w:val="22"/>
        </w:rPr>
        <w:t>For example</w:t>
      </w:r>
      <w:r w:rsidR="00DD2C83" w:rsidRPr="003F40C2">
        <w:rPr>
          <w:sz w:val="18"/>
          <w:szCs w:val="22"/>
        </w:rPr>
        <w:t>,</w:t>
      </w:r>
      <w:r w:rsidR="0059157A" w:rsidRPr="003F40C2">
        <w:rPr>
          <w:sz w:val="18"/>
          <w:szCs w:val="22"/>
        </w:rPr>
        <w:t xml:space="preserve"> the research showed that some companies did not occur any costs whilst </w:t>
      </w:r>
      <w:r w:rsidR="008F375C" w:rsidRPr="003F40C2">
        <w:rPr>
          <w:sz w:val="18"/>
          <w:szCs w:val="22"/>
        </w:rPr>
        <w:t xml:space="preserve">some reported annual cost spend in excess of £5,000. </w:t>
      </w:r>
      <w:r w:rsidR="00C6064A">
        <w:rPr>
          <w:i/>
          <w:iCs/>
          <w:sz w:val="18"/>
          <w:szCs w:val="22"/>
        </w:rPr>
        <w:t>PY not mentioned</w:t>
      </w:r>
      <w:r w:rsidR="005F0ACA">
        <w:rPr>
          <w:i/>
          <w:iCs/>
          <w:sz w:val="18"/>
          <w:szCs w:val="22"/>
        </w:rPr>
        <w:t xml:space="preserve"> for costs in research</w:t>
      </w:r>
      <w:r w:rsidR="00C6064A">
        <w:rPr>
          <w:i/>
          <w:iCs/>
          <w:sz w:val="18"/>
          <w:szCs w:val="22"/>
        </w:rPr>
        <w:t xml:space="preserve"> but assumed to be 201</w:t>
      </w:r>
      <w:r w:rsidR="004C5BCB">
        <w:rPr>
          <w:i/>
          <w:iCs/>
          <w:sz w:val="18"/>
          <w:szCs w:val="22"/>
        </w:rPr>
        <w:t>4/15</w:t>
      </w:r>
      <w:r w:rsidR="004917EB">
        <w:rPr>
          <w:i/>
          <w:iCs/>
          <w:sz w:val="18"/>
          <w:szCs w:val="22"/>
        </w:rPr>
        <w:t xml:space="preserve">. </w:t>
      </w:r>
    </w:p>
  </w:footnote>
  <w:footnote w:id="72">
    <w:p w14:paraId="05B02C8F" w14:textId="04EC3016" w:rsidR="005F0ACA" w:rsidRDefault="005F0ACA">
      <w:pPr>
        <w:pStyle w:val="FootnoteText"/>
      </w:pPr>
      <w:r>
        <w:rPr>
          <w:rStyle w:val="FootnoteReference"/>
        </w:rPr>
        <w:footnoteRef/>
      </w:r>
      <w:r w:rsidR="008F078E">
        <w:t xml:space="preserve"> </w:t>
      </w:r>
      <w:r w:rsidR="008F078E" w:rsidRPr="00D87462">
        <w:rPr>
          <w:sz w:val="18"/>
          <w:szCs w:val="22"/>
        </w:rPr>
        <w:t>Employment by job tenure intervals - average job tenure OECD</w:t>
      </w:r>
      <w:r w:rsidR="00D87462">
        <w:rPr>
          <w:sz w:val="18"/>
          <w:szCs w:val="22"/>
        </w:rPr>
        <w:t>:</w:t>
      </w:r>
      <w:r w:rsidR="008F078E" w:rsidRPr="00D87462">
        <w:rPr>
          <w:sz w:val="18"/>
          <w:szCs w:val="22"/>
        </w:rPr>
        <w:t xml:space="preserve"> </w:t>
      </w:r>
      <w:hyperlink r:id="rId52" w:history="1">
        <w:r w:rsidR="00D87462" w:rsidRPr="00D87462">
          <w:rPr>
            <w:rStyle w:val="Hyperlink"/>
            <w:sz w:val="18"/>
            <w:szCs w:val="22"/>
          </w:rPr>
          <w:t>https://stats.oecd.org/Index.aspx?DataSetCode=TENURE_AVE#</w:t>
        </w:r>
      </w:hyperlink>
      <w:r w:rsidR="00D87462" w:rsidRPr="00D87462">
        <w:rPr>
          <w:sz w:val="18"/>
          <w:szCs w:val="22"/>
        </w:rPr>
        <w:t xml:space="preserve"> </w:t>
      </w:r>
      <w:r w:rsidRPr="00D87462">
        <w:rPr>
          <w:sz w:val="18"/>
          <w:szCs w:val="22"/>
        </w:rPr>
        <w:t xml:space="preserve">  </w:t>
      </w:r>
    </w:p>
  </w:footnote>
  <w:footnote w:id="73">
    <w:p w14:paraId="204E3B71" w14:textId="2E5F4212" w:rsidR="00677E8E" w:rsidRPr="00C23109" w:rsidRDefault="00677E8E">
      <w:pPr>
        <w:pStyle w:val="FootnoteText"/>
        <w:rPr>
          <w:sz w:val="18"/>
          <w:szCs w:val="18"/>
        </w:rPr>
      </w:pPr>
      <w:r w:rsidRPr="00C23109">
        <w:rPr>
          <w:rStyle w:val="FootnoteReference"/>
          <w:sz w:val="18"/>
          <w:szCs w:val="18"/>
        </w:rPr>
        <w:footnoteRef/>
      </w:r>
      <w:r w:rsidRPr="00C23109">
        <w:rPr>
          <w:sz w:val="18"/>
          <w:szCs w:val="18"/>
        </w:rPr>
        <w:t xml:space="preserve"> </w:t>
      </w:r>
      <w:hyperlink r:id="rId53" w:history="1">
        <w:r w:rsidR="00AF64F9" w:rsidRPr="00C23109">
          <w:rPr>
            <w:rStyle w:val="Hyperlink"/>
            <w:sz w:val="18"/>
            <w:szCs w:val="18"/>
          </w:rPr>
          <w:t>https://www.sfo.gov.uk/foi-request/2020-040-bribery-act-2010/</w:t>
        </w:r>
      </w:hyperlink>
      <w:r w:rsidR="00AF64F9" w:rsidRPr="00C23109">
        <w:rPr>
          <w:sz w:val="18"/>
          <w:szCs w:val="18"/>
        </w:rPr>
        <w:t xml:space="preserve"> </w:t>
      </w:r>
    </w:p>
  </w:footnote>
  <w:footnote w:id="74">
    <w:p w14:paraId="5E9F8272" w14:textId="225AC584" w:rsidR="00D804DB" w:rsidRPr="00C23109" w:rsidRDefault="00D804DB">
      <w:pPr>
        <w:pStyle w:val="FootnoteText"/>
        <w:rPr>
          <w:sz w:val="18"/>
          <w:szCs w:val="18"/>
        </w:rPr>
      </w:pPr>
      <w:r w:rsidRPr="00C23109">
        <w:rPr>
          <w:rStyle w:val="FootnoteReference"/>
          <w:sz w:val="18"/>
          <w:szCs w:val="18"/>
        </w:rPr>
        <w:footnoteRef/>
      </w:r>
      <w:r w:rsidRPr="00C23109">
        <w:rPr>
          <w:sz w:val="18"/>
          <w:szCs w:val="18"/>
        </w:rPr>
        <w:t xml:space="preserve"> </w:t>
      </w:r>
      <w:hyperlink r:id="rId54" w:history="1">
        <w:r w:rsidR="00AF64F9" w:rsidRPr="00C23109">
          <w:rPr>
            <w:rStyle w:val="Hyperlink"/>
            <w:sz w:val="18"/>
            <w:szCs w:val="18"/>
          </w:rPr>
          <w:t>https://www.sfo.gov.uk/2021/10/04/serious-fraud-office-secures-third-set-of-petrofac-bribery-convictions/</w:t>
        </w:r>
      </w:hyperlink>
      <w:r w:rsidR="00AF64F9" w:rsidRPr="00C23109">
        <w:rPr>
          <w:sz w:val="18"/>
          <w:szCs w:val="18"/>
        </w:rPr>
        <w:t xml:space="preserve"> </w:t>
      </w:r>
    </w:p>
  </w:footnote>
  <w:footnote w:id="75">
    <w:p w14:paraId="4F99B65E" w14:textId="27AACDB7" w:rsidR="00D804DB" w:rsidRPr="00C23109" w:rsidRDefault="00D804DB">
      <w:pPr>
        <w:pStyle w:val="FootnoteText"/>
        <w:rPr>
          <w:sz w:val="18"/>
          <w:szCs w:val="18"/>
        </w:rPr>
      </w:pPr>
      <w:r w:rsidRPr="00C23109">
        <w:rPr>
          <w:rStyle w:val="FootnoteReference"/>
          <w:sz w:val="18"/>
          <w:szCs w:val="18"/>
        </w:rPr>
        <w:footnoteRef/>
      </w:r>
      <w:r w:rsidR="006D4843" w:rsidRPr="00C23109">
        <w:rPr>
          <w:sz w:val="18"/>
          <w:szCs w:val="18"/>
        </w:rPr>
        <w:t xml:space="preserve"> </w:t>
      </w:r>
      <w:hyperlink r:id="rId55" w:history="1">
        <w:r w:rsidR="00AF64F9" w:rsidRPr="00C23109">
          <w:rPr>
            <w:rStyle w:val="Hyperlink"/>
            <w:sz w:val="18"/>
            <w:szCs w:val="18"/>
          </w:rPr>
          <w:t>https://www.sfo.gov.uk/2016/02/19/sweett-group-plc-sentenced-and-ordered-to-pay-2-3-million-after-bribery-act-conviction/</w:t>
        </w:r>
      </w:hyperlink>
    </w:p>
  </w:footnote>
  <w:footnote w:id="76">
    <w:p w14:paraId="1DD46310" w14:textId="7F419DBB" w:rsidR="00E0410B" w:rsidRPr="00C23109" w:rsidRDefault="00E0410B">
      <w:pPr>
        <w:pStyle w:val="FootnoteText"/>
        <w:rPr>
          <w:sz w:val="18"/>
          <w:szCs w:val="18"/>
        </w:rPr>
      </w:pPr>
      <w:r w:rsidRPr="00C23109">
        <w:rPr>
          <w:rStyle w:val="FootnoteReference"/>
          <w:sz w:val="18"/>
          <w:szCs w:val="18"/>
        </w:rPr>
        <w:footnoteRef/>
      </w:r>
      <w:r w:rsidRPr="00C23109">
        <w:rPr>
          <w:sz w:val="18"/>
          <w:szCs w:val="18"/>
        </w:rPr>
        <w:t xml:space="preserve"> </w:t>
      </w:r>
      <w:hyperlink r:id="rId56" w:history="1">
        <w:r w:rsidR="00AF64F9" w:rsidRPr="00C23109">
          <w:rPr>
            <w:rStyle w:val="Hyperlink"/>
            <w:sz w:val="18"/>
            <w:szCs w:val="18"/>
          </w:rPr>
          <w:t>https://www.sfo.gov.uk/2022/11/03/glencore-energy-uk-ltd-will-pay-280965092-95-million-over-400-million-usd-after-an-sfo-investigation-revealed-it-paid-us-29-million-in-bribes-to-gain-preferential-access-to-oil-in-africa/</w:t>
        </w:r>
      </w:hyperlink>
      <w:r w:rsidR="00AF64F9" w:rsidRPr="00C23109">
        <w:rPr>
          <w:sz w:val="18"/>
          <w:szCs w:val="18"/>
        </w:rPr>
        <w:t xml:space="preserve"> </w:t>
      </w:r>
    </w:p>
  </w:footnote>
  <w:footnote w:id="77">
    <w:p w14:paraId="06119B92" w14:textId="7A73C57A" w:rsidR="005A72A6" w:rsidRPr="00C23109" w:rsidRDefault="005A72A6">
      <w:pPr>
        <w:pStyle w:val="FootnoteText"/>
        <w:rPr>
          <w:sz w:val="18"/>
          <w:szCs w:val="18"/>
        </w:rPr>
      </w:pPr>
      <w:r w:rsidRPr="00C23109">
        <w:rPr>
          <w:rStyle w:val="FootnoteReference"/>
          <w:sz w:val="18"/>
          <w:szCs w:val="18"/>
        </w:rPr>
        <w:footnoteRef/>
      </w:r>
      <w:r w:rsidRPr="00C23109">
        <w:rPr>
          <w:sz w:val="18"/>
          <w:szCs w:val="18"/>
        </w:rPr>
        <w:t xml:space="preserve"> </w:t>
      </w:r>
      <w:hyperlink r:id="rId57" w:history="1">
        <w:r w:rsidR="00AF64F9" w:rsidRPr="00C23109">
          <w:rPr>
            <w:rStyle w:val="Hyperlink"/>
            <w:sz w:val="18"/>
            <w:szCs w:val="18"/>
          </w:rPr>
          <w:t>https://www.cps.gov.uk/cps/news/fraudsters-sentenced-million-pound-bribery-and-corruption-coca-cola-enterprises-uk-ltd</w:t>
        </w:r>
      </w:hyperlink>
      <w:r w:rsidR="00AF64F9" w:rsidRPr="00C23109">
        <w:rPr>
          <w:sz w:val="18"/>
          <w:szCs w:val="18"/>
        </w:rPr>
        <w:t xml:space="preserve"> </w:t>
      </w:r>
    </w:p>
  </w:footnote>
  <w:footnote w:id="78">
    <w:p w14:paraId="024AC1E8" w14:textId="41B45BA9" w:rsidR="00AC546A" w:rsidRDefault="00AC546A" w:rsidP="003F40C2">
      <w:pPr>
        <w:pStyle w:val="Style2"/>
      </w:pPr>
      <w:r>
        <w:rPr>
          <w:rStyle w:val="FootnoteReference"/>
        </w:rPr>
        <w:footnoteRef/>
      </w:r>
      <w:r>
        <w:t xml:space="preserve"> </w:t>
      </w:r>
      <w:r w:rsidR="00640DE0" w:rsidRPr="003F40C2">
        <w:t>Deferred Prosecution Agreements - Serious Fraud Office (sfo.gov.uk)</w:t>
      </w:r>
      <w:r w:rsidR="00640DE0">
        <w:t xml:space="preserve">: </w:t>
      </w:r>
      <w:hyperlink r:id="rId58" w:history="1">
        <w:r w:rsidR="00640DE0" w:rsidRPr="00640DE0">
          <w:rPr>
            <w:rStyle w:val="Hyperlink"/>
          </w:rPr>
          <w:t>https://www.sfo.gov.uk/publications/guidance-policy-and-protocols/guidance-for-corporates/deferred-prosecution-agreements/</w:t>
        </w:r>
      </w:hyperlink>
    </w:p>
  </w:footnote>
  <w:footnote w:id="79">
    <w:p w14:paraId="0D1F5078" w14:textId="68EE72C2" w:rsidR="00066361" w:rsidRPr="00C23109" w:rsidRDefault="00066361">
      <w:pPr>
        <w:pStyle w:val="FootnoteText"/>
        <w:rPr>
          <w:sz w:val="18"/>
          <w:szCs w:val="18"/>
        </w:rPr>
      </w:pPr>
      <w:r w:rsidRPr="00C23109">
        <w:rPr>
          <w:rStyle w:val="FootnoteReference"/>
          <w:sz w:val="18"/>
          <w:szCs w:val="18"/>
        </w:rPr>
        <w:footnoteRef/>
      </w:r>
      <w:r w:rsidRPr="00C23109">
        <w:rPr>
          <w:sz w:val="18"/>
          <w:szCs w:val="18"/>
        </w:rPr>
        <w:t xml:space="preserve"> </w:t>
      </w:r>
      <w:hyperlink r:id="rId59" w:history="1">
        <w:r w:rsidR="00AF64F9" w:rsidRPr="00C23109">
          <w:rPr>
            <w:rStyle w:val="Hyperlink"/>
            <w:sz w:val="18"/>
            <w:szCs w:val="18"/>
          </w:rPr>
          <w:t>https://www.sfo.gov.uk/cases/r-v-bluu-solutions-limited-and-tetris-projects-limited/</w:t>
        </w:r>
      </w:hyperlink>
      <w:r w:rsidR="00AF64F9" w:rsidRPr="00C23109">
        <w:rPr>
          <w:sz w:val="18"/>
          <w:szCs w:val="18"/>
        </w:rPr>
        <w:t xml:space="preserve"> </w:t>
      </w:r>
    </w:p>
  </w:footnote>
  <w:footnote w:id="80">
    <w:p w14:paraId="76836008" w14:textId="1A264C03" w:rsidR="00C331A6" w:rsidRPr="00C23109" w:rsidRDefault="00C331A6">
      <w:pPr>
        <w:pStyle w:val="FootnoteText"/>
        <w:rPr>
          <w:sz w:val="18"/>
          <w:szCs w:val="18"/>
        </w:rPr>
      </w:pPr>
      <w:r w:rsidRPr="00C23109">
        <w:rPr>
          <w:rStyle w:val="FootnoteReference"/>
          <w:sz w:val="18"/>
          <w:szCs w:val="18"/>
        </w:rPr>
        <w:footnoteRef/>
      </w:r>
      <w:r w:rsidRPr="00C23109">
        <w:rPr>
          <w:sz w:val="18"/>
          <w:szCs w:val="18"/>
        </w:rPr>
        <w:t xml:space="preserve"> </w:t>
      </w:r>
      <w:hyperlink r:id="rId60" w:history="1">
        <w:r w:rsidR="00AF64F9" w:rsidRPr="00C23109">
          <w:rPr>
            <w:rStyle w:val="Hyperlink"/>
            <w:sz w:val="18"/>
            <w:szCs w:val="18"/>
          </w:rPr>
          <w:t>https://www.cps.gov.uk/cps/news/first-ever-cps-deferred-prosecution-agreement-ps615-million</w:t>
        </w:r>
      </w:hyperlink>
      <w:r w:rsidR="00AF64F9" w:rsidRPr="00C23109">
        <w:rPr>
          <w:sz w:val="18"/>
          <w:szCs w:val="18"/>
        </w:rPr>
        <w:t xml:space="preserve"> </w:t>
      </w:r>
    </w:p>
  </w:footnote>
  <w:footnote w:id="81">
    <w:p w14:paraId="5BECEB62" w14:textId="52ED4CD4" w:rsidR="00996C5C" w:rsidRDefault="00996C5C">
      <w:pPr>
        <w:pStyle w:val="FootnoteText"/>
      </w:pPr>
      <w:r>
        <w:rPr>
          <w:rStyle w:val="FootnoteReference"/>
        </w:rPr>
        <w:footnoteRef/>
      </w:r>
      <w:r>
        <w:t xml:space="preserve"> </w:t>
      </w:r>
      <w:r w:rsidR="009B38BB" w:rsidRPr="003F40C2">
        <w:rPr>
          <w:sz w:val="18"/>
          <w:szCs w:val="22"/>
        </w:rPr>
        <w:t>First ever CPS deferred prosecution agreement for £615 million | The Crown Prosecution Service</w:t>
      </w:r>
      <w:r w:rsidR="009B38BB">
        <w:rPr>
          <w:sz w:val="18"/>
          <w:szCs w:val="22"/>
        </w:rPr>
        <w:t xml:space="preserve">: </w:t>
      </w:r>
      <w:hyperlink r:id="rId61" w:history="1">
        <w:r w:rsidR="009B38BB" w:rsidRPr="009B38BB">
          <w:rPr>
            <w:rStyle w:val="Hyperlink"/>
            <w:sz w:val="18"/>
            <w:szCs w:val="22"/>
          </w:rPr>
          <w:t>https://www.cps.gov.uk/cps/news/first-ever-cps-deferred-prosecution-agreement-ps615-million</w:t>
        </w:r>
      </w:hyperlink>
    </w:p>
  </w:footnote>
  <w:footnote w:id="82">
    <w:p w14:paraId="73AA96DE" w14:textId="27B002AC" w:rsidR="00AF5F1C" w:rsidRDefault="00AF5F1C">
      <w:pPr>
        <w:pStyle w:val="FootnoteText"/>
      </w:pPr>
      <w:r w:rsidRPr="00C23109">
        <w:rPr>
          <w:rStyle w:val="FootnoteReference"/>
          <w:sz w:val="18"/>
          <w:szCs w:val="18"/>
        </w:rPr>
        <w:footnoteRef/>
      </w:r>
      <w:r w:rsidRPr="00C23109">
        <w:rPr>
          <w:sz w:val="18"/>
          <w:szCs w:val="18"/>
        </w:rPr>
        <w:t xml:space="preserve"> In this context, </w:t>
      </w:r>
      <w:r w:rsidR="00876BCA">
        <w:rPr>
          <w:sz w:val="18"/>
          <w:szCs w:val="18"/>
        </w:rPr>
        <w:t>the Home Office</w:t>
      </w:r>
      <w:r w:rsidRPr="00C23109">
        <w:rPr>
          <w:sz w:val="18"/>
          <w:szCs w:val="18"/>
        </w:rPr>
        <w:t xml:space="preserve"> mean</w:t>
      </w:r>
      <w:r w:rsidR="00876BCA">
        <w:rPr>
          <w:sz w:val="18"/>
          <w:szCs w:val="18"/>
        </w:rPr>
        <w:t>s</w:t>
      </w:r>
      <w:r w:rsidRPr="00C23109">
        <w:rPr>
          <w:sz w:val="18"/>
          <w:szCs w:val="18"/>
        </w:rPr>
        <w:t xml:space="preserve"> all organisations that do not meet the criteria to be considered a “large organisation” </w:t>
      </w:r>
      <w:r w:rsidR="00143519" w:rsidRPr="00C23109">
        <w:rPr>
          <w:sz w:val="18"/>
          <w:szCs w:val="18"/>
        </w:rPr>
        <w:t>in the Economic Crime and Corporate Transparency Act 2023</w:t>
      </w:r>
      <w:r w:rsidR="00192457" w:rsidRPr="00C23109">
        <w:rPr>
          <w:sz w:val="18"/>
          <w:szCs w:val="18"/>
        </w:rPr>
        <w:t xml:space="preserve"> sections 201</w:t>
      </w:r>
      <w:r w:rsidR="008C13AA">
        <w:rPr>
          <w:sz w:val="18"/>
          <w:szCs w:val="18"/>
        </w:rPr>
        <w:t xml:space="preserve"> to </w:t>
      </w:r>
      <w:r w:rsidR="00192457" w:rsidRPr="00C23109">
        <w:rPr>
          <w:sz w:val="18"/>
          <w:szCs w:val="18"/>
        </w:rPr>
        <w:t>202</w:t>
      </w:r>
      <w:r w:rsidR="001B1A28">
        <w:t xml:space="preserve">: </w:t>
      </w:r>
      <w:hyperlink r:id="rId62" w:history="1">
        <w:r w:rsidR="001B1A28" w:rsidRPr="002E4411">
          <w:rPr>
            <w:rStyle w:val="Hyperlink"/>
            <w:rFonts w:cs="Arial"/>
            <w:sz w:val="18"/>
            <w:szCs w:val="18"/>
          </w:rPr>
          <w:t>https://www.legislation.gov.uk/ukpga/2023/56/section/202/2023-12-26</w:t>
        </w:r>
      </w:hyperlink>
    </w:p>
  </w:footnote>
  <w:footnote w:id="83">
    <w:p w14:paraId="256CE130" w14:textId="69D9910B" w:rsidR="00BF7C31" w:rsidRPr="00C23109" w:rsidRDefault="00BF7C31">
      <w:pPr>
        <w:pStyle w:val="FootnoteText"/>
        <w:rPr>
          <w:sz w:val="18"/>
          <w:szCs w:val="18"/>
        </w:rPr>
      </w:pPr>
      <w:r w:rsidRPr="00C23109">
        <w:rPr>
          <w:rStyle w:val="FootnoteReference"/>
          <w:sz w:val="18"/>
          <w:szCs w:val="18"/>
        </w:rPr>
        <w:footnoteRef/>
      </w:r>
      <w:r w:rsidRPr="00C23109">
        <w:rPr>
          <w:sz w:val="18"/>
          <w:szCs w:val="18"/>
        </w:rPr>
        <w:t xml:space="preserve"> </w:t>
      </w:r>
      <w:hyperlink r:id="rId63" w:history="1">
        <w:r w:rsidRPr="00C23109">
          <w:rPr>
            <w:rStyle w:val="Hyperlink"/>
            <w:sz w:val="18"/>
            <w:szCs w:val="18"/>
          </w:rPr>
          <w:t>https://lordslibrary.parliament.uk/bribery-act-2010-post-legislative-scrutiny/</w:t>
        </w:r>
      </w:hyperlink>
      <w:r w:rsidRPr="00C23109">
        <w:rPr>
          <w:sz w:val="18"/>
          <w:szCs w:val="18"/>
        </w:rPr>
        <w:t xml:space="preserve"> : </w:t>
      </w:r>
      <w:r w:rsidR="006E5510" w:rsidRPr="00C23109">
        <w:rPr>
          <w:sz w:val="18"/>
          <w:szCs w:val="18"/>
        </w:rPr>
        <w:t xml:space="preserve">In its assessment of the act, the committee noted that not one witness had “major criticisms” of the legislation. Similarly, the committee stated that overall: “The structure of the act, the offences it created, its deterrent effect, and its interaction with deferred prosecution agreements, are only some of the aspects which have been almost universally praised.”   </w:t>
      </w:r>
      <w:r w:rsidR="003E2241">
        <w:rPr>
          <w:sz w:val="18"/>
          <w:szCs w:val="18"/>
        </w:rPr>
        <w:t>T</w:t>
      </w:r>
      <w:r w:rsidR="006E5510" w:rsidRPr="00C23109">
        <w:rPr>
          <w:sz w:val="18"/>
          <w:szCs w:val="18"/>
        </w:rPr>
        <w:t>he committee did express a concern at the “slow pace” of bribery investigations, with a number of witnesses criticising the time it had taken for bribery charges to be brought and cases to reach trial.</w:t>
      </w:r>
    </w:p>
  </w:footnote>
  <w:footnote w:id="84">
    <w:p w14:paraId="564F88F9" w14:textId="61431641" w:rsidR="002C6452" w:rsidRPr="00C23109" w:rsidRDefault="002C6452">
      <w:pPr>
        <w:pStyle w:val="FootnoteText"/>
        <w:rPr>
          <w:sz w:val="18"/>
          <w:szCs w:val="18"/>
        </w:rPr>
      </w:pPr>
      <w:r w:rsidRPr="00C23109">
        <w:rPr>
          <w:rStyle w:val="FootnoteReference"/>
          <w:sz w:val="18"/>
          <w:szCs w:val="18"/>
        </w:rPr>
        <w:footnoteRef/>
      </w:r>
      <w:r w:rsidRPr="00C23109">
        <w:rPr>
          <w:sz w:val="18"/>
          <w:szCs w:val="18"/>
        </w:rPr>
        <w:t xml:space="preserve"> The Economic Crime and Corporate Transparency Act 2023 explicitly limits the offence </w:t>
      </w:r>
      <w:r w:rsidR="00CC765E">
        <w:rPr>
          <w:sz w:val="18"/>
          <w:szCs w:val="18"/>
        </w:rPr>
        <w:t>of failure to prevent fraud</w:t>
      </w:r>
      <w:r w:rsidRPr="00C23109">
        <w:rPr>
          <w:sz w:val="18"/>
          <w:szCs w:val="18"/>
        </w:rPr>
        <w:t xml:space="preserve"> to </w:t>
      </w:r>
      <w:r w:rsidR="00CC765E">
        <w:rPr>
          <w:sz w:val="18"/>
          <w:szCs w:val="18"/>
        </w:rPr>
        <w:t>“large”</w:t>
      </w:r>
      <w:r w:rsidRPr="00C23109">
        <w:rPr>
          <w:sz w:val="18"/>
          <w:szCs w:val="18"/>
        </w:rPr>
        <w:t xml:space="preserve"> organisations</w:t>
      </w:r>
      <w:r w:rsidR="00CC765E">
        <w:rPr>
          <w:sz w:val="18"/>
          <w:szCs w:val="18"/>
        </w:rPr>
        <w:t>, that is, organisations that</w:t>
      </w:r>
      <w:r w:rsidRPr="00C23109">
        <w:rPr>
          <w:sz w:val="18"/>
          <w:szCs w:val="18"/>
        </w:rPr>
        <w:t xml:space="preserve"> meet </w:t>
      </w:r>
      <w:r w:rsidR="003E2241">
        <w:rPr>
          <w:sz w:val="18"/>
          <w:szCs w:val="18"/>
        </w:rPr>
        <w:t>two</w:t>
      </w:r>
      <w:r w:rsidRPr="00C23109">
        <w:rPr>
          <w:sz w:val="18"/>
          <w:szCs w:val="18"/>
        </w:rPr>
        <w:t xml:space="preserve"> or three of the criteria set out in section</w:t>
      </w:r>
      <w:r w:rsidR="00FE31A5" w:rsidRPr="00C23109">
        <w:rPr>
          <w:sz w:val="18"/>
          <w:szCs w:val="18"/>
        </w:rPr>
        <w:t>s 201</w:t>
      </w:r>
      <w:r w:rsidR="003E551D">
        <w:rPr>
          <w:sz w:val="18"/>
          <w:szCs w:val="18"/>
        </w:rPr>
        <w:t xml:space="preserve"> to </w:t>
      </w:r>
      <w:r w:rsidR="00FE31A5" w:rsidRPr="00C23109">
        <w:rPr>
          <w:sz w:val="18"/>
          <w:szCs w:val="18"/>
        </w:rPr>
        <w:t>202 of the Act.</w:t>
      </w:r>
      <w:r w:rsidRPr="00C23109">
        <w:rPr>
          <w:sz w:val="18"/>
          <w:szCs w:val="18"/>
        </w:rPr>
        <w:t xml:space="preserve"> </w:t>
      </w:r>
      <w:r w:rsidR="00792692" w:rsidRPr="00C23109">
        <w:rPr>
          <w:sz w:val="18"/>
          <w:szCs w:val="18"/>
        </w:rPr>
        <w:t>These definitions are not linked to the Companies Act</w:t>
      </w:r>
      <w:r w:rsidR="003E2241">
        <w:rPr>
          <w:sz w:val="18"/>
          <w:szCs w:val="18"/>
        </w:rPr>
        <w:t xml:space="preserve"> </w:t>
      </w:r>
      <w:r w:rsidR="000F3FCD">
        <w:rPr>
          <w:sz w:val="18"/>
          <w:szCs w:val="18"/>
        </w:rPr>
        <w:t>2006</w:t>
      </w:r>
      <w:r w:rsidR="00792692" w:rsidRPr="00C23109">
        <w:rPr>
          <w:sz w:val="18"/>
          <w:szCs w:val="18"/>
        </w:rPr>
        <w:t>.</w:t>
      </w:r>
    </w:p>
  </w:footnote>
  <w:footnote w:id="85">
    <w:p w14:paraId="361E0D7A" w14:textId="543C5E36" w:rsidR="00C5799B" w:rsidRPr="002A7CF1" w:rsidRDefault="00C5799B" w:rsidP="00C5799B">
      <w:pPr>
        <w:pStyle w:val="FootnoteText"/>
        <w:rPr>
          <w:sz w:val="18"/>
          <w:szCs w:val="18"/>
        </w:rPr>
      </w:pPr>
      <w:r w:rsidRPr="002E2CEC">
        <w:rPr>
          <w:rStyle w:val="FootnoteReference"/>
          <w:sz w:val="18"/>
          <w:szCs w:val="18"/>
        </w:rPr>
        <w:footnoteRef/>
      </w:r>
      <w:r w:rsidRPr="002E2CEC">
        <w:rPr>
          <w:sz w:val="18"/>
          <w:szCs w:val="18"/>
        </w:rPr>
        <w:t xml:space="preserve"> Per the Crime Survey for England and Wales, Appendix ,Table 3, fraud constitutes 40 per cent of estimated crime against individuals</w:t>
      </w:r>
      <w:r w:rsidR="000F3FCD">
        <w:rPr>
          <w:sz w:val="18"/>
          <w:szCs w:val="18"/>
        </w:rPr>
        <w:t>:</w:t>
      </w:r>
      <w:r w:rsidRPr="002E2CEC">
        <w:rPr>
          <w:sz w:val="18"/>
          <w:szCs w:val="18"/>
        </w:rPr>
        <w:t xml:space="preserve"> </w:t>
      </w:r>
      <w:hyperlink r:id="rId64" w:history="1">
        <w:r w:rsidRPr="002E2CEC">
          <w:rPr>
            <w:rStyle w:val="Hyperlink"/>
            <w:sz w:val="18"/>
            <w:szCs w:val="18"/>
          </w:rPr>
          <w:t>https://www.ons.gov.uk/peoplepopulationandcommunity/crimeandjustice/datasets/crimeinenglandandwalesappendixtables</w:t>
        </w:r>
      </w:hyperlink>
      <w:r>
        <w:rPr>
          <w:sz w:val="18"/>
          <w:szCs w:val="18"/>
        </w:rPr>
        <w:t xml:space="preserve"> </w:t>
      </w:r>
    </w:p>
  </w:footnote>
  <w:footnote w:id="86">
    <w:p w14:paraId="0124C98C" w14:textId="77777777" w:rsidR="00996BB9" w:rsidRDefault="00996BB9" w:rsidP="00996BB9">
      <w:pPr>
        <w:pStyle w:val="FootnoteText"/>
      </w:pPr>
      <w:r>
        <w:rPr>
          <w:rStyle w:val="FootnoteReference"/>
        </w:rPr>
        <w:footnoteRef/>
      </w:r>
      <w:r>
        <w:t xml:space="preserve"> </w:t>
      </w:r>
      <w:r w:rsidRPr="00BF1262">
        <w:rPr>
          <w:sz w:val="18"/>
          <w:szCs w:val="18"/>
        </w:rPr>
        <w:t>Th</w:t>
      </w:r>
      <w:r w:rsidRPr="00BF1262">
        <w:rPr>
          <w:sz w:val="18"/>
          <w:szCs w:val="22"/>
        </w:rPr>
        <w:t>e 2024 report on occupational fraud by the Association of Certified Fraud Examiners estimated that median loss to businesses from a fraud case at $145,000:</w:t>
      </w:r>
      <w:r>
        <w:rPr>
          <w:sz w:val="18"/>
          <w:szCs w:val="22"/>
        </w:rPr>
        <w:t xml:space="preserve"> </w:t>
      </w:r>
      <w:hyperlink r:id="rId65" w:history="1">
        <w:r w:rsidRPr="00BF1262">
          <w:rPr>
            <w:rStyle w:val="Hyperlink"/>
            <w:sz w:val="18"/>
            <w:szCs w:val="22"/>
          </w:rPr>
          <w:t>https://www.acfe.com/-/media/files/acfe/pdfs/rttn/2024/2024-report-to-the-nations.pdf</w:t>
        </w:r>
      </w:hyperlink>
    </w:p>
  </w:footnote>
  <w:footnote w:id="87">
    <w:p w14:paraId="7B54BF78" w14:textId="77777777" w:rsidR="00996BB9" w:rsidRPr="00BF1262" w:rsidRDefault="00996BB9" w:rsidP="00996BB9">
      <w:pPr>
        <w:pStyle w:val="FootnoteText"/>
        <w:rPr>
          <w:sz w:val="18"/>
          <w:szCs w:val="22"/>
        </w:rPr>
      </w:pPr>
      <w:r>
        <w:rPr>
          <w:rStyle w:val="FootnoteReference"/>
        </w:rPr>
        <w:footnoteRef/>
      </w:r>
      <w:r w:rsidRPr="00BF1262">
        <w:rPr>
          <w:sz w:val="18"/>
          <w:szCs w:val="22"/>
        </w:rPr>
        <w:t xml:space="preserve"> The Economic and Social Cost of Crime 2018 estimates the cost of fraud to individuals at £1,290:</w:t>
      </w:r>
    </w:p>
    <w:p w14:paraId="7D4266F6" w14:textId="77777777" w:rsidR="00996BB9" w:rsidRDefault="00055594" w:rsidP="00996BB9">
      <w:pPr>
        <w:pStyle w:val="FootnoteText"/>
      </w:pPr>
      <w:hyperlink r:id="rId66" w:history="1">
        <w:r w:rsidR="00996BB9" w:rsidRPr="00BF1262">
          <w:rPr>
            <w:rStyle w:val="Hyperlink"/>
            <w:sz w:val="18"/>
            <w:szCs w:val="22"/>
          </w:rPr>
          <w:t>https://assets.publishing.service.gov.uk/government/uploads/system/uploads/attachment_data/file/732110/the-economic-and-social-costs-of-crime-horr99.pdf</w:t>
        </w:r>
      </w:hyperlink>
    </w:p>
  </w:footnote>
  <w:footnote w:id="88">
    <w:p w14:paraId="2C25CA8F" w14:textId="31B12CFC" w:rsidR="002636A5" w:rsidRPr="003F40C2" w:rsidRDefault="002636A5" w:rsidP="003F40C2">
      <w:pPr>
        <w:rPr>
          <w:rFonts w:cs="Arial"/>
          <w:sz w:val="18"/>
          <w:szCs w:val="18"/>
        </w:rPr>
      </w:pPr>
      <w:r>
        <w:rPr>
          <w:rStyle w:val="FootnoteReference"/>
        </w:rPr>
        <w:footnoteRef/>
      </w:r>
      <w:r>
        <w:t xml:space="preserve"> </w:t>
      </w:r>
      <w:r w:rsidRPr="00810C0B">
        <w:rPr>
          <w:rFonts w:cs="Arial"/>
          <w:sz w:val="18"/>
          <w:szCs w:val="18"/>
        </w:rPr>
        <w:t>Fraud Strategy: Stopping Scams and Protecting the Public, May 2023:</w:t>
      </w:r>
      <w:r w:rsidRPr="00EB043A">
        <w:t xml:space="preserve"> </w:t>
      </w:r>
      <w:hyperlink r:id="rId67" w:history="1">
        <w:r w:rsidRPr="006331E4">
          <w:rPr>
            <w:rStyle w:val="Hyperlink"/>
            <w:sz w:val="18"/>
            <w:szCs w:val="18"/>
          </w:rPr>
          <w:t>https://assets.publishing.service.gov.uk/media/64539087faf4aa0012e132cb/Fraud_Strategy_2023.pdf</w:t>
        </w:r>
      </w:hyperlink>
    </w:p>
  </w:footnote>
  <w:footnote w:id="89">
    <w:p w14:paraId="0AF115D5" w14:textId="77777777" w:rsidR="00996BB9" w:rsidRDefault="00996BB9" w:rsidP="00996BB9">
      <w:pPr>
        <w:pStyle w:val="FootnoteText"/>
      </w:pPr>
      <w:r>
        <w:rPr>
          <w:rStyle w:val="FootnoteReference"/>
        </w:rPr>
        <w:footnoteRef/>
      </w:r>
      <w:r>
        <w:t xml:space="preserve"> </w:t>
      </w:r>
      <w:r w:rsidRPr="00BF1262">
        <w:rPr>
          <w:sz w:val="18"/>
          <w:szCs w:val="22"/>
        </w:rPr>
        <w:t>Crowe’s Financial Cost of Fraud 2021 estimates that the cost of fraud against UK maybe as high £137 billion:</w:t>
      </w:r>
      <w:r>
        <w:rPr>
          <w:sz w:val="18"/>
          <w:szCs w:val="22"/>
        </w:rPr>
        <w:t xml:space="preserve"> </w:t>
      </w:r>
      <w:hyperlink r:id="rId68" w:history="1">
        <w:r w:rsidRPr="00BF1262">
          <w:rPr>
            <w:rStyle w:val="Hyperlink"/>
            <w:sz w:val="18"/>
            <w:szCs w:val="22"/>
          </w:rPr>
          <w:t>https://www.crowe.com/uk/insights/financial-cost-fraud-data-2021</w:t>
        </w:r>
      </w:hyperlink>
    </w:p>
  </w:footnote>
  <w:footnote w:id="90">
    <w:p w14:paraId="62D9F0CB" w14:textId="77777777" w:rsidR="00E40240" w:rsidRPr="00596C0E" w:rsidRDefault="00E40240" w:rsidP="00E40240">
      <w:pPr>
        <w:pStyle w:val="FootnoteText"/>
        <w:rPr>
          <w:sz w:val="18"/>
          <w:szCs w:val="18"/>
        </w:rPr>
      </w:pPr>
      <w:r w:rsidRPr="00596C0E">
        <w:rPr>
          <w:rStyle w:val="FootnoteReference"/>
          <w:sz w:val="18"/>
          <w:szCs w:val="18"/>
        </w:rPr>
        <w:footnoteRef/>
      </w:r>
      <w:r w:rsidRPr="00596C0E">
        <w:rPr>
          <w:sz w:val="18"/>
          <w:szCs w:val="18"/>
        </w:rPr>
        <w:t xml:space="preserve"> It is assumed that companies with less than 10 employees receive no discount, but the discount is as high as 40 per cent for the largest companies. This is consistent with fee schedules on websites offering anti-bribery training, see: </w:t>
      </w:r>
      <w:hyperlink r:id="rId69" w:history="1">
        <w:r w:rsidRPr="00596C0E">
          <w:rPr>
            <w:rStyle w:val="Hyperlink"/>
            <w:sz w:val="18"/>
            <w:szCs w:val="18"/>
          </w:rPr>
          <w:t>https://www.virtual-college.co.uk/courses/compliance/the-bribery-act-2010</w:t>
        </w:r>
      </w:hyperlink>
      <w:r w:rsidRPr="00596C0E">
        <w:rPr>
          <w:sz w:val="18"/>
          <w:szCs w:val="18"/>
        </w:rPr>
        <w:t xml:space="preserve"> </w:t>
      </w:r>
    </w:p>
  </w:footnote>
  <w:footnote w:id="91">
    <w:p w14:paraId="2A2D1EAC" w14:textId="77777777" w:rsidR="00A6073A" w:rsidRDefault="00A6073A" w:rsidP="00A6073A">
      <w:pPr>
        <w:pStyle w:val="FootnoteText"/>
      </w:pPr>
      <w:r>
        <w:rPr>
          <w:rStyle w:val="FootnoteReference"/>
        </w:rPr>
        <w:footnoteRef/>
      </w:r>
      <w:r>
        <w:t xml:space="preserve"> </w:t>
      </w:r>
      <w:r w:rsidRPr="00A55741">
        <w:rPr>
          <w:sz w:val="18"/>
          <w:szCs w:val="18"/>
        </w:rPr>
        <w:t>For example, the Serious Fraud Office (SFO) website lists 29 serious fraud cases, some completed, some ongoing. The perpetrators or alleged perpetrators range from individuals, to small companies to international consortia.</w:t>
      </w:r>
    </w:p>
  </w:footnote>
  <w:footnote w:id="92">
    <w:p w14:paraId="666F1449" w14:textId="0FC746F5" w:rsidR="006F34A3" w:rsidRDefault="006F34A3">
      <w:pPr>
        <w:pStyle w:val="FootnoteText"/>
      </w:pPr>
      <w:r>
        <w:rPr>
          <w:rStyle w:val="FootnoteReference"/>
        </w:rPr>
        <w:footnoteRef/>
      </w:r>
      <w:r>
        <w:t xml:space="preserve"> </w:t>
      </w:r>
      <w:r w:rsidRPr="00A55741">
        <w:rPr>
          <w:sz w:val="18"/>
          <w:szCs w:val="22"/>
        </w:rPr>
        <w:t xml:space="preserve">For example, in a small or medium company, fewer people are likely to have access to financial </w:t>
      </w:r>
      <w:r w:rsidR="004E52CA" w:rsidRPr="00A55741">
        <w:rPr>
          <w:sz w:val="18"/>
          <w:szCs w:val="22"/>
        </w:rPr>
        <w:t>information and there are fewer contractors who could, potentially, commit a fraud in scope of this offence.</w:t>
      </w:r>
    </w:p>
  </w:footnote>
  <w:footnote w:id="93">
    <w:p w14:paraId="1D2FDD8D" w14:textId="657E83DF" w:rsidR="00B54085" w:rsidRPr="00A66436" w:rsidRDefault="00B54085">
      <w:pPr>
        <w:pStyle w:val="FootnoteText"/>
        <w:rPr>
          <w:sz w:val="18"/>
          <w:szCs w:val="22"/>
        </w:rPr>
      </w:pPr>
      <w:r>
        <w:rPr>
          <w:rStyle w:val="FootnoteReference"/>
        </w:rPr>
        <w:footnoteRef/>
      </w:r>
      <w:r>
        <w:t xml:space="preserve"> </w:t>
      </w:r>
      <w:r w:rsidRPr="00A66436">
        <w:rPr>
          <w:sz w:val="18"/>
          <w:szCs w:val="22"/>
        </w:rPr>
        <w:t xml:space="preserve">This means the existing identification principle, prior to the amendments in the Economic Crime and Corporate </w:t>
      </w:r>
      <w:r w:rsidR="00A66436" w:rsidRPr="00A66436">
        <w:rPr>
          <w:sz w:val="18"/>
          <w:szCs w:val="22"/>
        </w:rPr>
        <w:t>T</w:t>
      </w:r>
      <w:r w:rsidRPr="00A66436">
        <w:rPr>
          <w:sz w:val="18"/>
          <w:szCs w:val="22"/>
        </w:rPr>
        <w:t>ransparency Act 2023</w:t>
      </w:r>
      <w:r w:rsidR="005F3B58">
        <w:rPr>
          <w:sz w:val="18"/>
          <w:szCs w:val="22"/>
        </w:rPr>
        <w:t xml:space="preserve"> (sections 196</w:t>
      </w:r>
      <w:r w:rsidR="00CF46F1">
        <w:rPr>
          <w:sz w:val="18"/>
          <w:szCs w:val="22"/>
        </w:rPr>
        <w:t xml:space="preserve"> to </w:t>
      </w:r>
      <w:r w:rsidR="005F3B58">
        <w:rPr>
          <w:sz w:val="18"/>
          <w:szCs w:val="22"/>
        </w:rPr>
        <w:t>198)</w:t>
      </w:r>
      <w:r w:rsidR="003C0D93">
        <w:rPr>
          <w:sz w:val="18"/>
          <w:szCs w:val="22"/>
        </w:rPr>
        <w:t xml:space="preserve"> at: </w:t>
      </w:r>
      <w:hyperlink r:id="rId70" w:history="1">
        <w:r w:rsidR="003C0D93" w:rsidRPr="003C0D93">
          <w:rPr>
            <w:rStyle w:val="Hyperlink"/>
            <w:sz w:val="18"/>
            <w:szCs w:val="22"/>
          </w:rPr>
          <w:t>https://www.legislation.gov.uk/ukpga/2023/56/part/5/crossheading/attributing-criminal-liability-for-economic-crimes-to-certain-bodies</w:t>
        </w:r>
      </w:hyperlink>
      <w:r w:rsidR="00DA5843">
        <w:rPr>
          <w:sz w:val="18"/>
          <w:szCs w:val="22"/>
        </w:rPr>
        <w:t xml:space="preserve"> Prior to this amendment, a corporate could only be held responsible</w:t>
      </w:r>
      <w:r w:rsidR="00186F7F">
        <w:rPr>
          <w:sz w:val="18"/>
          <w:szCs w:val="22"/>
        </w:rPr>
        <w:t xml:space="preserve"> for an economic crime </w:t>
      </w:r>
      <w:r w:rsidR="00DA5843">
        <w:rPr>
          <w:sz w:val="18"/>
          <w:szCs w:val="22"/>
        </w:rPr>
        <w:t>if t</w:t>
      </w:r>
      <w:r w:rsidR="00DF4F75">
        <w:rPr>
          <w:sz w:val="18"/>
          <w:szCs w:val="22"/>
        </w:rPr>
        <w:t>he crime was committed by the “directing mind and will” of the company – something that was difficult to establish, particularly in large corporations with complex structures.</w:t>
      </w:r>
    </w:p>
  </w:footnote>
  <w:footnote w:id="94">
    <w:p w14:paraId="1FFE837A" w14:textId="2F986F6B" w:rsidR="00A6073A" w:rsidRDefault="00A6073A" w:rsidP="00A6073A">
      <w:pPr>
        <w:pStyle w:val="FootnoteText"/>
      </w:pPr>
      <w:r>
        <w:rPr>
          <w:rStyle w:val="FootnoteReference"/>
        </w:rPr>
        <w:footnoteRef/>
      </w:r>
      <w:r>
        <w:t xml:space="preserve"> </w:t>
      </w:r>
      <w:r w:rsidRPr="00A55741">
        <w:rPr>
          <w:sz w:val="18"/>
          <w:szCs w:val="18"/>
        </w:rPr>
        <w:t>Section 3.69</w:t>
      </w:r>
      <w:r w:rsidR="003712F8">
        <w:rPr>
          <w:sz w:val="18"/>
          <w:szCs w:val="18"/>
        </w:rPr>
        <w:t xml:space="preserve"> to </w:t>
      </w:r>
      <w:r w:rsidRPr="00A55741">
        <w:rPr>
          <w:sz w:val="18"/>
          <w:szCs w:val="18"/>
        </w:rPr>
        <w:t>3.72: “Corporate Criminal Liability: an options paper”, Law Commission 2022</w:t>
      </w:r>
      <w:r w:rsidR="00C41C45">
        <w:rPr>
          <w:sz w:val="18"/>
          <w:szCs w:val="18"/>
        </w:rPr>
        <w:t xml:space="preserve">: </w:t>
      </w:r>
      <w:hyperlink r:id="rId71" w:anchor="page=55" w:history="1">
        <w:r w:rsidR="00C41C45" w:rsidRPr="00C41C45">
          <w:rPr>
            <w:rStyle w:val="Hyperlink"/>
            <w:sz w:val="18"/>
            <w:szCs w:val="18"/>
          </w:rPr>
          <w:t>https://s3-eu-west-2.amazonaws.com/cloud-platform-e218f50a4812967ba1215eaecede923f/uploads/sites/30/2022/06/Corporate-Criminal-Liability-Options-Paper_LC.pdf#page=55</w:t>
        </w:r>
      </w:hyperlink>
    </w:p>
  </w:footnote>
  <w:footnote w:id="95">
    <w:p w14:paraId="0206B4BE" w14:textId="741FC377" w:rsidR="00A6073A" w:rsidRDefault="00A6073A" w:rsidP="00A6073A">
      <w:pPr>
        <w:pStyle w:val="FootnoteText"/>
      </w:pPr>
      <w:r>
        <w:rPr>
          <w:rStyle w:val="FootnoteReference"/>
        </w:rPr>
        <w:footnoteRef/>
      </w:r>
      <w:r>
        <w:t xml:space="preserve"> </w:t>
      </w:r>
      <w:r w:rsidRPr="00A55741">
        <w:rPr>
          <w:sz w:val="18"/>
          <w:szCs w:val="18"/>
        </w:rPr>
        <w:t>The Law Commission report states “Even with a modest expansion of the identification principle this discrepancy would be likely to persist. If, for instance, the doctrine were expanded to allow identification on the basis of the culpability of a single senior manager , there will inevitably continue to be cases in which a small company would be convicted, but not a large company, because it would be inherently more likely that in the small firm senior managers would be closer to the level at which misconduct took place and therefore more likely to have the knowledge needed to fix the company with liability.” Note that this is exactly the amendment that was included in the Economic Crime and Corporate transparency Act 2023 (sections 196</w:t>
      </w:r>
      <w:r w:rsidR="00264130" w:rsidRPr="00A55741">
        <w:rPr>
          <w:sz w:val="18"/>
          <w:szCs w:val="18"/>
        </w:rPr>
        <w:t xml:space="preserve"> to </w:t>
      </w:r>
      <w:r w:rsidRPr="00A55741">
        <w:rPr>
          <w:sz w:val="18"/>
          <w:szCs w:val="18"/>
        </w:rPr>
        <w:t>198).</w:t>
      </w:r>
    </w:p>
  </w:footnote>
  <w:footnote w:id="96">
    <w:p w14:paraId="3E58F666" w14:textId="77777777" w:rsidR="00E772C5" w:rsidRPr="0011355C" w:rsidRDefault="00E772C5" w:rsidP="0011355C">
      <w:pPr>
        <w:pStyle w:val="Heading1"/>
        <w:keepNext w:val="0"/>
        <w:shd w:val="clear" w:color="auto" w:fill="FFFFFF"/>
        <w:spacing w:before="0" w:after="0"/>
        <w:rPr>
          <w:rFonts w:ascii="Arial" w:hAnsi="Arial"/>
          <w:sz w:val="18"/>
          <w:szCs w:val="18"/>
        </w:rPr>
      </w:pPr>
      <w:r w:rsidRPr="0011355C">
        <w:rPr>
          <w:rStyle w:val="FootnoteReference"/>
          <w:rFonts w:ascii="Arial" w:eastAsia="SimSun" w:hAnsi="Arial" w:cs="Arial"/>
          <w:sz w:val="18"/>
          <w:szCs w:val="18"/>
        </w:rPr>
        <w:footnoteRef/>
      </w:r>
      <w:r w:rsidRPr="0011355C">
        <w:rPr>
          <w:rFonts w:ascii="Arial" w:hAnsi="Arial"/>
          <w:color w:val="0B0C0C"/>
          <w:sz w:val="18"/>
          <w:szCs w:val="18"/>
        </w:rPr>
        <w:t xml:space="preserve"> </w:t>
      </w:r>
      <w:r w:rsidRPr="0011355C">
        <w:rPr>
          <w:rFonts w:ascii="Arial" w:hAnsi="Arial"/>
          <w:b w:val="0"/>
          <w:bCs w:val="0"/>
          <w:color w:val="0B0C0C"/>
          <w:sz w:val="18"/>
          <w:szCs w:val="18"/>
        </w:rPr>
        <w:t xml:space="preserve">RPC </w:t>
      </w:r>
      <w:r w:rsidRPr="0011355C">
        <w:rPr>
          <w:rFonts w:ascii="Arial" w:eastAsia="SimSun" w:hAnsi="Arial"/>
          <w:b w:val="0"/>
          <w:color w:val="0B0C0C"/>
          <w:sz w:val="18"/>
          <w:szCs w:val="18"/>
        </w:rPr>
        <w:t>p</w:t>
      </w:r>
      <w:r w:rsidRPr="0011355C">
        <w:rPr>
          <w:rFonts w:ascii="Arial" w:hAnsi="Arial"/>
          <w:b w:val="0"/>
          <w:color w:val="0B0C0C"/>
          <w:sz w:val="18"/>
          <w:szCs w:val="18"/>
        </w:rPr>
        <w:t>roportionality</w:t>
      </w:r>
      <w:r w:rsidRPr="0011355C">
        <w:rPr>
          <w:rFonts w:ascii="Arial" w:hAnsi="Arial"/>
          <w:b w:val="0"/>
          <w:bCs w:val="0"/>
          <w:color w:val="0B0C0C"/>
          <w:sz w:val="18"/>
          <w:szCs w:val="18"/>
        </w:rPr>
        <w:t xml:space="preserve"> </w:t>
      </w:r>
      <w:r w:rsidRPr="0011355C">
        <w:rPr>
          <w:rFonts w:ascii="Arial" w:hAnsi="Arial"/>
          <w:b w:val="0"/>
          <w:color w:val="0B0C0C"/>
          <w:sz w:val="18"/>
          <w:szCs w:val="18"/>
        </w:rPr>
        <w:t>in</w:t>
      </w:r>
      <w:r w:rsidRPr="0011355C">
        <w:rPr>
          <w:rFonts w:ascii="Arial" w:hAnsi="Arial"/>
          <w:b w:val="0"/>
          <w:bCs w:val="0"/>
          <w:color w:val="0B0C0C"/>
          <w:sz w:val="18"/>
          <w:szCs w:val="18"/>
        </w:rPr>
        <w:t xml:space="preserve"> </w:t>
      </w:r>
      <w:r w:rsidRPr="0011355C">
        <w:rPr>
          <w:rFonts w:ascii="Arial" w:hAnsi="Arial"/>
          <w:b w:val="0"/>
          <w:color w:val="0B0C0C"/>
          <w:sz w:val="18"/>
          <w:szCs w:val="18"/>
        </w:rPr>
        <w:t>regulatory</w:t>
      </w:r>
      <w:r w:rsidRPr="0011355C">
        <w:rPr>
          <w:rFonts w:ascii="Arial" w:hAnsi="Arial"/>
          <w:b w:val="0"/>
          <w:bCs w:val="0"/>
          <w:color w:val="0B0C0C"/>
          <w:sz w:val="18"/>
          <w:szCs w:val="18"/>
        </w:rPr>
        <w:t xml:space="preserve"> </w:t>
      </w:r>
      <w:r w:rsidRPr="0011355C">
        <w:rPr>
          <w:rFonts w:ascii="Arial" w:hAnsi="Arial"/>
          <w:b w:val="0"/>
          <w:color w:val="0B0C0C"/>
          <w:sz w:val="18"/>
          <w:szCs w:val="18"/>
        </w:rPr>
        <w:t>submissions</w:t>
      </w:r>
      <w:r w:rsidRPr="0011355C">
        <w:rPr>
          <w:rFonts w:ascii="Arial" w:hAnsi="Arial"/>
          <w:b w:val="0"/>
          <w:bCs w:val="0"/>
          <w:color w:val="0B0C0C"/>
          <w:sz w:val="18"/>
          <w:szCs w:val="18"/>
        </w:rPr>
        <w:t xml:space="preserve"> – Guidance: </w:t>
      </w:r>
      <w:hyperlink r:id="rId72" w:history="1">
        <w:r w:rsidRPr="0011355C">
          <w:rPr>
            <w:rStyle w:val="Hyperlink"/>
            <w:rFonts w:ascii="Arial" w:hAnsi="Arial" w:cs="Arial"/>
            <w:b w:val="0"/>
            <w:bCs w:val="0"/>
            <w:sz w:val="18"/>
            <w:szCs w:val="18"/>
          </w:rPr>
          <w:t>https://www.gov.uk/government/publications/proportionality-in-regulatory-submissions-guidance</w:t>
        </w:r>
      </w:hyperlink>
      <w:r w:rsidRPr="0011355C">
        <w:rPr>
          <w:rFonts w:ascii="Arial" w:hAnsi="Arial"/>
          <w:sz w:val="18"/>
          <w:szCs w:val="18"/>
        </w:rPr>
        <w:t xml:space="preserve"> </w:t>
      </w:r>
    </w:p>
  </w:footnote>
  <w:footnote w:id="97">
    <w:p w14:paraId="02FFB905" w14:textId="3CACF218" w:rsidR="00E772C5" w:rsidRPr="0011355C" w:rsidRDefault="00E772C5" w:rsidP="0011355C">
      <w:pPr>
        <w:pStyle w:val="FootnoteText"/>
        <w:rPr>
          <w:rFonts w:cs="Arial"/>
          <w:sz w:val="18"/>
          <w:szCs w:val="18"/>
        </w:rPr>
      </w:pPr>
      <w:r w:rsidRPr="0011355C">
        <w:rPr>
          <w:rStyle w:val="FootnoteReference"/>
          <w:rFonts w:cs="Arial"/>
          <w:sz w:val="18"/>
          <w:szCs w:val="18"/>
        </w:rPr>
        <w:footnoteRef/>
      </w:r>
      <w:r w:rsidRPr="0011355C">
        <w:rPr>
          <w:rFonts w:cs="Arial"/>
          <w:sz w:val="18"/>
          <w:szCs w:val="18"/>
        </w:rPr>
        <w:t xml:space="preserve"> </w:t>
      </w:r>
      <w:r w:rsidR="00A07C1F" w:rsidRPr="0029116F">
        <w:rPr>
          <w:sz w:val="18"/>
          <w:szCs w:val="18"/>
        </w:rPr>
        <w:t>Fame - Digital Marketplace</w:t>
      </w:r>
      <w:r w:rsidRPr="0050381F">
        <w:rPr>
          <w:rFonts w:cs="Arial"/>
          <w:sz w:val="18"/>
          <w:szCs w:val="18"/>
        </w:rPr>
        <w:t xml:space="preserve"> – Fame is a source of company information in the UK and</w:t>
      </w:r>
      <w:r w:rsidRPr="0011355C">
        <w:rPr>
          <w:rFonts w:cs="Arial"/>
          <w:sz w:val="18"/>
          <w:szCs w:val="18"/>
        </w:rPr>
        <w:t xml:space="preserve"> </w:t>
      </w:r>
      <w:r w:rsidR="002E3CD8" w:rsidRPr="0011355C">
        <w:rPr>
          <w:rFonts w:cs="Arial"/>
          <w:sz w:val="18"/>
          <w:szCs w:val="18"/>
        </w:rPr>
        <w:t>Ireland</w:t>
      </w:r>
      <w:r w:rsidR="00A07C1F">
        <w:rPr>
          <w:rFonts w:cs="Arial"/>
          <w:sz w:val="18"/>
          <w:szCs w:val="18"/>
        </w:rPr>
        <w:t xml:space="preserve">:  </w:t>
      </w:r>
      <w:hyperlink r:id="rId73" w:history="1">
        <w:r w:rsidR="00A07C1F" w:rsidRPr="00A07C1F">
          <w:rPr>
            <w:rStyle w:val="Hyperlink"/>
            <w:rFonts w:cs="Arial"/>
            <w:sz w:val="18"/>
            <w:szCs w:val="18"/>
          </w:rPr>
          <w:t>https://www.digitalmarketplace.service.gov.uk/g-cloud/services/279752966611539</w:t>
        </w:r>
      </w:hyperlink>
    </w:p>
  </w:footnote>
  <w:footnote w:id="98">
    <w:p w14:paraId="59EE91F1" w14:textId="46EC5224" w:rsidR="00E772C5" w:rsidRDefault="00E772C5" w:rsidP="006D0443">
      <w:pPr>
        <w:pStyle w:val="FootnoteText"/>
      </w:pPr>
      <w:r w:rsidRPr="008C17E9">
        <w:rPr>
          <w:rStyle w:val="FootnoteReference"/>
          <w:sz w:val="24"/>
          <w:szCs w:val="22"/>
        </w:rPr>
        <w:footnoteRef/>
      </w:r>
      <w:r w:rsidRPr="008C17E9">
        <w:rPr>
          <w:sz w:val="18"/>
          <w:szCs w:val="22"/>
        </w:rPr>
        <w:t xml:space="preserve"> </w:t>
      </w:r>
      <w:r w:rsidR="008F2A3F">
        <w:rPr>
          <w:sz w:val="18"/>
          <w:szCs w:val="22"/>
        </w:rPr>
        <w:t>Better Regulation Framework</w:t>
      </w:r>
      <w:r w:rsidR="00FC5478">
        <w:rPr>
          <w:sz w:val="18"/>
          <w:szCs w:val="22"/>
        </w:rPr>
        <w:t xml:space="preserve">: </w:t>
      </w:r>
      <w:r w:rsidR="008F2A3F">
        <w:rPr>
          <w:sz w:val="18"/>
          <w:szCs w:val="22"/>
        </w:rPr>
        <w:t xml:space="preserve">interim guidance: </w:t>
      </w:r>
      <w:hyperlink r:id="rId74" w:history="1">
        <w:r w:rsidR="00FC5478" w:rsidRPr="00FC5478">
          <w:rPr>
            <w:rStyle w:val="Hyperlink"/>
            <w:sz w:val="18"/>
            <w:szCs w:val="22"/>
          </w:rPr>
          <w:t>https://www.gov.uk/government/publications/better-regulation-framework</w:t>
        </w:r>
      </w:hyperlink>
    </w:p>
  </w:footnote>
  <w:footnote w:id="99">
    <w:p w14:paraId="6F7BFCE7" w14:textId="2D1BFC3D" w:rsidR="00DA7649" w:rsidRDefault="00DA7649">
      <w:pPr>
        <w:pStyle w:val="FootnoteText"/>
      </w:pPr>
      <w:r>
        <w:rPr>
          <w:rStyle w:val="FootnoteReference"/>
        </w:rPr>
        <w:footnoteRef/>
      </w:r>
      <w:r>
        <w:t xml:space="preserve"> </w:t>
      </w:r>
      <w:r w:rsidR="00EB2195" w:rsidRPr="0029116F">
        <w:rPr>
          <w:sz w:val="18"/>
          <w:szCs w:val="18"/>
        </w:rPr>
        <w:t>The</w:t>
      </w:r>
      <w:r w:rsidR="00EB2195">
        <w:t xml:space="preserve"> </w:t>
      </w:r>
      <w:r w:rsidRPr="0029116F">
        <w:rPr>
          <w:sz w:val="18"/>
          <w:szCs w:val="22"/>
        </w:rPr>
        <w:t>Magenta Book</w:t>
      </w:r>
      <w:r w:rsidR="00196A80">
        <w:rPr>
          <w:sz w:val="18"/>
          <w:szCs w:val="22"/>
        </w:rPr>
        <w:t xml:space="preserve"> </w:t>
      </w:r>
      <w:r w:rsidR="00196A80" w:rsidRPr="00507A3C">
        <w:rPr>
          <w:sz w:val="18"/>
          <w:szCs w:val="18"/>
        </w:rPr>
        <w:t>(publishing.service.gov.uk)</w:t>
      </w:r>
      <w:r w:rsidR="00196A80" w:rsidRPr="00E40FDE">
        <w:rPr>
          <w:sz w:val="18"/>
          <w:szCs w:val="18"/>
        </w:rPr>
        <w:t>:</w:t>
      </w:r>
      <w:r w:rsidR="00196A80" w:rsidRPr="0029116F">
        <w:rPr>
          <w:sz w:val="18"/>
          <w:szCs w:val="22"/>
        </w:rPr>
        <w:t xml:space="preserve">: </w:t>
      </w:r>
      <w:hyperlink r:id="rId75" w:history="1">
        <w:r w:rsidR="00196A80" w:rsidRPr="0029116F">
          <w:rPr>
            <w:rStyle w:val="Hyperlink"/>
            <w:sz w:val="18"/>
            <w:szCs w:val="22"/>
          </w:rPr>
          <w:t>https://www.gov.uk/government/publications/the-magenta-book</w:t>
        </w:r>
      </w:hyperlink>
    </w:p>
  </w:footnote>
  <w:footnote w:id="100">
    <w:p w14:paraId="15F0EEFF" w14:textId="229A1552" w:rsidR="007726C1" w:rsidRDefault="007726C1" w:rsidP="007726C1">
      <w:pPr>
        <w:pStyle w:val="FootnoteText"/>
      </w:pPr>
      <w:r>
        <w:rPr>
          <w:rStyle w:val="FootnoteReference"/>
        </w:rPr>
        <w:footnoteRef/>
      </w:r>
      <w:r>
        <w:t xml:space="preserve"> </w:t>
      </w:r>
      <w:r w:rsidRPr="00CB741D">
        <w:rPr>
          <w:sz w:val="18"/>
          <w:szCs w:val="18"/>
        </w:rPr>
        <w:t>“The Bribery Act 2010: post-legislative scrutiny</w:t>
      </w:r>
      <w:r w:rsidR="00CB741D">
        <w:rPr>
          <w:sz w:val="18"/>
          <w:szCs w:val="18"/>
        </w:rPr>
        <w:t>”</w:t>
      </w:r>
      <w:r w:rsidRPr="00CB741D">
        <w:rPr>
          <w:sz w:val="18"/>
          <w:szCs w:val="18"/>
        </w:rPr>
        <w:t>, House of Lords Select Committee, Report of Session 2017</w:t>
      </w:r>
      <w:r w:rsidR="005E614F">
        <w:rPr>
          <w:sz w:val="18"/>
          <w:szCs w:val="18"/>
        </w:rPr>
        <w:t xml:space="preserve"> to 20</w:t>
      </w:r>
      <w:r w:rsidRPr="00CB741D">
        <w:rPr>
          <w:sz w:val="18"/>
          <w:szCs w:val="18"/>
        </w:rPr>
        <w:t>19, 14 March 2019</w:t>
      </w:r>
      <w:r w:rsidR="00306F4B">
        <w:rPr>
          <w:sz w:val="18"/>
          <w:szCs w:val="18"/>
        </w:rPr>
        <w:t>:</w:t>
      </w:r>
      <w:hyperlink r:id="rId76" w:history="1">
        <w:r w:rsidR="00306F4B" w:rsidRPr="00306F4B">
          <w:rPr>
            <w:rStyle w:val="Hyperlink"/>
            <w:sz w:val="18"/>
            <w:szCs w:val="18"/>
          </w:rPr>
          <w:t>https://publications.parliament.uk/pa/ld201719/ldselect/ldbribact/303/303.pdf</w:t>
        </w:r>
      </w:hyperlink>
    </w:p>
  </w:footnote>
  <w:footnote w:id="101">
    <w:p w14:paraId="530218EF" w14:textId="40EA12C1" w:rsidR="00E2341D" w:rsidRPr="00CB741D" w:rsidRDefault="00E2341D" w:rsidP="00E2341D">
      <w:pPr>
        <w:pStyle w:val="FootnoteText"/>
        <w:rPr>
          <w:sz w:val="18"/>
          <w:szCs w:val="18"/>
        </w:rPr>
      </w:pPr>
      <w:r>
        <w:rPr>
          <w:rStyle w:val="FootnoteReference"/>
        </w:rPr>
        <w:footnoteRef/>
      </w:r>
      <w:r w:rsidR="005777F8" w:rsidRPr="005777F8">
        <w:rPr>
          <w:rFonts w:eastAsia="Times New Roman"/>
          <w:sz w:val="24"/>
          <w:szCs w:val="24"/>
          <w:lang w:eastAsia="en-US"/>
        </w:rPr>
        <w:t xml:space="preserve"> </w:t>
      </w:r>
      <w:r w:rsidR="00155EB6" w:rsidRPr="00CB741D">
        <w:rPr>
          <w:rFonts w:eastAsia="Times New Roman"/>
          <w:sz w:val="18"/>
          <w:szCs w:val="18"/>
          <w:lang w:eastAsia="en-US"/>
        </w:rPr>
        <w:t>For the post-implementation review of the Bribery Act, MoJ conducted a review into awareness of the Act among small and medium enterprises</w:t>
      </w:r>
      <w:r w:rsidR="003B3E47" w:rsidRPr="00CB741D">
        <w:rPr>
          <w:rFonts w:eastAsia="Times New Roman"/>
          <w:sz w:val="18"/>
          <w:szCs w:val="18"/>
          <w:lang w:eastAsia="en-US"/>
        </w:rPr>
        <w:t xml:space="preserve">  (</w:t>
      </w:r>
      <w:r w:rsidR="00155EB6" w:rsidRPr="00CB741D">
        <w:rPr>
          <w:rFonts w:eastAsia="Times New Roman"/>
          <w:sz w:val="18"/>
          <w:szCs w:val="18"/>
          <w:lang w:eastAsia="en-US"/>
        </w:rPr>
        <w:t>“</w:t>
      </w:r>
      <w:r w:rsidR="005777F8" w:rsidRPr="00CB741D">
        <w:rPr>
          <w:sz w:val="18"/>
          <w:szCs w:val="18"/>
        </w:rPr>
        <w:t>Insight into awareness and impact of the Bribery Act 2010 Among small and medium sized enterprises (SMEs) “</w:t>
      </w:r>
      <w:r w:rsidR="003B3E47" w:rsidRPr="00CB741D">
        <w:rPr>
          <w:sz w:val="18"/>
          <w:szCs w:val="18"/>
        </w:rPr>
        <w:t xml:space="preserve">), published 2015: </w:t>
      </w:r>
      <w:hyperlink r:id="rId77" w:history="1">
        <w:r w:rsidR="006C0F58" w:rsidRPr="006C0F58">
          <w:rPr>
            <w:rStyle w:val="Hyperlink"/>
            <w:sz w:val="18"/>
            <w:szCs w:val="18"/>
          </w:rPr>
          <w:t>https://assets.publishing.service.gov.uk/government/uploads/system/uploads/attachment_data/file/440661/insight-into-awareness-and-impact-of-the-bribery-act-2010.pdf</w:t>
        </w:r>
      </w:hyperlink>
      <w:r w:rsidR="00036743">
        <w:rPr>
          <w:sz w:val="18"/>
          <w:szCs w:val="18"/>
        </w:rPr>
        <w:t>.</w:t>
      </w:r>
      <w:r w:rsidR="00C607B5">
        <w:rPr>
          <w:sz w:val="18"/>
          <w:szCs w:val="18"/>
        </w:rPr>
        <w:t xml:space="preserve"> </w:t>
      </w:r>
      <w:r w:rsidR="00036743">
        <w:rPr>
          <w:sz w:val="18"/>
          <w:szCs w:val="18"/>
        </w:rPr>
        <w:t xml:space="preserve"> </w:t>
      </w:r>
      <w:r w:rsidR="00036743" w:rsidRPr="00CB741D">
        <w:rPr>
          <w:sz w:val="18"/>
          <w:szCs w:val="18"/>
        </w:rPr>
        <w:t xml:space="preserve">The offence of failure to prevent fraud </w:t>
      </w:r>
      <w:r w:rsidR="00320A92" w:rsidRPr="00CB741D">
        <w:rPr>
          <w:sz w:val="18"/>
          <w:szCs w:val="18"/>
        </w:rPr>
        <w:t xml:space="preserve">only applies to large organisations but </w:t>
      </w:r>
      <w:r w:rsidR="00F5420B" w:rsidRPr="00CB741D">
        <w:rPr>
          <w:sz w:val="18"/>
          <w:szCs w:val="18"/>
        </w:rPr>
        <w:t xml:space="preserve">assessment of the awareness </w:t>
      </w:r>
      <w:r w:rsidR="00091834" w:rsidRPr="00CB741D">
        <w:rPr>
          <w:sz w:val="18"/>
          <w:szCs w:val="18"/>
        </w:rPr>
        <w:t>of the offence and the guidance is important.</w:t>
      </w:r>
    </w:p>
  </w:footnote>
  <w:footnote w:id="102">
    <w:p w14:paraId="03670CFB" w14:textId="709A9CBA" w:rsidR="00A36289" w:rsidRDefault="00A36289">
      <w:pPr>
        <w:pStyle w:val="FootnoteText"/>
      </w:pPr>
      <w:r>
        <w:rPr>
          <w:rStyle w:val="FootnoteReference"/>
        </w:rPr>
        <w:footnoteRef/>
      </w:r>
      <w:r>
        <w:t xml:space="preserve"> </w:t>
      </w:r>
      <w:r w:rsidR="00091834" w:rsidRPr="00C607B5">
        <w:rPr>
          <w:sz w:val="18"/>
          <w:szCs w:val="18"/>
        </w:rPr>
        <w:t xml:space="preserve">A similar approach was adopted in the </w:t>
      </w:r>
      <w:r w:rsidR="00D7704B" w:rsidRPr="00C607B5">
        <w:rPr>
          <w:sz w:val="18"/>
          <w:szCs w:val="18"/>
        </w:rPr>
        <w:t>review above, which asked SMEs whether they had sought professional advice.</w:t>
      </w:r>
    </w:p>
  </w:footnote>
  <w:footnote w:id="103">
    <w:p w14:paraId="014358FD" w14:textId="63883DF8" w:rsidR="000B41EE" w:rsidRDefault="000B41EE">
      <w:pPr>
        <w:pStyle w:val="FootnoteText"/>
      </w:pPr>
      <w:r>
        <w:rPr>
          <w:rStyle w:val="FootnoteReference"/>
        </w:rPr>
        <w:footnoteRef/>
      </w:r>
      <w:r>
        <w:t xml:space="preserve"> </w:t>
      </w:r>
      <w:r w:rsidR="00E6361D" w:rsidRPr="00C23109">
        <w:rPr>
          <w:sz w:val="18"/>
          <w:szCs w:val="18"/>
        </w:rPr>
        <w:t xml:space="preserve">Economic Crime and Corporate Transparency Act 2023 (legislation.gov.uk): </w:t>
      </w:r>
      <w:hyperlink r:id="rId78" w:history="1">
        <w:r w:rsidR="00E6361D" w:rsidRPr="00C23109">
          <w:rPr>
            <w:rStyle w:val="Hyperlink"/>
            <w:sz w:val="18"/>
            <w:szCs w:val="18"/>
          </w:rPr>
          <w:t>https://www.legislation.gov.uk/ukpga/2023/56/section/202/2023-12-26</w:t>
        </w:r>
      </w:hyperlink>
    </w:p>
  </w:footnote>
  <w:footnote w:id="104">
    <w:p w14:paraId="6BFA067D" w14:textId="0E3F9D21" w:rsidR="00E772C5" w:rsidRPr="0031271E" w:rsidRDefault="00E772C5">
      <w:pPr>
        <w:pStyle w:val="FootnoteText"/>
        <w:rPr>
          <w:sz w:val="18"/>
          <w:szCs w:val="18"/>
        </w:rPr>
      </w:pPr>
      <w:r w:rsidRPr="0031271E">
        <w:rPr>
          <w:rStyle w:val="FootnoteReference"/>
          <w:sz w:val="18"/>
          <w:szCs w:val="18"/>
        </w:rPr>
        <w:footnoteRef/>
      </w:r>
      <w:r w:rsidRPr="0031271E">
        <w:rPr>
          <w:sz w:val="18"/>
          <w:szCs w:val="18"/>
        </w:rPr>
        <w:t xml:space="preserve"> </w:t>
      </w:r>
      <w:r w:rsidR="00C15B8F" w:rsidRPr="0029116F">
        <w:rPr>
          <w:sz w:val="18"/>
          <w:szCs w:val="18"/>
        </w:rPr>
        <w:t>Fame - Digital Marketplace</w:t>
      </w:r>
      <w:r w:rsidRPr="0031271E">
        <w:rPr>
          <w:sz w:val="18"/>
          <w:szCs w:val="18"/>
        </w:rPr>
        <w:t xml:space="preserve"> – Fame is a source of company information in the UK and Ireland</w:t>
      </w:r>
      <w:r w:rsidR="00C15B8F">
        <w:rPr>
          <w:sz w:val="18"/>
          <w:szCs w:val="18"/>
        </w:rPr>
        <w:t xml:space="preserve">: </w:t>
      </w:r>
      <w:hyperlink r:id="rId79" w:history="1">
        <w:r w:rsidR="00C15B8F" w:rsidRPr="00C15B8F">
          <w:rPr>
            <w:rStyle w:val="Hyperlink"/>
            <w:sz w:val="18"/>
            <w:szCs w:val="18"/>
          </w:rPr>
          <w:t>https://www.digitalmarketplace.service.gov.uk/g-cloud/services/279752966611539</w:t>
        </w:r>
      </w:hyperlink>
    </w:p>
  </w:footnote>
  <w:footnote w:id="105">
    <w:p w14:paraId="07A9D880" w14:textId="22DA5B68" w:rsidR="00E772C5" w:rsidRPr="0031271E" w:rsidRDefault="00E772C5" w:rsidP="00701C3E">
      <w:pPr>
        <w:pStyle w:val="FootnoteText"/>
        <w:rPr>
          <w:sz w:val="18"/>
          <w:szCs w:val="18"/>
        </w:rPr>
      </w:pPr>
      <w:r w:rsidRPr="0031271E">
        <w:rPr>
          <w:rStyle w:val="FootnoteReference"/>
          <w:sz w:val="18"/>
          <w:szCs w:val="18"/>
        </w:rPr>
        <w:footnoteRef/>
      </w:r>
      <w:hyperlink r:id="rId80" w:history="1">
        <w:r w:rsidR="003654DA" w:rsidRPr="00230808">
          <w:rPr>
            <w:rStyle w:val="Hyperlink"/>
            <w:sz w:val="18"/>
            <w:szCs w:val="18"/>
          </w:rPr>
          <w:t>https://assets.publishing.service.gov.uk/government/uploads/system/uploads/attachment_data/file/1019905/BPE__2021_detailed_tables.ods</w:t>
        </w:r>
      </w:hyperlink>
      <w:r w:rsidRPr="0031271E">
        <w:rPr>
          <w:sz w:val="18"/>
          <w:szCs w:val="18"/>
        </w:rPr>
        <w:t xml:space="preserve"> </w:t>
      </w:r>
    </w:p>
  </w:footnote>
  <w:footnote w:id="106">
    <w:p w14:paraId="3886F622" w14:textId="77777777" w:rsidR="00E772C5" w:rsidRPr="00EA4492" w:rsidRDefault="00E772C5" w:rsidP="000A4FC2">
      <w:pPr>
        <w:pStyle w:val="FootnoteText"/>
        <w:rPr>
          <w:sz w:val="18"/>
        </w:rPr>
      </w:pPr>
      <w:r w:rsidRPr="00EA4492">
        <w:rPr>
          <w:rStyle w:val="FootnoteReference"/>
          <w:sz w:val="18"/>
        </w:rPr>
        <w:footnoteRef/>
      </w:r>
      <w:r w:rsidRPr="00EA4492">
        <w:rPr>
          <w:sz w:val="18"/>
        </w:rPr>
        <w:t xml:space="preserve"> The difference between the two is that in the case of the former the foreign entity benefits from limited liability for any losses incurred by its UK subsidiary. If the foreign entity establishes a branch then any losses related to the branch are the responsibility of the foreign entity.</w:t>
      </w:r>
    </w:p>
  </w:footnote>
  <w:footnote w:id="107">
    <w:p w14:paraId="2C9D548A" w14:textId="77777777" w:rsidR="00E772C5" w:rsidRDefault="00E772C5" w:rsidP="000A4FC2">
      <w:pPr>
        <w:rPr>
          <w:rFonts w:asciiTheme="minorHAnsi" w:hAnsiTheme="minorHAnsi" w:cstheme="minorBidi"/>
        </w:rPr>
      </w:pPr>
      <w:r w:rsidRPr="0A4037DE">
        <w:rPr>
          <w:rStyle w:val="FootnoteReference"/>
          <w:sz w:val="18"/>
          <w:szCs w:val="18"/>
        </w:rPr>
        <w:footnoteRef/>
      </w:r>
      <w:r w:rsidRPr="0A4037DE">
        <w:rPr>
          <w:sz w:val="18"/>
          <w:szCs w:val="18"/>
        </w:rPr>
        <w:t xml:space="preserve"> </w:t>
      </w:r>
      <w:r w:rsidRPr="007042F4">
        <w:rPr>
          <w:rFonts w:cs="Arial"/>
          <w:sz w:val="18"/>
          <w:szCs w:val="18"/>
        </w:rPr>
        <w:t>Companies register activities: 2021 to 2022 spreadsheet</w:t>
      </w:r>
      <w:r w:rsidRPr="0A4037DE">
        <w:rPr>
          <w:rFonts w:cs="Arial"/>
          <w:sz w:val="18"/>
          <w:szCs w:val="18"/>
        </w:rPr>
        <w:t xml:space="preserve">, table C1:  </w:t>
      </w:r>
      <w:r w:rsidRPr="0A4037DE">
        <w:rPr>
          <w:rFonts w:asciiTheme="minorHAnsi" w:hAnsiTheme="minorHAnsi" w:cstheme="minorBidi"/>
        </w:rPr>
        <w:t xml:space="preserve"> </w:t>
      </w:r>
    </w:p>
    <w:p w14:paraId="2AC0F1F9" w14:textId="77777777" w:rsidR="00E772C5" w:rsidRDefault="00055594" w:rsidP="000A4FC2">
      <w:pPr>
        <w:pStyle w:val="FootnoteText"/>
      </w:pPr>
      <w:hyperlink r:id="rId81">
        <w:r w:rsidR="00E772C5" w:rsidRPr="0A4037DE">
          <w:rPr>
            <w:rStyle w:val="Hyperlink"/>
            <w:sz w:val="18"/>
            <w:szCs w:val="18"/>
          </w:rPr>
          <w:t>https://www.gov.uk/government/statistics/companies-register-activities-statistical-release-2021-to-2022</w:t>
        </w:r>
      </w:hyperlink>
    </w:p>
  </w:footnote>
  <w:footnote w:id="108">
    <w:p w14:paraId="394A4685" w14:textId="08921B4E" w:rsidR="00E772C5" w:rsidRPr="0031271E" w:rsidRDefault="00E772C5" w:rsidP="008B71E3">
      <w:pPr>
        <w:pStyle w:val="FootnoteText"/>
        <w:rPr>
          <w:sz w:val="18"/>
          <w:szCs w:val="18"/>
        </w:rPr>
      </w:pPr>
      <w:r w:rsidRPr="0031271E">
        <w:rPr>
          <w:rStyle w:val="FootnoteReference"/>
          <w:sz w:val="18"/>
          <w:szCs w:val="18"/>
        </w:rPr>
        <w:footnoteRef/>
      </w:r>
      <w:r w:rsidRPr="0031271E">
        <w:rPr>
          <w:sz w:val="18"/>
          <w:szCs w:val="18"/>
        </w:rPr>
        <w:t xml:space="preserve"> </w:t>
      </w:r>
      <w:r w:rsidR="00737582">
        <w:rPr>
          <w:sz w:val="18"/>
          <w:szCs w:val="18"/>
        </w:rPr>
        <w:t xml:space="preserve">Better Regulation Framework: interim: </w:t>
      </w:r>
      <w:hyperlink r:id="rId82" w:history="1">
        <w:r w:rsidR="004B6CDD" w:rsidRPr="004B6CDD">
          <w:rPr>
            <w:rStyle w:val="Hyperlink"/>
            <w:rFonts w:eastAsiaTheme="majorEastAsia"/>
            <w:sz w:val="18"/>
            <w:szCs w:val="18"/>
          </w:rPr>
          <w:t>https://www.gov.uk/government/publications/better-regulation-framework</w:t>
        </w:r>
      </w:hyperlink>
    </w:p>
  </w:footnote>
  <w:footnote w:id="109">
    <w:p w14:paraId="4F4049E8" w14:textId="70F17259" w:rsidR="00E772C5" w:rsidRPr="0031271E" w:rsidRDefault="00E772C5">
      <w:pPr>
        <w:pStyle w:val="FootnoteText"/>
        <w:rPr>
          <w:sz w:val="18"/>
          <w:szCs w:val="18"/>
        </w:rPr>
      </w:pPr>
      <w:r w:rsidRPr="0031271E">
        <w:rPr>
          <w:rStyle w:val="FootnoteReference"/>
          <w:sz w:val="18"/>
          <w:szCs w:val="18"/>
        </w:rPr>
        <w:footnoteRef/>
      </w:r>
      <w:r w:rsidRPr="0031271E">
        <w:rPr>
          <w:sz w:val="18"/>
          <w:szCs w:val="18"/>
        </w:rPr>
        <w:t xml:space="preserve"> Small Business, Enterprise and Employment Act 2015:  </w:t>
      </w:r>
      <w:hyperlink r:id="rId83" w:history="1">
        <w:r w:rsidR="003654DA" w:rsidRPr="00230808">
          <w:rPr>
            <w:rStyle w:val="Hyperlink"/>
            <w:sz w:val="18"/>
            <w:szCs w:val="18"/>
          </w:rPr>
          <w:t>https://www.legislation.gov.uk/ukpga/2015/26/section/27</w:t>
        </w:r>
      </w:hyperlink>
      <w:r w:rsidR="003654DA">
        <w:rPr>
          <w:sz w:val="18"/>
          <w:szCs w:val="18"/>
        </w:rPr>
        <w:t xml:space="preserve"> </w:t>
      </w:r>
    </w:p>
  </w:footnote>
  <w:footnote w:id="110">
    <w:p w14:paraId="56FA2CE0" w14:textId="31713568" w:rsidR="00E772C5" w:rsidRPr="0031271E" w:rsidRDefault="00E772C5" w:rsidP="008B71E3">
      <w:pPr>
        <w:rPr>
          <w:color w:val="000000"/>
          <w:sz w:val="18"/>
          <w:szCs w:val="18"/>
        </w:rPr>
      </w:pPr>
      <w:r w:rsidRPr="0031271E">
        <w:rPr>
          <w:rStyle w:val="FootnoteReference"/>
          <w:sz w:val="18"/>
          <w:szCs w:val="18"/>
        </w:rPr>
        <w:footnoteRef/>
      </w:r>
      <w:r w:rsidRPr="0031271E">
        <w:rPr>
          <w:sz w:val="18"/>
          <w:szCs w:val="18"/>
        </w:rPr>
        <w:t xml:space="preserve"> </w:t>
      </w:r>
      <w:hyperlink r:id="rId84" w:anchor="/" w:history="1">
        <w:r w:rsidRPr="0031271E">
          <w:rPr>
            <w:rStyle w:val="Hyperlink"/>
            <w:sz w:val="18"/>
            <w:szCs w:val="18"/>
          </w:rPr>
          <w:t>https://www.ncvo.org.uk/news-and-insights/news-index/uk-civil-society-almanac-2021/profile/voluntary-sector-definition/#/</w:t>
        </w:r>
      </w:hyperlink>
      <w:r w:rsidRPr="0031271E">
        <w:rPr>
          <w:color w:val="000000"/>
          <w:sz w:val="18"/>
          <w:szCs w:val="18"/>
        </w:rPr>
        <w:t>. For example, only 0.04</w:t>
      </w:r>
      <w:r w:rsidR="003654DA">
        <w:rPr>
          <w:color w:val="000000"/>
          <w:sz w:val="18"/>
          <w:szCs w:val="18"/>
        </w:rPr>
        <w:t xml:space="preserve"> per cent</w:t>
      </w:r>
      <w:r w:rsidRPr="0031271E">
        <w:rPr>
          <w:color w:val="000000"/>
          <w:sz w:val="18"/>
          <w:szCs w:val="18"/>
        </w:rPr>
        <w:t xml:space="preserve"> of general charities had income exceeding £100</w:t>
      </w:r>
      <w:r w:rsidR="003654DA">
        <w:rPr>
          <w:color w:val="000000"/>
          <w:sz w:val="18"/>
          <w:szCs w:val="18"/>
        </w:rPr>
        <w:t xml:space="preserve"> </w:t>
      </w:r>
      <w:r w:rsidRPr="0031271E">
        <w:rPr>
          <w:color w:val="000000"/>
          <w:sz w:val="18"/>
          <w:szCs w:val="18"/>
        </w:rPr>
        <w:t>m</w:t>
      </w:r>
      <w:r w:rsidR="003654DA">
        <w:rPr>
          <w:color w:val="000000"/>
          <w:sz w:val="18"/>
          <w:szCs w:val="18"/>
        </w:rPr>
        <w:t>illion</w:t>
      </w:r>
      <w:r w:rsidRPr="0031271E">
        <w:rPr>
          <w:color w:val="000000"/>
          <w:sz w:val="18"/>
          <w:szCs w:val="18"/>
        </w:rPr>
        <w:t xml:space="preserve"> and over 44</w:t>
      </w:r>
      <w:r w:rsidRPr="0031271E">
        <w:rPr>
          <w:rFonts w:cs="Arial"/>
          <w:color w:val="000000"/>
          <w:sz w:val="18"/>
          <w:szCs w:val="18"/>
          <w:lang w:eastAsia="en-GB"/>
        </w:rPr>
        <w:t xml:space="preserve"> per cent</w:t>
      </w:r>
      <w:r w:rsidRPr="0031271E">
        <w:rPr>
          <w:color w:val="000000"/>
          <w:sz w:val="18"/>
          <w:szCs w:val="18"/>
        </w:rPr>
        <w:t xml:space="preserve"> had an income of less than £10,000.</w:t>
      </w:r>
      <w:r w:rsidR="000E7EA0">
        <w:rPr>
          <w:color w:val="000000"/>
          <w:sz w:val="18"/>
          <w:szCs w:val="18"/>
        </w:rPr>
        <w:t xml:space="preserve"> </w:t>
      </w:r>
      <w:r w:rsidRPr="0031271E">
        <w:rPr>
          <w:rFonts w:cs="Arial"/>
          <w:color w:val="000000"/>
          <w:sz w:val="18"/>
          <w:szCs w:val="18"/>
          <w:lang w:eastAsia="en-GB"/>
        </w:rPr>
        <w:t xml:space="preserve">Voluntary organisation </w:t>
      </w:r>
      <w:r w:rsidRPr="0031271E">
        <w:rPr>
          <w:color w:val="000000"/>
          <w:sz w:val="18"/>
          <w:szCs w:val="18"/>
        </w:rPr>
        <w:t xml:space="preserve">size categories in the NCVO data did not map readily to Companies Act </w:t>
      </w:r>
      <w:r w:rsidRPr="0031271E">
        <w:rPr>
          <w:rFonts w:cs="Arial"/>
          <w:color w:val="000000"/>
          <w:sz w:val="18"/>
          <w:szCs w:val="18"/>
          <w:lang w:eastAsia="en-GB"/>
        </w:rPr>
        <w:t xml:space="preserve">2006 </w:t>
      </w:r>
      <w:r w:rsidRPr="0031271E">
        <w:rPr>
          <w:color w:val="000000"/>
          <w:sz w:val="18"/>
          <w:szCs w:val="18"/>
        </w:rPr>
        <w:t xml:space="preserve">thresholds hence the need for assumption was important. </w:t>
      </w:r>
    </w:p>
  </w:footnote>
  <w:footnote w:id="111">
    <w:p w14:paraId="2A4F8520" w14:textId="77777777" w:rsidR="00E772C5" w:rsidRPr="0031271E" w:rsidRDefault="00E772C5" w:rsidP="00B04B8D">
      <w:pPr>
        <w:pStyle w:val="FootnoteText"/>
        <w:rPr>
          <w:sz w:val="18"/>
          <w:szCs w:val="18"/>
        </w:rPr>
      </w:pPr>
      <w:r w:rsidRPr="0031271E">
        <w:rPr>
          <w:rStyle w:val="FootnoteReference"/>
          <w:sz w:val="18"/>
          <w:szCs w:val="18"/>
        </w:rPr>
        <w:footnoteRef/>
      </w:r>
      <w:r w:rsidRPr="0031271E">
        <w:rPr>
          <w:sz w:val="18"/>
          <w:szCs w:val="18"/>
        </w:rPr>
        <w:t xml:space="preserve"> </w:t>
      </w:r>
      <w:hyperlink r:id="rId85" w:history="1">
        <w:r w:rsidRPr="0031271E">
          <w:rPr>
            <w:rStyle w:val="Hyperlink"/>
            <w:rFonts w:cstheme="minorHAnsi"/>
            <w:sz w:val="18"/>
            <w:szCs w:val="18"/>
          </w:rPr>
          <w:t>https://www.informdirect.co.uk/company-formation/community-interest-company-cic-advantages-disadvantanges/</w:t>
        </w:r>
      </w:hyperlink>
    </w:p>
  </w:footnote>
  <w:footnote w:id="112">
    <w:p w14:paraId="47B2F2B8" w14:textId="77777777" w:rsidR="00E772C5" w:rsidRPr="0031271E" w:rsidRDefault="00E772C5" w:rsidP="00B04B8D">
      <w:pPr>
        <w:pStyle w:val="FootnoteText"/>
        <w:rPr>
          <w:sz w:val="18"/>
          <w:szCs w:val="18"/>
        </w:rPr>
      </w:pPr>
      <w:r w:rsidRPr="0031271E">
        <w:rPr>
          <w:rStyle w:val="FootnoteReference"/>
          <w:sz w:val="18"/>
          <w:szCs w:val="18"/>
        </w:rPr>
        <w:footnoteRef/>
      </w:r>
      <w:r w:rsidRPr="0031271E">
        <w:rPr>
          <w:sz w:val="18"/>
          <w:szCs w:val="18"/>
        </w:rPr>
        <w:t xml:space="preserve"> </w:t>
      </w:r>
      <w:hyperlink r:id="rId86" w:history="1">
        <w:r w:rsidRPr="0031271E">
          <w:rPr>
            <w:rStyle w:val="Hyperlink"/>
            <w:rFonts w:cstheme="minorHAnsi"/>
            <w:sz w:val="18"/>
            <w:szCs w:val="18"/>
          </w:rPr>
          <w:t>https://www.mrassociates.org/knowledge-base/specified-accommodation/cat-1-exempt-accommodation/tell-me-more-about-registered-societies</w:t>
        </w:r>
      </w:hyperlink>
    </w:p>
  </w:footnote>
  <w:footnote w:id="113">
    <w:p w14:paraId="37164B5F" w14:textId="77777777" w:rsidR="00E772C5" w:rsidRPr="0031271E" w:rsidRDefault="00E772C5" w:rsidP="00B04B8D">
      <w:pPr>
        <w:pStyle w:val="FootnoteText"/>
        <w:rPr>
          <w:sz w:val="18"/>
          <w:szCs w:val="18"/>
        </w:rPr>
      </w:pPr>
      <w:r w:rsidRPr="0031271E">
        <w:rPr>
          <w:rStyle w:val="FootnoteReference"/>
          <w:sz w:val="18"/>
          <w:szCs w:val="18"/>
        </w:rPr>
        <w:footnoteRef/>
      </w:r>
      <w:r w:rsidRPr="0031271E">
        <w:rPr>
          <w:sz w:val="18"/>
          <w:szCs w:val="18"/>
        </w:rPr>
        <w:t xml:space="preserve"> </w:t>
      </w:r>
      <w:hyperlink r:id="rId87" w:history="1">
        <w:r w:rsidRPr="0031271E">
          <w:rPr>
            <w:rStyle w:val="Hyperlink"/>
            <w:rFonts w:cstheme="minorHAnsi"/>
            <w:sz w:val="18"/>
            <w:szCs w:val="18"/>
          </w:rPr>
          <w:t>https://www.accountancywales.com/social-clubs/faqs/constitutional/registered-societies-formally-industrial-and-provident-societies/</w:t>
        </w:r>
      </w:hyperlink>
    </w:p>
  </w:footnote>
  <w:footnote w:id="114">
    <w:p w14:paraId="6D563CC6" w14:textId="77777777" w:rsidR="00E772C5" w:rsidRPr="0031271E" w:rsidRDefault="00E772C5" w:rsidP="00B04B8D">
      <w:pPr>
        <w:pStyle w:val="FootnoteText"/>
        <w:rPr>
          <w:sz w:val="18"/>
          <w:szCs w:val="18"/>
        </w:rPr>
      </w:pPr>
      <w:r w:rsidRPr="0031271E">
        <w:rPr>
          <w:rStyle w:val="FootnoteReference"/>
          <w:sz w:val="18"/>
          <w:szCs w:val="18"/>
        </w:rPr>
        <w:footnoteRef/>
      </w:r>
      <w:r w:rsidRPr="0031271E">
        <w:rPr>
          <w:sz w:val="18"/>
          <w:szCs w:val="18"/>
        </w:rPr>
        <w:t xml:space="preserve"> </w:t>
      </w:r>
      <w:hyperlink r:id="rId88" w:history="1">
        <w:r w:rsidRPr="0031271E">
          <w:rPr>
            <w:rStyle w:val="Hyperlink"/>
            <w:rFonts w:cstheme="minorHAnsi"/>
            <w:sz w:val="18"/>
            <w:szCs w:val="18"/>
          </w:rPr>
          <w:t>https://www.inbrief.co.uk/employees/trade-unions/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3FE4" w14:textId="2D1AA894" w:rsidR="00E772C5" w:rsidRPr="00A549A6" w:rsidRDefault="00E772C5" w:rsidP="00013575">
    <w:pPr>
      <w:pStyle w:val="Header"/>
      <w:rPr>
        <w:b/>
        <w:bCs/>
      </w:rPr>
    </w:pPr>
  </w:p>
  <w:p w14:paraId="1A5B920D" w14:textId="50596BF4" w:rsidR="00E772C5" w:rsidRDefault="00E772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7460" w14:textId="77777777" w:rsidR="00E772C5" w:rsidRDefault="00E772C5"/>
  <w:p w14:paraId="13C35FD1" w14:textId="77777777" w:rsidR="00E772C5" w:rsidRDefault="00E772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8EB"/>
    <w:multiLevelType w:val="hybridMultilevel"/>
    <w:tmpl w:val="014E5BF6"/>
    <w:lvl w:ilvl="0" w:tplc="94AC19A4">
      <w:start w:val="1"/>
      <w:numFmt w:val="upperLetter"/>
      <w:lvlText w:val="%1."/>
      <w:lvlJc w:val="left"/>
      <w:pPr>
        <w:ind w:left="720" w:hanging="360"/>
      </w:pPr>
      <w:rPr>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C36CF7"/>
    <w:multiLevelType w:val="hybridMultilevel"/>
    <w:tmpl w:val="0882E58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98D190D"/>
    <w:multiLevelType w:val="hybridMultilevel"/>
    <w:tmpl w:val="70C6FC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A5F02"/>
    <w:multiLevelType w:val="hybridMultilevel"/>
    <w:tmpl w:val="2432D31A"/>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B54B15"/>
    <w:multiLevelType w:val="hybridMultilevel"/>
    <w:tmpl w:val="3F621CB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10637AA"/>
    <w:multiLevelType w:val="hybridMultilevel"/>
    <w:tmpl w:val="6F0A3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54876"/>
    <w:multiLevelType w:val="hybridMultilevel"/>
    <w:tmpl w:val="4FEC9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A95224"/>
    <w:multiLevelType w:val="hybridMultilevel"/>
    <w:tmpl w:val="EE0CDEDC"/>
    <w:lvl w:ilvl="0" w:tplc="FFFFFFFF">
      <w:start w:val="1"/>
      <w:numFmt w:val="decimal"/>
      <w:lvlText w:val="%1."/>
      <w:lvlJc w:val="left"/>
      <w:pPr>
        <w:ind w:left="720" w:hanging="360"/>
      </w:pPr>
      <w:rPr>
        <w:b w:val="0"/>
        <w:bCs w:val="0"/>
        <w:sz w:val="22"/>
        <w:szCs w:val="22"/>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AC0694"/>
    <w:multiLevelType w:val="hybridMultilevel"/>
    <w:tmpl w:val="32CC1A0A"/>
    <w:lvl w:ilvl="0" w:tplc="5FC2203A">
      <w:start w:val="1"/>
      <w:numFmt w:val="bullet"/>
      <w:lvlText w:val=""/>
      <w:lvlJc w:val="left"/>
      <w:pPr>
        <w:ind w:left="720" w:hanging="360"/>
      </w:pPr>
      <w:rPr>
        <w:rFonts w:ascii="Symbol" w:hAnsi="Symbol"/>
      </w:rPr>
    </w:lvl>
    <w:lvl w:ilvl="1" w:tplc="B4E8AEE8">
      <w:start w:val="1"/>
      <w:numFmt w:val="bullet"/>
      <w:lvlText w:val=""/>
      <w:lvlJc w:val="left"/>
      <w:pPr>
        <w:ind w:left="720" w:hanging="360"/>
      </w:pPr>
      <w:rPr>
        <w:rFonts w:ascii="Symbol" w:hAnsi="Symbol"/>
      </w:rPr>
    </w:lvl>
    <w:lvl w:ilvl="2" w:tplc="A9303ABE">
      <w:start w:val="1"/>
      <w:numFmt w:val="bullet"/>
      <w:lvlText w:val=""/>
      <w:lvlJc w:val="left"/>
      <w:pPr>
        <w:ind w:left="720" w:hanging="360"/>
      </w:pPr>
      <w:rPr>
        <w:rFonts w:ascii="Symbol" w:hAnsi="Symbol"/>
      </w:rPr>
    </w:lvl>
    <w:lvl w:ilvl="3" w:tplc="ECB47AC2">
      <w:start w:val="1"/>
      <w:numFmt w:val="bullet"/>
      <w:lvlText w:val=""/>
      <w:lvlJc w:val="left"/>
      <w:pPr>
        <w:ind w:left="720" w:hanging="360"/>
      </w:pPr>
      <w:rPr>
        <w:rFonts w:ascii="Symbol" w:hAnsi="Symbol"/>
      </w:rPr>
    </w:lvl>
    <w:lvl w:ilvl="4" w:tplc="EA36BAAE">
      <w:start w:val="1"/>
      <w:numFmt w:val="bullet"/>
      <w:lvlText w:val=""/>
      <w:lvlJc w:val="left"/>
      <w:pPr>
        <w:ind w:left="720" w:hanging="360"/>
      </w:pPr>
      <w:rPr>
        <w:rFonts w:ascii="Symbol" w:hAnsi="Symbol"/>
      </w:rPr>
    </w:lvl>
    <w:lvl w:ilvl="5" w:tplc="327E75B0">
      <w:start w:val="1"/>
      <w:numFmt w:val="bullet"/>
      <w:lvlText w:val=""/>
      <w:lvlJc w:val="left"/>
      <w:pPr>
        <w:ind w:left="720" w:hanging="360"/>
      </w:pPr>
      <w:rPr>
        <w:rFonts w:ascii="Symbol" w:hAnsi="Symbol"/>
      </w:rPr>
    </w:lvl>
    <w:lvl w:ilvl="6" w:tplc="426CA90E">
      <w:start w:val="1"/>
      <w:numFmt w:val="bullet"/>
      <w:lvlText w:val=""/>
      <w:lvlJc w:val="left"/>
      <w:pPr>
        <w:ind w:left="720" w:hanging="360"/>
      </w:pPr>
      <w:rPr>
        <w:rFonts w:ascii="Symbol" w:hAnsi="Symbol"/>
      </w:rPr>
    </w:lvl>
    <w:lvl w:ilvl="7" w:tplc="EDE8959C">
      <w:start w:val="1"/>
      <w:numFmt w:val="bullet"/>
      <w:lvlText w:val=""/>
      <w:lvlJc w:val="left"/>
      <w:pPr>
        <w:ind w:left="720" w:hanging="360"/>
      </w:pPr>
      <w:rPr>
        <w:rFonts w:ascii="Symbol" w:hAnsi="Symbol"/>
      </w:rPr>
    </w:lvl>
    <w:lvl w:ilvl="8" w:tplc="06C89D98">
      <w:start w:val="1"/>
      <w:numFmt w:val="bullet"/>
      <w:lvlText w:val=""/>
      <w:lvlJc w:val="left"/>
      <w:pPr>
        <w:ind w:left="720" w:hanging="360"/>
      </w:pPr>
      <w:rPr>
        <w:rFonts w:ascii="Symbol" w:hAnsi="Symbol"/>
      </w:rPr>
    </w:lvl>
  </w:abstractNum>
  <w:abstractNum w:abstractNumId="9" w15:restartNumberingAfterBreak="0">
    <w:nsid w:val="1B4F6433"/>
    <w:multiLevelType w:val="hybridMultilevel"/>
    <w:tmpl w:val="6638F7F8"/>
    <w:lvl w:ilvl="0" w:tplc="08090019">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15:restartNumberingAfterBreak="0">
    <w:nsid w:val="1B747006"/>
    <w:multiLevelType w:val="hybridMultilevel"/>
    <w:tmpl w:val="AD56654A"/>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1E6B2719"/>
    <w:multiLevelType w:val="hybridMultilevel"/>
    <w:tmpl w:val="604E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A603F8"/>
    <w:multiLevelType w:val="hybridMultilevel"/>
    <w:tmpl w:val="5BAAFD9E"/>
    <w:lvl w:ilvl="0" w:tplc="F6AAA26C">
      <w:start w:val="1"/>
      <w:numFmt w:val="lowerLetter"/>
      <w:lvlText w:val="%1)"/>
      <w:lvlJc w:val="left"/>
      <w:pPr>
        <w:ind w:left="144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3A5899"/>
    <w:multiLevelType w:val="hybridMultilevel"/>
    <w:tmpl w:val="43BCF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A26751"/>
    <w:multiLevelType w:val="hybridMultilevel"/>
    <w:tmpl w:val="D07CD41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24D5446E"/>
    <w:multiLevelType w:val="hybridMultilevel"/>
    <w:tmpl w:val="CF96503E"/>
    <w:lvl w:ilvl="0" w:tplc="C346C868">
      <w:start w:val="1"/>
      <w:numFmt w:val="bullet"/>
      <w:lvlText w:val=""/>
      <w:lvlJc w:val="left"/>
      <w:pPr>
        <w:ind w:left="1140" w:hanging="360"/>
      </w:pPr>
      <w:rPr>
        <w:rFonts w:ascii="Symbol" w:hAnsi="Symbol"/>
      </w:rPr>
    </w:lvl>
    <w:lvl w:ilvl="1" w:tplc="BE28B23C">
      <w:start w:val="1"/>
      <w:numFmt w:val="bullet"/>
      <w:lvlText w:val=""/>
      <w:lvlJc w:val="left"/>
      <w:pPr>
        <w:ind w:left="1140" w:hanging="360"/>
      </w:pPr>
      <w:rPr>
        <w:rFonts w:ascii="Symbol" w:hAnsi="Symbol"/>
      </w:rPr>
    </w:lvl>
    <w:lvl w:ilvl="2" w:tplc="2B5E2D0E">
      <w:start w:val="1"/>
      <w:numFmt w:val="bullet"/>
      <w:lvlText w:val=""/>
      <w:lvlJc w:val="left"/>
      <w:pPr>
        <w:ind w:left="1140" w:hanging="360"/>
      </w:pPr>
      <w:rPr>
        <w:rFonts w:ascii="Symbol" w:hAnsi="Symbol"/>
      </w:rPr>
    </w:lvl>
    <w:lvl w:ilvl="3" w:tplc="F7CE5734">
      <w:start w:val="1"/>
      <w:numFmt w:val="bullet"/>
      <w:lvlText w:val=""/>
      <w:lvlJc w:val="left"/>
      <w:pPr>
        <w:ind w:left="1140" w:hanging="360"/>
      </w:pPr>
      <w:rPr>
        <w:rFonts w:ascii="Symbol" w:hAnsi="Symbol"/>
      </w:rPr>
    </w:lvl>
    <w:lvl w:ilvl="4" w:tplc="C83A011A">
      <w:start w:val="1"/>
      <w:numFmt w:val="bullet"/>
      <w:lvlText w:val=""/>
      <w:lvlJc w:val="left"/>
      <w:pPr>
        <w:ind w:left="1140" w:hanging="360"/>
      </w:pPr>
      <w:rPr>
        <w:rFonts w:ascii="Symbol" w:hAnsi="Symbol"/>
      </w:rPr>
    </w:lvl>
    <w:lvl w:ilvl="5" w:tplc="AF5A9784">
      <w:start w:val="1"/>
      <w:numFmt w:val="bullet"/>
      <w:lvlText w:val=""/>
      <w:lvlJc w:val="left"/>
      <w:pPr>
        <w:ind w:left="1140" w:hanging="360"/>
      </w:pPr>
      <w:rPr>
        <w:rFonts w:ascii="Symbol" w:hAnsi="Symbol"/>
      </w:rPr>
    </w:lvl>
    <w:lvl w:ilvl="6" w:tplc="1F6E318C">
      <w:start w:val="1"/>
      <w:numFmt w:val="bullet"/>
      <w:lvlText w:val=""/>
      <w:lvlJc w:val="left"/>
      <w:pPr>
        <w:ind w:left="1140" w:hanging="360"/>
      </w:pPr>
      <w:rPr>
        <w:rFonts w:ascii="Symbol" w:hAnsi="Symbol"/>
      </w:rPr>
    </w:lvl>
    <w:lvl w:ilvl="7" w:tplc="5338FDFA">
      <w:start w:val="1"/>
      <w:numFmt w:val="bullet"/>
      <w:lvlText w:val=""/>
      <w:lvlJc w:val="left"/>
      <w:pPr>
        <w:ind w:left="1140" w:hanging="360"/>
      </w:pPr>
      <w:rPr>
        <w:rFonts w:ascii="Symbol" w:hAnsi="Symbol"/>
      </w:rPr>
    </w:lvl>
    <w:lvl w:ilvl="8" w:tplc="2304CDAC">
      <w:start w:val="1"/>
      <w:numFmt w:val="bullet"/>
      <w:lvlText w:val=""/>
      <w:lvlJc w:val="left"/>
      <w:pPr>
        <w:ind w:left="1140" w:hanging="360"/>
      </w:pPr>
      <w:rPr>
        <w:rFonts w:ascii="Symbol" w:hAnsi="Symbol"/>
      </w:rPr>
    </w:lvl>
  </w:abstractNum>
  <w:abstractNum w:abstractNumId="16" w15:restartNumberingAfterBreak="0">
    <w:nsid w:val="25754573"/>
    <w:multiLevelType w:val="hybridMultilevel"/>
    <w:tmpl w:val="FB70A81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259B64E3"/>
    <w:multiLevelType w:val="hybridMultilevel"/>
    <w:tmpl w:val="6F6E2CA8"/>
    <w:lvl w:ilvl="0" w:tplc="77AC8B52">
      <w:start w:val="1"/>
      <w:numFmt w:val="bullet"/>
      <w:lvlText w:val=""/>
      <w:lvlJc w:val="left"/>
      <w:pPr>
        <w:ind w:left="1140" w:hanging="360"/>
      </w:pPr>
      <w:rPr>
        <w:rFonts w:ascii="Symbol" w:hAnsi="Symbol"/>
      </w:rPr>
    </w:lvl>
    <w:lvl w:ilvl="1" w:tplc="423C7B00">
      <w:start w:val="1"/>
      <w:numFmt w:val="bullet"/>
      <w:lvlText w:val=""/>
      <w:lvlJc w:val="left"/>
      <w:pPr>
        <w:ind w:left="1140" w:hanging="360"/>
      </w:pPr>
      <w:rPr>
        <w:rFonts w:ascii="Symbol" w:hAnsi="Symbol"/>
      </w:rPr>
    </w:lvl>
    <w:lvl w:ilvl="2" w:tplc="358EFE5E">
      <w:start w:val="1"/>
      <w:numFmt w:val="bullet"/>
      <w:lvlText w:val=""/>
      <w:lvlJc w:val="left"/>
      <w:pPr>
        <w:ind w:left="1140" w:hanging="360"/>
      </w:pPr>
      <w:rPr>
        <w:rFonts w:ascii="Symbol" w:hAnsi="Symbol"/>
      </w:rPr>
    </w:lvl>
    <w:lvl w:ilvl="3" w:tplc="22847718">
      <w:start w:val="1"/>
      <w:numFmt w:val="bullet"/>
      <w:lvlText w:val=""/>
      <w:lvlJc w:val="left"/>
      <w:pPr>
        <w:ind w:left="1140" w:hanging="360"/>
      </w:pPr>
      <w:rPr>
        <w:rFonts w:ascii="Symbol" w:hAnsi="Symbol"/>
      </w:rPr>
    </w:lvl>
    <w:lvl w:ilvl="4" w:tplc="77EE68C6">
      <w:start w:val="1"/>
      <w:numFmt w:val="bullet"/>
      <w:lvlText w:val=""/>
      <w:lvlJc w:val="left"/>
      <w:pPr>
        <w:ind w:left="1140" w:hanging="360"/>
      </w:pPr>
      <w:rPr>
        <w:rFonts w:ascii="Symbol" w:hAnsi="Symbol"/>
      </w:rPr>
    </w:lvl>
    <w:lvl w:ilvl="5" w:tplc="D5FA89A0">
      <w:start w:val="1"/>
      <w:numFmt w:val="bullet"/>
      <w:lvlText w:val=""/>
      <w:lvlJc w:val="left"/>
      <w:pPr>
        <w:ind w:left="1140" w:hanging="360"/>
      </w:pPr>
      <w:rPr>
        <w:rFonts w:ascii="Symbol" w:hAnsi="Symbol"/>
      </w:rPr>
    </w:lvl>
    <w:lvl w:ilvl="6" w:tplc="2D56A75A">
      <w:start w:val="1"/>
      <w:numFmt w:val="bullet"/>
      <w:lvlText w:val=""/>
      <w:lvlJc w:val="left"/>
      <w:pPr>
        <w:ind w:left="1140" w:hanging="360"/>
      </w:pPr>
      <w:rPr>
        <w:rFonts w:ascii="Symbol" w:hAnsi="Symbol"/>
      </w:rPr>
    </w:lvl>
    <w:lvl w:ilvl="7" w:tplc="D664353A">
      <w:start w:val="1"/>
      <w:numFmt w:val="bullet"/>
      <w:lvlText w:val=""/>
      <w:lvlJc w:val="left"/>
      <w:pPr>
        <w:ind w:left="1140" w:hanging="360"/>
      </w:pPr>
      <w:rPr>
        <w:rFonts w:ascii="Symbol" w:hAnsi="Symbol"/>
      </w:rPr>
    </w:lvl>
    <w:lvl w:ilvl="8" w:tplc="5650C472">
      <w:start w:val="1"/>
      <w:numFmt w:val="bullet"/>
      <w:lvlText w:val=""/>
      <w:lvlJc w:val="left"/>
      <w:pPr>
        <w:ind w:left="1140" w:hanging="360"/>
      </w:pPr>
      <w:rPr>
        <w:rFonts w:ascii="Symbol" w:hAnsi="Symbol"/>
      </w:rPr>
    </w:lvl>
  </w:abstractNum>
  <w:abstractNum w:abstractNumId="18" w15:restartNumberingAfterBreak="0">
    <w:nsid w:val="27977622"/>
    <w:multiLevelType w:val="hybridMultilevel"/>
    <w:tmpl w:val="A41E8462"/>
    <w:lvl w:ilvl="0" w:tplc="08090019">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28074026"/>
    <w:multiLevelType w:val="hybridMultilevel"/>
    <w:tmpl w:val="6D1E984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15:restartNumberingAfterBreak="0">
    <w:nsid w:val="2B3F39F8"/>
    <w:multiLevelType w:val="multilevel"/>
    <w:tmpl w:val="130ADDBA"/>
    <w:lvl w:ilvl="0">
      <w:start w:val="1"/>
      <w:numFmt w:val="bullet"/>
      <w:pStyle w:val="EBBullet"/>
      <w:lvlText w:val=""/>
      <w:lvlJc w:val="left"/>
      <w:pPr>
        <w:tabs>
          <w:tab w:val="num" w:pos="284"/>
        </w:tabs>
        <w:ind w:left="284" w:hanging="284"/>
      </w:pPr>
      <w:rPr>
        <w:rFonts w:ascii="Symbol" w:hAnsi="Symbol" w:hint="default"/>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2ED561E4"/>
    <w:multiLevelType w:val="hybridMultilevel"/>
    <w:tmpl w:val="88023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EF0EE2"/>
    <w:multiLevelType w:val="hybridMultilevel"/>
    <w:tmpl w:val="DAC65D80"/>
    <w:lvl w:ilvl="0" w:tplc="08090017">
      <w:start w:val="1"/>
      <w:numFmt w:val="lowerLetter"/>
      <w:lvlText w:val="%1)"/>
      <w:lvlJc w:val="left"/>
      <w:pPr>
        <w:ind w:left="720" w:hanging="360"/>
      </w:pPr>
      <w:rPr>
        <w:b w:val="0"/>
        <w:bCs w:val="0"/>
      </w:rPr>
    </w:lvl>
    <w:lvl w:ilvl="1" w:tplc="FFFFFFFF">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057742"/>
    <w:multiLevelType w:val="hybridMultilevel"/>
    <w:tmpl w:val="D91C93DC"/>
    <w:lvl w:ilvl="0" w:tplc="0B422C0C">
      <w:start w:val="1"/>
      <w:numFmt w:val="bullet"/>
      <w:lvlText w:val=""/>
      <w:lvlJc w:val="left"/>
      <w:pPr>
        <w:ind w:left="1140" w:hanging="360"/>
      </w:pPr>
      <w:rPr>
        <w:rFonts w:ascii="Symbol" w:hAnsi="Symbol"/>
      </w:rPr>
    </w:lvl>
    <w:lvl w:ilvl="1" w:tplc="491AE124">
      <w:start w:val="1"/>
      <w:numFmt w:val="bullet"/>
      <w:lvlText w:val=""/>
      <w:lvlJc w:val="left"/>
      <w:pPr>
        <w:ind w:left="1140" w:hanging="360"/>
      </w:pPr>
      <w:rPr>
        <w:rFonts w:ascii="Symbol" w:hAnsi="Symbol"/>
      </w:rPr>
    </w:lvl>
    <w:lvl w:ilvl="2" w:tplc="DE76F944">
      <w:start w:val="1"/>
      <w:numFmt w:val="bullet"/>
      <w:lvlText w:val=""/>
      <w:lvlJc w:val="left"/>
      <w:pPr>
        <w:ind w:left="1140" w:hanging="360"/>
      </w:pPr>
      <w:rPr>
        <w:rFonts w:ascii="Symbol" w:hAnsi="Symbol"/>
      </w:rPr>
    </w:lvl>
    <w:lvl w:ilvl="3" w:tplc="39BC5C4E">
      <w:start w:val="1"/>
      <w:numFmt w:val="bullet"/>
      <w:lvlText w:val=""/>
      <w:lvlJc w:val="left"/>
      <w:pPr>
        <w:ind w:left="1140" w:hanging="360"/>
      </w:pPr>
      <w:rPr>
        <w:rFonts w:ascii="Symbol" w:hAnsi="Symbol"/>
      </w:rPr>
    </w:lvl>
    <w:lvl w:ilvl="4" w:tplc="991E8316">
      <w:start w:val="1"/>
      <w:numFmt w:val="bullet"/>
      <w:lvlText w:val=""/>
      <w:lvlJc w:val="left"/>
      <w:pPr>
        <w:ind w:left="1140" w:hanging="360"/>
      </w:pPr>
      <w:rPr>
        <w:rFonts w:ascii="Symbol" w:hAnsi="Symbol"/>
      </w:rPr>
    </w:lvl>
    <w:lvl w:ilvl="5" w:tplc="5C24546A">
      <w:start w:val="1"/>
      <w:numFmt w:val="bullet"/>
      <w:lvlText w:val=""/>
      <w:lvlJc w:val="left"/>
      <w:pPr>
        <w:ind w:left="1140" w:hanging="360"/>
      </w:pPr>
      <w:rPr>
        <w:rFonts w:ascii="Symbol" w:hAnsi="Symbol"/>
      </w:rPr>
    </w:lvl>
    <w:lvl w:ilvl="6" w:tplc="D6CC020A">
      <w:start w:val="1"/>
      <w:numFmt w:val="bullet"/>
      <w:lvlText w:val=""/>
      <w:lvlJc w:val="left"/>
      <w:pPr>
        <w:ind w:left="1140" w:hanging="360"/>
      </w:pPr>
      <w:rPr>
        <w:rFonts w:ascii="Symbol" w:hAnsi="Symbol"/>
      </w:rPr>
    </w:lvl>
    <w:lvl w:ilvl="7" w:tplc="A86E31E2">
      <w:start w:val="1"/>
      <w:numFmt w:val="bullet"/>
      <w:lvlText w:val=""/>
      <w:lvlJc w:val="left"/>
      <w:pPr>
        <w:ind w:left="1140" w:hanging="360"/>
      </w:pPr>
      <w:rPr>
        <w:rFonts w:ascii="Symbol" w:hAnsi="Symbol"/>
      </w:rPr>
    </w:lvl>
    <w:lvl w:ilvl="8" w:tplc="3714578A">
      <w:start w:val="1"/>
      <w:numFmt w:val="bullet"/>
      <w:lvlText w:val=""/>
      <w:lvlJc w:val="left"/>
      <w:pPr>
        <w:ind w:left="1140" w:hanging="360"/>
      </w:pPr>
      <w:rPr>
        <w:rFonts w:ascii="Symbol" w:hAnsi="Symbol"/>
      </w:rPr>
    </w:lvl>
  </w:abstractNum>
  <w:abstractNum w:abstractNumId="24" w15:restartNumberingAfterBreak="0">
    <w:nsid w:val="301C549D"/>
    <w:multiLevelType w:val="hybridMultilevel"/>
    <w:tmpl w:val="A1C45972"/>
    <w:lvl w:ilvl="0" w:tplc="F76A1FEA">
      <w:start w:val="1"/>
      <w:numFmt w:val="bullet"/>
      <w:lvlText w:val=""/>
      <w:lvlJc w:val="left"/>
      <w:pPr>
        <w:ind w:left="720" w:hanging="360"/>
      </w:pPr>
      <w:rPr>
        <w:rFonts w:ascii="Symbol" w:hAnsi="Symbol"/>
      </w:rPr>
    </w:lvl>
    <w:lvl w:ilvl="1" w:tplc="B26A0870">
      <w:start w:val="1"/>
      <w:numFmt w:val="bullet"/>
      <w:lvlText w:val=""/>
      <w:lvlJc w:val="left"/>
      <w:pPr>
        <w:ind w:left="720" w:hanging="360"/>
      </w:pPr>
      <w:rPr>
        <w:rFonts w:ascii="Symbol" w:hAnsi="Symbol"/>
      </w:rPr>
    </w:lvl>
    <w:lvl w:ilvl="2" w:tplc="F0EC3BCC">
      <w:start w:val="1"/>
      <w:numFmt w:val="bullet"/>
      <w:lvlText w:val=""/>
      <w:lvlJc w:val="left"/>
      <w:pPr>
        <w:ind w:left="720" w:hanging="360"/>
      </w:pPr>
      <w:rPr>
        <w:rFonts w:ascii="Symbol" w:hAnsi="Symbol"/>
      </w:rPr>
    </w:lvl>
    <w:lvl w:ilvl="3" w:tplc="61463450">
      <w:start w:val="1"/>
      <w:numFmt w:val="bullet"/>
      <w:lvlText w:val=""/>
      <w:lvlJc w:val="left"/>
      <w:pPr>
        <w:ind w:left="720" w:hanging="360"/>
      </w:pPr>
      <w:rPr>
        <w:rFonts w:ascii="Symbol" w:hAnsi="Symbol"/>
      </w:rPr>
    </w:lvl>
    <w:lvl w:ilvl="4" w:tplc="306C1D02">
      <w:start w:val="1"/>
      <w:numFmt w:val="bullet"/>
      <w:lvlText w:val=""/>
      <w:lvlJc w:val="left"/>
      <w:pPr>
        <w:ind w:left="720" w:hanging="360"/>
      </w:pPr>
      <w:rPr>
        <w:rFonts w:ascii="Symbol" w:hAnsi="Symbol"/>
      </w:rPr>
    </w:lvl>
    <w:lvl w:ilvl="5" w:tplc="3A729000">
      <w:start w:val="1"/>
      <w:numFmt w:val="bullet"/>
      <w:lvlText w:val=""/>
      <w:lvlJc w:val="left"/>
      <w:pPr>
        <w:ind w:left="720" w:hanging="360"/>
      </w:pPr>
      <w:rPr>
        <w:rFonts w:ascii="Symbol" w:hAnsi="Symbol"/>
      </w:rPr>
    </w:lvl>
    <w:lvl w:ilvl="6" w:tplc="CFFA61E4">
      <w:start w:val="1"/>
      <w:numFmt w:val="bullet"/>
      <w:lvlText w:val=""/>
      <w:lvlJc w:val="left"/>
      <w:pPr>
        <w:ind w:left="720" w:hanging="360"/>
      </w:pPr>
      <w:rPr>
        <w:rFonts w:ascii="Symbol" w:hAnsi="Symbol"/>
      </w:rPr>
    </w:lvl>
    <w:lvl w:ilvl="7" w:tplc="E51277F4">
      <w:start w:val="1"/>
      <w:numFmt w:val="bullet"/>
      <w:lvlText w:val=""/>
      <w:lvlJc w:val="left"/>
      <w:pPr>
        <w:ind w:left="720" w:hanging="360"/>
      </w:pPr>
      <w:rPr>
        <w:rFonts w:ascii="Symbol" w:hAnsi="Symbol"/>
      </w:rPr>
    </w:lvl>
    <w:lvl w:ilvl="8" w:tplc="2E12ED54">
      <w:start w:val="1"/>
      <w:numFmt w:val="bullet"/>
      <w:lvlText w:val=""/>
      <w:lvlJc w:val="left"/>
      <w:pPr>
        <w:ind w:left="720" w:hanging="360"/>
      </w:pPr>
      <w:rPr>
        <w:rFonts w:ascii="Symbol" w:hAnsi="Symbol"/>
      </w:rPr>
    </w:lvl>
  </w:abstractNum>
  <w:abstractNum w:abstractNumId="25" w15:restartNumberingAfterBreak="0">
    <w:nsid w:val="30E5065D"/>
    <w:multiLevelType w:val="hybridMultilevel"/>
    <w:tmpl w:val="8CBA45CE"/>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2E36BD3"/>
    <w:multiLevelType w:val="hybridMultilevel"/>
    <w:tmpl w:val="B172D716"/>
    <w:lvl w:ilvl="0" w:tplc="0809000B">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15:restartNumberingAfterBreak="0">
    <w:nsid w:val="33312D68"/>
    <w:multiLevelType w:val="hybridMultilevel"/>
    <w:tmpl w:val="4AC60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5D44F47"/>
    <w:multiLevelType w:val="hybridMultilevel"/>
    <w:tmpl w:val="4B3826DE"/>
    <w:lvl w:ilvl="0" w:tplc="8A6E48CC">
      <w:start w:val="1"/>
      <w:numFmt w:val="bullet"/>
      <w:lvlText w:val=""/>
      <w:lvlJc w:val="left"/>
      <w:pPr>
        <w:ind w:left="720" w:hanging="360"/>
      </w:pPr>
      <w:rPr>
        <w:rFonts w:ascii="Symbol" w:hAnsi="Symbol"/>
      </w:rPr>
    </w:lvl>
    <w:lvl w:ilvl="1" w:tplc="49E8A782">
      <w:start w:val="1"/>
      <w:numFmt w:val="bullet"/>
      <w:lvlText w:val=""/>
      <w:lvlJc w:val="left"/>
      <w:pPr>
        <w:ind w:left="720" w:hanging="360"/>
      </w:pPr>
      <w:rPr>
        <w:rFonts w:ascii="Symbol" w:hAnsi="Symbol"/>
      </w:rPr>
    </w:lvl>
    <w:lvl w:ilvl="2" w:tplc="A3E62154">
      <w:start w:val="1"/>
      <w:numFmt w:val="bullet"/>
      <w:lvlText w:val=""/>
      <w:lvlJc w:val="left"/>
      <w:pPr>
        <w:ind w:left="720" w:hanging="360"/>
      </w:pPr>
      <w:rPr>
        <w:rFonts w:ascii="Symbol" w:hAnsi="Symbol"/>
      </w:rPr>
    </w:lvl>
    <w:lvl w:ilvl="3" w:tplc="F2429374">
      <w:start w:val="1"/>
      <w:numFmt w:val="bullet"/>
      <w:lvlText w:val=""/>
      <w:lvlJc w:val="left"/>
      <w:pPr>
        <w:ind w:left="720" w:hanging="360"/>
      </w:pPr>
      <w:rPr>
        <w:rFonts w:ascii="Symbol" w:hAnsi="Symbol"/>
      </w:rPr>
    </w:lvl>
    <w:lvl w:ilvl="4" w:tplc="2FF2DDAC">
      <w:start w:val="1"/>
      <w:numFmt w:val="bullet"/>
      <w:lvlText w:val=""/>
      <w:lvlJc w:val="left"/>
      <w:pPr>
        <w:ind w:left="720" w:hanging="360"/>
      </w:pPr>
      <w:rPr>
        <w:rFonts w:ascii="Symbol" w:hAnsi="Symbol"/>
      </w:rPr>
    </w:lvl>
    <w:lvl w:ilvl="5" w:tplc="B45482C6">
      <w:start w:val="1"/>
      <w:numFmt w:val="bullet"/>
      <w:lvlText w:val=""/>
      <w:lvlJc w:val="left"/>
      <w:pPr>
        <w:ind w:left="720" w:hanging="360"/>
      </w:pPr>
      <w:rPr>
        <w:rFonts w:ascii="Symbol" w:hAnsi="Symbol"/>
      </w:rPr>
    </w:lvl>
    <w:lvl w:ilvl="6" w:tplc="6B2614DE">
      <w:start w:val="1"/>
      <w:numFmt w:val="bullet"/>
      <w:lvlText w:val=""/>
      <w:lvlJc w:val="left"/>
      <w:pPr>
        <w:ind w:left="720" w:hanging="360"/>
      </w:pPr>
      <w:rPr>
        <w:rFonts w:ascii="Symbol" w:hAnsi="Symbol"/>
      </w:rPr>
    </w:lvl>
    <w:lvl w:ilvl="7" w:tplc="1190210C">
      <w:start w:val="1"/>
      <w:numFmt w:val="bullet"/>
      <w:lvlText w:val=""/>
      <w:lvlJc w:val="left"/>
      <w:pPr>
        <w:ind w:left="720" w:hanging="360"/>
      </w:pPr>
      <w:rPr>
        <w:rFonts w:ascii="Symbol" w:hAnsi="Symbol"/>
      </w:rPr>
    </w:lvl>
    <w:lvl w:ilvl="8" w:tplc="12B6344E">
      <w:start w:val="1"/>
      <w:numFmt w:val="bullet"/>
      <w:lvlText w:val=""/>
      <w:lvlJc w:val="left"/>
      <w:pPr>
        <w:ind w:left="720" w:hanging="360"/>
      </w:pPr>
      <w:rPr>
        <w:rFonts w:ascii="Symbol" w:hAnsi="Symbol"/>
      </w:rPr>
    </w:lvl>
  </w:abstractNum>
  <w:abstractNum w:abstractNumId="29" w15:restartNumberingAfterBreak="0">
    <w:nsid w:val="3A2F635F"/>
    <w:multiLevelType w:val="hybridMultilevel"/>
    <w:tmpl w:val="EBE673F6"/>
    <w:lvl w:ilvl="0" w:tplc="106A00AA">
      <w:start w:val="1"/>
      <w:numFmt w:val="bullet"/>
      <w:lvlText w:val=""/>
      <w:lvlJc w:val="left"/>
      <w:pPr>
        <w:ind w:left="720" w:hanging="360"/>
      </w:pPr>
      <w:rPr>
        <w:rFonts w:ascii="Symbol" w:hAnsi="Symbol"/>
      </w:rPr>
    </w:lvl>
    <w:lvl w:ilvl="1" w:tplc="C8B69E20">
      <w:start w:val="1"/>
      <w:numFmt w:val="bullet"/>
      <w:lvlText w:val=""/>
      <w:lvlJc w:val="left"/>
      <w:pPr>
        <w:ind w:left="720" w:hanging="360"/>
      </w:pPr>
      <w:rPr>
        <w:rFonts w:ascii="Symbol" w:hAnsi="Symbol"/>
      </w:rPr>
    </w:lvl>
    <w:lvl w:ilvl="2" w:tplc="D936873A">
      <w:start w:val="1"/>
      <w:numFmt w:val="bullet"/>
      <w:lvlText w:val=""/>
      <w:lvlJc w:val="left"/>
      <w:pPr>
        <w:ind w:left="720" w:hanging="360"/>
      </w:pPr>
      <w:rPr>
        <w:rFonts w:ascii="Symbol" w:hAnsi="Symbol"/>
      </w:rPr>
    </w:lvl>
    <w:lvl w:ilvl="3" w:tplc="556ED25E">
      <w:start w:val="1"/>
      <w:numFmt w:val="bullet"/>
      <w:lvlText w:val=""/>
      <w:lvlJc w:val="left"/>
      <w:pPr>
        <w:ind w:left="720" w:hanging="360"/>
      </w:pPr>
      <w:rPr>
        <w:rFonts w:ascii="Symbol" w:hAnsi="Symbol"/>
      </w:rPr>
    </w:lvl>
    <w:lvl w:ilvl="4" w:tplc="DCB0EE72">
      <w:start w:val="1"/>
      <w:numFmt w:val="bullet"/>
      <w:lvlText w:val=""/>
      <w:lvlJc w:val="left"/>
      <w:pPr>
        <w:ind w:left="720" w:hanging="360"/>
      </w:pPr>
      <w:rPr>
        <w:rFonts w:ascii="Symbol" w:hAnsi="Symbol"/>
      </w:rPr>
    </w:lvl>
    <w:lvl w:ilvl="5" w:tplc="4F78021E">
      <w:start w:val="1"/>
      <w:numFmt w:val="bullet"/>
      <w:lvlText w:val=""/>
      <w:lvlJc w:val="left"/>
      <w:pPr>
        <w:ind w:left="720" w:hanging="360"/>
      </w:pPr>
      <w:rPr>
        <w:rFonts w:ascii="Symbol" w:hAnsi="Symbol"/>
      </w:rPr>
    </w:lvl>
    <w:lvl w:ilvl="6" w:tplc="9E48AF32">
      <w:start w:val="1"/>
      <w:numFmt w:val="bullet"/>
      <w:lvlText w:val=""/>
      <w:lvlJc w:val="left"/>
      <w:pPr>
        <w:ind w:left="720" w:hanging="360"/>
      </w:pPr>
      <w:rPr>
        <w:rFonts w:ascii="Symbol" w:hAnsi="Symbol"/>
      </w:rPr>
    </w:lvl>
    <w:lvl w:ilvl="7" w:tplc="B09E51BA">
      <w:start w:val="1"/>
      <w:numFmt w:val="bullet"/>
      <w:lvlText w:val=""/>
      <w:lvlJc w:val="left"/>
      <w:pPr>
        <w:ind w:left="720" w:hanging="360"/>
      </w:pPr>
      <w:rPr>
        <w:rFonts w:ascii="Symbol" w:hAnsi="Symbol"/>
      </w:rPr>
    </w:lvl>
    <w:lvl w:ilvl="8" w:tplc="A738A60E">
      <w:start w:val="1"/>
      <w:numFmt w:val="bullet"/>
      <w:lvlText w:val=""/>
      <w:lvlJc w:val="left"/>
      <w:pPr>
        <w:ind w:left="720" w:hanging="360"/>
      </w:pPr>
      <w:rPr>
        <w:rFonts w:ascii="Symbol" w:hAnsi="Symbol"/>
      </w:rPr>
    </w:lvl>
  </w:abstractNum>
  <w:abstractNum w:abstractNumId="30" w15:restartNumberingAfterBreak="0">
    <w:nsid w:val="3BC415CC"/>
    <w:multiLevelType w:val="hybridMultilevel"/>
    <w:tmpl w:val="DA384E8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1" w15:restartNumberingAfterBreak="0">
    <w:nsid w:val="3C14034D"/>
    <w:multiLevelType w:val="hybridMultilevel"/>
    <w:tmpl w:val="AC2A4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DA23E2E"/>
    <w:multiLevelType w:val="hybridMultilevel"/>
    <w:tmpl w:val="C264131A"/>
    <w:lvl w:ilvl="0" w:tplc="08090019">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3" w15:restartNumberingAfterBreak="0">
    <w:nsid w:val="3DDB2849"/>
    <w:multiLevelType w:val="hybridMultilevel"/>
    <w:tmpl w:val="628E5964"/>
    <w:lvl w:ilvl="0" w:tplc="08090001">
      <w:start w:val="1"/>
      <w:numFmt w:val="bullet"/>
      <w:lvlText w:val=""/>
      <w:lvlJc w:val="left"/>
      <w:pPr>
        <w:ind w:left="720" w:hanging="360"/>
      </w:pPr>
      <w:rPr>
        <w:rFonts w:ascii="Symbol" w:hAnsi="Symbol" w:hint="default"/>
        <w:b w:val="0"/>
        <w:bCs w:val="0"/>
        <w:sz w:val="22"/>
        <w:szCs w:val="22"/>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6D221F"/>
    <w:multiLevelType w:val="hybridMultilevel"/>
    <w:tmpl w:val="7186B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8D303F"/>
    <w:multiLevelType w:val="hybridMultilevel"/>
    <w:tmpl w:val="460A5EFA"/>
    <w:lvl w:ilvl="0" w:tplc="F5369AF8">
      <w:start w:val="1"/>
      <w:numFmt w:val="bullet"/>
      <w:lvlText w:val=""/>
      <w:lvlJc w:val="left"/>
      <w:pPr>
        <w:ind w:left="720" w:hanging="360"/>
      </w:pPr>
      <w:rPr>
        <w:rFonts w:ascii="Symbol" w:hAnsi="Symbol"/>
      </w:rPr>
    </w:lvl>
    <w:lvl w:ilvl="1" w:tplc="9F38C084">
      <w:start w:val="1"/>
      <w:numFmt w:val="bullet"/>
      <w:lvlText w:val=""/>
      <w:lvlJc w:val="left"/>
      <w:pPr>
        <w:ind w:left="720" w:hanging="360"/>
      </w:pPr>
      <w:rPr>
        <w:rFonts w:ascii="Symbol" w:hAnsi="Symbol"/>
      </w:rPr>
    </w:lvl>
    <w:lvl w:ilvl="2" w:tplc="FB243E8E">
      <w:start w:val="1"/>
      <w:numFmt w:val="bullet"/>
      <w:lvlText w:val=""/>
      <w:lvlJc w:val="left"/>
      <w:pPr>
        <w:ind w:left="720" w:hanging="360"/>
      </w:pPr>
      <w:rPr>
        <w:rFonts w:ascii="Symbol" w:hAnsi="Symbol"/>
      </w:rPr>
    </w:lvl>
    <w:lvl w:ilvl="3" w:tplc="5ECAC8C6">
      <w:start w:val="1"/>
      <w:numFmt w:val="bullet"/>
      <w:lvlText w:val=""/>
      <w:lvlJc w:val="left"/>
      <w:pPr>
        <w:ind w:left="720" w:hanging="360"/>
      </w:pPr>
      <w:rPr>
        <w:rFonts w:ascii="Symbol" w:hAnsi="Symbol"/>
      </w:rPr>
    </w:lvl>
    <w:lvl w:ilvl="4" w:tplc="F53EE502">
      <w:start w:val="1"/>
      <w:numFmt w:val="bullet"/>
      <w:lvlText w:val=""/>
      <w:lvlJc w:val="left"/>
      <w:pPr>
        <w:ind w:left="720" w:hanging="360"/>
      </w:pPr>
      <w:rPr>
        <w:rFonts w:ascii="Symbol" w:hAnsi="Symbol"/>
      </w:rPr>
    </w:lvl>
    <w:lvl w:ilvl="5" w:tplc="3D684218">
      <w:start w:val="1"/>
      <w:numFmt w:val="bullet"/>
      <w:lvlText w:val=""/>
      <w:lvlJc w:val="left"/>
      <w:pPr>
        <w:ind w:left="720" w:hanging="360"/>
      </w:pPr>
      <w:rPr>
        <w:rFonts w:ascii="Symbol" w:hAnsi="Symbol"/>
      </w:rPr>
    </w:lvl>
    <w:lvl w:ilvl="6" w:tplc="1D1C0100">
      <w:start w:val="1"/>
      <w:numFmt w:val="bullet"/>
      <w:lvlText w:val=""/>
      <w:lvlJc w:val="left"/>
      <w:pPr>
        <w:ind w:left="720" w:hanging="360"/>
      </w:pPr>
      <w:rPr>
        <w:rFonts w:ascii="Symbol" w:hAnsi="Symbol"/>
      </w:rPr>
    </w:lvl>
    <w:lvl w:ilvl="7" w:tplc="C2B41216">
      <w:start w:val="1"/>
      <w:numFmt w:val="bullet"/>
      <w:lvlText w:val=""/>
      <w:lvlJc w:val="left"/>
      <w:pPr>
        <w:ind w:left="720" w:hanging="360"/>
      </w:pPr>
      <w:rPr>
        <w:rFonts w:ascii="Symbol" w:hAnsi="Symbol"/>
      </w:rPr>
    </w:lvl>
    <w:lvl w:ilvl="8" w:tplc="3D9C063C">
      <w:start w:val="1"/>
      <w:numFmt w:val="bullet"/>
      <w:lvlText w:val=""/>
      <w:lvlJc w:val="left"/>
      <w:pPr>
        <w:ind w:left="720" w:hanging="360"/>
      </w:pPr>
      <w:rPr>
        <w:rFonts w:ascii="Symbol" w:hAnsi="Symbol"/>
      </w:rPr>
    </w:lvl>
  </w:abstractNum>
  <w:abstractNum w:abstractNumId="36" w15:restartNumberingAfterBreak="0">
    <w:nsid w:val="462127A6"/>
    <w:multiLevelType w:val="hybridMultilevel"/>
    <w:tmpl w:val="167AA9D6"/>
    <w:lvl w:ilvl="0" w:tplc="FFFFFFF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9574FDE"/>
    <w:multiLevelType w:val="hybridMultilevel"/>
    <w:tmpl w:val="B8F8894A"/>
    <w:lvl w:ilvl="0" w:tplc="9FCAB5AA">
      <w:start w:val="166"/>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DC829CA"/>
    <w:multiLevelType w:val="hybridMultilevel"/>
    <w:tmpl w:val="D450B7B2"/>
    <w:lvl w:ilvl="0" w:tplc="AB963258">
      <w:start w:val="1"/>
      <w:numFmt w:val="bullet"/>
      <w:lvlText w:val=""/>
      <w:lvlJc w:val="left"/>
      <w:pPr>
        <w:ind w:left="720" w:hanging="360"/>
      </w:pPr>
      <w:rPr>
        <w:rFonts w:ascii="Symbol" w:hAnsi="Symbol"/>
      </w:rPr>
    </w:lvl>
    <w:lvl w:ilvl="1" w:tplc="D35894C0">
      <w:start w:val="1"/>
      <w:numFmt w:val="bullet"/>
      <w:lvlText w:val=""/>
      <w:lvlJc w:val="left"/>
      <w:pPr>
        <w:ind w:left="720" w:hanging="360"/>
      </w:pPr>
      <w:rPr>
        <w:rFonts w:ascii="Symbol" w:hAnsi="Symbol"/>
      </w:rPr>
    </w:lvl>
    <w:lvl w:ilvl="2" w:tplc="0420ACAC">
      <w:start w:val="1"/>
      <w:numFmt w:val="bullet"/>
      <w:lvlText w:val=""/>
      <w:lvlJc w:val="left"/>
      <w:pPr>
        <w:ind w:left="720" w:hanging="360"/>
      </w:pPr>
      <w:rPr>
        <w:rFonts w:ascii="Symbol" w:hAnsi="Symbol"/>
      </w:rPr>
    </w:lvl>
    <w:lvl w:ilvl="3" w:tplc="EDDA845E">
      <w:start w:val="1"/>
      <w:numFmt w:val="bullet"/>
      <w:lvlText w:val=""/>
      <w:lvlJc w:val="left"/>
      <w:pPr>
        <w:ind w:left="720" w:hanging="360"/>
      </w:pPr>
      <w:rPr>
        <w:rFonts w:ascii="Symbol" w:hAnsi="Symbol"/>
      </w:rPr>
    </w:lvl>
    <w:lvl w:ilvl="4" w:tplc="7C3ECFA4">
      <w:start w:val="1"/>
      <w:numFmt w:val="bullet"/>
      <w:lvlText w:val=""/>
      <w:lvlJc w:val="left"/>
      <w:pPr>
        <w:ind w:left="720" w:hanging="360"/>
      </w:pPr>
      <w:rPr>
        <w:rFonts w:ascii="Symbol" w:hAnsi="Symbol"/>
      </w:rPr>
    </w:lvl>
    <w:lvl w:ilvl="5" w:tplc="57C211B2">
      <w:start w:val="1"/>
      <w:numFmt w:val="bullet"/>
      <w:lvlText w:val=""/>
      <w:lvlJc w:val="left"/>
      <w:pPr>
        <w:ind w:left="720" w:hanging="360"/>
      </w:pPr>
      <w:rPr>
        <w:rFonts w:ascii="Symbol" w:hAnsi="Symbol"/>
      </w:rPr>
    </w:lvl>
    <w:lvl w:ilvl="6" w:tplc="4352EC30">
      <w:start w:val="1"/>
      <w:numFmt w:val="bullet"/>
      <w:lvlText w:val=""/>
      <w:lvlJc w:val="left"/>
      <w:pPr>
        <w:ind w:left="720" w:hanging="360"/>
      </w:pPr>
      <w:rPr>
        <w:rFonts w:ascii="Symbol" w:hAnsi="Symbol"/>
      </w:rPr>
    </w:lvl>
    <w:lvl w:ilvl="7" w:tplc="ACE6A338">
      <w:start w:val="1"/>
      <w:numFmt w:val="bullet"/>
      <w:lvlText w:val=""/>
      <w:lvlJc w:val="left"/>
      <w:pPr>
        <w:ind w:left="720" w:hanging="360"/>
      </w:pPr>
      <w:rPr>
        <w:rFonts w:ascii="Symbol" w:hAnsi="Symbol"/>
      </w:rPr>
    </w:lvl>
    <w:lvl w:ilvl="8" w:tplc="058651CC">
      <w:start w:val="1"/>
      <w:numFmt w:val="bullet"/>
      <w:lvlText w:val=""/>
      <w:lvlJc w:val="left"/>
      <w:pPr>
        <w:ind w:left="720" w:hanging="360"/>
      </w:pPr>
      <w:rPr>
        <w:rFonts w:ascii="Symbol" w:hAnsi="Symbol"/>
      </w:rPr>
    </w:lvl>
  </w:abstractNum>
  <w:abstractNum w:abstractNumId="39" w15:restartNumberingAfterBreak="0">
    <w:nsid w:val="4E7C3302"/>
    <w:multiLevelType w:val="hybridMultilevel"/>
    <w:tmpl w:val="9C6EA2BA"/>
    <w:lvl w:ilvl="0" w:tplc="4088EFA2">
      <w:start w:val="1"/>
      <w:numFmt w:val="lowerLetter"/>
      <w:lvlText w:val="%1)"/>
      <w:lvlJc w:val="left"/>
      <w:pPr>
        <w:ind w:left="144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F5E0AD5"/>
    <w:multiLevelType w:val="hybridMultilevel"/>
    <w:tmpl w:val="87764D7E"/>
    <w:lvl w:ilvl="0" w:tplc="53D692A2">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0DF4161"/>
    <w:multiLevelType w:val="hybridMultilevel"/>
    <w:tmpl w:val="7DDE25C8"/>
    <w:lvl w:ilvl="0" w:tplc="B908E1A8">
      <w:start w:val="175"/>
      <w:numFmt w:val="decimal"/>
      <w:lvlText w:val="%1."/>
      <w:lvlJc w:val="left"/>
      <w:pPr>
        <w:ind w:left="700" w:hanging="420"/>
      </w:pPr>
      <w:rPr>
        <w:rFonts w:hint="default"/>
        <w:b/>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42" w15:restartNumberingAfterBreak="0">
    <w:nsid w:val="51987A36"/>
    <w:multiLevelType w:val="hybridMultilevel"/>
    <w:tmpl w:val="E514B6A8"/>
    <w:lvl w:ilvl="0" w:tplc="F6082B10">
      <w:start w:val="1"/>
      <w:numFmt w:val="decimal"/>
      <w:lvlText w:val="%1."/>
      <w:lvlJc w:val="left"/>
      <w:pPr>
        <w:ind w:left="720" w:hanging="360"/>
      </w:pPr>
      <w:rPr>
        <w:rFonts w:hint="default"/>
        <w:b w:val="0"/>
        <w:bCs/>
        <w:sz w:val="22"/>
        <w:szCs w:val="22"/>
      </w:rPr>
    </w:lvl>
    <w:lvl w:ilvl="1" w:tplc="08090001">
      <w:start w:val="1"/>
      <w:numFmt w:val="bullet"/>
      <w:lvlText w:val=""/>
      <w:lvlJc w:val="left"/>
      <w:pPr>
        <w:ind w:left="1440" w:hanging="360"/>
      </w:pPr>
      <w:rPr>
        <w:rFonts w:ascii="Symbol" w:hAnsi="Symbol" w:hint="default"/>
      </w:rPr>
    </w:lvl>
    <w:lvl w:ilvl="2" w:tplc="08090017">
      <w:start w:val="1"/>
      <w:numFmt w:val="lowerLetter"/>
      <w:lvlText w:val="%3)"/>
      <w:lvlJc w:val="left"/>
      <w:pPr>
        <w:ind w:left="14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3F230FD"/>
    <w:multiLevelType w:val="hybridMultilevel"/>
    <w:tmpl w:val="B78640AA"/>
    <w:lvl w:ilvl="0" w:tplc="08090003">
      <w:start w:val="1"/>
      <w:numFmt w:val="bullet"/>
      <w:lvlText w:val="o"/>
      <w:lvlJc w:val="left"/>
      <w:pPr>
        <w:ind w:left="1440" w:hanging="360"/>
      </w:pPr>
      <w:rPr>
        <w:rFonts w:ascii="Courier New" w:hAnsi="Courier New" w:cs="Courier New" w:hint="default"/>
        <w:b w:val="0"/>
        <w:bCs w:val="0"/>
        <w:sz w:val="22"/>
        <w:szCs w:val="22"/>
      </w:rPr>
    </w:lvl>
    <w:lvl w:ilvl="1" w:tplc="FFFFFFFF">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556C5883"/>
    <w:multiLevelType w:val="hybridMultilevel"/>
    <w:tmpl w:val="14D6D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E34AFC6">
      <w:numFmt w:val="bullet"/>
      <w:lvlText w:val="-"/>
      <w:lvlJc w:val="left"/>
      <w:pPr>
        <w:ind w:left="2160" w:hanging="360"/>
      </w:pPr>
      <w:rPr>
        <w:rFonts w:ascii="Arial" w:eastAsia="Times New Roman"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387404"/>
    <w:multiLevelType w:val="hybridMultilevel"/>
    <w:tmpl w:val="52A4DAA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D6C5219"/>
    <w:multiLevelType w:val="hybridMultilevel"/>
    <w:tmpl w:val="90080ED4"/>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DE151B2"/>
    <w:multiLevelType w:val="hybridMultilevel"/>
    <w:tmpl w:val="D8FCC768"/>
    <w:lvl w:ilvl="0" w:tplc="08090019">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8" w15:restartNumberingAfterBreak="0">
    <w:nsid w:val="619C658C"/>
    <w:multiLevelType w:val="hybridMultilevel"/>
    <w:tmpl w:val="0BD0A26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26F7A79"/>
    <w:multiLevelType w:val="hybridMultilevel"/>
    <w:tmpl w:val="F22633A0"/>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3075541"/>
    <w:multiLevelType w:val="hybridMultilevel"/>
    <w:tmpl w:val="5BAAFD9E"/>
    <w:lvl w:ilvl="0" w:tplc="FFFFFFFF">
      <w:start w:val="1"/>
      <w:numFmt w:val="lowerLetter"/>
      <w:lvlText w:val="%1)"/>
      <w:lvlJc w:val="left"/>
      <w:pPr>
        <w:ind w:left="144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59D018E"/>
    <w:multiLevelType w:val="hybridMultilevel"/>
    <w:tmpl w:val="F22633A0"/>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sz w:val="22"/>
        <w:szCs w:val="22"/>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6395496"/>
    <w:multiLevelType w:val="hybridMultilevel"/>
    <w:tmpl w:val="A2286C9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3" w15:restartNumberingAfterBreak="0">
    <w:nsid w:val="691D5C0F"/>
    <w:multiLevelType w:val="hybridMultilevel"/>
    <w:tmpl w:val="FFE0E73E"/>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4" w15:restartNumberingAfterBreak="0">
    <w:nsid w:val="6A51609E"/>
    <w:multiLevelType w:val="hybridMultilevel"/>
    <w:tmpl w:val="D33429CC"/>
    <w:lvl w:ilvl="0" w:tplc="F57671FE">
      <w:start w:val="1"/>
      <w:numFmt w:val="bullet"/>
      <w:lvlText w:val=""/>
      <w:lvlJc w:val="left"/>
      <w:pPr>
        <w:ind w:left="1140" w:hanging="360"/>
      </w:pPr>
      <w:rPr>
        <w:rFonts w:ascii="Symbol" w:hAnsi="Symbol"/>
      </w:rPr>
    </w:lvl>
    <w:lvl w:ilvl="1" w:tplc="B9A6AF02">
      <w:start w:val="1"/>
      <w:numFmt w:val="bullet"/>
      <w:lvlText w:val=""/>
      <w:lvlJc w:val="left"/>
      <w:pPr>
        <w:ind w:left="1140" w:hanging="360"/>
      </w:pPr>
      <w:rPr>
        <w:rFonts w:ascii="Symbol" w:hAnsi="Symbol"/>
      </w:rPr>
    </w:lvl>
    <w:lvl w:ilvl="2" w:tplc="58620616">
      <w:start w:val="1"/>
      <w:numFmt w:val="bullet"/>
      <w:lvlText w:val=""/>
      <w:lvlJc w:val="left"/>
      <w:pPr>
        <w:ind w:left="1140" w:hanging="360"/>
      </w:pPr>
      <w:rPr>
        <w:rFonts w:ascii="Symbol" w:hAnsi="Symbol"/>
      </w:rPr>
    </w:lvl>
    <w:lvl w:ilvl="3" w:tplc="BF746C34">
      <w:start w:val="1"/>
      <w:numFmt w:val="bullet"/>
      <w:lvlText w:val=""/>
      <w:lvlJc w:val="left"/>
      <w:pPr>
        <w:ind w:left="1140" w:hanging="360"/>
      </w:pPr>
      <w:rPr>
        <w:rFonts w:ascii="Symbol" w:hAnsi="Symbol"/>
      </w:rPr>
    </w:lvl>
    <w:lvl w:ilvl="4" w:tplc="77AC7822">
      <w:start w:val="1"/>
      <w:numFmt w:val="bullet"/>
      <w:lvlText w:val=""/>
      <w:lvlJc w:val="left"/>
      <w:pPr>
        <w:ind w:left="1140" w:hanging="360"/>
      </w:pPr>
      <w:rPr>
        <w:rFonts w:ascii="Symbol" w:hAnsi="Symbol"/>
      </w:rPr>
    </w:lvl>
    <w:lvl w:ilvl="5" w:tplc="1354FAF6">
      <w:start w:val="1"/>
      <w:numFmt w:val="bullet"/>
      <w:lvlText w:val=""/>
      <w:lvlJc w:val="left"/>
      <w:pPr>
        <w:ind w:left="1140" w:hanging="360"/>
      </w:pPr>
      <w:rPr>
        <w:rFonts w:ascii="Symbol" w:hAnsi="Symbol"/>
      </w:rPr>
    </w:lvl>
    <w:lvl w:ilvl="6" w:tplc="33661EC0">
      <w:start w:val="1"/>
      <w:numFmt w:val="bullet"/>
      <w:lvlText w:val=""/>
      <w:lvlJc w:val="left"/>
      <w:pPr>
        <w:ind w:left="1140" w:hanging="360"/>
      </w:pPr>
      <w:rPr>
        <w:rFonts w:ascii="Symbol" w:hAnsi="Symbol"/>
      </w:rPr>
    </w:lvl>
    <w:lvl w:ilvl="7" w:tplc="EBEC3BF2">
      <w:start w:val="1"/>
      <w:numFmt w:val="bullet"/>
      <w:lvlText w:val=""/>
      <w:lvlJc w:val="left"/>
      <w:pPr>
        <w:ind w:left="1140" w:hanging="360"/>
      </w:pPr>
      <w:rPr>
        <w:rFonts w:ascii="Symbol" w:hAnsi="Symbol"/>
      </w:rPr>
    </w:lvl>
    <w:lvl w:ilvl="8" w:tplc="2540961A">
      <w:start w:val="1"/>
      <w:numFmt w:val="bullet"/>
      <w:lvlText w:val=""/>
      <w:lvlJc w:val="left"/>
      <w:pPr>
        <w:ind w:left="1140" w:hanging="360"/>
      </w:pPr>
      <w:rPr>
        <w:rFonts w:ascii="Symbol" w:hAnsi="Symbol"/>
      </w:rPr>
    </w:lvl>
  </w:abstractNum>
  <w:abstractNum w:abstractNumId="55" w15:restartNumberingAfterBreak="0">
    <w:nsid w:val="6B1E369D"/>
    <w:multiLevelType w:val="hybridMultilevel"/>
    <w:tmpl w:val="BAF846D2"/>
    <w:lvl w:ilvl="0" w:tplc="38A6C464">
      <w:start w:val="1"/>
      <w:numFmt w:val="bullet"/>
      <w:lvlText w:val=""/>
      <w:lvlJc w:val="left"/>
      <w:pPr>
        <w:ind w:left="720" w:hanging="360"/>
      </w:pPr>
      <w:rPr>
        <w:rFonts w:ascii="Symbol" w:hAnsi="Symbol"/>
      </w:rPr>
    </w:lvl>
    <w:lvl w:ilvl="1" w:tplc="B3684240">
      <w:start w:val="1"/>
      <w:numFmt w:val="bullet"/>
      <w:lvlText w:val=""/>
      <w:lvlJc w:val="left"/>
      <w:pPr>
        <w:ind w:left="720" w:hanging="360"/>
      </w:pPr>
      <w:rPr>
        <w:rFonts w:ascii="Symbol" w:hAnsi="Symbol"/>
      </w:rPr>
    </w:lvl>
    <w:lvl w:ilvl="2" w:tplc="0A886C64">
      <w:start w:val="1"/>
      <w:numFmt w:val="bullet"/>
      <w:lvlText w:val=""/>
      <w:lvlJc w:val="left"/>
      <w:pPr>
        <w:ind w:left="720" w:hanging="360"/>
      </w:pPr>
      <w:rPr>
        <w:rFonts w:ascii="Symbol" w:hAnsi="Symbol"/>
      </w:rPr>
    </w:lvl>
    <w:lvl w:ilvl="3" w:tplc="D8A25056">
      <w:start w:val="1"/>
      <w:numFmt w:val="bullet"/>
      <w:lvlText w:val=""/>
      <w:lvlJc w:val="left"/>
      <w:pPr>
        <w:ind w:left="720" w:hanging="360"/>
      </w:pPr>
      <w:rPr>
        <w:rFonts w:ascii="Symbol" w:hAnsi="Symbol"/>
      </w:rPr>
    </w:lvl>
    <w:lvl w:ilvl="4" w:tplc="6C9AE690">
      <w:start w:val="1"/>
      <w:numFmt w:val="bullet"/>
      <w:lvlText w:val=""/>
      <w:lvlJc w:val="left"/>
      <w:pPr>
        <w:ind w:left="720" w:hanging="360"/>
      </w:pPr>
      <w:rPr>
        <w:rFonts w:ascii="Symbol" w:hAnsi="Symbol"/>
      </w:rPr>
    </w:lvl>
    <w:lvl w:ilvl="5" w:tplc="BFD25B76">
      <w:start w:val="1"/>
      <w:numFmt w:val="bullet"/>
      <w:lvlText w:val=""/>
      <w:lvlJc w:val="left"/>
      <w:pPr>
        <w:ind w:left="720" w:hanging="360"/>
      </w:pPr>
      <w:rPr>
        <w:rFonts w:ascii="Symbol" w:hAnsi="Symbol"/>
      </w:rPr>
    </w:lvl>
    <w:lvl w:ilvl="6" w:tplc="14685A6A">
      <w:start w:val="1"/>
      <w:numFmt w:val="bullet"/>
      <w:lvlText w:val=""/>
      <w:lvlJc w:val="left"/>
      <w:pPr>
        <w:ind w:left="720" w:hanging="360"/>
      </w:pPr>
      <w:rPr>
        <w:rFonts w:ascii="Symbol" w:hAnsi="Symbol"/>
      </w:rPr>
    </w:lvl>
    <w:lvl w:ilvl="7" w:tplc="EF52DC54">
      <w:start w:val="1"/>
      <w:numFmt w:val="bullet"/>
      <w:lvlText w:val=""/>
      <w:lvlJc w:val="left"/>
      <w:pPr>
        <w:ind w:left="720" w:hanging="360"/>
      </w:pPr>
      <w:rPr>
        <w:rFonts w:ascii="Symbol" w:hAnsi="Symbol"/>
      </w:rPr>
    </w:lvl>
    <w:lvl w:ilvl="8" w:tplc="3A94ADDC">
      <w:start w:val="1"/>
      <w:numFmt w:val="bullet"/>
      <w:lvlText w:val=""/>
      <w:lvlJc w:val="left"/>
      <w:pPr>
        <w:ind w:left="720" w:hanging="360"/>
      </w:pPr>
      <w:rPr>
        <w:rFonts w:ascii="Symbol" w:hAnsi="Symbol"/>
      </w:rPr>
    </w:lvl>
  </w:abstractNum>
  <w:abstractNum w:abstractNumId="56" w15:restartNumberingAfterBreak="0">
    <w:nsid w:val="6D6A4A5B"/>
    <w:multiLevelType w:val="hybridMultilevel"/>
    <w:tmpl w:val="94DA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3808A9"/>
    <w:multiLevelType w:val="hybridMultilevel"/>
    <w:tmpl w:val="B2424366"/>
    <w:lvl w:ilvl="0" w:tplc="08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58" w15:restartNumberingAfterBreak="0">
    <w:nsid w:val="718851C2"/>
    <w:multiLevelType w:val="multilevel"/>
    <w:tmpl w:val="3626DD9A"/>
    <w:lvl w:ilvl="0">
      <w:start w:val="1"/>
      <w:numFmt w:val="decimal"/>
      <w:pStyle w:val="IARefNumber"/>
      <w:suff w:val="nothing"/>
      <w:lvlText w:val="%1"/>
      <w:lvlJc w:val="left"/>
      <w:pPr>
        <w:ind w:firstLine="113"/>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59" w15:restartNumberingAfterBreak="0">
    <w:nsid w:val="77570979"/>
    <w:multiLevelType w:val="hybridMultilevel"/>
    <w:tmpl w:val="8DF09A68"/>
    <w:lvl w:ilvl="0" w:tplc="08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787E423F"/>
    <w:multiLevelType w:val="hybridMultilevel"/>
    <w:tmpl w:val="69266476"/>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1" w15:restartNumberingAfterBreak="0">
    <w:nsid w:val="791E33D7"/>
    <w:multiLevelType w:val="hybridMultilevel"/>
    <w:tmpl w:val="105CE48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DB155B8"/>
    <w:multiLevelType w:val="hybridMultilevel"/>
    <w:tmpl w:val="F4DC5CFA"/>
    <w:lvl w:ilvl="0" w:tplc="238AC43A">
      <w:start w:val="1"/>
      <w:numFmt w:val="decimal"/>
      <w:lvlText w:val="%1."/>
      <w:lvlJc w:val="left"/>
      <w:pPr>
        <w:ind w:left="549" w:hanging="360"/>
      </w:pPr>
      <w:rPr>
        <w:b w:val="0"/>
        <w:bCs w:val="0"/>
        <w:sz w:val="22"/>
        <w:szCs w:val="22"/>
      </w:rPr>
    </w:lvl>
    <w:lvl w:ilvl="1" w:tplc="08090001">
      <w:start w:val="1"/>
      <w:numFmt w:val="bullet"/>
      <w:lvlText w:val=""/>
      <w:lvlJc w:val="left"/>
      <w:pPr>
        <w:ind w:left="495" w:hanging="360"/>
      </w:pPr>
      <w:rPr>
        <w:rFonts w:ascii="Symbol" w:hAnsi="Symbol" w:hint="default"/>
      </w:rPr>
    </w:lvl>
    <w:lvl w:ilvl="2" w:tplc="0809001B">
      <w:start w:val="1"/>
      <w:numFmt w:val="lowerRoman"/>
      <w:lvlText w:val="%3."/>
      <w:lvlJc w:val="right"/>
      <w:pPr>
        <w:ind w:left="1215" w:hanging="180"/>
      </w:pPr>
    </w:lvl>
    <w:lvl w:ilvl="3" w:tplc="0809000F" w:tentative="1">
      <w:start w:val="1"/>
      <w:numFmt w:val="decimal"/>
      <w:lvlText w:val="%4."/>
      <w:lvlJc w:val="left"/>
      <w:pPr>
        <w:ind w:left="1935" w:hanging="360"/>
      </w:pPr>
    </w:lvl>
    <w:lvl w:ilvl="4" w:tplc="08090019" w:tentative="1">
      <w:start w:val="1"/>
      <w:numFmt w:val="lowerLetter"/>
      <w:lvlText w:val="%5."/>
      <w:lvlJc w:val="left"/>
      <w:pPr>
        <w:ind w:left="2655" w:hanging="360"/>
      </w:pPr>
    </w:lvl>
    <w:lvl w:ilvl="5" w:tplc="0809001B" w:tentative="1">
      <w:start w:val="1"/>
      <w:numFmt w:val="lowerRoman"/>
      <w:lvlText w:val="%6."/>
      <w:lvlJc w:val="right"/>
      <w:pPr>
        <w:ind w:left="3375" w:hanging="180"/>
      </w:pPr>
    </w:lvl>
    <w:lvl w:ilvl="6" w:tplc="0809000F" w:tentative="1">
      <w:start w:val="1"/>
      <w:numFmt w:val="decimal"/>
      <w:lvlText w:val="%7."/>
      <w:lvlJc w:val="left"/>
      <w:pPr>
        <w:ind w:left="4095" w:hanging="360"/>
      </w:pPr>
    </w:lvl>
    <w:lvl w:ilvl="7" w:tplc="08090019" w:tentative="1">
      <w:start w:val="1"/>
      <w:numFmt w:val="lowerLetter"/>
      <w:lvlText w:val="%8."/>
      <w:lvlJc w:val="left"/>
      <w:pPr>
        <w:ind w:left="4815" w:hanging="360"/>
      </w:pPr>
    </w:lvl>
    <w:lvl w:ilvl="8" w:tplc="0809001B" w:tentative="1">
      <w:start w:val="1"/>
      <w:numFmt w:val="lowerRoman"/>
      <w:lvlText w:val="%9."/>
      <w:lvlJc w:val="right"/>
      <w:pPr>
        <w:ind w:left="5535" w:hanging="180"/>
      </w:pPr>
    </w:lvl>
  </w:abstractNum>
  <w:abstractNum w:abstractNumId="63" w15:restartNumberingAfterBreak="0">
    <w:nsid w:val="7E00273F"/>
    <w:multiLevelType w:val="hybridMultilevel"/>
    <w:tmpl w:val="BE682B4E"/>
    <w:lvl w:ilvl="0" w:tplc="F6AAA26C">
      <w:start w:val="1"/>
      <w:numFmt w:val="lowerLetter"/>
      <w:lvlText w:val="%1)"/>
      <w:lvlJc w:val="left"/>
      <w:pPr>
        <w:ind w:left="144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FB75C1D"/>
    <w:multiLevelType w:val="multilevel"/>
    <w:tmpl w:val="E2CC615A"/>
    <w:lvl w:ilvl="0">
      <w:start w:val="1"/>
      <w:numFmt w:val="none"/>
      <w:pStyle w:val="EBNumberRestart"/>
      <w:suff w:val="nothing"/>
      <w:lvlText w:val="%1"/>
      <w:lvlJc w:val="left"/>
      <w:rPr>
        <w:rFonts w:cs="Times New Roman" w:hint="default"/>
      </w:rPr>
    </w:lvl>
    <w:lvl w:ilvl="1">
      <w:start w:val="1"/>
      <w:numFmt w:val="decimal"/>
      <w:pStyle w:val="EBNumber"/>
      <w:lvlText w:val="%1%2."/>
      <w:lvlJc w:val="left"/>
      <w:pPr>
        <w:tabs>
          <w:tab w:val="num" w:pos="425"/>
        </w:tabs>
        <w:ind w:left="425" w:hanging="425"/>
      </w:pPr>
      <w:rPr>
        <w:rFonts w:cs="Times New Roman" w:hint="default"/>
      </w:rPr>
    </w:lvl>
    <w:lvl w:ilvl="2">
      <w:start w:val="1"/>
      <w:numFmt w:val="lowerLetter"/>
      <w:lvlText w:val="%1%3."/>
      <w:lvlJc w:val="left"/>
      <w:pPr>
        <w:tabs>
          <w:tab w:val="num" w:pos="851"/>
        </w:tabs>
        <w:ind w:left="851" w:hanging="426"/>
      </w:pPr>
      <w:rPr>
        <w:rFonts w:cs="Times New Roman" w:hint="default"/>
      </w:rPr>
    </w:lvl>
    <w:lvl w:ilvl="3">
      <w:start w:val="1"/>
      <w:numFmt w:val="none"/>
      <w:lvlText w:val="%1"/>
      <w:lvlJc w:val="left"/>
      <w:pPr>
        <w:tabs>
          <w:tab w:val="num" w:pos="2880"/>
        </w:tabs>
        <w:ind w:left="1728" w:hanging="648"/>
      </w:pPr>
      <w:rPr>
        <w:rFonts w:cs="Times New Roman" w:hint="default"/>
      </w:rPr>
    </w:lvl>
    <w:lvl w:ilvl="4">
      <w:start w:val="1"/>
      <w:numFmt w:val="none"/>
      <w:lvlText w:val="%1"/>
      <w:lvlJc w:val="left"/>
      <w:pPr>
        <w:tabs>
          <w:tab w:val="num" w:pos="3600"/>
        </w:tabs>
        <w:ind w:left="2232" w:hanging="792"/>
      </w:pPr>
      <w:rPr>
        <w:rFonts w:cs="Times New Roman" w:hint="default"/>
      </w:rPr>
    </w:lvl>
    <w:lvl w:ilvl="5">
      <w:start w:val="1"/>
      <w:numFmt w:val="none"/>
      <w:lvlText w:val="%1"/>
      <w:lvlJc w:val="left"/>
      <w:pPr>
        <w:tabs>
          <w:tab w:val="num" w:pos="4320"/>
        </w:tabs>
        <w:ind w:left="2736" w:hanging="936"/>
      </w:pPr>
      <w:rPr>
        <w:rFonts w:cs="Times New Roman" w:hint="default"/>
      </w:rPr>
    </w:lvl>
    <w:lvl w:ilvl="6">
      <w:start w:val="1"/>
      <w:numFmt w:val="none"/>
      <w:lvlText w:val="%1"/>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num w:numId="1" w16cid:durableId="1055272657">
    <w:abstractNumId w:val="58"/>
  </w:num>
  <w:num w:numId="2" w16cid:durableId="776024251">
    <w:abstractNumId w:val="20"/>
  </w:num>
  <w:num w:numId="3" w16cid:durableId="123281921">
    <w:abstractNumId w:val="64"/>
  </w:num>
  <w:num w:numId="4" w16cid:durableId="401298967">
    <w:abstractNumId w:val="0"/>
  </w:num>
  <w:num w:numId="5" w16cid:durableId="446503959">
    <w:abstractNumId w:val="44"/>
  </w:num>
  <w:num w:numId="6" w16cid:durableId="1780710884">
    <w:abstractNumId w:val="4"/>
  </w:num>
  <w:num w:numId="7" w16cid:durableId="1316764897">
    <w:abstractNumId w:val="42"/>
  </w:num>
  <w:num w:numId="8" w16cid:durableId="161046287">
    <w:abstractNumId w:val="19"/>
  </w:num>
  <w:num w:numId="9" w16cid:durableId="1057243919">
    <w:abstractNumId w:val="3"/>
  </w:num>
  <w:num w:numId="10" w16cid:durableId="330107676">
    <w:abstractNumId w:val="62"/>
  </w:num>
  <w:num w:numId="11" w16cid:durableId="1069771087">
    <w:abstractNumId w:val="18"/>
  </w:num>
  <w:num w:numId="12" w16cid:durableId="1768385375">
    <w:abstractNumId w:val="52"/>
  </w:num>
  <w:num w:numId="13" w16cid:durableId="306057003">
    <w:abstractNumId w:val="53"/>
  </w:num>
  <w:num w:numId="14" w16cid:durableId="466902258">
    <w:abstractNumId w:val="16"/>
  </w:num>
  <w:num w:numId="15" w16cid:durableId="1370227819">
    <w:abstractNumId w:val="32"/>
  </w:num>
  <w:num w:numId="16" w16cid:durableId="2115206435">
    <w:abstractNumId w:val="9"/>
  </w:num>
  <w:num w:numId="17" w16cid:durableId="314116257">
    <w:abstractNumId w:val="47"/>
  </w:num>
  <w:num w:numId="18" w16cid:durableId="1591428880">
    <w:abstractNumId w:val="60"/>
  </w:num>
  <w:num w:numId="19" w16cid:durableId="257370040">
    <w:abstractNumId w:val="48"/>
  </w:num>
  <w:num w:numId="20" w16cid:durableId="411197494">
    <w:abstractNumId w:val="1"/>
  </w:num>
  <w:num w:numId="21" w16cid:durableId="500389571">
    <w:abstractNumId w:val="26"/>
  </w:num>
  <w:num w:numId="22" w16cid:durableId="1541163161">
    <w:abstractNumId w:val="25"/>
  </w:num>
  <w:num w:numId="23" w16cid:durableId="689616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6113828">
    <w:abstractNumId w:val="46"/>
  </w:num>
  <w:num w:numId="25" w16cid:durableId="197551472">
    <w:abstractNumId w:val="35"/>
  </w:num>
  <w:num w:numId="26" w16cid:durableId="1354577462">
    <w:abstractNumId w:val="23"/>
  </w:num>
  <w:num w:numId="27" w16cid:durableId="1833524027">
    <w:abstractNumId w:val="54"/>
  </w:num>
  <w:num w:numId="28" w16cid:durableId="1057970662">
    <w:abstractNumId w:val="17"/>
  </w:num>
  <w:num w:numId="29" w16cid:durableId="54740549">
    <w:abstractNumId w:val="15"/>
  </w:num>
  <w:num w:numId="30" w16cid:durableId="186868414">
    <w:abstractNumId w:val="55"/>
  </w:num>
  <w:num w:numId="31" w16cid:durableId="1813792700">
    <w:abstractNumId w:val="28"/>
  </w:num>
  <w:num w:numId="32" w16cid:durableId="298613241">
    <w:abstractNumId w:val="14"/>
  </w:num>
  <w:num w:numId="33" w16cid:durableId="1275138440">
    <w:abstractNumId w:val="38"/>
  </w:num>
  <w:num w:numId="34" w16cid:durableId="1259144278">
    <w:abstractNumId w:val="34"/>
  </w:num>
  <w:num w:numId="35" w16cid:durableId="119151747">
    <w:abstractNumId w:val="22"/>
  </w:num>
  <w:num w:numId="36" w16cid:durableId="550503955">
    <w:abstractNumId w:val="5"/>
  </w:num>
  <w:num w:numId="37" w16cid:durableId="490563476">
    <w:abstractNumId w:val="63"/>
  </w:num>
  <w:num w:numId="38" w16cid:durableId="1818910198">
    <w:abstractNumId w:val="12"/>
  </w:num>
  <w:num w:numId="39" w16cid:durableId="1598752060">
    <w:abstractNumId w:val="39"/>
  </w:num>
  <w:num w:numId="40" w16cid:durableId="152071692">
    <w:abstractNumId w:val="50"/>
  </w:num>
  <w:num w:numId="41" w16cid:durableId="1623337847">
    <w:abstractNumId w:val="27"/>
  </w:num>
  <w:num w:numId="42" w16cid:durableId="1768579655">
    <w:abstractNumId w:val="6"/>
  </w:num>
  <w:num w:numId="43" w16cid:durableId="24215076">
    <w:abstractNumId w:val="30"/>
  </w:num>
  <w:num w:numId="44" w16cid:durableId="388921975">
    <w:abstractNumId w:val="49"/>
  </w:num>
  <w:num w:numId="45" w16cid:durableId="1964387351">
    <w:abstractNumId w:val="51"/>
  </w:num>
  <w:num w:numId="46" w16cid:durableId="1138260271">
    <w:abstractNumId w:val="36"/>
  </w:num>
  <w:num w:numId="47" w16cid:durableId="1928999128">
    <w:abstractNumId w:val="11"/>
  </w:num>
  <w:num w:numId="48" w16cid:durableId="621032598">
    <w:abstractNumId w:val="20"/>
  </w:num>
  <w:num w:numId="49" w16cid:durableId="1025865869">
    <w:abstractNumId w:val="20"/>
  </w:num>
  <w:num w:numId="50" w16cid:durableId="396711861">
    <w:abstractNumId w:val="20"/>
  </w:num>
  <w:num w:numId="51" w16cid:durableId="45029916">
    <w:abstractNumId w:val="20"/>
  </w:num>
  <w:num w:numId="52" w16cid:durableId="33584282">
    <w:abstractNumId w:val="20"/>
  </w:num>
  <w:num w:numId="53" w16cid:durableId="1883012357">
    <w:abstractNumId w:val="20"/>
  </w:num>
  <w:num w:numId="54" w16cid:durableId="1377508927">
    <w:abstractNumId w:val="20"/>
  </w:num>
  <w:num w:numId="55" w16cid:durableId="1386373761">
    <w:abstractNumId w:val="20"/>
  </w:num>
  <w:num w:numId="56" w16cid:durableId="1951693874">
    <w:abstractNumId w:val="20"/>
  </w:num>
  <w:num w:numId="57" w16cid:durableId="897201404">
    <w:abstractNumId w:val="20"/>
  </w:num>
  <w:num w:numId="58" w16cid:durableId="262232230">
    <w:abstractNumId w:val="20"/>
  </w:num>
  <w:num w:numId="59" w16cid:durableId="1575314857">
    <w:abstractNumId w:val="20"/>
  </w:num>
  <w:num w:numId="60" w16cid:durableId="1696345916">
    <w:abstractNumId w:val="20"/>
  </w:num>
  <w:num w:numId="61" w16cid:durableId="1642885436">
    <w:abstractNumId w:val="20"/>
  </w:num>
  <w:num w:numId="62" w16cid:durableId="1770348110">
    <w:abstractNumId w:val="20"/>
  </w:num>
  <w:num w:numId="63" w16cid:durableId="1267930534">
    <w:abstractNumId w:val="20"/>
  </w:num>
  <w:num w:numId="64" w16cid:durableId="825584490">
    <w:abstractNumId w:val="20"/>
  </w:num>
  <w:num w:numId="65" w16cid:durableId="341206707">
    <w:abstractNumId w:val="20"/>
  </w:num>
  <w:num w:numId="66" w16cid:durableId="92360923">
    <w:abstractNumId w:val="20"/>
  </w:num>
  <w:num w:numId="67" w16cid:durableId="2076733761">
    <w:abstractNumId w:val="20"/>
  </w:num>
  <w:num w:numId="68" w16cid:durableId="1317416216">
    <w:abstractNumId w:val="20"/>
  </w:num>
  <w:num w:numId="69" w16cid:durableId="865095042">
    <w:abstractNumId w:val="20"/>
  </w:num>
  <w:num w:numId="70" w16cid:durableId="126317323">
    <w:abstractNumId w:val="20"/>
  </w:num>
  <w:num w:numId="71" w16cid:durableId="1159420114">
    <w:abstractNumId w:val="20"/>
  </w:num>
  <w:num w:numId="72" w16cid:durableId="812218356">
    <w:abstractNumId w:val="20"/>
  </w:num>
  <w:num w:numId="73" w16cid:durableId="1867524499">
    <w:abstractNumId w:val="20"/>
  </w:num>
  <w:num w:numId="74" w16cid:durableId="1657958016">
    <w:abstractNumId w:val="20"/>
  </w:num>
  <w:num w:numId="75" w16cid:durableId="1122185592">
    <w:abstractNumId w:val="20"/>
  </w:num>
  <w:num w:numId="76" w16cid:durableId="186721345">
    <w:abstractNumId w:val="20"/>
  </w:num>
  <w:num w:numId="77" w16cid:durableId="1666469065">
    <w:abstractNumId w:val="20"/>
  </w:num>
  <w:num w:numId="78" w16cid:durableId="2012565885">
    <w:abstractNumId w:val="20"/>
  </w:num>
  <w:num w:numId="79" w16cid:durableId="785193086">
    <w:abstractNumId w:val="20"/>
  </w:num>
  <w:num w:numId="80" w16cid:durableId="1455058519">
    <w:abstractNumId w:val="20"/>
  </w:num>
  <w:num w:numId="81" w16cid:durableId="970130761">
    <w:abstractNumId w:val="20"/>
  </w:num>
  <w:num w:numId="82" w16cid:durableId="605963734">
    <w:abstractNumId w:val="20"/>
  </w:num>
  <w:num w:numId="83" w16cid:durableId="1647590015">
    <w:abstractNumId w:val="37"/>
  </w:num>
  <w:num w:numId="84" w16cid:durableId="359474604">
    <w:abstractNumId w:val="20"/>
  </w:num>
  <w:num w:numId="85" w16cid:durableId="395930847">
    <w:abstractNumId w:val="20"/>
  </w:num>
  <w:num w:numId="86" w16cid:durableId="1884361283">
    <w:abstractNumId w:val="20"/>
  </w:num>
  <w:num w:numId="87" w16cid:durableId="296835772">
    <w:abstractNumId w:val="21"/>
  </w:num>
  <w:num w:numId="88" w16cid:durableId="1391612356">
    <w:abstractNumId w:val="33"/>
  </w:num>
  <w:num w:numId="89" w16cid:durableId="927693682">
    <w:abstractNumId w:val="43"/>
  </w:num>
  <w:num w:numId="90" w16cid:durableId="1426808477">
    <w:abstractNumId w:val="2"/>
  </w:num>
  <w:num w:numId="91" w16cid:durableId="1828207484">
    <w:abstractNumId w:val="59"/>
  </w:num>
  <w:num w:numId="92" w16cid:durableId="784496639">
    <w:abstractNumId w:val="57"/>
  </w:num>
  <w:num w:numId="93" w16cid:durableId="1042948820">
    <w:abstractNumId w:val="61"/>
  </w:num>
  <w:num w:numId="94" w16cid:durableId="1758860596">
    <w:abstractNumId w:val="41"/>
  </w:num>
  <w:num w:numId="95" w16cid:durableId="781613499">
    <w:abstractNumId w:val="7"/>
  </w:num>
  <w:num w:numId="96" w16cid:durableId="1576820324">
    <w:abstractNumId w:val="45"/>
  </w:num>
  <w:num w:numId="97" w16cid:durableId="2027709267">
    <w:abstractNumId w:val="29"/>
  </w:num>
  <w:num w:numId="98" w16cid:durableId="623385632">
    <w:abstractNumId w:val="8"/>
  </w:num>
  <w:num w:numId="99" w16cid:durableId="1032388649">
    <w:abstractNumId w:val="24"/>
  </w:num>
  <w:num w:numId="100" w16cid:durableId="743524691">
    <w:abstractNumId w:val="31"/>
  </w:num>
  <w:num w:numId="101" w16cid:durableId="332955320">
    <w:abstractNumId w:val="13"/>
  </w:num>
  <w:num w:numId="102" w16cid:durableId="2022656244">
    <w:abstractNumId w:val="56"/>
  </w:num>
  <w:num w:numId="103" w16cid:durableId="388575627">
    <w:abstractNumId w:val="6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37208816">
    <w:abstractNumId w:val="1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709"/>
  <w:doNotShadeFormData/>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wDoc" w:val="Created"/>
    <w:docVar w:name="VerNumber" w:val="3.9.0"/>
  </w:docVars>
  <w:rsids>
    <w:rsidRoot w:val="00044FE7"/>
    <w:rsid w:val="00000165"/>
    <w:rsid w:val="0000028B"/>
    <w:rsid w:val="00000298"/>
    <w:rsid w:val="00000429"/>
    <w:rsid w:val="00000766"/>
    <w:rsid w:val="000007B4"/>
    <w:rsid w:val="000007E8"/>
    <w:rsid w:val="0000087E"/>
    <w:rsid w:val="00000A28"/>
    <w:rsid w:val="00000A84"/>
    <w:rsid w:val="00000A95"/>
    <w:rsid w:val="00000BD4"/>
    <w:rsid w:val="00000C6C"/>
    <w:rsid w:val="00000CAB"/>
    <w:rsid w:val="00000EEB"/>
    <w:rsid w:val="00001065"/>
    <w:rsid w:val="00001373"/>
    <w:rsid w:val="000013AF"/>
    <w:rsid w:val="000014F6"/>
    <w:rsid w:val="0000152A"/>
    <w:rsid w:val="0000157A"/>
    <w:rsid w:val="00001821"/>
    <w:rsid w:val="000019B2"/>
    <w:rsid w:val="000019D5"/>
    <w:rsid w:val="00001A6A"/>
    <w:rsid w:val="00001ABF"/>
    <w:rsid w:val="00001ACF"/>
    <w:rsid w:val="00001C53"/>
    <w:rsid w:val="00001CF6"/>
    <w:rsid w:val="00001D83"/>
    <w:rsid w:val="00001E4C"/>
    <w:rsid w:val="00001E4F"/>
    <w:rsid w:val="00001E72"/>
    <w:rsid w:val="00001ECC"/>
    <w:rsid w:val="0000218B"/>
    <w:rsid w:val="00002283"/>
    <w:rsid w:val="0000249A"/>
    <w:rsid w:val="00002734"/>
    <w:rsid w:val="000027D3"/>
    <w:rsid w:val="00002B0A"/>
    <w:rsid w:val="00002C3A"/>
    <w:rsid w:val="00002C4A"/>
    <w:rsid w:val="00002D2B"/>
    <w:rsid w:val="00002E24"/>
    <w:rsid w:val="000030A4"/>
    <w:rsid w:val="00003183"/>
    <w:rsid w:val="000032F1"/>
    <w:rsid w:val="000034FA"/>
    <w:rsid w:val="0000350E"/>
    <w:rsid w:val="0000354A"/>
    <w:rsid w:val="0000357A"/>
    <w:rsid w:val="0000360A"/>
    <w:rsid w:val="00003644"/>
    <w:rsid w:val="000037FA"/>
    <w:rsid w:val="00003818"/>
    <w:rsid w:val="0000383F"/>
    <w:rsid w:val="0000387E"/>
    <w:rsid w:val="00003A70"/>
    <w:rsid w:val="00003B94"/>
    <w:rsid w:val="00003E56"/>
    <w:rsid w:val="00003F54"/>
    <w:rsid w:val="00004043"/>
    <w:rsid w:val="000043B8"/>
    <w:rsid w:val="000043BB"/>
    <w:rsid w:val="000044CF"/>
    <w:rsid w:val="00004680"/>
    <w:rsid w:val="000046F0"/>
    <w:rsid w:val="00004836"/>
    <w:rsid w:val="0000488F"/>
    <w:rsid w:val="00004C69"/>
    <w:rsid w:val="00004DBE"/>
    <w:rsid w:val="00004FD6"/>
    <w:rsid w:val="0000505F"/>
    <w:rsid w:val="00005080"/>
    <w:rsid w:val="000050BA"/>
    <w:rsid w:val="000051CD"/>
    <w:rsid w:val="000052AC"/>
    <w:rsid w:val="000053F2"/>
    <w:rsid w:val="000054F8"/>
    <w:rsid w:val="0000557F"/>
    <w:rsid w:val="00005612"/>
    <w:rsid w:val="000056CD"/>
    <w:rsid w:val="00005705"/>
    <w:rsid w:val="0000573B"/>
    <w:rsid w:val="000059E6"/>
    <w:rsid w:val="00005AD3"/>
    <w:rsid w:val="00005BA7"/>
    <w:rsid w:val="00005D88"/>
    <w:rsid w:val="00005F5E"/>
    <w:rsid w:val="00005FB9"/>
    <w:rsid w:val="0000605A"/>
    <w:rsid w:val="0000608B"/>
    <w:rsid w:val="000061D5"/>
    <w:rsid w:val="0000648A"/>
    <w:rsid w:val="0000657F"/>
    <w:rsid w:val="000065D4"/>
    <w:rsid w:val="00006659"/>
    <w:rsid w:val="000066C9"/>
    <w:rsid w:val="000066ED"/>
    <w:rsid w:val="000067F7"/>
    <w:rsid w:val="00006978"/>
    <w:rsid w:val="00006A76"/>
    <w:rsid w:val="00006C4E"/>
    <w:rsid w:val="00006F0A"/>
    <w:rsid w:val="00007027"/>
    <w:rsid w:val="00007038"/>
    <w:rsid w:val="000071A5"/>
    <w:rsid w:val="0000741D"/>
    <w:rsid w:val="00007607"/>
    <w:rsid w:val="000077C3"/>
    <w:rsid w:val="00007945"/>
    <w:rsid w:val="000079C0"/>
    <w:rsid w:val="00007B35"/>
    <w:rsid w:val="00007C06"/>
    <w:rsid w:val="00007C37"/>
    <w:rsid w:val="00007FFA"/>
    <w:rsid w:val="000100B2"/>
    <w:rsid w:val="000101A8"/>
    <w:rsid w:val="0001026F"/>
    <w:rsid w:val="000104A8"/>
    <w:rsid w:val="000104EA"/>
    <w:rsid w:val="000105E4"/>
    <w:rsid w:val="00010795"/>
    <w:rsid w:val="0001086A"/>
    <w:rsid w:val="00010950"/>
    <w:rsid w:val="00010AD3"/>
    <w:rsid w:val="00010B8A"/>
    <w:rsid w:val="00010E3A"/>
    <w:rsid w:val="00010E7B"/>
    <w:rsid w:val="00010EA8"/>
    <w:rsid w:val="00010EB0"/>
    <w:rsid w:val="00010EE1"/>
    <w:rsid w:val="00010F59"/>
    <w:rsid w:val="000110A5"/>
    <w:rsid w:val="000112B0"/>
    <w:rsid w:val="00011320"/>
    <w:rsid w:val="000113BD"/>
    <w:rsid w:val="0001158B"/>
    <w:rsid w:val="00011596"/>
    <w:rsid w:val="000116ED"/>
    <w:rsid w:val="00011926"/>
    <w:rsid w:val="00011948"/>
    <w:rsid w:val="00011A0C"/>
    <w:rsid w:val="00011A8B"/>
    <w:rsid w:val="00011CA1"/>
    <w:rsid w:val="00011ED1"/>
    <w:rsid w:val="00011FAC"/>
    <w:rsid w:val="000121B5"/>
    <w:rsid w:val="000121BB"/>
    <w:rsid w:val="00012261"/>
    <w:rsid w:val="000123F1"/>
    <w:rsid w:val="00012458"/>
    <w:rsid w:val="00012497"/>
    <w:rsid w:val="0001286E"/>
    <w:rsid w:val="000128DE"/>
    <w:rsid w:val="00012A0B"/>
    <w:rsid w:val="00012A4A"/>
    <w:rsid w:val="00012B9C"/>
    <w:rsid w:val="00012CDC"/>
    <w:rsid w:val="00012D38"/>
    <w:rsid w:val="00012D8B"/>
    <w:rsid w:val="000130FF"/>
    <w:rsid w:val="0001319D"/>
    <w:rsid w:val="000131C2"/>
    <w:rsid w:val="000132BC"/>
    <w:rsid w:val="0001334D"/>
    <w:rsid w:val="00013474"/>
    <w:rsid w:val="00013575"/>
    <w:rsid w:val="000136B2"/>
    <w:rsid w:val="000136DD"/>
    <w:rsid w:val="00013880"/>
    <w:rsid w:val="00013983"/>
    <w:rsid w:val="000139E1"/>
    <w:rsid w:val="00013BC6"/>
    <w:rsid w:val="00013C60"/>
    <w:rsid w:val="00013DA5"/>
    <w:rsid w:val="00013E0C"/>
    <w:rsid w:val="00013E87"/>
    <w:rsid w:val="00014287"/>
    <w:rsid w:val="000142AA"/>
    <w:rsid w:val="000142BE"/>
    <w:rsid w:val="000142F1"/>
    <w:rsid w:val="0001430F"/>
    <w:rsid w:val="00014442"/>
    <w:rsid w:val="0001446E"/>
    <w:rsid w:val="000144A3"/>
    <w:rsid w:val="000144F0"/>
    <w:rsid w:val="000145AD"/>
    <w:rsid w:val="0001460F"/>
    <w:rsid w:val="00014763"/>
    <w:rsid w:val="00014951"/>
    <w:rsid w:val="00014996"/>
    <w:rsid w:val="00014A1C"/>
    <w:rsid w:val="00014A43"/>
    <w:rsid w:val="00014AE0"/>
    <w:rsid w:val="00014B94"/>
    <w:rsid w:val="00014C14"/>
    <w:rsid w:val="00014C4E"/>
    <w:rsid w:val="00014D48"/>
    <w:rsid w:val="00014D99"/>
    <w:rsid w:val="00014DA2"/>
    <w:rsid w:val="00014E71"/>
    <w:rsid w:val="00014E78"/>
    <w:rsid w:val="00014F20"/>
    <w:rsid w:val="00014F75"/>
    <w:rsid w:val="0001500A"/>
    <w:rsid w:val="0001502E"/>
    <w:rsid w:val="000150FA"/>
    <w:rsid w:val="00015259"/>
    <w:rsid w:val="00015365"/>
    <w:rsid w:val="00015418"/>
    <w:rsid w:val="0001553E"/>
    <w:rsid w:val="000155AF"/>
    <w:rsid w:val="00015806"/>
    <w:rsid w:val="000158EC"/>
    <w:rsid w:val="0001597A"/>
    <w:rsid w:val="00015A4B"/>
    <w:rsid w:val="00015AD6"/>
    <w:rsid w:val="00015C01"/>
    <w:rsid w:val="00015C24"/>
    <w:rsid w:val="00015C45"/>
    <w:rsid w:val="00015C57"/>
    <w:rsid w:val="00015E6E"/>
    <w:rsid w:val="00015F2B"/>
    <w:rsid w:val="00015FBD"/>
    <w:rsid w:val="0001603E"/>
    <w:rsid w:val="000160EB"/>
    <w:rsid w:val="00016116"/>
    <w:rsid w:val="00016170"/>
    <w:rsid w:val="00016387"/>
    <w:rsid w:val="00016446"/>
    <w:rsid w:val="000166B7"/>
    <w:rsid w:val="0001676E"/>
    <w:rsid w:val="000167E1"/>
    <w:rsid w:val="00016851"/>
    <w:rsid w:val="000168DD"/>
    <w:rsid w:val="00016919"/>
    <w:rsid w:val="00016BA0"/>
    <w:rsid w:val="00016CFA"/>
    <w:rsid w:val="00016DC9"/>
    <w:rsid w:val="00016E23"/>
    <w:rsid w:val="00016FAA"/>
    <w:rsid w:val="00016FDE"/>
    <w:rsid w:val="000171F4"/>
    <w:rsid w:val="0001722C"/>
    <w:rsid w:val="000172C5"/>
    <w:rsid w:val="000172CD"/>
    <w:rsid w:val="00017898"/>
    <w:rsid w:val="00017C64"/>
    <w:rsid w:val="00017C8D"/>
    <w:rsid w:val="00017DD4"/>
    <w:rsid w:val="00017F21"/>
    <w:rsid w:val="00017FA9"/>
    <w:rsid w:val="000201B4"/>
    <w:rsid w:val="000202E6"/>
    <w:rsid w:val="000203BB"/>
    <w:rsid w:val="0002051B"/>
    <w:rsid w:val="000205D8"/>
    <w:rsid w:val="00020616"/>
    <w:rsid w:val="0002066C"/>
    <w:rsid w:val="0002067A"/>
    <w:rsid w:val="000207F2"/>
    <w:rsid w:val="0002087D"/>
    <w:rsid w:val="000208C2"/>
    <w:rsid w:val="00020A4F"/>
    <w:rsid w:val="00020A7C"/>
    <w:rsid w:val="00020B8C"/>
    <w:rsid w:val="00020B91"/>
    <w:rsid w:val="00020D1C"/>
    <w:rsid w:val="00020D33"/>
    <w:rsid w:val="0002103A"/>
    <w:rsid w:val="00021041"/>
    <w:rsid w:val="0002118E"/>
    <w:rsid w:val="00021273"/>
    <w:rsid w:val="000212C2"/>
    <w:rsid w:val="00021306"/>
    <w:rsid w:val="0002131E"/>
    <w:rsid w:val="00021379"/>
    <w:rsid w:val="00021501"/>
    <w:rsid w:val="00021676"/>
    <w:rsid w:val="00021923"/>
    <w:rsid w:val="000219C7"/>
    <w:rsid w:val="00021AB3"/>
    <w:rsid w:val="00021CA4"/>
    <w:rsid w:val="00021F30"/>
    <w:rsid w:val="00021FA2"/>
    <w:rsid w:val="00021FD8"/>
    <w:rsid w:val="000221F4"/>
    <w:rsid w:val="000222E4"/>
    <w:rsid w:val="000222F1"/>
    <w:rsid w:val="000223CF"/>
    <w:rsid w:val="000225F6"/>
    <w:rsid w:val="0002282F"/>
    <w:rsid w:val="00022BBE"/>
    <w:rsid w:val="00022BE0"/>
    <w:rsid w:val="00022C78"/>
    <w:rsid w:val="00022EEF"/>
    <w:rsid w:val="00022F52"/>
    <w:rsid w:val="00023080"/>
    <w:rsid w:val="00023240"/>
    <w:rsid w:val="000232E9"/>
    <w:rsid w:val="0002339F"/>
    <w:rsid w:val="0002349F"/>
    <w:rsid w:val="000236DC"/>
    <w:rsid w:val="0002370C"/>
    <w:rsid w:val="000239A7"/>
    <w:rsid w:val="000239AB"/>
    <w:rsid w:val="00023A81"/>
    <w:rsid w:val="00023AAC"/>
    <w:rsid w:val="00023ABB"/>
    <w:rsid w:val="00023B89"/>
    <w:rsid w:val="00023C27"/>
    <w:rsid w:val="00023C67"/>
    <w:rsid w:val="00023D60"/>
    <w:rsid w:val="00023DA5"/>
    <w:rsid w:val="00023E01"/>
    <w:rsid w:val="00023E41"/>
    <w:rsid w:val="00023E62"/>
    <w:rsid w:val="00023F16"/>
    <w:rsid w:val="00023F91"/>
    <w:rsid w:val="00023FAF"/>
    <w:rsid w:val="00024038"/>
    <w:rsid w:val="0002408B"/>
    <w:rsid w:val="00024180"/>
    <w:rsid w:val="0002422D"/>
    <w:rsid w:val="0002431F"/>
    <w:rsid w:val="0002437E"/>
    <w:rsid w:val="00024601"/>
    <w:rsid w:val="00024A30"/>
    <w:rsid w:val="00024A9E"/>
    <w:rsid w:val="00024ADB"/>
    <w:rsid w:val="00024AE0"/>
    <w:rsid w:val="00024B4E"/>
    <w:rsid w:val="00024B68"/>
    <w:rsid w:val="00024D4A"/>
    <w:rsid w:val="00024D9E"/>
    <w:rsid w:val="00024E29"/>
    <w:rsid w:val="00024EA8"/>
    <w:rsid w:val="00024F3A"/>
    <w:rsid w:val="000251A4"/>
    <w:rsid w:val="000251D0"/>
    <w:rsid w:val="000251FD"/>
    <w:rsid w:val="00025251"/>
    <w:rsid w:val="000252DB"/>
    <w:rsid w:val="0002540C"/>
    <w:rsid w:val="00025471"/>
    <w:rsid w:val="00025514"/>
    <w:rsid w:val="0002551F"/>
    <w:rsid w:val="000257DF"/>
    <w:rsid w:val="000257E8"/>
    <w:rsid w:val="000259F9"/>
    <w:rsid w:val="00025A2D"/>
    <w:rsid w:val="00025B8E"/>
    <w:rsid w:val="00025CC4"/>
    <w:rsid w:val="00025DD0"/>
    <w:rsid w:val="00025E1B"/>
    <w:rsid w:val="00025F6E"/>
    <w:rsid w:val="0002609E"/>
    <w:rsid w:val="00026246"/>
    <w:rsid w:val="00026393"/>
    <w:rsid w:val="000263BA"/>
    <w:rsid w:val="00026555"/>
    <w:rsid w:val="0002668A"/>
    <w:rsid w:val="0002668B"/>
    <w:rsid w:val="000268D6"/>
    <w:rsid w:val="0002690E"/>
    <w:rsid w:val="00026AC0"/>
    <w:rsid w:val="00026AD3"/>
    <w:rsid w:val="00026DCD"/>
    <w:rsid w:val="00026EFF"/>
    <w:rsid w:val="0002726D"/>
    <w:rsid w:val="000274C0"/>
    <w:rsid w:val="000276F2"/>
    <w:rsid w:val="00027871"/>
    <w:rsid w:val="00027887"/>
    <w:rsid w:val="00027B5A"/>
    <w:rsid w:val="00027BA6"/>
    <w:rsid w:val="00027BED"/>
    <w:rsid w:val="00027C48"/>
    <w:rsid w:val="00027C54"/>
    <w:rsid w:val="00027C88"/>
    <w:rsid w:val="00027DE9"/>
    <w:rsid w:val="00027E3C"/>
    <w:rsid w:val="00027EBF"/>
    <w:rsid w:val="00027EE5"/>
    <w:rsid w:val="00027FCC"/>
    <w:rsid w:val="0003011B"/>
    <w:rsid w:val="000301A0"/>
    <w:rsid w:val="0003036F"/>
    <w:rsid w:val="000304A9"/>
    <w:rsid w:val="00030758"/>
    <w:rsid w:val="0003080B"/>
    <w:rsid w:val="000308E0"/>
    <w:rsid w:val="000309A1"/>
    <w:rsid w:val="00030ADE"/>
    <w:rsid w:val="00030AEA"/>
    <w:rsid w:val="00030BC6"/>
    <w:rsid w:val="00030CC5"/>
    <w:rsid w:val="00030E1C"/>
    <w:rsid w:val="00030EDD"/>
    <w:rsid w:val="00030F1A"/>
    <w:rsid w:val="00030F75"/>
    <w:rsid w:val="00030F7B"/>
    <w:rsid w:val="00030F96"/>
    <w:rsid w:val="00030FAF"/>
    <w:rsid w:val="00030FDA"/>
    <w:rsid w:val="00031098"/>
    <w:rsid w:val="000310AE"/>
    <w:rsid w:val="000311EA"/>
    <w:rsid w:val="000312E5"/>
    <w:rsid w:val="0003156C"/>
    <w:rsid w:val="000315F0"/>
    <w:rsid w:val="000316B9"/>
    <w:rsid w:val="0003191B"/>
    <w:rsid w:val="00031A20"/>
    <w:rsid w:val="00031AFE"/>
    <w:rsid w:val="00031B44"/>
    <w:rsid w:val="00031BA2"/>
    <w:rsid w:val="00031C28"/>
    <w:rsid w:val="00031C64"/>
    <w:rsid w:val="00031DE6"/>
    <w:rsid w:val="00032118"/>
    <w:rsid w:val="000322FF"/>
    <w:rsid w:val="0003231A"/>
    <w:rsid w:val="0003290A"/>
    <w:rsid w:val="0003298E"/>
    <w:rsid w:val="000329E8"/>
    <w:rsid w:val="00032A53"/>
    <w:rsid w:val="00032CF9"/>
    <w:rsid w:val="00032F40"/>
    <w:rsid w:val="0003314B"/>
    <w:rsid w:val="00033162"/>
    <w:rsid w:val="0003339D"/>
    <w:rsid w:val="00033447"/>
    <w:rsid w:val="000335C0"/>
    <w:rsid w:val="0003367B"/>
    <w:rsid w:val="000336CF"/>
    <w:rsid w:val="00033783"/>
    <w:rsid w:val="00033817"/>
    <w:rsid w:val="0003399A"/>
    <w:rsid w:val="00033A57"/>
    <w:rsid w:val="00033CD0"/>
    <w:rsid w:val="00033E23"/>
    <w:rsid w:val="00034205"/>
    <w:rsid w:val="00034289"/>
    <w:rsid w:val="000344EE"/>
    <w:rsid w:val="000345D3"/>
    <w:rsid w:val="000348B0"/>
    <w:rsid w:val="0003491D"/>
    <w:rsid w:val="00034A46"/>
    <w:rsid w:val="00034AE0"/>
    <w:rsid w:val="00034C6B"/>
    <w:rsid w:val="00034D40"/>
    <w:rsid w:val="00034DB6"/>
    <w:rsid w:val="00034DE1"/>
    <w:rsid w:val="00034DE7"/>
    <w:rsid w:val="00035317"/>
    <w:rsid w:val="0003532D"/>
    <w:rsid w:val="000353C6"/>
    <w:rsid w:val="000354E4"/>
    <w:rsid w:val="00035801"/>
    <w:rsid w:val="000359F2"/>
    <w:rsid w:val="00035A7A"/>
    <w:rsid w:val="00035B05"/>
    <w:rsid w:val="00035D7F"/>
    <w:rsid w:val="00035E15"/>
    <w:rsid w:val="00035E8D"/>
    <w:rsid w:val="00035F2B"/>
    <w:rsid w:val="00036002"/>
    <w:rsid w:val="000360DA"/>
    <w:rsid w:val="0003611A"/>
    <w:rsid w:val="00036210"/>
    <w:rsid w:val="00036453"/>
    <w:rsid w:val="000365AB"/>
    <w:rsid w:val="00036616"/>
    <w:rsid w:val="0003664C"/>
    <w:rsid w:val="00036708"/>
    <w:rsid w:val="00036743"/>
    <w:rsid w:val="000367F8"/>
    <w:rsid w:val="00036930"/>
    <w:rsid w:val="00036A97"/>
    <w:rsid w:val="00036A98"/>
    <w:rsid w:val="00036B2B"/>
    <w:rsid w:val="00036D44"/>
    <w:rsid w:val="00036D6E"/>
    <w:rsid w:val="00036DE9"/>
    <w:rsid w:val="00036E46"/>
    <w:rsid w:val="00036FD1"/>
    <w:rsid w:val="0003711B"/>
    <w:rsid w:val="00037289"/>
    <w:rsid w:val="000377F4"/>
    <w:rsid w:val="0003786D"/>
    <w:rsid w:val="0003787D"/>
    <w:rsid w:val="00037A74"/>
    <w:rsid w:val="00037D3D"/>
    <w:rsid w:val="00037E2B"/>
    <w:rsid w:val="00037F59"/>
    <w:rsid w:val="000400EC"/>
    <w:rsid w:val="0004016B"/>
    <w:rsid w:val="000402F2"/>
    <w:rsid w:val="00040352"/>
    <w:rsid w:val="000403D7"/>
    <w:rsid w:val="00040571"/>
    <w:rsid w:val="000405C2"/>
    <w:rsid w:val="00040606"/>
    <w:rsid w:val="000406C5"/>
    <w:rsid w:val="000407D8"/>
    <w:rsid w:val="000409C9"/>
    <w:rsid w:val="00040DAF"/>
    <w:rsid w:val="00040DCE"/>
    <w:rsid w:val="00040E78"/>
    <w:rsid w:val="00040EC5"/>
    <w:rsid w:val="00040F09"/>
    <w:rsid w:val="00040F66"/>
    <w:rsid w:val="00040F99"/>
    <w:rsid w:val="00040FA2"/>
    <w:rsid w:val="00040FAD"/>
    <w:rsid w:val="0004119A"/>
    <w:rsid w:val="000412BF"/>
    <w:rsid w:val="0004133A"/>
    <w:rsid w:val="0004137E"/>
    <w:rsid w:val="00041394"/>
    <w:rsid w:val="00041395"/>
    <w:rsid w:val="0004141F"/>
    <w:rsid w:val="000415E1"/>
    <w:rsid w:val="000416EB"/>
    <w:rsid w:val="0004176E"/>
    <w:rsid w:val="00041882"/>
    <w:rsid w:val="000418B9"/>
    <w:rsid w:val="000418C9"/>
    <w:rsid w:val="000419E2"/>
    <w:rsid w:val="00041A78"/>
    <w:rsid w:val="00041ACE"/>
    <w:rsid w:val="00041AF4"/>
    <w:rsid w:val="00041B82"/>
    <w:rsid w:val="00041BC6"/>
    <w:rsid w:val="00041C14"/>
    <w:rsid w:val="00041C92"/>
    <w:rsid w:val="00041DBB"/>
    <w:rsid w:val="00041F04"/>
    <w:rsid w:val="00041F8C"/>
    <w:rsid w:val="00041FA3"/>
    <w:rsid w:val="00042125"/>
    <w:rsid w:val="000422DB"/>
    <w:rsid w:val="00042451"/>
    <w:rsid w:val="00042527"/>
    <w:rsid w:val="000425FC"/>
    <w:rsid w:val="0004265A"/>
    <w:rsid w:val="00042A36"/>
    <w:rsid w:val="00042FD9"/>
    <w:rsid w:val="00043006"/>
    <w:rsid w:val="00043086"/>
    <w:rsid w:val="00043170"/>
    <w:rsid w:val="000431F1"/>
    <w:rsid w:val="00043285"/>
    <w:rsid w:val="00043335"/>
    <w:rsid w:val="000434BB"/>
    <w:rsid w:val="0004368C"/>
    <w:rsid w:val="000436AA"/>
    <w:rsid w:val="000437ED"/>
    <w:rsid w:val="00043A28"/>
    <w:rsid w:val="00043C03"/>
    <w:rsid w:val="00043D31"/>
    <w:rsid w:val="00043D7D"/>
    <w:rsid w:val="00043E67"/>
    <w:rsid w:val="00043EE9"/>
    <w:rsid w:val="000440B5"/>
    <w:rsid w:val="00044120"/>
    <w:rsid w:val="0004418A"/>
    <w:rsid w:val="00044219"/>
    <w:rsid w:val="0004429A"/>
    <w:rsid w:val="00044355"/>
    <w:rsid w:val="00044383"/>
    <w:rsid w:val="000446BA"/>
    <w:rsid w:val="000448A3"/>
    <w:rsid w:val="00044A25"/>
    <w:rsid w:val="00044A4E"/>
    <w:rsid w:val="00044CD6"/>
    <w:rsid w:val="00044D07"/>
    <w:rsid w:val="00044DB1"/>
    <w:rsid w:val="00044E45"/>
    <w:rsid w:val="00044F82"/>
    <w:rsid w:val="00044FE7"/>
    <w:rsid w:val="0004500D"/>
    <w:rsid w:val="000453DA"/>
    <w:rsid w:val="00045523"/>
    <w:rsid w:val="000455C4"/>
    <w:rsid w:val="0004562C"/>
    <w:rsid w:val="00045780"/>
    <w:rsid w:val="00045828"/>
    <w:rsid w:val="0004591E"/>
    <w:rsid w:val="00045BAD"/>
    <w:rsid w:val="00045C60"/>
    <w:rsid w:val="00045C68"/>
    <w:rsid w:val="00045C78"/>
    <w:rsid w:val="00045D40"/>
    <w:rsid w:val="00045D42"/>
    <w:rsid w:val="00045FC3"/>
    <w:rsid w:val="00045FF3"/>
    <w:rsid w:val="00046111"/>
    <w:rsid w:val="0004614A"/>
    <w:rsid w:val="000461ED"/>
    <w:rsid w:val="0004627B"/>
    <w:rsid w:val="0004636A"/>
    <w:rsid w:val="00046370"/>
    <w:rsid w:val="000463A4"/>
    <w:rsid w:val="000463E1"/>
    <w:rsid w:val="000465D2"/>
    <w:rsid w:val="00046629"/>
    <w:rsid w:val="0004662F"/>
    <w:rsid w:val="000466E0"/>
    <w:rsid w:val="000467ED"/>
    <w:rsid w:val="000468AC"/>
    <w:rsid w:val="00046B92"/>
    <w:rsid w:val="00046C85"/>
    <w:rsid w:val="00046E83"/>
    <w:rsid w:val="00046EFF"/>
    <w:rsid w:val="000470DA"/>
    <w:rsid w:val="00047225"/>
    <w:rsid w:val="00047250"/>
    <w:rsid w:val="00047322"/>
    <w:rsid w:val="00047343"/>
    <w:rsid w:val="00047482"/>
    <w:rsid w:val="0004748C"/>
    <w:rsid w:val="0004763A"/>
    <w:rsid w:val="000477A3"/>
    <w:rsid w:val="000478BC"/>
    <w:rsid w:val="000479F6"/>
    <w:rsid w:val="00047B9B"/>
    <w:rsid w:val="00047BF6"/>
    <w:rsid w:val="00047D12"/>
    <w:rsid w:val="00047DD4"/>
    <w:rsid w:val="00047FC5"/>
    <w:rsid w:val="0005008D"/>
    <w:rsid w:val="00050114"/>
    <w:rsid w:val="00050222"/>
    <w:rsid w:val="0005035A"/>
    <w:rsid w:val="000504DB"/>
    <w:rsid w:val="0005055F"/>
    <w:rsid w:val="0005060D"/>
    <w:rsid w:val="00050682"/>
    <w:rsid w:val="0005078B"/>
    <w:rsid w:val="000507C9"/>
    <w:rsid w:val="00050984"/>
    <w:rsid w:val="00050A0F"/>
    <w:rsid w:val="00050E18"/>
    <w:rsid w:val="00051008"/>
    <w:rsid w:val="00051244"/>
    <w:rsid w:val="000513C1"/>
    <w:rsid w:val="00051403"/>
    <w:rsid w:val="0005140A"/>
    <w:rsid w:val="000515A8"/>
    <w:rsid w:val="000519C9"/>
    <w:rsid w:val="00051D27"/>
    <w:rsid w:val="00051DA7"/>
    <w:rsid w:val="00051DE2"/>
    <w:rsid w:val="00051ED4"/>
    <w:rsid w:val="000520BF"/>
    <w:rsid w:val="000522F1"/>
    <w:rsid w:val="00052382"/>
    <w:rsid w:val="000523AF"/>
    <w:rsid w:val="000526A1"/>
    <w:rsid w:val="00052A22"/>
    <w:rsid w:val="00052A89"/>
    <w:rsid w:val="00052ABD"/>
    <w:rsid w:val="00052AFC"/>
    <w:rsid w:val="00052B61"/>
    <w:rsid w:val="00052C09"/>
    <w:rsid w:val="00052CA8"/>
    <w:rsid w:val="00052F44"/>
    <w:rsid w:val="00052FEC"/>
    <w:rsid w:val="000534E1"/>
    <w:rsid w:val="000534F9"/>
    <w:rsid w:val="000535A2"/>
    <w:rsid w:val="0005365C"/>
    <w:rsid w:val="0005367F"/>
    <w:rsid w:val="000537A0"/>
    <w:rsid w:val="000537EF"/>
    <w:rsid w:val="00053845"/>
    <w:rsid w:val="00053AE6"/>
    <w:rsid w:val="00053AEA"/>
    <w:rsid w:val="00053BB9"/>
    <w:rsid w:val="00053C27"/>
    <w:rsid w:val="00053EC4"/>
    <w:rsid w:val="0005405C"/>
    <w:rsid w:val="000540F7"/>
    <w:rsid w:val="00054368"/>
    <w:rsid w:val="000543B2"/>
    <w:rsid w:val="000544EF"/>
    <w:rsid w:val="00054507"/>
    <w:rsid w:val="00054524"/>
    <w:rsid w:val="00054609"/>
    <w:rsid w:val="00054615"/>
    <w:rsid w:val="00054711"/>
    <w:rsid w:val="0005475A"/>
    <w:rsid w:val="00054B9C"/>
    <w:rsid w:val="00054BE9"/>
    <w:rsid w:val="00054F8C"/>
    <w:rsid w:val="00054F9C"/>
    <w:rsid w:val="000551FA"/>
    <w:rsid w:val="0005531D"/>
    <w:rsid w:val="00055323"/>
    <w:rsid w:val="0005541D"/>
    <w:rsid w:val="0005543F"/>
    <w:rsid w:val="0005557D"/>
    <w:rsid w:val="00055594"/>
    <w:rsid w:val="000555C2"/>
    <w:rsid w:val="00055865"/>
    <w:rsid w:val="000558A7"/>
    <w:rsid w:val="00055915"/>
    <w:rsid w:val="00055B4D"/>
    <w:rsid w:val="00055BEA"/>
    <w:rsid w:val="00055C5C"/>
    <w:rsid w:val="00055F07"/>
    <w:rsid w:val="00055FEC"/>
    <w:rsid w:val="000560CE"/>
    <w:rsid w:val="00056206"/>
    <w:rsid w:val="00056290"/>
    <w:rsid w:val="00056443"/>
    <w:rsid w:val="00056445"/>
    <w:rsid w:val="00056483"/>
    <w:rsid w:val="00056520"/>
    <w:rsid w:val="0005671C"/>
    <w:rsid w:val="000568BB"/>
    <w:rsid w:val="0005692B"/>
    <w:rsid w:val="00056A33"/>
    <w:rsid w:val="00056B05"/>
    <w:rsid w:val="00056CC6"/>
    <w:rsid w:val="00056EE6"/>
    <w:rsid w:val="00057092"/>
    <w:rsid w:val="000570FE"/>
    <w:rsid w:val="0005758A"/>
    <w:rsid w:val="00057657"/>
    <w:rsid w:val="00057724"/>
    <w:rsid w:val="000578E4"/>
    <w:rsid w:val="000579BD"/>
    <w:rsid w:val="000579D7"/>
    <w:rsid w:val="00057A07"/>
    <w:rsid w:val="00057AD9"/>
    <w:rsid w:val="00057AF1"/>
    <w:rsid w:val="00057B78"/>
    <w:rsid w:val="00057BC2"/>
    <w:rsid w:val="00057BE3"/>
    <w:rsid w:val="00057FA5"/>
    <w:rsid w:val="00060061"/>
    <w:rsid w:val="000600FF"/>
    <w:rsid w:val="00060187"/>
    <w:rsid w:val="000601F7"/>
    <w:rsid w:val="000603D3"/>
    <w:rsid w:val="0006047F"/>
    <w:rsid w:val="00060529"/>
    <w:rsid w:val="0006053F"/>
    <w:rsid w:val="00060622"/>
    <w:rsid w:val="00060788"/>
    <w:rsid w:val="0006092E"/>
    <w:rsid w:val="00060B65"/>
    <w:rsid w:val="00060BDA"/>
    <w:rsid w:val="00060C4F"/>
    <w:rsid w:val="00060C8E"/>
    <w:rsid w:val="00060E3C"/>
    <w:rsid w:val="00060EAC"/>
    <w:rsid w:val="00060F49"/>
    <w:rsid w:val="000611B5"/>
    <w:rsid w:val="000612BE"/>
    <w:rsid w:val="00061380"/>
    <w:rsid w:val="000613FA"/>
    <w:rsid w:val="0006150F"/>
    <w:rsid w:val="00061651"/>
    <w:rsid w:val="00061655"/>
    <w:rsid w:val="00061753"/>
    <w:rsid w:val="0006193B"/>
    <w:rsid w:val="000619C4"/>
    <w:rsid w:val="00061A69"/>
    <w:rsid w:val="00061BB2"/>
    <w:rsid w:val="00061DCE"/>
    <w:rsid w:val="00061E38"/>
    <w:rsid w:val="00061F2D"/>
    <w:rsid w:val="00061FD4"/>
    <w:rsid w:val="0006220C"/>
    <w:rsid w:val="0006226A"/>
    <w:rsid w:val="000622C1"/>
    <w:rsid w:val="00062303"/>
    <w:rsid w:val="00062312"/>
    <w:rsid w:val="00062581"/>
    <w:rsid w:val="00062590"/>
    <w:rsid w:val="0006260C"/>
    <w:rsid w:val="0006267A"/>
    <w:rsid w:val="00062808"/>
    <w:rsid w:val="00062867"/>
    <w:rsid w:val="000628AD"/>
    <w:rsid w:val="000629E3"/>
    <w:rsid w:val="00062A47"/>
    <w:rsid w:val="00062ED7"/>
    <w:rsid w:val="00062F38"/>
    <w:rsid w:val="00062FE1"/>
    <w:rsid w:val="0006307B"/>
    <w:rsid w:val="000631EB"/>
    <w:rsid w:val="0006322D"/>
    <w:rsid w:val="000633B3"/>
    <w:rsid w:val="000633F3"/>
    <w:rsid w:val="00063450"/>
    <w:rsid w:val="0006350E"/>
    <w:rsid w:val="00063728"/>
    <w:rsid w:val="000638AD"/>
    <w:rsid w:val="000639C6"/>
    <w:rsid w:val="00063B0C"/>
    <w:rsid w:val="00063B5A"/>
    <w:rsid w:val="00063B87"/>
    <w:rsid w:val="00063B9E"/>
    <w:rsid w:val="00063E52"/>
    <w:rsid w:val="00063E64"/>
    <w:rsid w:val="000641D1"/>
    <w:rsid w:val="000641E8"/>
    <w:rsid w:val="00064259"/>
    <w:rsid w:val="00064494"/>
    <w:rsid w:val="00064644"/>
    <w:rsid w:val="000646B3"/>
    <w:rsid w:val="00064821"/>
    <w:rsid w:val="000649AE"/>
    <w:rsid w:val="00064A01"/>
    <w:rsid w:val="00064B24"/>
    <w:rsid w:val="00064B78"/>
    <w:rsid w:val="00064BAA"/>
    <w:rsid w:val="00064C26"/>
    <w:rsid w:val="00064C38"/>
    <w:rsid w:val="00064D5D"/>
    <w:rsid w:val="00064DA3"/>
    <w:rsid w:val="00064DDA"/>
    <w:rsid w:val="00064E04"/>
    <w:rsid w:val="00064F59"/>
    <w:rsid w:val="00064FBC"/>
    <w:rsid w:val="000650BD"/>
    <w:rsid w:val="000650EE"/>
    <w:rsid w:val="000651B6"/>
    <w:rsid w:val="00065503"/>
    <w:rsid w:val="00065999"/>
    <w:rsid w:val="00065ACB"/>
    <w:rsid w:val="00065C04"/>
    <w:rsid w:val="00065E84"/>
    <w:rsid w:val="00066000"/>
    <w:rsid w:val="00066078"/>
    <w:rsid w:val="000660B7"/>
    <w:rsid w:val="0006621D"/>
    <w:rsid w:val="00066361"/>
    <w:rsid w:val="000663C8"/>
    <w:rsid w:val="000664A8"/>
    <w:rsid w:val="000664E7"/>
    <w:rsid w:val="000664F2"/>
    <w:rsid w:val="00066758"/>
    <w:rsid w:val="0006675F"/>
    <w:rsid w:val="0006688F"/>
    <w:rsid w:val="000669AC"/>
    <w:rsid w:val="00066B8B"/>
    <w:rsid w:val="00066BC9"/>
    <w:rsid w:val="00066BF3"/>
    <w:rsid w:val="00066DA6"/>
    <w:rsid w:val="00067065"/>
    <w:rsid w:val="000671A2"/>
    <w:rsid w:val="0006733E"/>
    <w:rsid w:val="000673E2"/>
    <w:rsid w:val="00067472"/>
    <w:rsid w:val="000674F0"/>
    <w:rsid w:val="000678D1"/>
    <w:rsid w:val="000678D9"/>
    <w:rsid w:val="00067A37"/>
    <w:rsid w:val="00067A8C"/>
    <w:rsid w:val="00067B20"/>
    <w:rsid w:val="00067D13"/>
    <w:rsid w:val="00067D3A"/>
    <w:rsid w:val="00067D63"/>
    <w:rsid w:val="00070615"/>
    <w:rsid w:val="00070619"/>
    <w:rsid w:val="00070888"/>
    <w:rsid w:val="0007088F"/>
    <w:rsid w:val="000708C9"/>
    <w:rsid w:val="00070BC3"/>
    <w:rsid w:val="00070CA3"/>
    <w:rsid w:val="00070DE3"/>
    <w:rsid w:val="00070EEB"/>
    <w:rsid w:val="00071011"/>
    <w:rsid w:val="00071061"/>
    <w:rsid w:val="0007107E"/>
    <w:rsid w:val="000710F8"/>
    <w:rsid w:val="00071258"/>
    <w:rsid w:val="00071299"/>
    <w:rsid w:val="000712F5"/>
    <w:rsid w:val="00071350"/>
    <w:rsid w:val="00071404"/>
    <w:rsid w:val="0007156A"/>
    <w:rsid w:val="00071989"/>
    <w:rsid w:val="000719CA"/>
    <w:rsid w:val="00071AC8"/>
    <w:rsid w:val="00072027"/>
    <w:rsid w:val="0007208C"/>
    <w:rsid w:val="00072272"/>
    <w:rsid w:val="000722EE"/>
    <w:rsid w:val="00072366"/>
    <w:rsid w:val="0007252E"/>
    <w:rsid w:val="00072560"/>
    <w:rsid w:val="000725CA"/>
    <w:rsid w:val="0007265B"/>
    <w:rsid w:val="000727A6"/>
    <w:rsid w:val="000728CD"/>
    <w:rsid w:val="00072A9F"/>
    <w:rsid w:val="00072B58"/>
    <w:rsid w:val="00072E1E"/>
    <w:rsid w:val="00072F9C"/>
    <w:rsid w:val="0007304D"/>
    <w:rsid w:val="000730DB"/>
    <w:rsid w:val="00073138"/>
    <w:rsid w:val="000732D1"/>
    <w:rsid w:val="0007334C"/>
    <w:rsid w:val="00073398"/>
    <w:rsid w:val="00073557"/>
    <w:rsid w:val="00073559"/>
    <w:rsid w:val="000735BB"/>
    <w:rsid w:val="00073943"/>
    <w:rsid w:val="00073DE6"/>
    <w:rsid w:val="00073EDF"/>
    <w:rsid w:val="00074131"/>
    <w:rsid w:val="00074562"/>
    <w:rsid w:val="00074781"/>
    <w:rsid w:val="0007481B"/>
    <w:rsid w:val="00074989"/>
    <w:rsid w:val="00074B8A"/>
    <w:rsid w:val="00074EB4"/>
    <w:rsid w:val="0007506D"/>
    <w:rsid w:val="0007524C"/>
    <w:rsid w:val="000752CE"/>
    <w:rsid w:val="0007532E"/>
    <w:rsid w:val="000755EB"/>
    <w:rsid w:val="000756BD"/>
    <w:rsid w:val="00075716"/>
    <w:rsid w:val="00075777"/>
    <w:rsid w:val="000757BB"/>
    <w:rsid w:val="0007594E"/>
    <w:rsid w:val="0007598E"/>
    <w:rsid w:val="00075D4B"/>
    <w:rsid w:val="00075FA9"/>
    <w:rsid w:val="00076138"/>
    <w:rsid w:val="00076738"/>
    <w:rsid w:val="000767AC"/>
    <w:rsid w:val="0007682D"/>
    <w:rsid w:val="0007695E"/>
    <w:rsid w:val="000769C4"/>
    <w:rsid w:val="00076A78"/>
    <w:rsid w:val="00076AAF"/>
    <w:rsid w:val="00076C08"/>
    <w:rsid w:val="00076CA1"/>
    <w:rsid w:val="00076EB7"/>
    <w:rsid w:val="00076F47"/>
    <w:rsid w:val="00077206"/>
    <w:rsid w:val="00077291"/>
    <w:rsid w:val="00077295"/>
    <w:rsid w:val="0007733E"/>
    <w:rsid w:val="00077512"/>
    <w:rsid w:val="000776D4"/>
    <w:rsid w:val="000776FF"/>
    <w:rsid w:val="0007787D"/>
    <w:rsid w:val="00077B95"/>
    <w:rsid w:val="00077CE9"/>
    <w:rsid w:val="00077CF2"/>
    <w:rsid w:val="00077E7D"/>
    <w:rsid w:val="00077EF9"/>
    <w:rsid w:val="00077F90"/>
    <w:rsid w:val="0008012F"/>
    <w:rsid w:val="000801B4"/>
    <w:rsid w:val="00080224"/>
    <w:rsid w:val="0008024A"/>
    <w:rsid w:val="0008033F"/>
    <w:rsid w:val="00080432"/>
    <w:rsid w:val="0008044F"/>
    <w:rsid w:val="000805B5"/>
    <w:rsid w:val="000807EB"/>
    <w:rsid w:val="00080B72"/>
    <w:rsid w:val="00080C34"/>
    <w:rsid w:val="00080C57"/>
    <w:rsid w:val="00080CA8"/>
    <w:rsid w:val="00080D9F"/>
    <w:rsid w:val="00080FC3"/>
    <w:rsid w:val="00081016"/>
    <w:rsid w:val="00081143"/>
    <w:rsid w:val="00081232"/>
    <w:rsid w:val="00081378"/>
    <w:rsid w:val="00081445"/>
    <w:rsid w:val="0008159F"/>
    <w:rsid w:val="000815A3"/>
    <w:rsid w:val="000817C6"/>
    <w:rsid w:val="0008194D"/>
    <w:rsid w:val="00081A8E"/>
    <w:rsid w:val="00081C6D"/>
    <w:rsid w:val="00081C76"/>
    <w:rsid w:val="00081DEA"/>
    <w:rsid w:val="00081EAD"/>
    <w:rsid w:val="00081F5D"/>
    <w:rsid w:val="00081F63"/>
    <w:rsid w:val="000821E7"/>
    <w:rsid w:val="000823F6"/>
    <w:rsid w:val="0008260C"/>
    <w:rsid w:val="00082625"/>
    <w:rsid w:val="00082652"/>
    <w:rsid w:val="00082659"/>
    <w:rsid w:val="00082856"/>
    <w:rsid w:val="0008294E"/>
    <w:rsid w:val="00082B2E"/>
    <w:rsid w:val="00082B3D"/>
    <w:rsid w:val="00082BAC"/>
    <w:rsid w:val="00082CAD"/>
    <w:rsid w:val="00082CD9"/>
    <w:rsid w:val="000830B8"/>
    <w:rsid w:val="000835E9"/>
    <w:rsid w:val="00083684"/>
    <w:rsid w:val="000836DE"/>
    <w:rsid w:val="0008390E"/>
    <w:rsid w:val="00083C89"/>
    <w:rsid w:val="00083CD8"/>
    <w:rsid w:val="00084013"/>
    <w:rsid w:val="000840AF"/>
    <w:rsid w:val="00084184"/>
    <w:rsid w:val="00084255"/>
    <w:rsid w:val="000843AE"/>
    <w:rsid w:val="00084424"/>
    <w:rsid w:val="00084460"/>
    <w:rsid w:val="000844BE"/>
    <w:rsid w:val="00084660"/>
    <w:rsid w:val="000846B7"/>
    <w:rsid w:val="000848B5"/>
    <w:rsid w:val="00084B75"/>
    <w:rsid w:val="00084B88"/>
    <w:rsid w:val="00084BD8"/>
    <w:rsid w:val="00084C33"/>
    <w:rsid w:val="00084C9A"/>
    <w:rsid w:val="00084DB0"/>
    <w:rsid w:val="00084DDA"/>
    <w:rsid w:val="00084FED"/>
    <w:rsid w:val="000850D6"/>
    <w:rsid w:val="000850FA"/>
    <w:rsid w:val="00085194"/>
    <w:rsid w:val="000851E3"/>
    <w:rsid w:val="000852F4"/>
    <w:rsid w:val="00085392"/>
    <w:rsid w:val="00085574"/>
    <w:rsid w:val="0008573E"/>
    <w:rsid w:val="000857DA"/>
    <w:rsid w:val="0008589C"/>
    <w:rsid w:val="0008591C"/>
    <w:rsid w:val="00085C56"/>
    <w:rsid w:val="000860CC"/>
    <w:rsid w:val="000860EF"/>
    <w:rsid w:val="00086128"/>
    <w:rsid w:val="00086215"/>
    <w:rsid w:val="00086274"/>
    <w:rsid w:val="000863CA"/>
    <w:rsid w:val="000864D9"/>
    <w:rsid w:val="00086627"/>
    <w:rsid w:val="00086750"/>
    <w:rsid w:val="00086990"/>
    <w:rsid w:val="00086A3B"/>
    <w:rsid w:val="00086A66"/>
    <w:rsid w:val="00086B50"/>
    <w:rsid w:val="00086BF5"/>
    <w:rsid w:val="00086C42"/>
    <w:rsid w:val="00086D11"/>
    <w:rsid w:val="00086D15"/>
    <w:rsid w:val="000872A1"/>
    <w:rsid w:val="0008731F"/>
    <w:rsid w:val="0008734E"/>
    <w:rsid w:val="0008735C"/>
    <w:rsid w:val="00087441"/>
    <w:rsid w:val="0008764F"/>
    <w:rsid w:val="00087773"/>
    <w:rsid w:val="00087900"/>
    <w:rsid w:val="00087906"/>
    <w:rsid w:val="00087AD5"/>
    <w:rsid w:val="00087C03"/>
    <w:rsid w:val="00087C0B"/>
    <w:rsid w:val="00087C40"/>
    <w:rsid w:val="00087C80"/>
    <w:rsid w:val="00087DF2"/>
    <w:rsid w:val="00087E25"/>
    <w:rsid w:val="00087F80"/>
    <w:rsid w:val="0009000F"/>
    <w:rsid w:val="0009022C"/>
    <w:rsid w:val="00090250"/>
    <w:rsid w:val="000904E3"/>
    <w:rsid w:val="00090553"/>
    <w:rsid w:val="0009080D"/>
    <w:rsid w:val="0009097C"/>
    <w:rsid w:val="000909A3"/>
    <w:rsid w:val="00090B5C"/>
    <w:rsid w:val="00090B76"/>
    <w:rsid w:val="00090BF4"/>
    <w:rsid w:val="00090D66"/>
    <w:rsid w:val="00090E6E"/>
    <w:rsid w:val="00090E78"/>
    <w:rsid w:val="00090F77"/>
    <w:rsid w:val="00090FA5"/>
    <w:rsid w:val="000910DE"/>
    <w:rsid w:val="000911B3"/>
    <w:rsid w:val="000912B1"/>
    <w:rsid w:val="000914E3"/>
    <w:rsid w:val="00091613"/>
    <w:rsid w:val="00091668"/>
    <w:rsid w:val="00091776"/>
    <w:rsid w:val="00091834"/>
    <w:rsid w:val="0009196F"/>
    <w:rsid w:val="00091AE2"/>
    <w:rsid w:val="00091AE4"/>
    <w:rsid w:val="00091CB1"/>
    <w:rsid w:val="00091D76"/>
    <w:rsid w:val="00092085"/>
    <w:rsid w:val="0009212B"/>
    <w:rsid w:val="000921F6"/>
    <w:rsid w:val="00092209"/>
    <w:rsid w:val="000925EC"/>
    <w:rsid w:val="0009264A"/>
    <w:rsid w:val="000927D7"/>
    <w:rsid w:val="0009283E"/>
    <w:rsid w:val="0009284D"/>
    <w:rsid w:val="0009291D"/>
    <w:rsid w:val="00092944"/>
    <w:rsid w:val="00092B50"/>
    <w:rsid w:val="00092C19"/>
    <w:rsid w:val="00092C85"/>
    <w:rsid w:val="00092E6E"/>
    <w:rsid w:val="0009324A"/>
    <w:rsid w:val="0009336F"/>
    <w:rsid w:val="00093450"/>
    <w:rsid w:val="00093598"/>
    <w:rsid w:val="000935D0"/>
    <w:rsid w:val="000936F0"/>
    <w:rsid w:val="000936F4"/>
    <w:rsid w:val="00093795"/>
    <w:rsid w:val="000937F2"/>
    <w:rsid w:val="0009381E"/>
    <w:rsid w:val="0009381F"/>
    <w:rsid w:val="00093CD9"/>
    <w:rsid w:val="00093F15"/>
    <w:rsid w:val="00094026"/>
    <w:rsid w:val="000940AB"/>
    <w:rsid w:val="000941FE"/>
    <w:rsid w:val="0009420A"/>
    <w:rsid w:val="0009446F"/>
    <w:rsid w:val="000945F7"/>
    <w:rsid w:val="0009467D"/>
    <w:rsid w:val="00094680"/>
    <w:rsid w:val="0009476A"/>
    <w:rsid w:val="00094925"/>
    <w:rsid w:val="000949DA"/>
    <w:rsid w:val="00094AE5"/>
    <w:rsid w:val="00094B5B"/>
    <w:rsid w:val="00094EFE"/>
    <w:rsid w:val="00094F18"/>
    <w:rsid w:val="00094F3F"/>
    <w:rsid w:val="0009503E"/>
    <w:rsid w:val="0009508D"/>
    <w:rsid w:val="000950BD"/>
    <w:rsid w:val="000951D7"/>
    <w:rsid w:val="000953CA"/>
    <w:rsid w:val="00095545"/>
    <w:rsid w:val="000956C0"/>
    <w:rsid w:val="000956FD"/>
    <w:rsid w:val="00095795"/>
    <w:rsid w:val="000958A0"/>
    <w:rsid w:val="000958E2"/>
    <w:rsid w:val="00095AF4"/>
    <w:rsid w:val="00095B7E"/>
    <w:rsid w:val="00095C96"/>
    <w:rsid w:val="00095D76"/>
    <w:rsid w:val="00095DA1"/>
    <w:rsid w:val="00095EFE"/>
    <w:rsid w:val="000961E3"/>
    <w:rsid w:val="0009626C"/>
    <w:rsid w:val="000962ED"/>
    <w:rsid w:val="00096894"/>
    <w:rsid w:val="000968F4"/>
    <w:rsid w:val="000969AB"/>
    <w:rsid w:val="00096B7C"/>
    <w:rsid w:val="00096C52"/>
    <w:rsid w:val="00096E65"/>
    <w:rsid w:val="00097021"/>
    <w:rsid w:val="000971B6"/>
    <w:rsid w:val="00097225"/>
    <w:rsid w:val="000972C9"/>
    <w:rsid w:val="0009748A"/>
    <w:rsid w:val="00097634"/>
    <w:rsid w:val="00097770"/>
    <w:rsid w:val="0009784B"/>
    <w:rsid w:val="00097931"/>
    <w:rsid w:val="00097949"/>
    <w:rsid w:val="000979A3"/>
    <w:rsid w:val="000979AB"/>
    <w:rsid w:val="000979F7"/>
    <w:rsid w:val="00097A00"/>
    <w:rsid w:val="00097B35"/>
    <w:rsid w:val="00097BE6"/>
    <w:rsid w:val="00097CBB"/>
    <w:rsid w:val="00097CE3"/>
    <w:rsid w:val="00097EA2"/>
    <w:rsid w:val="00097EBA"/>
    <w:rsid w:val="000A020A"/>
    <w:rsid w:val="000A024B"/>
    <w:rsid w:val="000A046E"/>
    <w:rsid w:val="000A075A"/>
    <w:rsid w:val="000A07DB"/>
    <w:rsid w:val="000A0A56"/>
    <w:rsid w:val="000A0A58"/>
    <w:rsid w:val="000A0C57"/>
    <w:rsid w:val="000A0C85"/>
    <w:rsid w:val="000A0D68"/>
    <w:rsid w:val="000A0E8E"/>
    <w:rsid w:val="000A0F83"/>
    <w:rsid w:val="000A1031"/>
    <w:rsid w:val="000A1131"/>
    <w:rsid w:val="000A1248"/>
    <w:rsid w:val="000A12F1"/>
    <w:rsid w:val="000A1336"/>
    <w:rsid w:val="000A163C"/>
    <w:rsid w:val="000A1735"/>
    <w:rsid w:val="000A1B8D"/>
    <w:rsid w:val="000A1CC7"/>
    <w:rsid w:val="000A1D83"/>
    <w:rsid w:val="000A1DC9"/>
    <w:rsid w:val="000A204B"/>
    <w:rsid w:val="000A2114"/>
    <w:rsid w:val="000A21BC"/>
    <w:rsid w:val="000A232A"/>
    <w:rsid w:val="000A232F"/>
    <w:rsid w:val="000A23F5"/>
    <w:rsid w:val="000A281D"/>
    <w:rsid w:val="000A29D6"/>
    <w:rsid w:val="000A2B4C"/>
    <w:rsid w:val="000A2BDB"/>
    <w:rsid w:val="000A2C4D"/>
    <w:rsid w:val="000A2E89"/>
    <w:rsid w:val="000A2FF5"/>
    <w:rsid w:val="000A308D"/>
    <w:rsid w:val="000A31D2"/>
    <w:rsid w:val="000A3233"/>
    <w:rsid w:val="000A32E3"/>
    <w:rsid w:val="000A32EF"/>
    <w:rsid w:val="000A3538"/>
    <w:rsid w:val="000A3571"/>
    <w:rsid w:val="000A36EE"/>
    <w:rsid w:val="000A398D"/>
    <w:rsid w:val="000A3AE6"/>
    <w:rsid w:val="000A3D1F"/>
    <w:rsid w:val="000A3F54"/>
    <w:rsid w:val="000A3FE9"/>
    <w:rsid w:val="000A4075"/>
    <w:rsid w:val="000A41D8"/>
    <w:rsid w:val="000A42AD"/>
    <w:rsid w:val="000A4482"/>
    <w:rsid w:val="000A44CD"/>
    <w:rsid w:val="000A451A"/>
    <w:rsid w:val="000A451B"/>
    <w:rsid w:val="000A4556"/>
    <w:rsid w:val="000A464D"/>
    <w:rsid w:val="000A4B5B"/>
    <w:rsid w:val="000A4C83"/>
    <w:rsid w:val="000A4EA3"/>
    <w:rsid w:val="000A4F1D"/>
    <w:rsid w:val="000A4FC2"/>
    <w:rsid w:val="000A5112"/>
    <w:rsid w:val="000A51C0"/>
    <w:rsid w:val="000A5465"/>
    <w:rsid w:val="000A5575"/>
    <w:rsid w:val="000A560F"/>
    <w:rsid w:val="000A5643"/>
    <w:rsid w:val="000A56CB"/>
    <w:rsid w:val="000A576B"/>
    <w:rsid w:val="000A5789"/>
    <w:rsid w:val="000A5814"/>
    <w:rsid w:val="000A58DA"/>
    <w:rsid w:val="000A58E5"/>
    <w:rsid w:val="000A5908"/>
    <w:rsid w:val="000A5A00"/>
    <w:rsid w:val="000A5C5D"/>
    <w:rsid w:val="000A5D9F"/>
    <w:rsid w:val="000A5F22"/>
    <w:rsid w:val="000A61B9"/>
    <w:rsid w:val="000A62E3"/>
    <w:rsid w:val="000A6593"/>
    <w:rsid w:val="000A6617"/>
    <w:rsid w:val="000A6759"/>
    <w:rsid w:val="000A68A2"/>
    <w:rsid w:val="000A6AE5"/>
    <w:rsid w:val="000A6B2A"/>
    <w:rsid w:val="000A6BFD"/>
    <w:rsid w:val="000A6C67"/>
    <w:rsid w:val="000A6D97"/>
    <w:rsid w:val="000A6DBD"/>
    <w:rsid w:val="000A6DE9"/>
    <w:rsid w:val="000A6E4B"/>
    <w:rsid w:val="000A6ED3"/>
    <w:rsid w:val="000A6F08"/>
    <w:rsid w:val="000A70B5"/>
    <w:rsid w:val="000A70C2"/>
    <w:rsid w:val="000A719B"/>
    <w:rsid w:val="000A7218"/>
    <w:rsid w:val="000A74AE"/>
    <w:rsid w:val="000A79FC"/>
    <w:rsid w:val="000A79FF"/>
    <w:rsid w:val="000A7ACB"/>
    <w:rsid w:val="000A7B41"/>
    <w:rsid w:val="000A7C09"/>
    <w:rsid w:val="000A7C71"/>
    <w:rsid w:val="000A7DAC"/>
    <w:rsid w:val="000A7FC8"/>
    <w:rsid w:val="000B01F7"/>
    <w:rsid w:val="000B020C"/>
    <w:rsid w:val="000B042C"/>
    <w:rsid w:val="000B05E9"/>
    <w:rsid w:val="000B061F"/>
    <w:rsid w:val="000B07A1"/>
    <w:rsid w:val="000B0B1E"/>
    <w:rsid w:val="000B0C42"/>
    <w:rsid w:val="000B0C81"/>
    <w:rsid w:val="000B0F63"/>
    <w:rsid w:val="000B0FC4"/>
    <w:rsid w:val="000B1075"/>
    <w:rsid w:val="000B1108"/>
    <w:rsid w:val="000B1176"/>
    <w:rsid w:val="000B146C"/>
    <w:rsid w:val="000B1776"/>
    <w:rsid w:val="000B187B"/>
    <w:rsid w:val="000B195E"/>
    <w:rsid w:val="000B1A2E"/>
    <w:rsid w:val="000B1B7A"/>
    <w:rsid w:val="000B1BBC"/>
    <w:rsid w:val="000B1C76"/>
    <w:rsid w:val="000B1C90"/>
    <w:rsid w:val="000B1E91"/>
    <w:rsid w:val="000B1F68"/>
    <w:rsid w:val="000B2019"/>
    <w:rsid w:val="000B22C6"/>
    <w:rsid w:val="000B234D"/>
    <w:rsid w:val="000B2383"/>
    <w:rsid w:val="000B23EE"/>
    <w:rsid w:val="000B2424"/>
    <w:rsid w:val="000B2429"/>
    <w:rsid w:val="000B24C5"/>
    <w:rsid w:val="000B24FB"/>
    <w:rsid w:val="000B2669"/>
    <w:rsid w:val="000B2792"/>
    <w:rsid w:val="000B286D"/>
    <w:rsid w:val="000B291E"/>
    <w:rsid w:val="000B2B26"/>
    <w:rsid w:val="000B2E3B"/>
    <w:rsid w:val="000B2EA9"/>
    <w:rsid w:val="000B2F4A"/>
    <w:rsid w:val="000B3000"/>
    <w:rsid w:val="000B30E5"/>
    <w:rsid w:val="000B3101"/>
    <w:rsid w:val="000B3285"/>
    <w:rsid w:val="000B331B"/>
    <w:rsid w:val="000B332A"/>
    <w:rsid w:val="000B34E4"/>
    <w:rsid w:val="000B37F9"/>
    <w:rsid w:val="000B3B42"/>
    <w:rsid w:val="000B3D2A"/>
    <w:rsid w:val="000B3DCD"/>
    <w:rsid w:val="000B3E27"/>
    <w:rsid w:val="000B3E49"/>
    <w:rsid w:val="000B417A"/>
    <w:rsid w:val="000B41EE"/>
    <w:rsid w:val="000B4300"/>
    <w:rsid w:val="000B43B9"/>
    <w:rsid w:val="000B46B0"/>
    <w:rsid w:val="000B46BD"/>
    <w:rsid w:val="000B46D8"/>
    <w:rsid w:val="000B4891"/>
    <w:rsid w:val="000B48DC"/>
    <w:rsid w:val="000B491A"/>
    <w:rsid w:val="000B4AD3"/>
    <w:rsid w:val="000B4BEA"/>
    <w:rsid w:val="000B4DB9"/>
    <w:rsid w:val="000B4FEF"/>
    <w:rsid w:val="000B4FF2"/>
    <w:rsid w:val="000B50AD"/>
    <w:rsid w:val="000B51AA"/>
    <w:rsid w:val="000B5535"/>
    <w:rsid w:val="000B5639"/>
    <w:rsid w:val="000B5A11"/>
    <w:rsid w:val="000B5ED9"/>
    <w:rsid w:val="000B603E"/>
    <w:rsid w:val="000B6294"/>
    <w:rsid w:val="000B62C0"/>
    <w:rsid w:val="000B6370"/>
    <w:rsid w:val="000B637E"/>
    <w:rsid w:val="000B6389"/>
    <w:rsid w:val="000B63DE"/>
    <w:rsid w:val="000B6434"/>
    <w:rsid w:val="000B64B8"/>
    <w:rsid w:val="000B65C6"/>
    <w:rsid w:val="000B6685"/>
    <w:rsid w:val="000B6695"/>
    <w:rsid w:val="000B66B8"/>
    <w:rsid w:val="000B6A00"/>
    <w:rsid w:val="000B6A70"/>
    <w:rsid w:val="000B6AE0"/>
    <w:rsid w:val="000B6BBE"/>
    <w:rsid w:val="000B6BCB"/>
    <w:rsid w:val="000B6C34"/>
    <w:rsid w:val="000B6D4B"/>
    <w:rsid w:val="000B706B"/>
    <w:rsid w:val="000B71B0"/>
    <w:rsid w:val="000B7322"/>
    <w:rsid w:val="000B73F3"/>
    <w:rsid w:val="000B7590"/>
    <w:rsid w:val="000B7791"/>
    <w:rsid w:val="000B7861"/>
    <w:rsid w:val="000B7946"/>
    <w:rsid w:val="000B7A92"/>
    <w:rsid w:val="000B7CBA"/>
    <w:rsid w:val="000B7D28"/>
    <w:rsid w:val="000B7EBB"/>
    <w:rsid w:val="000C00A7"/>
    <w:rsid w:val="000C00B7"/>
    <w:rsid w:val="000C02AE"/>
    <w:rsid w:val="000C031E"/>
    <w:rsid w:val="000C0450"/>
    <w:rsid w:val="000C05E5"/>
    <w:rsid w:val="000C07FB"/>
    <w:rsid w:val="000C0888"/>
    <w:rsid w:val="000C0936"/>
    <w:rsid w:val="000C09D4"/>
    <w:rsid w:val="000C09F1"/>
    <w:rsid w:val="000C0C16"/>
    <w:rsid w:val="000C0C84"/>
    <w:rsid w:val="000C0CB5"/>
    <w:rsid w:val="000C0F0B"/>
    <w:rsid w:val="000C1063"/>
    <w:rsid w:val="000C11BB"/>
    <w:rsid w:val="000C128C"/>
    <w:rsid w:val="000C14D6"/>
    <w:rsid w:val="000C1511"/>
    <w:rsid w:val="000C165A"/>
    <w:rsid w:val="000C1808"/>
    <w:rsid w:val="000C192E"/>
    <w:rsid w:val="000C1948"/>
    <w:rsid w:val="000C19F5"/>
    <w:rsid w:val="000C1A61"/>
    <w:rsid w:val="000C1A7C"/>
    <w:rsid w:val="000C1C95"/>
    <w:rsid w:val="000C1D45"/>
    <w:rsid w:val="000C1D9E"/>
    <w:rsid w:val="000C212A"/>
    <w:rsid w:val="000C2451"/>
    <w:rsid w:val="000C272A"/>
    <w:rsid w:val="000C2824"/>
    <w:rsid w:val="000C2827"/>
    <w:rsid w:val="000C2A2A"/>
    <w:rsid w:val="000C2B0D"/>
    <w:rsid w:val="000C2F4B"/>
    <w:rsid w:val="000C2FF9"/>
    <w:rsid w:val="000C3064"/>
    <w:rsid w:val="000C30A2"/>
    <w:rsid w:val="000C30D8"/>
    <w:rsid w:val="000C3128"/>
    <w:rsid w:val="000C3211"/>
    <w:rsid w:val="000C3449"/>
    <w:rsid w:val="000C3526"/>
    <w:rsid w:val="000C3622"/>
    <w:rsid w:val="000C379F"/>
    <w:rsid w:val="000C3901"/>
    <w:rsid w:val="000C3BB9"/>
    <w:rsid w:val="000C3C23"/>
    <w:rsid w:val="000C3F06"/>
    <w:rsid w:val="000C3F91"/>
    <w:rsid w:val="000C411D"/>
    <w:rsid w:val="000C423A"/>
    <w:rsid w:val="000C42A7"/>
    <w:rsid w:val="000C4315"/>
    <w:rsid w:val="000C4589"/>
    <w:rsid w:val="000C45E1"/>
    <w:rsid w:val="000C46C3"/>
    <w:rsid w:val="000C4766"/>
    <w:rsid w:val="000C4898"/>
    <w:rsid w:val="000C4912"/>
    <w:rsid w:val="000C49F7"/>
    <w:rsid w:val="000C4A21"/>
    <w:rsid w:val="000C4A4D"/>
    <w:rsid w:val="000C4ACE"/>
    <w:rsid w:val="000C4BE4"/>
    <w:rsid w:val="000C4CB0"/>
    <w:rsid w:val="000C4CE7"/>
    <w:rsid w:val="000C4F60"/>
    <w:rsid w:val="000C4FC3"/>
    <w:rsid w:val="000C4FFB"/>
    <w:rsid w:val="000C5353"/>
    <w:rsid w:val="000C53E3"/>
    <w:rsid w:val="000C5452"/>
    <w:rsid w:val="000C5482"/>
    <w:rsid w:val="000C5484"/>
    <w:rsid w:val="000C54E7"/>
    <w:rsid w:val="000C55C6"/>
    <w:rsid w:val="000C56A3"/>
    <w:rsid w:val="000C56AA"/>
    <w:rsid w:val="000C57D0"/>
    <w:rsid w:val="000C57D5"/>
    <w:rsid w:val="000C588A"/>
    <w:rsid w:val="000C58F4"/>
    <w:rsid w:val="000C5ACE"/>
    <w:rsid w:val="000C5EC5"/>
    <w:rsid w:val="000C5EDC"/>
    <w:rsid w:val="000C610E"/>
    <w:rsid w:val="000C615B"/>
    <w:rsid w:val="000C61AD"/>
    <w:rsid w:val="000C6213"/>
    <w:rsid w:val="000C62D8"/>
    <w:rsid w:val="000C6340"/>
    <w:rsid w:val="000C6431"/>
    <w:rsid w:val="000C6572"/>
    <w:rsid w:val="000C6A87"/>
    <w:rsid w:val="000C6AD5"/>
    <w:rsid w:val="000C6B1B"/>
    <w:rsid w:val="000C6CF0"/>
    <w:rsid w:val="000C6E1A"/>
    <w:rsid w:val="000C6F50"/>
    <w:rsid w:val="000C6F68"/>
    <w:rsid w:val="000C6FFB"/>
    <w:rsid w:val="000C769B"/>
    <w:rsid w:val="000C7722"/>
    <w:rsid w:val="000C78BF"/>
    <w:rsid w:val="000C7BCE"/>
    <w:rsid w:val="000C7C1C"/>
    <w:rsid w:val="000C7CA8"/>
    <w:rsid w:val="000C7CF6"/>
    <w:rsid w:val="000C7E5F"/>
    <w:rsid w:val="000D0050"/>
    <w:rsid w:val="000D007C"/>
    <w:rsid w:val="000D029A"/>
    <w:rsid w:val="000D02BF"/>
    <w:rsid w:val="000D05D8"/>
    <w:rsid w:val="000D0652"/>
    <w:rsid w:val="000D0755"/>
    <w:rsid w:val="000D07D8"/>
    <w:rsid w:val="000D0837"/>
    <w:rsid w:val="000D0890"/>
    <w:rsid w:val="000D0A33"/>
    <w:rsid w:val="000D0B55"/>
    <w:rsid w:val="000D0C46"/>
    <w:rsid w:val="000D0CB9"/>
    <w:rsid w:val="000D0CC1"/>
    <w:rsid w:val="000D0E59"/>
    <w:rsid w:val="000D1184"/>
    <w:rsid w:val="000D1279"/>
    <w:rsid w:val="000D13D4"/>
    <w:rsid w:val="000D14FB"/>
    <w:rsid w:val="000D161C"/>
    <w:rsid w:val="000D1C19"/>
    <w:rsid w:val="000D1C53"/>
    <w:rsid w:val="000D1CB0"/>
    <w:rsid w:val="000D1E16"/>
    <w:rsid w:val="000D1E52"/>
    <w:rsid w:val="000D203C"/>
    <w:rsid w:val="000D20E6"/>
    <w:rsid w:val="000D212D"/>
    <w:rsid w:val="000D2348"/>
    <w:rsid w:val="000D2389"/>
    <w:rsid w:val="000D240D"/>
    <w:rsid w:val="000D262F"/>
    <w:rsid w:val="000D2646"/>
    <w:rsid w:val="000D2864"/>
    <w:rsid w:val="000D29A2"/>
    <w:rsid w:val="000D2B65"/>
    <w:rsid w:val="000D2B74"/>
    <w:rsid w:val="000D2E5B"/>
    <w:rsid w:val="000D303A"/>
    <w:rsid w:val="000D3112"/>
    <w:rsid w:val="000D3153"/>
    <w:rsid w:val="000D336B"/>
    <w:rsid w:val="000D35CF"/>
    <w:rsid w:val="000D3687"/>
    <w:rsid w:val="000D373C"/>
    <w:rsid w:val="000D37E7"/>
    <w:rsid w:val="000D3865"/>
    <w:rsid w:val="000D3971"/>
    <w:rsid w:val="000D3A85"/>
    <w:rsid w:val="000D3B2C"/>
    <w:rsid w:val="000D3BBE"/>
    <w:rsid w:val="000D3CAC"/>
    <w:rsid w:val="000D3E20"/>
    <w:rsid w:val="000D3F86"/>
    <w:rsid w:val="000D3FDC"/>
    <w:rsid w:val="000D4058"/>
    <w:rsid w:val="000D4222"/>
    <w:rsid w:val="000D4499"/>
    <w:rsid w:val="000D44B0"/>
    <w:rsid w:val="000D45FD"/>
    <w:rsid w:val="000D46A7"/>
    <w:rsid w:val="000D46D4"/>
    <w:rsid w:val="000D46E1"/>
    <w:rsid w:val="000D4708"/>
    <w:rsid w:val="000D4792"/>
    <w:rsid w:val="000D4810"/>
    <w:rsid w:val="000D48D5"/>
    <w:rsid w:val="000D4D88"/>
    <w:rsid w:val="000D4F94"/>
    <w:rsid w:val="000D5018"/>
    <w:rsid w:val="000D510E"/>
    <w:rsid w:val="000D520E"/>
    <w:rsid w:val="000D52F9"/>
    <w:rsid w:val="000D5419"/>
    <w:rsid w:val="000D5513"/>
    <w:rsid w:val="000D5534"/>
    <w:rsid w:val="000D55B5"/>
    <w:rsid w:val="000D55F8"/>
    <w:rsid w:val="000D5730"/>
    <w:rsid w:val="000D575E"/>
    <w:rsid w:val="000D58BD"/>
    <w:rsid w:val="000D58C5"/>
    <w:rsid w:val="000D58CF"/>
    <w:rsid w:val="000D59BD"/>
    <w:rsid w:val="000D59FD"/>
    <w:rsid w:val="000D5BFF"/>
    <w:rsid w:val="000D5C20"/>
    <w:rsid w:val="000D5CC1"/>
    <w:rsid w:val="000D5DBB"/>
    <w:rsid w:val="000D5DE8"/>
    <w:rsid w:val="000D5E21"/>
    <w:rsid w:val="000D5ED4"/>
    <w:rsid w:val="000D5ED5"/>
    <w:rsid w:val="000D5F60"/>
    <w:rsid w:val="000D6041"/>
    <w:rsid w:val="000D609F"/>
    <w:rsid w:val="000D627F"/>
    <w:rsid w:val="000D62B0"/>
    <w:rsid w:val="000D639E"/>
    <w:rsid w:val="000D650D"/>
    <w:rsid w:val="000D65F1"/>
    <w:rsid w:val="000D6651"/>
    <w:rsid w:val="000D66B9"/>
    <w:rsid w:val="000D67C6"/>
    <w:rsid w:val="000D6816"/>
    <w:rsid w:val="000D68D2"/>
    <w:rsid w:val="000D68FF"/>
    <w:rsid w:val="000D6A0F"/>
    <w:rsid w:val="000D6E1F"/>
    <w:rsid w:val="000D6F6A"/>
    <w:rsid w:val="000D71EA"/>
    <w:rsid w:val="000D7396"/>
    <w:rsid w:val="000D7503"/>
    <w:rsid w:val="000D77CA"/>
    <w:rsid w:val="000D7A10"/>
    <w:rsid w:val="000D7B84"/>
    <w:rsid w:val="000D7BC3"/>
    <w:rsid w:val="000D7DB8"/>
    <w:rsid w:val="000D7F69"/>
    <w:rsid w:val="000D7F6D"/>
    <w:rsid w:val="000D7F7C"/>
    <w:rsid w:val="000D7FF5"/>
    <w:rsid w:val="000E00C3"/>
    <w:rsid w:val="000E01F7"/>
    <w:rsid w:val="000E02BE"/>
    <w:rsid w:val="000E0353"/>
    <w:rsid w:val="000E03E1"/>
    <w:rsid w:val="000E0404"/>
    <w:rsid w:val="000E0527"/>
    <w:rsid w:val="000E0A06"/>
    <w:rsid w:val="000E0A9D"/>
    <w:rsid w:val="000E0D66"/>
    <w:rsid w:val="000E0F1B"/>
    <w:rsid w:val="000E111D"/>
    <w:rsid w:val="000E1182"/>
    <w:rsid w:val="000E12B2"/>
    <w:rsid w:val="000E132F"/>
    <w:rsid w:val="000E1346"/>
    <w:rsid w:val="000E162B"/>
    <w:rsid w:val="000E1658"/>
    <w:rsid w:val="000E19A5"/>
    <w:rsid w:val="000E1B4F"/>
    <w:rsid w:val="000E1BD9"/>
    <w:rsid w:val="000E1DF8"/>
    <w:rsid w:val="000E1E28"/>
    <w:rsid w:val="000E1EC2"/>
    <w:rsid w:val="000E233C"/>
    <w:rsid w:val="000E24A2"/>
    <w:rsid w:val="000E2648"/>
    <w:rsid w:val="000E29E9"/>
    <w:rsid w:val="000E29F7"/>
    <w:rsid w:val="000E2AC2"/>
    <w:rsid w:val="000E2AC7"/>
    <w:rsid w:val="000E2CD4"/>
    <w:rsid w:val="000E2DE2"/>
    <w:rsid w:val="000E2F34"/>
    <w:rsid w:val="000E2F8C"/>
    <w:rsid w:val="000E3308"/>
    <w:rsid w:val="000E387A"/>
    <w:rsid w:val="000E3977"/>
    <w:rsid w:val="000E39B7"/>
    <w:rsid w:val="000E3BDC"/>
    <w:rsid w:val="000E3CCF"/>
    <w:rsid w:val="000E3EB1"/>
    <w:rsid w:val="000E3FD7"/>
    <w:rsid w:val="000E405F"/>
    <w:rsid w:val="000E406F"/>
    <w:rsid w:val="000E4132"/>
    <w:rsid w:val="000E4222"/>
    <w:rsid w:val="000E4342"/>
    <w:rsid w:val="000E4360"/>
    <w:rsid w:val="000E4499"/>
    <w:rsid w:val="000E44B6"/>
    <w:rsid w:val="000E452D"/>
    <w:rsid w:val="000E471A"/>
    <w:rsid w:val="000E48E5"/>
    <w:rsid w:val="000E4B53"/>
    <w:rsid w:val="000E4C45"/>
    <w:rsid w:val="000E4DB0"/>
    <w:rsid w:val="000E4EA4"/>
    <w:rsid w:val="000E51CD"/>
    <w:rsid w:val="000E5262"/>
    <w:rsid w:val="000E5295"/>
    <w:rsid w:val="000E545D"/>
    <w:rsid w:val="000E54AA"/>
    <w:rsid w:val="000E54D5"/>
    <w:rsid w:val="000E54F7"/>
    <w:rsid w:val="000E5586"/>
    <w:rsid w:val="000E567E"/>
    <w:rsid w:val="000E5745"/>
    <w:rsid w:val="000E5865"/>
    <w:rsid w:val="000E597D"/>
    <w:rsid w:val="000E5A20"/>
    <w:rsid w:val="000E5B45"/>
    <w:rsid w:val="000E5B61"/>
    <w:rsid w:val="000E5B87"/>
    <w:rsid w:val="000E5CB8"/>
    <w:rsid w:val="000E5D5D"/>
    <w:rsid w:val="000E5DD1"/>
    <w:rsid w:val="000E5F94"/>
    <w:rsid w:val="000E6061"/>
    <w:rsid w:val="000E6198"/>
    <w:rsid w:val="000E62D1"/>
    <w:rsid w:val="000E632F"/>
    <w:rsid w:val="000E649B"/>
    <w:rsid w:val="000E64CB"/>
    <w:rsid w:val="000E65B5"/>
    <w:rsid w:val="000E6610"/>
    <w:rsid w:val="000E662A"/>
    <w:rsid w:val="000E69F3"/>
    <w:rsid w:val="000E6AF1"/>
    <w:rsid w:val="000E6C48"/>
    <w:rsid w:val="000E6CDB"/>
    <w:rsid w:val="000E6D00"/>
    <w:rsid w:val="000E6D24"/>
    <w:rsid w:val="000E6D76"/>
    <w:rsid w:val="000E6DDD"/>
    <w:rsid w:val="000E6F20"/>
    <w:rsid w:val="000E6F7A"/>
    <w:rsid w:val="000E6FAF"/>
    <w:rsid w:val="000E7116"/>
    <w:rsid w:val="000E7249"/>
    <w:rsid w:val="000E73C9"/>
    <w:rsid w:val="000E79D3"/>
    <w:rsid w:val="000E7BC5"/>
    <w:rsid w:val="000E7D6D"/>
    <w:rsid w:val="000E7D7E"/>
    <w:rsid w:val="000E7DC4"/>
    <w:rsid w:val="000E7E24"/>
    <w:rsid w:val="000E7EA0"/>
    <w:rsid w:val="000E7F7E"/>
    <w:rsid w:val="000F004E"/>
    <w:rsid w:val="000F0074"/>
    <w:rsid w:val="000F026F"/>
    <w:rsid w:val="000F05D9"/>
    <w:rsid w:val="000F0619"/>
    <w:rsid w:val="000F0840"/>
    <w:rsid w:val="000F09E6"/>
    <w:rsid w:val="000F0A47"/>
    <w:rsid w:val="000F0C57"/>
    <w:rsid w:val="000F0D4A"/>
    <w:rsid w:val="000F11DE"/>
    <w:rsid w:val="000F1238"/>
    <w:rsid w:val="000F17BD"/>
    <w:rsid w:val="000F1842"/>
    <w:rsid w:val="000F1ABA"/>
    <w:rsid w:val="000F1C53"/>
    <w:rsid w:val="000F1D8A"/>
    <w:rsid w:val="000F20B3"/>
    <w:rsid w:val="000F20DC"/>
    <w:rsid w:val="000F21DB"/>
    <w:rsid w:val="000F2213"/>
    <w:rsid w:val="000F22BF"/>
    <w:rsid w:val="000F23AB"/>
    <w:rsid w:val="000F24F9"/>
    <w:rsid w:val="000F2669"/>
    <w:rsid w:val="000F29AE"/>
    <w:rsid w:val="000F29EB"/>
    <w:rsid w:val="000F2C05"/>
    <w:rsid w:val="000F2C8E"/>
    <w:rsid w:val="000F2E07"/>
    <w:rsid w:val="000F2F9C"/>
    <w:rsid w:val="000F2FB4"/>
    <w:rsid w:val="000F2FEB"/>
    <w:rsid w:val="000F3081"/>
    <w:rsid w:val="000F30C6"/>
    <w:rsid w:val="000F3326"/>
    <w:rsid w:val="000F337A"/>
    <w:rsid w:val="000F3489"/>
    <w:rsid w:val="000F34E3"/>
    <w:rsid w:val="000F3504"/>
    <w:rsid w:val="000F3567"/>
    <w:rsid w:val="000F3665"/>
    <w:rsid w:val="000F36BC"/>
    <w:rsid w:val="000F37BB"/>
    <w:rsid w:val="000F38A1"/>
    <w:rsid w:val="000F3A74"/>
    <w:rsid w:val="000F3A7A"/>
    <w:rsid w:val="000F3B6E"/>
    <w:rsid w:val="000F3B90"/>
    <w:rsid w:val="000F3CEA"/>
    <w:rsid w:val="000F3D36"/>
    <w:rsid w:val="000F3DF3"/>
    <w:rsid w:val="000F3E46"/>
    <w:rsid w:val="000F3EB5"/>
    <w:rsid w:val="000F3FCD"/>
    <w:rsid w:val="000F4481"/>
    <w:rsid w:val="000F45C3"/>
    <w:rsid w:val="000F4B30"/>
    <w:rsid w:val="000F4B88"/>
    <w:rsid w:val="000F4C59"/>
    <w:rsid w:val="000F4CDB"/>
    <w:rsid w:val="000F4D48"/>
    <w:rsid w:val="000F5014"/>
    <w:rsid w:val="000F52BC"/>
    <w:rsid w:val="000F52DD"/>
    <w:rsid w:val="000F53F6"/>
    <w:rsid w:val="000F551B"/>
    <w:rsid w:val="000F558A"/>
    <w:rsid w:val="000F560D"/>
    <w:rsid w:val="000F57BB"/>
    <w:rsid w:val="000F581E"/>
    <w:rsid w:val="000F5965"/>
    <w:rsid w:val="000F5B71"/>
    <w:rsid w:val="000F5BBC"/>
    <w:rsid w:val="000F5EF8"/>
    <w:rsid w:val="000F6024"/>
    <w:rsid w:val="000F6149"/>
    <w:rsid w:val="000F6465"/>
    <w:rsid w:val="000F64ED"/>
    <w:rsid w:val="000F6888"/>
    <w:rsid w:val="000F6995"/>
    <w:rsid w:val="000F6A6F"/>
    <w:rsid w:val="000F6B6B"/>
    <w:rsid w:val="000F6BBE"/>
    <w:rsid w:val="000F6BE2"/>
    <w:rsid w:val="000F6C04"/>
    <w:rsid w:val="000F6C5C"/>
    <w:rsid w:val="000F6F31"/>
    <w:rsid w:val="000F70DD"/>
    <w:rsid w:val="000F7149"/>
    <w:rsid w:val="000F71FE"/>
    <w:rsid w:val="000F7269"/>
    <w:rsid w:val="000F7337"/>
    <w:rsid w:val="000F73B3"/>
    <w:rsid w:val="000F7580"/>
    <w:rsid w:val="000F75DF"/>
    <w:rsid w:val="000F7637"/>
    <w:rsid w:val="000F76FE"/>
    <w:rsid w:val="000F7758"/>
    <w:rsid w:val="000F79D0"/>
    <w:rsid w:val="000F7AA7"/>
    <w:rsid w:val="000F7ACE"/>
    <w:rsid w:val="000F7B30"/>
    <w:rsid w:val="000F7CF8"/>
    <w:rsid w:val="000F7D28"/>
    <w:rsid w:val="000F7F40"/>
    <w:rsid w:val="0010000C"/>
    <w:rsid w:val="001003AC"/>
    <w:rsid w:val="001004F3"/>
    <w:rsid w:val="001006DA"/>
    <w:rsid w:val="00100707"/>
    <w:rsid w:val="00100898"/>
    <w:rsid w:val="001009E5"/>
    <w:rsid w:val="00100ACC"/>
    <w:rsid w:val="00100AD5"/>
    <w:rsid w:val="00100BCB"/>
    <w:rsid w:val="00100F01"/>
    <w:rsid w:val="00100F0E"/>
    <w:rsid w:val="00101097"/>
    <w:rsid w:val="001011DC"/>
    <w:rsid w:val="001011EF"/>
    <w:rsid w:val="0010127F"/>
    <w:rsid w:val="00101888"/>
    <w:rsid w:val="00101961"/>
    <w:rsid w:val="00101C92"/>
    <w:rsid w:val="00101D66"/>
    <w:rsid w:val="00101DF2"/>
    <w:rsid w:val="00101F48"/>
    <w:rsid w:val="001021AF"/>
    <w:rsid w:val="001023F8"/>
    <w:rsid w:val="001024CD"/>
    <w:rsid w:val="0010254E"/>
    <w:rsid w:val="001025E6"/>
    <w:rsid w:val="00102783"/>
    <w:rsid w:val="00102868"/>
    <w:rsid w:val="00102870"/>
    <w:rsid w:val="001028E6"/>
    <w:rsid w:val="00102A58"/>
    <w:rsid w:val="00102AC8"/>
    <w:rsid w:val="00102C16"/>
    <w:rsid w:val="00102D82"/>
    <w:rsid w:val="0010308C"/>
    <w:rsid w:val="0010328A"/>
    <w:rsid w:val="001032DA"/>
    <w:rsid w:val="00103323"/>
    <w:rsid w:val="00103333"/>
    <w:rsid w:val="001033CF"/>
    <w:rsid w:val="00103491"/>
    <w:rsid w:val="001034E7"/>
    <w:rsid w:val="0010352A"/>
    <w:rsid w:val="00103572"/>
    <w:rsid w:val="00103692"/>
    <w:rsid w:val="00103909"/>
    <w:rsid w:val="0010398F"/>
    <w:rsid w:val="00103BB7"/>
    <w:rsid w:val="00103BF3"/>
    <w:rsid w:val="00103EDB"/>
    <w:rsid w:val="001040D9"/>
    <w:rsid w:val="001041B3"/>
    <w:rsid w:val="001042D4"/>
    <w:rsid w:val="00104321"/>
    <w:rsid w:val="00104432"/>
    <w:rsid w:val="00104598"/>
    <w:rsid w:val="0010491D"/>
    <w:rsid w:val="0010499C"/>
    <w:rsid w:val="00104B8E"/>
    <w:rsid w:val="00104C44"/>
    <w:rsid w:val="00104E40"/>
    <w:rsid w:val="00104F50"/>
    <w:rsid w:val="001050AD"/>
    <w:rsid w:val="001050D0"/>
    <w:rsid w:val="00105294"/>
    <w:rsid w:val="001052A5"/>
    <w:rsid w:val="0010533E"/>
    <w:rsid w:val="001055E5"/>
    <w:rsid w:val="001056A9"/>
    <w:rsid w:val="0010593D"/>
    <w:rsid w:val="00105A00"/>
    <w:rsid w:val="00105CA9"/>
    <w:rsid w:val="00105CEE"/>
    <w:rsid w:val="00105D91"/>
    <w:rsid w:val="00106232"/>
    <w:rsid w:val="001062EE"/>
    <w:rsid w:val="00106356"/>
    <w:rsid w:val="00106531"/>
    <w:rsid w:val="00106548"/>
    <w:rsid w:val="00106635"/>
    <w:rsid w:val="001066AD"/>
    <w:rsid w:val="001066AF"/>
    <w:rsid w:val="00106765"/>
    <w:rsid w:val="001067C4"/>
    <w:rsid w:val="001067CD"/>
    <w:rsid w:val="0010691E"/>
    <w:rsid w:val="001069A6"/>
    <w:rsid w:val="001069CA"/>
    <w:rsid w:val="00106A06"/>
    <w:rsid w:val="00106B3A"/>
    <w:rsid w:val="00106B61"/>
    <w:rsid w:val="00106B91"/>
    <w:rsid w:val="00106C61"/>
    <w:rsid w:val="00106C8E"/>
    <w:rsid w:val="00106E65"/>
    <w:rsid w:val="00106EE9"/>
    <w:rsid w:val="00107090"/>
    <w:rsid w:val="001070E3"/>
    <w:rsid w:val="0010720F"/>
    <w:rsid w:val="00107299"/>
    <w:rsid w:val="0010729F"/>
    <w:rsid w:val="00107348"/>
    <w:rsid w:val="001074BB"/>
    <w:rsid w:val="0010758F"/>
    <w:rsid w:val="0010762C"/>
    <w:rsid w:val="001076DA"/>
    <w:rsid w:val="001078FF"/>
    <w:rsid w:val="00107A41"/>
    <w:rsid w:val="00107A8C"/>
    <w:rsid w:val="00107BA4"/>
    <w:rsid w:val="00107BD1"/>
    <w:rsid w:val="00107D01"/>
    <w:rsid w:val="00107D0A"/>
    <w:rsid w:val="00107D55"/>
    <w:rsid w:val="00107D5F"/>
    <w:rsid w:val="00107D83"/>
    <w:rsid w:val="00107FB7"/>
    <w:rsid w:val="00110007"/>
    <w:rsid w:val="00110067"/>
    <w:rsid w:val="00110396"/>
    <w:rsid w:val="00110524"/>
    <w:rsid w:val="001105AE"/>
    <w:rsid w:val="001105D8"/>
    <w:rsid w:val="00110739"/>
    <w:rsid w:val="001108D2"/>
    <w:rsid w:val="0011093F"/>
    <w:rsid w:val="001109FC"/>
    <w:rsid w:val="00110D7E"/>
    <w:rsid w:val="00110F0C"/>
    <w:rsid w:val="001110DB"/>
    <w:rsid w:val="00111146"/>
    <w:rsid w:val="001112D5"/>
    <w:rsid w:val="00111340"/>
    <w:rsid w:val="001113DB"/>
    <w:rsid w:val="00111465"/>
    <w:rsid w:val="00111483"/>
    <w:rsid w:val="001114FA"/>
    <w:rsid w:val="001117CA"/>
    <w:rsid w:val="00111B86"/>
    <w:rsid w:val="00111BC9"/>
    <w:rsid w:val="00111C2B"/>
    <w:rsid w:val="00111CF6"/>
    <w:rsid w:val="00111D2C"/>
    <w:rsid w:val="00111DB0"/>
    <w:rsid w:val="00111E63"/>
    <w:rsid w:val="00111E9E"/>
    <w:rsid w:val="00111F00"/>
    <w:rsid w:val="00112109"/>
    <w:rsid w:val="0011236E"/>
    <w:rsid w:val="001124B2"/>
    <w:rsid w:val="001124E7"/>
    <w:rsid w:val="0011266C"/>
    <w:rsid w:val="001126E1"/>
    <w:rsid w:val="0011270E"/>
    <w:rsid w:val="001127A6"/>
    <w:rsid w:val="001127E9"/>
    <w:rsid w:val="001128F4"/>
    <w:rsid w:val="00112909"/>
    <w:rsid w:val="00112A79"/>
    <w:rsid w:val="00112B09"/>
    <w:rsid w:val="00112E78"/>
    <w:rsid w:val="00113175"/>
    <w:rsid w:val="0011317F"/>
    <w:rsid w:val="00113249"/>
    <w:rsid w:val="00113306"/>
    <w:rsid w:val="00113401"/>
    <w:rsid w:val="00113523"/>
    <w:rsid w:val="0011355C"/>
    <w:rsid w:val="00113754"/>
    <w:rsid w:val="00113795"/>
    <w:rsid w:val="001137BA"/>
    <w:rsid w:val="00113817"/>
    <w:rsid w:val="00113940"/>
    <w:rsid w:val="001139E2"/>
    <w:rsid w:val="00113AED"/>
    <w:rsid w:val="00113C0B"/>
    <w:rsid w:val="00113C97"/>
    <w:rsid w:val="00113CAF"/>
    <w:rsid w:val="00113F60"/>
    <w:rsid w:val="00114065"/>
    <w:rsid w:val="001140E3"/>
    <w:rsid w:val="00114203"/>
    <w:rsid w:val="0011426A"/>
    <w:rsid w:val="001142C8"/>
    <w:rsid w:val="00114AFF"/>
    <w:rsid w:val="00114B97"/>
    <w:rsid w:val="00114C3A"/>
    <w:rsid w:val="00114D0E"/>
    <w:rsid w:val="00114F14"/>
    <w:rsid w:val="001150DE"/>
    <w:rsid w:val="001151D4"/>
    <w:rsid w:val="001152A9"/>
    <w:rsid w:val="00115795"/>
    <w:rsid w:val="001158A1"/>
    <w:rsid w:val="001158BD"/>
    <w:rsid w:val="001159B1"/>
    <w:rsid w:val="00115A54"/>
    <w:rsid w:val="00115B6A"/>
    <w:rsid w:val="00115B8E"/>
    <w:rsid w:val="00115D70"/>
    <w:rsid w:val="00115E6A"/>
    <w:rsid w:val="00115EA1"/>
    <w:rsid w:val="00115F03"/>
    <w:rsid w:val="0011607A"/>
    <w:rsid w:val="001160A8"/>
    <w:rsid w:val="00116128"/>
    <w:rsid w:val="0011670C"/>
    <w:rsid w:val="001167CD"/>
    <w:rsid w:val="00116B2D"/>
    <w:rsid w:val="00116CD1"/>
    <w:rsid w:val="00116DA7"/>
    <w:rsid w:val="00116E1E"/>
    <w:rsid w:val="00116E3B"/>
    <w:rsid w:val="00117199"/>
    <w:rsid w:val="001172D7"/>
    <w:rsid w:val="001173DE"/>
    <w:rsid w:val="00117453"/>
    <w:rsid w:val="001174FD"/>
    <w:rsid w:val="0011764E"/>
    <w:rsid w:val="00117669"/>
    <w:rsid w:val="0011783E"/>
    <w:rsid w:val="00117857"/>
    <w:rsid w:val="001179E8"/>
    <w:rsid w:val="00117AC2"/>
    <w:rsid w:val="00117B19"/>
    <w:rsid w:val="00117B63"/>
    <w:rsid w:val="00117F00"/>
    <w:rsid w:val="0012004E"/>
    <w:rsid w:val="00120068"/>
    <w:rsid w:val="00120113"/>
    <w:rsid w:val="00120375"/>
    <w:rsid w:val="00120448"/>
    <w:rsid w:val="001204CB"/>
    <w:rsid w:val="00120721"/>
    <w:rsid w:val="00120AF6"/>
    <w:rsid w:val="00120C86"/>
    <w:rsid w:val="001212B2"/>
    <w:rsid w:val="001215F3"/>
    <w:rsid w:val="001216AD"/>
    <w:rsid w:val="0012198C"/>
    <w:rsid w:val="00121A43"/>
    <w:rsid w:val="00121AA0"/>
    <w:rsid w:val="00121F84"/>
    <w:rsid w:val="0012205D"/>
    <w:rsid w:val="00122201"/>
    <w:rsid w:val="00122275"/>
    <w:rsid w:val="00122442"/>
    <w:rsid w:val="00122501"/>
    <w:rsid w:val="00122640"/>
    <w:rsid w:val="00122671"/>
    <w:rsid w:val="001226CF"/>
    <w:rsid w:val="00122A02"/>
    <w:rsid w:val="00122B07"/>
    <w:rsid w:val="00122C7F"/>
    <w:rsid w:val="00122DA8"/>
    <w:rsid w:val="00122FF9"/>
    <w:rsid w:val="0012318B"/>
    <w:rsid w:val="00123220"/>
    <w:rsid w:val="001232F4"/>
    <w:rsid w:val="00123311"/>
    <w:rsid w:val="0012338E"/>
    <w:rsid w:val="0012346E"/>
    <w:rsid w:val="001234BA"/>
    <w:rsid w:val="0012350E"/>
    <w:rsid w:val="00123580"/>
    <w:rsid w:val="001235DD"/>
    <w:rsid w:val="0012369A"/>
    <w:rsid w:val="0012374B"/>
    <w:rsid w:val="001237A0"/>
    <w:rsid w:val="001237DA"/>
    <w:rsid w:val="001238E3"/>
    <w:rsid w:val="00123911"/>
    <w:rsid w:val="001239E1"/>
    <w:rsid w:val="00123A46"/>
    <w:rsid w:val="00123D09"/>
    <w:rsid w:val="00123DE0"/>
    <w:rsid w:val="00123EC2"/>
    <w:rsid w:val="00123F7B"/>
    <w:rsid w:val="00124075"/>
    <w:rsid w:val="001241BD"/>
    <w:rsid w:val="001241CE"/>
    <w:rsid w:val="001243CD"/>
    <w:rsid w:val="001244B2"/>
    <w:rsid w:val="00124532"/>
    <w:rsid w:val="0012459E"/>
    <w:rsid w:val="001245E9"/>
    <w:rsid w:val="0012460B"/>
    <w:rsid w:val="00124AF2"/>
    <w:rsid w:val="00124D5B"/>
    <w:rsid w:val="00124FC9"/>
    <w:rsid w:val="00125082"/>
    <w:rsid w:val="0012515E"/>
    <w:rsid w:val="001252A4"/>
    <w:rsid w:val="00125392"/>
    <w:rsid w:val="00125454"/>
    <w:rsid w:val="001256E7"/>
    <w:rsid w:val="00125AF8"/>
    <w:rsid w:val="00125DD3"/>
    <w:rsid w:val="00125EB5"/>
    <w:rsid w:val="00125F68"/>
    <w:rsid w:val="001260A8"/>
    <w:rsid w:val="001260CE"/>
    <w:rsid w:val="001260DE"/>
    <w:rsid w:val="001261C2"/>
    <w:rsid w:val="0012625B"/>
    <w:rsid w:val="0012642C"/>
    <w:rsid w:val="0012667E"/>
    <w:rsid w:val="00126702"/>
    <w:rsid w:val="0012674C"/>
    <w:rsid w:val="001267F6"/>
    <w:rsid w:val="00126953"/>
    <w:rsid w:val="001269B3"/>
    <w:rsid w:val="00126A47"/>
    <w:rsid w:val="00126AA9"/>
    <w:rsid w:val="00126B02"/>
    <w:rsid w:val="00126B4D"/>
    <w:rsid w:val="00126E29"/>
    <w:rsid w:val="00127150"/>
    <w:rsid w:val="001271EE"/>
    <w:rsid w:val="00127212"/>
    <w:rsid w:val="0012735B"/>
    <w:rsid w:val="00127373"/>
    <w:rsid w:val="001274FA"/>
    <w:rsid w:val="001275FB"/>
    <w:rsid w:val="001275FF"/>
    <w:rsid w:val="00127718"/>
    <w:rsid w:val="001277A7"/>
    <w:rsid w:val="00127802"/>
    <w:rsid w:val="00127945"/>
    <w:rsid w:val="00127A50"/>
    <w:rsid w:val="00127C94"/>
    <w:rsid w:val="00127CC9"/>
    <w:rsid w:val="00127CF7"/>
    <w:rsid w:val="00127DB0"/>
    <w:rsid w:val="00127EBA"/>
    <w:rsid w:val="00127ED9"/>
    <w:rsid w:val="00127FFD"/>
    <w:rsid w:val="00130479"/>
    <w:rsid w:val="001305A2"/>
    <w:rsid w:val="001305D3"/>
    <w:rsid w:val="0013089C"/>
    <w:rsid w:val="00130992"/>
    <w:rsid w:val="00130A16"/>
    <w:rsid w:val="00130A8A"/>
    <w:rsid w:val="00130B24"/>
    <w:rsid w:val="00130C3E"/>
    <w:rsid w:val="00130C90"/>
    <w:rsid w:val="00130CB5"/>
    <w:rsid w:val="00130CEC"/>
    <w:rsid w:val="00130E32"/>
    <w:rsid w:val="00130E7C"/>
    <w:rsid w:val="00130F6D"/>
    <w:rsid w:val="00130F88"/>
    <w:rsid w:val="001310E0"/>
    <w:rsid w:val="0013123C"/>
    <w:rsid w:val="00131567"/>
    <w:rsid w:val="00131594"/>
    <w:rsid w:val="00131680"/>
    <w:rsid w:val="00131695"/>
    <w:rsid w:val="00131697"/>
    <w:rsid w:val="00131917"/>
    <w:rsid w:val="001319AF"/>
    <w:rsid w:val="00131C67"/>
    <w:rsid w:val="00131CC6"/>
    <w:rsid w:val="00131CE4"/>
    <w:rsid w:val="00131CFE"/>
    <w:rsid w:val="00131D65"/>
    <w:rsid w:val="00131D7F"/>
    <w:rsid w:val="00131DF5"/>
    <w:rsid w:val="00131EAE"/>
    <w:rsid w:val="00131EC4"/>
    <w:rsid w:val="001322C1"/>
    <w:rsid w:val="00132424"/>
    <w:rsid w:val="00132650"/>
    <w:rsid w:val="001328A7"/>
    <w:rsid w:val="00132A5A"/>
    <w:rsid w:val="00132C36"/>
    <w:rsid w:val="00132C4D"/>
    <w:rsid w:val="00132C8C"/>
    <w:rsid w:val="00132F8E"/>
    <w:rsid w:val="0013306C"/>
    <w:rsid w:val="001330A5"/>
    <w:rsid w:val="0013317F"/>
    <w:rsid w:val="00133191"/>
    <w:rsid w:val="0013319B"/>
    <w:rsid w:val="001333D1"/>
    <w:rsid w:val="00133406"/>
    <w:rsid w:val="00133631"/>
    <w:rsid w:val="001336A8"/>
    <w:rsid w:val="00133928"/>
    <w:rsid w:val="00133A17"/>
    <w:rsid w:val="00133A64"/>
    <w:rsid w:val="00133AC0"/>
    <w:rsid w:val="00133C58"/>
    <w:rsid w:val="00133C77"/>
    <w:rsid w:val="00133CBA"/>
    <w:rsid w:val="00133FAB"/>
    <w:rsid w:val="0013405C"/>
    <w:rsid w:val="0013413D"/>
    <w:rsid w:val="0013435E"/>
    <w:rsid w:val="0013437C"/>
    <w:rsid w:val="001344A9"/>
    <w:rsid w:val="00134562"/>
    <w:rsid w:val="00134692"/>
    <w:rsid w:val="001346E7"/>
    <w:rsid w:val="001346F7"/>
    <w:rsid w:val="00134717"/>
    <w:rsid w:val="001348A4"/>
    <w:rsid w:val="001348A8"/>
    <w:rsid w:val="0013496C"/>
    <w:rsid w:val="00134A9A"/>
    <w:rsid w:val="00134BB5"/>
    <w:rsid w:val="00134C15"/>
    <w:rsid w:val="00134C9D"/>
    <w:rsid w:val="00134E57"/>
    <w:rsid w:val="00134EA8"/>
    <w:rsid w:val="00135060"/>
    <w:rsid w:val="00135141"/>
    <w:rsid w:val="00135300"/>
    <w:rsid w:val="001354C7"/>
    <w:rsid w:val="001355D2"/>
    <w:rsid w:val="001356DB"/>
    <w:rsid w:val="0013593A"/>
    <w:rsid w:val="00135946"/>
    <w:rsid w:val="00135996"/>
    <w:rsid w:val="001359C2"/>
    <w:rsid w:val="00135A31"/>
    <w:rsid w:val="00135C06"/>
    <w:rsid w:val="00135C26"/>
    <w:rsid w:val="00135C96"/>
    <w:rsid w:val="00135CA9"/>
    <w:rsid w:val="00135E55"/>
    <w:rsid w:val="00135F67"/>
    <w:rsid w:val="00135FAB"/>
    <w:rsid w:val="00136147"/>
    <w:rsid w:val="0013619F"/>
    <w:rsid w:val="001362B8"/>
    <w:rsid w:val="00136413"/>
    <w:rsid w:val="00136573"/>
    <w:rsid w:val="00136583"/>
    <w:rsid w:val="001365BD"/>
    <w:rsid w:val="001365F4"/>
    <w:rsid w:val="00136767"/>
    <w:rsid w:val="001367A6"/>
    <w:rsid w:val="001367C2"/>
    <w:rsid w:val="001369CE"/>
    <w:rsid w:val="001369D0"/>
    <w:rsid w:val="00136A14"/>
    <w:rsid w:val="00136DC9"/>
    <w:rsid w:val="00136DD0"/>
    <w:rsid w:val="00136DEF"/>
    <w:rsid w:val="00136E42"/>
    <w:rsid w:val="00136E73"/>
    <w:rsid w:val="00136E89"/>
    <w:rsid w:val="001370DB"/>
    <w:rsid w:val="001372B1"/>
    <w:rsid w:val="001373C8"/>
    <w:rsid w:val="00137481"/>
    <w:rsid w:val="00137559"/>
    <w:rsid w:val="001375D3"/>
    <w:rsid w:val="001376CD"/>
    <w:rsid w:val="0013772C"/>
    <w:rsid w:val="0013780B"/>
    <w:rsid w:val="001378B0"/>
    <w:rsid w:val="0013796F"/>
    <w:rsid w:val="00137A40"/>
    <w:rsid w:val="00137A82"/>
    <w:rsid w:val="00137AD1"/>
    <w:rsid w:val="00137B6F"/>
    <w:rsid w:val="00137FB0"/>
    <w:rsid w:val="00140178"/>
    <w:rsid w:val="0014018D"/>
    <w:rsid w:val="001402F2"/>
    <w:rsid w:val="0014032E"/>
    <w:rsid w:val="00140431"/>
    <w:rsid w:val="00140648"/>
    <w:rsid w:val="0014068F"/>
    <w:rsid w:val="001406BB"/>
    <w:rsid w:val="0014083F"/>
    <w:rsid w:val="00140972"/>
    <w:rsid w:val="001409E3"/>
    <w:rsid w:val="00140BC2"/>
    <w:rsid w:val="00140E39"/>
    <w:rsid w:val="00140F40"/>
    <w:rsid w:val="00140F53"/>
    <w:rsid w:val="00140F6F"/>
    <w:rsid w:val="00140F70"/>
    <w:rsid w:val="00140F82"/>
    <w:rsid w:val="00140F9F"/>
    <w:rsid w:val="00141031"/>
    <w:rsid w:val="00141034"/>
    <w:rsid w:val="001411B9"/>
    <w:rsid w:val="0014140D"/>
    <w:rsid w:val="0014150E"/>
    <w:rsid w:val="001415AD"/>
    <w:rsid w:val="00141A2A"/>
    <w:rsid w:val="00141A36"/>
    <w:rsid w:val="00141AE2"/>
    <w:rsid w:val="00141B6F"/>
    <w:rsid w:val="00141C65"/>
    <w:rsid w:val="00141D55"/>
    <w:rsid w:val="00141DE4"/>
    <w:rsid w:val="00141E16"/>
    <w:rsid w:val="0014223D"/>
    <w:rsid w:val="001422CD"/>
    <w:rsid w:val="001422E9"/>
    <w:rsid w:val="001422F0"/>
    <w:rsid w:val="001426AF"/>
    <w:rsid w:val="001426DA"/>
    <w:rsid w:val="001428F2"/>
    <w:rsid w:val="0014293F"/>
    <w:rsid w:val="00142B34"/>
    <w:rsid w:val="00142BBC"/>
    <w:rsid w:val="00142CD0"/>
    <w:rsid w:val="00142FF0"/>
    <w:rsid w:val="00143073"/>
    <w:rsid w:val="0014321F"/>
    <w:rsid w:val="00143319"/>
    <w:rsid w:val="0014336D"/>
    <w:rsid w:val="00143519"/>
    <w:rsid w:val="001438F8"/>
    <w:rsid w:val="00143AB3"/>
    <w:rsid w:val="00143B0F"/>
    <w:rsid w:val="00143CF1"/>
    <w:rsid w:val="00144128"/>
    <w:rsid w:val="00144326"/>
    <w:rsid w:val="00144333"/>
    <w:rsid w:val="0014458A"/>
    <w:rsid w:val="00144A36"/>
    <w:rsid w:val="00144A77"/>
    <w:rsid w:val="00144AA2"/>
    <w:rsid w:val="00144AF7"/>
    <w:rsid w:val="00144BFF"/>
    <w:rsid w:val="00144DC6"/>
    <w:rsid w:val="00144F45"/>
    <w:rsid w:val="001451B8"/>
    <w:rsid w:val="00145372"/>
    <w:rsid w:val="001453AA"/>
    <w:rsid w:val="0014542B"/>
    <w:rsid w:val="001456A9"/>
    <w:rsid w:val="001458B6"/>
    <w:rsid w:val="00145B0C"/>
    <w:rsid w:val="00145C66"/>
    <w:rsid w:val="00145D65"/>
    <w:rsid w:val="00145DA1"/>
    <w:rsid w:val="00145DDD"/>
    <w:rsid w:val="00145EA4"/>
    <w:rsid w:val="00145F6B"/>
    <w:rsid w:val="001461D1"/>
    <w:rsid w:val="00146297"/>
    <w:rsid w:val="001462A7"/>
    <w:rsid w:val="001462B2"/>
    <w:rsid w:val="00146448"/>
    <w:rsid w:val="0014656C"/>
    <w:rsid w:val="001466CC"/>
    <w:rsid w:val="00146734"/>
    <w:rsid w:val="00146861"/>
    <w:rsid w:val="001468EA"/>
    <w:rsid w:val="001468F8"/>
    <w:rsid w:val="00146914"/>
    <w:rsid w:val="00146D65"/>
    <w:rsid w:val="00146EEF"/>
    <w:rsid w:val="0014722D"/>
    <w:rsid w:val="00147290"/>
    <w:rsid w:val="001472F9"/>
    <w:rsid w:val="0014744A"/>
    <w:rsid w:val="0014744D"/>
    <w:rsid w:val="001474B0"/>
    <w:rsid w:val="00147560"/>
    <w:rsid w:val="001475B9"/>
    <w:rsid w:val="001475DA"/>
    <w:rsid w:val="001476CE"/>
    <w:rsid w:val="001477BF"/>
    <w:rsid w:val="001477D1"/>
    <w:rsid w:val="0014798B"/>
    <w:rsid w:val="00147A16"/>
    <w:rsid w:val="00147ACD"/>
    <w:rsid w:val="00147B92"/>
    <w:rsid w:val="00147DCF"/>
    <w:rsid w:val="00147EC3"/>
    <w:rsid w:val="00147F48"/>
    <w:rsid w:val="00147FCE"/>
    <w:rsid w:val="001500D7"/>
    <w:rsid w:val="00150240"/>
    <w:rsid w:val="001503BE"/>
    <w:rsid w:val="0015048F"/>
    <w:rsid w:val="00150688"/>
    <w:rsid w:val="00150711"/>
    <w:rsid w:val="0015079B"/>
    <w:rsid w:val="00150881"/>
    <w:rsid w:val="00150B5C"/>
    <w:rsid w:val="00150C1A"/>
    <w:rsid w:val="00150D2C"/>
    <w:rsid w:val="00150D30"/>
    <w:rsid w:val="00150DAE"/>
    <w:rsid w:val="00150E6E"/>
    <w:rsid w:val="00150F68"/>
    <w:rsid w:val="00151105"/>
    <w:rsid w:val="001511AF"/>
    <w:rsid w:val="00151339"/>
    <w:rsid w:val="00151491"/>
    <w:rsid w:val="0015151C"/>
    <w:rsid w:val="0015151D"/>
    <w:rsid w:val="00151569"/>
    <w:rsid w:val="0015158E"/>
    <w:rsid w:val="001515D6"/>
    <w:rsid w:val="001515E2"/>
    <w:rsid w:val="001516BE"/>
    <w:rsid w:val="00151900"/>
    <w:rsid w:val="00151A29"/>
    <w:rsid w:val="00151A95"/>
    <w:rsid w:val="00151B58"/>
    <w:rsid w:val="00151C48"/>
    <w:rsid w:val="00151CB7"/>
    <w:rsid w:val="00151D88"/>
    <w:rsid w:val="00151E54"/>
    <w:rsid w:val="00151F85"/>
    <w:rsid w:val="00151FE6"/>
    <w:rsid w:val="001520E4"/>
    <w:rsid w:val="00152162"/>
    <w:rsid w:val="0015217D"/>
    <w:rsid w:val="0015230F"/>
    <w:rsid w:val="0015242D"/>
    <w:rsid w:val="0015254E"/>
    <w:rsid w:val="00152553"/>
    <w:rsid w:val="001526F1"/>
    <w:rsid w:val="00152934"/>
    <w:rsid w:val="001529A1"/>
    <w:rsid w:val="00152B9F"/>
    <w:rsid w:val="00152BC5"/>
    <w:rsid w:val="00152BE2"/>
    <w:rsid w:val="00152C1C"/>
    <w:rsid w:val="00152C60"/>
    <w:rsid w:val="00152E7F"/>
    <w:rsid w:val="00152FCC"/>
    <w:rsid w:val="001530E5"/>
    <w:rsid w:val="00153326"/>
    <w:rsid w:val="00153348"/>
    <w:rsid w:val="00153500"/>
    <w:rsid w:val="001535F3"/>
    <w:rsid w:val="00153A1F"/>
    <w:rsid w:val="00153A49"/>
    <w:rsid w:val="00153BFA"/>
    <w:rsid w:val="00153CB3"/>
    <w:rsid w:val="00153CCA"/>
    <w:rsid w:val="00153CF7"/>
    <w:rsid w:val="00153D5A"/>
    <w:rsid w:val="00153E93"/>
    <w:rsid w:val="00153EE8"/>
    <w:rsid w:val="001540DB"/>
    <w:rsid w:val="00154151"/>
    <w:rsid w:val="00154157"/>
    <w:rsid w:val="001541B8"/>
    <w:rsid w:val="0015436F"/>
    <w:rsid w:val="00154633"/>
    <w:rsid w:val="001546A5"/>
    <w:rsid w:val="00154900"/>
    <w:rsid w:val="0015495C"/>
    <w:rsid w:val="001549C9"/>
    <w:rsid w:val="001549E6"/>
    <w:rsid w:val="00154AD3"/>
    <w:rsid w:val="00154BAE"/>
    <w:rsid w:val="00154CF7"/>
    <w:rsid w:val="00154DBC"/>
    <w:rsid w:val="00154E81"/>
    <w:rsid w:val="00154ED3"/>
    <w:rsid w:val="00154F87"/>
    <w:rsid w:val="001551F7"/>
    <w:rsid w:val="00155274"/>
    <w:rsid w:val="001552B8"/>
    <w:rsid w:val="0015545F"/>
    <w:rsid w:val="00155502"/>
    <w:rsid w:val="001555BA"/>
    <w:rsid w:val="0015563F"/>
    <w:rsid w:val="00155694"/>
    <w:rsid w:val="0015590A"/>
    <w:rsid w:val="00155986"/>
    <w:rsid w:val="00155A0A"/>
    <w:rsid w:val="00155B16"/>
    <w:rsid w:val="00155E4B"/>
    <w:rsid w:val="00155E9F"/>
    <w:rsid w:val="00155EB6"/>
    <w:rsid w:val="001564FD"/>
    <w:rsid w:val="00156562"/>
    <w:rsid w:val="001565E4"/>
    <w:rsid w:val="001566DF"/>
    <w:rsid w:val="00156773"/>
    <w:rsid w:val="001567AB"/>
    <w:rsid w:val="001567E4"/>
    <w:rsid w:val="0015680F"/>
    <w:rsid w:val="001569B9"/>
    <w:rsid w:val="00156A46"/>
    <w:rsid w:val="00156C73"/>
    <w:rsid w:val="00156DE4"/>
    <w:rsid w:val="00156DEE"/>
    <w:rsid w:val="00156E0C"/>
    <w:rsid w:val="00156F32"/>
    <w:rsid w:val="00156F59"/>
    <w:rsid w:val="00157028"/>
    <w:rsid w:val="0015702D"/>
    <w:rsid w:val="001570AB"/>
    <w:rsid w:val="001570C2"/>
    <w:rsid w:val="00157209"/>
    <w:rsid w:val="00157275"/>
    <w:rsid w:val="00157460"/>
    <w:rsid w:val="00157542"/>
    <w:rsid w:val="00157A82"/>
    <w:rsid w:val="00157C19"/>
    <w:rsid w:val="00157C37"/>
    <w:rsid w:val="00157CB8"/>
    <w:rsid w:val="00157D26"/>
    <w:rsid w:val="00157ECE"/>
    <w:rsid w:val="00157F5C"/>
    <w:rsid w:val="0015D8DB"/>
    <w:rsid w:val="00160143"/>
    <w:rsid w:val="00160435"/>
    <w:rsid w:val="00160464"/>
    <w:rsid w:val="00160503"/>
    <w:rsid w:val="001605B6"/>
    <w:rsid w:val="00160665"/>
    <w:rsid w:val="00160691"/>
    <w:rsid w:val="00160723"/>
    <w:rsid w:val="00160956"/>
    <w:rsid w:val="00160A07"/>
    <w:rsid w:val="00160A0E"/>
    <w:rsid w:val="00160F73"/>
    <w:rsid w:val="00160F9D"/>
    <w:rsid w:val="00160FBE"/>
    <w:rsid w:val="0016105E"/>
    <w:rsid w:val="0016112F"/>
    <w:rsid w:val="001611F1"/>
    <w:rsid w:val="00161314"/>
    <w:rsid w:val="00161385"/>
    <w:rsid w:val="00161472"/>
    <w:rsid w:val="00161476"/>
    <w:rsid w:val="001614B7"/>
    <w:rsid w:val="001614F2"/>
    <w:rsid w:val="001618B6"/>
    <w:rsid w:val="001619E0"/>
    <w:rsid w:val="001619F1"/>
    <w:rsid w:val="00161B4F"/>
    <w:rsid w:val="00161B98"/>
    <w:rsid w:val="00161E48"/>
    <w:rsid w:val="00162078"/>
    <w:rsid w:val="001620E8"/>
    <w:rsid w:val="001621E2"/>
    <w:rsid w:val="00162362"/>
    <w:rsid w:val="001626C3"/>
    <w:rsid w:val="00162779"/>
    <w:rsid w:val="001627E6"/>
    <w:rsid w:val="001627F1"/>
    <w:rsid w:val="001628D9"/>
    <w:rsid w:val="00162911"/>
    <w:rsid w:val="0016295D"/>
    <w:rsid w:val="00162AC7"/>
    <w:rsid w:val="00162CCE"/>
    <w:rsid w:val="00162FB9"/>
    <w:rsid w:val="001632D7"/>
    <w:rsid w:val="001633A5"/>
    <w:rsid w:val="00163562"/>
    <w:rsid w:val="00163635"/>
    <w:rsid w:val="0016384E"/>
    <w:rsid w:val="001639A7"/>
    <w:rsid w:val="001639F2"/>
    <w:rsid w:val="00163AE5"/>
    <w:rsid w:val="00163E39"/>
    <w:rsid w:val="00163FE5"/>
    <w:rsid w:val="0016403E"/>
    <w:rsid w:val="001640D3"/>
    <w:rsid w:val="00164153"/>
    <w:rsid w:val="001641F5"/>
    <w:rsid w:val="001641FD"/>
    <w:rsid w:val="001642F4"/>
    <w:rsid w:val="00164412"/>
    <w:rsid w:val="00164678"/>
    <w:rsid w:val="001647CC"/>
    <w:rsid w:val="001648FA"/>
    <w:rsid w:val="00164D05"/>
    <w:rsid w:val="00164D96"/>
    <w:rsid w:val="00164EC5"/>
    <w:rsid w:val="00165060"/>
    <w:rsid w:val="001650CA"/>
    <w:rsid w:val="00165113"/>
    <w:rsid w:val="00165198"/>
    <w:rsid w:val="001651AC"/>
    <w:rsid w:val="0016524B"/>
    <w:rsid w:val="00165256"/>
    <w:rsid w:val="0016546B"/>
    <w:rsid w:val="001654DA"/>
    <w:rsid w:val="001655FD"/>
    <w:rsid w:val="0016599C"/>
    <w:rsid w:val="001659D6"/>
    <w:rsid w:val="00165B9B"/>
    <w:rsid w:val="00165D65"/>
    <w:rsid w:val="00165F23"/>
    <w:rsid w:val="001660F6"/>
    <w:rsid w:val="00166239"/>
    <w:rsid w:val="001663E7"/>
    <w:rsid w:val="00166400"/>
    <w:rsid w:val="0016647A"/>
    <w:rsid w:val="00166487"/>
    <w:rsid w:val="0016649F"/>
    <w:rsid w:val="001664BC"/>
    <w:rsid w:val="00166696"/>
    <w:rsid w:val="001667A0"/>
    <w:rsid w:val="001667C9"/>
    <w:rsid w:val="00166934"/>
    <w:rsid w:val="00166ABE"/>
    <w:rsid w:val="00166B28"/>
    <w:rsid w:val="00166CD7"/>
    <w:rsid w:val="00166CF8"/>
    <w:rsid w:val="00166E68"/>
    <w:rsid w:val="00166EFA"/>
    <w:rsid w:val="00166FAF"/>
    <w:rsid w:val="00166FC1"/>
    <w:rsid w:val="00166FCE"/>
    <w:rsid w:val="0016703D"/>
    <w:rsid w:val="0016719C"/>
    <w:rsid w:val="001673C0"/>
    <w:rsid w:val="001675DC"/>
    <w:rsid w:val="001677C7"/>
    <w:rsid w:val="00167918"/>
    <w:rsid w:val="00167BDB"/>
    <w:rsid w:val="00167C36"/>
    <w:rsid w:val="00167C71"/>
    <w:rsid w:val="00167C8F"/>
    <w:rsid w:val="00167D23"/>
    <w:rsid w:val="00167F34"/>
    <w:rsid w:val="00170448"/>
    <w:rsid w:val="00170633"/>
    <w:rsid w:val="0017084C"/>
    <w:rsid w:val="001708C7"/>
    <w:rsid w:val="0017098F"/>
    <w:rsid w:val="001709E2"/>
    <w:rsid w:val="00170C1B"/>
    <w:rsid w:val="00170E4F"/>
    <w:rsid w:val="001710CD"/>
    <w:rsid w:val="0017113A"/>
    <w:rsid w:val="00171254"/>
    <w:rsid w:val="0017135C"/>
    <w:rsid w:val="001713CA"/>
    <w:rsid w:val="001716AD"/>
    <w:rsid w:val="00171849"/>
    <w:rsid w:val="0017189D"/>
    <w:rsid w:val="001719D0"/>
    <w:rsid w:val="00171A54"/>
    <w:rsid w:val="00171AF8"/>
    <w:rsid w:val="00171B8E"/>
    <w:rsid w:val="00171C91"/>
    <w:rsid w:val="00171E7E"/>
    <w:rsid w:val="00171F5B"/>
    <w:rsid w:val="0017225F"/>
    <w:rsid w:val="001722AD"/>
    <w:rsid w:val="00172331"/>
    <w:rsid w:val="001723BA"/>
    <w:rsid w:val="001724F0"/>
    <w:rsid w:val="0017270A"/>
    <w:rsid w:val="001728AD"/>
    <w:rsid w:val="00172C8F"/>
    <w:rsid w:val="00172F2C"/>
    <w:rsid w:val="00173038"/>
    <w:rsid w:val="0017320E"/>
    <w:rsid w:val="0017323A"/>
    <w:rsid w:val="001732F5"/>
    <w:rsid w:val="00173390"/>
    <w:rsid w:val="001735B9"/>
    <w:rsid w:val="001735E0"/>
    <w:rsid w:val="00173AEF"/>
    <w:rsid w:val="00173B95"/>
    <w:rsid w:val="00173C86"/>
    <w:rsid w:val="00173D3E"/>
    <w:rsid w:val="00173EB4"/>
    <w:rsid w:val="00173FE1"/>
    <w:rsid w:val="00174057"/>
    <w:rsid w:val="00174093"/>
    <w:rsid w:val="00174168"/>
    <w:rsid w:val="001742A9"/>
    <w:rsid w:val="001742FF"/>
    <w:rsid w:val="0017430B"/>
    <w:rsid w:val="00174389"/>
    <w:rsid w:val="0017441B"/>
    <w:rsid w:val="0017459C"/>
    <w:rsid w:val="001747FE"/>
    <w:rsid w:val="00174A71"/>
    <w:rsid w:val="00174B00"/>
    <w:rsid w:val="00174BC6"/>
    <w:rsid w:val="00174C10"/>
    <w:rsid w:val="00174C1D"/>
    <w:rsid w:val="00174DFA"/>
    <w:rsid w:val="00174E27"/>
    <w:rsid w:val="00174E52"/>
    <w:rsid w:val="00174FCF"/>
    <w:rsid w:val="00175056"/>
    <w:rsid w:val="001750F6"/>
    <w:rsid w:val="00175215"/>
    <w:rsid w:val="001752CE"/>
    <w:rsid w:val="0017540E"/>
    <w:rsid w:val="0017543C"/>
    <w:rsid w:val="00175447"/>
    <w:rsid w:val="00175467"/>
    <w:rsid w:val="001756AA"/>
    <w:rsid w:val="001758D1"/>
    <w:rsid w:val="0017590D"/>
    <w:rsid w:val="00175976"/>
    <w:rsid w:val="00175997"/>
    <w:rsid w:val="00175A1B"/>
    <w:rsid w:val="00175C7D"/>
    <w:rsid w:val="00175CF6"/>
    <w:rsid w:val="00175D01"/>
    <w:rsid w:val="00175F13"/>
    <w:rsid w:val="00176130"/>
    <w:rsid w:val="001761C2"/>
    <w:rsid w:val="001761E9"/>
    <w:rsid w:val="0017627F"/>
    <w:rsid w:val="001762C6"/>
    <w:rsid w:val="00176323"/>
    <w:rsid w:val="00176573"/>
    <w:rsid w:val="001765E8"/>
    <w:rsid w:val="001767DE"/>
    <w:rsid w:val="00176C59"/>
    <w:rsid w:val="00176DD1"/>
    <w:rsid w:val="00176EB1"/>
    <w:rsid w:val="00176F1E"/>
    <w:rsid w:val="001770C3"/>
    <w:rsid w:val="00177280"/>
    <w:rsid w:val="001773A8"/>
    <w:rsid w:val="00177550"/>
    <w:rsid w:val="0017758C"/>
    <w:rsid w:val="00177884"/>
    <w:rsid w:val="00177B99"/>
    <w:rsid w:val="00177BE5"/>
    <w:rsid w:val="00177DD6"/>
    <w:rsid w:val="0018022C"/>
    <w:rsid w:val="0018029A"/>
    <w:rsid w:val="0018048D"/>
    <w:rsid w:val="0018069F"/>
    <w:rsid w:val="001806B2"/>
    <w:rsid w:val="001806BC"/>
    <w:rsid w:val="001808B3"/>
    <w:rsid w:val="001808D8"/>
    <w:rsid w:val="00180CEE"/>
    <w:rsid w:val="00180D3E"/>
    <w:rsid w:val="00180E19"/>
    <w:rsid w:val="00180E1D"/>
    <w:rsid w:val="00181057"/>
    <w:rsid w:val="00181251"/>
    <w:rsid w:val="00181265"/>
    <w:rsid w:val="0018128F"/>
    <w:rsid w:val="00181393"/>
    <w:rsid w:val="001815E0"/>
    <w:rsid w:val="001815E3"/>
    <w:rsid w:val="00181645"/>
    <w:rsid w:val="001816FF"/>
    <w:rsid w:val="0018174E"/>
    <w:rsid w:val="00181874"/>
    <w:rsid w:val="001818BB"/>
    <w:rsid w:val="001818BD"/>
    <w:rsid w:val="00181E9B"/>
    <w:rsid w:val="0018222D"/>
    <w:rsid w:val="00182703"/>
    <w:rsid w:val="0018270A"/>
    <w:rsid w:val="00182828"/>
    <w:rsid w:val="00182A4A"/>
    <w:rsid w:val="00182B85"/>
    <w:rsid w:val="00182C63"/>
    <w:rsid w:val="00182C93"/>
    <w:rsid w:val="00182CC4"/>
    <w:rsid w:val="00182CC7"/>
    <w:rsid w:val="00182EC9"/>
    <w:rsid w:val="00182FAD"/>
    <w:rsid w:val="00183038"/>
    <w:rsid w:val="00183077"/>
    <w:rsid w:val="00183122"/>
    <w:rsid w:val="00183159"/>
    <w:rsid w:val="001834F7"/>
    <w:rsid w:val="00183558"/>
    <w:rsid w:val="00183828"/>
    <w:rsid w:val="00183882"/>
    <w:rsid w:val="001838BB"/>
    <w:rsid w:val="00183978"/>
    <w:rsid w:val="001839D1"/>
    <w:rsid w:val="00183BC8"/>
    <w:rsid w:val="00183CE3"/>
    <w:rsid w:val="00183D47"/>
    <w:rsid w:val="00183E06"/>
    <w:rsid w:val="00183E0E"/>
    <w:rsid w:val="00183E25"/>
    <w:rsid w:val="00183E51"/>
    <w:rsid w:val="00183ED0"/>
    <w:rsid w:val="00183FE8"/>
    <w:rsid w:val="0018404F"/>
    <w:rsid w:val="00184090"/>
    <w:rsid w:val="001840C2"/>
    <w:rsid w:val="00184220"/>
    <w:rsid w:val="00184305"/>
    <w:rsid w:val="00184411"/>
    <w:rsid w:val="00184450"/>
    <w:rsid w:val="0018449B"/>
    <w:rsid w:val="001844B6"/>
    <w:rsid w:val="00184563"/>
    <w:rsid w:val="0018465B"/>
    <w:rsid w:val="0018475F"/>
    <w:rsid w:val="0018480E"/>
    <w:rsid w:val="00184890"/>
    <w:rsid w:val="001849FF"/>
    <w:rsid w:val="00184BFC"/>
    <w:rsid w:val="00184CBF"/>
    <w:rsid w:val="00184DED"/>
    <w:rsid w:val="00184F58"/>
    <w:rsid w:val="00185097"/>
    <w:rsid w:val="00185116"/>
    <w:rsid w:val="001851A3"/>
    <w:rsid w:val="001851B3"/>
    <w:rsid w:val="001851B9"/>
    <w:rsid w:val="00185317"/>
    <w:rsid w:val="00185353"/>
    <w:rsid w:val="0018548E"/>
    <w:rsid w:val="001855B1"/>
    <w:rsid w:val="001855D7"/>
    <w:rsid w:val="001855DE"/>
    <w:rsid w:val="001857C0"/>
    <w:rsid w:val="001857D1"/>
    <w:rsid w:val="001858F3"/>
    <w:rsid w:val="0018590E"/>
    <w:rsid w:val="00185920"/>
    <w:rsid w:val="001859A6"/>
    <w:rsid w:val="00185AAE"/>
    <w:rsid w:val="00185DC6"/>
    <w:rsid w:val="00185E0A"/>
    <w:rsid w:val="00185FE4"/>
    <w:rsid w:val="001860D4"/>
    <w:rsid w:val="001862A6"/>
    <w:rsid w:val="00186300"/>
    <w:rsid w:val="00186373"/>
    <w:rsid w:val="0018669E"/>
    <w:rsid w:val="0018677A"/>
    <w:rsid w:val="0018687D"/>
    <w:rsid w:val="0018698C"/>
    <w:rsid w:val="00186B25"/>
    <w:rsid w:val="00186C36"/>
    <w:rsid w:val="00186D01"/>
    <w:rsid w:val="00186D99"/>
    <w:rsid w:val="00186EC2"/>
    <w:rsid w:val="00186F7F"/>
    <w:rsid w:val="001871A7"/>
    <w:rsid w:val="00187267"/>
    <w:rsid w:val="00187273"/>
    <w:rsid w:val="001872D9"/>
    <w:rsid w:val="001872E8"/>
    <w:rsid w:val="00187634"/>
    <w:rsid w:val="0018777F"/>
    <w:rsid w:val="00187854"/>
    <w:rsid w:val="00187862"/>
    <w:rsid w:val="00187AC6"/>
    <w:rsid w:val="00187AEF"/>
    <w:rsid w:val="00187C1E"/>
    <w:rsid w:val="00187CB3"/>
    <w:rsid w:val="00187EFC"/>
    <w:rsid w:val="0019021E"/>
    <w:rsid w:val="00190399"/>
    <w:rsid w:val="001903B2"/>
    <w:rsid w:val="001903BD"/>
    <w:rsid w:val="001903EE"/>
    <w:rsid w:val="00190596"/>
    <w:rsid w:val="00190880"/>
    <w:rsid w:val="001908FD"/>
    <w:rsid w:val="00190A70"/>
    <w:rsid w:val="00190B03"/>
    <w:rsid w:val="00190B24"/>
    <w:rsid w:val="00190D55"/>
    <w:rsid w:val="00190F9A"/>
    <w:rsid w:val="0019161D"/>
    <w:rsid w:val="00191661"/>
    <w:rsid w:val="001918C6"/>
    <w:rsid w:val="00191937"/>
    <w:rsid w:val="00191B2D"/>
    <w:rsid w:val="00191B83"/>
    <w:rsid w:val="00191CB7"/>
    <w:rsid w:val="00191D74"/>
    <w:rsid w:val="00191DEC"/>
    <w:rsid w:val="00191F2B"/>
    <w:rsid w:val="00191FB6"/>
    <w:rsid w:val="0019201A"/>
    <w:rsid w:val="0019215A"/>
    <w:rsid w:val="00192357"/>
    <w:rsid w:val="00192457"/>
    <w:rsid w:val="0019258A"/>
    <w:rsid w:val="00192659"/>
    <w:rsid w:val="00192864"/>
    <w:rsid w:val="001929EE"/>
    <w:rsid w:val="00192AA2"/>
    <w:rsid w:val="00192B7D"/>
    <w:rsid w:val="00192BCF"/>
    <w:rsid w:val="00192F9A"/>
    <w:rsid w:val="00193015"/>
    <w:rsid w:val="00193109"/>
    <w:rsid w:val="00193122"/>
    <w:rsid w:val="00193232"/>
    <w:rsid w:val="001932B3"/>
    <w:rsid w:val="0019335A"/>
    <w:rsid w:val="00193479"/>
    <w:rsid w:val="0019350D"/>
    <w:rsid w:val="001936C5"/>
    <w:rsid w:val="001938A4"/>
    <w:rsid w:val="001939EB"/>
    <w:rsid w:val="00193BBC"/>
    <w:rsid w:val="00193BC6"/>
    <w:rsid w:val="00193C53"/>
    <w:rsid w:val="00193DC2"/>
    <w:rsid w:val="00193EC5"/>
    <w:rsid w:val="00194050"/>
    <w:rsid w:val="0019405C"/>
    <w:rsid w:val="00194434"/>
    <w:rsid w:val="001944C3"/>
    <w:rsid w:val="001944FB"/>
    <w:rsid w:val="00194714"/>
    <w:rsid w:val="00194745"/>
    <w:rsid w:val="00194886"/>
    <w:rsid w:val="0019489D"/>
    <w:rsid w:val="00194E78"/>
    <w:rsid w:val="00194E96"/>
    <w:rsid w:val="00194F67"/>
    <w:rsid w:val="00194F82"/>
    <w:rsid w:val="0019504D"/>
    <w:rsid w:val="001950B5"/>
    <w:rsid w:val="00195280"/>
    <w:rsid w:val="001952B6"/>
    <w:rsid w:val="001952E8"/>
    <w:rsid w:val="0019533C"/>
    <w:rsid w:val="00195395"/>
    <w:rsid w:val="00195585"/>
    <w:rsid w:val="001955A9"/>
    <w:rsid w:val="00195621"/>
    <w:rsid w:val="001956D7"/>
    <w:rsid w:val="001958E9"/>
    <w:rsid w:val="00195B89"/>
    <w:rsid w:val="00195C2A"/>
    <w:rsid w:val="00195D79"/>
    <w:rsid w:val="00195E60"/>
    <w:rsid w:val="00195F3D"/>
    <w:rsid w:val="00195FF9"/>
    <w:rsid w:val="001961C1"/>
    <w:rsid w:val="001962BB"/>
    <w:rsid w:val="001962EC"/>
    <w:rsid w:val="001963A9"/>
    <w:rsid w:val="00196425"/>
    <w:rsid w:val="0019654D"/>
    <w:rsid w:val="00196722"/>
    <w:rsid w:val="001967DB"/>
    <w:rsid w:val="0019682A"/>
    <w:rsid w:val="00196A80"/>
    <w:rsid w:val="00196A84"/>
    <w:rsid w:val="00196B71"/>
    <w:rsid w:val="00196C83"/>
    <w:rsid w:val="00196E66"/>
    <w:rsid w:val="00196F46"/>
    <w:rsid w:val="00197124"/>
    <w:rsid w:val="001971AE"/>
    <w:rsid w:val="001975C8"/>
    <w:rsid w:val="00197642"/>
    <w:rsid w:val="001976DF"/>
    <w:rsid w:val="0019780B"/>
    <w:rsid w:val="001978C7"/>
    <w:rsid w:val="001978FD"/>
    <w:rsid w:val="0019795E"/>
    <w:rsid w:val="001979AB"/>
    <w:rsid w:val="00197A1B"/>
    <w:rsid w:val="00197E32"/>
    <w:rsid w:val="00197F2E"/>
    <w:rsid w:val="001A0000"/>
    <w:rsid w:val="001A005F"/>
    <w:rsid w:val="001A0093"/>
    <w:rsid w:val="001A0330"/>
    <w:rsid w:val="001A036E"/>
    <w:rsid w:val="001A03AC"/>
    <w:rsid w:val="001A044C"/>
    <w:rsid w:val="001A04A4"/>
    <w:rsid w:val="001A05B9"/>
    <w:rsid w:val="001A065E"/>
    <w:rsid w:val="001A0726"/>
    <w:rsid w:val="001A07DA"/>
    <w:rsid w:val="001A07F1"/>
    <w:rsid w:val="001A084E"/>
    <w:rsid w:val="001A0A6F"/>
    <w:rsid w:val="001A0EE1"/>
    <w:rsid w:val="001A0F2F"/>
    <w:rsid w:val="001A0FC0"/>
    <w:rsid w:val="001A0FD8"/>
    <w:rsid w:val="001A0FF9"/>
    <w:rsid w:val="001A14E5"/>
    <w:rsid w:val="001A1554"/>
    <w:rsid w:val="001A1637"/>
    <w:rsid w:val="001A169B"/>
    <w:rsid w:val="001A17D5"/>
    <w:rsid w:val="001A1820"/>
    <w:rsid w:val="001A18AF"/>
    <w:rsid w:val="001A1A9E"/>
    <w:rsid w:val="001A1B38"/>
    <w:rsid w:val="001A1CF6"/>
    <w:rsid w:val="001A1CFE"/>
    <w:rsid w:val="001A1E10"/>
    <w:rsid w:val="001A1EF1"/>
    <w:rsid w:val="001A257A"/>
    <w:rsid w:val="001A26DE"/>
    <w:rsid w:val="001A27AA"/>
    <w:rsid w:val="001A29AA"/>
    <w:rsid w:val="001A2A03"/>
    <w:rsid w:val="001A2C81"/>
    <w:rsid w:val="001A2D51"/>
    <w:rsid w:val="001A2F9D"/>
    <w:rsid w:val="001A2FD0"/>
    <w:rsid w:val="001A30D7"/>
    <w:rsid w:val="001A31E4"/>
    <w:rsid w:val="001A347A"/>
    <w:rsid w:val="001A35FC"/>
    <w:rsid w:val="001A36E8"/>
    <w:rsid w:val="001A3753"/>
    <w:rsid w:val="001A3832"/>
    <w:rsid w:val="001A3A28"/>
    <w:rsid w:val="001A3AEA"/>
    <w:rsid w:val="001A3B0B"/>
    <w:rsid w:val="001A3B41"/>
    <w:rsid w:val="001A3B51"/>
    <w:rsid w:val="001A3B90"/>
    <w:rsid w:val="001A3C97"/>
    <w:rsid w:val="001A3CA2"/>
    <w:rsid w:val="001A3D0A"/>
    <w:rsid w:val="001A3DF8"/>
    <w:rsid w:val="001A3EA1"/>
    <w:rsid w:val="001A4332"/>
    <w:rsid w:val="001A4432"/>
    <w:rsid w:val="001A44AB"/>
    <w:rsid w:val="001A44E5"/>
    <w:rsid w:val="001A4524"/>
    <w:rsid w:val="001A4614"/>
    <w:rsid w:val="001A4620"/>
    <w:rsid w:val="001A465A"/>
    <w:rsid w:val="001A472C"/>
    <w:rsid w:val="001A478E"/>
    <w:rsid w:val="001A48E2"/>
    <w:rsid w:val="001A4BBE"/>
    <w:rsid w:val="001A4CE1"/>
    <w:rsid w:val="001A4D10"/>
    <w:rsid w:val="001A4D2B"/>
    <w:rsid w:val="001A4E58"/>
    <w:rsid w:val="001A4F3C"/>
    <w:rsid w:val="001A509E"/>
    <w:rsid w:val="001A512E"/>
    <w:rsid w:val="001A5140"/>
    <w:rsid w:val="001A51C1"/>
    <w:rsid w:val="001A5463"/>
    <w:rsid w:val="001A54AA"/>
    <w:rsid w:val="001A570C"/>
    <w:rsid w:val="001A599A"/>
    <w:rsid w:val="001A5BE6"/>
    <w:rsid w:val="001A5C27"/>
    <w:rsid w:val="001A5D81"/>
    <w:rsid w:val="001A5E41"/>
    <w:rsid w:val="001A5E9A"/>
    <w:rsid w:val="001A5EFC"/>
    <w:rsid w:val="001A6240"/>
    <w:rsid w:val="001A64C6"/>
    <w:rsid w:val="001A6504"/>
    <w:rsid w:val="001A6513"/>
    <w:rsid w:val="001A66D4"/>
    <w:rsid w:val="001A671B"/>
    <w:rsid w:val="001A6836"/>
    <w:rsid w:val="001A6919"/>
    <w:rsid w:val="001A69E3"/>
    <w:rsid w:val="001A6D85"/>
    <w:rsid w:val="001A6E80"/>
    <w:rsid w:val="001A6FDA"/>
    <w:rsid w:val="001A6FE6"/>
    <w:rsid w:val="001A701F"/>
    <w:rsid w:val="001A7202"/>
    <w:rsid w:val="001A72E3"/>
    <w:rsid w:val="001A73FE"/>
    <w:rsid w:val="001A744C"/>
    <w:rsid w:val="001A74AE"/>
    <w:rsid w:val="001A761B"/>
    <w:rsid w:val="001A7933"/>
    <w:rsid w:val="001A79A3"/>
    <w:rsid w:val="001A7B4C"/>
    <w:rsid w:val="001A7B61"/>
    <w:rsid w:val="001A7BD1"/>
    <w:rsid w:val="001A7C67"/>
    <w:rsid w:val="001A7D6D"/>
    <w:rsid w:val="001A7EA2"/>
    <w:rsid w:val="001A7EBF"/>
    <w:rsid w:val="001B0153"/>
    <w:rsid w:val="001B02DF"/>
    <w:rsid w:val="001B02FF"/>
    <w:rsid w:val="001B0394"/>
    <w:rsid w:val="001B03A6"/>
    <w:rsid w:val="001B03B2"/>
    <w:rsid w:val="001B03E7"/>
    <w:rsid w:val="001B0417"/>
    <w:rsid w:val="001B041E"/>
    <w:rsid w:val="001B04AF"/>
    <w:rsid w:val="001B0583"/>
    <w:rsid w:val="001B06D6"/>
    <w:rsid w:val="001B07AF"/>
    <w:rsid w:val="001B0B3E"/>
    <w:rsid w:val="001B0CAD"/>
    <w:rsid w:val="001B0D53"/>
    <w:rsid w:val="001B0FC7"/>
    <w:rsid w:val="001B1151"/>
    <w:rsid w:val="001B1210"/>
    <w:rsid w:val="001B13EE"/>
    <w:rsid w:val="001B151C"/>
    <w:rsid w:val="001B1634"/>
    <w:rsid w:val="001B16B7"/>
    <w:rsid w:val="001B16CC"/>
    <w:rsid w:val="001B19AA"/>
    <w:rsid w:val="001B1A28"/>
    <w:rsid w:val="001B1A4B"/>
    <w:rsid w:val="001B1C33"/>
    <w:rsid w:val="001B1C41"/>
    <w:rsid w:val="001B1C51"/>
    <w:rsid w:val="001B1E17"/>
    <w:rsid w:val="001B1F24"/>
    <w:rsid w:val="001B201E"/>
    <w:rsid w:val="001B215C"/>
    <w:rsid w:val="001B218F"/>
    <w:rsid w:val="001B21E5"/>
    <w:rsid w:val="001B238F"/>
    <w:rsid w:val="001B289E"/>
    <w:rsid w:val="001B2903"/>
    <w:rsid w:val="001B290B"/>
    <w:rsid w:val="001B2978"/>
    <w:rsid w:val="001B2B26"/>
    <w:rsid w:val="001B2CB8"/>
    <w:rsid w:val="001B2CEF"/>
    <w:rsid w:val="001B2D31"/>
    <w:rsid w:val="001B2D8D"/>
    <w:rsid w:val="001B305C"/>
    <w:rsid w:val="001B3221"/>
    <w:rsid w:val="001B3490"/>
    <w:rsid w:val="001B34EB"/>
    <w:rsid w:val="001B3747"/>
    <w:rsid w:val="001B3A74"/>
    <w:rsid w:val="001B3AFB"/>
    <w:rsid w:val="001B3B01"/>
    <w:rsid w:val="001B3BD1"/>
    <w:rsid w:val="001B3C0A"/>
    <w:rsid w:val="001B3CA6"/>
    <w:rsid w:val="001B3F1D"/>
    <w:rsid w:val="001B407D"/>
    <w:rsid w:val="001B4094"/>
    <w:rsid w:val="001B4457"/>
    <w:rsid w:val="001B459F"/>
    <w:rsid w:val="001B4675"/>
    <w:rsid w:val="001B4741"/>
    <w:rsid w:val="001B481F"/>
    <w:rsid w:val="001B482A"/>
    <w:rsid w:val="001B4841"/>
    <w:rsid w:val="001B48C9"/>
    <w:rsid w:val="001B497A"/>
    <w:rsid w:val="001B49EE"/>
    <w:rsid w:val="001B4A55"/>
    <w:rsid w:val="001B4ADC"/>
    <w:rsid w:val="001B4B74"/>
    <w:rsid w:val="001B4BAB"/>
    <w:rsid w:val="001B4C9B"/>
    <w:rsid w:val="001B4CC3"/>
    <w:rsid w:val="001B4D5D"/>
    <w:rsid w:val="001B4E08"/>
    <w:rsid w:val="001B4E44"/>
    <w:rsid w:val="001B4F4C"/>
    <w:rsid w:val="001B4FB1"/>
    <w:rsid w:val="001B50E4"/>
    <w:rsid w:val="001B512F"/>
    <w:rsid w:val="001B520D"/>
    <w:rsid w:val="001B5215"/>
    <w:rsid w:val="001B52BF"/>
    <w:rsid w:val="001B553B"/>
    <w:rsid w:val="001B55D6"/>
    <w:rsid w:val="001B5750"/>
    <w:rsid w:val="001B5A9B"/>
    <w:rsid w:val="001B5B5A"/>
    <w:rsid w:val="001B5BEA"/>
    <w:rsid w:val="001B5C24"/>
    <w:rsid w:val="001B5DC3"/>
    <w:rsid w:val="001B5FC6"/>
    <w:rsid w:val="001B60C7"/>
    <w:rsid w:val="001B6191"/>
    <w:rsid w:val="001B61DC"/>
    <w:rsid w:val="001B6318"/>
    <w:rsid w:val="001B633D"/>
    <w:rsid w:val="001B6613"/>
    <w:rsid w:val="001B6750"/>
    <w:rsid w:val="001B67FD"/>
    <w:rsid w:val="001B6A08"/>
    <w:rsid w:val="001B6BC7"/>
    <w:rsid w:val="001B6C0F"/>
    <w:rsid w:val="001B6D14"/>
    <w:rsid w:val="001B6E1A"/>
    <w:rsid w:val="001B6FE5"/>
    <w:rsid w:val="001B73BC"/>
    <w:rsid w:val="001B7445"/>
    <w:rsid w:val="001B7580"/>
    <w:rsid w:val="001B7703"/>
    <w:rsid w:val="001B789F"/>
    <w:rsid w:val="001B7B2F"/>
    <w:rsid w:val="001B7BAD"/>
    <w:rsid w:val="001B7C75"/>
    <w:rsid w:val="001B7FBE"/>
    <w:rsid w:val="001B7FF6"/>
    <w:rsid w:val="001C01D5"/>
    <w:rsid w:val="001C01FD"/>
    <w:rsid w:val="001C0204"/>
    <w:rsid w:val="001C04CB"/>
    <w:rsid w:val="001C0644"/>
    <w:rsid w:val="001C07BF"/>
    <w:rsid w:val="001C09D8"/>
    <w:rsid w:val="001C0AEA"/>
    <w:rsid w:val="001C0B58"/>
    <w:rsid w:val="001C0C02"/>
    <w:rsid w:val="001C0CD7"/>
    <w:rsid w:val="001C0DF8"/>
    <w:rsid w:val="001C0E6B"/>
    <w:rsid w:val="001C0EAC"/>
    <w:rsid w:val="001C1014"/>
    <w:rsid w:val="001C130A"/>
    <w:rsid w:val="001C1387"/>
    <w:rsid w:val="001C1413"/>
    <w:rsid w:val="001C1475"/>
    <w:rsid w:val="001C163F"/>
    <w:rsid w:val="001C17AA"/>
    <w:rsid w:val="001C183B"/>
    <w:rsid w:val="001C18DC"/>
    <w:rsid w:val="001C1A4B"/>
    <w:rsid w:val="001C1A5B"/>
    <w:rsid w:val="001C1C9E"/>
    <w:rsid w:val="001C1D99"/>
    <w:rsid w:val="001C1E52"/>
    <w:rsid w:val="001C21A2"/>
    <w:rsid w:val="001C220B"/>
    <w:rsid w:val="001C2475"/>
    <w:rsid w:val="001C25B7"/>
    <w:rsid w:val="001C26BE"/>
    <w:rsid w:val="001C26C8"/>
    <w:rsid w:val="001C26E8"/>
    <w:rsid w:val="001C2767"/>
    <w:rsid w:val="001C27A1"/>
    <w:rsid w:val="001C27F0"/>
    <w:rsid w:val="001C28AB"/>
    <w:rsid w:val="001C2A5B"/>
    <w:rsid w:val="001C2B5A"/>
    <w:rsid w:val="001C2B68"/>
    <w:rsid w:val="001C2B8E"/>
    <w:rsid w:val="001C2B99"/>
    <w:rsid w:val="001C2C66"/>
    <w:rsid w:val="001C31B7"/>
    <w:rsid w:val="001C32B6"/>
    <w:rsid w:val="001C334D"/>
    <w:rsid w:val="001C3363"/>
    <w:rsid w:val="001C3567"/>
    <w:rsid w:val="001C35F8"/>
    <w:rsid w:val="001C36DB"/>
    <w:rsid w:val="001C36E4"/>
    <w:rsid w:val="001C3A1B"/>
    <w:rsid w:val="001C3DDE"/>
    <w:rsid w:val="001C3EA4"/>
    <w:rsid w:val="001C3F19"/>
    <w:rsid w:val="001C4104"/>
    <w:rsid w:val="001C42BD"/>
    <w:rsid w:val="001C430E"/>
    <w:rsid w:val="001C462F"/>
    <w:rsid w:val="001C4874"/>
    <w:rsid w:val="001C4B56"/>
    <w:rsid w:val="001C4B81"/>
    <w:rsid w:val="001C4B9F"/>
    <w:rsid w:val="001C4BB7"/>
    <w:rsid w:val="001C4BF6"/>
    <w:rsid w:val="001C4C08"/>
    <w:rsid w:val="001C4CCD"/>
    <w:rsid w:val="001C4CE6"/>
    <w:rsid w:val="001C4CFD"/>
    <w:rsid w:val="001C4F6F"/>
    <w:rsid w:val="001C50CF"/>
    <w:rsid w:val="001C53E6"/>
    <w:rsid w:val="001C5728"/>
    <w:rsid w:val="001C57B4"/>
    <w:rsid w:val="001C5A83"/>
    <w:rsid w:val="001C5CC7"/>
    <w:rsid w:val="001C5D5A"/>
    <w:rsid w:val="001C5E43"/>
    <w:rsid w:val="001C6041"/>
    <w:rsid w:val="001C6151"/>
    <w:rsid w:val="001C6219"/>
    <w:rsid w:val="001C630F"/>
    <w:rsid w:val="001C6332"/>
    <w:rsid w:val="001C63F5"/>
    <w:rsid w:val="001C6412"/>
    <w:rsid w:val="001C650E"/>
    <w:rsid w:val="001C663D"/>
    <w:rsid w:val="001C67DE"/>
    <w:rsid w:val="001C684A"/>
    <w:rsid w:val="001C6861"/>
    <w:rsid w:val="001C688D"/>
    <w:rsid w:val="001C6930"/>
    <w:rsid w:val="001C6932"/>
    <w:rsid w:val="001C6B57"/>
    <w:rsid w:val="001C6CD4"/>
    <w:rsid w:val="001C6E3B"/>
    <w:rsid w:val="001C702F"/>
    <w:rsid w:val="001C716E"/>
    <w:rsid w:val="001C71BF"/>
    <w:rsid w:val="001C76B0"/>
    <w:rsid w:val="001C7738"/>
    <w:rsid w:val="001C7739"/>
    <w:rsid w:val="001C7769"/>
    <w:rsid w:val="001C7804"/>
    <w:rsid w:val="001C7814"/>
    <w:rsid w:val="001C7946"/>
    <w:rsid w:val="001C7A4D"/>
    <w:rsid w:val="001C7B22"/>
    <w:rsid w:val="001C7C39"/>
    <w:rsid w:val="001C7D58"/>
    <w:rsid w:val="001C7FC8"/>
    <w:rsid w:val="001CBF08"/>
    <w:rsid w:val="001D007D"/>
    <w:rsid w:val="001D01C4"/>
    <w:rsid w:val="001D02A1"/>
    <w:rsid w:val="001D03B8"/>
    <w:rsid w:val="001D03F2"/>
    <w:rsid w:val="001D043C"/>
    <w:rsid w:val="001D081D"/>
    <w:rsid w:val="001D0928"/>
    <w:rsid w:val="001D096A"/>
    <w:rsid w:val="001D09CC"/>
    <w:rsid w:val="001D0A8F"/>
    <w:rsid w:val="001D0AF4"/>
    <w:rsid w:val="001D0CEE"/>
    <w:rsid w:val="001D0D18"/>
    <w:rsid w:val="001D0DFC"/>
    <w:rsid w:val="001D0EDC"/>
    <w:rsid w:val="001D111B"/>
    <w:rsid w:val="001D126C"/>
    <w:rsid w:val="001D12D6"/>
    <w:rsid w:val="001D1505"/>
    <w:rsid w:val="001D1544"/>
    <w:rsid w:val="001D162D"/>
    <w:rsid w:val="001D17D1"/>
    <w:rsid w:val="001D1A0D"/>
    <w:rsid w:val="001D1AFC"/>
    <w:rsid w:val="001D1B4D"/>
    <w:rsid w:val="001D1C19"/>
    <w:rsid w:val="001D1CCD"/>
    <w:rsid w:val="001D1DAA"/>
    <w:rsid w:val="001D1FC0"/>
    <w:rsid w:val="001D1FD8"/>
    <w:rsid w:val="001D2026"/>
    <w:rsid w:val="001D2058"/>
    <w:rsid w:val="001D2096"/>
    <w:rsid w:val="001D2230"/>
    <w:rsid w:val="001D2440"/>
    <w:rsid w:val="001D247E"/>
    <w:rsid w:val="001D2716"/>
    <w:rsid w:val="001D2776"/>
    <w:rsid w:val="001D2820"/>
    <w:rsid w:val="001D288B"/>
    <w:rsid w:val="001D28D5"/>
    <w:rsid w:val="001D28EF"/>
    <w:rsid w:val="001D29D4"/>
    <w:rsid w:val="001D2A35"/>
    <w:rsid w:val="001D2AFA"/>
    <w:rsid w:val="001D2B57"/>
    <w:rsid w:val="001D2CA9"/>
    <w:rsid w:val="001D2E22"/>
    <w:rsid w:val="001D2FFE"/>
    <w:rsid w:val="001D3092"/>
    <w:rsid w:val="001D32D1"/>
    <w:rsid w:val="001D3376"/>
    <w:rsid w:val="001D359B"/>
    <w:rsid w:val="001D35CF"/>
    <w:rsid w:val="001D36E6"/>
    <w:rsid w:val="001D392C"/>
    <w:rsid w:val="001D39B4"/>
    <w:rsid w:val="001D3A43"/>
    <w:rsid w:val="001D3B6D"/>
    <w:rsid w:val="001D3C11"/>
    <w:rsid w:val="001D3CDF"/>
    <w:rsid w:val="001D3D52"/>
    <w:rsid w:val="001D3E3C"/>
    <w:rsid w:val="001D3E93"/>
    <w:rsid w:val="001D3FD0"/>
    <w:rsid w:val="001D4023"/>
    <w:rsid w:val="001D4079"/>
    <w:rsid w:val="001D409D"/>
    <w:rsid w:val="001D40CE"/>
    <w:rsid w:val="001D42CC"/>
    <w:rsid w:val="001D43AA"/>
    <w:rsid w:val="001D4441"/>
    <w:rsid w:val="001D4465"/>
    <w:rsid w:val="001D44A3"/>
    <w:rsid w:val="001D4568"/>
    <w:rsid w:val="001D4621"/>
    <w:rsid w:val="001D46FE"/>
    <w:rsid w:val="001D4881"/>
    <w:rsid w:val="001D49A3"/>
    <w:rsid w:val="001D4AA8"/>
    <w:rsid w:val="001D4CAE"/>
    <w:rsid w:val="001D4CEE"/>
    <w:rsid w:val="001D4D42"/>
    <w:rsid w:val="001D4E38"/>
    <w:rsid w:val="001D4F6A"/>
    <w:rsid w:val="001D4F70"/>
    <w:rsid w:val="001D519B"/>
    <w:rsid w:val="001D52E0"/>
    <w:rsid w:val="001D53AB"/>
    <w:rsid w:val="001D546F"/>
    <w:rsid w:val="001D5472"/>
    <w:rsid w:val="001D54F3"/>
    <w:rsid w:val="001D5555"/>
    <w:rsid w:val="001D585C"/>
    <w:rsid w:val="001D59DC"/>
    <w:rsid w:val="001D5A3C"/>
    <w:rsid w:val="001D5AC3"/>
    <w:rsid w:val="001D5C79"/>
    <w:rsid w:val="001D5D15"/>
    <w:rsid w:val="001D5E0B"/>
    <w:rsid w:val="001D5E3B"/>
    <w:rsid w:val="001D5EC9"/>
    <w:rsid w:val="001D622B"/>
    <w:rsid w:val="001D6231"/>
    <w:rsid w:val="001D6407"/>
    <w:rsid w:val="001D663B"/>
    <w:rsid w:val="001D666A"/>
    <w:rsid w:val="001D668C"/>
    <w:rsid w:val="001D6693"/>
    <w:rsid w:val="001D66C4"/>
    <w:rsid w:val="001D66DE"/>
    <w:rsid w:val="001D67EB"/>
    <w:rsid w:val="001D684F"/>
    <w:rsid w:val="001D6898"/>
    <w:rsid w:val="001D68E5"/>
    <w:rsid w:val="001D6A05"/>
    <w:rsid w:val="001D6A71"/>
    <w:rsid w:val="001D6B34"/>
    <w:rsid w:val="001D6B90"/>
    <w:rsid w:val="001D6C66"/>
    <w:rsid w:val="001D6D7E"/>
    <w:rsid w:val="001D6E1E"/>
    <w:rsid w:val="001D6E88"/>
    <w:rsid w:val="001D6FD0"/>
    <w:rsid w:val="001D70F9"/>
    <w:rsid w:val="001D72E2"/>
    <w:rsid w:val="001D732A"/>
    <w:rsid w:val="001D7660"/>
    <w:rsid w:val="001D769B"/>
    <w:rsid w:val="001D77A5"/>
    <w:rsid w:val="001D79F4"/>
    <w:rsid w:val="001D79FD"/>
    <w:rsid w:val="001D7CED"/>
    <w:rsid w:val="001D7E16"/>
    <w:rsid w:val="001D7FB7"/>
    <w:rsid w:val="001E00AE"/>
    <w:rsid w:val="001E00BE"/>
    <w:rsid w:val="001E00D1"/>
    <w:rsid w:val="001E0192"/>
    <w:rsid w:val="001E0320"/>
    <w:rsid w:val="001E0389"/>
    <w:rsid w:val="001E040C"/>
    <w:rsid w:val="001E0461"/>
    <w:rsid w:val="001E069F"/>
    <w:rsid w:val="001E073A"/>
    <w:rsid w:val="001E07B7"/>
    <w:rsid w:val="001E07BF"/>
    <w:rsid w:val="001E0EE4"/>
    <w:rsid w:val="001E0FD1"/>
    <w:rsid w:val="001E1128"/>
    <w:rsid w:val="001E113C"/>
    <w:rsid w:val="001E1227"/>
    <w:rsid w:val="001E127A"/>
    <w:rsid w:val="001E12CC"/>
    <w:rsid w:val="001E144E"/>
    <w:rsid w:val="001E1457"/>
    <w:rsid w:val="001E152A"/>
    <w:rsid w:val="001E156D"/>
    <w:rsid w:val="001E1617"/>
    <w:rsid w:val="001E1735"/>
    <w:rsid w:val="001E1758"/>
    <w:rsid w:val="001E1820"/>
    <w:rsid w:val="001E192B"/>
    <w:rsid w:val="001E19A8"/>
    <w:rsid w:val="001E19BD"/>
    <w:rsid w:val="001E1B06"/>
    <w:rsid w:val="001E1B8C"/>
    <w:rsid w:val="001E1B92"/>
    <w:rsid w:val="001E1DA0"/>
    <w:rsid w:val="001E1DF3"/>
    <w:rsid w:val="001E20F9"/>
    <w:rsid w:val="001E22F4"/>
    <w:rsid w:val="001E2313"/>
    <w:rsid w:val="001E23C8"/>
    <w:rsid w:val="001E2584"/>
    <w:rsid w:val="001E25A6"/>
    <w:rsid w:val="001E27D9"/>
    <w:rsid w:val="001E280A"/>
    <w:rsid w:val="001E2894"/>
    <w:rsid w:val="001E2AE8"/>
    <w:rsid w:val="001E2B11"/>
    <w:rsid w:val="001E2BD6"/>
    <w:rsid w:val="001E2D79"/>
    <w:rsid w:val="001E2DE1"/>
    <w:rsid w:val="001E2E4F"/>
    <w:rsid w:val="001E3357"/>
    <w:rsid w:val="001E36FE"/>
    <w:rsid w:val="001E3705"/>
    <w:rsid w:val="001E3712"/>
    <w:rsid w:val="001E3716"/>
    <w:rsid w:val="001E3739"/>
    <w:rsid w:val="001E37EC"/>
    <w:rsid w:val="001E39BE"/>
    <w:rsid w:val="001E3A37"/>
    <w:rsid w:val="001E3B65"/>
    <w:rsid w:val="001E3BD2"/>
    <w:rsid w:val="001E3C80"/>
    <w:rsid w:val="001E3C95"/>
    <w:rsid w:val="001E3CBB"/>
    <w:rsid w:val="001E3EF4"/>
    <w:rsid w:val="001E4114"/>
    <w:rsid w:val="001E418B"/>
    <w:rsid w:val="001E43AF"/>
    <w:rsid w:val="001E43CA"/>
    <w:rsid w:val="001E4411"/>
    <w:rsid w:val="001E4712"/>
    <w:rsid w:val="001E48E3"/>
    <w:rsid w:val="001E49C6"/>
    <w:rsid w:val="001E4A34"/>
    <w:rsid w:val="001E4C09"/>
    <w:rsid w:val="001E4D76"/>
    <w:rsid w:val="001E4DC0"/>
    <w:rsid w:val="001E4EA0"/>
    <w:rsid w:val="001E4F80"/>
    <w:rsid w:val="001E50BE"/>
    <w:rsid w:val="001E519E"/>
    <w:rsid w:val="001E545C"/>
    <w:rsid w:val="001E5758"/>
    <w:rsid w:val="001E598E"/>
    <w:rsid w:val="001E5A03"/>
    <w:rsid w:val="001E5B93"/>
    <w:rsid w:val="001E5BD6"/>
    <w:rsid w:val="001E5FCF"/>
    <w:rsid w:val="001E5FD9"/>
    <w:rsid w:val="001E5FE5"/>
    <w:rsid w:val="001E631B"/>
    <w:rsid w:val="001E664C"/>
    <w:rsid w:val="001E6663"/>
    <w:rsid w:val="001E67FD"/>
    <w:rsid w:val="001E69A2"/>
    <w:rsid w:val="001E6A2D"/>
    <w:rsid w:val="001E6CCF"/>
    <w:rsid w:val="001E6F66"/>
    <w:rsid w:val="001E7187"/>
    <w:rsid w:val="001E71C8"/>
    <w:rsid w:val="001E733D"/>
    <w:rsid w:val="001E734F"/>
    <w:rsid w:val="001E7388"/>
    <w:rsid w:val="001E73CD"/>
    <w:rsid w:val="001E7515"/>
    <w:rsid w:val="001E7683"/>
    <w:rsid w:val="001E76AC"/>
    <w:rsid w:val="001E77E2"/>
    <w:rsid w:val="001E790F"/>
    <w:rsid w:val="001E79B9"/>
    <w:rsid w:val="001E7BD8"/>
    <w:rsid w:val="001E7CC2"/>
    <w:rsid w:val="001E7D08"/>
    <w:rsid w:val="001E7EC2"/>
    <w:rsid w:val="001E7F86"/>
    <w:rsid w:val="001E7FA3"/>
    <w:rsid w:val="001E7FFE"/>
    <w:rsid w:val="001F00D4"/>
    <w:rsid w:val="001F00ED"/>
    <w:rsid w:val="001F0178"/>
    <w:rsid w:val="001F0369"/>
    <w:rsid w:val="001F03AC"/>
    <w:rsid w:val="001F03CE"/>
    <w:rsid w:val="001F043E"/>
    <w:rsid w:val="001F0486"/>
    <w:rsid w:val="001F0676"/>
    <w:rsid w:val="001F0681"/>
    <w:rsid w:val="001F0723"/>
    <w:rsid w:val="001F0782"/>
    <w:rsid w:val="001F0A12"/>
    <w:rsid w:val="001F0E37"/>
    <w:rsid w:val="001F0E66"/>
    <w:rsid w:val="001F0FAE"/>
    <w:rsid w:val="001F100B"/>
    <w:rsid w:val="001F1121"/>
    <w:rsid w:val="001F140A"/>
    <w:rsid w:val="001F15FE"/>
    <w:rsid w:val="001F1627"/>
    <w:rsid w:val="001F1826"/>
    <w:rsid w:val="001F1928"/>
    <w:rsid w:val="001F19B0"/>
    <w:rsid w:val="001F1B31"/>
    <w:rsid w:val="001F1CD5"/>
    <w:rsid w:val="001F1DAC"/>
    <w:rsid w:val="001F1F37"/>
    <w:rsid w:val="001F1F4B"/>
    <w:rsid w:val="001F1F4C"/>
    <w:rsid w:val="001F1FAB"/>
    <w:rsid w:val="001F1FF9"/>
    <w:rsid w:val="001F203E"/>
    <w:rsid w:val="001F21CA"/>
    <w:rsid w:val="001F2256"/>
    <w:rsid w:val="001F22D8"/>
    <w:rsid w:val="001F2303"/>
    <w:rsid w:val="001F23B4"/>
    <w:rsid w:val="001F2559"/>
    <w:rsid w:val="001F263F"/>
    <w:rsid w:val="001F2736"/>
    <w:rsid w:val="001F278C"/>
    <w:rsid w:val="001F27B9"/>
    <w:rsid w:val="001F28A9"/>
    <w:rsid w:val="001F28DE"/>
    <w:rsid w:val="001F292F"/>
    <w:rsid w:val="001F2A76"/>
    <w:rsid w:val="001F2C6C"/>
    <w:rsid w:val="001F2E16"/>
    <w:rsid w:val="001F30AD"/>
    <w:rsid w:val="001F3175"/>
    <w:rsid w:val="001F31CE"/>
    <w:rsid w:val="001F33E5"/>
    <w:rsid w:val="001F37F3"/>
    <w:rsid w:val="001F381C"/>
    <w:rsid w:val="001F39AB"/>
    <w:rsid w:val="001F39FA"/>
    <w:rsid w:val="001F3AA9"/>
    <w:rsid w:val="001F3D62"/>
    <w:rsid w:val="001F41CD"/>
    <w:rsid w:val="001F4352"/>
    <w:rsid w:val="001F44BC"/>
    <w:rsid w:val="001F44BD"/>
    <w:rsid w:val="001F44FB"/>
    <w:rsid w:val="001F4652"/>
    <w:rsid w:val="001F46A7"/>
    <w:rsid w:val="001F4729"/>
    <w:rsid w:val="001F4743"/>
    <w:rsid w:val="001F4921"/>
    <w:rsid w:val="001F4937"/>
    <w:rsid w:val="001F4A36"/>
    <w:rsid w:val="001F4B14"/>
    <w:rsid w:val="001F4DF5"/>
    <w:rsid w:val="001F535F"/>
    <w:rsid w:val="001F5403"/>
    <w:rsid w:val="001F5423"/>
    <w:rsid w:val="001F589B"/>
    <w:rsid w:val="001F5A06"/>
    <w:rsid w:val="001F5A25"/>
    <w:rsid w:val="001F5B3C"/>
    <w:rsid w:val="001F5B70"/>
    <w:rsid w:val="001F5C25"/>
    <w:rsid w:val="001F5DD9"/>
    <w:rsid w:val="001F5F21"/>
    <w:rsid w:val="001F5FCC"/>
    <w:rsid w:val="001F5FEB"/>
    <w:rsid w:val="001F60E1"/>
    <w:rsid w:val="001F622C"/>
    <w:rsid w:val="001F6271"/>
    <w:rsid w:val="001F6298"/>
    <w:rsid w:val="001F63B2"/>
    <w:rsid w:val="001F6482"/>
    <w:rsid w:val="001F6528"/>
    <w:rsid w:val="001F6803"/>
    <w:rsid w:val="001F6843"/>
    <w:rsid w:val="001F6959"/>
    <w:rsid w:val="001F6964"/>
    <w:rsid w:val="001F69DC"/>
    <w:rsid w:val="001F69E9"/>
    <w:rsid w:val="001F6BF6"/>
    <w:rsid w:val="001F6CF5"/>
    <w:rsid w:val="001F6D51"/>
    <w:rsid w:val="001F6E74"/>
    <w:rsid w:val="001F6F23"/>
    <w:rsid w:val="001F6F58"/>
    <w:rsid w:val="001F70BB"/>
    <w:rsid w:val="001F71C9"/>
    <w:rsid w:val="001F77B2"/>
    <w:rsid w:val="001F77FD"/>
    <w:rsid w:val="001F791E"/>
    <w:rsid w:val="001F79AC"/>
    <w:rsid w:val="001F7AAC"/>
    <w:rsid w:val="001F7BE5"/>
    <w:rsid w:val="001F7CF8"/>
    <w:rsid w:val="001F7DDD"/>
    <w:rsid w:val="001F7DF4"/>
    <w:rsid w:val="0020002A"/>
    <w:rsid w:val="0020006B"/>
    <w:rsid w:val="0020037B"/>
    <w:rsid w:val="00200415"/>
    <w:rsid w:val="00200484"/>
    <w:rsid w:val="002004D4"/>
    <w:rsid w:val="0020080E"/>
    <w:rsid w:val="00200899"/>
    <w:rsid w:val="00200918"/>
    <w:rsid w:val="00200A2F"/>
    <w:rsid w:val="00200DCF"/>
    <w:rsid w:val="00200DE3"/>
    <w:rsid w:val="0020103A"/>
    <w:rsid w:val="0020104C"/>
    <w:rsid w:val="0020113C"/>
    <w:rsid w:val="0020119E"/>
    <w:rsid w:val="002012F7"/>
    <w:rsid w:val="00201482"/>
    <w:rsid w:val="0020151D"/>
    <w:rsid w:val="002017F4"/>
    <w:rsid w:val="00201B67"/>
    <w:rsid w:val="00201B79"/>
    <w:rsid w:val="00201C51"/>
    <w:rsid w:val="00201C9E"/>
    <w:rsid w:val="00201CD8"/>
    <w:rsid w:val="00201DDE"/>
    <w:rsid w:val="00201F70"/>
    <w:rsid w:val="00201FBE"/>
    <w:rsid w:val="002022A1"/>
    <w:rsid w:val="002022B5"/>
    <w:rsid w:val="00202549"/>
    <w:rsid w:val="002026CE"/>
    <w:rsid w:val="00202702"/>
    <w:rsid w:val="0020294A"/>
    <w:rsid w:val="002029CD"/>
    <w:rsid w:val="00202CBB"/>
    <w:rsid w:val="00202DD4"/>
    <w:rsid w:val="00202E56"/>
    <w:rsid w:val="00202FCC"/>
    <w:rsid w:val="00203066"/>
    <w:rsid w:val="002030AD"/>
    <w:rsid w:val="0020319D"/>
    <w:rsid w:val="002031A3"/>
    <w:rsid w:val="002031D6"/>
    <w:rsid w:val="002033D6"/>
    <w:rsid w:val="00203589"/>
    <w:rsid w:val="00203680"/>
    <w:rsid w:val="002036DC"/>
    <w:rsid w:val="00203758"/>
    <w:rsid w:val="00203772"/>
    <w:rsid w:val="00203976"/>
    <w:rsid w:val="00203A04"/>
    <w:rsid w:val="00203AA4"/>
    <w:rsid w:val="00203AC2"/>
    <w:rsid w:val="00203C33"/>
    <w:rsid w:val="00203C7F"/>
    <w:rsid w:val="00203D65"/>
    <w:rsid w:val="00203D84"/>
    <w:rsid w:val="00203DE3"/>
    <w:rsid w:val="002041AB"/>
    <w:rsid w:val="00204274"/>
    <w:rsid w:val="00204426"/>
    <w:rsid w:val="00204502"/>
    <w:rsid w:val="00204568"/>
    <w:rsid w:val="002046FD"/>
    <w:rsid w:val="00204757"/>
    <w:rsid w:val="00204AB1"/>
    <w:rsid w:val="00204B10"/>
    <w:rsid w:val="00204B12"/>
    <w:rsid w:val="00204BCE"/>
    <w:rsid w:val="00204CE5"/>
    <w:rsid w:val="002050D1"/>
    <w:rsid w:val="00205234"/>
    <w:rsid w:val="002053B9"/>
    <w:rsid w:val="0020557E"/>
    <w:rsid w:val="002055C0"/>
    <w:rsid w:val="002056D4"/>
    <w:rsid w:val="002057D2"/>
    <w:rsid w:val="00205934"/>
    <w:rsid w:val="00205940"/>
    <w:rsid w:val="0020594F"/>
    <w:rsid w:val="0020599C"/>
    <w:rsid w:val="00205A2E"/>
    <w:rsid w:val="00205B3D"/>
    <w:rsid w:val="00205CE2"/>
    <w:rsid w:val="00205D22"/>
    <w:rsid w:val="00205D2A"/>
    <w:rsid w:val="00205D63"/>
    <w:rsid w:val="00205E04"/>
    <w:rsid w:val="00205E05"/>
    <w:rsid w:val="00205E19"/>
    <w:rsid w:val="00205F55"/>
    <w:rsid w:val="00206090"/>
    <w:rsid w:val="002062DF"/>
    <w:rsid w:val="0020632A"/>
    <w:rsid w:val="0020634A"/>
    <w:rsid w:val="0020648C"/>
    <w:rsid w:val="00206546"/>
    <w:rsid w:val="00206600"/>
    <w:rsid w:val="002066D1"/>
    <w:rsid w:val="0020673B"/>
    <w:rsid w:val="0020680C"/>
    <w:rsid w:val="002068CA"/>
    <w:rsid w:val="00206E9F"/>
    <w:rsid w:val="00206F1A"/>
    <w:rsid w:val="00207064"/>
    <w:rsid w:val="0020708B"/>
    <w:rsid w:val="00207376"/>
    <w:rsid w:val="00207472"/>
    <w:rsid w:val="002074B5"/>
    <w:rsid w:val="002076FA"/>
    <w:rsid w:val="0020777F"/>
    <w:rsid w:val="00207984"/>
    <w:rsid w:val="00207A16"/>
    <w:rsid w:val="00207B21"/>
    <w:rsid w:val="00207BD8"/>
    <w:rsid w:val="00207D2A"/>
    <w:rsid w:val="00207ECC"/>
    <w:rsid w:val="00207F44"/>
    <w:rsid w:val="00210055"/>
    <w:rsid w:val="002100DD"/>
    <w:rsid w:val="00210125"/>
    <w:rsid w:val="00210148"/>
    <w:rsid w:val="00210255"/>
    <w:rsid w:val="0021026D"/>
    <w:rsid w:val="0021034C"/>
    <w:rsid w:val="002105E5"/>
    <w:rsid w:val="002106DA"/>
    <w:rsid w:val="00210A21"/>
    <w:rsid w:val="00210B8F"/>
    <w:rsid w:val="00210BE6"/>
    <w:rsid w:val="00210C96"/>
    <w:rsid w:val="00210EAB"/>
    <w:rsid w:val="00210EEB"/>
    <w:rsid w:val="00210F47"/>
    <w:rsid w:val="0021102A"/>
    <w:rsid w:val="002110CA"/>
    <w:rsid w:val="002111F9"/>
    <w:rsid w:val="00211257"/>
    <w:rsid w:val="0021126E"/>
    <w:rsid w:val="00211481"/>
    <w:rsid w:val="00211521"/>
    <w:rsid w:val="00211634"/>
    <w:rsid w:val="002116A8"/>
    <w:rsid w:val="00211735"/>
    <w:rsid w:val="00211992"/>
    <w:rsid w:val="00211A63"/>
    <w:rsid w:val="00211CAC"/>
    <w:rsid w:val="00211D11"/>
    <w:rsid w:val="00211DC9"/>
    <w:rsid w:val="00211F6C"/>
    <w:rsid w:val="002120D2"/>
    <w:rsid w:val="0021210B"/>
    <w:rsid w:val="0021228A"/>
    <w:rsid w:val="0021275C"/>
    <w:rsid w:val="00212836"/>
    <w:rsid w:val="00212A30"/>
    <w:rsid w:val="00212AB0"/>
    <w:rsid w:val="00212B69"/>
    <w:rsid w:val="00212B85"/>
    <w:rsid w:val="00212C01"/>
    <w:rsid w:val="00212C81"/>
    <w:rsid w:val="00212CDF"/>
    <w:rsid w:val="00212D0E"/>
    <w:rsid w:val="00212DCF"/>
    <w:rsid w:val="00212E86"/>
    <w:rsid w:val="00212EFD"/>
    <w:rsid w:val="0021303B"/>
    <w:rsid w:val="00213207"/>
    <w:rsid w:val="002132E3"/>
    <w:rsid w:val="00213380"/>
    <w:rsid w:val="00213502"/>
    <w:rsid w:val="00213641"/>
    <w:rsid w:val="0021377C"/>
    <w:rsid w:val="002137EA"/>
    <w:rsid w:val="00213883"/>
    <w:rsid w:val="002138DF"/>
    <w:rsid w:val="00213A38"/>
    <w:rsid w:val="00213C49"/>
    <w:rsid w:val="00213DA7"/>
    <w:rsid w:val="00213DD4"/>
    <w:rsid w:val="00213EFF"/>
    <w:rsid w:val="00213F52"/>
    <w:rsid w:val="00213F9F"/>
    <w:rsid w:val="00214062"/>
    <w:rsid w:val="002140AB"/>
    <w:rsid w:val="002141EB"/>
    <w:rsid w:val="0021440A"/>
    <w:rsid w:val="002144F0"/>
    <w:rsid w:val="0021454D"/>
    <w:rsid w:val="00214645"/>
    <w:rsid w:val="0021478F"/>
    <w:rsid w:val="002147F5"/>
    <w:rsid w:val="00214911"/>
    <w:rsid w:val="00214933"/>
    <w:rsid w:val="00214969"/>
    <w:rsid w:val="00214C47"/>
    <w:rsid w:val="00214D63"/>
    <w:rsid w:val="00214DEB"/>
    <w:rsid w:val="00214EFE"/>
    <w:rsid w:val="00214F2D"/>
    <w:rsid w:val="00214FF3"/>
    <w:rsid w:val="002152B7"/>
    <w:rsid w:val="002153D3"/>
    <w:rsid w:val="00215512"/>
    <w:rsid w:val="002157F6"/>
    <w:rsid w:val="0021580F"/>
    <w:rsid w:val="00215831"/>
    <w:rsid w:val="00215AEB"/>
    <w:rsid w:val="00215B46"/>
    <w:rsid w:val="00215B5E"/>
    <w:rsid w:val="00215C2B"/>
    <w:rsid w:val="00215D56"/>
    <w:rsid w:val="00215E62"/>
    <w:rsid w:val="00215E8B"/>
    <w:rsid w:val="00215F8D"/>
    <w:rsid w:val="0021601C"/>
    <w:rsid w:val="00216108"/>
    <w:rsid w:val="0021616E"/>
    <w:rsid w:val="0021633A"/>
    <w:rsid w:val="00216357"/>
    <w:rsid w:val="00216382"/>
    <w:rsid w:val="00216449"/>
    <w:rsid w:val="002164F3"/>
    <w:rsid w:val="002165A0"/>
    <w:rsid w:val="00216602"/>
    <w:rsid w:val="00216627"/>
    <w:rsid w:val="00216645"/>
    <w:rsid w:val="0021681B"/>
    <w:rsid w:val="00216822"/>
    <w:rsid w:val="00216866"/>
    <w:rsid w:val="00216869"/>
    <w:rsid w:val="00216ACA"/>
    <w:rsid w:val="00216B65"/>
    <w:rsid w:val="00216C14"/>
    <w:rsid w:val="00216C61"/>
    <w:rsid w:val="00216C8F"/>
    <w:rsid w:val="00216E34"/>
    <w:rsid w:val="00216F02"/>
    <w:rsid w:val="00216F72"/>
    <w:rsid w:val="0021701E"/>
    <w:rsid w:val="00217094"/>
    <w:rsid w:val="00217173"/>
    <w:rsid w:val="002171AD"/>
    <w:rsid w:val="00217278"/>
    <w:rsid w:val="0021731F"/>
    <w:rsid w:val="002175EC"/>
    <w:rsid w:val="00217638"/>
    <w:rsid w:val="00217708"/>
    <w:rsid w:val="00217735"/>
    <w:rsid w:val="002177B4"/>
    <w:rsid w:val="002177DD"/>
    <w:rsid w:val="00217A7A"/>
    <w:rsid w:val="00217C04"/>
    <w:rsid w:val="00217C36"/>
    <w:rsid w:val="00217CA1"/>
    <w:rsid w:val="00217E9F"/>
    <w:rsid w:val="00217F41"/>
    <w:rsid w:val="002200FA"/>
    <w:rsid w:val="00220111"/>
    <w:rsid w:val="002201D2"/>
    <w:rsid w:val="0022055C"/>
    <w:rsid w:val="002205BC"/>
    <w:rsid w:val="0022069A"/>
    <w:rsid w:val="002207B4"/>
    <w:rsid w:val="00220843"/>
    <w:rsid w:val="002208E8"/>
    <w:rsid w:val="00220925"/>
    <w:rsid w:val="0022096D"/>
    <w:rsid w:val="00220AF6"/>
    <w:rsid w:val="00220CF0"/>
    <w:rsid w:val="00220E96"/>
    <w:rsid w:val="00220F29"/>
    <w:rsid w:val="00220F2E"/>
    <w:rsid w:val="00221026"/>
    <w:rsid w:val="00221150"/>
    <w:rsid w:val="002214E5"/>
    <w:rsid w:val="00221696"/>
    <w:rsid w:val="0022176D"/>
    <w:rsid w:val="00221A84"/>
    <w:rsid w:val="00221AB1"/>
    <w:rsid w:val="00221AC6"/>
    <w:rsid w:val="00221D37"/>
    <w:rsid w:val="00221E78"/>
    <w:rsid w:val="00221E81"/>
    <w:rsid w:val="00221F63"/>
    <w:rsid w:val="00221F6F"/>
    <w:rsid w:val="00221FAD"/>
    <w:rsid w:val="00222436"/>
    <w:rsid w:val="002224BA"/>
    <w:rsid w:val="002227E5"/>
    <w:rsid w:val="0022284D"/>
    <w:rsid w:val="0022285B"/>
    <w:rsid w:val="00222994"/>
    <w:rsid w:val="002229F4"/>
    <w:rsid w:val="00222A74"/>
    <w:rsid w:val="00222E1D"/>
    <w:rsid w:val="002230F0"/>
    <w:rsid w:val="0022323D"/>
    <w:rsid w:val="002233AA"/>
    <w:rsid w:val="002233BE"/>
    <w:rsid w:val="00223476"/>
    <w:rsid w:val="002234F8"/>
    <w:rsid w:val="002236CA"/>
    <w:rsid w:val="002236CB"/>
    <w:rsid w:val="0022377C"/>
    <w:rsid w:val="0022389E"/>
    <w:rsid w:val="002239FC"/>
    <w:rsid w:val="00223A35"/>
    <w:rsid w:val="00223B0C"/>
    <w:rsid w:val="00223DFB"/>
    <w:rsid w:val="00223F26"/>
    <w:rsid w:val="00223FA6"/>
    <w:rsid w:val="0022401C"/>
    <w:rsid w:val="002242FC"/>
    <w:rsid w:val="00224334"/>
    <w:rsid w:val="00224358"/>
    <w:rsid w:val="00224469"/>
    <w:rsid w:val="0022449B"/>
    <w:rsid w:val="002244C9"/>
    <w:rsid w:val="00224562"/>
    <w:rsid w:val="002245FF"/>
    <w:rsid w:val="0022472C"/>
    <w:rsid w:val="00224743"/>
    <w:rsid w:val="00224809"/>
    <w:rsid w:val="0022490F"/>
    <w:rsid w:val="00224916"/>
    <w:rsid w:val="00224938"/>
    <w:rsid w:val="00224CF0"/>
    <w:rsid w:val="00224E7E"/>
    <w:rsid w:val="00224F39"/>
    <w:rsid w:val="0022502A"/>
    <w:rsid w:val="00225375"/>
    <w:rsid w:val="002253B4"/>
    <w:rsid w:val="0022565B"/>
    <w:rsid w:val="00225661"/>
    <w:rsid w:val="00225915"/>
    <w:rsid w:val="00225A00"/>
    <w:rsid w:val="00225A56"/>
    <w:rsid w:val="00225C28"/>
    <w:rsid w:val="00225CC3"/>
    <w:rsid w:val="00225E9E"/>
    <w:rsid w:val="00225EF4"/>
    <w:rsid w:val="00225F9C"/>
    <w:rsid w:val="00225FAB"/>
    <w:rsid w:val="0022606C"/>
    <w:rsid w:val="002261D2"/>
    <w:rsid w:val="00226204"/>
    <w:rsid w:val="002262C7"/>
    <w:rsid w:val="0022655A"/>
    <w:rsid w:val="0022668B"/>
    <w:rsid w:val="002266B7"/>
    <w:rsid w:val="002266F3"/>
    <w:rsid w:val="002268A8"/>
    <w:rsid w:val="002268FF"/>
    <w:rsid w:val="00226B1E"/>
    <w:rsid w:val="00226C61"/>
    <w:rsid w:val="00226D5A"/>
    <w:rsid w:val="002270C8"/>
    <w:rsid w:val="00227366"/>
    <w:rsid w:val="00227423"/>
    <w:rsid w:val="00227435"/>
    <w:rsid w:val="002274E5"/>
    <w:rsid w:val="00227651"/>
    <w:rsid w:val="0022767B"/>
    <w:rsid w:val="00227782"/>
    <w:rsid w:val="002278D3"/>
    <w:rsid w:val="002278F1"/>
    <w:rsid w:val="00227917"/>
    <w:rsid w:val="00227BD6"/>
    <w:rsid w:val="00227BE6"/>
    <w:rsid w:val="00227BFD"/>
    <w:rsid w:val="00227D9F"/>
    <w:rsid w:val="00227DF6"/>
    <w:rsid w:val="00227EBE"/>
    <w:rsid w:val="00227FA2"/>
    <w:rsid w:val="00230148"/>
    <w:rsid w:val="00230245"/>
    <w:rsid w:val="0023035D"/>
    <w:rsid w:val="002303B7"/>
    <w:rsid w:val="00230407"/>
    <w:rsid w:val="0023046E"/>
    <w:rsid w:val="002304C6"/>
    <w:rsid w:val="00230505"/>
    <w:rsid w:val="002305A4"/>
    <w:rsid w:val="002306B7"/>
    <w:rsid w:val="0023088E"/>
    <w:rsid w:val="0023092C"/>
    <w:rsid w:val="002309C6"/>
    <w:rsid w:val="00230B8B"/>
    <w:rsid w:val="00230C70"/>
    <w:rsid w:val="00230C82"/>
    <w:rsid w:val="00230DC5"/>
    <w:rsid w:val="00230DE9"/>
    <w:rsid w:val="00230E11"/>
    <w:rsid w:val="00230E5E"/>
    <w:rsid w:val="00230EDE"/>
    <w:rsid w:val="00230EDF"/>
    <w:rsid w:val="00231127"/>
    <w:rsid w:val="0023134A"/>
    <w:rsid w:val="002318EC"/>
    <w:rsid w:val="00231BFE"/>
    <w:rsid w:val="00231C6E"/>
    <w:rsid w:val="00231DB7"/>
    <w:rsid w:val="00231DCD"/>
    <w:rsid w:val="00231E3C"/>
    <w:rsid w:val="00231EAF"/>
    <w:rsid w:val="00231EC3"/>
    <w:rsid w:val="00231F18"/>
    <w:rsid w:val="00231FFA"/>
    <w:rsid w:val="0023202D"/>
    <w:rsid w:val="00232139"/>
    <w:rsid w:val="00232286"/>
    <w:rsid w:val="002325B4"/>
    <w:rsid w:val="002325EB"/>
    <w:rsid w:val="00232803"/>
    <w:rsid w:val="00232AB5"/>
    <w:rsid w:val="00232B74"/>
    <w:rsid w:val="00232E06"/>
    <w:rsid w:val="00232F21"/>
    <w:rsid w:val="00232FDD"/>
    <w:rsid w:val="00233060"/>
    <w:rsid w:val="00233342"/>
    <w:rsid w:val="0023343C"/>
    <w:rsid w:val="002334FB"/>
    <w:rsid w:val="00233517"/>
    <w:rsid w:val="0023355B"/>
    <w:rsid w:val="002336D3"/>
    <w:rsid w:val="0023379C"/>
    <w:rsid w:val="002337DE"/>
    <w:rsid w:val="00233897"/>
    <w:rsid w:val="0023398C"/>
    <w:rsid w:val="00233AE3"/>
    <w:rsid w:val="00233D0D"/>
    <w:rsid w:val="00233EF7"/>
    <w:rsid w:val="00233F47"/>
    <w:rsid w:val="00233FFD"/>
    <w:rsid w:val="0023413C"/>
    <w:rsid w:val="00234143"/>
    <w:rsid w:val="00234167"/>
    <w:rsid w:val="0023433C"/>
    <w:rsid w:val="002343DD"/>
    <w:rsid w:val="00234711"/>
    <w:rsid w:val="002347A2"/>
    <w:rsid w:val="002347BF"/>
    <w:rsid w:val="00234870"/>
    <w:rsid w:val="0023499F"/>
    <w:rsid w:val="002349F4"/>
    <w:rsid w:val="00234D97"/>
    <w:rsid w:val="00234E61"/>
    <w:rsid w:val="00234EFC"/>
    <w:rsid w:val="00234F5B"/>
    <w:rsid w:val="00235145"/>
    <w:rsid w:val="002351FD"/>
    <w:rsid w:val="002353D8"/>
    <w:rsid w:val="0023554D"/>
    <w:rsid w:val="00235704"/>
    <w:rsid w:val="00235736"/>
    <w:rsid w:val="00235739"/>
    <w:rsid w:val="00235825"/>
    <w:rsid w:val="002358AD"/>
    <w:rsid w:val="002358F0"/>
    <w:rsid w:val="0023593A"/>
    <w:rsid w:val="00235960"/>
    <w:rsid w:val="0023599E"/>
    <w:rsid w:val="002359B9"/>
    <w:rsid w:val="00235A54"/>
    <w:rsid w:val="00235AEB"/>
    <w:rsid w:val="00235FD1"/>
    <w:rsid w:val="00235FF4"/>
    <w:rsid w:val="0023605B"/>
    <w:rsid w:val="0023610D"/>
    <w:rsid w:val="0023625C"/>
    <w:rsid w:val="00236271"/>
    <w:rsid w:val="0023657E"/>
    <w:rsid w:val="00236612"/>
    <w:rsid w:val="00236618"/>
    <w:rsid w:val="002366CA"/>
    <w:rsid w:val="0023688E"/>
    <w:rsid w:val="002368D3"/>
    <w:rsid w:val="00236A26"/>
    <w:rsid w:val="00236A59"/>
    <w:rsid w:val="00236AD1"/>
    <w:rsid w:val="00236B31"/>
    <w:rsid w:val="00236D4A"/>
    <w:rsid w:val="00236DD5"/>
    <w:rsid w:val="00236E7E"/>
    <w:rsid w:val="00236FFF"/>
    <w:rsid w:val="00237016"/>
    <w:rsid w:val="00237026"/>
    <w:rsid w:val="00237090"/>
    <w:rsid w:val="002374A8"/>
    <w:rsid w:val="0023776E"/>
    <w:rsid w:val="00237786"/>
    <w:rsid w:val="00237910"/>
    <w:rsid w:val="0023798A"/>
    <w:rsid w:val="00237A52"/>
    <w:rsid w:val="00237AE5"/>
    <w:rsid w:val="00237D8D"/>
    <w:rsid w:val="00237DF8"/>
    <w:rsid w:val="00237EAF"/>
    <w:rsid w:val="002402FA"/>
    <w:rsid w:val="0024033B"/>
    <w:rsid w:val="002409C0"/>
    <w:rsid w:val="00240A5D"/>
    <w:rsid w:val="00240B8B"/>
    <w:rsid w:val="00240DCF"/>
    <w:rsid w:val="00240DFF"/>
    <w:rsid w:val="00241147"/>
    <w:rsid w:val="002411D1"/>
    <w:rsid w:val="002411DA"/>
    <w:rsid w:val="00241201"/>
    <w:rsid w:val="0024122E"/>
    <w:rsid w:val="00241334"/>
    <w:rsid w:val="00241435"/>
    <w:rsid w:val="00241457"/>
    <w:rsid w:val="00241505"/>
    <w:rsid w:val="00241738"/>
    <w:rsid w:val="00241A63"/>
    <w:rsid w:val="00241B62"/>
    <w:rsid w:val="00241C2E"/>
    <w:rsid w:val="00241FAA"/>
    <w:rsid w:val="002423CA"/>
    <w:rsid w:val="00242427"/>
    <w:rsid w:val="002424BA"/>
    <w:rsid w:val="00242577"/>
    <w:rsid w:val="002425C2"/>
    <w:rsid w:val="00242733"/>
    <w:rsid w:val="002427C3"/>
    <w:rsid w:val="0024285F"/>
    <w:rsid w:val="002428EF"/>
    <w:rsid w:val="00242AC5"/>
    <w:rsid w:val="00242AF8"/>
    <w:rsid w:val="00242BEE"/>
    <w:rsid w:val="00242C41"/>
    <w:rsid w:val="00242D78"/>
    <w:rsid w:val="00243040"/>
    <w:rsid w:val="002430FE"/>
    <w:rsid w:val="002431E2"/>
    <w:rsid w:val="00243200"/>
    <w:rsid w:val="002433ED"/>
    <w:rsid w:val="002434C3"/>
    <w:rsid w:val="00243604"/>
    <w:rsid w:val="0024365C"/>
    <w:rsid w:val="002437A8"/>
    <w:rsid w:val="00243872"/>
    <w:rsid w:val="002439EB"/>
    <w:rsid w:val="00243AAE"/>
    <w:rsid w:val="00243B01"/>
    <w:rsid w:val="00243B23"/>
    <w:rsid w:val="00243DF4"/>
    <w:rsid w:val="00243E74"/>
    <w:rsid w:val="00243F59"/>
    <w:rsid w:val="00243F79"/>
    <w:rsid w:val="00243F9F"/>
    <w:rsid w:val="0024403F"/>
    <w:rsid w:val="0024418B"/>
    <w:rsid w:val="002441E0"/>
    <w:rsid w:val="002442D9"/>
    <w:rsid w:val="0024445A"/>
    <w:rsid w:val="0024455B"/>
    <w:rsid w:val="00244590"/>
    <w:rsid w:val="002446DF"/>
    <w:rsid w:val="0024473B"/>
    <w:rsid w:val="002447B1"/>
    <w:rsid w:val="0024489D"/>
    <w:rsid w:val="0024498F"/>
    <w:rsid w:val="00244998"/>
    <w:rsid w:val="00244A34"/>
    <w:rsid w:val="00244B57"/>
    <w:rsid w:val="00244B9F"/>
    <w:rsid w:val="00244D72"/>
    <w:rsid w:val="00244D7C"/>
    <w:rsid w:val="00244F55"/>
    <w:rsid w:val="00245483"/>
    <w:rsid w:val="00245511"/>
    <w:rsid w:val="0024580E"/>
    <w:rsid w:val="00245954"/>
    <w:rsid w:val="00245985"/>
    <w:rsid w:val="00245AE3"/>
    <w:rsid w:val="00245AF5"/>
    <w:rsid w:val="00245B3F"/>
    <w:rsid w:val="00245BC9"/>
    <w:rsid w:val="00245BEF"/>
    <w:rsid w:val="00245C39"/>
    <w:rsid w:val="00245DEB"/>
    <w:rsid w:val="00245E1A"/>
    <w:rsid w:val="00245E45"/>
    <w:rsid w:val="00245E95"/>
    <w:rsid w:val="00245F21"/>
    <w:rsid w:val="00246065"/>
    <w:rsid w:val="0024611B"/>
    <w:rsid w:val="002461BC"/>
    <w:rsid w:val="002462B9"/>
    <w:rsid w:val="002462CC"/>
    <w:rsid w:val="00246360"/>
    <w:rsid w:val="002463C6"/>
    <w:rsid w:val="00246414"/>
    <w:rsid w:val="002464A3"/>
    <w:rsid w:val="002466CC"/>
    <w:rsid w:val="00246751"/>
    <w:rsid w:val="00246E82"/>
    <w:rsid w:val="00246F76"/>
    <w:rsid w:val="00247013"/>
    <w:rsid w:val="002472AA"/>
    <w:rsid w:val="002473ED"/>
    <w:rsid w:val="00247522"/>
    <w:rsid w:val="002475CB"/>
    <w:rsid w:val="00247663"/>
    <w:rsid w:val="00247824"/>
    <w:rsid w:val="00247B9F"/>
    <w:rsid w:val="00247C0A"/>
    <w:rsid w:val="0024DF14"/>
    <w:rsid w:val="00250094"/>
    <w:rsid w:val="00250259"/>
    <w:rsid w:val="002502C4"/>
    <w:rsid w:val="002502EC"/>
    <w:rsid w:val="00250666"/>
    <w:rsid w:val="00250768"/>
    <w:rsid w:val="00250850"/>
    <w:rsid w:val="0025090B"/>
    <w:rsid w:val="00250927"/>
    <w:rsid w:val="002509CC"/>
    <w:rsid w:val="00250A3E"/>
    <w:rsid w:val="00250AEA"/>
    <w:rsid w:val="00250BF7"/>
    <w:rsid w:val="00250E0D"/>
    <w:rsid w:val="0025106E"/>
    <w:rsid w:val="00251186"/>
    <w:rsid w:val="002511DC"/>
    <w:rsid w:val="00251356"/>
    <w:rsid w:val="00251495"/>
    <w:rsid w:val="002514D1"/>
    <w:rsid w:val="0025153C"/>
    <w:rsid w:val="0025178D"/>
    <w:rsid w:val="002517D2"/>
    <w:rsid w:val="00251A28"/>
    <w:rsid w:val="00251AB2"/>
    <w:rsid w:val="00251B04"/>
    <w:rsid w:val="00251BA1"/>
    <w:rsid w:val="00251C59"/>
    <w:rsid w:val="00251DB5"/>
    <w:rsid w:val="00251DE9"/>
    <w:rsid w:val="00251E10"/>
    <w:rsid w:val="00251ED1"/>
    <w:rsid w:val="00251F6F"/>
    <w:rsid w:val="00252127"/>
    <w:rsid w:val="00252287"/>
    <w:rsid w:val="00252372"/>
    <w:rsid w:val="0025246B"/>
    <w:rsid w:val="002524A5"/>
    <w:rsid w:val="002524E3"/>
    <w:rsid w:val="002526FA"/>
    <w:rsid w:val="002528BD"/>
    <w:rsid w:val="002528CB"/>
    <w:rsid w:val="002528F2"/>
    <w:rsid w:val="00252A67"/>
    <w:rsid w:val="00252B8D"/>
    <w:rsid w:val="00252C65"/>
    <w:rsid w:val="00252C92"/>
    <w:rsid w:val="00252D2A"/>
    <w:rsid w:val="00252F8B"/>
    <w:rsid w:val="00252FFD"/>
    <w:rsid w:val="00253036"/>
    <w:rsid w:val="002530A8"/>
    <w:rsid w:val="0025312C"/>
    <w:rsid w:val="0025320F"/>
    <w:rsid w:val="0025342F"/>
    <w:rsid w:val="00253624"/>
    <w:rsid w:val="00253635"/>
    <w:rsid w:val="00253651"/>
    <w:rsid w:val="002538C0"/>
    <w:rsid w:val="00253B5B"/>
    <w:rsid w:val="00253C7E"/>
    <w:rsid w:val="00253C86"/>
    <w:rsid w:val="00253E22"/>
    <w:rsid w:val="00253F4A"/>
    <w:rsid w:val="00253F4D"/>
    <w:rsid w:val="00253FAA"/>
    <w:rsid w:val="00253FE4"/>
    <w:rsid w:val="0025410A"/>
    <w:rsid w:val="002541AB"/>
    <w:rsid w:val="00254208"/>
    <w:rsid w:val="002543CF"/>
    <w:rsid w:val="00254448"/>
    <w:rsid w:val="002544D9"/>
    <w:rsid w:val="00254784"/>
    <w:rsid w:val="0025493D"/>
    <w:rsid w:val="00254AC7"/>
    <w:rsid w:val="00254DCE"/>
    <w:rsid w:val="00254E9E"/>
    <w:rsid w:val="00254F4D"/>
    <w:rsid w:val="00255045"/>
    <w:rsid w:val="00255137"/>
    <w:rsid w:val="00255284"/>
    <w:rsid w:val="0025528B"/>
    <w:rsid w:val="00255420"/>
    <w:rsid w:val="0025547A"/>
    <w:rsid w:val="00255486"/>
    <w:rsid w:val="00255560"/>
    <w:rsid w:val="002557E3"/>
    <w:rsid w:val="00255834"/>
    <w:rsid w:val="0025587B"/>
    <w:rsid w:val="00255954"/>
    <w:rsid w:val="00255A2E"/>
    <w:rsid w:val="00255AF4"/>
    <w:rsid w:val="00255B18"/>
    <w:rsid w:val="00255C78"/>
    <w:rsid w:val="00255C9E"/>
    <w:rsid w:val="00255D58"/>
    <w:rsid w:val="00256055"/>
    <w:rsid w:val="002563F4"/>
    <w:rsid w:val="0025643B"/>
    <w:rsid w:val="0025659D"/>
    <w:rsid w:val="0025660B"/>
    <w:rsid w:val="002566D0"/>
    <w:rsid w:val="00256723"/>
    <w:rsid w:val="00256930"/>
    <w:rsid w:val="0025694A"/>
    <w:rsid w:val="0025695C"/>
    <w:rsid w:val="00256B01"/>
    <w:rsid w:val="00256C15"/>
    <w:rsid w:val="00256DEF"/>
    <w:rsid w:val="00256F57"/>
    <w:rsid w:val="00256FFE"/>
    <w:rsid w:val="00257009"/>
    <w:rsid w:val="00257136"/>
    <w:rsid w:val="00257435"/>
    <w:rsid w:val="002574C0"/>
    <w:rsid w:val="00257708"/>
    <w:rsid w:val="00257801"/>
    <w:rsid w:val="00257813"/>
    <w:rsid w:val="00257816"/>
    <w:rsid w:val="00257B75"/>
    <w:rsid w:val="00257C16"/>
    <w:rsid w:val="00257C4C"/>
    <w:rsid w:val="00257C9F"/>
    <w:rsid w:val="00257E4F"/>
    <w:rsid w:val="00257ED4"/>
    <w:rsid w:val="00257F4D"/>
    <w:rsid w:val="00257FB9"/>
    <w:rsid w:val="00260021"/>
    <w:rsid w:val="0026030C"/>
    <w:rsid w:val="0026045A"/>
    <w:rsid w:val="00260705"/>
    <w:rsid w:val="00260772"/>
    <w:rsid w:val="002608EC"/>
    <w:rsid w:val="002609CD"/>
    <w:rsid w:val="002609DE"/>
    <w:rsid w:val="00260A29"/>
    <w:rsid w:val="00260A9C"/>
    <w:rsid w:val="00260FFC"/>
    <w:rsid w:val="002610DF"/>
    <w:rsid w:val="002610F3"/>
    <w:rsid w:val="00261161"/>
    <w:rsid w:val="00261372"/>
    <w:rsid w:val="00261445"/>
    <w:rsid w:val="002614EF"/>
    <w:rsid w:val="002615EE"/>
    <w:rsid w:val="00261629"/>
    <w:rsid w:val="00261664"/>
    <w:rsid w:val="002616A0"/>
    <w:rsid w:val="00261760"/>
    <w:rsid w:val="00261794"/>
    <w:rsid w:val="0026191F"/>
    <w:rsid w:val="0026195E"/>
    <w:rsid w:val="00261A5D"/>
    <w:rsid w:val="00261AAA"/>
    <w:rsid w:val="00261BD2"/>
    <w:rsid w:val="00261D38"/>
    <w:rsid w:val="00261D89"/>
    <w:rsid w:val="00261F1C"/>
    <w:rsid w:val="00261F69"/>
    <w:rsid w:val="00261FEB"/>
    <w:rsid w:val="00262040"/>
    <w:rsid w:val="00262174"/>
    <w:rsid w:val="00262286"/>
    <w:rsid w:val="0026229C"/>
    <w:rsid w:val="00262368"/>
    <w:rsid w:val="00262437"/>
    <w:rsid w:val="00262616"/>
    <w:rsid w:val="002626A1"/>
    <w:rsid w:val="00262942"/>
    <w:rsid w:val="002629EA"/>
    <w:rsid w:val="00262A2C"/>
    <w:rsid w:val="00262DA4"/>
    <w:rsid w:val="00262E0A"/>
    <w:rsid w:val="00262E84"/>
    <w:rsid w:val="00262FBD"/>
    <w:rsid w:val="00262FF0"/>
    <w:rsid w:val="0026324C"/>
    <w:rsid w:val="0026329A"/>
    <w:rsid w:val="002632AA"/>
    <w:rsid w:val="0026342A"/>
    <w:rsid w:val="00263489"/>
    <w:rsid w:val="002636A5"/>
    <w:rsid w:val="00263713"/>
    <w:rsid w:val="0026375D"/>
    <w:rsid w:val="0026380D"/>
    <w:rsid w:val="00263854"/>
    <w:rsid w:val="002638BD"/>
    <w:rsid w:val="00263AFC"/>
    <w:rsid w:val="00263B21"/>
    <w:rsid w:val="00263B61"/>
    <w:rsid w:val="00263EE1"/>
    <w:rsid w:val="00263F07"/>
    <w:rsid w:val="00263FDB"/>
    <w:rsid w:val="002640C0"/>
    <w:rsid w:val="0026411B"/>
    <w:rsid w:val="00264130"/>
    <w:rsid w:val="00264178"/>
    <w:rsid w:val="002641A8"/>
    <w:rsid w:val="002645F1"/>
    <w:rsid w:val="00264655"/>
    <w:rsid w:val="0026483A"/>
    <w:rsid w:val="0026488C"/>
    <w:rsid w:val="002649A2"/>
    <w:rsid w:val="00264CC5"/>
    <w:rsid w:val="00264DFF"/>
    <w:rsid w:val="00264E06"/>
    <w:rsid w:val="00264F37"/>
    <w:rsid w:val="00264FFA"/>
    <w:rsid w:val="00265013"/>
    <w:rsid w:val="0026503D"/>
    <w:rsid w:val="00265153"/>
    <w:rsid w:val="002653F8"/>
    <w:rsid w:val="00265511"/>
    <w:rsid w:val="002657EC"/>
    <w:rsid w:val="0026580E"/>
    <w:rsid w:val="00265837"/>
    <w:rsid w:val="00265B5F"/>
    <w:rsid w:val="00265CA8"/>
    <w:rsid w:val="00265DF3"/>
    <w:rsid w:val="0026604F"/>
    <w:rsid w:val="002662C8"/>
    <w:rsid w:val="002663DA"/>
    <w:rsid w:val="00266570"/>
    <w:rsid w:val="002665BA"/>
    <w:rsid w:val="0026668D"/>
    <w:rsid w:val="00266745"/>
    <w:rsid w:val="0026679A"/>
    <w:rsid w:val="00266877"/>
    <w:rsid w:val="002669C4"/>
    <w:rsid w:val="00266BA6"/>
    <w:rsid w:val="00266BF0"/>
    <w:rsid w:val="00266E01"/>
    <w:rsid w:val="00266E18"/>
    <w:rsid w:val="00266F4A"/>
    <w:rsid w:val="00266F6A"/>
    <w:rsid w:val="00266F82"/>
    <w:rsid w:val="002670A6"/>
    <w:rsid w:val="002670B7"/>
    <w:rsid w:val="00267134"/>
    <w:rsid w:val="0026713E"/>
    <w:rsid w:val="0026720B"/>
    <w:rsid w:val="0026733F"/>
    <w:rsid w:val="002673A3"/>
    <w:rsid w:val="00267629"/>
    <w:rsid w:val="00267A84"/>
    <w:rsid w:val="00267AFE"/>
    <w:rsid w:val="00267B77"/>
    <w:rsid w:val="00267F92"/>
    <w:rsid w:val="0027018C"/>
    <w:rsid w:val="0027021C"/>
    <w:rsid w:val="0027031A"/>
    <w:rsid w:val="00270338"/>
    <w:rsid w:val="0027034D"/>
    <w:rsid w:val="0027060B"/>
    <w:rsid w:val="002708F9"/>
    <w:rsid w:val="00270BFE"/>
    <w:rsid w:val="00270CAE"/>
    <w:rsid w:val="0027111C"/>
    <w:rsid w:val="0027145C"/>
    <w:rsid w:val="00271473"/>
    <w:rsid w:val="00271557"/>
    <w:rsid w:val="00271744"/>
    <w:rsid w:val="002717D6"/>
    <w:rsid w:val="002718D6"/>
    <w:rsid w:val="00271A36"/>
    <w:rsid w:val="00271AAE"/>
    <w:rsid w:val="00271B1D"/>
    <w:rsid w:val="00271BFE"/>
    <w:rsid w:val="00271C6C"/>
    <w:rsid w:val="00271C94"/>
    <w:rsid w:val="00271F91"/>
    <w:rsid w:val="00271F92"/>
    <w:rsid w:val="002721FC"/>
    <w:rsid w:val="00272234"/>
    <w:rsid w:val="00272316"/>
    <w:rsid w:val="002723AB"/>
    <w:rsid w:val="00272539"/>
    <w:rsid w:val="002725B9"/>
    <w:rsid w:val="002726BC"/>
    <w:rsid w:val="00272AB8"/>
    <w:rsid w:val="00272B39"/>
    <w:rsid w:val="00272D45"/>
    <w:rsid w:val="00272F38"/>
    <w:rsid w:val="00272F62"/>
    <w:rsid w:val="00272FA0"/>
    <w:rsid w:val="0027311C"/>
    <w:rsid w:val="002732F0"/>
    <w:rsid w:val="00273553"/>
    <w:rsid w:val="0027359B"/>
    <w:rsid w:val="0027380A"/>
    <w:rsid w:val="00273943"/>
    <w:rsid w:val="00273A3C"/>
    <w:rsid w:val="00273A65"/>
    <w:rsid w:val="00273A9E"/>
    <w:rsid w:val="00273E9D"/>
    <w:rsid w:val="00273E9F"/>
    <w:rsid w:val="00273FA9"/>
    <w:rsid w:val="002741F6"/>
    <w:rsid w:val="002743AB"/>
    <w:rsid w:val="002743B3"/>
    <w:rsid w:val="00274566"/>
    <w:rsid w:val="00274645"/>
    <w:rsid w:val="00274694"/>
    <w:rsid w:val="0027475F"/>
    <w:rsid w:val="00274847"/>
    <w:rsid w:val="002749E6"/>
    <w:rsid w:val="00274A45"/>
    <w:rsid w:val="00274A7F"/>
    <w:rsid w:val="00274AD6"/>
    <w:rsid w:val="00274B07"/>
    <w:rsid w:val="00274B5E"/>
    <w:rsid w:val="00274F14"/>
    <w:rsid w:val="00275157"/>
    <w:rsid w:val="0027531E"/>
    <w:rsid w:val="002753C2"/>
    <w:rsid w:val="00275603"/>
    <w:rsid w:val="00275662"/>
    <w:rsid w:val="002758B8"/>
    <w:rsid w:val="00275956"/>
    <w:rsid w:val="002759DA"/>
    <w:rsid w:val="002759F9"/>
    <w:rsid w:val="00275A33"/>
    <w:rsid w:val="00275A52"/>
    <w:rsid w:val="00275AB0"/>
    <w:rsid w:val="00275B9F"/>
    <w:rsid w:val="00275C27"/>
    <w:rsid w:val="00275E4E"/>
    <w:rsid w:val="00275FD9"/>
    <w:rsid w:val="00276171"/>
    <w:rsid w:val="0027624A"/>
    <w:rsid w:val="0027641A"/>
    <w:rsid w:val="002765C0"/>
    <w:rsid w:val="002765D6"/>
    <w:rsid w:val="00276704"/>
    <w:rsid w:val="002767FC"/>
    <w:rsid w:val="0027689F"/>
    <w:rsid w:val="0027693B"/>
    <w:rsid w:val="0027693E"/>
    <w:rsid w:val="00276A4C"/>
    <w:rsid w:val="00276A92"/>
    <w:rsid w:val="00276B9A"/>
    <w:rsid w:val="00276BA2"/>
    <w:rsid w:val="00276C50"/>
    <w:rsid w:val="00276C6D"/>
    <w:rsid w:val="00276C9F"/>
    <w:rsid w:val="00276D51"/>
    <w:rsid w:val="00276DF1"/>
    <w:rsid w:val="00276E44"/>
    <w:rsid w:val="00276E61"/>
    <w:rsid w:val="00276FF6"/>
    <w:rsid w:val="0027706E"/>
    <w:rsid w:val="0027720F"/>
    <w:rsid w:val="00277264"/>
    <w:rsid w:val="002772C9"/>
    <w:rsid w:val="002773D8"/>
    <w:rsid w:val="00277408"/>
    <w:rsid w:val="00277551"/>
    <w:rsid w:val="002775A1"/>
    <w:rsid w:val="0027761B"/>
    <w:rsid w:val="002779D2"/>
    <w:rsid w:val="00277BF8"/>
    <w:rsid w:val="00277C94"/>
    <w:rsid w:val="00277DBC"/>
    <w:rsid w:val="00277E43"/>
    <w:rsid w:val="00277EE9"/>
    <w:rsid w:val="0028010B"/>
    <w:rsid w:val="002801B1"/>
    <w:rsid w:val="00280339"/>
    <w:rsid w:val="0028038E"/>
    <w:rsid w:val="002803B0"/>
    <w:rsid w:val="002806FB"/>
    <w:rsid w:val="00280710"/>
    <w:rsid w:val="002807BA"/>
    <w:rsid w:val="002808A6"/>
    <w:rsid w:val="002808D4"/>
    <w:rsid w:val="002809E9"/>
    <w:rsid w:val="00280A4A"/>
    <w:rsid w:val="00280B26"/>
    <w:rsid w:val="00280F17"/>
    <w:rsid w:val="00280F4D"/>
    <w:rsid w:val="00280F8F"/>
    <w:rsid w:val="002811DC"/>
    <w:rsid w:val="002811F1"/>
    <w:rsid w:val="00281237"/>
    <w:rsid w:val="00281295"/>
    <w:rsid w:val="002813AA"/>
    <w:rsid w:val="002813EC"/>
    <w:rsid w:val="002814B4"/>
    <w:rsid w:val="002814B5"/>
    <w:rsid w:val="00281599"/>
    <w:rsid w:val="0028171C"/>
    <w:rsid w:val="00281DE2"/>
    <w:rsid w:val="00281E7E"/>
    <w:rsid w:val="00281F8E"/>
    <w:rsid w:val="002824A2"/>
    <w:rsid w:val="00282560"/>
    <w:rsid w:val="0028256C"/>
    <w:rsid w:val="00282633"/>
    <w:rsid w:val="002826C7"/>
    <w:rsid w:val="002829F1"/>
    <w:rsid w:val="00282EFA"/>
    <w:rsid w:val="00282F51"/>
    <w:rsid w:val="00282FD9"/>
    <w:rsid w:val="0028301A"/>
    <w:rsid w:val="0028301F"/>
    <w:rsid w:val="00283223"/>
    <w:rsid w:val="002832D6"/>
    <w:rsid w:val="0028338C"/>
    <w:rsid w:val="002833F1"/>
    <w:rsid w:val="002836A8"/>
    <w:rsid w:val="002837FC"/>
    <w:rsid w:val="002839A8"/>
    <w:rsid w:val="00283AD5"/>
    <w:rsid w:val="00283BE6"/>
    <w:rsid w:val="00283CCE"/>
    <w:rsid w:val="00283D3E"/>
    <w:rsid w:val="00283F34"/>
    <w:rsid w:val="002842DE"/>
    <w:rsid w:val="002842FF"/>
    <w:rsid w:val="00284310"/>
    <w:rsid w:val="002843EE"/>
    <w:rsid w:val="00284512"/>
    <w:rsid w:val="00284580"/>
    <w:rsid w:val="002846A6"/>
    <w:rsid w:val="00284707"/>
    <w:rsid w:val="00284764"/>
    <w:rsid w:val="002848FC"/>
    <w:rsid w:val="002849A2"/>
    <w:rsid w:val="00284B4A"/>
    <w:rsid w:val="00284B82"/>
    <w:rsid w:val="00284B8F"/>
    <w:rsid w:val="00284C30"/>
    <w:rsid w:val="00284C64"/>
    <w:rsid w:val="00284E27"/>
    <w:rsid w:val="00284EF9"/>
    <w:rsid w:val="0028525B"/>
    <w:rsid w:val="00285328"/>
    <w:rsid w:val="00285524"/>
    <w:rsid w:val="0028560E"/>
    <w:rsid w:val="00285680"/>
    <w:rsid w:val="00285766"/>
    <w:rsid w:val="00285826"/>
    <w:rsid w:val="0028585A"/>
    <w:rsid w:val="00285865"/>
    <w:rsid w:val="00285A82"/>
    <w:rsid w:val="00286105"/>
    <w:rsid w:val="00286183"/>
    <w:rsid w:val="00286282"/>
    <w:rsid w:val="0028635C"/>
    <w:rsid w:val="002864E0"/>
    <w:rsid w:val="002864ED"/>
    <w:rsid w:val="0028652B"/>
    <w:rsid w:val="002866DF"/>
    <w:rsid w:val="00286969"/>
    <w:rsid w:val="002869DB"/>
    <w:rsid w:val="00286A33"/>
    <w:rsid w:val="00286CD2"/>
    <w:rsid w:val="00286D04"/>
    <w:rsid w:val="00286D89"/>
    <w:rsid w:val="00287018"/>
    <w:rsid w:val="00287096"/>
    <w:rsid w:val="002870A4"/>
    <w:rsid w:val="002874E2"/>
    <w:rsid w:val="0028750B"/>
    <w:rsid w:val="0028755A"/>
    <w:rsid w:val="0028788B"/>
    <w:rsid w:val="00287B40"/>
    <w:rsid w:val="00287B46"/>
    <w:rsid w:val="00287B4B"/>
    <w:rsid w:val="00287B7A"/>
    <w:rsid w:val="00287B80"/>
    <w:rsid w:val="00287BA8"/>
    <w:rsid w:val="00287DF9"/>
    <w:rsid w:val="00287E84"/>
    <w:rsid w:val="0028E0EE"/>
    <w:rsid w:val="00290090"/>
    <w:rsid w:val="002902A4"/>
    <w:rsid w:val="00290335"/>
    <w:rsid w:val="00290576"/>
    <w:rsid w:val="00290610"/>
    <w:rsid w:val="00290691"/>
    <w:rsid w:val="0029084E"/>
    <w:rsid w:val="002908B3"/>
    <w:rsid w:val="00290990"/>
    <w:rsid w:val="00290A04"/>
    <w:rsid w:val="00290C0A"/>
    <w:rsid w:val="00291001"/>
    <w:rsid w:val="00291036"/>
    <w:rsid w:val="00291061"/>
    <w:rsid w:val="0029116F"/>
    <w:rsid w:val="0029127A"/>
    <w:rsid w:val="0029135C"/>
    <w:rsid w:val="00291423"/>
    <w:rsid w:val="00291453"/>
    <w:rsid w:val="0029158C"/>
    <w:rsid w:val="00291594"/>
    <w:rsid w:val="00291808"/>
    <w:rsid w:val="00291974"/>
    <w:rsid w:val="00291A62"/>
    <w:rsid w:val="00291A70"/>
    <w:rsid w:val="00291A7C"/>
    <w:rsid w:val="00291A9C"/>
    <w:rsid w:val="00291BC7"/>
    <w:rsid w:val="00291E54"/>
    <w:rsid w:val="00291F5F"/>
    <w:rsid w:val="00291FEF"/>
    <w:rsid w:val="00292009"/>
    <w:rsid w:val="00292036"/>
    <w:rsid w:val="0029221D"/>
    <w:rsid w:val="00292342"/>
    <w:rsid w:val="00292439"/>
    <w:rsid w:val="002924A0"/>
    <w:rsid w:val="002924FA"/>
    <w:rsid w:val="0029265A"/>
    <w:rsid w:val="0029285A"/>
    <w:rsid w:val="00292943"/>
    <w:rsid w:val="00292A8B"/>
    <w:rsid w:val="00292C0D"/>
    <w:rsid w:val="00292DE8"/>
    <w:rsid w:val="00292E42"/>
    <w:rsid w:val="00292FB5"/>
    <w:rsid w:val="002931AE"/>
    <w:rsid w:val="002934E8"/>
    <w:rsid w:val="00293524"/>
    <w:rsid w:val="00293532"/>
    <w:rsid w:val="00293620"/>
    <w:rsid w:val="002936B0"/>
    <w:rsid w:val="002936B3"/>
    <w:rsid w:val="0029370F"/>
    <w:rsid w:val="00293782"/>
    <w:rsid w:val="00293816"/>
    <w:rsid w:val="00293875"/>
    <w:rsid w:val="00293A65"/>
    <w:rsid w:val="00293B43"/>
    <w:rsid w:val="00293C27"/>
    <w:rsid w:val="00293C80"/>
    <w:rsid w:val="00293E3F"/>
    <w:rsid w:val="002941E4"/>
    <w:rsid w:val="00294394"/>
    <w:rsid w:val="002943BD"/>
    <w:rsid w:val="0029470F"/>
    <w:rsid w:val="00294838"/>
    <w:rsid w:val="00294940"/>
    <w:rsid w:val="00294AE1"/>
    <w:rsid w:val="00294B15"/>
    <w:rsid w:val="00294BA2"/>
    <w:rsid w:val="00294D20"/>
    <w:rsid w:val="00294D28"/>
    <w:rsid w:val="00294EC9"/>
    <w:rsid w:val="00294FBE"/>
    <w:rsid w:val="0029521A"/>
    <w:rsid w:val="0029535C"/>
    <w:rsid w:val="00295409"/>
    <w:rsid w:val="002954D0"/>
    <w:rsid w:val="00295578"/>
    <w:rsid w:val="002955BC"/>
    <w:rsid w:val="0029575A"/>
    <w:rsid w:val="002957AD"/>
    <w:rsid w:val="00295C82"/>
    <w:rsid w:val="00295C93"/>
    <w:rsid w:val="00295E59"/>
    <w:rsid w:val="00295F7A"/>
    <w:rsid w:val="00295FA2"/>
    <w:rsid w:val="00296055"/>
    <w:rsid w:val="00296557"/>
    <w:rsid w:val="002967C8"/>
    <w:rsid w:val="002969D3"/>
    <w:rsid w:val="00296A3F"/>
    <w:rsid w:val="00296AED"/>
    <w:rsid w:val="00296BA3"/>
    <w:rsid w:val="00296C43"/>
    <w:rsid w:val="00296DEE"/>
    <w:rsid w:val="00296E11"/>
    <w:rsid w:val="00296F4D"/>
    <w:rsid w:val="0029700C"/>
    <w:rsid w:val="0029705C"/>
    <w:rsid w:val="002970CB"/>
    <w:rsid w:val="00297112"/>
    <w:rsid w:val="00297434"/>
    <w:rsid w:val="0029757E"/>
    <w:rsid w:val="002975B4"/>
    <w:rsid w:val="002975C5"/>
    <w:rsid w:val="002975E5"/>
    <w:rsid w:val="0029762C"/>
    <w:rsid w:val="0029770F"/>
    <w:rsid w:val="0029774E"/>
    <w:rsid w:val="002978EA"/>
    <w:rsid w:val="002979F9"/>
    <w:rsid w:val="00297ABB"/>
    <w:rsid w:val="00297B29"/>
    <w:rsid w:val="00297D7B"/>
    <w:rsid w:val="00297ECF"/>
    <w:rsid w:val="002A010C"/>
    <w:rsid w:val="002A018A"/>
    <w:rsid w:val="002A01ED"/>
    <w:rsid w:val="002A0255"/>
    <w:rsid w:val="002A02D4"/>
    <w:rsid w:val="002A03F5"/>
    <w:rsid w:val="002A05A8"/>
    <w:rsid w:val="002A05F0"/>
    <w:rsid w:val="002A06DA"/>
    <w:rsid w:val="002A073C"/>
    <w:rsid w:val="002A07C5"/>
    <w:rsid w:val="002A0921"/>
    <w:rsid w:val="002A0AE6"/>
    <w:rsid w:val="002A0B1D"/>
    <w:rsid w:val="002A0DD6"/>
    <w:rsid w:val="002A0DFA"/>
    <w:rsid w:val="002A0EF1"/>
    <w:rsid w:val="002A0F5A"/>
    <w:rsid w:val="002A10D4"/>
    <w:rsid w:val="002A10FC"/>
    <w:rsid w:val="002A130D"/>
    <w:rsid w:val="002A135C"/>
    <w:rsid w:val="002A13A5"/>
    <w:rsid w:val="002A148D"/>
    <w:rsid w:val="002A1546"/>
    <w:rsid w:val="002A168D"/>
    <w:rsid w:val="002A172B"/>
    <w:rsid w:val="002A182C"/>
    <w:rsid w:val="002A190C"/>
    <w:rsid w:val="002A19AB"/>
    <w:rsid w:val="002A1AA4"/>
    <w:rsid w:val="002A1BF6"/>
    <w:rsid w:val="002A1C5B"/>
    <w:rsid w:val="002A1EF4"/>
    <w:rsid w:val="002A1F9C"/>
    <w:rsid w:val="002A1FDE"/>
    <w:rsid w:val="002A218A"/>
    <w:rsid w:val="002A2449"/>
    <w:rsid w:val="002A2550"/>
    <w:rsid w:val="002A2598"/>
    <w:rsid w:val="002A25C1"/>
    <w:rsid w:val="002A27A7"/>
    <w:rsid w:val="002A2C5A"/>
    <w:rsid w:val="002A2D9C"/>
    <w:rsid w:val="002A2E07"/>
    <w:rsid w:val="002A302E"/>
    <w:rsid w:val="002A309F"/>
    <w:rsid w:val="002A30BE"/>
    <w:rsid w:val="002A33CB"/>
    <w:rsid w:val="002A3453"/>
    <w:rsid w:val="002A3649"/>
    <w:rsid w:val="002A3814"/>
    <w:rsid w:val="002A385A"/>
    <w:rsid w:val="002A38B3"/>
    <w:rsid w:val="002A394C"/>
    <w:rsid w:val="002A39D1"/>
    <w:rsid w:val="002A3BEA"/>
    <w:rsid w:val="002A3D5A"/>
    <w:rsid w:val="002A3DB2"/>
    <w:rsid w:val="002A3EB0"/>
    <w:rsid w:val="002A4176"/>
    <w:rsid w:val="002A41A3"/>
    <w:rsid w:val="002A4413"/>
    <w:rsid w:val="002A44C8"/>
    <w:rsid w:val="002A4548"/>
    <w:rsid w:val="002A456F"/>
    <w:rsid w:val="002A458F"/>
    <w:rsid w:val="002A4633"/>
    <w:rsid w:val="002A46C9"/>
    <w:rsid w:val="002A46DD"/>
    <w:rsid w:val="002A4749"/>
    <w:rsid w:val="002A4763"/>
    <w:rsid w:val="002A496F"/>
    <w:rsid w:val="002A49B0"/>
    <w:rsid w:val="002A4AB2"/>
    <w:rsid w:val="002A4DEC"/>
    <w:rsid w:val="002A4DF5"/>
    <w:rsid w:val="002A4F98"/>
    <w:rsid w:val="002A510A"/>
    <w:rsid w:val="002A52C2"/>
    <w:rsid w:val="002A52C7"/>
    <w:rsid w:val="002A52CE"/>
    <w:rsid w:val="002A53F8"/>
    <w:rsid w:val="002A55B0"/>
    <w:rsid w:val="002A56CD"/>
    <w:rsid w:val="002A5AC8"/>
    <w:rsid w:val="002A5C46"/>
    <w:rsid w:val="002A5D52"/>
    <w:rsid w:val="002A5DB8"/>
    <w:rsid w:val="002A5ED3"/>
    <w:rsid w:val="002A5F21"/>
    <w:rsid w:val="002A5FC2"/>
    <w:rsid w:val="002A6104"/>
    <w:rsid w:val="002A611D"/>
    <w:rsid w:val="002A623B"/>
    <w:rsid w:val="002A6255"/>
    <w:rsid w:val="002A66BA"/>
    <w:rsid w:val="002A6825"/>
    <w:rsid w:val="002A6911"/>
    <w:rsid w:val="002A69BB"/>
    <w:rsid w:val="002A6B19"/>
    <w:rsid w:val="002A6BDC"/>
    <w:rsid w:val="002A6C79"/>
    <w:rsid w:val="002A6E2B"/>
    <w:rsid w:val="002A6ECB"/>
    <w:rsid w:val="002A7069"/>
    <w:rsid w:val="002A716B"/>
    <w:rsid w:val="002A7197"/>
    <w:rsid w:val="002A71DA"/>
    <w:rsid w:val="002A71ED"/>
    <w:rsid w:val="002A720A"/>
    <w:rsid w:val="002A771E"/>
    <w:rsid w:val="002A7799"/>
    <w:rsid w:val="002A7829"/>
    <w:rsid w:val="002A78D7"/>
    <w:rsid w:val="002A78F6"/>
    <w:rsid w:val="002A7982"/>
    <w:rsid w:val="002A7B77"/>
    <w:rsid w:val="002A7C31"/>
    <w:rsid w:val="002A7CF1"/>
    <w:rsid w:val="002A7DC4"/>
    <w:rsid w:val="002A7F86"/>
    <w:rsid w:val="002B005A"/>
    <w:rsid w:val="002B009F"/>
    <w:rsid w:val="002B01C6"/>
    <w:rsid w:val="002B02BA"/>
    <w:rsid w:val="002B03EE"/>
    <w:rsid w:val="002B04C5"/>
    <w:rsid w:val="002B0505"/>
    <w:rsid w:val="002B05BC"/>
    <w:rsid w:val="002B0632"/>
    <w:rsid w:val="002B064D"/>
    <w:rsid w:val="002B0651"/>
    <w:rsid w:val="002B06A9"/>
    <w:rsid w:val="002B06DD"/>
    <w:rsid w:val="002B0D78"/>
    <w:rsid w:val="002B0E15"/>
    <w:rsid w:val="002B1170"/>
    <w:rsid w:val="002B1210"/>
    <w:rsid w:val="002B12EF"/>
    <w:rsid w:val="002B13A0"/>
    <w:rsid w:val="002B1435"/>
    <w:rsid w:val="002B146F"/>
    <w:rsid w:val="002B152B"/>
    <w:rsid w:val="002B153F"/>
    <w:rsid w:val="002B169A"/>
    <w:rsid w:val="002B1763"/>
    <w:rsid w:val="002B1777"/>
    <w:rsid w:val="002B194F"/>
    <w:rsid w:val="002B1B6F"/>
    <w:rsid w:val="002B1D11"/>
    <w:rsid w:val="002B1D1C"/>
    <w:rsid w:val="002B1E1B"/>
    <w:rsid w:val="002B1F3C"/>
    <w:rsid w:val="002B1FA0"/>
    <w:rsid w:val="002B21E0"/>
    <w:rsid w:val="002B224D"/>
    <w:rsid w:val="002B2374"/>
    <w:rsid w:val="002B23B1"/>
    <w:rsid w:val="002B240A"/>
    <w:rsid w:val="002B2417"/>
    <w:rsid w:val="002B2572"/>
    <w:rsid w:val="002B2611"/>
    <w:rsid w:val="002B2707"/>
    <w:rsid w:val="002B2908"/>
    <w:rsid w:val="002B293F"/>
    <w:rsid w:val="002B2A54"/>
    <w:rsid w:val="002B2A9D"/>
    <w:rsid w:val="002B2AE7"/>
    <w:rsid w:val="002B2B61"/>
    <w:rsid w:val="002B2B65"/>
    <w:rsid w:val="002B2B84"/>
    <w:rsid w:val="002B2B94"/>
    <w:rsid w:val="002B2C9D"/>
    <w:rsid w:val="002B2D52"/>
    <w:rsid w:val="002B34B9"/>
    <w:rsid w:val="002B3500"/>
    <w:rsid w:val="002B355B"/>
    <w:rsid w:val="002B3585"/>
    <w:rsid w:val="002B373C"/>
    <w:rsid w:val="002B3AE2"/>
    <w:rsid w:val="002B3B92"/>
    <w:rsid w:val="002B3C72"/>
    <w:rsid w:val="002B3CB7"/>
    <w:rsid w:val="002B3D59"/>
    <w:rsid w:val="002B3D87"/>
    <w:rsid w:val="002B3E97"/>
    <w:rsid w:val="002B4313"/>
    <w:rsid w:val="002B43E9"/>
    <w:rsid w:val="002B44F7"/>
    <w:rsid w:val="002B455A"/>
    <w:rsid w:val="002B46BC"/>
    <w:rsid w:val="002B47F9"/>
    <w:rsid w:val="002B47FE"/>
    <w:rsid w:val="002B4958"/>
    <w:rsid w:val="002B4A39"/>
    <w:rsid w:val="002B4A49"/>
    <w:rsid w:val="002B4B17"/>
    <w:rsid w:val="002B4B99"/>
    <w:rsid w:val="002B4C61"/>
    <w:rsid w:val="002B4C72"/>
    <w:rsid w:val="002B4D48"/>
    <w:rsid w:val="002B4D79"/>
    <w:rsid w:val="002B4F3E"/>
    <w:rsid w:val="002B4F49"/>
    <w:rsid w:val="002B5056"/>
    <w:rsid w:val="002B51DB"/>
    <w:rsid w:val="002B5430"/>
    <w:rsid w:val="002B5483"/>
    <w:rsid w:val="002B5498"/>
    <w:rsid w:val="002B573D"/>
    <w:rsid w:val="002B57BF"/>
    <w:rsid w:val="002B580F"/>
    <w:rsid w:val="002B58F3"/>
    <w:rsid w:val="002B5926"/>
    <w:rsid w:val="002B59B9"/>
    <w:rsid w:val="002B5A29"/>
    <w:rsid w:val="002B5A3E"/>
    <w:rsid w:val="002B5D44"/>
    <w:rsid w:val="002B5E1B"/>
    <w:rsid w:val="002B5E7E"/>
    <w:rsid w:val="002B5F76"/>
    <w:rsid w:val="002B5FA1"/>
    <w:rsid w:val="002B5FB9"/>
    <w:rsid w:val="002B6024"/>
    <w:rsid w:val="002B60E8"/>
    <w:rsid w:val="002B6243"/>
    <w:rsid w:val="002B6318"/>
    <w:rsid w:val="002B652C"/>
    <w:rsid w:val="002B6852"/>
    <w:rsid w:val="002B6874"/>
    <w:rsid w:val="002B6B7F"/>
    <w:rsid w:val="002B6C29"/>
    <w:rsid w:val="002B6C47"/>
    <w:rsid w:val="002B6CC4"/>
    <w:rsid w:val="002B6D05"/>
    <w:rsid w:val="002B6E8C"/>
    <w:rsid w:val="002B6F1B"/>
    <w:rsid w:val="002B6FD5"/>
    <w:rsid w:val="002B728C"/>
    <w:rsid w:val="002B72E6"/>
    <w:rsid w:val="002B7335"/>
    <w:rsid w:val="002B7385"/>
    <w:rsid w:val="002B748B"/>
    <w:rsid w:val="002B762D"/>
    <w:rsid w:val="002B7663"/>
    <w:rsid w:val="002B76B0"/>
    <w:rsid w:val="002B76EB"/>
    <w:rsid w:val="002B7707"/>
    <w:rsid w:val="002B772B"/>
    <w:rsid w:val="002B7795"/>
    <w:rsid w:val="002B77F5"/>
    <w:rsid w:val="002B7817"/>
    <w:rsid w:val="002B78CB"/>
    <w:rsid w:val="002B79A9"/>
    <w:rsid w:val="002B7AF8"/>
    <w:rsid w:val="002B7BFC"/>
    <w:rsid w:val="002B7F76"/>
    <w:rsid w:val="002C002F"/>
    <w:rsid w:val="002C0039"/>
    <w:rsid w:val="002C00B8"/>
    <w:rsid w:val="002C00D1"/>
    <w:rsid w:val="002C025F"/>
    <w:rsid w:val="002C0325"/>
    <w:rsid w:val="002C054D"/>
    <w:rsid w:val="002C05CB"/>
    <w:rsid w:val="002C0603"/>
    <w:rsid w:val="002C06A5"/>
    <w:rsid w:val="002C0AB3"/>
    <w:rsid w:val="002C0AE4"/>
    <w:rsid w:val="002C0BC8"/>
    <w:rsid w:val="002C0CA1"/>
    <w:rsid w:val="002C0CBB"/>
    <w:rsid w:val="002C0D28"/>
    <w:rsid w:val="002C0DC3"/>
    <w:rsid w:val="002C0E13"/>
    <w:rsid w:val="002C0F4A"/>
    <w:rsid w:val="002C0F9C"/>
    <w:rsid w:val="002C129B"/>
    <w:rsid w:val="002C1752"/>
    <w:rsid w:val="002C17F8"/>
    <w:rsid w:val="002C18C2"/>
    <w:rsid w:val="002C18C4"/>
    <w:rsid w:val="002C1A0F"/>
    <w:rsid w:val="002C1A59"/>
    <w:rsid w:val="002C1D0C"/>
    <w:rsid w:val="002C1DCC"/>
    <w:rsid w:val="002C1E57"/>
    <w:rsid w:val="002C1EC2"/>
    <w:rsid w:val="002C2063"/>
    <w:rsid w:val="002C21E4"/>
    <w:rsid w:val="002C2232"/>
    <w:rsid w:val="002C2377"/>
    <w:rsid w:val="002C2585"/>
    <w:rsid w:val="002C26F7"/>
    <w:rsid w:val="002C27B9"/>
    <w:rsid w:val="002C2944"/>
    <w:rsid w:val="002C2983"/>
    <w:rsid w:val="002C2A9A"/>
    <w:rsid w:val="002C2AC0"/>
    <w:rsid w:val="002C2B27"/>
    <w:rsid w:val="002C2B4E"/>
    <w:rsid w:val="002C2B8B"/>
    <w:rsid w:val="002C2C07"/>
    <w:rsid w:val="002C2E30"/>
    <w:rsid w:val="002C2E47"/>
    <w:rsid w:val="002C2E76"/>
    <w:rsid w:val="002C2E84"/>
    <w:rsid w:val="002C2F12"/>
    <w:rsid w:val="002C2F5C"/>
    <w:rsid w:val="002C2FC3"/>
    <w:rsid w:val="002C3084"/>
    <w:rsid w:val="002C31AB"/>
    <w:rsid w:val="002C32B3"/>
    <w:rsid w:val="002C331D"/>
    <w:rsid w:val="002C3582"/>
    <w:rsid w:val="002C3629"/>
    <w:rsid w:val="002C383F"/>
    <w:rsid w:val="002C38E9"/>
    <w:rsid w:val="002C3A01"/>
    <w:rsid w:val="002C3C54"/>
    <w:rsid w:val="002C3D7F"/>
    <w:rsid w:val="002C3DE5"/>
    <w:rsid w:val="002C3E5C"/>
    <w:rsid w:val="002C408A"/>
    <w:rsid w:val="002C428A"/>
    <w:rsid w:val="002C4350"/>
    <w:rsid w:val="002C4505"/>
    <w:rsid w:val="002C456E"/>
    <w:rsid w:val="002C45AC"/>
    <w:rsid w:val="002C45B6"/>
    <w:rsid w:val="002C4614"/>
    <w:rsid w:val="002C4699"/>
    <w:rsid w:val="002C4760"/>
    <w:rsid w:val="002C4890"/>
    <w:rsid w:val="002C4B32"/>
    <w:rsid w:val="002C4BAA"/>
    <w:rsid w:val="002C4C3B"/>
    <w:rsid w:val="002C4CE5"/>
    <w:rsid w:val="002C4DAF"/>
    <w:rsid w:val="002C4F1E"/>
    <w:rsid w:val="002C4FE2"/>
    <w:rsid w:val="002C5069"/>
    <w:rsid w:val="002C50AD"/>
    <w:rsid w:val="002C5123"/>
    <w:rsid w:val="002C529A"/>
    <w:rsid w:val="002C53D7"/>
    <w:rsid w:val="002C546F"/>
    <w:rsid w:val="002C568D"/>
    <w:rsid w:val="002C56AB"/>
    <w:rsid w:val="002C5C20"/>
    <w:rsid w:val="002C5CEB"/>
    <w:rsid w:val="002C5CEF"/>
    <w:rsid w:val="002C5DA3"/>
    <w:rsid w:val="002C5EAA"/>
    <w:rsid w:val="002C5ED1"/>
    <w:rsid w:val="002C60D6"/>
    <w:rsid w:val="002C61A3"/>
    <w:rsid w:val="002C630B"/>
    <w:rsid w:val="002C6393"/>
    <w:rsid w:val="002C6452"/>
    <w:rsid w:val="002C658C"/>
    <w:rsid w:val="002C66E1"/>
    <w:rsid w:val="002C6746"/>
    <w:rsid w:val="002C6869"/>
    <w:rsid w:val="002C6993"/>
    <w:rsid w:val="002C6A07"/>
    <w:rsid w:val="002C6A16"/>
    <w:rsid w:val="002C6B86"/>
    <w:rsid w:val="002C6BA1"/>
    <w:rsid w:val="002C6D34"/>
    <w:rsid w:val="002C6FD1"/>
    <w:rsid w:val="002C7150"/>
    <w:rsid w:val="002C71B7"/>
    <w:rsid w:val="002C7214"/>
    <w:rsid w:val="002C72D0"/>
    <w:rsid w:val="002C7369"/>
    <w:rsid w:val="002C75FA"/>
    <w:rsid w:val="002C7953"/>
    <w:rsid w:val="002C79CE"/>
    <w:rsid w:val="002C7B14"/>
    <w:rsid w:val="002C7BD3"/>
    <w:rsid w:val="002C7C3C"/>
    <w:rsid w:val="002C7CC1"/>
    <w:rsid w:val="002D0051"/>
    <w:rsid w:val="002D0202"/>
    <w:rsid w:val="002D0825"/>
    <w:rsid w:val="002D0926"/>
    <w:rsid w:val="002D0956"/>
    <w:rsid w:val="002D09D3"/>
    <w:rsid w:val="002D09D5"/>
    <w:rsid w:val="002D0A56"/>
    <w:rsid w:val="002D0BA9"/>
    <w:rsid w:val="002D0F87"/>
    <w:rsid w:val="002D0FD6"/>
    <w:rsid w:val="002D0FE0"/>
    <w:rsid w:val="002D10D7"/>
    <w:rsid w:val="002D1117"/>
    <w:rsid w:val="002D113E"/>
    <w:rsid w:val="002D147F"/>
    <w:rsid w:val="002D154F"/>
    <w:rsid w:val="002D1814"/>
    <w:rsid w:val="002D1818"/>
    <w:rsid w:val="002D188B"/>
    <w:rsid w:val="002D18E1"/>
    <w:rsid w:val="002D19D4"/>
    <w:rsid w:val="002D1AE9"/>
    <w:rsid w:val="002D1BF7"/>
    <w:rsid w:val="002D1D8B"/>
    <w:rsid w:val="002D1DCF"/>
    <w:rsid w:val="002D1E3B"/>
    <w:rsid w:val="002D1EC1"/>
    <w:rsid w:val="002D202F"/>
    <w:rsid w:val="002D206E"/>
    <w:rsid w:val="002D20C0"/>
    <w:rsid w:val="002D21D5"/>
    <w:rsid w:val="002D23EF"/>
    <w:rsid w:val="002D2407"/>
    <w:rsid w:val="002D254C"/>
    <w:rsid w:val="002D25B7"/>
    <w:rsid w:val="002D2A74"/>
    <w:rsid w:val="002D2A99"/>
    <w:rsid w:val="002D2B13"/>
    <w:rsid w:val="002D2D7E"/>
    <w:rsid w:val="002D2EE9"/>
    <w:rsid w:val="002D2F1B"/>
    <w:rsid w:val="002D2F97"/>
    <w:rsid w:val="002D2FBE"/>
    <w:rsid w:val="002D3103"/>
    <w:rsid w:val="002D324D"/>
    <w:rsid w:val="002D3250"/>
    <w:rsid w:val="002D33C2"/>
    <w:rsid w:val="002D358D"/>
    <w:rsid w:val="002D35C7"/>
    <w:rsid w:val="002D3717"/>
    <w:rsid w:val="002D3745"/>
    <w:rsid w:val="002D383F"/>
    <w:rsid w:val="002D39AF"/>
    <w:rsid w:val="002D3BCC"/>
    <w:rsid w:val="002D3CCD"/>
    <w:rsid w:val="002D3D1A"/>
    <w:rsid w:val="002D3D43"/>
    <w:rsid w:val="002D3EC0"/>
    <w:rsid w:val="002D3FC3"/>
    <w:rsid w:val="002D4104"/>
    <w:rsid w:val="002D4177"/>
    <w:rsid w:val="002D43D3"/>
    <w:rsid w:val="002D440F"/>
    <w:rsid w:val="002D4771"/>
    <w:rsid w:val="002D4818"/>
    <w:rsid w:val="002D4958"/>
    <w:rsid w:val="002D4A7D"/>
    <w:rsid w:val="002D4BE7"/>
    <w:rsid w:val="002D4D3C"/>
    <w:rsid w:val="002D4D58"/>
    <w:rsid w:val="002D5085"/>
    <w:rsid w:val="002D51B8"/>
    <w:rsid w:val="002D51FE"/>
    <w:rsid w:val="002D5432"/>
    <w:rsid w:val="002D548B"/>
    <w:rsid w:val="002D5512"/>
    <w:rsid w:val="002D566A"/>
    <w:rsid w:val="002D56C7"/>
    <w:rsid w:val="002D56D2"/>
    <w:rsid w:val="002D580E"/>
    <w:rsid w:val="002D58B0"/>
    <w:rsid w:val="002D590E"/>
    <w:rsid w:val="002D5985"/>
    <w:rsid w:val="002D5C0F"/>
    <w:rsid w:val="002D5D13"/>
    <w:rsid w:val="002D5F86"/>
    <w:rsid w:val="002D5FC8"/>
    <w:rsid w:val="002D61F0"/>
    <w:rsid w:val="002D6596"/>
    <w:rsid w:val="002D6669"/>
    <w:rsid w:val="002D66B1"/>
    <w:rsid w:val="002D67A1"/>
    <w:rsid w:val="002D67E1"/>
    <w:rsid w:val="002D6922"/>
    <w:rsid w:val="002D697D"/>
    <w:rsid w:val="002D6A24"/>
    <w:rsid w:val="002D6ADA"/>
    <w:rsid w:val="002D6E10"/>
    <w:rsid w:val="002D7169"/>
    <w:rsid w:val="002D73E3"/>
    <w:rsid w:val="002D7461"/>
    <w:rsid w:val="002D7542"/>
    <w:rsid w:val="002D7616"/>
    <w:rsid w:val="002D7A4C"/>
    <w:rsid w:val="002D7B8C"/>
    <w:rsid w:val="002D7C80"/>
    <w:rsid w:val="002D7D46"/>
    <w:rsid w:val="002D7ECF"/>
    <w:rsid w:val="002D7F62"/>
    <w:rsid w:val="002D7FA7"/>
    <w:rsid w:val="002E01EE"/>
    <w:rsid w:val="002E026E"/>
    <w:rsid w:val="002E027F"/>
    <w:rsid w:val="002E02C3"/>
    <w:rsid w:val="002E0337"/>
    <w:rsid w:val="002E0401"/>
    <w:rsid w:val="002E042E"/>
    <w:rsid w:val="002E0539"/>
    <w:rsid w:val="002E05F9"/>
    <w:rsid w:val="002E07CE"/>
    <w:rsid w:val="002E0829"/>
    <w:rsid w:val="002E084E"/>
    <w:rsid w:val="002E094E"/>
    <w:rsid w:val="002E096E"/>
    <w:rsid w:val="002E0A57"/>
    <w:rsid w:val="002E0AFD"/>
    <w:rsid w:val="002E0B85"/>
    <w:rsid w:val="002E0BD0"/>
    <w:rsid w:val="002E0D44"/>
    <w:rsid w:val="002E1098"/>
    <w:rsid w:val="002E117E"/>
    <w:rsid w:val="002E11FF"/>
    <w:rsid w:val="002E1236"/>
    <w:rsid w:val="002E126D"/>
    <w:rsid w:val="002E14A0"/>
    <w:rsid w:val="002E14FB"/>
    <w:rsid w:val="002E15E2"/>
    <w:rsid w:val="002E1713"/>
    <w:rsid w:val="002E1969"/>
    <w:rsid w:val="002E1C2C"/>
    <w:rsid w:val="002E1C94"/>
    <w:rsid w:val="002E1D86"/>
    <w:rsid w:val="002E200E"/>
    <w:rsid w:val="002E224D"/>
    <w:rsid w:val="002E22EC"/>
    <w:rsid w:val="002E236C"/>
    <w:rsid w:val="002E2482"/>
    <w:rsid w:val="002E26EE"/>
    <w:rsid w:val="002E277F"/>
    <w:rsid w:val="002E297F"/>
    <w:rsid w:val="002E2A4A"/>
    <w:rsid w:val="002E2B31"/>
    <w:rsid w:val="002E2B65"/>
    <w:rsid w:val="002E2B8C"/>
    <w:rsid w:val="002E2BDD"/>
    <w:rsid w:val="002E2C57"/>
    <w:rsid w:val="002E2C7F"/>
    <w:rsid w:val="002E2CDB"/>
    <w:rsid w:val="002E2CEC"/>
    <w:rsid w:val="002E2CFE"/>
    <w:rsid w:val="002E2DF4"/>
    <w:rsid w:val="002E2EFF"/>
    <w:rsid w:val="002E2F5C"/>
    <w:rsid w:val="002E3007"/>
    <w:rsid w:val="002E303A"/>
    <w:rsid w:val="002E311A"/>
    <w:rsid w:val="002E3178"/>
    <w:rsid w:val="002E3359"/>
    <w:rsid w:val="002E344F"/>
    <w:rsid w:val="002E365A"/>
    <w:rsid w:val="002E3710"/>
    <w:rsid w:val="002E3925"/>
    <w:rsid w:val="002E39EA"/>
    <w:rsid w:val="002E3A3A"/>
    <w:rsid w:val="002E3A6A"/>
    <w:rsid w:val="002E3B5D"/>
    <w:rsid w:val="002E3CD8"/>
    <w:rsid w:val="002E3D29"/>
    <w:rsid w:val="002E3FA8"/>
    <w:rsid w:val="002E3FD7"/>
    <w:rsid w:val="002E4041"/>
    <w:rsid w:val="002E40CF"/>
    <w:rsid w:val="002E4166"/>
    <w:rsid w:val="002E427A"/>
    <w:rsid w:val="002E43BD"/>
    <w:rsid w:val="002E447E"/>
    <w:rsid w:val="002E44AE"/>
    <w:rsid w:val="002E44D1"/>
    <w:rsid w:val="002E4556"/>
    <w:rsid w:val="002E458B"/>
    <w:rsid w:val="002E46DE"/>
    <w:rsid w:val="002E476A"/>
    <w:rsid w:val="002E47CF"/>
    <w:rsid w:val="002E4980"/>
    <w:rsid w:val="002E4996"/>
    <w:rsid w:val="002E4AE8"/>
    <w:rsid w:val="002E4D93"/>
    <w:rsid w:val="002E4F0E"/>
    <w:rsid w:val="002E4F2D"/>
    <w:rsid w:val="002E4F51"/>
    <w:rsid w:val="002E5406"/>
    <w:rsid w:val="002E554D"/>
    <w:rsid w:val="002E5768"/>
    <w:rsid w:val="002E59EE"/>
    <w:rsid w:val="002E5ACC"/>
    <w:rsid w:val="002E5B26"/>
    <w:rsid w:val="002E5BB1"/>
    <w:rsid w:val="002E5C63"/>
    <w:rsid w:val="002E5ECC"/>
    <w:rsid w:val="002E5EED"/>
    <w:rsid w:val="002E5F34"/>
    <w:rsid w:val="002E5F49"/>
    <w:rsid w:val="002E6090"/>
    <w:rsid w:val="002E654F"/>
    <w:rsid w:val="002E6885"/>
    <w:rsid w:val="002E68E3"/>
    <w:rsid w:val="002E69B6"/>
    <w:rsid w:val="002E6B5D"/>
    <w:rsid w:val="002E6D20"/>
    <w:rsid w:val="002E6E8F"/>
    <w:rsid w:val="002E6F29"/>
    <w:rsid w:val="002E6F8D"/>
    <w:rsid w:val="002E6F98"/>
    <w:rsid w:val="002E7085"/>
    <w:rsid w:val="002E7289"/>
    <w:rsid w:val="002E73F4"/>
    <w:rsid w:val="002E7463"/>
    <w:rsid w:val="002E7564"/>
    <w:rsid w:val="002E7681"/>
    <w:rsid w:val="002E7845"/>
    <w:rsid w:val="002E78D7"/>
    <w:rsid w:val="002E7B06"/>
    <w:rsid w:val="002E7B2C"/>
    <w:rsid w:val="002E7B63"/>
    <w:rsid w:val="002E7C56"/>
    <w:rsid w:val="002E7DDF"/>
    <w:rsid w:val="002E7ED7"/>
    <w:rsid w:val="002E7F56"/>
    <w:rsid w:val="002E7F69"/>
    <w:rsid w:val="002E7FF4"/>
    <w:rsid w:val="002F0043"/>
    <w:rsid w:val="002F01C8"/>
    <w:rsid w:val="002F0264"/>
    <w:rsid w:val="002F03A4"/>
    <w:rsid w:val="002F0695"/>
    <w:rsid w:val="002F0BA1"/>
    <w:rsid w:val="002F0C5D"/>
    <w:rsid w:val="002F0C8B"/>
    <w:rsid w:val="002F105A"/>
    <w:rsid w:val="002F10DB"/>
    <w:rsid w:val="002F10F9"/>
    <w:rsid w:val="002F1274"/>
    <w:rsid w:val="002F12ED"/>
    <w:rsid w:val="002F141C"/>
    <w:rsid w:val="002F1681"/>
    <w:rsid w:val="002F1874"/>
    <w:rsid w:val="002F18E3"/>
    <w:rsid w:val="002F1C30"/>
    <w:rsid w:val="002F1CB1"/>
    <w:rsid w:val="002F1D77"/>
    <w:rsid w:val="002F1EAA"/>
    <w:rsid w:val="002F1FBC"/>
    <w:rsid w:val="002F2132"/>
    <w:rsid w:val="002F21D9"/>
    <w:rsid w:val="002F2287"/>
    <w:rsid w:val="002F22F5"/>
    <w:rsid w:val="002F27D9"/>
    <w:rsid w:val="002F28F0"/>
    <w:rsid w:val="002F2953"/>
    <w:rsid w:val="002F29BB"/>
    <w:rsid w:val="002F2A62"/>
    <w:rsid w:val="002F2BA5"/>
    <w:rsid w:val="002F2BBD"/>
    <w:rsid w:val="002F2C89"/>
    <w:rsid w:val="002F2F21"/>
    <w:rsid w:val="002F2F5D"/>
    <w:rsid w:val="002F3080"/>
    <w:rsid w:val="002F31FE"/>
    <w:rsid w:val="002F3200"/>
    <w:rsid w:val="002F328D"/>
    <w:rsid w:val="002F331C"/>
    <w:rsid w:val="002F333F"/>
    <w:rsid w:val="002F3381"/>
    <w:rsid w:val="002F34EC"/>
    <w:rsid w:val="002F35BD"/>
    <w:rsid w:val="002F3633"/>
    <w:rsid w:val="002F3666"/>
    <w:rsid w:val="002F37B7"/>
    <w:rsid w:val="002F3815"/>
    <w:rsid w:val="002F3980"/>
    <w:rsid w:val="002F39AC"/>
    <w:rsid w:val="002F39C5"/>
    <w:rsid w:val="002F3A05"/>
    <w:rsid w:val="002F3AF3"/>
    <w:rsid w:val="002F3B91"/>
    <w:rsid w:val="002F3BE3"/>
    <w:rsid w:val="002F3CB5"/>
    <w:rsid w:val="002F3F13"/>
    <w:rsid w:val="002F3F81"/>
    <w:rsid w:val="002F4319"/>
    <w:rsid w:val="002F43FE"/>
    <w:rsid w:val="002F4436"/>
    <w:rsid w:val="002F4512"/>
    <w:rsid w:val="002F45AE"/>
    <w:rsid w:val="002F47E9"/>
    <w:rsid w:val="002F480A"/>
    <w:rsid w:val="002F4829"/>
    <w:rsid w:val="002F49D7"/>
    <w:rsid w:val="002F4A56"/>
    <w:rsid w:val="002F4B78"/>
    <w:rsid w:val="002F4C95"/>
    <w:rsid w:val="002F4D9D"/>
    <w:rsid w:val="002F4FD3"/>
    <w:rsid w:val="002F5254"/>
    <w:rsid w:val="002F5307"/>
    <w:rsid w:val="002F54D4"/>
    <w:rsid w:val="002F557D"/>
    <w:rsid w:val="002F55BE"/>
    <w:rsid w:val="002F55E5"/>
    <w:rsid w:val="002F55F3"/>
    <w:rsid w:val="002F5844"/>
    <w:rsid w:val="002F5868"/>
    <w:rsid w:val="002F5979"/>
    <w:rsid w:val="002F5AE7"/>
    <w:rsid w:val="002F5B67"/>
    <w:rsid w:val="002F5D49"/>
    <w:rsid w:val="002F6049"/>
    <w:rsid w:val="002F6082"/>
    <w:rsid w:val="002F60DE"/>
    <w:rsid w:val="002F61EF"/>
    <w:rsid w:val="002F6253"/>
    <w:rsid w:val="002F6277"/>
    <w:rsid w:val="002F62BD"/>
    <w:rsid w:val="002F653C"/>
    <w:rsid w:val="002F6553"/>
    <w:rsid w:val="002F6564"/>
    <w:rsid w:val="002F67DE"/>
    <w:rsid w:val="002F68B5"/>
    <w:rsid w:val="002F6902"/>
    <w:rsid w:val="002F6908"/>
    <w:rsid w:val="002F692C"/>
    <w:rsid w:val="002F6987"/>
    <w:rsid w:val="002F699D"/>
    <w:rsid w:val="002F6A7F"/>
    <w:rsid w:val="002F6AC5"/>
    <w:rsid w:val="002F6B14"/>
    <w:rsid w:val="002F6EA4"/>
    <w:rsid w:val="002F6F03"/>
    <w:rsid w:val="002F7012"/>
    <w:rsid w:val="002F735C"/>
    <w:rsid w:val="002F74DC"/>
    <w:rsid w:val="002F756C"/>
    <w:rsid w:val="002F772D"/>
    <w:rsid w:val="002F7776"/>
    <w:rsid w:val="002F7A31"/>
    <w:rsid w:val="002F7A4B"/>
    <w:rsid w:val="002F7D4C"/>
    <w:rsid w:val="002F7FFB"/>
    <w:rsid w:val="003003B6"/>
    <w:rsid w:val="00300421"/>
    <w:rsid w:val="0030045D"/>
    <w:rsid w:val="003005CA"/>
    <w:rsid w:val="00300BA8"/>
    <w:rsid w:val="00300C57"/>
    <w:rsid w:val="00300CED"/>
    <w:rsid w:val="00300D77"/>
    <w:rsid w:val="00300DA1"/>
    <w:rsid w:val="00300DE4"/>
    <w:rsid w:val="00300E85"/>
    <w:rsid w:val="00300F69"/>
    <w:rsid w:val="003012B7"/>
    <w:rsid w:val="00301341"/>
    <w:rsid w:val="00301519"/>
    <w:rsid w:val="003015AE"/>
    <w:rsid w:val="0030163C"/>
    <w:rsid w:val="00301721"/>
    <w:rsid w:val="00301799"/>
    <w:rsid w:val="00301BE2"/>
    <w:rsid w:val="00301C2D"/>
    <w:rsid w:val="00301CFD"/>
    <w:rsid w:val="00301D18"/>
    <w:rsid w:val="00301DEB"/>
    <w:rsid w:val="00302189"/>
    <w:rsid w:val="00302384"/>
    <w:rsid w:val="003023DE"/>
    <w:rsid w:val="0030244D"/>
    <w:rsid w:val="003024E4"/>
    <w:rsid w:val="003025A3"/>
    <w:rsid w:val="003025CE"/>
    <w:rsid w:val="003026FF"/>
    <w:rsid w:val="00302957"/>
    <w:rsid w:val="003029A1"/>
    <w:rsid w:val="003029FB"/>
    <w:rsid w:val="00302AF0"/>
    <w:rsid w:val="00302E0C"/>
    <w:rsid w:val="00303048"/>
    <w:rsid w:val="003030E1"/>
    <w:rsid w:val="0030319F"/>
    <w:rsid w:val="00303267"/>
    <w:rsid w:val="00303317"/>
    <w:rsid w:val="0030345F"/>
    <w:rsid w:val="003035B6"/>
    <w:rsid w:val="00303630"/>
    <w:rsid w:val="0030385A"/>
    <w:rsid w:val="00303864"/>
    <w:rsid w:val="003038AE"/>
    <w:rsid w:val="00303914"/>
    <w:rsid w:val="00303C79"/>
    <w:rsid w:val="00303D00"/>
    <w:rsid w:val="00303FB0"/>
    <w:rsid w:val="00304531"/>
    <w:rsid w:val="00304537"/>
    <w:rsid w:val="00304597"/>
    <w:rsid w:val="00304677"/>
    <w:rsid w:val="00304927"/>
    <w:rsid w:val="00304A19"/>
    <w:rsid w:val="00304B83"/>
    <w:rsid w:val="00304BC9"/>
    <w:rsid w:val="00304C1D"/>
    <w:rsid w:val="00305019"/>
    <w:rsid w:val="003055E5"/>
    <w:rsid w:val="00305956"/>
    <w:rsid w:val="00305994"/>
    <w:rsid w:val="00305A0A"/>
    <w:rsid w:val="00305A0E"/>
    <w:rsid w:val="00305B76"/>
    <w:rsid w:val="00305B9E"/>
    <w:rsid w:val="00305DEC"/>
    <w:rsid w:val="00305E08"/>
    <w:rsid w:val="00305FC4"/>
    <w:rsid w:val="00306061"/>
    <w:rsid w:val="00306102"/>
    <w:rsid w:val="003062A1"/>
    <w:rsid w:val="0030632A"/>
    <w:rsid w:val="00306510"/>
    <w:rsid w:val="003066E3"/>
    <w:rsid w:val="003069E8"/>
    <w:rsid w:val="00306AF9"/>
    <w:rsid w:val="00306CA0"/>
    <w:rsid w:val="00306CE6"/>
    <w:rsid w:val="00306DEA"/>
    <w:rsid w:val="00306F17"/>
    <w:rsid w:val="00306F4B"/>
    <w:rsid w:val="00306FD4"/>
    <w:rsid w:val="003071FE"/>
    <w:rsid w:val="0030723E"/>
    <w:rsid w:val="00307673"/>
    <w:rsid w:val="0030770E"/>
    <w:rsid w:val="00307737"/>
    <w:rsid w:val="00307794"/>
    <w:rsid w:val="00307829"/>
    <w:rsid w:val="003079FA"/>
    <w:rsid w:val="00307A54"/>
    <w:rsid w:val="00307A9A"/>
    <w:rsid w:val="00307DD1"/>
    <w:rsid w:val="00307E85"/>
    <w:rsid w:val="00307EC7"/>
    <w:rsid w:val="00310101"/>
    <w:rsid w:val="00310140"/>
    <w:rsid w:val="003101A7"/>
    <w:rsid w:val="0031020C"/>
    <w:rsid w:val="00310219"/>
    <w:rsid w:val="00310233"/>
    <w:rsid w:val="00310256"/>
    <w:rsid w:val="00310269"/>
    <w:rsid w:val="003103C3"/>
    <w:rsid w:val="003103FD"/>
    <w:rsid w:val="00310448"/>
    <w:rsid w:val="00310458"/>
    <w:rsid w:val="0031058E"/>
    <w:rsid w:val="003105D4"/>
    <w:rsid w:val="003106DD"/>
    <w:rsid w:val="0031074A"/>
    <w:rsid w:val="0031093D"/>
    <w:rsid w:val="00310976"/>
    <w:rsid w:val="00310B6D"/>
    <w:rsid w:val="00310BB2"/>
    <w:rsid w:val="00310BBC"/>
    <w:rsid w:val="00310C3B"/>
    <w:rsid w:val="00310E67"/>
    <w:rsid w:val="00311161"/>
    <w:rsid w:val="003111CC"/>
    <w:rsid w:val="003111CD"/>
    <w:rsid w:val="003111DB"/>
    <w:rsid w:val="00311280"/>
    <w:rsid w:val="00311300"/>
    <w:rsid w:val="00311373"/>
    <w:rsid w:val="00311380"/>
    <w:rsid w:val="00311421"/>
    <w:rsid w:val="00311436"/>
    <w:rsid w:val="0031153F"/>
    <w:rsid w:val="00311708"/>
    <w:rsid w:val="003117F1"/>
    <w:rsid w:val="00311981"/>
    <w:rsid w:val="0031198F"/>
    <w:rsid w:val="003119F1"/>
    <w:rsid w:val="00311B43"/>
    <w:rsid w:val="00311B7C"/>
    <w:rsid w:val="00311CCB"/>
    <w:rsid w:val="00311DAC"/>
    <w:rsid w:val="00311E62"/>
    <w:rsid w:val="003120CC"/>
    <w:rsid w:val="00312200"/>
    <w:rsid w:val="0031234A"/>
    <w:rsid w:val="003123DB"/>
    <w:rsid w:val="00312429"/>
    <w:rsid w:val="0031249D"/>
    <w:rsid w:val="003124BE"/>
    <w:rsid w:val="0031271E"/>
    <w:rsid w:val="003127EB"/>
    <w:rsid w:val="00312861"/>
    <w:rsid w:val="00312D1F"/>
    <w:rsid w:val="00312EBF"/>
    <w:rsid w:val="0031301A"/>
    <w:rsid w:val="00313178"/>
    <w:rsid w:val="0031317A"/>
    <w:rsid w:val="003131C9"/>
    <w:rsid w:val="0031324F"/>
    <w:rsid w:val="00313272"/>
    <w:rsid w:val="003133CB"/>
    <w:rsid w:val="003135A4"/>
    <w:rsid w:val="003135A7"/>
    <w:rsid w:val="00313612"/>
    <w:rsid w:val="003136B8"/>
    <w:rsid w:val="00313937"/>
    <w:rsid w:val="00313C4C"/>
    <w:rsid w:val="00313C59"/>
    <w:rsid w:val="00313C81"/>
    <w:rsid w:val="00313C9A"/>
    <w:rsid w:val="00313D57"/>
    <w:rsid w:val="00313EA3"/>
    <w:rsid w:val="00313F32"/>
    <w:rsid w:val="00313FAC"/>
    <w:rsid w:val="003140E5"/>
    <w:rsid w:val="0031425D"/>
    <w:rsid w:val="00314273"/>
    <w:rsid w:val="00314398"/>
    <w:rsid w:val="003143BB"/>
    <w:rsid w:val="00314466"/>
    <w:rsid w:val="00314742"/>
    <w:rsid w:val="0031478B"/>
    <w:rsid w:val="0031486D"/>
    <w:rsid w:val="003149E9"/>
    <w:rsid w:val="00314B3A"/>
    <w:rsid w:val="00314BAD"/>
    <w:rsid w:val="00314C09"/>
    <w:rsid w:val="00314C5F"/>
    <w:rsid w:val="00314C8B"/>
    <w:rsid w:val="00314EBF"/>
    <w:rsid w:val="00314EE5"/>
    <w:rsid w:val="00314EE7"/>
    <w:rsid w:val="00314F34"/>
    <w:rsid w:val="00314FD3"/>
    <w:rsid w:val="0031503E"/>
    <w:rsid w:val="003151A7"/>
    <w:rsid w:val="0031521D"/>
    <w:rsid w:val="003152FA"/>
    <w:rsid w:val="0031533C"/>
    <w:rsid w:val="003153B8"/>
    <w:rsid w:val="003155BA"/>
    <w:rsid w:val="0031560B"/>
    <w:rsid w:val="00315729"/>
    <w:rsid w:val="0031573D"/>
    <w:rsid w:val="003158A6"/>
    <w:rsid w:val="00315975"/>
    <w:rsid w:val="00315983"/>
    <w:rsid w:val="00315B4F"/>
    <w:rsid w:val="00315B94"/>
    <w:rsid w:val="00315CDE"/>
    <w:rsid w:val="00315D42"/>
    <w:rsid w:val="00316114"/>
    <w:rsid w:val="00316132"/>
    <w:rsid w:val="0031619B"/>
    <w:rsid w:val="003161DA"/>
    <w:rsid w:val="003162C4"/>
    <w:rsid w:val="003162EF"/>
    <w:rsid w:val="00316533"/>
    <w:rsid w:val="00316B76"/>
    <w:rsid w:val="00316B83"/>
    <w:rsid w:val="00316E69"/>
    <w:rsid w:val="00316E6E"/>
    <w:rsid w:val="00316EB6"/>
    <w:rsid w:val="003170A0"/>
    <w:rsid w:val="00317290"/>
    <w:rsid w:val="0031743E"/>
    <w:rsid w:val="00317452"/>
    <w:rsid w:val="003176D3"/>
    <w:rsid w:val="00317927"/>
    <w:rsid w:val="00317981"/>
    <w:rsid w:val="00317996"/>
    <w:rsid w:val="00317DAD"/>
    <w:rsid w:val="00317DEF"/>
    <w:rsid w:val="00317DF6"/>
    <w:rsid w:val="00317E6E"/>
    <w:rsid w:val="00317F4F"/>
    <w:rsid w:val="003200E6"/>
    <w:rsid w:val="003203A3"/>
    <w:rsid w:val="003203C7"/>
    <w:rsid w:val="00320415"/>
    <w:rsid w:val="0032056F"/>
    <w:rsid w:val="003205DC"/>
    <w:rsid w:val="00320865"/>
    <w:rsid w:val="00320884"/>
    <w:rsid w:val="00320A92"/>
    <w:rsid w:val="00320B77"/>
    <w:rsid w:val="00320C70"/>
    <w:rsid w:val="00320C8E"/>
    <w:rsid w:val="00320DC4"/>
    <w:rsid w:val="00320DE9"/>
    <w:rsid w:val="00320E24"/>
    <w:rsid w:val="003210F2"/>
    <w:rsid w:val="0032113E"/>
    <w:rsid w:val="003211A4"/>
    <w:rsid w:val="00321268"/>
    <w:rsid w:val="003212FF"/>
    <w:rsid w:val="00321360"/>
    <w:rsid w:val="0032141E"/>
    <w:rsid w:val="0032170F"/>
    <w:rsid w:val="00321A35"/>
    <w:rsid w:val="00321ABD"/>
    <w:rsid w:val="00321B94"/>
    <w:rsid w:val="00321C85"/>
    <w:rsid w:val="00321D29"/>
    <w:rsid w:val="00321DAE"/>
    <w:rsid w:val="00321E2E"/>
    <w:rsid w:val="00321FAB"/>
    <w:rsid w:val="0032223E"/>
    <w:rsid w:val="00322297"/>
    <w:rsid w:val="00322318"/>
    <w:rsid w:val="00322518"/>
    <w:rsid w:val="0032251C"/>
    <w:rsid w:val="00322605"/>
    <w:rsid w:val="0032261D"/>
    <w:rsid w:val="00322659"/>
    <w:rsid w:val="00322680"/>
    <w:rsid w:val="003226FF"/>
    <w:rsid w:val="003228BF"/>
    <w:rsid w:val="00322963"/>
    <w:rsid w:val="0032296B"/>
    <w:rsid w:val="0032298E"/>
    <w:rsid w:val="003229E1"/>
    <w:rsid w:val="00322ACD"/>
    <w:rsid w:val="00322DC6"/>
    <w:rsid w:val="00322E0B"/>
    <w:rsid w:val="00323107"/>
    <w:rsid w:val="00323157"/>
    <w:rsid w:val="00323271"/>
    <w:rsid w:val="003233F8"/>
    <w:rsid w:val="003236E5"/>
    <w:rsid w:val="0032378A"/>
    <w:rsid w:val="003237A7"/>
    <w:rsid w:val="0032384B"/>
    <w:rsid w:val="00323AB9"/>
    <w:rsid w:val="00323AE0"/>
    <w:rsid w:val="00323B0D"/>
    <w:rsid w:val="00323B19"/>
    <w:rsid w:val="00323C5A"/>
    <w:rsid w:val="00323C5B"/>
    <w:rsid w:val="00323C5F"/>
    <w:rsid w:val="00323D00"/>
    <w:rsid w:val="00323F59"/>
    <w:rsid w:val="0032411C"/>
    <w:rsid w:val="003243FF"/>
    <w:rsid w:val="00324485"/>
    <w:rsid w:val="00324648"/>
    <w:rsid w:val="003247A5"/>
    <w:rsid w:val="003249B2"/>
    <w:rsid w:val="003249CC"/>
    <w:rsid w:val="00324D14"/>
    <w:rsid w:val="00324D16"/>
    <w:rsid w:val="00324D25"/>
    <w:rsid w:val="00325015"/>
    <w:rsid w:val="003250B7"/>
    <w:rsid w:val="0032519A"/>
    <w:rsid w:val="0032534C"/>
    <w:rsid w:val="0032541A"/>
    <w:rsid w:val="00325576"/>
    <w:rsid w:val="0032560C"/>
    <w:rsid w:val="00325640"/>
    <w:rsid w:val="003256CA"/>
    <w:rsid w:val="00325775"/>
    <w:rsid w:val="003258A8"/>
    <w:rsid w:val="003258E2"/>
    <w:rsid w:val="003259F4"/>
    <w:rsid w:val="00325AC9"/>
    <w:rsid w:val="00325AEA"/>
    <w:rsid w:val="00325C61"/>
    <w:rsid w:val="00325E7B"/>
    <w:rsid w:val="00325F43"/>
    <w:rsid w:val="0032611B"/>
    <w:rsid w:val="0032611D"/>
    <w:rsid w:val="003263BA"/>
    <w:rsid w:val="0032651F"/>
    <w:rsid w:val="003265E1"/>
    <w:rsid w:val="003266C9"/>
    <w:rsid w:val="003267C9"/>
    <w:rsid w:val="00326A20"/>
    <w:rsid w:val="00326AF9"/>
    <w:rsid w:val="00326B7A"/>
    <w:rsid w:val="00326CAC"/>
    <w:rsid w:val="00326F1C"/>
    <w:rsid w:val="00326F4C"/>
    <w:rsid w:val="00327069"/>
    <w:rsid w:val="003271C0"/>
    <w:rsid w:val="003272A2"/>
    <w:rsid w:val="00327313"/>
    <w:rsid w:val="003275D1"/>
    <w:rsid w:val="00327717"/>
    <w:rsid w:val="003278CB"/>
    <w:rsid w:val="003278F1"/>
    <w:rsid w:val="003278F8"/>
    <w:rsid w:val="0032790E"/>
    <w:rsid w:val="00327A4F"/>
    <w:rsid w:val="00327A65"/>
    <w:rsid w:val="00327B1B"/>
    <w:rsid w:val="00327D62"/>
    <w:rsid w:val="00327DAE"/>
    <w:rsid w:val="00327DCA"/>
    <w:rsid w:val="00327E94"/>
    <w:rsid w:val="00327EFF"/>
    <w:rsid w:val="00327F33"/>
    <w:rsid w:val="00327F5C"/>
    <w:rsid w:val="003303B4"/>
    <w:rsid w:val="003303EE"/>
    <w:rsid w:val="00330515"/>
    <w:rsid w:val="0033055B"/>
    <w:rsid w:val="0033057D"/>
    <w:rsid w:val="003305F3"/>
    <w:rsid w:val="0033060F"/>
    <w:rsid w:val="00330814"/>
    <w:rsid w:val="00330842"/>
    <w:rsid w:val="003309EC"/>
    <w:rsid w:val="00330A29"/>
    <w:rsid w:val="00330BDA"/>
    <w:rsid w:val="00331139"/>
    <w:rsid w:val="00331273"/>
    <w:rsid w:val="003314CE"/>
    <w:rsid w:val="00331579"/>
    <w:rsid w:val="003315CD"/>
    <w:rsid w:val="00331752"/>
    <w:rsid w:val="00331765"/>
    <w:rsid w:val="00331856"/>
    <w:rsid w:val="0033192D"/>
    <w:rsid w:val="00331980"/>
    <w:rsid w:val="00331B57"/>
    <w:rsid w:val="00331D4E"/>
    <w:rsid w:val="00331DC8"/>
    <w:rsid w:val="00331DCE"/>
    <w:rsid w:val="00331F45"/>
    <w:rsid w:val="00331FB2"/>
    <w:rsid w:val="00331FD8"/>
    <w:rsid w:val="00332055"/>
    <w:rsid w:val="00332069"/>
    <w:rsid w:val="00332280"/>
    <w:rsid w:val="003323D5"/>
    <w:rsid w:val="003323DB"/>
    <w:rsid w:val="003327A6"/>
    <w:rsid w:val="003328E3"/>
    <w:rsid w:val="00332B05"/>
    <w:rsid w:val="00332B21"/>
    <w:rsid w:val="00332B94"/>
    <w:rsid w:val="00332C31"/>
    <w:rsid w:val="00332C97"/>
    <w:rsid w:val="00332CE5"/>
    <w:rsid w:val="00332D5F"/>
    <w:rsid w:val="00332E70"/>
    <w:rsid w:val="00332FA6"/>
    <w:rsid w:val="00332FD9"/>
    <w:rsid w:val="003330C7"/>
    <w:rsid w:val="00333182"/>
    <w:rsid w:val="00333328"/>
    <w:rsid w:val="003333FD"/>
    <w:rsid w:val="003335EA"/>
    <w:rsid w:val="0033371B"/>
    <w:rsid w:val="00333860"/>
    <w:rsid w:val="003338EE"/>
    <w:rsid w:val="00333B59"/>
    <w:rsid w:val="00333BE3"/>
    <w:rsid w:val="00333BEC"/>
    <w:rsid w:val="00333C2E"/>
    <w:rsid w:val="00333E3A"/>
    <w:rsid w:val="00333F9E"/>
    <w:rsid w:val="00333FF3"/>
    <w:rsid w:val="0033404D"/>
    <w:rsid w:val="003340FB"/>
    <w:rsid w:val="0033416C"/>
    <w:rsid w:val="00334393"/>
    <w:rsid w:val="0033440C"/>
    <w:rsid w:val="00334458"/>
    <w:rsid w:val="003344A2"/>
    <w:rsid w:val="003345F6"/>
    <w:rsid w:val="00334643"/>
    <w:rsid w:val="00334681"/>
    <w:rsid w:val="0033484D"/>
    <w:rsid w:val="003348A1"/>
    <w:rsid w:val="003348DA"/>
    <w:rsid w:val="003349BF"/>
    <w:rsid w:val="00334A75"/>
    <w:rsid w:val="00334B51"/>
    <w:rsid w:val="00334DC1"/>
    <w:rsid w:val="00334E1F"/>
    <w:rsid w:val="003351EE"/>
    <w:rsid w:val="0033522A"/>
    <w:rsid w:val="003352B7"/>
    <w:rsid w:val="00335634"/>
    <w:rsid w:val="00335763"/>
    <w:rsid w:val="0033578E"/>
    <w:rsid w:val="00335BC2"/>
    <w:rsid w:val="00335C76"/>
    <w:rsid w:val="00335C9A"/>
    <w:rsid w:val="00335D76"/>
    <w:rsid w:val="00335F2A"/>
    <w:rsid w:val="003361AC"/>
    <w:rsid w:val="00336214"/>
    <w:rsid w:val="00336288"/>
    <w:rsid w:val="00336396"/>
    <w:rsid w:val="003364ED"/>
    <w:rsid w:val="00336560"/>
    <w:rsid w:val="00336570"/>
    <w:rsid w:val="00336573"/>
    <w:rsid w:val="003366D0"/>
    <w:rsid w:val="003369CB"/>
    <w:rsid w:val="00336E40"/>
    <w:rsid w:val="00336F46"/>
    <w:rsid w:val="003370EC"/>
    <w:rsid w:val="003370EF"/>
    <w:rsid w:val="00337106"/>
    <w:rsid w:val="003372F7"/>
    <w:rsid w:val="00337301"/>
    <w:rsid w:val="0033738D"/>
    <w:rsid w:val="00337614"/>
    <w:rsid w:val="003376B6"/>
    <w:rsid w:val="0033777B"/>
    <w:rsid w:val="003377A2"/>
    <w:rsid w:val="00337AF4"/>
    <w:rsid w:val="00337B01"/>
    <w:rsid w:val="00337C67"/>
    <w:rsid w:val="00337DB8"/>
    <w:rsid w:val="00337DD4"/>
    <w:rsid w:val="00337DD7"/>
    <w:rsid w:val="00337F2D"/>
    <w:rsid w:val="00337FE6"/>
    <w:rsid w:val="00340078"/>
    <w:rsid w:val="00340121"/>
    <w:rsid w:val="00340154"/>
    <w:rsid w:val="00340297"/>
    <w:rsid w:val="0034040E"/>
    <w:rsid w:val="00340475"/>
    <w:rsid w:val="00340529"/>
    <w:rsid w:val="00340616"/>
    <w:rsid w:val="00340679"/>
    <w:rsid w:val="00340838"/>
    <w:rsid w:val="0034083B"/>
    <w:rsid w:val="00340920"/>
    <w:rsid w:val="003409BF"/>
    <w:rsid w:val="00340BFE"/>
    <w:rsid w:val="00340CE9"/>
    <w:rsid w:val="00340EC9"/>
    <w:rsid w:val="0034102D"/>
    <w:rsid w:val="0034149C"/>
    <w:rsid w:val="0034165C"/>
    <w:rsid w:val="0034168A"/>
    <w:rsid w:val="003416CF"/>
    <w:rsid w:val="0034177B"/>
    <w:rsid w:val="00341806"/>
    <w:rsid w:val="00341921"/>
    <w:rsid w:val="00341B7E"/>
    <w:rsid w:val="00341D5C"/>
    <w:rsid w:val="00341DF9"/>
    <w:rsid w:val="00341FC5"/>
    <w:rsid w:val="00342112"/>
    <w:rsid w:val="0034220D"/>
    <w:rsid w:val="00342386"/>
    <w:rsid w:val="00342395"/>
    <w:rsid w:val="00342434"/>
    <w:rsid w:val="003425D2"/>
    <w:rsid w:val="00342965"/>
    <w:rsid w:val="00342A5F"/>
    <w:rsid w:val="00342BD1"/>
    <w:rsid w:val="00342C4B"/>
    <w:rsid w:val="00342CBE"/>
    <w:rsid w:val="00342D11"/>
    <w:rsid w:val="00342D5F"/>
    <w:rsid w:val="00342DAC"/>
    <w:rsid w:val="00342E13"/>
    <w:rsid w:val="00342F4A"/>
    <w:rsid w:val="00342F8F"/>
    <w:rsid w:val="00343019"/>
    <w:rsid w:val="0034356D"/>
    <w:rsid w:val="00343975"/>
    <w:rsid w:val="00343A98"/>
    <w:rsid w:val="00343C40"/>
    <w:rsid w:val="00343D66"/>
    <w:rsid w:val="00343F31"/>
    <w:rsid w:val="00343FAC"/>
    <w:rsid w:val="00344165"/>
    <w:rsid w:val="003442FE"/>
    <w:rsid w:val="00344319"/>
    <w:rsid w:val="00344553"/>
    <w:rsid w:val="003446B1"/>
    <w:rsid w:val="0034483F"/>
    <w:rsid w:val="0034492A"/>
    <w:rsid w:val="00344A13"/>
    <w:rsid w:val="00344BC6"/>
    <w:rsid w:val="00344C23"/>
    <w:rsid w:val="00344C64"/>
    <w:rsid w:val="00344D20"/>
    <w:rsid w:val="00344EB6"/>
    <w:rsid w:val="00344EBD"/>
    <w:rsid w:val="00344F25"/>
    <w:rsid w:val="00344FA8"/>
    <w:rsid w:val="003452BC"/>
    <w:rsid w:val="00345301"/>
    <w:rsid w:val="00345338"/>
    <w:rsid w:val="00345405"/>
    <w:rsid w:val="0034540B"/>
    <w:rsid w:val="00345455"/>
    <w:rsid w:val="003454C0"/>
    <w:rsid w:val="00345501"/>
    <w:rsid w:val="00345525"/>
    <w:rsid w:val="00345737"/>
    <w:rsid w:val="00345841"/>
    <w:rsid w:val="00345A2C"/>
    <w:rsid w:val="00345B25"/>
    <w:rsid w:val="00345D6B"/>
    <w:rsid w:val="00345E6A"/>
    <w:rsid w:val="00345EE6"/>
    <w:rsid w:val="00345F77"/>
    <w:rsid w:val="00346074"/>
    <w:rsid w:val="0034615F"/>
    <w:rsid w:val="003461F9"/>
    <w:rsid w:val="00346613"/>
    <w:rsid w:val="00346652"/>
    <w:rsid w:val="003466DE"/>
    <w:rsid w:val="0034670A"/>
    <w:rsid w:val="0034678A"/>
    <w:rsid w:val="00346C7C"/>
    <w:rsid w:val="00346EB0"/>
    <w:rsid w:val="00347039"/>
    <w:rsid w:val="00347111"/>
    <w:rsid w:val="00347369"/>
    <w:rsid w:val="003473FF"/>
    <w:rsid w:val="003474F1"/>
    <w:rsid w:val="00347B4A"/>
    <w:rsid w:val="00347B51"/>
    <w:rsid w:val="00347BDF"/>
    <w:rsid w:val="00347D0A"/>
    <w:rsid w:val="00347E20"/>
    <w:rsid w:val="00347E8F"/>
    <w:rsid w:val="00347F19"/>
    <w:rsid w:val="003501BB"/>
    <w:rsid w:val="003501D9"/>
    <w:rsid w:val="0035029D"/>
    <w:rsid w:val="003502E0"/>
    <w:rsid w:val="0035032E"/>
    <w:rsid w:val="00350481"/>
    <w:rsid w:val="003505E8"/>
    <w:rsid w:val="00350939"/>
    <w:rsid w:val="00350983"/>
    <w:rsid w:val="0035099B"/>
    <w:rsid w:val="00350E3F"/>
    <w:rsid w:val="00351025"/>
    <w:rsid w:val="00351040"/>
    <w:rsid w:val="00351234"/>
    <w:rsid w:val="00351302"/>
    <w:rsid w:val="00351331"/>
    <w:rsid w:val="00351669"/>
    <w:rsid w:val="00351728"/>
    <w:rsid w:val="003517AA"/>
    <w:rsid w:val="003517F9"/>
    <w:rsid w:val="003518BA"/>
    <w:rsid w:val="003519D1"/>
    <w:rsid w:val="00351B55"/>
    <w:rsid w:val="00351C39"/>
    <w:rsid w:val="00351D13"/>
    <w:rsid w:val="00351D5E"/>
    <w:rsid w:val="00351E05"/>
    <w:rsid w:val="00351EAE"/>
    <w:rsid w:val="00351FEC"/>
    <w:rsid w:val="0035200E"/>
    <w:rsid w:val="003522EE"/>
    <w:rsid w:val="003523FB"/>
    <w:rsid w:val="00352411"/>
    <w:rsid w:val="003524DC"/>
    <w:rsid w:val="0035268B"/>
    <w:rsid w:val="003526BE"/>
    <w:rsid w:val="00352934"/>
    <w:rsid w:val="00352A61"/>
    <w:rsid w:val="00352AA2"/>
    <w:rsid w:val="00352EE1"/>
    <w:rsid w:val="00352F16"/>
    <w:rsid w:val="00352F54"/>
    <w:rsid w:val="00353046"/>
    <w:rsid w:val="00353059"/>
    <w:rsid w:val="0035332D"/>
    <w:rsid w:val="0035333D"/>
    <w:rsid w:val="0035348D"/>
    <w:rsid w:val="00353581"/>
    <w:rsid w:val="00353BFB"/>
    <w:rsid w:val="00353C40"/>
    <w:rsid w:val="00353CAC"/>
    <w:rsid w:val="00353E54"/>
    <w:rsid w:val="00353EB1"/>
    <w:rsid w:val="00353F2E"/>
    <w:rsid w:val="00353F9A"/>
    <w:rsid w:val="00353FFF"/>
    <w:rsid w:val="00354057"/>
    <w:rsid w:val="00354087"/>
    <w:rsid w:val="003540B0"/>
    <w:rsid w:val="00354112"/>
    <w:rsid w:val="003541DD"/>
    <w:rsid w:val="00354237"/>
    <w:rsid w:val="00354323"/>
    <w:rsid w:val="00354773"/>
    <w:rsid w:val="003548B0"/>
    <w:rsid w:val="0035492D"/>
    <w:rsid w:val="00354958"/>
    <w:rsid w:val="00354A43"/>
    <w:rsid w:val="00354CDC"/>
    <w:rsid w:val="00354E24"/>
    <w:rsid w:val="00354EED"/>
    <w:rsid w:val="003550B0"/>
    <w:rsid w:val="00355152"/>
    <w:rsid w:val="003551DD"/>
    <w:rsid w:val="0035548B"/>
    <w:rsid w:val="00355537"/>
    <w:rsid w:val="00355675"/>
    <w:rsid w:val="00355725"/>
    <w:rsid w:val="003557A0"/>
    <w:rsid w:val="003557F6"/>
    <w:rsid w:val="00355A89"/>
    <w:rsid w:val="00355C58"/>
    <w:rsid w:val="00355E73"/>
    <w:rsid w:val="003560DD"/>
    <w:rsid w:val="003562E9"/>
    <w:rsid w:val="00356340"/>
    <w:rsid w:val="0035661C"/>
    <w:rsid w:val="00356644"/>
    <w:rsid w:val="0035667C"/>
    <w:rsid w:val="003567F3"/>
    <w:rsid w:val="00356841"/>
    <w:rsid w:val="003569C7"/>
    <w:rsid w:val="00356A7C"/>
    <w:rsid w:val="00356B2D"/>
    <w:rsid w:val="00356D41"/>
    <w:rsid w:val="00356D4C"/>
    <w:rsid w:val="00356E9F"/>
    <w:rsid w:val="00356ED5"/>
    <w:rsid w:val="00356F0E"/>
    <w:rsid w:val="00356FA5"/>
    <w:rsid w:val="003570C9"/>
    <w:rsid w:val="003570F4"/>
    <w:rsid w:val="003576B4"/>
    <w:rsid w:val="00357768"/>
    <w:rsid w:val="003577B2"/>
    <w:rsid w:val="00357BFD"/>
    <w:rsid w:val="00357C98"/>
    <w:rsid w:val="00357D42"/>
    <w:rsid w:val="00357D98"/>
    <w:rsid w:val="00357DAD"/>
    <w:rsid w:val="00357DD7"/>
    <w:rsid w:val="00357F57"/>
    <w:rsid w:val="00359474"/>
    <w:rsid w:val="003600A4"/>
    <w:rsid w:val="00360259"/>
    <w:rsid w:val="003603D4"/>
    <w:rsid w:val="00360612"/>
    <w:rsid w:val="003607D4"/>
    <w:rsid w:val="00360825"/>
    <w:rsid w:val="00360840"/>
    <w:rsid w:val="003608EC"/>
    <w:rsid w:val="00360B92"/>
    <w:rsid w:val="00360C00"/>
    <w:rsid w:val="00360C6A"/>
    <w:rsid w:val="00360CA7"/>
    <w:rsid w:val="00360CDD"/>
    <w:rsid w:val="00360D98"/>
    <w:rsid w:val="00360ED1"/>
    <w:rsid w:val="00360F1E"/>
    <w:rsid w:val="003610A6"/>
    <w:rsid w:val="003611B3"/>
    <w:rsid w:val="0036132F"/>
    <w:rsid w:val="003616D6"/>
    <w:rsid w:val="00361719"/>
    <w:rsid w:val="00361781"/>
    <w:rsid w:val="003617C7"/>
    <w:rsid w:val="003619F6"/>
    <w:rsid w:val="00361A43"/>
    <w:rsid w:val="00361DE7"/>
    <w:rsid w:val="0036209C"/>
    <w:rsid w:val="00362217"/>
    <w:rsid w:val="00362263"/>
    <w:rsid w:val="003622A0"/>
    <w:rsid w:val="00362399"/>
    <w:rsid w:val="003623E2"/>
    <w:rsid w:val="003625AE"/>
    <w:rsid w:val="00362673"/>
    <w:rsid w:val="00362735"/>
    <w:rsid w:val="00362955"/>
    <w:rsid w:val="00362997"/>
    <w:rsid w:val="003629CD"/>
    <w:rsid w:val="003629F7"/>
    <w:rsid w:val="00362AB3"/>
    <w:rsid w:val="00362ACF"/>
    <w:rsid w:val="00362AF1"/>
    <w:rsid w:val="00362DB6"/>
    <w:rsid w:val="00362F2B"/>
    <w:rsid w:val="00362F3E"/>
    <w:rsid w:val="00362F4A"/>
    <w:rsid w:val="003630EE"/>
    <w:rsid w:val="00363153"/>
    <w:rsid w:val="00363253"/>
    <w:rsid w:val="003632C3"/>
    <w:rsid w:val="003632F1"/>
    <w:rsid w:val="0036372A"/>
    <w:rsid w:val="00363766"/>
    <w:rsid w:val="00363797"/>
    <w:rsid w:val="00363E9C"/>
    <w:rsid w:val="00363EAB"/>
    <w:rsid w:val="00363F76"/>
    <w:rsid w:val="00363FAB"/>
    <w:rsid w:val="00364046"/>
    <w:rsid w:val="003640B6"/>
    <w:rsid w:val="003642AB"/>
    <w:rsid w:val="003644AF"/>
    <w:rsid w:val="00364715"/>
    <w:rsid w:val="0036473B"/>
    <w:rsid w:val="003648AE"/>
    <w:rsid w:val="00364B1B"/>
    <w:rsid w:val="00364E20"/>
    <w:rsid w:val="00364F84"/>
    <w:rsid w:val="00364F97"/>
    <w:rsid w:val="00365131"/>
    <w:rsid w:val="003651C6"/>
    <w:rsid w:val="00365349"/>
    <w:rsid w:val="00365449"/>
    <w:rsid w:val="0036549D"/>
    <w:rsid w:val="003654DA"/>
    <w:rsid w:val="00365599"/>
    <w:rsid w:val="003655BC"/>
    <w:rsid w:val="003655F5"/>
    <w:rsid w:val="00365687"/>
    <w:rsid w:val="003657AB"/>
    <w:rsid w:val="00365877"/>
    <w:rsid w:val="00365DFD"/>
    <w:rsid w:val="003663DF"/>
    <w:rsid w:val="0036640A"/>
    <w:rsid w:val="003664AF"/>
    <w:rsid w:val="00366537"/>
    <w:rsid w:val="00366578"/>
    <w:rsid w:val="00366B3C"/>
    <w:rsid w:val="00366C36"/>
    <w:rsid w:val="00366C4F"/>
    <w:rsid w:val="00366C51"/>
    <w:rsid w:val="00367007"/>
    <w:rsid w:val="00367082"/>
    <w:rsid w:val="003671CC"/>
    <w:rsid w:val="003672E8"/>
    <w:rsid w:val="00367382"/>
    <w:rsid w:val="003673B3"/>
    <w:rsid w:val="0036749F"/>
    <w:rsid w:val="003675ED"/>
    <w:rsid w:val="003676DE"/>
    <w:rsid w:val="003676F5"/>
    <w:rsid w:val="00367776"/>
    <w:rsid w:val="00367ADC"/>
    <w:rsid w:val="00367C6F"/>
    <w:rsid w:val="00367D73"/>
    <w:rsid w:val="0037001D"/>
    <w:rsid w:val="003700CA"/>
    <w:rsid w:val="0037018F"/>
    <w:rsid w:val="00370198"/>
    <w:rsid w:val="003701F8"/>
    <w:rsid w:val="00370826"/>
    <w:rsid w:val="00370A03"/>
    <w:rsid w:val="00370A19"/>
    <w:rsid w:val="00370AC9"/>
    <w:rsid w:val="00370C76"/>
    <w:rsid w:val="00370F07"/>
    <w:rsid w:val="0037129D"/>
    <w:rsid w:val="003712F8"/>
    <w:rsid w:val="00371743"/>
    <w:rsid w:val="00371760"/>
    <w:rsid w:val="003717CA"/>
    <w:rsid w:val="003718B7"/>
    <w:rsid w:val="003718E9"/>
    <w:rsid w:val="00371966"/>
    <w:rsid w:val="00371ACD"/>
    <w:rsid w:val="00371D27"/>
    <w:rsid w:val="00371D75"/>
    <w:rsid w:val="00371EB0"/>
    <w:rsid w:val="00371EFE"/>
    <w:rsid w:val="00371F66"/>
    <w:rsid w:val="00371FBE"/>
    <w:rsid w:val="003721E1"/>
    <w:rsid w:val="0037223A"/>
    <w:rsid w:val="003722AB"/>
    <w:rsid w:val="00372533"/>
    <w:rsid w:val="003725FD"/>
    <w:rsid w:val="0037263D"/>
    <w:rsid w:val="00372724"/>
    <w:rsid w:val="00372854"/>
    <w:rsid w:val="003729B7"/>
    <w:rsid w:val="00372A69"/>
    <w:rsid w:val="00372D9F"/>
    <w:rsid w:val="00372EB8"/>
    <w:rsid w:val="00372F5D"/>
    <w:rsid w:val="00373110"/>
    <w:rsid w:val="003731CC"/>
    <w:rsid w:val="00373343"/>
    <w:rsid w:val="00373438"/>
    <w:rsid w:val="003734D8"/>
    <w:rsid w:val="00373575"/>
    <w:rsid w:val="0037364E"/>
    <w:rsid w:val="0037369D"/>
    <w:rsid w:val="00373743"/>
    <w:rsid w:val="0037392E"/>
    <w:rsid w:val="00373AA2"/>
    <w:rsid w:val="00373AFF"/>
    <w:rsid w:val="00373C3D"/>
    <w:rsid w:val="00373D14"/>
    <w:rsid w:val="00373D4D"/>
    <w:rsid w:val="00373DE5"/>
    <w:rsid w:val="00373E32"/>
    <w:rsid w:val="00373ED0"/>
    <w:rsid w:val="00373F65"/>
    <w:rsid w:val="00374178"/>
    <w:rsid w:val="00374297"/>
    <w:rsid w:val="0037437B"/>
    <w:rsid w:val="003744E2"/>
    <w:rsid w:val="003745DD"/>
    <w:rsid w:val="00374621"/>
    <w:rsid w:val="003747BB"/>
    <w:rsid w:val="003747CE"/>
    <w:rsid w:val="003747E1"/>
    <w:rsid w:val="0037480F"/>
    <w:rsid w:val="00374872"/>
    <w:rsid w:val="0037498A"/>
    <w:rsid w:val="003749DF"/>
    <w:rsid w:val="00374CD0"/>
    <w:rsid w:val="00374DED"/>
    <w:rsid w:val="00374E7D"/>
    <w:rsid w:val="00374ED3"/>
    <w:rsid w:val="00374F94"/>
    <w:rsid w:val="00374F99"/>
    <w:rsid w:val="00374FE5"/>
    <w:rsid w:val="00375114"/>
    <w:rsid w:val="0037518C"/>
    <w:rsid w:val="00375610"/>
    <w:rsid w:val="00375751"/>
    <w:rsid w:val="003759C1"/>
    <w:rsid w:val="00375C14"/>
    <w:rsid w:val="00375ED0"/>
    <w:rsid w:val="00375EFD"/>
    <w:rsid w:val="00375FAB"/>
    <w:rsid w:val="0037611E"/>
    <w:rsid w:val="00376211"/>
    <w:rsid w:val="003763C0"/>
    <w:rsid w:val="00376491"/>
    <w:rsid w:val="003765BF"/>
    <w:rsid w:val="003766D6"/>
    <w:rsid w:val="00376805"/>
    <w:rsid w:val="00376892"/>
    <w:rsid w:val="0037693F"/>
    <w:rsid w:val="00376952"/>
    <w:rsid w:val="00376A28"/>
    <w:rsid w:val="00376B35"/>
    <w:rsid w:val="00376DAF"/>
    <w:rsid w:val="00377479"/>
    <w:rsid w:val="003774F6"/>
    <w:rsid w:val="00377561"/>
    <w:rsid w:val="003775EF"/>
    <w:rsid w:val="00377658"/>
    <w:rsid w:val="003776FE"/>
    <w:rsid w:val="00377738"/>
    <w:rsid w:val="00377B9D"/>
    <w:rsid w:val="00377CBC"/>
    <w:rsid w:val="00377EA0"/>
    <w:rsid w:val="00377FD0"/>
    <w:rsid w:val="0038006C"/>
    <w:rsid w:val="00380110"/>
    <w:rsid w:val="00380189"/>
    <w:rsid w:val="00380680"/>
    <w:rsid w:val="0038083F"/>
    <w:rsid w:val="00380A07"/>
    <w:rsid w:val="00380A15"/>
    <w:rsid w:val="00380B0A"/>
    <w:rsid w:val="00380B68"/>
    <w:rsid w:val="00380BAF"/>
    <w:rsid w:val="00380D01"/>
    <w:rsid w:val="00380D23"/>
    <w:rsid w:val="00381032"/>
    <w:rsid w:val="00381107"/>
    <w:rsid w:val="0038111F"/>
    <w:rsid w:val="00381263"/>
    <w:rsid w:val="00381269"/>
    <w:rsid w:val="00381308"/>
    <w:rsid w:val="0038136F"/>
    <w:rsid w:val="003818CA"/>
    <w:rsid w:val="003818E8"/>
    <w:rsid w:val="00381C70"/>
    <w:rsid w:val="00381C92"/>
    <w:rsid w:val="00381DE4"/>
    <w:rsid w:val="0038213D"/>
    <w:rsid w:val="003821C5"/>
    <w:rsid w:val="003822A1"/>
    <w:rsid w:val="0038247A"/>
    <w:rsid w:val="00382489"/>
    <w:rsid w:val="0038287D"/>
    <w:rsid w:val="0038292E"/>
    <w:rsid w:val="00382B79"/>
    <w:rsid w:val="00382CFE"/>
    <w:rsid w:val="00382D03"/>
    <w:rsid w:val="00382DB7"/>
    <w:rsid w:val="00382DFC"/>
    <w:rsid w:val="0038313B"/>
    <w:rsid w:val="003831DB"/>
    <w:rsid w:val="00383295"/>
    <w:rsid w:val="00383914"/>
    <w:rsid w:val="0038399F"/>
    <w:rsid w:val="003839CC"/>
    <w:rsid w:val="00383A00"/>
    <w:rsid w:val="00383BBE"/>
    <w:rsid w:val="00383C43"/>
    <w:rsid w:val="00383C97"/>
    <w:rsid w:val="00383CF2"/>
    <w:rsid w:val="00383DCD"/>
    <w:rsid w:val="00383F8C"/>
    <w:rsid w:val="00383FEC"/>
    <w:rsid w:val="003840BF"/>
    <w:rsid w:val="003840CD"/>
    <w:rsid w:val="003840FC"/>
    <w:rsid w:val="0038423A"/>
    <w:rsid w:val="0038436B"/>
    <w:rsid w:val="00384434"/>
    <w:rsid w:val="003844B8"/>
    <w:rsid w:val="00384581"/>
    <w:rsid w:val="003845F8"/>
    <w:rsid w:val="003847A3"/>
    <w:rsid w:val="003848EF"/>
    <w:rsid w:val="00384905"/>
    <w:rsid w:val="00384914"/>
    <w:rsid w:val="00384A7B"/>
    <w:rsid w:val="00384C31"/>
    <w:rsid w:val="00384C65"/>
    <w:rsid w:val="00384D9C"/>
    <w:rsid w:val="003850F1"/>
    <w:rsid w:val="00385110"/>
    <w:rsid w:val="0038517A"/>
    <w:rsid w:val="00385333"/>
    <w:rsid w:val="003853DE"/>
    <w:rsid w:val="00385983"/>
    <w:rsid w:val="003859D8"/>
    <w:rsid w:val="00385A32"/>
    <w:rsid w:val="00385ABF"/>
    <w:rsid w:val="00385BCE"/>
    <w:rsid w:val="00385BF8"/>
    <w:rsid w:val="00385C92"/>
    <w:rsid w:val="00385C93"/>
    <w:rsid w:val="00385DE1"/>
    <w:rsid w:val="00385E18"/>
    <w:rsid w:val="00385E1C"/>
    <w:rsid w:val="00385EB7"/>
    <w:rsid w:val="00385F9E"/>
    <w:rsid w:val="00385FDA"/>
    <w:rsid w:val="00385FDD"/>
    <w:rsid w:val="00386070"/>
    <w:rsid w:val="0038612E"/>
    <w:rsid w:val="00386224"/>
    <w:rsid w:val="0038626D"/>
    <w:rsid w:val="003863F4"/>
    <w:rsid w:val="00386560"/>
    <w:rsid w:val="00386574"/>
    <w:rsid w:val="00386581"/>
    <w:rsid w:val="00386A86"/>
    <w:rsid w:val="00386B3D"/>
    <w:rsid w:val="00386C31"/>
    <w:rsid w:val="00386C8D"/>
    <w:rsid w:val="00386F05"/>
    <w:rsid w:val="00386F83"/>
    <w:rsid w:val="0038704E"/>
    <w:rsid w:val="00387154"/>
    <w:rsid w:val="00387226"/>
    <w:rsid w:val="003872E3"/>
    <w:rsid w:val="0038739F"/>
    <w:rsid w:val="003873CA"/>
    <w:rsid w:val="0038750B"/>
    <w:rsid w:val="0038753B"/>
    <w:rsid w:val="003875D9"/>
    <w:rsid w:val="003876EB"/>
    <w:rsid w:val="00387821"/>
    <w:rsid w:val="003879A8"/>
    <w:rsid w:val="00387A5F"/>
    <w:rsid w:val="00387DA7"/>
    <w:rsid w:val="00387F68"/>
    <w:rsid w:val="00390025"/>
    <w:rsid w:val="00390107"/>
    <w:rsid w:val="00390251"/>
    <w:rsid w:val="003902DB"/>
    <w:rsid w:val="003903E7"/>
    <w:rsid w:val="0039047E"/>
    <w:rsid w:val="00390830"/>
    <w:rsid w:val="00390841"/>
    <w:rsid w:val="00390847"/>
    <w:rsid w:val="0039086B"/>
    <w:rsid w:val="003909F3"/>
    <w:rsid w:val="00390C77"/>
    <w:rsid w:val="00390CCF"/>
    <w:rsid w:val="00390E8D"/>
    <w:rsid w:val="00390FE8"/>
    <w:rsid w:val="0039100C"/>
    <w:rsid w:val="003911FB"/>
    <w:rsid w:val="00391223"/>
    <w:rsid w:val="00391390"/>
    <w:rsid w:val="00391770"/>
    <w:rsid w:val="003917F2"/>
    <w:rsid w:val="0039193C"/>
    <w:rsid w:val="00391984"/>
    <w:rsid w:val="00391A8B"/>
    <w:rsid w:val="00391B29"/>
    <w:rsid w:val="00391BC8"/>
    <w:rsid w:val="00391C1B"/>
    <w:rsid w:val="00391CB3"/>
    <w:rsid w:val="00391D31"/>
    <w:rsid w:val="00391E0F"/>
    <w:rsid w:val="00391E36"/>
    <w:rsid w:val="00392026"/>
    <w:rsid w:val="0039205F"/>
    <w:rsid w:val="00392080"/>
    <w:rsid w:val="0039223C"/>
    <w:rsid w:val="003923E3"/>
    <w:rsid w:val="0039255B"/>
    <w:rsid w:val="003925D1"/>
    <w:rsid w:val="0039292F"/>
    <w:rsid w:val="00392A0F"/>
    <w:rsid w:val="00392A33"/>
    <w:rsid w:val="00392A91"/>
    <w:rsid w:val="00392C15"/>
    <w:rsid w:val="00392C5F"/>
    <w:rsid w:val="00392D49"/>
    <w:rsid w:val="00392E0A"/>
    <w:rsid w:val="00392F87"/>
    <w:rsid w:val="00393312"/>
    <w:rsid w:val="0039342B"/>
    <w:rsid w:val="00393439"/>
    <w:rsid w:val="003934E7"/>
    <w:rsid w:val="003935A2"/>
    <w:rsid w:val="003935B2"/>
    <w:rsid w:val="003935B4"/>
    <w:rsid w:val="003935F6"/>
    <w:rsid w:val="00393611"/>
    <w:rsid w:val="00393619"/>
    <w:rsid w:val="003937E2"/>
    <w:rsid w:val="0039382A"/>
    <w:rsid w:val="0039383C"/>
    <w:rsid w:val="0039386F"/>
    <w:rsid w:val="00393908"/>
    <w:rsid w:val="0039395F"/>
    <w:rsid w:val="00393BC2"/>
    <w:rsid w:val="00393D00"/>
    <w:rsid w:val="00393D80"/>
    <w:rsid w:val="00393DB3"/>
    <w:rsid w:val="00393E94"/>
    <w:rsid w:val="00393F1C"/>
    <w:rsid w:val="00394039"/>
    <w:rsid w:val="0039410A"/>
    <w:rsid w:val="00394153"/>
    <w:rsid w:val="00394171"/>
    <w:rsid w:val="003941D7"/>
    <w:rsid w:val="0039421D"/>
    <w:rsid w:val="00394240"/>
    <w:rsid w:val="00394379"/>
    <w:rsid w:val="00394444"/>
    <w:rsid w:val="003944DD"/>
    <w:rsid w:val="0039453A"/>
    <w:rsid w:val="003946A1"/>
    <w:rsid w:val="003946CB"/>
    <w:rsid w:val="00394718"/>
    <w:rsid w:val="0039480E"/>
    <w:rsid w:val="00394893"/>
    <w:rsid w:val="003948F4"/>
    <w:rsid w:val="00394A5C"/>
    <w:rsid w:val="00394EF3"/>
    <w:rsid w:val="00395285"/>
    <w:rsid w:val="00395353"/>
    <w:rsid w:val="00395366"/>
    <w:rsid w:val="00395501"/>
    <w:rsid w:val="00395657"/>
    <w:rsid w:val="003956DF"/>
    <w:rsid w:val="00395858"/>
    <w:rsid w:val="0039592F"/>
    <w:rsid w:val="003959B2"/>
    <w:rsid w:val="003959CB"/>
    <w:rsid w:val="00395BA7"/>
    <w:rsid w:val="00395BF6"/>
    <w:rsid w:val="00395CFE"/>
    <w:rsid w:val="00395D69"/>
    <w:rsid w:val="00395D99"/>
    <w:rsid w:val="00395DFD"/>
    <w:rsid w:val="00395E74"/>
    <w:rsid w:val="00395F2E"/>
    <w:rsid w:val="00395F95"/>
    <w:rsid w:val="00395FFC"/>
    <w:rsid w:val="003963CD"/>
    <w:rsid w:val="0039643A"/>
    <w:rsid w:val="00396586"/>
    <w:rsid w:val="003965CE"/>
    <w:rsid w:val="0039665B"/>
    <w:rsid w:val="00396A0D"/>
    <w:rsid w:val="00396A51"/>
    <w:rsid w:val="00396AB3"/>
    <w:rsid w:val="00396BD2"/>
    <w:rsid w:val="00396C1A"/>
    <w:rsid w:val="00396F11"/>
    <w:rsid w:val="003970D7"/>
    <w:rsid w:val="00397143"/>
    <w:rsid w:val="003972B0"/>
    <w:rsid w:val="003972F5"/>
    <w:rsid w:val="00397411"/>
    <w:rsid w:val="00397662"/>
    <w:rsid w:val="00397665"/>
    <w:rsid w:val="003978B4"/>
    <w:rsid w:val="003978D0"/>
    <w:rsid w:val="003979F7"/>
    <w:rsid w:val="00397A12"/>
    <w:rsid w:val="00397A4A"/>
    <w:rsid w:val="00397BAF"/>
    <w:rsid w:val="00397C21"/>
    <w:rsid w:val="00397C6B"/>
    <w:rsid w:val="00397F88"/>
    <w:rsid w:val="00397FBE"/>
    <w:rsid w:val="003A0120"/>
    <w:rsid w:val="003A01E3"/>
    <w:rsid w:val="003A021E"/>
    <w:rsid w:val="003A02A0"/>
    <w:rsid w:val="003A031E"/>
    <w:rsid w:val="003A058D"/>
    <w:rsid w:val="003A05DF"/>
    <w:rsid w:val="003A0636"/>
    <w:rsid w:val="003A06CE"/>
    <w:rsid w:val="003A08C1"/>
    <w:rsid w:val="003A08F9"/>
    <w:rsid w:val="003A095E"/>
    <w:rsid w:val="003A0A25"/>
    <w:rsid w:val="003A0AB0"/>
    <w:rsid w:val="003A0B18"/>
    <w:rsid w:val="003A0B7F"/>
    <w:rsid w:val="003A0C7B"/>
    <w:rsid w:val="003A0C8F"/>
    <w:rsid w:val="003A1204"/>
    <w:rsid w:val="003A129F"/>
    <w:rsid w:val="003A12B1"/>
    <w:rsid w:val="003A12D3"/>
    <w:rsid w:val="003A13C8"/>
    <w:rsid w:val="003A151C"/>
    <w:rsid w:val="003A19E8"/>
    <w:rsid w:val="003A1A18"/>
    <w:rsid w:val="003A1A51"/>
    <w:rsid w:val="003A1AD5"/>
    <w:rsid w:val="003A1AF8"/>
    <w:rsid w:val="003A1B77"/>
    <w:rsid w:val="003A1BC2"/>
    <w:rsid w:val="003A1F96"/>
    <w:rsid w:val="003A2228"/>
    <w:rsid w:val="003A2301"/>
    <w:rsid w:val="003A2302"/>
    <w:rsid w:val="003A2306"/>
    <w:rsid w:val="003A2354"/>
    <w:rsid w:val="003A2611"/>
    <w:rsid w:val="003A26DC"/>
    <w:rsid w:val="003A27CE"/>
    <w:rsid w:val="003A28B9"/>
    <w:rsid w:val="003A29E0"/>
    <w:rsid w:val="003A2BD9"/>
    <w:rsid w:val="003A2C42"/>
    <w:rsid w:val="003A300B"/>
    <w:rsid w:val="003A3065"/>
    <w:rsid w:val="003A30C1"/>
    <w:rsid w:val="003A3170"/>
    <w:rsid w:val="003A31A6"/>
    <w:rsid w:val="003A33A5"/>
    <w:rsid w:val="003A341F"/>
    <w:rsid w:val="003A3752"/>
    <w:rsid w:val="003A379A"/>
    <w:rsid w:val="003A37D0"/>
    <w:rsid w:val="003A3885"/>
    <w:rsid w:val="003A3BF4"/>
    <w:rsid w:val="003A3C22"/>
    <w:rsid w:val="003A3C3F"/>
    <w:rsid w:val="003A4105"/>
    <w:rsid w:val="003A41C8"/>
    <w:rsid w:val="003A43C1"/>
    <w:rsid w:val="003A4599"/>
    <w:rsid w:val="003A459A"/>
    <w:rsid w:val="003A45FE"/>
    <w:rsid w:val="003A493F"/>
    <w:rsid w:val="003A494F"/>
    <w:rsid w:val="003A495D"/>
    <w:rsid w:val="003A496E"/>
    <w:rsid w:val="003A4971"/>
    <w:rsid w:val="003A49BA"/>
    <w:rsid w:val="003A4A01"/>
    <w:rsid w:val="003A4AFF"/>
    <w:rsid w:val="003A4B54"/>
    <w:rsid w:val="003A4BA7"/>
    <w:rsid w:val="003A4FA3"/>
    <w:rsid w:val="003A5318"/>
    <w:rsid w:val="003A53C5"/>
    <w:rsid w:val="003A57EE"/>
    <w:rsid w:val="003A5950"/>
    <w:rsid w:val="003A5B04"/>
    <w:rsid w:val="003A5B55"/>
    <w:rsid w:val="003A5D14"/>
    <w:rsid w:val="003A5D4C"/>
    <w:rsid w:val="003A5E24"/>
    <w:rsid w:val="003A5EEC"/>
    <w:rsid w:val="003A6079"/>
    <w:rsid w:val="003A61A9"/>
    <w:rsid w:val="003A64F4"/>
    <w:rsid w:val="003A668C"/>
    <w:rsid w:val="003A66EB"/>
    <w:rsid w:val="003A68AB"/>
    <w:rsid w:val="003A69CA"/>
    <w:rsid w:val="003A6AAD"/>
    <w:rsid w:val="003A6B57"/>
    <w:rsid w:val="003A6C41"/>
    <w:rsid w:val="003A6D91"/>
    <w:rsid w:val="003A6EBE"/>
    <w:rsid w:val="003A6EF1"/>
    <w:rsid w:val="003A6F6E"/>
    <w:rsid w:val="003A70EE"/>
    <w:rsid w:val="003A70F0"/>
    <w:rsid w:val="003A72DA"/>
    <w:rsid w:val="003A73A6"/>
    <w:rsid w:val="003A7427"/>
    <w:rsid w:val="003A7572"/>
    <w:rsid w:val="003A7645"/>
    <w:rsid w:val="003A77BE"/>
    <w:rsid w:val="003A78A2"/>
    <w:rsid w:val="003A78F5"/>
    <w:rsid w:val="003A7BC9"/>
    <w:rsid w:val="003A7CF1"/>
    <w:rsid w:val="003A7DF8"/>
    <w:rsid w:val="003AF183"/>
    <w:rsid w:val="003B00FB"/>
    <w:rsid w:val="003B0100"/>
    <w:rsid w:val="003B02DD"/>
    <w:rsid w:val="003B02FD"/>
    <w:rsid w:val="003B0368"/>
    <w:rsid w:val="003B036A"/>
    <w:rsid w:val="003B04F0"/>
    <w:rsid w:val="003B0577"/>
    <w:rsid w:val="003B05C3"/>
    <w:rsid w:val="003B0795"/>
    <w:rsid w:val="003B085C"/>
    <w:rsid w:val="003B0A43"/>
    <w:rsid w:val="003B0BA3"/>
    <w:rsid w:val="003B0C74"/>
    <w:rsid w:val="003B0D8D"/>
    <w:rsid w:val="003B0DEC"/>
    <w:rsid w:val="003B0F46"/>
    <w:rsid w:val="003B0FF1"/>
    <w:rsid w:val="003B1034"/>
    <w:rsid w:val="003B110B"/>
    <w:rsid w:val="003B1336"/>
    <w:rsid w:val="003B1402"/>
    <w:rsid w:val="003B164F"/>
    <w:rsid w:val="003B179A"/>
    <w:rsid w:val="003B17C9"/>
    <w:rsid w:val="003B19D5"/>
    <w:rsid w:val="003B1B54"/>
    <w:rsid w:val="003B1CDA"/>
    <w:rsid w:val="003B1DE0"/>
    <w:rsid w:val="003B1DF9"/>
    <w:rsid w:val="003B1E6E"/>
    <w:rsid w:val="003B1EFF"/>
    <w:rsid w:val="003B1F2F"/>
    <w:rsid w:val="003B1FE5"/>
    <w:rsid w:val="003B20B4"/>
    <w:rsid w:val="003B20FC"/>
    <w:rsid w:val="003B2399"/>
    <w:rsid w:val="003B2483"/>
    <w:rsid w:val="003B2552"/>
    <w:rsid w:val="003B260D"/>
    <w:rsid w:val="003B26B9"/>
    <w:rsid w:val="003B2706"/>
    <w:rsid w:val="003B289C"/>
    <w:rsid w:val="003B2940"/>
    <w:rsid w:val="003B29C1"/>
    <w:rsid w:val="003B2AF0"/>
    <w:rsid w:val="003B2B87"/>
    <w:rsid w:val="003B2CC8"/>
    <w:rsid w:val="003B2F0D"/>
    <w:rsid w:val="003B2FCE"/>
    <w:rsid w:val="003B301B"/>
    <w:rsid w:val="003B301C"/>
    <w:rsid w:val="003B3090"/>
    <w:rsid w:val="003B30DD"/>
    <w:rsid w:val="003B31B1"/>
    <w:rsid w:val="003B31CA"/>
    <w:rsid w:val="003B33C3"/>
    <w:rsid w:val="003B3425"/>
    <w:rsid w:val="003B3472"/>
    <w:rsid w:val="003B34A5"/>
    <w:rsid w:val="003B378D"/>
    <w:rsid w:val="003B3AE6"/>
    <w:rsid w:val="003B3C88"/>
    <w:rsid w:val="003B3CB2"/>
    <w:rsid w:val="003B3D64"/>
    <w:rsid w:val="003B3E18"/>
    <w:rsid w:val="003B3E47"/>
    <w:rsid w:val="003B3FC0"/>
    <w:rsid w:val="003B4025"/>
    <w:rsid w:val="003B4048"/>
    <w:rsid w:val="003B40E8"/>
    <w:rsid w:val="003B42D6"/>
    <w:rsid w:val="003B43F0"/>
    <w:rsid w:val="003B4738"/>
    <w:rsid w:val="003B479C"/>
    <w:rsid w:val="003B4818"/>
    <w:rsid w:val="003B486E"/>
    <w:rsid w:val="003B48B4"/>
    <w:rsid w:val="003B496C"/>
    <w:rsid w:val="003B49C3"/>
    <w:rsid w:val="003B4A85"/>
    <w:rsid w:val="003B4ABD"/>
    <w:rsid w:val="003B4B1C"/>
    <w:rsid w:val="003B4C89"/>
    <w:rsid w:val="003B4C97"/>
    <w:rsid w:val="003B4CED"/>
    <w:rsid w:val="003B4CFB"/>
    <w:rsid w:val="003B4D8B"/>
    <w:rsid w:val="003B4E1E"/>
    <w:rsid w:val="003B4F9B"/>
    <w:rsid w:val="003B5109"/>
    <w:rsid w:val="003B5310"/>
    <w:rsid w:val="003B545A"/>
    <w:rsid w:val="003B551A"/>
    <w:rsid w:val="003B5726"/>
    <w:rsid w:val="003B59BC"/>
    <w:rsid w:val="003B5B93"/>
    <w:rsid w:val="003B5BC8"/>
    <w:rsid w:val="003B5BEA"/>
    <w:rsid w:val="003B5DBF"/>
    <w:rsid w:val="003B5EF9"/>
    <w:rsid w:val="003B5F36"/>
    <w:rsid w:val="003B6080"/>
    <w:rsid w:val="003B6197"/>
    <w:rsid w:val="003B61A0"/>
    <w:rsid w:val="003B63DB"/>
    <w:rsid w:val="003B64B8"/>
    <w:rsid w:val="003B64D5"/>
    <w:rsid w:val="003B66AB"/>
    <w:rsid w:val="003B6948"/>
    <w:rsid w:val="003B6B39"/>
    <w:rsid w:val="003B6C0E"/>
    <w:rsid w:val="003B6CDD"/>
    <w:rsid w:val="003B6CFD"/>
    <w:rsid w:val="003B6EC0"/>
    <w:rsid w:val="003B6F2C"/>
    <w:rsid w:val="003B6F89"/>
    <w:rsid w:val="003B70D4"/>
    <w:rsid w:val="003B7255"/>
    <w:rsid w:val="003B729A"/>
    <w:rsid w:val="003B72CF"/>
    <w:rsid w:val="003B7435"/>
    <w:rsid w:val="003B745B"/>
    <w:rsid w:val="003B752A"/>
    <w:rsid w:val="003B75EA"/>
    <w:rsid w:val="003B7713"/>
    <w:rsid w:val="003B78AB"/>
    <w:rsid w:val="003B7DB0"/>
    <w:rsid w:val="003C0051"/>
    <w:rsid w:val="003C0682"/>
    <w:rsid w:val="003C06C2"/>
    <w:rsid w:val="003C0905"/>
    <w:rsid w:val="003C09B7"/>
    <w:rsid w:val="003C0A6A"/>
    <w:rsid w:val="003C0AF4"/>
    <w:rsid w:val="003C0B4E"/>
    <w:rsid w:val="003C0BED"/>
    <w:rsid w:val="003C0D93"/>
    <w:rsid w:val="003C0DA1"/>
    <w:rsid w:val="003C0FE9"/>
    <w:rsid w:val="003C10E7"/>
    <w:rsid w:val="003C1129"/>
    <w:rsid w:val="003C1240"/>
    <w:rsid w:val="003C12A6"/>
    <w:rsid w:val="003C13BD"/>
    <w:rsid w:val="003C14D1"/>
    <w:rsid w:val="003C18B3"/>
    <w:rsid w:val="003C19ED"/>
    <w:rsid w:val="003C1AAB"/>
    <w:rsid w:val="003C1B08"/>
    <w:rsid w:val="003C1DC7"/>
    <w:rsid w:val="003C1E6B"/>
    <w:rsid w:val="003C1EDE"/>
    <w:rsid w:val="003C1EFA"/>
    <w:rsid w:val="003C1FA0"/>
    <w:rsid w:val="003C1FC5"/>
    <w:rsid w:val="003C203B"/>
    <w:rsid w:val="003C2048"/>
    <w:rsid w:val="003C219B"/>
    <w:rsid w:val="003C21AC"/>
    <w:rsid w:val="003C234F"/>
    <w:rsid w:val="003C29BC"/>
    <w:rsid w:val="003C2DEE"/>
    <w:rsid w:val="003C2F1A"/>
    <w:rsid w:val="003C2FF5"/>
    <w:rsid w:val="003C308F"/>
    <w:rsid w:val="003C30CE"/>
    <w:rsid w:val="003C3596"/>
    <w:rsid w:val="003C3739"/>
    <w:rsid w:val="003C389F"/>
    <w:rsid w:val="003C39B3"/>
    <w:rsid w:val="003C3B61"/>
    <w:rsid w:val="003C3DF0"/>
    <w:rsid w:val="003C3F1E"/>
    <w:rsid w:val="003C3FFF"/>
    <w:rsid w:val="003C4074"/>
    <w:rsid w:val="003C40D3"/>
    <w:rsid w:val="003C4110"/>
    <w:rsid w:val="003C425B"/>
    <w:rsid w:val="003C4286"/>
    <w:rsid w:val="003C440D"/>
    <w:rsid w:val="003C45DF"/>
    <w:rsid w:val="003C4871"/>
    <w:rsid w:val="003C4B2B"/>
    <w:rsid w:val="003C50A9"/>
    <w:rsid w:val="003C511D"/>
    <w:rsid w:val="003C5141"/>
    <w:rsid w:val="003C54C0"/>
    <w:rsid w:val="003C54F6"/>
    <w:rsid w:val="003C5764"/>
    <w:rsid w:val="003C584D"/>
    <w:rsid w:val="003C589A"/>
    <w:rsid w:val="003C5A1C"/>
    <w:rsid w:val="003C5B23"/>
    <w:rsid w:val="003C6280"/>
    <w:rsid w:val="003C6446"/>
    <w:rsid w:val="003C64B6"/>
    <w:rsid w:val="003C6618"/>
    <w:rsid w:val="003C66AF"/>
    <w:rsid w:val="003C66B5"/>
    <w:rsid w:val="003C6750"/>
    <w:rsid w:val="003C6876"/>
    <w:rsid w:val="003C690D"/>
    <w:rsid w:val="003C6990"/>
    <w:rsid w:val="003C6C81"/>
    <w:rsid w:val="003C6CDB"/>
    <w:rsid w:val="003C6D25"/>
    <w:rsid w:val="003C6E8F"/>
    <w:rsid w:val="003C6ED0"/>
    <w:rsid w:val="003C6F6E"/>
    <w:rsid w:val="003C6F78"/>
    <w:rsid w:val="003C6F7B"/>
    <w:rsid w:val="003C6FC4"/>
    <w:rsid w:val="003C706A"/>
    <w:rsid w:val="003C7146"/>
    <w:rsid w:val="003C715E"/>
    <w:rsid w:val="003C72F8"/>
    <w:rsid w:val="003C7429"/>
    <w:rsid w:val="003C7808"/>
    <w:rsid w:val="003C7851"/>
    <w:rsid w:val="003C7895"/>
    <w:rsid w:val="003C79DC"/>
    <w:rsid w:val="003C7BFF"/>
    <w:rsid w:val="003C7C0E"/>
    <w:rsid w:val="003C7D14"/>
    <w:rsid w:val="003C7D48"/>
    <w:rsid w:val="003D02C1"/>
    <w:rsid w:val="003D0347"/>
    <w:rsid w:val="003D0385"/>
    <w:rsid w:val="003D044A"/>
    <w:rsid w:val="003D051D"/>
    <w:rsid w:val="003D0653"/>
    <w:rsid w:val="003D07B9"/>
    <w:rsid w:val="003D094B"/>
    <w:rsid w:val="003D09CA"/>
    <w:rsid w:val="003D0BF8"/>
    <w:rsid w:val="003D0CAB"/>
    <w:rsid w:val="003D0D65"/>
    <w:rsid w:val="003D0F44"/>
    <w:rsid w:val="003D101F"/>
    <w:rsid w:val="003D11C0"/>
    <w:rsid w:val="003D12CA"/>
    <w:rsid w:val="003D12CC"/>
    <w:rsid w:val="003D135B"/>
    <w:rsid w:val="003D13A2"/>
    <w:rsid w:val="003D147B"/>
    <w:rsid w:val="003D153C"/>
    <w:rsid w:val="003D1548"/>
    <w:rsid w:val="003D1963"/>
    <w:rsid w:val="003D1BD6"/>
    <w:rsid w:val="003D1CA4"/>
    <w:rsid w:val="003D1DA3"/>
    <w:rsid w:val="003D1DE8"/>
    <w:rsid w:val="003D2047"/>
    <w:rsid w:val="003D22A1"/>
    <w:rsid w:val="003D2315"/>
    <w:rsid w:val="003D2341"/>
    <w:rsid w:val="003D2714"/>
    <w:rsid w:val="003D28D7"/>
    <w:rsid w:val="003D29C0"/>
    <w:rsid w:val="003D2B2A"/>
    <w:rsid w:val="003D2C05"/>
    <w:rsid w:val="003D2D82"/>
    <w:rsid w:val="003D2D99"/>
    <w:rsid w:val="003D2E81"/>
    <w:rsid w:val="003D2F95"/>
    <w:rsid w:val="003D30AE"/>
    <w:rsid w:val="003D320E"/>
    <w:rsid w:val="003D3382"/>
    <w:rsid w:val="003D33A3"/>
    <w:rsid w:val="003D3519"/>
    <w:rsid w:val="003D360B"/>
    <w:rsid w:val="003D380B"/>
    <w:rsid w:val="003D3851"/>
    <w:rsid w:val="003D391A"/>
    <w:rsid w:val="003D3941"/>
    <w:rsid w:val="003D3942"/>
    <w:rsid w:val="003D3A03"/>
    <w:rsid w:val="003D3A93"/>
    <w:rsid w:val="003D3C2A"/>
    <w:rsid w:val="003D3DC6"/>
    <w:rsid w:val="003D3E15"/>
    <w:rsid w:val="003D3E67"/>
    <w:rsid w:val="003D4094"/>
    <w:rsid w:val="003D42F4"/>
    <w:rsid w:val="003D45DC"/>
    <w:rsid w:val="003D49C6"/>
    <w:rsid w:val="003D4B47"/>
    <w:rsid w:val="003D4D7A"/>
    <w:rsid w:val="003D4DA5"/>
    <w:rsid w:val="003D4EB8"/>
    <w:rsid w:val="003D4F74"/>
    <w:rsid w:val="003D4F9E"/>
    <w:rsid w:val="003D4FCD"/>
    <w:rsid w:val="003D5273"/>
    <w:rsid w:val="003D52C5"/>
    <w:rsid w:val="003D5339"/>
    <w:rsid w:val="003D53AF"/>
    <w:rsid w:val="003D541D"/>
    <w:rsid w:val="003D5574"/>
    <w:rsid w:val="003D571D"/>
    <w:rsid w:val="003D572E"/>
    <w:rsid w:val="003D57B2"/>
    <w:rsid w:val="003D5948"/>
    <w:rsid w:val="003D5AC7"/>
    <w:rsid w:val="003D5C91"/>
    <w:rsid w:val="003D5E13"/>
    <w:rsid w:val="003D62F0"/>
    <w:rsid w:val="003D6363"/>
    <w:rsid w:val="003D64A5"/>
    <w:rsid w:val="003D64F3"/>
    <w:rsid w:val="003D65A9"/>
    <w:rsid w:val="003D6607"/>
    <w:rsid w:val="003D678B"/>
    <w:rsid w:val="003D6889"/>
    <w:rsid w:val="003D6897"/>
    <w:rsid w:val="003D6960"/>
    <w:rsid w:val="003D69C5"/>
    <w:rsid w:val="003D6A88"/>
    <w:rsid w:val="003D6B32"/>
    <w:rsid w:val="003D6B6C"/>
    <w:rsid w:val="003D6C66"/>
    <w:rsid w:val="003D6CAD"/>
    <w:rsid w:val="003D7113"/>
    <w:rsid w:val="003D73AD"/>
    <w:rsid w:val="003D7656"/>
    <w:rsid w:val="003D77EE"/>
    <w:rsid w:val="003D7A2A"/>
    <w:rsid w:val="003D7A9B"/>
    <w:rsid w:val="003D7D24"/>
    <w:rsid w:val="003E0076"/>
    <w:rsid w:val="003E0111"/>
    <w:rsid w:val="003E0265"/>
    <w:rsid w:val="003E03A8"/>
    <w:rsid w:val="003E045F"/>
    <w:rsid w:val="003E0510"/>
    <w:rsid w:val="003E05B5"/>
    <w:rsid w:val="003E0656"/>
    <w:rsid w:val="003E06AE"/>
    <w:rsid w:val="003E0896"/>
    <w:rsid w:val="003E0925"/>
    <w:rsid w:val="003E0AD6"/>
    <w:rsid w:val="003E0B6C"/>
    <w:rsid w:val="003E0B9B"/>
    <w:rsid w:val="003E0BB2"/>
    <w:rsid w:val="003E0BE5"/>
    <w:rsid w:val="003E0BF8"/>
    <w:rsid w:val="003E0C20"/>
    <w:rsid w:val="003E0CD4"/>
    <w:rsid w:val="003E0D94"/>
    <w:rsid w:val="003E0E3A"/>
    <w:rsid w:val="003E0EEA"/>
    <w:rsid w:val="003E0F6C"/>
    <w:rsid w:val="003E0FEE"/>
    <w:rsid w:val="003E108F"/>
    <w:rsid w:val="003E1123"/>
    <w:rsid w:val="003E123E"/>
    <w:rsid w:val="003E1384"/>
    <w:rsid w:val="003E167E"/>
    <w:rsid w:val="003E16AC"/>
    <w:rsid w:val="003E174B"/>
    <w:rsid w:val="003E17AD"/>
    <w:rsid w:val="003E1802"/>
    <w:rsid w:val="003E1A57"/>
    <w:rsid w:val="003E1BBB"/>
    <w:rsid w:val="003E1C5F"/>
    <w:rsid w:val="003E1EBE"/>
    <w:rsid w:val="003E1F86"/>
    <w:rsid w:val="003E2204"/>
    <w:rsid w:val="003E2241"/>
    <w:rsid w:val="003E2262"/>
    <w:rsid w:val="003E2270"/>
    <w:rsid w:val="003E2295"/>
    <w:rsid w:val="003E22DF"/>
    <w:rsid w:val="003E2311"/>
    <w:rsid w:val="003E26B1"/>
    <w:rsid w:val="003E26CB"/>
    <w:rsid w:val="003E28F1"/>
    <w:rsid w:val="003E2D19"/>
    <w:rsid w:val="003E2E3D"/>
    <w:rsid w:val="003E2E69"/>
    <w:rsid w:val="003E2EAA"/>
    <w:rsid w:val="003E2ED1"/>
    <w:rsid w:val="003E30BB"/>
    <w:rsid w:val="003E30CA"/>
    <w:rsid w:val="003E31BC"/>
    <w:rsid w:val="003E3214"/>
    <w:rsid w:val="003E335D"/>
    <w:rsid w:val="003E33C5"/>
    <w:rsid w:val="003E33EF"/>
    <w:rsid w:val="003E3469"/>
    <w:rsid w:val="003E351C"/>
    <w:rsid w:val="003E3570"/>
    <w:rsid w:val="003E3666"/>
    <w:rsid w:val="003E3948"/>
    <w:rsid w:val="003E3981"/>
    <w:rsid w:val="003E3A80"/>
    <w:rsid w:val="003E3C11"/>
    <w:rsid w:val="003E3C3D"/>
    <w:rsid w:val="003E3E8F"/>
    <w:rsid w:val="003E40FD"/>
    <w:rsid w:val="003E411C"/>
    <w:rsid w:val="003E4293"/>
    <w:rsid w:val="003E42B4"/>
    <w:rsid w:val="003E433E"/>
    <w:rsid w:val="003E43C9"/>
    <w:rsid w:val="003E44FF"/>
    <w:rsid w:val="003E4501"/>
    <w:rsid w:val="003E4602"/>
    <w:rsid w:val="003E4759"/>
    <w:rsid w:val="003E4861"/>
    <w:rsid w:val="003E491F"/>
    <w:rsid w:val="003E498C"/>
    <w:rsid w:val="003E49EE"/>
    <w:rsid w:val="003E4A7F"/>
    <w:rsid w:val="003E4B97"/>
    <w:rsid w:val="003E4CAE"/>
    <w:rsid w:val="003E4E0B"/>
    <w:rsid w:val="003E4E32"/>
    <w:rsid w:val="003E5131"/>
    <w:rsid w:val="003E51DB"/>
    <w:rsid w:val="003E51EE"/>
    <w:rsid w:val="003E5302"/>
    <w:rsid w:val="003E549B"/>
    <w:rsid w:val="003E54B6"/>
    <w:rsid w:val="003E54C4"/>
    <w:rsid w:val="003E551D"/>
    <w:rsid w:val="003E55EF"/>
    <w:rsid w:val="003E582F"/>
    <w:rsid w:val="003E58BD"/>
    <w:rsid w:val="003E596D"/>
    <w:rsid w:val="003E5B2C"/>
    <w:rsid w:val="003E5B81"/>
    <w:rsid w:val="003E5C03"/>
    <w:rsid w:val="003E5FD7"/>
    <w:rsid w:val="003E6271"/>
    <w:rsid w:val="003E64CF"/>
    <w:rsid w:val="003E64EA"/>
    <w:rsid w:val="003E66BB"/>
    <w:rsid w:val="003E6748"/>
    <w:rsid w:val="003E67F1"/>
    <w:rsid w:val="003E68CD"/>
    <w:rsid w:val="003E6953"/>
    <w:rsid w:val="003E6C3A"/>
    <w:rsid w:val="003E6DB4"/>
    <w:rsid w:val="003E6FB7"/>
    <w:rsid w:val="003E70AF"/>
    <w:rsid w:val="003E70DB"/>
    <w:rsid w:val="003E71D6"/>
    <w:rsid w:val="003E73E3"/>
    <w:rsid w:val="003E7439"/>
    <w:rsid w:val="003E759E"/>
    <w:rsid w:val="003E760A"/>
    <w:rsid w:val="003E7628"/>
    <w:rsid w:val="003E779B"/>
    <w:rsid w:val="003E7A4D"/>
    <w:rsid w:val="003E7B7C"/>
    <w:rsid w:val="003E7B8D"/>
    <w:rsid w:val="003E7B9C"/>
    <w:rsid w:val="003E7E57"/>
    <w:rsid w:val="003E7F3E"/>
    <w:rsid w:val="003F01F6"/>
    <w:rsid w:val="003F03A2"/>
    <w:rsid w:val="003F0400"/>
    <w:rsid w:val="003F0630"/>
    <w:rsid w:val="003F0700"/>
    <w:rsid w:val="003F079F"/>
    <w:rsid w:val="003F0884"/>
    <w:rsid w:val="003F09EA"/>
    <w:rsid w:val="003F0A39"/>
    <w:rsid w:val="003F0BDF"/>
    <w:rsid w:val="003F0C59"/>
    <w:rsid w:val="003F0C97"/>
    <w:rsid w:val="003F0CE7"/>
    <w:rsid w:val="003F0E4C"/>
    <w:rsid w:val="003F0E94"/>
    <w:rsid w:val="003F0F61"/>
    <w:rsid w:val="003F0FAB"/>
    <w:rsid w:val="003F0FBF"/>
    <w:rsid w:val="003F122D"/>
    <w:rsid w:val="003F12BC"/>
    <w:rsid w:val="003F1359"/>
    <w:rsid w:val="003F1486"/>
    <w:rsid w:val="003F14C9"/>
    <w:rsid w:val="003F16D6"/>
    <w:rsid w:val="003F173A"/>
    <w:rsid w:val="003F180E"/>
    <w:rsid w:val="003F183B"/>
    <w:rsid w:val="003F1897"/>
    <w:rsid w:val="003F1BD8"/>
    <w:rsid w:val="003F1CB1"/>
    <w:rsid w:val="003F1D26"/>
    <w:rsid w:val="003F1D29"/>
    <w:rsid w:val="003F1D49"/>
    <w:rsid w:val="003F1D8C"/>
    <w:rsid w:val="003F1F49"/>
    <w:rsid w:val="003F2078"/>
    <w:rsid w:val="003F20A3"/>
    <w:rsid w:val="003F20DF"/>
    <w:rsid w:val="003F210B"/>
    <w:rsid w:val="003F22BF"/>
    <w:rsid w:val="003F2416"/>
    <w:rsid w:val="003F25D4"/>
    <w:rsid w:val="003F2833"/>
    <w:rsid w:val="003F2904"/>
    <w:rsid w:val="003F2AB7"/>
    <w:rsid w:val="003F2F27"/>
    <w:rsid w:val="003F2F2E"/>
    <w:rsid w:val="003F2FA0"/>
    <w:rsid w:val="003F2FEA"/>
    <w:rsid w:val="003F305F"/>
    <w:rsid w:val="003F30BC"/>
    <w:rsid w:val="003F31AB"/>
    <w:rsid w:val="003F325A"/>
    <w:rsid w:val="003F32B5"/>
    <w:rsid w:val="003F32F6"/>
    <w:rsid w:val="003F33A7"/>
    <w:rsid w:val="003F33E4"/>
    <w:rsid w:val="003F3479"/>
    <w:rsid w:val="003F3558"/>
    <w:rsid w:val="003F35CB"/>
    <w:rsid w:val="003F3646"/>
    <w:rsid w:val="003F397E"/>
    <w:rsid w:val="003F39AA"/>
    <w:rsid w:val="003F3A90"/>
    <w:rsid w:val="003F3BD9"/>
    <w:rsid w:val="003F3DDF"/>
    <w:rsid w:val="003F3E6A"/>
    <w:rsid w:val="003F40C2"/>
    <w:rsid w:val="003F42A7"/>
    <w:rsid w:val="003F43DE"/>
    <w:rsid w:val="003F4439"/>
    <w:rsid w:val="003F4592"/>
    <w:rsid w:val="003F466A"/>
    <w:rsid w:val="003F470D"/>
    <w:rsid w:val="003F47D7"/>
    <w:rsid w:val="003F4998"/>
    <w:rsid w:val="003F4D07"/>
    <w:rsid w:val="003F4FEE"/>
    <w:rsid w:val="003F50A0"/>
    <w:rsid w:val="003F5173"/>
    <w:rsid w:val="003F539D"/>
    <w:rsid w:val="003F5822"/>
    <w:rsid w:val="003F58B7"/>
    <w:rsid w:val="003F598E"/>
    <w:rsid w:val="003F5A3D"/>
    <w:rsid w:val="003F5A7F"/>
    <w:rsid w:val="003F5C9F"/>
    <w:rsid w:val="003F5D3A"/>
    <w:rsid w:val="003F5D7A"/>
    <w:rsid w:val="003F6045"/>
    <w:rsid w:val="003F6092"/>
    <w:rsid w:val="003F60AD"/>
    <w:rsid w:val="003F6143"/>
    <w:rsid w:val="003F614D"/>
    <w:rsid w:val="003F6171"/>
    <w:rsid w:val="003F61FA"/>
    <w:rsid w:val="003F6412"/>
    <w:rsid w:val="003F64A2"/>
    <w:rsid w:val="003F64F8"/>
    <w:rsid w:val="003F6574"/>
    <w:rsid w:val="003F6686"/>
    <w:rsid w:val="003F66D2"/>
    <w:rsid w:val="003F67FB"/>
    <w:rsid w:val="003F681B"/>
    <w:rsid w:val="003F68CA"/>
    <w:rsid w:val="003F6B21"/>
    <w:rsid w:val="003F6B2B"/>
    <w:rsid w:val="003F6BBE"/>
    <w:rsid w:val="003F6C8D"/>
    <w:rsid w:val="003F6D4E"/>
    <w:rsid w:val="003F6E09"/>
    <w:rsid w:val="003F6F2B"/>
    <w:rsid w:val="003F6F92"/>
    <w:rsid w:val="003F6FA7"/>
    <w:rsid w:val="003F6FE1"/>
    <w:rsid w:val="003F71C5"/>
    <w:rsid w:val="003F73CA"/>
    <w:rsid w:val="003F74EA"/>
    <w:rsid w:val="003F75A8"/>
    <w:rsid w:val="003F761C"/>
    <w:rsid w:val="003F767B"/>
    <w:rsid w:val="003F7866"/>
    <w:rsid w:val="003F7896"/>
    <w:rsid w:val="003F79AB"/>
    <w:rsid w:val="003F7BA1"/>
    <w:rsid w:val="003F7C42"/>
    <w:rsid w:val="003F7C76"/>
    <w:rsid w:val="003F7CD7"/>
    <w:rsid w:val="003F7F8F"/>
    <w:rsid w:val="003F94FF"/>
    <w:rsid w:val="00400261"/>
    <w:rsid w:val="00400361"/>
    <w:rsid w:val="0040039E"/>
    <w:rsid w:val="004003F7"/>
    <w:rsid w:val="0040040B"/>
    <w:rsid w:val="004006F0"/>
    <w:rsid w:val="00400868"/>
    <w:rsid w:val="004009C1"/>
    <w:rsid w:val="00400A79"/>
    <w:rsid w:val="00400D27"/>
    <w:rsid w:val="00400E5F"/>
    <w:rsid w:val="00401087"/>
    <w:rsid w:val="00401089"/>
    <w:rsid w:val="0040108A"/>
    <w:rsid w:val="00401140"/>
    <w:rsid w:val="00401145"/>
    <w:rsid w:val="0040130A"/>
    <w:rsid w:val="00401359"/>
    <w:rsid w:val="004013D9"/>
    <w:rsid w:val="004013F8"/>
    <w:rsid w:val="00401512"/>
    <w:rsid w:val="004016DE"/>
    <w:rsid w:val="00401796"/>
    <w:rsid w:val="004018B3"/>
    <w:rsid w:val="0040199B"/>
    <w:rsid w:val="004019F0"/>
    <w:rsid w:val="00401B13"/>
    <w:rsid w:val="00401C62"/>
    <w:rsid w:val="00401C73"/>
    <w:rsid w:val="00401CA4"/>
    <w:rsid w:val="00401D08"/>
    <w:rsid w:val="00401FAC"/>
    <w:rsid w:val="00401FB0"/>
    <w:rsid w:val="00401FF6"/>
    <w:rsid w:val="00402071"/>
    <w:rsid w:val="00402077"/>
    <w:rsid w:val="0040209A"/>
    <w:rsid w:val="0040211B"/>
    <w:rsid w:val="00402124"/>
    <w:rsid w:val="0040226C"/>
    <w:rsid w:val="0040231A"/>
    <w:rsid w:val="00402332"/>
    <w:rsid w:val="00402380"/>
    <w:rsid w:val="00402404"/>
    <w:rsid w:val="004025BA"/>
    <w:rsid w:val="004025D4"/>
    <w:rsid w:val="004025DC"/>
    <w:rsid w:val="004029D6"/>
    <w:rsid w:val="00402B69"/>
    <w:rsid w:val="00402B7B"/>
    <w:rsid w:val="00402D69"/>
    <w:rsid w:val="00402D77"/>
    <w:rsid w:val="00402DB0"/>
    <w:rsid w:val="00402E80"/>
    <w:rsid w:val="00402EBB"/>
    <w:rsid w:val="00402F9C"/>
    <w:rsid w:val="00403187"/>
    <w:rsid w:val="004032A8"/>
    <w:rsid w:val="0040332E"/>
    <w:rsid w:val="00403334"/>
    <w:rsid w:val="00403344"/>
    <w:rsid w:val="0040334F"/>
    <w:rsid w:val="00403376"/>
    <w:rsid w:val="00403662"/>
    <w:rsid w:val="0040367A"/>
    <w:rsid w:val="0040369A"/>
    <w:rsid w:val="004036BD"/>
    <w:rsid w:val="0040380C"/>
    <w:rsid w:val="004038E6"/>
    <w:rsid w:val="00403A65"/>
    <w:rsid w:val="00403BC6"/>
    <w:rsid w:val="00403BDA"/>
    <w:rsid w:val="00403C14"/>
    <w:rsid w:val="00403C15"/>
    <w:rsid w:val="00403C57"/>
    <w:rsid w:val="00403DB1"/>
    <w:rsid w:val="00403F2D"/>
    <w:rsid w:val="00403FDC"/>
    <w:rsid w:val="004041B8"/>
    <w:rsid w:val="004042F0"/>
    <w:rsid w:val="004045D0"/>
    <w:rsid w:val="004045D8"/>
    <w:rsid w:val="00404655"/>
    <w:rsid w:val="004046FE"/>
    <w:rsid w:val="0040480F"/>
    <w:rsid w:val="004048C6"/>
    <w:rsid w:val="004048EA"/>
    <w:rsid w:val="00404975"/>
    <w:rsid w:val="00404A86"/>
    <w:rsid w:val="00404BFB"/>
    <w:rsid w:val="00404C04"/>
    <w:rsid w:val="00404CBA"/>
    <w:rsid w:val="00404D0B"/>
    <w:rsid w:val="00404DEF"/>
    <w:rsid w:val="00404E24"/>
    <w:rsid w:val="004050EA"/>
    <w:rsid w:val="00405232"/>
    <w:rsid w:val="00405241"/>
    <w:rsid w:val="00405814"/>
    <w:rsid w:val="00405ACA"/>
    <w:rsid w:val="00405B94"/>
    <w:rsid w:val="00405C9F"/>
    <w:rsid w:val="00405ECF"/>
    <w:rsid w:val="00405F98"/>
    <w:rsid w:val="00405FF9"/>
    <w:rsid w:val="00406310"/>
    <w:rsid w:val="004063C7"/>
    <w:rsid w:val="00406549"/>
    <w:rsid w:val="0040661D"/>
    <w:rsid w:val="00406978"/>
    <w:rsid w:val="0040697F"/>
    <w:rsid w:val="004069E6"/>
    <w:rsid w:val="00406AF0"/>
    <w:rsid w:val="00406B21"/>
    <w:rsid w:val="00406B38"/>
    <w:rsid w:val="00406B7B"/>
    <w:rsid w:val="00406C0A"/>
    <w:rsid w:val="00406E30"/>
    <w:rsid w:val="00406E51"/>
    <w:rsid w:val="00406F85"/>
    <w:rsid w:val="00406F95"/>
    <w:rsid w:val="00407130"/>
    <w:rsid w:val="00407215"/>
    <w:rsid w:val="00407325"/>
    <w:rsid w:val="00407417"/>
    <w:rsid w:val="0040756B"/>
    <w:rsid w:val="0040757B"/>
    <w:rsid w:val="0040761C"/>
    <w:rsid w:val="0040781E"/>
    <w:rsid w:val="004078B4"/>
    <w:rsid w:val="00407915"/>
    <w:rsid w:val="00407BBC"/>
    <w:rsid w:val="00407DFD"/>
    <w:rsid w:val="00407E33"/>
    <w:rsid w:val="00407FD6"/>
    <w:rsid w:val="00410098"/>
    <w:rsid w:val="00410102"/>
    <w:rsid w:val="00410124"/>
    <w:rsid w:val="00410208"/>
    <w:rsid w:val="00410354"/>
    <w:rsid w:val="00410378"/>
    <w:rsid w:val="00410433"/>
    <w:rsid w:val="0041044B"/>
    <w:rsid w:val="004104E2"/>
    <w:rsid w:val="004105E0"/>
    <w:rsid w:val="00410608"/>
    <w:rsid w:val="0041085C"/>
    <w:rsid w:val="0041093A"/>
    <w:rsid w:val="004109B1"/>
    <w:rsid w:val="004109B8"/>
    <w:rsid w:val="00410A95"/>
    <w:rsid w:val="00410C38"/>
    <w:rsid w:val="00411072"/>
    <w:rsid w:val="004110E8"/>
    <w:rsid w:val="0041126F"/>
    <w:rsid w:val="0041133E"/>
    <w:rsid w:val="00411398"/>
    <w:rsid w:val="0041141D"/>
    <w:rsid w:val="0041195D"/>
    <w:rsid w:val="004119E1"/>
    <w:rsid w:val="00411B18"/>
    <w:rsid w:val="00411DC0"/>
    <w:rsid w:val="00411EF2"/>
    <w:rsid w:val="00411F33"/>
    <w:rsid w:val="00412179"/>
    <w:rsid w:val="004121E9"/>
    <w:rsid w:val="00412252"/>
    <w:rsid w:val="00412393"/>
    <w:rsid w:val="0041267D"/>
    <w:rsid w:val="004127A9"/>
    <w:rsid w:val="0041280A"/>
    <w:rsid w:val="004129BB"/>
    <w:rsid w:val="004129E4"/>
    <w:rsid w:val="004129FA"/>
    <w:rsid w:val="00412C11"/>
    <w:rsid w:val="00412CB9"/>
    <w:rsid w:val="00412D12"/>
    <w:rsid w:val="004130D8"/>
    <w:rsid w:val="00413113"/>
    <w:rsid w:val="0041317F"/>
    <w:rsid w:val="004131FA"/>
    <w:rsid w:val="00413270"/>
    <w:rsid w:val="0041332B"/>
    <w:rsid w:val="00413421"/>
    <w:rsid w:val="0041357D"/>
    <w:rsid w:val="00413783"/>
    <w:rsid w:val="0041388E"/>
    <w:rsid w:val="004138F3"/>
    <w:rsid w:val="004139DE"/>
    <w:rsid w:val="00413A47"/>
    <w:rsid w:val="00413A50"/>
    <w:rsid w:val="00413B7A"/>
    <w:rsid w:val="00413B94"/>
    <w:rsid w:val="00413C2D"/>
    <w:rsid w:val="00413CC8"/>
    <w:rsid w:val="00413F17"/>
    <w:rsid w:val="004141E3"/>
    <w:rsid w:val="0041424B"/>
    <w:rsid w:val="00414261"/>
    <w:rsid w:val="00414392"/>
    <w:rsid w:val="00414408"/>
    <w:rsid w:val="004144C3"/>
    <w:rsid w:val="004146DA"/>
    <w:rsid w:val="00414716"/>
    <w:rsid w:val="00414803"/>
    <w:rsid w:val="004148F5"/>
    <w:rsid w:val="00414D77"/>
    <w:rsid w:val="00414DCA"/>
    <w:rsid w:val="00414F65"/>
    <w:rsid w:val="00415058"/>
    <w:rsid w:val="004151A5"/>
    <w:rsid w:val="00415235"/>
    <w:rsid w:val="00415313"/>
    <w:rsid w:val="00415552"/>
    <w:rsid w:val="004156D9"/>
    <w:rsid w:val="00415935"/>
    <w:rsid w:val="004159A0"/>
    <w:rsid w:val="00415A30"/>
    <w:rsid w:val="00415D3E"/>
    <w:rsid w:val="00415F32"/>
    <w:rsid w:val="00415F6B"/>
    <w:rsid w:val="00415F8C"/>
    <w:rsid w:val="0041604B"/>
    <w:rsid w:val="00416050"/>
    <w:rsid w:val="004161A8"/>
    <w:rsid w:val="004161D6"/>
    <w:rsid w:val="004162CE"/>
    <w:rsid w:val="00416312"/>
    <w:rsid w:val="004163A1"/>
    <w:rsid w:val="004164F9"/>
    <w:rsid w:val="00416685"/>
    <w:rsid w:val="00416721"/>
    <w:rsid w:val="00416830"/>
    <w:rsid w:val="00416857"/>
    <w:rsid w:val="004168BE"/>
    <w:rsid w:val="00416930"/>
    <w:rsid w:val="00416B11"/>
    <w:rsid w:val="00416B76"/>
    <w:rsid w:val="00416B7C"/>
    <w:rsid w:val="00416E11"/>
    <w:rsid w:val="00416FC3"/>
    <w:rsid w:val="0041706E"/>
    <w:rsid w:val="00417089"/>
    <w:rsid w:val="00417106"/>
    <w:rsid w:val="00417259"/>
    <w:rsid w:val="004172FE"/>
    <w:rsid w:val="004173BA"/>
    <w:rsid w:val="004173EC"/>
    <w:rsid w:val="00417594"/>
    <w:rsid w:val="004175D4"/>
    <w:rsid w:val="0041766F"/>
    <w:rsid w:val="00417672"/>
    <w:rsid w:val="00417803"/>
    <w:rsid w:val="004179A4"/>
    <w:rsid w:val="00417A28"/>
    <w:rsid w:val="00417BA6"/>
    <w:rsid w:val="00417CD8"/>
    <w:rsid w:val="00417D5B"/>
    <w:rsid w:val="00417DE1"/>
    <w:rsid w:val="00417E42"/>
    <w:rsid w:val="00417FD0"/>
    <w:rsid w:val="0042001A"/>
    <w:rsid w:val="004202F9"/>
    <w:rsid w:val="0042031B"/>
    <w:rsid w:val="0042032A"/>
    <w:rsid w:val="004203A8"/>
    <w:rsid w:val="0042048D"/>
    <w:rsid w:val="00420490"/>
    <w:rsid w:val="004204F5"/>
    <w:rsid w:val="004208B2"/>
    <w:rsid w:val="0042093A"/>
    <w:rsid w:val="004209CD"/>
    <w:rsid w:val="00420B92"/>
    <w:rsid w:val="00420C39"/>
    <w:rsid w:val="00420CAC"/>
    <w:rsid w:val="00420CDF"/>
    <w:rsid w:val="00420D0F"/>
    <w:rsid w:val="00420D11"/>
    <w:rsid w:val="00420D41"/>
    <w:rsid w:val="00420DDB"/>
    <w:rsid w:val="00421054"/>
    <w:rsid w:val="0042114C"/>
    <w:rsid w:val="00421189"/>
    <w:rsid w:val="004211D7"/>
    <w:rsid w:val="004212C0"/>
    <w:rsid w:val="00421494"/>
    <w:rsid w:val="004216E5"/>
    <w:rsid w:val="004219E5"/>
    <w:rsid w:val="00421A24"/>
    <w:rsid w:val="00421C57"/>
    <w:rsid w:val="00421FA3"/>
    <w:rsid w:val="00421FB9"/>
    <w:rsid w:val="00422080"/>
    <w:rsid w:val="004220BD"/>
    <w:rsid w:val="0042216B"/>
    <w:rsid w:val="0042264F"/>
    <w:rsid w:val="0042279F"/>
    <w:rsid w:val="00422814"/>
    <w:rsid w:val="00422963"/>
    <w:rsid w:val="00422A9C"/>
    <w:rsid w:val="00422AB9"/>
    <w:rsid w:val="00422B76"/>
    <w:rsid w:val="00422BA6"/>
    <w:rsid w:val="00422C95"/>
    <w:rsid w:val="00422E2D"/>
    <w:rsid w:val="00422FEA"/>
    <w:rsid w:val="00423193"/>
    <w:rsid w:val="00423252"/>
    <w:rsid w:val="004232E8"/>
    <w:rsid w:val="00423496"/>
    <w:rsid w:val="00423522"/>
    <w:rsid w:val="0042360F"/>
    <w:rsid w:val="00423615"/>
    <w:rsid w:val="00423718"/>
    <w:rsid w:val="00423751"/>
    <w:rsid w:val="00423846"/>
    <w:rsid w:val="00423973"/>
    <w:rsid w:val="004239D4"/>
    <w:rsid w:val="00423A18"/>
    <w:rsid w:val="00423C6D"/>
    <w:rsid w:val="00423C94"/>
    <w:rsid w:val="00423D04"/>
    <w:rsid w:val="00423D26"/>
    <w:rsid w:val="00423D9E"/>
    <w:rsid w:val="00423EFE"/>
    <w:rsid w:val="00423FB1"/>
    <w:rsid w:val="00424055"/>
    <w:rsid w:val="004240A9"/>
    <w:rsid w:val="0042419F"/>
    <w:rsid w:val="004242F4"/>
    <w:rsid w:val="004243DC"/>
    <w:rsid w:val="00424431"/>
    <w:rsid w:val="00424583"/>
    <w:rsid w:val="0042494E"/>
    <w:rsid w:val="004249AB"/>
    <w:rsid w:val="00424A28"/>
    <w:rsid w:val="00424A32"/>
    <w:rsid w:val="00424CF4"/>
    <w:rsid w:val="00424DD8"/>
    <w:rsid w:val="00424E06"/>
    <w:rsid w:val="00424E71"/>
    <w:rsid w:val="00424EF2"/>
    <w:rsid w:val="0042508D"/>
    <w:rsid w:val="004251AD"/>
    <w:rsid w:val="00425303"/>
    <w:rsid w:val="0042542C"/>
    <w:rsid w:val="0042543E"/>
    <w:rsid w:val="004256DF"/>
    <w:rsid w:val="0042572F"/>
    <w:rsid w:val="0042576B"/>
    <w:rsid w:val="00425772"/>
    <w:rsid w:val="004257D4"/>
    <w:rsid w:val="0042585F"/>
    <w:rsid w:val="0042591A"/>
    <w:rsid w:val="0042591F"/>
    <w:rsid w:val="00425A49"/>
    <w:rsid w:val="00425AE2"/>
    <w:rsid w:val="00425B0F"/>
    <w:rsid w:val="00425C1B"/>
    <w:rsid w:val="00425CCA"/>
    <w:rsid w:val="00425E6A"/>
    <w:rsid w:val="00425F43"/>
    <w:rsid w:val="004260BB"/>
    <w:rsid w:val="004261C1"/>
    <w:rsid w:val="0042621E"/>
    <w:rsid w:val="004263B6"/>
    <w:rsid w:val="00426410"/>
    <w:rsid w:val="00426452"/>
    <w:rsid w:val="00426514"/>
    <w:rsid w:val="00426639"/>
    <w:rsid w:val="0042698C"/>
    <w:rsid w:val="00426AB3"/>
    <w:rsid w:val="00426C43"/>
    <w:rsid w:val="00426D62"/>
    <w:rsid w:val="00426DDD"/>
    <w:rsid w:val="00426E60"/>
    <w:rsid w:val="00426E65"/>
    <w:rsid w:val="00426E78"/>
    <w:rsid w:val="00426ED1"/>
    <w:rsid w:val="00426FBA"/>
    <w:rsid w:val="004270A7"/>
    <w:rsid w:val="004273CA"/>
    <w:rsid w:val="00427419"/>
    <w:rsid w:val="0042745E"/>
    <w:rsid w:val="0042766D"/>
    <w:rsid w:val="00427683"/>
    <w:rsid w:val="004277BE"/>
    <w:rsid w:val="004278A7"/>
    <w:rsid w:val="004278D7"/>
    <w:rsid w:val="00427B72"/>
    <w:rsid w:val="00427C03"/>
    <w:rsid w:val="00427C59"/>
    <w:rsid w:val="00427EAC"/>
    <w:rsid w:val="00427ED3"/>
    <w:rsid w:val="00427FD5"/>
    <w:rsid w:val="0042D65D"/>
    <w:rsid w:val="00430265"/>
    <w:rsid w:val="00430525"/>
    <w:rsid w:val="004305F9"/>
    <w:rsid w:val="0043076E"/>
    <w:rsid w:val="004307CD"/>
    <w:rsid w:val="00430BB7"/>
    <w:rsid w:val="00430C7F"/>
    <w:rsid w:val="00430D57"/>
    <w:rsid w:val="00431208"/>
    <w:rsid w:val="0043128F"/>
    <w:rsid w:val="00431353"/>
    <w:rsid w:val="004313CC"/>
    <w:rsid w:val="00431521"/>
    <w:rsid w:val="0043168F"/>
    <w:rsid w:val="004316FC"/>
    <w:rsid w:val="0043180B"/>
    <w:rsid w:val="00431B01"/>
    <w:rsid w:val="00431B79"/>
    <w:rsid w:val="00431B81"/>
    <w:rsid w:val="00431BA1"/>
    <w:rsid w:val="00431D63"/>
    <w:rsid w:val="00431EA7"/>
    <w:rsid w:val="0043212A"/>
    <w:rsid w:val="004321C2"/>
    <w:rsid w:val="00432251"/>
    <w:rsid w:val="00432417"/>
    <w:rsid w:val="00432445"/>
    <w:rsid w:val="00432565"/>
    <w:rsid w:val="00432604"/>
    <w:rsid w:val="004327C2"/>
    <w:rsid w:val="00432C22"/>
    <w:rsid w:val="00432D0E"/>
    <w:rsid w:val="00433002"/>
    <w:rsid w:val="004330B0"/>
    <w:rsid w:val="00433231"/>
    <w:rsid w:val="00433245"/>
    <w:rsid w:val="00433282"/>
    <w:rsid w:val="00433420"/>
    <w:rsid w:val="00433533"/>
    <w:rsid w:val="0043375D"/>
    <w:rsid w:val="0043390F"/>
    <w:rsid w:val="00433953"/>
    <w:rsid w:val="00433C54"/>
    <w:rsid w:val="00433E30"/>
    <w:rsid w:val="00433EC1"/>
    <w:rsid w:val="00433F7C"/>
    <w:rsid w:val="00433FF4"/>
    <w:rsid w:val="00434003"/>
    <w:rsid w:val="0043415B"/>
    <w:rsid w:val="00434222"/>
    <w:rsid w:val="004343AD"/>
    <w:rsid w:val="0043446F"/>
    <w:rsid w:val="0043463B"/>
    <w:rsid w:val="004346A4"/>
    <w:rsid w:val="004346AB"/>
    <w:rsid w:val="00434715"/>
    <w:rsid w:val="00434788"/>
    <w:rsid w:val="0043478A"/>
    <w:rsid w:val="004348BA"/>
    <w:rsid w:val="004348C5"/>
    <w:rsid w:val="0043494F"/>
    <w:rsid w:val="00434D3F"/>
    <w:rsid w:val="00434D7C"/>
    <w:rsid w:val="00434DB7"/>
    <w:rsid w:val="00434E3C"/>
    <w:rsid w:val="00434FE4"/>
    <w:rsid w:val="004352AF"/>
    <w:rsid w:val="004352C4"/>
    <w:rsid w:val="004352D4"/>
    <w:rsid w:val="00435492"/>
    <w:rsid w:val="00435547"/>
    <w:rsid w:val="00435B16"/>
    <w:rsid w:val="00435BC1"/>
    <w:rsid w:val="00435D7F"/>
    <w:rsid w:val="00435D81"/>
    <w:rsid w:val="00435E26"/>
    <w:rsid w:val="00435E2F"/>
    <w:rsid w:val="00435EF7"/>
    <w:rsid w:val="00436032"/>
    <w:rsid w:val="00436079"/>
    <w:rsid w:val="0043611D"/>
    <w:rsid w:val="0043619C"/>
    <w:rsid w:val="004363EA"/>
    <w:rsid w:val="004363EE"/>
    <w:rsid w:val="0043657A"/>
    <w:rsid w:val="00436621"/>
    <w:rsid w:val="0043669A"/>
    <w:rsid w:val="004366A1"/>
    <w:rsid w:val="004366CE"/>
    <w:rsid w:val="004367C5"/>
    <w:rsid w:val="0043683F"/>
    <w:rsid w:val="00436AEB"/>
    <w:rsid w:val="00436AF8"/>
    <w:rsid w:val="00436B3B"/>
    <w:rsid w:val="00436B70"/>
    <w:rsid w:val="00436BE1"/>
    <w:rsid w:val="00436CB6"/>
    <w:rsid w:val="00436E19"/>
    <w:rsid w:val="004371EB"/>
    <w:rsid w:val="004373B6"/>
    <w:rsid w:val="0043748E"/>
    <w:rsid w:val="00437517"/>
    <w:rsid w:val="0043768F"/>
    <w:rsid w:val="004377A4"/>
    <w:rsid w:val="004379A7"/>
    <w:rsid w:val="00437B9D"/>
    <w:rsid w:val="00437E4B"/>
    <w:rsid w:val="00437EAE"/>
    <w:rsid w:val="004401C8"/>
    <w:rsid w:val="00440215"/>
    <w:rsid w:val="00440266"/>
    <w:rsid w:val="004402E7"/>
    <w:rsid w:val="0044059B"/>
    <w:rsid w:val="0044069B"/>
    <w:rsid w:val="004406D1"/>
    <w:rsid w:val="004409A7"/>
    <w:rsid w:val="00440A77"/>
    <w:rsid w:val="00440B42"/>
    <w:rsid w:val="00440BA3"/>
    <w:rsid w:val="00440C38"/>
    <w:rsid w:val="00440D56"/>
    <w:rsid w:val="00440D91"/>
    <w:rsid w:val="00440DD4"/>
    <w:rsid w:val="00440E69"/>
    <w:rsid w:val="00440FFD"/>
    <w:rsid w:val="00441453"/>
    <w:rsid w:val="004414EB"/>
    <w:rsid w:val="004417E3"/>
    <w:rsid w:val="00441859"/>
    <w:rsid w:val="00441927"/>
    <w:rsid w:val="004419E9"/>
    <w:rsid w:val="00441AD2"/>
    <w:rsid w:val="00441AF5"/>
    <w:rsid w:val="00441B10"/>
    <w:rsid w:val="00441D11"/>
    <w:rsid w:val="00441D67"/>
    <w:rsid w:val="00441D9E"/>
    <w:rsid w:val="00441E9E"/>
    <w:rsid w:val="004420EB"/>
    <w:rsid w:val="004422A6"/>
    <w:rsid w:val="004423AD"/>
    <w:rsid w:val="00442596"/>
    <w:rsid w:val="004426F9"/>
    <w:rsid w:val="00442949"/>
    <w:rsid w:val="00442965"/>
    <w:rsid w:val="00442A38"/>
    <w:rsid w:val="00442AB8"/>
    <w:rsid w:val="00442BC1"/>
    <w:rsid w:val="00442C29"/>
    <w:rsid w:val="00442CAA"/>
    <w:rsid w:val="00442DFD"/>
    <w:rsid w:val="00442EBC"/>
    <w:rsid w:val="00442FFB"/>
    <w:rsid w:val="00443019"/>
    <w:rsid w:val="004430DA"/>
    <w:rsid w:val="004431A7"/>
    <w:rsid w:val="00443242"/>
    <w:rsid w:val="00443322"/>
    <w:rsid w:val="00443479"/>
    <w:rsid w:val="004434CA"/>
    <w:rsid w:val="00443C36"/>
    <w:rsid w:val="00443C3F"/>
    <w:rsid w:val="00443D25"/>
    <w:rsid w:val="00443DBE"/>
    <w:rsid w:val="00443E5E"/>
    <w:rsid w:val="004442CD"/>
    <w:rsid w:val="004442E2"/>
    <w:rsid w:val="0044443E"/>
    <w:rsid w:val="0044451F"/>
    <w:rsid w:val="0044470F"/>
    <w:rsid w:val="0044476C"/>
    <w:rsid w:val="004447F1"/>
    <w:rsid w:val="00444883"/>
    <w:rsid w:val="004448C1"/>
    <w:rsid w:val="00444903"/>
    <w:rsid w:val="00444A2E"/>
    <w:rsid w:val="00444BD1"/>
    <w:rsid w:val="00444C4D"/>
    <w:rsid w:val="00444E58"/>
    <w:rsid w:val="00444F28"/>
    <w:rsid w:val="00444FBF"/>
    <w:rsid w:val="0044505E"/>
    <w:rsid w:val="00445074"/>
    <w:rsid w:val="0044512B"/>
    <w:rsid w:val="0044516C"/>
    <w:rsid w:val="004451D0"/>
    <w:rsid w:val="004451E9"/>
    <w:rsid w:val="004451ED"/>
    <w:rsid w:val="004452BC"/>
    <w:rsid w:val="00445367"/>
    <w:rsid w:val="004454CA"/>
    <w:rsid w:val="0044551A"/>
    <w:rsid w:val="00445634"/>
    <w:rsid w:val="004457FF"/>
    <w:rsid w:val="00445AC0"/>
    <w:rsid w:val="00445DB8"/>
    <w:rsid w:val="00445F0C"/>
    <w:rsid w:val="0044609F"/>
    <w:rsid w:val="0044638A"/>
    <w:rsid w:val="00446576"/>
    <w:rsid w:val="004466B2"/>
    <w:rsid w:val="00446721"/>
    <w:rsid w:val="00446777"/>
    <w:rsid w:val="00446798"/>
    <w:rsid w:val="0044680C"/>
    <w:rsid w:val="00446975"/>
    <w:rsid w:val="00446AB8"/>
    <w:rsid w:val="00446D51"/>
    <w:rsid w:val="00446EFA"/>
    <w:rsid w:val="00447281"/>
    <w:rsid w:val="00447423"/>
    <w:rsid w:val="0044747D"/>
    <w:rsid w:val="0044751C"/>
    <w:rsid w:val="004477A8"/>
    <w:rsid w:val="004477B8"/>
    <w:rsid w:val="004477E6"/>
    <w:rsid w:val="004478EC"/>
    <w:rsid w:val="004479EF"/>
    <w:rsid w:val="00447B49"/>
    <w:rsid w:val="00447B83"/>
    <w:rsid w:val="00447FDC"/>
    <w:rsid w:val="00448FCB"/>
    <w:rsid w:val="004501AC"/>
    <w:rsid w:val="004501F4"/>
    <w:rsid w:val="004502AB"/>
    <w:rsid w:val="004502E1"/>
    <w:rsid w:val="004503B6"/>
    <w:rsid w:val="004504DF"/>
    <w:rsid w:val="00450981"/>
    <w:rsid w:val="004509A0"/>
    <w:rsid w:val="00450B80"/>
    <w:rsid w:val="00450F9F"/>
    <w:rsid w:val="00451051"/>
    <w:rsid w:val="004510A5"/>
    <w:rsid w:val="0045149C"/>
    <w:rsid w:val="004516BF"/>
    <w:rsid w:val="004516CB"/>
    <w:rsid w:val="00451715"/>
    <w:rsid w:val="00451A18"/>
    <w:rsid w:val="00451B01"/>
    <w:rsid w:val="00451B6C"/>
    <w:rsid w:val="00451CA9"/>
    <w:rsid w:val="00451F06"/>
    <w:rsid w:val="00451F90"/>
    <w:rsid w:val="00452197"/>
    <w:rsid w:val="00452205"/>
    <w:rsid w:val="004522F0"/>
    <w:rsid w:val="0045233F"/>
    <w:rsid w:val="0045242D"/>
    <w:rsid w:val="004524AE"/>
    <w:rsid w:val="0045253C"/>
    <w:rsid w:val="004525D6"/>
    <w:rsid w:val="004528CA"/>
    <w:rsid w:val="004528F4"/>
    <w:rsid w:val="004529F5"/>
    <w:rsid w:val="00452AA3"/>
    <w:rsid w:val="00452AB7"/>
    <w:rsid w:val="00452B35"/>
    <w:rsid w:val="00452CA6"/>
    <w:rsid w:val="00452EA8"/>
    <w:rsid w:val="00452F93"/>
    <w:rsid w:val="004531CE"/>
    <w:rsid w:val="00453274"/>
    <w:rsid w:val="004532FD"/>
    <w:rsid w:val="0045347E"/>
    <w:rsid w:val="0045386B"/>
    <w:rsid w:val="00453978"/>
    <w:rsid w:val="00453B1E"/>
    <w:rsid w:val="00453B46"/>
    <w:rsid w:val="00453C57"/>
    <w:rsid w:val="00453DB3"/>
    <w:rsid w:val="00453E79"/>
    <w:rsid w:val="00453E90"/>
    <w:rsid w:val="004540CC"/>
    <w:rsid w:val="00454153"/>
    <w:rsid w:val="004543CA"/>
    <w:rsid w:val="004545DA"/>
    <w:rsid w:val="00454797"/>
    <w:rsid w:val="004547EA"/>
    <w:rsid w:val="00454B01"/>
    <w:rsid w:val="00454B4B"/>
    <w:rsid w:val="00454D68"/>
    <w:rsid w:val="00454D9C"/>
    <w:rsid w:val="00454DFC"/>
    <w:rsid w:val="00454ED1"/>
    <w:rsid w:val="00454F2D"/>
    <w:rsid w:val="00454FA5"/>
    <w:rsid w:val="00455110"/>
    <w:rsid w:val="0045523D"/>
    <w:rsid w:val="00455360"/>
    <w:rsid w:val="004555FC"/>
    <w:rsid w:val="00455895"/>
    <w:rsid w:val="00455BC4"/>
    <w:rsid w:val="00455C54"/>
    <w:rsid w:val="00455D26"/>
    <w:rsid w:val="00455EAA"/>
    <w:rsid w:val="0045611C"/>
    <w:rsid w:val="004563B0"/>
    <w:rsid w:val="004563BF"/>
    <w:rsid w:val="00456494"/>
    <w:rsid w:val="00456782"/>
    <w:rsid w:val="004567D4"/>
    <w:rsid w:val="00456916"/>
    <w:rsid w:val="004569F2"/>
    <w:rsid w:val="00456B33"/>
    <w:rsid w:val="00456E6E"/>
    <w:rsid w:val="00456EED"/>
    <w:rsid w:val="004571E2"/>
    <w:rsid w:val="00457408"/>
    <w:rsid w:val="004574B7"/>
    <w:rsid w:val="004575F4"/>
    <w:rsid w:val="0045766B"/>
    <w:rsid w:val="004576F9"/>
    <w:rsid w:val="004577E1"/>
    <w:rsid w:val="0045799A"/>
    <w:rsid w:val="00457A3A"/>
    <w:rsid w:val="00457BE2"/>
    <w:rsid w:val="00457CD8"/>
    <w:rsid w:val="00457D06"/>
    <w:rsid w:val="00457E18"/>
    <w:rsid w:val="00457E4E"/>
    <w:rsid w:val="0046003D"/>
    <w:rsid w:val="0046011D"/>
    <w:rsid w:val="0046036D"/>
    <w:rsid w:val="004605E1"/>
    <w:rsid w:val="00460842"/>
    <w:rsid w:val="004608BB"/>
    <w:rsid w:val="004608C2"/>
    <w:rsid w:val="004608ED"/>
    <w:rsid w:val="004608EE"/>
    <w:rsid w:val="004608F3"/>
    <w:rsid w:val="004609C7"/>
    <w:rsid w:val="004609E0"/>
    <w:rsid w:val="00460A1D"/>
    <w:rsid w:val="00460BDD"/>
    <w:rsid w:val="00460BF5"/>
    <w:rsid w:val="00460EEC"/>
    <w:rsid w:val="0046101B"/>
    <w:rsid w:val="00461095"/>
    <w:rsid w:val="004612F4"/>
    <w:rsid w:val="004613F3"/>
    <w:rsid w:val="00461420"/>
    <w:rsid w:val="00461492"/>
    <w:rsid w:val="004614CA"/>
    <w:rsid w:val="004614FE"/>
    <w:rsid w:val="004617E4"/>
    <w:rsid w:val="00461AF7"/>
    <w:rsid w:val="00461B2B"/>
    <w:rsid w:val="00461BBB"/>
    <w:rsid w:val="00461C07"/>
    <w:rsid w:val="00461DBE"/>
    <w:rsid w:val="0046205E"/>
    <w:rsid w:val="004620C8"/>
    <w:rsid w:val="004620F6"/>
    <w:rsid w:val="00462136"/>
    <w:rsid w:val="00462158"/>
    <w:rsid w:val="0046221F"/>
    <w:rsid w:val="00462240"/>
    <w:rsid w:val="0046239E"/>
    <w:rsid w:val="004624A2"/>
    <w:rsid w:val="00462598"/>
    <w:rsid w:val="004626E2"/>
    <w:rsid w:val="004626FA"/>
    <w:rsid w:val="00462777"/>
    <w:rsid w:val="00462811"/>
    <w:rsid w:val="0046299F"/>
    <w:rsid w:val="00462A33"/>
    <w:rsid w:val="00462BD9"/>
    <w:rsid w:val="00462D55"/>
    <w:rsid w:val="00462FD0"/>
    <w:rsid w:val="00463355"/>
    <w:rsid w:val="00463375"/>
    <w:rsid w:val="00463445"/>
    <w:rsid w:val="00463490"/>
    <w:rsid w:val="004635EE"/>
    <w:rsid w:val="0046368A"/>
    <w:rsid w:val="004636A8"/>
    <w:rsid w:val="00463813"/>
    <w:rsid w:val="0046384D"/>
    <w:rsid w:val="00463A2B"/>
    <w:rsid w:val="00463A85"/>
    <w:rsid w:val="00463D00"/>
    <w:rsid w:val="00463D1C"/>
    <w:rsid w:val="00463DA4"/>
    <w:rsid w:val="00464358"/>
    <w:rsid w:val="0046436D"/>
    <w:rsid w:val="004644EB"/>
    <w:rsid w:val="00464786"/>
    <w:rsid w:val="00464C24"/>
    <w:rsid w:val="00464C8A"/>
    <w:rsid w:val="00464D15"/>
    <w:rsid w:val="00464E2B"/>
    <w:rsid w:val="00464EC7"/>
    <w:rsid w:val="00464FCF"/>
    <w:rsid w:val="004650CF"/>
    <w:rsid w:val="00465115"/>
    <w:rsid w:val="00465474"/>
    <w:rsid w:val="00465864"/>
    <w:rsid w:val="00465960"/>
    <w:rsid w:val="00465AB9"/>
    <w:rsid w:val="00465BC3"/>
    <w:rsid w:val="0046604C"/>
    <w:rsid w:val="0046609D"/>
    <w:rsid w:val="0046613C"/>
    <w:rsid w:val="00466316"/>
    <w:rsid w:val="00466326"/>
    <w:rsid w:val="0046642C"/>
    <w:rsid w:val="00466547"/>
    <w:rsid w:val="00466558"/>
    <w:rsid w:val="004665C0"/>
    <w:rsid w:val="0046674E"/>
    <w:rsid w:val="0046675C"/>
    <w:rsid w:val="00466A55"/>
    <w:rsid w:val="00466A93"/>
    <w:rsid w:val="00466B33"/>
    <w:rsid w:val="00466C44"/>
    <w:rsid w:val="00466CB6"/>
    <w:rsid w:val="00466E8B"/>
    <w:rsid w:val="00466F88"/>
    <w:rsid w:val="00467023"/>
    <w:rsid w:val="0046708E"/>
    <w:rsid w:val="0046725E"/>
    <w:rsid w:val="00467324"/>
    <w:rsid w:val="004673A8"/>
    <w:rsid w:val="004673F6"/>
    <w:rsid w:val="0046744F"/>
    <w:rsid w:val="00467597"/>
    <w:rsid w:val="00467612"/>
    <w:rsid w:val="00467708"/>
    <w:rsid w:val="00467764"/>
    <w:rsid w:val="00467870"/>
    <w:rsid w:val="00467A00"/>
    <w:rsid w:val="00467A2C"/>
    <w:rsid w:val="00467B04"/>
    <w:rsid w:val="00467C3A"/>
    <w:rsid w:val="00467D54"/>
    <w:rsid w:val="00467DBF"/>
    <w:rsid w:val="00467FEB"/>
    <w:rsid w:val="00470014"/>
    <w:rsid w:val="00470015"/>
    <w:rsid w:val="00470048"/>
    <w:rsid w:val="0047005A"/>
    <w:rsid w:val="0047008F"/>
    <w:rsid w:val="004700F1"/>
    <w:rsid w:val="004700F7"/>
    <w:rsid w:val="00470308"/>
    <w:rsid w:val="004705D8"/>
    <w:rsid w:val="00470719"/>
    <w:rsid w:val="00470A67"/>
    <w:rsid w:val="00470AC7"/>
    <w:rsid w:val="00470B76"/>
    <w:rsid w:val="00470B87"/>
    <w:rsid w:val="00470B9C"/>
    <w:rsid w:val="00470BEA"/>
    <w:rsid w:val="00470D55"/>
    <w:rsid w:val="00470E91"/>
    <w:rsid w:val="00470F0A"/>
    <w:rsid w:val="00470F20"/>
    <w:rsid w:val="00470F21"/>
    <w:rsid w:val="00470FFB"/>
    <w:rsid w:val="00471060"/>
    <w:rsid w:val="00471071"/>
    <w:rsid w:val="004710F5"/>
    <w:rsid w:val="004714B9"/>
    <w:rsid w:val="004714D0"/>
    <w:rsid w:val="00471647"/>
    <w:rsid w:val="00471686"/>
    <w:rsid w:val="004716AC"/>
    <w:rsid w:val="0047199C"/>
    <w:rsid w:val="00471A29"/>
    <w:rsid w:val="00471AC4"/>
    <w:rsid w:val="00471B7D"/>
    <w:rsid w:val="00471C2C"/>
    <w:rsid w:val="00471D60"/>
    <w:rsid w:val="00471E07"/>
    <w:rsid w:val="00471F2B"/>
    <w:rsid w:val="00472406"/>
    <w:rsid w:val="00472519"/>
    <w:rsid w:val="0047265A"/>
    <w:rsid w:val="0047269C"/>
    <w:rsid w:val="004727CD"/>
    <w:rsid w:val="00472821"/>
    <w:rsid w:val="004729F3"/>
    <w:rsid w:val="00472B2C"/>
    <w:rsid w:val="00472CAE"/>
    <w:rsid w:val="00472CB5"/>
    <w:rsid w:val="00472CFE"/>
    <w:rsid w:val="00472FB4"/>
    <w:rsid w:val="00473016"/>
    <w:rsid w:val="00473184"/>
    <w:rsid w:val="00473185"/>
    <w:rsid w:val="00473397"/>
    <w:rsid w:val="00473484"/>
    <w:rsid w:val="004734AE"/>
    <w:rsid w:val="004735D6"/>
    <w:rsid w:val="0047368C"/>
    <w:rsid w:val="0047378C"/>
    <w:rsid w:val="00473824"/>
    <w:rsid w:val="004739D4"/>
    <w:rsid w:val="00473A97"/>
    <w:rsid w:val="00473C02"/>
    <w:rsid w:val="00473DA7"/>
    <w:rsid w:val="00473DDA"/>
    <w:rsid w:val="00473FA4"/>
    <w:rsid w:val="00474023"/>
    <w:rsid w:val="004740EF"/>
    <w:rsid w:val="0047410B"/>
    <w:rsid w:val="00474154"/>
    <w:rsid w:val="0047448E"/>
    <w:rsid w:val="004745A0"/>
    <w:rsid w:val="00474768"/>
    <w:rsid w:val="00474A58"/>
    <w:rsid w:val="00474AFB"/>
    <w:rsid w:val="00474C64"/>
    <w:rsid w:val="00474CD1"/>
    <w:rsid w:val="00474D64"/>
    <w:rsid w:val="00474DBA"/>
    <w:rsid w:val="00474E06"/>
    <w:rsid w:val="00474EBC"/>
    <w:rsid w:val="00474FC9"/>
    <w:rsid w:val="004750D5"/>
    <w:rsid w:val="0047529F"/>
    <w:rsid w:val="004752C8"/>
    <w:rsid w:val="004755A1"/>
    <w:rsid w:val="004755A9"/>
    <w:rsid w:val="004755AA"/>
    <w:rsid w:val="00475709"/>
    <w:rsid w:val="00475856"/>
    <w:rsid w:val="004758CE"/>
    <w:rsid w:val="00475B10"/>
    <w:rsid w:val="00475B3A"/>
    <w:rsid w:val="00475B3F"/>
    <w:rsid w:val="00475C5A"/>
    <w:rsid w:val="00475E82"/>
    <w:rsid w:val="00475F6A"/>
    <w:rsid w:val="0047632D"/>
    <w:rsid w:val="004763AF"/>
    <w:rsid w:val="004763BD"/>
    <w:rsid w:val="00476403"/>
    <w:rsid w:val="004764ED"/>
    <w:rsid w:val="00476610"/>
    <w:rsid w:val="00476855"/>
    <w:rsid w:val="0047685F"/>
    <w:rsid w:val="004768B3"/>
    <w:rsid w:val="00476B34"/>
    <w:rsid w:val="00476CC3"/>
    <w:rsid w:val="00476EA8"/>
    <w:rsid w:val="00476F01"/>
    <w:rsid w:val="0047731F"/>
    <w:rsid w:val="004773AC"/>
    <w:rsid w:val="00477486"/>
    <w:rsid w:val="004774A8"/>
    <w:rsid w:val="004774C3"/>
    <w:rsid w:val="004776CE"/>
    <w:rsid w:val="00477788"/>
    <w:rsid w:val="00477971"/>
    <w:rsid w:val="00477B3D"/>
    <w:rsid w:val="00477CBF"/>
    <w:rsid w:val="00477D52"/>
    <w:rsid w:val="00477E2C"/>
    <w:rsid w:val="00477E62"/>
    <w:rsid w:val="00477F77"/>
    <w:rsid w:val="00480031"/>
    <w:rsid w:val="004800B7"/>
    <w:rsid w:val="00480191"/>
    <w:rsid w:val="004802BB"/>
    <w:rsid w:val="004804C8"/>
    <w:rsid w:val="00480525"/>
    <w:rsid w:val="004805E4"/>
    <w:rsid w:val="004808A4"/>
    <w:rsid w:val="0048093C"/>
    <w:rsid w:val="004809FB"/>
    <w:rsid w:val="00480A93"/>
    <w:rsid w:val="00480B47"/>
    <w:rsid w:val="00480B5F"/>
    <w:rsid w:val="00480B74"/>
    <w:rsid w:val="00480BD5"/>
    <w:rsid w:val="00480C97"/>
    <w:rsid w:val="00480EBA"/>
    <w:rsid w:val="00481054"/>
    <w:rsid w:val="00481125"/>
    <w:rsid w:val="004811E2"/>
    <w:rsid w:val="00481657"/>
    <w:rsid w:val="004817A1"/>
    <w:rsid w:val="00481849"/>
    <w:rsid w:val="00481875"/>
    <w:rsid w:val="004818B7"/>
    <w:rsid w:val="004818C7"/>
    <w:rsid w:val="0048196D"/>
    <w:rsid w:val="004819B9"/>
    <w:rsid w:val="00481B83"/>
    <w:rsid w:val="00481DBF"/>
    <w:rsid w:val="00481EA5"/>
    <w:rsid w:val="00481FAF"/>
    <w:rsid w:val="00482024"/>
    <w:rsid w:val="0048203D"/>
    <w:rsid w:val="004820BB"/>
    <w:rsid w:val="004821D9"/>
    <w:rsid w:val="00482228"/>
    <w:rsid w:val="0048224F"/>
    <w:rsid w:val="0048237B"/>
    <w:rsid w:val="004823E9"/>
    <w:rsid w:val="0048264B"/>
    <w:rsid w:val="0048271C"/>
    <w:rsid w:val="00482AF8"/>
    <w:rsid w:val="00482E18"/>
    <w:rsid w:val="00482F78"/>
    <w:rsid w:val="00482FEA"/>
    <w:rsid w:val="0048301D"/>
    <w:rsid w:val="0048301E"/>
    <w:rsid w:val="00483313"/>
    <w:rsid w:val="004835CC"/>
    <w:rsid w:val="004835DC"/>
    <w:rsid w:val="004836A7"/>
    <w:rsid w:val="0048374E"/>
    <w:rsid w:val="00483752"/>
    <w:rsid w:val="004838D6"/>
    <w:rsid w:val="004839A4"/>
    <w:rsid w:val="00483B2F"/>
    <w:rsid w:val="00483CEA"/>
    <w:rsid w:val="00483DB1"/>
    <w:rsid w:val="00483E1A"/>
    <w:rsid w:val="00483F87"/>
    <w:rsid w:val="00483FB7"/>
    <w:rsid w:val="004840D8"/>
    <w:rsid w:val="004841E7"/>
    <w:rsid w:val="00484379"/>
    <w:rsid w:val="0048444A"/>
    <w:rsid w:val="0048466D"/>
    <w:rsid w:val="004846A8"/>
    <w:rsid w:val="004846E4"/>
    <w:rsid w:val="00484708"/>
    <w:rsid w:val="0048486C"/>
    <w:rsid w:val="00484A36"/>
    <w:rsid w:val="00484AF1"/>
    <w:rsid w:val="00484B52"/>
    <w:rsid w:val="00484C2D"/>
    <w:rsid w:val="00484D99"/>
    <w:rsid w:val="00484F08"/>
    <w:rsid w:val="0048507E"/>
    <w:rsid w:val="004850E4"/>
    <w:rsid w:val="00485114"/>
    <w:rsid w:val="00485509"/>
    <w:rsid w:val="00485535"/>
    <w:rsid w:val="004855CE"/>
    <w:rsid w:val="004859E5"/>
    <w:rsid w:val="00485A34"/>
    <w:rsid w:val="00485A54"/>
    <w:rsid w:val="00485A8D"/>
    <w:rsid w:val="00485B34"/>
    <w:rsid w:val="00485BD8"/>
    <w:rsid w:val="00485EA3"/>
    <w:rsid w:val="00485EB8"/>
    <w:rsid w:val="00485EE7"/>
    <w:rsid w:val="004860C0"/>
    <w:rsid w:val="004861F8"/>
    <w:rsid w:val="0048629A"/>
    <w:rsid w:val="004862AB"/>
    <w:rsid w:val="004862DD"/>
    <w:rsid w:val="0048637E"/>
    <w:rsid w:val="0048641C"/>
    <w:rsid w:val="004864C3"/>
    <w:rsid w:val="0048659E"/>
    <w:rsid w:val="004865D5"/>
    <w:rsid w:val="0048669B"/>
    <w:rsid w:val="0048678A"/>
    <w:rsid w:val="004867EB"/>
    <w:rsid w:val="00486936"/>
    <w:rsid w:val="00486ABC"/>
    <w:rsid w:val="00486B19"/>
    <w:rsid w:val="00486D50"/>
    <w:rsid w:val="00486E7A"/>
    <w:rsid w:val="00486FC6"/>
    <w:rsid w:val="00487074"/>
    <w:rsid w:val="004873A2"/>
    <w:rsid w:val="004873D5"/>
    <w:rsid w:val="004874E9"/>
    <w:rsid w:val="00487587"/>
    <w:rsid w:val="00487622"/>
    <w:rsid w:val="00487638"/>
    <w:rsid w:val="004878C7"/>
    <w:rsid w:val="00487B20"/>
    <w:rsid w:val="00487ED0"/>
    <w:rsid w:val="00487F05"/>
    <w:rsid w:val="00487F13"/>
    <w:rsid w:val="00487F1D"/>
    <w:rsid w:val="004900E0"/>
    <w:rsid w:val="004900E5"/>
    <w:rsid w:val="004901D0"/>
    <w:rsid w:val="004902F0"/>
    <w:rsid w:val="00490444"/>
    <w:rsid w:val="0049072A"/>
    <w:rsid w:val="00490798"/>
    <w:rsid w:val="004908F3"/>
    <w:rsid w:val="004909C0"/>
    <w:rsid w:val="00490C43"/>
    <w:rsid w:val="00490D16"/>
    <w:rsid w:val="00490FCE"/>
    <w:rsid w:val="00490FF7"/>
    <w:rsid w:val="004910BD"/>
    <w:rsid w:val="004910DA"/>
    <w:rsid w:val="00491211"/>
    <w:rsid w:val="004914C1"/>
    <w:rsid w:val="004914D2"/>
    <w:rsid w:val="004914F1"/>
    <w:rsid w:val="00491513"/>
    <w:rsid w:val="0049169B"/>
    <w:rsid w:val="00491714"/>
    <w:rsid w:val="00491751"/>
    <w:rsid w:val="004917EB"/>
    <w:rsid w:val="00491949"/>
    <w:rsid w:val="00491A79"/>
    <w:rsid w:val="00491B62"/>
    <w:rsid w:val="00491C25"/>
    <w:rsid w:val="00491C7A"/>
    <w:rsid w:val="00491D21"/>
    <w:rsid w:val="00491DCD"/>
    <w:rsid w:val="00491DDE"/>
    <w:rsid w:val="00491DE9"/>
    <w:rsid w:val="00492234"/>
    <w:rsid w:val="0049226E"/>
    <w:rsid w:val="004922B8"/>
    <w:rsid w:val="004922FB"/>
    <w:rsid w:val="00492360"/>
    <w:rsid w:val="004923B1"/>
    <w:rsid w:val="00492426"/>
    <w:rsid w:val="004926F6"/>
    <w:rsid w:val="004928AC"/>
    <w:rsid w:val="004928D2"/>
    <w:rsid w:val="004928F7"/>
    <w:rsid w:val="00492ABA"/>
    <w:rsid w:val="00492ADB"/>
    <w:rsid w:val="00492B82"/>
    <w:rsid w:val="00492CAF"/>
    <w:rsid w:val="00492D7D"/>
    <w:rsid w:val="00492E33"/>
    <w:rsid w:val="0049302A"/>
    <w:rsid w:val="004930F6"/>
    <w:rsid w:val="0049315A"/>
    <w:rsid w:val="00493216"/>
    <w:rsid w:val="00493231"/>
    <w:rsid w:val="00493250"/>
    <w:rsid w:val="0049333B"/>
    <w:rsid w:val="00493346"/>
    <w:rsid w:val="00493656"/>
    <w:rsid w:val="0049369E"/>
    <w:rsid w:val="004936E8"/>
    <w:rsid w:val="004936F3"/>
    <w:rsid w:val="0049371A"/>
    <w:rsid w:val="00493735"/>
    <w:rsid w:val="0049379D"/>
    <w:rsid w:val="00493ADB"/>
    <w:rsid w:val="00493B5E"/>
    <w:rsid w:val="00493CE7"/>
    <w:rsid w:val="00493D41"/>
    <w:rsid w:val="00493E5F"/>
    <w:rsid w:val="0049412C"/>
    <w:rsid w:val="0049416F"/>
    <w:rsid w:val="0049425A"/>
    <w:rsid w:val="00494440"/>
    <w:rsid w:val="004947B7"/>
    <w:rsid w:val="00494862"/>
    <w:rsid w:val="004948C9"/>
    <w:rsid w:val="00494A14"/>
    <w:rsid w:val="00494A6C"/>
    <w:rsid w:val="00494A80"/>
    <w:rsid w:val="00494D4A"/>
    <w:rsid w:val="00494DA9"/>
    <w:rsid w:val="00494DCF"/>
    <w:rsid w:val="00494DD9"/>
    <w:rsid w:val="00494EBF"/>
    <w:rsid w:val="00494F2E"/>
    <w:rsid w:val="00495239"/>
    <w:rsid w:val="004952A9"/>
    <w:rsid w:val="00495311"/>
    <w:rsid w:val="00495334"/>
    <w:rsid w:val="0049538E"/>
    <w:rsid w:val="00495404"/>
    <w:rsid w:val="004954AF"/>
    <w:rsid w:val="004956CA"/>
    <w:rsid w:val="004959ED"/>
    <w:rsid w:val="00495D69"/>
    <w:rsid w:val="00495E9C"/>
    <w:rsid w:val="0049628E"/>
    <w:rsid w:val="00496302"/>
    <w:rsid w:val="0049640E"/>
    <w:rsid w:val="00496A66"/>
    <w:rsid w:val="00496B9A"/>
    <w:rsid w:val="00496BFE"/>
    <w:rsid w:val="00496DF0"/>
    <w:rsid w:val="00496FE8"/>
    <w:rsid w:val="00497017"/>
    <w:rsid w:val="00497090"/>
    <w:rsid w:val="004972A9"/>
    <w:rsid w:val="004975BB"/>
    <w:rsid w:val="00497687"/>
    <w:rsid w:val="00497771"/>
    <w:rsid w:val="0049780B"/>
    <w:rsid w:val="00497861"/>
    <w:rsid w:val="00497931"/>
    <w:rsid w:val="0049794A"/>
    <w:rsid w:val="004979AD"/>
    <w:rsid w:val="00497A21"/>
    <w:rsid w:val="00497B1D"/>
    <w:rsid w:val="00497C76"/>
    <w:rsid w:val="00497C85"/>
    <w:rsid w:val="00497DB5"/>
    <w:rsid w:val="00497EA0"/>
    <w:rsid w:val="00497ECC"/>
    <w:rsid w:val="004A00B6"/>
    <w:rsid w:val="004A00F0"/>
    <w:rsid w:val="004A0346"/>
    <w:rsid w:val="004A0574"/>
    <w:rsid w:val="004A0667"/>
    <w:rsid w:val="004A0725"/>
    <w:rsid w:val="004A099E"/>
    <w:rsid w:val="004A0A3C"/>
    <w:rsid w:val="004A0ADD"/>
    <w:rsid w:val="004A0BF3"/>
    <w:rsid w:val="004A0C4B"/>
    <w:rsid w:val="004A0C7C"/>
    <w:rsid w:val="004A11C9"/>
    <w:rsid w:val="004A11EE"/>
    <w:rsid w:val="004A14BC"/>
    <w:rsid w:val="004A16AC"/>
    <w:rsid w:val="004A17AD"/>
    <w:rsid w:val="004A1C0C"/>
    <w:rsid w:val="004A1D4E"/>
    <w:rsid w:val="004A1D54"/>
    <w:rsid w:val="004A1F53"/>
    <w:rsid w:val="004A202D"/>
    <w:rsid w:val="004A2199"/>
    <w:rsid w:val="004A237C"/>
    <w:rsid w:val="004A23AB"/>
    <w:rsid w:val="004A2423"/>
    <w:rsid w:val="004A24BD"/>
    <w:rsid w:val="004A25CA"/>
    <w:rsid w:val="004A282A"/>
    <w:rsid w:val="004A2830"/>
    <w:rsid w:val="004A28A4"/>
    <w:rsid w:val="004A28B7"/>
    <w:rsid w:val="004A2A75"/>
    <w:rsid w:val="004A2A88"/>
    <w:rsid w:val="004A2B88"/>
    <w:rsid w:val="004A2CBA"/>
    <w:rsid w:val="004A2D0A"/>
    <w:rsid w:val="004A3014"/>
    <w:rsid w:val="004A33A0"/>
    <w:rsid w:val="004A355C"/>
    <w:rsid w:val="004A3641"/>
    <w:rsid w:val="004A384C"/>
    <w:rsid w:val="004A3936"/>
    <w:rsid w:val="004A397F"/>
    <w:rsid w:val="004A3B09"/>
    <w:rsid w:val="004A3CF5"/>
    <w:rsid w:val="004A3D2F"/>
    <w:rsid w:val="004A3D7A"/>
    <w:rsid w:val="004A3D93"/>
    <w:rsid w:val="004A3DDF"/>
    <w:rsid w:val="004A3E1E"/>
    <w:rsid w:val="004A3EFD"/>
    <w:rsid w:val="004A3F27"/>
    <w:rsid w:val="004A4066"/>
    <w:rsid w:val="004A40CF"/>
    <w:rsid w:val="004A41EC"/>
    <w:rsid w:val="004A4642"/>
    <w:rsid w:val="004A4718"/>
    <w:rsid w:val="004A48D9"/>
    <w:rsid w:val="004A49BC"/>
    <w:rsid w:val="004A4B27"/>
    <w:rsid w:val="004A4B68"/>
    <w:rsid w:val="004A4BCE"/>
    <w:rsid w:val="004A4CB4"/>
    <w:rsid w:val="004A4DC6"/>
    <w:rsid w:val="004A4DCB"/>
    <w:rsid w:val="004A4E1E"/>
    <w:rsid w:val="004A4E33"/>
    <w:rsid w:val="004A4F3E"/>
    <w:rsid w:val="004A5109"/>
    <w:rsid w:val="004A5137"/>
    <w:rsid w:val="004A57E7"/>
    <w:rsid w:val="004A5856"/>
    <w:rsid w:val="004A5BE7"/>
    <w:rsid w:val="004A5CF3"/>
    <w:rsid w:val="004A5D80"/>
    <w:rsid w:val="004A5D99"/>
    <w:rsid w:val="004A5E6A"/>
    <w:rsid w:val="004A5EEB"/>
    <w:rsid w:val="004A62C4"/>
    <w:rsid w:val="004A6321"/>
    <w:rsid w:val="004A639C"/>
    <w:rsid w:val="004A64FE"/>
    <w:rsid w:val="004A66C1"/>
    <w:rsid w:val="004A67FA"/>
    <w:rsid w:val="004A6820"/>
    <w:rsid w:val="004A69F1"/>
    <w:rsid w:val="004A6A75"/>
    <w:rsid w:val="004A6B1D"/>
    <w:rsid w:val="004A6B33"/>
    <w:rsid w:val="004A6C54"/>
    <w:rsid w:val="004A6D40"/>
    <w:rsid w:val="004A6DEC"/>
    <w:rsid w:val="004A6E2B"/>
    <w:rsid w:val="004A6ED9"/>
    <w:rsid w:val="004A7190"/>
    <w:rsid w:val="004A72F3"/>
    <w:rsid w:val="004A7319"/>
    <w:rsid w:val="004A7487"/>
    <w:rsid w:val="004A75F3"/>
    <w:rsid w:val="004A76C4"/>
    <w:rsid w:val="004A77A6"/>
    <w:rsid w:val="004A7A84"/>
    <w:rsid w:val="004A7C4A"/>
    <w:rsid w:val="004A7D10"/>
    <w:rsid w:val="004A7E39"/>
    <w:rsid w:val="004A7E69"/>
    <w:rsid w:val="004B0070"/>
    <w:rsid w:val="004B0104"/>
    <w:rsid w:val="004B0134"/>
    <w:rsid w:val="004B015E"/>
    <w:rsid w:val="004B028A"/>
    <w:rsid w:val="004B047A"/>
    <w:rsid w:val="004B0623"/>
    <w:rsid w:val="004B06CB"/>
    <w:rsid w:val="004B0724"/>
    <w:rsid w:val="004B07E7"/>
    <w:rsid w:val="004B0A05"/>
    <w:rsid w:val="004B0A9A"/>
    <w:rsid w:val="004B0AED"/>
    <w:rsid w:val="004B0CB9"/>
    <w:rsid w:val="004B0D4F"/>
    <w:rsid w:val="004B0E22"/>
    <w:rsid w:val="004B1202"/>
    <w:rsid w:val="004B136D"/>
    <w:rsid w:val="004B172F"/>
    <w:rsid w:val="004B1880"/>
    <w:rsid w:val="004B194D"/>
    <w:rsid w:val="004B199D"/>
    <w:rsid w:val="004B1CCC"/>
    <w:rsid w:val="004B2259"/>
    <w:rsid w:val="004B22F2"/>
    <w:rsid w:val="004B242A"/>
    <w:rsid w:val="004B2467"/>
    <w:rsid w:val="004B2609"/>
    <w:rsid w:val="004B26B2"/>
    <w:rsid w:val="004B29B9"/>
    <w:rsid w:val="004B2A15"/>
    <w:rsid w:val="004B2A5C"/>
    <w:rsid w:val="004B2AD7"/>
    <w:rsid w:val="004B2BCA"/>
    <w:rsid w:val="004B2BE6"/>
    <w:rsid w:val="004B2DC5"/>
    <w:rsid w:val="004B2EA3"/>
    <w:rsid w:val="004B2EB0"/>
    <w:rsid w:val="004B2F1B"/>
    <w:rsid w:val="004B317F"/>
    <w:rsid w:val="004B3329"/>
    <w:rsid w:val="004B336B"/>
    <w:rsid w:val="004B34C9"/>
    <w:rsid w:val="004B34F5"/>
    <w:rsid w:val="004B3506"/>
    <w:rsid w:val="004B3643"/>
    <w:rsid w:val="004B380D"/>
    <w:rsid w:val="004B39C3"/>
    <w:rsid w:val="004B3A6A"/>
    <w:rsid w:val="004B3A6C"/>
    <w:rsid w:val="004B3B11"/>
    <w:rsid w:val="004B3B7B"/>
    <w:rsid w:val="004B3E1A"/>
    <w:rsid w:val="004B3E3B"/>
    <w:rsid w:val="004B3E4C"/>
    <w:rsid w:val="004B406A"/>
    <w:rsid w:val="004B40C0"/>
    <w:rsid w:val="004B4233"/>
    <w:rsid w:val="004B4313"/>
    <w:rsid w:val="004B446A"/>
    <w:rsid w:val="004B4492"/>
    <w:rsid w:val="004B48FB"/>
    <w:rsid w:val="004B4AE5"/>
    <w:rsid w:val="004B4CFE"/>
    <w:rsid w:val="004B4E75"/>
    <w:rsid w:val="004B4EEE"/>
    <w:rsid w:val="004B510D"/>
    <w:rsid w:val="004B5180"/>
    <w:rsid w:val="004B5197"/>
    <w:rsid w:val="004B5245"/>
    <w:rsid w:val="004B5251"/>
    <w:rsid w:val="004B525B"/>
    <w:rsid w:val="004B5299"/>
    <w:rsid w:val="004B5735"/>
    <w:rsid w:val="004B573E"/>
    <w:rsid w:val="004B578B"/>
    <w:rsid w:val="004B57A2"/>
    <w:rsid w:val="004B5B32"/>
    <w:rsid w:val="004B5B70"/>
    <w:rsid w:val="004B5BB6"/>
    <w:rsid w:val="004B5C6C"/>
    <w:rsid w:val="004B5C76"/>
    <w:rsid w:val="004B5CC7"/>
    <w:rsid w:val="004B5CE9"/>
    <w:rsid w:val="004B5D4D"/>
    <w:rsid w:val="004B5DE5"/>
    <w:rsid w:val="004B5F32"/>
    <w:rsid w:val="004B5FD0"/>
    <w:rsid w:val="004B61A2"/>
    <w:rsid w:val="004B62A8"/>
    <w:rsid w:val="004B62B1"/>
    <w:rsid w:val="004B62CE"/>
    <w:rsid w:val="004B62F9"/>
    <w:rsid w:val="004B6344"/>
    <w:rsid w:val="004B635D"/>
    <w:rsid w:val="004B63B0"/>
    <w:rsid w:val="004B6530"/>
    <w:rsid w:val="004B664E"/>
    <w:rsid w:val="004B67C3"/>
    <w:rsid w:val="004B684E"/>
    <w:rsid w:val="004B6A7D"/>
    <w:rsid w:val="004B6AB2"/>
    <w:rsid w:val="004B6B0A"/>
    <w:rsid w:val="004B6B1E"/>
    <w:rsid w:val="004B6C80"/>
    <w:rsid w:val="004B6CDD"/>
    <w:rsid w:val="004B70A0"/>
    <w:rsid w:val="004B7139"/>
    <w:rsid w:val="004B7234"/>
    <w:rsid w:val="004B72FF"/>
    <w:rsid w:val="004B7351"/>
    <w:rsid w:val="004B77CE"/>
    <w:rsid w:val="004B77E5"/>
    <w:rsid w:val="004B78C9"/>
    <w:rsid w:val="004B7A00"/>
    <w:rsid w:val="004B7A24"/>
    <w:rsid w:val="004B7A9D"/>
    <w:rsid w:val="004B7CEA"/>
    <w:rsid w:val="004B7D39"/>
    <w:rsid w:val="004BD79A"/>
    <w:rsid w:val="004C0023"/>
    <w:rsid w:val="004C0356"/>
    <w:rsid w:val="004C0369"/>
    <w:rsid w:val="004C0435"/>
    <w:rsid w:val="004C0465"/>
    <w:rsid w:val="004C0764"/>
    <w:rsid w:val="004C07A0"/>
    <w:rsid w:val="004C07D6"/>
    <w:rsid w:val="004C07EB"/>
    <w:rsid w:val="004C07F8"/>
    <w:rsid w:val="004C08B8"/>
    <w:rsid w:val="004C09A1"/>
    <w:rsid w:val="004C09F3"/>
    <w:rsid w:val="004C0AC1"/>
    <w:rsid w:val="004C0B7C"/>
    <w:rsid w:val="004C0DDA"/>
    <w:rsid w:val="004C0E55"/>
    <w:rsid w:val="004C0F0D"/>
    <w:rsid w:val="004C10E6"/>
    <w:rsid w:val="004C12A8"/>
    <w:rsid w:val="004C145B"/>
    <w:rsid w:val="004C1671"/>
    <w:rsid w:val="004C1BBB"/>
    <w:rsid w:val="004C1D7F"/>
    <w:rsid w:val="004C1DD7"/>
    <w:rsid w:val="004C1F7D"/>
    <w:rsid w:val="004C20C9"/>
    <w:rsid w:val="004C24B0"/>
    <w:rsid w:val="004C25F1"/>
    <w:rsid w:val="004C26ED"/>
    <w:rsid w:val="004C2780"/>
    <w:rsid w:val="004C280F"/>
    <w:rsid w:val="004C28E4"/>
    <w:rsid w:val="004C290F"/>
    <w:rsid w:val="004C293A"/>
    <w:rsid w:val="004C29E2"/>
    <w:rsid w:val="004C2A9D"/>
    <w:rsid w:val="004C2B24"/>
    <w:rsid w:val="004C2C18"/>
    <w:rsid w:val="004C2DF8"/>
    <w:rsid w:val="004C2E83"/>
    <w:rsid w:val="004C2FA2"/>
    <w:rsid w:val="004C3108"/>
    <w:rsid w:val="004C347A"/>
    <w:rsid w:val="004C382B"/>
    <w:rsid w:val="004C38D5"/>
    <w:rsid w:val="004C3956"/>
    <w:rsid w:val="004C39E1"/>
    <w:rsid w:val="004C3CF1"/>
    <w:rsid w:val="004C3D0F"/>
    <w:rsid w:val="004C3F47"/>
    <w:rsid w:val="004C4532"/>
    <w:rsid w:val="004C4568"/>
    <w:rsid w:val="004C466B"/>
    <w:rsid w:val="004C4825"/>
    <w:rsid w:val="004C4829"/>
    <w:rsid w:val="004C4920"/>
    <w:rsid w:val="004C4C6F"/>
    <w:rsid w:val="004C4C8F"/>
    <w:rsid w:val="004C4CB9"/>
    <w:rsid w:val="004C4D3C"/>
    <w:rsid w:val="004C4FFB"/>
    <w:rsid w:val="004C50AB"/>
    <w:rsid w:val="004C5103"/>
    <w:rsid w:val="004C511D"/>
    <w:rsid w:val="004C512F"/>
    <w:rsid w:val="004C51CE"/>
    <w:rsid w:val="004C51FB"/>
    <w:rsid w:val="004C522F"/>
    <w:rsid w:val="004C544E"/>
    <w:rsid w:val="004C545C"/>
    <w:rsid w:val="004C552B"/>
    <w:rsid w:val="004C55C4"/>
    <w:rsid w:val="004C5738"/>
    <w:rsid w:val="004C5742"/>
    <w:rsid w:val="004C5754"/>
    <w:rsid w:val="004C58AA"/>
    <w:rsid w:val="004C5B93"/>
    <w:rsid w:val="004C5BAE"/>
    <w:rsid w:val="004C5BCB"/>
    <w:rsid w:val="004C5BE3"/>
    <w:rsid w:val="004C5D6A"/>
    <w:rsid w:val="004C5E33"/>
    <w:rsid w:val="004C5E85"/>
    <w:rsid w:val="004C5FFA"/>
    <w:rsid w:val="004C607C"/>
    <w:rsid w:val="004C6376"/>
    <w:rsid w:val="004C6391"/>
    <w:rsid w:val="004C642E"/>
    <w:rsid w:val="004C6655"/>
    <w:rsid w:val="004C6738"/>
    <w:rsid w:val="004C680C"/>
    <w:rsid w:val="004C69A8"/>
    <w:rsid w:val="004C6C18"/>
    <w:rsid w:val="004C6EA9"/>
    <w:rsid w:val="004C6F98"/>
    <w:rsid w:val="004C7075"/>
    <w:rsid w:val="004C7180"/>
    <w:rsid w:val="004C71C7"/>
    <w:rsid w:val="004C730E"/>
    <w:rsid w:val="004C73BA"/>
    <w:rsid w:val="004C7421"/>
    <w:rsid w:val="004C74BA"/>
    <w:rsid w:val="004C758F"/>
    <w:rsid w:val="004C75AB"/>
    <w:rsid w:val="004C76B3"/>
    <w:rsid w:val="004C76DC"/>
    <w:rsid w:val="004C773E"/>
    <w:rsid w:val="004C775A"/>
    <w:rsid w:val="004C7872"/>
    <w:rsid w:val="004C7894"/>
    <w:rsid w:val="004C7AA6"/>
    <w:rsid w:val="004C7AE0"/>
    <w:rsid w:val="004C7B2F"/>
    <w:rsid w:val="004C7B74"/>
    <w:rsid w:val="004C7BBD"/>
    <w:rsid w:val="004C7BD9"/>
    <w:rsid w:val="004C7F64"/>
    <w:rsid w:val="004C7F86"/>
    <w:rsid w:val="004C7FBC"/>
    <w:rsid w:val="004D0000"/>
    <w:rsid w:val="004D02AD"/>
    <w:rsid w:val="004D0326"/>
    <w:rsid w:val="004D0441"/>
    <w:rsid w:val="004D04A2"/>
    <w:rsid w:val="004D0574"/>
    <w:rsid w:val="004D0776"/>
    <w:rsid w:val="004D0928"/>
    <w:rsid w:val="004D09BE"/>
    <w:rsid w:val="004D09FD"/>
    <w:rsid w:val="004D0B64"/>
    <w:rsid w:val="004D0C7C"/>
    <w:rsid w:val="004D0C94"/>
    <w:rsid w:val="004D0D06"/>
    <w:rsid w:val="004D0D83"/>
    <w:rsid w:val="004D1012"/>
    <w:rsid w:val="004D10B7"/>
    <w:rsid w:val="004D10E7"/>
    <w:rsid w:val="004D1147"/>
    <w:rsid w:val="004D118B"/>
    <w:rsid w:val="004D11C6"/>
    <w:rsid w:val="004D12A9"/>
    <w:rsid w:val="004D136B"/>
    <w:rsid w:val="004D1520"/>
    <w:rsid w:val="004D1620"/>
    <w:rsid w:val="004D1742"/>
    <w:rsid w:val="004D1816"/>
    <w:rsid w:val="004D183B"/>
    <w:rsid w:val="004D18BB"/>
    <w:rsid w:val="004D1BB3"/>
    <w:rsid w:val="004D1C5F"/>
    <w:rsid w:val="004D1C83"/>
    <w:rsid w:val="004D1D50"/>
    <w:rsid w:val="004D1DA5"/>
    <w:rsid w:val="004D1DE4"/>
    <w:rsid w:val="004D1E94"/>
    <w:rsid w:val="004D1FA2"/>
    <w:rsid w:val="004D227A"/>
    <w:rsid w:val="004D22D8"/>
    <w:rsid w:val="004D2622"/>
    <w:rsid w:val="004D27D4"/>
    <w:rsid w:val="004D27E1"/>
    <w:rsid w:val="004D2803"/>
    <w:rsid w:val="004D28F0"/>
    <w:rsid w:val="004D2A9A"/>
    <w:rsid w:val="004D2CB6"/>
    <w:rsid w:val="004D2CED"/>
    <w:rsid w:val="004D2DA7"/>
    <w:rsid w:val="004D2DF1"/>
    <w:rsid w:val="004D2EC3"/>
    <w:rsid w:val="004D3272"/>
    <w:rsid w:val="004D359C"/>
    <w:rsid w:val="004D3608"/>
    <w:rsid w:val="004D36DD"/>
    <w:rsid w:val="004D3824"/>
    <w:rsid w:val="004D382F"/>
    <w:rsid w:val="004D3A8E"/>
    <w:rsid w:val="004D3AC7"/>
    <w:rsid w:val="004D3BCE"/>
    <w:rsid w:val="004D3D69"/>
    <w:rsid w:val="004D3D99"/>
    <w:rsid w:val="004D3DAE"/>
    <w:rsid w:val="004D3E0E"/>
    <w:rsid w:val="004D3E2E"/>
    <w:rsid w:val="004D3F53"/>
    <w:rsid w:val="004D405D"/>
    <w:rsid w:val="004D4264"/>
    <w:rsid w:val="004D4352"/>
    <w:rsid w:val="004D4456"/>
    <w:rsid w:val="004D44D1"/>
    <w:rsid w:val="004D4862"/>
    <w:rsid w:val="004D486A"/>
    <w:rsid w:val="004D4898"/>
    <w:rsid w:val="004D48B5"/>
    <w:rsid w:val="004D4A4C"/>
    <w:rsid w:val="004D4B40"/>
    <w:rsid w:val="004D4C0E"/>
    <w:rsid w:val="004D4C29"/>
    <w:rsid w:val="004D4CC5"/>
    <w:rsid w:val="004D4D79"/>
    <w:rsid w:val="004D4EB6"/>
    <w:rsid w:val="004D4F2A"/>
    <w:rsid w:val="004D531E"/>
    <w:rsid w:val="004D5552"/>
    <w:rsid w:val="004D5744"/>
    <w:rsid w:val="004D579D"/>
    <w:rsid w:val="004D588E"/>
    <w:rsid w:val="004D58DE"/>
    <w:rsid w:val="004D5994"/>
    <w:rsid w:val="004D5AF1"/>
    <w:rsid w:val="004D5C7E"/>
    <w:rsid w:val="004D5E0E"/>
    <w:rsid w:val="004D5FA1"/>
    <w:rsid w:val="004D60DC"/>
    <w:rsid w:val="004D61A9"/>
    <w:rsid w:val="004D6226"/>
    <w:rsid w:val="004D64B0"/>
    <w:rsid w:val="004D658B"/>
    <w:rsid w:val="004D65EE"/>
    <w:rsid w:val="004D6687"/>
    <w:rsid w:val="004D66C9"/>
    <w:rsid w:val="004D6887"/>
    <w:rsid w:val="004D6924"/>
    <w:rsid w:val="004D6A72"/>
    <w:rsid w:val="004D6B31"/>
    <w:rsid w:val="004D6B57"/>
    <w:rsid w:val="004D6CAA"/>
    <w:rsid w:val="004D6DD5"/>
    <w:rsid w:val="004D6FCE"/>
    <w:rsid w:val="004D6FF4"/>
    <w:rsid w:val="004D70E1"/>
    <w:rsid w:val="004D7168"/>
    <w:rsid w:val="004D7206"/>
    <w:rsid w:val="004D7356"/>
    <w:rsid w:val="004D746A"/>
    <w:rsid w:val="004D755D"/>
    <w:rsid w:val="004D76B9"/>
    <w:rsid w:val="004D773C"/>
    <w:rsid w:val="004D78F7"/>
    <w:rsid w:val="004D79CF"/>
    <w:rsid w:val="004D7A4C"/>
    <w:rsid w:val="004D7A81"/>
    <w:rsid w:val="004D7A96"/>
    <w:rsid w:val="004D7AD7"/>
    <w:rsid w:val="004D7B37"/>
    <w:rsid w:val="004D7C00"/>
    <w:rsid w:val="004D7C4C"/>
    <w:rsid w:val="004D7CD1"/>
    <w:rsid w:val="004D7CEA"/>
    <w:rsid w:val="004D7DD8"/>
    <w:rsid w:val="004D7E44"/>
    <w:rsid w:val="004D7EFE"/>
    <w:rsid w:val="004D7F73"/>
    <w:rsid w:val="004E0026"/>
    <w:rsid w:val="004E002B"/>
    <w:rsid w:val="004E0887"/>
    <w:rsid w:val="004E0959"/>
    <w:rsid w:val="004E099C"/>
    <w:rsid w:val="004E0A04"/>
    <w:rsid w:val="004E0A10"/>
    <w:rsid w:val="004E0AD5"/>
    <w:rsid w:val="004E0B44"/>
    <w:rsid w:val="004E0B78"/>
    <w:rsid w:val="004E0DC2"/>
    <w:rsid w:val="004E0EB4"/>
    <w:rsid w:val="004E115E"/>
    <w:rsid w:val="004E1162"/>
    <w:rsid w:val="004E1174"/>
    <w:rsid w:val="004E1186"/>
    <w:rsid w:val="004E11F6"/>
    <w:rsid w:val="004E13C2"/>
    <w:rsid w:val="004E1543"/>
    <w:rsid w:val="004E1545"/>
    <w:rsid w:val="004E1906"/>
    <w:rsid w:val="004E1C48"/>
    <w:rsid w:val="004E1F0C"/>
    <w:rsid w:val="004E2264"/>
    <w:rsid w:val="004E226B"/>
    <w:rsid w:val="004E22CD"/>
    <w:rsid w:val="004E242F"/>
    <w:rsid w:val="004E24ED"/>
    <w:rsid w:val="004E259B"/>
    <w:rsid w:val="004E2810"/>
    <w:rsid w:val="004E285C"/>
    <w:rsid w:val="004E28F2"/>
    <w:rsid w:val="004E29C6"/>
    <w:rsid w:val="004E29C9"/>
    <w:rsid w:val="004E2A66"/>
    <w:rsid w:val="004E2A8A"/>
    <w:rsid w:val="004E2B16"/>
    <w:rsid w:val="004E2E70"/>
    <w:rsid w:val="004E301F"/>
    <w:rsid w:val="004E303B"/>
    <w:rsid w:val="004E3042"/>
    <w:rsid w:val="004E30B8"/>
    <w:rsid w:val="004E31DD"/>
    <w:rsid w:val="004E320E"/>
    <w:rsid w:val="004E322F"/>
    <w:rsid w:val="004E324B"/>
    <w:rsid w:val="004E3361"/>
    <w:rsid w:val="004E33A0"/>
    <w:rsid w:val="004E35D8"/>
    <w:rsid w:val="004E3B83"/>
    <w:rsid w:val="004E3E16"/>
    <w:rsid w:val="004E3E8F"/>
    <w:rsid w:val="004E3FF4"/>
    <w:rsid w:val="004E4095"/>
    <w:rsid w:val="004E40B5"/>
    <w:rsid w:val="004E4147"/>
    <w:rsid w:val="004E423B"/>
    <w:rsid w:val="004E4388"/>
    <w:rsid w:val="004E44E7"/>
    <w:rsid w:val="004E45C4"/>
    <w:rsid w:val="004E4850"/>
    <w:rsid w:val="004E488C"/>
    <w:rsid w:val="004E4913"/>
    <w:rsid w:val="004E497B"/>
    <w:rsid w:val="004E499B"/>
    <w:rsid w:val="004E4A7F"/>
    <w:rsid w:val="004E4B7C"/>
    <w:rsid w:val="004E4DAD"/>
    <w:rsid w:val="004E4F55"/>
    <w:rsid w:val="004E5040"/>
    <w:rsid w:val="004E52CA"/>
    <w:rsid w:val="004E534B"/>
    <w:rsid w:val="004E53DA"/>
    <w:rsid w:val="004E543E"/>
    <w:rsid w:val="004E54CF"/>
    <w:rsid w:val="004E55E2"/>
    <w:rsid w:val="004E569F"/>
    <w:rsid w:val="004E5B67"/>
    <w:rsid w:val="004E5E6C"/>
    <w:rsid w:val="004E60C1"/>
    <w:rsid w:val="004E63B7"/>
    <w:rsid w:val="004E63EB"/>
    <w:rsid w:val="004E64A9"/>
    <w:rsid w:val="004E6683"/>
    <w:rsid w:val="004E6AA8"/>
    <w:rsid w:val="004E6AEE"/>
    <w:rsid w:val="004E6BE9"/>
    <w:rsid w:val="004E6D79"/>
    <w:rsid w:val="004E6D88"/>
    <w:rsid w:val="004E6DDD"/>
    <w:rsid w:val="004E6DEF"/>
    <w:rsid w:val="004E6EF0"/>
    <w:rsid w:val="004E71F9"/>
    <w:rsid w:val="004E7339"/>
    <w:rsid w:val="004E7409"/>
    <w:rsid w:val="004E7696"/>
    <w:rsid w:val="004E76C0"/>
    <w:rsid w:val="004E76D0"/>
    <w:rsid w:val="004E76E6"/>
    <w:rsid w:val="004E779E"/>
    <w:rsid w:val="004E77E8"/>
    <w:rsid w:val="004E793E"/>
    <w:rsid w:val="004E794B"/>
    <w:rsid w:val="004E7A95"/>
    <w:rsid w:val="004E7AFE"/>
    <w:rsid w:val="004E7D66"/>
    <w:rsid w:val="004E7E92"/>
    <w:rsid w:val="004E7EB7"/>
    <w:rsid w:val="004F01C6"/>
    <w:rsid w:val="004F0235"/>
    <w:rsid w:val="004F02A8"/>
    <w:rsid w:val="004F0557"/>
    <w:rsid w:val="004F0655"/>
    <w:rsid w:val="004F069D"/>
    <w:rsid w:val="004F08A9"/>
    <w:rsid w:val="004F08CC"/>
    <w:rsid w:val="004F09FD"/>
    <w:rsid w:val="004F0A55"/>
    <w:rsid w:val="004F0B39"/>
    <w:rsid w:val="004F0D28"/>
    <w:rsid w:val="004F0D32"/>
    <w:rsid w:val="004F0D7B"/>
    <w:rsid w:val="004F0E16"/>
    <w:rsid w:val="004F0EB2"/>
    <w:rsid w:val="004F0EF5"/>
    <w:rsid w:val="004F15A5"/>
    <w:rsid w:val="004F1609"/>
    <w:rsid w:val="004F1672"/>
    <w:rsid w:val="004F16AD"/>
    <w:rsid w:val="004F1785"/>
    <w:rsid w:val="004F17E1"/>
    <w:rsid w:val="004F187D"/>
    <w:rsid w:val="004F188D"/>
    <w:rsid w:val="004F1A29"/>
    <w:rsid w:val="004F1A35"/>
    <w:rsid w:val="004F1BE6"/>
    <w:rsid w:val="004F1FB7"/>
    <w:rsid w:val="004F2043"/>
    <w:rsid w:val="004F2181"/>
    <w:rsid w:val="004F219B"/>
    <w:rsid w:val="004F236A"/>
    <w:rsid w:val="004F2436"/>
    <w:rsid w:val="004F26C7"/>
    <w:rsid w:val="004F2878"/>
    <w:rsid w:val="004F2AD5"/>
    <w:rsid w:val="004F2B73"/>
    <w:rsid w:val="004F2CB0"/>
    <w:rsid w:val="004F2CE9"/>
    <w:rsid w:val="004F2F6C"/>
    <w:rsid w:val="004F2FDB"/>
    <w:rsid w:val="004F2FF5"/>
    <w:rsid w:val="004F3055"/>
    <w:rsid w:val="004F30F2"/>
    <w:rsid w:val="004F30FF"/>
    <w:rsid w:val="004F31DC"/>
    <w:rsid w:val="004F3478"/>
    <w:rsid w:val="004F34ED"/>
    <w:rsid w:val="004F3588"/>
    <w:rsid w:val="004F35B4"/>
    <w:rsid w:val="004F35ED"/>
    <w:rsid w:val="004F36CB"/>
    <w:rsid w:val="004F376E"/>
    <w:rsid w:val="004F3883"/>
    <w:rsid w:val="004F38F0"/>
    <w:rsid w:val="004F3A6A"/>
    <w:rsid w:val="004F3E61"/>
    <w:rsid w:val="004F400B"/>
    <w:rsid w:val="004F407E"/>
    <w:rsid w:val="004F4320"/>
    <w:rsid w:val="004F4391"/>
    <w:rsid w:val="004F43D2"/>
    <w:rsid w:val="004F43D5"/>
    <w:rsid w:val="004F482D"/>
    <w:rsid w:val="004F4840"/>
    <w:rsid w:val="004F4BE1"/>
    <w:rsid w:val="004F4F2B"/>
    <w:rsid w:val="004F4FEA"/>
    <w:rsid w:val="004F500E"/>
    <w:rsid w:val="004F503D"/>
    <w:rsid w:val="004F5150"/>
    <w:rsid w:val="004F524F"/>
    <w:rsid w:val="004F5262"/>
    <w:rsid w:val="004F527B"/>
    <w:rsid w:val="004F52C6"/>
    <w:rsid w:val="004F5444"/>
    <w:rsid w:val="004F547B"/>
    <w:rsid w:val="004F5555"/>
    <w:rsid w:val="004F55A0"/>
    <w:rsid w:val="004F56CE"/>
    <w:rsid w:val="004F57EE"/>
    <w:rsid w:val="004F5840"/>
    <w:rsid w:val="004F5860"/>
    <w:rsid w:val="004F5900"/>
    <w:rsid w:val="004F591B"/>
    <w:rsid w:val="004F5930"/>
    <w:rsid w:val="004F5A16"/>
    <w:rsid w:val="004F5C74"/>
    <w:rsid w:val="004F5D29"/>
    <w:rsid w:val="004F5E43"/>
    <w:rsid w:val="004F5E92"/>
    <w:rsid w:val="004F6137"/>
    <w:rsid w:val="004F61A6"/>
    <w:rsid w:val="004F61C9"/>
    <w:rsid w:val="004F61E2"/>
    <w:rsid w:val="004F6509"/>
    <w:rsid w:val="004F67AF"/>
    <w:rsid w:val="004F6929"/>
    <w:rsid w:val="004F6A79"/>
    <w:rsid w:val="004F6B86"/>
    <w:rsid w:val="004F6BF2"/>
    <w:rsid w:val="004F6C82"/>
    <w:rsid w:val="004F6D5E"/>
    <w:rsid w:val="004F7250"/>
    <w:rsid w:val="004F725D"/>
    <w:rsid w:val="004F7352"/>
    <w:rsid w:val="004F73BD"/>
    <w:rsid w:val="004F743C"/>
    <w:rsid w:val="004F76E3"/>
    <w:rsid w:val="004F77AE"/>
    <w:rsid w:val="004F7BA3"/>
    <w:rsid w:val="004F7C90"/>
    <w:rsid w:val="004F7D29"/>
    <w:rsid w:val="004F7DA9"/>
    <w:rsid w:val="004F7DBA"/>
    <w:rsid w:val="004F7E19"/>
    <w:rsid w:val="004F7FE2"/>
    <w:rsid w:val="0050004D"/>
    <w:rsid w:val="005000E0"/>
    <w:rsid w:val="0050015E"/>
    <w:rsid w:val="005001FB"/>
    <w:rsid w:val="00500234"/>
    <w:rsid w:val="00500388"/>
    <w:rsid w:val="00500573"/>
    <w:rsid w:val="005005A6"/>
    <w:rsid w:val="00500649"/>
    <w:rsid w:val="00500698"/>
    <w:rsid w:val="005009E5"/>
    <w:rsid w:val="00500AF1"/>
    <w:rsid w:val="00500C9D"/>
    <w:rsid w:val="00500D0C"/>
    <w:rsid w:val="00500D52"/>
    <w:rsid w:val="00500E1B"/>
    <w:rsid w:val="00500E42"/>
    <w:rsid w:val="00500FD2"/>
    <w:rsid w:val="005010E2"/>
    <w:rsid w:val="0050114A"/>
    <w:rsid w:val="005012FD"/>
    <w:rsid w:val="00501513"/>
    <w:rsid w:val="00501526"/>
    <w:rsid w:val="00501536"/>
    <w:rsid w:val="00501698"/>
    <w:rsid w:val="00501799"/>
    <w:rsid w:val="0050188A"/>
    <w:rsid w:val="00501904"/>
    <w:rsid w:val="0050191A"/>
    <w:rsid w:val="00501A02"/>
    <w:rsid w:val="00501BC7"/>
    <w:rsid w:val="00501D2A"/>
    <w:rsid w:val="00501EC2"/>
    <w:rsid w:val="00501F9A"/>
    <w:rsid w:val="00501FB4"/>
    <w:rsid w:val="00502131"/>
    <w:rsid w:val="0050246F"/>
    <w:rsid w:val="00502530"/>
    <w:rsid w:val="005025AE"/>
    <w:rsid w:val="005025E1"/>
    <w:rsid w:val="005025F5"/>
    <w:rsid w:val="005028AE"/>
    <w:rsid w:val="00502B25"/>
    <w:rsid w:val="00502C86"/>
    <w:rsid w:val="00502CC8"/>
    <w:rsid w:val="00502E59"/>
    <w:rsid w:val="00502F5F"/>
    <w:rsid w:val="005031BC"/>
    <w:rsid w:val="005031C8"/>
    <w:rsid w:val="00503483"/>
    <w:rsid w:val="00503791"/>
    <w:rsid w:val="0050381F"/>
    <w:rsid w:val="00503939"/>
    <w:rsid w:val="00503C39"/>
    <w:rsid w:val="00503DAA"/>
    <w:rsid w:val="00503F5B"/>
    <w:rsid w:val="00503F82"/>
    <w:rsid w:val="005042DA"/>
    <w:rsid w:val="005045C5"/>
    <w:rsid w:val="00504653"/>
    <w:rsid w:val="005047A8"/>
    <w:rsid w:val="005048CA"/>
    <w:rsid w:val="00504A39"/>
    <w:rsid w:val="00504AD4"/>
    <w:rsid w:val="00504BD1"/>
    <w:rsid w:val="00504C01"/>
    <w:rsid w:val="00504EBC"/>
    <w:rsid w:val="00504F89"/>
    <w:rsid w:val="005050EB"/>
    <w:rsid w:val="005054B7"/>
    <w:rsid w:val="0050552F"/>
    <w:rsid w:val="00505554"/>
    <w:rsid w:val="00505626"/>
    <w:rsid w:val="0050572C"/>
    <w:rsid w:val="00505755"/>
    <w:rsid w:val="0050576B"/>
    <w:rsid w:val="00505825"/>
    <w:rsid w:val="00505930"/>
    <w:rsid w:val="00505AA5"/>
    <w:rsid w:val="00505B53"/>
    <w:rsid w:val="005060AB"/>
    <w:rsid w:val="00506255"/>
    <w:rsid w:val="005063D1"/>
    <w:rsid w:val="0050645E"/>
    <w:rsid w:val="00506528"/>
    <w:rsid w:val="0050676F"/>
    <w:rsid w:val="00506B23"/>
    <w:rsid w:val="00506DA4"/>
    <w:rsid w:val="00506E84"/>
    <w:rsid w:val="00506E8A"/>
    <w:rsid w:val="00506FEB"/>
    <w:rsid w:val="0050736E"/>
    <w:rsid w:val="00507417"/>
    <w:rsid w:val="00507423"/>
    <w:rsid w:val="00507742"/>
    <w:rsid w:val="00507910"/>
    <w:rsid w:val="00507947"/>
    <w:rsid w:val="00507950"/>
    <w:rsid w:val="00507986"/>
    <w:rsid w:val="005079FF"/>
    <w:rsid w:val="00507A30"/>
    <w:rsid w:val="00507BD3"/>
    <w:rsid w:val="00507CC0"/>
    <w:rsid w:val="00507DB9"/>
    <w:rsid w:val="00507F45"/>
    <w:rsid w:val="005100C6"/>
    <w:rsid w:val="005101FE"/>
    <w:rsid w:val="005102B1"/>
    <w:rsid w:val="005102D5"/>
    <w:rsid w:val="005103A5"/>
    <w:rsid w:val="005103EE"/>
    <w:rsid w:val="00510590"/>
    <w:rsid w:val="0051063E"/>
    <w:rsid w:val="00510AC6"/>
    <w:rsid w:val="00510C94"/>
    <w:rsid w:val="00510D63"/>
    <w:rsid w:val="00510D6B"/>
    <w:rsid w:val="00510DE0"/>
    <w:rsid w:val="00510E15"/>
    <w:rsid w:val="00510E32"/>
    <w:rsid w:val="00510EB4"/>
    <w:rsid w:val="00510FFE"/>
    <w:rsid w:val="00511049"/>
    <w:rsid w:val="0051120F"/>
    <w:rsid w:val="005112A1"/>
    <w:rsid w:val="005112A6"/>
    <w:rsid w:val="0051144F"/>
    <w:rsid w:val="00511487"/>
    <w:rsid w:val="005114A5"/>
    <w:rsid w:val="0051153B"/>
    <w:rsid w:val="0051153F"/>
    <w:rsid w:val="005115BA"/>
    <w:rsid w:val="005116B1"/>
    <w:rsid w:val="005116B7"/>
    <w:rsid w:val="0051172D"/>
    <w:rsid w:val="0051188F"/>
    <w:rsid w:val="0051193B"/>
    <w:rsid w:val="0051197F"/>
    <w:rsid w:val="00511A35"/>
    <w:rsid w:val="00511D4A"/>
    <w:rsid w:val="00511ECC"/>
    <w:rsid w:val="00511F18"/>
    <w:rsid w:val="00512180"/>
    <w:rsid w:val="005121CE"/>
    <w:rsid w:val="00512298"/>
    <w:rsid w:val="005122C3"/>
    <w:rsid w:val="0051236F"/>
    <w:rsid w:val="005123C1"/>
    <w:rsid w:val="005125C4"/>
    <w:rsid w:val="005128AD"/>
    <w:rsid w:val="005128C1"/>
    <w:rsid w:val="005129A8"/>
    <w:rsid w:val="00512A05"/>
    <w:rsid w:val="00512A80"/>
    <w:rsid w:val="00512B17"/>
    <w:rsid w:val="00512C2D"/>
    <w:rsid w:val="00512DF9"/>
    <w:rsid w:val="00512F11"/>
    <w:rsid w:val="00512F50"/>
    <w:rsid w:val="00512F83"/>
    <w:rsid w:val="005133D0"/>
    <w:rsid w:val="00513433"/>
    <w:rsid w:val="005134F2"/>
    <w:rsid w:val="00513500"/>
    <w:rsid w:val="0051350D"/>
    <w:rsid w:val="005137CE"/>
    <w:rsid w:val="005139A6"/>
    <w:rsid w:val="00513A4A"/>
    <w:rsid w:val="00513DB1"/>
    <w:rsid w:val="00513E31"/>
    <w:rsid w:val="0051411B"/>
    <w:rsid w:val="00514157"/>
    <w:rsid w:val="005142BF"/>
    <w:rsid w:val="00514343"/>
    <w:rsid w:val="0051472D"/>
    <w:rsid w:val="00514B3F"/>
    <w:rsid w:val="00514B64"/>
    <w:rsid w:val="00514B8C"/>
    <w:rsid w:val="00514D99"/>
    <w:rsid w:val="00514F3B"/>
    <w:rsid w:val="00514F88"/>
    <w:rsid w:val="0051502E"/>
    <w:rsid w:val="0051528D"/>
    <w:rsid w:val="005154C5"/>
    <w:rsid w:val="0051586E"/>
    <w:rsid w:val="005158ED"/>
    <w:rsid w:val="005158F2"/>
    <w:rsid w:val="005159EA"/>
    <w:rsid w:val="00515DBD"/>
    <w:rsid w:val="00515DE4"/>
    <w:rsid w:val="00515FE0"/>
    <w:rsid w:val="0051627D"/>
    <w:rsid w:val="005162A9"/>
    <w:rsid w:val="0051636E"/>
    <w:rsid w:val="00516681"/>
    <w:rsid w:val="005166D1"/>
    <w:rsid w:val="00516C48"/>
    <w:rsid w:val="00516E32"/>
    <w:rsid w:val="00516E5C"/>
    <w:rsid w:val="00516F32"/>
    <w:rsid w:val="00517351"/>
    <w:rsid w:val="005173AE"/>
    <w:rsid w:val="005173D2"/>
    <w:rsid w:val="005173E7"/>
    <w:rsid w:val="0051744D"/>
    <w:rsid w:val="005174FA"/>
    <w:rsid w:val="00517532"/>
    <w:rsid w:val="00517542"/>
    <w:rsid w:val="00517687"/>
    <w:rsid w:val="005176A4"/>
    <w:rsid w:val="005176A6"/>
    <w:rsid w:val="00517803"/>
    <w:rsid w:val="0051781E"/>
    <w:rsid w:val="00517915"/>
    <w:rsid w:val="00517A26"/>
    <w:rsid w:val="00517CFD"/>
    <w:rsid w:val="00517DE4"/>
    <w:rsid w:val="00517EA4"/>
    <w:rsid w:val="00517F29"/>
    <w:rsid w:val="00520054"/>
    <w:rsid w:val="005200EF"/>
    <w:rsid w:val="00520123"/>
    <w:rsid w:val="00520444"/>
    <w:rsid w:val="005204F2"/>
    <w:rsid w:val="005206A3"/>
    <w:rsid w:val="0052074D"/>
    <w:rsid w:val="005208F4"/>
    <w:rsid w:val="00520931"/>
    <w:rsid w:val="00520A35"/>
    <w:rsid w:val="00520B7B"/>
    <w:rsid w:val="00520FBA"/>
    <w:rsid w:val="00521176"/>
    <w:rsid w:val="005213C3"/>
    <w:rsid w:val="00521411"/>
    <w:rsid w:val="0052162F"/>
    <w:rsid w:val="005216AE"/>
    <w:rsid w:val="00521706"/>
    <w:rsid w:val="0052178E"/>
    <w:rsid w:val="0052186A"/>
    <w:rsid w:val="005218BA"/>
    <w:rsid w:val="005218F9"/>
    <w:rsid w:val="005219FD"/>
    <w:rsid w:val="00521B80"/>
    <w:rsid w:val="00521BCD"/>
    <w:rsid w:val="00521CE0"/>
    <w:rsid w:val="00521FB3"/>
    <w:rsid w:val="00522062"/>
    <w:rsid w:val="00522098"/>
    <w:rsid w:val="00522149"/>
    <w:rsid w:val="00522183"/>
    <w:rsid w:val="005222D8"/>
    <w:rsid w:val="00522374"/>
    <w:rsid w:val="005223F0"/>
    <w:rsid w:val="005226E1"/>
    <w:rsid w:val="005227C4"/>
    <w:rsid w:val="0052282B"/>
    <w:rsid w:val="00522835"/>
    <w:rsid w:val="0052289A"/>
    <w:rsid w:val="00522B6A"/>
    <w:rsid w:val="00522C53"/>
    <w:rsid w:val="00522C5F"/>
    <w:rsid w:val="00522E98"/>
    <w:rsid w:val="00522F0E"/>
    <w:rsid w:val="00522F49"/>
    <w:rsid w:val="00523045"/>
    <w:rsid w:val="00523164"/>
    <w:rsid w:val="0052334C"/>
    <w:rsid w:val="00523391"/>
    <w:rsid w:val="005233B0"/>
    <w:rsid w:val="005233B7"/>
    <w:rsid w:val="00523582"/>
    <w:rsid w:val="00523610"/>
    <w:rsid w:val="005237B0"/>
    <w:rsid w:val="005237D1"/>
    <w:rsid w:val="005237E2"/>
    <w:rsid w:val="00523823"/>
    <w:rsid w:val="0052384A"/>
    <w:rsid w:val="005238C1"/>
    <w:rsid w:val="005238F6"/>
    <w:rsid w:val="005239E2"/>
    <w:rsid w:val="00523B2E"/>
    <w:rsid w:val="00523CA8"/>
    <w:rsid w:val="00523DCC"/>
    <w:rsid w:val="005240EE"/>
    <w:rsid w:val="0052415D"/>
    <w:rsid w:val="0052419A"/>
    <w:rsid w:val="0052463E"/>
    <w:rsid w:val="00524675"/>
    <w:rsid w:val="005248C2"/>
    <w:rsid w:val="00524A43"/>
    <w:rsid w:val="00524B33"/>
    <w:rsid w:val="00524B8F"/>
    <w:rsid w:val="00524BF6"/>
    <w:rsid w:val="00524C76"/>
    <w:rsid w:val="00524E28"/>
    <w:rsid w:val="00524E62"/>
    <w:rsid w:val="00524F62"/>
    <w:rsid w:val="005250E6"/>
    <w:rsid w:val="005250EB"/>
    <w:rsid w:val="0052510D"/>
    <w:rsid w:val="005251DE"/>
    <w:rsid w:val="005252EA"/>
    <w:rsid w:val="00525378"/>
    <w:rsid w:val="005253CC"/>
    <w:rsid w:val="00525511"/>
    <w:rsid w:val="00525571"/>
    <w:rsid w:val="00525599"/>
    <w:rsid w:val="005255FE"/>
    <w:rsid w:val="00525627"/>
    <w:rsid w:val="00525651"/>
    <w:rsid w:val="0052566A"/>
    <w:rsid w:val="00525A3D"/>
    <w:rsid w:val="00525AA7"/>
    <w:rsid w:val="00525B34"/>
    <w:rsid w:val="00525B57"/>
    <w:rsid w:val="00525C87"/>
    <w:rsid w:val="00525D2A"/>
    <w:rsid w:val="00526197"/>
    <w:rsid w:val="005262DB"/>
    <w:rsid w:val="005263DB"/>
    <w:rsid w:val="005266E0"/>
    <w:rsid w:val="00526755"/>
    <w:rsid w:val="00526A8C"/>
    <w:rsid w:val="00526B28"/>
    <w:rsid w:val="00526C19"/>
    <w:rsid w:val="00526DB2"/>
    <w:rsid w:val="00526E4F"/>
    <w:rsid w:val="00526E84"/>
    <w:rsid w:val="00527237"/>
    <w:rsid w:val="0052726E"/>
    <w:rsid w:val="00527387"/>
    <w:rsid w:val="005273A4"/>
    <w:rsid w:val="0052742B"/>
    <w:rsid w:val="00527477"/>
    <w:rsid w:val="005274D9"/>
    <w:rsid w:val="0052754A"/>
    <w:rsid w:val="0052757C"/>
    <w:rsid w:val="00527756"/>
    <w:rsid w:val="005277B8"/>
    <w:rsid w:val="00527866"/>
    <w:rsid w:val="005279EB"/>
    <w:rsid w:val="00527A7D"/>
    <w:rsid w:val="00527B1B"/>
    <w:rsid w:val="00527BA9"/>
    <w:rsid w:val="00527BDB"/>
    <w:rsid w:val="00527BEC"/>
    <w:rsid w:val="00527C12"/>
    <w:rsid w:val="00527FAC"/>
    <w:rsid w:val="00527FCD"/>
    <w:rsid w:val="0053020F"/>
    <w:rsid w:val="00530415"/>
    <w:rsid w:val="0053054B"/>
    <w:rsid w:val="005305D5"/>
    <w:rsid w:val="005306A7"/>
    <w:rsid w:val="00530833"/>
    <w:rsid w:val="00530988"/>
    <w:rsid w:val="005309D9"/>
    <w:rsid w:val="00530A9F"/>
    <w:rsid w:val="00530AD7"/>
    <w:rsid w:val="00530B1D"/>
    <w:rsid w:val="00530BFA"/>
    <w:rsid w:val="00530BFF"/>
    <w:rsid w:val="00530C41"/>
    <w:rsid w:val="00530D11"/>
    <w:rsid w:val="00530D42"/>
    <w:rsid w:val="00530E92"/>
    <w:rsid w:val="00530ED4"/>
    <w:rsid w:val="00530FD4"/>
    <w:rsid w:val="0053118A"/>
    <w:rsid w:val="005311D8"/>
    <w:rsid w:val="0053121A"/>
    <w:rsid w:val="005312F3"/>
    <w:rsid w:val="00531434"/>
    <w:rsid w:val="005314D6"/>
    <w:rsid w:val="00531649"/>
    <w:rsid w:val="00531908"/>
    <w:rsid w:val="00531A84"/>
    <w:rsid w:val="00531B74"/>
    <w:rsid w:val="00531BD9"/>
    <w:rsid w:val="00531BDE"/>
    <w:rsid w:val="00531D5E"/>
    <w:rsid w:val="00531D86"/>
    <w:rsid w:val="00532083"/>
    <w:rsid w:val="0053228E"/>
    <w:rsid w:val="00532368"/>
    <w:rsid w:val="005323FD"/>
    <w:rsid w:val="005325BF"/>
    <w:rsid w:val="0053274D"/>
    <w:rsid w:val="005327A5"/>
    <w:rsid w:val="005328C3"/>
    <w:rsid w:val="00532BF1"/>
    <w:rsid w:val="00532C25"/>
    <w:rsid w:val="00532CAE"/>
    <w:rsid w:val="00533029"/>
    <w:rsid w:val="005330C9"/>
    <w:rsid w:val="00533181"/>
    <w:rsid w:val="00533263"/>
    <w:rsid w:val="005332E6"/>
    <w:rsid w:val="005332EF"/>
    <w:rsid w:val="005333A8"/>
    <w:rsid w:val="005334EC"/>
    <w:rsid w:val="005335C4"/>
    <w:rsid w:val="0053367E"/>
    <w:rsid w:val="005336A4"/>
    <w:rsid w:val="005336D7"/>
    <w:rsid w:val="005336FC"/>
    <w:rsid w:val="00533722"/>
    <w:rsid w:val="0053382F"/>
    <w:rsid w:val="005338BD"/>
    <w:rsid w:val="00533941"/>
    <w:rsid w:val="00533AA4"/>
    <w:rsid w:val="00533ABA"/>
    <w:rsid w:val="00533D7B"/>
    <w:rsid w:val="00533F7E"/>
    <w:rsid w:val="005340AC"/>
    <w:rsid w:val="0053422C"/>
    <w:rsid w:val="0053443A"/>
    <w:rsid w:val="0053446D"/>
    <w:rsid w:val="00534698"/>
    <w:rsid w:val="005346B0"/>
    <w:rsid w:val="005346B7"/>
    <w:rsid w:val="0053470F"/>
    <w:rsid w:val="00534806"/>
    <w:rsid w:val="00534820"/>
    <w:rsid w:val="00534862"/>
    <w:rsid w:val="00534A35"/>
    <w:rsid w:val="00534B17"/>
    <w:rsid w:val="00534BEC"/>
    <w:rsid w:val="00534D01"/>
    <w:rsid w:val="00534D09"/>
    <w:rsid w:val="00534F65"/>
    <w:rsid w:val="00534F8F"/>
    <w:rsid w:val="00535056"/>
    <w:rsid w:val="005351BB"/>
    <w:rsid w:val="005352D0"/>
    <w:rsid w:val="005353E6"/>
    <w:rsid w:val="0053541E"/>
    <w:rsid w:val="00535433"/>
    <w:rsid w:val="00535458"/>
    <w:rsid w:val="0053547F"/>
    <w:rsid w:val="00535505"/>
    <w:rsid w:val="00535556"/>
    <w:rsid w:val="00535560"/>
    <w:rsid w:val="00535587"/>
    <w:rsid w:val="005355A8"/>
    <w:rsid w:val="005356D5"/>
    <w:rsid w:val="005356F5"/>
    <w:rsid w:val="00535711"/>
    <w:rsid w:val="00535733"/>
    <w:rsid w:val="00535811"/>
    <w:rsid w:val="00535B91"/>
    <w:rsid w:val="00535C35"/>
    <w:rsid w:val="00535C6F"/>
    <w:rsid w:val="00535CD6"/>
    <w:rsid w:val="00535D8D"/>
    <w:rsid w:val="00535F61"/>
    <w:rsid w:val="00535FCA"/>
    <w:rsid w:val="00536175"/>
    <w:rsid w:val="0053619C"/>
    <w:rsid w:val="005363F8"/>
    <w:rsid w:val="0053641E"/>
    <w:rsid w:val="00536A0E"/>
    <w:rsid w:val="00536AD0"/>
    <w:rsid w:val="00536B3C"/>
    <w:rsid w:val="00536B5C"/>
    <w:rsid w:val="00536BE5"/>
    <w:rsid w:val="00536CC6"/>
    <w:rsid w:val="00536E0F"/>
    <w:rsid w:val="00536F44"/>
    <w:rsid w:val="00537076"/>
    <w:rsid w:val="005372BB"/>
    <w:rsid w:val="005372D8"/>
    <w:rsid w:val="00537320"/>
    <w:rsid w:val="005375C2"/>
    <w:rsid w:val="00537683"/>
    <w:rsid w:val="005376DE"/>
    <w:rsid w:val="005377AA"/>
    <w:rsid w:val="00537935"/>
    <w:rsid w:val="00537949"/>
    <w:rsid w:val="005379CE"/>
    <w:rsid w:val="00537C99"/>
    <w:rsid w:val="00537D05"/>
    <w:rsid w:val="00537ECE"/>
    <w:rsid w:val="00537EDF"/>
    <w:rsid w:val="00537FF7"/>
    <w:rsid w:val="005401DE"/>
    <w:rsid w:val="005402E7"/>
    <w:rsid w:val="0054056E"/>
    <w:rsid w:val="00540625"/>
    <w:rsid w:val="0054083B"/>
    <w:rsid w:val="0054089D"/>
    <w:rsid w:val="00540995"/>
    <w:rsid w:val="005409C5"/>
    <w:rsid w:val="00540A05"/>
    <w:rsid w:val="00540A7C"/>
    <w:rsid w:val="00540B62"/>
    <w:rsid w:val="00540C94"/>
    <w:rsid w:val="00540E11"/>
    <w:rsid w:val="00540E12"/>
    <w:rsid w:val="00540E2B"/>
    <w:rsid w:val="00540EAB"/>
    <w:rsid w:val="00540F0A"/>
    <w:rsid w:val="00541059"/>
    <w:rsid w:val="0054110D"/>
    <w:rsid w:val="005411FC"/>
    <w:rsid w:val="00541393"/>
    <w:rsid w:val="00541425"/>
    <w:rsid w:val="0054158B"/>
    <w:rsid w:val="005417E0"/>
    <w:rsid w:val="005418A2"/>
    <w:rsid w:val="0054190D"/>
    <w:rsid w:val="00541A88"/>
    <w:rsid w:val="00541C5C"/>
    <w:rsid w:val="00541C73"/>
    <w:rsid w:val="00541D0F"/>
    <w:rsid w:val="00541D8E"/>
    <w:rsid w:val="00541D9E"/>
    <w:rsid w:val="00541FBE"/>
    <w:rsid w:val="005424FD"/>
    <w:rsid w:val="005425D5"/>
    <w:rsid w:val="00542600"/>
    <w:rsid w:val="005426AE"/>
    <w:rsid w:val="005426F4"/>
    <w:rsid w:val="005429B1"/>
    <w:rsid w:val="00542AB0"/>
    <w:rsid w:val="00542AE8"/>
    <w:rsid w:val="00542B29"/>
    <w:rsid w:val="00542C25"/>
    <w:rsid w:val="00542DBA"/>
    <w:rsid w:val="00542E94"/>
    <w:rsid w:val="00542EA5"/>
    <w:rsid w:val="00542FBB"/>
    <w:rsid w:val="00543066"/>
    <w:rsid w:val="005430DA"/>
    <w:rsid w:val="00543187"/>
    <w:rsid w:val="00543306"/>
    <w:rsid w:val="00543326"/>
    <w:rsid w:val="0054332A"/>
    <w:rsid w:val="0054362D"/>
    <w:rsid w:val="005436FD"/>
    <w:rsid w:val="005437A7"/>
    <w:rsid w:val="005438EC"/>
    <w:rsid w:val="0054395D"/>
    <w:rsid w:val="00543A6E"/>
    <w:rsid w:val="00543B36"/>
    <w:rsid w:val="00543B5B"/>
    <w:rsid w:val="00543E8E"/>
    <w:rsid w:val="00544243"/>
    <w:rsid w:val="00544292"/>
    <w:rsid w:val="005443C1"/>
    <w:rsid w:val="005448AD"/>
    <w:rsid w:val="005449BE"/>
    <w:rsid w:val="00544A5D"/>
    <w:rsid w:val="00544A6C"/>
    <w:rsid w:val="00544AD9"/>
    <w:rsid w:val="00544B7E"/>
    <w:rsid w:val="00544B8C"/>
    <w:rsid w:val="00544BA6"/>
    <w:rsid w:val="00544C62"/>
    <w:rsid w:val="00544CAF"/>
    <w:rsid w:val="00544CF2"/>
    <w:rsid w:val="00544E3D"/>
    <w:rsid w:val="00544EED"/>
    <w:rsid w:val="00544F98"/>
    <w:rsid w:val="005451B2"/>
    <w:rsid w:val="005452A5"/>
    <w:rsid w:val="005452C5"/>
    <w:rsid w:val="0054537A"/>
    <w:rsid w:val="0054541D"/>
    <w:rsid w:val="00545573"/>
    <w:rsid w:val="0054561D"/>
    <w:rsid w:val="005456C5"/>
    <w:rsid w:val="005456EC"/>
    <w:rsid w:val="00545792"/>
    <w:rsid w:val="0054583A"/>
    <w:rsid w:val="005459BC"/>
    <w:rsid w:val="00545A0F"/>
    <w:rsid w:val="00545CD2"/>
    <w:rsid w:val="00545EED"/>
    <w:rsid w:val="0054606A"/>
    <w:rsid w:val="0054614F"/>
    <w:rsid w:val="0054639A"/>
    <w:rsid w:val="00546490"/>
    <w:rsid w:val="005464BC"/>
    <w:rsid w:val="00546614"/>
    <w:rsid w:val="00546761"/>
    <w:rsid w:val="00546830"/>
    <w:rsid w:val="0054696F"/>
    <w:rsid w:val="00546AE9"/>
    <w:rsid w:val="00546F28"/>
    <w:rsid w:val="00546F47"/>
    <w:rsid w:val="00546FFD"/>
    <w:rsid w:val="00547154"/>
    <w:rsid w:val="005473BF"/>
    <w:rsid w:val="0054746D"/>
    <w:rsid w:val="0054753E"/>
    <w:rsid w:val="005475B0"/>
    <w:rsid w:val="0054766B"/>
    <w:rsid w:val="00547682"/>
    <w:rsid w:val="00547781"/>
    <w:rsid w:val="0054778C"/>
    <w:rsid w:val="00547B59"/>
    <w:rsid w:val="00547D0C"/>
    <w:rsid w:val="00547E8B"/>
    <w:rsid w:val="0055005B"/>
    <w:rsid w:val="00550064"/>
    <w:rsid w:val="0055022C"/>
    <w:rsid w:val="005505FA"/>
    <w:rsid w:val="0055065F"/>
    <w:rsid w:val="00550731"/>
    <w:rsid w:val="0055078B"/>
    <w:rsid w:val="00550ADC"/>
    <w:rsid w:val="00550CE3"/>
    <w:rsid w:val="00550D9E"/>
    <w:rsid w:val="00550F2B"/>
    <w:rsid w:val="00550FD9"/>
    <w:rsid w:val="00551072"/>
    <w:rsid w:val="00551523"/>
    <w:rsid w:val="0055154B"/>
    <w:rsid w:val="005515BA"/>
    <w:rsid w:val="005515F5"/>
    <w:rsid w:val="005517C4"/>
    <w:rsid w:val="005517EE"/>
    <w:rsid w:val="005517F7"/>
    <w:rsid w:val="0055188B"/>
    <w:rsid w:val="00551B0A"/>
    <w:rsid w:val="00551B81"/>
    <w:rsid w:val="00551C28"/>
    <w:rsid w:val="00551DD5"/>
    <w:rsid w:val="00552046"/>
    <w:rsid w:val="00552207"/>
    <w:rsid w:val="00552431"/>
    <w:rsid w:val="005524E0"/>
    <w:rsid w:val="00552851"/>
    <w:rsid w:val="005528D5"/>
    <w:rsid w:val="00552A74"/>
    <w:rsid w:val="00552D1E"/>
    <w:rsid w:val="00552D7C"/>
    <w:rsid w:val="00552DCD"/>
    <w:rsid w:val="00552E4C"/>
    <w:rsid w:val="00552F11"/>
    <w:rsid w:val="00552F35"/>
    <w:rsid w:val="00552F40"/>
    <w:rsid w:val="00552FD3"/>
    <w:rsid w:val="0055316F"/>
    <w:rsid w:val="005531B4"/>
    <w:rsid w:val="005531D2"/>
    <w:rsid w:val="005532C6"/>
    <w:rsid w:val="0055331D"/>
    <w:rsid w:val="0055333C"/>
    <w:rsid w:val="0055348C"/>
    <w:rsid w:val="005534F2"/>
    <w:rsid w:val="00553608"/>
    <w:rsid w:val="0055365C"/>
    <w:rsid w:val="0055397E"/>
    <w:rsid w:val="00553AF6"/>
    <w:rsid w:val="00553C1E"/>
    <w:rsid w:val="00553E04"/>
    <w:rsid w:val="00553E92"/>
    <w:rsid w:val="0055400F"/>
    <w:rsid w:val="00554067"/>
    <w:rsid w:val="005542EA"/>
    <w:rsid w:val="0055445D"/>
    <w:rsid w:val="005545B7"/>
    <w:rsid w:val="005546AE"/>
    <w:rsid w:val="00554795"/>
    <w:rsid w:val="00554A7E"/>
    <w:rsid w:val="00554AC7"/>
    <w:rsid w:val="00554ADD"/>
    <w:rsid w:val="00554B88"/>
    <w:rsid w:val="00554E29"/>
    <w:rsid w:val="00554F68"/>
    <w:rsid w:val="00554FBB"/>
    <w:rsid w:val="0055537A"/>
    <w:rsid w:val="00555466"/>
    <w:rsid w:val="00555497"/>
    <w:rsid w:val="005554C3"/>
    <w:rsid w:val="005554E7"/>
    <w:rsid w:val="00555537"/>
    <w:rsid w:val="0055576B"/>
    <w:rsid w:val="0055582E"/>
    <w:rsid w:val="00555A76"/>
    <w:rsid w:val="00555AD8"/>
    <w:rsid w:val="00555C09"/>
    <w:rsid w:val="00555C7B"/>
    <w:rsid w:val="00555D78"/>
    <w:rsid w:val="00555E5F"/>
    <w:rsid w:val="00555F05"/>
    <w:rsid w:val="00555FFF"/>
    <w:rsid w:val="005560F4"/>
    <w:rsid w:val="0055612F"/>
    <w:rsid w:val="0055619E"/>
    <w:rsid w:val="00556231"/>
    <w:rsid w:val="005562F3"/>
    <w:rsid w:val="0055644E"/>
    <w:rsid w:val="00556900"/>
    <w:rsid w:val="00556986"/>
    <w:rsid w:val="005569C7"/>
    <w:rsid w:val="00556B41"/>
    <w:rsid w:val="00556C38"/>
    <w:rsid w:val="00556CB5"/>
    <w:rsid w:val="00556CCC"/>
    <w:rsid w:val="00556CDF"/>
    <w:rsid w:val="00556D16"/>
    <w:rsid w:val="00556D24"/>
    <w:rsid w:val="00556DEA"/>
    <w:rsid w:val="00556EEA"/>
    <w:rsid w:val="00556EFE"/>
    <w:rsid w:val="00556FE6"/>
    <w:rsid w:val="005570A2"/>
    <w:rsid w:val="00557140"/>
    <w:rsid w:val="00557195"/>
    <w:rsid w:val="005572AE"/>
    <w:rsid w:val="00557327"/>
    <w:rsid w:val="0055736F"/>
    <w:rsid w:val="00557701"/>
    <w:rsid w:val="005578E0"/>
    <w:rsid w:val="00557A8A"/>
    <w:rsid w:val="00557BE7"/>
    <w:rsid w:val="00557BF3"/>
    <w:rsid w:val="00557DA8"/>
    <w:rsid w:val="00557ED9"/>
    <w:rsid w:val="00557F4A"/>
    <w:rsid w:val="00557FB3"/>
    <w:rsid w:val="00560056"/>
    <w:rsid w:val="00560277"/>
    <w:rsid w:val="00560278"/>
    <w:rsid w:val="005602AB"/>
    <w:rsid w:val="005602C0"/>
    <w:rsid w:val="00560322"/>
    <w:rsid w:val="00560465"/>
    <w:rsid w:val="005604B5"/>
    <w:rsid w:val="005606A0"/>
    <w:rsid w:val="0056070C"/>
    <w:rsid w:val="0056076A"/>
    <w:rsid w:val="00560972"/>
    <w:rsid w:val="005609D5"/>
    <w:rsid w:val="00560A2C"/>
    <w:rsid w:val="00560A8D"/>
    <w:rsid w:val="00560B0B"/>
    <w:rsid w:val="00560B3A"/>
    <w:rsid w:val="00560C88"/>
    <w:rsid w:val="00560DA2"/>
    <w:rsid w:val="00560E09"/>
    <w:rsid w:val="00561067"/>
    <w:rsid w:val="0056119B"/>
    <w:rsid w:val="00561603"/>
    <w:rsid w:val="00561930"/>
    <w:rsid w:val="00561978"/>
    <w:rsid w:val="00561981"/>
    <w:rsid w:val="00561C06"/>
    <w:rsid w:val="00561C17"/>
    <w:rsid w:val="00561CDA"/>
    <w:rsid w:val="00561D9E"/>
    <w:rsid w:val="00561DF0"/>
    <w:rsid w:val="00561EE6"/>
    <w:rsid w:val="00562219"/>
    <w:rsid w:val="005622AF"/>
    <w:rsid w:val="00562514"/>
    <w:rsid w:val="005627A2"/>
    <w:rsid w:val="005629DE"/>
    <w:rsid w:val="00562AE0"/>
    <w:rsid w:val="00562D5E"/>
    <w:rsid w:val="00562DF5"/>
    <w:rsid w:val="00562EC5"/>
    <w:rsid w:val="005635DC"/>
    <w:rsid w:val="00563631"/>
    <w:rsid w:val="00563633"/>
    <w:rsid w:val="0056390D"/>
    <w:rsid w:val="00563CA3"/>
    <w:rsid w:val="00563DE2"/>
    <w:rsid w:val="00563E33"/>
    <w:rsid w:val="00563E73"/>
    <w:rsid w:val="00563ED4"/>
    <w:rsid w:val="00563F7B"/>
    <w:rsid w:val="00563FF7"/>
    <w:rsid w:val="005640A6"/>
    <w:rsid w:val="005640B6"/>
    <w:rsid w:val="00564107"/>
    <w:rsid w:val="005642A9"/>
    <w:rsid w:val="005642E9"/>
    <w:rsid w:val="00564314"/>
    <w:rsid w:val="00564378"/>
    <w:rsid w:val="00564412"/>
    <w:rsid w:val="00564467"/>
    <w:rsid w:val="0056448F"/>
    <w:rsid w:val="005645BD"/>
    <w:rsid w:val="005646EE"/>
    <w:rsid w:val="00564A29"/>
    <w:rsid w:val="00564A9A"/>
    <w:rsid w:val="00564B44"/>
    <w:rsid w:val="00564BBF"/>
    <w:rsid w:val="00564D8F"/>
    <w:rsid w:val="00564E1F"/>
    <w:rsid w:val="00564E47"/>
    <w:rsid w:val="00564F84"/>
    <w:rsid w:val="00564FBE"/>
    <w:rsid w:val="00564FC7"/>
    <w:rsid w:val="00564FFC"/>
    <w:rsid w:val="00565087"/>
    <w:rsid w:val="005650C7"/>
    <w:rsid w:val="0056513E"/>
    <w:rsid w:val="00565217"/>
    <w:rsid w:val="005652CC"/>
    <w:rsid w:val="005653B0"/>
    <w:rsid w:val="005653F4"/>
    <w:rsid w:val="00565403"/>
    <w:rsid w:val="00565610"/>
    <w:rsid w:val="00565675"/>
    <w:rsid w:val="00565776"/>
    <w:rsid w:val="005659F1"/>
    <w:rsid w:val="00565A17"/>
    <w:rsid w:val="00565A69"/>
    <w:rsid w:val="00565B55"/>
    <w:rsid w:val="00565B93"/>
    <w:rsid w:val="00565C8E"/>
    <w:rsid w:val="00565CE9"/>
    <w:rsid w:val="00565DC3"/>
    <w:rsid w:val="00565DC8"/>
    <w:rsid w:val="00565F2F"/>
    <w:rsid w:val="00566061"/>
    <w:rsid w:val="0056608A"/>
    <w:rsid w:val="00566195"/>
    <w:rsid w:val="00566204"/>
    <w:rsid w:val="00566328"/>
    <w:rsid w:val="005663A0"/>
    <w:rsid w:val="005663D9"/>
    <w:rsid w:val="005664D4"/>
    <w:rsid w:val="0056664A"/>
    <w:rsid w:val="0056684A"/>
    <w:rsid w:val="0056687E"/>
    <w:rsid w:val="0056693A"/>
    <w:rsid w:val="0056697D"/>
    <w:rsid w:val="005669FD"/>
    <w:rsid w:val="005669FE"/>
    <w:rsid w:val="00566AAA"/>
    <w:rsid w:val="00566ACE"/>
    <w:rsid w:val="00566BBF"/>
    <w:rsid w:val="00566D79"/>
    <w:rsid w:val="00566DAA"/>
    <w:rsid w:val="005670C0"/>
    <w:rsid w:val="0056711F"/>
    <w:rsid w:val="005672C3"/>
    <w:rsid w:val="005676D2"/>
    <w:rsid w:val="005676EB"/>
    <w:rsid w:val="005678C6"/>
    <w:rsid w:val="00567AC2"/>
    <w:rsid w:val="00567B98"/>
    <w:rsid w:val="00567C6A"/>
    <w:rsid w:val="00567E9F"/>
    <w:rsid w:val="00567F80"/>
    <w:rsid w:val="005700AB"/>
    <w:rsid w:val="005700CB"/>
    <w:rsid w:val="00570157"/>
    <w:rsid w:val="0057018C"/>
    <w:rsid w:val="005702A2"/>
    <w:rsid w:val="005703E4"/>
    <w:rsid w:val="005704C5"/>
    <w:rsid w:val="005704DF"/>
    <w:rsid w:val="0057057B"/>
    <w:rsid w:val="005705E9"/>
    <w:rsid w:val="005705F9"/>
    <w:rsid w:val="0057076C"/>
    <w:rsid w:val="0057077F"/>
    <w:rsid w:val="005708ED"/>
    <w:rsid w:val="00570A8E"/>
    <w:rsid w:val="00570A95"/>
    <w:rsid w:val="00570B57"/>
    <w:rsid w:val="00570E3F"/>
    <w:rsid w:val="00570F8E"/>
    <w:rsid w:val="0057108D"/>
    <w:rsid w:val="005710B3"/>
    <w:rsid w:val="00571150"/>
    <w:rsid w:val="00571232"/>
    <w:rsid w:val="00571276"/>
    <w:rsid w:val="00571369"/>
    <w:rsid w:val="005713EA"/>
    <w:rsid w:val="005714C2"/>
    <w:rsid w:val="00571648"/>
    <w:rsid w:val="005717A9"/>
    <w:rsid w:val="00571897"/>
    <w:rsid w:val="00571945"/>
    <w:rsid w:val="005719FD"/>
    <w:rsid w:val="00571A67"/>
    <w:rsid w:val="00571AC4"/>
    <w:rsid w:val="00571B06"/>
    <w:rsid w:val="00571B96"/>
    <w:rsid w:val="00571BCC"/>
    <w:rsid w:val="00571C50"/>
    <w:rsid w:val="00571C84"/>
    <w:rsid w:val="00571D5D"/>
    <w:rsid w:val="00571D94"/>
    <w:rsid w:val="00571E54"/>
    <w:rsid w:val="00571EB1"/>
    <w:rsid w:val="00572118"/>
    <w:rsid w:val="00572120"/>
    <w:rsid w:val="005721A9"/>
    <w:rsid w:val="0057232B"/>
    <w:rsid w:val="005723B4"/>
    <w:rsid w:val="005724A8"/>
    <w:rsid w:val="005725A9"/>
    <w:rsid w:val="005725BE"/>
    <w:rsid w:val="00572668"/>
    <w:rsid w:val="005727B4"/>
    <w:rsid w:val="005727F6"/>
    <w:rsid w:val="005729BB"/>
    <w:rsid w:val="00572A0E"/>
    <w:rsid w:val="00572A1C"/>
    <w:rsid w:val="00572A76"/>
    <w:rsid w:val="00572D0C"/>
    <w:rsid w:val="00572DED"/>
    <w:rsid w:val="00572E47"/>
    <w:rsid w:val="00572E60"/>
    <w:rsid w:val="00572F09"/>
    <w:rsid w:val="00573098"/>
    <w:rsid w:val="0057312C"/>
    <w:rsid w:val="00573359"/>
    <w:rsid w:val="0057338A"/>
    <w:rsid w:val="005733E4"/>
    <w:rsid w:val="00573405"/>
    <w:rsid w:val="00573445"/>
    <w:rsid w:val="00573462"/>
    <w:rsid w:val="00573921"/>
    <w:rsid w:val="00573929"/>
    <w:rsid w:val="005739A5"/>
    <w:rsid w:val="00573D64"/>
    <w:rsid w:val="00573E96"/>
    <w:rsid w:val="00574123"/>
    <w:rsid w:val="00574286"/>
    <w:rsid w:val="0057433B"/>
    <w:rsid w:val="00574393"/>
    <w:rsid w:val="00574458"/>
    <w:rsid w:val="0057449A"/>
    <w:rsid w:val="0057471F"/>
    <w:rsid w:val="0057475A"/>
    <w:rsid w:val="00574765"/>
    <w:rsid w:val="005747D1"/>
    <w:rsid w:val="00574855"/>
    <w:rsid w:val="00574A7F"/>
    <w:rsid w:val="00574A89"/>
    <w:rsid w:val="00574B72"/>
    <w:rsid w:val="00574BBD"/>
    <w:rsid w:val="00574C48"/>
    <w:rsid w:val="00574C9D"/>
    <w:rsid w:val="00574D9C"/>
    <w:rsid w:val="00574E4B"/>
    <w:rsid w:val="00575057"/>
    <w:rsid w:val="005750B3"/>
    <w:rsid w:val="005751D0"/>
    <w:rsid w:val="005753A0"/>
    <w:rsid w:val="00575739"/>
    <w:rsid w:val="0057586B"/>
    <w:rsid w:val="005758E0"/>
    <w:rsid w:val="005758EC"/>
    <w:rsid w:val="005758F4"/>
    <w:rsid w:val="00575959"/>
    <w:rsid w:val="00575A93"/>
    <w:rsid w:val="00575C8C"/>
    <w:rsid w:val="00575CF3"/>
    <w:rsid w:val="00575E74"/>
    <w:rsid w:val="00575F3E"/>
    <w:rsid w:val="00575FFA"/>
    <w:rsid w:val="0057602B"/>
    <w:rsid w:val="005760D8"/>
    <w:rsid w:val="00576130"/>
    <w:rsid w:val="0057615E"/>
    <w:rsid w:val="0057617C"/>
    <w:rsid w:val="005762CB"/>
    <w:rsid w:val="00576387"/>
    <w:rsid w:val="005764C2"/>
    <w:rsid w:val="005766DA"/>
    <w:rsid w:val="00576809"/>
    <w:rsid w:val="005768E0"/>
    <w:rsid w:val="005769CA"/>
    <w:rsid w:val="005769DE"/>
    <w:rsid w:val="00576A06"/>
    <w:rsid w:val="00576A63"/>
    <w:rsid w:val="00576AAF"/>
    <w:rsid w:val="00576ABF"/>
    <w:rsid w:val="00576B34"/>
    <w:rsid w:val="00576B80"/>
    <w:rsid w:val="00576B82"/>
    <w:rsid w:val="00576C4D"/>
    <w:rsid w:val="00576E79"/>
    <w:rsid w:val="00576E97"/>
    <w:rsid w:val="00576F30"/>
    <w:rsid w:val="005777F8"/>
    <w:rsid w:val="0057795A"/>
    <w:rsid w:val="00577AB4"/>
    <w:rsid w:val="00577AEC"/>
    <w:rsid w:val="00577B97"/>
    <w:rsid w:val="00577CB3"/>
    <w:rsid w:val="00577CCE"/>
    <w:rsid w:val="00577CD3"/>
    <w:rsid w:val="00580053"/>
    <w:rsid w:val="005800BB"/>
    <w:rsid w:val="0058035B"/>
    <w:rsid w:val="005803C3"/>
    <w:rsid w:val="00580533"/>
    <w:rsid w:val="0058062E"/>
    <w:rsid w:val="00580635"/>
    <w:rsid w:val="005806CE"/>
    <w:rsid w:val="00580940"/>
    <w:rsid w:val="00580962"/>
    <w:rsid w:val="005809CA"/>
    <w:rsid w:val="00580AA0"/>
    <w:rsid w:val="00580F50"/>
    <w:rsid w:val="0058105D"/>
    <w:rsid w:val="00581185"/>
    <w:rsid w:val="0058118D"/>
    <w:rsid w:val="005811B2"/>
    <w:rsid w:val="0058121F"/>
    <w:rsid w:val="00581277"/>
    <w:rsid w:val="00581444"/>
    <w:rsid w:val="005814CE"/>
    <w:rsid w:val="00581580"/>
    <w:rsid w:val="005816F6"/>
    <w:rsid w:val="00581B17"/>
    <w:rsid w:val="00581BEE"/>
    <w:rsid w:val="00581BF2"/>
    <w:rsid w:val="00581EF3"/>
    <w:rsid w:val="00581F20"/>
    <w:rsid w:val="00581FAE"/>
    <w:rsid w:val="00582016"/>
    <w:rsid w:val="0058220B"/>
    <w:rsid w:val="00582502"/>
    <w:rsid w:val="00582634"/>
    <w:rsid w:val="00582667"/>
    <w:rsid w:val="005826D0"/>
    <w:rsid w:val="0058283A"/>
    <w:rsid w:val="005828AA"/>
    <w:rsid w:val="00582943"/>
    <w:rsid w:val="00582997"/>
    <w:rsid w:val="005829CF"/>
    <w:rsid w:val="005829E9"/>
    <w:rsid w:val="00582A70"/>
    <w:rsid w:val="00582EB9"/>
    <w:rsid w:val="00582F06"/>
    <w:rsid w:val="00582F94"/>
    <w:rsid w:val="0058303B"/>
    <w:rsid w:val="00583357"/>
    <w:rsid w:val="00583361"/>
    <w:rsid w:val="00583641"/>
    <w:rsid w:val="005836B1"/>
    <w:rsid w:val="005836D1"/>
    <w:rsid w:val="00583908"/>
    <w:rsid w:val="00583D4E"/>
    <w:rsid w:val="00583DD9"/>
    <w:rsid w:val="005843EA"/>
    <w:rsid w:val="005843FC"/>
    <w:rsid w:val="005845D6"/>
    <w:rsid w:val="0058466F"/>
    <w:rsid w:val="005846E4"/>
    <w:rsid w:val="00584839"/>
    <w:rsid w:val="005848E8"/>
    <w:rsid w:val="0058491C"/>
    <w:rsid w:val="00584988"/>
    <w:rsid w:val="005849DA"/>
    <w:rsid w:val="00584C40"/>
    <w:rsid w:val="00584E0A"/>
    <w:rsid w:val="00584E11"/>
    <w:rsid w:val="00584F03"/>
    <w:rsid w:val="005850DC"/>
    <w:rsid w:val="005850F9"/>
    <w:rsid w:val="005851FE"/>
    <w:rsid w:val="0058527D"/>
    <w:rsid w:val="005852C4"/>
    <w:rsid w:val="0058535C"/>
    <w:rsid w:val="0058540B"/>
    <w:rsid w:val="00585698"/>
    <w:rsid w:val="0058585E"/>
    <w:rsid w:val="005859B5"/>
    <w:rsid w:val="005859FE"/>
    <w:rsid w:val="00585DF5"/>
    <w:rsid w:val="00585EDA"/>
    <w:rsid w:val="00585EF3"/>
    <w:rsid w:val="00585F29"/>
    <w:rsid w:val="00585FEA"/>
    <w:rsid w:val="00586313"/>
    <w:rsid w:val="0058637C"/>
    <w:rsid w:val="005864BE"/>
    <w:rsid w:val="005866D1"/>
    <w:rsid w:val="00586710"/>
    <w:rsid w:val="005867A3"/>
    <w:rsid w:val="005867C7"/>
    <w:rsid w:val="00586895"/>
    <w:rsid w:val="00586A74"/>
    <w:rsid w:val="00586A92"/>
    <w:rsid w:val="00586AE5"/>
    <w:rsid w:val="00586CB6"/>
    <w:rsid w:val="00586CE4"/>
    <w:rsid w:val="00586D82"/>
    <w:rsid w:val="00586DC0"/>
    <w:rsid w:val="00586DEF"/>
    <w:rsid w:val="00586F8B"/>
    <w:rsid w:val="0058705F"/>
    <w:rsid w:val="005871FD"/>
    <w:rsid w:val="0058725C"/>
    <w:rsid w:val="00587365"/>
    <w:rsid w:val="005875D4"/>
    <w:rsid w:val="005875FD"/>
    <w:rsid w:val="0058779B"/>
    <w:rsid w:val="005879B8"/>
    <w:rsid w:val="005879E6"/>
    <w:rsid w:val="00587A31"/>
    <w:rsid w:val="00587A72"/>
    <w:rsid w:val="00587BD7"/>
    <w:rsid w:val="00587D40"/>
    <w:rsid w:val="00587EB5"/>
    <w:rsid w:val="00587F3D"/>
    <w:rsid w:val="00590216"/>
    <w:rsid w:val="00590476"/>
    <w:rsid w:val="00590741"/>
    <w:rsid w:val="005907D2"/>
    <w:rsid w:val="005909A6"/>
    <w:rsid w:val="00590A3E"/>
    <w:rsid w:val="00590C0D"/>
    <w:rsid w:val="00590D5E"/>
    <w:rsid w:val="00590DD8"/>
    <w:rsid w:val="00590F3F"/>
    <w:rsid w:val="00590F72"/>
    <w:rsid w:val="00590FA9"/>
    <w:rsid w:val="00591063"/>
    <w:rsid w:val="00591130"/>
    <w:rsid w:val="00591332"/>
    <w:rsid w:val="005913A4"/>
    <w:rsid w:val="00591481"/>
    <w:rsid w:val="0059157A"/>
    <w:rsid w:val="00591628"/>
    <w:rsid w:val="00591640"/>
    <w:rsid w:val="0059170A"/>
    <w:rsid w:val="0059176A"/>
    <w:rsid w:val="005917A5"/>
    <w:rsid w:val="00591826"/>
    <w:rsid w:val="0059185C"/>
    <w:rsid w:val="005918F8"/>
    <w:rsid w:val="00591964"/>
    <w:rsid w:val="005919F3"/>
    <w:rsid w:val="00591A33"/>
    <w:rsid w:val="00591B06"/>
    <w:rsid w:val="00591B0A"/>
    <w:rsid w:val="00591C71"/>
    <w:rsid w:val="00591D7A"/>
    <w:rsid w:val="00591DC7"/>
    <w:rsid w:val="00591EBC"/>
    <w:rsid w:val="00591F58"/>
    <w:rsid w:val="005921F1"/>
    <w:rsid w:val="00592335"/>
    <w:rsid w:val="0059256D"/>
    <w:rsid w:val="0059259A"/>
    <w:rsid w:val="005926D6"/>
    <w:rsid w:val="0059295B"/>
    <w:rsid w:val="00592963"/>
    <w:rsid w:val="005929C6"/>
    <w:rsid w:val="00592B15"/>
    <w:rsid w:val="00592B2C"/>
    <w:rsid w:val="00592C93"/>
    <w:rsid w:val="00592EBE"/>
    <w:rsid w:val="0059332B"/>
    <w:rsid w:val="005934E6"/>
    <w:rsid w:val="00593648"/>
    <w:rsid w:val="005936E8"/>
    <w:rsid w:val="005937FF"/>
    <w:rsid w:val="0059390E"/>
    <w:rsid w:val="00593A22"/>
    <w:rsid w:val="00593B84"/>
    <w:rsid w:val="00593CC1"/>
    <w:rsid w:val="00593E5A"/>
    <w:rsid w:val="00594141"/>
    <w:rsid w:val="00594250"/>
    <w:rsid w:val="005942C4"/>
    <w:rsid w:val="00594352"/>
    <w:rsid w:val="00594450"/>
    <w:rsid w:val="00594455"/>
    <w:rsid w:val="00594511"/>
    <w:rsid w:val="00594604"/>
    <w:rsid w:val="00594630"/>
    <w:rsid w:val="0059476F"/>
    <w:rsid w:val="00594787"/>
    <w:rsid w:val="00594835"/>
    <w:rsid w:val="00594A3C"/>
    <w:rsid w:val="00594ABB"/>
    <w:rsid w:val="00594AC6"/>
    <w:rsid w:val="00594BDE"/>
    <w:rsid w:val="00594D72"/>
    <w:rsid w:val="00594E4A"/>
    <w:rsid w:val="00594F85"/>
    <w:rsid w:val="00594F99"/>
    <w:rsid w:val="00595009"/>
    <w:rsid w:val="00595060"/>
    <w:rsid w:val="00595128"/>
    <w:rsid w:val="0059538B"/>
    <w:rsid w:val="005955A8"/>
    <w:rsid w:val="00595690"/>
    <w:rsid w:val="00595856"/>
    <w:rsid w:val="005958A2"/>
    <w:rsid w:val="00595A3E"/>
    <w:rsid w:val="00595BBA"/>
    <w:rsid w:val="00595C3E"/>
    <w:rsid w:val="00595D99"/>
    <w:rsid w:val="00595E8F"/>
    <w:rsid w:val="00595F4F"/>
    <w:rsid w:val="005960F7"/>
    <w:rsid w:val="00596392"/>
    <w:rsid w:val="00596409"/>
    <w:rsid w:val="00596522"/>
    <w:rsid w:val="0059669F"/>
    <w:rsid w:val="005966CF"/>
    <w:rsid w:val="005967A9"/>
    <w:rsid w:val="005967DB"/>
    <w:rsid w:val="00596AC5"/>
    <w:rsid w:val="00596AE8"/>
    <w:rsid w:val="00596C0E"/>
    <w:rsid w:val="00596DDF"/>
    <w:rsid w:val="00596E1C"/>
    <w:rsid w:val="00596F19"/>
    <w:rsid w:val="005970B5"/>
    <w:rsid w:val="005972A4"/>
    <w:rsid w:val="005972F8"/>
    <w:rsid w:val="005973A4"/>
    <w:rsid w:val="005973C2"/>
    <w:rsid w:val="00597467"/>
    <w:rsid w:val="005974AD"/>
    <w:rsid w:val="005974FB"/>
    <w:rsid w:val="00597527"/>
    <w:rsid w:val="00597635"/>
    <w:rsid w:val="00597775"/>
    <w:rsid w:val="005978D0"/>
    <w:rsid w:val="00597A21"/>
    <w:rsid w:val="00597B82"/>
    <w:rsid w:val="00597BB6"/>
    <w:rsid w:val="00597C89"/>
    <w:rsid w:val="00597CDE"/>
    <w:rsid w:val="00597EE1"/>
    <w:rsid w:val="00597F93"/>
    <w:rsid w:val="005A0026"/>
    <w:rsid w:val="005A01F0"/>
    <w:rsid w:val="005A03A3"/>
    <w:rsid w:val="005A04E9"/>
    <w:rsid w:val="005A0674"/>
    <w:rsid w:val="005A08E4"/>
    <w:rsid w:val="005A09B5"/>
    <w:rsid w:val="005A0AE6"/>
    <w:rsid w:val="005A0B78"/>
    <w:rsid w:val="005A0B86"/>
    <w:rsid w:val="005A0C2B"/>
    <w:rsid w:val="005A0C40"/>
    <w:rsid w:val="005A0D6A"/>
    <w:rsid w:val="005A0EDB"/>
    <w:rsid w:val="005A0F95"/>
    <w:rsid w:val="005A10BB"/>
    <w:rsid w:val="005A1322"/>
    <w:rsid w:val="005A144D"/>
    <w:rsid w:val="005A145E"/>
    <w:rsid w:val="005A153D"/>
    <w:rsid w:val="005A17C0"/>
    <w:rsid w:val="005A192D"/>
    <w:rsid w:val="005A19CF"/>
    <w:rsid w:val="005A1AF3"/>
    <w:rsid w:val="005A1C68"/>
    <w:rsid w:val="005A1C73"/>
    <w:rsid w:val="005A1CF4"/>
    <w:rsid w:val="005A1DDF"/>
    <w:rsid w:val="005A22CC"/>
    <w:rsid w:val="005A230A"/>
    <w:rsid w:val="005A2329"/>
    <w:rsid w:val="005A2537"/>
    <w:rsid w:val="005A2697"/>
    <w:rsid w:val="005A2704"/>
    <w:rsid w:val="005A2745"/>
    <w:rsid w:val="005A274F"/>
    <w:rsid w:val="005A27A1"/>
    <w:rsid w:val="005A28F1"/>
    <w:rsid w:val="005A2901"/>
    <w:rsid w:val="005A2A29"/>
    <w:rsid w:val="005A2F48"/>
    <w:rsid w:val="005A2FC0"/>
    <w:rsid w:val="005A3037"/>
    <w:rsid w:val="005A30E6"/>
    <w:rsid w:val="005A32F2"/>
    <w:rsid w:val="005A337B"/>
    <w:rsid w:val="005A33B0"/>
    <w:rsid w:val="005A33C1"/>
    <w:rsid w:val="005A33CE"/>
    <w:rsid w:val="005A33EB"/>
    <w:rsid w:val="005A34BD"/>
    <w:rsid w:val="005A3677"/>
    <w:rsid w:val="005A36C6"/>
    <w:rsid w:val="005A36EB"/>
    <w:rsid w:val="005A3732"/>
    <w:rsid w:val="005A378F"/>
    <w:rsid w:val="005A37D1"/>
    <w:rsid w:val="005A3880"/>
    <w:rsid w:val="005A3973"/>
    <w:rsid w:val="005A3B1A"/>
    <w:rsid w:val="005A3B56"/>
    <w:rsid w:val="005A3BE1"/>
    <w:rsid w:val="005A3DA7"/>
    <w:rsid w:val="005A3E00"/>
    <w:rsid w:val="005A40D2"/>
    <w:rsid w:val="005A4573"/>
    <w:rsid w:val="005A47D4"/>
    <w:rsid w:val="005A4954"/>
    <w:rsid w:val="005A49A6"/>
    <w:rsid w:val="005A49A8"/>
    <w:rsid w:val="005A4A20"/>
    <w:rsid w:val="005A4B47"/>
    <w:rsid w:val="005A4D8E"/>
    <w:rsid w:val="005A518F"/>
    <w:rsid w:val="005A5240"/>
    <w:rsid w:val="005A52D9"/>
    <w:rsid w:val="005A532F"/>
    <w:rsid w:val="005A537F"/>
    <w:rsid w:val="005A53C3"/>
    <w:rsid w:val="005A54FF"/>
    <w:rsid w:val="005A55FC"/>
    <w:rsid w:val="005A5882"/>
    <w:rsid w:val="005A5901"/>
    <w:rsid w:val="005A59D0"/>
    <w:rsid w:val="005A59D8"/>
    <w:rsid w:val="005A5A7B"/>
    <w:rsid w:val="005A5AAC"/>
    <w:rsid w:val="005A5CAD"/>
    <w:rsid w:val="005A5CCD"/>
    <w:rsid w:val="005A5D0A"/>
    <w:rsid w:val="005A5D22"/>
    <w:rsid w:val="005A5E00"/>
    <w:rsid w:val="005A5E01"/>
    <w:rsid w:val="005A5F2A"/>
    <w:rsid w:val="005A6126"/>
    <w:rsid w:val="005A6159"/>
    <w:rsid w:val="005A6460"/>
    <w:rsid w:val="005A66F6"/>
    <w:rsid w:val="005A6904"/>
    <w:rsid w:val="005A6A6F"/>
    <w:rsid w:val="005A6B37"/>
    <w:rsid w:val="005A6D17"/>
    <w:rsid w:val="005A6E42"/>
    <w:rsid w:val="005A6EDB"/>
    <w:rsid w:val="005A6F87"/>
    <w:rsid w:val="005A7067"/>
    <w:rsid w:val="005A7130"/>
    <w:rsid w:val="005A725D"/>
    <w:rsid w:val="005A72A6"/>
    <w:rsid w:val="005A74DD"/>
    <w:rsid w:val="005A7559"/>
    <w:rsid w:val="005A75A9"/>
    <w:rsid w:val="005A75AC"/>
    <w:rsid w:val="005A770F"/>
    <w:rsid w:val="005A7771"/>
    <w:rsid w:val="005A7859"/>
    <w:rsid w:val="005A78B6"/>
    <w:rsid w:val="005A78C8"/>
    <w:rsid w:val="005A7A14"/>
    <w:rsid w:val="005A7AA3"/>
    <w:rsid w:val="005A7BB9"/>
    <w:rsid w:val="005A7DB4"/>
    <w:rsid w:val="005A7EF6"/>
    <w:rsid w:val="005B002F"/>
    <w:rsid w:val="005B0122"/>
    <w:rsid w:val="005B0176"/>
    <w:rsid w:val="005B022D"/>
    <w:rsid w:val="005B02DE"/>
    <w:rsid w:val="005B0410"/>
    <w:rsid w:val="005B052A"/>
    <w:rsid w:val="005B06C4"/>
    <w:rsid w:val="005B06F1"/>
    <w:rsid w:val="005B0746"/>
    <w:rsid w:val="005B08A9"/>
    <w:rsid w:val="005B0A86"/>
    <w:rsid w:val="005B0AAB"/>
    <w:rsid w:val="005B0B7A"/>
    <w:rsid w:val="005B0BFA"/>
    <w:rsid w:val="005B0C3C"/>
    <w:rsid w:val="005B0F3B"/>
    <w:rsid w:val="005B10D0"/>
    <w:rsid w:val="005B11C8"/>
    <w:rsid w:val="005B1316"/>
    <w:rsid w:val="005B157E"/>
    <w:rsid w:val="005B15AA"/>
    <w:rsid w:val="005B1643"/>
    <w:rsid w:val="005B1665"/>
    <w:rsid w:val="005B171A"/>
    <w:rsid w:val="005B17CC"/>
    <w:rsid w:val="005B189B"/>
    <w:rsid w:val="005B18BB"/>
    <w:rsid w:val="005B1B53"/>
    <w:rsid w:val="005B1CC2"/>
    <w:rsid w:val="005B1CD0"/>
    <w:rsid w:val="005B1DC9"/>
    <w:rsid w:val="005B1DDC"/>
    <w:rsid w:val="005B1F0E"/>
    <w:rsid w:val="005B2085"/>
    <w:rsid w:val="005B20FD"/>
    <w:rsid w:val="005B228D"/>
    <w:rsid w:val="005B23DE"/>
    <w:rsid w:val="005B2441"/>
    <w:rsid w:val="005B24E4"/>
    <w:rsid w:val="005B2849"/>
    <w:rsid w:val="005B299E"/>
    <w:rsid w:val="005B29A3"/>
    <w:rsid w:val="005B2A57"/>
    <w:rsid w:val="005B2A7D"/>
    <w:rsid w:val="005B2B3D"/>
    <w:rsid w:val="005B2BF8"/>
    <w:rsid w:val="005B2CA1"/>
    <w:rsid w:val="005B2D1E"/>
    <w:rsid w:val="005B2E10"/>
    <w:rsid w:val="005B2FC5"/>
    <w:rsid w:val="005B30E4"/>
    <w:rsid w:val="005B3376"/>
    <w:rsid w:val="005B3386"/>
    <w:rsid w:val="005B33E9"/>
    <w:rsid w:val="005B341F"/>
    <w:rsid w:val="005B353D"/>
    <w:rsid w:val="005B362D"/>
    <w:rsid w:val="005B3654"/>
    <w:rsid w:val="005B36B0"/>
    <w:rsid w:val="005B37A3"/>
    <w:rsid w:val="005B38BF"/>
    <w:rsid w:val="005B39F0"/>
    <w:rsid w:val="005B3ADF"/>
    <w:rsid w:val="005B3D47"/>
    <w:rsid w:val="005B3DB5"/>
    <w:rsid w:val="005B3DD4"/>
    <w:rsid w:val="005B414F"/>
    <w:rsid w:val="005B41BB"/>
    <w:rsid w:val="005B41CA"/>
    <w:rsid w:val="005B429E"/>
    <w:rsid w:val="005B4451"/>
    <w:rsid w:val="005B44B9"/>
    <w:rsid w:val="005B44D6"/>
    <w:rsid w:val="005B460B"/>
    <w:rsid w:val="005B4756"/>
    <w:rsid w:val="005B47E6"/>
    <w:rsid w:val="005B499B"/>
    <w:rsid w:val="005B4A1D"/>
    <w:rsid w:val="005B4C1D"/>
    <w:rsid w:val="005B4C1E"/>
    <w:rsid w:val="005B4D08"/>
    <w:rsid w:val="005B4F69"/>
    <w:rsid w:val="005B50B2"/>
    <w:rsid w:val="005B50FA"/>
    <w:rsid w:val="005B51B3"/>
    <w:rsid w:val="005B549C"/>
    <w:rsid w:val="005B54E6"/>
    <w:rsid w:val="005B5512"/>
    <w:rsid w:val="005B558C"/>
    <w:rsid w:val="005B5651"/>
    <w:rsid w:val="005B5719"/>
    <w:rsid w:val="005B5825"/>
    <w:rsid w:val="005B58DF"/>
    <w:rsid w:val="005B5ABE"/>
    <w:rsid w:val="005B5B3F"/>
    <w:rsid w:val="005B5B7F"/>
    <w:rsid w:val="005B5E48"/>
    <w:rsid w:val="005B60BB"/>
    <w:rsid w:val="005B613F"/>
    <w:rsid w:val="005B643C"/>
    <w:rsid w:val="005B6591"/>
    <w:rsid w:val="005B67B5"/>
    <w:rsid w:val="005B67E7"/>
    <w:rsid w:val="005B6961"/>
    <w:rsid w:val="005B6C1E"/>
    <w:rsid w:val="005B6D36"/>
    <w:rsid w:val="005B6D51"/>
    <w:rsid w:val="005B6FA9"/>
    <w:rsid w:val="005B6FE7"/>
    <w:rsid w:val="005B70A3"/>
    <w:rsid w:val="005B7108"/>
    <w:rsid w:val="005B71D6"/>
    <w:rsid w:val="005B747E"/>
    <w:rsid w:val="005B749D"/>
    <w:rsid w:val="005B74C4"/>
    <w:rsid w:val="005B758B"/>
    <w:rsid w:val="005B795E"/>
    <w:rsid w:val="005B7A24"/>
    <w:rsid w:val="005B7A80"/>
    <w:rsid w:val="005B7AAE"/>
    <w:rsid w:val="005B7BDD"/>
    <w:rsid w:val="005B7DF1"/>
    <w:rsid w:val="005B7F2F"/>
    <w:rsid w:val="005B7FD0"/>
    <w:rsid w:val="005C0094"/>
    <w:rsid w:val="005C0259"/>
    <w:rsid w:val="005C0374"/>
    <w:rsid w:val="005C0463"/>
    <w:rsid w:val="005C0698"/>
    <w:rsid w:val="005C06F5"/>
    <w:rsid w:val="005C0738"/>
    <w:rsid w:val="005C0752"/>
    <w:rsid w:val="005C0769"/>
    <w:rsid w:val="005C0789"/>
    <w:rsid w:val="005C0852"/>
    <w:rsid w:val="005C0871"/>
    <w:rsid w:val="005C08B0"/>
    <w:rsid w:val="005C08D9"/>
    <w:rsid w:val="005C0DB5"/>
    <w:rsid w:val="005C0E29"/>
    <w:rsid w:val="005C0E7F"/>
    <w:rsid w:val="005C0F65"/>
    <w:rsid w:val="005C104A"/>
    <w:rsid w:val="005C10C7"/>
    <w:rsid w:val="005C116F"/>
    <w:rsid w:val="005C120A"/>
    <w:rsid w:val="005C12B5"/>
    <w:rsid w:val="005C1CCD"/>
    <w:rsid w:val="005C1DF0"/>
    <w:rsid w:val="005C1E31"/>
    <w:rsid w:val="005C1E44"/>
    <w:rsid w:val="005C1E99"/>
    <w:rsid w:val="005C1ED4"/>
    <w:rsid w:val="005C225F"/>
    <w:rsid w:val="005C24A1"/>
    <w:rsid w:val="005C2635"/>
    <w:rsid w:val="005C2835"/>
    <w:rsid w:val="005C2898"/>
    <w:rsid w:val="005C2B12"/>
    <w:rsid w:val="005C2C92"/>
    <w:rsid w:val="005C2CD8"/>
    <w:rsid w:val="005C2D89"/>
    <w:rsid w:val="005C2E76"/>
    <w:rsid w:val="005C367C"/>
    <w:rsid w:val="005C36D9"/>
    <w:rsid w:val="005C38D3"/>
    <w:rsid w:val="005C392E"/>
    <w:rsid w:val="005C39E5"/>
    <w:rsid w:val="005C3AC5"/>
    <w:rsid w:val="005C3DA2"/>
    <w:rsid w:val="005C3DCC"/>
    <w:rsid w:val="005C3F71"/>
    <w:rsid w:val="005C3F77"/>
    <w:rsid w:val="005C403D"/>
    <w:rsid w:val="005C4124"/>
    <w:rsid w:val="005C422F"/>
    <w:rsid w:val="005C43D2"/>
    <w:rsid w:val="005C443A"/>
    <w:rsid w:val="005C4604"/>
    <w:rsid w:val="005C4904"/>
    <w:rsid w:val="005C4919"/>
    <w:rsid w:val="005C49C2"/>
    <w:rsid w:val="005C4A89"/>
    <w:rsid w:val="005C4B4B"/>
    <w:rsid w:val="005C4C43"/>
    <w:rsid w:val="005C4C4E"/>
    <w:rsid w:val="005C5093"/>
    <w:rsid w:val="005C515B"/>
    <w:rsid w:val="005C5377"/>
    <w:rsid w:val="005C5381"/>
    <w:rsid w:val="005C54BE"/>
    <w:rsid w:val="005C5699"/>
    <w:rsid w:val="005C56BB"/>
    <w:rsid w:val="005C581C"/>
    <w:rsid w:val="005C5A2A"/>
    <w:rsid w:val="005C5B3D"/>
    <w:rsid w:val="005C5EF8"/>
    <w:rsid w:val="005C5F2B"/>
    <w:rsid w:val="005C614D"/>
    <w:rsid w:val="005C6348"/>
    <w:rsid w:val="005C6662"/>
    <w:rsid w:val="005C67AC"/>
    <w:rsid w:val="005C69F2"/>
    <w:rsid w:val="005C6AE9"/>
    <w:rsid w:val="005C6B4B"/>
    <w:rsid w:val="005C6CA0"/>
    <w:rsid w:val="005C6D9C"/>
    <w:rsid w:val="005C6E49"/>
    <w:rsid w:val="005C6E98"/>
    <w:rsid w:val="005C6FBB"/>
    <w:rsid w:val="005C71AD"/>
    <w:rsid w:val="005C7432"/>
    <w:rsid w:val="005C7441"/>
    <w:rsid w:val="005C745E"/>
    <w:rsid w:val="005C765B"/>
    <w:rsid w:val="005C766D"/>
    <w:rsid w:val="005C785E"/>
    <w:rsid w:val="005C7AB8"/>
    <w:rsid w:val="005C7B2D"/>
    <w:rsid w:val="005C7E30"/>
    <w:rsid w:val="005C7FEA"/>
    <w:rsid w:val="005D00E0"/>
    <w:rsid w:val="005D031B"/>
    <w:rsid w:val="005D0494"/>
    <w:rsid w:val="005D0850"/>
    <w:rsid w:val="005D09A5"/>
    <w:rsid w:val="005D0B63"/>
    <w:rsid w:val="005D0B95"/>
    <w:rsid w:val="005D0BD1"/>
    <w:rsid w:val="005D0C97"/>
    <w:rsid w:val="005D0E18"/>
    <w:rsid w:val="005D101F"/>
    <w:rsid w:val="005D110F"/>
    <w:rsid w:val="005D13DC"/>
    <w:rsid w:val="005D143F"/>
    <w:rsid w:val="005D15C0"/>
    <w:rsid w:val="005D15DA"/>
    <w:rsid w:val="005D15E0"/>
    <w:rsid w:val="005D1821"/>
    <w:rsid w:val="005D18CE"/>
    <w:rsid w:val="005D18D8"/>
    <w:rsid w:val="005D1952"/>
    <w:rsid w:val="005D1984"/>
    <w:rsid w:val="005D1ADC"/>
    <w:rsid w:val="005D1B88"/>
    <w:rsid w:val="005D1EB3"/>
    <w:rsid w:val="005D2350"/>
    <w:rsid w:val="005D23C3"/>
    <w:rsid w:val="005D27B8"/>
    <w:rsid w:val="005D2820"/>
    <w:rsid w:val="005D2B00"/>
    <w:rsid w:val="005D2B36"/>
    <w:rsid w:val="005D2CBB"/>
    <w:rsid w:val="005D2E03"/>
    <w:rsid w:val="005D2E33"/>
    <w:rsid w:val="005D3306"/>
    <w:rsid w:val="005D3404"/>
    <w:rsid w:val="005D34CD"/>
    <w:rsid w:val="005D34F3"/>
    <w:rsid w:val="005D352F"/>
    <w:rsid w:val="005D3545"/>
    <w:rsid w:val="005D36C9"/>
    <w:rsid w:val="005D36D8"/>
    <w:rsid w:val="005D3724"/>
    <w:rsid w:val="005D378C"/>
    <w:rsid w:val="005D380C"/>
    <w:rsid w:val="005D3B74"/>
    <w:rsid w:val="005D3E03"/>
    <w:rsid w:val="005D3E98"/>
    <w:rsid w:val="005D3F73"/>
    <w:rsid w:val="005D3F93"/>
    <w:rsid w:val="005D4110"/>
    <w:rsid w:val="005D413A"/>
    <w:rsid w:val="005D41B7"/>
    <w:rsid w:val="005D426E"/>
    <w:rsid w:val="005D42BB"/>
    <w:rsid w:val="005D42D8"/>
    <w:rsid w:val="005D446F"/>
    <w:rsid w:val="005D4544"/>
    <w:rsid w:val="005D4672"/>
    <w:rsid w:val="005D46A3"/>
    <w:rsid w:val="005D4A73"/>
    <w:rsid w:val="005D4BE7"/>
    <w:rsid w:val="005D4CB6"/>
    <w:rsid w:val="005D4DA4"/>
    <w:rsid w:val="005D4F09"/>
    <w:rsid w:val="005D4F23"/>
    <w:rsid w:val="005D4F56"/>
    <w:rsid w:val="005D5058"/>
    <w:rsid w:val="005D5178"/>
    <w:rsid w:val="005D5377"/>
    <w:rsid w:val="005D5381"/>
    <w:rsid w:val="005D5574"/>
    <w:rsid w:val="005D5601"/>
    <w:rsid w:val="005D59DE"/>
    <w:rsid w:val="005D5B2F"/>
    <w:rsid w:val="005D5B5B"/>
    <w:rsid w:val="005D5C2C"/>
    <w:rsid w:val="005D5D7B"/>
    <w:rsid w:val="005D5DA5"/>
    <w:rsid w:val="005D5EEA"/>
    <w:rsid w:val="005D5FD6"/>
    <w:rsid w:val="005D617E"/>
    <w:rsid w:val="005D64C2"/>
    <w:rsid w:val="005D658F"/>
    <w:rsid w:val="005D672C"/>
    <w:rsid w:val="005D6829"/>
    <w:rsid w:val="005D6940"/>
    <w:rsid w:val="005D6A16"/>
    <w:rsid w:val="005D6A58"/>
    <w:rsid w:val="005D6C76"/>
    <w:rsid w:val="005D6D0A"/>
    <w:rsid w:val="005D6EA8"/>
    <w:rsid w:val="005D6F05"/>
    <w:rsid w:val="005D6F9E"/>
    <w:rsid w:val="005D6FCB"/>
    <w:rsid w:val="005D70AF"/>
    <w:rsid w:val="005D710F"/>
    <w:rsid w:val="005D711F"/>
    <w:rsid w:val="005D717B"/>
    <w:rsid w:val="005D737E"/>
    <w:rsid w:val="005D74CB"/>
    <w:rsid w:val="005D758B"/>
    <w:rsid w:val="005D768A"/>
    <w:rsid w:val="005D76DD"/>
    <w:rsid w:val="005D781D"/>
    <w:rsid w:val="005D786F"/>
    <w:rsid w:val="005D795A"/>
    <w:rsid w:val="005D7A21"/>
    <w:rsid w:val="005D7A91"/>
    <w:rsid w:val="005D7BE8"/>
    <w:rsid w:val="005D7D62"/>
    <w:rsid w:val="005D7EB5"/>
    <w:rsid w:val="005D7F2D"/>
    <w:rsid w:val="005D7FB9"/>
    <w:rsid w:val="005E00D0"/>
    <w:rsid w:val="005E018E"/>
    <w:rsid w:val="005E0287"/>
    <w:rsid w:val="005E0383"/>
    <w:rsid w:val="005E065A"/>
    <w:rsid w:val="005E0739"/>
    <w:rsid w:val="005E073C"/>
    <w:rsid w:val="005E091C"/>
    <w:rsid w:val="005E0A23"/>
    <w:rsid w:val="005E0A72"/>
    <w:rsid w:val="005E0B3A"/>
    <w:rsid w:val="005E0B9C"/>
    <w:rsid w:val="005E0CBA"/>
    <w:rsid w:val="005E0D8D"/>
    <w:rsid w:val="005E0DA2"/>
    <w:rsid w:val="005E103E"/>
    <w:rsid w:val="005E10E3"/>
    <w:rsid w:val="005E15E2"/>
    <w:rsid w:val="005E1605"/>
    <w:rsid w:val="005E17CA"/>
    <w:rsid w:val="005E195D"/>
    <w:rsid w:val="005E1A12"/>
    <w:rsid w:val="005E1E66"/>
    <w:rsid w:val="005E1EC8"/>
    <w:rsid w:val="005E1F57"/>
    <w:rsid w:val="005E1FBD"/>
    <w:rsid w:val="005E21C9"/>
    <w:rsid w:val="005E2605"/>
    <w:rsid w:val="005E27A9"/>
    <w:rsid w:val="005E2837"/>
    <w:rsid w:val="005E2902"/>
    <w:rsid w:val="005E2AD6"/>
    <w:rsid w:val="005E2B88"/>
    <w:rsid w:val="005E2CF8"/>
    <w:rsid w:val="005E2D9C"/>
    <w:rsid w:val="005E2DC8"/>
    <w:rsid w:val="005E2EA3"/>
    <w:rsid w:val="005E2F6F"/>
    <w:rsid w:val="005E32D0"/>
    <w:rsid w:val="005E34AE"/>
    <w:rsid w:val="005E3621"/>
    <w:rsid w:val="005E370C"/>
    <w:rsid w:val="005E3898"/>
    <w:rsid w:val="005E3BAE"/>
    <w:rsid w:val="005E3CCF"/>
    <w:rsid w:val="005E3D4A"/>
    <w:rsid w:val="005E3EE3"/>
    <w:rsid w:val="005E3EFA"/>
    <w:rsid w:val="005E3FA7"/>
    <w:rsid w:val="005E3FC7"/>
    <w:rsid w:val="005E40B2"/>
    <w:rsid w:val="005E40E2"/>
    <w:rsid w:val="005E416D"/>
    <w:rsid w:val="005E41B4"/>
    <w:rsid w:val="005E42FD"/>
    <w:rsid w:val="005E431F"/>
    <w:rsid w:val="005E441D"/>
    <w:rsid w:val="005E443A"/>
    <w:rsid w:val="005E4570"/>
    <w:rsid w:val="005E45D2"/>
    <w:rsid w:val="005E46F5"/>
    <w:rsid w:val="005E4734"/>
    <w:rsid w:val="005E474A"/>
    <w:rsid w:val="005E47DB"/>
    <w:rsid w:val="005E4DCC"/>
    <w:rsid w:val="005E4F18"/>
    <w:rsid w:val="005E4FF5"/>
    <w:rsid w:val="005E50DD"/>
    <w:rsid w:val="005E5538"/>
    <w:rsid w:val="005E5599"/>
    <w:rsid w:val="005E5621"/>
    <w:rsid w:val="005E5670"/>
    <w:rsid w:val="005E56A1"/>
    <w:rsid w:val="005E5730"/>
    <w:rsid w:val="005E5993"/>
    <w:rsid w:val="005E5A70"/>
    <w:rsid w:val="005E5DAB"/>
    <w:rsid w:val="005E5E5A"/>
    <w:rsid w:val="005E5EB1"/>
    <w:rsid w:val="005E60FF"/>
    <w:rsid w:val="005E614F"/>
    <w:rsid w:val="005E631A"/>
    <w:rsid w:val="005E6541"/>
    <w:rsid w:val="005E65C7"/>
    <w:rsid w:val="005E67B7"/>
    <w:rsid w:val="005E6AAC"/>
    <w:rsid w:val="005E6ADC"/>
    <w:rsid w:val="005E6B50"/>
    <w:rsid w:val="005E6BA0"/>
    <w:rsid w:val="005E6C8A"/>
    <w:rsid w:val="005E6D41"/>
    <w:rsid w:val="005E6EB6"/>
    <w:rsid w:val="005E6F3E"/>
    <w:rsid w:val="005E6F42"/>
    <w:rsid w:val="005E6F9A"/>
    <w:rsid w:val="005E715F"/>
    <w:rsid w:val="005E71CF"/>
    <w:rsid w:val="005E7377"/>
    <w:rsid w:val="005E7396"/>
    <w:rsid w:val="005E73E6"/>
    <w:rsid w:val="005E75C4"/>
    <w:rsid w:val="005E77B9"/>
    <w:rsid w:val="005E796C"/>
    <w:rsid w:val="005E7A64"/>
    <w:rsid w:val="005E7BE3"/>
    <w:rsid w:val="005E7C60"/>
    <w:rsid w:val="005E7D86"/>
    <w:rsid w:val="005E7D8D"/>
    <w:rsid w:val="005E7E37"/>
    <w:rsid w:val="005E7F2B"/>
    <w:rsid w:val="005F0185"/>
    <w:rsid w:val="005F0227"/>
    <w:rsid w:val="005F02F7"/>
    <w:rsid w:val="005F03DC"/>
    <w:rsid w:val="005F03E7"/>
    <w:rsid w:val="005F0484"/>
    <w:rsid w:val="005F0602"/>
    <w:rsid w:val="005F07E4"/>
    <w:rsid w:val="005F0A24"/>
    <w:rsid w:val="005F0ACA"/>
    <w:rsid w:val="005F0B0A"/>
    <w:rsid w:val="005F0D0E"/>
    <w:rsid w:val="005F0D60"/>
    <w:rsid w:val="005F0F0A"/>
    <w:rsid w:val="005F10C0"/>
    <w:rsid w:val="005F112A"/>
    <w:rsid w:val="005F117E"/>
    <w:rsid w:val="005F11A3"/>
    <w:rsid w:val="005F11D2"/>
    <w:rsid w:val="005F12FC"/>
    <w:rsid w:val="005F1369"/>
    <w:rsid w:val="005F1430"/>
    <w:rsid w:val="005F1612"/>
    <w:rsid w:val="005F1788"/>
    <w:rsid w:val="005F17CC"/>
    <w:rsid w:val="005F18E6"/>
    <w:rsid w:val="005F19E1"/>
    <w:rsid w:val="005F1A39"/>
    <w:rsid w:val="005F1AD0"/>
    <w:rsid w:val="005F1AF0"/>
    <w:rsid w:val="005F1BAC"/>
    <w:rsid w:val="005F1BB6"/>
    <w:rsid w:val="005F201A"/>
    <w:rsid w:val="005F20A9"/>
    <w:rsid w:val="005F20CF"/>
    <w:rsid w:val="005F20F7"/>
    <w:rsid w:val="005F217A"/>
    <w:rsid w:val="005F250D"/>
    <w:rsid w:val="005F261E"/>
    <w:rsid w:val="005F26B3"/>
    <w:rsid w:val="005F27C6"/>
    <w:rsid w:val="005F292F"/>
    <w:rsid w:val="005F2A1B"/>
    <w:rsid w:val="005F2B02"/>
    <w:rsid w:val="005F2B8D"/>
    <w:rsid w:val="005F2BEE"/>
    <w:rsid w:val="005F2EE5"/>
    <w:rsid w:val="005F2F29"/>
    <w:rsid w:val="005F2F3E"/>
    <w:rsid w:val="005F30D2"/>
    <w:rsid w:val="005F3115"/>
    <w:rsid w:val="005F3157"/>
    <w:rsid w:val="005F31C6"/>
    <w:rsid w:val="005F31F2"/>
    <w:rsid w:val="005F3244"/>
    <w:rsid w:val="005F32D9"/>
    <w:rsid w:val="005F32E7"/>
    <w:rsid w:val="005F33FF"/>
    <w:rsid w:val="005F3562"/>
    <w:rsid w:val="005F3669"/>
    <w:rsid w:val="005F372F"/>
    <w:rsid w:val="005F389F"/>
    <w:rsid w:val="005F38FA"/>
    <w:rsid w:val="005F3929"/>
    <w:rsid w:val="005F39F3"/>
    <w:rsid w:val="005F3B58"/>
    <w:rsid w:val="005F3B9A"/>
    <w:rsid w:val="005F3C74"/>
    <w:rsid w:val="005F4109"/>
    <w:rsid w:val="005F452D"/>
    <w:rsid w:val="005F49D1"/>
    <w:rsid w:val="005F49EE"/>
    <w:rsid w:val="005F4A76"/>
    <w:rsid w:val="005F4AA0"/>
    <w:rsid w:val="005F4CE0"/>
    <w:rsid w:val="005F4D9B"/>
    <w:rsid w:val="005F51CF"/>
    <w:rsid w:val="005F5203"/>
    <w:rsid w:val="005F5241"/>
    <w:rsid w:val="005F5284"/>
    <w:rsid w:val="005F54D7"/>
    <w:rsid w:val="005F55C2"/>
    <w:rsid w:val="005F55F4"/>
    <w:rsid w:val="005F5654"/>
    <w:rsid w:val="005F5709"/>
    <w:rsid w:val="005F58BA"/>
    <w:rsid w:val="005F58E6"/>
    <w:rsid w:val="005F5984"/>
    <w:rsid w:val="005F5BB5"/>
    <w:rsid w:val="005F5CBA"/>
    <w:rsid w:val="005F5D11"/>
    <w:rsid w:val="005F5D2F"/>
    <w:rsid w:val="005F5EC5"/>
    <w:rsid w:val="005F5FB5"/>
    <w:rsid w:val="005F61E1"/>
    <w:rsid w:val="005F6434"/>
    <w:rsid w:val="005F6465"/>
    <w:rsid w:val="005F64A3"/>
    <w:rsid w:val="005F64F1"/>
    <w:rsid w:val="005F6537"/>
    <w:rsid w:val="005F682A"/>
    <w:rsid w:val="005F695D"/>
    <w:rsid w:val="005F698B"/>
    <w:rsid w:val="005F69BD"/>
    <w:rsid w:val="005F69DB"/>
    <w:rsid w:val="005F69F8"/>
    <w:rsid w:val="005F6A32"/>
    <w:rsid w:val="005F6A86"/>
    <w:rsid w:val="005F6B99"/>
    <w:rsid w:val="005F6CE1"/>
    <w:rsid w:val="005F6D2E"/>
    <w:rsid w:val="005F6D64"/>
    <w:rsid w:val="005F6D7B"/>
    <w:rsid w:val="005F6DB3"/>
    <w:rsid w:val="005F6E3B"/>
    <w:rsid w:val="005F6F24"/>
    <w:rsid w:val="005F6F69"/>
    <w:rsid w:val="005F7011"/>
    <w:rsid w:val="005F7121"/>
    <w:rsid w:val="005F720E"/>
    <w:rsid w:val="005F7237"/>
    <w:rsid w:val="005F7570"/>
    <w:rsid w:val="005F7597"/>
    <w:rsid w:val="005F75DE"/>
    <w:rsid w:val="005F7728"/>
    <w:rsid w:val="005F77D2"/>
    <w:rsid w:val="005F78C4"/>
    <w:rsid w:val="005F78F1"/>
    <w:rsid w:val="005F7932"/>
    <w:rsid w:val="005F7968"/>
    <w:rsid w:val="005F7CA7"/>
    <w:rsid w:val="005F7D53"/>
    <w:rsid w:val="005F7DE8"/>
    <w:rsid w:val="005F7F2D"/>
    <w:rsid w:val="005F7FBB"/>
    <w:rsid w:val="00600053"/>
    <w:rsid w:val="006003C3"/>
    <w:rsid w:val="006003F1"/>
    <w:rsid w:val="00600447"/>
    <w:rsid w:val="00600449"/>
    <w:rsid w:val="0060052E"/>
    <w:rsid w:val="0060058E"/>
    <w:rsid w:val="00600907"/>
    <w:rsid w:val="00600940"/>
    <w:rsid w:val="00600956"/>
    <w:rsid w:val="00600A80"/>
    <w:rsid w:val="00600B5D"/>
    <w:rsid w:val="00600BD6"/>
    <w:rsid w:val="00600BFB"/>
    <w:rsid w:val="00600C38"/>
    <w:rsid w:val="00600D06"/>
    <w:rsid w:val="00600F23"/>
    <w:rsid w:val="006011E1"/>
    <w:rsid w:val="0060124B"/>
    <w:rsid w:val="006014CF"/>
    <w:rsid w:val="0060153C"/>
    <w:rsid w:val="0060155D"/>
    <w:rsid w:val="006016A0"/>
    <w:rsid w:val="00601730"/>
    <w:rsid w:val="00601990"/>
    <w:rsid w:val="00601BB8"/>
    <w:rsid w:val="00601BD2"/>
    <w:rsid w:val="00601E2D"/>
    <w:rsid w:val="00601F84"/>
    <w:rsid w:val="00602320"/>
    <w:rsid w:val="00602372"/>
    <w:rsid w:val="00602381"/>
    <w:rsid w:val="006023EB"/>
    <w:rsid w:val="006023EE"/>
    <w:rsid w:val="00602401"/>
    <w:rsid w:val="00602669"/>
    <w:rsid w:val="006026A5"/>
    <w:rsid w:val="0060278E"/>
    <w:rsid w:val="006027E9"/>
    <w:rsid w:val="00602876"/>
    <w:rsid w:val="006028FA"/>
    <w:rsid w:val="00602A62"/>
    <w:rsid w:val="00602B19"/>
    <w:rsid w:val="00602B98"/>
    <w:rsid w:val="00602C1B"/>
    <w:rsid w:val="00602D11"/>
    <w:rsid w:val="00602D40"/>
    <w:rsid w:val="00602E81"/>
    <w:rsid w:val="00602F64"/>
    <w:rsid w:val="006030B0"/>
    <w:rsid w:val="006032A1"/>
    <w:rsid w:val="006032A8"/>
    <w:rsid w:val="00603311"/>
    <w:rsid w:val="0060335C"/>
    <w:rsid w:val="00603388"/>
    <w:rsid w:val="0060339E"/>
    <w:rsid w:val="0060339F"/>
    <w:rsid w:val="00603434"/>
    <w:rsid w:val="006038A6"/>
    <w:rsid w:val="00603A08"/>
    <w:rsid w:val="00603A88"/>
    <w:rsid w:val="00603BAF"/>
    <w:rsid w:val="00603D0F"/>
    <w:rsid w:val="00603F14"/>
    <w:rsid w:val="00603FF2"/>
    <w:rsid w:val="00604158"/>
    <w:rsid w:val="006041F2"/>
    <w:rsid w:val="0060436A"/>
    <w:rsid w:val="00604406"/>
    <w:rsid w:val="0060468B"/>
    <w:rsid w:val="0060478C"/>
    <w:rsid w:val="006048C2"/>
    <w:rsid w:val="006048D4"/>
    <w:rsid w:val="00604929"/>
    <w:rsid w:val="00604F25"/>
    <w:rsid w:val="00605153"/>
    <w:rsid w:val="00605803"/>
    <w:rsid w:val="006058C4"/>
    <w:rsid w:val="00605B24"/>
    <w:rsid w:val="00605BF7"/>
    <w:rsid w:val="00605C88"/>
    <w:rsid w:val="00605D52"/>
    <w:rsid w:val="00605D84"/>
    <w:rsid w:val="00605DA5"/>
    <w:rsid w:val="00605F7D"/>
    <w:rsid w:val="006060AB"/>
    <w:rsid w:val="00606146"/>
    <w:rsid w:val="006062AC"/>
    <w:rsid w:val="0060641A"/>
    <w:rsid w:val="00606463"/>
    <w:rsid w:val="0060666C"/>
    <w:rsid w:val="006066AD"/>
    <w:rsid w:val="0060674B"/>
    <w:rsid w:val="006067C8"/>
    <w:rsid w:val="006067E5"/>
    <w:rsid w:val="006068F0"/>
    <w:rsid w:val="006069F9"/>
    <w:rsid w:val="00606A49"/>
    <w:rsid w:val="00606B43"/>
    <w:rsid w:val="00606C5F"/>
    <w:rsid w:val="00606CC9"/>
    <w:rsid w:val="00606D68"/>
    <w:rsid w:val="00606E11"/>
    <w:rsid w:val="00606E34"/>
    <w:rsid w:val="00606F01"/>
    <w:rsid w:val="0060714D"/>
    <w:rsid w:val="0060744E"/>
    <w:rsid w:val="006075B1"/>
    <w:rsid w:val="006076DC"/>
    <w:rsid w:val="00607703"/>
    <w:rsid w:val="0060778C"/>
    <w:rsid w:val="0060779A"/>
    <w:rsid w:val="00607801"/>
    <w:rsid w:val="006078EE"/>
    <w:rsid w:val="00607A20"/>
    <w:rsid w:val="00607A7A"/>
    <w:rsid w:val="00607AC2"/>
    <w:rsid w:val="00607B51"/>
    <w:rsid w:val="00607BCC"/>
    <w:rsid w:val="00607C8B"/>
    <w:rsid w:val="00607D1E"/>
    <w:rsid w:val="00607E6C"/>
    <w:rsid w:val="00607F18"/>
    <w:rsid w:val="0061000D"/>
    <w:rsid w:val="00610056"/>
    <w:rsid w:val="006103E5"/>
    <w:rsid w:val="00610468"/>
    <w:rsid w:val="00610796"/>
    <w:rsid w:val="0061080D"/>
    <w:rsid w:val="006109D7"/>
    <w:rsid w:val="00610B22"/>
    <w:rsid w:val="00610CCE"/>
    <w:rsid w:val="00610CD8"/>
    <w:rsid w:val="00610D7C"/>
    <w:rsid w:val="0061103F"/>
    <w:rsid w:val="006111C9"/>
    <w:rsid w:val="006111F2"/>
    <w:rsid w:val="006112A3"/>
    <w:rsid w:val="006112E7"/>
    <w:rsid w:val="00611383"/>
    <w:rsid w:val="00611462"/>
    <w:rsid w:val="00611508"/>
    <w:rsid w:val="0061178B"/>
    <w:rsid w:val="006117E0"/>
    <w:rsid w:val="00611A0A"/>
    <w:rsid w:val="00611C39"/>
    <w:rsid w:val="00611E0D"/>
    <w:rsid w:val="006120E4"/>
    <w:rsid w:val="0061211F"/>
    <w:rsid w:val="00612398"/>
    <w:rsid w:val="006123F3"/>
    <w:rsid w:val="00612694"/>
    <w:rsid w:val="00612BF1"/>
    <w:rsid w:val="00612CD9"/>
    <w:rsid w:val="00612D50"/>
    <w:rsid w:val="00612D9F"/>
    <w:rsid w:val="00612DC8"/>
    <w:rsid w:val="00612F0F"/>
    <w:rsid w:val="00612FA0"/>
    <w:rsid w:val="006132F7"/>
    <w:rsid w:val="0061333C"/>
    <w:rsid w:val="006133C4"/>
    <w:rsid w:val="0061348B"/>
    <w:rsid w:val="006134A8"/>
    <w:rsid w:val="0061350E"/>
    <w:rsid w:val="006136F2"/>
    <w:rsid w:val="0061371C"/>
    <w:rsid w:val="0061377A"/>
    <w:rsid w:val="0061380C"/>
    <w:rsid w:val="006138F7"/>
    <w:rsid w:val="00613A71"/>
    <w:rsid w:val="00613C85"/>
    <w:rsid w:val="00613DE8"/>
    <w:rsid w:val="00613E96"/>
    <w:rsid w:val="00613E9F"/>
    <w:rsid w:val="00613EF1"/>
    <w:rsid w:val="00614052"/>
    <w:rsid w:val="0061414A"/>
    <w:rsid w:val="006141BF"/>
    <w:rsid w:val="00614246"/>
    <w:rsid w:val="00614274"/>
    <w:rsid w:val="006142E6"/>
    <w:rsid w:val="00614652"/>
    <w:rsid w:val="0061467D"/>
    <w:rsid w:val="006149AA"/>
    <w:rsid w:val="006149DB"/>
    <w:rsid w:val="00614C3A"/>
    <w:rsid w:val="00614C87"/>
    <w:rsid w:val="00614CE6"/>
    <w:rsid w:val="006150F3"/>
    <w:rsid w:val="00615163"/>
    <w:rsid w:val="0061555F"/>
    <w:rsid w:val="00615611"/>
    <w:rsid w:val="0061565D"/>
    <w:rsid w:val="0061574C"/>
    <w:rsid w:val="006159F8"/>
    <w:rsid w:val="00615A17"/>
    <w:rsid w:val="00615C4F"/>
    <w:rsid w:val="00615CA5"/>
    <w:rsid w:val="00615D43"/>
    <w:rsid w:val="00615F29"/>
    <w:rsid w:val="00615F3E"/>
    <w:rsid w:val="00616192"/>
    <w:rsid w:val="006161B4"/>
    <w:rsid w:val="00616250"/>
    <w:rsid w:val="006162B9"/>
    <w:rsid w:val="00616361"/>
    <w:rsid w:val="006163A5"/>
    <w:rsid w:val="0061648C"/>
    <w:rsid w:val="0061649E"/>
    <w:rsid w:val="006165E7"/>
    <w:rsid w:val="006168ED"/>
    <w:rsid w:val="006168F8"/>
    <w:rsid w:val="00616A71"/>
    <w:rsid w:val="00616AC6"/>
    <w:rsid w:val="00616AC9"/>
    <w:rsid w:val="00616BCC"/>
    <w:rsid w:val="00616D5C"/>
    <w:rsid w:val="00616E57"/>
    <w:rsid w:val="00616E6F"/>
    <w:rsid w:val="00616FDD"/>
    <w:rsid w:val="0061703F"/>
    <w:rsid w:val="006173B0"/>
    <w:rsid w:val="00617412"/>
    <w:rsid w:val="0061761A"/>
    <w:rsid w:val="00617802"/>
    <w:rsid w:val="00617901"/>
    <w:rsid w:val="00617944"/>
    <w:rsid w:val="00617A0E"/>
    <w:rsid w:val="00617AF0"/>
    <w:rsid w:val="0062006A"/>
    <w:rsid w:val="006205B4"/>
    <w:rsid w:val="00620682"/>
    <w:rsid w:val="00620908"/>
    <w:rsid w:val="00620ADD"/>
    <w:rsid w:val="00620C9C"/>
    <w:rsid w:val="00620ED9"/>
    <w:rsid w:val="00620F2E"/>
    <w:rsid w:val="00620FD2"/>
    <w:rsid w:val="006211FC"/>
    <w:rsid w:val="0062138B"/>
    <w:rsid w:val="006214F3"/>
    <w:rsid w:val="006215A7"/>
    <w:rsid w:val="006216EF"/>
    <w:rsid w:val="0062171B"/>
    <w:rsid w:val="00621748"/>
    <w:rsid w:val="006217A8"/>
    <w:rsid w:val="0062194E"/>
    <w:rsid w:val="00621BC7"/>
    <w:rsid w:val="00621CAE"/>
    <w:rsid w:val="00621DAC"/>
    <w:rsid w:val="00621DE7"/>
    <w:rsid w:val="006222BC"/>
    <w:rsid w:val="00622399"/>
    <w:rsid w:val="00622448"/>
    <w:rsid w:val="006224D2"/>
    <w:rsid w:val="00622874"/>
    <w:rsid w:val="0062288A"/>
    <w:rsid w:val="006228BC"/>
    <w:rsid w:val="00622981"/>
    <w:rsid w:val="00622A48"/>
    <w:rsid w:val="00622B0A"/>
    <w:rsid w:val="00622DA4"/>
    <w:rsid w:val="00622E8C"/>
    <w:rsid w:val="00622EE2"/>
    <w:rsid w:val="00623486"/>
    <w:rsid w:val="006234CB"/>
    <w:rsid w:val="00623A48"/>
    <w:rsid w:val="00623BAC"/>
    <w:rsid w:val="00623C5C"/>
    <w:rsid w:val="00623D15"/>
    <w:rsid w:val="00623DFF"/>
    <w:rsid w:val="00623FE6"/>
    <w:rsid w:val="00624001"/>
    <w:rsid w:val="00624045"/>
    <w:rsid w:val="00624077"/>
    <w:rsid w:val="0062411C"/>
    <w:rsid w:val="00624299"/>
    <w:rsid w:val="006242F5"/>
    <w:rsid w:val="006243D0"/>
    <w:rsid w:val="006243EB"/>
    <w:rsid w:val="006244A2"/>
    <w:rsid w:val="00624566"/>
    <w:rsid w:val="0062463C"/>
    <w:rsid w:val="00624714"/>
    <w:rsid w:val="00624796"/>
    <w:rsid w:val="006248C7"/>
    <w:rsid w:val="00624955"/>
    <w:rsid w:val="00624AD3"/>
    <w:rsid w:val="00624C04"/>
    <w:rsid w:val="00624ECF"/>
    <w:rsid w:val="00624EF6"/>
    <w:rsid w:val="00624FAA"/>
    <w:rsid w:val="0062511B"/>
    <w:rsid w:val="006254BA"/>
    <w:rsid w:val="00625536"/>
    <w:rsid w:val="006256F8"/>
    <w:rsid w:val="006257F7"/>
    <w:rsid w:val="00625851"/>
    <w:rsid w:val="006258E5"/>
    <w:rsid w:val="00625936"/>
    <w:rsid w:val="006259EB"/>
    <w:rsid w:val="00625AC1"/>
    <w:rsid w:val="00625D03"/>
    <w:rsid w:val="00625DF9"/>
    <w:rsid w:val="00625E52"/>
    <w:rsid w:val="0062635F"/>
    <w:rsid w:val="006265F5"/>
    <w:rsid w:val="00626698"/>
    <w:rsid w:val="0062674F"/>
    <w:rsid w:val="006267F8"/>
    <w:rsid w:val="00626AC1"/>
    <w:rsid w:val="00626C9B"/>
    <w:rsid w:val="00626DCB"/>
    <w:rsid w:val="006273CA"/>
    <w:rsid w:val="006273D7"/>
    <w:rsid w:val="006274F7"/>
    <w:rsid w:val="00627593"/>
    <w:rsid w:val="00627712"/>
    <w:rsid w:val="00627973"/>
    <w:rsid w:val="00627B64"/>
    <w:rsid w:val="00627D49"/>
    <w:rsid w:val="00627D6A"/>
    <w:rsid w:val="00627D91"/>
    <w:rsid w:val="00627F24"/>
    <w:rsid w:val="00627F2B"/>
    <w:rsid w:val="00627F60"/>
    <w:rsid w:val="00627F7F"/>
    <w:rsid w:val="00627FFA"/>
    <w:rsid w:val="006303B8"/>
    <w:rsid w:val="006305AA"/>
    <w:rsid w:val="006305B2"/>
    <w:rsid w:val="00630663"/>
    <w:rsid w:val="006307A7"/>
    <w:rsid w:val="00630811"/>
    <w:rsid w:val="00630922"/>
    <w:rsid w:val="00630966"/>
    <w:rsid w:val="00630B20"/>
    <w:rsid w:val="00630B92"/>
    <w:rsid w:val="00630D38"/>
    <w:rsid w:val="00630EC4"/>
    <w:rsid w:val="00630EC9"/>
    <w:rsid w:val="00630F38"/>
    <w:rsid w:val="0063135D"/>
    <w:rsid w:val="006314E5"/>
    <w:rsid w:val="006314F6"/>
    <w:rsid w:val="0063153C"/>
    <w:rsid w:val="00631782"/>
    <w:rsid w:val="00631807"/>
    <w:rsid w:val="00631A34"/>
    <w:rsid w:val="00631A8B"/>
    <w:rsid w:val="00631ADC"/>
    <w:rsid w:val="00631B01"/>
    <w:rsid w:val="00631B4C"/>
    <w:rsid w:val="00631CE0"/>
    <w:rsid w:val="00631F6B"/>
    <w:rsid w:val="0063200F"/>
    <w:rsid w:val="00632170"/>
    <w:rsid w:val="00632318"/>
    <w:rsid w:val="00632522"/>
    <w:rsid w:val="0063257B"/>
    <w:rsid w:val="006328B1"/>
    <w:rsid w:val="006328CE"/>
    <w:rsid w:val="0063294B"/>
    <w:rsid w:val="00632B97"/>
    <w:rsid w:val="00632BF1"/>
    <w:rsid w:val="00632C8E"/>
    <w:rsid w:val="00632CB6"/>
    <w:rsid w:val="00632CB9"/>
    <w:rsid w:val="00632EB6"/>
    <w:rsid w:val="00632F2E"/>
    <w:rsid w:val="006331CE"/>
    <w:rsid w:val="006331E4"/>
    <w:rsid w:val="006331F0"/>
    <w:rsid w:val="00633282"/>
    <w:rsid w:val="0063345B"/>
    <w:rsid w:val="0063393E"/>
    <w:rsid w:val="00633B4E"/>
    <w:rsid w:val="00633F3E"/>
    <w:rsid w:val="00634101"/>
    <w:rsid w:val="0063429C"/>
    <w:rsid w:val="006343F5"/>
    <w:rsid w:val="00634458"/>
    <w:rsid w:val="0063448B"/>
    <w:rsid w:val="006345F5"/>
    <w:rsid w:val="0063466B"/>
    <w:rsid w:val="00634716"/>
    <w:rsid w:val="006347E5"/>
    <w:rsid w:val="006348D9"/>
    <w:rsid w:val="0063499D"/>
    <w:rsid w:val="006349EB"/>
    <w:rsid w:val="00634A09"/>
    <w:rsid w:val="00634AB6"/>
    <w:rsid w:val="00634B59"/>
    <w:rsid w:val="00634CB6"/>
    <w:rsid w:val="00634DF8"/>
    <w:rsid w:val="00634E90"/>
    <w:rsid w:val="00634F08"/>
    <w:rsid w:val="006352B5"/>
    <w:rsid w:val="006353E9"/>
    <w:rsid w:val="0063569B"/>
    <w:rsid w:val="00635735"/>
    <w:rsid w:val="00635864"/>
    <w:rsid w:val="00635A35"/>
    <w:rsid w:val="00635B5C"/>
    <w:rsid w:val="00635BAE"/>
    <w:rsid w:val="00635BD1"/>
    <w:rsid w:val="00635DA4"/>
    <w:rsid w:val="00635F26"/>
    <w:rsid w:val="00635FF0"/>
    <w:rsid w:val="00636053"/>
    <w:rsid w:val="0063612C"/>
    <w:rsid w:val="00636180"/>
    <w:rsid w:val="00636563"/>
    <w:rsid w:val="0063659E"/>
    <w:rsid w:val="006366F5"/>
    <w:rsid w:val="006367DD"/>
    <w:rsid w:val="006369EB"/>
    <w:rsid w:val="00636A36"/>
    <w:rsid w:val="00636A9C"/>
    <w:rsid w:val="00636B79"/>
    <w:rsid w:val="00636C54"/>
    <w:rsid w:val="00636F38"/>
    <w:rsid w:val="00636F79"/>
    <w:rsid w:val="00637180"/>
    <w:rsid w:val="00637321"/>
    <w:rsid w:val="00637365"/>
    <w:rsid w:val="006374BF"/>
    <w:rsid w:val="006374E9"/>
    <w:rsid w:val="0063759F"/>
    <w:rsid w:val="00637996"/>
    <w:rsid w:val="00637A24"/>
    <w:rsid w:val="00637B5D"/>
    <w:rsid w:val="00637D90"/>
    <w:rsid w:val="00637D95"/>
    <w:rsid w:val="00637EC2"/>
    <w:rsid w:val="00637ED4"/>
    <w:rsid w:val="00640013"/>
    <w:rsid w:val="006402EF"/>
    <w:rsid w:val="00640562"/>
    <w:rsid w:val="00640727"/>
    <w:rsid w:val="0064072E"/>
    <w:rsid w:val="006407BE"/>
    <w:rsid w:val="00640857"/>
    <w:rsid w:val="00640A68"/>
    <w:rsid w:val="00640C6F"/>
    <w:rsid w:val="00640CF8"/>
    <w:rsid w:val="00640D7D"/>
    <w:rsid w:val="00640DC0"/>
    <w:rsid w:val="00640DE0"/>
    <w:rsid w:val="00640EA8"/>
    <w:rsid w:val="00640FB9"/>
    <w:rsid w:val="00641033"/>
    <w:rsid w:val="00641058"/>
    <w:rsid w:val="006410F6"/>
    <w:rsid w:val="006411ED"/>
    <w:rsid w:val="00641290"/>
    <w:rsid w:val="00641541"/>
    <w:rsid w:val="00641559"/>
    <w:rsid w:val="0064170C"/>
    <w:rsid w:val="00641759"/>
    <w:rsid w:val="006419E4"/>
    <w:rsid w:val="00641B0A"/>
    <w:rsid w:val="00641C71"/>
    <w:rsid w:val="00641D5A"/>
    <w:rsid w:val="00641EC0"/>
    <w:rsid w:val="00641F93"/>
    <w:rsid w:val="0064208F"/>
    <w:rsid w:val="006422F1"/>
    <w:rsid w:val="0064241F"/>
    <w:rsid w:val="006424ED"/>
    <w:rsid w:val="00642502"/>
    <w:rsid w:val="0064259D"/>
    <w:rsid w:val="00642698"/>
    <w:rsid w:val="00642777"/>
    <w:rsid w:val="006428E2"/>
    <w:rsid w:val="006428F2"/>
    <w:rsid w:val="00642901"/>
    <w:rsid w:val="00642B7D"/>
    <w:rsid w:val="00642D73"/>
    <w:rsid w:val="00642E05"/>
    <w:rsid w:val="00642EBC"/>
    <w:rsid w:val="00642FAB"/>
    <w:rsid w:val="00643058"/>
    <w:rsid w:val="006435CD"/>
    <w:rsid w:val="00643622"/>
    <w:rsid w:val="0064367E"/>
    <w:rsid w:val="006439C4"/>
    <w:rsid w:val="00643A15"/>
    <w:rsid w:val="00643AE0"/>
    <w:rsid w:val="00643B89"/>
    <w:rsid w:val="00643C62"/>
    <w:rsid w:val="00643CCC"/>
    <w:rsid w:val="00643D0D"/>
    <w:rsid w:val="006440B6"/>
    <w:rsid w:val="00644133"/>
    <w:rsid w:val="00644240"/>
    <w:rsid w:val="006442BB"/>
    <w:rsid w:val="00644420"/>
    <w:rsid w:val="00644786"/>
    <w:rsid w:val="006447C4"/>
    <w:rsid w:val="006447F1"/>
    <w:rsid w:val="006448B8"/>
    <w:rsid w:val="00644A45"/>
    <w:rsid w:val="00644A7C"/>
    <w:rsid w:val="00644AE4"/>
    <w:rsid w:val="00644C37"/>
    <w:rsid w:val="00644DA2"/>
    <w:rsid w:val="00645354"/>
    <w:rsid w:val="006453A7"/>
    <w:rsid w:val="006454EF"/>
    <w:rsid w:val="00645511"/>
    <w:rsid w:val="00645578"/>
    <w:rsid w:val="0064573C"/>
    <w:rsid w:val="00645890"/>
    <w:rsid w:val="00645936"/>
    <w:rsid w:val="006459E6"/>
    <w:rsid w:val="00645A7F"/>
    <w:rsid w:val="00645C1D"/>
    <w:rsid w:val="00645FA5"/>
    <w:rsid w:val="0064603B"/>
    <w:rsid w:val="00646259"/>
    <w:rsid w:val="00646433"/>
    <w:rsid w:val="00646566"/>
    <w:rsid w:val="0064668B"/>
    <w:rsid w:val="006466CC"/>
    <w:rsid w:val="006468C7"/>
    <w:rsid w:val="00646999"/>
    <w:rsid w:val="00646B92"/>
    <w:rsid w:val="00646C78"/>
    <w:rsid w:val="00646CCC"/>
    <w:rsid w:val="00646D8C"/>
    <w:rsid w:val="00646DFB"/>
    <w:rsid w:val="00646E73"/>
    <w:rsid w:val="00646EA9"/>
    <w:rsid w:val="00646FB4"/>
    <w:rsid w:val="00647008"/>
    <w:rsid w:val="006470B1"/>
    <w:rsid w:val="00647402"/>
    <w:rsid w:val="00647412"/>
    <w:rsid w:val="0064745A"/>
    <w:rsid w:val="00647573"/>
    <w:rsid w:val="00647657"/>
    <w:rsid w:val="00647AEF"/>
    <w:rsid w:val="00647B9E"/>
    <w:rsid w:val="00647D87"/>
    <w:rsid w:val="00647E89"/>
    <w:rsid w:val="0065001E"/>
    <w:rsid w:val="00650093"/>
    <w:rsid w:val="00650174"/>
    <w:rsid w:val="00650282"/>
    <w:rsid w:val="0065029E"/>
    <w:rsid w:val="00650380"/>
    <w:rsid w:val="006503EC"/>
    <w:rsid w:val="00650532"/>
    <w:rsid w:val="006505EE"/>
    <w:rsid w:val="00650751"/>
    <w:rsid w:val="006508E9"/>
    <w:rsid w:val="00650A11"/>
    <w:rsid w:val="00650A1C"/>
    <w:rsid w:val="00650B68"/>
    <w:rsid w:val="00650D29"/>
    <w:rsid w:val="00650D3F"/>
    <w:rsid w:val="00650FA5"/>
    <w:rsid w:val="00650FE0"/>
    <w:rsid w:val="00651191"/>
    <w:rsid w:val="006511BB"/>
    <w:rsid w:val="006511DE"/>
    <w:rsid w:val="00651205"/>
    <w:rsid w:val="0065141D"/>
    <w:rsid w:val="006514CE"/>
    <w:rsid w:val="00651719"/>
    <w:rsid w:val="0065181D"/>
    <w:rsid w:val="0065182A"/>
    <w:rsid w:val="0065195C"/>
    <w:rsid w:val="00651969"/>
    <w:rsid w:val="00651A0D"/>
    <w:rsid w:val="00651CE9"/>
    <w:rsid w:val="00651DAD"/>
    <w:rsid w:val="00651E0F"/>
    <w:rsid w:val="00651E95"/>
    <w:rsid w:val="00651EEF"/>
    <w:rsid w:val="00651F6C"/>
    <w:rsid w:val="0065231D"/>
    <w:rsid w:val="0065241D"/>
    <w:rsid w:val="006524FB"/>
    <w:rsid w:val="00652775"/>
    <w:rsid w:val="006527AE"/>
    <w:rsid w:val="0065282B"/>
    <w:rsid w:val="00652A4D"/>
    <w:rsid w:val="00652BE5"/>
    <w:rsid w:val="0065303C"/>
    <w:rsid w:val="00653115"/>
    <w:rsid w:val="006531EF"/>
    <w:rsid w:val="00653298"/>
    <w:rsid w:val="006532B6"/>
    <w:rsid w:val="00653344"/>
    <w:rsid w:val="0065342E"/>
    <w:rsid w:val="00653557"/>
    <w:rsid w:val="006538E2"/>
    <w:rsid w:val="0065392C"/>
    <w:rsid w:val="006539C2"/>
    <w:rsid w:val="00653AE5"/>
    <w:rsid w:val="00653C0C"/>
    <w:rsid w:val="00653D2A"/>
    <w:rsid w:val="00653F48"/>
    <w:rsid w:val="006541AC"/>
    <w:rsid w:val="0065428F"/>
    <w:rsid w:val="0065429D"/>
    <w:rsid w:val="006543AC"/>
    <w:rsid w:val="006543D5"/>
    <w:rsid w:val="00654559"/>
    <w:rsid w:val="006549EC"/>
    <w:rsid w:val="00654C20"/>
    <w:rsid w:val="00654CDF"/>
    <w:rsid w:val="00654DA0"/>
    <w:rsid w:val="00654E2A"/>
    <w:rsid w:val="00654E5C"/>
    <w:rsid w:val="00655088"/>
    <w:rsid w:val="00655215"/>
    <w:rsid w:val="006552CA"/>
    <w:rsid w:val="006552F4"/>
    <w:rsid w:val="00655353"/>
    <w:rsid w:val="006553A1"/>
    <w:rsid w:val="006553EA"/>
    <w:rsid w:val="006553EB"/>
    <w:rsid w:val="00655449"/>
    <w:rsid w:val="006555D7"/>
    <w:rsid w:val="0065569C"/>
    <w:rsid w:val="00655730"/>
    <w:rsid w:val="006558F2"/>
    <w:rsid w:val="0065599A"/>
    <w:rsid w:val="006559B5"/>
    <w:rsid w:val="00655C24"/>
    <w:rsid w:val="00655C90"/>
    <w:rsid w:val="00655DA6"/>
    <w:rsid w:val="00655F4A"/>
    <w:rsid w:val="0065604B"/>
    <w:rsid w:val="006560DF"/>
    <w:rsid w:val="006560EA"/>
    <w:rsid w:val="00656305"/>
    <w:rsid w:val="00656375"/>
    <w:rsid w:val="00656389"/>
    <w:rsid w:val="00656432"/>
    <w:rsid w:val="00656618"/>
    <w:rsid w:val="006566EF"/>
    <w:rsid w:val="00656AF2"/>
    <w:rsid w:val="00656AF3"/>
    <w:rsid w:val="00656B46"/>
    <w:rsid w:val="00656C1C"/>
    <w:rsid w:val="00656CB4"/>
    <w:rsid w:val="00656DE6"/>
    <w:rsid w:val="00656E5E"/>
    <w:rsid w:val="00656EA4"/>
    <w:rsid w:val="00656F43"/>
    <w:rsid w:val="00656F58"/>
    <w:rsid w:val="00657021"/>
    <w:rsid w:val="0065702D"/>
    <w:rsid w:val="00657333"/>
    <w:rsid w:val="00657369"/>
    <w:rsid w:val="0065774F"/>
    <w:rsid w:val="0065782F"/>
    <w:rsid w:val="006579FE"/>
    <w:rsid w:val="00657A38"/>
    <w:rsid w:val="00657BEF"/>
    <w:rsid w:val="00657CB6"/>
    <w:rsid w:val="00657D49"/>
    <w:rsid w:val="00657F86"/>
    <w:rsid w:val="00660121"/>
    <w:rsid w:val="00660142"/>
    <w:rsid w:val="0066034A"/>
    <w:rsid w:val="0066044F"/>
    <w:rsid w:val="0066046D"/>
    <w:rsid w:val="006604C9"/>
    <w:rsid w:val="006605DD"/>
    <w:rsid w:val="006605EC"/>
    <w:rsid w:val="006606DE"/>
    <w:rsid w:val="00660A31"/>
    <w:rsid w:val="00660C5A"/>
    <w:rsid w:val="00660D3D"/>
    <w:rsid w:val="00660D6D"/>
    <w:rsid w:val="00660FEE"/>
    <w:rsid w:val="006612A8"/>
    <w:rsid w:val="00661465"/>
    <w:rsid w:val="00661580"/>
    <w:rsid w:val="00661588"/>
    <w:rsid w:val="0066159C"/>
    <w:rsid w:val="006619A2"/>
    <w:rsid w:val="00661D23"/>
    <w:rsid w:val="00661E35"/>
    <w:rsid w:val="00661FAD"/>
    <w:rsid w:val="00662044"/>
    <w:rsid w:val="006620C6"/>
    <w:rsid w:val="006620F5"/>
    <w:rsid w:val="00662169"/>
    <w:rsid w:val="00662352"/>
    <w:rsid w:val="0066249A"/>
    <w:rsid w:val="00662509"/>
    <w:rsid w:val="00662678"/>
    <w:rsid w:val="006627E3"/>
    <w:rsid w:val="00662A8F"/>
    <w:rsid w:val="00662B91"/>
    <w:rsid w:val="00662CF8"/>
    <w:rsid w:val="00662D4B"/>
    <w:rsid w:val="00662D60"/>
    <w:rsid w:val="00662F07"/>
    <w:rsid w:val="00662F70"/>
    <w:rsid w:val="00663072"/>
    <w:rsid w:val="006631B8"/>
    <w:rsid w:val="00663336"/>
    <w:rsid w:val="00663365"/>
    <w:rsid w:val="006634C4"/>
    <w:rsid w:val="006638AC"/>
    <w:rsid w:val="006638FD"/>
    <w:rsid w:val="006639DF"/>
    <w:rsid w:val="00663A49"/>
    <w:rsid w:val="00663B00"/>
    <w:rsid w:val="00663B07"/>
    <w:rsid w:val="00663B47"/>
    <w:rsid w:val="00663B73"/>
    <w:rsid w:val="00663BFF"/>
    <w:rsid w:val="00663D67"/>
    <w:rsid w:val="00663DD4"/>
    <w:rsid w:val="00663EF0"/>
    <w:rsid w:val="006642EC"/>
    <w:rsid w:val="00664378"/>
    <w:rsid w:val="006643B7"/>
    <w:rsid w:val="0066449C"/>
    <w:rsid w:val="0066453E"/>
    <w:rsid w:val="0066478E"/>
    <w:rsid w:val="00664924"/>
    <w:rsid w:val="0066497D"/>
    <w:rsid w:val="00664A1D"/>
    <w:rsid w:val="00664A3A"/>
    <w:rsid w:val="00664A51"/>
    <w:rsid w:val="00664A8B"/>
    <w:rsid w:val="00664ADB"/>
    <w:rsid w:val="00664B90"/>
    <w:rsid w:val="00664C12"/>
    <w:rsid w:val="00664C26"/>
    <w:rsid w:val="00664DC0"/>
    <w:rsid w:val="0066502F"/>
    <w:rsid w:val="006652E1"/>
    <w:rsid w:val="00665372"/>
    <w:rsid w:val="006653C4"/>
    <w:rsid w:val="0066541A"/>
    <w:rsid w:val="006654DE"/>
    <w:rsid w:val="00665566"/>
    <w:rsid w:val="006655A2"/>
    <w:rsid w:val="006655BD"/>
    <w:rsid w:val="0066563C"/>
    <w:rsid w:val="006656EC"/>
    <w:rsid w:val="00665711"/>
    <w:rsid w:val="0066590C"/>
    <w:rsid w:val="00665EAF"/>
    <w:rsid w:val="00666059"/>
    <w:rsid w:val="00666151"/>
    <w:rsid w:val="006662EE"/>
    <w:rsid w:val="006662F6"/>
    <w:rsid w:val="0066630F"/>
    <w:rsid w:val="00666328"/>
    <w:rsid w:val="00666348"/>
    <w:rsid w:val="00666406"/>
    <w:rsid w:val="0066652C"/>
    <w:rsid w:val="006665DD"/>
    <w:rsid w:val="00666870"/>
    <w:rsid w:val="006668D8"/>
    <w:rsid w:val="00666922"/>
    <w:rsid w:val="006669C2"/>
    <w:rsid w:val="00666A98"/>
    <w:rsid w:val="00666AA5"/>
    <w:rsid w:val="00666B60"/>
    <w:rsid w:val="00666D44"/>
    <w:rsid w:val="00666D94"/>
    <w:rsid w:val="00666EBE"/>
    <w:rsid w:val="00666EE9"/>
    <w:rsid w:val="00666F62"/>
    <w:rsid w:val="006674CB"/>
    <w:rsid w:val="00667571"/>
    <w:rsid w:val="00667625"/>
    <w:rsid w:val="00667977"/>
    <w:rsid w:val="00667ABA"/>
    <w:rsid w:val="00667D5E"/>
    <w:rsid w:val="00667DC0"/>
    <w:rsid w:val="00667EC0"/>
    <w:rsid w:val="00667EFC"/>
    <w:rsid w:val="00667F4F"/>
    <w:rsid w:val="00670226"/>
    <w:rsid w:val="00670301"/>
    <w:rsid w:val="00670305"/>
    <w:rsid w:val="006706AD"/>
    <w:rsid w:val="0067076D"/>
    <w:rsid w:val="00670850"/>
    <w:rsid w:val="006709C2"/>
    <w:rsid w:val="00671091"/>
    <w:rsid w:val="006710E7"/>
    <w:rsid w:val="006710EA"/>
    <w:rsid w:val="00671159"/>
    <w:rsid w:val="006712E9"/>
    <w:rsid w:val="0067143C"/>
    <w:rsid w:val="00671497"/>
    <w:rsid w:val="006714CC"/>
    <w:rsid w:val="0067158A"/>
    <w:rsid w:val="00671766"/>
    <w:rsid w:val="0067181A"/>
    <w:rsid w:val="006718D3"/>
    <w:rsid w:val="00671968"/>
    <w:rsid w:val="006719C0"/>
    <w:rsid w:val="006719E2"/>
    <w:rsid w:val="00671B82"/>
    <w:rsid w:val="00671CC1"/>
    <w:rsid w:val="00671D29"/>
    <w:rsid w:val="00671D48"/>
    <w:rsid w:val="00671E72"/>
    <w:rsid w:val="00671F2F"/>
    <w:rsid w:val="00671F5D"/>
    <w:rsid w:val="0067208F"/>
    <w:rsid w:val="006720EC"/>
    <w:rsid w:val="006721E9"/>
    <w:rsid w:val="0067233F"/>
    <w:rsid w:val="00672491"/>
    <w:rsid w:val="006724C8"/>
    <w:rsid w:val="00672536"/>
    <w:rsid w:val="006725A2"/>
    <w:rsid w:val="006725A4"/>
    <w:rsid w:val="006725E1"/>
    <w:rsid w:val="00672664"/>
    <w:rsid w:val="0067271F"/>
    <w:rsid w:val="00672831"/>
    <w:rsid w:val="0067283D"/>
    <w:rsid w:val="00672852"/>
    <w:rsid w:val="00672887"/>
    <w:rsid w:val="006729E4"/>
    <w:rsid w:val="00672A1C"/>
    <w:rsid w:val="00672AC0"/>
    <w:rsid w:val="00672B2C"/>
    <w:rsid w:val="00672BF1"/>
    <w:rsid w:val="00672BFF"/>
    <w:rsid w:val="00672EAC"/>
    <w:rsid w:val="0067304A"/>
    <w:rsid w:val="006730D4"/>
    <w:rsid w:val="0067316B"/>
    <w:rsid w:val="0067330F"/>
    <w:rsid w:val="0067353C"/>
    <w:rsid w:val="00673917"/>
    <w:rsid w:val="006739E8"/>
    <w:rsid w:val="00673A1F"/>
    <w:rsid w:val="00673AFE"/>
    <w:rsid w:val="00673B39"/>
    <w:rsid w:val="00673BD3"/>
    <w:rsid w:val="00673CC3"/>
    <w:rsid w:val="00674043"/>
    <w:rsid w:val="006740FB"/>
    <w:rsid w:val="0067431D"/>
    <w:rsid w:val="00674461"/>
    <w:rsid w:val="00674507"/>
    <w:rsid w:val="0067453F"/>
    <w:rsid w:val="0067461C"/>
    <w:rsid w:val="0067488C"/>
    <w:rsid w:val="00674968"/>
    <w:rsid w:val="0067498F"/>
    <w:rsid w:val="00674B8E"/>
    <w:rsid w:val="00674CE1"/>
    <w:rsid w:val="00674F33"/>
    <w:rsid w:val="00674F77"/>
    <w:rsid w:val="00675165"/>
    <w:rsid w:val="00675357"/>
    <w:rsid w:val="00675B74"/>
    <w:rsid w:val="00675BA1"/>
    <w:rsid w:val="00675BFF"/>
    <w:rsid w:val="00675C35"/>
    <w:rsid w:val="00675C43"/>
    <w:rsid w:val="00675E8D"/>
    <w:rsid w:val="00675F7B"/>
    <w:rsid w:val="00675FDB"/>
    <w:rsid w:val="00676031"/>
    <w:rsid w:val="00676057"/>
    <w:rsid w:val="00676082"/>
    <w:rsid w:val="006763E7"/>
    <w:rsid w:val="00676570"/>
    <w:rsid w:val="006766B7"/>
    <w:rsid w:val="006768C6"/>
    <w:rsid w:val="00676A7C"/>
    <w:rsid w:val="00676E02"/>
    <w:rsid w:val="00676E95"/>
    <w:rsid w:val="00676EEB"/>
    <w:rsid w:val="00676F5D"/>
    <w:rsid w:val="00676FD3"/>
    <w:rsid w:val="00677201"/>
    <w:rsid w:val="0067720E"/>
    <w:rsid w:val="00677373"/>
    <w:rsid w:val="006773CE"/>
    <w:rsid w:val="00677902"/>
    <w:rsid w:val="00677B59"/>
    <w:rsid w:val="00677B80"/>
    <w:rsid w:val="00677C65"/>
    <w:rsid w:val="00677CE1"/>
    <w:rsid w:val="00677E8E"/>
    <w:rsid w:val="00677F73"/>
    <w:rsid w:val="00680151"/>
    <w:rsid w:val="00680472"/>
    <w:rsid w:val="0068051F"/>
    <w:rsid w:val="006806E4"/>
    <w:rsid w:val="0068085E"/>
    <w:rsid w:val="00680880"/>
    <w:rsid w:val="00680A7C"/>
    <w:rsid w:val="00680B2F"/>
    <w:rsid w:val="00680BCC"/>
    <w:rsid w:val="00680CCA"/>
    <w:rsid w:val="00680DC2"/>
    <w:rsid w:val="00681004"/>
    <w:rsid w:val="00681209"/>
    <w:rsid w:val="006812CF"/>
    <w:rsid w:val="006813AB"/>
    <w:rsid w:val="006813B9"/>
    <w:rsid w:val="006813E8"/>
    <w:rsid w:val="00681758"/>
    <w:rsid w:val="006819ED"/>
    <w:rsid w:val="006819FD"/>
    <w:rsid w:val="00681B2E"/>
    <w:rsid w:val="00681CF0"/>
    <w:rsid w:val="00681D87"/>
    <w:rsid w:val="00681F6F"/>
    <w:rsid w:val="006820E6"/>
    <w:rsid w:val="006821B0"/>
    <w:rsid w:val="0068233C"/>
    <w:rsid w:val="006824EE"/>
    <w:rsid w:val="006827AA"/>
    <w:rsid w:val="0068295F"/>
    <w:rsid w:val="006829F7"/>
    <w:rsid w:val="00682BA8"/>
    <w:rsid w:val="00682BBC"/>
    <w:rsid w:val="00682BF3"/>
    <w:rsid w:val="00682D4B"/>
    <w:rsid w:val="00682E4C"/>
    <w:rsid w:val="00683163"/>
    <w:rsid w:val="006832C4"/>
    <w:rsid w:val="00683405"/>
    <w:rsid w:val="006834C6"/>
    <w:rsid w:val="00683539"/>
    <w:rsid w:val="00683617"/>
    <w:rsid w:val="00683849"/>
    <w:rsid w:val="006838C8"/>
    <w:rsid w:val="00683911"/>
    <w:rsid w:val="006839FB"/>
    <w:rsid w:val="00683AA1"/>
    <w:rsid w:val="00683B5C"/>
    <w:rsid w:val="00683BF0"/>
    <w:rsid w:val="00683F8A"/>
    <w:rsid w:val="006840C1"/>
    <w:rsid w:val="00684311"/>
    <w:rsid w:val="006843AB"/>
    <w:rsid w:val="0068443E"/>
    <w:rsid w:val="00684444"/>
    <w:rsid w:val="00684490"/>
    <w:rsid w:val="006844EA"/>
    <w:rsid w:val="00684601"/>
    <w:rsid w:val="006847C4"/>
    <w:rsid w:val="00684DB4"/>
    <w:rsid w:val="00684DDD"/>
    <w:rsid w:val="00684E06"/>
    <w:rsid w:val="006851B4"/>
    <w:rsid w:val="00685319"/>
    <w:rsid w:val="00685332"/>
    <w:rsid w:val="006854AF"/>
    <w:rsid w:val="0068555C"/>
    <w:rsid w:val="0068575C"/>
    <w:rsid w:val="00685787"/>
    <w:rsid w:val="006857D2"/>
    <w:rsid w:val="006857EE"/>
    <w:rsid w:val="00685947"/>
    <w:rsid w:val="00685AD1"/>
    <w:rsid w:val="00685C16"/>
    <w:rsid w:val="00685CB3"/>
    <w:rsid w:val="006860E6"/>
    <w:rsid w:val="006860EE"/>
    <w:rsid w:val="0068627A"/>
    <w:rsid w:val="00686315"/>
    <w:rsid w:val="006864F6"/>
    <w:rsid w:val="00686512"/>
    <w:rsid w:val="00686730"/>
    <w:rsid w:val="006867B7"/>
    <w:rsid w:val="006867DD"/>
    <w:rsid w:val="00686828"/>
    <w:rsid w:val="006868C7"/>
    <w:rsid w:val="00686B68"/>
    <w:rsid w:val="00686EC8"/>
    <w:rsid w:val="00686F55"/>
    <w:rsid w:val="00686F5E"/>
    <w:rsid w:val="00686FCE"/>
    <w:rsid w:val="00687029"/>
    <w:rsid w:val="0068715A"/>
    <w:rsid w:val="006871A6"/>
    <w:rsid w:val="006871D4"/>
    <w:rsid w:val="0068725E"/>
    <w:rsid w:val="006874BA"/>
    <w:rsid w:val="006875D5"/>
    <w:rsid w:val="006876A3"/>
    <w:rsid w:val="006876BA"/>
    <w:rsid w:val="006878B4"/>
    <w:rsid w:val="006879E0"/>
    <w:rsid w:val="00687A56"/>
    <w:rsid w:val="00687B95"/>
    <w:rsid w:val="00687CA8"/>
    <w:rsid w:val="00687D1C"/>
    <w:rsid w:val="00687D28"/>
    <w:rsid w:val="00687E24"/>
    <w:rsid w:val="00687E35"/>
    <w:rsid w:val="00687E6F"/>
    <w:rsid w:val="00687F13"/>
    <w:rsid w:val="00687F9B"/>
    <w:rsid w:val="006900B3"/>
    <w:rsid w:val="00690576"/>
    <w:rsid w:val="00690818"/>
    <w:rsid w:val="00690878"/>
    <w:rsid w:val="006909EC"/>
    <w:rsid w:val="00690B51"/>
    <w:rsid w:val="00690BA3"/>
    <w:rsid w:val="00690BFC"/>
    <w:rsid w:val="00690C17"/>
    <w:rsid w:val="00690EB0"/>
    <w:rsid w:val="006910F1"/>
    <w:rsid w:val="006912B6"/>
    <w:rsid w:val="00691413"/>
    <w:rsid w:val="0069147C"/>
    <w:rsid w:val="006914EF"/>
    <w:rsid w:val="00691542"/>
    <w:rsid w:val="00691685"/>
    <w:rsid w:val="00691734"/>
    <w:rsid w:val="00691777"/>
    <w:rsid w:val="0069190A"/>
    <w:rsid w:val="006919E6"/>
    <w:rsid w:val="00691D5A"/>
    <w:rsid w:val="00691E3F"/>
    <w:rsid w:val="0069213D"/>
    <w:rsid w:val="0069219D"/>
    <w:rsid w:val="00692256"/>
    <w:rsid w:val="0069241C"/>
    <w:rsid w:val="006925AC"/>
    <w:rsid w:val="006925D0"/>
    <w:rsid w:val="00692702"/>
    <w:rsid w:val="0069270B"/>
    <w:rsid w:val="00692A00"/>
    <w:rsid w:val="00692A8E"/>
    <w:rsid w:val="00692C50"/>
    <w:rsid w:val="00692D76"/>
    <w:rsid w:val="00692D82"/>
    <w:rsid w:val="00692DAE"/>
    <w:rsid w:val="00692DE8"/>
    <w:rsid w:val="00692DFB"/>
    <w:rsid w:val="00692E86"/>
    <w:rsid w:val="006932CF"/>
    <w:rsid w:val="006933FE"/>
    <w:rsid w:val="006935C4"/>
    <w:rsid w:val="00693732"/>
    <w:rsid w:val="0069390E"/>
    <w:rsid w:val="00693940"/>
    <w:rsid w:val="00693B74"/>
    <w:rsid w:val="00693C07"/>
    <w:rsid w:val="00693CAA"/>
    <w:rsid w:val="00693D07"/>
    <w:rsid w:val="00693E3A"/>
    <w:rsid w:val="0069401C"/>
    <w:rsid w:val="0069403E"/>
    <w:rsid w:val="00694252"/>
    <w:rsid w:val="006942E0"/>
    <w:rsid w:val="00694345"/>
    <w:rsid w:val="00694368"/>
    <w:rsid w:val="006944A4"/>
    <w:rsid w:val="0069453C"/>
    <w:rsid w:val="00694545"/>
    <w:rsid w:val="006945C8"/>
    <w:rsid w:val="006946A7"/>
    <w:rsid w:val="006948F8"/>
    <w:rsid w:val="00694980"/>
    <w:rsid w:val="00694996"/>
    <w:rsid w:val="00694CA5"/>
    <w:rsid w:val="00694E7B"/>
    <w:rsid w:val="00694EB4"/>
    <w:rsid w:val="00694F34"/>
    <w:rsid w:val="006950A4"/>
    <w:rsid w:val="00695189"/>
    <w:rsid w:val="00695261"/>
    <w:rsid w:val="006952B5"/>
    <w:rsid w:val="00695310"/>
    <w:rsid w:val="00695396"/>
    <w:rsid w:val="006954C2"/>
    <w:rsid w:val="006955F9"/>
    <w:rsid w:val="006956CF"/>
    <w:rsid w:val="00695712"/>
    <w:rsid w:val="0069571E"/>
    <w:rsid w:val="00695778"/>
    <w:rsid w:val="0069591B"/>
    <w:rsid w:val="0069599C"/>
    <w:rsid w:val="00695A64"/>
    <w:rsid w:val="00695AD6"/>
    <w:rsid w:val="00695B37"/>
    <w:rsid w:val="00695C15"/>
    <w:rsid w:val="00695CC6"/>
    <w:rsid w:val="00695F8C"/>
    <w:rsid w:val="00695FF2"/>
    <w:rsid w:val="00695FF7"/>
    <w:rsid w:val="006961D4"/>
    <w:rsid w:val="006962BC"/>
    <w:rsid w:val="006964E9"/>
    <w:rsid w:val="00696601"/>
    <w:rsid w:val="00696808"/>
    <w:rsid w:val="00696880"/>
    <w:rsid w:val="00696936"/>
    <w:rsid w:val="006969A8"/>
    <w:rsid w:val="00696B57"/>
    <w:rsid w:val="00696B6F"/>
    <w:rsid w:val="00696D48"/>
    <w:rsid w:val="00696E70"/>
    <w:rsid w:val="00697004"/>
    <w:rsid w:val="006970C6"/>
    <w:rsid w:val="006970FE"/>
    <w:rsid w:val="0069745B"/>
    <w:rsid w:val="0069772B"/>
    <w:rsid w:val="0069797A"/>
    <w:rsid w:val="00697AC4"/>
    <w:rsid w:val="00697B34"/>
    <w:rsid w:val="00697BCF"/>
    <w:rsid w:val="00697D33"/>
    <w:rsid w:val="006A0083"/>
    <w:rsid w:val="006A0353"/>
    <w:rsid w:val="006A035D"/>
    <w:rsid w:val="006A0456"/>
    <w:rsid w:val="006A0557"/>
    <w:rsid w:val="006A06A0"/>
    <w:rsid w:val="006A0731"/>
    <w:rsid w:val="006A0782"/>
    <w:rsid w:val="006A08C0"/>
    <w:rsid w:val="006A0AF6"/>
    <w:rsid w:val="006A0BD6"/>
    <w:rsid w:val="006A0BDB"/>
    <w:rsid w:val="006A0CCA"/>
    <w:rsid w:val="006A0E03"/>
    <w:rsid w:val="006A11CB"/>
    <w:rsid w:val="006A1243"/>
    <w:rsid w:val="006A146C"/>
    <w:rsid w:val="006A14DA"/>
    <w:rsid w:val="006A164D"/>
    <w:rsid w:val="006A17CC"/>
    <w:rsid w:val="006A183A"/>
    <w:rsid w:val="006A18F5"/>
    <w:rsid w:val="006A19EC"/>
    <w:rsid w:val="006A1A3D"/>
    <w:rsid w:val="006A1A64"/>
    <w:rsid w:val="006A1B09"/>
    <w:rsid w:val="006A1C69"/>
    <w:rsid w:val="006A1C6D"/>
    <w:rsid w:val="006A1C93"/>
    <w:rsid w:val="006A1CA9"/>
    <w:rsid w:val="006A1E88"/>
    <w:rsid w:val="006A1F8B"/>
    <w:rsid w:val="006A1FD6"/>
    <w:rsid w:val="006A21C1"/>
    <w:rsid w:val="006A22DF"/>
    <w:rsid w:val="006A230F"/>
    <w:rsid w:val="006A2461"/>
    <w:rsid w:val="006A256A"/>
    <w:rsid w:val="006A25E1"/>
    <w:rsid w:val="006A273C"/>
    <w:rsid w:val="006A283A"/>
    <w:rsid w:val="006A2A2C"/>
    <w:rsid w:val="006A2ABE"/>
    <w:rsid w:val="006A2B67"/>
    <w:rsid w:val="006A2D57"/>
    <w:rsid w:val="006A2D92"/>
    <w:rsid w:val="006A2E71"/>
    <w:rsid w:val="006A2FE7"/>
    <w:rsid w:val="006A300E"/>
    <w:rsid w:val="006A3049"/>
    <w:rsid w:val="006A3083"/>
    <w:rsid w:val="006A309A"/>
    <w:rsid w:val="006A3100"/>
    <w:rsid w:val="006A3120"/>
    <w:rsid w:val="006A31A2"/>
    <w:rsid w:val="006A32EE"/>
    <w:rsid w:val="006A3591"/>
    <w:rsid w:val="006A36D5"/>
    <w:rsid w:val="006A3756"/>
    <w:rsid w:val="006A375E"/>
    <w:rsid w:val="006A37BD"/>
    <w:rsid w:val="006A3E1B"/>
    <w:rsid w:val="006A3E9C"/>
    <w:rsid w:val="006A43A0"/>
    <w:rsid w:val="006A4441"/>
    <w:rsid w:val="006A44B5"/>
    <w:rsid w:val="006A4816"/>
    <w:rsid w:val="006A4959"/>
    <w:rsid w:val="006A4D66"/>
    <w:rsid w:val="006A4F6C"/>
    <w:rsid w:val="006A546B"/>
    <w:rsid w:val="006A54BD"/>
    <w:rsid w:val="006A5551"/>
    <w:rsid w:val="006A5645"/>
    <w:rsid w:val="006A56C1"/>
    <w:rsid w:val="006A58D8"/>
    <w:rsid w:val="006A58FC"/>
    <w:rsid w:val="006A59AD"/>
    <w:rsid w:val="006A5A2E"/>
    <w:rsid w:val="006A5C4C"/>
    <w:rsid w:val="006A603E"/>
    <w:rsid w:val="006A60BA"/>
    <w:rsid w:val="006A60C3"/>
    <w:rsid w:val="006A6146"/>
    <w:rsid w:val="006A634D"/>
    <w:rsid w:val="006A688B"/>
    <w:rsid w:val="006A6903"/>
    <w:rsid w:val="006A695E"/>
    <w:rsid w:val="006A6A39"/>
    <w:rsid w:val="006A6ACF"/>
    <w:rsid w:val="006A6BBD"/>
    <w:rsid w:val="006A6C27"/>
    <w:rsid w:val="006A6C88"/>
    <w:rsid w:val="006A6FA1"/>
    <w:rsid w:val="006A70C0"/>
    <w:rsid w:val="006A7313"/>
    <w:rsid w:val="006A74DA"/>
    <w:rsid w:val="006A75D7"/>
    <w:rsid w:val="006A7837"/>
    <w:rsid w:val="006A7945"/>
    <w:rsid w:val="006A794F"/>
    <w:rsid w:val="006A7C8C"/>
    <w:rsid w:val="006A8FE7"/>
    <w:rsid w:val="006B001C"/>
    <w:rsid w:val="006B01D9"/>
    <w:rsid w:val="006B03CC"/>
    <w:rsid w:val="006B04D1"/>
    <w:rsid w:val="006B0766"/>
    <w:rsid w:val="006B08E1"/>
    <w:rsid w:val="006B098E"/>
    <w:rsid w:val="006B0B98"/>
    <w:rsid w:val="006B0D87"/>
    <w:rsid w:val="006B0DA7"/>
    <w:rsid w:val="006B0E44"/>
    <w:rsid w:val="006B0E49"/>
    <w:rsid w:val="006B145B"/>
    <w:rsid w:val="006B1575"/>
    <w:rsid w:val="006B1680"/>
    <w:rsid w:val="006B174A"/>
    <w:rsid w:val="006B1A05"/>
    <w:rsid w:val="006B1A28"/>
    <w:rsid w:val="006B1E60"/>
    <w:rsid w:val="006B1F6C"/>
    <w:rsid w:val="006B20B2"/>
    <w:rsid w:val="006B22F8"/>
    <w:rsid w:val="006B25AC"/>
    <w:rsid w:val="006B269A"/>
    <w:rsid w:val="006B29DD"/>
    <w:rsid w:val="006B2A25"/>
    <w:rsid w:val="006B2A7B"/>
    <w:rsid w:val="006B2BED"/>
    <w:rsid w:val="006B2C10"/>
    <w:rsid w:val="006B2D0E"/>
    <w:rsid w:val="006B3004"/>
    <w:rsid w:val="006B306C"/>
    <w:rsid w:val="006B30C0"/>
    <w:rsid w:val="006B3147"/>
    <w:rsid w:val="006B33AD"/>
    <w:rsid w:val="006B342D"/>
    <w:rsid w:val="006B34C2"/>
    <w:rsid w:val="006B35D8"/>
    <w:rsid w:val="006B39E0"/>
    <w:rsid w:val="006B3C41"/>
    <w:rsid w:val="006B3D63"/>
    <w:rsid w:val="006B3DB3"/>
    <w:rsid w:val="006B3DE8"/>
    <w:rsid w:val="006B3E7A"/>
    <w:rsid w:val="006B3F32"/>
    <w:rsid w:val="006B402D"/>
    <w:rsid w:val="006B4257"/>
    <w:rsid w:val="006B4266"/>
    <w:rsid w:val="006B44B8"/>
    <w:rsid w:val="006B45E7"/>
    <w:rsid w:val="006B4B89"/>
    <w:rsid w:val="006B4BE4"/>
    <w:rsid w:val="006B4E05"/>
    <w:rsid w:val="006B4EDE"/>
    <w:rsid w:val="006B4F97"/>
    <w:rsid w:val="006B4FD4"/>
    <w:rsid w:val="006B5116"/>
    <w:rsid w:val="006B5573"/>
    <w:rsid w:val="006B56BB"/>
    <w:rsid w:val="006B57A5"/>
    <w:rsid w:val="006B5851"/>
    <w:rsid w:val="006B5AC2"/>
    <w:rsid w:val="006B5BF9"/>
    <w:rsid w:val="006B5C3D"/>
    <w:rsid w:val="006B5C6A"/>
    <w:rsid w:val="006B5CDF"/>
    <w:rsid w:val="006B5D2A"/>
    <w:rsid w:val="006B5E28"/>
    <w:rsid w:val="006B5E2D"/>
    <w:rsid w:val="006B5F20"/>
    <w:rsid w:val="006B5F55"/>
    <w:rsid w:val="006B5F76"/>
    <w:rsid w:val="006B619D"/>
    <w:rsid w:val="006B6294"/>
    <w:rsid w:val="006B6387"/>
    <w:rsid w:val="006B64EF"/>
    <w:rsid w:val="006B6759"/>
    <w:rsid w:val="006B67A4"/>
    <w:rsid w:val="006B6816"/>
    <w:rsid w:val="006B68FE"/>
    <w:rsid w:val="006B6A53"/>
    <w:rsid w:val="006B6ADD"/>
    <w:rsid w:val="006B6B7F"/>
    <w:rsid w:val="006B6CF9"/>
    <w:rsid w:val="006B6E1F"/>
    <w:rsid w:val="006B6E4B"/>
    <w:rsid w:val="006B6F04"/>
    <w:rsid w:val="006B6FE8"/>
    <w:rsid w:val="006B706D"/>
    <w:rsid w:val="006B708D"/>
    <w:rsid w:val="006B70AF"/>
    <w:rsid w:val="006B71B7"/>
    <w:rsid w:val="006B71D1"/>
    <w:rsid w:val="006B71F3"/>
    <w:rsid w:val="006B732B"/>
    <w:rsid w:val="006B7331"/>
    <w:rsid w:val="006B7504"/>
    <w:rsid w:val="006B7517"/>
    <w:rsid w:val="006B7712"/>
    <w:rsid w:val="006B77AA"/>
    <w:rsid w:val="006B77DD"/>
    <w:rsid w:val="006B7880"/>
    <w:rsid w:val="006B7A1B"/>
    <w:rsid w:val="006B7A25"/>
    <w:rsid w:val="006B7A6F"/>
    <w:rsid w:val="006B7AB9"/>
    <w:rsid w:val="006B7BB8"/>
    <w:rsid w:val="006B7BE1"/>
    <w:rsid w:val="006B7C6E"/>
    <w:rsid w:val="006B7C85"/>
    <w:rsid w:val="006BC856"/>
    <w:rsid w:val="006C001C"/>
    <w:rsid w:val="006C03E6"/>
    <w:rsid w:val="006C046F"/>
    <w:rsid w:val="006C0521"/>
    <w:rsid w:val="006C074F"/>
    <w:rsid w:val="006C0753"/>
    <w:rsid w:val="006C07C7"/>
    <w:rsid w:val="006C07EF"/>
    <w:rsid w:val="006C081F"/>
    <w:rsid w:val="006C0B77"/>
    <w:rsid w:val="006C0D11"/>
    <w:rsid w:val="006C0F32"/>
    <w:rsid w:val="006C0F58"/>
    <w:rsid w:val="006C1160"/>
    <w:rsid w:val="006C11E5"/>
    <w:rsid w:val="006C1222"/>
    <w:rsid w:val="006C1271"/>
    <w:rsid w:val="006C133C"/>
    <w:rsid w:val="006C1355"/>
    <w:rsid w:val="006C1734"/>
    <w:rsid w:val="006C1799"/>
    <w:rsid w:val="006C17EA"/>
    <w:rsid w:val="006C1910"/>
    <w:rsid w:val="006C1A80"/>
    <w:rsid w:val="006C1ACC"/>
    <w:rsid w:val="006C1B2C"/>
    <w:rsid w:val="006C1BD7"/>
    <w:rsid w:val="006C1C76"/>
    <w:rsid w:val="006C1C8A"/>
    <w:rsid w:val="006C1E55"/>
    <w:rsid w:val="006C1F36"/>
    <w:rsid w:val="006C200D"/>
    <w:rsid w:val="006C204E"/>
    <w:rsid w:val="006C215B"/>
    <w:rsid w:val="006C2325"/>
    <w:rsid w:val="006C242B"/>
    <w:rsid w:val="006C2487"/>
    <w:rsid w:val="006C26CB"/>
    <w:rsid w:val="006C26FD"/>
    <w:rsid w:val="006C27CB"/>
    <w:rsid w:val="006C2A44"/>
    <w:rsid w:val="006C2C83"/>
    <w:rsid w:val="006C2D22"/>
    <w:rsid w:val="006C2E07"/>
    <w:rsid w:val="006C2FB7"/>
    <w:rsid w:val="006C339E"/>
    <w:rsid w:val="006C33AD"/>
    <w:rsid w:val="006C3558"/>
    <w:rsid w:val="006C35BC"/>
    <w:rsid w:val="006C3891"/>
    <w:rsid w:val="006C38A3"/>
    <w:rsid w:val="006C39AA"/>
    <w:rsid w:val="006C3B00"/>
    <w:rsid w:val="006C3C85"/>
    <w:rsid w:val="006C3E2B"/>
    <w:rsid w:val="006C3EDB"/>
    <w:rsid w:val="006C3FCE"/>
    <w:rsid w:val="006C3FF0"/>
    <w:rsid w:val="006C4075"/>
    <w:rsid w:val="006C4113"/>
    <w:rsid w:val="006C4450"/>
    <w:rsid w:val="006C4711"/>
    <w:rsid w:val="006C4717"/>
    <w:rsid w:val="006C4931"/>
    <w:rsid w:val="006C49F6"/>
    <w:rsid w:val="006C4A02"/>
    <w:rsid w:val="006C4A52"/>
    <w:rsid w:val="006C4D6F"/>
    <w:rsid w:val="006C4DC2"/>
    <w:rsid w:val="006C4EED"/>
    <w:rsid w:val="006C5123"/>
    <w:rsid w:val="006C5418"/>
    <w:rsid w:val="006C54B2"/>
    <w:rsid w:val="006C5649"/>
    <w:rsid w:val="006C56D8"/>
    <w:rsid w:val="006C576E"/>
    <w:rsid w:val="006C5924"/>
    <w:rsid w:val="006C5963"/>
    <w:rsid w:val="006C5A2D"/>
    <w:rsid w:val="006C5A86"/>
    <w:rsid w:val="006C5AD7"/>
    <w:rsid w:val="006C5CE0"/>
    <w:rsid w:val="006C5CE3"/>
    <w:rsid w:val="006C61F4"/>
    <w:rsid w:val="006C6225"/>
    <w:rsid w:val="006C62A5"/>
    <w:rsid w:val="006C6378"/>
    <w:rsid w:val="006C6419"/>
    <w:rsid w:val="006C6435"/>
    <w:rsid w:val="006C6483"/>
    <w:rsid w:val="006C691F"/>
    <w:rsid w:val="006C6AD8"/>
    <w:rsid w:val="006C6C23"/>
    <w:rsid w:val="006C6DCF"/>
    <w:rsid w:val="006C6E50"/>
    <w:rsid w:val="006C6EAC"/>
    <w:rsid w:val="006C6EFA"/>
    <w:rsid w:val="006C6FA8"/>
    <w:rsid w:val="006C70A2"/>
    <w:rsid w:val="006C7200"/>
    <w:rsid w:val="006C7426"/>
    <w:rsid w:val="006C746F"/>
    <w:rsid w:val="006C747F"/>
    <w:rsid w:val="006C769B"/>
    <w:rsid w:val="006C769F"/>
    <w:rsid w:val="006C7875"/>
    <w:rsid w:val="006C7972"/>
    <w:rsid w:val="006C7A6C"/>
    <w:rsid w:val="006C7A88"/>
    <w:rsid w:val="006C7AB2"/>
    <w:rsid w:val="006C7B7D"/>
    <w:rsid w:val="006C7D50"/>
    <w:rsid w:val="006C7FBC"/>
    <w:rsid w:val="006C7FC3"/>
    <w:rsid w:val="006C7FE5"/>
    <w:rsid w:val="006D0064"/>
    <w:rsid w:val="006D024D"/>
    <w:rsid w:val="006D03A4"/>
    <w:rsid w:val="006D041E"/>
    <w:rsid w:val="006D0443"/>
    <w:rsid w:val="006D04B3"/>
    <w:rsid w:val="006D0677"/>
    <w:rsid w:val="006D07E4"/>
    <w:rsid w:val="006D09E7"/>
    <w:rsid w:val="006D0AF4"/>
    <w:rsid w:val="006D0C1C"/>
    <w:rsid w:val="006D0D00"/>
    <w:rsid w:val="006D0D8C"/>
    <w:rsid w:val="006D0F71"/>
    <w:rsid w:val="006D117E"/>
    <w:rsid w:val="006D11C1"/>
    <w:rsid w:val="006D11F5"/>
    <w:rsid w:val="006D1300"/>
    <w:rsid w:val="006D1474"/>
    <w:rsid w:val="006D163E"/>
    <w:rsid w:val="006D16C9"/>
    <w:rsid w:val="006D18A5"/>
    <w:rsid w:val="006D1968"/>
    <w:rsid w:val="006D1A0A"/>
    <w:rsid w:val="006D1B05"/>
    <w:rsid w:val="006D1CE8"/>
    <w:rsid w:val="006D1F75"/>
    <w:rsid w:val="006D1F7D"/>
    <w:rsid w:val="006D21B3"/>
    <w:rsid w:val="006D2521"/>
    <w:rsid w:val="006D26B0"/>
    <w:rsid w:val="006D2723"/>
    <w:rsid w:val="006D2729"/>
    <w:rsid w:val="006D273B"/>
    <w:rsid w:val="006D2769"/>
    <w:rsid w:val="006D29CD"/>
    <w:rsid w:val="006D2A77"/>
    <w:rsid w:val="006D2A8D"/>
    <w:rsid w:val="006D2B80"/>
    <w:rsid w:val="006D2BE3"/>
    <w:rsid w:val="006D2BEB"/>
    <w:rsid w:val="006D2BF3"/>
    <w:rsid w:val="006D2CC4"/>
    <w:rsid w:val="006D2DE7"/>
    <w:rsid w:val="006D2F7C"/>
    <w:rsid w:val="006D2F86"/>
    <w:rsid w:val="006D2FE1"/>
    <w:rsid w:val="006D3097"/>
    <w:rsid w:val="006D31EE"/>
    <w:rsid w:val="006D3349"/>
    <w:rsid w:val="006D34D1"/>
    <w:rsid w:val="006D357A"/>
    <w:rsid w:val="006D359A"/>
    <w:rsid w:val="006D373B"/>
    <w:rsid w:val="006D37CF"/>
    <w:rsid w:val="006D3BB5"/>
    <w:rsid w:val="006D3BF6"/>
    <w:rsid w:val="006D3DCE"/>
    <w:rsid w:val="006D3F7D"/>
    <w:rsid w:val="006D3FF6"/>
    <w:rsid w:val="006D402E"/>
    <w:rsid w:val="006D413E"/>
    <w:rsid w:val="006D417A"/>
    <w:rsid w:val="006D4205"/>
    <w:rsid w:val="006D425B"/>
    <w:rsid w:val="006D42A1"/>
    <w:rsid w:val="006D437D"/>
    <w:rsid w:val="006D438D"/>
    <w:rsid w:val="006D43D1"/>
    <w:rsid w:val="006D4410"/>
    <w:rsid w:val="006D44FB"/>
    <w:rsid w:val="006D46DA"/>
    <w:rsid w:val="006D477A"/>
    <w:rsid w:val="006D4843"/>
    <w:rsid w:val="006D4BB1"/>
    <w:rsid w:val="006D4F21"/>
    <w:rsid w:val="006D503B"/>
    <w:rsid w:val="006D507B"/>
    <w:rsid w:val="006D51A4"/>
    <w:rsid w:val="006D535C"/>
    <w:rsid w:val="006D55CE"/>
    <w:rsid w:val="006D575F"/>
    <w:rsid w:val="006D5855"/>
    <w:rsid w:val="006D587A"/>
    <w:rsid w:val="006D590A"/>
    <w:rsid w:val="006D5959"/>
    <w:rsid w:val="006D597D"/>
    <w:rsid w:val="006D5A88"/>
    <w:rsid w:val="006D5B6A"/>
    <w:rsid w:val="006D5C0E"/>
    <w:rsid w:val="006D5D4B"/>
    <w:rsid w:val="006D5FCF"/>
    <w:rsid w:val="006D6440"/>
    <w:rsid w:val="006D64C3"/>
    <w:rsid w:val="006D6573"/>
    <w:rsid w:val="006D6616"/>
    <w:rsid w:val="006D685B"/>
    <w:rsid w:val="006D6873"/>
    <w:rsid w:val="006D6891"/>
    <w:rsid w:val="006D6900"/>
    <w:rsid w:val="006D6905"/>
    <w:rsid w:val="006D690C"/>
    <w:rsid w:val="006D6A3A"/>
    <w:rsid w:val="006D6A5A"/>
    <w:rsid w:val="006D6B3E"/>
    <w:rsid w:val="006D6C09"/>
    <w:rsid w:val="006D6D6D"/>
    <w:rsid w:val="006D6EEF"/>
    <w:rsid w:val="006D6F50"/>
    <w:rsid w:val="006D75DA"/>
    <w:rsid w:val="006D77DF"/>
    <w:rsid w:val="006D77F7"/>
    <w:rsid w:val="006D796E"/>
    <w:rsid w:val="006D7A4D"/>
    <w:rsid w:val="006E0052"/>
    <w:rsid w:val="006E0057"/>
    <w:rsid w:val="006E0202"/>
    <w:rsid w:val="006E0226"/>
    <w:rsid w:val="006E03E6"/>
    <w:rsid w:val="006E053A"/>
    <w:rsid w:val="006E0619"/>
    <w:rsid w:val="006E0892"/>
    <w:rsid w:val="006E0A0F"/>
    <w:rsid w:val="006E0AF6"/>
    <w:rsid w:val="006E0D54"/>
    <w:rsid w:val="006E0D8B"/>
    <w:rsid w:val="006E0E0D"/>
    <w:rsid w:val="006E0EC5"/>
    <w:rsid w:val="006E0F5C"/>
    <w:rsid w:val="006E0F7B"/>
    <w:rsid w:val="006E0FBD"/>
    <w:rsid w:val="006E11EC"/>
    <w:rsid w:val="006E133A"/>
    <w:rsid w:val="006E137C"/>
    <w:rsid w:val="006E1506"/>
    <w:rsid w:val="006E150A"/>
    <w:rsid w:val="006E16B4"/>
    <w:rsid w:val="006E17B6"/>
    <w:rsid w:val="006E17F3"/>
    <w:rsid w:val="006E1AB7"/>
    <w:rsid w:val="006E1B30"/>
    <w:rsid w:val="006E1CD4"/>
    <w:rsid w:val="006E1F58"/>
    <w:rsid w:val="006E215A"/>
    <w:rsid w:val="006E218D"/>
    <w:rsid w:val="006E21FC"/>
    <w:rsid w:val="006E2216"/>
    <w:rsid w:val="006E2260"/>
    <w:rsid w:val="006E24A1"/>
    <w:rsid w:val="006E2915"/>
    <w:rsid w:val="006E2A2D"/>
    <w:rsid w:val="006E2ABF"/>
    <w:rsid w:val="006E2AD4"/>
    <w:rsid w:val="006E2DD5"/>
    <w:rsid w:val="006E3089"/>
    <w:rsid w:val="006E30DA"/>
    <w:rsid w:val="006E3185"/>
    <w:rsid w:val="006E31A5"/>
    <w:rsid w:val="006E326B"/>
    <w:rsid w:val="006E3311"/>
    <w:rsid w:val="006E33D5"/>
    <w:rsid w:val="006E3575"/>
    <w:rsid w:val="006E36A6"/>
    <w:rsid w:val="006E3718"/>
    <w:rsid w:val="006E3847"/>
    <w:rsid w:val="006E38A2"/>
    <w:rsid w:val="006E3B4C"/>
    <w:rsid w:val="006E3C36"/>
    <w:rsid w:val="006E3C4A"/>
    <w:rsid w:val="006E3DA1"/>
    <w:rsid w:val="006E401A"/>
    <w:rsid w:val="006E409D"/>
    <w:rsid w:val="006E4289"/>
    <w:rsid w:val="006E42A7"/>
    <w:rsid w:val="006E42D3"/>
    <w:rsid w:val="006E4334"/>
    <w:rsid w:val="006E4831"/>
    <w:rsid w:val="006E49E0"/>
    <w:rsid w:val="006E4B3D"/>
    <w:rsid w:val="006E4CD7"/>
    <w:rsid w:val="006E4D0B"/>
    <w:rsid w:val="006E4E96"/>
    <w:rsid w:val="006E4F71"/>
    <w:rsid w:val="006E52D2"/>
    <w:rsid w:val="006E52EB"/>
    <w:rsid w:val="006E548D"/>
    <w:rsid w:val="006E5510"/>
    <w:rsid w:val="006E568C"/>
    <w:rsid w:val="006E577F"/>
    <w:rsid w:val="006E58CD"/>
    <w:rsid w:val="006E5B76"/>
    <w:rsid w:val="006E5C41"/>
    <w:rsid w:val="006E5C7E"/>
    <w:rsid w:val="006E5CE7"/>
    <w:rsid w:val="006E5CEB"/>
    <w:rsid w:val="006E5DAF"/>
    <w:rsid w:val="006E5E30"/>
    <w:rsid w:val="006E5F73"/>
    <w:rsid w:val="006E5FC8"/>
    <w:rsid w:val="006E5FE7"/>
    <w:rsid w:val="006E5FF2"/>
    <w:rsid w:val="006E600F"/>
    <w:rsid w:val="006E6095"/>
    <w:rsid w:val="006E6114"/>
    <w:rsid w:val="006E6398"/>
    <w:rsid w:val="006E6441"/>
    <w:rsid w:val="006E651C"/>
    <w:rsid w:val="006E653E"/>
    <w:rsid w:val="006E6694"/>
    <w:rsid w:val="006E693D"/>
    <w:rsid w:val="006E6A62"/>
    <w:rsid w:val="006E6B25"/>
    <w:rsid w:val="006E6CAF"/>
    <w:rsid w:val="006E6CB1"/>
    <w:rsid w:val="006E6E1B"/>
    <w:rsid w:val="006E6E80"/>
    <w:rsid w:val="006E70A7"/>
    <w:rsid w:val="006E7154"/>
    <w:rsid w:val="006E7242"/>
    <w:rsid w:val="006E75A3"/>
    <w:rsid w:val="006E76BE"/>
    <w:rsid w:val="006E79A1"/>
    <w:rsid w:val="006E7A37"/>
    <w:rsid w:val="006E7B5A"/>
    <w:rsid w:val="006E7B97"/>
    <w:rsid w:val="006E7BF1"/>
    <w:rsid w:val="006E7C5A"/>
    <w:rsid w:val="006E7D1A"/>
    <w:rsid w:val="006E7DE7"/>
    <w:rsid w:val="006F0016"/>
    <w:rsid w:val="006F0034"/>
    <w:rsid w:val="006F01BF"/>
    <w:rsid w:val="006F0394"/>
    <w:rsid w:val="006F04B4"/>
    <w:rsid w:val="006F05A0"/>
    <w:rsid w:val="006F05BC"/>
    <w:rsid w:val="006F068C"/>
    <w:rsid w:val="006F0809"/>
    <w:rsid w:val="006F085E"/>
    <w:rsid w:val="006F0945"/>
    <w:rsid w:val="006F0ACD"/>
    <w:rsid w:val="006F0C34"/>
    <w:rsid w:val="006F0C6F"/>
    <w:rsid w:val="006F0CAD"/>
    <w:rsid w:val="006F0CE3"/>
    <w:rsid w:val="006F0D9D"/>
    <w:rsid w:val="006F1464"/>
    <w:rsid w:val="006F189E"/>
    <w:rsid w:val="006F18CF"/>
    <w:rsid w:val="006F19E3"/>
    <w:rsid w:val="006F1A09"/>
    <w:rsid w:val="006F1C52"/>
    <w:rsid w:val="006F1E75"/>
    <w:rsid w:val="006F1EBF"/>
    <w:rsid w:val="006F1F4F"/>
    <w:rsid w:val="006F2060"/>
    <w:rsid w:val="006F2255"/>
    <w:rsid w:val="006F23C2"/>
    <w:rsid w:val="006F26B1"/>
    <w:rsid w:val="006F281A"/>
    <w:rsid w:val="006F28EE"/>
    <w:rsid w:val="006F2900"/>
    <w:rsid w:val="006F2A95"/>
    <w:rsid w:val="006F2AAD"/>
    <w:rsid w:val="006F2EF0"/>
    <w:rsid w:val="006F2F3D"/>
    <w:rsid w:val="006F3207"/>
    <w:rsid w:val="006F327F"/>
    <w:rsid w:val="006F33B7"/>
    <w:rsid w:val="006F34A3"/>
    <w:rsid w:val="006F35B0"/>
    <w:rsid w:val="006F361F"/>
    <w:rsid w:val="006F365D"/>
    <w:rsid w:val="006F36B5"/>
    <w:rsid w:val="006F371F"/>
    <w:rsid w:val="006F38F9"/>
    <w:rsid w:val="006F3A8D"/>
    <w:rsid w:val="006F3BB8"/>
    <w:rsid w:val="006F3CA8"/>
    <w:rsid w:val="006F3CE4"/>
    <w:rsid w:val="006F3D10"/>
    <w:rsid w:val="006F3EA3"/>
    <w:rsid w:val="006F403C"/>
    <w:rsid w:val="006F4068"/>
    <w:rsid w:val="006F40D3"/>
    <w:rsid w:val="006F4103"/>
    <w:rsid w:val="006F4114"/>
    <w:rsid w:val="006F411A"/>
    <w:rsid w:val="006F420A"/>
    <w:rsid w:val="006F427E"/>
    <w:rsid w:val="006F4286"/>
    <w:rsid w:val="006F42A3"/>
    <w:rsid w:val="006F42B4"/>
    <w:rsid w:val="006F44A8"/>
    <w:rsid w:val="006F455F"/>
    <w:rsid w:val="006F46F5"/>
    <w:rsid w:val="006F47A9"/>
    <w:rsid w:val="006F48F2"/>
    <w:rsid w:val="006F495A"/>
    <w:rsid w:val="006F4B13"/>
    <w:rsid w:val="006F4BE2"/>
    <w:rsid w:val="006F4C39"/>
    <w:rsid w:val="006F4C66"/>
    <w:rsid w:val="006F4CE8"/>
    <w:rsid w:val="006F4D7C"/>
    <w:rsid w:val="006F4DCB"/>
    <w:rsid w:val="006F4E42"/>
    <w:rsid w:val="006F4EE4"/>
    <w:rsid w:val="006F5235"/>
    <w:rsid w:val="006F5304"/>
    <w:rsid w:val="006F56E0"/>
    <w:rsid w:val="006F5701"/>
    <w:rsid w:val="006F583D"/>
    <w:rsid w:val="006F58B5"/>
    <w:rsid w:val="006F598C"/>
    <w:rsid w:val="006F5A01"/>
    <w:rsid w:val="006F5B61"/>
    <w:rsid w:val="006F5BD7"/>
    <w:rsid w:val="006F5C45"/>
    <w:rsid w:val="006F5C9F"/>
    <w:rsid w:val="006F5CD9"/>
    <w:rsid w:val="006F5E33"/>
    <w:rsid w:val="006F5F05"/>
    <w:rsid w:val="006F5F48"/>
    <w:rsid w:val="006F61B6"/>
    <w:rsid w:val="006F61EC"/>
    <w:rsid w:val="006F6257"/>
    <w:rsid w:val="006F6410"/>
    <w:rsid w:val="006F64E7"/>
    <w:rsid w:val="006F653E"/>
    <w:rsid w:val="006F6745"/>
    <w:rsid w:val="006F6B0B"/>
    <w:rsid w:val="006F6B54"/>
    <w:rsid w:val="006F6B6F"/>
    <w:rsid w:val="006F6D0D"/>
    <w:rsid w:val="006F6E8F"/>
    <w:rsid w:val="006F6F3D"/>
    <w:rsid w:val="006F7007"/>
    <w:rsid w:val="006F700F"/>
    <w:rsid w:val="006F7171"/>
    <w:rsid w:val="006F71CF"/>
    <w:rsid w:val="006F750A"/>
    <w:rsid w:val="006F771B"/>
    <w:rsid w:val="006F78E4"/>
    <w:rsid w:val="006F790A"/>
    <w:rsid w:val="006F79D3"/>
    <w:rsid w:val="006F7A23"/>
    <w:rsid w:val="006F7A97"/>
    <w:rsid w:val="006F7C8A"/>
    <w:rsid w:val="006F7FA0"/>
    <w:rsid w:val="007003AE"/>
    <w:rsid w:val="007003C3"/>
    <w:rsid w:val="007006D5"/>
    <w:rsid w:val="00700769"/>
    <w:rsid w:val="007008A6"/>
    <w:rsid w:val="007008EA"/>
    <w:rsid w:val="00700A40"/>
    <w:rsid w:val="00700BBD"/>
    <w:rsid w:val="00700CB9"/>
    <w:rsid w:val="00700DAE"/>
    <w:rsid w:val="00700F58"/>
    <w:rsid w:val="00701397"/>
    <w:rsid w:val="0070149F"/>
    <w:rsid w:val="00701588"/>
    <w:rsid w:val="0070170E"/>
    <w:rsid w:val="007017DA"/>
    <w:rsid w:val="00701807"/>
    <w:rsid w:val="00701A44"/>
    <w:rsid w:val="00701A6A"/>
    <w:rsid w:val="00701C3E"/>
    <w:rsid w:val="00701C6A"/>
    <w:rsid w:val="00702121"/>
    <w:rsid w:val="00702132"/>
    <w:rsid w:val="007023D5"/>
    <w:rsid w:val="00702580"/>
    <w:rsid w:val="0070274F"/>
    <w:rsid w:val="0070288D"/>
    <w:rsid w:val="00702BEC"/>
    <w:rsid w:val="00702C9F"/>
    <w:rsid w:val="00702DE5"/>
    <w:rsid w:val="00702EC1"/>
    <w:rsid w:val="00702FD8"/>
    <w:rsid w:val="00702FF7"/>
    <w:rsid w:val="00703011"/>
    <w:rsid w:val="007030AD"/>
    <w:rsid w:val="0070317C"/>
    <w:rsid w:val="00703458"/>
    <w:rsid w:val="007035A6"/>
    <w:rsid w:val="00703715"/>
    <w:rsid w:val="0070387B"/>
    <w:rsid w:val="0070395C"/>
    <w:rsid w:val="00703A2A"/>
    <w:rsid w:val="00703A73"/>
    <w:rsid w:val="00703B78"/>
    <w:rsid w:val="00703C49"/>
    <w:rsid w:val="00703D2D"/>
    <w:rsid w:val="00703DC8"/>
    <w:rsid w:val="00703E70"/>
    <w:rsid w:val="00703E9D"/>
    <w:rsid w:val="00703EB2"/>
    <w:rsid w:val="00703EE6"/>
    <w:rsid w:val="00703F86"/>
    <w:rsid w:val="00704423"/>
    <w:rsid w:val="00704615"/>
    <w:rsid w:val="007047F7"/>
    <w:rsid w:val="00704802"/>
    <w:rsid w:val="00704870"/>
    <w:rsid w:val="00704A78"/>
    <w:rsid w:val="00704C96"/>
    <w:rsid w:val="00704CA9"/>
    <w:rsid w:val="00705056"/>
    <w:rsid w:val="007051A7"/>
    <w:rsid w:val="00705363"/>
    <w:rsid w:val="007053B0"/>
    <w:rsid w:val="007055E6"/>
    <w:rsid w:val="007055FF"/>
    <w:rsid w:val="007058BB"/>
    <w:rsid w:val="00705AD1"/>
    <w:rsid w:val="00705F7E"/>
    <w:rsid w:val="007061BE"/>
    <w:rsid w:val="00706397"/>
    <w:rsid w:val="007063E7"/>
    <w:rsid w:val="007063FF"/>
    <w:rsid w:val="007067BC"/>
    <w:rsid w:val="0070681A"/>
    <w:rsid w:val="0070696B"/>
    <w:rsid w:val="00706B4A"/>
    <w:rsid w:val="00706DF5"/>
    <w:rsid w:val="00706E7E"/>
    <w:rsid w:val="00706F3F"/>
    <w:rsid w:val="00706F6A"/>
    <w:rsid w:val="00706FE9"/>
    <w:rsid w:val="00707243"/>
    <w:rsid w:val="00707267"/>
    <w:rsid w:val="0070744F"/>
    <w:rsid w:val="00707470"/>
    <w:rsid w:val="00707485"/>
    <w:rsid w:val="00707540"/>
    <w:rsid w:val="00707673"/>
    <w:rsid w:val="00707887"/>
    <w:rsid w:val="00707CFD"/>
    <w:rsid w:val="0071012D"/>
    <w:rsid w:val="00710150"/>
    <w:rsid w:val="007101D3"/>
    <w:rsid w:val="0071033C"/>
    <w:rsid w:val="00710436"/>
    <w:rsid w:val="00710574"/>
    <w:rsid w:val="007105C2"/>
    <w:rsid w:val="0071072C"/>
    <w:rsid w:val="0071095B"/>
    <w:rsid w:val="00710986"/>
    <w:rsid w:val="00710B5F"/>
    <w:rsid w:val="00710BF9"/>
    <w:rsid w:val="00710C3C"/>
    <w:rsid w:val="00710D5D"/>
    <w:rsid w:val="00710D8D"/>
    <w:rsid w:val="00710E1D"/>
    <w:rsid w:val="00710E2C"/>
    <w:rsid w:val="00710E2F"/>
    <w:rsid w:val="00710E56"/>
    <w:rsid w:val="00710E74"/>
    <w:rsid w:val="00710EC6"/>
    <w:rsid w:val="00710F43"/>
    <w:rsid w:val="00710F7F"/>
    <w:rsid w:val="00711208"/>
    <w:rsid w:val="00711462"/>
    <w:rsid w:val="007116ED"/>
    <w:rsid w:val="00711895"/>
    <w:rsid w:val="0071189D"/>
    <w:rsid w:val="0071191B"/>
    <w:rsid w:val="00711A22"/>
    <w:rsid w:val="00711A42"/>
    <w:rsid w:val="00711C23"/>
    <w:rsid w:val="00711C4E"/>
    <w:rsid w:val="00711E1F"/>
    <w:rsid w:val="00711E4A"/>
    <w:rsid w:val="0071214D"/>
    <w:rsid w:val="00712159"/>
    <w:rsid w:val="00712171"/>
    <w:rsid w:val="00712300"/>
    <w:rsid w:val="007124BE"/>
    <w:rsid w:val="007124D0"/>
    <w:rsid w:val="007124E9"/>
    <w:rsid w:val="00712581"/>
    <w:rsid w:val="007125C7"/>
    <w:rsid w:val="0071283E"/>
    <w:rsid w:val="00712908"/>
    <w:rsid w:val="00712914"/>
    <w:rsid w:val="00712C3D"/>
    <w:rsid w:val="00712C74"/>
    <w:rsid w:val="00712DE6"/>
    <w:rsid w:val="00712F87"/>
    <w:rsid w:val="00712FB4"/>
    <w:rsid w:val="00713074"/>
    <w:rsid w:val="00713198"/>
    <w:rsid w:val="00713292"/>
    <w:rsid w:val="00713506"/>
    <w:rsid w:val="0071360C"/>
    <w:rsid w:val="0071367B"/>
    <w:rsid w:val="007139B6"/>
    <w:rsid w:val="00713BAA"/>
    <w:rsid w:val="00713D06"/>
    <w:rsid w:val="0071407F"/>
    <w:rsid w:val="00714114"/>
    <w:rsid w:val="00714283"/>
    <w:rsid w:val="007142C8"/>
    <w:rsid w:val="007145C4"/>
    <w:rsid w:val="00714676"/>
    <w:rsid w:val="0071468E"/>
    <w:rsid w:val="00714732"/>
    <w:rsid w:val="00714771"/>
    <w:rsid w:val="007148AA"/>
    <w:rsid w:val="00714983"/>
    <w:rsid w:val="00714A68"/>
    <w:rsid w:val="00714AED"/>
    <w:rsid w:val="00714B3C"/>
    <w:rsid w:val="00714B68"/>
    <w:rsid w:val="00714CB1"/>
    <w:rsid w:val="00714CBF"/>
    <w:rsid w:val="00714ED9"/>
    <w:rsid w:val="00714FBA"/>
    <w:rsid w:val="0071517E"/>
    <w:rsid w:val="007152BA"/>
    <w:rsid w:val="00715347"/>
    <w:rsid w:val="007154FF"/>
    <w:rsid w:val="00715840"/>
    <w:rsid w:val="00715A5D"/>
    <w:rsid w:val="00715DD0"/>
    <w:rsid w:val="00715DFA"/>
    <w:rsid w:val="00715E1F"/>
    <w:rsid w:val="00715F77"/>
    <w:rsid w:val="00715F99"/>
    <w:rsid w:val="007160F2"/>
    <w:rsid w:val="0071619F"/>
    <w:rsid w:val="007162B5"/>
    <w:rsid w:val="007162DC"/>
    <w:rsid w:val="007164DA"/>
    <w:rsid w:val="00716595"/>
    <w:rsid w:val="00716739"/>
    <w:rsid w:val="00716774"/>
    <w:rsid w:val="0071684B"/>
    <w:rsid w:val="0071686F"/>
    <w:rsid w:val="00716898"/>
    <w:rsid w:val="00716931"/>
    <w:rsid w:val="00716A12"/>
    <w:rsid w:val="00716A7C"/>
    <w:rsid w:val="00716A8F"/>
    <w:rsid w:val="00716AA3"/>
    <w:rsid w:val="00716ADA"/>
    <w:rsid w:val="00716BC4"/>
    <w:rsid w:val="00716D5C"/>
    <w:rsid w:val="00716E66"/>
    <w:rsid w:val="00716E88"/>
    <w:rsid w:val="00716FC0"/>
    <w:rsid w:val="0071705C"/>
    <w:rsid w:val="00717074"/>
    <w:rsid w:val="00717165"/>
    <w:rsid w:val="0071720F"/>
    <w:rsid w:val="00717274"/>
    <w:rsid w:val="007173E4"/>
    <w:rsid w:val="00717495"/>
    <w:rsid w:val="00717760"/>
    <w:rsid w:val="00717800"/>
    <w:rsid w:val="007178F9"/>
    <w:rsid w:val="00717955"/>
    <w:rsid w:val="00717992"/>
    <w:rsid w:val="00717B37"/>
    <w:rsid w:val="00717B6A"/>
    <w:rsid w:val="00717C0C"/>
    <w:rsid w:val="00717C30"/>
    <w:rsid w:val="00717C60"/>
    <w:rsid w:val="00717C8E"/>
    <w:rsid w:val="00717D1F"/>
    <w:rsid w:val="00717E47"/>
    <w:rsid w:val="007201CA"/>
    <w:rsid w:val="00720245"/>
    <w:rsid w:val="007203A5"/>
    <w:rsid w:val="007203B2"/>
    <w:rsid w:val="007203CA"/>
    <w:rsid w:val="00720402"/>
    <w:rsid w:val="007205B2"/>
    <w:rsid w:val="007206EF"/>
    <w:rsid w:val="00720895"/>
    <w:rsid w:val="007208D9"/>
    <w:rsid w:val="00720AF5"/>
    <w:rsid w:val="00720BDF"/>
    <w:rsid w:val="00720C81"/>
    <w:rsid w:val="00720C9D"/>
    <w:rsid w:val="00720D3F"/>
    <w:rsid w:val="00720FFE"/>
    <w:rsid w:val="00721105"/>
    <w:rsid w:val="007211C6"/>
    <w:rsid w:val="007214BC"/>
    <w:rsid w:val="0072163B"/>
    <w:rsid w:val="00721640"/>
    <w:rsid w:val="00721830"/>
    <w:rsid w:val="00721966"/>
    <w:rsid w:val="00721A7E"/>
    <w:rsid w:val="00721BC8"/>
    <w:rsid w:val="00721C51"/>
    <w:rsid w:val="00721CAD"/>
    <w:rsid w:val="00721DCC"/>
    <w:rsid w:val="00721ECA"/>
    <w:rsid w:val="00721ED2"/>
    <w:rsid w:val="0072206F"/>
    <w:rsid w:val="00722114"/>
    <w:rsid w:val="00722218"/>
    <w:rsid w:val="00722265"/>
    <w:rsid w:val="007222A3"/>
    <w:rsid w:val="007227EC"/>
    <w:rsid w:val="00722AD2"/>
    <w:rsid w:val="00722C9B"/>
    <w:rsid w:val="00722CAF"/>
    <w:rsid w:val="00722FFA"/>
    <w:rsid w:val="0072312C"/>
    <w:rsid w:val="00723284"/>
    <w:rsid w:val="007232EA"/>
    <w:rsid w:val="0072341B"/>
    <w:rsid w:val="007234FB"/>
    <w:rsid w:val="007235BA"/>
    <w:rsid w:val="007238D1"/>
    <w:rsid w:val="007238F4"/>
    <w:rsid w:val="007238F6"/>
    <w:rsid w:val="00723952"/>
    <w:rsid w:val="007239FC"/>
    <w:rsid w:val="00723B80"/>
    <w:rsid w:val="00723FE8"/>
    <w:rsid w:val="00724002"/>
    <w:rsid w:val="00724201"/>
    <w:rsid w:val="00724214"/>
    <w:rsid w:val="00724230"/>
    <w:rsid w:val="007246BE"/>
    <w:rsid w:val="0072473C"/>
    <w:rsid w:val="00724775"/>
    <w:rsid w:val="00724881"/>
    <w:rsid w:val="0072490E"/>
    <w:rsid w:val="00724943"/>
    <w:rsid w:val="00724B88"/>
    <w:rsid w:val="00724C00"/>
    <w:rsid w:val="00724C0F"/>
    <w:rsid w:val="00724DFE"/>
    <w:rsid w:val="00724E4E"/>
    <w:rsid w:val="00724FC0"/>
    <w:rsid w:val="0072526E"/>
    <w:rsid w:val="00725351"/>
    <w:rsid w:val="00725404"/>
    <w:rsid w:val="007255DE"/>
    <w:rsid w:val="0072564A"/>
    <w:rsid w:val="007257CD"/>
    <w:rsid w:val="00725E5B"/>
    <w:rsid w:val="00725E7D"/>
    <w:rsid w:val="00725FA9"/>
    <w:rsid w:val="00725FAD"/>
    <w:rsid w:val="00726031"/>
    <w:rsid w:val="007262CC"/>
    <w:rsid w:val="007264FB"/>
    <w:rsid w:val="00726518"/>
    <w:rsid w:val="00726620"/>
    <w:rsid w:val="007266CC"/>
    <w:rsid w:val="00726789"/>
    <w:rsid w:val="007267CB"/>
    <w:rsid w:val="00726845"/>
    <w:rsid w:val="00726939"/>
    <w:rsid w:val="00726A41"/>
    <w:rsid w:val="00726A65"/>
    <w:rsid w:val="00726A96"/>
    <w:rsid w:val="00726B66"/>
    <w:rsid w:val="00726BCD"/>
    <w:rsid w:val="00726C75"/>
    <w:rsid w:val="00726C9F"/>
    <w:rsid w:val="00726CA3"/>
    <w:rsid w:val="00726D96"/>
    <w:rsid w:val="00726E64"/>
    <w:rsid w:val="00726F77"/>
    <w:rsid w:val="00726F94"/>
    <w:rsid w:val="00727007"/>
    <w:rsid w:val="00727011"/>
    <w:rsid w:val="00727035"/>
    <w:rsid w:val="007271E8"/>
    <w:rsid w:val="007274AA"/>
    <w:rsid w:val="0072750A"/>
    <w:rsid w:val="007276D3"/>
    <w:rsid w:val="007277C2"/>
    <w:rsid w:val="007278BC"/>
    <w:rsid w:val="00727914"/>
    <w:rsid w:val="00727967"/>
    <w:rsid w:val="00727A24"/>
    <w:rsid w:val="00727C7A"/>
    <w:rsid w:val="00729769"/>
    <w:rsid w:val="0073006C"/>
    <w:rsid w:val="007302B8"/>
    <w:rsid w:val="00730345"/>
    <w:rsid w:val="00730577"/>
    <w:rsid w:val="007307DA"/>
    <w:rsid w:val="007308F7"/>
    <w:rsid w:val="0073097E"/>
    <w:rsid w:val="00730AC9"/>
    <w:rsid w:val="00730C2D"/>
    <w:rsid w:val="00730DDF"/>
    <w:rsid w:val="00730E1E"/>
    <w:rsid w:val="00730F2F"/>
    <w:rsid w:val="007311EA"/>
    <w:rsid w:val="0073129C"/>
    <w:rsid w:val="0073150F"/>
    <w:rsid w:val="007315C5"/>
    <w:rsid w:val="00731759"/>
    <w:rsid w:val="0073182B"/>
    <w:rsid w:val="0073188D"/>
    <w:rsid w:val="007318A6"/>
    <w:rsid w:val="0073195D"/>
    <w:rsid w:val="007319CF"/>
    <w:rsid w:val="00731A40"/>
    <w:rsid w:val="00731A70"/>
    <w:rsid w:val="00731DC0"/>
    <w:rsid w:val="00732185"/>
    <w:rsid w:val="00732226"/>
    <w:rsid w:val="0073229C"/>
    <w:rsid w:val="00732316"/>
    <w:rsid w:val="00732394"/>
    <w:rsid w:val="0073252B"/>
    <w:rsid w:val="0073258B"/>
    <w:rsid w:val="007325F3"/>
    <w:rsid w:val="00732712"/>
    <w:rsid w:val="007327E4"/>
    <w:rsid w:val="00732935"/>
    <w:rsid w:val="007329DA"/>
    <w:rsid w:val="00732AE3"/>
    <w:rsid w:val="00732B61"/>
    <w:rsid w:val="00732BA8"/>
    <w:rsid w:val="00732C19"/>
    <w:rsid w:val="00732D19"/>
    <w:rsid w:val="00732D69"/>
    <w:rsid w:val="00732FDB"/>
    <w:rsid w:val="00733003"/>
    <w:rsid w:val="0073303A"/>
    <w:rsid w:val="00733222"/>
    <w:rsid w:val="00733259"/>
    <w:rsid w:val="0073338B"/>
    <w:rsid w:val="007333BF"/>
    <w:rsid w:val="0073344C"/>
    <w:rsid w:val="0073350E"/>
    <w:rsid w:val="0073353E"/>
    <w:rsid w:val="007335EA"/>
    <w:rsid w:val="0073366D"/>
    <w:rsid w:val="007338A6"/>
    <w:rsid w:val="007338D4"/>
    <w:rsid w:val="00733B5D"/>
    <w:rsid w:val="00733CD8"/>
    <w:rsid w:val="00733CEF"/>
    <w:rsid w:val="00733D50"/>
    <w:rsid w:val="00733E7C"/>
    <w:rsid w:val="00733E8A"/>
    <w:rsid w:val="00733F8C"/>
    <w:rsid w:val="0073402D"/>
    <w:rsid w:val="0073407C"/>
    <w:rsid w:val="0073424D"/>
    <w:rsid w:val="007345B9"/>
    <w:rsid w:val="007346CA"/>
    <w:rsid w:val="00734C65"/>
    <w:rsid w:val="00734D12"/>
    <w:rsid w:val="00734E4F"/>
    <w:rsid w:val="00734E99"/>
    <w:rsid w:val="00735237"/>
    <w:rsid w:val="00735330"/>
    <w:rsid w:val="00735360"/>
    <w:rsid w:val="007354F1"/>
    <w:rsid w:val="007357B4"/>
    <w:rsid w:val="007359A7"/>
    <w:rsid w:val="007359E2"/>
    <w:rsid w:val="00735A2A"/>
    <w:rsid w:val="00735ADA"/>
    <w:rsid w:val="00735C13"/>
    <w:rsid w:val="00735C38"/>
    <w:rsid w:val="00735F1E"/>
    <w:rsid w:val="007362CB"/>
    <w:rsid w:val="007362D1"/>
    <w:rsid w:val="007362DB"/>
    <w:rsid w:val="00736420"/>
    <w:rsid w:val="00736564"/>
    <w:rsid w:val="00736597"/>
    <w:rsid w:val="00736813"/>
    <w:rsid w:val="0073693B"/>
    <w:rsid w:val="0073696D"/>
    <w:rsid w:val="00736976"/>
    <w:rsid w:val="00736A3F"/>
    <w:rsid w:val="00736A54"/>
    <w:rsid w:val="00736AB4"/>
    <w:rsid w:val="00736AD3"/>
    <w:rsid w:val="00736C0F"/>
    <w:rsid w:val="00736C57"/>
    <w:rsid w:val="00736CB5"/>
    <w:rsid w:val="00736D22"/>
    <w:rsid w:val="00736E69"/>
    <w:rsid w:val="00736FCF"/>
    <w:rsid w:val="007370D0"/>
    <w:rsid w:val="00737148"/>
    <w:rsid w:val="00737160"/>
    <w:rsid w:val="00737335"/>
    <w:rsid w:val="007373DB"/>
    <w:rsid w:val="00737442"/>
    <w:rsid w:val="0073757C"/>
    <w:rsid w:val="00737582"/>
    <w:rsid w:val="007375C6"/>
    <w:rsid w:val="0073761A"/>
    <w:rsid w:val="0073777B"/>
    <w:rsid w:val="007378DB"/>
    <w:rsid w:val="00737A04"/>
    <w:rsid w:val="00737B7E"/>
    <w:rsid w:val="00737CAF"/>
    <w:rsid w:val="00737D58"/>
    <w:rsid w:val="00737EA3"/>
    <w:rsid w:val="00740029"/>
    <w:rsid w:val="007400D6"/>
    <w:rsid w:val="0074014F"/>
    <w:rsid w:val="007403BF"/>
    <w:rsid w:val="00740410"/>
    <w:rsid w:val="00740574"/>
    <w:rsid w:val="0074076B"/>
    <w:rsid w:val="00740804"/>
    <w:rsid w:val="00740951"/>
    <w:rsid w:val="00740966"/>
    <w:rsid w:val="00740A28"/>
    <w:rsid w:val="00740A72"/>
    <w:rsid w:val="00740AA1"/>
    <w:rsid w:val="00740B7D"/>
    <w:rsid w:val="00740D51"/>
    <w:rsid w:val="00740E15"/>
    <w:rsid w:val="00740E8E"/>
    <w:rsid w:val="00740FF8"/>
    <w:rsid w:val="00741389"/>
    <w:rsid w:val="0074180E"/>
    <w:rsid w:val="0074184A"/>
    <w:rsid w:val="00741B26"/>
    <w:rsid w:val="00741B34"/>
    <w:rsid w:val="00741B50"/>
    <w:rsid w:val="00741B5F"/>
    <w:rsid w:val="00741B6D"/>
    <w:rsid w:val="00741E6C"/>
    <w:rsid w:val="00741FC1"/>
    <w:rsid w:val="00742280"/>
    <w:rsid w:val="00742289"/>
    <w:rsid w:val="0074232B"/>
    <w:rsid w:val="00742368"/>
    <w:rsid w:val="00742742"/>
    <w:rsid w:val="007429B9"/>
    <w:rsid w:val="00742E39"/>
    <w:rsid w:val="00743064"/>
    <w:rsid w:val="007431AF"/>
    <w:rsid w:val="00743200"/>
    <w:rsid w:val="0074321F"/>
    <w:rsid w:val="007432D6"/>
    <w:rsid w:val="007435E1"/>
    <w:rsid w:val="0074363F"/>
    <w:rsid w:val="0074383F"/>
    <w:rsid w:val="0074385D"/>
    <w:rsid w:val="0074396B"/>
    <w:rsid w:val="00743ABF"/>
    <w:rsid w:val="00743ADC"/>
    <w:rsid w:val="00743C53"/>
    <w:rsid w:val="00743EDC"/>
    <w:rsid w:val="007440BA"/>
    <w:rsid w:val="007442F4"/>
    <w:rsid w:val="007444ED"/>
    <w:rsid w:val="00744898"/>
    <w:rsid w:val="00744BF9"/>
    <w:rsid w:val="00744C5F"/>
    <w:rsid w:val="00744C8D"/>
    <w:rsid w:val="00744E7F"/>
    <w:rsid w:val="00744ECC"/>
    <w:rsid w:val="00744F66"/>
    <w:rsid w:val="0074505E"/>
    <w:rsid w:val="0074506F"/>
    <w:rsid w:val="0074514A"/>
    <w:rsid w:val="0074517D"/>
    <w:rsid w:val="007451E4"/>
    <w:rsid w:val="007455F2"/>
    <w:rsid w:val="00745605"/>
    <w:rsid w:val="007456AD"/>
    <w:rsid w:val="007457C6"/>
    <w:rsid w:val="007459AA"/>
    <w:rsid w:val="007459C9"/>
    <w:rsid w:val="00745A01"/>
    <w:rsid w:val="00745B89"/>
    <w:rsid w:val="00745CBE"/>
    <w:rsid w:val="00745D12"/>
    <w:rsid w:val="00745DE5"/>
    <w:rsid w:val="00745F2F"/>
    <w:rsid w:val="00746068"/>
    <w:rsid w:val="00746090"/>
    <w:rsid w:val="0074624F"/>
    <w:rsid w:val="00746358"/>
    <w:rsid w:val="007463E0"/>
    <w:rsid w:val="0074646A"/>
    <w:rsid w:val="0074655C"/>
    <w:rsid w:val="00746720"/>
    <w:rsid w:val="0074677C"/>
    <w:rsid w:val="00746817"/>
    <w:rsid w:val="00746A10"/>
    <w:rsid w:val="00746AB2"/>
    <w:rsid w:val="00746AD4"/>
    <w:rsid w:val="00746AE7"/>
    <w:rsid w:val="00746E21"/>
    <w:rsid w:val="00746E60"/>
    <w:rsid w:val="00746EB8"/>
    <w:rsid w:val="00746F14"/>
    <w:rsid w:val="00746FAC"/>
    <w:rsid w:val="0074703F"/>
    <w:rsid w:val="00747086"/>
    <w:rsid w:val="00747165"/>
    <w:rsid w:val="007471B6"/>
    <w:rsid w:val="007471EB"/>
    <w:rsid w:val="007473D2"/>
    <w:rsid w:val="0074740B"/>
    <w:rsid w:val="00747457"/>
    <w:rsid w:val="0074759A"/>
    <w:rsid w:val="007475C9"/>
    <w:rsid w:val="0074772F"/>
    <w:rsid w:val="007477D2"/>
    <w:rsid w:val="00747816"/>
    <w:rsid w:val="00747AD3"/>
    <w:rsid w:val="00747C91"/>
    <w:rsid w:val="00747D33"/>
    <w:rsid w:val="00747DF8"/>
    <w:rsid w:val="00747E73"/>
    <w:rsid w:val="00747F94"/>
    <w:rsid w:val="0074ED3C"/>
    <w:rsid w:val="00750053"/>
    <w:rsid w:val="00750166"/>
    <w:rsid w:val="007502A8"/>
    <w:rsid w:val="00750580"/>
    <w:rsid w:val="00750724"/>
    <w:rsid w:val="007508FA"/>
    <w:rsid w:val="00750949"/>
    <w:rsid w:val="00750A0C"/>
    <w:rsid w:val="00750B54"/>
    <w:rsid w:val="00750D6A"/>
    <w:rsid w:val="007510C1"/>
    <w:rsid w:val="0075118E"/>
    <w:rsid w:val="00751317"/>
    <w:rsid w:val="00751886"/>
    <w:rsid w:val="007518F3"/>
    <w:rsid w:val="0075193B"/>
    <w:rsid w:val="007519F8"/>
    <w:rsid w:val="00751AAC"/>
    <w:rsid w:val="00751AD5"/>
    <w:rsid w:val="00751B49"/>
    <w:rsid w:val="00751B51"/>
    <w:rsid w:val="00751BA5"/>
    <w:rsid w:val="0075207C"/>
    <w:rsid w:val="0075211F"/>
    <w:rsid w:val="007521C6"/>
    <w:rsid w:val="00752201"/>
    <w:rsid w:val="007523C2"/>
    <w:rsid w:val="0075244B"/>
    <w:rsid w:val="007524A2"/>
    <w:rsid w:val="007524BA"/>
    <w:rsid w:val="007524D1"/>
    <w:rsid w:val="0075261A"/>
    <w:rsid w:val="007526B8"/>
    <w:rsid w:val="0075270C"/>
    <w:rsid w:val="0075293B"/>
    <w:rsid w:val="007529F5"/>
    <w:rsid w:val="00752AEB"/>
    <w:rsid w:val="00752B10"/>
    <w:rsid w:val="00752DBF"/>
    <w:rsid w:val="0075311D"/>
    <w:rsid w:val="007532CB"/>
    <w:rsid w:val="00753447"/>
    <w:rsid w:val="007534FD"/>
    <w:rsid w:val="007536C8"/>
    <w:rsid w:val="007538C8"/>
    <w:rsid w:val="0075393B"/>
    <w:rsid w:val="00753958"/>
    <w:rsid w:val="00753BD1"/>
    <w:rsid w:val="00753CD6"/>
    <w:rsid w:val="00753D09"/>
    <w:rsid w:val="00753E3E"/>
    <w:rsid w:val="00753E94"/>
    <w:rsid w:val="00753E98"/>
    <w:rsid w:val="00753EB8"/>
    <w:rsid w:val="00753FEA"/>
    <w:rsid w:val="00754082"/>
    <w:rsid w:val="007540B3"/>
    <w:rsid w:val="007540CB"/>
    <w:rsid w:val="00754392"/>
    <w:rsid w:val="0075452D"/>
    <w:rsid w:val="0075471A"/>
    <w:rsid w:val="00754736"/>
    <w:rsid w:val="007549A6"/>
    <w:rsid w:val="00754ACB"/>
    <w:rsid w:val="00754AE1"/>
    <w:rsid w:val="00754BB5"/>
    <w:rsid w:val="00754BC5"/>
    <w:rsid w:val="00754C04"/>
    <w:rsid w:val="00754E37"/>
    <w:rsid w:val="00754F88"/>
    <w:rsid w:val="0075501C"/>
    <w:rsid w:val="0075503F"/>
    <w:rsid w:val="00755071"/>
    <w:rsid w:val="0075516C"/>
    <w:rsid w:val="007551E0"/>
    <w:rsid w:val="00755362"/>
    <w:rsid w:val="00755433"/>
    <w:rsid w:val="00755544"/>
    <w:rsid w:val="007557E1"/>
    <w:rsid w:val="00755801"/>
    <w:rsid w:val="007558B5"/>
    <w:rsid w:val="00755A08"/>
    <w:rsid w:val="00755A58"/>
    <w:rsid w:val="00755C06"/>
    <w:rsid w:val="00755FA0"/>
    <w:rsid w:val="007563AD"/>
    <w:rsid w:val="0075645A"/>
    <w:rsid w:val="00756541"/>
    <w:rsid w:val="00756645"/>
    <w:rsid w:val="00756686"/>
    <w:rsid w:val="0075669F"/>
    <w:rsid w:val="00756792"/>
    <w:rsid w:val="00756863"/>
    <w:rsid w:val="00756916"/>
    <w:rsid w:val="00756B04"/>
    <w:rsid w:val="00756C8F"/>
    <w:rsid w:val="00756D69"/>
    <w:rsid w:val="00756DDA"/>
    <w:rsid w:val="0075742E"/>
    <w:rsid w:val="0075771C"/>
    <w:rsid w:val="007577B4"/>
    <w:rsid w:val="00757848"/>
    <w:rsid w:val="007579C8"/>
    <w:rsid w:val="007579F6"/>
    <w:rsid w:val="00757A48"/>
    <w:rsid w:val="00757A69"/>
    <w:rsid w:val="00757AA7"/>
    <w:rsid w:val="00757B6F"/>
    <w:rsid w:val="00757BDA"/>
    <w:rsid w:val="00757C39"/>
    <w:rsid w:val="00757D46"/>
    <w:rsid w:val="00757D4B"/>
    <w:rsid w:val="00757D51"/>
    <w:rsid w:val="00757E9F"/>
    <w:rsid w:val="00760069"/>
    <w:rsid w:val="007601C5"/>
    <w:rsid w:val="007601D1"/>
    <w:rsid w:val="00760259"/>
    <w:rsid w:val="00760521"/>
    <w:rsid w:val="007606C6"/>
    <w:rsid w:val="00760825"/>
    <w:rsid w:val="00760893"/>
    <w:rsid w:val="007608D7"/>
    <w:rsid w:val="0076096A"/>
    <w:rsid w:val="00760971"/>
    <w:rsid w:val="00760A03"/>
    <w:rsid w:val="00760B1D"/>
    <w:rsid w:val="00760CE8"/>
    <w:rsid w:val="00760D6A"/>
    <w:rsid w:val="00760D71"/>
    <w:rsid w:val="00760DF9"/>
    <w:rsid w:val="00760E48"/>
    <w:rsid w:val="00760F7B"/>
    <w:rsid w:val="007611C9"/>
    <w:rsid w:val="00761231"/>
    <w:rsid w:val="0076131C"/>
    <w:rsid w:val="0076146C"/>
    <w:rsid w:val="00761516"/>
    <w:rsid w:val="00761524"/>
    <w:rsid w:val="0076165A"/>
    <w:rsid w:val="0076171F"/>
    <w:rsid w:val="0076187E"/>
    <w:rsid w:val="0076190B"/>
    <w:rsid w:val="00761A33"/>
    <w:rsid w:val="00761AF2"/>
    <w:rsid w:val="00761B34"/>
    <w:rsid w:val="00761BA0"/>
    <w:rsid w:val="00761C24"/>
    <w:rsid w:val="00761D3E"/>
    <w:rsid w:val="00761D81"/>
    <w:rsid w:val="00761EEF"/>
    <w:rsid w:val="00761F2B"/>
    <w:rsid w:val="00761FBD"/>
    <w:rsid w:val="007620DB"/>
    <w:rsid w:val="0076212B"/>
    <w:rsid w:val="0076220D"/>
    <w:rsid w:val="0076220E"/>
    <w:rsid w:val="007622AC"/>
    <w:rsid w:val="007622E2"/>
    <w:rsid w:val="00762335"/>
    <w:rsid w:val="0076240B"/>
    <w:rsid w:val="007624AA"/>
    <w:rsid w:val="00762577"/>
    <w:rsid w:val="00762727"/>
    <w:rsid w:val="00762919"/>
    <w:rsid w:val="007629C4"/>
    <w:rsid w:val="00762E98"/>
    <w:rsid w:val="00762FA3"/>
    <w:rsid w:val="00763148"/>
    <w:rsid w:val="007632A7"/>
    <w:rsid w:val="007632B5"/>
    <w:rsid w:val="00763308"/>
    <w:rsid w:val="007636E8"/>
    <w:rsid w:val="00763702"/>
    <w:rsid w:val="0076378D"/>
    <w:rsid w:val="00763899"/>
    <w:rsid w:val="00763961"/>
    <w:rsid w:val="00763970"/>
    <w:rsid w:val="00763994"/>
    <w:rsid w:val="00763C2A"/>
    <w:rsid w:val="00763C42"/>
    <w:rsid w:val="00763D4A"/>
    <w:rsid w:val="00763D76"/>
    <w:rsid w:val="00763DD2"/>
    <w:rsid w:val="00763E45"/>
    <w:rsid w:val="00763F5F"/>
    <w:rsid w:val="00764283"/>
    <w:rsid w:val="00764299"/>
    <w:rsid w:val="007642BE"/>
    <w:rsid w:val="007642D0"/>
    <w:rsid w:val="0076430E"/>
    <w:rsid w:val="00764318"/>
    <w:rsid w:val="007643FB"/>
    <w:rsid w:val="00764474"/>
    <w:rsid w:val="007644E1"/>
    <w:rsid w:val="00764512"/>
    <w:rsid w:val="00764578"/>
    <w:rsid w:val="007647DC"/>
    <w:rsid w:val="007648BF"/>
    <w:rsid w:val="00764A06"/>
    <w:rsid w:val="00764A85"/>
    <w:rsid w:val="00764AA4"/>
    <w:rsid w:val="00764B0B"/>
    <w:rsid w:val="00764B20"/>
    <w:rsid w:val="00764BF1"/>
    <w:rsid w:val="00764C15"/>
    <w:rsid w:val="00764D6A"/>
    <w:rsid w:val="00764EDC"/>
    <w:rsid w:val="00764EDD"/>
    <w:rsid w:val="00764F6D"/>
    <w:rsid w:val="00764F83"/>
    <w:rsid w:val="00764FAA"/>
    <w:rsid w:val="0076503C"/>
    <w:rsid w:val="0076533E"/>
    <w:rsid w:val="0076542D"/>
    <w:rsid w:val="0076555B"/>
    <w:rsid w:val="007658DE"/>
    <w:rsid w:val="0076597A"/>
    <w:rsid w:val="00765983"/>
    <w:rsid w:val="00765DC5"/>
    <w:rsid w:val="00765E08"/>
    <w:rsid w:val="00765ED4"/>
    <w:rsid w:val="00765F50"/>
    <w:rsid w:val="00765FD8"/>
    <w:rsid w:val="00766008"/>
    <w:rsid w:val="007660C1"/>
    <w:rsid w:val="00766144"/>
    <w:rsid w:val="00766862"/>
    <w:rsid w:val="00766A2F"/>
    <w:rsid w:val="00766A38"/>
    <w:rsid w:val="00766A57"/>
    <w:rsid w:val="00766ACA"/>
    <w:rsid w:val="00766C5A"/>
    <w:rsid w:val="00766CA9"/>
    <w:rsid w:val="00766CBB"/>
    <w:rsid w:val="00766D60"/>
    <w:rsid w:val="00766FFA"/>
    <w:rsid w:val="0076707B"/>
    <w:rsid w:val="00767210"/>
    <w:rsid w:val="00767233"/>
    <w:rsid w:val="007672A5"/>
    <w:rsid w:val="007672F4"/>
    <w:rsid w:val="00767310"/>
    <w:rsid w:val="00767445"/>
    <w:rsid w:val="0076748A"/>
    <w:rsid w:val="00767604"/>
    <w:rsid w:val="00767637"/>
    <w:rsid w:val="007676BF"/>
    <w:rsid w:val="007679F1"/>
    <w:rsid w:val="00767A04"/>
    <w:rsid w:val="00767A11"/>
    <w:rsid w:val="00767B81"/>
    <w:rsid w:val="00767C33"/>
    <w:rsid w:val="00767E7E"/>
    <w:rsid w:val="00767E9C"/>
    <w:rsid w:val="00767FC2"/>
    <w:rsid w:val="007700B0"/>
    <w:rsid w:val="00770119"/>
    <w:rsid w:val="0077014B"/>
    <w:rsid w:val="007701DB"/>
    <w:rsid w:val="00770260"/>
    <w:rsid w:val="007702E6"/>
    <w:rsid w:val="0077030B"/>
    <w:rsid w:val="00770343"/>
    <w:rsid w:val="007703D9"/>
    <w:rsid w:val="007704E7"/>
    <w:rsid w:val="00770709"/>
    <w:rsid w:val="00770836"/>
    <w:rsid w:val="007708B5"/>
    <w:rsid w:val="007708E9"/>
    <w:rsid w:val="007709E8"/>
    <w:rsid w:val="00770A6D"/>
    <w:rsid w:val="00770B4E"/>
    <w:rsid w:val="00770E1E"/>
    <w:rsid w:val="00770F05"/>
    <w:rsid w:val="00770FCA"/>
    <w:rsid w:val="007710C6"/>
    <w:rsid w:val="0077113C"/>
    <w:rsid w:val="007712C6"/>
    <w:rsid w:val="007712DB"/>
    <w:rsid w:val="0077132C"/>
    <w:rsid w:val="0077141C"/>
    <w:rsid w:val="00771421"/>
    <w:rsid w:val="0077158E"/>
    <w:rsid w:val="007715BD"/>
    <w:rsid w:val="00771669"/>
    <w:rsid w:val="00771690"/>
    <w:rsid w:val="00771A13"/>
    <w:rsid w:val="00771A1C"/>
    <w:rsid w:val="00771B7F"/>
    <w:rsid w:val="00772250"/>
    <w:rsid w:val="007722A7"/>
    <w:rsid w:val="007722D8"/>
    <w:rsid w:val="00772545"/>
    <w:rsid w:val="007726C1"/>
    <w:rsid w:val="007726EA"/>
    <w:rsid w:val="00772985"/>
    <w:rsid w:val="007729F2"/>
    <w:rsid w:val="00772A6D"/>
    <w:rsid w:val="00772AE1"/>
    <w:rsid w:val="00772AFF"/>
    <w:rsid w:val="00772BB7"/>
    <w:rsid w:val="00772BF0"/>
    <w:rsid w:val="00772BFA"/>
    <w:rsid w:val="00772C6F"/>
    <w:rsid w:val="00772CAF"/>
    <w:rsid w:val="00772D33"/>
    <w:rsid w:val="00772FA8"/>
    <w:rsid w:val="00773218"/>
    <w:rsid w:val="0077330D"/>
    <w:rsid w:val="007733E1"/>
    <w:rsid w:val="00773422"/>
    <w:rsid w:val="00773719"/>
    <w:rsid w:val="0077398D"/>
    <w:rsid w:val="00773AAF"/>
    <w:rsid w:val="00773B01"/>
    <w:rsid w:val="00773B58"/>
    <w:rsid w:val="00773B88"/>
    <w:rsid w:val="00773C28"/>
    <w:rsid w:val="00773D1A"/>
    <w:rsid w:val="00773E09"/>
    <w:rsid w:val="007741D2"/>
    <w:rsid w:val="00774343"/>
    <w:rsid w:val="00774CB3"/>
    <w:rsid w:val="00774E46"/>
    <w:rsid w:val="00774E62"/>
    <w:rsid w:val="00774EE4"/>
    <w:rsid w:val="00774F75"/>
    <w:rsid w:val="00775300"/>
    <w:rsid w:val="007753FF"/>
    <w:rsid w:val="007754E1"/>
    <w:rsid w:val="0077572B"/>
    <w:rsid w:val="007759CC"/>
    <w:rsid w:val="00775AD1"/>
    <w:rsid w:val="00775B98"/>
    <w:rsid w:val="00775BFE"/>
    <w:rsid w:val="00775C0E"/>
    <w:rsid w:val="00775C51"/>
    <w:rsid w:val="00775F49"/>
    <w:rsid w:val="00776178"/>
    <w:rsid w:val="0077619D"/>
    <w:rsid w:val="007762A3"/>
    <w:rsid w:val="007762FA"/>
    <w:rsid w:val="00776474"/>
    <w:rsid w:val="00776696"/>
    <w:rsid w:val="007768E7"/>
    <w:rsid w:val="00776916"/>
    <w:rsid w:val="00776948"/>
    <w:rsid w:val="0077699B"/>
    <w:rsid w:val="00776A1D"/>
    <w:rsid w:val="00776A5B"/>
    <w:rsid w:val="00776B90"/>
    <w:rsid w:val="00776BDA"/>
    <w:rsid w:val="00776C55"/>
    <w:rsid w:val="00776FB0"/>
    <w:rsid w:val="007771A1"/>
    <w:rsid w:val="00777300"/>
    <w:rsid w:val="0077736E"/>
    <w:rsid w:val="0077747A"/>
    <w:rsid w:val="00777487"/>
    <w:rsid w:val="007774F4"/>
    <w:rsid w:val="0077752A"/>
    <w:rsid w:val="0077753E"/>
    <w:rsid w:val="007775C0"/>
    <w:rsid w:val="007776BB"/>
    <w:rsid w:val="00777711"/>
    <w:rsid w:val="007777A1"/>
    <w:rsid w:val="00777909"/>
    <w:rsid w:val="00777A65"/>
    <w:rsid w:val="00777AD2"/>
    <w:rsid w:val="00777FE6"/>
    <w:rsid w:val="0078003D"/>
    <w:rsid w:val="00780292"/>
    <w:rsid w:val="00780293"/>
    <w:rsid w:val="00780409"/>
    <w:rsid w:val="00780475"/>
    <w:rsid w:val="007805B2"/>
    <w:rsid w:val="007807AF"/>
    <w:rsid w:val="00780863"/>
    <w:rsid w:val="007809EE"/>
    <w:rsid w:val="00780B8C"/>
    <w:rsid w:val="00780C19"/>
    <w:rsid w:val="00780DC5"/>
    <w:rsid w:val="00780E50"/>
    <w:rsid w:val="00780ED4"/>
    <w:rsid w:val="00780F28"/>
    <w:rsid w:val="0078105B"/>
    <w:rsid w:val="0078106F"/>
    <w:rsid w:val="00781096"/>
    <w:rsid w:val="00781149"/>
    <w:rsid w:val="0078140B"/>
    <w:rsid w:val="0078147F"/>
    <w:rsid w:val="007814BD"/>
    <w:rsid w:val="00781573"/>
    <w:rsid w:val="00781BF5"/>
    <w:rsid w:val="00781D59"/>
    <w:rsid w:val="00781DD3"/>
    <w:rsid w:val="00781EB0"/>
    <w:rsid w:val="00781FA0"/>
    <w:rsid w:val="00781FF4"/>
    <w:rsid w:val="007821AD"/>
    <w:rsid w:val="0078224D"/>
    <w:rsid w:val="00782439"/>
    <w:rsid w:val="007824A3"/>
    <w:rsid w:val="0078264C"/>
    <w:rsid w:val="0078273E"/>
    <w:rsid w:val="0078273F"/>
    <w:rsid w:val="007827F8"/>
    <w:rsid w:val="00782830"/>
    <w:rsid w:val="007828B5"/>
    <w:rsid w:val="0078295F"/>
    <w:rsid w:val="00782AE4"/>
    <w:rsid w:val="00782BAF"/>
    <w:rsid w:val="00782BCF"/>
    <w:rsid w:val="00782DC6"/>
    <w:rsid w:val="00782DCD"/>
    <w:rsid w:val="00782EA5"/>
    <w:rsid w:val="00782F0E"/>
    <w:rsid w:val="00782F78"/>
    <w:rsid w:val="00782F88"/>
    <w:rsid w:val="0078310C"/>
    <w:rsid w:val="00783664"/>
    <w:rsid w:val="00783668"/>
    <w:rsid w:val="0078367C"/>
    <w:rsid w:val="0078377A"/>
    <w:rsid w:val="00783790"/>
    <w:rsid w:val="007839AC"/>
    <w:rsid w:val="00783A0E"/>
    <w:rsid w:val="00783A93"/>
    <w:rsid w:val="00783C0C"/>
    <w:rsid w:val="00783CE0"/>
    <w:rsid w:val="00783D44"/>
    <w:rsid w:val="00783E80"/>
    <w:rsid w:val="00783F4E"/>
    <w:rsid w:val="00784171"/>
    <w:rsid w:val="007841D6"/>
    <w:rsid w:val="00784403"/>
    <w:rsid w:val="007844A5"/>
    <w:rsid w:val="007846BC"/>
    <w:rsid w:val="007846CE"/>
    <w:rsid w:val="0078471D"/>
    <w:rsid w:val="007848B1"/>
    <w:rsid w:val="007848C1"/>
    <w:rsid w:val="00784D01"/>
    <w:rsid w:val="00784DBD"/>
    <w:rsid w:val="00784E4F"/>
    <w:rsid w:val="00784EA5"/>
    <w:rsid w:val="00784EC0"/>
    <w:rsid w:val="00784F20"/>
    <w:rsid w:val="00784F89"/>
    <w:rsid w:val="00784F8F"/>
    <w:rsid w:val="00784FA3"/>
    <w:rsid w:val="00785102"/>
    <w:rsid w:val="00785261"/>
    <w:rsid w:val="007853E9"/>
    <w:rsid w:val="007854A2"/>
    <w:rsid w:val="007855AA"/>
    <w:rsid w:val="00785627"/>
    <w:rsid w:val="007856A1"/>
    <w:rsid w:val="00785815"/>
    <w:rsid w:val="00785A5A"/>
    <w:rsid w:val="00785AE8"/>
    <w:rsid w:val="00785B9B"/>
    <w:rsid w:val="00785CD9"/>
    <w:rsid w:val="00785E65"/>
    <w:rsid w:val="00785F35"/>
    <w:rsid w:val="00785F9C"/>
    <w:rsid w:val="0078620C"/>
    <w:rsid w:val="0078637E"/>
    <w:rsid w:val="0078649B"/>
    <w:rsid w:val="00786552"/>
    <w:rsid w:val="00786606"/>
    <w:rsid w:val="007866CA"/>
    <w:rsid w:val="00786A18"/>
    <w:rsid w:val="00786A7B"/>
    <w:rsid w:val="00786B8C"/>
    <w:rsid w:val="00786CC9"/>
    <w:rsid w:val="00786CFF"/>
    <w:rsid w:val="00786EBE"/>
    <w:rsid w:val="00786FF2"/>
    <w:rsid w:val="00786FFF"/>
    <w:rsid w:val="00787115"/>
    <w:rsid w:val="0078727F"/>
    <w:rsid w:val="00787305"/>
    <w:rsid w:val="0078730F"/>
    <w:rsid w:val="0078760F"/>
    <w:rsid w:val="00787659"/>
    <w:rsid w:val="007876F9"/>
    <w:rsid w:val="0078773C"/>
    <w:rsid w:val="00787B57"/>
    <w:rsid w:val="00787BB8"/>
    <w:rsid w:val="00787EBD"/>
    <w:rsid w:val="00787EDA"/>
    <w:rsid w:val="00790157"/>
    <w:rsid w:val="00790184"/>
    <w:rsid w:val="007901B4"/>
    <w:rsid w:val="00790239"/>
    <w:rsid w:val="0079027A"/>
    <w:rsid w:val="0079033B"/>
    <w:rsid w:val="00790619"/>
    <w:rsid w:val="0079061E"/>
    <w:rsid w:val="007908C8"/>
    <w:rsid w:val="007909A7"/>
    <w:rsid w:val="00790A0F"/>
    <w:rsid w:val="00790A85"/>
    <w:rsid w:val="00790AC1"/>
    <w:rsid w:val="00790B06"/>
    <w:rsid w:val="00790BAD"/>
    <w:rsid w:val="00790D28"/>
    <w:rsid w:val="00791026"/>
    <w:rsid w:val="00791197"/>
    <w:rsid w:val="00791248"/>
    <w:rsid w:val="007912CF"/>
    <w:rsid w:val="0079132A"/>
    <w:rsid w:val="007913FD"/>
    <w:rsid w:val="007916AE"/>
    <w:rsid w:val="0079178B"/>
    <w:rsid w:val="00791CB9"/>
    <w:rsid w:val="00791E2C"/>
    <w:rsid w:val="00791E87"/>
    <w:rsid w:val="00792073"/>
    <w:rsid w:val="0079221B"/>
    <w:rsid w:val="0079224E"/>
    <w:rsid w:val="00792322"/>
    <w:rsid w:val="0079241A"/>
    <w:rsid w:val="007924FF"/>
    <w:rsid w:val="007925C2"/>
    <w:rsid w:val="00792645"/>
    <w:rsid w:val="00792692"/>
    <w:rsid w:val="0079287E"/>
    <w:rsid w:val="00792882"/>
    <w:rsid w:val="00792919"/>
    <w:rsid w:val="007929D4"/>
    <w:rsid w:val="00792B8A"/>
    <w:rsid w:val="00792BEA"/>
    <w:rsid w:val="00792F26"/>
    <w:rsid w:val="00793117"/>
    <w:rsid w:val="0079312D"/>
    <w:rsid w:val="00793191"/>
    <w:rsid w:val="00793354"/>
    <w:rsid w:val="0079344C"/>
    <w:rsid w:val="007934F6"/>
    <w:rsid w:val="00793525"/>
    <w:rsid w:val="0079369E"/>
    <w:rsid w:val="00793736"/>
    <w:rsid w:val="00793859"/>
    <w:rsid w:val="00793912"/>
    <w:rsid w:val="00793931"/>
    <w:rsid w:val="00793C73"/>
    <w:rsid w:val="00793C76"/>
    <w:rsid w:val="00793CFB"/>
    <w:rsid w:val="00793DDE"/>
    <w:rsid w:val="00794037"/>
    <w:rsid w:val="007940DF"/>
    <w:rsid w:val="0079445E"/>
    <w:rsid w:val="00794653"/>
    <w:rsid w:val="00794B84"/>
    <w:rsid w:val="00794C44"/>
    <w:rsid w:val="00794CE4"/>
    <w:rsid w:val="00794E22"/>
    <w:rsid w:val="00794EB4"/>
    <w:rsid w:val="00794EDF"/>
    <w:rsid w:val="00794F7F"/>
    <w:rsid w:val="00794FD9"/>
    <w:rsid w:val="00795010"/>
    <w:rsid w:val="0079528C"/>
    <w:rsid w:val="00795427"/>
    <w:rsid w:val="007954A4"/>
    <w:rsid w:val="00795739"/>
    <w:rsid w:val="007958E1"/>
    <w:rsid w:val="00795937"/>
    <w:rsid w:val="007959F3"/>
    <w:rsid w:val="00795C52"/>
    <w:rsid w:val="00796008"/>
    <w:rsid w:val="007961F7"/>
    <w:rsid w:val="00796227"/>
    <w:rsid w:val="007964AB"/>
    <w:rsid w:val="0079654C"/>
    <w:rsid w:val="007965C3"/>
    <w:rsid w:val="007965FB"/>
    <w:rsid w:val="00796696"/>
    <w:rsid w:val="0079694A"/>
    <w:rsid w:val="00796976"/>
    <w:rsid w:val="00796A10"/>
    <w:rsid w:val="00796A50"/>
    <w:rsid w:val="00796A6B"/>
    <w:rsid w:val="00796DA0"/>
    <w:rsid w:val="00796E87"/>
    <w:rsid w:val="00796EA5"/>
    <w:rsid w:val="007970F9"/>
    <w:rsid w:val="007972BA"/>
    <w:rsid w:val="007973E3"/>
    <w:rsid w:val="00797401"/>
    <w:rsid w:val="007975B3"/>
    <w:rsid w:val="00797619"/>
    <w:rsid w:val="0079765A"/>
    <w:rsid w:val="007976E9"/>
    <w:rsid w:val="00797721"/>
    <w:rsid w:val="0079777A"/>
    <w:rsid w:val="00797916"/>
    <w:rsid w:val="00797C9E"/>
    <w:rsid w:val="00797EF3"/>
    <w:rsid w:val="00797FEB"/>
    <w:rsid w:val="0079A1D7"/>
    <w:rsid w:val="007A00FB"/>
    <w:rsid w:val="007A0138"/>
    <w:rsid w:val="007A013C"/>
    <w:rsid w:val="007A0191"/>
    <w:rsid w:val="007A01E1"/>
    <w:rsid w:val="007A04A5"/>
    <w:rsid w:val="007A06AF"/>
    <w:rsid w:val="007A072E"/>
    <w:rsid w:val="007A0B21"/>
    <w:rsid w:val="007A0BA5"/>
    <w:rsid w:val="007A0BEC"/>
    <w:rsid w:val="007A0D25"/>
    <w:rsid w:val="007A0DE2"/>
    <w:rsid w:val="007A0E08"/>
    <w:rsid w:val="007A0E5D"/>
    <w:rsid w:val="007A0FC7"/>
    <w:rsid w:val="007A13F4"/>
    <w:rsid w:val="007A142A"/>
    <w:rsid w:val="007A1581"/>
    <w:rsid w:val="007A16CE"/>
    <w:rsid w:val="007A17AE"/>
    <w:rsid w:val="007A1805"/>
    <w:rsid w:val="007A18D4"/>
    <w:rsid w:val="007A1BB8"/>
    <w:rsid w:val="007A1CD8"/>
    <w:rsid w:val="007A1E98"/>
    <w:rsid w:val="007A1FC9"/>
    <w:rsid w:val="007A1FDE"/>
    <w:rsid w:val="007A20E0"/>
    <w:rsid w:val="007A244F"/>
    <w:rsid w:val="007A2474"/>
    <w:rsid w:val="007A25B9"/>
    <w:rsid w:val="007A266A"/>
    <w:rsid w:val="007A2696"/>
    <w:rsid w:val="007A28F7"/>
    <w:rsid w:val="007A2AEC"/>
    <w:rsid w:val="007A2CA3"/>
    <w:rsid w:val="007A2CFA"/>
    <w:rsid w:val="007A2F27"/>
    <w:rsid w:val="007A32C9"/>
    <w:rsid w:val="007A32DA"/>
    <w:rsid w:val="007A3408"/>
    <w:rsid w:val="007A34C2"/>
    <w:rsid w:val="007A35DA"/>
    <w:rsid w:val="007A366E"/>
    <w:rsid w:val="007A3697"/>
    <w:rsid w:val="007A3700"/>
    <w:rsid w:val="007A387F"/>
    <w:rsid w:val="007A38C5"/>
    <w:rsid w:val="007A390E"/>
    <w:rsid w:val="007A396F"/>
    <w:rsid w:val="007A39C5"/>
    <w:rsid w:val="007A39ED"/>
    <w:rsid w:val="007A3BAD"/>
    <w:rsid w:val="007A3DEA"/>
    <w:rsid w:val="007A3FD6"/>
    <w:rsid w:val="007A412A"/>
    <w:rsid w:val="007A41F6"/>
    <w:rsid w:val="007A44F6"/>
    <w:rsid w:val="007A45BB"/>
    <w:rsid w:val="007A45C9"/>
    <w:rsid w:val="007A45DA"/>
    <w:rsid w:val="007A4738"/>
    <w:rsid w:val="007A4791"/>
    <w:rsid w:val="007A4912"/>
    <w:rsid w:val="007A497D"/>
    <w:rsid w:val="007A49C2"/>
    <w:rsid w:val="007A4B61"/>
    <w:rsid w:val="007A4BAF"/>
    <w:rsid w:val="007A4BDD"/>
    <w:rsid w:val="007A4C3C"/>
    <w:rsid w:val="007A4E48"/>
    <w:rsid w:val="007A4EF5"/>
    <w:rsid w:val="007A5245"/>
    <w:rsid w:val="007A536B"/>
    <w:rsid w:val="007A5794"/>
    <w:rsid w:val="007A596A"/>
    <w:rsid w:val="007A5979"/>
    <w:rsid w:val="007A59CE"/>
    <w:rsid w:val="007A5A22"/>
    <w:rsid w:val="007A5CA2"/>
    <w:rsid w:val="007A5E71"/>
    <w:rsid w:val="007A5F9A"/>
    <w:rsid w:val="007A6036"/>
    <w:rsid w:val="007A62D9"/>
    <w:rsid w:val="007A6317"/>
    <w:rsid w:val="007A654A"/>
    <w:rsid w:val="007A6699"/>
    <w:rsid w:val="007A66E8"/>
    <w:rsid w:val="007A67C2"/>
    <w:rsid w:val="007A6896"/>
    <w:rsid w:val="007A69B8"/>
    <w:rsid w:val="007A6CFB"/>
    <w:rsid w:val="007A6E60"/>
    <w:rsid w:val="007A6E65"/>
    <w:rsid w:val="007A6E93"/>
    <w:rsid w:val="007A7051"/>
    <w:rsid w:val="007A7066"/>
    <w:rsid w:val="007A7184"/>
    <w:rsid w:val="007A71D3"/>
    <w:rsid w:val="007A7378"/>
    <w:rsid w:val="007A7394"/>
    <w:rsid w:val="007A7458"/>
    <w:rsid w:val="007A756E"/>
    <w:rsid w:val="007A763D"/>
    <w:rsid w:val="007A779F"/>
    <w:rsid w:val="007A77A2"/>
    <w:rsid w:val="007A783D"/>
    <w:rsid w:val="007A785B"/>
    <w:rsid w:val="007A7862"/>
    <w:rsid w:val="007A7B58"/>
    <w:rsid w:val="007A7D6A"/>
    <w:rsid w:val="007A7E9A"/>
    <w:rsid w:val="007A7F16"/>
    <w:rsid w:val="007A7F53"/>
    <w:rsid w:val="007A7F95"/>
    <w:rsid w:val="007B0141"/>
    <w:rsid w:val="007B0157"/>
    <w:rsid w:val="007B0254"/>
    <w:rsid w:val="007B038D"/>
    <w:rsid w:val="007B043D"/>
    <w:rsid w:val="007B05B3"/>
    <w:rsid w:val="007B0694"/>
    <w:rsid w:val="007B07C1"/>
    <w:rsid w:val="007B08D2"/>
    <w:rsid w:val="007B0B9C"/>
    <w:rsid w:val="007B0D47"/>
    <w:rsid w:val="007B1309"/>
    <w:rsid w:val="007B14CE"/>
    <w:rsid w:val="007B15CE"/>
    <w:rsid w:val="007B15EA"/>
    <w:rsid w:val="007B160C"/>
    <w:rsid w:val="007B16FF"/>
    <w:rsid w:val="007B1739"/>
    <w:rsid w:val="007B18DD"/>
    <w:rsid w:val="007B1A00"/>
    <w:rsid w:val="007B1A1C"/>
    <w:rsid w:val="007B1D10"/>
    <w:rsid w:val="007B1D84"/>
    <w:rsid w:val="007B1E57"/>
    <w:rsid w:val="007B204E"/>
    <w:rsid w:val="007B2247"/>
    <w:rsid w:val="007B2285"/>
    <w:rsid w:val="007B22E5"/>
    <w:rsid w:val="007B2319"/>
    <w:rsid w:val="007B2649"/>
    <w:rsid w:val="007B27A5"/>
    <w:rsid w:val="007B291B"/>
    <w:rsid w:val="007B2955"/>
    <w:rsid w:val="007B3169"/>
    <w:rsid w:val="007B319D"/>
    <w:rsid w:val="007B33D7"/>
    <w:rsid w:val="007B3446"/>
    <w:rsid w:val="007B3456"/>
    <w:rsid w:val="007B34AE"/>
    <w:rsid w:val="007B357A"/>
    <w:rsid w:val="007B3864"/>
    <w:rsid w:val="007B38C4"/>
    <w:rsid w:val="007B39C0"/>
    <w:rsid w:val="007B3A72"/>
    <w:rsid w:val="007B3B58"/>
    <w:rsid w:val="007B3B6F"/>
    <w:rsid w:val="007B3BE0"/>
    <w:rsid w:val="007B3C7F"/>
    <w:rsid w:val="007B3D92"/>
    <w:rsid w:val="007B3F31"/>
    <w:rsid w:val="007B4231"/>
    <w:rsid w:val="007B4483"/>
    <w:rsid w:val="007B4683"/>
    <w:rsid w:val="007B477A"/>
    <w:rsid w:val="007B482A"/>
    <w:rsid w:val="007B4851"/>
    <w:rsid w:val="007B4875"/>
    <w:rsid w:val="007B487D"/>
    <w:rsid w:val="007B4960"/>
    <w:rsid w:val="007B49D5"/>
    <w:rsid w:val="007B49FD"/>
    <w:rsid w:val="007B4A0E"/>
    <w:rsid w:val="007B4AA3"/>
    <w:rsid w:val="007B4AD1"/>
    <w:rsid w:val="007B4B16"/>
    <w:rsid w:val="007B4B3B"/>
    <w:rsid w:val="007B4CDC"/>
    <w:rsid w:val="007B4E9D"/>
    <w:rsid w:val="007B506E"/>
    <w:rsid w:val="007B51FA"/>
    <w:rsid w:val="007B5226"/>
    <w:rsid w:val="007B5491"/>
    <w:rsid w:val="007B54F2"/>
    <w:rsid w:val="007B595B"/>
    <w:rsid w:val="007B5A1E"/>
    <w:rsid w:val="007B5B4C"/>
    <w:rsid w:val="007B5C56"/>
    <w:rsid w:val="007B5C60"/>
    <w:rsid w:val="007B5E23"/>
    <w:rsid w:val="007B5E3C"/>
    <w:rsid w:val="007B5FFB"/>
    <w:rsid w:val="007B602D"/>
    <w:rsid w:val="007B6115"/>
    <w:rsid w:val="007B6153"/>
    <w:rsid w:val="007B620B"/>
    <w:rsid w:val="007B637E"/>
    <w:rsid w:val="007B6427"/>
    <w:rsid w:val="007B643F"/>
    <w:rsid w:val="007B64DA"/>
    <w:rsid w:val="007B650D"/>
    <w:rsid w:val="007B655C"/>
    <w:rsid w:val="007B66EB"/>
    <w:rsid w:val="007B69B2"/>
    <w:rsid w:val="007B6ADC"/>
    <w:rsid w:val="007B6AF7"/>
    <w:rsid w:val="007B6B3E"/>
    <w:rsid w:val="007B6BBE"/>
    <w:rsid w:val="007B6D15"/>
    <w:rsid w:val="007B6DBE"/>
    <w:rsid w:val="007B6E41"/>
    <w:rsid w:val="007B6EAB"/>
    <w:rsid w:val="007B7089"/>
    <w:rsid w:val="007B712F"/>
    <w:rsid w:val="007B7170"/>
    <w:rsid w:val="007B7275"/>
    <w:rsid w:val="007B7372"/>
    <w:rsid w:val="007B73D8"/>
    <w:rsid w:val="007B754A"/>
    <w:rsid w:val="007B7665"/>
    <w:rsid w:val="007B7A0B"/>
    <w:rsid w:val="007B7CE2"/>
    <w:rsid w:val="007C00CA"/>
    <w:rsid w:val="007C036D"/>
    <w:rsid w:val="007C049A"/>
    <w:rsid w:val="007C0554"/>
    <w:rsid w:val="007C063E"/>
    <w:rsid w:val="007C06B4"/>
    <w:rsid w:val="007C0817"/>
    <w:rsid w:val="007C08F8"/>
    <w:rsid w:val="007C0944"/>
    <w:rsid w:val="007C09A1"/>
    <w:rsid w:val="007C0F59"/>
    <w:rsid w:val="007C13A9"/>
    <w:rsid w:val="007C14B3"/>
    <w:rsid w:val="007C14D7"/>
    <w:rsid w:val="007C1536"/>
    <w:rsid w:val="007C161F"/>
    <w:rsid w:val="007C16CA"/>
    <w:rsid w:val="007C1750"/>
    <w:rsid w:val="007C179D"/>
    <w:rsid w:val="007C17A3"/>
    <w:rsid w:val="007C182E"/>
    <w:rsid w:val="007C1837"/>
    <w:rsid w:val="007C19B7"/>
    <w:rsid w:val="007C1ABB"/>
    <w:rsid w:val="007C1B3B"/>
    <w:rsid w:val="007C1C85"/>
    <w:rsid w:val="007C1DFC"/>
    <w:rsid w:val="007C1E6B"/>
    <w:rsid w:val="007C1F08"/>
    <w:rsid w:val="007C201C"/>
    <w:rsid w:val="007C22DC"/>
    <w:rsid w:val="007C2377"/>
    <w:rsid w:val="007C238F"/>
    <w:rsid w:val="007C2593"/>
    <w:rsid w:val="007C2834"/>
    <w:rsid w:val="007C28EF"/>
    <w:rsid w:val="007C293A"/>
    <w:rsid w:val="007C29AA"/>
    <w:rsid w:val="007C2C61"/>
    <w:rsid w:val="007C2E10"/>
    <w:rsid w:val="007C30A2"/>
    <w:rsid w:val="007C32EC"/>
    <w:rsid w:val="007C333E"/>
    <w:rsid w:val="007C34B9"/>
    <w:rsid w:val="007C38B9"/>
    <w:rsid w:val="007C3A87"/>
    <w:rsid w:val="007C3AB1"/>
    <w:rsid w:val="007C3BB8"/>
    <w:rsid w:val="007C3BDA"/>
    <w:rsid w:val="007C3BFF"/>
    <w:rsid w:val="007C3C67"/>
    <w:rsid w:val="007C3CD3"/>
    <w:rsid w:val="007C3D1B"/>
    <w:rsid w:val="007C4036"/>
    <w:rsid w:val="007C40A6"/>
    <w:rsid w:val="007C4118"/>
    <w:rsid w:val="007C445C"/>
    <w:rsid w:val="007C445F"/>
    <w:rsid w:val="007C44DB"/>
    <w:rsid w:val="007C4693"/>
    <w:rsid w:val="007C4715"/>
    <w:rsid w:val="007C4B82"/>
    <w:rsid w:val="007C5073"/>
    <w:rsid w:val="007C5150"/>
    <w:rsid w:val="007C5337"/>
    <w:rsid w:val="007C5423"/>
    <w:rsid w:val="007C583D"/>
    <w:rsid w:val="007C5965"/>
    <w:rsid w:val="007C5B4C"/>
    <w:rsid w:val="007C5C03"/>
    <w:rsid w:val="007C5DB5"/>
    <w:rsid w:val="007C5E19"/>
    <w:rsid w:val="007C609A"/>
    <w:rsid w:val="007C6163"/>
    <w:rsid w:val="007C6281"/>
    <w:rsid w:val="007C634D"/>
    <w:rsid w:val="007C64B8"/>
    <w:rsid w:val="007C6524"/>
    <w:rsid w:val="007C6540"/>
    <w:rsid w:val="007C659D"/>
    <w:rsid w:val="007C66A8"/>
    <w:rsid w:val="007C66C0"/>
    <w:rsid w:val="007C6731"/>
    <w:rsid w:val="007C6823"/>
    <w:rsid w:val="007C69E9"/>
    <w:rsid w:val="007C6C15"/>
    <w:rsid w:val="007C6CAB"/>
    <w:rsid w:val="007C6CDC"/>
    <w:rsid w:val="007C6E7B"/>
    <w:rsid w:val="007C7042"/>
    <w:rsid w:val="007C704D"/>
    <w:rsid w:val="007C725C"/>
    <w:rsid w:val="007C78B3"/>
    <w:rsid w:val="007C78DD"/>
    <w:rsid w:val="007C7939"/>
    <w:rsid w:val="007C79A2"/>
    <w:rsid w:val="007C7B14"/>
    <w:rsid w:val="007C7B81"/>
    <w:rsid w:val="007C7CFB"/>
    <w:rsid w:val="007C7D85"/>
    <w:rsid w:val="007C7E50"/>
    <w:rsid w:val="007D0015"/>
    <w:rsid w:val="007D0194"/>
    <w:rsid w:val="007D0548"/>
    <w:rsid w:val="007D0602"/>
    <w:rsid w:val="007D079F"/>
    <w:rsid w:val="007D07B7"/>
    <w:rsid w:val="007D082C"/>
    <w:rsid w:val="007D09B8"/>
    <w:rsid w:val="007D0A0F"/>
    <w:rsid w:val="007D0AD7"/>
    <w:rsid w:val="007D0CC0"/>
    <w:rsid w:val="007D0E0C"/>
    <w:rsid w:val="007D0F78"/>
    <w:rsid w:val="007D1093"/>
    <w:rsid w:val="007D10CF"/>
    <w:rsid w:val="007D1105"/>
    <w:rsid w:val="007D143F"/>
    <w:rsid w:val="007D1587"/>
    <w:rsid w:val="007D15E9"/>
    <w:rsid w:val="007D18FC"/>
    <w:rsid w:val="007D1A94"/>
    <w:rsid w:val="007D1B94"/>
    <w:rsid w:val="007D1C38"/>
    <w:rsid w:val="007D1EF7"/>
    <w:rsid w:val="007D1F2E"/>
    <w:rsid w:val="007D2092"/>
    <w:rsid w:val="007D21DA"/>
    <w:rsid w:val="007D24E1"/>
    <w:rsid w:val="007D252D"/>
    <w:rsid w:val="007D26B5"/>
    <w:rsid w:val="007D278D"/>
    <w:rsid w:val="007D2A52"/>
    <w:rsid w:val="007D2A65"/>
    <w:rsid w:val="007D2AAB"/>
    <w:rsid w:val="007D2B02"/>
    <w:rsid w:val="007D2B38"/>
    <w:rsid w:val="007D2D34"/>
    <w:rsid w:val="007D2DF5"/>
    <w:rsid w:val="007D2EAA"/>
    <w:rsid w:val="007D2EBC"/>
    <w:rsid w:val="007D2EEA"/>
    <w:rsid w:val="007D2FF1"/>
    <w:rsid w:val="007D31B2"/>
    <w:rsid w:val="007D3216"/>
    <w:rsid w:val="007D3238"/>
    <w:rsid w:val="007D338B"/>
    <w:rsid w:val="007D33A8"/>
    <w:rsid w:val="007D35D9"/>
    <w:rsid w:val="007D3769"/>
    <w:rsid w:val="007D37DB"/>
    <w:rsid w:val="007D38E4"/>
    <w:rsid w:val="007D3962"/>
    <w:rsid w:val="007D3A76"/>
    <w:rsid w:val="007D3B23"/>
    <w:rsid w:val="007D3B3B"/>
    <w:rsid w:val="007D3C66"/>
    <w:rsid w:val="007D3EA5"/>
    <w:rsid w:val="007D430A"/>
    <w:rsid w:val="007D434E"/>
    <w:rsid w:val="007D46D7"/>
    <w:rsid w:val="007D47D6"/>
    <w:rsid w:val="007D4833"/>
    <w:rsid w:val="007D499E"/>
    <w:rsid w:val="007D4A6C"/>
    <w:rsid w:val="007D4D42"/>
    <w:rsid w:val="007D51FA"/>
    <w:rsid w:val="007D5236"/>
    <w:rsid w:val="007D537B"/>
    <w:rsid w:val="007D5668"/>
    <w:rsid w:val="007D578D"/>
    <w:rsid w:val="007D5A95"/>
    <w:rsid w:val="007D5B1B"/>
    <w:rsid w:val="007D5BF0"/>
    <w:rsid w:val="007D5D57"/>
    <w:rsid w:val="007D60BE"/>
    <w:rsid w:val="007D61C8"/>
    <w:rsid w:val="007D62BE"/>
    <w:rsid w:val="007D62C6"/>
    <w:rsid w:val="007D62CA"/>
    <w:rsid w:val="007D6516"/>
    <w:rsid w:val="007D6621"/>
    <w:rsid w:val="007D67C8"/>
    <w:rsid w:val="007D688C"/>
    <w:rsid w:val="007D6B0E"/>
    <w:rsid w:val="007D6EC9"/>
    <w:rsid w:val="007D6F21"/>
    <w:rsid w:val="007D6F3F"/>
    <w:rsid w:val="007D6F49"/>
    <w:rsid w:val="007D7022"/>
    <w:rsid w:val="007D713D"/>
    <w:rsid w:val="007D7160"/>
    <w:rsid w:val="007D73ED"/>
    <w:rsid w:val="007D74C4"/>
    <w:rsid w:val="007D774E"/>
    <w:rsid w:val="007D7757"/>
    <w:rsid w:val="007D78AF"/>
    <w:rsid w:val="007D78E2"/>
    <w:rsid w:val="007D7ACA"/>
    <w:rsid w:val="007D7B1B"/>
    <w:rsid w:val="007D7DD0"/>
    <w:rsid w:val="007D7EB7"/>
    <w:rsid w:val="007D7FE6"/>
    <w:rsid w:val="007D7FF4"/>
    <w:rsid w:val="007E0101"/>
    <w:rsid w:val="007E026B"/>
    <w:rsid w:val="007E0380"/>
    <w:rsid w:val="007E04C6"/>
    <w:rsid w:val="007E051C"/>
    <w:rsid w:val="007E0755"/>
    <w:rsid w:val="007E0833"/>
    <w:rsid w:val="007E09D1"/>
    <w:rsid w:val="007E0AD0"/>
    <w:rsid w:val="007E0C14"/>
    <w:rsid w:val="007E0C79"/>
    <w:rsid w:val="007E0CBB"/>
    <w:rsid w:val="007E0D6D"/>
    <w:rsid w:val="007E0DB0"/>
    <w:rsid w:val="007E0E39"/>
    <w:rsid w:val="007E113C"/>
    <w:rsid w:val="007E1522"/>
    <w:rsid w:val="007E1609"/>
    <w:rsid w:val="007E16C4"/>
    <w:rsid w:val="007E170B"/>
    <w:rsid w:val="007E178A"/>
    <w:rsid w:val="007E190E"/>
    <w:rsid w:val="007E1A0B"/>
    <w:rsid w:val="007E1C99"/>
    <w:rsid w:val="007E1D58"/>
    <w:rsid w:val="007E1D96"/>
    <w:rsid w:val="007E2171"/>
    <w:rsid w:val="007E2291"/>
    <w:rsid w:val="007E22B3"/>
    <w:rsid w:val="007E25B1"/>
    <w:rsid w:val="007E263D"/>
    <w:rsid w:val="007E26CF"/>
    <w:rsid w:val="007E2755"/>
    <w:rsid w:val="007E284A"/>
    <w:rsid w:val="007E28EC"/>
    <w:rsid w:val="007E291F"/>
    <w:rsid w:val="007E2AFD"/>
    <w:rsid w:val="007E2B4C"/>
    <w:rsid w:val="007E2B65"/>
    <w:rsid w:val="007E2CAD"/>
    <w:rsid w:val="007E2DF0"/>
    <w:rsid w:val="007E2FBC"/>
    <w:rsid w:val="007E317D"/>
    <w:rsid w:val="007E32A4"/>
    <w:rsid w:val="007E33DA"/>
    <w:rsid w:val="007E3438"/>
    <w:rsid w:val="007E365E"/>
    <w:rsid w:val="007E3670"/>
    <w:rsid w:val="007E3B5A"/>
    <w:rsid w:val="007E3D4F"/>
    <w:rsid w:val="007E3F7D"/>
    <w:rsid w:val="007E3F85"/>
    <w:rsid w:val="007E427B"/>
    <w:rsid w:val="007E44FA"/>
    <w:rsid w:val="007E454B"/>
    <w:rsid w:val="007E4657"/>
    <w:rsid w:val="007E47AC"/>
    <w:rsid w:val="007E485C"/>
    <w:rsid w:val="007E4B30"/>
    <w:rsid w:val="007E4BD8"/>
    <w:rsid w:val="007E4C9E"/>
    <w:rsid w:val="007E4CD7"/>
    <w:rsid w:val="007E4D2B"/>
    <w:rsid w:val="007E4D92"/>
    <w:rsid w:val="007E4DC6"/>
    <w:rsid w:val="007E4E17"/>
    <w:rsid w:val="007E5313"/>
    <w:rsid w:val="007E5385"/>
    <w:rsid w:val="007E58C8"/>
    <w:rsid w:val="007E5909"/>
    <w:rsid w:val="007E597A"/>
    <w:rsid w:val="007E5A6D"/>
    <w:rsid w:val="007E6267"/>
    <w:rsid w:val="007E6365"/>
    <w:rsid w:val="007E6413"/>
    <w:rsid w:val="007E6426"/>
    <w:rsid w:val="007E6548"/>
    <w:rsid w:val="007E6580"/>
    <w:rsid w:val="007E66CF"/>
    <w:rsid w:val="007E6836"/>
    <w:rsid w:val="007E68B6"/>
    <w:rsid w:val="007E6A42"/>
    <w:rsid w:val="007E6ACD"/>
    <w:rsid w:val="007E6CF8"/>
    <w:rsid w:val="007E6D5C"/>
    <w:rsid w:val="007E6DA1"/>
    <w:rsid w:val="007E6ECC"/>
    <w:rsid w:val="007E7108"/>
    <w:rsid w:val="007E714A"/>
    <w:rsid w:val="007E7404"/>
    <w:rsid w:val="007E75DE"/>
    <w:rsid w:val="007E779A"/>
    <w:rsid w:val="007E78C5"/>
    <w:rsid w:val="007E7951"/>
    <w:rsid w:val="007E7967"/>
    <w:rsid w:val="007E79EE"/>
    <w:rsid w:val="007E7C1C"/>
    <w:rsid w:val="007E7CF4"/>
    <w:rsid w:val="007E7DC6"/>
    <w:rsid w:val="007F01FE"/>
    <w:rsid w:val="007F0220"/>
    <w:rsid w:val="007F0394"/>
    <w:rsid w:val="007F03D6"/>
    <w:rsid w:val="007F050A"/>
    <w:rsid w:val="007F0711"/>
    <w:rsid w:val="007F0867"/>
    <w:rsid w:val="007F0891"/>
    <w:rsid w:val="007F08B2"/>
    <w:rsid w:val="007F0A7C"/>
    <w:rsid w:val="007F0ABE"/>
    <w:rsid w:val="007F0AC6"/>
    <w:rsid w:val="007F0C2C"/>
    <w:rsid w:val="007F0EB8"/>
    <w:rsid w:val="007F0ED9"/>
    <w:rsid w:val="007F102C"/>
    <w:rsid w:val="007F11B8"/>
    <w:rsid w:val="007F126E"/>
    <w:rsid w:val="007F1270"/>
    <w:rsid w:val="007F1621"/>
    <w:rsid w:val="007F16D9"/>
    <w:rsid w:val="007F1705"/>
    <w:rsid w:val="007F180A"/>
    <w:rsid w:val="007F18A4"/>
    <w:rsid w:val="007F1ABC"/>
    <w:rsid w:val="007F1C3B"/>
    <w:rsid w:val="007F1C48"/>
    <w:rsid w:val="007F1DDC"/>
    <w:rsid w:val="007F1EB8"/>
    <w:rsid w:val="007F1F25"/>
    <w:rsid w:val="007F1F98"/>
    <w:rsid w:val="007F204A"/>
    <w:rsid w:val="007F21CA"/>
    <w:rsid w:val="007F221A"/>
    <w:rsid w:val="007F222C"/>
    <w:rsid w:val="007F231A"/>
    <w:rsid w:val="007F25A7"/>
    <w:rsid w:val="007F2644"/>
    <w:rsid w:val="007F2645"/>
    <w:rsid w:val="007F279A"/>
    <w:rsid w:val="007F27C7"/>
    <w:rsid w:val="007F2A87"/>
    <w:rsid w:val="007F2AD0"/>
    <w:rsid w:val="007F2DEB"/>
    <w:rsid w:val="007F2E0F"/>
    <w:rsid w:val="007F2EB3"/>
    <w:rsid w:val="007F2F4C"/>
    <w:rsid w:val="007F308F"/>
    <w:rsid w:val="007F368C"/>
    <w:rsid w:val="007F36D1"/>
    <w:rsid w:val="007F36D8"/>
    <w:rsid w:val="007F3976"/>
    <w:rsid w:val="007F399B"/>
    <w:rsid w:val="007F3B21"/>
    <w:rsid w:val="007F3C75"/>
    <w:rsid w:val="007F3D3B"/>
    <w:rsid w:val="007F3FFA"/>
    <w:rsid w:val="007F4052"/>
    <w:rsid w:val="007F42B4"/>
    <w:rsid w:val="007F4326"/>
    <w:rsid w:val="007F43F5"/>
    <w:rsid w:val="007F44F5"/>
    <w:rsid w:val="007F463D"/>
    <w:rsid w:val="007F4668"/>
    <w:rsid w:val="007F46F1"/>
    <w:rsid w:val="007F472F"/>
    <w:rsid w:val="007F47B7"/>
    <w:rsid w:val="007F47C8"/>
    <w:rsid w:val="007F47E4"/>
    <w:rsid w:val="007F48A9"/>
    <w:rsid w:val="007F4998"/>
    <w:rsid w:val="007F49AD"/>
    <w:rsid w:val="007F4A1D"/>
    <w:rsid w:val="007F4B1F"/>
    <w:rsid w:val="007F4E45"/>
    <w:rsid w:val="007F5002"/>
    <w:rsid w:val="007F504C"/>
    <w:rsid w:val="007F5050"/>
    <w:rsid w:val="007F519A"/>
    <w:rsid w:val="007F54A9"/>
    <w:rsid w:val="007F55DA"/>
    <w:rsid w:val="007F5682"/>
    <w:rsid w:val="007F571B"/>
    <w:rsid w:val="007F5849"/>
    <w:rsid w:val="007F590B"/>
    <w:rsid w:val="007F59C3"/>
    <w:rsid w:val="007F5B1B"/>
    <w:rsid w:val="007F601E"/>
    <w:rsid w:val="007F6056"/>
    <w:rsid w:val="007F6129"/>
    <w:rsid w:val="007F6173"/>
    <w:rsid w:val="007F61D4"/>
    <w:rsid w:val="007F61FB"/>
    <w:rsid w:val="007F62B2"/>
    <w:rsid w:val="007F62EB"/>
    <w:rsid w:val="007F6366"/>
    <w:rsid w:val="007F63C2"/>
    <w:rsid w:val="007F6473"/>
    <w:rsid w:val="007F64A2"/>
    <w:rsid w:val="007F64C7"/>
    <w:rsid w:val="007F64E9"/>
    <w:rsid w:val="007F681B"/>
    <w:rsid w:val="007F6841"/>
    <w:rsid w:val="007F685A"/>
    <w:rsid w:val="007F68EE"/>
    <w:rsid w:val="007F6A59"/>
    <w:rsid w:val="007F6AA9"/>
    <w:rsid w:val="007F6B02"/>
    <w:rsid w:val="007F6B3C"/>
    <w:rsid w:val="007F6BC3"/>
    <w:rsid w:val="007F6DB7"/>
    <w:rsid w:val="007F704D"/>
    <w:rsid w:val="007F7469"/>
    <w:rsid w:val="007F74B2"/>
    <w:rsid w:val="007F7594"/>
    <w:rsid w:val="007F7D45"/>
    <w:rsid w:val="007F7DB0"/>
    <w:rsid w:val="007F7E0B"/>
    <w:rsid w:val="007F7E12"/>
    <w:rsid w:val="007F7E76"/>
    <w:rsid w:val="0080027C"/>
    <w:rsid w:val="0080033A"/>
    <w:rsid w:val="00800343"/>
    <w:rsid w:val="0080041A"/>
    <w:rsid w:val="00800664"/>
    <w:rsid w:val="008006E5"/>
    <w:rsid w:val="00800715"/>
    <w:rsid w:val="008007B1"/>
    <w:rsid w:val="00800AD6"/>
    <w:rsid w:val="00800B43"/>
    <w:rsid w:val="00800B61"/>
    <w:rsid w:val="00800C8C"/>
    <w:rsid w:val="00801079"/>
    <w:rsid w:val="00801216"/>
    <w:rsid w:val="008012D6"/>
    <w:rsid w:val="0080139A"/>
    <w:rsid w:val="008013B3"/>
    <w:rsid w:val="008013E1"/>
    <w:rsid w:val="00801479"/>
    <w:rsid w:val="0080154D"/>
    <w:rsid w:val="008016C4"/>
    <w:rsid w:val="008019EF"/>
    <w:rsid w:val="00801EFF"/>
    <w:rsid w:val="00801F3C"/>
    <w:rsid w:val="00801F69"/>
    <w:rsid w:val="00802006"/>
    <w:rsid w:val="008020B1"/>
    <w:rsid w:val="0080225E"/>
    <w:rsid w:val="008024BC"/>
    <w:rsid w:val="008024EB"/>
    <w:rsid w:val="00802509"/>
    <w:rsid w:val="00802570"/>
    <w:rsid w:val="0080259F"/>
    <w:rsid w:val="00802662"/>
    <w:rsid w:val="008026B9"/>
    <w:rsid w:val="00802734"/>
    <w:rsid w:val="0080284D"/>
    <w:rsid w:val="00802A1D"/>
    <w:rsid w:val="00802A43"/>
    <w:rsid w:val="00802B35"/>
    <w:rsid w:val="00802BE7"/>
    <w:rsid w:val="00802DEE"/>
    <w:rsid w:val="00803148"/>
    <w:rsid w:val="008031EC"/>
    <w:rsid w:val="00803339"/>
    <w:rsid w:val="008034D8"/>
    <w:rsid w:val="008036C3"/>
    <w:rsid w:val="00803848"/>
    <w:rsid w:val="00803B50"/>
    <w:rsid w:val="00803C69"/>
    <w:rsid w:val="00803D55"/>
    <w:rsid w:val="00803D82"/>
    <w:rsid w:val="00803EB5"/>
    <w:rsid w:val="00803F14"/>
    <w:rsid w:val="00803F5F"/>
    <w:rsid w:val="008040F4"/>
    <w:rsid w:val="00804223"/>
    <w:rsid w:val="008042DD"/>
    <w:rsid w:val="008044F9"/>
    <w:rsid w:val="0080451F"/>
    <w:rsid w:val="0080464C"/>
    <w:rsid w:val="008046E8"/>
    <w:rsid w:val="00804806"/>
    <w:rsid w:val="00804BEC"/>
    <w:rsid w:val="00804CA6"/>
    <w:rsid w:val="00805185"/>
    <w:rsid w:val="0080518A"/>
    <w:rsid w:val="0080521B"/>
    <w:rsid w:val="00805220"/>
    <w:rsid w:val="008054F0"/>
    <w:rsid w:val="008055D8"/>
    <w:rsid w:val="0080565F"/>
    <w:rsid w:val="008056C8"/>
    <w:rsid w:val="008056DD"/>
    <w:rsid w:val="008057CE"/>
    <w:rsid w:val="0080582E"/>
    <w:rsid w:val="00805A94"/>
    <w:rsid w:val="00805BD3"/>
    <w:rsid w:val="00805C38"/>
    <w:rsid w:val="00805C3C"/>
    <w:rsid w:val="00805C72"/>
    <w:rsid w:val="0080620A"/>
    <w:rsid w:val="0080630D"/>
    <w:rsid w:val="00806416"/>
    <w:rsid w:val="008064AE"/>
    <w:rsid w:val="008064DB"/>
    <w:rsid w:val="00806637"/>
    <w:rsid w:val="008066D0"/>
    <w:rsid w:val="00806722"/>
    <w:rsid w:val="008067C8"/>
    <w:rsid w:val="008067F1"/>
    <w:rsid w:val="0080698A"/>
    <w:rsid w:val="00806A05"/>
    <w:rsid w:val="00806BD0"/>
    <w:rsid w:val="00806DE9"/>
    <w:rsid w:val="00807034"/>
    <w:rsid w:val="00807076"/>
    <w:rsid w:val="00807122"/>
    <w:rsid w:val="0080719C"/>
    <w:rsid w:val="008071E7"/>
    <w:rsid w:val="00807375"/>
    <w:rsid w:val="00807380"/>
    <w:rsid w:val="00807542"/>
    <w:rsid w:val="00807567"/>
    <w:rsid w:val="00807580"/>
    <w:rsid w:val="00807587"/>
    <w:rsid w:val="00807674"/>
    <w:rsid w:val="0080794E"/>
    <w:rsid w:val="008079A2"/>
    <w:rsid w:val="008079A8"/>
    <w:rsid w:val="00807A5F"/>
    <w:rsid w:val="00807A80"/>
    <w:rsid w:val="00807CAC"/>
    <w:rsid w:val="00807D01"/>
    <w:rsid w:val="00807D50"/>
    <w:rsid w:val="00807DB6"/>
    <w:rsid w:val="008101B2"/>
    <w:rsid w:val="008102B9"/>
    <w:rsid w:val="008105A3"/>
    <w:rsid w:val="00810602"/>
    <w:rsid w:val="008106C9"/>
    <w:rsid w:val="008107A5"/>
    <w:rsid w:val="00810840"/>
    <w:rsid w:val="00810ADB"/>
    <w:rsid w:val="00810AFA"/>
    <w:rsid w:val="00810B93"/>
    <w:rsid w:val="00810C45"/>
    <w:rsid w:val="00810C4E"/>
    <w:rsid w:val="00810E54"/>
    <w:rsid w:val="00810E57"/>
    <w:rsid w:val="00810F2D"/>
    <w:rsid w:val="0081107F"/>
    <w:rsid w:val="00811335"/>
    <w:rsid w:val="0081146A"/>
    <w:rsid w:val="008115EB"/>
    <w:rsid w:val="00811734"/>
    <w:rsid w:val="008117E4"/>
    <w:rsid w:val="00811A9E"/>
    <w:rsid w:val="00811BAE"/>
    <w:rsid w:val="00811D52"/>
    <w:rsid w:val="00811F2E"/>
    <w:rsid w:val="00812181"/>
    <w:rsid w:val="008122EA"/>
    <w:rsid w:val="0081238E"/>
    <w:rsid w:val="0081264E"/>
    <w:rsid w:val="00812869"/>
    <w:rsid w:val="00812A80"/>
    <w:rsid w:val="00812A85"/>
    <w:rsid w:val="00812AB4"/>
    <w:rsid w:val="00812D3E"/>
    <w:rsid w:val="00812DBB"/>
    <w:rsid w:val="00812E7F"/>
    <w:rsid w:val="00812EF7"/>
    <w:rsid w:val="00812F53"/>
    <w:rsid w:val="00813055"/>
    <w:rsid w:val="0081309A"/>
    <w:rsid w:val="008130A2"/>
    <w:rsid w:val="008130FC"/>
    <w:rsid w:val="00813189"/>
    <w:rsid w:val="008131F3"/>
    <w:rsid w:val="008133E2"/>
    <w:rsid w:val="00813470"/>
    <w:rsid w:val="00813888"/>
    <w:rsid w:val="00813B7C"/>
    <w:rsid w:val="00813BB8"/>
    <w:rsid w:val="00813F66"/>
    <w:rsid w:val="00813F7E"/>
    <w:rsid w:val="00813FA2"/>
    <w:rsid w:val="0081417F"/>
    <w:rsid w:val="008141B4"/>
    <w:rsid w:val="008141F6"/>
    <w:rsid w:val="00814258"/>
    <w:rsid w:val="008142F0"/>
    <w:rsid w:val="00814300"/>
    <w:rsid w:val="0081449A"/>
    <w:rsid w:val="00814571"/>
    <w:rsid w:val="0081468E"/>
    <w:rsid w:val="00814937"/>
    <w:rsid w:val="00814940"/>
    <w:rsid w:val="008149E5"/>
    <w:rsid w:val="00814CF8"/>
    <w:rsid w:val="00814E30"/>
    <w:rsid w:val="00815081"/>
    <w:rsid w:val="00815084"/>
    <w:rsid w:val="008150DE"/>
    <w:rsid w:val="00815190"/>
    <w:rsid w:val="00815425"/>
    <w:rsid w:val="00815506"/>
    <w:rsid w:val="00815585"/>
    <w:rsid w:val="008155E3"/>
    <w:rsid w:val="00815CE4"/>
    <w:rsid w:val="00815D62"/>
    <w:rsid w:val="00815F65"/>
    <w:rsid w:val="00815F8A"/>
    <w:rsid w:val="008160E7"/>
    <w:rsid w:val="008162CB"/>
    <w:rsid w:val="00816439"/>
    <w:rsid w:val="00816474"/>
    <w:rsid w:val="00816639"/>
    <w:rsid w:val="008166A7"/>
    <w:rsid w:val="0081672C"/>
    <w:rsid w:val="00816873"/>
    <w:rsid w:val="00816B8E"/>
    <w:rsid w:val="00816C24"/>
    <w:rsid w:val="00816C3A"/>
    <w:rsid w:val="00816E53"/>
    <w:rsid w:val="0081708B"/>
    <w:rsid w:val="008172A5"/>
    <w:rsid w:val="00817405"/>
    <w:rsid w:val="00817638"/>
    <w:rsid w:val="00817664"/>
    <w:rsid w:val="008177A4"/>
    <w:rsid w:val="008179A9"/>
    <w:rsid w:val="008179F3"/>
    <w:rsid w:val="00817ACF"/>
    <w:rsid w:val="00817C15"/>
    <w:rsid w:val="00817C2E"/>
    <w:rsid w:val="00817C6F"/>
    <w:rsid w:val="00817EAE"/>
    <w:rsid w:val="00817FCB"/>
    <w:rsid w:val="0082006D"/>
    <w:rsid w:val="00820256"/>
    <w:rsid w:val="008202DB"/>
    <w:rsid w:val="00820376"/>
    <w:rsid w:val="0082042C"/>
    <w:rsid w:val="0082052D"/>
    <w:rsid w:val="0082058C"/>
    <w:rsid w:val="00820660"/>
    <w:rsid w:val="0082066C"/>
    <w:rsid w:val="00820674"/>
    <w:rsid w:val="0082076D"/>
    <w:rsid w:val="008209D5"/>
    <w:rsid w:val="00820C40"/>
    <w:rsid w:val="00820E42"/>
    <w:rsid w:val="00820EBF"/>
    <w:rsid w:val="00820F1B"/>
    <w:rsid w:val="0082107F"/>
    <w:rsid w:val="008212CB"/>
    <w:rsid w:val="0082139A"/>
    <w:rsid w:val="0082139E"/>
    <w:rsid w:val="00821553"/>
    <w:rsid w:val="00821557"/>
    <w:rsid w:val="008215C9"/>
    <w:rsid w:val="008216E6"/>
    <w:rsid w:val="0082189C"/>
    <w:rsid w:val="00821952"/>
    <w:rsid w:val="00821ACD"/>
    <w:rsid w:val="00821AE3"/>
    <w:rsid w:val="00821D9D"/>
    <w:rsid w:val="00821ED9"/>
    <w:rsid w:val="00822235"/>
    <w:rsid w:val="0082276F"/>
    <w:rsid w:val="00822857"/>
    <w:rsid w:val="008228A5"/>
    <w:rsid w:val="0082292B"/>
    <w:rsid w:val="0082298A"/>
    <w:rsid w:val="008229A6"/>
    <w:rsid w:val="008229F6"/>
    <w:rsid w:val="00822AAA"/>
    <w:rsid w:val="00822B3C"/>
    <w:rsid w:val="00822BC4"/>
    <w:rsid w:val="00822CF6"/>
    <w:rsid w:val="00822DE4"/>
    <w:rsid w:val="00822F1D"/>
    <w:rsid w:val="00823024"/>
    <w:rsid w:val="008231FE"/>
    <w:rsid w:val="00823246"/>
    <w:rsid w:val="00823316"/>
    <w:rsid w:val="00823478"/>
    <w:rsid w:val="008234CD"/>
    <w:rsid w:val="008234E8"/>
    <w:rsid w:val="00823505"/>
    <w:rsid w:val="00823552"/>
    <w:rsid w:val="008236C2"/>
    <w:rsid w:val="00823A1A"/>
    <w:rsid w:val="00823AAA"/>
    <w:rsid w:val="00823C0F"/>
    <w:rsid w:val="00823C7D"/>
    <w:rsid w:val="00824005"/>
    <w:rsid w:val="00824124"/>
    <w:rsid w:val="00824135"/>
    <w:rsid w:val="0082415F"/>
    <w:rsid w:val="008241E4"/>
    <w:rsid w:val="008243E4"/>
    <w:rsid w:val="008243EF"/>
    <w:rsid w:val="0082445F"/>
    <w:rsid w:val="0082450A"/>
    <w:rsid w:val="0082478D"/>
    <w:rsid w:val="008248A5"/>
    <w:rsid w:val="00824929"/>
    <w:rsid w:val="00824A1E"/>
    <w:rsid w:val="00824A3F"/>
    <w:rsid w:val="00824A92"/>
    <w:rsid w:val="00824AA7"/>
    <w:rsid w:val="00824ABA"/>
    <w:rsid w:val="00824C29"/>
    <w:rsid w:val="00825197"/>
    <w:rsid w:val="0082524E"/>
    <w:rsid w:val="008252B4"/>
    <w:rsid w:val="00825317"/>
    <w:rsid w:val="00825395"/>
    <w:rsid w:val="008253DF"/>
    <w:rsid w:val="0082596E"/>
    <w:rsid w:val="00825979"/>
    <w:rsid w:val="00825BB3"/>
    <w:rsid w:val="00825C5C"/>
    <w:rsid w:val="00825E0A"/>
    <w:rsid w:val="00825F8D"/>
    <w:rsid w:val="00825F8E"/>
    <w:rsid w:val="00826043"/>
    <w:rsid w:val="0082607C"/>
    <w:rsid w:val="00826107"/>
    <w:rsid w:val="00826166"/>
    <w:rsid w:val="008261B8"/>
    <w:rsid w:val="00826237"/>
    <w:rsid w:val="008263A2"/>
    <w:rsid w:val="00826470"/>
    <w:rsid w:val="008267A9"/>
    <w:rsid w:val="00826841"/>
    <w:rsid w:val="00826949"/>
    <w:rsid w:val="00826B8F"/>
    <w:rsid w:val="00826E5D"/>
    <w:rsid w:val="00826E71"/>
    <w:rsid w:val="00826F71"/>
    <w:rsid w:val="00826FD5"/>
    <w:rsid w:val="00826FFF"/>
    <w:rsid w:val="008270D4"/>
    <w:rsid w:val="008276DF"/>
    <w:rsid w:val="00827709"/>
    <w:rsid w:val="00827826"/>
    <w:rsid w:val="008279C8"/>
    <w:rsid w:val="00827A3C"/>
    <w:rsid w:val="00827A88"/>
    <w:rsid w:val="00827C41"/>
    <w:rsid w:val="00827CA3"/>
    <w:rsid w:val="00827D04"/>
    <w:rsid w:val="00827D16"/>
    <w:rsid w:val="00827FC1"/>
    <w:rsid w:val="00830073"/>
    <w:rsid w:val="0083009F"/>
    <w:rsid w:val="008302E6"/>
    <w:rsid w:val="00830368"/>
    <w:rsid w:val="008303D5"/>
    <w:rsid w:val="008306A6"/>
    <w:rsid w:val="008307BC"/>
    <w:rsid w:val="00830816"/>
    <w:rsid w:val="00830877"/>
    <w:rsid w:val="008308DA"/>
    <w:rsid w:val="0083091E"/>
    <w:rsid w:val="008309BE"/>
    <w:rsid w:val="00830BC2"/>
    <w:rsid w:val="00830CA5"/>
    <w:rsid w:val="00830CBA"/>
    <w:rsid w:val="00830ED9"/>
    <w:rsid w:val="00830F41"/>
    <w:rsid w:val="008310F1"/>
    <w:rsid w:val="008312C0"/>
    <w:rsid w:val="008312C2"/>
    <w:rsid w:val="00831300"/>
    <w:rsid w:val="00831356"/>
    <w:rsid w:val="0083152C"/>
    <w:rsid w:val="0083166D"/>
    <w:rsid w:val="008316C2"/>
    <w:rsid w:val="00831748"/>
    <w:rsid w:val="0083182D"/>
    <w:rsid w:val="00831A5F"/>
    <w:rsid w:val="00831A6A"/>
    <w:rsid w:val="00831AFA"/>
    <w:rsid w:val="00831B58"/>
    <w:rsid w:val="00831B79"/>
    <w:rsid w:val="00831BB3"/>
    <w:rsid w:val="00831C1A"/>
    <w:rsid w:val="00831C2D"/>
    <w:rsid w:val="00831D00"/>
    <w:rsid w:val="00832012"/>
    <w:rsid w:val="00832141"/>
    <w:rsid w:val="00832142"/>
    <w:rsid w:val="0083224A"/>
    <w:rsid w:val="008322E1"/>
    <w:rsid w:val="0083242D"/>
    <w:rsid w:val="0083253E"/>
    <w:rsid w:val="00832648"/>
    <w:rsid w:val="00832734"/>
    <w:rsid w:val="00832955"/>
    <w:rsid w:val="00832AC9"/>
    <w:rsid w:val="00832BD1"/>
    <w:rsid w:val="00832C88"/>
    <w:rsid w:val="00832CE7"/>
    <w:rsid w:val="00832D0C"/>
    <w:rsid w:val="00832FB6"/>
    <w:rsid w:val="00833063"/>
    <w:rsid w:val="008330CD"/>
    <w:rsid w:val="00833495"/>
    <w:rsid w:val="008335F8"/>
    <w:rsid w:val="0083369F"/>
    <w:rsid w:val="008336B2"/>
    <w:rsid w:val="0083371E"/>
    <w:rsid w:val="0083396B"/>
    <w:rsid w:val="008339D5"/>
    <w:rsid w:val="00833B1C"/>
    <w:rsid w:val="00833CB3"/>
    <w:rsid w:val="00833E80"/>
    <w:rsid w:val="00834007"/>
    <w:rsid w:val="0083413B"/>
    <w:rsid w:val="0083415D"/>
    <w:rsid w:val="00834367"/>
    <w:rsid w:val="00834414"/>
    <w:rsid w:val="00834559"/>
    <w:rsid w:val="00834637"/>
    <w:rsid w:val="008347A5"/>
    <w:rsid w:val="00834AB9"/>
    <w:rsid w:val="00834ACD"/>
    <w:rsid w:val="00834BFA"/>
    <w:rsid w:val="00834C78"/>
    <w:rsid w:val="00834CB7"/>
    <w:rsid w:val="00834CF6"/>
    <w:rsid w:val="00834DDE"/>
    <w:rsid w:val="00834F40"/>
    <w:rsid w:val="008352FA"/>
    <w:rsid w:val="008353C8"/>
    <w:rsid w:val="008355DF"/>
    <w:rsid w:val="0083576C"/>
    <w:rsid w:val="0083584F"/>
    <w:rsid w:val="008359D6"/>
    <w:rsid w:val="00835A2B"/>
    <w:rsid w:val="00835A84"/>
    <w:rsid w:val="008361B8"/>
    <w:rsid w:val="008362DB"/>
    <w:rsid w:val="0083649D"/>
    <w:rsid w:val="008365E8"/>
    <w:rsid w:val="00836668"/>
    <w:rsid w:val="008369A3"/>
    <w:rsid w:val="00836B61"/>
    <w:rsid w:val="00836D34"/>
    <w:rsid w:val="00836DC1"/>
    <w:rsid w:val="00836F1D"/>
    <w:rsid w:val="00837211"/>
    <w:rsid w:val="0083727D"/>
    <w:rsid w:val="00837300"/>
    <w:rsid w:val="00837427"/>
    <w:rsid w:val="00837461"/>
    <w:rsid w:val="0083762B"/>
    <w:rsid w:val="008376B1"/>
    <w:rsid w:val="00837747"/>
    <w:rsid w:val="008378EE"/>
    <w:rsid w:val="00837A3F"/>
    <w:rsid w:val="00837A71"/>
    <w:rsid w:val="00837B78"/>
    <w:rsid w:val="00837BBB"/>
    <w:rsid w:val="00837C3B"/>
    <w:rsid w:val="00837C51"/>
    <w:rsid w:val="00837C7D"/>
    <w:rsid w:val="00837E36"/>
    <w:rsid w:val="00837EA7"/>
    <w:rsid w:val="00837EBE"/>
    <w:rsid w:val="00837F65"/>
    <w:rsid w:val="00840158"/>
    <w:rsid w:val="00840274"/>
    <w:rsid w:val="0084068D"/>
    <w:rsid w:val="008406A3"/>
    <w:rsid w:val="008407D1"/>
    <w:rsid w:val="0084083B"/>
    <w:rsid w:val="008408C0"/>
    <w:rsid w:val="0084091D"/>
    <w:rsid w:val="00840960"/>
    <w:rsid w:val="008409A9"/>
    <w:rsid w:val="00840B6B"/>
    <w:rsid w:val="00840DB2"/>
    <w:rsid w:val="00840E21"/>
    <w:rsid w:val="00840E50"/>
    <w:rsid w:val="00840F30"/>
    <w:rsid w:val="00840FC4"/>
    <w:rsid w:val="008410B6"/>
    <w:rsid w:val="0084110A"/>
    <w:rsid w:val="008411DC"/>
    <w:rsid w:val="008411E8"/>
    <w:rsid w:val="00841207"/>
    <w:rsid w:val="008412E3"/>
    <w:rsid w:val="00841397"/>
    <w:rsid w:val="00841448"/>
    <w:rsid w:val="008415B6"/>
    <w:rsid w:val="008416C3"/>
    <w:rsid w:val="0084184A"/>
    <w:rsid w:val="008418D0"/>
    <w:rsid w:val="00841E07"/>
    <w:rsid w:val="00841F47"/>
    <w:rsid w:val="00842000"/>
    <w:rsid w:val="00842184"/>
    <w:rsid w:val="00842345"/>
    <w:rsid w:val="008424A5"/>
    <w:rsid w:val="008424CA"/>
    <w:rsid w:val="008424E2"/>
    <w:rsid w:val="00842617"/>
    <w:rsid w:val="00842A94"/>
    <w:rsid w:val="00842DCF"/>
    <w:rsid w:val="00842E97"/>
    <w:rsid w:val="00842F4B"/>
    <w:rsid w:val="00842F86"/>
    <w:rsid w:val="00843103"/>
    <w:rsid w:val="00843455"/>
    <w:rsid w:val="00843602"/>
    <w:rsid w:val="00843654"/>
    <w:rsid w:val="0084366D"/>
    <w:rsid w:val="0084373B"/>
    <w:rsid w:val="0084386B"/>
    <w:rsid w:val="00843939"/>
    <w:rsid w:val="00843DF4"/>
    <w:rsid w:val="00843E5E"/>
    <w:rsid w:val="00843EEC"/>
    <w:rsid w:val="00843FBC"/>
    <w:rsid w:val="00843FE2"/>
    <w:rsid w:val="0084404B"/>
    <w:rsid w:val="00844083"/>
    <w:rsid w:val="00844122"/>
    <w:rsid w:val="008441F3"/>
    <w:rsid w:val="008442A0"/>
    <w:rsid w:val="00844354"/>
    <w:rsid w:val="00844383"/>
    <w:rsid w:val="008443C9"/>
    <w:rsid w:val="0084441E"/>
    <w:rsid w:val="00844808"/>
    <w:rsid w:val="008448F9"/>
    <w:rsid w:val="00844C2D"/>
    <w:rsid w:val="00844C9E"/>
    <w:rsid w:val="0084504E"/>
    <w:rsid w:val="008450E9"/>
    <w:rsid w:val="00845176"/>
    <w:rsid w:val="00845375"/>
    <w:rsid w:val="00845427"/>
    <w:rsid w:val="008454A3"/>
    <w:rsid w:val="0084554F"/>
    <w:rsid w:val="00845584"/>
    <w:rsid w:val="008455E3"/>
    <w:rsid w:val="0084565E"/>
    <w:rsid w:val="00845666"/>
    <w:rsid w:val="00845762"/>
    <w:rsid w:val="008457FF"/>
    <w:rsid w:val="00845B33"/>
    <w:rsid w:val="00845D54"/>
    <w:rsid w:val="00845FE9"/>
    <w:rsid w:val="0084601D"/>
    <w:rsid w:val="008460D3"/>
    <w:rsid w:val="00846309"/>
    <w:rsid w:val="00846488"/>
    <w:rsid w:val="0084650C"/>
    <w:rsid w:val="008465F1"/>
    <w:rsid w:val="00846778"/>
    <w:rsid w:val="0084688C"/>
    <w:rsid w:val="008468BF"/>
    <w:rsid w:val="008468ED"/>
    <w:rsid w:val="00846C86"/>
    <w:rsid w:val="00846D53"/>
    <w:rsid w:val="00846FA6"/>
    <w:rsid w:val="00847282"/>
    <w:rsid w:val="0084731A"/>
    <w:rsid w:val="0084731D"/>
    <w:rsid w:val="00847326"/>
    <w:rsid w:val="0084733E"/>
    <w:rsid w:val="008473FB"/>
    <w:rsid w:val="00847524"/>
    <w:rsid w:val="00847585"/>
    <w:rsid w:val="0084760F"/>
    <w:rsid w:val="0084761D"/>
    <w:rsid w:val="00847813"/>
    <w:rsid w:val="008478CE"/>
    <w:rsid w:val="00847ADC"/>
    <w:rsid w:val="00847C2B"/>
    <w:rsid w:val="00847C58"/>
    <w:rsid w:val="00847C92"/>
    <w:rsid w:val="00847E7D"/>
    <w:rsid w:val="00847EB7"/>
    <w:rsid w:val="00847F14"/>
    <w:rsid w:val="00847F51"/>
    <w:rsid w:val="00847F7B"/>
    <w:rsid w:val="0085020E"/>
    <w:rsid w:val="0085023D"/>
    <w:rsid w:val="0085044A"/>
    <w:rsid w:val="0085057A"/>
    <w:rsid w:val="00850782"/>
    <w:rsid w:val="00850999"/>
    <w:rsid w:val="00850A74"/>
    <w:rsid w:val="00850B3F"/>
    <w:rsid w:val="00850B48"/>
    <w:rsid w:val="00850CC5"/>
    <w:rsid w:val="00850CF7"/>
    <w:rsid w:val="00850DDE"/>
    <w:rsid w:val="00850E72"/>
    <w:rsid w:val="00850F2B"/>
    <w:rsid w:val="00850F87"/>
    <w:rsid w:val="00851107"/>
    <w:rsid w:val="00851200"/>
    <w:rsid w:val="00851266"/>
    <w:rsid w:val="00851306"/>
    <w:rsid w:val="0085145A"/>
    <w:rsid w:val="00851596"/>
    <w:rsid w:val="0085166A"/>
    <w:rsid w:val="00851996"/>
    <w:rsid w:val="00851C86"/>
    <w:rsid w:val="00851C90"/>
    <w:rsid w:val="00851D8C"/>
    <w:rsid w:val="00851DC5"/>
    <w:rsid w:val="00851E9C"/>
    <w:rsid w:val="00851EDC"/>
    <w:rsid w:val="008521A3"/>
    <w:rsid w:val="00852344"/>
    <w:rsid w:val="00852367"/>
    <w:rsid w:val="008523C7"/>
    <w:rsid w:val="0085245C"/>
    <w:rsid w:val="008524D4"/>
    <w:rsid w:val="00852561"/>
    <w:rsid w:val="00852679"/>
    <w:rsid w:val="0085281A"/>
    <w:rsid w:val="00852870"/>
    <w:rsid w:val="00852888"/>
    <w:rsid w:val="00852A76"/>
    <w:rsid w:val="00852A7F"/>
    <w:rsid w:val="00852AA3"/>
    <w:rsid w:val="00852DF5"/>
    <w:rsid w:val="00852E75"/>
    <w:rsid w:val="00852E9B"/>
    <w:rsid w:val="00852EB3"/>
    <w:rsid w:val="00852FDE"/>
    <w:rsid w:val="0085302F"/>
    <w:rsid w:val="0085311C"/>
    <w:rsid w:val="008532BE"/>
    <w:rsid w:val="008532C9"/>
    <w:rsid w:val="00853400"/>
    <w:rsid w:val="0085362D"/>
    <w:rsid w:val="008536F0"/>
    <w:rsid w:val="0085385C"/>
    <w:rsid w:val="00853954"/>
    <w:rsid w:val="00853BB3"/>
    <w:rsid w:val="00853CD5"/>
    <w:rsid w:val="00853F38"/>
    <w:rsid w:val="00853FC9"/>
    <w:rsid w:val="00854115"/>
    <w:rsid w:val="0085422F"/>
    <w:rsid w:val="00854406"/>
    <w:rsid w:val="00854419"/>
    <w:rsid w:val="0085444F"/>
    <w:rsid w:val="008544AB"/>
    <w:rsid w:val="008545AF"/>
    <w:rsid w:val="008546DC"/>
    <w:rsid w:val="00854808"/>
    <w:rsid w:val="00854820"/>
    <w:rsid w:val="00854923"/>
    <w:rsid w:val="0085492A"/>
    <w:rsid w:val="008549A2"/>
    <w:rsid w:val="00854A6F"/>
    <w:rsid w:val="00854A7A"/>
    <w:rsid w:val="00854B1D"/>
    <w:rsid w:val="00854B24"/>
    <w:rsid w:val="00854B58"/>
    <w:rsid w:val="00854BE3"/>
    <w:rsid w:val="00854E60"/>
    <w:rsid w:val="00854EA3"/>
    <w:rsid w:val="008550AC"/>
    <w:rsid w:val="0085525D"/>
    <w:rsid w:val="008552A6"/>
    <w:rsid w:val="008552D7"/>
    <w:rsid w:val="00855462"/>
    <w:rsid w:val="00855472"/>
    <w:rsid w:val="00855523"/>
    <w:rsid w:val="008555CD"/>
    <w:rsid w:val="008556AB"/>
    <w:rsid w:val="0085572B"/>
    <w:rsid w:val="0085583B"/>
    <w:rsid w:val="00855982"/>
    <w:rsid w:val="0085598D"/>
    <w:rsid w:val="008559A0"/>
    <w:rsid w:val="00855AA7"/>
    <w:rsid w:val="00855BD6"/>
    <w:rsid w:val="00855BE3"/>
    <w:rsid w:val="00855D28"/>
    <w:rsid w:val="00855FBE"/>
    <w:rsid w:val="00855FE6"/>
    <w:rsid w:val="008560B0"/>
    <w:rsid w:val="008564B4"/>
    <w:rsid w:val="008565AB"/>
    <w:rsid w:val="00856760"/>
    <w:rsid w:val="00856839"/>
    <w:rsid w:val="00856A0E"/>
    <w:rsid w:val="00856B1A"/>
    <w:rsid w:val="00856B1B"/>
    <w:rsid w:val="00856B27"/>
    <w:rsid w:val="00856CCD"/>
    <w:rsid w:val="00856D6A"/>
    <w:rsid w:val="00856E1B"/>
    <w:rsid w:val="00856F1E"/>
    <w:rsid w:val="00856F36"/>
    <w:rsid w:val="00857166"/>
    <w:rsid w:val="008571F3"/>
    <w:rsid w:val="008574AE"/>
    <w:rsid w:val="008575FC"/>
    <w:rsid w:val="0085766F"/>
    <w:rsid w:val="00857782"/>
    <w:rsid w:val="008577DE"/>
    <w:rsid w:val="00857A64"/>
    <w:rsid w:val="00857B39"/>
    <w:rsid w:val="00857CD7"/>
    <w:rsid w:val="00857D15"/>
    <w:rsid w:val="00857E1B"/>
    <w:rsid w:val="00857E85"/>
    <w:rsid w:val="00860017"/>
    <w:rsid w:val="008600C9"/>
    <w:rsid w:val="008602EA"/>
    <w:rsid w:val="0086037B"/>
    <w:rsid w:val="0086050A"/>
    <w:rsid w:val="00860770"/>
    <w:rsid w:val="008607F2"/>
    <w:rsid w:val="008608AC"/>
    <w:rsid w:val="00860B05"/>
    <w:rsid w:val="00860BBC"/>
    <w:rsid w:val="00860BDB"/>
    <w:rsid w:val="00860C25"/>
    <w:rsid w:val="00860C46"/>
    <w:rsid w:val="00860C4B"/>
    <w:rsid w:val="00860C7B"/>
    <w:rsid w:val="00860E75"/>
    <w:rsid w:val="00860EB6"/>
    <w:rsid w:val="0086103A"/>
    <w:rsid w:val="00861111"/>
    <w:rsid w:val="00861149"/>
    <w:rsid w:val="008611D8"/>
    <w:rsid w:val="00861277"/>
    <w:rsid w:val="0086129A"/>
    <w:rsid w:val="008614A8"/>
    <w:rsid w:val="0086159B"/>
    <w:rsid w:val="008617A1"/>
    <w:rsid w:val="008617EA"/>
    <w:rsid w:val="00861957"/>
    <w:rsid w:val="00861C3B"/>
    <w:rsid w:val="00861D22"/>
    <w:rsid w:val="00861DE1"/>
    <w:rsid w:val="00861FE3"/>
    <w:rsid w:val="0086208D"/>
    <w:rsid w:val="00862275"/>
    <w:rsid w:val="0086252B"/>
    <w:rsid w:val="00862817"/>
    <w:rsid w:val="0086291C"/>
    <w:rsid w:val="008629E3"/>
    <w:rsid w:val="00862B57"/>
    <w:rsid w:val="00862BE8"/>
    <w:rsid w:val="00862E70"/>
    <w:rsid w:val="00862EA6"/>
    <w:rsid w:val="00862F8B"/>
    <w:rsid w:val="008630C8"/>
    <w:rsid w:val="00863199"/>
    <w:rsid w:val="008631F9"/>
    <w:rsid w:val="008632EC"/>
    <w:rsid w:val="00863326"/>
    <w:rsid w:val="00863353"/>
    <w:rsid w:val="00863466"/>
    <w:rsid w:val="008634F8"/>
    <w:rsid w:val="00863A1C"/>
    <w:rsid w:val="00863A8E"/>
    <w:rsid w:val="00863F41"/>
    <w:rsid w:val="00863F5B"/>
    <w:rsid w:val="00863F89"/>
    <w:rsid w:val="00863F96"/>
    <w:rsid w:val="0086423D"/>
    <w:rsid w:val="0086429B"/>
    <w:rsid w:val="00864321"/>
    <w:rsid w:val="0086450C"/>
    <w:rsid w:val="00864556"/>
    <w:rsid w:val="0086461F"/>
    <w:rsid w:val="00864884"/>
    <w:rsid w:val="00864B9E"/>
    <w:rsid w:val="00864BB7"/>
    <w:rsid w:val="00864C0E"/>
    <w:rsid w:val="00864DE6"/>
    <w:rsid w:val="00864E91"/>
    <w:rsid w:val="00864ED7"/>
    <w:rsid w:val="00864F3A"/>
    <w:rsid w:val="00864F84"/>
    <w:rsid w:val="008651A3"/>
    <w:rsid w:val="008651FA"/>
    <w:rsid w:val="00865287"/>
    <w:rsid w:val="00865337"/>
    <w:rsid w:val="008653DA"/>
    <w:rsid w:val="00865545"/>
    <w:rsid w:val="008655D1"/>
    <w:rsid w:val="008657BB"/>
    <w:rsid w:val="008658DD"/>
    <w:rsid w:val="00865DC8"/>
    <w:rsid w:val="00865EAF"/>
    <w:rsid w:val="00865F34"/>
    <w:rsid w:val="008660D6"/>
    <w:rsid w:val="00866148"/>
    <w:rsid w:val="00866327"/>
    <w:rsid w:val="00866477"/>
    <w:rsid w:val="008666AA"/>
    <w:rsid w:val="00866725"/>
    <w:rsid w:val="0086675F"/>
    <w:rsid w:val="0086679D"/>
    <w:rsid w:val="00866AC3"/>
    <w:rsid w:val="00866D04"/>
    <w:rsid w:val="00866E92"/>
    <w:rsid w:val="00867198"/>
    <w:rsid w:val="0086722E"/>
    <w:rsid w:val="0086729A"/>
    <w:rsid w:val="008672B2"/>
    <w:rsid w:val="0086740F"/>
    <w:rsid w:val="008675FD"/>
    <w:rsid w:val="00867624"/>
    <w:rsid w:val="0086786B"/>
    <w:rsid w:val="00867928"/>
    <w:rsid w:val="008679C5"/>
    <w:rsid w:val="00867ADA"/>
    <w:rsid w:val="0086ED8B"/>
    <w:rsid w:val="00870141"/>
    <w:rsid w:val="00870155"/>
    <w:rsid w:val="008701A3"/>
    <w:rsid w:val="00870225"/>
    <w:rsid w:val="0087027F"/>
    <w:rsid w:val="00870298"/>
    <w:rsid w:val="008702B5"/>
    <w:rsid w:val="0087035F"/>
    <w:rsid w:val="008705D1"/>
    <w:rsid w:val="008708E0"/>
    <w:rsid w:val="00870A1F"/>
    <w:rsid w:val="00870B03"/>
    <w:rsid w:val="00870D0D"/>
    <w:rsid w:val="00870D58"/>
    <w:rsid w:val="00870DD5"/>
    <w:rsid w:val="00870E8E"/>
    <w:rsid w:val="00871105"/>
    <w:rsid w:val="0087120E"/>
    <w:rsid w:val="008712A0"/>
    <w:rsid w:val="008712DB"/>
    <w:rsid w:val="00871375"/>
    <w:rsid w:val="00871434"/>
    <w:rsid w:val="0087146D"/>
    <w:rsid w:val="00871483"/>
    <w:rsid w:val="008714DB"/>
    <w:rsid w:val="0087154D"/>
    <w:rsid w:val="00871657"/>
    <w:rsid w:val="008717D0"/>
    <w:rsid w:val="008717D4"/>
    <w:rsid w:val="00871A98"/>
    <w:rsid w:val="00871A9E"/>
    <w:rsid w:val="00871AA9"/>
    <w:rsid w:val="00872004"/>
    <w:rsid w:val="008720A2"/>
    <w:rsid w:val="00872229"/>
    <w:rsid w:val="00872621"/>
    <w:rsid w:val="00872750"/>
    <w:rsid w:val="008727AA"/>
    <w:rsid w:val="0087289B"/>
    <w:rsid w:val="008729DD"/>
    <w:rsid w:val="00872A4B"/>
    <w:rsid w:val="00872C81"/>
    <w:rsid w:val="00872C92"/>
    <w:rsid w:val="00872CBF"/>
    <w:rsid w:val="00872F9D"/>
    <w:rsid w:val="0087307C"/>
    <w:rsid w:val="0087308A"/>
    <w:rsid w:val="008730DA"/>
    <w:rsid w:val="00873250"/>
    <w:rsid w:val="00873278"/>
    <w:rsid w:val="00873290"/>
    <w:rsid w:val="00873488"/>
    <w:rsid w:val="0087348F"/>
    <w:rsid w:val="00873505"/>
    <w:rsid w:val="00873558"/>
    <w:rsid w:val="00873825"/>
    <w:rsid w:val="00873851"/>
    <w:rsid w:val="008739D3"/>
    <w:rsid w:val="008739EF"/>
    <w:rsid w:val="00873ADE"/>
    <w:rsid w:val="00873E09"/>
    <w:rsid w:val="00873EFD"/>
    <w:rsid w:val="00873F73"/>
    <w:rsid w:val="00873FF6"/>
    <w:rsid w:val="0087403B"/>
    <w:rsid w:val="00874162"/>
    <w:rsid w:val="008742B6"/>
    <w:rsid w:val="0087432F"/>
    <w:rsid w:val="00874768"/>
    <w:rsid w:val="008748C9"/>
    <w:rsid w:val="00874ADA"/>
    <w:rsid w:val="00874BA4"/>
    <w:rsid w:val="00874BB4"/>
    <w:rsid w:val="00874BEC"/>
    <w:rsid w:val="00874C34"/>
    <w:rsid w:val="00874CAB"/>
    <w:rsid w:val="00874CB1"/>
    <w:rsid w:val="00874D50"/>
    <w:rsid w:val="008750A7"/>
    <w:rsid w:val="008750C0"/>
    <w:rsid w:val="008750EB"/>
    <w:rsid w:val="00875426"/>
    <w:rsid w:val="0087544F"/>
    <w:rsid w:val="00875682"/>
    <w:rsid w:val="00875802"/>
    <w:rsid w:val="00875873"/>
    <w:rsid w:val="00875970"/>
    <w:rsid w:val="00875977"/>
    <w:rsid w:val="00875A02"/>
    <w:rsid w:val="00875B80"/>
    <w:rsid w:val="00875E0C"/>
    <w:rsid w:val="00875F1F"/>
    <w:rsid w:val="00875F6D"/>
    <w:rsid w:val="0087615D"/>
    <w:rsid w:val="00876163"/>
    <w:rsid w:val="008763D7"/>
    <w:rsid w:val="0087646A"/>
    <w:rsid w:val="008764CC"/>
    <w:rsid w:val="0087654F"/>
    <w:rsid w:val="00876609"/>
    <w:rsid w:val="0087662C"/>
    <w:rsid w:val="008767A9"/>
    <w:rsid w:val="008769A6"/>
    <w:rsid w:val="008769DC"/>
    <w:rsid w:val="00876A21"/>
    <w:rsid w:val="00876B89"/>
    <w:rsid w:val="00876B96"/>
    <w:rsid w:val="00876BCA"/>
    <w:rsid w:val="00876E07"/>
    <w:rsid w:val="00876F9A"/>
    <w:rsid w:val="00877086"/>
    <w:rsid w:val="008770AD"/>
    <w:rsid w:val="008770E6"/>
    <w:rsid w:val="0087711E"/>
    <w:rsid w:val="00877379"/>
    <w:rsid w:val="00877694"/>
    <w:rsid w:val="0087771D"/>
    <w:rsid w:val="00877749"/>
    <w:rsid w:val="0087779B"/>
    <w:rsid w:val="00877AF8"/>
    <w:rsid w:val="00877B88"/>
    <w:rsid w:val="00877C17"/>
    <w:rsid w:val="00877C43"/>
    <w:rsid w:val="00877D23"/>
    <w:rsid w:val="00877DA3"/>
    <w:rsid w:val="00880069"/>
    <w:rsid w:val="00880087"/>
    <w:rsid w:val="00880122"/>
    <w:rsid w:val="008801A1"/>
    <w:rsid w:val="0088066A"/>
    <w:rsid w:val="0088066F"/>
    <w:rsid w:val="0088081B"/>
    <w:rsid w:val="0088098E"/>
    <w:rsid w:val="008809C9"/>
    <w:rsid w:val="00880BA6"/>
    <w:rsid w:val="00880C57"/>
    <w:rsid w:val="00880DAA"/>
    <w:rsid w:val="00880FA1"/>
    <w:rsid w:val="00880FC4"/>
    <w:rsid w:val="00881304"/>
    <w:rsid w:val="0088149C"/>
    <w:rsid w:val="0088157A"/>
    <w:rsid w:val="008815A3"/>
    <w:rsid w:val="00881A2D"/>
    <w:rsid w:val="00881B65"/>
    <w:rsid w:val="00881C49"/>
    <w:rsid w:val="00881E91"/>
    <w:rsid w:val="00881F4F"/>
    <w:rsid w:val="008820D4"/>
    <w:rsid w:val="00882298"/>
    <w:rsid w:val="00882405"/>
    <w:rsid w:val="008825F3"/>
    <w:rsid w:val="0088265F"/>
    <w:rsid w:val="0088266F"/>
    <w:rsid w:val="008827A1"/>
    <w:rsid w:val="008827FB"/>
    <w:rsid w:val="00882887"/>
    <w:rsid w:val="0088289C"/>
    <w:rsid w:val="00882959"/>
    <w:rsid w:val="00882AEA"/>
    <w:rsid w:val="00882C69"/>
    <w:rsid w:val="00882D14"/>
    <w:rsid w:val="00882DB0"/>
    <w:rsid w:val="00882F0C"/>
    <w:rsid w:val="0088335D"/>
    <w:rsid w:val="00883565"/>
    <w:rsid w:val="00883586"/>
    <w:rsid w:val="00883795"/>
    <w:rsid w:val="008837C3"/>
    <w:rsid w:val="0088393E"/>
    <w:rsid w:val="008839E5"/>
    <w:rsid w:val="00883B82"/>
    <w:rsid w:val="00883C77"/>
    <w:rsid w:val="00883C78"/>
    <w:rsid w:val="00883CE4"/>
    <w:rsid w:val="00883F43"/>
    <w:rsid w:val="00884072"/>
    <w:rsid w:val="008841DC"/>
    <w:rsid w:val="0088423D"/>
    <w:rsid w:val="008843B2"/>
    <w:rsid w:val="00884437"/>
    <w:rsid w:val="00884459"/>
    <w:rsid w:val="0088462F"/>
    <w:rsid w:val="00884666"/>
    <w:rsid w:val="008846AF"/>
    <w:rsid w:val="0088471C"/>
    <w:rsid w:val="00884848"/>
    <w:rsid w:val="0088496C"/>
    <w:rsid w:val="00884AF5"/>
    <w:rsid w:val="00884BA2"/>
    <w:rsid w:val="00884E89"/>
    <w:rsid w:val="00884FA9"/>
    <w:rsid w:val="008851D3"/>
    <w:rsid w:val="008851F1"/>
    <w:rsid w:val="008851F8"/>
    <w:rsid w:val="00885250"/>
    <w:rsid w:val="00885290"/>
    <w:rsid w:val="0088534C"/>
    <w:rsid w:val="008853A8"/>
    <w:rsid w:val="008853EC"/>
    <w:rsid w:val="00885588"/>
    <w:rsid w:val="008855C0"/>
    <w:rsid w:val="008856D2"/>
    <w:rsid w:val="008857B2"/>
    <w:rsid w:val="008859D0"/>
    <w:rsid w:val="00885A04"/>
    <w:rsid w:val="00885A6A"/>
    <w:rsid w:val="00885B30"/>
    <w:rsid w:val="00885C3C"/>
    <w:rsid w:val="00885DCC"/>
    <w:rsid w:val="00885EBD"/>
    <w:rsid w:val="00885F4C"/>
    <w:rsid w:val="00885F7F"/>
    <w:rsid w:val="0088604D"/>
    <w:rsid w:val="0088605C"/>
    <w:rsid w:val="008860A9"/>
    <w:rsid w:val="0088619B"/>
    <w:rsid w:val="00886261"/>
    <w:rsid w:val="0088647F"/>
    <w:rsid w:val="00886533"/>
    <w:rsid w:val="00886599"/>
    <w:rsid w:val="008866B1"/>
    <w:rsid w:val="00886818"/>
    <w:rsid w:val="008868FE"/>
    <w:rsid w:val="008869C9"/>
    <w:rsid w:val="00886A0A"/>
    <w:rsid w:val="00886A76"/>
    <w:rsid w:val="00886A84"/>
    <w:rsid w:val="00886B4E"/>
    <w:rsid w:val="00886B55"/>
    <w:rsid w:val="00886D1E"/>
    <w:rsid w:val="00886EFC"/>
    <w:rsid w:val="00886F50"/>
    <w:rsid w:val="00887179"/>
    <w:rsid w:val="0088728A"/>
    <w:rsid w:val="00887298"/>
    <w:rsid w:val="008872AA"/>
    <w:rsid w:val="00887320"/>
    <w:rsid w:val="008874EC"/>
    <w:rsid w:val="008874EE"/>
    <w:rsid w:val="00887531"/>
    <w:rsid w:val="0088761A"/>
    <w:rsid w:val="00887805"/>
    <w:rsid w:val="00887838"/>
    <w:rsid w:val="008878C2"/>
    <w:rsid w:val="00887928"/>
    <w:rsid w:val="0088794A"/>
    <w:rsid w:val="00887A1F"/>
    <w:rsid w:val="00887A38"/>
    <w:rsid w:val="00887B77"/>
    <w:rsid w:val="00887BB2"/>
    <w:rsid w:val="00887C54"/>
    <w:rsid w:val="00887CE1"/>
    <w:rsid w:val="00887DCF"/>
    <w:rsid w:val="00887FA5"/>
    <w:rsid w:val="00890009"/>
    <w:rsid w:val="00890038"/>
    <w:rsid w:val="008900F6"/>
    <w:rsid w:val="008902BE"/>
    <w:rsid w:val="008902F4"/>
    <w:rsid w:val="00890362"/>
    <w:rsid w:val="008903B0"/>
    <w:rsid w:val="00890617"/>
    <w:rsid w:val="00890874"/>
    <w:rsid w:val="00890994"/>
    <w:rsid w:val="00890A9E"/>
    <w:rsid w:val="00890C0C"/>
    <w:rsid w:val="00890CC3"/>
    <w:rsid w:val="00890D20"/>
    <w:rsid w:val="00890DD2"/>
    <w:rsid w:val="00890EFC"/>
    <w:rsid w:val="00890F76"/>
    <w:rsid w:val="008910DE"/>
    <w:rsid w:val="008911FB"/>
    <w:rsid w:val="0089135C"/>
    <w:rsid w:val="008913A7"/>
    <w:rsid w:val="008913A9"/>
    <w:rsid w:val="00891462"/>
    <w:rsid w:val="008915D0"/>
    <w:rsid w:val="008916F9"/>
    <w:rsid w:val="0089171B"/>
    <w:rsid w:val="00891C90"/>
    <w:rsid w:val="00891DE6"/>
    <w:rsid w:val="00891E21"/>
    <w:rsid w:val="00891F0F"/>
    <w:rsid w:val="00892017"/>
    <w:rsid w:val="008922F0"/>
    <w:rsid w:val="00892367"/>
    <w:rsid w:val="00892576"/>
    <w:rsid w:val="0089257A"/>
    <w:rsid w:val="00892594"/>
    <w:rsid w:val="0089280F"/>
    <w:rsid w:val="0089295D"/>
    <w:rsid w:val="00892AE7"/>
    <w:rsid w:val="00892C69"/>
    <w:rsid w:val="00892F4D"/>
    <w:rsid w:val="00892FA0"/>
    <w:rsid w:val="00892FC5"/>
    <w:rsid w:val="00893089"/>
    <w:rsid w:val="008931D5"/>
    <w:rsid w:val="00893242"/>
    <w:rsid w:val="008932EF"/>
    <w:rsid w:val="0089334E"/>
    <w:rsid w:val="00893601"/>
    <w:rsid w:val="008936FD"/>
    <w:rsid w:val="0089373B"/>
    <w:rsid w:val="008939EB"/>
    <w:rsid w:val="00893A8D"/>
    <w:rsid w:val="00893B10"/>
    <w:rsid w:val="00893B9E"/>
    <w:rsid w:val="00893C2C"/>
    <w:rsid w:val="00893CA0"/>
    <w:rsid w:val="00893CB5"/>
    <w:rsid w:val="00893CF6"/>
    <w:rsid w:val="00893D0F"/>
    <w:rsid w:val="00893E29"/>
    <w:rsid w:val="00893E4B"/>
    <w:rsid w:val="00893ED3"/>
    <w:rsid w:val="00893F90"/>
    <w:rsid w:val="00893FC1"/>
    <w:rsid w:val="00894072"/>
    <w:rsid w:val="0089411E"/>
    <w:rsid w:val="00894601"/>
    <w:rsid w:val="00894610"/>
    <w:rsid w:val="0089469C"/>
    <w:rsid w:val="008947B8"/>
    <w:rsid w:val="00894852"/>
    <w:rsid w:val="008948E7"/>
    <w:rsid w:val="00894A4A"/>
    <w:rsid w:val="00894B33"/>
    <w:rsid w:val="00894BE5"/>
    <w:rsid w:val="00894C45"/>
    <w:rsid w:val="00894CD3"/>
    <w:rsid w:val="00894EF3"/>
    <w:rsid w:val="0089505F"/>
    <w:rsid w:val="0089510F"/>
    <w:rsid w:val="0089524C"/>
    <w:rsid w:val="0089528B"/>
    <w:rsid w:val="008953E2"/>
    <w:rsid w:val="008958A6"/>
    <w:rsid w:val="00895A05"/>
    <w:rsid w:val="00895A3D"/>
    <w:rsid w:val="00895AB0"/>
    <w:rsid w:val="00895B1A"/>
    <w:rsid w:val="00895D49"/>
    <w:rsid w:val="00895D78"/>
    <w:rsid w:val="00895E86"/>
    <w:rsid w:val="00895FAD"/>
    <w:rsid w:val="00895FBB"/>
    <w:rsid w:val="00896003"/>
    <w:rsid w:val="0089619F"/>
    <w:rsid w:val="008963E7"/>
    <w:rsid w:val="00896412"/>
    <w:rsid w:val="00896569"/>
    <w:rsid w:val="008965C2"/>
    <w:rsid w:val="00896980"/>
    <w:rsid w:val="0089699B"/>
    <w:rsid w:val="008969EF"/>
    <w:rsid w:val="00896AA1"/>
    <w:rsid w:val="00896E99"/>
    <w:rsid w:val="00896EA2"/>
    <w:rsid w:val="0089718A"/>
    <w:rsid w:val="008972A2"/>
    <w:rsid w:val="008972B2"/>
    <w:rsid w:val="008975E7"/>
    <w:rsid w:val="00897697"/>
    <w:rsid w:val="00897749"/>
    <w:rsid w:val="0089774E"/>
    <w:rsid w:val="00897789"/>
    <w:rsid w:val="0089780B"/>
    <w:rsid w:val="0089789F"/>
    <w:rsid w:val="008978B0"/>
    <w:rsid w:val="00897A27"/>
    <w:rsid w:val="00897ABC"/>
    <w:rsid w:val="00897D31"/>
    <w:rsid w:val="00897EB9"/>
    <w:rsid w:val="00897F2D"/>
    <w:rsid w:val="0089CF8A"/>
    <w:rsid w:val="008A01A8"/>
    <w:rsid w:val="008A023B"/>
    <w:rsid w:val="008A0349"/>
    <w:rsid w:val="008A04B7"/>
    <w:rsid w:val="008A065B"/>
    <w:rsid w:val="008A06C1"/>
    <w:rsid w:val="008A0754"/>
    <w:rsid w:val="008A0791"/>
    <w:rsid w:val="008A07B5"/>
    <w:rsid w:val="008A088E"/>
    <w:rsid w:val="008A0A6D"/>
    <w:rsid w:val="008A0AEB"/>
    <w:rsid w:val="008A0B3F"/>
    <w:rsid w:val="008A0D57"/>
    <w:rsid w:val="008A0D94"/>
    <w:rsid w:val="008A0DE0"/>
    <w:rsid w:val="008A0F03"/>
    <w:rsid w:val="008A0F59"/>
    <w:rsid w:val="008A10DC"/>
    <w:rsid w:val="008A12DA"/>
    <w:rsid w:val="008A12FB"/>
    <w:rsid w:val="008A1328"/>
    <w:rsid w:val="008A143C"/>
    <w:rsid w:val="008A14D3"/>
    <w:rsid w:val="008A168B"/>
    <w:rsid w:val="008A16BD"/>
    <w:rsid w:val="008A16D6"/>
    <w:rsid w:val="008A1737"/>
    <w:rsid w:val="008A17A1"/>
    <w:rsid w:val="008A19CF"/>
    <w:rsid w:val="008A1A42"/>
    <w:rsid w:val="008A1B3B"/>
    <w:rsid w:val="008A1C37"/>
    <w:rsid w:val="008A1C51"/>
    <w:rsid w:val="008A1D0A"/>
    <w:rsid w:val="008A1FA9"/>
    <w:rsid w:val="008A224E"/>
    <w:rsid w:val="008A243B"/>
    <w:rsid w:val="008A28E8"/>
    <w:rsid w:val="008A2A16"/>
    <w:rsid w:val="008A2B13"/>
    <w:rsid w:val="008A2CCA"/>
    <w:rsid w:val="008A2D5E"/>
    <w:rsid w:val="008A2D77"/>
    <w:rsid w:val="008A2EC2"/>
    <w:rsid w:val="008A30D9"/>
    <w:rsid w:val="008A35CA"/>
    <w:rsid w:val="008A362E"/>
    <w:rsid w:val="008A372D"/>
    <w:rsid w:val="008A394F"/>
    <w:rsid w:val="008A3A0D"/>
    <w:rsid w:val="008A3A5B"/>
    <w:rsid w:val="008A3A67"/>
    <w:rsid w:val="008A3A6A"/>
    <w:rsid w:val="008A3BA6"/>
    <w:rsid w:val="008A3BA7"/>
    <w:rsid w:val="008A3C51"/>
    <w:rsid w:val="008A3DF5"/>
    <w:rsid w:val="008A3EB6"/>
    <w:rsid w:val="008A4024"/>
    <w:rsid w:val="008A40CD"/>
    <w:rsid w:val="008A4120"/>
    <w:rsid w:val="008A41F4"/>
    <w:rsid w:val="008A42BE"/>
    <w:rsid w:val="008A42DE"/>
    <w:rsid w:val="008A438B"/>
    <w:rsid w:val="008A43D4"/>
    <w:rsid w:val="008A43F4"/>
    <w:rsid w:val="008A4470"/>
    <w:rsid w:val="008A4492"/>
    <w:rsid w:val="008A4654"/>
    <w:rsid w:val="008A476F"/>
    <w:rsid w:val="008A479B"/>
    <w:rsid w:val="008A47A0"/>
    <w:rsid w:val="008A47C2"/>
    <w:rsid w:val="008A4896"/>
    <w:rsid w:val="008A4A08"/>
    <w:rsid w:val="008A4C49"/>
    <w:rsid w:val="008A4CB8"/>
    <w:rsid w:val="008A4E25"/>
    <w:rsid w:val="008A4FC5"/>
    <w:rsid w:val="008A50EA"/>
    <w:rsid w:val="008A510C"/>
    <w:rsid w:val="008A527B"/>
    <w:rsid w:val="008A539A"/>
    <w:rsid w:val="008A5489"/>
    <w:rsid w:val="008A5671"/>
    <w:rsid w:val="008A56ED"/>
    <w:rsid w:val="008A5773"/>
    <w:rsid w:val="008A5921"/>
    <w:rsid w:val="008A5AD9"/>
    <w:rsid w:val="008A5D02"/>
    <w:rsid w:val="008A5DC9"/>
    <w:rsid w:val="008A5DE0"/>
    <w:rsid w:val="008A5FC6"/>
    <w:rsid w:val="008A609E"/>
    <w:rsid w:val="008A6167"/>
    <w:rsid w:val="008A62CF"/>
    <w:rsid w:val="008A6336"/>
    <w:rsid w:val="008A63B7"/>
    <w:rsid w:val="008A6491"/>
    <w:rsid w:val="008A65F2"/>
    <w:rsid w:val="008A666C"/>
    <w:rsid w:val="008A666F"/>
    <w:rsid w:val="008A6708"/>
    <w:rsid w:val="008A6750"/>
    <w:rsid w:val="008A67BF"/>
    <w:rsid w:val="008A6801"/>
    <w:rsid w:val="008A69C7"/>
    <w:rsid w:val="008A6B88"/>
    <w:rsid w:val="008A6D75"/>
    <w:rsid w:val="008A6EB1"/>
    <w:rsid w:val="008A6FCD"/>
    <w:rsid w:val="008A721D"/>
    <w:rsid w:val="008A7233"/>
    <w:rsid w:val="008A7268"/>
    <w:rsid w:val="008A7287"/>
    <w:rsid w:val="008A7371"/>
    <w:rsid w:val="008A760B"/>
    <w:rsid w:val="008A78CF"/>
    <w:rsid w:val="008A7A95"/>
    <w:rsid w:val="008A7C40"/>
    <w:rsid w:val="008A7CF1"/>
    <w:rsid w:val="008A7DFE"/>
    <w:rsid w:val="008A7F30"/>
    <w:rsid w:val="008A7F37"/>
    <w:rsid w:val="008B0239"/>
    <w:rsid w:val="008B02BA"/>
    <w:rsid w:val="008B02F6"/>
    <w:rsid w:val="008B037C"/>
    <w:rsid w:val="008B0413"/>
    <w:rsid w:val="008B041E"/>
    <w:rsid w:val="008B0674"/>
    <w:rsid w:val="008B06D5"/>
    <w:rsid w:val="008B0885"/>
    <w:rsid w:val="008B08B2"/>
    <w:rsid w:val="008B08F3"/>
    <w:rsid w:val="008B0B60"/>
    <w:rsid w:val="008B0BCA"/>
    <w:rsid w:val="008B0C4A"/>
    <w:rsid w:val="008B0CFF"/>
    <w:rsid w:val="008B0D24"/>
    <w:rsid w:val="008B0D6B"/>
    <w:rsid w:val="008B0DB2"/>
    <w:rsid w:val="008B0E9A"/>
    <w:rsid w:val="008B0EB4"/>
    <w:rsid w:val="008B0F77"/>
    <w:rsid w:val="008B1049"/>
    <w:rsid w:val="008B1053"/>
    <w:rsid w:val="008B13B6"/>
    <w:rsid w:val="008B1433"/>
    <w:rsid w:val="008B15B3"/>
    <w:rsid w:val="008B15C5"/>
    <w:rsid w:val="008B17F6"/>
    <w:rsid w:val="008B1ACF"/>
    <w:rsid w:val="008B1AEA"/>
    <w:rsid w:val="008B1D06"/>
    <w:rsid w:val="008B1D42"/>
    <w:rsid w:val="008B1D4D"/>
    <w:rsid w:val="008B1DF9"/>
    <w:rsid w:val="008B1F21"/>
    <w:rsid w:val="008B1F73"/>
    <w:rsid w:val="008B2039"/>
    <w:rsid w:val="008B20C2"/>
    <w:rsid w:val="008B215F"/>
    <w:rsid w:val="008B2193"/>
    <w:rsid w:val="008B22BC"/>
    <w:rsid w:val="008B22E9"/>
    <w:rsid w:val="008B2445"/>
    <w:rsid w:val="008B2519"/>
    <w:rsid w:val="008B2740"/>
    <w:rsid w:val="008B2B25"/>
    <w:rsid w:val="008B308D"/>
    <w:rsid w:val="008B31F3"/>
    <w:rsid w:val="008B333C"/>
    <w:rsid w:val="008B34AC"/>
    <w:rsid w:val="008B34FA"/>
    <w:rsid w:val="008B3A55"/>
    <w:rsid w:val="008B3BDD"/>
    <w:rsid w:val="008B3CD2"/>
    <w:rsid w:val="008B3D63"/>
    <w:rsid w:val="008B3F13"/>
    <w:rsid w:val="008B3FB6"/>
    <w:rsid w:val="008B40EF"/>
    <w:rsid w:val="008B4115"/>
    <w:rsid w:val="008B4531"/>
    <w:rsid w:val="008B4650"/>
    <w:rsid w:val="008B4727"/>
    <w:rsid w:val="008B4810"/>
    <w:rsid w:val="008B48A7"/>
    <w:rsid w:val="008B49ED"/>
    <w:rsid w:val="008B4AB0"/>
    <w:rsid w:val="008B4AFF"/>
    <w:rsid w:val="008B4CC6"/>
    <w:rsid w:val="008B4D89"/>
    <w:rsid w:val="008B4EAB"/>
    <w:rsid w:val="008B4FC9"/>
    <w:rsid w:val="008B4FFE"/>
    <w:rsid w:val="008B519C"/>
    <w:rsid w:val="008B51A3"/>
    <w:rsid w:val="008B559B"/>
    <w:rsid w:val="008B566E"/>
    <w:rsid w:val="008B5779"/>
    <w:rsid w:val="008B5794"/>
    <w:rsid w:val="008B5A29"/>
    <w:rsid w:val="008B5AA8"/>
    <w:rsid w:val="008B5B56"/>
    <w:rsid w:val="008B5C6E"/>
    <w:rsid w:val="008B5CDC"/>
    <w:rsid w:val="008B5DE7"/>
    <w:rsid w:val="008B5E52"/>
    <w:rsid w:val="008B601D"/>
    <w:rsid w:val="008B614F"/>
    <w:rsid w:val="008B6194"/>
    <w:rsid w:val="008B6414"/>
    <w:rsid w:val="008B6582"/>
    <w:rsid w:val="008B66BF"/>
    <w:rsid w:val="008B6776"/>
    <w:rsid w:val="008B67E0"/>
    <w:rsid w:val="008B6854"/>
    <w:rsid w:val="008B68DB"/>
    <w:rsid w:val="008B6C02"/>
    <w:rsid w:val="008B6C4D"/>
    <w:rsid w:val="008B6E42"/>
    <w:rsid w:val="008B6FD4"/>
    <w:rsid w:val="008B70DB"/>
    <w:rsid w:val="008B71E3"/>
    <w:rsid w:val="008B733B"/>
    <w:rsid w:val="008B73DA"/>
    <w:rsid w:val="008B7565"/>
    <w:rsid w:val="008B75E1"/>
    <w:rsid w:val="008B7601"/>
    <w:rsid w:val="008B778D"/>
    <w:rsid w:val="008B77D0"/>
    <w:rsid w:val="008B78C7"/>
    <w:rsid w:val="008B79FC"/>
    <w:rsid w:val="008B7A9C"/>
    <w:rsid w:val="008B7C31"/>
    <w:rsid w:val="008B7D08"/>
    <w:rsid w:val="008B7D88"/>
    <w:rsid w:val="008B7FE4"/>
    <w:rsid w:val="008C003F"/>
    <w:rsid w:val="008C0097"/>
    <w:rsid w:val="008C00B1"/>
    <w:rsid w:val="008C011F"/>
    <w:rsid w:val="008C02B8"/>
    <w:rsid w:val="008C0360"/>
    <w:rsid w:val="008C0401"/>
    <w:rsid w:val="008C046A"/>
    <w:rsid w:val="008C04C8"/>
    <w:rsid w:val="008C07FA"/>
    <w:rsid w:val="008C0805"/>
    <w:rsid w:val="008C08AF"/>
    <w:rsid w:val="008C08CE"/>
    <w:rsid w:val="008C096C"/>
    <w:rsid w:val="008C09F5"/>
    <w:rsid w:val="008C0A3A"/>
    <w:rsid w:val="008C0B6E"/>
    <w:rsid w:val="008C0CF3"/>
    <w:rsid w:val="008C0D46"/>
    <w:rsid w:val="008C0D98"/>
    <w:rsid w:val="008C0E52"/>
    <w:rsid w:val="008C0ECD"/>
    <w:rsid w:val="008C0ECE"/>
    <w:rsid w:val="008C0FA8"/>
    <w:rsid w:val="008C0FFB"/>
    <w:rsid w:val="008C1025"/>
    <w:rsid w:val="008C10B5"/>
    <w:rsid w:val="008C13AA"/>
    <w:rsid w:val="008C14AE"/>
    <w:rsid w:val="008C14F1"/>
    <w:rsid w:val="008C154A"/>
    <w:rsid w:val="008C15D6"/>
    <w:rsid w:val="008C166E"/>
    <w:rsid w:val="008C1752"/>
    <w:rsid w:val="008C1843"/>
    <w:rsid w:val="008C1A36"/>
    <w:rsid w:val="008C1A72"/>
    <w:rsid w:val="008C1A9F"/>
    <w:rsid w:val="008C1AFC"/>
    <w:rsid w:val="008C1CAA"/>
    <w:rsid w:val="008C1D37"/>
    <w:rsid w:val="008C1E57"/>
    <w:rsid w:val="008C1F41"/>
    <w:rsid w:val="008C2083"/>
    <w:rsid w:val="008C20D2"/>
    <w:rsid w:val="008C20D4"/>
    <w:rsid w:val="008C214E"/>
    <w:rsid w:val="008C22A9"/>
    <w:rsid w:val="008C23B5"/>
    <w:rsid w:val="008C2413"/>
    <w:rsid w:val="008C24D9"/>
    <w:rsid w:val="008C26F4"/>
    <w:rsid w:val="008C2B47"/>
    <w:rsid w:val="008C2B71"/>
    <w:rsid w:val="008C2B7C"/>
    <w:rsid w:val="008C2C88"/>
    <w:rsid w:val="008C3196"/>
    <w:rsid w:val="008C33CA"/>
    <w:rsid w:val="008C33E5"/>
    <w:rsid w:val="008C3539"/>
    <w:rsid w:val="008C35C1"/>
    <w:rsid w:val="008C37F8"/>
    <w:rsid w:val="008C38D8"/>
    <w:rsid w:val="008C38DF"/>
    <w:rsid w:val="008C3938"/>
    <w:rsid w:val="008C3985"/>
    <w:rsid w:val="008C39FF"/>
    <w:rsid w:val="008C3BE7"/>
    <w:rsid w:val="008C3CCA"/>
    <w:rsid w:val="008C3D6C"/>
    <w:rsid w:val="008C3DB0"/>
    <w:rsid w:val="008C3EBB"/>
    <w:rsid w:val="008C402A"/>
    <w:rsid w:val="008C40EC"/>
    <w:rsid w:val="008C41F5"/>
    <w:rsid w:val="008C430D"/>
    <w:rsid w:val="008C4467"/>
    <w:rsid w:val="008C47C1"/>
    <w:rsid w:val="008C4888"/>
    <w:rsid w:val="008C48DB"/>
    <w:rsid w:val="008C4A06"/>
    <w:rsid w:val="008C4EE2"/>
    <w:rsid w:val="008C50D4"/>
    <w:rsid w:val="008C5262"/>
    <w:rsid w:val="008C534B"/>
    <w:rsid w:val="008C53DA"/>
    <w:rsid w:val="008C5415"/>
    <w:rsid w:val="008C550D"/>
    <w:rsid w:val="008C5586"/>
    <w:rsid w:val="008C5728"/>
    <w:rsid w:val="008C5B24"/>
    <w:rsid w:val="008C5E7E"/>
    <w:rsid w:val="008C5FEE"/>
    <w:rsid w:val="008C6085"/>
    <w:rsid w:val="008C60EA"/>
    <w:rsid w:val="008C624A"/>
    <w:rsid w:val="008C625A"/>
    <w:rsid w:val="008C6275"/>
    <w:rsid w:val="008C6404"/>
    <w:rsid w:val="008C662D"/>
    <w:rsid w:val="008C6720"/>
    <w:rsid w:val="008C6865"/>
    <w:rsid w:val="008C68EE"/>
    <w:rsid w:val="008C6A29"/>
    <w:rsid w:val="008C6A8B"/>
    <w:rsid w:val="008C6C7F"/>
    <w:rsid w:val="008C6E76"/>
    <w:rsid w:val="008C702B"/>
    <w:rsid w:val="008C71D6"/>
    <w:rsid w:val="008C72AC"/>
    <w:rsid w:val="008C7359"/>
    <w:rsid w:val="008C742B"/>
    <w:rsid w:val="008C7461"/>
    <w:rsid w:val="008C748E"/>
    <w:rsid w:val="008C74B4"/>
    <w:rsid w:val="008C757D"/>
    <w:rsid w:val="008C75BB"/>
    <w:rsid w:val="008C75CA"/>
    <w:rsid w:val="008C7706"/>
    <w:rsid w:val="008C7907"/>
    <w:rsid w:val="008C79D9"/>
    <w:rsid w:val="008C7C42"/>
    <w:rsid w:val="008C7C83"/>
    <w:rsid w:val="008C7D3B"/>
    <w:rsid w:val="008C7D56"/>
    <w:rsid w:val="008C7E04"/>
    <w:rsid w:val="008D002D"/>
    <w:rsid w:val="008D0806"/>
    <w:rsid w:val="008D0A11"/>
    <w:rsid w:val="008D0B0C"/>
    <w:rsid w:val="008D0CA4"/>
    <w:rsid w:val="008D0D46"/>
    <w:rsid w:val="008D0EA4"/>
    <w:rsid w:val="008D110F"/>
    <w:rsid w:val="008D1390"/>
    <w:rsid w:val="008D1564"/>
    <w:rsid w:val="008D15D1"/>
    <w:rsid w:val="008D1907"/>
    <w:rsid w:val="008D1A1E"/>
    <w:rsid w:val="008D1C07"/>
    <w:rsid w:val="008D1C0A"/>
    <w:rsid w:val="008D1DB1"/>
    <w:rsid w:val="008D1DF0"/>
    <w:rsid w:val="008D1E14"/>
    <w:rsid w:val="008D1F14"/>
    <w:rsid w:val="008D1F93"/>
    <w:rsid w:val="008D1FD9"/>
    <w:rsid w:val="008D20AE"/>
    <w:rsid w:val="008D20F9"/>
    <w:rsid w:val="008D218B"/>
    <w:rsid w:val="008D2580"/>
    <w:rsid w:val="008D25FC"/>
    <w:rsid w:val="008D26A6"/>
    <w:rsid w:val="008D2777"/>
    <w:rsid w:val="008D280B"/>
    <w:rsid w:val="008D2BD2"/>
    <w:rsid w:val="008D2FF9"/>
    <w:rsid w:val="008D305E"/>
    <w:rsid w:val="008D30DF"/>
    <w:rsid w:val="008D3215"/>
    <w:rsid w:val="008D34AF"/>
    <w:rsid w:val="008D359F"/>
    <w:rsid w:val="008D388F"/>
    <w:rsid w:val="008D3892"/>
    <w:rsid w:val="008D38E4"/>
    <w:rsid w:val="008D39AA"/>
    <w:rsid w:val="008D3D69"/>
    <w:rsid w:val="008D3F27"/>
    <w:rsid w:val="008D4044"/>
    <w:rsid w:val="008D408C"/>
    <w:rsid w:val="008D40E3"/>
    <w:rsid w:val="008D410B"/>
    <w:rsid w:val="008D4213"/>
    <w:rsid w:val="008D4303"/>
    <w:rsid w:val="008D4339"/>
    <w:rsid w:val="008D43B5"/>
    <w:rsid w:val="008D454E"/>
    <w:rsid w:val="008D4688"/>
    <w:rsid w:val="008D4756"/>
    <w:rsid w:val="008D4838"/>
    <w:rsid w:val="008D485C"/>
    <w:rsid w:val="008D486A"/>
    <w:rsid w:val="008D48AF"/>
    <w:rsid w:val="008D495C"/>
    <w:rsid w:val="008D4A46"/>
    <w:rsid w:val="008D4CD8"/>
    <w:rsid w:val="008D4DEB"/>
    <w:rsid w:val="008D4E28"/>
    <w:rsid w:val="008D4ED8"/>
    <w:rsid w:val="008D4F3A"/>
    <w:rsid w:val="008D4F59"/>
    <w:rsid w:val="008D50DA"/>
    <w:rsid w:val="008D5118"/>
    <w:rsid w:val="008D511C"/>
    <w:rsid w:val="008D52D5"/>
    <w:rsid w:val="008D5353"/>
    <w:rsid w:val="008D53C7"/>
    <w:rsid w:val="008D55F9"/>
    <w:rsid w:val="008D56DC"/>
    <w:rsid w:val="008D574B"/>
    <w:rsid w:val="008D5918"/>
    <w:rsid w:val="008D5B2B"/>
    <w:rsid w:val="008D60A0"/>
    <w:rsid w:val="008D6126"/>
    <w:rsid w:val="008D6340"/>
    <w:rsid w:val="008D6368"/>
    <w:rsid w:val="008D636B"/>
    <w:rsid w:val="008D64FD"/>
    <w:rsid w:val="008D65C3"/>
    <w:rsid w:val="008D65FD"/>
    <w:rsid w:val="008D66B1"/>
    <w:rsid w:val="008D670E"/>
    <w:rsid w:val="008D67B2"/>
    <w:rsid w:val="008D688A"/>
    <w:rsid w:val="008D6904"/>
    <w:rsid w:val="008D6952"/>
    <w:rsid w:val="008D6A7B"/>
    <w:rsid w:val="008D6A9C"/>
    <w:rsid w:val="008D6BBA"/>
    <w:rsid w:val="008D6C33"/>
    <w:rsid w:val="008D6F88"/>
    <w:rsid w:val="008D70AB"/>
    <w:rsid w:val="008D7130"/>
    <w:rsid w:val="008D71B9"/>
    <w:rsid w:val="008D72F5"/>
    <w:rsid w:val="008D7566"/>
    <w:rsid w:val="008D773F"/>
    <w:rsid w:val="008D77E2"/>
    <w:rsid w:val="008D7A02"/>
    <w:rsid w:val="008D7BDE"/>
    <w:rsid w:val="008D7D1A"/>
    <w:rsid w:val="008D7E1A"/>
    <w:rsid w:val="008D7EEC"/>
    <w:rsid w:val="008E015B"/>
    <w:rsid w:val="008E019C"/>
    <w:rsid w:val="008E047C"/>
    <w:rsid w:val="008E07DC"/>
    <w:rsid w:val="008E0850"/>
    <w:rsid w:val="008E0B13"/>
    <w:rsid w:val="008E0B6C"/>
    <w:rsid w:val="008E0B89"/>
    <w:rsid w:val="008E0CB4"/>
    <w:rsid w:val="008E0D2F"/>
    <w:rsid w:val="008E0D56"/>
    <w:rsid w:val="008E0E2F"/>
    <w:rsid w:val="008E0F0B"/>
    <w:rsid w:val="008E1143"/>
    <w:rsid w:val="008E11B4"/>
    <w:rsid w:val="008E1309"/>
    <w:rsid w:val="008E1359"/>
    <w:rsid w:val="008E1406"/>
    <w:rsid w:val="008E143F"/>
    <w:rsid w:val="008E14D9"/>
    <w:rsid w:val="008E1571"/>
    <w:rsid w:val="008E15E1"/>
    <w:rsid w:val="008E17C1"/>
    <w:rsid w:val="008E1889"/>
    <w:rsid w:val="008E18AB"/>
    <w:rsid w:val="008E19A6"/>
    <w:rsid w:val="008E19E8"/>
    <w:rsid w:val="008E1CA7"/>
    <w:rsid w:val="008E1D96"/>
    <w:rsid w:val="008E22EE"/>
    <w:rsid w:val="008E23A7"/>
    <w:rsid w:val="008E2441"/>
    <w:rsid w:val="008E2898"/>
    <w:rsid w:val="008E28D0"/>
    <w:rsid w:val="008E29CA"/>
    <w:rsid w:val="008E29F9"/>
    <w:rsid w:val="008E2A7C"/>
    <w:rsid w:val="008E2A86"/>
    <w:rsid w:val="008E2B2F"/>
    <w:rsid w:val="008E2B89"/>
    <w:rsid w:val="008E2C7C"/>
    <w:rsid w:val="008E2F7B"/>
    <w:rsid w:val="008E31D1"/>
    <w:rsid w:val="008E31D4"/>
    <w:rsid w:val="008E3362"/>
    <w:rsid w:val="008E345D"/>
    <w:rsid w:val="008E348C"/>
    <w:rsid w:val="008E38E8"/>
    <w:rsid w:val="008E3A28"/>
    <w:rsid w:val="008E3B13"/>
    <w:rsid w:val="008E3B7B"/>
    <w:rsid w:val="008E3CD4"/>
    <w:rsid w:val="008E3D3D"/>
    <w:rsid w:val="008E403C"/>
    <w:rsid w:val="008E4103"/>
    <w:rsid w:val="008E417C"/>
    <w:rsid w:val="008E41CD"/>
    <w:rsid w:val="008E4237"/>
    <w:rsid w:val="008E43A3"/>
    <w:rsid w:val="008E4757"/>
    <w:rsid w:val="008E47B0"/>
    <w:rsid w:val="008E48FA"/>
    <w:rsid w:val="008E49CA"/>
    <w:rsid w:val="008E4B90"/>
    <w:rsid w:val="008E4C06"/>
    <w:rsid w:val="008E4D2F"/>
    <w:rsid w:val="008E4D8C"/>
    <w:rsid w:val="008E4DFF"/>
    <w:rsid w:val="008E4E75"/>
    <w:rsid w:val="008E5008"/>
    <w:rsid w:val="008E52D9"/>
    <w:rsid w:val="008E5342"/>
    <w:rsid w:val="008E537C"/>
    <w:rsid w:val="008E53E0"/>
    <w:rsid w:val="008E549E"/>
    <w:rsid w:val="008E54B6"/>
    <w:rsid w:val="008E54D0"/>
    <w:rsid w:val="008E554D"/>
    <w:rsid w:val="008E5841"/>
    <w:rsid w:val="008E5947"/>
    <w:rsid w:val="008E59A9"/>
    <w:rsid w:val="008E5A8A"/>
    <w:rsid w:val="008E5B3E"/>
    <w:rsid w:val="008E5DB3"/>
    <w:rsid w:val="008E5E23"/>
    <w:rsid w:val="008E632B"/>
    <w:rsid w:val="008E6447"/>
    <w:rsid w:val="008E6467"/>
    <w:rsid w:val="008E65C5"/>
    <w:rsid w:val="008E67B6"/>
    <w:rsid w:val="008E67C0"/>
    <w:rsid w:val="008E6895"/>
    <w:rsid w:val="008E69BF"/>
    <w:rsid w:val="008E6A42"/>
    <w:rsid w:val="008E6DF3"/>
    <w:rsid w:val="008E6FD7"/>
    <w:rsid w:val="008E6FE4"/>
    <w:rsid w:val="008E7039"/>
    <w:rsid w:val="008E7188"/>
    <w:rsid w:val="008E7270"/>
    <w:rsid w:val="008E72F8"/>
    <w:rsid w:val="008E7346"/>
    <w:rsid w:val="008E73C9"/>
    <w:rsid w:val="008E771C"/>
    <w:rsid w:val="008E7843"/>
    <w:rsid w:val="008E789C"/>
    <w:rsid w:val="008E79B4"/>
    <w:rsid w:val="008E7A23"/>
    <w:rsid w:val="008E7F9F"/>
    <w:rsid w:val="008E7FC6"/>
    <w:rsid w:val="008F019B"/>
    <w:rsid w:val="008F01C8"/>
    <w:rsid w:val="008F0277"/>
    <w:rsid w:val="008F0329"/>
    <w:rsid w:val="008F0530"/>
    <w:rsid w:val="008F059F"/>
    <w:rsid w:val="008F078E"/>
    <w:rsid w:val="008F07FA"/>
    <w:rsid w:val="008F081F"/>
    <w:rsid w:val="008F08FB"/>
    <w:rsid w:val="008F090A"/>
    <w:rsid w:val="008F09A9"/>
    <w:rsid w:val="008F09F6"/>
    <w:rsid w:val="008F09FE"/>
    <w:rsid w:val="008F0AFE"/>
    <w:rsid w:val="008F0BD2"/>
    <w:rsid w:val="008F0C08"/>
    <w:rsid w:val="008F0D9C"/>
    <w:rsid w:val="008F0DED"/>
    <w:rsid w:val="008F0E0B"/>
    <w:rsid w:val="008F1046"/>
    <w:rsid w:val="008F122E"/>
    <w:rsid w:val="008F123B"/>
    <w:rsid w:val="008F12D3"/>
    <w:rsid w:val="008F1321"/>
    <w:rsid w:val="008F1383"/>
    <w:rsid w:val="008F14A6"/>
    <w:rsid w:val="008F14DA"/>
    <w:rsid w:val="008F15F0"/>
    <w:rsid w:val="008F1613"/>
    <w:rsid w:val="008F17AF"/>
    <w:rsid w:val="008F17BA"/>
    <w:rsid w:val="008F18B3"/>
    <w:rsid w:val="008F1A79"/>
    <w:rsid w:val="008F1AAC"/>
    <w:rsid w:val="008F1B46"/>
    <w:rsid w:val="008F1CCA"/>
    <w:rsid w:val="008F1E40"/>
    <w:rsid w:val="008F1F50"/>
    <w:rsid w:val="008F1FDB"/>
    <w:rsid w:val="008F1FDC"/>
    <w:rsid w:val="008F21C2"/>
    <w:rsid w:val="008F21C7"/>
    <w:rsid w:val="008F21DB"/>
    <w:rsid w:val="008F2293"/>
    <w:rsid w:val="008F26BA"/>
    <w:rsid w:val="008F2803"/>
    <w:rsid w:val="008F2813"/>
    <w:rsid w:val="008F281A"/>
    <w:rsid w:val="008F28F4"/>
    <w:rsid w:val="008F29F9"/>
    <w:rsid w:val="008F2A3F"/>
    <w:rsid w:val="008F2A68"/>
    <w:rsid w:val="008F2B1A"/>
    <w:rsid w:val="008F2DC7"/>
    <w:rsid w:val="008F2E8C"/>
    <w:rsid w:val="008F2FD2"/>
    <w:rsid w:val="008F3139"/>
    <w:rsid w:val="008F3172"/>
    <w:rsid w:val="008F31B6"/>
    <w:rsid w:val="008F31C7"/>
    <w:rsid w:val="008F3219"/>
    <w:rsid w:val="008F3292"/>
    <w:rsid w:val="008F32ED"/>
    <w:rsid w:val="008F332D"/>
    <w:rsid w:val="008F3342"/>
    <w:rsid w:val="008F33C6"/>
    <w:rsid w:val="008F3572"/>
    <w:rsid w:val="008F3596"/>
    <w:rsid w:val="008F35AC"/>
    <w:rsid w:val="008F3617"/>
    <w:rsid w:val="008F36E5"/>
    <w:rsid w:val="008F375C"/>
    <w:rsid w:val="008F381C"/>
    <w:rsid w:val="008F387D"/>
    <w:rsid w:val="008F3986"/>
    <w:rsid w:val="008F3988"/>
    <w:rsid w:val="008F39B0"/>
    <w:rsid w:val="008F39C6"/>
    <w:rsid w:val="008F400E"/>
    <w:rsid w:val="008F4079"/>
    <w:rsid w:val="008F46C4"/>
    <w:rsid w:val="008F4722"/>
    <w:rsid w:val="008F476C"/>
    <w:rsid w:val="008F4A15"/>
    <w:rsid w:val="008F4B2B"/>
    <w:rsid w:val="008F4BA8"/>
    <w:rsid w:val="008F4DA3"/>
    <w:rsid w:val="008F4E3E"/>
    <w:rsid w:val="008F4EB5"/>
    <w:rsid w:val="008F53FC"/>
    <w:rsid w:val="008F5404"/>
    <w:rsid w:val="008F54FC"/>
    <w:rsid w:val="008F5890"/>
    <w:rsid w:val="008F5892"/>
    <w:rsid w:val="008F58C7"/>
    <w:rsid w:val="008F5940"/>
    <w:rsid w:val="008F59DC"/>
    <w:rsid w:val="008F5A44"/>
    <w:rsid w:val="008F5B08"/>
    <w:rsid w:val="008F5B59"/>
    <w:rsid w:val="008F5D08"/>
    <w:rsid w:val="008F5D53"/>
    <w:rsid w:val="008F5F58"/>
    <w:rsid w:val="008F5F82"/>
    <w:rsid w:val="008F5FC9"/>
    <w:rsid w:val="008F6147"/>
    <w:rsid w:val="008F6151"/>
    <w:rsid w:val="008F6332"/>
    <w:rsid w:val="008F63C3"/>
    <w:rsid w:val="008F66D1"/>
    <w:rsid w:val="008F670D"/>
    <w:rsid w:val="008F67EB"/>
    <w:rsid w:val="008F6854"/>
    <w:rsid w:val="008F6976"/>
    <w:rsid w:val="008F6977"/>
    <w:rsid w:val="008F6D36"/>
    <w:rsid w:val="008F6D7B"/>
    <w:rsid w:val="008F6DBA"/>
    <w:rsid w:val="008F6E02"/>
    <w:rsid w:val="008F6E9D"/>
    <w:rsid w:val="008F6F87"/>
    <w:rsid w:val="008F6FA9"/>
    <w:rsid w:val="008F719E"/>
    <w:rsid w:val="008F729D"/>
    <w:rsid w:val="008F7387"/>
    <w:rsid w:val="008F77A5"/>
    <w:rsid w:val="008F78B2"/>
    <w:rsid w:val="008F796A"/>
    <w:rsid w:val="008F7AE8"/>
    <w:rsid w:val="008F7D61"/>
    <w:rsid w:val="009003AA"/>
    <w:rsid w:val="00900437"/>
    <w:rsid w:val="0090054F"/>
    <w:rsid w:val="0090056F"/>
    <w:rsid w:val="00900584"/>
    <w:rsid w:val="009006A6"/>
    <w:rsid w:val="009006A8"/>
    <w:rsid w:val="0090080A"/>
    <w:rsid w:val="0090093F"/>
    <w:rsid w:val="00900953"/>
    <w:rsid w:val="00900AE9"/>
    <w:rsid w:val="00900C12"/>
    <w:rsid w:val="00900C53"/>
    <w:rsid w:val="00900DB5"/>
    <w:rsid w:val="00900E08"/>
    <w:rsid w:val="0090113B"/>
    <w:rsid w:val="00901223"/>
    <w:rsid w:val="00901237"/>
    <w:rsid w:val="0090141A"/>
    <w:rsid w:val="0090153C"/>
    <w:rsid w:val="009016F9"/>
    <w:rsid w:val="009017D5"/>
    <w:rsid w:val="009019A7"/>
    <w:rsid w:val="009019D8"/>
    <w:rsid w:val="00901B36"/>
    <w:rsid w:val="00901B57"/>
    <w:rsid w:val="00901B77"/>
    <w:rsid w:val="00901C3F"/>
    <w:rsid w:val="00901CDB"/>
    <w:rsid w:val="00901DE7"/>
    <w:rsid w:val="00901EDF"/>
    <w:rsid w:val="00901F06"/>
    <w:rsid w:val="00902066"/>
    <w:rsid w:val="009020E8"/>
    <w:rsid w:val="009020F3"/>
    <w:rsid w:val="0090218A"/>
    <w:rsid w:val="009022C6"/>
    <w:rsid w:val="00902308"/>
    <w:rsid w:val="009023FC"/>
    <w:rsid w:val="009024FA"/>
    <w:rsid w:val="00902691"/>
    <w:rsid w:val="0090279F"/>
    <w:rsid w:val="009027CC"/>
    <w:rsid w:val="009027DC"/>
    <w:rsid w:val="009029B1"/>
    <w:rsid w:val="00902A4A"/>
    <w:rsid w:val="00902AB4"/>
    <w:rsid w:val="00902ABA"/>
    <w:rsid w:val="00902B2C"/>
    <w:rsid w:val="00902C64"/>
    <w:rsid w:val="00902D5D"/>
    <w:rsid w:val="00902DA1"/>
    <w:rsid w:val="00902E25"/>
    <w:rsid w:val="00902FDF"/>
    <w:rsid w:val="0090307D"/>
    <w:rsid w:val="009031CA"/>
    <w:rsid w:val="00903266"/>
    <w:rsid w:val="009032FB"/>
    <w:rsid w:val="009033A8"/>
    <w:rsid w:val="00903465"/>
    <w:rsid w:val="009034F3"/>
    <w:rsid w:val="00903715"/>
    <w:rsid w:val="0090377D"/>
    <w:rsid w:val="009037DD"/>
    <w:rsid w:val="009039BF"/>
    <w:rsid w:val="009039E3"/>
    <w:rsid w:val="00903A49"/>
    <w:rsid w:val="00903C37"/>
    <w:rsid w:val="00903C4E"/>
    <w:rsid w:val="00903CAE"/>
    <w:rsid w:val="00903D00"/>
    <w:rsid w:val="00903E0E"/>
    <w:rsid w:val="00903E48"/>
    <w:rsid w:val="00903FF3"/>
    <w:rsid w:val="00903FFB"/>
    <w:rsid w:val="00904105"/>
    <w:rsid w:val="00904177"/>
    <w:rsid w:val="009042D7"/>
    <w:rsid w:val="00904414"/>
    <w:rsid w:val="00904471"/>
    <w:rsid w:val="00904475"/>
    <w:rsid w:val="00904664"/>
    <w:rsid w:val="00904707"/>
    <w:rsid w:val="00904A0D"/>
    <w:rsid w:val="00904A41"/>
    <w:rsid w:val="00904B02"/>
    <w:rsid w:val="00904B30"/>
    <w:rsid w:val="00904B3B"/>
    <w:rsid w:val="00904BBF"/>
    <w:rsid w:val="00904C4B"/>
    <w:rsid w:val="00904C5B"/>
    <w:rsid w:val="00904C8B"/>
    <w:rsid w:val="00904CB1"/>
    <w:rsid w:val="00904CE9"/>
    <w:rsid w:val="00904D51"/>
    <w:rsid w:val="00904E96"/>
    <w:rsid w:val="00904EED"/>
    <w:rsid w:val="00904FCF"/>
    <w:rsid w:val="009050B9"/>
    <w:rsid w:val="009050C9"/>
    <w:rsid w:val="00905141"/>
    <w:rsid w:val="00905461"/>
    <w:rsid w:val="0090564F"/>
    <w:rsid w:val="00905752"/>
    <w:rsid w:val="00905758"/>
    <w:rsid w:val="00905782"/>
    <w:rsid w:val="0090578E"/>
    <w:rsid w:val="009057A3"/>
    <w:rsid w:val="00905922"/>
    <w:rsid w:val="00905ACA"/>
    <w:rsid w:val="00905C6B"/>
    <w:rsid w:val="00905DD1"/>
    <w:rsid w:val="00905E87"/>
    <w:rsid w:val="00905ED8"/>
    <w:rsid w:val="0090600C"/>
    <w:rsid w:val="00906062"/>
    <w:rsid w:val="00906182"/>
    <w:rsid w:val="00906288"/>
    <w:rsid w:val="00906367"/>
    <w:rsid w:val="0090646F"/>
    <w:rsid w:val="00906638"/>
    <w:rsid w:val="0090680B"/>
    <w:rsid w:val="0090686B"/>
    <w:rsid w:val="00906B20"/>
    <w:rsid w:val="00906B9E"/>
    <w:rsid w:val="00906C81"/>
    <w:rsid w:val="00906DA0"/>
    <w:rsid w:val="00906E14"/>
    <w:rsid w:val="00906FA0"/>
    <w:rsid w:val="009070A2"/>
    <w:rsid w:val="009070C8"/>
    <w:rsid w:val="00907150"/>
    <w:rsid w:val="00907170"/>
    <w:rsid w:val="00907323"/>
    <w:rsid w:val="00907388"/>
    <w:rsid w:val="00907699"/>
    <w:rsid w:val="009076FD"/>
    <w:rsid w:val="009078EC"/>
    <w:rsid w:val="00907941"/>
    <w:rsid w:val="00907A73"/>
    <w:rsid w:val="00907AD7"/>
    <w:rsid w:val="00907C0D"/>
    <w:rsid w:val="00907C1E"/>
    <w:rsid w:val="00907C95"/>
    <w:rsid w:val="00907D5A"/>
    <w:rsid w:val="00907EAC"/>
    <w:rsid w:val="00907F1B"/>
    <w:rsid w:val="0091011E"/>
    <w:rsid w:val="0091019F"/>
    <w:rsid w:val="009103F3"/>
    <w:rsid w:val="00910607"/>
    <w:rsid w:val="00910610"/>
    <w:rsid w:val="0091089D"/>
    <w:rsid w:val="009108B3"/>
    <w:rsid w:val="00910912"/>
    <w:rsid w:val="00910A41"/>
    <w:rsid w:val="00910CF6"/>
    <w:rsid w:val="00910E25"/>
    <w:rsid w:val="00910E81"/>
    <w:rsid w:val="0091108F"/>
    <w:rsid w:val="0091113E"/>
    <w:rsid w:val="00911184"/>
    <w:rsid w:val="00911193"/>
    <w:rsid w:val="00911196"/>
    <w:rsid w:val="00911385"/>
    <w:rsid w:val="00911750"/>
    <w:rsid w:val="00911857"/>
    <w:rsid w:val="00911D03"/>
    <w:rsid w:val="00911D32"/>
    <w:rsid w:val="00911DD4"/>
    <w:rsid w:val="00911E4A"/>
    <w:rsid w:val="00911EAA"/>
    <w:rsid w:val="00912077"/>
    <w:rsid w:val="00912229"/>
    <w:rsid w:val="009122B1"/>
    <w:rsid w:val="00912378"/>
    <w:rsid w:val="00912385"/>
    <w:rsid w:val="0091250B"/>
    <w:rsid w:val="00912578"/>
    <w:rsid w:val="009126F4"/>
    <w:rsid w:val="00912775"/>
    <w:rsid w:val="009127E5"/>
    <w:rsid w:val="009128E8"/>
    <w:rsid w:val="0091294A"/>
    <w:rsid w:val="00912BBC"/>
    <w:rsid w:val="00912C47"/>
    <w:rsid w:val="00912CAB"/>
    <w:rsid w:val="00912CE0"/>
    <w:rsid w:val="00912D01"/>
    <w:rsid w:val="00912E4E"/>
    <w:rsid w:val="00913051"/>
    <w:rsid w:val="00913112"/>
    <w:rsid w:val="00913174"/>
    <w:rsid w:val="0091320D"/>
    <w:rsid w:val="009132BF"/>
    <w:rsid w:val="0091372E"/>
    <w:rsid w:val="00913A85"/>
    <w:rsid w:val="00913B2B"/>
    <w:rsid w:val="00913C31"/>
    <w:rsid w:val="00913C76"/>
    <w:rsid w:val="00913CB7"/>
    <w:rsid w:val="00913ED0"/>
    <w:rsid w:val="00913F63"/>
    <w:rsid w:val="00913FFB"/>
    <w:rsid w:val="00914149"/>
    <w:rsid w:val="009141BF"/>
    <w:rsid w:val="009141FC"/>
    <w:rsid w:val="0091424D"/>
    <w:rsid w:val="009142ED"/>
    <w:rsid w:val="009144EB"/>
    <w:rsid w:val="009144EF"/>
    <w:rsid w:val="00914602"/>
    <w:rsid w:val="009146EA"/>
    <w:rsid w:val="00914735"/>
    <w:rsid w:val="00914738"/>
    <w:rsid w:val="009147A0"/>
    <w:rsid w:val="00914930"/>
    <w:rsid w:val="00914B93"/>
    <w:rsid w:val="00914C0D"/>
    <w:rsid w:val="00914D04"/>
    <w:rsid w:val="00914D9A"/>
    <w:rsid w:val="00914E35"/>
    <w:rsid w:val="0091503C"/>
    <w:rsid w:val="009153D3"/>
    <w:rsid w:val="0091540D"/>
    <w:rsid w:val="00915443"/>
    <w:rsid w:val="00915707"/>
    <w:rsid w:val="0091578E"/>
    <w:rsid w:val="00915ABD"/>
    <w:rsid w:val="00915B1A"/>
    <w:rsid w:val="00915BDA"/>
    <w:rsid w:val="00915D0E"/>
    <w:rsid w:val="009160F3"/>
    <w:rsid w:val="009161F2"/>
    <w:rsid w:val="00916264"/>
    <w:rsid w:val="009163CD"/>
    <w:rsid w:val="009163D2"/>
    <w:rsid w:val="009166B1"/>
    <w:rsid w:val="00916B4D"/>
    <w:rsid w:val="00916C5D"/>
    <w:rsid w:val="00916F51"/>
    <w:rsid w:val="0091703C"/>
    <w:rsid w:val="00917053"/>
    <w:rsid w:val="00917244"/>
    <w:rsid w:val="009172EB"/>
    <w:rsid w:val="0091746C"/>
    <w:rsid w:val="009174C6"/>
    <w:rsid w:val="009175A8"/>
    <w:rsid w:val="00917809"/>
    <w:rsid w:val="00917898"/>
    <w:rsid w:val="009178EB"/>
    <w:rsid w:val="00917AE0"/>
    <w:rsid w:val="00917B32"/>
    <w:rsid w:val="009202A9"/>
    <w:rsid w:val="009202E3"/>
    <w:rsid w:val="009202F3"/>
    <w:rsid w:val="009203AC"/>
    <w:rsid w:val="0092042D"/>
    <w:rsid w:val="00920926"/>
    <w:rsid w:val="00920962"/>
    <w:rsid w:val="00920A27"/>
    <w:rsid w:val="00920A40"/>
    <w:rsid w:val="00920B21"/>
    <w:rsid w:val="00920B35"/>
    <w:rsid w:val="00920CBE"/>
    <w:rsid w:val="00920CCB"/>
    <w:rsid w:val="00920D27"/>
    <w:rsid w:val="0092105F"/>
    <w:rsid w:val="00921070"/>
    <w:rsid w:val="0092118A"/>
    <w:rsid w:val="00921705"/>
    <w:rsid w:val="00921A4B"/>
    <w:rsid w:val="00921BCD"/>
    <w:rsid w:val="00921C2D"/>
    <w:rsid w:val="00921CE8"/>
    <w:rsid w:val="00921EA0"/>
    <w:rsid w:val="00921EEF"/>
    <w:rsid w:val="00921F11"/>
    <w:rsid w:val="00921F24"/>
    <w:rsid w:val="00922013"/>
    <w:rsid w:val="00922084"/>
    <w:rsid w:val="00922094"/>
    <w:rsid w:val="0092265D"/>
    <w:rsid w:val="0092269D"/>
    <w:rsid w:val="00922791"/>
    <w:rsid w:val="009227E8"/>
    <w:rsid w:val="009228F5"/>
    <w:rsid w:val="00922B38"/>
    <w:rsid w:val="00922D42"/>
    <w:rsid w:val="00922D69"/>
    <w:rsid w:val="00922D99"/>
    <w:rsid w:val="00922E51"/>
    <w:rsid w:val="009231A8"/>
    <w:rsid w:val="00923284"/>
    <w:rsid w:val="00923856"/>
    <w:rsid w:val="0092386D"/>
    <w:rsid w:val="00923913"/>
    <w:rsid w:val="00923C3F"/>
    <w:rsid w:val="00923CC5"/>
    <w:rsid w:val="00923E27"/>
    <w:rsid w:val="00923E4F"/>
    <w:rsid w:val="00923F96"/>
    <w:rsid w:val="00923F9E"/>
    <w:rsid w:val="00924010"/>
    <w:rsid w:val="00924216"/>
    <w:rsid w:val="009244B7"/>
    <w:rsid w:val="009244B9"/>
    <w:rsid w:val="0092456F"/>
    <w:rsid w:val="009245DE"/>
    <w:rsid w:val="009245EF"/>
    <w:rsid w:val="0092465D"/>
    <w:rsid w:val="00924716"/>
    <w:rsid w:val="0092472E"/>
    <w:rsid w:val="00924746"/>
    <w:rsid w:val="00924937"/>
    <w:rsid w:val="0092493E"/>
    <w:rsid w:val="00924D03"/>
    <w:rsid w:val="00924D12"/>
    <w:rsid w:val="00924DCE"/>
    <w:rsid w:val="00924DEB"/>
    <w:rsid w:val="00924F13"/>
    <w:rsid w:val="00924F79"/>
    <w:rsid w:val="00925107"/>
    <w:rsid w:val="0092562F"/>
    <w:rsid w:val="009258BD"/>
    <w:rsid w:val="00925974"/>
    <w:rsid w:val="009259BA"/>
    <w:rsid w:val="00925B3A"/>
    <w:rsid w:val="00925B5D"/>
    <w:rsid w:val="00925B82"/>
    <w:rsid w:val="00925EA0"/>
    <w:rsid w:val="00925EAD"/>
    <w:rsid w:val="00926383"/>
    <w:rsid w:val="0092658B"/>
    <w:rsid w:val="00926613"/>
    <w:rsid w:val="0092670D"/>
    <w:rsid w:val="0092670F"/>
    <w:rsid w:val="0092678F"/>
    <w:rsid w:val="009267C9"/>
    <w:rsid w:val="009269DB"/>
    <w:rsid w:val="009269E4"/>
    <w:rsid w:val="00926AD2"/>
    <w:rsid w:val="00926C69"/>
    <w:rsid w:val="00926C89"/>
    <w:rsid w:val="00926D5B"/>
    <w:rsid w:val="00926D93"/>
    <w:rsid w:val="00926E1D"/>
    <w:rsid w:val="00926F5F"/>
    <w:rsid w:val="0092701D"/>
    <w:rsid w:val="009271EB"/>
    <w:rsid w:val="0092726B"/>
    <w:rsid w:val="0092726F"/>
    <w:rsid w:val="009272EF"/>
    <w:rsid w:val="009273AB"/>
    <w:rsid w:val="009273BE"/>
    <w:rsid w:val="0092750B"/>
    <w:rsid w:val="009275CD"/>
    <w:rsid w:val="00927709"/>
    <w:rsid w:val="0092774D"/>
    <w:rsid w:val="00927794"/>
    <w:rsid w:val="00927927"/>
    <w:rsid w:val="00927CC3"/>
    <w:rsid w:val="00927DEA"/>
    <w:rsid w:val="00927E37"/>
    <w:rsid w:val="00927EC9"/>
    <w:rsid w:val="00927F8D"/>
    <w:rsid w:val="00930105"/>
    <w:rsid w:val="00930127"/>
    <w:rsid w:val="00930199"/>
    <w:rsid w:val="00930351"/>
    <w:rsid w:val="0093056D"/>
    <w:rsid w:val="00930598"/>
    <w:rsid w:val="00930633"/>
    <w:rsid w:val="00930735"/>
    <w:rsid w:val="009308AC"/>
    <w:rsid w:val="009308F0"/>
    <w:rsid w:val="00930977"/>
    <w:rsid w:val="0093097F"/>
    <w:rsid w:val="009309A2"/>
    <w:rsid w:val="00930D19"/>
    <w:rsid w:val="00930D47"/>
    <w:rsid w:val="00930E8A"/>
    <w:rsid w:val="00930EA1"/>
    <w:rsid w:val="00930EC4"/>
    <w:rsid w:val="00930F1E"/>
    <w:rsid w:val="0093121A"/>
    <w:rsid w:val="00931462"/>
    <w:rsid w:val="0093146E"/>
    <w:rsid w:val="009314D3"/>
    <w:rsid w:val="0093155F"/>
    <w:rsid w:val="00931628"/>
    <w:rsid w:val="009317BC"/>
    <w:rsid w:val="00931975"/>
    <w:rsid w:val="00931AC5"/>
    <w:rsid w:val="00931AE1"/>
    <w:rsid w:val="00931BB6"/>
    <w:rsid w:val="0093229A"/>
    <w:rsid w:val="009322AB"/>
    <w:rsid w:val="00932333"/>
    <w:rsid w:val="0093251D"/>
    <w:rsid w:val="009325A4"/>
    <w:rsid w:val="00932616"/>
    <w:rsid w:val="009326BC"/>
    <w:rsid w:val="0093288A"/>
    <w:rsid w:val="009328A2"/>
    <w:rsid w:val="00932AED"/>
    <w:rsid w:val="00932B34"/>
    <w:rsid w:val="00932C7B"/>
    <w:rsid w:val="00932E00"/>
    <w:rsid w:val="00932E9E"/>
    <w:rsid w:val="00932F58"/>
    <w:rsid w:val="00932F64"/>
    <w:rsid w:val="00932FCF"/>
    <w:rsid w:val="009331EF"/>
    <w:rsid w:val="009332A2"/>
    <w:rsid w:val="00933344"/>
    <w:rsid w:val="00933587"/>
    <w:rsid w:val="0093358C"/>
    <w:rsid w:val="00933683"/>
    <w:rsid w:val="009336A1"/>
    <w:rsid w:val="00933899"/>
    <w:rsid w:val="009338AD"/>
    <w:rsid w:val="00933935"/>
    <w:rsid w:val="0093395C"/>
    <w:rsid w:val="00933B3F"/>
    <w:rsid w:val="00933D50"/>
    <w:rsid w:val="00933D5E"/>
    <w:rsid w:val="00933DB2"/>
    <w:rsid w:val="00933E50"/>
    <w:rsid w:val="00933EF9"/>
    <w:rsid w:val="00933F21"/>
    <w:rsid w:val="00933F31"/>
    <w:rsid w:val="00933F9B"/>
    <w:rsid w:val="00934051"/>
    <w:rsid w:val="0093423B"/>
    <w:rsid w:val="009342FD"/>
    <w:rsid w:val="00934450"/>
    <w:rsid w:val="009344E4"/>
    <w:rsid w:val="009348F5"/>
    <w:rsid w:val="00934BED"/>
    <w:rsid w:val="00934D44"/>
    <w:rsid w:val="00934D96"/>
    <w:rsid w:val="00934DAB"/>
    <w:rsid w:val="00934E8E"/>
    <w:rsid w:val="00934F19"/>
    <w:rsid w:val="00935247"/>
    <w:rsid w:val="0093556C"/>
    <w:rsid w:val="00935616"/>
    <w:rsid w:val="009357ED"/>
    <w:rsid w:val="009358E6"/>
    <w:rsid w:val="009358F7"/>
    <w:rsid w:val="00935BC6"/>
    <w:rsid w:val="00935CA5"/>
    <w:rsid w:val="00935D7F"/>
    <w:rsid w:val="00935F44"/>
    <w:rsid w:val="00936052"/>
    <w:rsid w:val="00936091"/>
    <w:rsid w:val="009360CC"/>
    <w:rsid w:val="009361EE"/>
    <w:rsid w:val="00936404"/>
    <w:rsid w:val="0093649B"/>
    <w:rsid w:val="00936559"/>
    <w:rsid w:val="00936796"/>
    <w:rsid w:val="00936A3E"/>
    <w:rsid w:val="00936ADA"/>
    <w:rsid w:val="00936B9E"/>
    <w:rsid w:val="00936C94"/>
    <w:rsid w:val="00936D4F"/>
    <w:rsid w:val="00936D7A"/>
    <w:rsid w:val="0093708F"/>
    <w:rsid w:val="00937323"/>
    <w:rsid w:val="00937346"/>
    <w:rsid w:val="009373E4"/>
    <w:rsid w:val="00937528"/>
    <w:rsid w:val="00937610"/>
    <w:rsid w:val="009378A1"/>
    <w:rsid w:val="009379B9"/>
    <w:rsid w:val="00937A86"/>
    <w:rsid w:val="00937B47"/>
    <w:rsid w:val="00937C01"/>
    <w:rsid w:val="00937C41"/>
    <w:rsid w:val="00937CD8"/>
    <w:rsid w:val="00937DA4"/>
    <w:rsid w:val="00937DE1"/>
    <w:rsid w:val="00937DFB"/>
    <w:rsid w:val="00937F5B"/>
    <w:rsid w:val="00937F7F"/>
    <w:rsid w:val="00940007"/>
    <w:rsid w:val="0094032D"/>
    <w:rsid w:val="00940497"/>
    <w:rsid w:val="00940703"/>
    <w:rsid w:val="0094078D"/>
    <w:rsid w:val="009407CE"/>
    <w:rsid w:val="00940876"/>
    <w:rsid w:val="00940898"/>
    <w:rsid w:val="0094095F"/>
    <w:rsid w:val="00940C10"/>
    <w:rsid w:val="00940C2D"/>
    <w:rsid w:val="00940C5D"/>
    <w:rsid w:val="00940E2D"/>
    <w:rsid w:val="00940EC7"/>
    <w:rsid w:val="00940EF3"/>
    <w:rsid w:val="00940FA2"/>
    <w:rsid w:val="009410B4"/>
    <w:rsid w:val="009411E0"/>
    <w:rsid w:val="0094121B"/>
    <w:rsid w:val="009412CD"/>
    <w:rsid w:val="00941492"/>
    <w:rsid w:val="009414B5"/>
    <w:rsid w:val="009415D6"/>
    <w:rsid w:val="00941AFD"/>
    <w:rsid w:val="00941B7A"/>
    <w:rsid w:val="00941C8B"/>
    <w:rsid w:val="00941D3F"/>
    <w:rsid w:val="00941D69"/>
    <w:rsid w:val="00941EBA"/>
    <w:rsid w:val="00941F84"/>
    <w:rsid w:val="0094240C"/>
    <w:rsid w:val="0094249E"/>
    <w:rsid w:val="009424F4"/>
    <w:rsid w:val="00942769"/>
    <w:rsid w:val="00942A2B"/>
    <w:rsid w:val="00942A6A"/>
    <w:rsid w:val="00942A6C"/>
    <w:rsid w:val="00942BD5"/>
    <w:rsid w:val="00942C82"/>
    <w:rsid w:val="00942D43"/>
    <w:rsid w:val="00942D70"/>
    <w:rsid w:val="00942E96"/>
    <w:rsid w:val="0094306A"/>
    <w:rsid w:val="00943232"/>
    <w:rsid w:val="009432DE"/>
    <w:rsid w:val="00943407"/>
    <w:rsid w:val="0094340C"/>
    <w:rsid w:val="00943622"/>
    <w:rsid w:val="00943629"/>
    <w:rsid w:val="00943672"/>
    <w:rsid w:val="009436B8"/>
    <w:rsid w:val="00943730"/>
    <w:rsid w:val="00943741"/>
    <w:rsid w:val="00943755"/>
    <w:rsid w:val="00943878"/>
    <w:rsid w:val="009438CD"/>
    <w:rsid w:val="00943920"/>
    <w:rsid w:val="009439B5"/>
    <w:rsid w:val="00943A6A"/>
    <w:rsid w:val="00943B49"/>
    <w:rsid w:val="00943F04"/>
    <w:rsid w:val="00943F05"/>
    <w:rsid w:val="009440E4"/>
    <w:rsid w:val="00944188"/>
    <w:rsid w:val="00944278"/>
    <w:rsid w:val="009442E3"/>
    <w:rsid w:val="009444C8"/>
    <w:rsid w:val="00944505"/>
    <w:rsid w:val="00944597"/>
    <w:rsid w:val="0094460A"/>
    <w:rsid w:val="00944700"/>
    <w:rsid w:val="00944809"/>
    <w:rsid w:val="00944936"/>
    <w:rsid w:val="00944AA7"/>
    <w:rsid w:val="00944AF5"/>
    <w:rsid w:val="00944BCC"/>
    <w:rsid w:val="00944DBE"/>
    <w:rsid w:val="00944E07"/>
    <w:rsid w:val="009450E2"/>
    <w:rsid w:val="009450E5"/>
    <w:rsid w:val="00945103"/>
    <w:rsid w:val="00945191"/>
    <w:rsid w:val="009454D4"/>
    <w:rsid w:val="009455B2"/>
    <w:rsid w:val="0094562D"/>
    <w:rsid w:val="00945693"/>
    <w:rsid w:val="0094590B"/>
    <w:rsid w:val="00945921"/>
    <w:rsid w:val="0094597E"/>
    <w:rsid w:val="00945A34"/>
    <w:rsid w:val="00945B4C"/>
    <w:rsid w:val="00945B54"/>
    <w:rsid w:val="00945C01"/>
    <w:rsid w:val="00945D37"/>
    <w:rsid w:val="00946022"/>
    <w:rsid w:val="0094616A"/>
    <w:rsid w:val="00946405"/>
    <w:rsid w:val="009467B1"/>
    <w:rsid w:val="00946AAA"/>
    <w:rsid w:val="00946AD7"/>
    <w:rsid w:val="00946B74"/>
    <w:rsid w:val="00946BE8"/>
    <w:rsid w:val="00946C97"/>
    <w:rsid w:val="00946CBD"/>
    <w:rsid w:val="00946CC3"/>
    <w:rsid w:val="00946D0E"/>
    <w:rsid w:val="00946D35"/>
    <w:rsid w:val="00946D6B"/>
    <w:rsid w:val="00946DC7"/>
    <w:rsid w:val="00946DEE"/>
    <w:rsid w:val="00947090"/>
    <w:rsid w:val="00947164"/>
    <w:rsid w:val="009471BA"/>
    <w:rsid w:val="009471CC"/>
    <w:rsid w:val="00947237"/>
    <w:rsid w:val="00947542"/>
    <w:rsid w:val="009475D5"/>
    <w:rsid w:val="0094778D"/>
    <w:rsid w:val="00947963"/>
    <w:rsid w:val="0094797E"/>
    <w:rsid w:val="00947A30"/>
    <w:rsid w:val="00947AC3"/>
    <w:rsid w:val="00947C30"/>
    <w:rsid w:val="00947C94"/>
    <w:rsid w:val="00947CC3"/>
    <w:rsid w:val="00947D7A"/>
    <w:rsid w:val="00947F44"/>
    <w:rsid w:val="00947F91"/>
    <w:rsid w:val="00947FA4"/>
    <w:rsid w:val="00950270"/>
    <w:rsid w:val="0095045E"/>
    <w:rsid w:val="00950464"/>
    <w:rsid w:val="00950571"/>
    <w:rsid w:val="00950662"/>
    <w:rsid w:val="00950B98"/>
    <w:rsid w:val="00950EF7"/>
    <w:rsid w:val="0095124E"/>
    <w:rsid w:val="009512C1"/>
    <w:rsid w:val="009512DD"/>
    <w:rsid w:val="00951308"/>
    <w:rsid w:val="00951404"/>
    <w:rsid w:val="00951440"/>
    <w:rsid w:val="0095144E"/>
    <w:rsid w:val="009514B0"/>
    <w:rsid w:val="009514B4"/>
    <w:rsid w:val="009515DE"/>
    <w:rsid w:val="009515F4"/>
    <w:rsid w:val="00951638"/>
    <w:rsid w:val="009516E7"/>
    <w:rsid w:val="00951767"/>
    <w:rsid w:val="00951880"/>
    <w:rsid w:val="00951998"/>
    <w:rsid w:val="00951AA7"/>
    <w:rsid w:val="00952071"/>
    <w:rsid w:val="0095207E"/>
    <w:rsid w:val="009521D3"/>
    <w:rsid w:val="00952598"/>
    <w:rsid w:val="00952790"/>
    <w:rsid w:val="0095294A"/>
    <w:rsid w:val="00952A58"/>
    <w:rsid w:val="00952B57"/>
    <w:rsid w:val="00952B7C"/>
    <w:rsid w:val="00952C8B"/>
    <w:rsid w:val="00952D25"/>
    <w:rsid w:val="00952D7C"/>
    <w:rsid w:val="00952DB6"/>
    <w:rsid w:val="00952DC8"/>
    <w:rsid w:val="00952F38"/>
    <w:rsid w:val="0095305C"/>
    <w:rsid w:val="009530DE"/>
    <w:rsid w:val="00953114"/>
    <w:rsid w:val="0095328A"/>
    <w:rsid w:val="009532E6"/>
    <w:rsid w:val="009534FA"/>
    <w:rsid w:val="0095371F"/>
    <w:rsid w:val="00953861"/>
    <w:rsid w:val="009538CB"/>
    <w:rsid w:val="009539A1"/>
    <w:rsid w:val="00953A4A"/>
    <w:rsid w:val="00953AB1"/>
    <w:rsid w:val="00953AC0"/>
    <w:rsid w:val="00953CB6"/>
    <w:rsid w:val="00953CC0"/>
    <w:rsid w:val="00953D04"/>
    <w:rsid w:val="00953F21"/>
    <w:rsid w:val="00953F52"/>
    <w:rsid w:val="00953F65"/>
    <w:rsid w:val="00953F7A"/>
    <w:rsid w:val="009540B2"/>
    <w:rsid w:val="009540D9"/>
    <w:rsid w:val="00954271"/>
    <w:rsid w:val="009542B8"/>
    <w:rsid w:val="009545ED"/>
    <w:rsid w:val="00954624"/>
    <w:rsid w:val="009546C9"/>
    <w:rsid w:val="009546F6"/>
    <w:rsid w:val="009547B2"/>
    <w:rsid w:val="0095480E"/>
    <w:rsid w:val="00954849"/>
    <w:rsid w:val="00954A04"/>
    <w:rsid w:val="00954A81"/>
    <w:rsid w:val="00954B17"/>
    <w:rsid w:val="00954B55"/>
    <w:rsid w:val="00954D94"/>
    <w:rsid w:val="00954E2D"/>
    <w:rsid w:val="00954EB9"/>
    <w:rsid w:val="009550A1"/>
    <w:rsid w:val="0095519C"/>
    <w:rsid w:val="009551F9"/>
    <w:rsid w:val="0095539E"/>
    <w:rsid w:val="009553E7"/>
    <w:rsid w:val="00955511"/>
    <w:rsid w:val="009555FD"/>
    <w:rsid w:val="00955622"/>
    <w:rsid w:val="009556AB"/>
    <w:rsid w:val="009556C3"/>
    <w:rsid w:val="0095576C"/>
    <w:rsid w:val="0095589E"/>
    <w:rsid w:val="009559F8"/>
    <w:rsid w:val="00955C37"/>
    <w:rsid w:val="00955CF9"/>
    <w:rsid w:val="00955DDF"/>
    <w:rsid w:val="0095604F"/>
    <w:rsid w:val="0095607A"/>
    <w:rsid w:val="00956159"/>
    <w:rsid w:val="0095626F"/>
    <w:rsid w:val="009562B2"/>
    <w:rsid w:val="00956588"/>
    <w:rsid w:val="00956746"/>
    <w:rsid w:val="009567AB"/>
    <w:rsid w:val="00956802"/>
    <w:rsid w:val="00956896"/>
    <w:rsid w:val="009569C9"/>
    <w:rsid w:val="00956BA1"/>
    <w:rsid w:val="00956BAE"/>
    <w:rsid w:val="00956D8A"/>
    <w:rsid w:val="00956FE1"/>
    <w:rsid w:val="009571DE"/>
    <w:rsid w:val="0095726C"/>
    <w:rsid w:val="0095748C"/>
    <w:rsid w:val="00957509"/>
    <w:rsid w:val="00957636"/>
    <w:rsid w:val="0095770A"/>
    <w:rsid w:val="00957974"/>
    <w:rsid w:val="00957C24"/>
    <w:rsid w:val="00957C3C"/>
    <w:rsid w:val="00957C5A"/>
    <w:rsid w:val="00957CC1"/>
    <w:rsid w:val="00957EBF"/>
    <w:rsid w:val="00957F39"/>
    <w:rsid w:val="00957F6D"/>
    <w:rsid w:val="0096005B"/>
    <w:rsid w:val="009600F9"/>
    <w:rsid w:val="00960202"/>
    <w:rsid w:val="009602AC"/>
    <w:rsid w:val="00960837"/>
    <w:rsid w:val="00960874"/>
    <w:rsid w:val="00960A16"/>
    <w:rsid w:val="00960D04"/>
    <w:rsid w:val="00960E1A"/>
    <w:rsid w:val="00960E84"/>
    <w:rsid w:val="00960F75"/>
    <w:rsid w:val="00961099"/>
    <w:rsid w:val="009610C0"/>
    <w:rsid w:val="0096117E"/>
    <w:rsid w:val="009611BB"/>
    <w:rsid w:val="00961214"/>
    <w:rsid w:val="00961356"/>
    <w:rsid w:val="00961472"/>
    <w:rsid w:val="009616A8"/>
    <w:rsid w:val="009616E7"/>
    <w:rsid w:val="009617EC"/>
    <w:rsid w:val="00961921"/>
    <w:rsid w:val="00961B4C"/>
    <w:rsid w:val="00961BBF"/>
    <w:rsid w:val="00961DED"/>
    <w:rsid w:val="00961E40"/>
    <w:rsid w:val="00961F92"/>
    <w:rsid w:val="0096206B"/>
    <w:rsid w:val="00962197"/>
    <w:rsid w:val="00962777"/>
    <w:rsid w:val="009627CE"/>
    <w:rsid w:val="00962860"/>
    <w:rsid w:val="00962861"/>
    <w:rsid w:val="0096286D"/>
    <w:rsid w:val="0096299A"/>
    <w:rsid w:val="00962C9F"/>
    <w:rsid w:val="00962CA8"/>
    <w:rsid w:val="00962CAA"/>
    <w:rsid w:val="00962CB2"/>
    <w:rsid w:val="00962CD6"/>
    <w:rsid w:val="00962E9E"/>
    <w:rsid w:val="00962F54"/>
    <w:rsid w:val="0096308B"/>
    <w:rsid w:val="00963095"/>
    <w:rsid w:val="0096333A"/>
    <w:rsid w:val="009635AA"/>
    <w:rsid w:val="00963653"/>
    <w:rsid w:val="00963832"/>
    <w:rsid w:val="009639A0"/>
    <w:rsid w:val="00963A3B"/>
    <w:rsid w:val="00963DA9"/>
    <w:rsid w:val="00963ED5"/>
    <w:rsid w:val="00963F06"/>
    <w:rsid w:val="00963F4A"/>
    <w:rsid w:val="00963F63"/>
    <w:rsid w:val="009641F2"/>
    <w:rsid w:val="00964525"/>
    <w:rsid w:val="0096454C"/>
    <w:rsid w:val="0096455D"/>
    <w:rsid w:val="0096466C"/>
    <w:rsid w:val="009648CC"/>
    <w:rsid w:val="00964903"/>
    <w:rsid w:val="00964B03"/>
    <w:rsid w:val="00964B7E"/>
    <w:rsid w:val="00964BB3"/>
    <w:rsid w:val="00964C1D"/>
    <w:rsid w:val="00964CA1"/>
    <w:rsid w:val="00964F55"/>
    <w:rsid w:val="00965376"/>
    <w:rsid w:val="00965399"/>
    <w:rsid w:val="009653B1"/>
    <w:rsid w:val="00965475"/>
    <w:rsid w:val="00965488"/>
    <w:rsid w:val="00965489"/>
    <w:rsid w:val="009654DA"/>
    <w:rsid w:val="009655DD"/>
    <w:rsid w:val="00965732"/>
    <w:rsid w:val="0096577B"/>
    <w:rsid w:val="00965A02"/>
    <w:rsid w:val="00965CBF"/>
    <w:rsid w:val="00965D7B"/>
    <w:rsid w:val="00965E11"/>
    <w:rsid w:val="00965E9A"/>
    <w:rsid w:val="00965EE9"/>
    <w:rsid w:val="00965F9F"/>
    <w:rsid w:val="00966271"/>
    <w:rsid w:val="00966465"/>
    <w:rsid w:val="009664B1"/>
    <w:rsid w:val="009669CC"/>
    <w:rsid w:val="00966DD1"/>
    <w:rsid w:val="00966E76"/>
    <w:rsid w:val="00966F79"/>
    <w:rsid w:val="00966F81"/>
    <w:rsid w:val="00966FAB"/>
    <w:rsid w:val="00967156"/>
    <w:rsid w:val="00967313"/>
    <w:rsid w:val="009677A1"/>
    <w:rsid w:val="00967825"/>
    <w:rsid w:val="00967AB2"/>
    <w:rsid w:val="00967FFB"/>
    <w:rsid w:val="0097001C"/>
    <w:rsid w:val="009700DC"/>
    <w:rsid w:val="009702C0"/>
    <w:rsid w:val="0097035E"/>
    <w:rsid w:val="0097039E"/>
    <w:rsid w:val="00970648"/>
    <w:rsid w:val="00970704"/>
    <w:rsid w:val="009709DA"/>
    <w:rsid w:val="00970B45"/>
    <w:rsid w:val="00970C77"/>
    <w:rsid w:val="00971219"/>
    <w:rsid w:val="00971320"/>
    <w:rsid w:val="009713AC"/>
    <w:rsid w:val="009715E9"/>
    <w:rsid w:val="009716F2"/>
    <w:rsid w:val="00971946"/>
    <w:rsid w:val="00971BB3"/>
    <w:rsid w:val="00971BDB"/>
    <w:rsid w:val="00971E86"/>
    <w:rsid w:val="00971F8E"/>
    <w:rsid w:val="0097216F"/>
    <w:rsid w:val="009721F0"/>
    <w:rsid w:val="009723A3"/>
    <w:rsid w:val="00972425"/>
    <w:rsid w:val="0097270C"/>
    <w:rsid w:val="009728DE"/>
    <w:rsid w:val="009729A8"/>
    <w:rsid w:val="00972BB1"/>
    <w:rsid w:val="00972D03"/>
    <w:rsid w:val="00972D28"/>
    <w:rsid w:val="009730ED"/>
    <w:rsid w:val="0097314A"/>
    <w:rsid w:val="0097319A"/>
    <w:rsid w:val="009731A5"/>
    <w:rsid w:val="009731EC"/>
    <w:rsid w:val="0097342F"/>
    <w:rsid w:val="0097372C"/>
    <w:rsid w:val="009737F2"/>
    <w:rsid w:val="00973904"/>
    <w:rsid w:val="009739FB"/>
    <w:rsid w:val="00973A52"/>
    <w:rsid w:val="00973AFD"/>
    <w:rsid w:val="00973B35"/>
    <w:rsid w:val="00973B43"/>
    <w:rsid w:val="00973BEB"/>
    <w:rsid w:val="00973D7F"/>
    <w:rsid w:val="00974000"/>
    <w:rsid w:val="0097401C"/>
    <w:rsid w:val="0097408B"/>
    <w:rsid w:val="009741DD"/>
    <w:rsid w:val="009741E3"/>
    <w:rsid w:val="009742A9"/>
    <w:rsid w:val="009743AE"/>
    <w:rsid w:val="009743E4"/>
    <w:rsid w:val="009744B7"/>
    <w:rsid w:val="0097456C"/>
    <w:rsid w:val="00974596"/>
    <w:rsid w:val="0097461C"/>
    <w:rsid w:val="00974769"/>
    <w:rsid w:val="009747AC"/>
    <w:rsid w:val="00974C72"/>
    <w:rsid w:val="00974DFA"/>
    <w:rsid w:val="00974FD9"/>
    <w:rsid w:val="00975198"/>
    <w:rsid w:val="00975469"/>
    <w:rsid w:val="0097558F"/>
    <w:rsid w:val="00975634"/>
    <w:rsid w:val="0097582F"/>
    <w:rsid w:val="00975844"/>
    <w:rsid w:val="009758B0"/>
    <w:rsid w:val="009759C9"/>
    <w:rsid w:val="00975A2E"/>
    <w:rsid w:val="00975A8D"/>
    <w:rsid w:val="00975AAB"/>
    <w:rsid w:val="00975B03"/>
    <w:rsid w:val="00975B44"/>
    <w:rsid w:val="00975D1E"/>
    <w:rsid w:val="009761EC"/>
    <w:rsid w:val="0097628C"/>
    <w:rsid w:val="00976335"/>
    <w:rsid w:val="00976378"/>
    <w:rsid w:val="00976382"/>
    <w:rsid w:val="009763C7"/>
    <w:rsid w:val="00976523"/>
    <w:rsid w:val="009765F0"/>
    <w:rsid w:val="0097686C"/>
    <w:rsid w:val="0097695E"/>
    <w:rsid w:val="009769C6"/>
    <w:rsid w:val="00976A8F"/>
    <w:rsid w:val="00976AAA"/>
    <w:rsid w:val="00976C97"/>
    <w:rsid w:val="00976D38"/>
    <w:rsid w:val="00976F08"/>
    <w:rsid w:val="009771AF"/>
    <w:rsid w:val="009771C8"/>
    <w:rsid w:val="00977284"/>
    <w:rsid w:val="0097731C"/>
    <w:rsid w:val="009774FF"/>
    <w:rsid w:val="00977941"/>
    <w:rsid w:val="0097798B"/>
    <w:rsid w:val="009779B5"/>
    <w:rsid w:val="009779D1"/>
    <w:rsid w:val="00977A4D"/>
    <w:rsid w:val="00977BEF"/>
    <w:rsid w:val="00977C69"/>
    <w:rsid w:val="00977CCF"/>
    <w:rsid w:val="00977CE7"/>
    <w:rsid w:val="00977E25"/>
    <w:rsid w:val="00977E60"/>
    <w:rsid w:val="00977E6F"/>
    <w:rsid w:val="00977F47"/>
    <w:rsid w:val="00980025"/>
    <w:rsid w:val="00980118"/>
    <w:rsid w:val="00980176"/>
    <w:rsid w:val="0098018B"/>
    <w:rsid w:val="00980201"/>
    <w:rsid w:val="00980331"/>
    <w:rsid w:val="009804FA"/>
    <w:rsid w:val="00980527"/>
    <w:rsid w:val="00980566"/>
    <w:rsid w:val="009805C4"/>
    <w:rsid w:val="009807D1"/>
    <w:rsid w:val="0098096E"/>
    <w:rsid w:val="00980A39"/>
    <w:rsid w:val="00980B8C"/>
    <w:rsid w:val="00980EBD"/>
    <w:rsid w:val="00980F2E"/>
    <w:rsid w:val="00980FD2"/>
    <w:rsid w:val="00981008"/>
    <w:rsid w:val="00981046"/>
    <w:rsid w:val="009810C9"/>
    <w:rsid w:val="009812FA"/>
    <w:rsid w:val="0098130D"/>
    <w:rsid w:val="009814F3"/>
    <w:rsid w:val="00981825"/>
    <w:rsid w:val="00981A90"/>
    <w:rsid w:val="00981BD3"/>
    <w:rsid w:val="00981BE6"/>
    <w:rsid w:val="00981E17"/>
    <w:rsid w:val="00981E8F"/>
    <w:rsid w:val="00981F0C"/>
    <w:rsid w:val="0098201B"/>
    <w:rsid w:val="00982027"/>
    <w:rsid w:val="00982088"/>
    <w:rsid w:val="009820E4"/>
    <w:rsid w:val="009822EB"/>
    <w:rsid w:val="0098261A"/>
    <w:rsid w:val="00982638"/>
    <w:rsid w:val="00982B72"/>
    <w:rsid w:val="00982E41"/>
    <w:rsid w:val="00983010"/>
    <w:rsid w:val="009831EB"/>
    <w:rsid w:val="00983207"/>
    <w:rsid w:val="00983295"/>
    <w:rsid w:val="00983318"/>
    <w:rsid w:val="009833C4"/>
    <w:rsid w:val="00983452"/>
    <w:rsid w:val="009834E3"/>
    <w:rsid w:val="00983635"/>
    <w:rsid w:val="0098370D"/>
    <w:rsid w:val="009837EF"/>
    <w:rsid w:val="00983808"/>
    <w:rsid w:val="0098391F"/>
    <w:rsid w:val="00983944"/>
    <w:rsid w:val="00983A4D"/>
    <w:rsid w:val="00983AF6"/>
    <w:rsid w:val="00983B94"/>
    <w:rsid w:val="00983BD6"/>
    <w:rsid w:val="00983CFE"/>
    <w:rsid w:val="00983D61"/>
    <w:rsid w:val="009841FC"/>
    <w:rsid w:val="009842E8"/>
    <w:rsid w:val="00984332"/>
    <w:rsid w:val="00984543"/>
    <w:rsid w:val="009845E6"/>
    <w:rsid w:val="009847B7"/>
    <w:rsid w:val="00984938"/>
    <w:rsid w:val="0098499F"/>
    <w:rsid w:val="009849BE"/>
    <w:rsid w:val="00984BDC"/>
    <w:rsid w:val="00984D5E"/>
    <w:rsid w:val="0098505E"/>
    <w:rsid w:val="00985110"/>
    <w:rsid w:val="00985588"/>
    <w:rsid w:val="009857E0"/>
    <w:rsid w:val="00985881"/>
    <w:rsid w:val="0098596A"/>
    <w:rsid w:val="00985A01"/>
    <w:rsid w:val="00985A4A"/>
    <w:rsid w:val="00985B20"/>
    <w:rsid w:val="00985B2D"/>
    <w:rsid w:val="00985B2F"/>
    <w:rsid w:val="00985C01"/>
    <w:rsid w:val="00985CD4"/>
    <w:rsid w:val="00985CE4"/>
    <w:rsid w:val="00985F29"/>
    <w:rsid w:val="00985FA9"/>
    <w:rsid w:val="00985FD1"/>
    <w:rsid w:val="009860D9"/>
    <w:rsid w:val="0098613C"/>
    <w:rsid w:val="009861AA"/>
    <w:rsid w:val="0098634D"/>
    <w:rsid w:val="009863F4"/>
    <w:rsid w:val="009865C3"/>
    <w:rsid w:val="00986683"/>
    <w:rsid w:val="009866C1"/>
    <w:rsid w:val="00986B73"/>
    <w:rsid w:val="00986C76"/>
    <w:rsid w:val="00986E61"/>
    <w:rsid w:val="0098701D"/>
    <w:rsid w:val="0098709D"/>
    <w:rsid w:val="009871B4"/>
    <w:rsid w:val="00987450"/>
    <w:rsid w:val="009874E3"/>
    <w:rsid w:val="009877FF"/>
    <w:rsid w:val="0098782A"/>
    <w:rsid w:val="009878AD"/>
    <w:rsid w:val="00987957"/>
    <w:rsid w:val="009879F6"/>
    <w:rsid w:val="00987A1D"/>
    <w:rsid w:val="00987C53"/>
    <w:rsid w:val="00987D5E"/>
    <w:rsid w:val="00987D71"/>
    <w:rsid w:val="00987F6A"/>
    <w:rsid w:val="00987F6E"/>
    <w:rsid w:val="00987FB6"/>
    <w:rsid w:val="0099009C"/>
    <w:rsid w:val="009902E4"/>
    <w:rsid w:val="009905AD"/>
    <w:rsid w:val="009906E9"/>
    <w:rsid w:val="0099099C"/>
    <w:rsid w:val="00990BE2"/>
    <w:rsid w:val="009911B7"/>
    <w:rsid w:val="009911D3"/>
    <w:rsid w:val="0099125C"/>
    <w:rsid w:val="009913E7"/>
    <w:rsid w:val="0099146A"/>
    <w:rsid w:val="00991646"/>
    <w:rsid w:val="00991727"/>
    <w:rsid w:val="0099185B"/>
    <w:rsid w:val="00991879"/>
    <w:rsid w:val="009918B4"/>
    <w:rsid w:val="009918DA"/>
    <w:rsid w:val="009918FB"/>
    <w:rsid w:val="00991AC4"/>
    <w:rsid w:val="00991B2E"/>
    <w:rsid w:val="00991CE2"/>
    <w:rsid w:val="00991F12"/>
    <w:rsid w:val="0099209D"/>
    <w:rsid w:val="009921F5"/>
    <w:rsid w:val="0099236D"/>
    <w:rsid w:val="009923E6"/>
    <w:rsid w:val="00992473"/>
    <w:rsid w:val="0099256B"/>
    <w:rsid w:val="009926A3"/>
    <w:rsid w:val="0099280B"/>
    <w:rsid w:val="009929DD"/>
    <w:rsid w:val="00992A2F"/>
    <w:rsid w:val="00992BA5"/>
    <w:rsid w:val="00992CC4"/>
    <w:rsid w:val="00992D9C"/>
    <w:rsid w:val="00992DD8"/>
    <w:rsid w:val="009934C3"/>
    <w:rsid w:val="00993578"/>
    <w:rsid w:val="009935CF"/>
    <w:rsid w:val="009935EB"/>
    <w:rsid w:val="0099378C"/>
    <w:rsid w:val="00993829"/>
    <w:rsid w:val="00993890"/>
    <w:rsid w:val="00993CF9"/>
    <w:rsid w:val="00993F08"/>
    <w:rsid w:val="00993F8B"/>
    <w:rsid w:val="00994317"/>
    <w:rsid w:val="00994329"/>
    <w:rsid w:val="00994448"/>
    <w:rsid w:val="009945C2"/>
    <w:rsid w:val="00994871"/>
    <w:rsid w:val="00994902"/>
    <w:rsid w:val="00994956"/>
    <w:rsid w:val="009949BB"/>
    <w:rsid w:val="00994ACA"/>
    <w:rsid w:val="00994B41"/>
    <w:rsid w:val="00994C3C"/>
    <w:rsid w:val="009953B7"/>
    <w:rsid w:val="009954CE"/>
    <w:rsid w:val="009956B8"/>
    <w:rsid w:val="00995C2E"/>
    <w:rsid w:val="00995DF7"/>
    <w:rsid w:val="00995EAA"/>
    <w:rsid w:val="00995EBE"/>
    <w:rsid w:val="00995F11"/>
    <w:rsid w:val="00995F18"/>
    <w:rsid w:val="00995F19"/>
    <w:rsid w:val="00995F4B"/>
    <w:rsid w:val="00995F70"/>
    <w:rsid w:val="0099600E"/>
    <w:rsid w:val="00996105"/>
    <w:rsid w:val="009962A3"/>
    <w:rsid w:val="009962E3"/>
    <w:rsid w:val="0099666B"/>
    <w:rsid w:val="00996674"/>
    <w:rsid w:val="009966BE"/>
    <w:rsid w:val="00996795"/>
    <w:rsid w:val="009967C2"/>
    <w:rsid w:val="0099685C"/>
    <w:rsid w:val="00996942"/>
    <w:rsid w:val="009969E4"/>
    <w:rsid w:val="00996A17"/>
    <w:rsid w:val="00996A77"/>
    <w:rsid w:val="00996BB9"/>
    <w:rsid w:val="00996C5C"/>
    <w:rsid w:val="00996C99"/>
    <w:rsid w:val="00996E4A"/>
    <w:rsid w:val="00996F28"/>
    <w:rsid w:val="00996F7D"/>
    <w:rsid w:val="009970B3"/>
    <w:rsid w:val="009970EC"/>
    <w:rsid w:val="00997725"/>
    <w:rsid w:val="00997817"/>
    <w:rsid w:val="00997988"/>
    <w:rsid w:val="0099799F"/>
    <w:rsid w:val="00997A79"/>
    <w:rsid w:val="00997BB2"/>
    <w:rsid w:val="00997C30"/>
    <w:rsid w:val="00997C3C"/>
    <w:rsid w:val="00997D0C"/>
    <w:rsid w:val="00997F63"/>
    <w:rsid w:val="009A0041"/>
    <w:rsid w:val="009A010A"/>
    <w:rsid w:val="009A02F0"/>
    <w:rsid w:val="009A0497"/>
    <w:rsid w:val="009A0633"/>
    <w:rsid w:val="009A06A2"/>
    <w:rsid w:val="009A08A9"/>
    <w:rsid w:val="009A0A96"/>
    <w:rsid w:val="009A0B17"/>
    <w:rsid w:val="009A0B4F"/>
    <w:rsid w:val="009A0CEE"/>
    <w:rsid w:val="009A0D14"/>
    <w:rsid w:val="009A0D8F"/>
    <w:rsid w:val="009A0E45"/>
    <w:rsid w:val="009A0E56"/>
    <w:rsid w:val="009A0E75"/>
    <w:rsid w:val="009A0FD0"/>
    <w:rsid w:val="009A106F"/>
    <w:rsid w:val="009A1131"/>
    <w:rsid w:val="009A1142"/>
    <w:rsid w:val="009A144C"/>
    <w:rsid w:val="009A17E5"/>
    <w:rsid w:val="009A186B"/>
    <w:rsid w:val="009A18E0"/>
    <w:rsid w:val="009A1A84"/>
    <w:rsid w:val="009A1A9A"/>
    <w:rsid w:val="009A1AC7"/>
    <w:rsid w:val="009A1EEC"/>
    <w:rsid w:val="009A210F"/>
    <w:rsid w:val="009A228F"/>
    <w:rsid w:val="009A2339"/>
    <w:rsid w:val="009A239F"/>
    <w:rsid w:val="009A23BF"/>
    <w:rsid w:val="009A242A"/>
    <w:rsid w:val="009A25E9"/>
    <w:rsid w:val="009A268D"/>
    <w:rsid w:val="009A2714"/>
    <w:rsid w:val="009A2811"/>
    <w:rsid w:val="009A2A82"/>
    <w:rsid w:val="009A2C1D"/>
    <w:rsid w:val="009A2D21"/>
    <w:rsid w:val="009A2D60"/>
    <w:rsid w:val="009A2E3F"/>
    <w:rsid w:val="009A3104"/>
    <w:rsid w:val="009A31C9"/>
    <w:rsid w:val="009A33D5"/>
    <w:rsid w:val="009A3517"/>
    <w:rsid w:val="009A35A6"/>
    <w:rsid w:val="009A3646"/>
    <w:rsid w:val="009A37FC"/>
    <w:rsid w:val="009A3B03"/>
    <w:rsid w:val="009A3B57"/>
    <w:rsid w:val="009A3C0A"/>
    <w:rsid w:val="009A3C3F"/>
    <w:rsid w:val="009A3C76"/>
    <w:rsid w:val="009A3C7F"/>
    <w:rsid w:val="009A3D44"/>
    <w:rsid w:val="009A3D94"/>
    <w:rsid w:val="009A3DAA"/>
    <w:rsid w:val="009A3DF1"/>
    <w:rsid w:val="009A3ED2"/>
    <w:rsid w:val="009A3F72"/>
    <w:rsid w:val="009A3F8F"/>
    <w:rsid w:val="009A401E"/>
    <w:rsid w:val="009A40A0"/>
    <w:rsid w:val="009A4260"/>
    <w:rsid w:val="009A4280"/>
    <w:rsid w:val="009A435A"/>
    <w:rsid w:val="009A4387"/>
    <w:rsid w:val="009A46B4"/>
    <w:rsid w:val="009A4977"/>
    <w:rsid w:val="009A4AF4"/>
    <w:rsid w:val="009A4B19"/>
    <w:rsid w:val="009A4C15"/>
    <w:rsid w:val="009A4EB9"/>
    <w:rsid w:val="009A4F61"/>
    <w:rsid w:val="009A503C"/>
    <w:rsid w:val="009A51FC"/>
    <w:rsid w:val="009A525A"/>
    <w:rsid w:val="009A538F"/>
    <w:rsid w:val="009A5455"/>
    <w:rsid w:val="009A56BD"/>
    <w:rsid w:val="009A5897"/>
    <w:rsid w:val="009A5945"/>
    <w:rsid w:val="009A59C9"/>
    <w:rsid w:val="009A5C37"/>
    <w:rsid w:val="009A5CF4"/>
    <w:rsid w:val="009A5E60"/>
    <w:rsid w:val="009A6118"/>
    <w:rsid w:val="009A612D"/>
    <w:rsid w:val="009A6193"/>
    <w:rsid w:val="009A6278"/>
    <w:rsid w:val="009A62A4"/>
    <w:rsid w:val="009A62BE"/>
    <w:rsid w:val="009A6462"/>
    <w:rsid w:val="009A648A"/>
    <w:rsid w:val="009A65F0"/>
    <w:rsid w:val="009A67A5"/>
    <w:rsid w:val="009A6A8E"/>
    <w:rsid w:val="009A6B08"/>
    <w:rsid w:val="009A6BE1"/>
    <w:rsid w:val="009A6C3C"/>
    <w:rsid w:val="009A6CF1"/>
    <w:rsid w:val="009A6D58"/>
    <w:rsid w:val="009A6FBC"/>
    <w:rsid w:val="009A6FF2"/>
    <w:rsid w:val="009A70C6"/>
    <w:rsid w:val="009A7115"/>
    <w:rsid w:val="009A73A0"/>
    <w:rsid w:val="009A764A"/>
    <w:rsid w:val="009A76D0"/>
    <w:rsid w:val="009A76D8"/>
    <w:rsid w:val="009A7767"/>
    <w:rsid w:val="009A788B"/>
    <w:rsid w:val="009A7BDF"/>
    <w:rsid w:val="009A7C81"/>
    <w:rsid w:val="009A7CCC"/>
    <w:rsid w:val="009A7D58"/>
    <w:rsid w:val="009A7D5E"/>
    <w:rsid w:val="009A7DCA"/>
    <w:rsid w:val="009B01B9"/>
    <w:rsid w:val="009B01EB"/>
    <w:rsid w:val="009B025B"/>
    <w:rsid w:val="009B035E"/>
    <w:rsid w:val="009B0468"/>
    <w:rsid w:val="009B075B"/>
    <w:rsid w:val="009B07D2"/>
    <w:rsid w:val="009B089E"/>
    <w:rsid w:val="009B0A08"/>
    <w:rsid w:val="009B0A1F"/>
    <w:rsid w:val="009B0A6F"/>
    <w:rsid w:val="009B0B14"/>
    <w:rsid w:val="009B0BA9"/>
    <w:rsid w:val="009B0DD9"/>
    <w:rsid w:val="009B0DF3"/>
    <w:rsid w:val="009B0F14"/>
    <w:rsid w:val="009B0FE8"/>
    <w:rsid w:val="009B1051"/>
    <w:rsid w:val="009B1384"/>
    <w:rsid w:val="009B13AB"/>
    <w:rsid w:val="009B1477"/>
    <w:rsid w:val="009B14C7"/>
    <w:rsid w:val="009B157C"/>
    <w:rsid w:val="009B16C0"/>
    <w:rsid w:val="009B16DF"/>
    <w:rsid w:val="009B1A84"/>
    <w:rsid w:val="009B1BF1"/>
    <w:rsid w:val="009B1C98"/>
    <w:rsid w:val="009B1D64"/>
    <w:rsid w:val="009B1E2F"/>
    <w:rsid w:val="009B1E5E"/>
    <w:rsid w:val="009B2137"/>
    <w:rsid w:val="009B214B"/>
    <w:rsid w:val="009B2171"/>
    <w:rsid w:val="009B21BD"/>
    <w:rsid w:val="009B21F3"/>
    <w:rsid w:val="009B2293"/>
    <w:rsid w:val="009B22D2"/>
    <w:rsid w:val="009B2327"/>
    <w:rsid w:val="009B24C2"/>
    <w:rsid w:val="009B2612"/>
    <w:rsid w:val="009B2637"/>
    <w:rsid w:val="009B28F3"/>
    <w:rsid w:val="009B2916"/>
    <w:rsid w:val="009B2A26"/>
    <w:rsid w:val="009B2A35"/>
    <w:rsid w:val="009B2A84"/>
    <w:rsid w:val="009B2A8D"/>
    <w:rsid w:val="009B2CAC"/>
    <w:rsid w:val="009B2D8C"/>
    <w:rsid w:val="009B2DBD"/>
    <w:rsid w:val="009B2E07"/>
    <w:rsid w:val="009B2E4C"/>
    <w:rsid w:val="009B2F4B"/>
    <w:rsid w:val="009B3163"/>
    <w:rsid w:val="009B3218"/>
    <w:rsid w:val="009B325E"/>
    <w:rsid w:val="009B3306"/>
    <w:rsid w:val="009B33A4"/>
    <w:rsid w:val="009B33B0"/>
    <w:rsid w:val="009B342F"/>
    <w:rsid w:val="009B3445"/>
    <w:rsid w:val="009B34FA"/>
    <w:rsid w:val="009B352E"/>
    <w:rsid w:val="009B36BF"/>
    <w:rsid w:val="009B370E"/>
    <w:rsid w:val="009B375F"/>
    <w:rsid w:val="009B38BB"/>
    <w:rsid w:val="009B3A5C"/>
    <w:rsid w:val="009B3A84"/>
    <w:rsid w:val="009B3B4C"/>
    <w:rsid w:val="009B3BCE"/>
    <w:rsid w:val="009B3C38"/>
    <w:rsid w:val="009B3F83"/>
    <w:rsid w:val="009B4052"/>
    <w:rsid w:val="009B41A3"/>
    <w:rsid w:val="009B4318"/>
    <w:rsid w:val="009B43A7"/>
    <w:rsid w:val="009B44E5"/>
    <w:rsid w:val="009B459B"/>
    <w:rsid w:val="009B46B8"/>
    <w:rsid w:val="009B498B"/>
    <w:rsid w:val="009B4A47"/>
    <w:rsid w:val="009B4A74"/>
    <w:rsid w:val="009B4C82"/>
    <w:rsid w:val="009B4CDF"/>
    <w:rsid w:val="009B4F3C"/>
    <w:rsid w:val="009B4F96"/>
    <w:rsid w:val="009B51D5"/>
    <w:rsid w:val="009B52FE"/>
    <w:rsid w:val="009B538B"/>
    <w:rsid w:val="009B5523"/>
    <w:rsid w:val="009B558A"/>
    <w:rsid w:val="009B55CB"/>
    <w:rsid w:val="009B57C7"/>
    <w:rsid w:val="009B57FF"/>
    <w:rsid w:val="009B5872"/>
    <w:rsid w:val="009B58A6"/>
    <w:rsid w:val="009B59C8"/>
    <w:rsid w:val="009B5A80"/>
    <w:rsid w:val="009B5D10"/>
    <w:rsid w:val="009B5F2D"/>
    <w:rsid w:val="009B611B"/>
    <w:rsid w:val="009B61B9"/>
    <w:rsid w:val="009B6473"/>
    <w:rsid w:val="009B65E4"/>
    <w:rsid w:val="009B6679"/>
    <w:rsid w:val="009B671B"/>
    <w:rsid w:val="009B691D"/>
    <w:rsid w:val="009B6989"/>
    <w:rsid w:val="009B6A3C"/>
    <w:rsid w:val="009B6A4B"/>
    <w:rsid w:val="009B6A63"/>
    <w:rsid w:val="009B6ACF"/>
    <w:rsid w:val="009B6B48"/>
    <w:rsid w:val="009B6C25"/>
    <w:rsid w:val="009B6C5D"/>
    <w:rsid w:val="009B6EA4"/>
    <w:rsid w:val="009B701D"/>
    <w:rsid w:val="009B70C1"/>
    <w:rsid w:val="009B7123"/>
    <w:rsid w:val="009B744E"/>
    <w:rsid w:val="009B7684"/>
    <w:rsid w:val="009B76BD"/>
    <w:rsid w:val="009B7768"/>
    <w:rsid w:val="009B7821"/>
    <w:rsid w:val="009B783B"/>
    <w:rsid w:val="009B794B"/>
    <w:rsid w:val="009B79D5"/>
    <w:rsid w:val="009B7A6A"/>
    <w:rsid w:val="009B7BA1"/>
    <w:rsid w:val="009B7BB4"/>
    <w:rsid w:val="009B7BB9"/>
    <w:rsid w:val="009B7CDF"/>
    <w:rsid w:val="009B7EA0"/>
    <w:rsid w:val="009B7FF9"/>
    <w:rsid w:val="009C003D"/>
    <w:rsid w:val="009C01CF"/>
    <w:rsid w:val="009C01D5"/>
    <w:rsid w:val="009C024F"/>
    <w:rsid w:val="009C0275"/>
    <w:rsid w:val="009C035B"/>
    <w:rsid w:val="009C05BC"/>
    <w:rsid w:val="009C088B"/>
    <w:rsid w:val="009C0A88"/>
    <w:rsid w:val="009C0B41"/>
    <w:rsid w:val="009C0C15"/>
    <w:rsid w:val="009C0CEB"/>
    <w:rsid w:val="009C0EF7"/>
    <w:rsid w:val="009C0F8D"/>
    <w:rsid w:val="009C0FBC"/>
    <w:rsid w:val="009C1154"/>
    <w:rsid w:val="009C11E0"/>
    <w:rsid w:val="009C11E7"/>
    <w:rsid w:val="009C11FF"/>
    <w:rsid w:val="009C1224"/>
    <w:rsid w:val="009C137C"/>
    <w:rsid w:val="009C153B"/>
    <w:rsid w:val="009C1CAD"/>
    <w:rsid w:val="009C1DDD"/>
    <w:rsid w:val="009C1ED3"/>
    <w:rsid w:val="009C1F31"/>
    <w:rsid w:val="009C2076"/>
    <w:rsid w:val="009C209D"/>
    <w:rsid w:val="009C21A3"/>
    <w:rsid w:val="009C22C6"/>
    <w:rsid w:val="009C2340"/>
    <w:rsid w:val="009C23C5"/>
    <w:rsid w:val="009C23F5"/>
    <w:rsid w:val="009C24B9"/>
    <w:rsid w:val="009C2983"/>
    <w:rsid w:val="009C2A18"/>
    <w:rsid w:val="009C2B84"/>
    <w:rsid w:val="009C2D4F"/>
    <w:rsid w:val="009C2DF9"/>
    <w:rsid w:val="009C2EC2"/>
    <w:rsid w:val="009C2F4B"/>
    <w:rsid w:val="009C328F"/>
    <w:rsid w:val="009C3310"/>
    <w:rsid w:val="009C345E"/>
    <w:rsid w:val="009C3514"/>
    <w:rsid w:val="009C3803"/>
    <w:rsid w:val="009C3B7E"/>
    <w:rsid w:val="009C3E19"/>
    <w:rsid w:val="009C402F"/>
    <w:rsid w:val="009C40A7"/>
    <w:rsid w:val="009C42BF"/>
    <w:rsid w:val="009C44CC"/>
    <w:rsid w:val="009C4535"/>
    <w:rsid w:val="009C4599"/>
    <w:rsid w:val="009C4641"/>
    <w:rsid w:val="009C4701"/>
    <w:rsid w:val="009C4755"/>
    <w:rsid w:val="009C48C6"/>
    <w:rsid w:val="009C49DF"/>
    <w:rsid w:val="009C4A17"/>
    <w:rsid w:val="009C4B00"/>
    <w:rsid w:val="009C4B3A"/>
    <w:rsid w:val="009C522F"/>
    <w:rsid w:val="009C5570"/>
    <w:rsid w:val="009C567C"/>
    <w:rsid w:val="009C5680"/>
    <w:rsid w:val="009C56DF"/>
    <w:rsid w:val="009C571C"/>
    <w:rsid w:val="009C5841"/>
    <w:rsid w:val="009C59DC"/>
    <w:rsid w:val="009C5A88"/>
    <w:rsid w:val="009C5B0C"/>
    <w:rsid w:val="009C5CDD"/>
    <w:rsid w:val="009C5DD2"/>
    <w:rsid w:val="009C5E39"/>
    <w:rsid w:val="009C5FC8"/>
    <w:rsid w:val="009C6010"/>
    <w:rsid w:val="009C602A"/>
    <w:rsid w:val="009C60B0"/>
    <w:rsid w:val="009C61B0"/>
    <w:rsid w:val="009C61E6"/>
    <w:rsid w:val="009C654A"/>
    <w:rsid w:val="009C65AE"/>
    <w:rsid w:val="009C670C"/>
    <w:rsid w:val="009C6873"/>
    <w:rsid w:val="009C68B8"/>
    <w:rsid w:val="009C69AA"/>
    <w:rsid w:val="009C6BCE"/>
    <w:rsid w:val="009C6C4C"/>
    <w:rsid w:val="009C6DEF"/>
    <w:rsid w:val="009C6EB6"/>
    <w:rsid w:val="009C6F13"/>
    <w:rsid w:val="009C7211"/>
    <w:rsid w:val="009C7320"/>
    <w:rsid w:val="009C74B5"/>
    <w:rsid w:val="009C763B"/>
    <w:rsid w:val="009C7675"/>
    <w:rsid w:val="009C7B8E"/>
    <w:rsid w:val="009C7BD2"/>
    <w:rsid w:val="009C7C38"/>
    <w:rsid w:val="009C7C9E"/>
    <w:rsid w:val="009C7DE8"/>
    <w:rsid w:val="009C7F1C"/>
    <w:rsid w:val="009C7F4D"/>
    <w:rsid w:val="009D007D"/>
    <w:rsid w:val="009D008A"/>
    <w:rsid w:val="009D01BD"/>
    <w:rsid w:val="009D03C0"/>
    <w:rsid w:val="009D03F3"/>
    <w:rsid w:val="009D057E"/>
    <w:rsid w:val="009D0723"/>
    <w:rsid w:val="009D0803"/>
    <w:rsid w:val="009D0847"/>
    <w:rsid w:val="009D09EB"/>
    <w:rsid w:val="009D0A5D"/>
    <w:rsid w:val="009D0B0D"/>
    <w:rsid w:val="009D0B98"/>
    <w:rsid w:val="009D0E47"/>
    <w:rsid w:val="009D0ECD"/>
    <w:rsid w:val="009D0F5B"/>
    <w:rsid w:val="009D0F94"/>
    <w:rsid w:val="009D0F9B"/>
    <w:rsid w:val="009D1265"/>
    <w:rsid w:val="009D1380"/>
    <w:rsid w:val="009D1385"/>
    <w:rsid w:val="009D139F"/>
    <w:rsid w:val="009D1D6C"/>
    <w:rsid w:val="009D1D7A"/>
    <w:rsid w:val="009D1F1C"/>
    <w:rsid w:val="009D1F8F"/>
    <w:rsid w:val="009D1FDF"/>
    <w:rsid w:val="009D214C"/>
    <w:rsid w:val="009D219B"/>
    <w:rsid w:val="009D2902"/>
    <w:rsid w:val="009D290A"/>
    <w:rsid w:val="009D2C96"/>
    <w:rsid w:val="009D2CB9"/>
    <w:rsid w:val="009D2D1E"/>
    <w:rsid w:val="009D2D84"/>
    <w:rsid w:val="009D2FCA"/>
    <w:rsid w:val="009D309A"/>
    <w:rsid w:val="009D3335"/>
    <w:rsid w:val="009D3485"/>
    <w:rsid w:val="009D35B8"/>
    <w:rsid w:val="009D3631"/>
    <w:rsid w:val="009D37BC"/>
    <w:rsid w:val="009D37C5"/>
    <w:rsid w:val="009D390D"/>
    <w:rsid w:val="009D3A3A"/>
    <w:rsid w:val="009D3AEC"/>
    <w:rsid w:val="009D3D5A"/>
    <w:rsid w:val="009D3E2C"/>
    <w:rsid w:val="009D3F7B"/>
    <w:rsid w:val="009D41A7"/>
    <w:rsid w:val="009D41AB"/>
    <w:rsid w:val="009D41BE"/>
    <w:rsid w:val="009D4426"/>
    <w:rsid w:val="009D4663"/>
    <w:rsid w:val="009D469C"/>
    <w:rsid w:val="009D46A3"/>
    <w:rsid w:val="009D471C"/>
    <w:rsid w:val="009D4801"/>
    <w:rsid w:val="009D4807"/>
    <w:rsid w:val="009D4950"/>
    <w:rsid w:val="009D4BA4"/>
    <w:rsid w:val="009D4E44"/>
    <w:rsid w:val="009D4F62"/>
    <w:rsid w:val="009D54C9"/>
    <w:rsid w:val="009D559C"/>
    <w:rsid w:val="009D563A"/>
    <w:rsid w:val="009D5911"/>
    <w:rsid w:val="009D59B6"/>
    <w:rsid w:val="009D5A57"/>
    <w:rsid w:val="009D5AB5"/>
    <w:rsid w:val="009D5ACF"/>
    <w:rsid w:val="009D5B10"/>
    <w:rsid w:val="009D5B94"/>
    <w:rsid w:val="009D5C55"/>
    <w:rsid w:val="009D5C92"/>
    <w:rsid w:val="009D601F"/>
    <w:rsid w:val="009D61D4"/>
    <w:rsid w:val="009D61E4"/>
    <w:rsid w:val="009D626D"/>
    <w:rsid w:val="009D630C"/>
    <w:rsid w:val="009D6333"/>
    <w:rsid w:val="009D639D"/>
    <w:rsid w:val="009D63D3"/>
    <w:rsid w:val="009D6409"/>
    <w:rsid w:val="009D64C5"/>
    <w:rsid w:val="009D675D"/>
    <w:rsid w:val="009D6859"/>
    <w:rsid w:val="009D69A6"/>
    <w:rsid w:val="009D6B73"/>
    <w:rsid w:val="009D6CC0"/>
    <w:rsid w:val="009D6CCE"/>
    <w:rsid w:val="009D6F36"/>
    <w:rsid w:val="009D6F41"/>
    <w:rsid w:val="009D6FDC"/>
    <w:rsid w:val="009D7201"/>
    <w:rsid w:val="009D7311"/>
    <w:rsid w:val="009D7371"/>
    <w:rsid w:val="009D74BB"/>
    <w:rsid w:val="009D7521"/>
    <w:rsid w:val="009D758A"/>
    <w:rsid w:val="009D7640"/>
    <w:rsid w:val="009D771A"/>
    <w:rsid w:val="009D7957"/>
    <w:rsid w:val="009D7CAB"/>
    <w:rsid w:val="009D7CE6"/>
    <w:rsid w:val="009D7D5E"/>
    <w:rsid w:val="009D7DF2"/>
    <w:rsid w:val="009D7FF9"/>
    <w:rsid w:val="009E008F"/>
    <w:rsid w:val="009E00BE"/>
    <w:rsid w:val="009E0107"/>
    <w:rsid w:val="009E01C0"/>
    <w:rsid w:val="009E029A"/>
    <w:rsid w:val="009E042D"/>
    <w:rsid w:val="009E0629"/>
    <w:rsid w:val="009E0870"/>
    <w:rsid w:val="009E099D"/>
    <w:rsid w:val="009E09B8"/>
    <w:rsid w:val="009E0B54"/>
    <w:rsid w:val="009E0B76"/>
    <w:rsid w:val="009E0D56"/>
    <w:rsid w:val="009E0EBB"/>
    <w:rsid w:val="009E10D1"/>
    <w:rsid w:val="009E122E"/>
    <w:rsid w:val="009E1304"/>
    <w:rsid w:val="009E1394"/>
    <w:rsid w:val="009E14B1"/>
    <w:rsid w:val="009E14BD"/>
    <w:rsid w:val="009E151A"/>
    <w:rsid w:val="009E16BF"/>
    <w:rsid w:val="009E1704"/>
    <w:rsid w:val="009E1766"/>
    <w:rsid w:val="009E1924"/>
    <w:rsid w:val="009E1AF7"/>
    <w:rsid w:val="009E1B23"/>
    <w:rsid w:val="009E1D62"/>
    <w:rsid w:val="009E1E8C"/>
    <w:rsid w:val="009E1EB5"/>
    <w:rsid w:val="009E1FC7"/>
    <w:rsid w:val="009E207B"/>
    <w:rsid w:val="009E2153"/>
    <w:rsid w:val="009E239A"/>
    <w:rsid w:val="009E25AC"/>
    <w:rsid w:val="009E262C"/>
    <w:rsid w:val="009E269C"/>
    <w:rsid w:val="009E26B5"/>
    <w:rsid w:val="009E26CA"/>
    <w:rsid w:val="009E2708"/>
    <w:rsid w:val="009E270D"/>
    <w:rsid w:val="009E275C"/>
    <w:rsid w:val="009E2C24"/>
    <w:rsid w:val="009E2C5C"/>
    <w:rsid w:val="009E2C64"/>
    <w:rsid w:val="009E2CB1"/>
    <w:rsid w:val="009E2D69"/>
    <w:rsid w:val="009E31C9"/>
    <w:rsid w:val="009E323D"/>
    <w:rsid w:val="009E32D2"/>
    <w:rsid w:val="009E348B"/>
    <w:rsid w:val="009E3685"/>
    <w:rsid w:val="009E36CE"/>
    <w:rsid w:val="009E3719"/>
    <w:rsid w:val="009E3950"/>
    <w:rsid w:val="009E395A"/>
    <w:rsid w:val="009E3A00"/>
    <w:rsid w:val="009E3A12"/>
    <w:rsid w:val="009E3A40"/>
    <w:rsid w:val="009E3B03"/>
    <w:rsid w:val="009E3DBB"/>
    <w:rsid w:val="009E3EA4"/>
    <w:rsid w:val="009E3F15"/>
    <w:rsid w:val="009E4143"/>
    <w:rsid w:val="009E43A0"/>
    <w:rsid w:val="009E43DA"/>
    <w:rsid w:val="009E44EB"/>
    <w:rsid w:val="009E458F"/>
    <w:rsid w:val="009E4850"/>
    <w:rsid w:val="009E485C"/>
    <w:rsid w:val="009E492D"/>
    <w:rsid w:val="009E4A43"/>
    <w:rsid w:val="009E4A9B"/>
    <w:rsid w:val="009E4B97"/>
    <w:rsid w:val="009E4C35"/>
    <w:rsid w:val="009E4DFB"/>
    <w:rsid w:val="009E4E04"/>
    <w:rsid w:val="009E4EE2"/>
    <w:rsid w:val="009E4EF3"/>
    <w:rsid w:val="009E5065"/>
    <w:rsid w:val="009E52CB"/>
    <w:rsid w:val="009E52D8"/>
    <w:rsid w:val="009E55CD"/>
    <w:rsid w:val="009E5910"/>
    <w:rsid w:val="009E5B99"/>
    <w:rsid w:val="009E5CF8"/>
    <w:rsid w:val="009E5D67"/>
    <w:rsid w:val="009E5D74"/>
    <w:rsid w:val="009E5E26"/>
    <w:rsid w:val="009E638A"/>
    <w:rsid w:val="009E6430"/>
    <w:rsid w:val="009E654F"/>
    <w:rsid w:val="009E6561"/>
    <w:rsid w:val="009E6571"/>
    <w:rsid w:val="009E69E3"/>
    <w:rsid w:val="009E6A22"/>
    <w:rsid w:val="009E6ADD"/>
    <w:rsid w:val="009E6AE1"/>
    <w:rsid w:val="009E6BEC"/>
    <w:rsid w:val="009E6D47"/>
    <w:rsid w:val="009E6D6B"/>
    <w:rsid w:val="009E70FD"/>
    <w:rsid w:val="009E71CD"/>
    <w:rsid w:val="009E720C"/>
    <w:rsid w:val="009E722E"/>
    <w:rsid w:val="009E7288"/>
    <w:rsid w:val="009E741E"/>
    <w:rsid w:val="009E7440"/>
    <w:rsid w:val="009E7472"/>
    <w:rsid w:val="009E7528"/>
    <w:rsid w:val="009E762F"/>
    <w:rsid w:val="009E7700"/>
    <w:rsid w:val="009E771F"/>
    <w:rsid w:val="009E7868"/>
    <w:rsid w:val="009E7953"/>
    <w:rsid w:val="009E7974"/>
    <w:rsid w:val="009E7A3C"/>
    <w:rsid w:val="009E7A95"/>
    <w:rsid w:val="009E7D48"/>
    <w:rsid w:val="009E7E5C"/>
    <w:rsid w:val="009EE890"/>
    <w:rsid w:val="009F0149"/>
    <w:rsid w:val="009F023F"/>
    <w:rsid w:val="009F0506"/>
    <w:rsid w:val="009F0523"/>
    <w:rsid w:val="009F066A"/>
    <w:rsid w:val="009F0990"/>
    <w:rsid w:val="009F0C2E"/>
    <w:rsid w:val="009F0C79"/>
    <w:rsid w:val="009F0E41"/>
    <w:rsid w:val="009F0F48"/>
    <w:rsid w:val="009F0FDA"/>
    <w:rsid w:val="009F116C"/>
    <w:rsid w:val="009F1245"/>
    <w:rsid w:val="009F125F"/>
    <w:rsid w:val="009F1292"/>
    <w:rsid w:val="009F15AA"/>
    <w:rsid w:val="009F1735"/>
    <w:rsid w:val="009F1753"/>
    <w:rsid w:val="009F1CC9"/>
    <w:rsid w:val="009F1D4C"/>
    <w:rsid w:val="009F1E96"/>
    <w:rsid w:val="009F1F2E"/>
    <w:rsid w:val="009F2006"/>
    <w:rsid w:val="009F2106"/>
    <w:rsid w:val="009F220C"/>
    <w:rsid w:val="009F225C"/>
    <w:rsid w:val="009F22A3"/>
    <w:rsid w:val="009F2331"/>
    <w:rsid w:val="009F24E8"/>
    <w:rsid w:val="009F250D"/>
    <w:rsid w:val="009F2525"/>
    <w:rsid w:val="009F2674"/>
    <w:rsid w:val="009F26F2"/>
    <w:rsid w:val="009F27DA"/>
    <w:rsid w:val="009F2D13"/>
    <w:rsid w:val="009F2D7B"/>
    <w:rsid w:val="009F2FBA"/>
    <w:rsid w:val="009F33B3"/>
    <w:rsid w:val="009F33B6"/>
    <w:rsid w:val="009F3571"/>
    <w:rsid w:val="009F35BB"/>
    <w:rsid w:val="009F36E3"/>
    <w:rsid w:val="009F38A2"/>
    <w:rsid w:val="009F394E"/>
    <w:rsid w:val="009F3AC0"/>
    <w:rsid w:val="009F3BED"/>
    <w:rsid w:val="009F3C4B"/>
    <w:rsid w:val="009F3F7D"/>
    <w:rsid w:val="009F3F84"/>
    <w:rsid w:val="009F407E"/>
    <w:rsid w:val="009F40B4"/>
    <w:rsid w:val="009F41B3"/>
    <w:rsid w:val="009F4259"/>
    <w:rsid w:val="009F42CB"/>
    <w:rsid w:val="009F42EB"/>
    <w:rsid w:val="009F4404"/>
    <w:rsid w:val="009F4603"/>
    <w:rsid w:val="009F466A"/>
    <w:rsid w:val="009F4693"/>
    <w:rsid w:val="009F4723"/>
    <w:rsid w:val="009F476F"/>
    <w:rsid w:val="009F48BD"/>
    <w:rsid w:val="009F4A00"/>
    <w:rsid w:val="009F4E3F"/>
    <w:rsid w:val="009F4E93"/>
    <w:rsid w:val="009F4F9A"/>
    <w:rsid w:val="009F514B"/>
    <w:rsid w:val="009F5185"/>
    <w:rsid w:val="009F51CE"/>
    <w:rsid w:val="009F52FA"/>
    <w:rsid w:val="009F53ED"/>
    <w:rsid w:val="009F5490"/>
    <w:rsid w:val="009F54C3"/>
    <w:rsid w:val="009F56A0"/>
    <w:rsid w:val="009F593F"/>
    <w:rsid w:val="009F5978"/>
    <w:rsid w:val="009F599D"/>
    <w:rsid w:val="009F59CC"/>
    <w:rsid w:val="009F5B12"/>
    <w:rsid w:val="009F5C39"/>
    <w:rsid w:val="009F5C4B"/>
    <w:rsid w:val="009F5D43"/>
    <w:rsid w:val="009F60A3"/>
    <w:rsid w:val="009F6137"/>
    <w:rsid w:val="009F64D6"/>
    <w:rsid w:val="009F6517"/>
    <w:rsid w:val="009F6551"/>
    <w:rsid w:val="009F6645"/>
    <w:rsid w:val="009F6692"/>
    <w:rsid w:val="009F66DC"/>
    <w:rsid w:val="009F67F8"/>
    <w:rsid w:val="009F68E4"/>
    <w:rsid w:val="009F6BD7"/>
    <w:rsid w:val="009F6E51"/>
    <w:rsid w:val="009F739B"/>
    <w:rsid w:val="009F73C6"/>
    <w:rsid w:val="009F7417"/>
    <w:rsid w:val="009F7426"/>
    <w:rsid w:val="009F749B"/>
    <w:rsid w:val="009F74EC"/>
    <w:rsid w:val="009F7769"/>
    <w:rsid w:val="009F77CF"/>
    <w:rsid w:val="009F78A6"/>
    <w:rsid w:val="009F7AB4"/>
    <w:rsid w:val="009F7BA5"/>
    <w:rsid w:val="009F7BB7"/>
    <w:rsid w:val="00A00072"/>
    <w:rsid w:val="00A002B2"/>
    <w:rsid w:val="00A002FE"/>
    <w:rsid w:val="00A00324"/>
    <w:rsid w:val="00A00367"/>
    <w:rsid w:val="00A00370"/>
    <w:rsid w:val="00A005A6"/>
    <w:rsid w:val="00A00668"/>
    <w:rsid w:val="00A0066E"/>
    <w:rsid w:val="00A00740"/>
    <w:rsid w:val="00A007A4"/>
    <w:rsid w:val="00A00A02"/>
    <w:rsid w:val="00A00AC6"/>
    <w:rsid w:val="00A00AF2"/>
    <w:rsid w:val="00A00BC9"/>
    <w:rsid w:val="00A00D97"/>
    <w:rsid w:val="00A00EC1"/>
    <w:rsid w:val="00A00F82"/>
    <w:rsid w:val="00A00FAD"/>
    <w:rsid w:val="00A0108E"/>
    <w:rsid w:val="00A01133"/>
    <w:rsid w:val="00A0119E"/>
    <w:rsid w:val="00A012DA"/>
    <w:rsid w:val="00A01369"/>
    <w:rsid w:val="00A0137A"/>
    <w:rsid w:val="00A014DD"/>
    <w:rsid w:val="00A01828"/>
    <w:rsid w:val="00A0184B"/>
    <w:rsid w:val="00A018EE"/>
    <w:rsid w:val="00A01935"/>
    <w:rsid w:val="00A0194F"/>
    <w:rsid w:val="00A01A9F"/>
    <w:rsid w:val="00A01B6B"/>
    <w:rsid w:val="00A01CCE"/>
    <w:rsid w:val="00A01E28"/>
    <w:rsid w:val="00A01F0D"/>
    <w:rsid w:val="00A01F13"/>
    <w:rsid w:val="00A01F73"/>
    <w:rsid w:val="00A020B1"/>
    <w:rsid w:val="00A020B5"/>
    <w:rsid w:val="00A021C0"/>
    <w:rsid w:val="00A02299"/>
    <w:rsid w:val="00A022A3"/>
    <w:rsid w:val="00A02323"/>
    <w:rsid w:val="00A02444"/>
    <w:rsid w:val="00A0261E"/>
    <w:rsid w:val="00A02661"/>
    <w:rsid w:val="00A026C7"/>
    <w:rsid w:val="00A02959"/>
    <w:rsid w:val="00A0296D"/>
    <w:rsid w:val="00A0297A"/>
    <w:rsid w:val="00A029B2"/>
    <w:rsid w:val="00A02AB8"/>
    <w:rsid w:val="00A02B04"/>
    <w:rsid w:val="00A02BD4"/>
    <w:rsid w:val="00A02DA9"/>
    <w:rsid w:val="00A0304B"/>
    <w:rsid w:val="00A03488"/>
    <w:rsid w:val="00A0351E"/>
    <w:rsid w:val="00A035E0"/>
    <w:rsid w:val="00A036BE"/>
    <w:rsid w:val="00A03A98"/>
    <w:rsid w:val="00A03C3B"/>
    <w:rsid w:val="00A03C9D"/>
    <w:rsid w:val="00A03D53"/>
    <w:rsid w:val="00A04295"/>
    <w:rsid w:val="00A0441E"/>
    <w:rsid w:val="00A0444F"/>
    <w:rsid w:val="00A0459C"/>
    <w:rsid w:val="00A0464B"/>
    <w:rsid w:val="00A046A9"/>
    <w:rsid w:val="00A0485D"/>
    <w:rsid w:val="00A048F2"/>
    <w:rsid w:val="00A04957"/>
    <w:rsid w:val="00A04B04"/>
    <w:rsid w:val="00A04E3B"/>
    <w:rsid w:val="00A04F0F"/>
    <w:rsid w:val="00A04F76"/>
    <w:rsid w:val="00A050F6"/>
    <w:rsid w:val="00A052DB"/>
    <w:rsid w:val="00A05380"/>
    <w:rsid w:val="00A05393"/>
    <w:rsid w:val="00A05924"/>
    <w:rsid w:val="00A05A43"/>
    <w:rsid w:val="00A05AC5"/>
    <w:rsid w:val="00A05ACF"/>
    <w:rsid w:val="00A05BCE"/>
    <w:rsid w:val="00A05BF1"/>
    <w:rsid w:val="00A05E51"/>
    <w:rsid w:val="00A060BA"/>
    <w:rsid w:val="00A060D7"/>
    <w:rsid w:val="00A063F3"/>
    <w:rsid w:val="00A0654E"/>
    <w:rsid w:val="00A06578"/>
    <w:rsid w:val="00A065D6"/>
    <w:rsid w:val="00A066BD"/>
    <w:rsid w:val="00A0681D"/>
    <w:rsid w:val="00A06956"/>
    <w:rsid w:val="00A06A29"/>
    <w:rsid w:val="00A06E81"/>
    <w:rsid w:val="00A06F01"/>
    <w:rsid w:val="00A070DE"/>
    <w:rsid w:val="00A07280"/>
    <w:rsid w:val="00A07479"/>
    <w:rsid w:val="00A0753B"/>
    <w:rsid w:val="00A076CC"/>
    <w:rsid w:val="00A07B6F"/>
    <w:rsid w:val="00A07C1F"/>
    <w:rsid w:val="00A07C9C"/>
    <w:rsid w:val="00A07D2A"/>
    <w:rsid w:val="00A07D32"/>
    <w:rsid w:val="00A07FED"/>
    <w:rsid w:val="00A100EA"/>
    <w:rsid w:val="00A1027B"/>
    <w:rsid w:val="00A10378"/>
    <w:rsid w:val="00A10424"/>
    <w:rsid w:val="00A104D4"/>
    <w:rsid w:val="00A1052D"/>
    <w:rsid w:val="00A106A0"/>
    <w:rsid w:val="00A10791"/>
    <w:rsid w:val="00A107F8"/>
    <w:rsid w:val="00A1094B"/>
    <w:rsid w:val="00A109C4"/>
    <w:rsid w:val="00A109E7"/>
    <w:rsid w:val="00A10AA0"/>
    <w:rsid w:val="00A10B9C"/>
    <w:rsid w:val="00A10BB1"/>
    <w:rsid w:val="00A10BF3"/>
    <w:rsid w:val="00A10D3C"/>
    <w:rsid w:val="00A10FF7"/>
    <w:rsid w:val="00A111FA"/>
    <w:rsid w:val="00A114CA"/>
    <w:rsid w:val="00A114DF"/>
    <w:rsid w:val="00A116E8"/>
    <w:rsid w:val="00A11759"/>
    <w:rsid w:val="00A11904"/>
    <w:rsid w:val="00A11A17"/>
    <w:rsid w:val="00A11A27"/>
    <w:rsid w:val="00A11A48"/>
    <w:rsid w:val="00A11A73"/>
    <w:rsid w:val="00A11A94"/>
    <w:rsid w:val="00A11F36"/>
    <w:rsid w:val="00A11F4A"/>
    <w:rsid w:val="00A12290"/>
    <w:rsid w:val="00A122AE"/>
    <w:rsid w:val="00A12337"/>
    <w:rsid w:val="00A12498"/>
    <w:rsid w:val="00A124B6"/>
    <w:rsid w:val="00A124EC"/>
    <w:rsid w:val="00A1259F"/>
    <w:rsid w:val="00A12606"/>
    <w:rsid w:val="00A12619"/>
    <w:rsid w:val="00A127AE"/>
    <w:rsid w:val="00A127D4"/>
    <w:rsid w:val="00A128B5"/>
    <w:rsid w:val="00A12A32"/>
    <w:rsid w:val="00A12AA2"/>
    <w:rsid w:val="00A12C27"/>
    <w:rsid w:val="00A12C7E"/>
    <w:rsid w:val="00A12D38"/>
    <w:rsid w:val="00A12DD9"/>
    <w:rsid w:val="00A12F4C"/>
    <w:rsid w:val="00A130AA"/>
    <w:rsid w:val="00A1336D"/>
    <w:rsid w:val="00A133D0"/>
    <w:rsid w:val="00A135E1"/>
    <w:rsid w:val="00A13793"/>
    <w:rsid w:val="00A139D5"/>
    <w:rsid w:val="00A13A49"/>
    <w:rsid w:val="00A13AB7"/>
    <w:rsid w:val="00A13AE9"/>
    <w:rsid w:val="00A13B73"/>
    <w:rsid w:val="00A13C93"/>
    <w:rsid w:val="00A13F62"/>
    <w:rsid w:val="00A141A8"/>
    <w:rsid w:val="00A143E0"/>
    <w:rsid w:val="00A1447B"/>
    <w:rsid w:val="00A144A7"/>
    <w:rsid w:val="00A14578"/>
    <w:rsid w:val="00A14589"/>
    <w:rsid w:val="00A14672"/>
    <w:rsid w:val="00A14774"/>
    <w:rsid w:val="00A147E3"/>
    <w:rsid w:val="00A148AE"/>
    <w:rsid w:val="00A14BAF"/>
    <w:rsid w:val="00A14C4F"/>
    <w:rsid w:val="00A14CA6"/>
    <w:rsid w:val="00A14E21"/>
    <w:rsid w:val="00A14E6C"/>
    <w:rsid w:val="00A1500B"/>
    <w:rsid w:val="00A152C6"/>
    <w:rsid w:val="00A15348"/>
    <w:rsid w:val="00A15424"/>
    <w:rsid w:val="00A1547D"/>
    <w:rsid w:val="00A154FB"/>
    <w:rsid w:val="00A15665"/>
    <w:rsid w:val="00A15682"/>
    <w:rsid w:val="00A156C4"/>
    <w:rsid w:val="00A156D2"/>
    <w:rsid w:val="00A1580A"/>
    <w:rsid w:val="00A158E1"/>
    <w:rsid w:val="00A15902"/>
    <w:rsid w:val="00A15E98"/>
    <w:rsid w:val="00A15F22"/>
    <w:rsid w:val="00A15FFB"/>
    <w:rsid w:val="00A160E8"/>
    <w:rsid w:val="00A16115"/>
    <w:rsid w:val="00A1611A"/>
    <w:rsid w:val="00A161AD"/>
    <w:rsid w:val="00A162CC"/>
    <w:rsid w:val="00A163C9"/>
    <w:rsid w:val="00A164A4"/>
    <w:rsid w:val="00A16537"/>
    <w:rsid w:val="00A16543"/>
    <w:rsid w:val="00A1657C"/>
    <w:rsid w:val="00A1658A"/>
    <w:rsid w:val="00A165A0"/>
    <w:rsid w:val="00A16728"/>
    <w:rsid w:val="00A1677E"/>
    <w:rsid w:val="00A1689B"/>
    <w:rsid w:val="00A16917"/>
    <w:rsid w:val="00A1694E"/>
    <w:rsid w:val="00A16CDF"/>
    <w:rsid w:val="00A16D13"/>
    <w:rsid w:val="00A16DDE"/>
    <w:rsid w:val="00A16E33"/>
    <w:rsid w:val="00A16E5B"/>
    <w:rsid w:val="00A17055"/>
    <w:rsid w:val="00A170B4"/>
    <w:rsid w:val="00A170E6"/>
    <w:rsid w:val="00A17219"/>
    <w:rsid w:val="00A1728B"/>
    <w:rsid w:val="00A173E1"/>
    <w:rsid w:val="00A17738"/>
    <w:rsid w:val="00A1791F"/>
    <w:rsid w:val="00A17995"/>
    <w:rsid w:val="00A17A23"/>
    <w:rsid w:val="00A17C5E"/>
    <w:rsid w:val="00A17CAB"/>
    <w:rsid w:val="00A17D0A"/>
    <w:rsid w:val="00A17E65"/>
    <w:rsid w:val="00A17EAF"/>
    <w:rsid w:val="00A17EC0"/>
    <w:rsid w:val="00A17EED"/>
    <w:rsid w:val="00A200CD"/>
    <w:rsid w:val="00A202D2"/>
    <w:rsid w:val="00A2037E"/>
    <w:rsid w:val="00A2044F"/>
    <w:rsid w:val="00A20563"/>
    <w:rsid w:val="00A20B1D"/>
    <w:rsid w:val="00A20D65"/>
    <w:rsid w:val="00A20E2D"/>
    <w:rsid w:val="00A21118"/>
    <w:rsid w:val="00A2113B"/>
    <w:rsid w:val="00A211BE"/>
    <w:rsid w:val="00A21210"/>
    <w:rsid w:val="00A2126C"/>
    <w:rsid w:val="00A212FC"/>
    <w:rsid w:val="00A213DA"/>
    <w:rsid w:val="00A21451"/>
    <w:rsid w:val="00A21574"/>
    <w:rsid w:val="00A2189F"/>
    <w:rsid w:val="00A21AFC"/>
    <w:rsid w:val="00A21C2E"/>
    <w:rsid w:val="00A21C3A"/>
    <w:rsid w:val="00A21C6C"/>
    <w:rsid w:val="00A21C74"/>
    <w:rsid w:val="00A21D14"/>
    <w:rsid w:val="00A21D2C"/>
    <w:rsid w:val="00A21D2F"/>
    <w:rsid w:val="00A22080"/>
    <w:rsid w:val="00A220F9"/>
    <w:rsid w:val="00A22274"/>
    <w:rsid w:val="00A223AF"/>
    <w:rsid w:val="00A2267C"/>
    <w:rsid w:val="00A227AE"/>
    <w:rsid w:val="00A22819"/>
    <w:rsid w:val="00A229ED"/>
    <w:rsid w:val="00A22B1D"/>
    <w:rsid w:val="00A22C56"/>
    <w:rsid w:val="00A22CDC"/>
    <w:rsid w:val="00A22F29"/>
    <w:rsid w:val="00A22FD4"/>
    <w:rsid w:val="00A231A1"/>
    <w:rsid w:val="00A231E8"/>
    <w:rsid w:val="00A231FE"/>
    <w:rsid w:val="00A23365"/>
    <w:rsid w:val="00A23419"/>
    <w:rsid w:val="00A23489"/>
    <w:rsid w:val="00A23717"/>
    <w:rsid w:val="00A23784"/>
    <w:rsid w:val="00A2386B"/>
    <w:rsid w:val="00A2398D"/>
    <w:rsid w:val="00A23A39"/>
    <w:rsid w:val="00A23A95"/>
    <w:rsid w:val="00A23AB2"/>
    <w:rsid w:val="00A23BAA"/>
    <w:rsid w:val="00A23BC4"/>
    <w:rsid w:val="00A23CBE"/>
    <w:rsid w:val="00A23F03"/>
    <w:rsid w:val="00A23FF6"/>
    <w:rsid w:val="00A2401B"/>
    <w:rsid w:val="00A24023"/>
    <w:rsid w:val="00A240C6"/>
    <w:rsid w:val="00A242CF"/>
    <w:rsid w:val="00A242EB"/>
    <w:rsid w:val="00A244EA"/>
    <w:rsid w:val="00A2477E"/>
    <w:rsid w:val="00A247DF"/>
    <w:rsid w:val="00A2492F"/>
    <w:rsid w:val="00A24D7D"/>
    <w:rsid w:val="00A24D91"/>
    <w:rsid w:val="00A24F94"/>
    <w:rsid w:val="00A251BD"/>
    <w:rsid w:val="00A251E2"/>
    <w:rsid w:val="00A253D6"/>
    <w:rsid w:val="00A25454"/>
    <w:rsid w:val="00A2545E"/>
    <w:rsid w:val="00A2552E"/>
    <w:rsid w:val="00A255B4"/>
    <w:rsid w:val="00A2562A"/>
    <w:rsid w:val="00A2567B"/>
    <w:rsid w:val="00A259D0"/>
    <w:rsid w:val="00A25B80"/>
    <w:rsid w:val="00A25C18"/>
    <w:rsid w:val="00A25CEF"/>
    <w:rsid w:val="00A25E2C"/>
    <w:rsid w:val="00A2601B"/>
    <w:rsid w:val="00A2601D"/>
    <w:rsid w:val="00A26323"/>
    <w:rsid w:val="00A263F9"/>
    <w:rsid w:val="00A26519"/>
    <w:rsid w:val="00A267D3"/>
    <w:rsid w:val="00A26848"/>
    <w:rsid w:val="00A268BE"/>
    <w:rsid w:val="00A26935"/>
    <w:rsid w:val="00A269D1"/>
    <w:rsid w:val="00A26ADF"/>
    <w:rsid w:val="00A26B1F"/>
    <w:rsid w:val="00A26B9C"/>
    <w:rsid w:val="00A26CCB"/>
    <w:rsid w:val="00A26FCE"/>
    <w:rsid w:val="00A2716B"/>
    <w:rsid w:val="00A273FB"/>
    <w:rsid w:val="00A275CF"/>
    <w:rsid w:val="00A277BC"/>
    <w:rsid w:val="00A277CA"/>
    <w:rsid w:val="00A278DE"/>
    <w:rsid w:val="00A27A05"/>
    <w:rsid w:val="00A27AA9"/>
    <w:rsid w:val="00A27DEF"/>
    <w:rsid w:val="00A27F23"/>
    <w:rsid w:val="00A30101"/>
    <w:rsid w:val="00A30487"/>
    <w:rsid w:val="00A3057F"/>
    <w:rsid w:val="00A30648"/>
    <w:rsid w:val="00A3064B"/>
    <w:rsid w:val="00A3077A"/>
    <w:rsid w:val="00A307D2"/>
    <w:rsid w:val="00A3096B"/>
    <w:rsid w:val="00A309DA"/>
    <w:rsid w:val="00A30A6D"/>
    <w:rsid w:val="00A30CC8"/>
    <w:rsid w:val="00A30D6D"/>
    <w:rsid w:val="00A30DA8"/>
    <w:rsid w:val="00A30F0F"/>
    <w:rsid w:val="00A30F1C"/>
    <w:rsid w:val="00A311E6"/>
    <w:rsid w:val="00A312A3"/>
    <w:rsid w:val="00A312FF"/>
    <w:rsid w:val="00A31343"/>
    <w:rsid w:val="00A3146D"/>
    <w:rsid w:val="00A316D6"/>
    <w:rsid w:val="00A31790"/>
    <w:rsid w:val="00A318EC"/>
    <w:rsid w:val="00A31C67"/>
    <w:rsid w:val="00A31E11"/>
    <w:rsid w:val="00A31EF0"/>
    <w:rsid w:val="00A32197"/>
    <w:rsid w:val="00A3239B"/>
    <w:rsid w:val="00A32433"/>
    <w:rsid w:val="00A3261A"/>
    <w:rsid w:val="00A3277A"/>
    <w:rsid w:val="00A32793"/>
    <w:rsid w:val="00A32797"/>
    <w:rsid w:val="00A327EA"/>
    <w:rsid w:val="00A3294A"/>
    <w:rsid w:val="00A32B39"/>
    <w:rsid w:val="00A32B3E"/>
    <w:rsid w:val="00A32DB2"/>
    <w:rsid w:val="00A32FA2"/>
    <w:rsid w:val="00A33067"/>
    <w:rsid w:val="00A3312F"/>
    <w:rsid w:val="00A331D3"/>
    <w:rsid w:val="00A331DF"/>
    <w:rsid w:val="00A3336B"/>
    <w:rsid w:val="00A33526"/>
    <w:rsid w:val="00A3352B"/>
    <w:rsid w:val="00A33543"/>
    <w:rsid w:val="00A336E0"/>
    <w:rsid w:val="00A338BA"/>
    <w:rsid w:val="00A338E5"/>
    <w:rsid w:val="00A339DA"/>
    <w:rsid w:val="00A339EE"/>
    <w:rsid w:val="00A33A1A"/>
    <w:rsid w:val="00A33CDE"/>
    <w:rsid w:val="00A33D5C"/>
    <w:rsid w:val="00A3403E"/>
    <w:rsid w:val="00A34052"/>
    <w:rsid w:val="00A3407C"/>
    <w:rsid w:val="00A34182"/>
    <w:rsid w:val="00A3449B"/>
    <w:rsid w:val="00A345C4"/>
    <w:rsid w:val="00A34656"/>
    <w:rsid w:val="00A3465B"/>
    <w:rsid w:val="00A34742"/>
    <w:rsid w:val="00A348E9"/>
    <w:rsid w:val="00A34B9B"/>
    <w:rsid w:val="00A34E91"/>
    <w:rsid w:val="00A350F3"/>
    <w:rsid w:val="00A3512E"/>
    <w:rsid w:val="00A351E0"/>
    <w:rsid w:val="00A351E7"/>
    <w:rsid w:val="00A3527A"/>
    <w:rsid w:val="00A3537A"/>
    <w:rsid w:val="00A353A0"/>
    <w:rsid w:val="00A35854"/>
    <w:rsid w:val="00A359DB"/>
    <w:rsid w:val="00A35B84"/>
    <w:rsid w:val="00A35BB6"/>
    <w:rsid w:val="00A35C0D"/>
    <w:rsid w:val="00A35CCF"/>
    <w:rsid w:val="00A35CEC"/>
    <w:rsid w:val="00A35D70"/>
    <w:rsid w:val="00A35E58"/>
    <w:rsid w:val="00A35E6E"/>
    <w:rsid w:val="00A35F14"/>
    <w:rsid w:val="00A361C1"/>
    <w:rsid w:val="00A36289"/>
    <w:rsid w:val="00A3631D"/>
    <w:rsid w:val="00A36320"/>
    <w:rsid w:val="00A36413"/>
    <w:rsid w:val="00A3642A"/>
    <w:rsid w:val="00A36464"/>
    <w:rsid w:val="00A3649D"/>
    <w:rsid w:val="00A36547"/>
    <w:rsid w:val="00A368BF"/>
    <w:rsid w:val="00A368CA"/>
    <w:rsid w:val="00A3696E"/>
    <w:rsid w:val="00A36C4F"/>
    <w:rsid w:val="00A36D2A"/>
    <w:rsid w:val="00A36E2E"/>
    <w:rsid w:val="00A36E46"/>
    <w:rsid w:val="00A36EEC"/>
    <w:rsid w:val="00A36FB2"/>
    <w:rsid w:val="00A36FD8"/>
    <w:rsid w:val="00A37110"/>
    <w:rsid w:val="00A3713C"/>
    <w:rsid w:val="00A371F9"/>
    <w:rsid w:val="00A3722A"/>
    <w:rsid w:val="00A37235"/>
    <w:rsid w:val="00A37245"/>
    <w:rsid w:val="00A3733D"/>
    <w:rsid w:val="00A3754A"/>
    <w:rsid w:val="00A375DA"/>
    <w:rsid w:val="00A376D1"/>
    <w:rsid w:val="00A3771F"/>
    <w:rsid w:val="00A3796C"/>
    <w:rsid w:val="00A37A5D"/>
    <w:rsid w:val="00A37A7D"/>
    <w:rsid w:val="00A37A99"/>
    <w:rsid w:val="00A37BF4"/>
    <w:rsid w:val="00A37C5A"/>
    <w:rsid w:val="00A37E92"/>
    <w:rsid w:val="00A37E9D"/>
    <w:rsid w:val="00A37EC9"/>
    <w:rsid w:val="00A37ED8"/>
    <w:rsid w:val="00A37EDE"/>
    <w:rsid w:val="00A37F69"/>
    <w:rsid w:val="00A400A7"/>
    <w:rsid w:val="00A40411"/>
    <w:rsid w:val="00A40455"/>
    <w:rsid w:val="00A404D3"/>
    <w:rsid w:val="00A40546"/>
    <w:rsid w:val="00A40844"/>
    <w:rsid w:val="00A40B2D"/>
    <w:rsid w:val="00A40F0E"/>
    <w:rsid w:val="00A40F3A"/>
    <w:rsid w:val="00A4114D"/>
    <w:rsid w:val="00A412A4"/>
    <w:rsid w:val="00A412D3"/>
    <w:rsid w:val="00A4137A"/>
    <w:rsid w:val="00A41571"/>
    <w:rsid w:val="00A41797"/>
    <w:rsid w:val="00A4180F"/>
    <w:rsid w:val="00A41834"/>
    <w:rsid w:val="00A418CB"/>
    <w:rsid w:val="00A419AB"/>
    <w:rsid w:val="00A41AE7"/>
    <w:rsid w:val="00A41ED2"/>
    <w:rsid w:val="00A42155"/>
    <w:rsid w:val="00A4225E"/>
    <w:rsid w:val="00A423E2"/>
    <w:rsid w:val="00A424F7"/>
    <w:rsid w:val="00A4256E"/>
    <w:rsid w:val="00A4271B"/>
    <w:rsid w:val="00A42793"/>
    <w:rsid w:val="00A429D4"/>
    <w:rsid w:val="00A42B10"/>
    <w:rsid w:val="00A42B15"/>
    <w:rsid w:val="00A42DFA"/>
    <w:rsid w:val="00A42EA1"/>
    <w:rsid w:val="00A43103"/>
    <w:rsid w:val="00A4312F"/>
    <w:rsid w:val="00A4320B"/>
    <w:rsid w:val="00A432F8"/>
    <w:rsid w:val="00A43380"/>
    <w:rsid w:val="00A4353F"/>
    <w:rsid w:val="00A4359D"/>
    <w:rsid w:val="00A435EF"/>
    <w:rsid w:val="00A437E9"/>
    <w:rsid w:val="00A43861"/>
    <w:rsid w:val="00A43938"/>
    <w:rsid w:val="00A439DD"/>
    <w:rsid w:val="00A43AE7"/>
    <w:rsid w:val="00A43B80"/>
    <w:rsid w:val="00A43B8F"/>
    <w:rsid w:val="00A43E6D"/>
    <w:rsid w:val="00A44176"/>
    <w:rsid w:val="00A44263"/>
    <w:rsid w:val="00A44444"/>
    <w:rsid w:val="00A444BB"/>
    <w:rsid w:val="00A44547"/>
    <w:rsid w:val="00A44586"/>
    <w:rsid w:val="00A44724"/>
    <w:rsid w:val="00A447FB"/>
    <w:rsid w:val="00A44981"/>
    <w:rsid w:val="00A449A2"/>
    <w:rsid w:val="00A44A72"/>
    <w:rsid w:val="00A44AA7"/>
    <w:rsid w:val="00A44DD3"/>
    <w:rsid w:val="00A44E29"/>
    <w:rsid w:val="00A44E97"/>
    <w:rsid w:val="00A44FCB"/>
    <w:rsid w:val="00A451DC"/>
    <w:rsid w:val="00A4520C"/>
    <w:rsid w:val="00A4525A"/>
    <w:rsid w:val="00A45348"/>
    <w:rsid w:val="00A453A8"/>
    <w:rsid w:val="00A4548E"/>
    <w:rsid w:val="00A45545"/>
    <w:rsid w:val="00A4563E"/>
    <w:rsid w:val="00A4567E"/>
    <w:rsid w:val="00A456FA"/>
    <w:rsid w:val="00A45752"/>
    <w:rsid w:val="00A4583B"/>
    <w:rsid w:val="00A45844"/>
    <w:rsid w:val="00A45906"/>
    <w:rsid w:val="00A45BAF"/>
    <w:rsid w:val="00A45C20"/>
    <w:rsid w:val="00A45C45"/>
    <w:rsid w:val="00A45CDA"/>
    <w:rsid w:val="00A45DDB"/>
    <w:rsid w:val="00A45F3D"/>
    <w:rsid w:val="00A462DC"/>
    <w:rsid w:val="00A46384"/>
    <w:rsid w:val="00A4641C"/>
    <w:rsid w:val="00A464B4"/>
    <w:rsid w:val="00A464D4"/>
    <w:rsid w:val="00A46561"/>
    <w:rsid w:val="00A4660C"/>
    <w:rsid w:val="00A466F7"/>
    <w:rsid w:val="00A46726"/>
    <w:rsid w:val="00A46889"/>
    <w:rsid w:val="00A468EF"/>
    <w:rsid w:val="00A46933"/>
    <w:rsid w:val="00A46A25"/>
    <w:rsid w:val="00A46B89"/>
    <w:rsid w:val="00A46BA8"/>
    <w:rsid w:val="00A46BB1"/>
    <w:rsid w:val="00A46BE8"/>
    <w:rsid w:val="00A46CA7"/>
    <w:rsid w:val="00A46EE1"/>
    <w:rsid w:val="00A47153"/>
    <w:rsid w:val="00A471A7"/>
    <w:rsid w:val="00A4730B"/>
    <w:rsid w:val="00A473EE"/>
    <w:rsid w:val="00A473FC"/>
    <w:rsid w:val="00A47654"/>
    <w:rsid w:val="00A477B9"/>
    <w:rsid w:val="00A47848"/>
    <w:rsid w:val="00A47C07"/>
    <w:rsid w:val="00A47C95"/>
    <w:rsid w:val="00A47FD5"/>
    <w:rsid w:val="00A50122"/>
    <w:rsid w:val="00A5015B"/>
    <w:rsid w:val="00A50332"/>
    <w:rsid w:val="00A50367"/>
    <w:rsid w:val="00A5052B"/>
    <w:rsid w:val="00A509D6"/>
    <w:rsid w:val="00A50AAD"/>
    <w:rsid w:val="00A50BA8"/>
    <w:rsid w:val="00A50CC6"/>
    <w:rsid w:val="00A50DE6"/>
    <w:rsid w:val="00A50E20"/>
    <w:rsid w:val="00A50FE6"/>
    <w:rsid w:val="00A510A6"/>
    <w:rsid w:val="00A5119B"/>
    <w:rsid w:val="00A5133C"/>
    <w:rsid w:val="00A5149D"/>
    <w:rsid w:val="00A517A5"/>
    <w:rsid w:val="00A51A06"/>
    <w:rsid w:val="00A51B1C"/>
    <w:rsid w:val="00A51C65"/>
    <w:rsid w:val="00A51C88"/>
    <w:rsid w:val="00A51CC6"/>
    <w:rsid w:val="00A51DB4"/>
    <w:rsid w:val="00A51E99"/>
    <w:rsid w:val="00A51EAF"/>
    <w:rsid w:val="00A5206A"/>
    <w:rsid w:val="00A520BA"/>
    <w:rsid w:val="00A521D1"/>
    <w:rsid w:val="00A5239A"/>
    <w:rsid w:val="00A524FB"/>
    <w:rsid w:val="00A52595"/>
    <w:rsid w:val="00A525E1"/>
    <w:rsid w:val="00A526C3"/>
    <w:rsid w:val="00A52743"/>
    <w:rsid w:val="00A52835"/>
    <w:rsid w:val="00A529BD"/>
    <w:rsid w:val="00A529D0"/>
    <w:rsid w:val="00A52A0A"/>
    <w:rsid w:val="00A52CB7"/>
    <w:rsid w:val="00A52E2E"/>
    <w:rsid w:val="00A52E9A"/>
    <w:rsid w:val="00A530A0"/>
    <w:rsid w:val="00A5323F"/>
    <w:rsid w:val="00A5353A"/>
    <w:rsid w:val="00A5354E"/>
    <w:rsid w:val="00A5365D"/>
    <w:rsid w:val="00A537AE"/>
    <w:rsid w:val="00A537CA"/>
    <w:rsid w:val="00A53812"/>
    <w:rsid w:val="00A538DD"/>
    <w:rsid w:val="00A53B36"/>
    <w:rsid w:val="00A53C6E"/>
    <w:rsid w:val="00A53CB4"/>
    <w:rsid w:val="00A53E93"/>
    <w:rsid w:val="00A53F5E"/>
    <w:rsid w:val="00A54054"/>
    <w:rsid w:val="00A5424E"/>
    <w:rsid w:val="00A544B0"/>
    <w:rsid w:val="00A54607"/>
    <w:rsid w:val="00A54638"/>
    <w:rsid w:val="00A546FB"/>
    <w:rsid w:val="00A54787"/>
    <w:rsid w:val="00A547C0"/>
    <w:rsid w:val="00A548D4"/>
    <w:rsid w:val="00A549A6"/>
    <w:rsid w:val="00A54B03"/>
    <w:rsid w:val="00A54BAC"/>
    <w:rsid w:val="00A54E08"/>
    <w:rsid w:val="00A54E0B"/>
    <w:rsid w:val="00A55095"/>
    <w:rsid w:val="00A554D0"/>
    <w:rsid w:val="00A55650"/>
    <w:rsid w:val="00A55741"/>
    <w:rsid w:val="00A557A1"/>
    <w:rsid w:val="00A55C75"/>
    <w:rsid w:val="00A55CAC"/>
    <w:rsid w:val="00A55CE1"/>
    <w:rsid w:val="00A55D1C"/>
    <w:rsid w:val="00A560E4"/>
    <w:rsid w:val="00A5615B"/>
    <w:rsid w:val="00A56217"/>
    <w:rsid w:val="00A56262"/>
    <w:rsid w:val="00A5667A"/>
    <w:rsid w:val="00A566F7"/>
    <w:rsid w:val="00A56824"/>
    <w:rsid w:val="00A5698E"/>
    <w:rsid w:val="00A56A34"/>
    <w:rsid w:val="00A56A42"/>
    <w:rsid w:val="00A56C21"/>
    <w:rsid w:val="00A56CE3"/>
    <w:rsid w:val="00A56DF7"/>
    <w:rsid w:val="00A56E33"/>
    <w:rsid w:val="00A56F65"/>
    <w:rsid w:val="00A56FE2"/>
    <w:rsid w:val="00A57065"/>
    <w:rsid w:val="00A571C0"/>
    <w:rsid w:val="00A571DE"/>
    <w:rsid w:val="00A571F9"/>
    <w:rsid w:val="00A572DB"/>
    <w:rsid w:val="00A57359"/>
    <w:rsid w:val="00A5741E"/>
    <w:rsid w:val="00A5772E"/>
    <w:rsid w:val="00A5782F"/>
    <w:rsid w:val="00A57873"/>
    <w:rsid w:val="00A578C5"/>
    <w:rsid w:val="00A57930"/>
    <w:rsid w:val="00A57934"/>
    <w:rsid w:val="00A57D2D"/>
    <w:rsid w:val="00A57DAE"/>
    <w:rsid w:val="00A57E1F"/>
    <w:rsid w:val="00A57EEC"/>
    <w:rsid w:val="00A57EFA"/>
    <w:rsid w:val="00A60004"/>
    <w:rsid w:val="00A600B0"/>
    <w:rsid w:val="00A600B1"/>
    <w:rsid w:val="00A60118"/>
    <w:rsid w:val="00A6042A"/>
    <w:rsid w:val="00A60439"/>
    <w:rsid w:val="00A6062A"/>
    <w:rsid w:val="00A6068B"/>
    <w:rsid w:val="00A606BD"/>
    <w:rsid w:val="00A6073A"/>
    <w:rsid w:val="00A6075F"/>
    <w:rsid w:val="00A60788"/>
    <w:rsid w:val="00A60882"/>
    <w:rsid w:val="00A6097C"/>
    <w:rsid w:val="00A609E8"/>
    <w:rsid w:val="00A60A80"/>
    <w:rsid w:val="00A60FB4"/>
    <w:rsid w:val="00A60FBD"/>
    <w:rsid w:val="00A610F7"/>
    <w:rsid w:val="00A61144"/>
    <w:rsid w:val="00A6116D"/>
    <w:rsid w:val="00A611EC"/>
    <w:rsid w:val="00A61304"/>
    <w:rsid w:val="00A613B3"/>
    <w:rsid w:val="00A615A4"/>
    <w:rsid w:val="00A6189B"/>
    <w:rsid w:val="00A61CC9"/>
    <w:rsid w:val="00A61CD2"/>
    <w:rsid w:val="00A61D87"/>
    <w:rsid w:val="00A61F48"/>
    <w:rsid w:val="00A61F78"/>
    <w:rsid w:val="00A62118"/>
    <w:rsid w:val="00A62297"/>
    <w:rsid w:val="00A623D4"/>
    <w:rsid w:val="00A62479"/>
    <w:rsid w:val="00A624D4"/>
    <w:rsid w:val="00A6277A"/>
    <w:rsid w:val="00A62841"/>
    <w:rsid w:val="00A628B8"/>
    <w:rsid w:val="00A628B9"/>
    <w:rsid w:val="00A629BE"/>
    <w:rsid w:val="00A62BDC"/>
    <w:rsid w:val="00A62DEB"/>
    <w:rsid w:val="00A62E15"/>
    <w:rsid w:val="00A62E64"/>
    <w:rsid w:val="00A62F5C"/>
    <w:rsid w:val="00A630E0"/>
    <w:rsid w:val="00A6310D"/>
    <w:rsid w:val="00A63164"/>
    <w:rsid w:val="00A63198"/>
    <w:rsid w:val="00A631E8"/>
    <w:rsid w:val="00A632F6"/>
    <w:rsid w:val="00A633CB"/>
    <w:rsid w:val="00A633E4"/>
    <w:rsid w:val="00A6367E"/>
    <w:rsid w:val="00A636EC"/>
    <w:rsid w:val="00A63795"/>
    <w:rsid w:val="00A63817"/>
    <w:rsid w:val="00A63844"/>
    <w:rsid w:val="00A6392E"/>
    <w:rsid w:val="00A63CA8"/>
    <w:rsid w:val="00A640B3"/>
    <w:rsid w:val="00A64104"/>
    <w:rsid w:val="00A64142"/>
    <w:rsid w:val="00A6418D"/>
    <w:rsid w:val="00A645B8"/>
    <w:rsid w:val="00A6462D"/>
    <w:rsid w:val="00A646FF"/>
    <w:rsid w:val="00A6474B"/>
    <w:rsid w:val="00A6489F"/>
    <w:rsid w:val="00A6492C"/>
    <w:rsid w:val="00A64CE7"/>
    <w:rsid w:val="00A64DC4"/>
    <w:rsid w:val="00A64DED"/>
    <w:rsid w:val="00A64DFC"/>
    <w:rsid w:val="00A64E67"/>
    <w:rsid w:val="00A65087"/>
    <w:rsid w:val="00A650CA"/>
    <w:rsid w:val="00A650F8"/>
    <w:rsid w:val="00A65472"/>
    <w:rsid w:val="00A65519"/>
    <w:rsid w:val="00A656D4"/>
    <w:rsid w:val="00A65708"/>
    <w:rsid w:val="00A6598F"/>
    <w:rsid w:val="00A65E52"/>
    <w:rsid w:val="00A65E85"/>
    <w:rsid w:val="00A66093"/>
    <w:rsid w:val="00A660CB"/>
    <w:rsid w:val="00A6616C"/>
    <w:rsid w:val="00A6618D"/>
    <w:rsid w:val="00A66223"/>
    <w:rsid w:val="00A66366"/>
    <w:rsid w:val="00A66436"/>
    <w:rsid w:val="00A664E8"/>
    <w:rsid w:val="00A66566"/>
    <w:rsid w:val="00A665D6"/>
    <w:rsid w:val="00A666D7"/>
    <w:rsid w:val="00A668BC"/>
    <w:rsid w:val="00A669A1"/>
    <w:rsid w:val="00A66B1A"/>
    <w:rsid w:val="00A66B9C"/>
    <w:rsid w:val="00A66C67"/>
    <w:rsid w:val="00A66E32"/>
    <w:rsid w:val="00A6709F"/>
    <w:rsid w:val="00A670FF"/>
    <w:rsid w:val="00A67162"/>
    <w:rsid w:val="00A6719A"/>
    <w:rsid w:val="00A671DD"/>
    <w:rsid w:val="00A67232"/>
    <w:rsid w:val="00A6734E"/>
    <w:rsid w:val="00A673B1"/>
    <w:rsid w:val="00A675C7"/>
    <w:rsid w:val="00A6765D"/>
    <w:rsid w:val="00A677C5"/>
    <w:rsid w:val="00A6785E"/>
    <w:rsid w:val="00A6788B"/>
    <w:rsid w:val="00A679CB"/>
    <w:rsid w:val="00A67B16"/>
    <w:rsid w:val="00A67BE7"/>
    <w:rsid w:val="00A67C3F"/>
    <w:rsid w:val="00A67D94"/>
    <w:rsid w:val="00A67F05"/>
    <w:rsid w:val="00A7006F"/>
    <w:rsid w:val="00A70259"/>
    <w:rsid w:val="00A70262"/>
    <w:rsid w:val="00A703FC"/>
    <w:rsid w:val="00A70472"/>
    <w:rsid w:val="00A705FC"/>
    <w:rsid w:val="00A707AE"/>
    <w:rsid w:val="00A7080C"/>
    <w:rsid w:val="00A708E5"/>
    <w:rsid w:val="00A709A1"/>
    <w:rsid w:val="00A70ACA"/>
    <w:rsid w:val="00A70CF1"/>
    <w:rsid w:val="00A70D37"/>
    <w:rsid w:val="00A70D73"/>
    <w:rsid w:val="00A70DB3"/>
    <w:rsid w:val="00A70E3B"/>
    <w:rsid w:val="00A70F2E"/>
    <w:rsid w:val="00A7109C"/>
    <w:rsid w:val="00A7113C"/>
    <w:rsid w:val="00A71140"/>
    <w:rsid w:val="00A711E9"/>
    <w:rsid w:val="00A7134F"/>
    <w:rsid w:val="00A71479"/>
    <w:rsid w:val="00A7149D"/>
    <w:rsid w:val="00A71887"/>
    <w:rsid w:val="00A71A24"/>
    <w:rsid w:val="00A71BE4"/>
    <w:rsid w:val="00A71CB1"/>
    <w:rsid w:val="00A71EC4"/>
    <w:rsid w:val="00A71EFF"/>
    <w:rsid w:val="00A71F3A"/>
    <w:rsid w:val="00A71FDD"/>
    <w:rsid w:val="00A7201B"/>
    <w:rsid w:val="00A723A0"/>
    <w:rsid w:val="00A72413"/>
    <w:rsid w:val="00A7254C"/>
    <w:rsid w:val="00A72572"/>
    <w:rsid w:val="00A725C0"/>
    <w:rsid w:val="00A726F6"/>
    <w:rsid w:val="00A728B8"/>
    <w:rsid w:val="00A72A4D"/>
    <w:rsid w:val="00A72BD9"/>
    <w:rsid w:val="00A72BEE"/>
    <w:rsid w:val="00A72C1C"/>
    <w:rsid w:val="00A72C58"/>
    <w:rsid w:val="00A72CC5"/>
    <w:rsid w:val="00A72F2C"/>
    <w:rsid w:val="00A73167"/>
    <w:rsid w:val="00A73251"/>
    <w:rsid w:val="00A7335E"/>
    <w:rsid w:val="00A7338B"/>
    <w:rsid w:val="00A733DE"/>
    <w:rsid w:val="00A734B1"/>
    <w:rsid w:val="00A735DE"/>
    <w:rsid w:val="00A736A5"/>
    <w:rsid w:val="00A73868"/>
    <w:rsid w:val="00A73A66"/>
    <w:rsid w:val="00A73A94"/>
    <w:rsid w:val="00A73C7B"/>
    <w:rsid w:val="00A73CA1"/>
    <w:rsid w:val="00A73D72"/>
    <w:rsid w:val="00A73DBB"/>
    <w:rsid w:val="00A73F41"/>
    <w:rsid w:val="00A7400F"/>
    <w:rsid w:val="00A74141"/>
    <w:rsid w:val="00A741D6"/>
    <w:rsid w:val="00A7423F"/>
    <w:rsid w:val="00A74262"/>
    <w:rsid w:val="00A74394"/>
    <w:rsid w:val="00A7444A"/>
    <w:rsid w:val="00A7457A"/>
    <w:rsid w:val="00A74701"/>
    <w:rsid w:val="00A74A97"/>
    <w:rsid w:val="00A74ADE"/>
    <w:rsid w:val="00A74D00"/>
    <w:rsid w:val="00A74D67"/>
    <w:rsid w:val="00A74EDA"/>
    <w:rsid w:val="00A74FE2"/>
    <w:rsid w:val="00A7505B"/>
    <w:rsid w:val="00A7575D"/>
    <w:rsid w:val="00A757FE"/>
    <w:rsid w:val="00A75843"/>
    <w:rsid w:val="00A75895"/>
    <w:rsid w:val="00A75AF4"/>
    <w:rsid w:val="00A75BF5"/>
    <w:rsid w:val="00A75CB9"/>
    <w:rsid w:val="00A75D4A"/>
    <w:rsid w:val="00A75DAF"/>
    <w:rsid w:val="00A75E4A"/>
    <w:rsid w:val="00A7602B"/>
    <w:rsid w:val="00A7605B"/>
    <w:rsid w:val="00A76113"/>
    <w:rsid w:val="00A7617A"/>
    <w:rsid w:val="00A7636A"/>
    <w:rsid w:val="00A764F7"/>
    <w:rsid w:val="00A76583"/>
    <w:rsid w:val="00A7659C"/>
    <w:rsid w:val="00A766B8"/>
    <w:rsid w:val="00A7670C"/>
    <w:rsid w:val="00A7677F"/>
    <w:rsid w:val="00A767EC"/>
    <w:rsid w:val="00A768E3"/>
    <w:rsid w:val="00A76920"/>
    <w:rsid w:val="00A76945"/>
    <w:rsid w:val="00A769C5"/>
    <w:rsid w:val="00A76AB7"/>
    <w:rsid w:val="00A76ACC"/>
    <w:rsid w:val="00A76B04"/>
    <w:rsid w:val="00A76B06"/>
    <w:rsid w:val="00A76D1B"/>
    <w:rsid w:val="00A76E4E"/>
    <w:rsid w:val="00A770A9"/>
    <w:rsid w:val="00A772E4"/>
    <w:rsid w:val="00A773AA"/>
    <w:rsid w:val="00A77487"/>
    <w:rsid w:val="00A77615"/>
    <w:rsid w:val="00A7761B"/>
    <w:rsid w:val="00A778F7"/>
    <w:rsid w:val="00A77AC7"/>
    <w:rsid w:val="00A77AF9"/>
    <w:rsid w:val="00A77C43"/>
    <w:rsid w:val="00A77FC8"/>
    <w:rsid w:val="00A77FE4"/>
    <w:rsid w:val="00A80316"/>
    <w:rsid w:val="00A80414"/>
    <w:rsid w:val="00A80655"/>
    <w:rsid w:val="00A80757"/>
    <w:rsid w:val="00A80776"/>
    <w:rsid w:val="00A807DF"/>
    <w:rsid w:val="00A80868"/>
    <w:rsid w:val="00A8091B"/>
    <w:rsid w:val="00A80973"/>
    <w:rsid w:val="00A809E9"/>
    <w:rsid w:val="00A80B4D"/>
    <w:rsid w:val="00A80DCD"/>
    <w:rsid w:val="00A80E2C"/>
    <w:rsid w:val="00A80FE2"/>
    <w:rsid w:val="00A81114"/>
    <w:rsid w:val="00A811E6"/>
    <w:rsid w:val="00A812DB"/>
    <w:rsid w:val="00A813CE"/>
    <w:rsid w:val="00A81ABD"/>
    <w:rsid w:val="00A81C82"/>
    <w:rsid w:val="00A81E7C"/>
    <w:rsid w:val="00A81EFF"/>
    <w:rsid w:val="00A81F7A"/>
    <w:rsid w:val="00A81FC1"/>
    <w:rsid w:val="00A81FF4"/>
    <w:rsid w:val="00A8236F"/>
    <w:rsid w:val="00A82405"/>
    <w:rsid w:val="00A825DA"/>
    <w:rsid w:val="00A8268C"/>
    <w:rsid w:val="00A82868"/>
    <w:rsid w:val="00A82883"/>
    <w:rsid w:val="00A82981"/>
    <w:rsid w:val="00A82BD2"/>
    <w:rsid w:val="00A82BDD"/>
    <w:rsid w:val="00A82E56"/>
    <w:rsid w:val="00A82E68"/>
    <w:rsid w:val="00A82EB3"/>
    <w:rsid w:val="00A82EBC"/>
    <w:rsid w:val="00A82EE6"/>
    <w:rsid w:val="00A82F67"/>
    <w:rsid w:val="00A83113"/>
    <w:rsid w:val="00A832EA"/>
    <w:rsid w:val="00A8360B"/>
    <w:rsid w:val="00A8361D"/>
    <w:rsid w:val="00A8393C"/>
    <w:rsid w:val="00A83AB5"/>
    <w:rsid w:val="00A83B84"/>
    <w:rsid w:val="00A83C37"/>
    <w:rsid w:val="00A83C78"/>
    <w:rsid w:val="00A83CA7"/>
    <w:rsid w:val="00A83E1D"/>
    <w:rsid w:val="00A83E2A"/>
    <w:rsid w:val="00A83F87"/>
    <w:rsid w:val="00A840A7"/>
    <w:rsid w:val="00A8413F"/>
    <w:rsid w:val="00A8419F"/>
    <w:rsid w:val="00A841BD"/>
    <w:rsid w:val="00A8434F"/>
    <w:rsid w:val="00A845D7"/>
    <w:rsid w:val="00A8460E"/>
    <w:rsid w:val="00A84760"/>
    <w:rsid w:val="00A84854"/>
    <w:rsid w:val="00A848F5"/>
    <w:rsid w:val="00A84B8C"/>
    <w:rsid w:val="00A84D2A"/>
    <w:rsid w:val="00A8501D"/>
    <w:rsid w:val="00A85041"/>
    <w:rsid w:val="00A850A1"/>
    <w:rsid w:val="00A850BE"/>
    <w:rsid w:val="00A8554A"/>
    <w:rsid w:val="00A85575"/>
    <w:rsid w:val="00A85711"/>
    <w:rsid w:val="00A857D9"/>
    <w:rsid w:val="00A85B0F"/>
    <w:rsid w:val="00A85B36"/>
    <w:rsid w:val="00A85B60"/>
    <w:rsid w:val="00A85DA4"/>
    <w:rsid w:val="00A85DC7"/>
    <w:rsid w:val="00A85EC7"/>
    <w:rsid w:val="00A85EE8"/>
    <w:rsid w:val="00A85FEC"/>
    <w:rsid w:val="00A86130"/>
    <w:rsid w:val="00A86289"/>
    <w:rsid w:val="00A8631C"/>
    <w:rsid w:val="00A8633B"/>
    <w:rsid w:val="00A86387"/>
    <w:rsid w:val="00A86469"/>
    <w:rsid w:val="00A8648F"/>
    <w:rsid w:val="00A865E7"/>
    <w:rsid w:val="00A8664C"/>
    <w:rsid w:val="00A86B15"/>
    <w:rsid w:val="00A86C55"/>
    <w:rsid w:val="00A86E2E"/>
    <w:rsid w:val="00A86E3F"/>
    <w:rsid w:val="00A8729A"/>
    <w:rsid w:val="00A874ED"/>
    <w:rsid w:val="00A87592"/>
    <w:rsid w:val="00A8759D"/>
    <w:rsid w:val="00A8776D"/>
    <w:rsid w:val="00A87833"/>
    <w:rsid w:val="00A878A4"/>
    <w:rsid w:val="00A87902"/>
    <w:rsid w:val="00A87C2A"/>
    <w:rsid w:val="00A87C5F"/>
    <w:rsid w:val="00A87D0C"/>
    <w:rsid w:val="00A87E58"/>
    <w:rsid w:val="00A87F87"/>
    <w:rsid w:val="00A87FEA"/>
    <w:rsid w:val="00A87FF7"/>
    <w:rsid w:val="00A900CE"/>
    <w:rsid w:val="00A902A5"/>
    <w:rsid w:val="00A90321"/>
    <w:rsid w:val="00A904E5"/>
    <w:rsid w:val="00A905E6"/>
    <w:rsid w:val="00A9064A"/>
    <w:rsid w:val="00A9066E"/>
    <w:rsid w:val="00A90834"/>
    <w:rsid w:val="00A90857"/>
    <w:rsid w:val="00A90862"/>
    <w:rsid w:val="00A90A64"/>
    <w:rsid w:val="00A90A99"/>
    <w:rsid w:val="00A90B0C"/>
    <w:rsid w:val="00A90B22"/>
    <w:rsid w:val="00A90BCC"/>
    <w:rsid w:val="00A90BD3"/>
    <w:rsid w:val="00A90BFE"/>
    <w:rsid w:val="00A91448"/>
    <w:rsid w:val="00A9159D"/>
    <w:rsid w:val="00A915E5"/>
    <w:rsid w:val="00A9172D"/>
    <w:rsid w:val="00A9195F"/>
    <w:rsid w:val="00A91984"/>
    <w:rsid w:val="00A91B62"/>
    <w:rsid w:val="00A91B80"/>
    <w:rsid w:val="00A91C1E"/>
    <w:rsid w:val="00A91C5E"/>
    <w:rsid w:val="00A91D80"/>
    <w:rsid w:val="00A91DFF"/>
    <w:rsid w:val="00A91E2E"/>
    <w:rsid w:val="00A92080"/>
    <w:rsid w:val="00A9215C"/>
    <w:rsid w:val="00A921BD"/>
    <w:rsid w:val="00A92240"/>
    <w:rsid w:val="00A92245"/>
    <w:rsid w:val="00A92356"/>
    <w:rsid w:val="00A923DE"/>
    <w:rsid w:val="00A92453"/>
    <w:rsid w:val="00A924BD"/>
    <w:rsid w:val="00A9265B"/>
    <w:rsid w:val="00A9282D"/>
    <w:rsid w:val="00A929A4"/>
    <w:rsid w:val="00A92A72"/>
    <w:rsid w:val="00A92B7B"/>
    <w:rsid w:val="00A92C11"/>
    <w:rsid w:val="00A92D6E"/>
    <w:rsid w:val="00A92F31"/>
    <w:rsid w:val="00A92F51"/>
    <w:rsid w:val="00A93470"/>
    <w:rsid w:val="00A934BB"/>
    <w:rsid w:val="00A9376F"/>
    <w:rsid w:val="00A938F0"/>
    <w:rsid w:val="00A939D8"/>
    <w:rsid w:val="00A93A47"/>
    <w:rsid w:val="00A93A78"/>
    <w:rsid w:val="00A940F1"/>
    <w:rsid w:val="00A940FB"/>
    <w:rsid w:val="00A94234"/>
    <w:rsid w:val="00A94348"/>
    <w:rsid w:val="00A943DB"/>
    <w:rsid w:val="00A944C2"/>
    <w:rsid w:val="00A9453B"/>
    <w:rsid w:val="00A94548"/>
    <w:rsid w:val="00A9456A"/>
    <w:rsid w:val="00A9475C"/>
    <w:rsid w:val="00A9481A"/>
    <w:rsid w:val="00A94A80"/>
    <w:rsid w:val="00A94B7B"/>
    <w:rsid w:val="00A94BDF"/>
    <w:rsid w:val="00A94D72"/>
    <w:rsid w:val="00A94E19"/>
    <w:rsid w:val="00A94F59"/>
    <w:rsid w:val="00A94FF3"/>
    <w:rsid w:val="00A95117"/>
    <w:rsid w:val="00A951BA"/>
    <w:rsid w:val="00A952A8"/>
    <w:rsid w:val="00A9534B"/>
    <w:rsid w:val="00A954BD"/>
    <w:rsid w:val="00A955B1"/>
    <w:rsid w:val="00A955BE"/>
    <w:rsid w:val="00A95725"/>
    <w:rsid w:val="00A95A31"/>
    <w:rsid w:val="00A95A41"/>
    <w:rsid w:val="00A95A78"/>
    <w:rsid w:val="00A95AB2"/>
    <w:rsid w:val="00A95AE1"/>
    <w:rsid w:val="00A95D5D"/>
    <w:rsid w:val="00A95F6D"/>
    <w:rsid w:val="00A96175"/>
    <w:rsid w:val="00A962D2"/>
    <w:rsid w:val="00A9647F"/>
    <w:rsid w:val="00A96538"/>
    <w:rsid w:val="00A96687"/>
    <w:rsid w:val="00A96832"/>
    <w:rsid w:val="00A96B17"/>
    <w:rsid w:val="00A96B3D"/>
    <w:rsid w:val="00A96B57"/>
    <w:rsid w:val="00A96CB6"/>
    <w:rsid w:val="00A96EB0"/>
    <w:rsid w:val="00A96F05"/>
    <w:rsid w:val="00A96F45"/>
    <w:rsid w:val="00A96FB0"/>
    <w:rsid w:val="00A96FB3"/>
    <w:rsid w:val="00A96FC3"/>
    <w:rsid w:val="00A9704F"/>
    <w:rsid w:val="00A971D7"/>
    <w:rsid w:val="00A971F5"/>
    <w:rsid w:val="00A9721D"/>
    <w:rsid w:val="00A9723B"/>
    <w:rsid w:val="00A97529"/>
    <w:rsid w:val="00A977FB"/>
    <w:rsid w:val="00A9781E"/>
    <w:rsid w:val="00A97D2C"/>
    <w:rsid w:val="00A97F22"/>
    <w:rsid w:val="00A97FDC"/>
    <w:rsid w:val="00AA00E1"/>
    <w:rsid w:val="00AA0143"/>
    <w:rsid w:val="00AA01BB"/>
    <w:rsid w:val="00AA0201"/>
    <w:rsid w:val="00AA0500"/>
    <w:rsid w:val="00AA051F"/>
    <w:rsid w:val="00AA070E"/>
    <w:rsid w:val="00AA0895"/>
    <w:rsid w:val="00AA09F8"/>
    <w:rsid w:val="00AA0AC9"/>
    <w:rsid w:val="00AA0CCE"/>
    <w:rsid w:val="00AA0DBD"/>
    <w:rsid w:val="00AA0E9D"/>
    <w:rsid w:val="00AA0F24"/>
    <w:rsid w:val="00AA0FBB"/>
    <w:rsid w:val="00AA10B1"/>
    <w:rsid w:val="00AA10E5"/>
    <w:rsid w:val="00AA121C"/>
    <w:rsid w:val="00AA1373"/>
    <w:rsid w:val="00AA14AB"/>
    <w:rsid w:val="00AA15C6"/>
    <w:rsid w:val="00AA164E"/>
    <w:rsid w:val="00AA1750"/>
    <w:rsid w:val="00AA176D"/>
    <w:rsid w:val="00AA1815"/>
    <w:rsid w:val="00AA19D5"/>
    <w:rsid w:val="00AA1BBF"/>
    <w:rsid w:val="00AA1D95"/>
    <w:rsid w:val="00AA1EA4"/>
    <w:rsid w:val="00AA1FC9"/>
    <w:rsid w:val="00AA206A"/>
    <w:rsid w:val="00AA212C"/>
    <w:rsid w:val="00AA21A7"/>
    <w:rsid w:val="00AA2227"/>
    <w:rsid w:val="00AA2238"/>
    <w:rsid w:val="00AA23B6"/>
    <w:rsid w:val="00AA25A1"/>
    <w:rsid w:val="00AA277F"/>
    <w:rsid w:val="00AA2783"/>
    <w:rsid w:val="00AA2980"/>
    <w:rsid w:val="00AA2B64"/>
    <w:rsid w:val="00AA2B6A"/>
    <w:rsid w:val="00AA2CF2"/>
    <w:rsid w:val="00AA2CF8"/>
    <w:rsid w:val="00AA2D75"/>
    <w:rsid w:val="00AA2DDD"/>
    <w:rsid w:val="00AA2ED8"/>
    <w:rsid w:val="00AA2F71"/>
    <w:rsid w:val="00AA2F9E"/>
    <w:rsid w:val="00AA32CE"/>
    <w:rsid w:val="00AA3306"/>
    <w:rsid w:val="00AA337F"/>
    <w:rsid w:val="00AA34AA"/>
    <w:rsid w:val="00AA3657"/>
    <w:rsid w:val="00AA367E"/>
    <w:rsid w:val="00AA3700"/>
    <w:rsid w:val="00AA37FC"/>
    <w:rsid w:val="00AA387E"/>
    <w:rsid w:val="00AA3A8D"/>
    <w:rsid w:val="00AA3AC6"/>
    <w:rsid w:val="00AA3B11"/>
    <w:rsid w:val="00AA3D6F"/>
    <w:rsid w:val="00AA3DB1"/>
    <w:rsid w:val="00AA3E6A"/>
    <w:rsid w:val="00AA3EE3"/>
    <w:rsid w:val="00AA4074"/>
    <w:rsid w:val="00AA4149"/>
    <w:rsid w:val="00AA45FA"/>
    <w:rsid w:val="00AA46E7"/>
    <w:rsid w:val="00AA473E"/>
    <w:rsid w:val="00AA4814"/>
    <w:rsid w:val="00AA4B70"/>
    <w:rsid w:val="00AA4F63"/>
    <w:rsid w:val="00AA4FC4"/>
    <w:rsid w:val="00AA4FD0"/>
    <w:rsid w:val="00AA526A"/>
    <w:rsid w:val="00AA5364"/>
    <w:rsid w:val="00AA5374"/>
    <w:rsid w:val="00AA539E"/>
    <w:rsid w:val="00AA545C"/>
    <w:rsid w:val="00AA5717"/>
    <w:rsid w:val="00AA5735"/>
    <w:rsid w:val="00AA5794"/>
    <w:rsid w:val="00AA5A0C"/>
    <w:rsid w:val="00AA5CCC"/>
    <w:rsid w:val="00AA5D46"/>
    <w:rsid w:val="00AA5DDF"/>
    <w:rsid w:val="00AA5E0B"/>
    <w:rsid w:val="00AA5E8C"/>
    <w:rsid w:val="00AA5FB2"/>
    <w:rsid w:val="00AA6083"/>
    <w:rsid w:val="00AA64E2"/>
    <w:rsid w:val="00AA6614"/>
    <w:rsid w:val="00AA66AE"/>
    <w:rsid w:val="00AA677E"/>
    <w:rsid w:val="00AA6799"/>
    <w:rsid w:val="00AA6914"/>
    <w:rsid w:val="00AA69FA"/>
    <w:rsid w:val="00AA7127"/>
    <w:rsid w:val="00AA73C4"/>
    <w:rsid w:val="00AA7433"/>
    <w:rsid w:val="00AA7542"/>
    <w:rsid w:val="00AA75CE"/>
    <w:rsid w:val="00AA766F"/>
    <w:rsid w:val="00AA769B"/>
    <w:rsid w:val="00AA76A5"/>
    <w:rsid w:val="00AA76C7"/>
    <w:rsid w:val="00AA7756"/>
    <w:rsid w:val="00AA7897"/>
    <w:rsid w:val="00AA7928"/>
    <w:rsid w:val="00AA7C91"/>
    <w:rsid w:val="00AA7DD3"/>
    <w:rsid w:val="00AA7F7D"/>
    <w:rsid w:val="00AA7F9C"/>
    <w:rsid w:val="00AB005E"/>
    <w:rsid w:val="00AB010D"/>
    <w:rsid w:val="00AB01FD"/>
    <w:rsid w:val="00AB030A"/>
    <w:rsid w:val="00AB050B"/>
    <w:rsid w:val="00AB0623"/>
    <w:rsid w:val="00AB0683"/>
    <w:rsid w:val="00AB0722"/>
    <w:rsid w:val="00AB0769"/>
    <w:rsid w:val="00AB0887"/>
    <w:rsid w:val="00AB10CC"/>
    <w:rsid w:val="00AB119F"/>
    <w:rsid w:val="00AB128F"/>
    <w:rsid w:val="00AB1429"/>
    <w:rsid w:val="00AB14EF"/>
    <w:rsid w:val="00AB14F5"/>
    <w:rsid w:val="00AB1625"/>
    <w:rsid w:val="00AB1709"/>
    <w:rsid w:val="00AB18E0"/>
    <w:rsid w:val="00AB1B99"/>
    <w:rsid w:val="00AB1CD6"/>
    <w:rsid w:val="00AB1D36"/>
    <w:rsid w:val="00AB1D72"/>
    <w:rsid w:val="00AB20FB"/>
    <w:rsid w:val="00AB2354"/>
    <w:rsid w:val="00AB2469"/>
    <w:rsid w:val="00AB2899"/>
    <w:rsid w:val="00AB28AC"/>
    <w:rsid w:val="00AB2960"/>
    <w:rsid w:val="00AB2A3B"/>
    <w:rsid w:val="00AB2E22"/>
    <w:rsid w:val="00AB341C"/>
    <w:rsid w:val="00AB344C"/>
    <w:rsid w:val="00AB3455"/>
    <w:rsid w:val="00AB365C"/>
    <w:rsid w:val="00AB3719"/>
    <w:rsid w:val="00AB39B9"/>
    <w:rsid w:val="00AB3E76"/>
    <w:rsid w:val="00AB3F61"/>
    <w:rsid w:val="00AB3F9C"/>
    <w:rsid w:val="00AB4124"/>
    <w:rsid w:val="00AB419D"/>
    <w:rsid w:val="00AB41BA"/>
    <w:rsid w:val="00AB4220"/>
    <w:rsid w:val="00AB44B7"/>
    <w:rsid w:val="00AB457B"/>
    <w:rsid w:val="00AB45F9"/>
    <w:rsid w:val="00AB460D"/>
    <w:rsid w:val="00AB465D"/>
    <w:rsid w:val="00AB46A3"/>
    <w:rsid w:val="00AB4822"/>
    <w:rsid w:val="00AB4826"/>
    <w:rsid w:val="00AB48CB"/>
    <w:rsid w:val="00AB4928"/>
    <w:rsid w:val="00AB49B7"/>
    <w:rsid w:val="00AB49C8"/>
    <w:rsid w:val="00AB4A42"/>
    <w:rsid w:val="00AB4B35"/>
    <w:rsid w:val="00AB4BEA"/>
    <w:rsid w:val="00AB4C68"/>
    <w:rsid w:val="00AB4D63"/>
    <w:rsid w:val="00AB4D6E"/>
    <w:rsid w:val="00AB4F13"/>
    <w:rsid w:val="00AB5148"/>
    <w:rsid w:val="00AB5248"/>
    <w:rsid w:val="00AB5505"/>
    <w:rsid w:val="00AB5615"/>
    <w:rsid w:val="00AB574B"/>
    <w:rsid w:val="00AB5842"/>
    <w:rsid w:val="00AB5A80"/>
    <w:rsid w:val="00AB5AB7"/>
    <w:rsid w:val="00AB5D37"/>
    <w:rsid w:val="00AB5DC3"/>
    <w:rsid w:val="00AB5F3B"/>
    <w:rsid w:val="00AB6014"/>
    <w:rsid w:val="00AB6079"/>
    <w:rsid w:val="00AB6188"/>
    <w:rsid w:val="00AB6194"/>
    <w:rsid w:val="00AB62B0"/>
    <w:rsid w:val="00AB6477"/>
    <w:rsid w:val="00AB649A"/>
    <w:rsid w:val="00AB6537"/>
    <w:rsid w:val="00AB6554"/>
    <w:rsid w:val="00AB6601"/>
    <w:rsid w:val="00AB683F"/>
    <w:rsid w:val="00AB68CC"/>
    <w:rsid w:val="00AB68DD"/>
    <w:rsid w:val="00AB6905"/>
    <w:rsid w:val="00AB6A45"/>
    <w:rsid w:val="00AB6B97"/>
    <w:rsid w:val="00AB6BF9"/>
    <w:rsid w:val="00AB6DF3"/>
    <w:rsid w:val="00AB6F77"/>
    <w:rsid w:val="00AB6F87"/>
    <w:rsid w:val="00AB70B7"/>
    <w:rsid w:val="00AB717D"/>
    <w:rsid w:val="00AB71CD"/>
    <w:rsid w:val="00AB75F4"/>
    <w:rsid w:val="00AB7624"/>
    <w:rsid w:val="00AB76CC"/>
    <w:rsid w:val="00AB78C5"/>
    <w:rsid w:val="00AB7972"/>
    <w:rsid w:val="00AB79EC"/>
    <w:rsid w:val="00AB7ADB"/>
    <w:rsid w:val="00AB7ADE"/>
    <w:rsid w:val="00AB7B23"/>
    <w:rsid w:val="00AB7E7F"/>
    <w:rsid w:val="00AB7FD9"/>
    <w:rsid w:val="00AC00E0"/>
    <w:rsid w:val="00AC0337"/>
    <w:rsid w:val="00AC03D7"/>
    <w:rsid w:val="00AC0407"/>
    <w:rsid w:val="00AC05F1"/>
    <w:rsid w:val="00AC06AD"/>
    <w:rsid w:val="00AC07F8"/>
    <w:rsid w:val="00AC0880"/>
    <w:rsid w:val="00AC0967"/>
    <w:rsid w:val="00AC0A72"/>
    <w:rsid w:val="00AC0AF2"/>
    <w:rsid w:val="00AC0B2E"/>
    <w:rsid w:val="00AC0BA3"/>
    <w:rsid w:val="00AC0D88"/>
    <w:rsid w:val="00AC0F25"/>
    <w:rsid w:val="00AC0F81"/>
    <w:rsid w:val="00AC0FC7"/>
    <w:rsid w:val="00AC1402"/>
    <w:rsid w:val="00AC1556"/>
    <w:rsid w:val="00AC1699"/>
    <w:rsid w:val="00AC16AC"/>
    <w:rsid w:val="00AC1849"/>
    <w:rsid w:val="00AC1886"/>
    <w:rsid w:val="00AC195A"/>
    <w:rsid w:val="00AC1CA4"/>
    <w:rsid w:val="00AC1CF0"/>
    <w:rsid w:val="00AC1DB2"/>
    <w:rsid w:val="00AC1EA2"/>
    <w:rsid w:val="00AC1F22"/>
    <w:rsid w:val="00AC20AA"/>
    <w:rsid w:val="00AC22DD"/>
    <w:rsid w:val="00AC23DD"/>
    <w:rsid w:val="00AC24A1"/>
    <w:rsid w:val="00AC24BE"/>
    <w:rsid w:val="00AC2603"/>
    <w:rsid w:val="00AC261D"/>
    <w:rsid w:val="00AC26F5"/>
    <w:rsid w:val="00AC2799"/>
    <w:rsid w:val="00AC2914"/>
    <w:rsid w:val="00AC2987"/>
    <w:rsid w:val="00AC2CCE"/>
    <w:rsid w:val="00AC2CFF"/>
    <w:rsid w:val="00AC2D0D"/>
    <w:rsid w:val="00AC2F2C"/>
    <w:rsid w:val="00AC2F32"/>
    <w:rsid w:val="00AC307D"/>
    <w:rsid w:val="00AC30CF"/>
    <w:rsid w:val="00AC3191"/>
    <w:rsid w:val="00AC31C1"/>
    <w:rsid w:val="00AC32AE"/>
    <w:rsid w:val="00AC33ED"/>
    <w:rsid w:val="00AC3463"/>
    <w:rsid w:val="00AC352B"/>
    <w:rsid w:val="00AC35D3"/>
    <w:rsid w:val="00AC35E8"/>
    <w:rsid w:val="00AC3671"/>
    <w:rsid w:val="00AC376B"/>
    <w:rsid w:val="00AC37A6"/>
    <w:rsid w:val="00AC3AB5"/>
    <w:rsid w:val="00AC3B61"/>
    <w:rsid w:val="00AC3C34"/>
    <w:rsid w:val="00AC3D27"/>
    <w:rsid w:val="00AC3E9B"/>
    <w:rsid w:val="00AC4131"/>
    <w:rsid w:val="00AC416E"/>
    <w:rsid w:val="00AC4346"/>
    <w:rsid w:val="00AC4410"/>
    <w:rsid w:val="00AC4436"/>
    <w:rsid w:val="00AC455D"/>
    <w:rsid w:val="00AC482D"/>
    <w:rsid w:val="00AC48C0"/>
    <w:rsid w:val="00AC499C"/>
    <w:rsid w:val="00AC4A32"/>
    <w:rsid w:val="00AC4A76"/>
    <w:rsid w:val="00AC4BB3"/>
    <w:rsid w:val="00AC4E3B"/>
    <w:rsid w:val="00AC4ED4"/>
    <w:rsid w:val="00AC510A"/>
    <w:rsid w:val="00AC5382"/>
    <w:rsid w:val="00AC5389"/>
    <w:rsid w:val="00AC546A"/>
    <w:rsid w:val="00AC55A4"/>
    <w:rsid w:val="00AC55C9"/>
    <w:rsid w:val="00AC55D3"/>
    <w:rsid w:val="00AC560D"/>
    <w:rsid w:val="00AC59E7"/>
    <w:rsid w:val="00AC5AEC"/>
    <w:rsid w:val="00AC5B02"/>
    <w:rsid w:val="00AC5BDD"/>
    <w:rsid w:val="00AC5DCC"/>
    <w:rsid w:val="00AC5E79"/>
    <w:rsid w:val="00AC5EDC"/>
    <w:rsid w:val="00AC5F0A"/>
    <w:rsid w:val="00AC5F10"/>
    <w:rsid w:val="00AC60AD"/>
    <w:rsid w:val="00AC60F7"/>
    <w:rsid w:val="00AC6122"/>
    <w:rsid w:val="00AC6123"/>
    <w:rsid w:val="00AC614E"/>
    <w:rsid w:val="00AC6361"/>
    <w:rsid w:val="00AC63C1"/>
    <w:rsid w:val="00AC64DD"/>
    <w:rsid w:val="00AC6559"/>
    <w:rsid w:val="00AC659A"/>
    <w:rsid w:val="00AC660A"/>
    <w:rsid w:val="00AC6760"/>
    <w:rsid w:val="00AC697E"/>
    <w:rsid w:val="00AC6991"/>
    <w:rsid w:val="00AC6AEE"/>
    <w:rsid w:val="00AC6B81"/>
    <w:rsid w:val="00AC6B8E"/>
    <w:rsid w:val="00AC6BFA"/>
    <w:rsid w:val="00AC6D7C"/>
    <w:rsid w:val="00AC6DCB"/>
    <w:rsid w:val="00AC6E6D"/>
    <w:rsid w:val="00AC6EDC"/>
    <w:rsid w:val="00AC70A2"/>
    <w:rsid w:val="00AC714D"/>
    <w:rsid w:val="00AC721D"/>
    <w:rsid w:val="00AC758F"/>
    <w:rsid w:val="00AC770A"/>
    <w:rsid w:val="00AC771F"/>
    <w:rsid w:val="00AC776F"/>
    <w:rsid w:val="00AC77AD"/>
    <w:rsid w:val="00AC77B3"/>
    <w:rsid w:val="00AC7AE9"/>
    <w:rsid w:val="00AC7B1A"/>
    <w:rsid w:val="00AC7BFD"/>
    <w:rsid w:val="00AC7D62"/>
    <w:rsid w:val="00AC7E05"/>
    <w:rsid w:val="00AC7EAA"/>
    <w:rsid w:val="00ACFC98"/>
    <w:rsid w:val="00AD0047"/>
    <w:rsid w:val="00AD01BB"/>
    <w:rsid w:val="00AD0217"/>
    <w:rsid w:val="00AD02B4"/>
    <w:rsid w:val="00AD0300"/>
    <w:rsid w:val="00AD0377"/>
    <w:rsid w:val="00AD037F"/>
    <w:rsid w:val="00AD059B"/>
    <w:rsid w:val="00AD0685"/>
    <w:rsid w:val="00AD0736"/>
    <w:rsid w:val="00AD076D"/>
    <w:rsid w:val="00AD081A"/>
    <w:rsid w:val="00AD083C"/>
    <w:rsid w:val="00AD085C"/>
    <w:rsid w:val="00AD08C9"/>
    <w:rsid w:val="00AD0C76"/>
    <w:rsid w:val="00AD0D2B"/>
    <w:rsid w:val="00AD0E2E"/>
    <w:rsid w:val="00AD108B"/>
    <w:rsid w:val="00AD10CA"/>
    <w:rsid w:val="00AD10F6"/>
    <w:rsid w:val="00AD1130"/>
    <w:rsid w:val="00AD13AB"/>
    <w:rsid w:val="00AD13B8"/>
    <w:rsid w:val="00AD147C"/>
    <w:rsid w:val="00AD15A5"/>
    <w:rsid w:val="00AD180A"/>
    <w:rsid w:val="00AD1846"/>
    <w:rsid w:val="00AD18A2"/>
    <w:rsid w:val="00AD18EF"/>
    <w:rsid w:val="00AD194F"/>
    <w:rsid w:val="00AD1ADF"/>
    <w:rsid w:val="00AD1BD4"/>
    <w:rsid w:val="00AD1F37"/>
    <w:rsid w:val="00AD2079"/>
    <w:rsid w:val="00AD2143"/>
    <w:rsid w:val="00AD2514"/>
    <w:rsid w:val="00AD251E"/>
    <w:rsid w:val="00AD279F"/>
    <w:rsid w:val="00AD283A"/>
    <w:rsid w:val="00AD2887"/>
    <w:rsid w:val="00AD2958"/>
    <w:rsid w:val="00AD2963"/>
    <w:rsid w:val="00AD2BBE"/>
    <w:rsid w:val="00AD2CEA"/>
    <w:rsid w:val="00AD2F70"/>
    <w:rsid w:val="00AD3026"/>
    <w:rsid w:val="00AD312D"/>
    <w:rsid w:val="00AD3148"/>
    <w:rsid w:val="00AD31B4"/>
    <w:rsid w:val="00AD322D"/>
    <w:rsid w:val="00AD325B"/>
    <w:rsid w:val="00AD34E1"/>
    <w:rsid w:val="00AD356E"/>
    <w:rsid w:val="00AD3701"/>
    <w:rsid w:val="00AD37A9"/>
    <w:rsid w:val="00AD37D2"/>
    <w:rsid w:val="00AD3A6A"/>
    <w:rsid w:val="00AD403C"/>
    <w:rsid w:val="00AD4128"/>
    <w:rsid w:val="00AD4152"/>
    <w:rsid w:val="00AD4188"/>
    <w:rsid w:val="00AD4202"/>
    <w:rsid w:val="00AD4366"/>
    <w:rsid w:val="00AD4399"/>
    <w:rsid w:val="00AD44F7"/>
    <w:rsid w:val="00AD454E"/>
    <w:rsid w:val="00AD4561"/>
    <w:rsid w:val="00AD460B"/>
    <w:rsid w:val="00AD4681"/>
    <w:rsid w:val="00AD47D6"/>
    <w:rsid w:val="00AD4805"/>
    <w:rsid w:val="00AD48CA"/>
    <w:rsid w:val="00AD48FF"/>
    <w:rsid w:val="00AD4AF1"/>
    <w:rsid w:val="00AD4B29"/>
    <w:rsid w:val="00AD4B2D"/>
    <w:rsid w:val="00AD4B44"/>
    <w:rsid w:val="00AD4C1B"/>
    <w:rsid w:val="00AD4CDC"/>
    <w:rsid w:val="00AD4D1F"/>
    <w:rsid w:val="00AD4ECB"/>
    <w:rsid w:val="00AD509A"/>
    <w:rsid w:val="00AD51F1"/>
    <w:rsid w:val="00AD5465"/>
    <w:rsid w:val="00AD55D6"/>
    <w:rsid w:val="00AD5620"/>
    <w:rsid w:val="00AD598B"/>
    <w:rsid w:val="00AD5A2B"/>
    <w:rsid w:val="00AD5A32"/>
    <w:rsid w:val="00AD5BDD"/>
    <w:rsid w:val="00AD5C7A"/>
    <w:rsid w:val="00AD5C8D"/>
    <w:rsid w:val="00AD6324"/>
    <w:rsid w:val="00AD640D"/>
    <w:rsid w:val="00AD663A"/>
    <w:rsid w:val="00AD67BC"/>
    <w:rsid w:val="00AD6A2C"/>
    <w:rsid w:val="00AD6A52"/>
    <w:rsid w:val="00AD6AF9"/>
    <w:rsid w:val="00AD6B21"/>
    <w:rsid w:val="00AD6B68"/>
    <w:rsid w:val="00AD6C0C"/>
    <w:rsid w:val="00AD6D7F"/>
    <w:rsid w:val="00AD6E20"/>
    <w:rsid w:val="00AD6E8E"/>
    <w:rsid w:val="00AD70A4"/>
    <w:rsid w:val="00AD7238"/>
    <w:rsid w:val="00AD7358"/>
    <w:rsid w:val="00AD735E"/>
    <w:rsid w:val="00AD73E1"/>
    <w:rsid w:val="00AD74D9"/>
    <w:rsid w:val="00AD782A"/>
    <w:rsid w:val="00AD783C"/>
    <w:rsid w:val="00AD79BE"/>
    <w:rsid w:val="00AD7B81"/>
    <w:rsid w:val="00AD7EC4"/>
    <w:rsid w:val="00AD7F2E"/>
    <w:rsid w:val="00AD7F4E"/>
    <w:rsid w:val="00AE02B7"/>
    <w:rsid w:val="00AE0315"/>
    <w:rsid w:val="00AE0784"/>
    <w:rsid w:val="00AE087E"/>
    <w:rsid w:val="00AE0947"/>
    <w:rsid w:val="00AE0DA4"/>
    <w:rsid w:val="00AE0DAF"/>
    <w:rsid w:val="00AE0E4E"/>
    <w:rsid w:val="00AE0FDD"/>
    <w:rsid w:val="00AE1273"/>
    <w:rsid w:val="00AE12FC"/>
    <w:rsid w:val="00AE14B2"/>
    <w:rsid w:val="00AE158C"/>
    <w:rsid w:val="00AE1600"/>
    <w:rsid w:val="00AE1773"/>
    <w:rsid w:val="00AE1775"/>
    <w:rsid w:val="00AE1980"/>
    <w:rsid w:val="00AE1B96"/>
    <w:rsid w:val="00AE1E77"/>
    <w:rsid w:val="00AE1ED1"/>
    <w:rsid w:val="00AE2091"/>
    <w:rsid w:val="00AE20AD"/>
    <w:rsid w:val="00AE2239"/>
    <w:rsid w:val="00AE2550"/>
    <w:rsid w:val="00AE263B"/>
    <w:rsid w:val="00AE26CC"/>
    <w:rsid w:val="00AE2840"/>
    <w:rsid w:val="00AE28DD"/>
    <w:rsid w:val="00AE29FC"/>
    <w:rsid w:val="00AE2A0B"/>
    <w:rsid w:val="00AE2A5D"/>
    <w:rsid w:val="00AE2BEF"/>
    <w:rsid w:val="00AE2D16"/>
    <w:rsid w:val="00AE2E67"/>
    <w:rsid w:val="00AE2E74"/>
    <w:rsid w:val="00AE2E82"/>
    <w:rsid w:val="00AE2FDF"/>
    <w:rsid w:val="00AE311C"/>
    <w:rsid w:val="00AE316F"/>
    <w:rsid w:val="00AE31CE"/>
    <w:rsid w:val="00AE3219"/>
    <w:rsid w:val="00AE32FC"/>
    <w:rsid w:val="00AE353A"/>
    <w:rsid w:val="00AE3855"/>
    <w:rsid w:val="00AE3926"/>
    <w:rsid w:val="00AE3A5B"/>
    <w:rsid w:val="00AE3AFE"/>
    <w:rsid w:val="00AE3DE9"/>
    <w:rsid w:val="00AE3E69"/>
    <w:rsid w:val="00AE3EB9"/>
    <w:rsid w:val="00AE3EE3"/>
    <w:rsid w:val="00AE3F7E"/>
    <w:rsid w:val="00AE4132"/>
    <w:rsid w:val="00AE45AC"/>
    <w:rsid w:val="00AE46AA"/>
    <w:rsid w:val="00AE46E2"/>
    <w:rsid w:val="00AE4742"/>
    <w:rsid w:val="00AE47C1"/>
    <w:rsid w:val="00AE49C3"/>
    <w:rsid w:val="00AE49CF"/>
    <w:rsid w:val="00AE4A14"/>
    <w:rsid w:val="00AE4B70"/>
    <w:rsid w:val="00AE4C20"/>
    <w:rsid w:val="00AE4DA6"/>
    <w:rsid w:val="00AE4E1D"/>
    <w:rsid w:val="00AE4E5D"/>
    <w:rsid w:val="00AE4ECD"/>
    <w:rsid w:val="00AE4EFD"/>
    <w:rsid w:val="00AE4F90"/>
    <w:rsid w:val="00AE4FEC"/>
    <w:rsid w:val="00AE5168"/>
    <w:rsid w:val="00AE52F9"/>
    <w:rsid w:val="00AE5302"/>
    <w:rsid w:val="00AE53D6"/>
    <w:rsid w:val="00AE5516"/>
    <w:rsid w:val="00AE558F"/>
    <w:rsid w:val="00AE56A1"/>
    <w:rsid w:val="00AE5752"/>
    <w:rsid w:val="00AE5880"/>
    <w:rsid w:val="00AE593B"/>
    <w:rsid w:val="00AE593F"/>
    <w:rsid w:val="00AE5A78"/>
    <w:rsid w:val="00AE5D29"/>
    <w:rsid w:val="00AE5ECF"/>
    <w:rsid w:val="00AE6061"/>
    <w:rsid w:val="00AE61E9"/>
    <w:rsid w:val="00AE6239"/>
    <w:rsid w:val="00AE63F7"/>
    <w:rsid w:val="00AE6532"/>
    <w:rsid w:val="00AE65EC"/>
    <w:rsid w:val="00AE667F"/>
    <w:rsid w:val="00AE66D1"/>
    <w:rsid w:val="00AE698E"/>
    <w:rsid w:val="00AE699A"/>
    <w:rsid w:val="00AE6A76"/>
    <w:rsid w:val="00AE6D4A"/>
    <w:rsid w:val="00AE6F14"/>
    <w:rsid w:val="00AE715C"/>
    <w:rsid w:val="00AE7298"/>
    <w:rsid w:val="00AE730D"/>
    <w:rsid w:val="00AE735C"/>
    <w:rsid w:val="00AE74CE"/>
    <w:rsid w:val="00AE7574"/>
    <w:rsid w:val="00AE7743"/>
    <w:rsid w:val="00AE774E"/>
    <w:rsid w:val="00AE78C6"/>
    <w:rsid w:val="00AE7979"/>
    <w:rsid w:val="00AE7AF6"/>
    <w:rsid w:val="00AE7EF4"/>
    <w:rsid w:val="00AE7FB9"/>
    <w:rsid w:val="00AF005B"/>
    <w:rsid w:val="00AF01AC"/>
    <w:rsid w:val="00AF0388"/>
    <w:rsid w:val="00AF0406"/>
    <w:rsid w:val="00AF05EF"/>
    <w:rsid w:val="00AF072C"/>
    <w:rsid w:val="00AF0794"/>
    <w:rsid w:val="00AF07C6"/>
    <w:rsid w:val="00AF0863"/>
    <w:rsid w:val="00AF0A08"/>
    <w:rsid w:val="00AF0A88"/>
    <w:rsid w:val="00AF0B5B"/>
    <w:rsid w:val="00AF0C10"/>
    <w:rsid w:val="00AF0C9C"/>
    <w:rsid w:val="00AF0D15"/>
    <w:rsid w:val="00AF0DA0"/>
    <w:rsid w:val="00AF0E0F"/>
    <w:rsid w:val="00AF0E26"/>
    <w:rsid w:val="00AF0EAD"/>
    <w:rsid w:val="00AF11FF"/>
    <w:rsid w:val="00AF1269"/>
    <w:rsid w:val="00AF132C"/>
    <w:rsid w:val="00AF13EE"/>
    <w:rsid w:val="00AF18B3"/>
    <w:rsid w:val="00AF1AE4"/>
    <w:rsid w:val="00AF1D6D"/>
    <w:rsid w:val="00AF1F3B"/>
    <w:rsid w:val="00AF22B7"/>
    <w:rsid w:val="00AF2314"/>
    <w:rsid w:val="00AF2439"/>
    <w:rsid w:val="00AF2442"/>
    <w:rsid w:val="00AF2464"/>
    <w:rsid w:val="00AF2719"/>
    <w:rsid w:val="00AF2754"/>
    <w:rsid w:val="00AF27A4"/>
    <w:rsid w:val="00AF290C"/>
    <w:rsid w:val="00AF2912"/>
    <w:rsid w:val="00AF2946"/>
    <w:rsid w:val="00AF2954"/>
    <w:rsid w:val="00AF297B"/>
    <w:rsid w:val="00AF299C"/>
    <w:rsid w:val="00AF29BB"/>
    <w:rsid w:val="00AF2AE1"/>
    <w:rsid w:val="00AF2B88"/>
    <w:rsid w:val="00AF2C43"/>
    <w:rsid w:val="00AF2F2B"/>
    <w:rsid w:val="00AF2F39"/>
    <w:rsid w:val="00AF304D"/>
    <w:rsid w:val="00AF30CF"/>
    <w:rsid w:val="00AF322B"/>
    <w:rsid w:val="00AF3275"/>
    <w:rsid w:val="00AF344E"/>
    <w:rsid w:val="00AF35E0"/>
    <w:rsid w:val="00AF361E"/>
    <w:rsid w:val="00AF3778"/>
    <w:rsid w:val="00AF37A7"/>
    <w:rsid w:val="00AF3872"/>
    <w:rsid w:val="00AF3939"/>
    <w:rsid w:val="00AF3969"/>
    <w:rsid w:val="00AF39AE"/>
    <w:rsid w:val="00AF3BA6"/>
    <w:rsid w:val="00AF3C36"/>
    <w:rsid w:val="00AF3CF2"/>
    <w:rsid w:val="00AF3D42"/>
    <w:rsid w:val="00AF3D78"/>
    <w:rsid w:val="00AF3EDE"/>
    <w:rsid w:val="00AF4009"/>
    <w:rsid w:val="00AF4148"/>
    <w:rsid w:val="00AF415C"/>
    <w:rsid w:val="00AF422A"/>
    <w:rsid w:val="00AF42CB"/>
    <w:rsid w:val="00AF44C7"/>
    <w:rsid w:val="00AF466D"/>
    <w:rsid w:val="00AF47F8"/>
    <w:rsid w:val="00AF4CA4"/>
    <w:rsid w:val="00AF4CDD"/>
    <w:rsid w:val="00AF4D04"/>
    <w:rsid w:val="00AF4DDF"/>
    <w:rsid w:val="00AF4E3E"/>
    <w:rsid w:val="00AF509E"/>
    <w:rsid w:val="00AF50D3"/>
    <w:rsid w:val="00AF50D7"/>
    <w:rsid w:val="00AF50ED"/>
    <w:rsid w:val="00AF5D11"/>
    <w:rsid w:val="00AF5D1A"/>
    <w:rsid w:val="00AF5DD3"/>
    <w:rsid w:val="00AF5E00"/>
    <w:rsid w:val="00AF5F1C"/>
    <w:rsid w:val="00AF5F2E"/>
    <w:rsid w:val="00AF61A0"/>
    <w:rsid w:val="00AF6280"/>
    <w:rsid w:val="00AF62E5"/>
    <w:rsid w:val="00AF637A"/>
    <w:rsid w:val="00AF63A9"/>
    <w:rsid w:val="00AF64F9"/>
    <w:rsid w:val="00AF681A"/>
    <w:rsid w:val="00AF6C0A"/>
    <w:rsid w:val="00AF6D31"/>
    <w:rsid w:val="00AF6EDE"/>
    <w:rsid w:val="00AF7249"/>
    <w:rsid w:val="00AF729F"/>
    <w:rsid w:val="00AF7363"/>
    <w:rsid w:val="00AF739D"/>
    <w:rsid w:val="00AF73DD"/>
    <w:rsid w:val="00AF781C"/>
    <w:rsid w:val="00AF7AA6"/>
    <w:rsid w:val="00AF7ACB"/>
    <w:rsid w:val="00AF7BC7"/>
    <w:rsid w:val="00AF7D9D"/>
    <w:rsid w:val="00AF7FA6"/>
    <w:rsid w:val="00B00194"/>
    <w:rsid w:val="00B00263"/>
    <w:rsid w:val="00B00303"/>
    <w:rsid w:val="00B00321"/>
    <w:rsid w:val="00B00409"/>
    <w:rsid w:val="00B004E3"/>
    <w:rsid w:val="00B00565"/>
    <w:rsid w:val="00B00665"/>
    <w:rsid w:val="00B006A9"/>
    <w:rsid w:val="00B00740"/>
    <w:rsid w:val="00B0076C"/>
    <w:rsid w:val="00B009B8"/>
    <w:rsid w:val="00B00AB2"/>
    <w:rsid w:val="00B00BC8"/>
    <w:rsid w:val="00B00C35"/>
    <w:rsid w:val="00B0106B"/>
    <w:rsid w:val="00B0110A"/>
    <w:rsid w:val="00B01160"/>
    <w:rsid w:val="00B01249"/>
    <w:rsid w:val="00B01370"/>
    <w:rsid w:val="00B0149C"/>
    <w:rsid w:val="00B014AF"/>
    <w:rsid w:val="00B014CC"/>
    <w:rsid w:val="00B014DE"/>
    <w:rsid w:val="00B018C8"/>
    <w:rsid w:val="00B018C9"/>
    <w:rsid w:val="00B01922"/>
    <w:rsid w:val="00B01B96"/>
    <w:rsid w:val="00B01C5A"/>
    <w:rsid w:val="00B01CCB"/>
    <w:rsid w:val="00B01CF2"/>
    <w:rsid w:val="00B01D8C"/>
    <w:rsid w:val="00B01DA8"/>
    <w:rsid w:val="00B01ECE"/>
    <w:rsid w:val="00B0201E"/>
    <w:rsid w:val="00B020F7"/>
    <w:rsid w:val="00B020FB"/>
    <w:rsid w:val="00B0247A"/>
    <w:rsid w:val="00B024D0"/>
    <w:rsid w:val="00B0286D"/>
    <w:rsid w:val="00B02893"/>
    <w:rsid w:val="00B0299D"/>
    <w:rsid w:val="00B029D2"/>
    <w:rsid w:val="00B02A9C"/>
    <w:rsid w:val="00B02AE7"/>
    <w:rsid w:val="00B02B06"/>
    <w:rsid w:val="00B02B13"/>
    <w:rsid w:val="00B02D6E"/>
    <w:rsid w:val="00B02FF0"/>
    <w:rsid w:val="00B03339"/>
    <w:rsid w:val="00B035F0"/>
    <w:rsid w:val="00B0362B"/>
    <w:rsid w:val="00B03726"/>
    <w:rsid w:val="00B03B2D"/>
    <w:rsid w:val="00B03BC6"/>
    <w:rsid w:val="00B03BEA"/>
    <w:rsid w:val="00B03C21"/>
    <w:rsid w:val="00B03C74"/>
    <w:rsid w:val="00B03E34"/>
    <w:rsid w:val="00B03ECA"/>
    <w:rsid w:val="00B03F96"/>
    <w:rsid w:val="00B03FF1"/>
    <w:rsid w:val="00B0407F"/>
    <w:rsid w:val="00B041FF"/>
    <w:rsid w:val="00B042F7"/>
    <w:rsid w:val="00B044DC"/>
    <w:rsid w:val="00B044FE"/>
    <w:rsid w:val="00B0463D"/>
    <w:rsid w:val="00B04745"/>
    <w:rsid w:val="00B048D7"/>
    <w:rsid w:val="00B049BD"/>
    <w:rsid w:val="00B04B8D"/>
    <w:rsid w:val="00B04C00"/>
    <w:rsid w:val="00B04E75"/>
    <w:rsid w:val="00B04FAA"/>
    <w:rsid w:val="00B05382"/>
    <w:rsid w:val="00B0538B"/>
    <w:rsid w:val="00B05438"/>
    <w:rsid w:val="00B0568E"/>
    <w:rsid w:val="00B056F4"/>
    <w:rsid w:val="00B0577D"/>
    <w:rsid w:val="00B057D9"/>
    <w:rsid w:val="00B05922"/>
    <w:rsid w:val="00B059FA"/>
    <w:rsid w:val="00B05A5F"/>
    <w:rsid w:val="00B05AFC"/>
    <w:rsid w:val="00B05B0F"/>
    <w:rsid w:val="00B05B78"/>
    <w:rsid w:val="00B05D99"/>
    <w:rsid w:val="00B05E41"/>
    <w:rsid w:val="00B05EA8"/>
    <w:rsid w:val="00B05EE2"/>
    <w:rsid w:val="00B06062"/>
    <w:rsid w:val="00B060D8"/>
    <w:rsid w:val="00B06148"/>
    <w:rsid w:val="00B061F0"/>
    <w:rsid w:val="00B065AE"/>
    <w:rsid w:val="00B06612"/>
    <w:rsid w:val="00B06839"/>
    <w:rsid w:val="00B068F2"/>
    <w:rsid w:val="00B0696B"/>
    <w:rsid w:val="00B06970"/>
    <w:rsid w:val="00B06A76"/>
    <w:rsid w:val="00B06A93"/>
    <w:rsid w:val="00B06D0D"/>
    <w:rsid w:val="00B06D15"/>
    <w:rsid w:val="00B06D4F"/>
    <w:rsid w:val="00B06DCE"/>
    <w:rsid w:val="00B06E09"/>
    <w:rsid w:val="00B07024"/>
    <w:rsid w:val="00B07084"/>
    <w:rsid w:val="00B07288"/>
    <w:rsid w:val="00B0732F"/>
    <w:rsid w:val="00B0780B"/>
    <w:rsid w:val="00B0788C"/>
    <w:rsid w:val="00B07BE9"/>
    <w:rsid w:val="00B07F4F"/>
    <w:rsid w:val="00B07FE8"/>
    <w:rsid w:val="00B0BCE1"/>
    <w:rsid w:val="00B10029"/>
    <w:rsid w:val="00B101C9"/>
    <w:rsid w:val="00B10278"/>
    <w:rsid w:val="00B102B7"/>
    <w:rsid w:val="00B10408"/>
    <w:rsid w:val="00B1058C"/>
    <w:rsid w:val="00B10727"/>
    <w:rsid w:val="00B107C0"/>
    <w:rsid w:val="00B10817"/>
    <w:rsid w:val="00B10AC5"/>
    <w:rsid w:val="00B10CDB"/>
    <w:rsid w:val="00B10E3B"/>
    <w:rsid w:val="00B10EA9"/>
    <w:rsid w:val="00B10FC1"/>
    <w:rsid w:val="00B111CD"/>
    <w:rsid w:val="00B11265"/>
    <w:rsid w:val="00B11406"/>
    <w:rsid w:val="00B114FE"/>
    <w:rsid w:val="00B1170D"/>
    <w:rsid w:val="00B117FD"/>
    <w:rsid w:val="00B117FF"/>
    <w:rsid w:val="00B119FF"/>
    <w:rsid w:val="00B11BB6"/>
    <w:rsid w:val="00B11D78"/>
    <w:rsid w:val="00B11F25"/>
    <w:rsid w:val="00B12094"/>
    <w:rsid w:val="00B12126"/>
    <w:rsid w:val="00B12201"/>
    <w:rsid w:val="00B12383"/>
    <w:rsid w:val="00B1238F"/>
    <w:rsid w:val="00B124DC"/>
    <w:rsid w:val="00B1282C"/>
    <w:rsid w:val="00B128E9"/>
    <w:rsid w:val="00B12922"/>
    <w:rsid w:val="00B12CBE"/>
    <w:rsid w:val="00B13027"/>
    <w:rsid w:val="00B1314E"/>
    <w:rsid w:val="00B1315A"/>
    <w:rsid w:val="00B13310"/>
    <w:rsid w:val="00B13429"/>
    <w:rsid w:val="00B13432"/>
    <w:rsid w:val="00B134FA"/>
    <w:rsid w:val="00B135A0"/>
    <w:rsid w:val="00B13661"/>
    <w:rsid w:val="00B136DC"/>
    <w:rsid w:val="00B13719"/>
    <w:rsid w:val="00B138A4"/>
    <w:rsid w:val="00B13B67"/>
    <w:rsid w:val="00B13BB6"/>
    <w:rsid w:val="00B13C31"/>
    <w:rsid w:val="00B13CED"/>
    <w:rsid w:val="00B13D4D"/>
    <w:rsid w:val="00B14005"/>
    <w:rsid w:val="00B1409A"/>
    <w:rsid w:val="00B14110"/>
    <w:rsid w:val="00B14170"/>
    <w:rsid w:val="00B14256"/>
    <w:rsid w:val="00B142A6"/>
    <w:rsid w:val="00B1439E"/>
    <w:rsid w:val="00B1491B"/>
    <w:rsid w:val="00B14A77"/>
    <w:rsid w:val="00B14AD9"/>
    <w:rsid w:val="00B14B21"/>
    <w:rsid w:val="00B14B70"/>
    <w:rsid w:val="00B14BB5"/>
    <w:rsid w:val="00B14D0D"/>
    <w:rsid w:val="00B14F25"/>
    <w:rsid w:val="00B1526C"/>
    <w:rsid w:val="00B152AA"/>
    <w:rsid w:val="00B152EF"/>
    <w:rsid w:val="00B1532E"/>
    <w:rsid w:val="00B15330"/>
    <w:rsid w:val="00B154EA"/>
    <w:rsid w:val="00B15672"/>
    <w:rsid w:val="00B1567F"/>
    <w:rsid w:val="00B157C7"/>
    <w:rsid w:val="00B158B4"/>
    <w:rsid w:val="00B15997"/>
    <w:rsid w:val="00B15A00"/>
    <w:rsid w:val="00B15A10"/>
    <w:rsid w:val="00B15A74"/>
    <w:rsid w:val="00B15AA5"/>
    <w:rsid w:val="00B15BA2"/>
    <w:rsid w:val="00B15BD6"/>
    <w:rsid w:val="00B16184"/>
    <w:rsid w:val="00B163CD"/>
    <w:rsid w:val="00B1645F"/>
    <w:rsid w:val="00B166AE"/>
    <w:rsid w:val="00B16720"/>
    <w:rsid w:val="00B1678B"/>
    <w:rsid w:val="00B169EE"/>
    <w:rsid w:val="00B16AC0"/>
    <w:rsid w:val="00B16B52"/>
    <w:rsid w:val="00B16B63"/>
    <w:rsid w:val="00B16DB6"/>
    <w:rsid w:val="00B16E53"/>
    <w:rsid w:val="00B17027"/>
    <w:rsid w:val="00B171A2"/>
    <w:rsid w:val="00B1727D"/>
    <w:rsid w:val="00B173E5"/>
    <w:rsid w:val="00B177DA"/>
    <w:rsid w:val="00B17893"/>
    <w:rsid w:val="00B1794C"/>
    <w:rsid w:val="00B17A19"/>
    <w:rsid w:val="00B17BC0"/>
    <w:rsid w:val="00B17E97"/>
    <w:rsid w:val="00B20080"/>
    <w:rsid w:val="00B200C3"/>
    <w:rsid w:val="00B203CF"/>
    <w:rsid w:val="00B204D0"/>
    <w:rsid w:val="00B2053F"/>
    <w:rsid w:val="00B20589"/>
    <w:rsid w:val="00B2068B"/>
    <w:rsid w:val="00B2075F"/>
    <w:rsid w:val="00B20969"/>
    <w:rsid w:val="00B20ACF"/>
    <w:rsid w:val="00B20BF3"/>
    <w:rsid w:val="00B20C39"/>
    <w:rsid w:val="00B20F12"/>
    <w:rsid w:val="00B20F16"/>
    <w:rsid w:val="00B2109F"/>
    <w:rsid w:val="00B21166"/>
    <w:rsid w:val="00B21300"/>
    <w:rsid w:val="00B214F5"/>
    <w:rsid w:val="00B21702"/>
    <w:rsid w:val="00B21940"/>
    <w:rsid w:val="00B21A32"/>
    <w:rsid w:val="00B21B48"/>
    <w:rsid w:val="00B21B6C"/>
    <w:rsid w:val="00B21B8E"/>
    <w:rsid w:val="00B21BC4"/>
    <w:rsid w:val="00B21D77"/>
    <w:rsid w:val="00B21F4C"/>
    <w:rsid w:val="00B22021"/>
    <w:rsid w:val="00B220EF"/>
    <w:rsid w:val="00B220F1"/>
    <w:rsid w:val="00B22390"/>
    <w:rsid w:val="00B2245C"/>
    <w:rsid w:val="00B224CC"/>
    <w:rsid w:val="00B2258D"/>
    <w:rsid w:val="00B225B0"/>
    <w:rsid w:val="00B22758"/>
    <w:rsid w:val="00B227BD"/>
    <w:rsid w:val="00B22BD6"/>
    <w:rsid w:val="00B22D64"/>
    <w:rsid w:val="00B22DF8"/>
    <w:rsid w:val="00B22E17"/>
    <w:rsid w:val="00B2301B"/>
    <w:rsid w:val="00B2302E"/>
    <w:rsid w:val="00B23147"/>
    <w:rsid w:val="00B23176"/>
    <w:rsid w:val="00B2324F"/>
    <w:rsid w:val="00B23269"/>
    <w:rsid w:val="00B23318"/>
    <w:rsid w:val="00B23376"/>
    <w:rsid w:val="00B23495"/>
    <w:rsid w:val="00B23561"/>
    <w:rsid w:val="00B2367C"/>
    <w:rsid w:val="00B2373C"/>
    <w:rsid w:val="00B23B6F"/>
    <w:rsid w:val="00B23B7E"/>
    <w:rsid w:val="00B23B81"/>
    <w:rsid w:val="00B23DAF"/>
    <w:rsid w:val="00B23FAB"/>
    <w:rsid w:val="00B23FF1"/>
    <w:rsid w:val="00B240AE"/>
    <w:rsid w:val="00B2424E"/>
    <w:rsid w:val="00B2465A"/>
    <w:rsid w:val="00B24690"/>
    <w:rsid w:val="00B24879"/>
    <w:rsid w:val="00B24A52"/>
    <w:rsid w:val="00B24B12"/>
    <w:rsid w:val="00B24CFA"/>
    <w:rsid w:val="00B24D20"/>
    <w:rsid w:val="00B24E6C"/>
    <w:rsid w:val="00B24F81"/>
    <w:rsid w:val="00B25064"/>
    <w:rsid w:val="00B250E4"/>
    <w:rsid w:val="00B253FA"/>
    <w:rsid w:val="00B2563F"/>
    <w:rsid w:val="00B25767"/>
    <w:rsid w:val="00B257A0"/>
    <w:rsid w:val="00B25808"/>
    <w:rsid w:val="00B2593A"/>
    <w:rsid w:val="00B2595F"/>
    <w:rsid w:val="00B25980"/>
    <w:rsid w:val="00B25BC1"/>
    <w:rsid w:val="00B25C42"/>
    <w:rsid w:val="00B25ED3"/>
    <w:rsid w:val="00B25F41"/>
    <w:rsid w:val="00B25FCE"/>
    <w:rsid w:val="00B260A4"/>
    <w:rsid w:val="00B26121"/>
    <w:rsid w:val="00B263B1"/>
    <w:rsid w:val="00B26481"/>
    <w:rsid w:val="00B2655E"/>
    <w:rsid w:val="00B2676B"/>
    <w:rsid w:val="00B26903"/>
    <w:rsid w:val="00B26960"/>
    <w:rsid w:val="00B269A0"/>
    <w:rsid w:val="00B26A2D"/>
    <w:rsid w:val="00B26CA3"/>
    <w:rsid w:val="00B26DB3"/>
    <w:rsid w:val="00B26E18"/>
    <w:rsid w:val="00B26FE0"/>
    <w:rsid w:val="00B272BC"/>
    <w:rsid w:val="00B27310"/>
    <w:rsid w:val="00B2735F"/>
    <w:rsid w:val="00B2748D"/>
    <w:rsid w:val="00B274B9"/>
    <w:rsid w:val="00B274E1"/>
    <w:rsid w:val="00B275E4"/>
    <w:rsid w:val="00B2776B"/>
    <w:rsid w:val="00B27891"/>
    <w:rsid w:val="00B27993"/>
    <w:rsid w:val="00B27A52"/>
    <w:rsid w:val="00B27AC7"/>
    <w:rsid w:val="00B27B11"/>
    <w:rsid w:val="00B27CF1"/>
    <w:rsid w:val="00B27D72"/>
    <w:rsid w:val="00B27F98"/>
    <w:rsid w:val="00B3006F"/>
    <w:rsid w:val="00B30109"/>
    <w:rsid w:val="00B3013A"/>
    <w:rsid w:val="00B301DA"/>
    <w:rsid w:val="00B30342"/>
    <w:rsid w:val="00B3045D"/>
    <w:rsid w:val="00B30523"/>
    <w:rsid w:val="00B3066B"/>
    <w:rsid w:val="00B308BD"/>
    <w:rsid w:val="00B30A45"/>
    <w:rsid w:val="00B30ADC"/>
    <w:rsid w:val="00B30DE4"/>
    <w:rsid w:val="00B30EB0"/>
    <w:rsid w:val="00B30F4D"/>
    <w:rsid w:val="00B30FEE"/>
    <w:rsid w:val="00B31002"/>
    <w:rsid w:val="00B31100"/>
    <w:rsid w:val="00B31139"/>
    <w:rsid w:val="00B31170"/>
    <w:rsid w:val="00B31189"/>
    <w:rsid w:val="00B31208"/>
    <w:rsid w:val="00B31289"/>
    <w:rsid w:val="00B3133B"/>
    <w:rsid w:val="00B31360"/>
    <w:rsid w:val="00B3153B"/>
    <w:rsid w:val="00B3156F"/>
    <w:rsid w:val="00B317E2"/>
    <w:rsid w:val="00B318B0"/>
    <w:rsid w:val="00B31B62"/>
    <w:rsid w:val="00B31D06"/>
    <w:rsid w:val="00B31D6D"/>
    <w:rsid w:val="00B31E34"/>
    <w:rsid w:val="00B31E83"/>
    <w:rsid w:val="00B31F65"/>
    <w:rsid w:val="00B31F73"/>
    <w:rsid w:val="00B31F80"/>
    <w:rsid w:val="00B32192"/>
    <w:rsid w:val="00B321C4"/>
    <w:rsid w:val="00B3230A"/>
    <w:rsid w:val="00B3234F"/>
    <w:rsid w:val="00B323BE"/>
    <w:rsid w:val="00B3244E"/>
    <w:rsid w:val="00B3252F"/>
    <w:rsid w:val="00B325B0"/>
    <w:rsid w:val="00B32742"/>
    <w:rsid w:val="00B327D4"/>
    <w:rsid w:val="00B32893"/>
    <w:rsid w:val="00B328D8"/>
    <w:rsid w:val="00B328FC"/>
    <w:rsid w:val="00B329F7"/>
    <w:rsid w:val="00B329FD"/>
    <w:rsid w:val="00B32ABB"/>
    <w:rsid w:val="00B32B17"/>
    <w:rsid w:val="00B32B24"/>
    <w:rsid w:val="00B32BB0"/>
    <w:rsid w:val="00B32DC6"/>
    <w:rsid w:val="00B32E1A"/>
    <w:rsid w:val="00B32FDB"/>
    <w:rsid w:val="00B33128"/>
    <w:rsid w:val="00B33317"/>
    <w:rsid w:val="00B335DD"/>
    <w:rsid w:val="00B33643"/>
    <w:rsid w:val="00B339F4"/>
    <w:rsid w:val="00B33B22"/>
    <w:rsid w:val="00B33FEB"/>
    <w:rsid w:val="00B3411C"/>
    <w:rsid w:val="00B34221"/>
    <w:rsid w:val="00B3474E"/>
    <w:rsid w:val="00B348D7"/>
    <w:rsid w:val="00B34A75"/>
    <w:rsid w:val="00B34ACA"/>
    <w:rsid w:val="00B35011"/>
    <w:rsid w:val="00B35034"/>
    <w:rsid w:val="00B3505A"/>
    <w:rsid w:val="00B35393"/>
    <w:rsid w:val="00B35425"/>
    <w:rsid w:val="00B35692"/>
    <w:rsid w:val="00B35730"/>
    <w:rsid w:val="00B358A2"/>
    <w:rsid w:val="00B35983"/>
    <w:rsid w:val="00B35AF2"/>
    <w:rsid w:val="00B35BE0"/>
    <w:rsid w:val="00B35BE2"/>
    <w:rsid w:val="00B35C1C"/>
    <w:rsid w:val="00B35F61"/>
    <w:rsid w:val="00B361AC"/>
    <w:rsid w:val="00B3628F"/>
    <w:rsid w:val="00B364FA"/>
    <w:rsid w:val="00B36519"/>
    <w:rsid w:val="00B36597"/>
    <w:rsid w:val="00B3671B"/>
    <w:rsid w:val="00B3698A"/>
    <w:rsid w:val="00B36A5C"/>
    <w:rsid w:val="00B36A60"/>
    <w:rsid w:val="00B36A73"/>
    <w:rsid w:val="00B36BB2"/>
    <w:rsid w:val="00B36E87"/>
    <w:rsid w:val="00B36F82"/>
    <w:rsid w:val="00B370C5"/>
    <w:rsid w:val="00B370EB"/>
    <w:rsid w:val="00B37190"/>
    <w:rsid w:val="00B371C2"/>
    <w:rsid w:val="00B371D4"/>
    <w:rsid w:val="00B371E0"/>
    <w:rsid w:val="00B37234"/>
    <w:rsid w:val="00B374B9"/>
    <w:rsid w:val="00B3784C"/>
    <w:rsid w:val="00B37E00"/>
    <w:rsid w:val="00B37E74"/>
    <w:rsid w:val="00B37EBD"/>
    <w:rsid w:val="00B37F82"/>
    <w:rsid w:val="00B40006"/>
    <w:rsid w:val="00B4007D"/>
    <w:rsid w:val="00B40112"/>
    <w:rsid w:val="00B40133"/>
    <w:rsid w:val="00B401D3"/>
    <w:rsid w:val="00B4021D"/>
    <w:rsid w:val="00B40353"/>
    <w:rsid w:val="00B4050F"/>
    <w:rsid w:val="00B407A3"/>
    <w:rsid w:val="00B4088F"/>
    <w:rsid w:val="00B40A19"/>
    <w:rsid w:val="00B40AC6"/>
    <w:rsid w:val="00B40AE7"/>
    <w:rsid w:val="00B40BD2"/>
    <w:rsid w:val="00B40DAF"/>
    <w:rsid w:val="00B40F26"/>
    <w:rsid w:val="00B40FA4"/>
    <w:rsid w:val="00B41158"/>
    <w:rsid w:val="00B41275"/>
    <w:rsid w:val="00B412AF"/>
    <w:rsid w:val="00B4136C"/>
    <w:rsid w:val="00B414C9"/>
    <w:rsid w:val="00B416DC"/>
    <w:rsid w:val="00B41862"/>
    <w:rsid w:val="00B41C49"/>
    <w:rsid w:val="00B41C83"/>
    <w:rsid w:val="00B41CA8"/>
    <w:rsid w:val="00B41E3A"/>
    <w:rsid w:val="00B4205B"/>
    <w:rsid w:val="00B421ED"/>
    <w:rsid w:val="00B4238D"/>
    <w:rsid w:val="00B425CA"/>
    <w:rsid w:val="00B4271C"/>
    <w:rsid w:val="00B4289D"/>
    <w:rsid w:val="00B42A04"/>
    <w:rsid w:val="00B42A31"/>
    <w:rsid w:val="00B42A91"/>
    <w:rsid w:val="00B42B2B"/>
    <w:rsid w:val="00B42B5F"/>
    <w:rsid w:val="00B42CA2"/>
    <w:rsid w:val="00B42EEC"/>
    <w:rsid w:val="00B4304F"/>
    <w:rsid w:val="00B430D0"/>
    <w:rsid w:val="00B4314D"/>
    <w:rsid w:val="00B431C0"/>
    <w:rsid w:val="00B43217"/>
    <w:rsid w:val="00B4336D"/>
    <w:rsid w:val="00B433D9"/>
    <w:rsid w:val="00B43453"/>
    <w:rsid w:val="00B43666"/>
    <w:rsid w:val="00B43819"/>
    <w:rsid w:val="00B43830"/>
    <w:rsid w:val="00B438BD"/>
    <w:rsid w:val="00B43984"/>
    <w:rsid w:val="00B43B0D"/>
    <w:rsid w:val="00B43B30"/>
    <w:rsid w:val="00B43B5E"/>
    <w:rsid w:val="00B43BF0"/>
    <w:rsid w:val="00B43C09"/>
    <w:rsid w:val="00B43C75"/>
    <w:rsid w:val="00B43CEB"/>
    <w:rsid w:val="00B43D3E"/>
    <w:rsid w:val="00B43F25"/>
    <w:rsid w:val="00B440C2"/>
    <w:rsid w:val="00B44206"/>
    <w:rsid w:val="00B442E3"/>
    <w:rsid w:val="00B443D4"/>
    <w:rsid w:val="00B446D7"/>
    <w:rsid w:val="00B44A97"/>
    <w:rsid w:val="00B44B45"/>
    <w:rsid w:val="00B44B76"/>
    <w:rsid w:val="00B44BA4"/>
    <w:rsid w:val="00B44E5F"/>
    <w:rsid w:val="00B44F73"/>
    <w:rsid w:val="00B4501E"/>
    <w:rsid w:val="00B4507B"/>
    <w:rsid w:val="00B450F8"/>
    <w:rsid w:val="00B45132"/>
    <w:rsid w:val="00B451B0"/>
    <w:rsid w:val="00B4573C"/>
    <w:rsid w:val="00B45CDB"/>
    <w:rsid w:val="00B45D01"/>
    <w:rsid w:val="00B45D1C"/>
    <w:rsid w:val="00B45D27"/>
    <w:rsid w:val="00B45D62"/>
    <w:rsid w:val="00B45D65"/>
    <w:rsid w:val="00B45DA8"/>
    <w:rsid w:val="00B45ED4"/>
    <w:rsid w:val="00B45F0A"/>
    <w:rsid w:val="00B45F88"/>
    <w:rsid w:val="00B45FA4"/>
    <w:rsid w:val="00B46045"/>
    <w:rsid w:val="00B4618E"/>
    <w:rsid w:val="00B461A8"/>
    <w:rsid w:val="00B46471"/>
    <w:rsid w:val="00B464D7"/>
    <w:rsid w:val="00B466A9"/>
    <w:rsid w:val="00B46883"/>
    <w:rsid w:val="00B46A49"/>
    <w:rsid w:val="00B46BE6"/>
    <w:rsid w:val="00B46C7D"/>
    <w:rsid w:val="00B46D86"/>
    <w:rsid w:val="00B46F94"/>
    <w:rsid w:val="00B471C6"/>
    <w:rsid w:val="00B471E9"/>
    <w:rsid w:val="00B47234"/>
    <w:rsid w:val="00B47342"/>
    <w:rsid w:val="00B4742F"/>
    <w:rsid w:val="00B474A1"/>
    <w:rsid w:val="00B47778"/>
    <w:rsid w:val="00B4787D"/>
    <w:rsid w:val="00B47A0F"/>
    <w:rsid w:val="00B47B4D"/>
    <w:rsid w:val="00B47BB9"/>
    <w:rsid w:val="00B47CFD"/>
    <w:rsid w:val="00B47EEE"/>
    <w:rsid w:val="00B47F9A"/>
    <w:rsid w:val="00B5012D"/>
    <w:rsid w:val="00B5039D"/>
    <w:rsid w:val="00B5041B"/>
    <w:rsid w:val="00B50469"/>
    <w:rsid w:val="00B505E6"/>
    <w:rsid w:val="00B50649"/>
    <w:rsid w:val="00B506B7"/>
    <w:rsid w:val="00B50738"/>
    <w:rsid w:val="00B50776"/>
    <w:rsid w:val="00B50780"/>
    <w:rsid w:val="00B50878"/>
    <w:rsid w:val="00B50AE4"/>
    <w:rsid w:val="00B50B9B"/>
    <w:rsid w:val="00B50DAB"/>
    <w:rsid w:val="00B50E53"/>
    <w:rsid w:val="00B50EFB"/>
    <w:rsid w:val="00B50F63"/>
    <w:rsid w:val="00B510E0"/>
    <w:rsid w:val="00B51101"/>
    <w:rsid w:val="00B5126F"/>
    <w:rsid w:val="00B512F9"/>
    <w:rsid w:val="00B51460"/>
    <w:rsid w:val="00B514CB"/>
    <w:rsid w:val="00B518AE"/>
    <w:rsid w:val="00B51A12"/>
    <w:rsid w:val="00B51AF1"/>
    <w:rsid w:val="00B51B06"/>
    <w:rsid w:val="00B51C06"/>
    <w:rsid w:val="00B51CDA"/>
    <w:rsid w:val="00B51D41"/>
    <w:rsid w:val="00B51DCA"/>
    <w:rsid w:val="00B51E7E"/>
    <w:rsid w:val="00B51E87"/>
    <w:rsid w:val="00B51EDA"/>
    <w:rsid w:val="00B51F64"/>
    <w:rsid w:val="00B51FB5"/>
    <w:rsid w:val="00B51FEE"/>
    <w:rsid w:val="00B52001"/>
    <w:rsid w:val="00B52157"/>
    <w:rsid w:val="00B521A0"/>
    <w:rsid w:val="00B5226E"/>
    <w:rsid w:val="00B522E0"/>
    <w:rsid w:val="00B52353"/>
    <w:rsid w:val="00B52587"/>
    <w:rsid w:val="00B525C5"/>
    <w:rsid w:val="00B52BB3"/>
    <w:rsid w:val="00B5313B"/>
    <w:rsid w:val="00B531F0"/>
    <w:rsid w:val="00B532F3"/>
    <w:rsid w:val="00B5356A"/>
    <w:rsid w:val="00B536FC"/>
    <w:rsid w:val="00B537F9"/>
    <w:rsid w:val="00B53A75"/>
    <w:rsid w:val="00B53B03"/>
    <w:rsid w:val="00B53D75"/>
    <w:rsid w:val="00B53E97"/>
    <w:rsid w:val="00B5400D"/>
    <w:rsid w:val="00B54010"/>
    <w:rsid w:val="00B54085"/>
    <w:rsid w:val="00B5409D"/>
    <w:rsid w:val="00B54116"/>
    <w:rsid w:val="00B541A4"/>
    <w:rsid w:val="00B543F6"/>
    <w:rsid w:val="00B54436"/>
    <w:rsid w:val="00B546C4"/>
    <w:rsid w:val="00B54739"/>
    <w:rsid w:val="00B549E8"/>
    <w:rsid w:val="00B54A8D"/>
    <w:rsid w:val="00B54EEA"/>
    <w:rsid w:val="00B54F83"/>
    <w:rsid w:val="00B54FAE"/>
    <w:rsid w:val="00B55027"/>
    <w:rsid w:val="00B55057"/>
    <w:rsid w:val="00B55093"/>
    <w:rsid w:val="00B550A0"/>
    <w:rsid w:val="00B55186"/>
    <w:rsid w:val="00B551BC"/>
    <w:rsid w:val="00B55269"/>
    <w:rsid w:val="00B55516"/>
    <w:rsid w:val="00B55551"/>
    <w:rsid w:val="00B555AE"/>
    <w:rsid w:val="00B5561F"/>
    <w:rsid w:val="00B557B6"/>
    <w:rsid w:val="00B5581D"/>
    <w:rsid w:val="00B55A1F"/>
    <w:rsid w:val="00B55AB8"/>
    <w:rsid w:val="00B55DA0"/>
    <w:rsid w:val="00B55E10"/>
    <w:rsid w:val="00B55E3F"/>
    <w:rsid w:val="00B55EE2"/>
    <w:rsid w:val="00B5608F"/>
    <w:rsid w:val="00B560B9"/>
    <w:rsid w:val="00B5610A"/>
    <w:rsid w:val="00B56134"/>
    <w:rsid w:val="00B5636C"/>
    <w:rsid w:val="00B5648D"/>
    <w:rsid w:val="00B564EE"/>
    <w:rsid w:val="00B565FD"/>
    <w:rsid w:val="00B56677"/>
    <w:rsid w:val="00B569AC"/>
    <w:rsid w:val="00B56C9B"/>
    <w:rsid w:val="00B56DE6"/>
    <w:rsid w:val="00B56E0A"/>
    <w:rsid w:val="00B57050"/>
    <w:rsid w:val="00B570B2"/>
    <w:rsid w:val="00B570C7"/>
    <w:rsid w:val="00B57181"/>
    <w:rsid w:val="00B57193"/>
    <w:rsid w:val="00B57210"/>
    <w:rsid w:val="00B57435"/>
    <w:rsid w:val="00B5756B"/>
    <w:rsid w:val="00B57A6C"/>
    <w:rsid w:val="00B57A9C"/>
    <w:rsid w:val="00B57B2D"/>
    <w:rsid w:val="00B57EFB"/>
    <w:rsid w:val="00B57F36"/>
    <w:rsid w:val="00B57FE0"/>
    <w:rsid w:val="00B57FFD"/>
    <w:rsid w:val="00B58E13"/>
    <w:rsid w:val="00B59B31"/>
    <w:rsid w:val="00B60060"/>
    <w:rsid w:val="00B6009E"/>
    <w:rsid w:val="00B6027A"/>
    <w:rsid w:val="00B605A4"/>
    <w:rsid w:val="00B60A1E"/>
    <w:rsid w:val="00B60EB0"/>
    <w:rsid w:val="00B61291"/>
    <w:rsid w:val="00B61294"/>
    <w:rsid w:val="00B612A1"/>
    <w:rsid w:val="00B6147C"/>
    <w:rsid w:val="00B614C4"/>
    <w:rsid w:val="00B61595"/>
    <w:rsid w:val="00B615FD"/>
    <w:rsid w:val="00B61609"/>
    <w:rsid w:val="00B616EC"/>
    <w:rsid w:val="00B617A7"/>
    <w:rsid w:val="00B6184E"/>
    <w:rsid w:val="00B61916"/>
    <w:rsid w:val="00B61ABC"/>
    <w:rsid w:val="00B61DB4"/>
    <w:rsid w:val="00B61E64"/>
    <w:rsid w:val="00B61E96"/>
    <w:rsid w:val="00B61F37"/>
    <w:rsid w:val="00B61FAB"/>
    <w:rsid w:val="00B61FC8"/>
    <w:rsid w:val="00B62102"/>
    <w:rsid w:val="00B62299"/>
    <w:rsid w:val="00B6239B"/>
    <w:rsid w:val="00B624A7"/>
    <w:rsid w:val="00B625C5"/>
    <w:rsid w:val="00B62656"/>
    <w:rsid w:val="00B62871"/>
    <w:rsid w:val="00B6291F"/>
    <w:rsid w:val="00B62CBD"/>
    <w:rsid w:val="00B62CD4"/>
    <w:rsid w:val="00B62E91"/>
    <w:rsid w:val="00B62EBE"/>
    <w:rsid w:val="00B62FA6"/>
    <w:rsid w:val="00B631D3"/>
    <w:rsid w:val="00B6327A"/>
    <w:rsid w:val="00B632FB"/>
    <w:rsid w:val="00B6331D"/>
    <w:rsid w:val="00B63320"/>
    <w:rsid w:val="00B63342"/>
    <w:rsid w:val="00B6334F"/>
    <w:rsid w:val="00B6339C"/>
    <w:rsid w:val="00B633BA"/>
    <w:rsid w:val="00B63498"/>
    <w:rsid w:val="00B634E5"/>
    <w:rsid w:val="00B63578"/>
    <w:rsid w:val="00B63616"/>
    <w:rsid w:val="00B63AC7"/>
    <w:rsid w:val="00B63C26"/>
    <w:rsid w:val="00B63CCB"/>
    <w:rsid w:val="00B63DF3"/>
    <w:rsid w:val="00B64030"/>
    <w:rsid w:val="00B640C4"/>
    <w:rsid w:val="00B640F1"/>
    <w:rsid w:val="00B641B5"/>
    <w:rsid w:val="00B642E2"/>
    <w:rsid w:val="00B643A5"/>
    <w:rsid w:val="00B643B2"/>
    <w:rsid w:val="00B6447F"/>
    <w:rsid w:val="00B6485E"/>
    <w:rsid w:val="00B6498C"/>
    <w:rsid w:val="00B649AE"/>
    <w:rsid w:val="00B64BF8"/>
    <w:rsid w:val="00B64C2E"/>
    <w:rsid w:val="00B64CDA"/>
    <w:rsid w:val="00B64E26"/>
    <w:rsid w:val="00B64F89"/>
    <w:rsid w:val="00B65014"/>
    <w:rsid w:val="00B65116"/>
    <w:rsid w:val="00B652F9"/>
    <w:rsid w:val="00B65307"/>
    <w:rsid w:val="00B6537F"/>
    <w:rsid w:val="00B653DE"/>
    <w:rsid w:val="00B65476"/>
    <w:rsid w:val="00B656B2"/>
    <w:rsid w:val="00B656DA"/>
    <w:rsid w:val="00B656E8"/>
    <w:rsid w:val="00B657A0"/>
    <w:rsid w:val="00B65B00"/>
    <w:rsid w:val="00B65BF9"/>
    <w:rsid w:val="00B65C96"/>
    <w:rsid w:val="00B65CF7"/>
    <w:rsid w:val="00B65FA8"/>
    <w:rsid w:val="00B66184"/>
    <w:rsid w:val="00B66252"/>
    <w:rsid w:val="00B6626B"/>
    <w:rsid w:val="00B66384"/>
    <w:rsid w:val="00B664A3"/>
    <w:rsid w:val="00B664D8"/>
    <w:rsid w:val="00B66565"/>
    <w:rsid w:val="00B66595"/>
    <w:rsid w:val="00B66962"/>
    <w:rsid w:val="00B66A00"/>
    <w:rsid w:val="00B66A89"/>
    <w:rsid w:val="00B66E57"/>
    <w:rsid w:val="00B66E5E"/>
    <w:rsid w:val="00B66E6A"/>
    <w:rsid w:val="00B66F6B"/>
    <w:rsid w:val="00B67255"/>
    <w:rsid w:val="00B673B6"/>
    <w:rsid w:val="00B678A6"/>
    <w:rsid w:val="00B6794F"/>
    <w:rsid w:val="00B67AD6"/>
    <w:rsid w:val="00B67C8D"/>
    <w:rsid w:val="00B67E53"/>
    <w:rsid w:val="00B67EB0"/>
    <w:rsid w:val="00B67EC8"/>
    <w:rsid w:val="00B67F57"/>
    <w:rsid w:val="00B7013B"/>
    <w:rsid w:val="00B7014D"/>
    <w:rsid w:val="00B7017B"/>
    <w:rsid w:val="00B701A0"/>
    <w:rsid w:val="00B7021F"/>
    <w:rsid w:val="00B70272"/>
    <w:rsid w:val="00B7028A"/>
    <w:rsid w:val="00B70320"/>
    <w:rsid w:val="00B7047F"/>
    <w:rsid w:val="00B704FE"/>
    <w:rsid w:val="00B7057C"/>
    <w:rsid w:val="00B7061B"/>
    <w:rsid w:val="00B70974"/>
    <w:rsid w:val="00B70A7E"/>
    <w:rsid w:val="00B70E33"/>
    <w:rsid w:val="00B70FA4"/>
    <w:rsid w:val="00B70FAA"/>
    <w:rsid w:val="00B70FCF"/>
    <w:rsid w:val="00B70FDA"/>
    <w:rsid w:val="00B7103D"/>
    <w:rsid w:val="00B7108A"/>
    <w:rsid w:val="00B71277"/>
    <w:rsid w:val="00B71505"/>
    <w:rsid w:val="00B71664"/>
    <w:rsid w:val="00B71825"/>
    <w:rsid w:val="00B71ABD"/>
    <w:rsid w:val="00B71AEF"/>
    <w:rsid w:val="00B71D87"/>
    <w:rsid w:val="00B71DBA"/>
    <w:rsid w:val="00B71E02"/>
    <w:rsid w:val="00B71E89"/>
    <w:rsid w:val="00B721D6"/>
    <w:rsid w:val="00B722B5"/>
    <w:rsid w:val="00B72566"/>
    <w:rsid w:val="00B72635"/>
    <w:rsid w:val="00B72653"/>
    <w:rsid w:val="00B7270A"/>
    <w:rsid w:val="00B72724"/>
    <w:rsid w:val="00B729BC"/>
    <w:rsid w:val="00B72BFB"/>
    <w:rsid w:val="00B72C22"/>
    <w:rsid w:val="00B72D81"/>
    <w:rsid w:val="00B72F2A"/>
    <w:rsid w:val="00B72F72"/>
    <w:rsid w:val="00B72FB6"/>
    <w:rsid w:val="00B732B4"/>
    <w:rsid w:val="00B733E4"/>
    <w:rsid w:val="00B734FB"/>
    <w:rsid w:val="00B736E1"/>
    <w:rsid w:val="00B7384E"/>
    <w:rsid w:val="00B73A18"/>
    <w:rsid w:val="00B73C4F"/>
    <w:rsid w:val="00B73C7C"/>
    <w:rsid w:val="00B73CC3"/>
    <w:rsid w:val="00B73D55"/>
    <w:rsid w:val="00B73F2E"/>
    <w:rsid w:val="00B73FEC"/>
    <w:rsid w:val="00B74026"/>
    <w:rsid w:val="00B74113"/>
    <w:rsid w:val="00B743C6"/>
    <w:rsid w:val="00B743DB"/>
    <w:rsid w:val="00B743F4"/>
    <w:rsid w:val="00B743FB"/>
    <w:rsid w:val="00B745BF"/>
    <w:rsid w:val="00B74A0D"/>
    <w:rsid w:val="00B74A2C"/>
    <w:rsid w:val="00B74AED"/>
    <w:rsid w:val="00B74E55"/>
    <w:rsid w:val="00B7500D"/>
    <w:rsid w:val="00B75063"/>
    <w:rsid w:val="00B75109"/>
    <w:rsid w:val="00B75776"/>
    <w:rsid w:val="00B757C3"/>
    <w:rsid w:val="00B75B1D"/>
    <w:rsid w:val="00B75C01"/>
    <w:rsid w:val="00B75C03"/>
    <w:rsid w:val="00B75D0A"/>
    <w:rsid w:val="00B75D1D"/>
    <w:rsid w:val="00B75D78"/>
    <w:rsid w:val="00B75DBA"/>
    <w:rsid w:val="00B75E65"/>
    <w:rsid w:val="00B75EC2"/>
    <w:rsid w:val="00B75FB1"/>
    <w:rsid w:val="00B7606E"/>
    <w:rsid w:val="00B76093"/>
    <w:rsid w:val="00B76103"/>
    <w:rsid w:val="00B762DA"/>
    <w:rsid w:val="00B764AA"/>
    <w:rsid w:val="00B765C4"/>
    <w:rsid w:val="00B769A4"/>
    <w:rsid w:val="00B76B0E"/>
    <w:rsid w:val="00B76C1D"/>
    <w:rsid w:val="00B76CB3"/>
    <w:rsid w:val="00B76E59"/>
    <w:rsid w:val="00B76ED9"/>
    <w:rsid w:val="00B76F2F"/>
    <w:rsid w:val="00B770D3"/>
    <w:rsid w:val="00B77146"/>
    <w:rsid w:val="00B772B5"/>
    <w:rsid w:val="00B77302"/>
    <w:rsid w:val="00B77316"/>
    <w:rsid w:val="00B77366"/>
    <w:rsid w:val="00B773C3"/>
    <w:rsid w:val="00B7754A"/>
    <w:rsid w:val="00B7761D"/>
    <w:rsid w:val="00B77713"/>
    <w:rsid w:val="00B778E0"/>
    <w:rsid w:val="00B77939"/>
    <w:rsid w:val="00B779B4"/>
    <w:rsid w:val="00B77C84"/>
    <w:rsid w:val="00B77E4D"/>
    <w:rsid w:val="00B77EF3"/>
    <w:rsid w:val="00B80113"/>
    <w:rsid w:val="00B80344"/>
    <w:rsid w:val="00B803D4"/>
    <w:rsid w:val="00B8051D"/>
    <w:rsid w:val="00B80877"/>
    <w:rsid w:val="00B80B00"/>
    <w:rsid w:val="00B80B1D"/>
    <w:rsid w:val="00B80B3E"/>
    <w:rsid w:val="00B80CD3"/>
    <w:rsid w:val="00B80D4C"/>
    <w:rsid w:val="00B80DE6"/>
    <w:rsid w:val="00B80E81"/>
    <w:rsid w:val="00B80E84"/>
    <w:rsid w:val="00B80FD3"/>
    <w:rsid w:val="00B8100D"/>
    <w:rsid w:val="00B81132"/>
    <w:rsid w:val="00B811C4"/>
    <w:rsid w:val="00B812FA"/>
    <w:rsid w:val="00B815E1"/>
    <w:rsid w:val="00B81687"/>
    <w:rsid w:val="00B8168A"/>
    <w:rsid w:val="00B81701"/>
    <w:rsid w:val="00B81795"/>
    <w:rsid w:val="00B817BD"/>
    <w:rsid w:val="00B8196C"/>
    <w:rsid w:val="00B81A12"/>
    <w:rsid w:val="00B81D0C"/>
    <w:rsid w:val="00B81E82"/>
    <w:rsid w:val="00B81EB1"/>
    <w:rsid w:val="00B82014"/>
    <w:rsid w:val="00B821E0"/>
    <w:rsid w:val="00B82278"/>
    <w:rsid w:val="00B822B2"/>
    <w:rsid w:val="00B82311"/>
    <w:rsid w:val="00B8239B"/>
    <w:rsid w:val="00B8248D"/>
    <w:rsid w:val="00B8251D"/>
    <w:rsid w:val="00B82555"/>
    <w:rsid w:val="00B8263A"/>
    <w:rsid w:val="00B82793"/>
    <w:rsid w:val="00B827C5"/>
    <w:rsid w:val="00B82835"/>
    <w:rsid w:val="00B82858"/>
    <w:rsid w:val="00B829FB"/>
    <w:rsid w:val="00B82A78"/>
    <w:rsid w:val="00B82AA7"/>
    <w:rsid w:val="00B82CCC"/>
    <w:rsid w:val="00B82D9B"/>
    <w:rsid w:val="00B82EB7"/>
    <w:rsid w:val="00B82FE6"/>
    <w:rsid w:val="00B8337E"/>
    <w:rsid w:val="00B833FF"/>
    <w:rsid w:val="00B8346A"/>
    <w:rsid w:val="00B8346F"/>
    <w:rsid w:val="00B836F7"/>
    <w:rsid w:val="00B8373D"/>
    <w:rsid w:val="00B83940"/>
    <w:rsid w:val="00B83989"/>
    <w:rsid w:val="00B8398C"/>
    <w:rsid w:val="00B83B44"/>
    <w:rsid w:val="00B83B5C"/>
    <w:rsid w:val="00B83D04"/>
    <w:rsid w:val="00B83D1F"/>
    <w:rsid w:val="00B83F14"/>
    <w:rsid w:val="00B83FB7"/>
    <w:rsid w:val="00B84190"/>
    <w:rsid w:val="00B841D8"/>
    <w:rsid w:val="00B84690"/>
    <w:rsid w:val="00B8469E"/>
    <w:rsid w:val="00B846BF"/>
    <w:rsid w:val="00B8480A"/>
    <w:rsid w:val="00B84874"/>
    <w:rsid w:val="00B8496F"/>
    <w:rsid w:val="00B84E16"/>
    <w:rsid w:val="00B84F98"/>
    <w:rsid w:val="00B85026"/>
    <w:rsid w:val="00B85049"/>
    <w:rsid w:val="00B850B5"/>
    <w:rsid w:val="00B855C0"/>
    <w:rsid w:val="00B855C4"/>
    <w:rsid w:val="00B8589A"/>
    <w:rsid w:val="00B8591B"/>
    <w:rsid w:val="00B85983"/>
    <w:rsid w:val="00B85A2B"/>
    <w:rsid w:val="00B85AD1"/>
    <w:rsid w:val="00B85B0E"/>
    <w:rsid w:val="00B85C5F"/>
    <w:rsid w:val="00B85CC3"/>
    <w:rsid w:val="00B85D18"/>
    <w:rsid w:val="00B85D88"/>
    <w:rsid w:val="00B85E00"/>
    <w:rsid w:val="00B85FD2"/>
    <w:rsid w:val="00B86141"/>
    <w:rsid w:val="00B86181"/>
    <w:rsid w:val="00B8629F"/>
    <w:rsid w:val="00B862AE"/>
    <w:rsid w:val="00B86433"/>
    <w:rsid w:val="00B865F5"/>
    <w:rsid w:val="00B86636"/>
    <w:rsid w:val="00B8669C"/>
    <w:rsid w:val="00B866DC"/>
    <w:rsid w:val="00B86712"/>
    <w:rsid w:val="00B8671F"/>
    <w:rsid w:val="00B8672E"/>
    <w:rsid w:val="00B8678F"/>
    <w:rsid w:val="00B867BA"/>
    <w:rsid w:val="00B86847"/>
    <w:rsid w:val="00B86B7A"/>
    <w:rsid w:val="00B8718E"/>
    <w:rsid w:val="00B8734C"/>
    <w:rsid w:val="00B873E6"/>
    <w:rsid w:val="00B87471"/>
    <w:rsid w:val="00B8767A"/>
    <w:rsid w:val="00B877C0"/>
    <w:rsid w:val="00B878F0"/>
    <w:rsid w:val="00B87A1A"/>
    <w:rsid w:val="00B87A77"/>
    <w:rsid w:val="00B87ADE"/>
    <w:rsid w:val="00B87B05"/>
    <w:rsid w:val="00B87B50"/>
    <w:rsid w:val="00B87C6C"/>
    <w:rsid w:val="00B87DC2"/>
    <w:rsid w:val="00B87FD6"/>
    <w:rsid w:val="00B90463"/>
    <w:rsid w:val="00B9056F"/>
    <w:rsid w:val="00B9057D"/>
    <w:rsid w:val="00B905F3"/>
    <w:rsid w:val="00B908E9"/>
    <w:rsid w:val="00B909BB"/>
    <w:rsid w:val="00B90A06"/>
    <w:rsid w:val="00B90A30"/>
    <w:rsid w:val="00B90A91"/>
    <w:rsid w:val="00B90AA5"/>
    <w:rsid w:val="00B90AF5"/>
    <w:rsid w:val="00B90B3D"/>
    <w:rsid w:val="00B90B43"/>
    <w:rsid w:val="00B91386"/>
    <w:rsid w:val="00B91546"/>
    <w:rsid w:val="00B91612"/>
    <w:rsid w:val="00B91678"/>
    <w:rsid w:val="00B91761"/>
    <w:rsid w:val="00B917DB"/>
    <w:rsid w:val="00B91865"/>
    <w:rsid w:val="00B919D3"/>
    <w:rsid w:val="00B919DC"/>
    <w:rsid w:val="00B91A21"/>
    <w:rsid w:val="00B91D3B"/>
    <w:rsid w:val="00B91D61"/>
    <w:rsid w:val="00B91DEA"/>
    <w:rsid w:val="00B91E5E"/>
    <w:rsid w:val="00B91FD3"/>
    <w:rsid w:val="00B923A5"/>
    <w:rsid w:val="00B92440"/>
    <w:rsid w:val="00B92591"/>
    <w:rsid w:val="00B92688"/>
    <w:rsid w:val="00B927CC"/>
    <w:rsid w:val="00B92953"/>
    <w:rsid w:val="00B92A16"/>
    <w:rsid w:val="00B92A8E"/>
    <w:rsid w:val="00B92AAF"/>
    <w:rsid w:val="00B92B4D"/>
    <w:rsid w:val="00B92BF5"/>
    <w:rsid w:val="00B92C8C"/>
    <w:rsid w:val="00B92F5C"/>
    <w:rsid w:val="00B92F96"/>
    <w:rsid w:val="00B933C4"/>
    <w:rsid w:val="00B93466"/>
    <w:rsid w:val="00B935AE"/>
    <w:rsid w:val="00B935B3"/>
    <w:rsid w:val="00B93677"/>
    <w:rsid w:val="00B93678"/>
    <w:rsid w:val="00B938DA"/>
    <w:rsid w:val="00B938FF"/>
    <w:rsid w:val="00B93989"/>
    <w:rsid w:val="00B93994"/>
    <w:rsid w:val="00B93B03"/>
    <w:rsid w:val="00B93B96"/>
    <w:rsid w:val="00B93CD3"/>
    <w:rsid w:val="00B93EC6"/>
    <w:rsid w:val="00B93EDD"/>
    <w:rsid w:val="00B93FB6"/>
    <w:rsid w:val="00B94289"/>
    <w:rsid w:val="00B94293"/>
    <w:rsid w:val="00B9429F"/>
    <w:rsid w:val="00B9445A"/>
    <w:rsid w:val="00B94498"/>
    <w:rsid w:val="00B944E3"/>
    <w:rsid w:val="00B94525"/>
    <w:rsid w:val="00B9468F"/>
    <w:rsid w:val="00B946FE"/>
    <w:rsid w:val="00B94875"/>
    <w:rsid w:val="00B94913"/>
    <w:rsid w:val="00B94B1E"/>
    <w:rsid w:val="00B94C8D"/>
    <w:rsid w:val="00B94D1F"/>
    <w:rsid w:val="00B94D4A"/>
    <w:rsid w:val="00B94E9D"/>
    <w:rsid w:val="00B94F86"/>
    <w:rsid w:val="00B94FF1"/>
    <w:rsid w:val="00B94FFD"/>
    <w:rsid w:val="00B950AB"/>
    <w:rsid w:val="00B951CE"/>
    <w:rsid w:val="00B953D5"/>
    <w:rsid w:val="00B95406"/>
    <w:rsid w:val="00B9548C"/>
    <w:rsid w:val="00B95803"/>
    <w:rsid w:val="00B95818"/>
    <w:rsid w:val="00B9587D"/>
    <w:rsid w:val="00B95A41"/>
    <w:rsid w:val="00B95BA4"/>
    <w:rsid w:val="00B95DCE"/>
    <w:rsid w:val="00B95EAA"/>
    <w:rsid w:val="00B95F8B"/>
    <w:rsid w:val="00B96023"/>
    <w:rsid w:val="00B9611D"/>
    <w:rsid w:val="00B963B4"/>
    <w:rsid w:val="00B96822"/>
    <w:rsid w:val="00B968D2"/>
    <w:rsid w:val="00B968FD"/>
    <w:rsid w:val="00B96A5C"/>
    <w:rsid w:val="00B96AC4"/>
    <w:rsid w:val="00B970B5"/>
    <w:rsid w:val="00B97120"/>
    <w:rsid w:val="00B9717F"/>
    <w:rsid w:val="00B9718C"/>
    <w:rsid w:val="00B97298"/>
    <w:rsid w:val="00B97343"/>
    <w:rsid w:val="00B973E1"/>
    <w:rsid w:val="00B9762D"/>
    <w:rsid w:val="00B97732"/>
    <w:rsid w:val="00B977ED"/>
    <w:rsid w:val="00B978E7"/>
    <w:rsid w:val="00B979E5"/>
    <w:rsid w:val="00B97A20"/>
    <w:rsid w:val="00B97A5A"/>
    <w:rsid w:val="00B97A5F"/>
    <w:rsid w:val="00B97A86"/>
    <w:rsid w:val="00B97C02"/>
    <w:rsid w:val="00B97D39"/>
    <w:rsid w:val="00B97E47"/>
    <w:rsid w:val="00B97F4D"/>
    <w:rsid w:val="00BA010D"/>
    <w:rsid w:val="00BA0176"/>
    <w:rsid w:val="00BA0258"/>
    <w:rsid w:val="00BA0341"/>
    <w:rsid w:val="00BA04EF"/>
    <w:rsid w:val="00BA05A4"/>
    <w:rsid w:val="00BA0607"/>
    <w:rsid w:val="00BA0897"/>
    <w:rsid w:val="00BA09BF"/>
    <w:rsid w:val="00BA0ABE"/>
    <w:rsid w:val="00BA0BB5"/>
    <w:rsid w:val="00BA0D1C"/>
    <w:rsid w:val="00BA0E3E"/>
    <w:rsid w:val="00BA0F17"/>
    <w:rsid w:val="00BA0F6B"/>
    <w:rsid w:val="00BA106C"/>
    <w:rsid w:val="00BA123D"/>
    <w:rsid w:val="00BA12F3"/>
    <w:rsid w:val="00BA12FF"/>
    <w:rsid w:val="00BA136B"/>
    <w:rsid w:val="00BA14EC"/>
    <w:rsid w:val="00BA164E"/>
    <w:rsid w:val="00BA1691"/>
    <w:rsid w:val="00BA16D7"/>
    <w:rsid w:val="00BA1721"/>
    <w:rsid w:val="00BA176C"/>
    <w:rsid w:val="00BA176D"/>
    <w:rsid w:val="00BA1832"/>
    <w:rsid w:val="00BA1A92"/>
    <w:rsid w:val="00BA1C82"/>
    <w:rsid w:val="00BA1C90"/>
    <w:rsid w:val="00BA1CD6"/>
    <w:rsid w:val="00BA1DF3"/>
    <w:rsid w:val="00BA1FA6"/>
    <w:rsid w:val="00BA2000"/>
    <w:rsid w:val="00BA2045"/>
    <w:rsid w:val="00BA21CE"/>
    <w:rsid w:val="00BA22F6"/>
    <w:rsid w:val="00BA231F"/>
    <w:rsid w:val="00BA239B"/>
    <w:rsid w:val="00BA2452"/>
    <w:rsid w:val="00BA2569"/>
    <w:rsid w:val="00BA266D"/>
    <w:rsid w:val="00BA292C"/>
    <w:rsid w:val="00BA2AA6"/>
    <w:rsid w:val="00BA2B34"/>
    <w:rsid w:val="00BA2BC2"/>
    <w:rsid w:val="00BA2E32"/>
    <w:rsid w:val="00BA2F54"/>
    <w:rsid w:val="00BA307A"/>
    <w:rsid w:val="00BA30EF"/>
    <w:rsid w:val="00BA326C"/>
    <w:rsid w:val="00BA3280"/>
    <w:rsid w:val="00BA3412"/>
    <w:rsid w:val="00BA360C"/>
    <w:rsid w:val="00BA365B"/>
    <w:rsid w:val="00BA3717"/>
    <w:rsid w:val="00BA377D"/>
    <w:rsid w:val="00BA38F1"/>
    <w:rsid w:val="00BA391F"/>
    <w:rsid w:val="00BA3A02"/>
    <w:rsid w:val="00BA3A6A"/>
    <w:rsid w:val="00BA3B0C"/>
    <w:rsid w:val="00BA3B2D"/>
    <w:rsid w:val="00BA3B59"/>
    <w:rsid w:val="00BA3DC6"/>
    <w:rsid w:val="00BA3FB2"/>
    <w:rsid w:val="00BA4007"/>
    <w:rsid w:val="00BA4073"/>
    <w:rsid w:val="00BA4224"/>
    <w:rsid w:val="00BA42A0"/>
    <w:rsid w:val="00BA44E5"/>
    <w:rsid w:val="00BA47FA"/>
    <w:rsid w:val="00BA48AA"/>
    <w:rsid w:val="00BA4BC4"/>
    <w:rsid w:val="00BA4C71"/>
    <w:rsid w:val="00BA4CD3"/>
    <w:rsid w:val="00BA4D61"/>
    <w:rsid w:val="00BA505B"/>
    <w:rsid w:val="00BA52AA"/>
    <w:rsid w:val="00BA54A9"/>
    <w:rsid w:val="00BA55A0"/>
    <w:rsid w:val="00BA562C"/>
    <w:rsid w:val="00BA5924"/>
    <w:rsid w:val="00BA5AD8"/>
    <w:rsid w:val="00BA5B08"/>
    <w:rsid w:val="00BA5BCC"/>
    <w:rsid w:val="00BA5BCF"/>
    <w:rsid w:val="00BA5CA5"/>
    <w:rsid w:val="00BA5CD8"/>
    <w:rsid w:val="00BA5F3E"/>
    <w:rsid w:val="00BA5F63"/>
    <w:rsid w:val="00BA65B9"/>
    <w:rsid w:val="00BA67D6"/>
    <w:rsid w:val="00BA6820"/>
    <w:rsid w:val="00BA697A"/>
    <w:rsid w:val="00BA6D31"/>
    <w:rsid w:val="00BA6D48"/>
    <w:rsid w:val="00BA7101"/>
    <w:rsid w:val="00BA710C"/>
    <w:rsid w:val="00BA71B0"/>
    <w:rsid w:val="00BA7216"/>
    <w:rsid w:val="00BA721B"/>
    <w:rsid w:val="00BA72D4"/>
    <w:rsid w:val="00BA730B"/>
    <w:rsid w:val="00BA7358"/>
    <w:rsid w:val="00BA7475"/>
    <w:rsid w:val="00BA7691"/>
    <w:rsid w:val="00BA7965"/>
    <w:rsid w:val="00BA7B25"/>
    <w:rsid w:val="00BA7C08"/>
    <w:rsid w:val="00BA7C33"/>
    <w:rsid w:val="00BA7EC1"/>
    <w:rsid w:val="00BA898E"/>
    <w:rsid w:val="00BB0039"/>
    <w:rsid w:val="00BB018B"/>
    <w:rsid w:val="00BB0283"/>
    <w:rsid w:val="00BB0393"/>
    <w:rsid w:val="00BB0508"/>
    <w:rsid w:val="00BB07AA"/>
    <w:rsid w:val="00BB0975"/>
    <w:rsid w:val="00BB0B25"/>
    <w:rsid w:val="00BB0CF6"/>
    <w:rsid w:val="00BB0DBA"/>
    <w:rsid w:val="00BB0E06"/>
    <w:rsid w:val="00BB1184"/>
    <w:rsid w:val="00BB1188"/>
    <w:rsid w:val="00BB1219"/>
    <w:rsid w:val="00BB1660"/>
    <w:rsid w:val="00BB1684"/>
    <w:rsid w:val="00BB16E4"/>
    <w:rsid w:val="00BB1709"/>
    <w:rsid w:val="00BB17CF"/>
    <w:rsid w:val="00BB18BE"/>
    <w:rsid w:val="00BB18DD"/>
    <w:rsid w:val="00BB1904"/>
    <w:rsid w:val="00BB1C71"/>
    <w:rsid w:val="00BB1C91"/>
    <w:rsid w:val="00BB1E0E"/>
    <w:rsid w:val="00BB2199"/>
    <w:rsid w:val="00BB21B7"/>
    <w:rsid w:val="00BB22E0"/>
    <w:rsid w:val="00BB243B"/>
    <w:rsid w:val="00BB249D"/>
    <w:rsid w:val="00BB24F8"/>
    <w:rsid w:val="00BB2529"/>
    <w:rsid w:val="00BB2795"/>
    <w:rsid w:val="00BB27F6"/>
    <w:rsid w:val="00BB291E"/>
    <w:rsid w:val="00BB29BA"/>
    <w:rsid w:val="00BB2A6D"/>
    <w:rsid w:val="00BB2C81"/>
    <w:rsid w:val="00BB2D44"/>
    <w:rsid w:val="00BB3064"/>
    <w:rsid w:val="00BB317A"/>
    <w:rsid w:val="00BB31EF"/>
    <w:rsid w:val="00BB3200"/>
    <w:rsid w:val="00BB327F"/>
    <w:rsid w:val="00BB330A"/>
    <w:rsid w:val="00BB34A0"/>
    <w:rsid w:val="00BB34F8"/>
    <w:rsid w:val="00BB364C"/>
    <w:rsid w:val="00BB3692"/>
    <w:rsid w:val="00BB36B1"/>
    <w:rsid w:val="00BB39EE"/>
    <w:rsid w:val="00BB3D02"/>
    <w:rsid w:val="00BB3F66"/>
    <w:rsid w:val="00BB4053"/>
    <w:rsid w:val="00BB4342"/>
    <w:rsid w:val="00BB4474"/>
    <w:rsid w:val="00BB45D2"/>
    <w:rsid w:val="00BB475B"/>
    <w:rsid w:val="00BB493C"/>
    <w:rsid w:val="00BB4A05"/>
    <w:rsid w:val="00BB4F6E"/>
    <w:rsid w:val="00BB4FCE"/>
    <w:rsid w:val="00BB548A"/>
    <w:rsid w:val="00BB54DE"/>
    <w:rsid w:val="00BB5684"/>
    <w:rsid w:val="00BB569F"/>
    <w:rsid w:val="00BB56C9"/>
    <w:rsid w:val="00BB589B"/>
    <w:rsid w:val="00BB58BE"/>
    <w:rsid w:val="00BB58F7"/>
    <w:rsid w:val="00BB5951"/>
    <w:rsid w:val="00BB5A3A"/>
    <w:rsid w:val="00BB5A96"/>
    <w:rsid w:val="00BB5B33"/>
    <w:rsid w:val="00BB5D30"/>
    <w:rsid w:val="00BB5FA6"/>
    <w:rsid w:val="00BB6101"/>
    <w:rsid w:val="00BB61D9"/>
    <w:rsid w:val="00BB6299"/>
    <w:rsid w:val="00BB647E"/>
    <w:rsid w:val="00BB65B1"/>
    <w:rsid w:val="00BB6678"/>
    <w:rsid w:val="00BB676F"/>
    <w:rsid w:val="00BB684B"/>
    <w:rsid w:val="00BB6958"/>
    <w:rsid w:val="00BB6ADF"/>
    <w:rsid w:val="00BB6C56"/>
    <w:rsid w:val="00BB6CB5"/>
    <w:rsid w:val="00BB6D2D"/>
    <w:rsid w:val="00BB6DB7"/>
    <w:rsid w:val="00BB6E8B"/>
    <w:rsid w:val="00BB6F05"/>
    <w:rsid w:val="00BB6F4F"/>
    <w:rsid w:val="00BB7020"/>
    <w:rsid w:val="00BB7222"/>
    <w:rsid w:val="00BB726D"/>
    <w:rsid w:val="00BB7329"/>
    <w:rsid w:val="00BB7385"/>
    <w:rsid w:val="00BB742B"/>
    <w:rsid w:val="00BB7463"/>
    <w:rsid w:val="00BB749D"/>
    <w:rsid w:val="00BB7562"/>
    <w:rsid w:val="00BB75DE"/>
    <w:rsid w:val="00BB76C5"/>
    <w:rsid w:val="00BB76DF"/>
    <w:rsid w:val="00BB7879"/>
    <w:rsid w:val="00BB7923"/>
    <w:rsid w:val="00BB7E82"/>
    <w:rsid w:val="00BB7F16"/>
    <w:rsid w:val="00BB7F9D"/>
    <w:rsid w:val="00BB7FD7"/>
    <w:rsid w:val="00BB7FF7"/>
    <w:rsid w:val="00BC009C"/>
    <w:rsid w:val="00BC00C4"/>
    <w:rsid w:val="00BC0248"/>
    <w:rsid w:val="00BC0365"/>
    <w:rsid w:val="00BC049A"/>
    <w:rsid w:val="00BC056E"/>
    <w:rsid w:val="00BC0628"/>
    <w:rsid w:val="00BC063D"/>
    <w:rsid w:val="00BC076E"/>
    <w:rsid w:val="00BC07C1"/>
    <w:rsid w:val="00BC07C9"/>
    <w:rsid w:val="00BC0A63"/>
    <w:rsid w:val="00BC0B9F"/>
    <w:rsid w:val="00BC0BD8"/>
    <w:rsid w:val="00BC0C23"/>
    <w:rsid w:val="00BC0CDE"/>
    <w:rsid w:val="00BC0E06"/>
    <w:rsid w:val="00BC0EA1"/>
    <w:rsid w:val="00BC0EAE"/>
    <w:rsid w:val="00BC0FFE"/>
    <w:rsid w:val="00BC1019"/>
    <w:rsid w:val="00BC107B"/>
    <w:rsid w:val="00BC1102"/>
    <w:rsid w:val="00BC1180"/>
    <w:rsid w:val="00BC11A7"/>
    <w:rsid w:val="00BC12D5"/>
    <w:rsid w:val="00BC13F6"/>
    <w:rsid w:val="00BC145B"/>
    <w:rsid w:val="00BC1511"/>
    <w:rsid w:val="00BC17BE"/>
    <w:rsid w:val="00BC17E4"/>
    <w:rsid w:val="00BC18A7"/>
    <w:rsid w:val="00BC1C57"/>
    <w:rsid w:val="00BC1C7D"/>
    <w:rsid w:val="00BC1CD8"/>
    <w:rsid w:val="00BC1FAA"/>
    <w:rsid w:val="00BC202D"/>
    <w:rsid w:val="00BC2032"/>
    <w:rsid w:val="00BC21D9"/>
    <w:rsid w:val="00BC226E"/>
    <w:rsid w:val="00BC22FD"/>
    <w:rsid w:val="00BC2309"/>
    <w:rsid w:val="00BC239B"/>
    <w:rsid w:val="00BC243F"/>
    <w:rsid w:val="00BC24B5"/>
    <w:rsid w:val="00BC25E1"/>
    <w:rsid w:val="00BC2644"/>
    <w:rsid w:val="00BC265B"/>
    <w:rsid w:val="00BC2A0D"/>
    <w:rsid w:val="00BC2B6E"/>
    <w:rsid w:val="00BC2D09"/>
    <w:rsid w:val="00BC2DDB"/>
    <w:rsid w:val="00BC2FCC"/>
    <w:rsid w:val="00BC306B"/>
    <w:rsid w:val="00BC31F7"/>
    <w:rsid w:val="00BC339B"/>
    <w:rsid w:val="00BC33C0"/>
    <w:rsid w:val="00BC3686"/>
    <w:rsid w:val="00BC3687"/>
    <w:rsid w:val="00BC370F"/>
    <w:rsid w:val="00BC391F"/>
    <w:rsid w:val="00BC3A31"/>
    <w:rsid w:val="00BC3A7F"/>
    <w:rsid w:val="00BC3DF4"/>
    <w:rsid w:val="00BC3E1E"/>
    <w:rsid w:val="00BC3F2A"/>
    <w:rsid w:val="00BC3FAC"/>
    <w:rsid w:val="00BC403A"/>
    <w:rsid w:val="00BC4627"/>
    <w:rsid w:val="00BC468A"/>
    <w:rsid w:val="00BC47DD"/>
    <w:rsid w:val="00BC491D"/>
    <w:rsid w:val="00BC4B19"/>
    <w:rsid w:val="00BC4B69"/>
    <w:rsid w:val="00BC4BC4"/>
    <w:rsid w:val="00BC4BD2"/>
    <w:rsid w:val="00BC4C76"/>
    <w:rsid w:val="00BC4D22"/>
    <w:rsid w:val="00BC4E06"/>
    <w:rsid w:val="00BC4ED3"/>
    <w:rsid w:val="00BC4F14"/>
    <w:rsid w:val="00BC51B3"/>
    <w:rsid w:val="00BC525A"/>
    <w:rsid w:val="00BC52BD"/>
    <w:rsid w:val="00BC52E1"/>
    <w:rsid w:val="00BC5433"/>
    <w:rsid w:val="00BC561E"/>
    <w:rsid w:val="00BC56C2"/>
    <w:rsid w:val="00BC5727"/>
    <w:rsid w:val="00BC57A9"/>
    <w:rsid w:val="00BC57D6"/>
    <w:rsid w:val="00BC5838"/>
    <w:rsid w:val="00BC5876"/>
    <w:rsid w:val="00BC5AF5"/>
    <w:rsid w:val="00BC6076"/>
    <w:rsid w:val="00BC60B9"/>
    <w:rsid w:val="00BC6276"/>
    <w:rsid w:val="00BC629A"/>
    <w:rsid w:val="00BC62B2"/>
    <w:rsid w:val="00BC62CB"/>
    <w:rsid w:val="00BC62E9"/>
    <w:rsid w:val="00BC6391"/>
    <w:rsid w:val="00BC63A7"/>
    <w:rsid w:val="00BC64EF"/>
    <w:rsid w:val="00BC655E"/>
    <w:rsid w:val="00BC6577"/>
    <w:rsid w:val="00BC65E5"/>
    <w:rsid w:val="00BC666E"/>
    <w:rsid w:val="00BC6801"/>
    <w:rsid w:val="00BC6825"/>
    <w:rsid w:val="00BC6D05"/>
    <w:rsid w:val="00BC6D09"/>
    <w:rsid w:val="00BC6E02"/>
    <w:rsid w:val="00BC6E5D"/>
    <w:rsid w:val="00BC6FAD"/>
    <w:rsid w:val="00BC7102"/>
    <w:rsid w:val="00BC71F7"/>
    <w:rsid w:val="00BC728E"/>
    <w:rsid w:val="00BC74CB"/>
    <w:rsid w:val="00BC7515"/>
    <w:rsid w:val="00BC76FF"/>
    <w:rsid w:val="00BC78F7"/>
    <w:rsid w:val="00BC79BD"/>
    <w:rsid w:val="00BC7D24"/>
    <w:rsid w:val="00BC7FA0"/>
    <w:rsid w:val="00BCF951"/>
    <w:rsid w:val="00BD004E"/>
    <w:rsid w:val="00BD0065"/>
    <w:rsid w:val="00BD0231"/>
    <w:rsid w:val="00BD026A"/>
    <w:rsid w:val="00BD02CB"/>
    <w:rsid w:val="00BD0413"/>
    <w:rsid w:val="00BD0556"/>
    <w:rsid w:val="00BD0604"/>
    <w:rsid w:val="00BD064B"/>
    <w:rsid w:val="00BD07A1"/>
    <w:rsid w:val="00BD08EE"/>
    <w:rsid w:val="00BD09B0"/>
    <w:rsid w:val="00BD0A81"/>
    <w:rsid w:val="00BD0C96"/>
    <w:rsid w:val="00BD0DC7"/>
    <w:rsid w:val="00BD125C"/>
    <w:rsid w:val="00BD1299"/>
    <w:rsid w:val="00BD1797"/>
    <w:rsid w:val="00BD1802"/>
    <w:rsid w:val="00BD18D5"/>
    <w:rsid w:val="00BD1957"/>
    <w:rsid w:val="00BD1B2A"/>
    <w:rsid w:val="00BD1BE3"/>
    <w:rsid w:val="00BD1D13"/>
    <w:rsid w:val="00BD1DF6"/>
    <w:rsid w:val="00BD1F30"/>
    <w:rsid w:val="00BD208E"/>
    <w:rsid w:val="00BD21E1"/>
    <w:rsid w:val="00BD22BC"/>
    <w:rsid w:val="00BD23CD"/>
    <w:rsid w:val="00BD2424"/>
    <w:rsid w:val="00BD251B"/>
    <w:rsid w:val="00BD2B8C"/>
    <w:rsid w:val="00BD2CBE"/>
    <w:rsid w:val="00BD2CE9"/>
    <w:rsid w:val="00BD2D03"/>
    <w:rsid w:val="00BD2E17"/>
    <w:rsid w:val="00BD2F8C"/>
    <w:rsid w:val="00BD30AC"/>
    <w:rsid w:val="00BD30BA"/>
    <w:rsid w:val="00BD316C"/>
    <w:rsid w:val="00BD31C1"/>
    <w:rsid w:val="00BD3289"/>
    <w:rsid w:val="00BD329A"/>
    <w:rsid w:val="00BD34B6"/>
    <w:rsid w:val="00BD355D"/>
    <w:rsid w:val="00BD36EE"/>
    <w:rsid w:val="00BD3766"/>
    <w:rsid w:val="00BD379D"/>
    <w:rsid w:val="00BD37F4"/>
    <w:rsid w:val="00BD3857"/>
    <w:rsid w:val="00BD393B"/>
    <w:rsid w:val="00BD3B0E"/>
    <w:rsid w:val="00BD3B3E"/>
    <w:rsid w:val="00BD3B50"/>
    <w:rsid w:val="00BD3BB2"/>
    <w:rsid w:val="00BD3E48"/>
    <w:rsid w:val="00BD3E84"/>
    <w:rsid w:val="00BD4176"/>
    <w:rsid w:val="00BD41C6"/>
    <w:rsid w:val="00BD4352"/>
    <w:rsid w:val="00BD4550"/>
    <w:rsid w:val="00BD45C4"/>
    <w:rsid w:val="00BD45F7"/>
    <w:rsid w:val="00BD46A3"/>
    <w:rsid w:val="00BD483E"/>
    <w:rsid w:val="00BD495E"/>
    <w:rsid w:val="00BD4A1D"/>
    <w:rsid w:val="00BD4A36"/>
    <w:rsid w:val="00BD4B70"/>
    <w:rsid w:val="00BD4DD1"/>
    <w:rsid w:val="00BD4E07"/>
    <w:rsid w:val="00BD519C"/>
    <w:rsid w:val="00BD51C4"/>
    <w:rsid w:val="00BD5341"/>
    <w:rsid w:val="00BD536E"/>
    <w:rsid w:val="00BD5461"/>
    <w:rsid w:val="00BD55EB"/>
    <w:rsid w:val="00BD5730"/>
    <w:rsid w:val="00BD57DF"/>
    <w:rsid w:val="00BD5AF4"/>
    <w:rsid w:val="00BD5B70"/>
    <w:rsid w:val="00BD5C72"/>
    <w:rsid w:val="00BD5E64"/>
    <w:rsid w:val="00BD5ECA"/>
    <w:rsid w:val="00BD605E"/>
    <w:rsid w:val="00BD60ED"/>
    <w:rsid w:val="00BD61B8"/>
    <w:rsid w:val="00BD6219"/>
    <w:rsid w:val="00BD644F"/>
    <w:rsid w:val="00BD6453"/>
    <w:rsid w:val="00BD6470"/>
    <w:rsid w:val="00BD681D"/>
    <w:rsid w:val="00BD6873"/>
    <w:rsid w:val="00BD6930"/>
    <w:rsid w:val="00BD6A85"/>
    <w:rsid w:val="00BD6E3E"/>
    <w:rsid w:val="00BD6FA3"/>
    <w:rsid w:val="00BD7005"/>
    <w:rsid w:val="00BD7111"/>
    <w:rsid w:val="00BD773B"/>
    <w:rsid w:val="00BD7754"/>
    <w:rsid w:val="00BD7B1A"/>
    <w:rsid w:val="00BD7B42"/>
    <w:rsid w:val="00BD7BAC"/>
    <w:rsid w:val="00BD7CB2"/>
    <w:rsid w:val="00BD7CF4"/>
    <w:rsid w:val="00BD7DB5"/>
    <w:rsid w:val="00BE0042"/>
    <w:rsid w:val="00BE005F"/>
    <w:rsid w:val="00BE0144"/>
    <w:rsid w:val="00BE0193"/>
    <w:rsid w:val="00BE0351"/>
    <w:rsid w:val="00BE05A2"/>
    <w:rsid w:val="00BE072B"/>
    <w:rsid w:val="00BE08BA"/>
    <w:rsid w:val="00BE08DC"/>
    <w:rsid w:val="00BE0A96"/>
    <w:rsid w:val="00BE0B0B"/>
    <w:rsid w:val="00BE0EC0"/>
    <w:rsid w:val="00BE0EF9"/>
    <w:rsid w:val="00BE10FC"/>
    <w:rsid w:val="00BE110A"/>
    <w:rsid w:val="00BE11CB"/>
    <w:rsid w:val="00BE12B3"/>
    <w:rsid w:val="00BE1568"/>
    <w:rsid w:val="00BE1575"/>
    <w:rsid w:val="00BE1687"/>
    <w:rsid w:val="00BE1698"/>
    <w:rsid w:val="00BE1792"/>
    <w:rsid w:val="00BE17FC"/>
    <w:rsid w:val="00BE18EC"/>
    <w:rsid w:val="00BE1904"/>
    <w:rsid w:val="00BE1CBD"/>
    <w:rsid w:val="00BE1D57"/>
    <w:rsid w:val="00BE1D9E"/>
    <w:rsid w:val="00BE1DC9"/>
    <w:rsid w:val="00BE1E06"/>
    <w:rsid w:val="00BE2262"/>
    <w:rsid w:val="00BE23AA"/>
    <w:rsid w:val="00BE25B7"/>
    <w:rsid w:val="00BE2629"/>
    <w:rsid w:val="00BE262D"/>
    <w:rsid w:val="00BE27BC"/>
    <w:rsid w:val="00BE28BD"/>
    <w:rsid w:val="00BE2A59"/>
    <w:rsid w:val="00BE2C94"/>
    <w:rsid w:val="00BE2CB7"/>
    <w:rsid w:val="00BE2CE2"/>
    <w:rsid w:val="00BE2ED0"/>
    <w:rsid w:val="00BE306E"/>
    <w:rsid w:val="00BE328E"/>
    <w:rsid w:val="00BE3370"/>
    <w:rsid w:val="00BE3519"/>
    <w:rsid w:val="00BE3545"/>
    <w:rsid w:val="00BE376C"/>
    <w:rsid w:val="00BE3802"/>
    <w:rsid w:val="00BE3A96"/>
    <w:rsid w:val="00BE3B76"/>
    <w:rsid w:val="00BE3C3C"/>
    <w:rsid w:val="00BE3DD1"/>
    <w:rsid w:val="00BE3EE9"/>
    <w:rsid w:val="00BE3F49"/>
    <w:rsid w:val="00BE3F65"/>
    <w:rsid w:val="00BE404B"/>
    <w:rsid w:val="00BE414B"/>
    <w:rsid w:val="00BE425D"/>
    <w:rsid w:val="00BE427E"/>
    <w:rsid w:val="00BE4286"/>
    <w:rsid w:val="00BE42AF"/>
    <w:rsid w:val="00BE44AB"/>
    <w:rsid w:val="00BE4622"/>
    <w:rsid w:val="00BE48E4"/>
    <w:rsid w:val="00BE48E8"/>
    <w:rsid w:val="00BE49D1"/>
    <w:rsid w:val="00BE49FE"/>
    <w:rsid w:val="00BE4CB1"/>
    <w:rsid w:val="00BE4EC3"/>
    <w:rsid w:val="00BE51FD"/>
    <w:rsid w:val="00BE5288"/>
    <w:rsid w:val="00BE5564"/>
    <w:rsid w:val="00BE56F1"/>
    <w:rsid w:val="00BE5A75"/>
    <w:rsid w:val="00BE5C0B"/>
    <w:rsid w:val="00BE5EB8"/>
    <w:rsid w:val="00BE5EC1"/>
    <w:rsid w:val="00BE5F55"/>
    <w:rsid w:val="00BE5FB9"/>
    <w:rsid w:val="00BE60C5"/>
    <w:rsid w:val="00BE60D9"/>
    <w:rsid w:val="00BE6143"/>
    <w:rsid w:val="00BE6258"/>
    <w:rsid w:val="00BE632B"/>
    <w:rsid w:val="00BE6471"/>
    <w:rsid w:val="00BE647C"/>
    <w:rsid w:val="00BE650A"/>
    <w:rsid w:val="00BE655B"/>
    <w:rsid w:val="00BE6709"/>
    <w:rsid w:val="00BE6883"/>
    <w:rsid w:val="00BE68FE"/>
    <w:rsid w:val="00BE6948"/>
    <w:rsid w:val="00BE6A62"/>
    <w:rsid w:val="00BE6D41"/>
    <w:rsid w:val="00BE6DEF"/>
    <w:rsid w:val="00BE6DFC"/>
    <w:rsid w:val="00BE6F25"/>
    <w:rsid w:val="00BE70F6"/>
    <w:rsid w:val="00BE713B"/>
    <w:rsid w:val="00BE7186"/>
    <w:rsid w:val="00BE719D"/>
    <w:rsid w:val="00BE71C2"/>
    <w:rsid w:val="00BE72B1"/>
    <w:rsid w:val="00BE72BB"/>
    <w:rsid w:val="00BE7545"/>
    <w:rsid w:val="00BE762F"/>
    <w:rsid w:val="00BE7729"/>
    <w:rsid w:val="00BE7753"/>
    <w:rsid w:val="00BE7763"/>
    <w:rsid w:val="00BE796D"/>
    <w:rsid w:val="00BE79D2"/>
    <w:rsid w:val="00BE7B97"/>
    <w:rsid w:val="00BE7BA3"/>
    <w:rsid w:val="00BE7CC4"/>
    <w:rsid w:val="00BE7CE0"/>
    <w:rsid w:val="00BE7EBE"/>
    <w:rsid w:val="00BF0049"/>
    <w:rsid w:val="00BF004C"/>
    <w:rsid w:val="00BF006C"/>
    <w:rsid w:val="00BF00C2"/>
    <w:rsid w:val="00BF02D7"/>
    <w:rsid w:val="00BF03EF"/>
    <w:rsid w:val="00BF044C"/>
    <w:rsid w:val="00BF06AE"/>
    <w:rsid w:val="00BF073C"/>
    <w:rsid w:val="00BF0B42"/>
    <w:rsid w:val="00BF0BB1"/>
    <w:rsid w:val="00BF0C47"/>
    <w:rsid w:val="00BF0C6F"/>
    <w:rsid w:val="00BF0DC1"/>
    <w:rsid w:val="00BF0E1B"/>
    <w:rsid w:val="00BF0EEA"/>
    <w:rsid w:val="00BF0F0D"/>
    <w:rsid w:val="00BF1028"/>
    <w:rsid w:val="00BF1262"/>
    <w:rsid w:val="00BF12F0"/>
    <w:rsid w:val="00BF16C3"/>
    <w:rsid w:val="00BF180E"/>
    <w:rsid w:val="00BF19A7"/>
    <w:rsid w:val="00BF19BA"/>
    <w:rsid w:val="00BF1AEA"/>
    <w:rsid w:val="00BF1B54"/>
    <w:rsid w:val="00BF1D68"/>
    <w:rsid w:val="00BF1F2C"/>
    <w:rsid w:val="00BF1F42"/>
    <w:rsid w:val="00BF1FAC"/>
    <w:rsid w:val="00BF2090"/>
    <w:rsid w:val="00BF225C"/>
    <w:rsid w:val="00BF2270"/>
    <w:rsid w:val="00BF2278"/>
    <w:rsid w:val="00BF265A"/>
    <w:rsid w:val="00BF268F"/>
    <w:rsid w:val="00BF27DC"/>
    <w:rsid w:val="00BF2807"/>
    <w:rsid w:val="00BF2818"/>
    <w:rsid w:val="00BF2B0B"/>
    <w:rsid w:val="00BF2CAF"/>
    <w:rsid w:val="00BF2D05"/>
    <w:rsid w:val="00BF2D61"/>
    <w:rsid w:val="00BF2ECB"/>
    <w:rsid w:val="00BF2F62"/>
    <w:rsid w:val="00BF2FB3"/>
    <w:rsid w:val="00BF3088"/>
    <w:rsid w:val="00BF319A"/>
    <w:rsid w:val="00BF31C6"/>
    <w:rsid w:val="00BF3395"/>
    <w:rsid w:val="00BF36A2"/>
    <w:rsid w:val="00BF3780"/>
    <w:rsid w:val="00BF3793"/>
    <w:rsid w:val="00BF385C"/>
    <w:rsid w:val="00BF389B"/>
    <w:rsid w:val="00BF38A7"/>
    <w:rsid w:val="00BF3AD9"/>
    <w:rsid w:val="00BF3C53"/>
    <w:rsid w:val="00BF3D36"/>
    <w:rsid w:val="00BF3DA0"/>
    <w:rsid w:val="00BF3E84"/>
    <w:rsid w:val="00BF3F37"/>
    <w:rsid w:val="00BF3FD1"/>
    <w:rsid w:val="00BF42CA"/>
    <w:rsid w:val="00BF4625"/>
    <w:rsid w:val="00BF466F"/>
    <w:rsid w:val="00BF48A1"/>
    <w:rsid w:val="00BF496A"/>
    <w:rsid w:val="00BF4993"/>
    <w:rsid w:val="00BF49BF"/>
    <w:rsid w:val="00BF4CDF"/>
    <w:rsid w:val="00BF4DB9"/>
    <w:rsid w:val="00BF4DEE"/>
    <w:rsid w:val="00BF4E41"/>
    <w:rsid w:val="00BF4E89"/>
    <w:rsid w:val="00BF4EDA"/>
    <w:rsid w:val="00BF52E5"/>
    <w:rsid w:val="00BF59AA"/>
    <w:rsid w:val="00BF5A72"/>
    <w:rsid w:val="00BF5AA3"/>
    <w:rsid w:val="00BF5BE0"/>
    <w:rsid w:val="00BF6355"/>
    <w:rsid w:val="00BF639E"/>
    <w:rsid w:val="00BF642E"/>
    <w:rsid w:val="00BF6572"/>
    <w:rsid w:val="00BF6595"/>
    <w:rsid w:val="00BF6634"/>
    <w:rsid w:val="00BF66B8"/>
    <w:rsid w:val="00BF67C2"/>
    <w:rsid w:val="00BF67D0"/>
    <w:rsid w:val="00BF6817"/>
    <w:rsid w:val="00BF6867"/>
    <w:rsid w:val="00BF699C"/>
    <w:rsid w:val="00BF6AC8"/>
    <w:rsid w:val="00BF6B96"/>
    <w:rsid w:val="00BF6BD3"/>
    <w:rsid w:val="00BF6C4B"/>
    <w:rsid w:val="00BF6DB9"/>
    <w:rsid w:val="00BF7003"/>
    <w:rsid w:val="00BF7058"/>
    <w:rsid w:val="00BF7175"/>
    <w:rsid w:val="00BF7250"/>
    <w:rsid w:val="00BF7670"/>
    <w:rsid w:val="00BF76FB"/>
    <w:rsid w:val="00BF7754"/>
    <w:rsid w:val="00BF777E"/>
    <w:rsid w:val="00BF7790"/>
    <w:rsid w:val="00BF7865"/>
    <w:rsid w:val="00BF794A"/>
    <w:rsid w:val="00BF7A8C"/>
    <w:rsid w:val="00BF7C31"/>
    <w:rsid w:val="00BF7CCB"/>
    <w:rsid w:val="00BF7D0F"/>
    <w:rsid w:val="00BF7E26"/>
    <w:rsid w:val="00C000EF"/>
    <w:rsid w:val="00C00171"/>
    <w:rsid w:val="00C001BD"/>
    <w:rsid w:val="00C00231"/>
    <w:rsid w:val="00C00263"/>
    <w:rsid w:val="00C00453"/>
    <w:rsid w:val="00C004DC"/>
    <w:rsid w:val="00C00584"/>
    <w:rsid w:val="00C006BA"/>
    <w:rsid w:val="00C0085E"/>
    <w:rsid w:val="00C0089B"/>
    <w:rsid w:val="00C008CE"/>
    <w:rsid w:val="00C009C3"/>
    <w:rsid w:val="00C009FA"/>
    <w:rsid w:val="00C00A4E"/>
    <w:rsid w:val="00C00A92"/>
    <w:rsid w:val="00C00B37"/>
    <w:rsid w:val="00C00EDA"/>
    <w:rsid w:val="00C00EE1"/>
    <w:rsid w:val="00C0103F"/>
    <w:rsid w:val="00C010CA"/>
    <w:rsid w:val="00C01295"/>
    <w:rsid w:val="00C012C4"/>
    <w:rsid w:val="00C012EE"/>
    <w:rsid w:val="00C01495"/>
    <w:rsid w:val="00C01497"/>
    <w:rsid w:val="00C014F4"/>
    <w:rsid w:val="00C01604"/>
    <w:rsid w:val="00C016BD"/>
    <w:rsid w:val="00C0198D"/>
    <w:rsid w:val="00C01BDB"/>
    <w:rsid w:val="00C01D16"/>
    <w:rsid w:val="00C01E99"/>
    <w:rsid w:val="00C01E9E"/>
    <w:rsid w:val="00C01EEF"/>
    <w:rsid w:val="00C01F58"/>
    <w:rsid w:val="00C01F80"/>
    <w:rsid w:val="00C0238A"/>
    <w:rsid w:val="00C0239E"/>
    <w:rsid w:val="00C02491"/>
    <w:rsid w:val="00C02540"/>
    <w:rsid w:val="00C02926"/>
    <w:rsid w:val="00C02946"/>
    <w:rsid w:val="00C029C8"/>
    <w:rsid w:val="00C02A5C"/>
    <w:rsid w:val="00C02A8D"/>
    <w:rsid w:val="00C02AC3"/>
    <w:rsid w:val="00C02AC7"/>
    <w:rsid w:val="00C02B78"/>
    <w:rsid w:val="00C02D9C"/>
    <w:rsid w:val="00C02DF5"/>
    <w:rsid w:val="00C02EB0"/>
    <w:rsid w:val="00C02EC2"/>
    <w:rsid w:val="00C02FDC"/>
    <w:rsid w:val="00C03042"/>
    <w:rsid w:val="00C030FD"/>
    <w:rsid w:val="00C0349A"/>
    <w:rsid w:val="00C034AD"/>
    <w:rsid w:val="00C03651"/>
    <w:rsid w:val="00C03696"/>
    <w:rsid w:val="00C038BB"/>
    <w:rsid w:val="00C03963"/>
    <w:rsid w:val="00C03B86"/>
    <w:rsid w:val="00C03DAE"/>
    <w:rsid w:val="00C03EA5"/>
    <w:rsid w:val="00C0427F"/>
    <w:rsid w:val="00C0430D"/>
    <w:rsid w:val="00C0451C"/>
    <w:rsid w:val="00C046D7"/>
    <w:rsid w:val="00C047EC"/>
    <w:rsid w:val="00C049BF"/>
    <w:rsid w:val="00C04A3E"/>
    <w:rsid w:val="00C04A7D"/>
    <w:rsid w:val="00C04B24"/>
    <w:rsid w:val="00C04C3F"/>
    <w:rsid w:val="00C04CD7"/>
    <w:rsid w:val="00C04EAA"/>
    <w:rsid w:val="00C05073"/>
    <w:rsid w:val="00C052CA"/>
    <w:rsid w:val="00C053E2"/>
    <w:rsid w:val="00C054B8"/>
    <w:rsid w:val="00C054DD"/>
    <w:rsid w:val="00C05643"/>
    <w:rsid w:val="00C056C0"/>
    <w:rsid w:val="00C056CE"/>
    <w:rsid w:val="00C057A2"/>
    <w:rsid w:val="00C05881"/>
    <w:rsid w:val="00C058B0"/>
    <w:rsid w:val="00C05937"/>
    <w:rsid w:val="00C05949"/>
    <w:rsid w:val="00C05BD6"/>
    <w:rsid w:val="00C05BEF"/>
    <w:rsid w:val="00C05BFB"/>
    <w:rsid w:val="00C05DCF"/>
    <w:rsid w:val="00C05E0D"/>
    <w:rsid w:val="00C05E76"/>
    <w:rsid w:val="00C05E7E"/>
    <w:rsid w:val="00C05F1E"/>
    <w:rsid w:val="00C05F84"/>
    <w:rsid w:val="00C06024"/>
    <w:rsid w:val="00C06328"/>
    <w:rsid w:val="00C063AD"/>
    <w:rsid w:val="00C063B2"/>
    <w:rsid w:val="00C063BD"/>
    <w:rsid w:val="00C06557"/>
    <w:rsid w:val="00C06596"/>
    <w:rsid w:val="00C065F6"/>
    <w:rsid w:val="00C0662F"/>
    <w:rsid w:val="00C066DB"/>
    <w:rsid w:val="00C066FE"/>
    <w:rsid w:val="00C06737"/>
    <w:rsid w:val="00C06A01"/>
    <w:rsid w:val="00C06C2E"/>
    <w:rsid w:val="00C06F10"/>
    <w:rsid w:val="00C06F97"/>
    <w:rsid w:val="00C06FF4"/>
    <w:rsid w:val="00C07161"/>
    <w:rsid w:val="00C071F2"/>
    <w:rsid w:val="00C07286"/>
    <w:rsid w:val="00C072CE"/>
    <w:rsid w:val="00C0748B"/>
    <w:rsid w:val="00C07530"/>
    <w:rsid w:val="00C07623"/>
    <w:rsid w:val="00C07629"/>
    <w:rsid w:val="00C07719"/>
    <w:rsid w:val="00C077B8"/>
    <w:rsid w:val="00C07946"/>
    <w:rsid w:val="00C079DC"/>
    <w:rsid w:val="00C07B27"/>
    <w:rsid w:val="00C07BC8"/>
    <w:rsid w:val="00C07BEF"/>
    <w:rsid w:val="00C07C8F"/>
    <w:rsid w:val="00C07E94"/>
    <w:rsid w:val="00C07FB9"/>
    <w:rsid w:val="00C1001B"/>
    <w:rsid w:val="00C1029B"/>
    <w:rsid w:val="00C104AB"/>
    <w:rsid w:val="00C10784"/>
    <w:rsid w:val="00C108D1"/>
    <w:rsid w:val="00C109D6"/>
    <w:rsid w:val="00C109E9"/>
    <w:rsid w:val="00C10AC8"/>
    <w:rsid w:val="00C10BBD"/>
    <w:rsid w:val="00C10F7E"/>
    <w:rsid w:val="00C10F90"/>
    <w:rsid w:val="00C11214"/>
    <w:rsid w:val="00C11398"/>
    <w:rsid w:val="00C113C5"/>
    <w:rsid w:val="00C113F9"/>
    <w:rsid w:val="00C11842"/>
    <w:rsid w:val="00C119D9"/>
    <w:rsid w:val="00C11A4A"/>
    <w:rsid w:val="00C11A96"/>
    <w:rsid w:val="00C11AAD"/>
    <w:rsid w:val="00C11B1B"/>
    <w:rsid w:val="00C11CE6"/>
    <w:rsid w:val="00C11D02"/>
    <w:rsid w:val="00C11D10"/>
    <w:rsid w:val="00C11D82"/>
    <w:rsid w:val="00C120C0"/>
    <w:rsid w:val="00C12135"/>
    <w:rsid w:val="00C1223B"/>
    <w:rsid w:val="00C12298"/>
    <w:rsid w:val="00C122B3"/>
    <w:rsid w:val="00C12315"/>
    <w:rsid w:val="00C12360"/>
    <w:rsid w:val="00C12486"/>
    <w:rsid w:val="00C12787"/>
    <w:rsid w:val="00C128B5"/>
    <w:rsid w:val="00C12B40"/>
    <w:rsid w:val="00C12B57"/>
    <w:rsid w:val="00C1318A"/>
    <w:rsid w:val="00C13270"/>
    <w:rsid w:val="00C132BF"/>
    <w:rsid w:val="00C132CF"/>
    <w:rsid w:val="00C132F1"/>
    <w:rsid w:val="00C13545"/>
    <w:rsid w:val="00C135E7"/>
    <w:rsid w:val="00C1388C"/>
    <w:rsid w:val="00C139AA"/>
    <w:rsid w:val="00C13BAF"/>
    <w:rsid w:val="00C13C61"/>
    <w:rsid w:val="00C13D7E"/>
    <w:rsid w:val="00C13E0B"/>
    <w:rsid w:val="00C13E65"/>
    <w:rsid w:val="00C13EA1"/>
    <w:rsid w:val="00C13EF0"/>
    <w:rsid w:val="00C140F4"/>
    <w:rsid w:val="00C14373"/>
    <w:rsid w:val="00C144C7"/>
    <w:rsid w:val="00C14578"/>
    <w:rsid w:val="00C1462C"/>
    <w:rsid w:val="00C14905"/>
    <w:rsid w:val="00C14CA8"/>
    <w:rsid w:val="00C14F3E"/>
    <w:rsid w:val="00C1504A"/>
    <w:rsid w:val="00C151E2"/>
    <w:rsid w:val="00C1520B"/>
    <w:rsid w:val="00C15361"/>
    <w:rsid w:val="00C15391"/>
    <w:rsid w:val="00C15557"/>
    <w:rsid w:val="00C15A21"/>
    <w:rsid w:val="00C15A83"/>
    <w:rsid w:val="00C15B8B"/>
    <w:rsid w:val="00C15B8F"/>
    <w:rsid w:val="00C15BB8"/>
    <w:rsid w:val="00C15D9B"/>
    <w:rsid w:val="00C15DF3"/>
    <w:rsid w:val="00C15E26"/>
    <w:rsid w:val="00C15F25"/>
    <w:rsid w:val="00C15FC9"/>
    <w:rsid w:val="00C1606F"/>
    <w:rsid w:val="00C161B0"/>
    <w:rsid w:val="00C161BC"/>
    <w:rsid w:val="00C1625E"/>
    <w:rsid w:val="00C16285"/>
    <w:rsid w:val="00C16365"/>
    <w:rsid w:val="00C163E3"/>
    <w:rsid w:val="00C16425"/>
    <w:rsid w:val="00C166AF"/>
    <w:rsid w:val="00C1675F"/>
    <w:rsid w:val="00C16984"/>
    <w:rsid w:val="00C16A41"/>
    <w:rsid w:val="00C16AAA"/>
    <w:rsid w:val="00C16BA5"/>
    <w:rsid w:val="00C16C62"/>
    <w:rsid w:val="00C16C94"/>
    <w:rsid w:val="00C16CF1"/>
    <w:rsid w:val="00C16D06"/>
    <w:rsid w:val="00C16E9F"/>
    <w:rsid w:val="00C16EC6"/>
    <w:rsid w:val="00C17187"/>
    <w:rsid w:val="00C174D8"/>
    <w:rsid w:val="00C177EC"/>
    <w:rsid w:val="00C179E0"/>
    <w:rsid w:val="00C17AAA"/>
    <w:rsid w:val="00C17AB7"/>
    <w:rsid w:val="00C17AB8"/>
    <w:rsid w:val="00C17AEB"/>
    <w:rsid w:val="00C17C75"/>
    <w:rsid w:val="00C17E32"/>
    <w:rsid w:val="00C17E8F"/>
    <w:rsid w:val="00C17F04"/>
    <w:rsid w:val="00C17F28"/>
    <w:rsid w:val="00C17F93"/>
    <w:rsid w:val="00C20080"/>
    <w:rsid w:val="00C20127"/>
    <w:rsid w:val="00C202C8"/>
    <w:rsid w:val="00C20325"/>
    <w:rsid w:val="00C2032E"/>
    <w:rsid w:val="00C2059F"/>
    <w:rsid w:val="00C205D1"/>
    <w:rsid w:val="00C20608"/>
    <w:rsid w:val="00C20637"/>
    <w:rsid w:val="00C20658"/>
    <w:rsid w:val="00C2065D"/>
    <w:rsid w:val="00C2085C"/>
    <w:rsid w:val="00C2088E"/>
    <w:rsid w:val="00C209F5"/>
    <w:rsid w:val="00C20D32"/>
    <w:rsid w:val="00C20F35"/>
    <w:rsid w:val="00C20FB1"/>
    <w:rsid w:val="00C210E2"/>
    <w:rsid w:val="00C2124F"/>
    <w:rsid w:val="00C214C4"/>
    <w:rsid w:val="00C214F7"/>
    <w:rsid w:val="00C21609"/>
    <w:rsid w:val="00C216CC"/>
    <w:rsid w:val="00C217E1"/>
    <w:rsid w:val="00C21919"/>
    <w:rsid w:val="00C2197A"/>
    <w:rsid w:val="00C21BE6"/>
    <w:rsid w:val="00C21C6C"/>
    <w:rsid w:val="00C21D26"/>
    <w:rsid w:val="00C21D52"/>
    <w:rsid w:val="00C21E6E"/>
    <w:rsid w:val="00C21ED0"/>
    <w:rsid w:val="00C21EDB"/>
    <w:rsid w:val="00C225A2"/>
    <w:rsid w:val="00C226DF"/>
    <w:rsid w:val="00C227D2"/>
    <w:rsid w:val="00C22825"/>
    <w:rsid w:val="00C228E2"/>
    <w:rsid w:val="00C22931"/>
    <w:rsid w:val="00C229F3"/>
    <w:rsid w:val="00C22B47"/>
    <w:rsid w:val="00C22C0A"/>
    <w:rsid w:val="00C22C25"/>
    <w:rsid w:val="00C22CB0"/>
    <w:rsid w:val="00C22EBB"/>
    <w:rsid w:val="00C2300A"/>
    <w:rsid w:val="00C23109"/>
    <w:rsid w:val="00C231A9"/>
    <w:rsid w:val="00C2337A"/>
    <w:rsid w:val="00C233E0"/>
    <w:rsid w:val="00C2349F"/>
    <w:rsid w:val="00C2357B"/>
    <w:rsid w:val="00C23634"/>
    <w:rsid w:val="00C237B6"/>
    <w:rsid w:val="00C23B69"/>
    <w:rsid w:val="00C23C61"/>
    <w:rsid w:val="00C23D80"/>
    <w:rsid w:val="00C23DF8"/>
    <w:rsid w:val="00C23E12"/>
    <w:rsid w:val="00C23E80"/>
    <w:rsid w:val="00C23EDE"/>
    <w:rsid w:val="00C23FBE"/>
    <w:rsid w:val="00C23FC9"/>
    <w:rsid w:val="00C241CF"/>
    <w:rsid w:val="00C2434D"/>
    <w:rsid w:val="00C243E8"/>
    <w:rsid w:val="00C24612"/>
    <w:rsid w:val="00C246DD"/>
    <w:rsid w:val="00C24755"/>
    <w:rsid w:val="00C24837"/>
    <w:rsid w:val="00C248CE"/>
    <w:rsid w:val="00C24C2D"/>
    <w:rsid w:val="00C24DAA"/>
    <w:rsid w:val="00C24E38"/>
    <w:rsid w:val="00C24FB3"/>
    <w:rsid w:val="00C24FBE"/>
    <w:rsid w:val="00C25085"/>
    <w:rsid w:val="00C250AA"/>
    <w:rsid w:val="00C252A2"/>
    <w:rsid w:val="00C25358"/>
    <w:rsid w:val="00C253EE"/>
    <w:rsid w:val="00C2545A"/>
    <w:rsid w:val="00C25471"/>
    <w:rsid w:val="00C2551A"/>
    <w:rsid w:val="00C25739"/>
    <w:rsid w:val="00C2573D"/>
    <w:rsid w:val="00C25B5C"/>
    <w:rsid w:val="00C25DA1"/>
    <w:rsid w:val="00C25E0A"/>
    <w:rsid w:val="00C263B8"/>
    <w:rsid w:val="00C263DB"/>
    <w:rsid w:val="00C26450"/>
    <w:rsid w:val="00C2647A"/>
    <w:rsid w:val="00C264F9"/>
    <w:rsid w:val="00C26626"/>
    <w:rsid w:val="00C266D3"/>
    <w:rsid w:val="00C26887"/>
    <w:rsid w:val="00C26B14"/>
    <w:rsid w:val="00C26BA5"/>
    <w:rsid w:val="00C26C94"/>
    <w:rsid w:val="00C26E20"/>
    <w:rsid w:val="00C27112"/>
    <w:rsid w:val="00C27166"/>
    <w:rsid w:val="00C27333"/>
    <w:rsid w:val="00C27370"/>
    <w:rsid w:val="00C273D2"/>
    <w:rsid w:val="00C2743D"/>
    <w:rsid w:val="00C27654"/>
    <w:rsid w:val="00C27956"/>
    <w:rsid w:val="00C27A30"/>
    <w:rsid w:val="00C27A5B"/>
    <w:rsid w:val="00C27A74"/>
    <w:rsid w:val="00C27B08"/>
    <w:rsid w:val="00C27C3F"/>
    <w:rsid w:val="00C27F1B"/>
    <w:rsid w:val="00C30122"/>
    <w:rsid w:val="00C30450"/>
    <w:rsid w:val="00C30803"/>
    <w:rsid w:val="00C308B0"/>
    <w:rsid w:val="00C309D6"/>
    <w:rsid w:val="00C30AB4"/>
    <w:rsid w:val="00C30CBB"/>
    <w:rsid w:val="00C31004"/>
    <w:rsid w:val="00C315FD"/>
    <w:rsid w:val="00C318B8"/>
    <w:rsid w:val="00C31C41"/>
    <w:rsid w:val="00C31CC0"/>
    <w:rsid w:val="00C31CDE"/>
    <w:rsid w:val="00C3203A"/>
    <w:rsid w:val="00C3211A"/>
    <w:rsid w:val="00C3215A"/>
    <w:rsid w:val="00C322B0"/>
    <w:rsid w:val="00C3273E"/>
    <w:rsid w:val="00C3277C"/>
    <w:rsid w:val="00C327B0"/>
    <w:rsid w:val="00C3285E"/>
    <w:rsid w:val="00C3294A"/>
    <w:rsid w:val="00C329BE"/>
    <w:rsid w:val="00C329C5"/>
    <w:rsid w:val="00C32A78"/>
    <w:rsid w:val="00C32A80"/>
    <w:rsid w:val="00C32AA9"/>
    <w:rsid w:val="00C32AF6"/>
    <w:rsid w:val="00C32C07"/>
    <w:rsid w:val="00C32D6B"/>
    <w:rsid w:val="00C32E68"/>
    <w:rsid w:val="00C32F7D"/>
    <w:rsid w:val="00C33045"/>
    <w:rsid w:val="00C33071"/>
    <w:rsid w:val="00C330BC"/>
    <w:rsid w:val="00C3318C"/>
    <w:rsid w:val="00C331A6"/>
    <w:rsid w:val="00C331BB"/>
    <w:rsid w:val="00C331D2"/>
    <w:rsid w:val="00C33826"/>
    <w:rsid w:val="00C339CB"/>
    <w:rsid w:val="00C33D14"/>
    <w:rsid w:val="00C33D82"/>
    <w:rsid w:val="00C33E1E"/>
    <w:rsid w:val="00C341EF"/>
    <w:rsid w:val="00C342F0"/>
    <w:rsid w:val="00C343B8"/>
    <w:rsid w:val="00C34597"/>
    <w:rsid w:val="00C345B8"/>
    <w:rsid w:val="00C347B7"/>
    <w:rsid w:val="00C347CC"/>
    <w:rsid w:val="00C34A1D"/>
    <w:rsid w:val="00C34ED3"/>
    <w:rsid w:val="00C34FD4"/>
    <w:rsid w:val="00C35016"/>
    <w:rsid w:val="00C3508A"/>
    <w:rsid w:val="00C350B4"/>
    <w:rsid w:val="00C35239"/>
    <w:rsid w:val="00C3527F"/>
    <w:rsid w:val="00C3544A"/>
    <w:rsid w:val="00C35770"/>
    <w:rsid w:val="00C358DA"/>
    <w:rsid w:val="00C35976"/>
    <w:rsid w:val="00C35B7D"/>
    <w:rsid w:val="00C35C4F"/>
    <w:rsid w:val="00C35E2E"/>
    <w:rsid w:val="00C35E68"/>
    <w:rsid w:val="00C35F85"/>
    <w:rsid w:val="00C364F8"/>
    <w:rsid w:val="00C36691"/>
    <w:rsid w:val="00C36A3E"/>
    <w:rsid w:val="00C36ACA"/>
    <w:rsid w:val="00C36E52"/>
    <w:rsid w:val="00C36F17"/>
    <w:rsid w:val="00C3724D"/>
    <w:rsid w:val="00C373D3"/>
    <w:rsid w:val="00C3741F"/>
    <w:rsid w:val="00C37422"/>
    <w:rsid w:val="00C3742B"/>
    <w:rsid w:val="00C377DB"/>
    <w:rsid w:val="00C377F7"/>
    <w:rsid w:val="00C37840"/>
    <w:rsid w:val="00C37878"/>
    <w:rsid w:val="00C37915"/>
    <w:rsid w:val="00C37AD7"/>
    <w:rsid w:val="00C37C28"/>
    <w:rsid w:val="00C37C8F"/>
    <w:rsid w:val="00C37D24"/>
    <w:rsid w:val="00C37DF0"/>
    <w:rsid w:val="00C37EAF"/>
    <w:rsid w:val="00C40140"/>
    <w:rsid w:val="00C406F2"/>
    <w:rsid w:val="00C4085A"/>
    <w:rsid w:val="00C409B6"/>
    <w:rsid w:val="00C40A0C"/>
    <w:rsid w:val="00C40B9C"/>
    <w:rsid w:val="00C40BE1"/>
    <w:rsid w:val="00C40C08"/>
    <w:rsid w:val="00C40CB5"/>
    <w:rsid w:val="00C40CE4"/>
    <w:rsid w:val="00C40F71"/>
    <w:rsid w:val="00C4109E"/>
    <w:rsid w:val="00C4128D"/>
    <w:rsid w:val="00C4149E"/>
    <w:rsid w:val="00C4154B"/>
    <w:rsid w:val="00C417EB"/>
    <w:rsid w:val="00C417EC"/>
    <w:rsid w:val="00C4182B"/>
    <w:rsid w:val="00C4182F"/>
    <w:rsid w:val="00C4189F"/>
    <w:rsid w:val="00C41A41"/>
    <w:rsid w:val="00C41C37"/>
    <w:rsid w:val="00C41C38"/>
    <w:rsid w:val="00C41C45"/>
    <w:rsid w:val="00C41EF0"/>
    <w:rsid w:val="00C41F4B"/>
    <w:rsid w:val="00C423DE"/>
    <w:rsid w:val="00C4240E"/>
    <w:rsid w:val="00C42511"/>
    <w:rsid w:val="00C4265C"/>
    <w:rsid w:val="00C426EA"/>
    <w:rsid w:val="00C429D1"/>
    <w:rsid w:val="00C42D41"/>
    <w:rsid w:val="00C42EC3"/>
    <w:rsid w:val="00C42FB6"/>
    <w:rsid w:val="00C4306B"/>
    <w:rsid w:val="00C4338A"/>
    <w:rsid w:val="00C433A6"/>
    <w:rsid w:val="00C433CB"/>
    <w:rsid w:val="00C43527"/>
    <w:rsid w:val="00C437CD"/>
    <w:rsid w:val="00C43AF1"/>
    <w:rsid w:val="00C43BA8"/>
    <w:rsid w:val="00C43BB3"/>
    <w:rsid w:val="00C44030"/>
    <w:rsid w:val="00C44132"/>
    <w:rsid w:val="00C442E8"/>
    <w:rsid w:val="00C445F5"/>
    <w:rsid w:val="00C447EE"/>
    <w:rsid w:val="00C44939"/>
    <w:rsid w:val="00C44A5E"/>
    <w:rsid w:val="00C450A5"/>
    <w:rsid w:val="00C45162"/>
    <w:rsid w:val="00C45527"/>
    <w:rsid w:val="00C45528"/>
    <w:rsid w:val="00C456E0"/>
    <w:rsid w:val="00C456F3"/>
    <w:rsid w:val="00C45C71"/>
    <w:rsid w:val="00C45CB6"/>
    <w:rsid w:val="00C4608D"/>
    <w:rsid w:val="00C46381"/>
    <w:rsid w:val="00C46390"/>
    <w:rsid w:val="00C463D7"/>
    <w:rsid w:val="00C463F4"/>
    <w:rsid w:val="00C464F2"/>
    <w:rsid w:val="00C465FF"/>
    <w:rsid w:val="00C467BF"/>
    <w:rsid w:val="00C46A27"/>
    <w:rsid w:val="00C46CEF"/>
    <w:rsid w:val="00C46E9C"/>
    <w:rsid w:val="00C46EA7"/>
    <w:rsid w:val="00C46F87"/>
    <w:rsid w:val="00C472BE"/>
    <w:rsid w:val="00C47355"/>
    <w:rsid w:val="00C4739F"/>
    <w:rsid w:val="00C475AD"/>
    <w:rsid w:val="00C47624"/>
    <w:rsid w:val="00C477BB"/>
    <w:rsid w:val="00C477DF"/>
    <w:rsid w:val="00C477F9"/>
    <w:rsid w:val="00C478C0"/>
    <w:rsid w:val="00C4791C"/>
    <w:rsid w:val="00C47BF7"/>
    <w:rsid w:val="00C47D16"/>
    <w:rsid w:val="00C47E31"/>
    <w:rsid w:val="00C47F90"/>
    <w:rsid w:val="00C4FF47"/>
    <w:rsid w:val="00C501D1"/>
    <w:rsid w:val="00C50218"/>
    <w:rsid w:val="00C50237"/>
    <w:rsid w:val="00C50310"/>
    <w:rsid w:val="00C50313"/>
    <w:rsid w:val="00C50541"/>
    <w:rsid w:val="00C505B2"/>
    <w:rsid w:val="00C506BC"/>
    <w:rsid w:val="00C506F4"/>
    <w:rsid w:val="00C5070A"/>
    <w:rsid w:val="00C50861"/>
    <w:rsid w:val="00C50878"/>
    <w:rsid w:val="00C508D9"/>
    <w:rsid w:val="00C50904"/>
    <w:rsid w:val="00C50910"/>
    <w:rsid w:val="00C5092D"/>
    <w:rsid w:val="00C509D3"/>
    <w:rsid w:val="00C50A9A"/>
    <w:rsid w:val="00C50B29"/>
    <w:rsid w:val="00C50BAE"/>
    <w:rsid w:val="00C50C03"/>
    <w:rsid w:val="00C50C72"/>
    <w:rsid w:val="00C50CAA"/>
    <w:rsid w:val="00C50DCB"/>
    <w:rsid w:val="00C50DE6"/>
    <w:rsid w:val="00C50DEA"/>
    <w:rsid w:val="00C51001"/>
    <w:rsid w:val="00C510C8"/>
    <w:rsid w:val="00C51206"/>
    <w:rsid w:val="00C5123D"/>
    <w:rsid w:val="00C5127E"/>
    <w:rsid w:val="00C51344"/>
    <w:rsid w:val="00C5150E"/>
    <w:rsid w:val="00C51516"/>
    <w:rsid w:val="00C51D03"/>
    <w:rsid w:val="00C51DC0"/>
    <w:rsid w:val="00C51DC5"/>
    <w:rsid w:val="00C51F4B"/>
    <w:rsid w:val="00C51F76"/>
    <w:rsid w:val="00C521DA"/>
    <w:rsid w:val="00C522A9"/>
    <w:rsid w:val="00C523C4"/>
    <w:rsid w:val="00C525B0"/>
    <w:rsid w:val="00C5264B"/>
    <w:rsid w:val="00C5275D"/>
    <w:rsid w:val="00C52A2E"/>
    <w:rsid w:val="00C52D90"/>
    <w:rsid w:val="00C52EA4"/>
    <w:rsid w:val="00C52F24"/>
    <w:rsid w:val="00C5305A"/>
    <w:rsid w:val="00C53175"/>
    <w:rsid w:val="00C531A9"/>
    <w:rsid w:val="00C53377"/>
    <w:rsid w:val="00C533A1"/>
    <w:rsid w:val="00C53548"/>
    <w:rsid w:val="00C5366D"/>
    <w:rsid w:val="00C53684"/>
    <w:rsid w:val="00C537AE"/>
    <w:rsid w:val="00C5398A"/>
    <w:rsid w:val="00C539F3"/>
    <w:rsid w:val="00C53A5E"/>
    <w:rsid w:val="00C53CFB"/>
    <w:rsid w:val="00C53EC3"/>
    <w:rsid w:val="00C53FE6"/>
    <w:rsid w:val="00C54035"/>
    <w:rsid w:val="00C54155"/>
    <w:rsid w:val="00C54319"/>
    <w:rsid w:val="00C5439D"/>
    <w:rsid w:val="00C543C2"/>
    <w:rsid w:val="00C5441D"/>
    <w:rsid w:val="00C54541"/>
    <w:rsid w:val="00C546C3"/>
    <w:rsid w:val="00C54911"/>
    <w:rsid w:val="00C55208"/>
    <w:rsid w:val="00C5562C"/>
    <w:rsid w:val="00C556F5"/>
    <w:rsid w:val="00C5575F"/>
    <w:rsid w:val="00C558BF"/>
    <w:rsid w:val="00C558DA"/>
    <w:rsid w:val="00C55922"/>
    <w:rsid w:val="00C55A04"/>
    <w:rsid w:val="00C55ABF"/>
    <w:rsid w:val="00C55FC5"/>
    <w:rsid w:val="00C5602A"/>
    <w:rsid w:val="00C561A9"/>
    <w:rsid w:val="00C56293"/>
    <w:rsid w:val="00C564A8"/>
    <w:rsid w:val="00C56564"/>
    <w:rsid w:val="00C565E0"/>
    <w:rsid w:val="00C567CF"/>
    <w:rsid w:val="00C568E8"/>
    <w:rsid w:val="00C56AFF"/>
    <w:rsid w:val="00C56D6F"/>
    <w:rsid w:val="00C56E5D"/>
    <w:rsid w:val="00C57192"/>
    <w:rsid w:val="00C5743C"/>
    <w:rsid w:val="00C574EF"/>
    <w:rsid w:val="00C57562"/>
    <w:rsid w:val="00C57852"/>
    <w:rsid w:val="00C5793A"/>
    <w:rsid w:val="00C57982"/>
    <w:rsid w:val="00C5799B"/>
    <w:rsid w:val="00C57AAE"/>
    <w:rsid w:val="00C57AC9"/>
    <w:rsid w:val="00C57B17"/>
    <w:rsid w:val="00C57D5E"/>
    <w:rsid w:val="00C57E04"/>
    <w:rsid w:val="00C57EDA"/>
    <w:rsid w:val="00C57F61"/>
    <w:rsid w:val="00C60014"/>
    <w:rsid w:val="00C60191"/>
    <w:rsid w:val="00C6064A"/>
    <w:rsid w:val="00C606D8"/>
    <w:rsid w:val="00C6072D"/>
    <w:rsid w:val="00C60780"/>
    <w:rsid w:val="00C607B5"/>
    <w:rsid w:val="00C60959"/>
    <w:rsid w:val="00C60961"/>
    <w:rsid w:val="00C60BBD"/>
    <w:rsid w:val="00C60BC1"/>
    <w:rsid w:val="00C60BCB"/>
    <w:rsid w:val="00C60C08"/>
    <w:rsid w:val="00C60CE1"/>
    <w:rsid w:val="00C60CFF"/>
    <w:rsid w:val="00C60D9A"/>
    <w:rsid w:val="00C60DC2"/>
    <w:rsid w:val="00C613BB"/>
    <w:rsid w:val="00C613E8"/>
    <w:rsid w:val="00C615A6"/>
    <w:rsid w:val="00C616E8"/>
    <w:rsid w:val="00C61A36"/>
    <w:rsid w:val="00C61A98"/>
    <w:rsid w:val="00C61AA1"/>
    <w:rsid w:val="00C61AF9"/>
    <w:rsid w:val="00C61BE8"/>
    <w:rsid w:val="00C61BEB"/>
    <w:rsid w:val="00C61D93"/>
    <w:rsid w:val="00C61DDA"/>
    <w:rsid w:val="00C61EA7"/>
    <w:rsid w:val="00C620B4"/>
    <w:rsid w:val="00C62289"/>
    <w:rsid w:val="00C6234B"/>
    <w:rsid w:val="00C624E2"/>
    <w:rsid w:val="00C62748"/>
    <w:rsid w:val="00C629A8"/>
    <w:rsid w:val="00C62B12"/>
    <w:rsid w:val="00C62B28"/>
    <w:rsid w:val="00C62D45"/>
    <w:rsid w:val="00C63091"/>
    <w:rsid w:val="00C630DC"/>
    <w:rsid w:val="00C63101"/>
    <w:rsid w:val="00C63191"/>
    <w:rsid w:val="00C6325B"/>
    <w:rsid w:val="00C63690"/>
    <w:rsid w:val="00C636D6"/>
    <w:rsid w:val="00C6377B"/>
    <w:rsid w:val="00C637A8"/>
    <w:rsid w:val="00C637EE"/>
    <w:rsid w:val="00C638ED"/>
    <w:rsid w:val="00C63996"/>
    <w:rsid w:val="00C63C59"/>
    <w:rsid w:val="00C63CA5"/>
    <w:rsid w:val="00C63F18"/>
    <w:rsid w:val="00C63F65"/>
    <w:rsid w:val="00C63FAD"/>
    <w:rsid w:val="00C64106"/>
    <w:rsid w:val="00C64336"/>
    <w:rsid w:val="00C6443E"/>
    <w:rsid w:val="00C6454D"/>
    <w:rsid w:val="00C646B1"/>
    <w:rsid w:val="00C64908"/>
    <w:rsid w:val="00C649F4"/>
    <w:rsid w:val="00C64A51"/>
    <w:rsid w:val="00C64AE8"/>
    <w:rsid w:val="00C64BCE"/>
    <w:rsid w:val="00C64BF1"/>
    <w:rsid w:val="00C64C6F"/>
    <w:rsid w:val="00C64C86"/>
    <w:rsid w:val="00C64CCC"/>
    <w:rsid w:val="00C64D16"/>
    <w:rsid w:val="00C64D39"/>
    <w:rsid w:val="00C64DC0"/>
    <w:rsid w:val="00C64ED9"/>
    <w:rsid w:val="00C65055"/>
    <w:rsid w:val="00C650B5"/>
    <w:rsid w:val="00C650C2"/>
    <w:rsid w:val="00C65275"/>
    <w:rsid w:val="00C652FB"/>
    <w:rsid w:val="00C65379"/>
    <w:rsid w:val="00C6541C"/>
    <w:rsid w:val="00C6554A"/>
    <w:rsid w:val="00C65560"/>
    <w:rsid w:val="00C655E4"/>
    <w:rsid w:val="00C6566C"/>
    <w:rsid w:val="00C65B5D"/>
    <w:rsid w:val="00C65C40"/>
    <w:rsid w:val="00C65CEC"/>
    <w:rsid w:val="00C65CEF"/>
    <w:rsid w:val="00C65DA6"/>
    <w:rsid w:val="00C66092"/>
    <w:rsid w:val="00C6617A"/>
    <w:rsid w:val="00C66205"/>
    <w:rsid w:val="00C6622D"/>
    <w:rsid w:val="00C6651A"/>
    <w:rsid w:val="00C666AF"/>
    <w:rsid w:val="00C669AC"/>
    <w:rsid w:val="00C66AB3"/>
    <w:rsid w:val="00C66ABF"/>
    <w:rsid w:val="00C66BE3"/>
    <w:rsid w:val="00C67005"/>
    <w:rsid w:val="00C670BF"/>
    <w:rsid w:val="00C670F7"/>
    <w:rsid w:val="00C67167"/>
    <w:rsid w:val="00C671D4"/>
    <w:rsid w:val="00C6721F"/>
    <w:rsid w:val="00C6733A"/>
    <w:rsid w:val="00C67757"/>
    <w:rsid w:val="00C678BF"/>
    <w:rsid w:val="00C67948"/>
    <w:rsid w:val="00C67A5B"/>
    <w:rsid w:val="00C67CDD"/>
    <w:rsid w:val="00C67D0C"/>
    <w:rsid w:val="00C67E47"/>
    <w:rsid w:val="00C67E50"/>
    <w:rsid w:val="00C67E86"/>
    <w:rsid w:val="00C67EF9"/>
    <w:rsid w:val="00C70169"/>
    <w:rsid w:val="00C70216"/>
    <w:rsid w:val="00C70406"/>
    <w:rsid w:val="00C70614"/>
    <w:rsid w:val="00C70617"/>
    <w:rsid w:val="00C7073F"/>
    <w:rsid w:val="00C70778"/>
    <w:rsid w:val="00C708E5"/>
    <w:rsid w:val="00C70AAE"/>
    <w:rsid w:val="00C70B1B"/>
    <w:rsid w:val="00C70DA1"/>
    <w:rsid w:val="00C70DB9"/>
    <w:rsid w:val="00C70E26"/>
    <w:rsid w:val="00C70FAB"/>
    <w:rsid w:val="00C71023"/>
    <w:rsid w:val="00C71095"/>
    <w:rsid w:val="00C710D4"/>
    <w:rsid w:val="00C71346"/>
    <w:rsid w:val="00C71568"/>
    <w:rsid w:val="00C71586"/>
    <w:rsid w:val="00C715C5"/>
    <w:rsid w:val="00C71736"/>
    <w:rsid w:val="00C717A8"/>
    <w:rsid w:val="00C71A26"/>
    <w:rsid w:val="00C71B08"/>
    <w:rsid w:val="00C71FB0"/>
    <w:rsid w:val="00C71FEF"/>
    <w:rsid w:val="00C72034"/>
    <w:rsid w:val="00C7206A"/>
    <w:rsid w:val="00C72226"/>
    <w:rsid w:val="00C724AE"/>
    <w:rsid w:val="00C724F1"/>
    <w:rsid w:val="00C72641"/>
    <w:rsid w:val="00C72D4E"/>
    <w:rsid w:val="00C72FCC"/>
    <w:rsid w:val="00C730FF"/>
    <w:rsid w:val="00C7328F"/>
    <w:rsid w:val="00C733C3"/>
    <w:rsid w:val="00C73471"/>
    <w:rsid w:val="00C734E1"/>
    <w:rsid w:val="00C73760"/>
    <w:rsid w:val="00C737CA"/>
    <w:rsid w:val="00C738E9"/>
    <w:rsid w:val="00C73933"/>
    <w:rsid w:val="00C73D08"/>
    <w:rsid w:val="00C73D87"/>
    <w:rsid w:val="00C73E36"/>
    <w:rsid w:val="00C73F55"/>
    <w:rsid w:val="00C742FE"/>
    <w:rsid w:val="00C7433C"/>
    <w:rsid w:val="00C74357"/>
    <w:rsid w:val="00C74661"/>
    <w:rsid w:val="00C746AE"/>
    <w:rsid w:val="00C749ED"/>
    <w:rsid w:val="00C74A76"/>
    <w:rsid w:val="00C74B65"/>
    <w:rsid w:val="00C74BF1"/>
    <w:rsid w:val="00C74D7A"/>
    <w:rsid w:val="00C74D8B"/>
    <w:rsid w:val="00C74F05"/>
    <w:rsid w:val="00C75056"/>
    <w:rsid w:val="00C75196"/>
    <w:rsid w:val="00C751A9"/>
    <w:rsid w:val="00C751DF"/>
    <w:rsid w:val="00C751E0"/>
    <w:rsid w:val="00C756BA"/>
    <w:rsid w:val="00C7592E"/>
    <w:rsid w:val="00C75967"/>
    <w:rsid w:val="00C759E4"/>
    <w:rsid w:val="00C75BAF"/>
    <w:rsid w:val="00C75C12"/>
    <w:rsid w:val="00C75CCF"/>
    <w:rsid w:val="00C75D71"/>
    <w:rsid w:val="00C75EE5"/>
    <w:rsid w:val="00C75F51"/>
    <w:rsid w:val="00C76053"/>
    <w:rsid w:val="00C762F9"/>
    <w:rsid w:val="00C763B4"/>
    <w:rsid w:val="00C76610"/>
    <w:rsid w:val="00C76668"/>
    <w:rsid w:val="00C76758"/>
    <w:rsid w:val="00C768A4"/>
    <w:rsid w:val="00C76A0D"/>
    <w:rsid w:val="00C76A49"/>
    <w:rsid w:val="00C76B25"/>
    <w:rsid w:val="00C76B99"/>
    <w:rsid w:val="00C76CD7"/>
    <w:rsid w:val="00C76E2D"/>
    <w:rsid w:val="00C76F7A"/>
    <w:rsid w:val="00C76FC7"/>
    <w:rsid w:val="00C7705E"/>
    <w:rsid w:val="00C770D1"/>
    <w:rsid w:val="00C77454"/>
    <w:rsid w:val="00C778BA"/>
    <w:rsid w:val="00C77B0B"/>
    <w:rsid w:val="00C77B27"/>
    <w:rsid w:val="00C77E8B"/>
    <w:rsid w:val="00C77EDD"/>
    <w:rsid w:val="00C800FB"/>
    <w:rsid w:val="00C80136"/>
    <w:rsid w:val="00C801A9"/>
    <w:rsid w:val="00C801EA"/>
    <w:rsid w:val="00C8025D"/>
    <w:rsid w:val="00C80396"/>
    <w:rsid w:val="00C803CC"/>
    <w:rsid w:val="00C8045E"/>
    <w:rsid w:val="00C8047C"/>
    <w:rsid w:val="00C8050D"/>
    <w:rsid w:val="00C805D1"/>
    <w:rsid w:val="00C805EF"/>
    <w:rsid w:val="00C806AE"/>
    <w:rsid w:val="00C809C0"/>
    <w:rsid w:val="00C80A20"/>
    <w:rsid w:val="00C80A3E"/>
    <w:rsid w:val="00C80A44"/>
    <w:rsid w:val="00C80AE2"/>
    <w:rsid w:val="00C80B35"/>
    <w:rsid w:val="00C80C06"/>
    <w:rsid w:val="00C80C86"/>
    <w:rsid w:val="00C80E17"/>
    <w:rsid w:val="00C80EFD"/>
    <w:rsid w:val="00C81042"/>
    <w:rsid w:val="00C81102"/>
    <w:rsid w:val="00C811A4"/>
    <w:rsid w:val="00C811E7"/>
    <w:rsid w:val="00C812C4"/>
    <w:rsid w:val="00C813B0"/>
    <w:rsid w:val="00C813E0"/>
    <w:rsid w:val="00C813E3"/>
    <w:rsid w:val="00C814F4"/>
    <w:rsid w:val="00C81526"/>
    <w:rsid w:val="00C815BA"/>
    <w:rsid w:val="00C8174B"/>
    <w:rsid w:val="00C81939"/>
    <w:rsid w:val="00C81984"/>
    <w:rsid w:val="00C81C4F"/>
    <w:rsid w:val="00C81CDC"/>
    <w:rsid w:val="00C81D38"/>
    <w:rsid w:val="00C81E78"/>
    <w:rsid w:val="00C82109"/>
    <w:rsid w:val="00C821AB"/>
    <w:rsid w:val="00C821CC"/>
    <w:rsid w:val="00C82253"/>
    <w:rsid w:val="00C82298"/>
    <w:rsid w:val="00C82395"/>
    <w:rsid w:val="00C823C9"/>
    <w:rsid w:val="00C827F3"/>
    <w:rsid w:val="00C8285B"/>
    <w:rsid w:val="00C82920"/>
    <w:rsid w:val="00C82D22"/>
    <w:rsid w:val="00C82DC7"/>
    <w:rsid w:val="00C82EF4"/>
    <w:rsid w:val="00C82F60"/>
    <w:rsid w:val="00C83112"/>
    <w:rsid w:val="00C83211"/>
    <w:rsid w:val="00C833B2"/>
    <w:rsid w:val="00C833BC"/>
    <w:rsid w:val="00C833C1"/>
    <w:rsid w:val="00C83547"/>
    <w:rsid w:val="00C8372C"/>
    <w:rsid w:val="00C838EC"/>
    <w:rsid w:val="00C83A0E"/>
    <w:rsid w:val="00C83A7B"/>
    <w:rsid w:val="00C83F3D"/>
    <w:rsid w:val="00C83F90"/>
    <w:rsid w:val="00C83FA3"/>
    <w:rsid w:val="00C8406B"/>
    <w:rsid w:val="00C843EC"/>
    <w:rsid w:val="00C8443E"/>
    <w:rsid w:val="00C8467D"/>
    <w:rsid w:val="00C84848"/>
    <w:rsid w:val="00C84858"/>
    <w:rsid w:val="00C8493B"/>
    <w:rsid w:val="00C849B4"/>
    <w:rsid w:val="00C849D1"/>
    <w:rsid w:val="00C84A3A"/>
    <w:rsid w:val="00C84B0A"/>
    <w:rsid w:val="00C84B9A"/>
    <w:rsid w:val="00C84E75"/>
    <w:rsid w:val="00C850F4"/>
    <w:rsid w:val="00C85210"/>
    <w:rsid w:val="00C85289"/>
    <w:rsid w:val="00C85331"/>
    <w:rsid w:val="00C853EC"/>
    <w:rsid w:val="00C853ED"/>
    <w:rsid w:val="00C85510"/>
    <w:rsid w:val="00C85D67"/>
    <w:rsid w:val="00C85DA5"/>
    <w:rsid w:val="00C85E1D"/>
    <w:rsid w:val="00C85F17"/>
    <w:rsid w:val="00C86055"/>
    <w:rsid w:val="00C864D8"/>
    <w:rsid w:val="00C8665A"/>
    <w:rsid w:val="00C8676F"/>
    <w:rsid w:val="00C86916"/>
    <w:rsid w:val="00C86963"/>
    <w:rsid w:val="00C869F0"/>
    <w:rsid w:val="00C86A6C"/>
    <w:rsid w:val="00C86B71"/>
    <w:rsid w:val="00C86FB6"/>
    <w:rsid w:val="00C87117"/>
    <w:rsid w:val="00C871DD"/>
    <w:rsid w:val="00C87330"/>
    <w:rsid w:val="00C8748B"/>
    <w:rsid w:val="00C874CE"/>
    <w:rsid w:val="00C8768E"/>
    <w:rsid w:val="00C87763"/>
    <w:rsid w:val="00C8784C"/>
    <w:rsid w:val="00C878B0"/>
    <w:rsid w:val="00C8794D"/>
    <w:rsid w:val="00C8797D"/>
    <w:rsid w:val="00C879A0"/>
    <w:rsid w:val="00C879B7"/>
    <w:rsid w:val="00C879EE"/>
    <w:rsid w:val="00C87A47"/>
    <w:rsid w:val="00C87A50"/>
    <w:rsid w:val="00C87AA3"/>
    <w:rsid w:val="00C87CA1"/>
    <w:rsid w:val="00C87D15"/>
    <w:rsid w:val="00C87D69"/>
    <w:rsid w:val="00C87D6B"/>
    <w:rsid w:val="00C87E8B"/>
    <w:rsid w:val="00C902D7"/>
    <w:rsid w:val="00C90480"/>
    <w:rsid w:val="00C907AE"/>
    <w:rsid w:val="00C9081E"/>
    <w:rsid w:val="00C90946"/>
    <w:rsid w:val="00C90A94"/>
    <w:rsid w:val="00C90AFA"/>
    <w:rsid w:val="00C90B0D"/>
    <w:rsid w:val="00C90B24"/>
    <w:rsid w:val="00C90B6A"/>
    <w:rsid w:val="00C90BEA"/>
    <w:rsid w:val="00C90BFD"/>
    <w:rsid w:val="00C90DDF"/>
    <w:rsid w:val="00C91085"/>
    <w:rsid w:val="00C913AD"/>
    <w:rsid w:val="00C9145B"/>
    <w:rsid w:val="00C914A3"/>
    <w:rsid w:val="00C914F1"/>
    <w:rsid w:val="00C915A7"/>
    <w:rsid w:val="00C9160F"/>
    <w:rsid w:val="00C9173B"/>
    <w:rsid w:val="00C9189E"/>
    <w:rsid w:val="00C91ADC"/>
    <w:rsid w:val="00C91BD5"/>
    <w:rsid w:val="00C91D0A"/>
    <w:rsid w:val="00C91DAA"/>
    <w:rsid w:val="00C91FD6"/>
    <w:rsid w:val="00C92199"/>
    <w:rsid w:val="00C921C7"/>
    <w:rsid w:val="00C92433"/>
    <w:rsid w:val="00C92474"/>
    <w:rsid w:val="00C924E6"/>
    <w:rsid w:val="00C92513"/>
    <w:rsid w:val="00C92515"/>
    <w:rsid w:val="00C92692"/>
    <w:rsid w:val="00C92727"/>
    <w:rsid w:val="00C927C6"/>
    <w:rsid w:val="00C928CA"/>
    <w:rsid w:val="00C92A67"/>
    <w:rsid w:val="00C92A74"/>
    <w:rsid w:val="00C92D86"/>
    <w:rsid w:val="00C92E0A"/>
    <w:rsid w:val="00C92E5A"/>
    <w:rsid w:val="00C92F2A"/>
    <w:rsid w:val="00C92FC2"/>
    <w:rsid w:val="00C9322C"/>
    <w:rsid w:val="00C934BB"/>
    <w:rsid w:val="00C935C0"/>
    <w:rsid w:val="00C935D6"/>
    <w:rsid w:val="00C935F8"/>
    <w:rsid w:val="00C936AF"/>
    <w:rsid w:val="00C937FF"/>
    <w:rsid w:val="00C938D8"/>
    <w:rsid w:val="00C93984"/>
    <w:rsid w:val="00C93AE4"/>
    <w:rsid w:val="00C93B12"/>
    <w:rsid w:val="00C93D8D"/>
    <w:rsid w:val="00C93E34"/>
    <w:rsid w:val="00C93F99"/>
    <w:rsid w:val="00C9405C"/>
    <w:rsid w:val="00C940AB"/>
    <w:rsid w:val="00C940E8"/>
    <w:rsid w:val="00C94133"/>
    <w:rsid w:val="00C941CA"/>
    <w:rsid w:val="00C94237"/>
    <w:rsid w:val="00C94269"/>
    <w:rsid w:val="00C94310"/>
    <w:rsid w:val="00C94449"/>
    <w:rsid w:val="00C94463"/>
    <w:rsid w:val="00C94480"/>
    <w:rsid w:val="00C94510"/>
    <w:rsid w:val="00C94649"/>
    <w:rsid w:val="00C94690"/>
    <w:rsid w:val="00C947CD"/>
    <w:rsid w:val="00C947FD"/>
    <w:rsid w:val="00C94A54"/>
    <w:rsid w:val="00C94B2D"/>
    <w:rsid w:val="00C94C28"/>
    <w:rsid w:val="00C94CD6"/>
    <w:rsid w:val="00C94CE7"/>
    <w:rsid w:val="00C94CE9"/>
    <w:rsid w:val="00C94D8E"/>
    <w:rsid w:val="00C94E22"/>
    <w:rsid w:val="00C94FE8"/>
    <w:rsid w:val="00C9532C"/>
    <w:rsid w:val="00C95827"/>
    <w:rsid w:val="00C959B7"/>
    <w:rsid w:val="00C95A07"/>
    <w:rsid w:val="00C95A9B"/>
    <w:rsid w:val="00C95C42"/>
    <w:rsid w:val="00C95C9A"/>
    <w:rsid w:val="00C95D01"/>
    <w:rsid w:val="00C95E0A"/>
    <w:rsid w:val="00C95E31"/>
    <w:rsid w:val="00C95E6C"/>
    <w:rsid w:val="00C96010"/>
    <w:rsid w:val="00C96388"/>
    <w:rsid w:val="00C96432"/>
    <w:rsid w:val="00C9661C"/>
    <w:rsid w:val="00C96A73"/>
    <w:rsid w:val="00C96A94"/>
    <w:rsid w:val="00C96C95"/>
    <w:rsid w:val="00C9702C"/>
    <w:rsid w:val="00C970C8"/>
    <w:rsid w:val="00C971CD"/>
    <w:rsid w:val="00C9754F"/>
    <w:rsid w:val="00C97687"/>
    <w:rsid w:val="00C978F0"/>
    <w:rsid w:val="00C97A99"/>
    <w:rsid w:val="00C97B03"/>
    <w:rsid w:val="00C97CD2"/>
    <w:rsid w:val="00C97CFB"/>
    <w:rsid w:val="00C97D3D"/>
    <w:rsid w:val="00C97D71"/>
    <w:rsid w:val="00C97E66"/>
    <w:rsid w:val="00C97E8C"/>
    <w:rsid w:val="00C97FEE"/>
    <w:rsid w:val="00CA002F"/>
    <w:rsid w:val="00CA005C"/>
    <w:rsid w:val="00CA006F"/>
    <w:rsid w:val="00CA009C"/>
    <w:rsid w:val="00CA02DD"/>
    <w:rsid w:val="00CA03C2"/>
    <w:rsid w:val="00CA03D8"/>
    <w:rsid w:val="00CA046D"/>
    <w:rsid w:val="00CA04D1"/>
    <w:rsid w:val="00CA0644"/>
    <w:rsid w:val="00CA07AE"/>
    <w:rsid w:val="00CA07C9"/>
    <w:rsid w:val="00CA085E"/>
    <w:rsid w:val="00CA0CA5"/>
    <w:rsid w:val="00CA0EE8"/>
    <w:rsid w:val="00CA0F5A"/>
    <w:rsid w:val="00CA0F9A"/>
    <w:rsid w:val="00CA1053"/>
    <w:rsid w:val="00CA1072"/>
    <w:rsid w:val="00CA10EB"/>
    <w:rsid w:val="00CA1115"/>
    <w:rsid w:val="00CA1185"/>
    <w:rsid w:val="00CA120E"/>
    <w:rsid w:val="00CA15EF"/>
    <w:rsid w:val="00CA160E"/>
    <w:rsid w:val="00CA1610"/>
    <w:rsid w:val="00CA1659"/>
    <w:rsid w:val="00CA1B2D"/>
    <w:rsid w:val="00CA1B5B"/>
    <w:rsid w:val="00CA1C04"/>
    <w:rsid w:val="00CA1D50"/>
    <w:rsid w:val="00CA2253"/>
    <w:rsid w:val="00CA2359"/>
    <w:rsid w:val="00CA24D2"/>
    <w:rsid w:val="00CA254D"/>
    <w:rsid w:val="00CA25B9"/>
    <w:rsid w:val="00CA27F5"/>
    <w:rsid w:val="00CA2843"/>
    <w:rsid w:val="00CA2907"/>
    <w:rsid w:val="00CA2BC3"/>
    <w:rsid w:val="00CA2BDF"/>
    <w:rsid w:val="00CA2C12"/>
    <w:rsid w:val="00CA2C6D"/>
    <w:rsid w:val="00CA2E54"/>
    <w:rsid w:val="00CA2E6E"/>
    <w:rsid w:val="00CA2F13"/>
    <w:rsid w:val="00CA2F1B"/>
    <w:rsid w:val="00CA30DD"/>
    <w:rsid w:val="00CA31D5"/>
    <w:rsid w:val="00CA3336"/>
    <w:rsid w:val="00CA33E6"/>
    <w:rsid w:val="00CA356D"/>
    <w:rsid w:val="00CA359E"/>
    <w:rsid w:val="00CA3703"/>
    <w:rsid w:val="00CA3AC3"/>
    <w:rsid w:val="00CA3AE2"/>
    <w:rsid w:val="00CA3BB5"/>
    <w:rsid w:val="00CA3BE8"/>
    <w:rsid w:val="00CA3BFF"/>
    <w:rsid w:val="00CA3C62"/>
    <w:rsid w:val="00CA3CAE"/>
    <w:rsid w:val="00CA3F05"/>
    <w:rsid w:val="00CA4007"/>
    <w:rsid w:val="00CA4325"/>
    <w:rsid w:val="00CA44FB"/>
    <w:rsid w:val="00CA4768"/>
    <w:rsid w:val="00CA47CC"/>
    <w:rsid w:val="00CA4A2F"/>
    <w:rsid w:val="00CA4AB6"/>
    <w:rsid w:val="00CA4DAA"/>
    <w:rsid w:val="00CA4DDF"/>
    <w:rsid w:val="00CA4E38"/>
    <w:rsid w:val="00CA4EEA"/>
    <w:rsid w:val="00CA4EED"/>
    <w:rsid w:val="00CA5328"/>
    <w:rsid w:val="00CA53CD"/>
    <w:rsid w:val="00CA57B4"/>
    <w:rsid w:val="00CA5827"/>
    <w:rsid w:val="00CA584A"/>
    <w:rsid w:val="00CA584D"/>
    <w:rsid w:val="00CA58AC"/>
    <w:rsid w:val="00CA591F"/>
    <w:rsid w:val="00CA59B6"/>
    <w:rsid w:val="00CA59DB"/>
    <w:rsid w:val="00CA5B68"/>
    <w:rsid w:val="00CA5B78"/>
    <w:rsid w:val="00CA5BD5"/>
    <w:rsid w:val="00CA5C70"/>
    <w:rsid w:val="00CA5F41"/>
    <w:rsid w:val="00CA6057"/>
    <w:rsid w:val="00CA606F"/>
    <w:rsid w:val="00CA61B1"/>
    <w:rsid w:val="00CA6204"/>
    <w:rsid w:val="00CA624A"/>
    <w:rsid w:val="00CA62F6"/>
    <w:rsid w:val="00CA632A"/>
    <w:rsid w:val="00CA63F9"/>
    <w:rsid w:val="00CA6499"/>
    <w:rsid w:val="00CA64FD"/>
    <w:rsid w:val="00CA6564"/>
    <w:rsid w:val="00CA6695"/>
    <w:rsid w:val="00CA68AA"/>
    <w:rsid w:val="00CA68B5"/>
    <w:rsid w:val="00CA6B6C"/>
    <w:rsid w:val="00CA6B7B"/>
    <w:rsid w:val="00CA6BA5"/>
    <w:rsid w:val="00CA6C24"/>
    <w:rsid w:val="00CA6D96"/>
    <w:rsid w:val="00CA70B9"/>
    <w:rsid w:val="00CA71B9"/>
    <w:rsid w:val="00CA71C5"/>
    <w:rsid w:val="00CA7247"/>
    <w:rsid w:val="00CA7313"/>
    <w:rsid w:val="00CA7429"/>
    <w:rsid w:val="00CA7767"/>
    <w:rsid w:val="00CA7877"/>
    <w:rsid w:val="00CA794A"/>
    <w:rsid w:val="00CA794C"/>
    <w:rsid w:val="00CA7B6B"/>
    <w:rsid w:val="00CA7BF7"/>
    <w:rsid w:val="00CA7CB3"/>
    <w:rsid w:val="00CA7D45"/>
    <w:rsid w:val="00CA7EF6"/>
    <w:rsid w:val="00CB027A"/>
    <w:rsid w:val="00CB04E2"/>
    <w:rsid w:val="00CB04FA"/>
    <w:rsid w:val="00CB0715"/>
    <w:rsid w:val="00CB0789"/>
    <w:rsid w:val="00CB08D5"/>
    <w:rsid w:val="00CB0F45"/>
    <w:rsid w:val="00CB12FE"/>
    <w:rsid w:val="00CB13A3"/>
    <w:rsid w:val="00CB1492"/>
    <w:rsid w:val="00CB155B"/>
    <w:rsid w:val="00CB16EE"/>
    <w:rsid w:val="00CB1769"/>
    <w:rsid w:val="00CB176D"/>
    <w:rsid w:val="00CB17C4"/>
    <w:rsid w:val="00CB188F"/>
    <w:rsid w:val="00CB192B"/>
    <w:rsid w:val="00CB19BA"/>
    <w:rsid w:val="00CB19F4"/>
    <w:rsid w:val="00CB1A3E"/>
    <w:rsid w:val="00CB1C62"/>
    <w:rsid w:val="00CB1CB2"/>
    <w:rsid w:val="00CB1E5E"/>
    <w:rsid w:val="00CB20B2"/>
    <w:rsid w:val="00CB20C9"/>
    <w:rsid w:val="00CB2121"/>
    <w:rsid w:val="00CB22C8"/>
    <w:rsid w:val="00CB238A"/>
    <w:rsid w:val="00CB2549"/>
    <w:rsid w:val="00CB25D3"/>
    <w:rsid w:val="00CB262A"/>
    <w:rsid w:val="00CB26CF"/>
    <w:rsid w:val="00CB26D9"/>
    <w:rsid w:val="00CB2707"/>
    <w:rsid w:val="00CB2738"/>
    <w:rsid w:val="00CB28C5"/>
    <w:rsid w:val="00CB297C"/>
    <w:rsid w:val="00CB2A46"/>
    <w:rsid w:val="00CB2B74"/>
    <w:rsid w:val="00CB2B87"/>
    <w:rsid w:val="00CB2B8A"/>
    <w:rsid w:val="00CB2C33"/>
    <w:rsid w:val="00CB2D0D"/>
    <w:rsid w:val="00CB2D6C"/>
    <w:rsid w:val="00CB2E78"/>
    <w:rsid w:val="00CB2ECE"/>
    <w:rsid w:val="00CB2F0A"/>
    <w:rsid w:val="00CB2F43"/>
    <w:rsid w:val="00CB31DB"/>
    <w:rsid w:val="00CB32D0"/>
    <w:rsid w:val="00CB3628"/>
    <w:rsid w:val="00CB36EB"/>
    <w:rsid w:val="00CB37EA"/>
    <w:rsid w:val="00CB3B41"/>
    <w:rsid w:val="00CB3C59"/>
    <w:rsid w:val="00CB3D5A"/>
    <w:rsid w:val="00CB3E59"/>
    <w:rsid w:val="00CB4579"/>
    <w:rsid w:val="00CB45EF"/>
    <w:rsid w:val="00CB465F"/>
    <w:rsid w:val="00CB46CD"/>
    <w:rsid w:val="00CB4753"/>
    <w:rsid w:val="00CB49E9"/>
    <w:rsid w:val="00CB4CC5"/>
    <w:rsid w:val="00CB4DF5"/>
    <w:rsid w:val="00CB4F57"/>
    <w:rsid w:val="00CB50F6"/>
    <w:rsid w:val="00CB511B"/>
    <w:rsid w:val="00CB5166"/>
    <w:rsid w:val="00CB52CA"/>
    <w:rsid w:val="00CB554A"/>
    <w:rsid w:val="00CB5576"/>
    <w:rsid w:val="00CB585B"/>
    <w:rsid w:val="00CB58BF"/>
    <w:rsid w:val="00CB5A5C"/>
    <w:rsid w:val="00CB5B0E"/>
    <w:rsid w:val="00CB6051"/>
    <w:rsid w:val="00CB6078"/>
    <w:rsid w:val="00CB61DD"/>
    <w:rsid w:val="00CB6391"/>
    <w:rsid w:val="00CB6464"/>
    <w:rsid w:val="00CB6889"/>
    <w:rsid w:val="00CB68BD"/>
    <w:rsid w:val="00CB696A"/>
    <w:rsid w:val="00CB6B93"/>
    <w:rsid w:val="00CB6BFE"/>
    <w:rsid w:val="00CB6F87"/>
    <w:rsid w:val="00CB702D"/>
    <w:rsid w:val="00CB7132"/>
    <w:rsid w:val="00CB741D"/>
    <w:rsid w:val="00CB7460"/>
    <w:rsid w:val="00CB74DF"/>
    <w:rsid w:val="00CB7576"/>
    <w:rsid w:val="00CB758F"/>
    <w:rsid w:val="00CB7790"/>
    <w:rsid w:val="00CB7A19"/>
    <w:rsid w:val="00CB7A95"/>
    <w:rsid w:val="00CB7B2C"/>
    <w:rsid w:val="00CB7BEA"/>
    <w:rsid w:val="00CB7C1F"/>
    <w:rsid w:val="00CB7CAD"/>
    <w:rsid w:val="00CB7CBF"/>
    <w:rsid w:val="00CB7CDA"/>
    <w:rsid w:val="00CB7E40"/>
    <w:rsid w:val="00CB7E6B"/>
    <w:rsid w:val="00CB7F6A"/>
    <w:rsid w:val="00CC001E"/>
    <w:rsid w:val="00CC02F7"/>
    <w:rsid w:val="00CC04A6"/>
    <w:rsid w:val="00CC05BE"/>
    <w:rsid w:val="00CC081A"/>
    <w:rsid w:val="00CC0BFD"/>
    <w:rsid w:val="00CC0CFF"/>
    <w:rsid w:val="00CC0E66"/>
    <w:rsid w:val="00CC0F97"/>
    <w:rsid w:val="00CC0F9F"/>
    <w:rsid w:val="00CC0FA1"/>
    <w:rsid w:val="00CC10DE"/>
    <w:rsid w:val="00CC1375"/>
    <w:rsid w:val="00CC13CD"/>
    <w:rsid w:val="00CC13F0"/>
    <w:rsid w:val="00CC14C3"/>
    <w:rsid w:val="00CC1544"/>
    <w:rsid w:val="00CC155D"/>
    <w:rsid w:val="00CC1563"/>
    <w:rsid w:val="00CC15BF"/>
    <w:rsid w:val="00CC1719"/>
    <w:rsid w:val="00CC177E"/>
    <w:rsid w:val="00CC19F6"/>
    <w:rsid w:val="00CC1BC6"/>
    <w:rsid w:val="00CC1CBE"/>
    <w:rsid w:val="00CC1DF2"/>
    <w:rsid w:val="00CC1E70"/>
    <w:rsid w:val="00CC1EDE"/>
    <w:rsid w:val="00CC1F9D"/>
    <w:rsid w:val="00CC20F2"/>
    <w:rsid w:val="00CC2140"/>
    <w:rsid w:val="00CC21C5"/>
    <w:rsid w:val="00CC23C8"/>
    <w:rsid w:val="00CC258B"/>
    <w:rsid w:val="00CC25A0"/>
    <w:rsid w:val="00CC2AB0"/>
    <w:rsid w:val="00CC2B43"/>
    <w:rsid w:val="00CC2BC6"/>
    <w:rsid w:val="00CC2CB9"/>
    <w:rsid w:val="00CC2D5B"/>
    <w:rsid w:val="00CC2DB5"/>
    <w:rsid w:val="00CC303D"/>
    <w:rsid w:val="00CC320F"/>
    <w:rsid w:val="00CC32AC"/>
    <w:rsid w:val="00CC336A"/>
    <w:rsid w:val="00CC3513"/>
    <w:rsid w:val="00CC35C5"/>
    <w:rsid w:val="00CC3654"/>
    <w:rsid w:val="00CC3809"/>
    <w:rsid w:val="00CC3A71"/>
    <w:rsid w:val="00CC3AC4"/>
    <w:rsid w:val="00CC3C92"/>
    <w:rsid w:val="00CC3D13"/>
    <w:rsid w:val="00CC3D80"/>
    <w:rsid w:val="00CC3E11"/>
    <w:rsid w:val="00CC3E9D"/>
    <w:rsid w:val="00CC3EEB"/>
    <w:rsid w:val="00CC405C"/>
    <w:rsid w:val="00CC415C"/>
    <w:rsid w:val="00CC4313"/>
    <w:rsid w:val="00CC44D5"/>
    <w:rsid w:val="00CC4591"/>
    <w:rsid w:val="00CC4878"/>
    <w:rsid w:val="00CC4AF3"/>
    <w:rsid w:val="00CC4D8C"/>
    <w:rsid w:val="00CC4DD1"/>
    <w:rsid w:val="00CC4DDE"/>
    <w:rsid w:val="00CC4F38"/>
    <w:rsid w:val="00CC4F5F"/>
    <w:rsid w:val="00CC5252"/>
    <w:rsid w:val="00CC5385"/>
    <w:rsid w:val="00CC54D5"/>
    <w:rsid w:val="00CC556F"/>
    <w:rsid w:val="00CC55FF"/>
    <w:rsid w:val="00CC5643"/>
    <w:rsid w:val="00CC566B"/>
    <w:rsid w:val="00CC5674"/>
    <w:rsid w:val="00CC57F8"/>
    <w:rsid w:val="00CC5915"/>
    <w:rsid w:val="00CC5A39"/>
    <w:rsid w:val="00CC5C64"/>
    <w:rsid w:val="00CC5D21"/>
    <w:rsid w:val="00CC5F19"/>
    <w:rsid w:val="00CC6021"/>
    <w:rsid w:val="00CC605B"/>
    <w:rsid w:val="00CC6128"/>
    <w:rsid w:val="00CC6166"/>
    <w:rsid w:val="00CC62E0"/>
    <w:rsid w:val="00CC63B9"/>
    <w:rsid w:val="00CC6549"/>
    <w:rsid w:val="00CC65AF"/>
    <w:rsid w:val="00CC668E"/>
    <w:rsid w:val="00CC671F"/>
    <w:rsid w:val="00CC6A2C"/>
    <w:rsid w:val="00CC6A50"/>
    <w:rsid w:val="00CC6B10"/>
    <w:rsid w:val="00CC6B86"/>
    <w:rsid w:val="00CC6BBC"/>
    <w:rsid w:val="00CC6C7B"/>
    <w:rsid w:val="00CC6D05"/>
    <w:rsid w:val="00CC6FFF"/>
    <w:rsid w:val="00CC71D3"/>
    <w:rsid w:val="00CC723F"/>
    <w:rsid w:val="00CC74D8"/>
    <w:rsid w:val="00CC7599"/>
    <w:rsid w:val="00CC765E"/>
    <w:rsid w:val="00CC768D"/>
    <w:rsid w:val="00CC7744"/>
    <w:rsid w:val="00CC77E7"/>
    <w:rsid w:val="00CC7994"/>
    <w:rsid w:val="00CC7AA1"/>
    <w:rsid w:val="00CC7D9A"/>
    <w:rsid w:val="00CC7DB5"/>
    <w:rsid w:val="00CC7EDE"/>
    <w:rsid w:val="00CC7FD2"/>
    <w:rsid w:val="00CD0125"/>
    <w:rsid w:val="00CD0129"/>
    <w:rsid w:val="00CD0532"/>
    <w:rsid w:val="00CD056B"/>
    <w:rsid w:val="00CD058E"/>
    <w:rsid w:val="00CD068D"/>
    <w:rsid w:val="00CD07D9"/>
    <w:rsid w:val="00CD0870"/>
    <w:rsid w:val="00CD088F"/>
    <w:rsid w:val="00CD0894"/>
    <w:rsid w:val="00CD089B"/>
    <w:rsid w:val="00CD0CE3"/>
    <w:rsid w:val="00CD0DB5"/>
    <w:rsid w:val="00CD0F4D"/>
    <w:rsid w:val="00CD102E"/>
    <w:rsid w:val="00CD105B"/>
    <w:rsid w:val="00CD10A6"/>
    <w:rsid w:val="00CD1199"/>
    <w:rsid w:val="00CD11C5"/>
    <w:rsid w:val="00CD12B4"/>
    <w:rsid w:val="00CD13DC"/>
    <w:rsid w:val="00CD1562"/>
    <w:rsid w:val="00CD15F8"/>
    <w:rsid w:val="00CD1845"/>
    <w:rsid w:val="00CD1865"/>
    <w:rsid w:val="00CD19AB"/>
    <w:rsid w:val="00CD1B2D"/>
    <w:rsid w:val="00CD1DF7"/>
    <w:rsid w:val="00CD1E40"/>
    <w:rsid w:val="00CD2121"/>
    <w:rsid w:val="00CD2413"/>
    <w:rsid w:val="00CD2605"/>
    <w:rsid w:val="00CD273E"/>
    <w:rsid w:val="00CD283A"/>
    <w:rsid w:val="00CD2844"/>
    <w:rsid w:val="00CD2859"/>
    <w:rsid w:val="00CD285F"/>
    <w:rsid w:val="00CD28A6"/>
    <w:rsid w:val="00CD2AED"/>
    <w:rsid w:val="00CD2C94"/>
    <w:rsid w:val="00CD2CDF"/>
    <w:rsid w:val="00CD2D40"/>
    <w:rsid w:val="00CD2E56"/>
    <w:rsid w:val="00CD31DC"/>
    <w:rsid w:val="00CD3225"/>
    <w:rsid w:val="00CD33CF"/>
    <w:rsid w:val="00CD353C"/>
    <w:rsid w:val="00CD36EE"/>
    <w:rsid w:val="00CD384D"/>
    <w:rsid w:val="00CD3AD4"/>
    <w:rsid w:val="00CD3BB9"/>
    <w:rsid w:val="00CD3F58"/>
    <w:rsid w:val="00CD3FB8"/>
    <w:rsid w:val="00CD41F4"/>
    <w:rsid w:val="00CD4385"/>
    <w:rsid w:val="00CD44C8"/>
    <w:rsid w:val="00CD489F"/>
    <w:rsid w:val="00CD48CD"/>
    <w:rsid w:val="00CD49E9"/>
    <w:rsid w:val="00CD4A69"/>
    <w:rsid w:val="00CD4AE9"/>
    <w:rsid w:val="00CD4AF5"/>
    <w:rsid w:val="00CD4B98"/>
    <w:rsid w:val="00CD4C77"/>
    <w:rsid w:val="00CD4E6A"/>
    <w:rsid w:val="00CD4E6F"/>
    <w:rsid w:val="00CD4F92"/>
    <w:rsid w:val="00CD4FA5"/>
    <w:rsid w:val="00CD52A4"/>
    <w:rsid w:val="00CD58A2"/>
    <w:rsid w:val="00CD5938"/>
    <w:rsid w:val="00CD5947"/>
    <w:rsid w:val="00CD5A0E"/>
    <w:rsid w:val="00CD5AD4"/>
    <w:rsid w:val="00CD5B6E"/>
    <w:rsid w:val="00CD5C20"/>
    <w:rsid w:val="00CD5D4E"/>
    <w:rsid w:val="00CD5DAA"/>
    <w:rsid w:val="00CD5E0D"/>
    <w:rsid w:val="00CD614B"/>
    <w:rsid w:val="00CD6266"/>
    <w:rsid w:val="00CD65CC"/>
    <w:rsid w:val="00CD668D"/>
    <w:rsid w:val="00CD6778"/>
    <w:rsid w:val="00CD6948"/>
    <w:rsid w:val="00CD698A"/>
    <w:rsid w:val="00CD6A22"/>
    <w:rsid w:val="00CD6FEC"/>
    <w:rsid w:val="00CD717B"/>
    <w:rsid w:val="00CD7198"/>
    <w:rsid w:val="00CD72CE"/>
    <w:rsid w:val="00CD73D1"/>
    <w:rsid w:val="00CD74B8"/>
    <w:rsid w:val="00CD75A9"/>
    <w:rsid w:val="00CD75F9"/>
    <w:rsid w:val="00CD7633"/>
    <w:rsid w:val="00CD7663"/>
    <w:rsid w:val="00CD76E8"/>
    <w:rsid w:val="00CD77C7"/>
    <w:rsid w:val="00CD781A"/>
    <w:rsid w:val="00CD79C5"/>
    <w:rsid w:val="00CD7AC4"/>
    <w:rsid w:val="00CD7B7A"/>
    <w:rsid w:val="00CD7BA0"/>
    <w:rsid w:val="00CD7BE7"/>
    <w:rsid w:val="00CD7C25"/>
    <w:rsid w:val="00CD7DD6"/>
    <w:rsid w:val="00CE02D6"/>
    <w:rsid w:val="00CE059D"/>
    <w:rsid w:val="00CE05FE"/>
    <w:rsid w:val="00CE0862"/>
    <w:rsid w:val="00CE088A"/>
    <w:rsid w:val="00CE08C4"/>
    <w:rsid w:val="00CE09A5"/>
    <w:rsid w:val="00CE0AF6"/>
    <w:rsid w:val="00CE0B49"/>
    <w:rsid w:val="00CE0C9F"/>
    <w:rsid w:val="00CE0CAC"/>
    <w:rsid w:val="00CE0D33"/>
    <w:rsid w:val="00CE0DB5"/>
    <w:rsid w:val="00CE104C"/>
    <w:rsid w:val="00CE10D4"/>
    <w:rsid w:val="00CE138A"/>
    <w:rsid w:val="00CE1399"/>
    <w:rsid w:val="00CE14E7"/>
    <w:rsid w:val="00CE1575"/>
    <w:rsid w:val="00CE17B4"/>
    <w:rsid w:val="00CE17FA"/>
    <w:rsid w:val="00CE1B24"/>
    <w:rsid w:val="00CE1D0E"/>
    <w:rsid w:val="00CE1D73"/>
    <w:rsid w:val="00CE1F4A"/>
    <w:rsid w:val="00CE1F8D"/>
    <w:rsid w:val="00CE207C"/>
    <w:rsid w:val="00CE2202"/>
    <w:rsid w:val="00CE2388"/>
    <w:rsid w:val="00CE278A"/>
    <w:rsid w:val="00CE28F7"/>
    <w:rsid w:val="00CE2926"/>
    <w:rsid w:val="00CE293B"/>
    <w:rsid w:val="00CE2A1A"/>
    <w:rsid w:val="00CE2A26"/>
    <w:rsid w:val="00CE2C68"/>
    <w:rsid w:val="00CE304E"/>
    <w:rsid w:val="00CE30A6"/>
    <w:rsid w:val="00CE3114"/>
    <w:rsid w:val="00CE314E"/>
    <w:rsid w:val="00CE344E"/>
    <w:rsid w:val="00CE3837"/>
    <w:rsid w:val="00CE396D"/>
    <w:rsid w:val="00CE3AD4"/>
    <w:rsid w:val="00CE3B1B"/>
    <w:rsid w:val="00CE3EEB"/>
    <w:rsid w:val="00CE3F69"/>
    <w:rsid w:val="00CE3FC0"/>
    <w:rsid w:val="00CE418E"/>
    <w:rsid w:val="00CE42A1"/>
    <w:rsid w:val="00CE4320"/>
    <w:rsid w:val="00CE43B0"/>
    <w:rsid w:val="00CE461E"/>
    <w:rsid w:val="00CE46EE"/>
    <w:rsid w:val="00CE4717"/>
    <w:rsid w:val="00CE49A8"/>
    <w:rsid w:val="00CE4AC1"/>
    <w:rsid w:val="00CE4E7D"/>
    <w:rsid w:val="00CE4E9E"/>
    <w:rsid w:val="00CE4F4A"/>
    <w:rsid w:val="00CE5028"/>
    <w:rsid w:val="00CE5422"/>
    <w:rsid w:val="00CE5501"/>
    <w:rsid w:val="00CE55F8"/>
    <w:rsid w:val="00CE56B3"/>
    <w:rsid w:val="00CE5779"/>
    <w:rsid w:val="00CE587A"/>
    <w:rsid w:val="00CE6030"/>
    <w:rsid w:val="00CE6133"/>
    <w:rsid w:val="00CE6344"/>
    <w:rsid w:val="00CE6453"/>
    <w:rsid w:val="00CE658B"/>
    <w:rsid w:val="00CE65DF"/>
    <w:rsid w:val="00CE66A1"/>
    <w:rsid w:val="00CE6738"/>
    <w:rsid w:val="00CE6806"/>
    <w:rsid w:val="00CE6817"/>
    <w:rsid w:val="00CE69E3"/>
    <w:rsid w:val="00CE6B71"/>
    <w:rsid w:val="00CE6C10"/>
    <w:rsid w:val="00CE6F44"/>
    <w:rsid w:val="00CE6F63"/>
    <w:rsid w:val="00CE6F73"/>
    <w:rsid w:val="00CE6F92"/>
    <w:rsid w:val="00CE70DB"/>
    <w:rsid w:val="00CE71C3"/>
    <w:rsid w:val="00CE71C6"/>
    <w:rsid w:val="00CE73DE"/>
    <w:rsid w:val="00CE743A"/>
    <w:rsid w:val="00CE77AF"/>
    <w:rsid w:val="00CE77EF"/>
    <w:rsid w:val="00CE7B2A"/>
    <w:rsid w:val="00CE7BA0"/>
    <w:rsid w:val="00CE7C01"/>
    <w:rsid w:val="00CE7CA9"/>
    <w:rsid w:val="00CE7D6A"/>
    <w:rsid w:val="00CE7DF5"/>
    <w:rsid w:val="00CE7E0F"/>
    <w:rsid w:val="00CE7F69"/>
    <w:rsid w:val="00CE7FB2"/>
    <w:rsid w:val="00CF0065"/>
    <w:rsid w:val="00CF0179"/>
    <w:rsid w:val="00CF0180"/>
    <w:rsid w:val="00CF018B"/>
    <w:rsid w:val="00CF02C5"/>
    <w:rsid w:val="00CF04A9"/>
    <w:rsid w:val="00CF05E7"/>
    <w:rsid w:val="00CF0706"/>
    <w:rsid w:val="00CF0871"/>
    <w:rsid w:val="00CF087C"/>
    <w:rsid w:val="00CF0911"/>
    <w:rsid w:val="00CF0D7A"/>
    <w:rsid w:val="00CF0E1D"/>
    <w:rsid w:val="00CF0EFE"/>
    <w:rsid w:val="00CF1562"/>
    <w:rsid w:val="00CF1583"/>
    <w:rsid w:val="00CF16C7"/>
    <w:rsid w:val="00CF1705"/>
    <w:rsid w:val="00CF1797"/>
    <w:rsid w:val="00CF18B9"/>
    <w:rsid w:val="00CF1996"/>
    <w:rsid w:val="00CF1B36"/>
    <w:rsid w:val="00CF1CB6"/>
    <w:rsid w:val="00CF1D0C"/>
    <w:rsid w:val="00CF1D36"/>
    <w:rsid w:val="00CF1D7C"/>
    <w:rsid w:val="00CF1E13"/>
    <w:rsid w:val="00CF2024"/>
    <w:rsid w:val="00CF20A0"/>
    <w:rsid w:val="00CF21B9"/>
    <w:rsid w:val="00CF2238"/>
    <w:rsid w:val="00CF22AB"/>
    <w:rsid w:val="00CF23B9"/>
    <w:rsid w:val="00CF2434"/>
    <w:rsid w:val="00CF24A0"/>
    <w:rsid w:val="00CF26D8"/>
    <w:rsid w:val="00CF2730"/>
    <w:rsid w:val="00CF27E6"/>
    <w:rsid w:val="00CF2B61"/>
    <w:rsid w:val="00CF2C3E"/>
    <w:rsid w:val="00CF2CDB"/>
    <w:rsid w:val="00CF2CE6"/>
    <w:rsid w:val="00CF2D7C"/>
    <w:rsid w:val="00CF3037"/>
    <w:rsid w:val="00CF312D"/>
    <w:rsid w:val="00CF3156"/>
    <w:rsid w:val="00CF32B8"/>
    <w:rsid w:val="00CF32EA"/>
    <w:rsid w:val="00CF351E"/>
    <w:rsid w:val="00CF36A3"/>
    <w:rsid w:val="00CF374A"/>
    <w:rsid w:val="00CF39F8"/>
    <w:rsid w:val="00CF3AD0"/>
    <w:rsid w:val="00CF3B9D"/>
    <w:rsid w:val="00CF3C41"/>
    <w:rsid w:val="00CF3FBF"/>
    <w:rsid w:val="00CF4151"/>
    <w:rsid w:val="00CF42CD"/>
    <w:rsid w:val="00CF432F"/>
    <w:rsid w:val="00CF433C"/>
    <w:rsid w:val="00CF438D"/>
    <w:rsid w:val="00CF439D"/>
    <w:rsid w:val="00CF43E7"/>
    <w:rsid w:val="00CF457F"/>
    <w:rsid w:val="00CF4601"/>
    <w:rsid w:val="00CF4660"/>
    <w:rsid w:val="00CF46F1"/>
    <w:rsid w:val="00CF472A"/>
    <w:rsid w:val="00CF47CB"/>
    <w:rsid w:val="00CF482E"/>
    <w:rsid w:val="00CF49A0"/>
    <w:rsid w:val="00CF4AD8"/>
    <w:rsid w:val="00CF4AE6"/>
    <w:rsid w:val="00CF4B87"/>
    <w:rsid w:val="00CF4CFB"/>
    <w:rsid w:val="00CF4D21"/>
    <w:rsid w:val="00CF4D9B"/>
    <w:rsid w:val="00CF5034"/>
    <w:rsid w:val="00CF50FD"/>
    <w:rsid w:val="00CF527E"/>
    <w:rsid w:val="00CF5429"/>
    <w:rsid w:val="00CF5506"/>
    <w:rsid w:val="00CF55E0"/>
    <w:rsid w:val="00CF562D"/>
    <w:rsid w:val="00CF569E"/>
    <w:rsid w:val="00CF56A5"/>
    <w:rsid w:val="00CF57DB"/>
    <w:rsid w:val="00CF5BD1"/>
    <w:rsid w:val="00CF5D8B"/>
    <w:rsid w:val="00CF5E09"/>
    <w:rsid w:val="00CF5E9C"/>
    <w:rsid w:val="00CF5EB4"/>
    <w:rsid w:val="00CF615B"/>
    <w:rsid w:val="00CF61A5"/>
    <w:rsid w:val="00CF61B6"/>
    <w:rsid w:val="00CF6293"/>
    <w:rsid w:val="00CF63A1"/>
    <w:rsid w:val="00CF6608"/>
    <w:rsid w:val="00CF671F"/>
    <w:rsid w:val="00CF693E"/>
    <w:rsid w:val="00CF6947"/>
    <w:rsid w:val="00CF6A75"/>
    <w:rsid w:val="00CF6AD7"/>
    <w:rsid w:val="00CF6BE2"/>
    <w:rsid w:val="00CF6D06"/>
    <w:rsid w:val="00CF6EA4"/>
    <w:rsid w:val="00CF718B"/>
    <w:rsid w:val="00CF7193"/>
    <w:rsid w:val="00CF71EC"/>
    <w:rsid w:val="00CF7226"/>
    <w:rsid w:val="00CF737D"/>
    <w:rsid w:val="00CF747A"/>
    <w:rsid w:val="00CF74F3"/>
    <w:rsid w:val="00CF7517"/>
    <w:rsid w:val="00CF753F"/>
    <w:rsid w:val="00CF7549"/>
    <w:rsid w:val="00CF7651"/>
    <w:rsid w:val="00CF76C5"/>
    <w:rsid w:val="00CF7823"/>
    <w:rsid w:val="00CF78C3"/>
    <w:rsid w:val="00CF7A58"/>
    <w:rsid w:val="00CF7B09"/>
    <w:rsid w:val="00CF7B37"/>
    <w:rsid w:val="00CF7C27"/>
    <w:rsid w:val="00CF7D3A"/>
    <w:rsid w:val="00CF7EB4"/>
    <w:rsid w:val="00CF7EE6"/>
    <w:rsid w:val="00CF7F0B"/>
    <w:rsid w:val="00D00069"/>
    <w:rsid w:val="00D000AD"/>
    <w:rsid w:val="00D0015B"/>
    <w:rsid w:val="00D0021F"/>
    <w:rsid w:val="00D002F2"/>
    <w:rsid w:val="00D00359"/>
    <w:rsid w:val="00D003D2"/>
    <w:rsid w:val="00D004C6"/>
    <w:rsid w:val="00D00503"/>
    <w:rsid w:val="00D00563"/>
    <w:rsid w:val="00D005EB"/>
    <w:rsid w:val="00D00846"/>
    <w:rsid w:val="00D00966"/>
    <w:rsid w:val="00D009DC"/>
    <w:rsid w:val="00D00B08"/>
    <w:rsid w:val="00D00B4F"/>
    <w:rsid w:val="00D00D8D"/>
    <w:rsid w:val="00D00F0B"/>
    <w:rsid w:val="00D00FC6"/>
    <w:rsid w:val="00D01034"/>
    <w:rsid w:val="00D01089"/>
    <w:rsid w:val="00D0108D"/>
    <w:rsid w:val="00D01174"/>
    <w:rsid w:val="00D012FD"/>
    <w:rsid w:val="00D0170C"/>
    <w:rsid w:val="00D017EA"/>
    <w:rsid w:val="00D018D6"/>
    <w:rsid w:val="00D01950"/>
    <w:rsid w:val="00D01B5D"/>
    <w:rsid w:val="00D01CAC"/>
    <w:rsid w:val="00D01CB4"/>
    <w:rsid w:val="00D01D8F"/>
    <w:rsid w:val="00D01DC4"/>
    <w:rsid w:val="00D01F2E"/>
    <w:rsid w:val="00D02028"/>
    <w:rsid w:val="00D021C6"/>
    <w:rsid w:val="00D02241"/>
    <w:rsid w:val="00D0236C"/>
    <w:rsid w:val="00D0238F"/>
    <w:rsid w:val="00D023EB"/>
    <w:rsid w:val="00D0254F"/>
    <w:rsid w:val="00D02557"/>
    <w:rsid w:val="00D026CB"/>
    <w:rsid w:val="00D02768"/>
    <w:rsid w:val="00D02998"/>
    <w:rsid w:val="00D029A3"/>
    <w:rsid w:val="00D02B05"/>
    <w:rsid w:val="00D02C89"/>
    <w:rsid w:val="00D02CD6"/>
    <w:rsid w:val="00D02D8E"/>
    <w:rsid w:val="00D02FE2"/>
    <w:rsid w:val="00D02FF7"/>
    <w:rsid w:val="00D030BD"/>
    <w:rsid w:val="00D03629"/>
    <w:rsid w:val="00D03792"/>
    <w:rsid w:val="00D0381B"/>
    <w:rsid w:val="00D03839"/>
    <w:rsid w:val="00D039D2"/>
    <w:rsid w:val="00D039E5"/>
    <w:rsid w:val="00D03A4D"/>
    <w:rsid w:val="00D03AFE"/>
    <w:rsid w:val="00D03BF5"/>
    <w:rsid w:val="00D03D16"/>
    <w:rsid w:val="00D03D84"/>
    <w:rsid w:val="00D03DDC"/>
    <w:rsid w:val="00D03E45"/>
    <w:rsid w:val="00D03E5E"/>
    <w:rsid w:val="00D04587"/>
    <w:rsid w:val="00D045EC"/>
    <w:rsid w:val="00D045FC"/>
    <w:rsid w:val="00D04689"/>
    <w:rsid w:val="00D047EE"/>
    <w:rsid w:val="00D04919"/>
    <w:rsid w:val="00D04D2F"/>
    <w:rsid w:val="00D04EC4"/>
    <w:rsid w:val="00D04EF0"/>
    <w:rsid w:val="00D04FC4"/>
    <w:rsid w:val="00D0513B"/>
    <w:rsid w:val="00D052B4"/>
    <w:rsid w:val="00D0533C"/>
    <w:rsid w:val="00D0542E"/>
    <w:rsid w:val="00D054CD"/>
    <w:rsid w:val="00D0554B"/>
    <w:rsid w:val="00D055A4"/>
    <w:rsid w:val="00D05685"/>
    <w:rsid w:val="00D05722"/>
    <w:rsid w:val="00D057E6"/>
    <w:rsid w:val="00D05C51"/>
    <w:rsid w:val="00D05D17"/>
    <w:rsid w:val="00D05E08"/>
    <w:rsid w:val="00D05F12"/>
    <w:rsid w:val="00D06157"/>
    <w:rsid w:val="00D062A9"/>
    <w:rsid w:val="00D0640F"/>
    <w:rsid w:val="00D0651A"/>
    <w:rsid w:val="00D06669"/>
    <w:rsid w:val="00D068F4"/>
    <w:rsid w:val="00D06A04"/>
    <w:rsid w:val="00D06A8C"/>
    <w:rsid w:val="00D06CDF"/>
    <w:rsid w:val="00D06D39"/>
    <w:rsid w:val="00D06D7B"/>
    <w:rsid w:val="00D06DCA"/>
    <w:rsid w:val="00D06E19"/>
    <w:rsid w:val="00D07042"/>
    <w:rsid w:val="00D070B5"/>
    <w:rsid w:val="00D07175"/>
    <w:rsid w:val="00D071BC"/>
    <w:rsid w:val="00D072DD"/>
    <w:rsid w:val="00D07318"/>
    <w:rsid w:val="00D0744B"/>
    <w:rsid w:val="00D074FA"/>
    <w:rsid w:val="00D0756D"/>
    <w:rsid w:val="00D075DC"/>
    <w:rsid w:val="00D07681"/>
    <w:rsid w:val="00D077F8"/>
    <w:rsid w:val="00D07872"/>
    <w:rsid w:val="00D07A1E"/>
    <w:rsid w:val="00D07A7A"/>
    <w:rsid w:val="00D07AFD"/>
    <w:rsid w:val="00D07D8A"/>
    <w:rsid w:val="00D07E33"/>
    <w:rsid w:val="00D07EA0"/>
    <w:rsid w:val="00D07EDF"/>
    <w:rsid w:val="00D07F49"/>
    <w:rsid w:val="00D10010"/>
    <w:rsid w:val="00D10076"/>
    <w:rsid w:val="00D1034E"/>
    <w:rsid w:val="00D10366"/>
    <w:rsid w:val="00D10451"/>
    <w:rsid w:val="00D105BC"/>
    <w:rsid w:val="00D10671"/>
    <w:rsid w:val="00D108C4"/>
    <w:rsid w:val="00D10934"/>
    <w:rsid w:val="00D10935"/>
    <w:rsid w:val="00D10AC3"/>
    <w:rsid w:val="00D10B70"/>
    <w:rsid w:val="00D10B76"/>
    <w:rsid w:val="00D10B78"/>
    <w:rsid w:val="00D10CF1"/>
    <w:rsid w:val="00D10D09"/>
    <w:rsid w:val="00D10DE2"/>
    <w:rsid w:val="00D10E19"/>
    <w:rsid w:val="00D10E4C"/>
    <w:rsid w:val="00D10ED1"/>
    <w:rsid w:val="00D10EEC"/>
    <w:rsid w:val="00D111C3"/>
    <w:rsid w:val="00D112A5"/>
    <w:rsid w:val="00D113E4"/>
    <w:rsid w:val="00D11580"/>
    <w:rsid w:val="00D11686"/>
    <w:rsid w:val="00D11996"/>
    <w:rsid w:val="00D1199E"/>
    <w:rsid w:val="00D119B2"/>
    <w:rsid w:val="00D11AA8"/>
    <w:rsid w:val="00D11ABE"/>
    <w:rsid w:val="00D11AEC"/>
    <w:rsid w:val="00D11E1E"/>
    <w:rsid w:val="00D11E3E"/>
    <w:rsid w:val="00D11F53"/>
    <w:rsid w:val="00D11F5B"/>
    <w:rsid w:val="00D121AB"/>
    <w:rsid w:val="00D1235D"/>
    <w:rsid w:val="00D12486"/>
    <w:rsid w:val="00D126A8"/>
    <w:rsid w:val="00D1275C"/>
    <w:rsid w:val="00D12778"/>
    <w:rsid w:val="00D12779"/>
    <w:rsid w:val="00D127C7"/>
    <w:rsid w:val="00D12A9C"/>
    <w:rsid w:val="00D12B5F"/>
    <w:rsid w:val="00D12E06"/>
    <w:rsid w:val="00D12EA5"/>
    <w:rsid w:val="00D132B8"/>
    <w:rsid w:val="00D13351"/>
    <w:rsid w:val="00D1340E"/>
    <w:rsid w:val="00D1354D"/>
    <w:rsid w:val="00D136D4"/>
    <w:rsid w:val="00D138EF"/>
    <w:rsid w:val="00D13A33"/>
    <w:rsid w:val="00D13A73"/>
    <w:rsid w:val="00D13B5A"/>
    <w:rsid w:val="00D13C12"/>
    <w:rsid w:val="00D13D5D"/>
    <w:rsid w:val="00D13DA2"/>
    <w:rsid w:val="00D13E61"/>
    <w:rsid w:val="00D13F75"/>
    <w:rsid w:val="00D13FDB"/>
    <w:rsid w:val="00D14171"/>
    <w:rsid w:val="00D1428E"/>
    <w:rsid w:val="00D142CA"/>
    <w:rsid w:val="00D14310"/>
    <w:rsid w:val="00D14529"/>
    <w:rsid w:val="00D14579"/>
    <w:rsid w:val="00D1488F"/>
    <w:rsid w:val="00D14ED3"/>
    <w:rsid w:val="00D14EEE"/>
    <w:rsid w:val="00D15446"/>
    <w:rsid w:val="00D15740"/>
    <w:rsid w:val="00D15837"/>
    <w:rsid w:val="00D15978"/>
    <w:rsid w:val="00D159B8"/>
    <w:rsid w:val="00D159F6"/>
    <w:rsid w:val="00D15B1B"/>
    <w:rsid w:val="00D15C70"/>
    <w:rsid w:val="00D15C78"/>
    <w:rsid w:val="00D15E71"/>
    <w:rsid w:val="00D1630E"/>
    <w:rsid w:val="00D1642A"/>
    <w:rsid w:val="00D164F4"/>
    <w:rsid w:val="00D16593"/>
    <w:rsid w:val="00D16690"/>
    <w:rsid w:val="00D166B4"/>
    <w:rsid w:val="00D16873"/>
    <w:rsid w:val="00D168DD"/>
    <w:rsid w:val="00D1697D"/>
    <w:rsid w:val="00D16A44"/>
    <w:rsid w:val="00D16A53"/>
    <w:rsid w:val="00D16A5F"/>
    <w:rsid w:val="00D16A74"/>
    <w:rsid w:val="00D16AF7"/>
    <w:rsid w:val="00D16AFA"/>
    <w:rsid w:val="00D16B3A"/>
    <w:rsid w:val="00D16B54"/>
    <w:rsid w:val="00D16BAD"/>
    <w:rsid w:val="00D16BD5"/>
    <w:rsid w:val="00D16D54"/>
    <w:rsid w:val="00D16D9A"/>
    <w:rsid w:val="00D16DE1"/>
    <w:rsid w:val="00D16F73"/>
    <w:rsid w:val="00D1700D"/>
    <w:rsid w:val="00D1703D"/>
    <w:rsid w:val="00D1710C"/>
    <w:rsid w:val="00D17253"/>
    <w:rsid w:val="00D17324"/>
    <w:rsid w:val="00D173D7"/>
    <w:rsid w:val="00D174B7"/>
    <w:rsid w:val="00D17536"/>
    <w:rsid w:val="00D176CB"/>
    <w:rsid w:val="00D17704"/>
    <w:rsid w:val="00D17865"/>
    <w:rsid w:val="00D17917"/>
    <w:rsid w:val="00D2026A"/>
    <w:rsid w:val="00D20309"/>
    <w:rsid w:val="00D20411"/>
    <w:rsid w:val="00D2046D"/>
    <w:rsid w:val="00D204FB"/>
    <w:rsid w:val="00D20645"/>
    <w:rsid w:val="00D206BE"/>
    <w:rsid w:val="00D206C1"/>
    <w:rsid w:val="00D209E3"/>
    <w:rsid w:val="00D20A1F"/>
    <w:rsid w:val="00D20C6D"/>
    <w:rsid w:val="00D20CF0"/>
    <w:rsid w:val="00D20D4C"/>
    <w:rsid w:val="00D20E19"/>
    <w:rsid w:val="00D20EF5"/>
    <w:rsid w:val="00D20EFC"/>
    <w:rsid w:val="00D20F70"/>
    <w:rsid w:val="00D21095"/>
    <w:rsid w:val="00D211FD"/>
    <w:rsid w:val="00D212CF"/>
    <w:rsid w:val="00D21334"/>
    <w:rsid w:val="00D21532"/>
    <w:rsid w:val="00D2153D"/>
    <w:rsid w:val="00D219E9"/>
    <w:rsid w:val="00D21B61"/>
    <w:rsid w:val="00D21B73"/>
    <w:rsid w:val="00D21BCE"/>
    <w:rsid w:val="00D21BD3"/>
    <w:rsid w:val="00D21CBC"/>
    <w:rsid w:val="00D22119"/>
    <w:rsid w:val="00D222D9"/>
    <w:rsid w:val="00D2242E"/>
    <w:rsid w:val="00D224C8"/>
    <w:rsid w:val="00D22692"/>
    <w:rsid w:val="00D226F1"/>
    <w:rsid w:val="00D22839"/>
    <w:rsid w:val="00D228D9"/>
    <w:rsid w:val="00D22916"/>
    <w:rsid w:val="00D22984"/>
    <w:rsid w:val="00D22AD5"/>
    <w:rsid w:val="00D22C98"/>
    <w:rsid w:val="00D22E45"/>
    <w:rsid w:val="00D22EB7"/>
    <w:rsid w:val="00D22FA7"/>
    <w:rsid w:val="00D231B9"/>
    <w:rsid w:val="00D2324C"/>
    <w:rsid w:val="00D2333E"/>
    <w:rsid w:val="00D23436"/>
    <w:rsid w:val="00D236C4"/>
    <w:rsid w:val="00D2385E"/>
    <w:rsid w:val="00D23A74"/>
    <w:rsid w:val="00D23A87"/>
    <w:rsid w:val="00D23B23"/>
    <w:rsid w:val="00D23C89"/>
    <w:rsid w:val="00D23ED1"/>
    <w:rsid w:val="00D24210"/>
    <w:rsid w:val="00D24250"/>
    <w:rsid w:val="00D24463"/>
    <w:rsid w:val="00D2449C"/>
    <w:rsid w:val="00D2452B"/>
    <w:rsid w:val="00D24AAD"/>
    <w:rsid w:val="00D24BE5"/>
    <w:rsid w:val="00D24C67"/>
    <w:rsid w:val="00D24F12"/>
    <w:rsid w:val="00D25028"/>
    <w:rsid w:val="00D25082"/>
    <w:rsid w:val="00D252D1"/>
    <w:rsid w:val="00D255D4"/>
    <w:rsid w:val="00D25632"/>
    <w:rsid w:val="00D25785"/>
    <w:rsid w:val="00D257A2"/>
    <w:rsid w:val="00D258FE"/>
    <w:rsid w:val="00D2591A"/>
    <w:rsid w:val="00D25ABD"/>
    <w:rsid w:val="00D25D44"/>
    <w:rsid w:val="00D25E6F"/>
    <w:rsid w:val="00D25F4B"/>
    <w:rsid w:val="00D260A0"/>
    <w:rsid w:val="00D260BD"/>
    <w:rsid w:val="00D2627D"/>
    <w:rsid w:val="00D2633C"/>
    <w:rsid w:val="00D264ED"/>
    <w:rsid w:val="00D26680"/>
    <w:rsid w:val="00D2674E"/>
    <w:rsid w:val="00D269AB"/>
    <w:rsid w:val="00D26B39"/>
    <w:rsid w:val="00D26CA7"/>
    <w:rsid w:val="00D26D84"/>
    <w:rsid w:val="00D26E1A"/>
    <w:rsid w:val="00D26E91"/>
    <w:rsid w:val="00D26ED2"/>
    <w:rsid w:val="00D27216"/>
    <w:rsid w:val="00D27392"/>
    <w:rsid w:val="00D27490"/>
    <w:rsid w:val="00D27563"/>
    <w:rsid w:val="00D2758D"/>
    <w:rsid w:val="00D275FB"/>
    <w:rsid w:val="00D27638"/>
    <w:rsid w:val="00D2763B"/>
    <w:rsid w:val="00D276E3"/>
    <w:rsid w:val="00D2772B"/>
    <w:rsid w:val="00D278BB"/>
    <w:rsid w:val="00D27923"/>
    <w:rsid w:val="00D27A1F"/>
    <w:rsid w:val="00D27A21"/>
    <w:rsid w:val="00D27A3C"/>
    <w:rsid w:val="00D27CA8"/>
    <w:rsid w:val="00D27D55"/>
    <w:rsid w:val="00D30193"/>
    <w:rsid w:val="00D303AB"/>
    <w:rsid w:val="00D306FA"/>
    <w:rsid w:val="00D30978"/>
    <w:rsid w:val="00D309E7"/>
    <w:rsid w:val="00D30B30"/>
    <w:rsid w:val="00D30B5B"/>
    <w:rsid w:val="00D30C45"/>
    <w:rsid w:val="00D30F2E"/>
    <w:rsid w:val="00D31164"/>
    <w:rsid w:val="00D31299"/>
    <w:rsid w:val="00D312B3"/>
    <w:rsid w:val="00D314BD"/>
    <w:rsid w:val="00D3177D"/>
    <w:rsid w:val="00D317C7"/>
    <w:rsid w:val="00D31AB6"/>
    <w:rsid w:val="00D31E8B"/>
    <w:rsid w:val="00D32047"/>
    <w:rsid w:val="00D32482"/>
    <w:rsid w:val="00D324BC"/>
    <w:rsid w:val="00D3259F"/>
    <w:rsid w:val="00D32673"/>
    <w:rsid w:val="00D327C2"/>
    <w:rsid w:val="00D327DF"/>
    <w:rsid w:val="00D3281B"/>
    <w:rsid w:val="00D32893"/>
    <w:rsid w:val="00D32A21"/>
    <w:rsid w:val="00D32A44"/>
    <w:rsid w:val="00D32B23"/>
    <w:rsid w:val="00D32C49"/>
    <w:rsid w:val="00D32CF9"/>
    <w:rsid w:val="00D32D88"/>
    <w:rsid w:val="00D32E5F"/>
    <w:rsid w:val="00D32FF0"/>
    <w:rsid w:val="00D331B5"/>
    <w:rsid w:val="00D33650"/>
    <w:rsid w:val="00D33657"/>
    <w:rsid w:val="00D337D1"/>
    <w:rsid w:val="00D33BC0"/>
    <w:rsid w:val="00D33CFB"/>
    <w:rsid w:val="00D33D7A"/>
    <w:rsid w:val="00D33DD8"/>
    <w:rsid w:val="00D33E6E"/>
    <w:rsid w:val="00D33EFF"/>
    <w:rsid w:val="00D33F39"/>
    <w:rsid w:val="00D3411A"/>
    <w:rsid w:val="00D341D1"/>
    <w:rsid w:val="00D343C4"/>
    <w:rsid w:val="00D348CB"/>
    <w:rsid w:val="00D349C9"/>
    <w:rsid w:val="00D34A03"/>
    <w:rsid w:val="00D34A94"/>
    <w:rsid w:val="00D34ACC"/>
    <w:rsid w:val="00D34B85"/>
    <w:rsid w:val="00D34C8B"/>
    <w:rsid w:val="00D34E0E"/>
    <w:rsid w:val="00D34ED1"/>
    <w:rsid w:val="00D34F51"/>
    <w:rsid w:val="00D350CA"/>
    <w:rsid w:val="00D350DB"/>
    <w:rsid w:val="00D35126"/>
    <w:rsid w:val="00D353C8"/>
    <w:rsid w:val="00D3554A"/>
    <w:rsid w:val="00D35573"/>
    <w:rsid w:val="00D35638"/>
    <w:rsid w:val="00D356B9"/>
    <w:rsid w:val="00D35775"/>
    <w:rsid w:val="00D357D2"/>
    <w:rsid w:val="00D357E9"/>
    <w:rsid w:val="00D35822"/>
    <w:rsid w:val="00D358A1"/>
    <w:rsid w:val="00D35980"/>
    <w:rsid w:val="00D35A29"/>
    <w:rsid w:val="00D35AE0"/>
    <w:rsid w:val="00D35BDD"/>
    <w:rsid w:val="00D35BEE"/>
    <w:rsid w:val="00D35BF2"/>
    <w:rsid w:val="00D35D88"/>
    <w:rsid w:val="00D35D92"/>
    <w:rsid w:val="00D35E5E"/>
    <w:rsid w:val="00D35FC9"/>
    <w:rsid w:val="00D36097"/>
    <w:rsid w:val="00D361F5"/>
    <w:rsid w:val="00D364EC"/>
    <w:rsid w:val="00D3651C"/>
    <w:rsid w:val="00D365D2"/>
    <w:rsid w:val="00D365DA"/>
    <w:rsid w:val="00D3662D"/>
    <w:rsid w:val="00D3665F"/>
    <w:rsid w:val="00D36671"/>
    <w:rsid w:val="00D366A3"/>
    <w:rsid w:val="00D366C0"/>
    <w:rsid w:val="00D3673B"/>
    <w:rsid w:val="00D36822"/>
    <w:rsid w:val="00D36900"/>
    <w:rsid w:val="00D36AE4"/>
    <w:rsid w:val="00D36B42"/>
    <w:rsid w:val="00D36C96"/>
    <w:rsid w:val="00D36D87"/>
    <w:rsid w:val="00D36DCA"/>
    <w:rsid w:val="00D36F4C"/>
    <w:rsid w:val="00D36FF5"/>
    <w:rsid w:val="00D36FF8"/>
    <w:rsid w:val="00D3727D"/>
    <w:rsid w:val="00D3728D"/>
    <w:rsid w:val="00D37354"/>
    <w:rsid w:val="00D37486"/>
    <w:rsid w:val="00D375B4"/>
    <w:rsid w:val="00D37610"/>
    <w:rsid w:val="00D37835"/>
    <w:rsid w:val="00D3783C"/>
    <w:rsid w:val="00D37CD1"/>
    <w:rsid w:val="00D37CF7"/>
    <w:rsid w:val="00D37D46"/>
    <w:rsid w:val="00D37DE5"/>
    <w:rsid w:val="00D37DE8"/>
    <w:rsid w:val="00D37F3C"/>
    <w:rsid w:val="00D37FD1"/>
    <w:rsid w:val="00D4023D"/>
    <w:rsid w:val="00D40331"/>
    <w:rsid w:val="00D403A5"/>
    <w:rsid w:val="00D4042B"/>
    <w:rsid w:val="00D40604"/>
    <w:rsid w:val="00D40687"/>
    <w:rsid w:val="00D406B9"/>
    <w:rsid w:val="00D406DD"/>
    <w:rsid w:val="00D40812"/>
    <w:rsid w:val="00D4084D"/>
    <w:rsid w:val="00D408DD"/>
    <w:rsid w:val="00D40995"/>
    <w:rsid w:val="00D40AEA"/>
    <w:rsid w:val="00D40AF7"/>
    <w:rsid w:val="00D40D17"/>
    <w:rsid w:val="00D40E25"/>
    <w:rsid w:val="00D41092"/>
    <w:rsid w:val="00D4124B"/>
    <w:rsid w:val="00D414FA"/>
    <w:rsid w:val="00D416EF"/>
    <w:rsid w:val="00D41704"/>
    <w:rsid w:val="00D417D3"/>
    <w:rsid w:val="00D41A7E"/>
    <w:rsid w:val="00D41B6F"/>
    <w:rsid w:val="00D41C40"/>
    <w:rsid w:val="00D41E23"/>
    <w:rsid w:val="00D41F63"/>
    <w:rsid w:val="00D41F72"/>
    <w:rsid w:val="00D41FA2"/>
    <w:rsid w:val="00D42006"/>
    <w:rsid w:val="00D420DA"/>
    <w:rsid w:val="00D421B4"/>
    <w:rsid w:val="00D421D1"/>
    <w:rsid w:val="00D42296"/>
    <w:rsid w:val="00D422C8"/>
    <w:rsid w:val="00D422CB"/>
    <w:rsid w:val="00D42334"/>
    <w:rsid w:val="00D42352"/>
    <w:rsid w:val="00D42384"/>
    <w:rsid w:val="00D42467"/>
    <w:rsid w:val="00D4252E"/>
    <w:rsid w:val="00D4254A"/>
    <w:rsid w:val="00D425E0"/>
    <w:rsid w:val="00D42648"/>
    <w:rsid w:val="00D42676"/>
    <w:rsid w:val="00D42863"/>
    <w:rsid w:val="00D42935"/>
    <w:rsid w:val="00D42958"/>
    <w:rsid w:val="00D42AE3"/>
    <w:rsid w:val="00D42B2C"/>
    <w:rsid w:val="00D42DD8"/>
    <w:rsid w:val="00D42EC5"/>
    <w:rsid w:val="00D42FF8"/>
    <w:rsid w:val="00D430DE"/>
    <w:rsid w:val="00D43203"/>
    <w:rsid w:val="00D43309"/>
    <w:rsid w:val="00D4332D"/>
    <w:rsid w:val="00D435AD"/>
    <w:rsid w:val="00D43710"/>
    <w:rsid w:val="00D4376F"/>
    <w:rsid w:val="00D437B6"/>
    <w:rsid w:val="00D43904"/>
    <w:rsid w:val="00D43963"/>
    <w:rsid w:val="00D43BBE"/>
    <w:rsid w:val="00D43CA0"/>
    <w:rsid w:val="00D43CD2"/>
    <w:rsid w:val="00D43CEF"/>
    <w:rsid w:val="00D43E31"/>
    <w:rsid w:val="00D43E65"/>
    <w:rsid w:val="00D4407A"/>
    <w:rsid w:val="00D440FD"/>
    <w:rsid w:val="00D44554"/>
    <w:rsid w:val="00D44559"/>
    <w:rsid w:val="00D44A3C"/>
    <w:rsid w:val="00D44AE1"/>
    <w:rsid w:val="00D44B49"/>
    <w:rsid w:val="00D44B9B"/>
    <w:rsid w:val="00D44CF4"/>
    <w:rsid w:val="00D44DC0"/>
    <w:rsid w:val="00D44E69"/>
    <w:rsid w:val="00D44F39"/>
    <w:rsid w:val="00D450C7"/>
    <w:rsid w:val="00D4512F"/>
    <w:rsid w:val="00D451A3"/>
    <w:rsid w:val="00D451B7"/>
    <w:rsid w:val="00D451FE"/>
    <w:rsid w:val="00D4532B"/>
    <w:rsid w:val="00D45439"/>
    <w:rsid w:val="00D4566F"/>
    <w:rsid w:val="00D4579A"/>
    <w:rsid w:val="00D45836"/>
    <w:rsid w:val="00D458C2"/>
    <w:rsid w:val="00D45A56"/>
    <w:rsid w:val="00D45F34"/>
    <w:rsid w:val="00D45F9D"/>
    <w:rsid w:val="00D460E7"/>
    <w:rsid w:val="00D46151"/>
    <w:rsid w:val="00D461C4"/>
    <w:rsid w:val="00D4626C"/>
    <w:rsid w:val="00D46378"/>
    <w:rsid w:val="00D46392"/>
    <w:rsid w:val="00D463AA"/>
    <w:rsid w:val="00D46579"/>
    <w:rsid w:val="00D466DA"/>
    <w:rsid w:val="00D46723"/>
    <w:rsid w:val="00D46865"/>
    <w:rsid w:val="00D4699A"/>
    <w:rsid w:val="00D46CDF"/>
    <w:rsid w:val="00D46D94"/>
    <w:rsid w:val="00D4722C"/>
    <w:rsid w:val="00D47680"/>
    <w:rsid w:val="00D4768A"/>
    <w:rsid w:val="00D4783F"/>
    <w:rsid w:val="00D478C9"/>
    <w:rsid w:val="00D4791D"/>
    <w:rsid w:val="00D47922"/>
    <w:rsid w:val="00D47AB0"/>
    <w:rsid w:val="00D47AB9"/>
    <w:rsid w:val="00D47AC1"/>
    <w:rsid w:val="00D47C12"/>
    <w:rsid w:val="00D47DA9"/>
    <w:rsid w:val="00D47F5E"/>
    <w:rsid w:val="00D47FE5"/>
    <w:rsid w:val="00D500FA"/>
    <w:rsid w:val="00D50218"/>
    <w:rsid w:val="00D50262"/>
    <w:rsid w:val="00D50283"/>
    <w:rsid w:val="00D503E9"/>
    <w:rsid w:val="00D506D2"/>
    <w:rsid w:val="00D507C4"/>
    <w:rsid w:val="00D5089B"/>
    <w:rsid w:val="00D50A52"/>
    <w:rsid w:val="00D50A6F"/>
    <w:rsid w:val="00D50A7A"/>
    <w:rsid w:val="00D50DD5"/>
    <w:rsid w:val="00D50E5B"/>
    <w:rsid w:val="00D50EF1"/>
    <w:rsid w:val="00D5127D"/>
    <w:rsid w:val="00D5132B"/>
    <w:rsid w:val="00D51353"/>
    <w:rsid w:val="00D513AF"/>
    <w:rsid w:val="00D5143B"/>
    <w:rsid w:val="00D51646"/>
    <w:rsid w:val="00D51661"/>
    <w:rsid w:val="00D516CA"/>
    <w:rsid w:val="00D51701"/>
    <w:rsid w:val="00D519AA"/>
    <w:rsid w:val="00D51D8A"/>
    <w:rsid w:val="00D51E45"/>
    <w:rsid w:val="00D520E8"/>
    <w:rsid w:val="00D52275"/>
    <w:rsid w:val="00D523D5"/>
    <w:rsid w:val="00D52434"/>
    <w:rsid w:val="00D5244C"/>
    <w:rsid w:val="00D524EE"/>
    <w:rsid w:val="00D5268D"/>
    <w:rsid w:val="00D5275D"/>
    <w:rsid w:val="00D52775"/>
    <w:rsid w:val="00D52853"/>
    <w:rsid w:val="00D528E9"/>
    <w:rsid w:val="00D52AD3"/>
    <w:rsid w:val="00D52DBB"/>
    <w:rsid w:val="00D52F32"/>
    <w:rsid w:val="00D5323F"/>
    <w:rsid w:val="00D533C6"/>
    <w:rsid w:val="00D535BD"/>
    <w:rsid w:val="00D535E6"/>
    <w:rsid w:val="00D5360A"/>
    <w:rsid w:val="00D536E7"/>
    <w:rsid w:val="00D53916"/>
    <w:rsid w:val="00D53B7C"/>
    <w:rsid w:val="00D53BCD"/>
    <w:rsid w:val="00D53C89"/>
    <w:rsid w:val="00D53F72"/>
    <w:rsid w:val="00D53FA9"/>
    <w:rsid w:val="00D5406C"/>
    <w:rsid w:val="00D54140"/>
    <w:rsid w:val="00D5423E"/>
    <w:rsid w:val="00D542A0"/>
    <w:rsid w:val="00D542E3"/>
    <w:rsid w:val="00D542F2"/>
    <w:rsid w:val="00D54345"/>
    <w:rsid w:val="00D54371"/>
    <w:rsid w:val="00D543DD"/>
    <w:rsid w:val="00D54427"/>
    <w:rsid w:val="00D5442C"/>
    <w:rsid w:val="00D54452"/>
    <w:rsid w:val="00D5447A"/>
    <w:rsid w:val="00D5456D"/>
    <w:rsid w:val="00D545FE"/>
    <w:rsid w:val="00D546CB"/>
    <w:rsid w:val="00D54707"/>
    <w:rsid w:val="00D548B3"/>
    <w:rsid w:val="00D549F4"/>
    <w:rsid w:val="00D54A61"/>
    <w:rsid w:val="00D54B86"/>
    <w:rsid w:val="00D54B99"/>
    <w:rsid w:val="00D54BAB"/>
    <w:rsid w:val="00D54C61"/>
    <w:rsid w:val="00D54CDA"/>
    <w:rsid w:val="00D54CE4"/>
    <w:rsid w:val="00D54D74"/>
    <w:rsid w:val="00D55063"/>
    <w:rsid w:val="00D55066"/>
    <w:rsid w:val="00D5514A"/>
    <w:rsid w:val="00D5514C"/>
    <w:rsid w:val="00D5544D"/>
    <w:rsid w:val="00D5545D"/>
    <w:rsid w:val="00D5545E"/>
    <w:rsid w:val="00D55478"/>
    <w:rsid w:val="00D55543"/>
    <w:rsid w:val="00D55582"/>
    <w:rsid w:val="00D55638"/>
    <w:rsid w:val="00D556E6"/>
    <w:rsid w:val="00D558A1"/>
    <w:rsid w:val="00D558C0"/>
    <w:rsid w:val="00D55AB6"/>
    <w:rsid w:val="00D55BD6"/>
    <w:rsid w:val="00D55BFB"/>
    <w:rsid w:val="00D55EA6"/>
    <w:rsid w:val="00D55EE3"/>
    <w:rsid w:val="00D560D5"/>
    <w:rsid w:val="00D5629F"/>
    <w:rsid w:val="00D56657"/>
    <w:rsid w:val="00D56990"/>
    <w:rsid w:val="00D569EF"/>
    <w:rsid w:val="00D569F6"/>
    <w:rsid w:val="00D56A26"/>
    <w:rsid w:val="00D56A71"/>
    <w:rsid w:val="00D56AE8"/>
    <w:rsid w:val="00D56B30"/>
    <w:rsid w:val="00D56BFD"/>
    <w:rsid w:val="00D56C10"/>
    <w:rsid w:val="00D56CDA"/>
    <w:rsid w:val="00D56D1D"/>
    <w:rsid w:val="00D56DC6"/>
    <w:rsid w:val="00D56DD2"/>
    <w:rsid w:val="00D56E28"/>
    <w:rsid w:val="00D57229"/>
    <w:rsid w:val="00D57294"/>
    <w:rsid w:val="00D572E0"/>
    <w:rsid w:val="00D57360"/>
    <w:rsid w:val="00D573C3"/>
    <w:rsid w:val="00D57562"/>
    <w:rsid w:val="00D57710"/>
    <w:rsid w:val="00D5778C"/>
    <w:rsid w:val="00D5793C"/>
    <w:rsid w:val="00D57A10"/>
    <w:rsid w:val="00D57AC2"/>
    <w:rsid w:val="00D57BEE"/>
    <w:rsid w:val="00D57CCB"/>
    <w:rsid w:val="00D57CED"/>
    <w:rsid w:val="00D57DA1"/>
    <w:rsid w:val="00D57E86"/>
    <w:rsid w:val="00D57E9B"/>
    <w:rsid w:val="00D60053"/>
    <w:rsid w:val="00D6005C"/>
    <w:rsid w:val="00D60350"/>
    <w:rsid w:val="00D60498"/>
    <w:rsid w:val="00D60590"/>
    <w:rsid w:val="00D605C8"/>
    <w:rsid w:val="00D606FE"/>
    <w:rsid w:val="00D607E1"/>
    <w:rsid w:val="00D60803"/>
    <w:rsid w:val="00D609D1"/>
    <w:rsid w:val="00D60C3B"/>
    <w:rsid w:val="00D60D8E"/>
    <w:rsid w:val="00D60E59"/>
    <w:rsid w:val="00D60FA5"/>
    <w:rsid w:val="00D60FC0"/>
    <w:rsid w:val="00D610F5"/>
    <w:rsid w:val="00D6111A"/>
    <w:rsid w:val="00D61410"/>
    <w:rsid w:val="00D616BE"/>
    <w:rsid w:val="00D61787"/>
    <w:rsid w:val="00D61851"/>
    <w:rsid w:val="00D6192B"/>
    <w:rsid w:val="00D61C72"/>
    <w:rsid w:val="00D61C78"/>
    <w:rsid w:val="00D61EAC"/>
    <w:rsid w:val="00D61EDC"/>
    <w:rsid w:val="00D61FCF"/>
    <w:rsid w:val="00D6204C"/>
    <w:rsid w:val="00D620BC"/>
    <w:rsid w:val="00D6218D"/>
    <w:rsid w:val="00D621B7"/>
    <w:rsid w:val="00D62224"/>
    <w:rsid w:val="00D62511"/>
    <w:rsid w:val="00D6252B"/>
    <w:rsid w:val="00D626FD"/>
    <w:rsid w:val="00D62751"/>
    <w:rsid w:val="00D62765"/>
    <w:rsid w:val="00D62944"/>
    <w:rsid w:val="00D629B9"/>
    <w:rsid w:val="00D629C6"/>
    <w:rsid w:val="00D62B5B"/>
    <w:rsid w:val="00D62CE0"/>
    <w:rsid w:val="00D62DAF"/>
    <w:rsid w:val="00D630BF"/>
    <w:rsid w:val="00D631BD"/>
    <w:rsid w:val="00D632B7"/>
    <w:rsid w:val="00D63498"/>
    <w:rsid w:val="00D635AF"/>
    <w:rsid w:val="00D635D0"/>
    <w:rsid w:val="00D638FC"/>
    <w:rsid w:val="00D63A3D"/>
    <w:rsid w:val="00D63CC2"/>
    <w:rsid w:val="00D63DED"/>
    <w:rsid w:val="00D63E1A"/>
    <w:rsid w:val="00D640E4"/>
    <w:rsid w:val="00D64154"/>
    <w:rsid w:val="00D642CD"/>
    <w:rsid w:val="00D6431D"/>
    <w:rsid w:val="00D64423"/>
    <w:rsid w:val="00D64A82"/>
    <w:rsid w:val="00D64C87"/>
    <w:rsid w:val="00D64C8F"/>
    <w:rsid w:val="00D64CF5"/>
    <w:rsid w:val="00D64D25"/>
    <w:rsid w:val="00D64D2A"/>
    <w:rsid w:val="00D65033"/>
    <w:rsid w:val="00D650CB"/>
    <w:rsid w:val="00D650F5"/>
    <w:rsid w:val="00D6524B"/>
    <w:rsid w:val="00D652D3"/>
    <w:rsid w:val="00D653C6"/>
    <w:rsid w:val="00D6541B"/>
    <w:rsid w:val="00D654EC"/>
    <w:rsid w:val="00D654F1"/>
    <w:rsid w:val="00D6555B"/>
    <w:rsid w:val="00D655E2"/>
    <w:rsid w:val="00D65688"/>
    <w:rsid w:val="00D65725"/>
    <w:rsid w:val="00D65768"/>
    <w:rsid w:val="00D65871"/>
    <w:rsid w:val="00D658D4"/>
    <w:rsid w:val="00D658E1"/>
    <w:rsid w:val="00D65966"/>
    <w:rsid w:val="00D65967"/>
    <w:rsid w:val="00D659EA"/>
    <w:rsid w:val="00D65AE9"/>
    <w:rsid w:val="00D65B33"/>
    <w:rsid w:val="00D65B8F"/>
    <w:rsid w:val="00D65B9A"/>
    <w:rsid w:val="00D65D2E"/>
    <w:rsid w:val="00D65D5F"/>
    <w:rsid w:val="00D65E25"/>
    <w:rsid w:val="00D65E48"/>
    <w:rsid w:val="00D66391"/>
    <w:rsid w:val="00D66589"/>
    <w:rsid w:val="00D665A4"/>
    <w:rsid w:val="00D6663F"/>
    <w:rsid w:val="00D666C1"/>
    <w:rsid w:val="00D66735"/>
    <w:rsid w:val="00D6685E"/>
    <w:rsid w:val="00D66A3D"/>
    <w:rsid w:val="00D66B51"/>
    <w:rsid w:val="00D66B75"/>
    <w:rsid w:val="00D66B9B"/>
    <w:rsid w:val="00D66C7C"/>
    <w:rsid w:val="00D67114"/>
    <w:rsid w:val="00D67235"/>
    <w:rsid w:val="00D672D4"/>
    <w:rsid w:val="00D67355"/>
    <w:rsid w:val="00D675F9"/>
    <w:rsid w:val="00D67636"/>
    <w:rsid w:val="00D6772B"/>
    <w:rsid w:val="00D677D8"/>
    <w:rsid w:val="00D67852"/>
    <w:rsid w:val="00D678C1"/>
    <w:rsid w:val="00D67968"/>
    <w:rsid w:val="00D67B85"/>
    <w:rsid w:val="00D67C3D"/>
    <w:rsid w:val="00D67C86"/>
    <w:rsid w:val="00D67D20"/>
    <w:rsid w:val="00D67D69"/>
    <w:rsid w:val="00D67F02"/>
    <w:rsid w:val="00D67F5A"/>
    <w:rsid w:val="00D701F5"/>
    <w:rsid w:val="00D702AE"/>
    <w:rsid w:val="00D702CC"/>
    <w:rsid w:val="00D702D8"/>
    <w:rsid w:val="00D70334"/>
    <w:rsid w:val="00D704FD"/>
    <w:rsid w:val="00D707A0"/>
    <w:rsid w:val="00D70822"/>
    <w:rsid w:val="00D70A3A"/>
    <w:rsid w:val="00D70BA7"/>
    <w:rsid w:val="00D70E1A"/>
    <w:rsid w:val="00D71014"/>
    <w:rsid w:val="00D7112B"/>
    <w:rsid w:val="00D71213"/>
    <w:rsid w:val="00D71220"/>
    <w:rsid w:val="00D7134E"/>
    <w:rsid w:val="00D714A3"/>
    <w:rsid w:val="00D714D7"/>
    <w:rsid w:val="00D714E6"/>
    <w:rsid w:val="00D71615"/>
    <w:rsid w:val="00D71673"/>
    <w:rsid w:val="00D71734"/>
    <w:rsid w:val="00D717F7"/>
    <w:rsid w:val="00D71A4C"/>
    <w:rsid w:val="00D71AE3"/>
    <w:rsid w:val="00D71F7D"/>
    <w:rsid w:val="00D71F91"/>
    <w:rsid w:val="00D71F97"/>
    <w:rsid w:val="00D720FB"/>
    <w:rsid w:val="00D72107"/>
    <w:rsid w:val="00D7231D"/>
    <w:rsid w:val="00D7239D"/>
    <w:rsid w:val="00D72701"/>
    <w:rsid w:val="00D72B7A"/>
    <w:rsid w:val="00D72C18"/>
    <w:rsid w:val="00D72D64"/>
    <w:rsid w:val="00D72DC2"/>
    <w:rsid w:val="00D730A5"/>
    <w:rsid w:val="00D73421"/>
    <w:rsid w:val="00D735B1"/>
    <w:rsid w:val="00D735B8"/>
    <w:rsid w:val="00D736E1"/>
    <w:rsid w:val="00D738FA"/>
    <w:rsid w:val="00D73C05"/>
    <w:rsid w:val="00D73C09"/>
    <w:rsid w:val="00D73C7C"/>
    <w:rsid w:val="00D73C85"/>
    <w:rsid w:val="00D73C9B"/>
    <w:rsid w:val="00D74083"/>
    <w:rsid w:val="00D7450E"/>
    <w:rsid w:val="00D74523"/>
    <w:rsid w:val="00D7453A"/>
    <w:rsid w:val="00D7460B"/>
    <w:rsid w:val="00D74A28"/>
    <w:rsid w:val="00D74A41"/>
    <w:rsid w:val="00D74CDE"/>
    <w:rsid w:val="00D74CE2"/>
    <w:rsid w:val="00D74D79"/>
    <w:rsid w:val="00D74E58"/>
    <w:rsid w:val="00D74E72"/>
    <w:rsid w:val="00D74EA8"/>
    <w:rsid w:val="00D75084"/>
    <w:rsid w:val="00D75239"/>
    <w:rsid w:val="00D75249"/>
    <w:rsid w:val="00D7537C"/>
    <w:rsid w:val="00D756C3"/>
    <w:rsid w:val="00D7585F"/>
    <w:rsid w:val="00D75926"/>
    <w:rsid w:val="00D75940"/>
    <w:rsid w:val="00D759EE"/>
    <w:rsid w:val="00D75A83"/>
    <w:rsid w:val="00D75AFC"/>
    <w:rsid w:val="00D75B42"/>
    <w:rsid w:val="00D75B5E"/>
    <w:rsid w:val="00D75B85"/>
    <w:rsid w:val="00D75C65"/>
    <w:rsid w:val="00D75CC5"/>
    <w:rsid w:val="00D761B8"/>
    <w:rsid w:val="00D761F6"/>
    <w:rsid w:val="00D762E1"/>
    <w:rsid w:val="00D763BF"/>
    <w:rsid w:val="00D764A3"/>
    <w:rsid w:val="00D76724"/>
    <w:rsid w:val="00D768BA"/>
    <w:rsid w:val="00D76907"/>
    <w:rsid w:val="00D76990"/>
    <w:rsid w:val="00D769CF"/>
    <w:rsid w:val="00D76A0C"/>
    <w:rsid w:val="00D76A95"/>
    <w:rsid w:val="00D76CB5"/>
    <w:rsid w:val="00D76CD2"/>
    <w:rsid w:val="00D76EC4"/>
    <w:rsid w:val="00D7704B"/>
    <w:rsid w:val="00D7711E"/>
    <w:rsid w:val="00D771D0"/>
    <w:rsid w:val="00D77437"/>
    <w:rsid w:val="00D774E5"/>
    <w:rsid w:val="00D77554"/>
    <w:rsid w:val="00D77617"/>
    <w:rsid w:val="00D77620"/>
    <w:rsid w:val="00D7763F"/>
    <w:rsid w:val="00D776F6"/>
    <w:rsid w:val="00D77780"/>
    <w:rsid w:val="00D777C2"/>
    <w:rsid w:val="00D77878"/>
    <w:rsid w:val="00D778FB"/>
    <w:rsid w:val="00D77915"/>
    <w:rsid w:val="00D77961"/>
    <w:rsid w:val="00D77A77"/>
    <w:rsid w:val="00D77C74"/>
    <w:rsid w:val="00D77DD0"/>
    <w:rsid w:val="00D77EAC"/>
    <w:rsid w:val="00D77F47"/>
    <w:rsid w:val="00D8013E"/>
    <w:rsid w:val="00D801FC"/>
    <w:rsid w:val="00D804A3"/>
    <w:rsid w:val="00D804DB"/>
    <w:rsid w:val="00D80521"/>
    <w:rsid w:val="00D80526"/>
    <w:rsid w:val="00D8064B"/>
    <w:rsid w:val="00D80706"/>
    <w:rsid w:val="00D8086B"/>
    <w:rsid w:val="00D8089C"/>
    <w:rsid w:val="00D808D0"/>
    <w:rsid w:val="00D80949"/>
    <w:rsid w:val="00D80986"/>
    <w:rsid w:val="00D80994"/>
    <w:rsid w:val="00D80C2A"/>
    <w:rsid w:val="00D80F55"/>
    <w:rsid w:val="00D80FBA"/>
    <w:rsid w:val="00D8105B"/>
    <w:rsid w:val="00D810B6"/>
    <w:rsid w:val="00D81179"/>
    <w:rsid w:val="00D81287"/>
    <w:rsid w:val="00D812FA"/>
    <w:rsid w:val="00D813C7"/>
    <w:rsid w:val="00D8143C"/>
    <w:rsid w:val="00D81511"/>
    <w:rsid w:val="00D81562"/>
    <w:rsid w:val="00D8157C"/>
    <w:rsid w:val="00D815A0"/>
    <w:rsid w:val="00D81644"/>
    <w:rsid w:val="00D81E9E"/>
    <w:rsid w:val="00D81F6C"/>
    <w:rsid w:val="00D81FEB"/>
    <w:rsid w:val="00D82004"/>
    <w:rsid w:val="00D82099"/>
    <w:rsid w:val="00D821AC"/>
    <w:rsid w:val="00D821BF"/>
    <w:rsid w:val="00D821C8"/>
    <w:rsid w:val="00D821EC"/>
    <w:rsid w:val="00D82247"/>
    <w:rsid w:val="00D82347"/>
    <w:rsid w:val="00D823D4"/>
    <w:rsid w:val="00D8259C"/>
    <w:rsid w:val="00D827D0"/>
    <w:rsid w:val="00D827DE"/>
    <w:rsid w:val="00D82A72"/>
    <w:rsid w:val="00D82AE4"/>
    <w:rsid w:val="00D82C21"/>
    <w:rsid w:val="00D82C28"/>
    <w:rsid w:val="00D82CD5"/>
    <w:rsid w:val="00D82CEE"/>
    <w:rsid w:val="00D82D53"/>
    <w:rsid w:val="00D82EEF"/>
    <w:rsid w:val="00D82F30"/>
    <w:rsid w:val="00D82FC7"/>
    <w:rsid w:val="00D8302E"/>
    <w:rsid w:val="00D830D6"/>
    <w:rsid w:val="00D83108"/>
    <w:rsid w:val="00D83155"/>
    <w:rsid w:val="00D832E8"/>
    <w:rsid w:val="00D83493"/>
    <w:rsid w:val="00D8351A"/>
    <w:rsid w:val="00D8353A"/>
    <w:rsid w:val="00D8355D"/>
    <w:rsid w:val="00D839CB"/>
    <w:rsid w:val="00D83A4E"/>
    <w:rsid w:val="00D83AE2"/>
    <w:rsid w:val="00D83BE2"/>
    <w:rsid w:val="00D83EA1"/>
    <w:rsid w:val="00D8402E"/>
    <w:rsid w:val="00D84039"/>
    <w:rsid w:val="00D84253"/>
    <w:rsid w:val="00D84359"/>
    <w:rsid w:val="00D845CC"/>
    <w:rsid w:val="00D84698"/>
    <w:rsid w:val="00D8475A"/>
    <w:rsid w:val="00D84992"/>
    <w:rsid w:val="00D849BD"/>
    <w:rsid w:val="00D84A39"/>
    <w:rsid w:val="00D84A4B"/>
    <w:rsid w:val="00D84A54"/>
    <w:rsid w:val="00D84DC5"/>
    <w:rsid w:val="00D84E19"/>
    <w:rsid w:val="00D84E45"/>
    <w:rsid w:val="00D84EAD"/>
    <w:rsid w:val="00D84FBE"/>
    <w:rsid w:val="00D85156"/>
    <w:rsid w:val="00D853D9"/>
    <w:rsid w:val="00D85494"/>
    <w:rsid w:val="00D857C4"/>
    <w:rsid w:val="00D857DA"/>
    <w:rsid w:val="00D858AA"/>
    <w:rsid w:val="00D85A6A"/>
    <w:rsid w:val="00D85BD6"/>
    <w:rsid w:val="00D85D20"/>
    <w:rsid w:val="00D85D32"/>
    <w:rsid w:val="00D85D50"/>
    <w:rsid w:val="00D85D6C"/>
    <w:rsid w:val="00D85DE7"/>
    <w:rsid w:val="00D86019"/>
    <w:rsid w:val="00D86099"/>
    <w:rsid w:val="00D861C4"/>
    <w:rsid w:val="00D861DA"/>
    <w:rsid w:val="00D86396"/>
    <w:rsid w:val="00D865D0"/>
    <w:rsid w:val="00D86A00"/>
    <w:rsid w:val="00D86AE4"/>
    <w:rsid w:val="00D86B86"/>
    <w:rsid w:val="00D86D03"/>
    <w:rsid w:val="00D86D42"/>
    <w:rsid w:val="00D86EA9"/>
    <w:rsid w:val="00D86EAC"/>
    <w:rsid w:val="00D87126"/>
    <w:rsid w:val="00D871F5"/>
    <w:rsid w:val="00D87403"/>
    <w:rsid w:val="00D87462"/>
    <w:rsid w:val="00D8754E"/>
    <w:rsid w:val="00D875D0"/>
    <w:rsid w:val="00D87699"/>
    <w:rsid w:val="00D879B0"/>
    <w:rsid w:val="00D87AE4"/>
    <w:rsid w:val="00D87CEA"/>
    <w:rsid w:val="00D87E87"/>
    <w:rsid w:val="00D87F11"/>
    <w:rsid w:val="00D90075"/>
    <w:rsid w:val="00D9009F"/>
    <w:rsid w:val="00D90314"/>
    <w:rsid w:val="00D903DC"/>
    <w:rsid w:val="00D904B5"/>
    <w:rsid w:val="00D904F5"/>
    <w:rsid w:val="00D9062D"/>
    <w:rsid w:val="00D907B1"/>
    <w:rsid w:val="00D907EA"/>
    <w:rsid w:val="00D9090F"/>
    <w:rsid w:val="00D909BB"/>
    <w:rsid w:val="00D90B49"/>
    <w:rsid w:val="00D90CA3"/>
    <w:rsid w:val="00D90D14"/>
    <w:rsid w:val="00D90D6C"/>
    <w:rsid w:val="00D91039"/>
    <w:rsid w:val="00D9152F"/>
    <w:rsid w:val="00D916DC"/>
    <w:rsid w:val="00D916E9"/>
    <w:rsid w:val="00D91B02"/>
    <w:rsid w:val="00D91F4A"/>
    <w:rsid w:val="00D920A9"/>
    <w:rsid w:val="00D922E5"/>
    <w:rsid w:val="00D92331"/>
    <w:rsid w:val="00D9236E"/>
    <w:rsid w:val="00D9239B"/>
    <w:rsid w:val="00D923B8"/>
    <w:rsid w:val="00D9259E"/>
    <w:rsid w:val="00D925E6"/>
    <w:rsid w:val="00D9273D"/>
    <w:rsid w:val="00D9277B"/>
    <w:rsid w:val="00D92CE7"/>
    <w:rsid w:val="00D92CFA"/>
    <w:rsid w:val="00D92D56"/>
    <w:rsid w:val="00D92E34"/>
    <w:rsid w:val="00D92FDE"/>
    <w:rsid w:val="00D93079"/>
    <w:rsid w:val="00D930F0"/>
    <w:rsid w:val="00D930FF"/>
    <w:rsid w:val="00D9315C"/>
    <w:rsid w:val="00D932D2"/>
    <w:rsid w:val="00D93388"/>
    <w:rsid w:val="00D9361F"/>
    <w:rsid w:val="00D936B2"/>
    <w:rsid w:val="00D93853"/>
    <w:rsid w:val="00D9396C"/>
    <w:rsid w:val="00D93A83"/>
    <w:rsid w:val="00D93CB1"/>
    <w:rsid w:val="00D93D5C"/>
    <w:rsid w:val="00D93DA6"/>
    <w:rsid w:val="00D93DD9"/>
    <w:rsid w:val="00D93DFF"/>
    <w:rsid w:val="00D93E4C"/>
    <w:rsid w:val="00D94188"/>
    <w:rsid w:val="00D942D1"/>
    <w:rsid w:val="00D9441D"/>
    <w:rsid w:val="00D9451B"/>
    <w:rsid w:val="00D945F1"/>
    <w:rsid w:val="00D945F8"/>
    <w:rsid w:val="00D9472E"/>
    <w:rsid w:val="00D947A8"/>
    <w:rsid w:val="00D947AA"/>
    <w:rsid w:val="00D94BDD"/>
    <w:rsid w:val="00D94C12"/>
    <w:rsid w:val="00D94DFC"/>
    <w:rsid w:val="00D94E4D"/>
    <w:rsid w:val="00D95003"/>
    <w:rsid w:val="00D950B2"/>
    <w:rsid w:val="00D9517E"/>
    <w:rsid w:val="00D9524B"/>
    <w:rsid w:val="00D9534D"/>
    <w:rsid w:val="00D954CB"/>
    <w:rsid w:val="00D956C6"/>
    <w:rsid w:val="00D957CE"/>
    <w:rsid w:val="00D958DF"/>
    <w:rsid w:val="00D95A88"/>
    <w:rsid w:val="00D95AEB"/>
    <w:rsid w:val="00D95DED"/>
    <w:rsid w:val="00D95F2C"/>
    <w:rsid w:val="00D95F81"/>
    <w:rsid w:val="00D96050"/>
    <w:rsid w:val="00D96099"/>
    <w:rsid w:val="00D9613A"/>
    <w:rsid w:val="00D96328"/>
    <w:rsid w:val="00D964FB"/>
    <w:rsid w:val="00D9655B"/>
    <w:rsid w:val="00D965A1"/>
    <w:rsid w:val="00D965C1"/>
    <w:rsid w:val="00D96639"/>
    <w:rsid w:val="00D96656"/>
    <w:rsid w:val="00D96665"/>
    <w:rsid w:val="00D968DB"/>
    <w:rsid w:val="00D9696C"/>
    <w:rsid w:val="00D9698D"/>
    <w:rsid w:val="00D96B47"/>
    <w:rsid w:val="00D96C57"/>
    <w:rsid w:val="00D96CE7"/>
    <w:rsid w:val="00D96CE9"/>
    <w:rsid w:val="00D96D0C"/>
    <w:rsid w:val="00D96DF2"/>
    <w:rsid w:val="00D96F8A"/>
    <w:rsid w:val="00D96FE7"/>
    <w:rsid w:val="00D971AB"/>
    <w:rsid w:val="00D9751E"/>
    <w:rsid w:val="00D9773A"/>
    <w:rsid w:val="00D97A1A"/>
    <w:rsid w:val="00D97C25"/>
    <w:rsid w:val="00D97C61"/>
    <w:rsid w:val="00D97FB8"/>
    <w:rsid w:val="00DA0356"/>
    <w:rsid w:val="00DA03CF"/>
    <w:rsid w:val="00DA04ED"/>
    <w:rsid w:val="00DA058B"/>
    <w:rsid w:val="00DA061B"/>
    <w:rsid w:val="00DA067A"/>
    <w:rsid w:val="00DA0717"/>
    <w:rsid w:val="00DA076A"/>
    <w:rsid w:val="00DA08F0"/>
    <w:rsid w:val="00DA0A64"/>
    <w:rsid w:val="00DA0A81"/>
    <w:rsid w:val="00DA0B0B"/>
    <w:rsid w:val="00DA0BC0"/>
    <w:rsid w:val="00DA0C5D"/>
    <w:rsid w:val="00DA0C60"/>
    <w:rsid w:val="00DA0CAC"/>
    <w:rsid w:val="00DA0E20"/>
    <w:rsid w:val="00DA0E4E"/>
    <w:rsid w:val="00DA0EA4"/>
    <w:rsid w:val="00DA104C"/>
    <w:rsid w:val="00DA12E7"/>
    <w:rsid w:val="00DA1379"/>
    <w:rsid w:val="00DA14A0"/>
    <w:rsid w:val="00DA153D"/>
    <w:rsid w:val="00DA1642"/>
    <w:rsid w:val="00DA166D"/>
    <w:rsid w:val="00DA19C2"/>
    <w:rsid w:val="00DA19D2"/>
    <w:rsid w:val="00DA19F1"/>
    <w:rsid w:val="00DA1C78"/>
    <w:rsid w:val="00DA1D01"/>
    <w:rsid w:val="00DA1D3A"/>
    <w:rsid w:val="00DA1DF9"/>
    <w:rsid w:val="00DA1E48"/>
    <w:rsid w:val="00DA1FAF"/>
    <w:rsid w:val="00DA2027"/>
    <w:rsid w:val="00DA2139"/>
    <w:rsid w:val="00DA21EC"/>
    <w:rsid w:val="00DA2255"/>
    <w:rsid w:val="00DA2386"/>
    <w:rsid w:val="00DA241F"/>
    <w:rsid w:val="00DA2648"/>
    <w:rsid w:val="00DA2771"/>
    <w:rsid w:val="00DA290A"/>
    <w:rsid w:val="00DA2AC6"/>
    <w:rsid w:val="00DA2D37"/>
    <w:rsid w:val="00DA2E6C"/>
    <w:rsid w:val="00DA2F93"/>
    <w:rsid w:val="00DA3055"/>
    <w:rsid w:val="00DA30A6"/>
    <w:rsid w:val="00DA31FA"/>
    <w:rsid w:val="00DA32B1"/>
    <w:rsid w:val="00DA33D0"/>
    <w:rsid w:val="00DA343D"/>
    <w:rsid w:val="00DA3593"/>
    <w:rsid w:val="00DA35A9"/>
    <w:rsid w:val="00DA35CD"/>
    <w:rsid w:val="00DA372F"/>
    <w:rsid w:val="00DA398C"/>
    <w:rsid w:val="00DA39E7"/>
    <w:rsid w:val="00DA3A64"/>
    <w:rsid w:val="00DA3B13"/>
    <w:rsid w:val="00DA3E1B"/>
    <w:rsid w:val="00DA3F48"/>
    <w:rsid w:val="00DA4090"/>
    <w:rsid w:val="00DA4094"/>
    <w:rsid w:val="00DA40D4"/>
    <w:rsid w:val="00DA4436"/>
    <w:rsid w:val="00DA4448"/>
    <w:rsid w:val="00DA4717"/>
    <w:rsid w:val="00DA4766"/>
    <w:rsid w:val="00DA4831"/>
    <w:rsid w:val="00DA4926"/>
    <w:rsid w:val="00DA492E"/>
    <w:rsid w:val="00DA4A89"/>
    <w:rsid w:val="00DA4CE2"/>
    <w:rsid w:val="00DA4D10"/>
    <w:rsid w:val="00DA4F49"/>
    <w:rsid w:val="00DA4F6D"/>
    <w:rsid w:val="00DA4F89"/>
    <w:rsid w:val="00DA51A1"/>
    <w:rsid w:val="00DA51BA"/>
    <w:rsid w:val="00DA5202"/>
    <w:rsid w:val="00DA5270"/>
    <w:rsid w:val="00DA5329"/>
    <w:rsid w:val="00DA54CF"/>
    <w:rsid w:val="00DA5560"/>
    <w:rsid w:val="00DA56CF"/>
    <w:rsid w:val="00DA57B0"/>
    <w:rsid w:val="00DA5843"/>
    <w:rsid w:val="00DA5874"/>
    <w:rsid w:val="00DA58E3"/>
    <w:rsid w:val="00DA5944"/>
    <w:rsid w:val="00DA5AE8"/>
    <w:rsid w:val="00DA5B95"/>
    <w:rsid w:val="00DA5BE2"/>
    <w:rsid w:val="00DA5CD7"/>
    <w:rsid w:val="00DA5ED1"/>
    <w:rsid w:val="00DA60B9"/>
    <w:rsid w:val="00DA60CA"/>
    <w:rsid w:val="00DA60FE"/>
    <w:rsid w:val="00DA612E"/>
    <w:rsid w:val="00DA6170"/>
    <w:rsid w:val="00DA63E0"/>
    <w:rsid w:val="00DA664C"/>
    <w:rsid w:val="00DA6A91"/>
    <w:rsid w:val="00DA6AC5"/>
    <w:rsid w:val="00DA6B2D"/>
    <w:rsid w:val="00DA6BAF"/>
    <w:rsid w:val="00DA6F0D"/>
    <w:rsid w:val="00DA746A"/>
    <w:rsid w:val="00DA748B"/>
    <w:rsid w:val="00DA74DF"/>
    <w:rsid w:val="00DA7649"/>
    <w:rsid w:val="00DA765A"/>
    <w:rsid w:val="00DA7678"/>
    <w:rsid w:val="00DA78A9"/>
    <w:rsid w:val="00DA78EF"/>
    <w:rsid w:val="00DA791C"/>
    <w:rsid w:val="00DA798B"/>
    <w:rsid w:val="00DA7A11"/>
    <w:rsid w:val="00DA7A54"/>
    <w:rsid w:val="00DA7BBC"/>
    <w:rsid w:val="00DA7C81"/>
    <w:rsid w:val="00DA7E07"/>
    <w:rsid w:val="00DB0208"/>
    <w:rsid w:val="00DB02BA"/>
    <w:rsid w:val="00DB0354"/>
    <w:rsid w:val="00DB0403"/>
    <w:rsid w:val="00DB04B6"/>
    <w:rsid w:val="00DB056C"/>
    <w:rsid w:val="00DB05E6"/>
    <w:rsid w:val="00DB0823"/>
    <w:rsid w:val="00DB08E6"/>
    <w:rsid w:val="00DB09E2"/>
    <w:rsid w:val="00DB0A9F"/>
    <w:rsid w:val="00DB0AAC"/>
    <w:rsid w:val="00DB0F6E"/>
    <w:rsid w:val="00DB0FB8"/>
    <w:rsid w:val="00DB0FDE"/>
    <w:rsid w:val="00DB1168"/>
    <w:rsid w:val="00DB1210"/>
    <w:rsid w:val="00DB1336"/>
    <w:rsid w:val="00DB134C"/>
    <w:rsid w:val="00DB1523"/>
    <w:rsid w:val="00DB161C"/>
    <w:rsid w:val="00DB1627"/>
    <w:rsid w:val="00DB17A2"/>
    <w:rsid w:val="00DB19AE"/>
    <w:rsid w:val="00DB19D7"/>
    <w:rsid w:val="00DB1B06"/>
    <w:rsid w:val="00DB1D74"/>
    <w:rsid w:val="00DB1F2C"/>
    <w:rsid w:val="00DB1FB1"/>
    <w:rsid w:val="00DB1FD9"/>
    <w:rsid w:val="00DB226E"/>
    <w:rsid w:val="00DB22B2"/>
    <w:rsid w:val="00DB23E5"/>
    <w:rsid w:val="00DB240F"/>
    <w:rsid w:val="00DB2447"/>
    <w:rsid w:val="00DB2492"/>
    <w:rsid w:val="00DB24D4"/>
    <w:rsid w:val="00DB25E4"/>
    <w:rsid w:val="00DB261F"/>
    <w:rsid w:val="00DB28A9"/>
    <w:rsid w:val="00DB28FC"/>
    <w:rsid w:val="00DB2985"/>
    <w:rsid w:val="00DB2A85"/>
    <w:rsid w:val="00DB2AA5"/>
    <w:rsid w:val="00DB2E8D"/>
    <w:rsid w:val="00DB2F84"/>
    <w:rsid w:val="00DB304B"/>
    <w:rsid w:val="00DB31A0"/>
    <w:rsid w:val="00DB31F8"/>
    <w:rsid w:val="00DB3285"/>
    <w:rsid w:val="00DB3596"/>
    <w:rsid w:val="00DB36C2"/>
    <w:rsid w:val="00DB37A9"/>
    <w:rsid w:val="00DB381F"/>
    <w:rsid w:val="00DB389C"/>
    <w:rsid w:val="00DB3A7B"/>
    <w:rsid w:val="00DB3A7C"/>
    <w:rsid w:val="00DB3B33"/>
    <w:rsid w:val="00DB3E49"/>
    <w:rsid w:val="00DB3E53"/>
    <w:rsid w:val="00DB404C"/>
    <w:rsid w:val="00DB4096"/>
    <w:rsid w:val="00DB4333"/>
    <w:rsid w:val="00DB445B"/>
    <w:rsid w:val="00DB45EC"/>
    <w:rsid w:val="00DB468A"/>
    <w:rsid w:val="00DB4917"/>
    <w:rsid w:val="00DB4AC3"/>
    <w:rsid w:val="00DB4E40"/>
    <w:rsid w:val="00DB4FA0"/>
    <w:rsid w:val="00DB52B3"/>
    <w:rsid w:val="00DB53FE"/>
    <w:rsid w:val="00DB567F"/>
    <w:rsid w:val="00DB5C18"/>
    <w:rsid w:val="00DB5E03"/>
    <w:rsid w:val="00DB5E15"/>
    <w:rsid w:val="00DB5F07"/>
    <w:rsid w:val="00DB61CE"/>
    <w:rsid w:val="00DB61E0"/>
    <w:rsid w:val="00DB6256"/>
    <w:rsid w:val="00DB6290"/>
    <w:rsid w:val="00DB6331"/>
    <w:rsid w:val="00DB6413"/>
    <w:rsid w:val="00DB6524"/>
    <w:rsid w:val="00DB67B7"/>
    <w:rsid w:val="00DB693F"/>
    <w:rsid w:val="00DB6BD5"/>
    <w:rsid w:val="00DB6D0F"/>
    <w:rsid w:val="00DB6EE3"/>
    <w:rsid w:val="00DB6F85"/>
    <w:rsid w:val="00DB6F90"/>
    <w:rsid w:val="00DB7285"/>
    <w:rsid w:val="00DB7526"/>
    <w:rsid w:val="00DB774E"/>
    <w:rsid w:val="00DB7924"/>
    <w:rsid w:val="00DB7937"/>
    <w:rsid w:val="00DB793A"/>
    <w:rsid w:val="00DB7B68"/>
    <w:rsid w:val="00DB7BDA"/>
    <w:rsid w:val="00DB7C6E"/>
    <w:rsid w:val="00DB7E1F"/>
    <w:rsid w:val="00DC002A"/>
    <w:rsid w:val="00DC0234"/>
    <w:rsid w:val="00DC02B5"/>
    <w:rsid w:val="00DC02B9"/>
    <w:rsid w:val="00DC035F"/>
    <w:rsid w:val="00DC0365"/>
    <w:rsid w:val="00DC046C"/>
    <w:rsid w:val="00DC0529"/>
    <w:rsid w:val="00DC054F"/>
    <w:rsid w:val="00DC0597"/>
    <w:rsid w:val="00DC0806"/>
    <w:rsid w:val="00DC0814"/>
    <w:rsid w:val="00DC0833"/>
    <w:rsid w:val="00DC0B90"/>
    <w:rsid w:val="00DC0C88"/>
    <w:rsid w:val="00DC0D0F"/>
    <w:rsid w:val="00DC0DB8"/>
    <w:rsid w:val="00DC0E7A"/>
    <w:rsid w:val="00DC0F10"/>
    <w:rsid w:val="00DC12BF"/>
    <w:rsid w:val="00DC132A"/>
    <w:rsid w:val="00DC14F0"/>
    <w:rsid w:val="00DC15A8"/>
    <w:rsid w:val="00DC15CC"/>
    <w:rsid w:val="00DC1622"/>
    <w:rsid w:val="00DC16D9"/>
    <w:rsid w:val="00DC1705"/>
    <w:rsid w:val="00DC175F"/>
    <w:rsid w:val="00DC18B5"/>
    <w:rsid w:val="00DC1945"/>
    <w:rsid w:val="00DC19DF"/>
    <w:rsid w:val="00DC1A11"/>
    <w:rsid w:val="00DC1B83"/>
    <w:rsid w:val="00DC1BEB"/>
    <w:rsid w:val="00DC1C29"/>
    <w:rsid w:val="00DC1E75"/>
    <w:rsid w:val="00DC21F4"/>
    <w:rsid w:val="00DC2207"/>
    <w:rsid w:val="00DC22B5"/>
    <w:rsid w:val="00DC230D"/>
    <w:rsid w:val="00DC2566"/>
    <w:rsid w:val="00DC2695"/>
    <w:rsid w:val="00DC26D2"/>
    <w:rsid w:val="00DC2832"/>
    <w:rsid w:val="00DC2841"/>
    <w:rsid w:val="00DC2901"/>
    <w:rsid w:val="00DC296F"/>
    <w:rsid w:val="00DC2AC1"/>
    <w:rsid w:val="00DC2B6D"/>
    <w:rsid w:val="00DC2E1E"/>
    <w:rsid w:val="00DC2F92"/>
    <w:rsid w:val="00DC3160"/>
    <w:rsid w:val="00DC322A"/>
    <w:rsid w:val="00DC32E7"/>
    <w:rsid w:val="00DC3306"/>
    <w:rsid w:val="00DC3330"/>
    <w:rsid w:val="00DC333C"/>
    <w:rsid w:val="00DC33BC"/>
    <w:rsid w:val="00DC33D5"/>
    <w:rsid w:val="00DC3415"/>
    <w:rsid w:val="00DC3573"/>
    <w:rsid w:val="00DC3682"/>
    <w:rsid w:val="00DC36B2"/>
    <w:rsid w:val="00DC3957"/>
    <w:rsid w:val="00DC398A"/>
    <w:rsid w:val="00DC3D42"/>
    <w:rsid w:val="00DC3D53"/>
    <w:rsid w:val="00DC3DE0"/>
    <w:rsid w:val="00DC3E36"/>
    <w:rsid w:val="00DC3FC4"/>
    <w:rsid w:val="00DC405A"/>
    <w:rsid w:val="00DC4095"/>
    <w:rsid w:val="00DC418D"/>
    <w:rsid w:val="00DC424A"/>
    <w:rsid w:val="00DC4299"/>
    <w:rsid w:val="00DC4337"/>
    <w:rsid w:val="00DC4441"/>
    <w:rsid w:val="00DC4844"/>
    <w:rsid w:val="00DC4A41"/>
    <w:rsid w:val="00DC4AA0"/>
    <w:rsid w:val="00DC4ACA"/>
    <w:rsid w:val="00DC4C0C"/>
    <w:rsid w:val="00DC4CE3"/>
    <w:rsid w:val="00DC4D07"/>
    <w:rsid w:val="00DC4D19"/>
    <w:rsid w:val="00DC4D22"/>
    <w:rsid w:val="00DC4D45"/>
    <w:rsid w:val="00DC4D9B"/>
    <w:rsid w:val="00DC4E47"/>
    <w:rsid w:val="00DC4ED1"/>
    <w:rsid w:val="00DC4FD1"/>
    <w:rsid w:val="00DC512C"/>
    <w:rsid w:val="00DC53AA"/>
    <w:rsid w:val="00DC5495"/>
    <w:rsid w:val="00DC54F3"/>
    <w:rsid w:val="00DC5557"/>
    <w:rsid w:val="00DC5707"/>
    <w:rsid w:val="00DC5A1F"/>
    <w:rsid w:val="00DC5A89"/>
    <w:rsid w:val="00DC5B13"/>
    <w:rsid w:val="00DC5BEB"/>
    <w:rsid w:val="00DC5BF2"/>
    <w:rsid w:val="00DC5C8C"/>
    <w:rsid w:val="00DC5D29"/>
    <w:rsid w:val="00DC5D87"/>
    <w:rsid w:val="00DC5EC6"/>
    <w:rsid w:val="00DC5F75"/>
    <w:rsid w:val="00DC6016"/>
    <w:rsid w:val="00DC606A"/>
    <w:rsid w:val="00DC624E"/>
    <w:rsid w:val="00DC6278"/>
    <w:rsid w:val="00DC62A2"/>
    <w:rsid w:val="00DC630D"/>
    <w:rsid w:val="00DC63DA"/>
    <w:rsid w:val="00DC64CC"/>
    <w:rsid w:val="00DC672A"/>
    <w:rsid w:val="00DC6740"/>
    <w:rsid w:val="00DC6766"/>
    <w:rsid w:val="00DC68C9"/>
    <w:rsid w:val="00DC6A48"/>
    <w:rsid w:val="00DC6B06"/>
    <w:rsid w:val="00DC6BB5"/>
    <w:rsid w:val="00DC6DA5"/>
    <w:rsid w:val="00DC6DC2"/>
    <w:rsid w:val="00DC6E6B"/>
    <w:rsid w:val="00DC708E"/>
    <w:rsid w:val="00DC71D4"/>
    <w:rsid w:val="00DC73A4"/>
    <w:rsid w:val="00DC73B2"/>
    <w:rsid w:val="00DC74F3"/>
    <w:rsid w:val="00DC756E"/>
    <w:rsid w:val="00DC7591"/>
    <w:rsid w:val="00DC7611"/>
    <w:rsid w:val="00DC766F"/>
    <w:rsid w:val="00DC76D9"/>
    <w:rsid w:val="00DC77A3"/>
    <w:rsid w:val="00DC79B4"/>
    <w:rsid w:val="00DC7AC0"/>
    <w:rsid w:val="00DC7B5C"/>
    <w:rsid w:val="00DC7EC0"/>
    <w:rsid w:val="00DC7F1A"/>
    <w:rsid w:val="00DC7FEA"/>
    <w:rsid w:val="00DD0194"/>
    <w:rsid w:val="00DD01A3"/>
    <w:rsid w:val="00DD04B1"/>
    <w:rsid w:val="00DD057C"/>
    <w:rsid w:val="00DD08F6"/>
    <w:rsid w:val="00DD0998"/>
    <w:rsid w:val="00DD09C9"/>
    <w:rsid w:val="00DD0B9E"/>
    <w:rsid w:val="00DD0CC1"/>
    <w:rsid w:val="00DD0D3B"/>
    <w:rsid w:val="00DD0DA9"/>
    <w:rsid w:val="00DD0F59"/>
    <w:rsid w:val="00DD0FB7"/>
    <w:rsid w:val="00DD11AB"/>
    <w:rsid w:val="00DD13C5"/>
    <w:rsid w:val="00DD1423"/>
    <w:rsid w:val="00DD15F2"/>
    <w:rsid w:val="00DD16AD"/>
    <w:rsid w:val="00DD182B"/>
    <w:rsid w:val="00DD1900"/>
    <w:rsid w:val="00DD1B1B"/>
    <w:rsid w:val="00DD1B53"/>
    <w:rsid w:val="00DD1D73"/>
    <w:rsid w:val="00DD1EFD"/>
    <w:rsid w:val="00DD214C"/>
    <w:rsid w:val="00DD2649"/>
    <w:rsid w:val="00DD2788"/>
    <w:rsid w:val="00DD280E"/>
    <w:rsid w:val="00DD2882"/>
    <w:rsid w:val="00DD28B5"/>
    <w:rsid w:val="00DD295D"/>
    <w:rsid w:val="00DD2994"/>
    <w:rsid w:val="00DD2C6B"/>
    <w:rsid w:val="00DD2C83"/>
    <w:rsid w:val="00DD309D"/>
    <w:rsid w:val="00DD30B5"/>
    <w:rsid w:val="00DD311A"/>
    <w:rsid w:val="00DD316F"/>
    <w:rsid w:val="00DD3232"/>
    <w:rsid w:val="00DD3253"/>
    <w:rsid w:val="00DD32DC"/>
    <w:rsid w:val="00DD3340"/>
    <w:rsid w:val="00DD33B9"/>
    <w:rsid w:val="00DD33F7"/>
    <w:rsid w:val="00DD34CF"/>
    <w:rsid w:val="00DD351E"/>
    <w:rsid w:val="00DD3551"/>
    <w:rsid w:val="00DD3942"/>
    <w:rsid w:val="00DD3AD1"/>
    <w:rsid w:val="00DD3ADF"/>
    <w:rsid w:val="00DD3DB2"/>
    <w:rsid w:val="00DD3DF0"/>
    <w:rsid w:val="00DD3F4D"/>
    <w:rsid w:val="00DD4117"/>
    <w:rsid w:val="00DD41AD"/>
    <w:rsid w:val="00DD42A3"/>
    <w:rsid w:val="00DD42BB"/>
    <w:rsid w:val="00DD42C8"/>
    <w:rsid w:val="00DD432E"/>
    <w:rsid w:val="00DD43A2"/>
    <w:rsid w:val="00DD440A"/>
    <w:rsid w:val="00DD44FD"/>
    <w:rsid w:val="00DD46A4"/>
    <w:rsid w:val="00DD4753"/>
    <w:rsid w:val="00DD4762"/>
    <w:rsid w:val="00DD4A2E"/>
    <w:rsid w:val="00DD4A3C"/>
    <w:rsid w:val="00DD4BAF"/>
    <w:rsid w:val="00DD4CF8"/>
    <w:rsid w:val="00DD4F1F"/>
    <w:rsid w:val="00DD4F3A"/>
    <w:rsid w:val="00DD4F41"/>
    <w:rsid w:val="00DD4F7B"/>
    <w:rsid w:val="00DD4FCC"/>
    <w:rsid w:val="00DD56D9"/>
    <w:rsid w:val="00DD572E"/>
    <w:rsid w:val="00DD58F3"/>
    <w:rsid w:val="00DD5936"/>
    <w:rsid w:val="00DD5943"/>
    <w:rsid w:val="00DD5B2C"/>
    <w:rsid w:val="00DD5BC6"/>
    <w:rsid w:val="00DD5BE7"/>
    <w:rsid w:val="00DD5CA7"/>
    <w:rsid w:val="00DD5DC2"/>
    <w:rsid w:val="00DD5E23"/>
    <w:rsid w:val="00DD6071"/>
    <w:rsid w:val="00DD617D"/>
    <w:rsid w:val="00DD61A8"/>
    <w:rsid w:val="00DD61BE"/>
    <w:rsid w:val="00DD621F"/>
    <w:rsid w:val="00DD64C7"/>
    <w:rsid w:val="00DD653B"/>
    <w:rsid w:val="00DD65A1"/>
    <w:rsid w:val="00DD6669"/>
    <w:rsid w:val="00DD669E"/>
    <w:rsid w:val="00DD6A78"/>
    <w:rsid w:val="00DD6B4F"/>
    <w:rsid w:val="00DD6C70"/>
    <w:rsid w:val="00DD6C9D"/>
    <w:rsid w:val="00DD6CCC"/>
    <w:rsid w:val="00DD6DED"/>
    <w:rsid w:val="00DD6E1E"/>
    <w:rsid w:val="00DD6EC0"/>
    <w:rsid w:val="00DD6FCC"/>
    <w:rsid w:val="00DD7361"/>
    <w:rsid w:val="00DD73F9"/>
    <w:rsid w:val="00DD74CD"/>
    <w:rsid w:val="00DD74D5"/>
    <w:rsid w:val="00DD74EB"/>
    <w:rsid w:val="00DD7599"/>
    <w:rsid w:val="00DD7A59"/>
    <w:rsid w:val="00DD7C63"/>
    <w:rsid w:val="00DD7CB1"/>
    <w:rsid w:val="00DD7CE1"/>
    <w:rsid w:val="00DD7F22"/>
    <w:rsid w:val="00DE0059"/>
    <w:rsid w:val="00DE04A9"/>
    <w:rsid w:val="00DE04E0"/>
    <w:rsid w:val="00DE06E0"/>
    <w:rsid w:val="00DE0904"/>
    <w:rsid w:val="00DE092C"/>
    <w:rsid w:val="00DE0BAD"/>
    <w:rsid w:val="00DE0BD2"/>
    <w:rsid w:val="00DE0D00"/>
    <w:rsid w:val="00DE0D7C"/>
    <w:rsid w:val="00DE0E62"/>
    <w:rsid w:val="00DE0E7E"/>
    <w:rsid w:val="00DE0F04"/>
    <w:rsid w:val="00DE0FBD"/>
    <w:rsid w:val="00DE0FC1"/>
    <w:rsid w:val="00DE104F"/>
    <w:rsid w:val="00DE1076"/>
    <w:rsid w:val="00DE10D9"/>
    <w:rsid w:val="00DE113F"/>
    <w:rsid w:val="00DE1390"/>
    <w:rsid w:val="00DE14D4"/>
    <w:rsid w:val="00DE150E"/>
    <w:rsid w:val="00DE1593"/>
    <w:rsid w:val="00DE17E0"/>
    <w:rsid w:val="00DE1AEE"/>
    <w:rsid w:val="00DE1B04"/>
    <w:rsid w:val="00DE1B1F"/>
    <w:rsid w:val="00DE1F2E"/>
    <w:rsid w:val="00DE1F54"/>
    <w:rsid w:val="00DE1F7D"/>
    <w:rsid w:val="00DE2078"/>
    <w:rsid w:val="00DE20AF"/>
    <w:rsid w:val="00DE20C7"/>
    <w:rsid w:val="00DE2485"/>
    <w:rsid w:val="00DE2499"/>
    <w:rsid w:val="00DE26EE"/>
    <w:rsid w:val="00DE2807"/>
    <w:rsid w:val="00DE2849"/>
    <w:rsid w:val="00DE2873"/>
    <w:rsid w:val="00DE2A91"/>
    <w:rsid w:val="00DE2B20"/>
    <w:rsid w:val="00DE2D28"/>
    <w:rsid w:val="00DE2D60"/>
    <w:rsid w:val="00DE2D92"/>
    <w:rsid w:val="00DE2DD9"/>
    <w:rsid w:val="00DE2F20"/>
    <w:rsid w:val="00DE3036"/>
    <w:rsid w:val="00DE3175"/>
    <w:rsid w:val="00DE31B1"/>
    <w:rsid w:val="00DE32B1"/>
    <w:rsid w:val="00DE3433"/>
    <w:rsid w:val="00DE389C"/>
    <w:rsid w:val="00DE38D7"/>
    <w:rsid w:val="00DE3984"/>
    <w:rsid w:val="00DE39C4"/>
    <w:rsid w:val="00DE3A11"/>
    <w:rsid w:val="00DE3AC4"/>
    <w:rsid w:val="00DE3B03"/>
    <w:rsid w:val="00DE3B2E"/>
    <w:rsid w:val="00DE3B73"/>
    <w:rsid w:val="00DE3B92"/>
    <w:rsid w:val="00DE3BBC"/>
    <w:rsid w:val="00DE3BF0"/>
    <w:rsid w:val="00DE3D6A"/>
    <w:rsid w:val="00DE3DB9"/>
    <w:rsid w:val="00DE3F98"/>
    <w:rsid w:val="00DE439B"/>
    <w:rsid w:val="00DE43BF"/>
    <w:rsid w:val="00DE4493"/>
    <w:rsid w:val="00DE44C1"/>
    <w:rsid w:val="00DE4504"/>
    <w:rsid w:val="00DE45A9"/>
    <w:rsid w:val="00DE47FF"/>
    <w:rsid w:val="00DE48B0"/>
    <w:rsid w:val="00DE492F"/>
    <w:rsid w:val="00DE4C7E"/>
    <w:rsid w:val="00DE4CB2"/>
    <w:rsid w:val="00DE4CE2"/>
    <w:rsid w:val="00DE4CF7"/>
    <w:rsid w:val="00DE4E51"/>
    <w:rsid w:val="00DE4E6B"/>
    <w:rsid w:val="00DE4FF2"/>
    <w:rsid w:val="00DE50F6"/>
    <w:rsid w:val="00DE514E"/>
    <w:rsid w:val="00DE52D9"/>
    <w:rsid w:val="00DE53B1"/>
    <w:rsid w:val="00DE5454"/>
    <w:rsid w:val="00DE545F"/>
    <w:rsid w:val="00DE5498"/>
    <w:rsid w:val="00DE5514"/>
    <w:rsid w:val="00DE5545"/>
    <w:rsid w:val="00DE55FF"/>
    <w:rsid w:val="00DE57AB"/>
    <w:rsid w:val="00DE5BE7"/>
    <w:rsid w:val="00DE5D0B"/>
    <w:rsid w:val="00DE5D5F"/>
    <w:rsid w:val="00DE5DF5"/>
    <w:rsid w:val="00DE5F6F"/>
    <w:rsid w:val="00DE5FBB"/>
    <w:rsid w:val="00DE6050"/>
    <w:rsid w:val="00DE65B8"/>
    <w:rsid w:val="00DE664E"/>
    <w:rsid w:val="00DE6684"/>
    <w:rsid w:val="00DE66D1"/>
    <w:rsid w:val="00DE66D7"/>
    <w:rsid w:val="00DE6745"/>
    <w:rsid w:val="00DE674C"/>
    <w:rsid w:val="00DE6A7E"/>
    <w:rsid w:val="00DE6BD5"/>
    <w:rsid w:val="00DE6CE3"/>
    <w:rsid w:val="00DE6DC5"/>
    <w:rsid w:val="00DE6EFC"/>
    <w:rsid w:val="00DE7103"/>
    <w:rsid w:val="00DE71B5"/>
    <w:rsid w:val="00DE73B0"/>
    <w:rsid w:val="00DE7489"/>
    <w:rsid w:val="00DE7697"/>
    <w:rsid w:val="00DE76F7"/>
    <w:rsid w:val="00DE7828"/>
    <w:rsid w:val="00DE788D"/>
    <w:rsid w:val="00DE79D3"/>
    <w:rsid w:val="00DE7A21"/>
    <w:rsid w:val="00DE7AC4"/>
    <w:rsid w:val="00DE7C31"/>
    <w:rsid w:val="00DE7C3A"/>
    <w:rsid w:val="00DE7D82"/>
    <w:rsid w:val="00DE7E92"/>
    <w:rsid w:val="00DE7EC3"/>
    <w:rsid w:val="00DE7F03"/>
    <w:rsid w:val="00DE7F7F"/>
    <w:rsid w:val="00DE7FAC"/>
    <w:rsid w:val="00DE7FFB"/>
    <w:rsid w:val="00DF01E0"/>
    <w:rsid w:val="00DF028E"/>
    <w:rsid w:val="00DF0511"/>
    <w:rsid w:val="00DF0649"/>
    <w:rsid w:val="00DF06B4"/>
    <w:rsid w:val="00DF07F0"/>
    <w:rsid w:val="00DF086E"/>
    <w:rsid w:val="00DF093F"/>
    <w:rsid w:val="00DF09D8"/>
    <w:rsid w:val="00DF0AF7"/>
    <w:rsid w:val="00DF0C8A"/>
    <w:rsid w:val="00DF0D75"/>
    <w:rsid w:val="00DF0D9C"/>
    <w:rsid w:val="00DF0DB8"/>
    <w:rsid w:val="00DF0E5F"/>
    <w:rsid w:val="00DF0FDC"/>
    <w:rsid w:val="00DF0FE2"/>
    <w:rsid w:val="00DF1013"/>
    <w:rsid w:val="00DF10CE"/>
    <w:rsid w:val="00DF122D"/>
    <w:rsid w:val="00DF1368"/>
    <w:rsid w:val="00DF17D0"/>
    <w:rsid w:val="00DF18B6"/>
    <w:rsid w:val="00DF1931"/>
    <w:rsid w:val="00DF19EC"/>
    <w:rsid w:val="00DF1A53"/>
    <w:rsid w:val="00DF1A86"/>
    <w:rsid w:val="00DF1CB0"/>
    <w:rsid w:val="00DF1F16"/>
    <w:rsid w:val="00DF1FE6"/>
    <w:rsid w:val="00DF2097"/>
    <w:rsid w:val="00DF2115"/>
    <w:rsid w:val="00DF228D"/>
    <w:rsid w:val="00DF2327"/>
    <w:rsid w:val="00DF23E5"/>
    <w:rsid w:val="00DF249E"/>
    <w:rsid w:val="00DF25AE"/>
    <w:rsid w:val="00DF2637"/>
    <w:rsid w:val="00DF265B"/>
    <w:rsid w:val="00DF2675"/>
    <w:rsid w:val="00DF26D3"/>
    <w:rsid w:val="00DF28F6"/>
    <w:rsid w:val="00DF2A1A"/>
    <w:rsid w:val="00DF2A3A"/>
    <w:rsid w:val="00DF2F4B"/>
    <w:rsid w:val="00DF2F6E"/>
    <w:rsid w:val="00DF3037"/>
    <w:rsid w:val="00DF30F6"/>
    <w:rsid w:val="00DF319C"/>
    <w:rsid w:val="00DF3286"/>
    <w:rsid w:val="00DF35AF"/>
    <w:rsid w:val="00DF361D"/>
    <w:rsid w:val="00DF3691"/>
    <w:rsid w:val="00DF36C5"/>
    <w:rsid w:val="00DF378C"/>
    <w:rsid w:val="00DF3794"/>
    <w:rsid w:val="00DF393E"/>
    <w:rsid w:val="00DF3A74"/>
    <w:rsid w:val="00DF3BE8"/>
    <w:rsid w:val="00DF3E0B"/>
    <w:rsid w:val="00DF3E46"/>
    <w:rsid w:val="00DF3F01"/>
    <w:rsid w:val="00DF3F1A"/>
    <w:rsid w:val="00DF3F5B"/>
    <w:rsid w:val="00DF40C1"/>
    <w:rsid w:val="00DF43C3"/>
    <w:rsid w:val="00DF4429"/>
    <w:rsid w:val="00DF45F7"/>
    <w:rsid w:val="00DF4810"/>
    <w:rsid w:val="00DF4BCE"/>
    <w:rsid w:val="00DF4C95"/>
    <w:rsid w:val="00DF4E65"/>
    <w:rsid w:val="00DF4F57"/>
    <w:rsid w:val="00DF4F75"/>
    <w:rsid w:val="00DF4F83"/>
    <w:rsid w:val="00DF5227"/>
    <w:rsid w:val="00DF5247"/>
    <w:rsid w:val="00DF5480"/>
    <w:rsid w:val="00DF575C"/>
    <w:rsid w:val="00DF576C"/>
    <w:rsid w:val="00DF58DA"/>
    <w:rsid w:val="00DF5A2C"/>
    <w:rsid w:val="00DF5B11"/>
    <w:rsid w:val="00DF5C4E"/>
    <w:rsid w:val="00DF5CA6"/>
    <w:rsid w:val="00DF5CF0"/>
    <w:rsid w:val="00DF5DF0"/>
    <w:rsid w:val="00DF5EDF"/>
    <w:rsid w:val="00DF5FC3"/>
    <w:rsid w:val="00DF628F"/>
    <w:rsid w:val="00DF62A8"/>
    <w:rsid w:val="00DF6418"/>
    <w:rsid w:val="00DF6523"/>
    <w:rsid w:val="00DF6696"/>
    <w:rsid w:val="00DF669E"/>
    <w:rsid w:val="00DF6753"/>
    <w:rsid w:val="00DF6832"/>
    <w:rsid w:val="00DF696C"/>
    <w:rsid w:val="00DF69D6"/>
    <w:rsid w:val="00DF6AE4"/>
    <w:rsid w:val="00DF6B6B"/>
    <w:rsid w:val="00DF6BA4"/>
    <w:rsid w:val="00DF6C2C"/>
    <w:rsid w:val="00DF6C58"/>
    <w:rsid w:val="00DF6C75"/>
    <w:rsid w:val="00DF6CB7"/>
    <w:rsid w:val="00DF6CD5"/>
    <w:rsid w:val="00DF6D33"/>
    <w:rsid w:val="00DF6D8A"/>
    <w:rsid w:val="00DF6EA0"/>
    <w:rsid w:val="00DF6EAE"/>
    <w:rsid w:val="00DF6F5C"/>
    <w:rsid w:val="00DF6FA0"/>
    <w:rsid w:val="00DF701F"/>
    <w:rsid w:val="00DF70FB"/>
    <w:rsid w:val="00DF71A3"/>
    <w:rsid w:val="00DF74A0"/>
    <w:rsid w:val="00DF74B0"/>
    <w:rsid w:val="00DF7546"/>
    <w:rsid w:val="00DF7591"/>
    <w:rsid w:val="00DF77C0"/>
    <w:rsid w:val="00DF7A51"/>
    <w:rsid w:val="00DF7A8E"/>
    <w:rsid w:val="00DF7AA1"/>
    <w:rsid w:val="00DF7DE8"/>
    <w:rsid w:val="00DF7F1D"/>
    <w:rsid w:val="00E00023"/>
    <w:rsid w:val="00E0018D"/>
    <w:rsid w:val="00E002E5"/>
    <w:rsid w:val="00E00448"/>
    <w:rsid w:val="00E0049C"/>
    <w:rsid w:val="00E004AA"/>
    <w:rsid w:val="00E004F6"/>
    <w:rsid w:val="00E005DE"/>
    <w:rsid w:val="00E006BB"/>
    <w:rsid w:val="00E006C3"/>
    <w:rsid w:val="00E00758"/>
    <w:rsid w:val="00E00769"/>
    <w:rsid w:val="00E007C9"/>
    <w:rsid w:val="00E008DC"/>
    <w:rsid w:val="00E00991"/>
    <w:rsid w:val="00E00A1B"/>
    <w:rsid w:val="00E00A5A"/>
    <w:rsid w:val="00E00AA6"/>
    <w:rsid w:val="00E00B23"/>
    <w:rsid w:val="00E01069"/>
    <w:rsid w:val="00E01108"/>
    <w:rsid w:val="00E0112B"/>
    <w:rsid w:val="00E0117D"/>
    <w:rsid w:val="00E01186"/>
    <w:rsid w:val="00E0142F"/>
    <w:rsid w:val="00E0144A"/>
    <w:rsid w:val="00E01583"/>
    <w:rsid w:val="00E018A1"/>
    <w:rsid w:val="00E018CD"/>
    <w:rsid w:val="00E01939"/>
    <w:rsid w:val="00E0194D"/>
    <w:rsid w:val="00E0197D"/>
    <w:rsid w:val="00E01A8C"/>
    <w:rsid w:val="00E01B2C"/>
    <w:rsid w:val="00E01C5D"/>
    <w:rsid w:val="00E01CC0"/>
    <w:rsid w:val="00E01D0A"/>
    <w:rsid w:val="00E01D29"/>
    <w:rsid w:val="00E020D2"/>
    <w:rsid w:val="00E02233"/>
    <w:rsid w:val="00E0224C"/>
    <w:rsid w:val="00E02316"/>
    <w:rsid w:val="00E02456"/>
    <w:rsid w:val="00E0245A"/>
    <w:rsid w:val="00E0263E"/>
    <w:rsid w:val="00E027B4"/>
    <w:rsid w:val="00E02853"/>
    <w:rsid w:val="00E02A07"/>
    <w:rsid w:val="00E02CCF"/>
    <w:rsid w:val="00E02D1C"/>
    <w:rsid w:val="00E02E8B"/>
    <w:rsid w:val="00E0310F"/>
    <w:rsid w:val="00E03125"/>
    <w:rsid w:val="00E033A6"/>
    <w:rsid w:val="00E033B5"/>
    <w:rsid w:val="00E033C5"/>
    <w:rsid w:val="00E03677"/>
    <w:rsid w:val="00E038CB"/>
    <w:rsid w:val="00E03AB6"/>
    <w:rsid w:val="00E03B6A"/>
    <w:rsid w:val="00E03C5C"/>
    <w:rsid w:val="00E03C73"/>
    <w:rsid w:val="00E03C9F"/>
    <w:rsid w:val="00E03CFE"/>
    <w:rsid w:val="00E03DE3"/>
    <w:rsid w:val="00E03E4D"/>
    <w:rsid w:val="00E03EB8"/>
    <w:rsid w:val="00E03F00"/>
    <w:rsid w:val="00E03F71"/>
    <w:rsid w:val="00E04008"/>
    <w:rsid w:val="00E0410B"/>
    <w:rsid w:val="00E04146"/>
    <w:rsid w:val="00E041CC"/>
    <w:rsid w:val="00E04271"/>
    <w:rsid w:val="00E043C4"/>
    <w:rsid w:val="00E045A4"/>
    <w:rsid w:val="00E04769"/>
    <w:rsid w:val="00E04C28"/>
    <w:rsid w:val="00E04D95"/>
    <w:rsid w:val="00E04EAD"/>
    <w:rsid w:val="00E04EF3"/>
    <w:rsid w:val="00E04F67"/>
    <w:rsid w:val="00E04FD1"/>
    <w:rsid w:val="00E04FF2"/>
    <w:rsid w:val="00E051B7"/>
    <w:rsid w:val="00E053A2"/>
    <w:rsid w:val="00E0585E"/>
    <w:rsid w:val="00E05945"/>
    <w:rsid w:val="00E05973"/>
    <w:rsid w:val="00E059C0"/>
    <w:rsid w:val="00E05A4F"/>
    <w:rsid w:val="00E05A9B"/>
    <w:rsid w:val="00E05B8F"/>
    <w:rsid w:val="00E05BF1"/>
    <w:rsid w:val="00E05C94"/>
    <w:rsid w:val="00E05EFF"/>
    <w:rsid w:val="00E0600A"/>
    <w:rsid w:val="00E0602D"/>
    <w:rsid w:val="00E0603A"/>
    <w:rsid w:val="00E0612F"/>
    <w:rsid w:val="00E0648B"/>
    <w:rsid w:val="00E0658B"/>
    <w:rsid w:val="00E065EC"/>
    <w:rsid w:val="00E0669F"/>
    <w:rsid w:val="00E06785"/>
    <w:rsid w:val="00E06AF2"/>
    <w:rsid w:val="00E06BA8"/>
    <w:rsid w:val="00E06C7B"/>
    <w:rsid w:val="00E06CBD"/>
    <w:rsid w:val="00E06D88"/>
    <w:rsid w:val="00E0712F"/>
    <w:rsid w:val="00E072F2"/>
    <w:rsid w:val="00E0751C"/>
    <w:rsid w:val="00E07565"/>
    <w:rsid w:val="00E0769B"/>
    <w:rsid w:val="00E076FC"/>
    <w:rsid w:val="00E077A1"/>
    <w:rsid w:val="00E077F2"/>
    <w:rsid w:val="00E0784E"/>
    <w:rsid w:val="00E07891"/>
    <w:rsid w:val="00E07B80"/>
    <w:rsid w:val="00E07C49"/>
    <w:rsid w:val="00E07CA1"/>
    <w:rsid w:val="00E10208"/>
    <w:rsid w:val="00E10221"/>
    <w:rsid w:val="00E10245"/>
    <w:rsid w:val="00E1025B"/>
    <w:rsid w:val="00E103E0"/>
    <w:rsid w:val="00E10654"/>
    <w:rsid w:val="00E10694"/>
    <w:rsid w:val="00E10704"/>
    <w:rsid w:val="00E1086C"/>
    <w:rsid w:val="00E10908"/>
    <w:rsid w:val="00E10AB0"/>
    <w:rsid w:val="00E10B5C"/>
    <w:rsid w:val="00E10BA8"/>
    <w:rsid w:val="00E10BB6"/>
    <w:rsid w:val="00E10E83"/>
    <w:rsid w:val="00E10FBD"/>
    <w:rsid w:val="00E11042"/>
    <w:rsid w:val="00E114DB"/>
    <w:rsid w:val="00E11530"/>
    <w:rsid w:val="00E115B5"/>
    <w:rsid w:val="00E11634"/>
    <w:rsid w:val="00E11749"/>
    <w:rsid w:val="00E11760"/>
    <w:rsid w:val="00E118E4"/>
    <w:rsid w:val="00E119E8"/>
    <w:rsid w:val="00E11AAD"/>
    <w:rsid w:val="00E11B07"/>
    <w:rsid w:val="00E11B14"/>
    <w:rsid w:val="00E11C61"/>
    <w:rsid w:val="00E11DA4"/>
    <w:rsid w:val="00E11DE9"/>
    <w:rsid w:val="00E11E38"/>
    <w:rsid w:val="00E11F2F"/>
    <w:rsid w:val="00E120D0"/>
    <w:rsid w:val="00E120D2"/>
    <w:rsid w:val="00E120D4"/>
    <w:rsid w:val="00E12215"/>
    <w:rsid w:val="00E12294"/>
    <w:rsid w:val="00E123D3"/>
    <w:rsid w:val="00E126AC"/>
    <w:rsid w:val="00E1271F"/>
    <w:rsid w:val="00E12960"/>
    <w:rsid w:val="00E12973"/>
    <w:rsid w:val="00E12A56"/>
    <w:rsid w:val="00E12CB1"/>
    <w:rsid w:val="00E12D0D"/>
    <w:rsid w:val="00E12F65"/>
    <w:rsid w:val="00E131B8"/>
    <w:rsid w:val="00E1324C"/>
    <w:rsid w:val="00E132B9"/>
    <w:rsid w:val="00E13327"/>
    <w:rsid w:val="00E1335E"/>
    <w:rsid w:val="00E13482"/>
    <w:rsid w:val="00E134A9"/>
    <w:rsid w:val="00E13591"/>
    <w:rsid w:val="00E136AD"/>
    <w:rsid w:val="00E1379E"/>
    <w:rsid w:val="00E1398B"/>
    <w:rsid w:val="00E139BE"/>
    <w:rsid w:val="00E13CB5"/>
    <w:rsid w:val="00E13D28"/>
    <w:rsid w:val="00E13D7A"/>
    <w:rsid w:val="00E13D98"/>
    <w:rsid w:val="00E13DFD"/>
    <w:rsid w:val="00E13E80"/>
    <w:rsid w:val="00E141EC"/>
    <w:rsid w:val="00E14206"/>
    <w:rsid w:val="00E14251"/>
    <w:rsid w:val="00E14298"/>
    <w:rsid w:val="00E14593"/>
    <w:rsid w:val="00E14605"/>
    <w:rsid w:val="00E1475A"/>
    <w:rsid w:val="00E14792"/>
    <w:rsid w:val="00E1495E"/>
    <w:rsid w:val="00E14C4D"/>
    <w:rsid w:val="00E14DAE"/>
    <w:rsid w:val="00E14DE1"/>
    <w:rsid w:val="00E14F55"/>
    <w:rsid w:val="00E1502E"/>
    <w:rsid w:val="00E151CB"/>
    <w:rsid w:val="00E1524F"/>
    <w:rsid w:val="00E1528D"/>
    <w:rsid w:val="00E152DD"/>
    <w:rsid w:val="00E154B5"/>
    <w:rsid w:val="00E154BA"/>
    <w:rsid w:val="00E155FA"/>
    <w:rsid w:val="00E1565E"/>
    <w:rsid w:val="00E15942"/>
    <w:rsid w:val="00E15A09"/>
    <w:rsid w:val="00E15C45"/>
    <w:rsid w:val="00E15D81"/>
    <w:rsid w:val="00E15E56"/>
    <w:rsid w:val="00E15EDD"/>
    <w:rsid w:val="00E160F8"/>
    <w:rsid w:val="00E162E7"/>
    <w:rsid w:val="00E16404"/>
    <w:rsid w:val="00E16589"/>
    <w:rsid w:val="00E16600"/>
    <w:rsid w:val="00E16819"/>
    <w:rsid w:val="00E16924"/>
    <w:rsid w:val="00E16989"/>
    <w:rsid w:val="00E169CD"/>
    <w:rsid w:val="00E16B3E"/>
    <w:rsid w:val="00E16B59"/>
    <w:rsid w:val="00E16B98"/>
    <w:rsid w:val="00E16C25"/>
    <w:rsid w:val="00E16D30"/>
    <w:rsid w:val="00E16E1D"/>
    <w:rsid w:val="00E170E1"/>
    <w:rsid w:val="00E1729D"/>
    <w:rsid w:val="00E17413"/>
    <w:rsid w:val="00E17540"/>
    <w:rsid w:val="00E17603"/>
    <w:rsid w:val="00E17610"/>
    <w:rsid w:val="00E176FC"/>
    <w:rsid w:val="00E1771E"/>
    <w:rsid w:val="00E17794"/>
    <w:rsid w:val="00E177FA"/>
    <w:rsid w:val="00E17BD5"/>
    <w:rsid w:val="00E17BDB"/>
    <w:rsid w:val="00E17C58"/>
    <w:rsid w:val="00E17D6E"/>
    <w:rsid w:val="00E17DCB"/>
    <w:rsid w:val="00E17E5B"/>
    <w:rsid w:val="00E17F03"/>
    <w:rsid w:val="00E17F14"/>
    <w:rsid w:val="00E17FD2"/>
    <w:rsid w:val="00E20064"/>
    <w:rsid w:val="00E2007A"/>
    <w:rsid w:val="00E2009E"/>
    <w:rsid w:val="00E201A2"/>
    <w:rsid w:val="00E2027D"/>
    <w:rsid w:val="00E202C4"/>
    <w:rsid w:val="00E203FD"/>
    <w:rsid w:val="00E20455"/>
    <w:rsid w:val="00E20480"/>
    <w:rsid w:val="00E20496"/>
    <w:rsid w:val="00E205A2"/>
    <w:rsid w:val="00E20707"/>
    <w:rsid w:val="00E20787"/>
    <w:rsid w:val="00E20849"/>
    <w:rsid w:val="00E208EA"/>
    <w:rsid w:val="00E20941"/>
    <w:rsid w:val="00E2097C"/>
    <w:rsid w:val="00E209D8"/>
    <w:rsid w:val="00E20AA7"/>
    <w:rsid w:val="00E20AC7"/>
    <w:rsid w:val="00E20B7B"/>
    <w:rsid w:val="00E20BEA"/>
    <w:rsid w:val="00E20D8E"/>
    <w:rsid w:val="00E20F77"/>
    <w:rsid w:val="00E21091"/>
    <w:rsid w:val="00E212B8"/>
    <w:rsid w:val="00E21532"/>
    <w:rsid w:val="00E217A2"/>
    <w:rsid w:val="00E21838"/>
    <w:rsid w:val="00E218DB"/>
    <w:rsid w:val="00E21908"/>
    <w:rsid w:val="00E21BDC"/>
    <w:rsid w:val="00E21DC3"/>
    <w:rsid w:val="00E21E1A"/>
    <w:rsid w:val="00E21E1E"/>
    <w:rsid w:val="00E21EEC"/>
    <w:rsid w:val="00E22086"/>
    <w:rsid w:val="00E2210F"/>
    <w:rsid w:val="00E224DF"/>
    <w:rsid w:val="00E226E9"/>
    <w:rsid w:val="00E2280E"/>
    <w:rsid w:val="00E228DE"/>
    <w:rsid w:val="00E228F9"/>
    <w:rsid w:val="00E2299C"/>
    <w:rsid w:val="00E22A32"/>
    <w:rsid w:val="00E22A3C"/>
    <w:rsid w:val="00E22A3E"/>
    <w:rsid w:val="00E22DE6"/>
    <w:rsid w:val="00E22F4C"/>
    <w:rsid w:val="00E2305C"/>
    <w:rsid w:val="00E230E8"/>
    <w:rsid w:val="00E2318D"/>
    <w:rsid w:val="00E23208"/>
    <w:rsid w:val="00E232B7"/>
    <w:rsid w:val="00E232E3"/>
    <w:rsid w:val="00E23304"/>
    <w:rsid w:val="00E233D3"/>
    <w:rsid w:val="00E23413"/>
    <w:rsid w:val="00E2341D"/>
    <w:rsid w:val="00E23509"/>
    <w:rsid w:val="00E23691"/>
    <w:rsid w:val="00E23817"/>
    <w:rsid w:val="00E23A0F"/>
    <w:rsid w:val="00E23B4E"/>
    <w:rsid w:val="00E23CF1"/>
    <w:rsid w:val="00E240A3"/>
    <w:rsid w:val="00E240A6"/>
    <w:rsid w:val="00E24147"/>
    <w:rsid w:val="00E2422F"/>
    <w:rsid w:val="00E24341"/>
    <w:rsid w:val="00E24758"/>
    <w:rsid w:val="00E2475E"/>
    <w:rsid w:val="00E247A1"/>
    <w:rsid w:val="00E24930"/>
    <w:rsid w:val="00E249D0"/>
    <w:rsid w:val="00E24A62"/>
    <w:rsid w:val="00E24C06"/>
    <w:rsid w:val="00E24D00"/>
    <w:rsid w:val="00E24D1F"/>
    <w:rsid w:val="00E24D45"/>
    <w:rsid w:val="00E24F77"/>
    <w:rsid w:val="00E2544A"/>
    <w:rsid w:val="00E25454"/>
    <w:rsid w:val="00E25489"/>
    <w:rsid w:val="00E2559D"/>
    <w:rsid w:val="00E25676"/>
    <w:rsid w:val="00E25759"/>
    <w:rsid w:val="00E25917"/>
    <w:rsid w:val="00E259F0"/>
    <w:rsid w:val="00E25B09"/>
    <w:rsid w:val="00E25B55"/>
    <w:rsid w:val="00E25B66"/>
    <w:rsid w:val="00E25B74"/>
    <w:rsid w:val="00E25C56"/>
    <w:rsid w:val="00E25D6B"/>
    <w:rsid w:val="00E25E1C"/>
    <w:rsid w:val="00E25EE2"/>
    <w:rsid w:val="00E2611E"/>
    <w:rsid w:val="00E2632B"/>
    <w:rsid w:val="00E2657D"/>
    <w:rsid w:val="00E26697"/>
    <w:rsid w:val="00E266FA"/>
    <w:rsid w:val="00E2675E"/>
    <w:rsid w:val="00E26789"/>
    <w:rsid w:val="00E2685A"/>
    <w:rsid w:val="00E268AC"/>
    <w:rsid w:val="00E26905"/>
    <w:rsid w:val="00E26946"/>
    <w:rsid w:val="00E26B1D"/>
    <w:rsid w:val="00E26BB1"/>
    <w:rsid w:val="00E270CD"/>
    <w:rsid w:val="00E27278"/>
    <w:rsid w:val="00E272F8"/>
    <w:rsid w:val="00E27426"/>
    <w:rsid w:val="00E27469"/>
    <w:rsid w:val="00E275A2"/>
    <w:rsid w:val="00E275A8"/>
    <w:rsid w:val="00E2763D"/>
    <w:rsid w:val="00E276C8"/>
    <w:rsid w:val="00E27860"/>
    <w:rsid w:val="00E278BB"/>
    <w:rsid w:val="00E27A54"/>
    <w:rsid w:val="00E27B28"/>
    <w:rsid w:val="00E27B61"/>
    <w:rsid w:val="00E27B7A"/>
    <w:rsid w:val="00E27B83"/>
    <w:rsid w:val="00E301D2"/>
    <w:rsid w:val="00E3043E"/>
    <w:rsid w:val="00E304AE"/>
    <w:rsid w:val="00E305DA"/>
    <w:rsid w:val="00E30792"/>
    <w:rsid w:val="00E30805"/>
    <w:rsid w:val="00E30845"/>
    <w:rsid w:val="00E30853"/>
    <w:rsid w:val="00E30903"/>
    <w:rsid w:val="00E309FD"/>
    <w:rsid w:val="00E30A5D"/>
    <w:rsid w:val="00E30CFC"/>
    <w:rsid w:val="00E30E5B"/>
    <w:rsid w:val="00E30FEE"/>
    <w:rsid w:val="00E3109D"/>
    <w:rsid w:val="00E31151"/>
    <w:rsid w:val="00E31174"/>
    <w:rsid w:val="00E311BC"/>
    <w:rsid w:val="00E313FA"/>
    <w:rsid w:val="00E31510"/>
    <w:rsid w:val="00E316AF"/>
    <w:rsid w:val="00E316F0"/>
    <w:rsid w:val="00E31700"/>
    <w:rsid w:val="00E31750"/>
    <w:rsid w:val="00E317FA"/>
    <w:rsid w:val="00E318BD"/>
    <w:rsid w:val="00E31A7C"/>
    <w:rsid w:val="00E31BED"/>
    <w:rsid w:val="00E31C3E"/>
    <w:rsid w:val="00E31D08"/>
    <w:rsid w:val="00E31D50"/>
    <w:rsid w:val="00E32240"/>
    <w:rsid w:val="00E32611"/>
    <w:rsid w:val="00E32736"/>
    <w:rsid w:val="00E3273F"/>
    <w:rsid w:val="00E32781"/>
    <w:rsid w:val="00E328E7"/>
    <w:rsid w:val="00E329BF"/>
    <w:rsid w:val="00E32A3E"/>
    <w:rsid w:val="00E32B3D"/>
    <w:rsid w:val="00E32BA1"/>
    <w:rsid w:val="00E32C49"/>
    <w:rsid w:val="00E32D1D"/>
    <w:rsid w:val="00E32D68"/>
    <w:rsid w:val="00E32F77"/>
    <w:rsid w:val="00E331D6"/>
    <w:rsid w:val="00E33399"/>
    <w:rsid w:val="00E33628"/>
    <w:rsid w:val="00E336F0"/>
    <w:rsid w:val="00E33700"/>
    <w:rsid w:val="00E33715"/>
    <w:rsid w:val="00E3374A"/>
    <w:rsid w:val="00E33B7E"/>
    <w:rsid w:val="00E33C80"/>
    <w:rsid w:val="00E33D01"/>
    <w:rsid w:val="00E33D11"/>
    <w:rsid w:val="00E33DBD"/>
    <w:rsid w:val="00E33E13"/>
    <w:rsid w:val="00E33E14"/>
    <w:rsid w:val="00E33F1A"/>
    <w:rsid w:val="00E33FBA"/>
    <w:rsid w:val="00E34041"/>
    <w:rsid w:val="00E3405C"/>
    <w:rsid w:val="00E340C3"/>
    <w:rsid w:val="00E341BC"/>
    <w:rsid w:val="00E3437C"/>
    <w:rsid w:val="00E3447E"/>
    <w:rsid w:val="00E345DB"/>
    <w:rsid w:val="00E345F3"/>
    <w:rsid w:val="00E3462F"/>
    <w:rsid w:val="00E34676"/>
    <w:rsid w:val="00E34865"/>
    <w:rsid w:val="00E34A08"/>
    <w:rsid w:val="00E34ACE"/>
    <w:rsid w:val="00E34B93"/>
    <w:rsid w:val="00E34BB0"/>
    <w:rsid w:val="00E34BC3"/>
    <w:rsid w:val="00E34C46"/>
    <w:rsid w:val="00E34C55"/>
    <w:rsid w:val="00E34D5C"/>
    <w:rsid w:val="00E34DDC"/>
    <w:rsid w:val="00E350FB"/>
    <w:rsid w:val="00E3545D"/>
    <w:rsid w:val="00E355A4"/>
    <w:rsid w:val="00E355E2"/>
    <w:rsid w:val="00E3571C"/>
    <w:rsid w:val="00E3574A"/>
    <w:rsid w:val="00E35809"/>
    <w:rsid w:val="00E3588D"/>
    <w:rsid w:val="00E35906"/>
    <w:rsid w:val="00E35956"/>
    <w:rsid w:val="00E3598A"/>
    <w:rsid w:val="00E359A1"/>
    <w:rsid w:val="00E359D5"/>
    <w:rsid w:val="00E35A46"/>
    <w:rsid w:val="00E35C62"/>
    <w:rsid w:val="00E35C7F"/>
    <w:rsid w:val="00E35DBC"/>
    <w:rsid w:val="00E35DD4"/>
    <w:rsid w:val="00E360B8"/>
    <w:rsid w:val="00E360C2"/>
    <w:rsid w:val="00E36123"/>
    <w:rsid w:val="00E36126"/>
    <w:rsid w:val="00E3617A"/>
    <w:rsid w:val="00E361BE"/>
    <w:rsid w:val="00E361C4"/>
    <w:rsid w:val="00E3634C"/>
    <w:rsid w:val="00E363A2"/>
    <w:rsid w:val="00E363C2"/>
    <w:rsid w:val="00E364C8"/>
    <w:rsid w:val="00E365FA"/>
    <w:rsid w:val="00E367CE"/>
    <w:rsid w:val="00E3694B"/>
    <w:rsid w:val="00E36AFC"/>
    <w:rsid w:val="00E36B39"/>
    <w:rsid w:val="00E36BE0"/>
    <w:rsid w:val="00E36C7F"/>
    <w:rsid w:val="00E36D88"/>
    <w:rsid w:val="00E36D9E"/>
    <w:rsid w:val="00E37127"/>
    <w:rsid w:val="00E37143"/>
    <w:rsid w:val="00E37367"/>
    <w:rsid w:val="00E37368"/>
    <w:rsid w:val="00E37858"/>
    <w:rsid w:val="00E37D42"/>
    <w:rsid w:val="00E37E19"/>
    <w:rsid w:val="00E37ED0"/>
    <w:rsid w:val="00E37F13"/>
    <w:rsid w:val="00E37F55"/>
    <w:rsid w:val="00E40240"/>
    <w:rsid w:val="00E404A8"/>
    <w:rsid w:val="00E40533"/>
    <w:rsid w:val="00E405B8"/>
    <w:rsid w:val="00E40623"/>
    <w:rsid w:val="00E40732"/>
    <w:rsid w:val="00E407C2"/>
    <w:rsid w:val="00E40A0D"/>
    <w:rsid w:val="00E40A12"/>
    <w:rsid w:val="00E40A2D"/>
    <w:rsid w:val="00E40A7F"/>
    <w:rsid w:val="00E40D71"/>
    <w:rsid w:val="00E40D77"/>
    <w:rsid w:val="00E40DF1"/>
    <w:rsid w:val="00E40ECD"/>
    <w:rsid w:val="00E40FDE"/>
    <w:rsid w:val="00E4103D"/>
    <w:rsid w:val="00E416AE"/>
    <w:rsid w:val="00E41885"/>
    <w:rsid w:val="00E418CE"/>
    <w:rsid w:val="00E41979"/>
    <w:rsid w:val="00E419FE"/>
    <w:rsid w:val="00E41A99"/>
    <w:rsid w:val="00E41B85"/>
    <w:rsid w:val="00E41BA7"/>
    <w:rsid w:val="00E41C02"/>
    <w:rsid w:val="00E41D0B"/>
    <w:rsid w:val="00E41D42"/>
    <w:rsid w:val="00E41DCA"/>
    <w:rsid w:val="00E41E08"/>
    <w:rsid w:val="00E41F39"/>
    <w:rsid w:val="00E42130"/>
    <w:rsid w:val="00E425D6"/>
    <w:rsid w:val="00E425F4"/>
    <w:rsid w:val="00E42A27"/>
    <w:rsid w:val="00E42C6E"/>
    <w:rsid w:val="00E42D04"/>
    <w:rsid w:val="00E42D27"/>
    <w:rsid w:val="00E42D55"/>
    <w:rsid w:val="00E42EB7"/>
    <w:rsid w:val="00E42F0B"/>
    <w:rsid w:val="00E4301B"/>
    <w:rsid w:val="00E430DC"/>
    <w:rsid w:val="00E430F9"/>
    <w:rsid w:val="00E432D5"/>
    <w:rsid w:val="00E434A9"/>
    <w:rsid w:val="00E434BA"/>
    <w:rsid w:val="00E434E9"/>
    <w:rsid w:val="00E43529"/>
    <w:rsid w:val="00E43556"/>
    <w:rsid w:val="00E435D8"/>
    <w:rsid w:val="00E435DD"/>
    <w:rsid w:val="00E43A8B"/>
    <w:rsid w:val="00E43D23"/>
    <w:rsid w:val="00E43D99"/>
    <w:rsid w:val="00E43DA3"/>
    <w:rsid w:val="00E43E37"/>
    <w:rsid w:val="00E43E40"/>
    <w:rsid w:val="00E43F75"/>
    <w:rsid w:val="00E440CF"/>
    <w:rsid w:val="00E441D5"/>
    <w:rsid w:val="00E44262"/>
    <w:rsid w:val="00E4448D"/>
    <w:rsid w:val="00E444AC"/>
    <w:rsid w:val="00E44509"/>
    <w:rsid w:val="00E44741"/>
    <w:rsid w:val="00E44DC1"/>
    <w:rsid w:val="00E44DCF"/>
    <w:rsid w:val="00E44E0E"/>
    <w:rsid w:val="00E4510F"/>
    <w:rsid w:val="00E4518E"/>
    <w:rsid w:val="00E4538E"/>
    <w:rsid w:val="00E45491"/>
    <w:rsid w:val="00E4552B"/>
    <w:rsid w:val="00E4560F"/>
    <w:rsid w:val="00E456C0"/>
    <w:rsid w:val="00E457E9"/>
    <w:rsid w:val="00E45808"/>
    <w:rsid w:val="00E45BB8"/>
    <w:rsid w:val="00E45C93"/>
    <w:rsid w:val="00E45CC6"/>
    <w:rsid w:val="00E45E0E"/>
    <w:rsid w:val="00E46055"/>
    <w:rsid w:val="00E460AF"/>
    <w:rsid w:val="00E462E8"/>
    <w:rsid w:val="00E462EC"/>
    <w:rsid w:val="00E4639A"/>
    <w:rsid w:val="00E463FD"/>
    <w:rsid w:val="00E46461"/>
    <w:rsid w:val="00E467D4"/>
    <w:rsid w:val="00E46A77"/>
    <w:rsid w:val="00E46AAE"/>
    <w:rsid w:val="00E46CFB"/>
    <w:rsid w:val="00E46D75"/>
    <w:rsid w:val="00E46D8B"/>
    <w:rsid w:val="00E46DF7"/>
    <w:rsid w:val="00E46E13"/>
    <w:rsid w:val="00E46F96"/>
    <w:rsid w:val="00E47138"/>
    <w:rsid w:val="00E4733F"/>
    <w:rsid w:val="00E473C7"/>
    <w:rsid w:val="00E473C9"/>
    <w:rsid w:val="00E473DA"/>
    <w:rsid w:val="00E47588"/>
    <w:rsid w:val="00E475AC"/>
    <w:rsid w:val="00E47688"/>
    <w:rsid w:val="00E476B8"/>
    <w:rsid w:val="00E4774D"/>
    <w:rsid w:val="00E4777F"/>
    <w:rsid w:val="00E478A5"/>
    <w:rsid w:val="00E479E0"/>
    <w:rsid w:val="00E47B27"/>
    <w:rsid w:val="00E47C0D"/>
    <w:rsid w:val="00E47CCE"/>
    <w:rsid w:val="00E47D73"/>
    <w:rsid w:val="00E47D8C"/>
    <w:rsid w:val="00E47FBC"/>
    <w:rsid w:val="00E5002D"/>
    <w:rsid w:val="00E500D9"/>
    <w:rsid w:val="00E50183"/>
    <w:rsid w:val="00E50271"/>
    <w:rsid w:val="00E50286"/>
    <w:rsid w:val="00E503D1"/>
    <w:rsid w:val="00E503D2"/>
    <w:rsid w:val="00E50559"/>
    <w:rsid w:val="00E506A4"/>
    <w:rsid w:val="00E506B6"/>
    <w:rsid w:val="00E50857"/>
    <w:rsid w:val="00E5097B"/>
    <w:rsid w:val="00E509FC"/>
    <w:rsid w:val="00E50AFF"/>
    <w:rsid w:val="00E50BF5"/>
    <w:rsid w:val="00E50C46"/>
    <w:rsid w:val="00E50CFB"/>
    <w:rsid w:val="00E50D28"/>
    <w:rsid w:val="00E50DCA"/>
    <w:rsid w:val="00E50E34"/>
    <w:rsid w:val="00E50E69"/>
    <w:rsid w:val="00E50EB4"/>
    <w:rsid w:val="00E50ED6"/>
    <w:rsid w:val="00E51070"/>
    <w:rsid w:val="00E513AE"/>
    <w:rsid w:val="00E51446"/>
    <w:rsid w:val="00E51548"/>
    <w:rsid w:val="00E51622"/>
    <w:rsid w:val="00E51696"/>
    <w:rsid w:val="00E5170D"/>
    <w:rsid w:val="00E51807"/>
    <w:rsid w:val="00E5182F"/>
    <w:rsid w:val="00E5196D"/>
    <w:rsid w:val="00E51C42"/>
    <w:rsid w:val="00E51D37"/>
    <w:rsid w:val="00E51D68"/>
    <w:rsid w:val="00E51D77"/>
    <w:rsid w:val="00E51E1E"/>
    <w:rsid w:val="00E51EA6"/>
    <w:rsid w:val="00E5205A"/>
    <w:rsid w:val="00E5207D"/>
    <w:rsid w:val="00E520E9"/>
    <w:rsid w:val="00E52185"/>
    <w:rsid w:val="00E5221B"/>
    <w:rsid w:val="00E522DD"/>
    <w:rsid w:val="00E52343"/>
    <w:rsid w:val="00E5245B"/>
    <w:rsid w:val="00E524E4"/>
    <w:rsid w:val="00E52519"/>
    <w:rsid w:val="00E528D2"/>
    <w:rsid w:val="00E5295E"/>
    <w:rsid w:val="00E52984"/>
    <w:rsid w:val="00E52C32"/>
    <w:rsid w:val="00E52CA8"/>
    <w:rsid w:val="00E52CE6"/>
    <w:rsid w:val="00E52DC7"/>
    <w:rsid w:val="00E5300E"/>
    <w:rsid w:val="00E5302A"/>
    <w:rsid w:val="00E530D5"/>
    <w:rsid w:val="00E531E0"/>
    <w:rsid w:val="00E53215"/>
    <w:rsid w:val="00E533F0"/>
    <w:rsid w:val="00E5345E"/>
    <w:rsid w:val="00E534F4"/>
    <w:rsid w:val="00E53535"/>
    <w:rsid w:val="00E53642"/>
    <w:rsid w:val="00E537BB"/>
    <w:rsid w:val="00E5384F"/>
    <w:rsid w:val="00E53896"/>
    <w:rsid w:val="00E53959"/>
    <w:rsid w:val="00E5395E"/>
    <w:rsid w:val="00E53A59"/>
    <w:rsid w:val="00E53ACE"/>
    <w:rsid w:val="00E53D4F"/>
    <w:rsid w:val="00E53D5F"/>
    <w:rsid w:val="00E53E32"/>
    <w:rsid w:val="00E53E90"/>
    <w:rsid w:val="00E540E6"/>
    <w:rsid w:val="00E541C5"/>
    <w:rsid w:val="00E54350"/>
    <w:rsid w:val="00E54413"/>
    <w:rsid w:val="00E54478"/>
    <w:rsid w:val="00E54874"/>
    <w:rsid w:val="00E5494E"/>
    <w:rsid w:val="00E54A78"/>
    <w:rsid w:val="00E54BA8"/>
    <w:rsid w:val="00E54BD8"/>
    <w:rsid w:val="00E54BDF"/>
    <w:rsid w:val="00E54C02"/>
    <w:rsid w:val="00E54CC5"/>
    <w:rsid w:val="00E54E70"/>
    <w:rsid w:val="00E54EDA"/>
    <w:rsid w:val="00E54F0E"/>
    <w:rsid w:val="00E54F27"/>
    <w:rsid w:val="00E550D4"/>
    <w:rsid w:val="00E555A4"/>
    <w:rsid w:val="00E557E6"/>
    <w:rsid w:val="00E558B1"/>
    <w:rsid w:val="00E558DC"/>
    <w:rsid w:val="00E55972"/>
    <w:rsid w:val="00E5597A"/>
    <w:rsid w:val="00E55A30"/>
    <w:rsid w:val="00E55ABB"/>
    <w:rsid w:val="00E55B3D"/>
    <w:rsid w:val="00E55BF9"/>
    <w:rsid w:val="00E55D5A"/>
    <w:rsid w:val="00E55E3F"/>
    <w:rsid w:val="00E55EBB"/>
    <w:rsid w:val="00E560AE"/>
    <w:rsid w:val="00E56161"/>
    <w:rsid w:val="00E5617F"/>
    <w:rsid w:val="00E561A6"/>
    <w:rsid w:val="00E562EE"/>
    <w:rsid w:val="00E56548"/>
    <w:rsid w:val="00E56628"/>
    <w:rsid w:val="00E5672C"/>
    <w:rsid w:val="00E567FD"/>
    <w:rsid w:val="00E5686D"/>
    <w:rsid w:val="00E56A53"/>
    <w:rsid w:val="00E56A85"/>
    <w:rsid w:val="00E56ADC"/>
    <w:rsid w:val="00E56BBC"/>
    <w:rsid w:val="00E56D52"/>
    <w:rsid w:val="00E56E0C"/>
    <w:rsid w:val="00E56E81"/>
    <w:rsid w:val="00E5711B"/>
    <w:rsid w:val="00E572A4"/>
    <w:rsid w:val="00E572CC"/>
    <w:rsid w:val="00E57384"/>
    <w:rsid w:val="00E57537"/>
    <w:rsid w:val="00E57683"/>
    <w:rsid w:val="00E57ADA"/>
    <w:rsid w:val="00E57D29"/>
    <w:rsid w:val="00E57DB9"/>
    <w:rsid w:val="00E57E54"/>
    <w:rsid w:val="00E57EC5"/>
    <w:rsid w:val="00E57F62"/>
    <w:rsid w:val="00E60245"/>
    <w:rsid w:val="00E6027C"/>
    <w:rsid w:val="00E6036D"/>
    <w:rsid w:val="00E6038C"/>
    <w:rsid w:val="00E603F4"/>
    <w:rsid w:val="00E606DB"/>
    <w:rsid w:val="00E60844"/>
    <w:rsid w:val="00E60876"/>
    <w:rsid w:val="00E608C4"/>
    <w:rsid w:val="00E608ED"/>
    <w:rsid w:val="00E6095E"/>
    <w:rsid w:val="00E609BE"/>
    <w:rsid w:val="00E609C6"/>
    <w:rsid w:val="00E60B81"/>
    <w:rsid w:val="00E60BCA"/>
    <w:rsid w:val="00E60F1B"/>
    <w:rsid w:val="00E61178"/>
    <w:rsid w:val="00E6129E"/>
    <w:rsid w:val="00E61355"/>
    <w:rsid w:val="00E61445"/>
    <w:rsid w:val="00E614B3"/>
    <w:rsid w:val="00E616EA"/>
    <w:rsid w:val="00E617E9"/>
    <w:rsid w:val="00E61887"/>
    <w:rsid w:val="00E61B84"/>
    <w:rsid w:val="00E61F58"/>
    <w:rsid w:val="00E62003"/>
    <w:rsid w:val="00E62187"/>
    <w:rsid w:val="00E62289"/>
    <w:rsid w:val="00E6253F"/>
    <w:rsid w:val="00E625DD"/>
    <w:rsid w:val="00E625FF"/>
    <w:rsid w:val="00E62783"/>
    <w:rsid w:val="00E628E3"/>
    <w:rsid w:val="00E62938"/>
    <w:rsid w:val="00E62CF7"/>
    <w:rsid w:val="00E62DC4"/>
    <w:rsid w:val="00E62DF5"/>
    <w:rsid w:val="00E62EAA"/>
    <w:rsid w:val="00E62F97"/>
    <w:rsid w:val="00E62FEA"/>
    <w:rsid w:val="00E631A6"/>
    <w:rsid w:val="00E631CD"/>
    <w:rsid w:val="00E63283"/>
    <w:rsid w:val="00E6338C"/>
    <w:rsid w:val="00E635B0"/>
    <w:rsid w:val="00E635E0"/>
    <w:rsid w:val="00E6361D"/>
    <w:rsid w:val="00E6366A"/>
    <w:rsid w:val="00E6369B"/>
    <w:rsid w:val="00E637FE"/>
    <w:rsid w:val="00E63B4E"/>
    <w:rsid w:val="00E63C36"/>
    <w:rsid w:val="00E63C74"/>
    <w:rsid w:val="00E63CF5"/>
    <w:rsid w:val="00E63D1A"/>
    <w:rsid w:val="00E63EFD"/>
    <w:rsid w:val="00E6429C"/>
    <w:rsid w:val="00E643A9"/>
    <w:rsid w:val="00E644C2"/>
    <w:rsid w:val="00E64523"/>
    <w:rsid w:val="00E645A1"/>
    <w:rsid w:val="00E64602"/>
    <w:rsid w:val="00E64657"/>
    <w:rsid w:val="00E64676"/>
    <w:rsid w:val="00E647D9"/>
    <w:rsid w:val="00E647FE"/>
    <w:rsid w:val="00E64836"/>
    <w:rsid w:val="00E6484B"/>
    <w:rsid w:val="00E649C2"/>
    <w:rsid w:val="00E649CC"/>
    <w:rsid w:val="00E64C43"/>
    <w:rsid w:val="00E64D11"/>
    <w:rsid w:val="00E64E6F"/>
    <w:rsid w:val="00E65059"/>
    <w:rsid w:val="00E65272"/>
    <w:rsid w:val="00E6540D"/>
    <w:rsid w:val="00E655F3"/>
    <w:rsid w:val="00E65719"/>
    <w:rsid w:val="00E65887"/>
    <w:rsid w:val="00E65931"/>
    <w:rsid w:val="00E659E5"/>
    <w:rsid w:val="00E65A41"/>
    <w:rsid w:val="00E65A74"/>
    <w:rsid w:val="00E65AD1"/>
    <w:rsid w:val="00E65AE5"/>
    <w:rsid w:val="00E65AF4"/>
    <w:rsid w:val="00E65B0A"/>
    <w:rsid w:val="00E65B1C"/>
    <w:rsid w:val="00E65B61"/>
    <w:rsid w:val="00E65B78"/>
    <w:rsid w:val="00E65EE5"/>
    <w:rsid w:val="00E65F07"/>
    <w:rsid w:val="00E65FE7"/>
    <w:rsid w:val="00E6616B"/>
    <w:rsid w:val="00E6624C"/>
    <w:rsid w:val="00E662A5"/>
    <w:rsid w:val="00E66368"/>
    <w:rsid w:val="00E66664"/>
    <w:rsid w:val="00E666BF"/>
    <w:rsid w:val="00E66892"/>
    <w:rsid w:val="00E668E0"/>
    <w:rsid w:val="00E66916"/>
    <w:rsid w:val="00E66AC8"/>
    <w:rsid w:val="00E66BE4"/>
    <w:rsid w:val="00E66D57"/>
    <w:rsid w:val="00E66E4C"/>
    <w:rsid w:val="00E66EF9"/>
    <w:rsid w:val="00E66F7E"/>
    <w:rsid w:val="00E66FBB"/>
    <w:rsid w:val="00E67014"/>
    <w:rsid w:val="00E67093"/>
    <w:rsid w:val="00E67253"/>
    <w:rsid w:val="00E677E3"/>
    <w:rsid w:val="00E678B6"/>
    <w:rsid w:val="00E679B8"/>
    <w:rsid w:val="00E67A21"/>
    <w:rsid w:val="00E67B57"/>
    <w:rsid w:val="00E67B60"/>
    <w:rsid w:val="00E67BE7"/>
    <w:rsid w:val="00E67D00"/>
    <w:rsid w:val="00E67D90"/>
    <w:rsid w:val="00E67F9C"/>
    <w:rsid w:val="00E700A5"/>
    <w:rsid w:val="00E700D5"/>
    <w:rsid w:val="00E700F7"/>
    <w:rsid w:val="00E70158"/>
    <w:rsid w:val="00E70186"/>
    <w:rsid w:val="00E70237"/>
    <w:rsid w:val="00E702CE"/>
    <w:rsid w:val="00E7033A"/>
    <w:rsid w:val="00E706D3"/>
    <w:rsid w:val="00E706DF"/>
    <w:rsid w:val="00E70A29"/>
    <w:rsid w:val="00E70ABB"/>
    <w:rsid w:val="00E70C32"/>
    <w:rsid w:val="00E70EB0"/>
    <w:rsid w:val="00E70F1B"/>
    <w:rsid w:val="00E71069"/>
    <w:rsid w:val="00E711AA"/>
    <w:rsid w:val="00E711C8"/>
    <w:rsid w:val="00E71670"/>
    <w:rsid w:val="00E716DC"/>
    <w:rsid w:val="00E71789"/>
    <w:rsid w:val="00E718F9"/>
    <w:rsid w:val="00E71A71"/>
    <w:rsid w:val="00E71A84"/>
    <w:rsid w:val="00E71BB3"/>
    <w:rsid w:val="00E71CF0"/>
    <w:rsid w:val="00E721FC"/>
    <w:rsid w:val="00E72256"/>
    <w:rsid w:val="00E725FC"/>
    <w:rsid w:val="00E726B7"/>
    <w:rsid w:val="00E726C8"/>
    <w:rsid w:val="00E7274E"/>
    <w:rsid w:val="00E72911"/>
    <w:rsid w:val="00E72931"/>
    <w:rsid w:val="00E72A54"/>
    <w:rsid w:val="00E72ACE"/>
    <w:rsid w:val="00E72BBF"/>
    <w:rsid w:val="00E72BD3"/>
    <w:rsid w:val="00E72CB2"/>
    <w:rsid w:val="00E72D5F"/>
    <w:rsid w:val="00E72E51"/>
    <w:rsid w:val="00E72FD0"/>
    <w:rsid w:val="00E73076"/>
    <w:rsid w:val="00E7308D"/>
    <w:rsid w:val="00E730E9"/>
    <w:rsid w:val="00E731E7"/>
    <w:rsid w:val="00E73240"/>
    <w:rsid w:val="00E73277"/>
    <w:rsid w:val="00E73380"/>
    <w:rsid w:val="00E7339B"/>
    <w:rsid w:val="00E73508"/>
    <w:rsid w:val="00E7359D"/>
    <w:rsid w:val="00E735DD"/>
    <w:rsid w:val="00E7368B"/>
    <w:rsid w:val="00E736D0"/>
    <w:rsid w:val="00E73888"/>
    <w:rsid w:val="00E739C4"/>
    <w:rsid w:val="00E73A1C"/>
    <w:rsid w:val="00E73A2E"/>
    <w:rsid w:val="00E73AE6"/>
    <w:rsid w:val="00E73B3B"/>
    <w:rsid w:val="00E73B66"/>
    <w:rsid w:val="00E73BB5"/>
    <w:rsid w:val="00E73BC6"/>
    <w:rsid w:val="00E73D05"/>
    <w:rsid w:val="00E73D5D"/>
    <w:rsid w:val="00E73FAB"/>
    <w:rsid w:val="00E7417E"/>
    <w:rsid w:val="00E74190"/>
    <w:rsid w:val="00E74217"/>
    <w:rsid w:val="00E7422A"/>
    <w:rsid w:val="00E74327"/>
    <w:rsid w:val="00E743CE"/>
    <w:rsid w:val="00E74468"/>
    <w:rsid w:val="00E7450F"/>
    <w:rsid w:val="00E74565"/>
    <w:rsid w:val="00E746E9"/>
    <w:rsid w:val="00E74871"/>
    <w:rsid w:val="00E7488C"/>
    <w:rsid w:val="00E748A8"/>
    <w:rsid w:val="00E7494D"/>
    <w:rsid w:val="00E74984"/>
    <w:rsid w:val="00E74B26"/>
    <w:rsid w:val="00E74DC5"/>
    <w:rsid w:val="00E74E22"/>
    <w:rsid w:val="00E74E73"/>
    <w:rsid w:val="00E74E81"/>
    <w:rsid w:val="00E74F6E"/>
    <w:rsid w:val="00E75189"/>
    <w:rsid w:val="00E752E9"/>
    <w:rsid w:val="00E75380"/>
    <w:rsid w:val="00E75615"/>
    <w:rsid w:val="00E7567E"/>
    <w:rsid w:val="00E756CB"/>
    <w:rsid w:val="00E756FB"/>
    <w:rsid w:val="00E759B7"/>
    <w:rsid w:val="00E759B8"/>
    <w:rsid w:val="00E759F7"/>
    <w:rsid w:val="00E75B19"/>
    <w:rsid w:val="00E75BBE"/>
    <w:rsid w:val="00E75C08"/>
    <w:rsid w:val="00E75C40"/>
    <w:rsid w:val="00E75CD7"/>
    <w:rsid w:val="00E75DBA"/>
    <w:rsid w:val="00E75E63"/>
    <w:rsid w:val="00E76089"/>
    <w:rsid w:val="00E7619C"/>
    <w:rsid w:val="00E762EE"/>
    <w:rsid w:val="00E7649E"/>
    <w:rsid w:val="00E7657F"/>
    <w:rsid w:val="00E7660D"/>
    <w:rsid w:val="00E76621"/>
    <w:rsid w:val="00E7665D"/>
    <w:rsid w:val="00E766DF"/>
    <w:rsid w:val="00E767D1"/>
    <w:rsid w:val="00E76815"/>
    <w:rsid w:val="00E768B4"/>
    <w:rsid w:val="00E7692B"/>
    <w:rsid w:val="00E76949"/>
    <w:rsid w:val="00E76BD3"/>
    <w:rsid w:val="00E76D8B"/>
    <w:rsid w:val="00E76F97"/>
    <w:rsid w:val="00E7729A"/>
    <w:rsid w:val="00E772C5"/>
    <w:rsid w:val="00E77393"/>
    <w:rsid w:val="00E77515"/>
    <w:rsid w:val="00E7760C"/>
    <w:rsid w:val="00E7776B"/>
    <w:rsid w:val="00E77A41"/>
    <w:rsid w:val="00E77BD0"/>
    <w:rsid w:val="00E77C61"/>
    <w:rsid w:val="00E77CA2"/>
    <w:rsid w:val="00E77D1C"/>
    <w:rsid w:val="00E77D26"/>
    <w:rsid w:val="00E77D9A"/>
    <w:rsid w:val="00E77DC7"/>
    <w:rsid w:val="00E77EB3"/>
    <w:rsid w:val="00E77F8F"/>
    <w:rsid w:val="00E800A4"/>
    <w:rsid w:val="00E801A9"/>
    <w:rsid w:val="00E8021F"/>
    <w:rsid w:val="00E803C0"/>
    <w:rsid w:val="00E8040C"/>
    <w:rsid w:val="00E8040D"/>
    <w:rsid w:val="00E80526"/>
    <w:rsid w:val="00E80636"/>
    <w:rsid w:val="00E806A9"/>
    <w:rsid w:val="00E809B2"/>
    <w:rsid w:val="00E80B25"/>
    <w:rsid w:val="00E80CB6"/>
    <w:rsid w:val="00E80CE8"/>
    <w:rsid w:val="00E80E5A"/>
    <w:rsid w:val="00E80ED6"/>
    <w:rsid w:val="00E80FAF"/>
    <w:rsid w:val="00E8100B"/>
    <w:rsid w:val="00E810FA"/>
    <w:rsid w:val="00E8124C"/>
    <w:rsid w:val="00E8172C"/>
    <w:rsid w:val="00E81854"/>
    <w:rsid w:val="00E81A30"/>
    <w:rsid w:val="00E81A4A"/>
    <w:rsid w:val="00E81D21"/>
    <w:rsid w:val="00E81D61"/>
    <w:rsid w:val="00E81DA4"/>
    <w:rsid w:val="00E81F14"/>
    <w:rsid w:val="00E81F1E"/>
    <w:rsid w:val="00E81F35"/>
    <w:rsid w:val="00E82173"/>
    <w:rsid w:val="00E82203"/>
    <w:rsid w:val="00E82208"/>
    <w:rsid w:val="00E82255"/>
    <w:rsid w:val="00E82263"/>
    <w:rsid w:val="00E825C7"/>
    <w:rsid w:val="00E825D5"/>
    <w:rsid w:val="00E8268F"/>
    <w:rsid w:val="00E826DD"/>
    <w:rsid w:val="00E82721"/>
    <w:rsid w:val="00E82907"/>
    <w:rsid w:val="00E8297D"/>
    <w:rsid w:val="00E829EF"/>
    <w:rsid w:val="00E82A56"/>
    <w:rsid w:val="00E82AA6"/>
    <w:rsid w:val="00E82B1A"/>
    <w:rsid w:val="00E82C8B"/>
    <w:rsid w:val="00E82F24"/>
    <w:rsid w:val="00E8315A"/>
    <w:rsid w:val="00E831FC"/>
    <w:rsid w:val="00E83589"/>
    <w:rsid w:val="00E83702"/>
    <w:rsid w:val="00E83844"/>
    <w:rsid w:val="00E83967"/>
    <w:rsid w:val="00E83979"/>
    <w:rsid w:val="00E83B6B"/>
    <w:rsid w:val="00E83B89"/>
    <w:rsid w:val="00E83D75"/>
    <w:rsid w:val="00E83D8A"/>
    <w:rsid w:val="00E83E32"/>
    <w:rsid w:val="00E83E58"/>
    <w:rsid w:val="00E83FAE"/>
    <w:rsid w:val="00E840E5"/>
    <w:rsid w:val="00E84124"/>
    <w:rsid w:val="00E84192"/>
    <w:rsid w:val="00E8419F"/>
    <w:rsid w:val="00E842B1"/>
    <w:rsid w:val="00E843F7"/>
    <w:rsid w:val="00E8449F"/>
    <w:rsid w:val="00E844AD"/>
    <w:rsid w:val="00E844D8"/>
    <w:rsid w:val="00E844EE"/>
    <w:rsid w:val="00E84875"/>
    <w:rsid w:val="00E8497F"/>
    <w:rsid w:val="00E849FE"/>
    <w:rsid w:val="00E84A68"/>
    <w:rsid w:val="00E84B28"/>
    <w:rsid w:val="00E84BE5"/>
    <w:rsid w:val="00E84CC1"/>
    <w:rsid w:val="00E84F52"/>
    <w:rsid w:val="00E85241"/>
    <w:rsid w:val="00E852D8"/>
    <w:rsid w:val="00E85362"/>
    <w:rsid w:val="00E853C4"/>
    <w:rsid w:val="00E853E3"/>
    <w:rsid w:val="00E856B9"/>
    <w:rsid w:val="00E85721"/>
    <w:rsid w:val="00E85986"/>
    <w:rsid w:val="00E859B6"/>
    <w:rsid w:val="00E85C5C"/>
    <w:rsid w:val="00E85C5F"/>
    <w:rsid w:val="00E85DF2"/>
    <w:rsid w:val="00E85F35"/>
    <w:rsid w:val="00E8614B"/>
    <w:rsid w:val="00E861EA"/>
    <w:rsid w:val="00E8624E"/>
    <w:rsid w:val="00E862DB"/>
    <w:rsid w:val="00E8688C"/>
    <w:rsid w:val="00E86960"/>
    <w:rsid w:val="00E86966"/>
    <w:rsid w:val="00E86ADB"/>
    <w:rsid w:val="00E86B5B"/>
    <w:rsid w:val="00E86B62"/>
    <w:rsid w:val="00E86B88"/>
    <w:rsid w:val="00E86BA5"/>
    <w:rsid w:val="00E86BDE"/>
    <w:rsid w:val="00E86C0F"/>
    <w:rsid w:val="00E86D9F"/>
    <w:rsid w:val="00E86E03"/>
    <w:rsid w:val="00E86F95"/>
    <w:rsid w:val="00E871AE"/>
    <w:rsid w:val="00E873D2"/>
    <w:rsid w:val="00E87647"/>
    <w:rsid w:val="00E87CC7"/>
    <w:rsid w:val="00E87DBF"/>
    <w:rsid w:val="00E87FDB"/>
    <w:rsid w:val="00E90000"/>
    <w:rsid w:val="00E900CD"/>
    <w:rsid w:val="00E900FC"/>
    <w:rsid w:val="00E9014C"/>
    <w:rsid w:val="00E90196"/>
    <w:rsid w:val="00E90277"/>
    <w:rsid w:val="00E90364"/>
    <w:rsid w:val="00E9037A"/>
    <w:rsid w:val="00E904C6"/>
    <w:rsid w:val="00E904FB"/>
    <w:rsid w:val="00E905A2"/>
    <w:rsid w:val="00E9062D"/>
    <w:rsid w:val="00E90731"/>
    <w:rsid w:val="00E90831"/>
    <w:rsid w:val="00E9089D"/>
    <w:rsid w:val="00E908D1"/>
    <w:rsid w:val="00E90B0D"/>
    <w:rsid w:val="00E90B87"/>
    <w:rsid w:val="00E90BFA"/>
    <w:rsid w:val="00E90CD3"/>
    <w:rsid w:val="00E911E0"/>
    <w:rsid w:val="00E91214"/>
    <w:rsid w:val="00E9138B"/>
    <w:rsid w:val="00E9145C"/>
    <w:rsid w:val="00E91760"/>
    <w:rsid w:val="00E917B0"/>
    <w:rsid w:val="00E918C8"/>
    <w:rsid w:val="00E91B83"/>
    <w:rsid w:val="00E91C2B"/>
    <w:rsid w:val="00E91CDB"/>
    <w:rsid w:val="00E91D43"/>
    <w:rsid w:val="00E91EEE"/>
    <w:rsid w:val="00E91F84"/>
    <w:rsid w:val="00E91FF8"/>
    <w:rsid w:val="00E92045"/>
    <w:rsid w:val="00E9210F"/>
    <w:rsid w:val="00E92114"/>
    <w:rsid w:val="00E92184"/>
    <w:rsid w:val="00E9225E"/>
    <w:rsid w:val="00E92358"/>
    <w:rsid w:val="00E923B4"/>
    <w:rsid w:val="00E925DA"/>
    <w:rsid w:val="00E9260C"/>
    <w:rsid w:val="00E92768"/>
    <w:rsid w:val="00E927E5"/>
    <w:rsid w:val="00E92948"/>
    <w:rsid w:val="00E92A28"/>
    <w:rsid w:val="00E92A36"/>
    <w:rsid w:val="00E92B7B"/>
    <w:rsid w:val="00E92CEC"/>
    <w:rsid w:val="00E92D25"/>
    <w:rsid w:val="00E92D55"/>
    <w:rsid w:val="00E93025"/>
    <w:rsid w:val="00E930A0"/>
    <w:rsid w:val="00E930F5"/>
    <w:rsid w:val="00E93246"/>
    <w:rsid w:val="00E93287"/>
    <w:rsid w:val="00E9329E"/>
    <w:rsid w:val="00E933DF"/>
    <w:rsid w:val="00E935E4"/>
    <w:rsid w:val="00E93699"/>
    <w:rsid w:val="00E937E8"/>
    <w:rsid w:val="00E93BE0"/>
    <w:rsid w:val="00E93C40"/>
    <w:rsid w:val="00E93CE5"/>
    <w:rsid w:val="00E93DB9"/>
    <w:rsid w:val="00E9412A"/>
    <w:rsid w:val="00E9412B"/>
    <w:rsid w:val="00E9423C"/>
    <w:rsid w:val="00E9424F"/>
    <w:rsid w:val="00E942DE"/>
    <w:rsid w:val="00E943AA"/>
    <w:rsid w:val="00E943FF"/>
    <w:rsid w:val="00E9446E"/>
    <w:rsid w:val="00E9446F"/>
    <w:rsid w:val="00E94638"/>
    <w:rsid w:val="00E94642"/>
    <w:rsid w:val="00E94659"/>
    <w:rsid w:val="00E9485F"/>
    <w:rsid w:val="00E9489E"/>
    <w:rsid w:val="00E948DE"/>
    <w:rsid w:val="00E948FB"/>
    <w:rsid w:val="00E94BCF"/>
    <w:rsid w:val="00E94C24"/>
    <w:rsid w:val="00E94C72"/>
    <w:rsid w:val="00E94E90"/>
    <w:rsid w:val="00E94ECD"/>
    <w:rsid w:val="00E94ECF"/>
    <w:rsid w:val="00E95115"/>
    <w:rsid w:val="00E95159"/>
    <w:rsid w:val="00E95175"/>
    <w:rsid w:val="00E951A2"/>
    <w:rsid w:val="00E95243"/>
    <w:rsid w:val="00E9539F"/>
    <w:rsid w:val="00E95476"/>
    <w:rsid w:val="00E954CD"/>
    <w:rsid w:val="00E9550D"/>
    <w:rsid w:val="00E95604"/>
    <w:rsid w:val="00E957BB"/>
    <w:rsid w:val="00E95806"/>
    <w:rsid w:val="00E958EE"/>
    <w:rsid w:val="00E95981"/>
    <w:rsid w:val="00E959F8"/>
    <w:rsid w:val="00E95A84"/>
    <w:rsid w:val="00E95AC4"/>
    <w:rsid w:val="00E95B34"/>
    <w:rsid w:val="00E95B7D"/>
    <w:rsid w:val="00E95CF0"/>
    <w:rsid w:val="00E95E3D"/>
    <w:rsid w:val="00E95F07"/>
    <w:rsid w:val="00E960A7"/>
    <w:rsid w:val="00E960EA"/>
    <w:rsid w:val="00E9628E"/>
    <w:rsid w:val="00E962C5"/>
    <w:rsid w:val="00E9634B"/>
    <w:rsid w:val="00E9653B"/>
    <w:rsid w:val="00E9658C"/>
    <w:rsid w:val="00E9684C"/>
    <w:rsid w:val="00E968DA"/>
    <w:rsid w:val="00E969CB"/>
    <w:rsid w:val="00E96A96"/>
    <w:rsid w:val="00E96BD7"/>
    <w:rsid w:val="00E96BE3"/>
    <w:rsid w:val="00E96C3E"/>
    <w:rsid w:val="00E96CB5"/>
    <w:rsid w:val="00E96DB8"/>
    <w:rsid w:val="00E96DF5"/>
    <w:rsid w:val="00E96FBB"/>
    <w:rsid w:val="00E96FDC"/>
    <w:rsid w:val="00E97176"/>
    <w:rsid w:val="00E97178"/>
    <w:rsid w:val="00E97454"/>
    <w:rsid w:val="00E9751B"/>
    <w:rsid w:val="00E975BB"/>
    <w:rsid w:val="00E977C7"/>
    <w:rsid w:val="00E9789E"/>
    <w:rsid w:val="00E97BF4"/>
    <w:rsid w:val="00E97CAB"/>
    <w:rsid w:val="00E97D81"/>
    <w:rsid w:val="00EA0285"/>
    <w:rsid w:val="00EA04F4"/>
    <w:rsid w:val="00EA06AD"/>
    <w:rsid w:val="00EA07D4"/>
    <w:rsid w:val="00EA089E"/>
    <w:rsid w:val="00EA08EC"/>
    <w:rsid w:val="00EA0968"/>
    <w:rsid w:val="00EA0A7C"/>
    <w:rsid w:val="00EA0B74"/>
    <w:rsid w:val="00EA0B86"/>
    <w:rsid w:val="00EA0C6D"/>
    <w:rsid w:val="00EA0C6E"/>
    <w:rsid w:val="00EA0CBC"/>
    <w:rsid w:val="00EA0CEC"/>
    <w:rsid w:val="00EA11A7"/>
    <w:rsid w:val="00EA11A9"/>
    <w:rsid w:val="00EA11D4"/>
    <w:rsid w:val="00EA12F5"/>
    <w:rsid w:val="00EA1499"/>
    <w:rsid w:val="00EA163C"/>
    <w:rsid w:val="00EA1660"/>
    <w:rsid w:val="00EA1690"/>
    <w:rsid w:val="00EA1753"/>
    <w:rsid w:val="00EA1908"/>
    <w:rsid w:val="00EA1B2A"/>
    <w:rsid w:val="00EA1B34"/>
    <w:rsid w:val="00EA1E30"/>
    <w:rsid w:val="00EA1ED9"/>
    <w:rsid w:val="00EA1EF3"/>
    <w:rsid w:val="00EA2014"/>
    <w:rsid w:val="00EA206F"/>
    <w:rsid w:val="00EA22E4"/>
    <w:rsid w:val="00EA240B"/>
    <w:rsid w:val="00EA2660"/>
    <w:rsid w:val="00EA2680"/>
    <w:rsid w:val="00EA26E2"/>
    <w:rsid w:val="00EA2A00"/>
    <w:rsid w:val="00EA2A88"/>
    <w:rsid w:val="00EA2B2D"/>
    <w:rsid w:val="00EA2C39"/>
    <w:rsid w:val="00EA2C54"/>
    <w:rsid w:val="00EA2E2C"/>
    <w:rsid w:val="00EA3389"/>
    <w:rsid w:val="00EA33E5"/>
    <w:rsid w:val="00EA35EB"/>
    <w:rsid w:val="00EA369A"/>
    <w:rsid w:val="00EA36B7"/>
    <w:rsid w:val="00EA37FA"/>
    <w:rsid w:val="00EA38A7"/>
    <w:rsid w:val="00EA38EC"/>
    <w:rsid w:val="00EA391A"/>
    <w:rsid w:val="00EA3BC3"/>
    <w:rsid w:val="00EA3C77"/>
    <w:rsid w:val="00EA3D70"/>
    <w:rsid w:val="00EA3E93"/>
    <w:rsid w:val="00EA3F0B"/>
    <w:rsid w:val="00EA4247"/>
    <w:rsid w:val="00EA426D"/>
    <w:rsid w:val="00EA46BB"/>
    <w:rsid w:val="00EA47A1"/>
    <w:rsid w:val="00EA4A50"/>
    <w:rsid w:val="00EA4AA1"/>
    <w:rsid w:val="00EA4B87"/>
    <w:rsid w:val="00EA4C16"/>
    <w:rsid w:val="00EA4C27"/>
    <w:rsid w:val="00EA4EA2"/>
    <w:rsid w:val="00EA5049"/>
    <w:rsid w:val="00EA50E7"/>
    <w:rsid w:val="00EA50FA"/>
    <w:rsid w:val="00EA5106"/>
    <w:rsid w:val="00EA51CC"/>
    <w:rsid w:val="00EA5306"/>
    <w:rsid w:val="00EA5555"/>
    <w:rsid w:val="00EA5564"/>
    <w:rsid w:val="00EA570D"/>
    <w:rsid w:val="00EA58D5"/>
    <w:rsid w:val="00EA5942"/>
    <w:rsid w:val="00EA59A0"/>
    <w:rsid w:val="00EA5B0D"/>
    <w:rsid w:val="00EA5C3C"/>
    <w:rsid w:val="00EA5CC5"/>
    <w:rsid w:val="00EA5DDA"/>
    <w:rsid w:val="00EA5E22"/>
    <w:rsid w:val="00EA5E36"/>
    <w:rsid w:val="00EA5E50"/>
    <w:rsid w:val="00EA5EDE"/>
    <w:rsid w:val="00EA5F08"/>
    <w:rsid w:val="00EA5F1C"/>
    <w:rsid w:val="00EA5FA5"/>
    <w:rsid w:val="00EA6111"/>
    <w:rsid w:val="00EA612A"/>
    <w:rsid w:val="00EA61C1"/>
    <w:rsid w:val="00EA624B"/>
    <w:rsid w:val="00EA6578"/>
    <w:rsid w:val="00EA658A"/>
    <w:rsid w:val="00EA66AC"/>
    <w:rsid w:val="00EA6766"/>
    <w:rsid w:val="00EA67C9"/>
    <w:rsid w:val="00EA6803"/>
    <w:rsid w:val="00EA6815"/>
    <w:rsid w:val="00EA6917"/>
    <w:rsid w:val="00EA695C"/>
    <w:rsid w:val="00EA6AAD"/>
    <w:rsid w:val="00EA6AD3"/>
    <w:rsid w:val="00EA6B77"/>
    <w:rsid w:val="00EA6BE3"/>
    <w:rsid w:val="00EA6D3F"/>
    <w:rsid w:val="00EA6DEC"/>
    <w:rsid w:val="00EA6EEA"/>
    <w:rsid w:val="00EA6F87"/>
    <w:rsid w:val="00EA6FC9"/>
    <w:rsid w:val="00EA709B"/>
    <w:rsid w:val="00EA7289"/>
    <w:rsid w:val="00EA7481"/>
    <w:rsid w:val="00EA74A3"/>
    <w:rsid w:val="00EA74FA"/>
    <w:rsid w:val="00EA7701"/>
    <w:rsid w:val="00EA7772"/>
    <w:rsid w:val="00EA77C5"/>
    <w:rsid w:val="00EA78FF"/>
    <w:rsid w:val="00EA7984"/>
    <w:rsid w:val="00EA7A96"/>
    <w:rsid w:val="00EA7BF0"/>
    <w:rsid w:val="00EA7C35"/>
    <w:rsid w:val="00EA7EB3"/>
    <w:rsid w:val="00EA7EEA"/>
    <w:rsid w:val="00EB002B"/>
    <w:rsid w:val="00EB03E5"/>
    <w:rsid w:val="00EB043A"/>
    <w:rsid w:val="00EB06F6"/>
    <w:rsid w:val="00EB0755"/>
    <w:rsid w:val="00EB094A"/>
    <w:rsid w:val="00EB0A44"/>
    <w:rsid w:val="00EB0A49"/>
    <w:rsid w:val="00EB0A83"/>
    <w:rsid w:val="00EB0AC1"/>
    <w:rsid w:val="00EB0AF3"/>
    <w:rsid w:val="00EB0B09"/>
    <w:rsid w:val="00EB0BBC"/>
    <w:rsid w:val="00EB0BC5"/>
    <w:rsid w:val="00EB0E95"/>
    <w:rsid w:val="00EB1092"/>
    <w:rsid w:val="00EB10EC"/>
    <w:rsid w:val="00EB118B"/>
    <w:rsid w:val="00EB14BB"/>
    <w:rsid w:val="00EB15B0"/>
    <w:rsid w:val="00EB15B1"/>
    <w:rsid w:val="00EB15C1"/>
    <w:rsid w:val="00EB1866"/>
    <w:rsid w:val="00EB1AE4"/>
    <w:rsid w:val="00EB1B32"/>
    <w:rsid w:val="00EB1D0A"/>
    <w:rsid w:val="00EB1EE9"/>
    <w:rsid w:val="00EB1FC4"/>
    <w:rsid w:val="00EB20CF"/>
    <w:rsid w:val="00EB20F9"/>
    <w:rsid w:val="00EB2195"/>
    <w:rsid w:val="00EB263D"/>
    <w:rsid w:val="00EB279B"/>
    <w:rsid w:val="00EB27BD"/>
    <w:rsid w:val="00EB27C9"/>
    <w:rsid w:val="00EB297A"/>
    <w:rsid w:val="00EB2B62"/>
    <w:rsid w:val="00EB2CA5"/>
    <w:rsid w:val="00EB2F4F"/>
    <w:rsid w:val="00EB311A"/>
    <w:rsid w:val="00EB332C"/>
    <w:rsid w:val="00EB3530"/>
    <w:rsid w:val="00EB3713"/>
    <w:rsid w:val="00EB373D"/>
    <w:rsid w:val="00EB3ADF"/>
    <w:rsid w:val="00EB3CB4"/>
    <w:rsid w:val="00EB3CF0"/>
    <w:rsid w:val="00EB3E03"/>
    <w:rsid w:val="00EB425C"/>
    <w:rsid w:val="00EB4321"/>
    <w:rsid w:val="00EB43FD"/>
    <w:rsid w:val="00EB4425"/>
    <w:rsid w:val="00EB44BE"/>
    <w:rsid w:val="00EB44FE"/>
    <w:rsid w:val="00EB458B"/>
    <w:rsid w:val="00EB4624"/>
    <w:rsid w:val="00EB4682"/>
    <w:rsid w:val="00EB46FE"/>
    <w:rsid w:val="00EB477D"/>
    <w:rsid w:val="00EB4876"/>
    <w:rsid w:val="00EB4A5F"/>
    <w:rsid w:val="00EB4ACC"/>
    <w:rsid w:val="00EB4D5E"/>
    <w:rsid w:val="00EB4D83"/>
    <w:rsid w:val="00EB4DB7"/>
    <w:rsid w:val="00EB4FC2"/>
    <w:rsid w:val="00EB54A9"/>
    <w:rsid w:val="00EB56A8"/>
    <w:rsid w:val="00EB57C0"/>
    <w:rsid w:val="00EB59CD"/>
    <w:rsid w:val="00EB5A7A"/>
    <w:rsid w:val="00EB5B69"/>
    <w:rsid w:val="00EB5B84"/>
    <w:rsid w:val="00EB5BF6"/>
    <w:rsid w:val="00EB5C79"/>
    <w:rsid w:val="00EB5C9C"/>
    <w:rsid w:val="00EB5DAB"/>
    <w:rsid w:val="00EB5E64"/>
    <w:rsid w:val="00EB603D"/>
    <w:rsid w:val="00EB6077"/>
    <w:rsid w:val="00EB60EB"/>
    <w:rsid w:val="00EB63FF"/>
    <w:rsid w:val="00EB6473"/>
    <w:rsid w:val="00EB64BB"/>
    <w:rsid w:val="00EB64D0"/>
    <w:rsid w:val="00EB6534"/>
    <w:rsid w:val="00EB6543"/>
    <w:rsid w:val="00EB66FC"/>
    <w:rsid w:val="00EB67A7"/>
    <w:rsid w:val="00EB67BB"/>
    <w:rsid w:val="00EB69CD"/>
    <w:rsid w:val="00EB6B50"/>
    <w:rsid w:val="00EB6C16"/>
    <w:rsid w:val="00EB6C3C"/>
    <w:rsid w:val="00EB6DAA"/>
    <w:rsid w:val="00EB6EFD"/>
    <w:rsid w:val="00EB6F11"/>
    <w:rsid w:val="00EB70A9"/>
    <w:rsid w:val="00EB722F"/>
    <w:rsid w:val="00EB737F"/>
    <w:rsid w:val="00EB7672"/>
    <w:rsid w:val="00EB76B8"/>
    <w:rsid w:val="00EB76BA"/>
    <w:rsid w:val="00EB76BE"/>
    <w:rsid w:val="00EB77B6"/>
    <w:rsid w:val="00EB7BEE"/>
    <w:rsid w:val="00EB7FB8"/>
    <w:rsid w:val="00EB7FCF"/>
    <w:rsid w:val="00EC0436"/>
    <w:rsid w:val="00EC046C"/>
    <w:rsid w:val="00EC056E"/>
    <w:rsid w:val="00EC06A1"/>
    <w:rsid w:val="00EC07AA"/>
    <w:rsid w:val="00EC0875"/>
    <w:rsid w:val="00EC08D5"/>
    <w:rsid w:val="00EC08D6"/>
    <w:rsid w:val="00EC08E3"/>
    <w:rsid w:val="00EC0940"/>
    <w:rsid w:val="00EC0B0E"/>
    <w:rsid w:val="00EC0B4C"/>
    <w:rsid w:val="00EC134E"/>
    <w:rsid w:val="00EC14DA"/>
    <w:rsid w:val="00EC1605"/>
    <w:rsid w:val="00EC1619"/>
    <w:rsid w:val="00EC16D4"/>
    <w:rsid w:val="00EC16EB"/>
    <w:rsid w:val="00EC173A"/>
    <w:rsid w:val="00EC17F7"/>
    <w:rsid w:val="00EC18B7"/>
    <w:rsid w:val="00EC1930"/>
    <w:rsid w:val="00EC1993"/>
    <w:rsid w:val="00EC199F"/>
    <w:rsid w:val="00EC19CE"/>
    <w:rsid w:val="00EC1A8F"/>
    <w:rsid w:val="00EC1DEE"/>
    <w:rsid w:val="00EC1E3F"/>
    <w:rsid w:val="00EC1E77"/>
    <w:rsid w:val="00EC1E98"/>
    <w:rsid w:val="00EC1F74"/>
    <w:rsid w:val="00EC1F89"/>
    <w:rsid w:val="00EC2158"/>
    <w:rsid w:val="00EC227B"/>
    <w:rsid w:val="00EC228E"/>
    <w:rsid w:val="00EC2405"/>
    <w:rsid w:val="00EC2417"/>
    <w:rsid w:val="00EC24F8"/>
    <w:rsid w:val="00EC26D0"/>
    <w:rsid w:val="00EC2733"/>
    <w:rsid w:val="00EC28AF"/>
    <w:rsid w:val="00EC28E5"/>
    <w:rsid w:val="00EC2DF6"/>
    <w:rsid w:val="00EC32A9"/>
    <w:rsid w:val="00EC32F9"/>
    <w:rsid w:val="00EC332F"/>
    <w:rsid w:val="00EC33C8"/>
    <w:rsid w:val="00EC3479"/>
    <w:rsid w:val="00EC3517"/>
    <w:rsid w:val="00EC3771"/>
    <w:rsid w:val="00EC38BF"/>
    <w:rsid w:val="00EC3955"/>
    <w:rsid w:val="00EC3ABC"/>
    <w:rsid w:val="00EC3B8C"/>
    <w:rsid w:val="00EC3D73"/>
    <w:rsid w:val="00EC3D93"/>
    <w:rsid w:val="00EC3DA8"/>
    <w:rsid w:val="00EC3F42"/>
    <w:rsid w:val="00EC3F69"/>
    <w:rsid w:val="00EC3F6F"/>
    <w:rsid w:val="00EC3FEE"/>
    <w:rsid w:val="00EC3FF8"/>
    <w:rsid w:val="00EC4047"/>
    <w:rsid w:val="00EC40C4"/>
    <w:rsid w:val="00EC4135"/>
    <w:rsid w:val="00EC41AA"/>
    <w:rsid w:val="00EC4216"/>
    <w:rsid w:val="00EC434D"/>
    <w:rsid w:val="00EC443C"/>
    <w:rsid w:val="00EC449C"/>
    <w:rsid w:val="00EC4595"/>
    <w:rsid w:val="00EC48B8"/>
    <w:rsid w:val="00EC49EB"/>
    <w:rsid w:val="00EC4A15"/>
    <w:rsid w:val="00EC4CD3"/>
    <w:rsid w:val="00EC503C"/>
    <w:rsid w:val="00EC5123"/>
    <w:rsid w:val="00EC5249"/>
    <w:rsid w:val="00EC530E"/>
    <w:rsid w:val="00EC55F5"/>
    <w:rsid w:val="00EC5791"/>
    <w:rsid w:val="00EC57CF"/>
    <w:rsid w:val="00EC5954"/>
    <w:rsid w:val="00EC5971"/>
    <w:rsid w:val="00EC59BB"/>
    <w:rsid w:val="00EC5AD0"/>
    <w:rsid w:val="00EC5BCB"/>
    <w:rsid w:val="00EC5F1A"/>
    <w:rsid w:val="00EC6026"/>
    <w:rsid w:val="00EC6055"/>
    <w:rsid w:val="00EC60FC"/>
    <w:rsid w:val="00EC6350"/>
    <w:rsid w:val="00EC6470"/>
    <w:rsid w:val="00EC64AB"/>
    <w:rsid w:val="00EC64E2"/>
    <w:rsid w:val="00EC69F9"/>
    <w:rsid w:val="00EC6A3F"/>
    <w:rsid w:val="00EC6B8E"/>
    <w:rsid w:val="00EC6B93"/>
    <w:rsid w:val="00EC6BA1"/>
    <w:rsid w:val="00EC6C26"/>
    <w:rsid w:val="00EC6DBD"/>
    <w:rsid w:val="00EC6E48"/>
    <w:rsid w:val="00EC6F76"/>
    <w:rsid w:val="00EC704C"/>
    <w:rsid w:val="00EC70C8"/>
    <w:rsid w:val="00EC70EF"/>
    <w:rsid w:val="00EC7234"/>
    <w:rsid w:val="00EC72E7"/>
    <w:rsid w:val="00EC7341"/>
    <w:rsid w:val="00EC741D"/>
    <w:rsid w:val="00EC75B7"/>
    <w:rsid w:val="00EC76BF"/>
    <w:rsid w:val="00EC7793"/>
    <w:rsid w:val="00EC77C4"/>
    <w:rsid w:val="00EC78E8"/>
    <w:rsid w:val="00EC7915"/>
    <w:rsid w:val="00EC7AAF"/>
    <w:rsid w:val="00EC7C40"/>
    <w:rsid w:val="00EC7C4B"/>
    <w:rsid w:val="00EC7FC2"/>
    <w:rsid w:val="00ED023F"/>
    <w:rsid w:val="00ED0276"/>
    <w:rsid w:val="00ED02D7"/>
    <w:rsid w:val="00ED0422"/>
    <w:rsid w:val="00ED04A7"/>
    <w:rsid w:val="00ED053C"/>
    <w:rsid w:val="00ED054F"/>
    <w:rsid w:val="00ED05C7"/>
    <w:rsid w:val="00ED062A"/>
    <w:rsid w:val="00ED06F9"/>
    <w:rsid w:val="00ED0935"/>
    <w:rsid w:val="00ED0DB9"/>
    <w:rsid w:val="00ED1022"/>
    <w:rsid w:val="00ED10D1"/>
    <w:rsid w:val="00ED10FC"/>
    <w:rsid w:val="00ED130E"/>
    <w:rsid w:val="00ED1492"/>
    <w:rsid w:val="00ED14D5"/>
    <w:rsid w:val="00ED16B1"/>
    <w:rsid w:val="00ED16C7"/>
    <w:rsid w:val="00ED188B"/>
    <w:rsid w:val="00ED18B3"/>
    <w:rsid w:val="00ED19DB"/>
    <w:rsid w:val="00ED1A01"/>
    <w:rsid w:val="00ED1B8C"/>
    <w:rsid w:val="00ED1CB6"/>
    <w:rsid w:val="00ED1EED"/>
    <w:rsid w:val="00ED226B"/>
    <w:rsid w:val="00ED22A8"/>
    <w:rsid w:val="00ED247D"/>
    <w:rsid w:val="00ED251E"/>
    <w:rsid w:val="00ED2545"/>
    <w:rsid w:val="00ED265D"/>
    <w:rsid w:val="00ED280B"/>
    <w:rsid w:val="00ED28E3"/>
    <w:rsid w:val="00ED2913"/>
    <w:rsid w:val="00ED2B32"/>
    <w:rsid w:val="00ED2BBD"/>
    <w:rsid w:val="00ED2F2D"/>
    <w:rsid w:val="00ED2F50"/>
    <w:rsid w:val="00ED2FDF"/>
    <w:rsid w:val="00ED2FF9"/>
    <w:rsid w:val="00ED32F7"/>
    <w:rsid w:val="00ED3416"/>
    <w:rsid w:val="00ED3501"/>
    <w:rsid w:val="00ED3515"/>
    <w:rsid w:val="00ED3557"/>
    <w:rsid w:val="00ED361E"/>
    <w:rsid w:val="00ED362F"/>
    <w:rsid w:val="00ED3675"/>
    <w:rsid w:val="00ED37B4"/>
    <w:rsid w:val="00ED37E6"/>
    <w:rsid w:val="00ED3A79"/>
    <w:rsid w:val="00ED452C"/>
    <w:rsid w:val="00ED45FA"/>
    <w:rsid w:val="00ED4747"/>
    <w:rsid w:val="00ED488E"/>
    <w:rsid w:val="00ED492B"/>
    <w:rsid w:val="00ED4A55"/>
    <w:rsid w:val="00ED4BE6"/>
    <w:rsid w:val="00ED4D53"/>
    <w:rsid w:val="00ED4E97"/>
    <w:rsid w:val="00ED4FD4"/>
    <w:rsid w:val="00ED5131"/>
    <w:rsid w:val="00ED52AA"/>
    <w:rsid w:val="00ED55BC"/>
    <w:rsid w:val="00ED574C"/>
    <w:rsid w:val="00ED5750"/>
    <w:rsid w:val="00ED58CF"/>
    <w:rsid w:val="00ED599B"/>
    <w:rsid w:val="00ED5E99"/>
    <w:rsid w:val="00ED5EDE"/>
    <w:rsid w:val="00ED5F9D"/>
    <w:rsid w:val="00ED60C7"/>
    <w:rsid w:val="00ED633F"/>
    <w:rsid w:val="00ED64E2"/>
    <w:rsid w:val="00ED65BE"/>
    <w:rsid w:val="00ED675A"/>
    <w:rsid w:val="00ED6881"/>
    <w:rsid w:val="00ED68F4"/>
    <w:rsid w:val="00ED6992"/>
    <w:rsid w:val="00ED6A5F"/>
    <w:rsid w:val="00ED6BB5"/>
    <w:rsid w:val="00ED6BBA"/>
    <w:rsid w:val="00ED6BEE"/>
    <w:rsid w:val="00ED6C6D"/>
    <w:rsid w:val="00ED6CF5"/>
    <w:rsid w:val="00ED6D53"/>
    <w:rsid w:val="00ED6F9B"/>
    <w:rsid w:val="00ED6FAC"/>
    <w:rsid w:val="00ED6FC9"/>
    <w:rsid w:val="00ED7097"/>
    <w:rsid w:val="00ED7215"/>
    <w:rsid w:val="00ED7234"/>
    <w:rsid w:val="00ED723F"/>
    <w:rsid w:val="00ED73EC"/>
    <w:rsid w:val="00ED75DC"/>
    <w:rsid w:val="00ED78D8"/>
    <w:rsid w:val="00ED7908"/>
    <w:rsid w:val="00ED790C"/>
    <w:rsid w:val="00ED7935"/>
    <w:rsid w:val="00ED7A47"/>
    <w:rsid w:val="00ED7B1A"/>
    <w:rsid w:val="00ED7B97"/>
    <w:rsid w:val="00ED7BAD"/>
    <w:rsid w:val="00ED7C04"/>
    <w:rsid w:val="00ED7D15"/>
    <w:rsid w:val="00ED7E17"/>
    <w:rsid w:val="00ED7F4F"/>
    <w:rsid w:val="00ED7F71"/>
    <w:rsid w:val="00ED7FA6"/>
    <w:rsid w:val="00ED7FFA"/>
    <w:rsid w:val="00EE00BA"/>
    <w:rsid w:val="00EE0113"/>
    <w:rsid w:val="00EE01A3"/>
    <w:rsid w:val="00EE01E6"/>
    <w:rsid w:val="00EE03BB"/>
    <w:rsid w:val="00EE0423"/>
    <w:rsid w:val="00EE0524"/>
    <w:rsid w:val="00EE057A"/>
    <w:rsid w:val="00EE0641"/>
    <w:rsid w:val="00EE0720"/>
    <w:rsid w:val="00EE07E4"/>
    <w:rsid w:val="00EE07F7"/>
    <w:rsid w:val="00EE0868"/>
    <w:rsid w:val="00EE0997"/>
    <w:rsid w:val="00EE09A1"/>
    <w:rsid w:val="00EE0A27"/>
    <w:rsid w:val="00EE0CB3"/>
    <w:rsid w:val="00EE106C"/>
    <w:rsid w:val="00EE1173"/>
    <w:rsid w:val="00EE12CD"/>
    <w:rsid w:val="00EE1372"/>
    <w:rsid w:val="00EE137E"/>
    <w:rsid w:val="00EE146D"/>
    <w:rsid w:val="00EE18D4"/>
    <w:rsid w:val="00EE1981"/>
    <w:rsid w:val="00EE1A22"/>
    <w:rsid w:val="00EE1A2A"/>
    <w:rsid w:val="00EE1BFF"/>
    <w:rsid w:val="00EE1DD0"/>
    <w:rsid w:val="00EE1E5B"/>
    <w:rsid w:val="00EE1EEF"/>
    <w:rsid w:val="00EE1F2D"/>
    <w:rsid w:val="00EE1F4E"/>
    <w:rsid w:val="00EE2147"/>
    <w:rsid w:val="00EE218A"/>
    <w:rsid w:val="00EE236C"/>
    <w:rsid w:val="00EE23DD"/>
    <w:rsid w:val="00EE2675"/>
    <w:rsid w:val="00EE267E"/>
    <w:rsid w:val="00EE2843"/>
    <w:rsid w:val="00EE2CAA"/>
    <w:rsid w:val="00EE2D3C"/>
    <w:rsid w:val="00EE2D6E"/>
    <w:rsid w:val="00EE2D97"/>
    <w:rsid w:val="00EE3059"/>
    <w:rsid w:val="00EE3301"/>
    <w:rsid w:val="00EE3410"/>
    <w:rsid w:val="00EE36F1"/>
    <w:rsid w:val="00EE3967"/>
    <w:rsid w:val="00EE3AA3"/>
    <w:rsid w:val="00EE3AB4"/>
    <w:rsid w:val="00EE3C61"/>
    <w:rsid w:val="00EE3DA2"/>
    <w:rsid w:val="00EE3E3F"/>
    <w:rsid w:val="00EE3E8A"/>
    <w:rsid w:val="00EE402D"/>
    <w:rsid w:val="00EE4095"/>
    <w:rsid w:val="00EE415F"/>
    <w:rsid w:val="00EE419E"/>
    <w:rsid w:val="00EE427C"/>
    <w:rsid w:val="00EE42EB"/>
    <w:rsid w:val="00EE4302"/>
    <w:rsid w:val="00EE431B"/>
    <w:rsid w:val="00EE432F"/>
    <w:rsid w:val="00EE43A7"/>
    <w:rsid w:val="00EE43CF"/>
    <w:rsid w:val="00EE45FA"/>
    <w:rsid w:val="00EE4675"/>
    <w:rsid w:val="00EE4A13"/>
    <w:rsid w:val="00EE4A3F"/>
    <w:rsid w:val="00EE4ABE"/>
    <w:rsid w:val="00EE4AC9"/>
    <w:rsid w:val="00EE4B25"/>
    <w:rsid w:val="00EE4BBC"/>
    <w:rsid w:val="00EE4D1D"/>
    <w:rsid w:val="00EE4D62"/>
    <w:rsid w:val="00EE4EA7"/>
    <w:rsid w:val="00EE51F2"/>
    <w:rsid w:val="00EE5391"/>
    <w:rsid w:val="00EE53F4"/>
    <w:rsid w:val="00EE5601"/>
    <w:rsid w:val="00EE585D"/>
    <w:rsid w:val="00EE5935"/>
    <w:rsid w:val="00EE5995"/>
    <w:rsid w:val="00EE59EB"/>
    <w:rsid w:val="00EE5E4A"/>
    <w:rsid w:val="00EE5FDB"/>
    <w:rsid w:val="00EE61C3"/>
    <w:rsid w:val="00EE6496"/>
    <w:rsid w:val="00EE658E"/>
    <w:rsid w:val="00EE65C0"/>
    <w:rsid w:val="00EE6665"/>
    <w:rsid w:val="00EE6674"/>
    <w:rsid w:val="00EE673A"/>
    <w:rsid w:val="00EE675C"/>
    <w:rsid w:val="00EE68ED"/>
    <w:rsid w:val="00EE6905"/>
    <w:rsid w:val="00EE6A31"/>
    <w:rsid w:val="00EE6B37"/>
    <w:rsid w:val="00EE6D29"/>
    <w:rsid w:val="00EE7148"/>
    <w:rsid w:val="00EE75CD"/>
    <w:rsid w:val="00EE75E5"/>
    <w:rsid w:val="00EE7799"/>
    <w:rsid w:val="00EE77BD"/>
    <w:rsid w:val="00EE77EC"/>
    <w:rsid w:val="00EE7A1A"/>
    <w:rsid w:val="00EE7AF1"/>
    <w:rsid w:val="00EE7BC5"/>
    <w:rsid w:val="00EE7CCC"/>
    <w:rsid w:val="00EE7DD8"/>
    <w:rsid w:val="00EE7F4A"/>
    <w:rsid w:val="00EF0099"/>
    <w:rsid w:val="00EF0158"/>
    <w:rsid w:val="00EF0197"/>
    <w:rsid w:val="00EF01D3"/>
    <w:rsid w:val="00EF0430"/>
    <w:rsid w:val="00EF04F7"/>
    <w:rsid w:val="00EF0696"/>
    <w:rsid w:val="00EF06C9"/>
    <w:rsid w:val="00EF07B4"/>
    <w:rsid w:val="00EF07BC"/>
    <w:rsid w:val="00EF0845"/>
    <w:rsid w:val="00EF0861"/>
    <w:rsid w:val="00EF0888"/>
    <w:rsid w:val="00EF0968"/>
    <w:rsid w:val="00EF0A2C"/>
    <w:rsid w:val="00EF0B5C"/>
    <w:rsid w:val="00EF0B62"/>
    <w:rsid w:val="00EF0BA3"/>
    <w:rsid w:val="00EF0C67"/>
    <w:rsid w:val="00EF0DFA"/>
    <w:rsid w:val="00EF0F0B"/>
    <w:rsid w:val="00EF0F2F"/>
    <w:rsid w:val="00EF1115"/>
    <w:rsid w:val="00EF1123"/>
    <w:rsid w:val="00EF12C8"/>
    <w:rsid w:val="00EF12DB"/>
    <w:rsid w:val="00EF1345"/>
    <w:rsid w:val="00EF1350"/>
    <w:rsid w:val="00EF13DF"/>
    <w:rsid w:val="00EF15A2"/>
    <w:rsid w:val="00EF15A6"/>
    <w:rsid w:val="00EF178F"/>
    <w:rsid w:val="00EF17D5"/>
    <w:rsid w:val="00EF1989"/>
    <w:rsid w:val="00EF1DFA"/>
    <w:rsid w:val="00EF1F33"/>
    <w:rsid w:val="00EF1F75"/>
    <w:rsid w:val="00EF2089"/>
    <w:rsid w:val="00EF20C0"/>
    <w:rsid w:val="00EF2174"/>
    <w:rsid w:val="00EF2206"/>
    <w:rsid w:val="00EF227F"/>
    <w:rsid w:val="00EF2330"/>
    <w:rsid w:val="00EF2359"/>
    <w:rsid w:val="00EF23E5"/>
    <w:rsid w:val="00EF2418"/>
    <w:rsid w:val="00EF26FA"/>
    <w:rsid w:val="00EF2A6E"/>
    <w:rsid w:val="00EF2C42"/>
    <w:rsid w:val="00EF2C79"/>
    <w:rsid w:val="00EF2E99"/>
    <w:rsid w:val="00EF30AE"/>
    <w:rsid w:val="00EF30AF"/>
    <w:rsid w:val="00EF30C0"/>
    <w:rsid w:val="00EF317D"/>
    <w:rsid w:val="00EF3275"/>
    <w:rsid w:val="00EF32D4"/>
    <w:rsid w:val="00EF32FD"/>
    <w:rsid w:val="00EF358F"/>
    <w:rsid w:val="00EF366E"/>
    <w:rsid w:val="00EF3674"/>
    <w:rsid w:val="00EF3764"/>
    <w:rsid w:val="00EF3A40"/>
    <w:rsid w:val="00EF3B6A"/>
    <w:rsid w:val="00EF3BC4"/>
    <w:rsid w:val="00EF3D13"/>
    <w:rsid w:val="00EF3D32"/>
    <w:rsid w:val="00EF3D35"/>
    <w:rsid w:val="00EF418A"/>
    <w:rsid w:val="00EF42EB"/>
    <w:rsid w:val="00EF4321"/>
    <w:rsid w:val="00EF4377"/>
    <w:rsid w:val="00EF43D3"/>
    <w:rsid w:val="00EF43D8"/>
    <w:rsid w:val="00EF4456"/>
    <w:rsid w:val="00EF4486"/>
    <w:rsid w:val="00EF4532"/>
    <w:rsid w:val="00EF468B"/>
    <w:rsid w:val="00EF46C3"/>
    <w:rsid w:val="00EF49AC"/>
    <w:rsid w:val="00EF4B19"/>
    <w:rsid w:val="00EF4C5E"/>
    <w:rsid w:val="00EF4CBE"/>
    <w:rsid w:val="00EF4D5B"/>
    <w:rsid w:val="00EF4DA4"/>
    <w:rsid w:val="00EF4E76"/>
    <w:rsid w:val="00EF4ED1"/>
    <w:rsid w:val="00EF4EFB"/>
    <w:rsid w:val="00EF4F2A"/>
    <w:rsid w:val="00EF5096"/>
    <w:rsid w:val="00EF50DE"/>
    <w:rsid w:val="00EF52C1"/>
    <w:rsid w:val="00EF52CC"/>
    <w:rsid w:val="00EF5429"/>
    <w:rsid w:val="00EF56F3"/>
    <w:rsid w:val="00EF5847"/>
    <w:rsid w:val="00EF58EC"/>
    <w:rsid w:val="00EF592B"/>
    <w:rsid w:val="00EF5A0A"/>
    <w:rsid w:val="00EF5C02"/>
    <w:rsid w:val="00EF5CA0"/>
    <w:rsid w:val="00EF5CF4"/>
    <w:rsid w:val="00EF5F69"/>
    <w:rsid w:val="00EF5FEA"/>
    <w:rsid w:val="00EF606B"/>
    <w:rsid w:val="00EF60C4"/>
    <w:rsid w:val="00EF6170"/>
    <w:rsid w:val="00EF636C"/>
    <w:rsid w:val="00EF646E"/>
    <w:rsid w:val="00EF6571"/>
    <w:rsid w:val="00EF667A"/>
    <w:rsid w:val="00EF668F"/>
    <w:rsid w:val="00EF690C"/>
    <w:rsid w:val="00EF69BB"/>
    <w:rsid w:val="00EF6B7F"/>
    <w:rsid w:val="00EF6BEB"/>
    <w:rsid w:val="00EF6DEE"/>
    <w:rsid w:val="00EF6E40"/>
    <w:rsid w:val="00EF6FCA"/>
    <w:rsid w:val="00EF707F"/>
    <w:rsid w:val="00EF70E3"/>
    <w:rsid w:val="00EF7222"/>
    <w:rsid w:val="00EF7229"/>
    <w:rsid w:val="00EF7334"/>
    <w:rsid w:val="00EF7385"/>
    <w:rsid w:val="00EF7427"/>
    <w:rsid w:val="00EF754B"/>
    <w:rsid w:val="00EF7795"/>
    <w:rsid w:val="00EF77DE"/>
    <w:rsid w:val="00EF7933"/>
    <w:rsid w:val="00EF7A3B"/>
    <w:rsid w:val="00EF7AE4"/>
    <w:rsid w:val="00EF7BF1"/>
    <w:rsid w:val="00EF7C2C"/>
    <w:rsid w:val="00EF7DF0"/>
    <w:rsid w:val="00EF7EA5"/>
    <w:rsid w:val="00EF7F72"/>
    <w:rsid w:val="00EF7FE1"/>
    <w:rsid w:val="00F0003F"/>
    <w:rsid w:val="00F00375"/>
    <w:rsid w:val="00F00658"/>
    <w:rsid w:val="00F00680"/>
    <w:rsid w:val="00F00759"/>
    <w:rsid w:val="00F00789"/>
    <w:rsid w:val="00F00855"/>
    <w:rsid w:val="00F00D13"/>
    <w:rsid w:val="00F00DC2"/>
    <w:rsid w:val="00F00EB9"/>
    <w:rsid w:val="00F0117A"/>
    <w:rsid w:val="00F01256"/>
    <w:rsid w:val="00F01322"/>
    <w:rsid w:val="00F0133E"/>
    <w:rsid w:val="00F013C8"/>
    <w:rsid w:val="00F0146F"/>
    <w:rsid w:val="00F0150F"/>
    <w:rsid w:val="00F01523"/>
    <w:rsid w:val="00F016E0"/>
    <w:rsid w:val="00F0179F"/>
    <w:rsid w:val="00F019E3"/>
    <w:rsid w:val="00F019F5"/>
    <w:rsid w:val="00F01A16"/>
    <w:rsid w:val="00F01C3D"/>
    <w:rsid w:val="00F01DA1"/>
    <w:rsid w:val="00F01DEC"/>
    <w:rsid w:val="00F01E83"/>
    <w:rsid w:val="00F02173"/>
    <w:rsid w:val="00F021EA"/>
    <w:rsid w:val="00F023EC"/>
    <w:rsid w:val="00F02495"/>
    <w:rsid w:val="00F0255A"/>
    <w:rsid w:val="00F02857"/>
    <w:rsid w:val="00F02A39"/>
    <w:rsid w:val="00F02A5E"/>
    <w:rsid w:val="00F02B82"/>
    <w:rsid w:val="00F02C36"/>
    <w:rsid w:val="00F02F49"/>
    <w:rsid w:val="00F02FC5"/>
    <w:rsid w:val="00F03326"/>
    <w:rsid w:val="00F03424"/>
    <w:rsid w:val="00F0346E"/>
    <w:rsid w:val="00F03513"/>
    <w:rsid w:val="00F03540"/>
    <w:rsid w:val="00F03751"/>
    <w:rsid w:val="00F038B7"/>
    <w:rsid w:val="00F03A8F"/>
    <w:rsid w:val="00F03AB1"/>
    <w:rsid w:val="00F03C07"/>
    <w:rsid w:val="00F03D02"/>
    <w:rsid w:val="00F03F45"/>
    <w:rsid w:val="00F0422A"/>
    <w:rsid w:val="00F04231"/>
    <w:rsid w:val="00F0424F"/>
    <w:rsid w:val="00F04264"/>
    <w:rsid w:val="00F0432A"/>
    <w:rsid w:val="00F044A2"/>
    <w:rsid w:val="00F04589"/>
    <w:rsid w:val="00F045FC"/>
    <w:rsid w:val="00F0466C"/>
    <w:rsid w:val="00F047DC"/>
    <w:rsid w:val="00F04881"/>
    <w:rsid w:val="00F049BB"/>
    <w:rsid w:val="00F04A0A"/>
    <w:rsid w:val="00F04AD7"/>
    <w:rsid w:val="00F04C18"/>
    <w:rsid w:val="00F04CDD"/>
    <w:rsid w:val="00F04DF8"/>
    <w:rsid w:val="00F04E11"/>
    <w:rsid w:val="00F05026"/>
    <w:rsid w:val="00F0539A"/>
    <w:rsid w:val="00F05500"/>
    <w:rsid w:val="00F05507"/>
    <w:rsid w:val="00F05533"/>
    <w:rsid w:val="00F0554E"/>
    <w:rsid w:val="00F05708"/>
    <w:rsid w:val="00F05899"/>
    <w:rsid w:val="00F05963"/>
    <w:rsid w:val="00F05CF2"/>
    <w:rsid w:val="00F05D71"/>
    <w:rsid w:val="00F05D82"/>
    <w:rsid w:val="00F05DCD"/>
    <w:rsid w:val="00F05E70"/>
    <w:rsid w:val="00F05E90"/>
    <w:rsid w:val="00F05F5A"/>
    <w:rsid w:val="00F06017"/>
    <w:rsid w:val="00F0606D"/>
    <w:rsid w:val="00F061DE"/>
    <w:rsid w:val="00F065E7"/>
    <w:rsid w:val="00F067A8"/>
    <w:rsid w:val="00F06804"/>
    <w:rsid w:val="00F06858"/>
    <w:rsid w:val="00F06ACF"/>
    <w:rsid w:val="00F06B62"/>
    <w:rsid w:val="00F06C0C"/>
    <w:rsid w:val="00F06C9C"/>
    <w:rsid w:val="00F06D56"/>
    <w:rsid w:val="00F06E91"/>
    <w:rsid w:val="00F06E93"/>
    <w:rsid w:val="00F06EBA"/>
    <w:rsid w:val="00F06F7B"/>
    <w:rsid w:val="00F07067"/>
    <w:rsid w:val="00F0712B"/>
    <w:rsid w:val="00F07130"/>
    <w:rsid w:val="00F071A7"/>
    <w:rsid w:val="00F07204"/>
    <w:rsid w:val="00F07239"/>
    <w:rsid w:val="00F073B3"/>
    <w:rsid w:val="00F073BA"/>
    <w:rsid w:val="00F07558"/>
    <w:rsid w:val="00F07608"/>
    <w:rsid w:val="00F0778D"/>
    <w:rsid w:val="00F077D3"/>
    <w:rsid w:val="00F078B6"/>
    <w:rsid w:val="00F07991"/>
    <w:rsid w:val="00F079A3"/>
    <w:rsid w:val="00F07A9E"/>
    <w:rsid w:val="00F07B8A"/>
    <w:rsid w:val="00F07BB7"/>
    <w:rsid w:val="00F07CD4"/>
    <w:rsid w:val="00F07E0C"/>
    <w:rsid w:val="00F07ED7"/>
    <w:rsid w:val="00F100FC"/>
    <w:rsid w:val="00F10205"/>
    <w:rsid w:val="00F103FE"/>
    <w:rsid w:val="00F1043F"/>
    <w:rsid w:val="00F10446"/>
    <w:rsid w:val="00F10655"/>
    <w:rsid w:val="00F10783"/>
    <w:rsid w:val="00F107A2"/>
    <w:rsid w:val="00F10855"/>
    <w:rsid w:val="00F10B36"/>
    <w:rsid w:val="00F10C54"/>
    <w:rsid w:val="00F10F63"/>
    <w:rsid w:val="00F1115E"/>
    <w:rsid w:val="00F11235"/>
    <w:rsid w:val="00F11289"/>
    <w:rsid w:val="00F11314"/>
    <w:rsid w:val="00F11487"/>
    <w:rsid w:val="00F115CF"/>
    <w:rsid w:val="00F11741"/>
    <w:rsid w:val="00F11897"/>
    <w:rsid w:val="00F11927"/>
    <w:rsid w:val="00F11A02"/>
    <w:rsid w:val="00F11A23"/>
    <w:rsid w:val="00F11ABA"/>
    <w:rsid w:val="00F11B86"/>
    <w:rsid w:val="00F11BF2"/>
    <w:rsid w:val="00F11DB3"/>
    <w:rsid w:val="00F12081"/>
    <w:rsid w:val="00F12208"/>
    <w:rsid w:val="00F1240D"/>
    <w:rsid w:val="00F125EA"/>
    <w:rsid w:val="00F12690"/>
    <w:rsid w:val="00F126CA"/>
    <w:rsid w:val="00F127B3"/>
    <w:rsid w:val="00F12A26"/>
    <w:rsid w:val="00F12C65"/>
    <w:rsid w:val="00F12DF0"/>
    <w:rsid w:val="00F12DFE"/>
    <w:rsid w:val="00F12E4B"/>
    <w:rsid w:val="00F13053"/>
    <w:rsid w:val="00F13055"/>
    <w:rsid w:val="00F130D5"/>
    <w:rsid w:val="00F13105"/>
    <w:rsid w:val="00F1328C"/>
    <w:rsid w:val="00F132FB"/>
    <w:rsid w:val="00F1338C"/>
    <w:rsid w:val="00F13753"/>
    <w:rsid w:val="00F13755"/>
    <w:rsid w:val="00F13813"/>
    <w:rsid w:val="00F138B0"/>
    <w:rsid w:val="00F13939"/>
    <w:rsid w:val="00F1393C"/>
    <w:rsid w:val="00F13A4D"/>
    <w:rsid w:val="00F13B21"/>
    <w:rsid w:val="00F13B53"/>
    <w:rsid w:val="00F13E65"/>
    <w:rsid w:val="00F14082"/>
    <w:rsid w:val="00F14215"/>
    <w:rsid w:val="00F14222"/>
    <w:rsid w:val="00F142F6"/>
    <w:rsid w:val="00F143CA"/>
    <w:rsid w:val="00F14418"/>
    <w:rsid w:val="00F14463"/>
    <w:rsid w:val="00F147C4"/>
    <w:rsid w:val="00F1496A"/>
    <w:rsid w:val="00F14B29"/>
    <w:rsid w:val="00F14D31"/>
    <w:rsid w:val="00F14E66"/>
    <w:rsid w:val="00F14F35"/>
    <w:rsid w:val="00F1525C"/>
    <w:rsid w:val="00F15273"/>
    <w:rsid w:val="00F1527F"/>
    <w:rsid w:val="00F153E0"/>
    <w:rsid w:val="00F15407"/>
    <w:rsid w:val="00F15518"/>
    <w:rsid w:val="00F1561A"/>
    <w:rsid w:val="00F1574E"/>
    <w:rsid w:val="00F157A8"/>
    <w:rsid w:val="00F157AC"/>
    <w:rsid w:val="00F15CC7"/>
    <w:rsid w:val="00F15DFA"/>
    <w:rsid w:val="00F15FD9"/>
    <w:rsid w:val="00F161D5"/>
    <w:rsid w:val="00F16314"/>
    <w:rsid w:val="00F163F8"/>
    <w:rsid w:val="00F16426"/>
    <w:rsid w:val="00F16501"/>
    <w:rsid w:val="00F16517"/>
    <w:rsid w:val="00F1653E"/>
    <w:rsid w:val="00F165DD"/>
    <w:rsid w:val="00F16619"/>
    <w:rsid w:val="00F166D0"/>
    <w:rsid w:val="00F16872"/>
    <w:rsid w:val="00F169D7"/>
    <w:rsid w:val="00F16A95"/>
    <w:rsid w:val="00F16AEB"/>
    <w:rsid w:val="00F16C57"/>
    <w:rsid w:val="00F16C75"/>
    <w:rsid w:val="00F16C9A"/>
    <w:rsid w:val="00F16CAA"/>
    <w:rsid w:val="00F16D60"/>
    <w:rsid w:val="00F16D61"/>
    <w:rsid w:val="00F16EDC"/>
    <w:rsid w:val="00F170BD"/>
    <w:rsid w:val="00F170DE"/>
    <w:rsid w:val="00F17131"/>
    <w:rsid w:val="00F171DE"/>
    <w:rsid w:val="00F173B4"/>
    <w:rsid w:val="00F173E6"/>
    <w:rsid w:val="00F1742D"/>
    <w:rsid w:val="00F175C3"/>
    <w:rsid w:val="00F17643"/>
    <w:rsid w:val="00F1771A"/>
    <w:rsid w:val="00F177A6"/>
    <w:rsid w:val="00F1799F"/>
    <w:rsid w:val="00F17B74"/>
    <w:rsid w:val="00F17D13"/>
    <w:rsid w:val="00F17FE9"/>
    <w:rsid w:val="00F20071"/>
    <w:rsid w:val="00F2023C"/>
    <w:rsid w:val="00F20379"/>
    <w:rsid w:val="00F20453"/>
    <w:rsid w:val="00F20630"/>
    <w:rsid w:val="00F20631"/>
    <w:rsid w:val="00F206DF"/>
    <w:rsid w:val="00F20758"/>
    <w:rsid w:val="00F20B26"/>
    <w:rsid w:val="00F20C3A"/>
    <w:rsid w:val="00F20C61"/>
    <w:rsid w:val="00F20F24"/>
    <w:rsid w:val="00F20F45"/>
    <w:rsid w:val="00F210B1"/>
    <w:rsid w:val="00F2128C"/>
    <w:rsid w:val="00F21481"/>
    <w:rsid w:val="00F2181A"/>
    <w:rsid w:val="00F21A21"/>
    <w:rsid w:val="00F21A61"/>
    <w:rsid w:val="00F21E4B"/>
    <w:rsid w:val="00F2216C"/>
    <w:rsid w:val="00F2220A"/>
    <w:rsid w:val="00F22211"/>
    <w:rsid w:val="00F22274"/>
    <w:rsid w:val="00F225D7"/>
    <w:rsid w:val="00F22742"/>
    <w:rsid w:val="00F22818"/>
    <w:rsid w:val="00F22BA0"/>
    <w:rsid w:val="00F22C7D"/>
    <w:rsid w:val="00F22CA8"/>
    <w:rsid w:val="00F22D1A"/>
    <w:rsid w:val="00F22D9F"/>
    <w:rsid w:val="00F23167"/>
    <w:rsid w:val="00F23291"/>
    <w:rsid w:val="00F233C6"/>
    <w:rsid w:val="00F234E1"/>
    <w:rsid w:val="00F235F5"/>
    <w:rsid w:val="00F2396D"/>
    <w:rsid w:val="00F23A14"/>
    <w:rsid w:val="00F23A2D"/>
    <w:rsid w:val="00F23F0A"/>
    <w:rsid w:val="00F23FEB"/>
    <w:rsid w:val="00F23FFB"/>
    <w:rsid w:val="00F2403C"/>
    <w:rsid w:val="00F24199"/>
    <w:rsid w:val="00F24212"/>
    <w:rsid w:val="00F2438A"/>
    <w:rsid w:val="00F2452F"/>
    <w:rsid w:val="00F246C8"/>
    <w:rsid w:val="00F248B4"/>
    <w:rsid w:val="00F24A61"/>
    <w:rsid w:val="00F24DC8"/>
    <w:rsid w:val="00F24E89"/>
    <w:rsid w:val="00F24EF8"/>
    <w:rsid w:val="00F25017"/>
    <w:rsid w:val="00F250D3"/>
    <w:rsid w:val="00F25284"/>
    <w:rsid w:val="00F2535C"/>
    <w:rsid w:val="00F25421"/>
    <w:rsid w:val="00F25572"/>
    <w:rsid w:val="00F2597D"/>
    <w:rsid w:val="00F25C1D"/>
    <w:rsid w:val="00F25E3C"/>
    <w:rsid w:val="00F25FE9"/>
    <w:rsid w:val="00F2607C"/>
    <w:rsid w:val="00F26083"/>
    <w:rsid w:val="00F26304"/>
    <w:rsid w:val="00F263BF"/>
    <w:rsid w:val="00F26422"/>
    <w:rsid w:val="00F26850"/>
    <w:rsid w:val="00F26992"/>
    <w:rsid w:val="00F26CA1"/>
    <w:rsid w:val="00F26E77"/>
    <w:rsid w:val="00F26F10"/>
    <w:rsid w:val="00F26F7B"/>
    <w:rsid w:val="00F27007"/>
    <w:rsid w:val="00F27042"/>
    <w:rsid w:val="00F270D2"/>
    <w:rsid w:val="00F271BB"/>
    <w:rsid w:val="00F2723D"/>
    <w:rsid w:val="00F27487"/>
    <w:rsid w:val="00F275C4"/>
    <w:rsid w:val="00F276D2"/>
    <w:rsid w:val="00F27801"/>
    <w:rsid w:val="00F27863"/>
    <w:rsid w:val="00F2787B"/>
    <w:rsid w:val="00F278A9"/>
    <w:rsid w:val="00F278C4"/>
    <w:rsid w:val="00F27911"/>
    <w:rsid w:val="00F27AB1"/>
    <w:rsid w:val="00F27D20"/>
    <w:rsid w:val="00F300D0"/>
    <w:rsid w:val="00F3014E"/>
    <w:rsid w:val="00F3021E"/>
    <w:rsid w:val="00F30325"/>
    <w:rsid w:val="00F30408"/>
    <w:rsid w:val="00F304C5"/>
    <w:rsid w:val="00F305A5"/>
    <w:rsid w:val="00F30677"/>
    <w:rsid w:val="00F3080E"/>
    <w:rsid w:val="00F30A98"/>
    <w:rsid w:val="00F30BD0"/>
    <w:rsid w:val="00F30C21"/>
    <w:rsid w:val="00F30D5F"/>
    <w:rsid w:val="00F30FAF"/>
    <w:rsid w:val="00F3101F"/>
    <w:rsid w:val="00F310EA"/>
    <w:rsid w:val="00F3116E"/>
    <w:rsid w:val="00F31416"/>
    <w:rsid w:val="00F31685"/>
    <w:rsid w:val="00F316A4"/>
    <w:rsid w:val="00F316BF"/>
    <w:rsid w:val="00F316CA"/>
    <w:rsid w:val="00F316E2"/>
    <w:rsid w:val="00F3179A"/>
    <w:rsid w:val="00F318E1"/>
    <w:rsid w:val="00F31935"/>
    <w:rsid w:val="00F31ADB"/>
    <w:rsid w:val="00F31B64"/>
    <w:rsid w:val="00F31CE5"/>
    <w:rsid w:val="00F31E7E"/>
    <w:rsid w:val="00F31EA9"/>
    <w:rsid w:val="00F31EEA"/>
    <w:rsid w:val="00F3204B"/>
    <w:rsid w:val="00F320EF"/>
    <w:rsid w:val="00F321BF"/>
    <w:rsid w:val="00F3240F"/>
    <w:rsid w:val="00F3250D"/>
    <w:rsid w:val="00F3253F"/>
    <w:rsid w:val="00F326F0"/>
    <w:rsid w:val="00F3283C"/>
    <w:rsid w:val="00F32911"/>
    <w:rsid w:val="00F32917"/>
    <w:rsid w:val="00F32929"/>
    <w:rsid w:val="00F32A68"/>
    <w:rsid w:val="00F32B38"/>
    <w:rsid w:val="00F32BE5"/>
    <w:rsid w:val="00F32F85"/>
    <w:rsid w:val="00F32FB6"/>
    <w:rsid w:val="00F3306D"/>
    <w:rsid w:val="00F33190"/>
    <w:rsid w:val="00F332A2"/>
    <w:rsid w:val="00F33643"/>
    <w:rsid w:val="00F33692"/>
    <w:rsid w:val="00F3377E"/>
    <w:rsid w:val="00F337B2"/>
    <w:rsid w:val="00F33852"/>
    <w:rsid w:val="00F338BD"/>
    <w:rsid w:val="00F338FE"/>
    <w:rsid w:val="00F33C4E"/>
    <w:rsid w:val="00F33CD2"/>
    <w:rsid w:val="00F33D36"/>
    <w:rsid w:val="00F33FF9"/>
    <w:rsid w:val="00F3419F"/>
    <w:rsid w:val="00F341D1"/>
    <w:rsid w:val="00F341EE"/>
    <w:rsid w:val="00F3423B"/>
    <w:rsid w:val="00F34322"/>
    <w:rsid w:val="00F34657"/>
    <w:rsid w:val="00F34EDB"/>
    <w:rsid w:val="00F34F88"/>
    <w:rsid w:val="00F35086"/>
    <w:rsid w:val="00F3527A"/>
    <w:rsid w:val="00F35352"/>
    <w:rsid w:val="00F35463"/>
    <w:rsid w:val="00F35504"/>
    <w:rsid w:val="00F3557D"/>
    <w:rsid w:val="00F3559E"/>
    <w:rsid w:val="00F357C4"/>
    <w:rsid w:val="00F35879"/>
    <w:rsid w:val="00F35A59"/>
    <w:rsid w:val="00F35AB5"/>
    <w:rsid w:val="00F35B0A"/>
    <w:rsid w:val="00F35BD9"/>
    <w:rsid w:val="00F35D37"/>
    <w:rsid w:val="00F35E4E"/>
    <w:rsid w:val="00F35F0D"/>
    <w:rsid w:val="00F36057"/>
    <w:rsid w:val="00F36122"/>
    <w:rsid w:val="00F3614F"/>
    <w:rsid w:val="00F36297"/>
    <w:rsid w:val="00F363DA"/>
    <w:rsid w:val="00F364AC"/>
    <w:rsid w:val="00F36659"/>
    <w:rsid w:val="00F366BE"/>
    <w:rsid w:val="00F367A4"/>
    <w:rsid w:val="00F36801"/>
    <w:rsid w:val="00F36854"/>
    <w:rsid w:val="00F368C8"/>
    <w:rsid w:val="00F369AC"/>
    <w:rsid w:val="00F36A54"/>
    <w:rsid w:val="00F36B54"/>
    <w:rsid w:val="00F36BB2"/>
    <w:rsid w:val="00F36CAE"/>
    <w:rsid w:val="00F36D38"/>
    <w:rsid w:val="00F36F96"/>
    <w:rsid w:val="00F37205"/>
    <w:rsid w:val="00F37228"/>
    <w:rsid w:val="00F37257"/>
    <w:rsid w:val="00F3727A"/>
    <w:rsid w:val="00F3729F"/>
    <w:rsid w:val="00F373F5"/>
    <w:rsid w:val="00F373F9"/>
    <w:rsid w:val="00F374B9"/>
    <w:rsid w:val="00F37632"/>
    <w:rsid w:val="00F37676"/>
    <w:rsid w:val="00F37693"/>
    <w:rsid w:val="00F37854"/>
    <w:rsid w:val="00F37A1B"/>
    <w:rsid w:val="00F37B7C"/>
    <w:rsid w:val="00F37D02"/>
    <w:rsid w:val="00F37D10"/>
    <w:rsid w:val="00F37D18"/>
    <w:rsid w:val="00F37DD7"/>
    <w:rsid w:val="00F37FD5"/>
    <w:rsid w:val="00F37FE8"/>
    <w:rsid w:val="00F400D0"/>
    <w:rsid w:val="00F40132"/>
    <w:rsid w:val="00F401DC"/>
    <w:rsid w:val="00F401FA"/>
    <w:rsid w:val="00F40286"/>
    <w:rsid w:val="00F40329"/>
    <w:rsid w:val="00F40358"/>
    <w:rsid w:val="00F404A8"/>
    <w:rsid w:val="00F40539"/>
    <w:rsid w:val="00F4079F"/>
    <w:rsid w:val="00F4080E"/>
    <w:rsid w:val="00F40877"/>
    <w:rsid w:val="00F40AD5"/>
    <w:rsid w:val="00F40B32"/>
    <w:rsid w:val="00F40CB8"/>
    <w:rsid w:val="00F40F0F"/>
    <w:rsid w:val="00F411F4"/>
    <w:rsid w:val="00F41232"/>
    <w:rsid w:val="00F41333"/>
    <w:rsid w:val="00F41385"/>
    <w:rsid w:val="00F413DC"/>
    <w:rsid w:val="00F41409"/>
    <w:rsid w:val="00F41459"/>
    <w:rsid w:val="00F415F2"/>
    <w:rsid w:val="00F41659"/>
    <w:rsid w:val="00F41712"/>
    <w:rsid w:val="00F41776"/>
    <w:rsid w:val="00F418FA"/>
    <w:rsid w:val="00F41A28"/>
    <w:rsid w:val="00F41B30"/>
    <w:rsid w:val="00F41CA3"/>
    <w:rsid w:val="00F41F0F"/>
    <w:rsid w:val="00F41F9D"/>
    <w:rsid w:val="00F420B6"/>
    <w:rsid w:val="00F4211B"/>
    <w:rsid w:val="00F421E8"/>
    <w:rsid w:val="00F422F5"/>
    <w:rsid w:val="00F42315"/>
    <w:rsid w:val="00F423D7"/>
    <w:rsid w:val="00F423EE"/>
    <w:rsid w:val="00F4274E"/>
    <w:rsid w:val="00F4281F"/>
    <w:rsid w:val="00F42851"/>
    <w:rsid w:val="00F42991"/>
    <w:rsid w:val="00F42ADC"/>
    <w:rsid w:val="00F42EF3"/>
    <w:rsid w:val="00F4304A"/>
    <w:rsid w:val="00F4317A"/>
    <w:rsid w:val="00F432BF"/>
    <w:rsid w:val="00F43342"/>
    <w:rsid w:val="00F4342A"/>
    <w:rsid w:val="00F43486"/>
    <w:rsid w:val="00F43653"/>
    <w:rsid w:val="00F43820"/>
    <w:rsid w:val="00F43895"/>
    <w:rsid w:val="00F4392E"/>
    <w:rsid w:val="00F43AF7"/>
    <w:rsid w:val="00F43B35"/>
    <w:rsid w:val="00F43C63"/>
    <w:rsid w:val="00F43FF4"/>
    <w:rsid w:val="00F441D2"/>
    <w:rsid w:val="00F442C3"/>
    <w:rsid w:val="00F44461"/>
    <w:rsid w:val="00F44554"/>
    <w:rsid w:val="00F4465E"/>
    <w:rsid w:val="00F446C7"/>
    <w:rsid w:val="00F447BB"/>
    <w:rsid w:val="00F4483A"/>
    <w:rsid w:val="00F451BA"/>
    <w:rsid w:val="00F45265"/>
    <w:rsid w:val="00F45354"/>
    <w:rsid w:val="00F45453"/>
    <w:rsid w:val="00F456BB"/>
    <w:rsid w:val="00F45799"/>
    <w:rsid w:val="00F4579C"/>
    <w:rsid w:val="00F458FA"/>
    <w:rsid w:val="00F45A9E"/>
    <w:rsid w:val="00F45AD7"/>
    <w:rsid w:val="00F45E32"/>
    <w:rsid w:val="00F45F8B"/>
    <w:rsid w:val="00F464ED"/>
    <w:rsid w:val="00F46532"/>
    <w:rsid w:val="00F4655A"/>
    <w:rsid w:val="00F465BE"/>
    <w:rsid w:val="00F4667B"/>
    <w:rsid w:val="00F4678E"/>
    <w:rsid w:val="00F46901"/>
    <w:rsid w:val="00F46B36"/>
    <w:rsid w:val="00F46BA4"/>
    <w:rsid w:val="00F46BB6"/>
    <w:rsid w:val="00F46C39"/>
    <w:rsid w:val="00F46D86"/>
    <w:rsid w:val="00F46E66"/>
    <w:rsid w:val="00F46F65"/>
    <w:rsid w:val="00F46F7F"/>
    <w:rsid w:val="00F46FCF"/>
    <w:rsid w:val="00F470C8"/>
    <w:rsid w:val="00F47110"/>
    <w:rsid w:val="00F471F1"/>
    <w:rsid w:val="00F4722D"/>
    <w:rsid w:val="00F472ED"/>
    <w:rsid w:val="00F47340"/>
    <w:rsid w:val="00F474E4"/>
    <w:rsid w:val="00F474E5"/>
    <w:rsid w:val="00F47533"/>
    <w:rsid w:val="00F4755A"/>
    <w:rsid w:val="00F47617"/>
    <w:rsid w:val="00F47754"/>
    <w:rsid w:val="00F4777A"/>
    <w:rsid w:val="00F477CD"/>
    <w:rsid w:val="00F479C7"/>
    <w:rsid w:val="00F47A6F"/>
    <w:rsid w:val="00F47AF3"/>
    <w:rsid w:val="00F47BCE"/>
    <w:rsid w:val="00F47DC2"/>
    <w:rsid w:val="00F47FF1"/>
    <w:rsid w:val="00F5011D"/>
    <w:rsid w:val="00F5027D"/>
    <w:rsid w:val="00F503CB"/>
    <w:rsid w:val="00F504EC"/>
    <w:rsid w:val="00F5088E"/>
    <w:rsid w:val="00F5091B"/>
    <w:rsid w:val="00F50A18"/>
    <w:rsid w:val="00F50AE0"/>
    <w:rsid w:val="00F50B4E"/>
    <w:rsid w:val="00F50BC2"/>
    <w:rsid w:val="00F50D01"/>
    <w:rsid w:val="00F50D02"/>
    <w:rsid w:val="00F50EBE"/>
    <w:rsid w:val="00F50EE0"/>
    <w:rsid w:val="00F50F00"/>
    <w:rsid w:val="00F50F62"/>
    <w:rsid w:val="00F50FF9"/>
    <w:rsid w:val="00F51032"/>
    <w:rsid w:val="00F5108D"/>
    <w:rsid w:val="00F51214"/>
    <w:rsid w:val="00F51217"/>
    <w:rsid w:val="00F516B5"/>
    <w:rsid w:val="00F5173A"/>
    <w:rsid w:val="00F518A1"/>
    <w:rsid w:val="00F51BA5"/>
    <w:rsid w:val="00F51D5A"/>
    <w:rsid w:val="00F51DCC"/>
    <w:rsid w:val="00F51DEE"/>
    <w:rsid w:val="00F51FFC"/>
    <w:rsid w:val="00F5217E"/>
    <w:rsid w:val="00F521FD"/>
    <w:rsid w:val="00F52341"/>
    <w:rsid w:val="00F52462"/>
    <w:rsid w:val="00F5251C"/>
    <w:rsid w:val="00F5278D"/>
    <w:rsid w:val="00F52A3A"/>
    <w:rsid w:val="00F52E5F"/>
    <w:rsid w:val="00F52FBD"/>
    <w:rsid w:val="00F5303A"/>
    <w:rsid w:val="00F53162"/>
    <w:rsid w:val="00F532C4"/>
    <w:rsid w:val="00F5334B"/>
    <w:rsid w:val="00F53451"/>
    <w:rsid w:val="00F534BD"/>
    <w:rsid w:val="00F5360D"/>
    <w:rsid w:val="00F536BB"/>
    <w:rsid w:val="00F53704"/>
    <w:rsid w:val="00F537E9"/>
    <w:rsid w:val="00F53847"/>
    <w:rsid w:val="00F53980"/>
    <w:rsid w:val="00F53AEC"/>
    <w:rsid w:val="00F53C0B"/>
    <w:rsid w:val="00F53D58"/>
    <w:rsid w:val="00F53E7F"/>
    <w:rsid w:val="00F53FDA"/>
    <w:rsid w:val="00F5420B"/>
    <w:rsid w:val="00F54444"/>
    <w:rsid w:val="00F54575"/>
    <w:rsid w:val="00F5459E"/>
    <w:rsid w:val="00F54705"/>
    <w:rsid w:val="00F547A2"/>
    <w:rsid w:val="00F548F1"/>
    <w:rsid w:val="00F54A7A"/>
    <w:rsid w:val="00F54BA2"/>
    <w:rsid w:val="00F54BB0"/>
    <w:rsid w:val="00F54D69"/>
    <w:rsid w:val="00F54DB6"/>
    <w:rsid w:val="00F54EB9"/>
    <w:rsid w:val="00F55032"/>
    <w:rsid w:val="00F55074"/>
    <w:rsid w:val="00F55216"/>
    <w:rsid w:val="00F5522F"/>
    <w:rsid w:val="00F5535C"/>
    <w:rsid w:val="00F5538B"/>
    <w:rsid w:val="00F55396"/>
    <w:rsid w:val="00F553F6"/>
    <w:rsid w:val="00F555C6"/>
    <w:rsid w:val="00F5565C"/>
    <w:rsid w:val="00F55673"/>
    <w:rsid w:val="00F556F6"/>
    <w:rsid w:val="00F5593F"/>
    <w:rsid w:val="00F559F4"/>
    <w:rsid w:val="00F55B72"/>
    <w:rsid w:val="00F55C78"/>
    <w:rsid w:val="00F55CD8"/>
    <w:rsid w:val="00F55D9C"/>
    <w:rsid w:val="00F55EDD"/>
    <w:rsid w:val="00F56278"/>
    <w:rsid w:val="00F564D3"/>
    <w:rsid w:val="00F5654D"/>
    <w:rsid w:val="00F56669"/>
    <w:rsid w:val="00F567B1"/>
    <w:rsid w:val="00F568C0"/>
    <w:rsid w:val="00F56E16"/>
    <w:rsid w:val="00F56F1E"/>
    <w:rsid w:val="00F56FE6"/>
    <w:rsid w:val="00F57119"/>
    <w:rsid w:val="00F5723E"/>
    <w:rsid w:val="00F57323"/>
    <w:rsid w:val="00F573E1"/>
    <w:rsid w:val="00F576D9"/>
    <w:rsid w:val="00F576DF"/>
    <w:rsid w:val="00F57848"/>
    <w:rsid w:val="00F57877"/>
    <w:rsid w:val="00F57C05"/>
    <w:rsid w:val="00F57CEF"/>
    <w:rsid w:val="00F57F8D"/>
    <w:rsid w:val="00F60064"/>
    <w:rsid w:val="00F60245"/>
    <w:rsid w:val="00F6043B"/>
    <w:rsid w:val="00F6049B"/>
    <w:rsid w:val="00F60524"/>
    <w:rsid w:val="00F6061D"/>
    <w:rsid w:val="00F60650"/>
    <w:rsid w:val="00F6075C"/>
    <w:rsid w:val="00F60839"/>
    <w:rsid w:val="00F6085D"/>
    <w:rsid w:val="00F60A40"/>
    <w:rsid w:val="00F60A84"/>
    <w:rsid w:val="00F60AA7"/>
    <w:rsid w:val="00F60BB1"/>
    <w:rsid w:val="00F60CC6"/>
    <w:rsid w:val="00F61032"/>
    <w:rsid w:val="00F61072"/>
    <w:rsid w:val="00F61117"/>
    <w:rsid w:val="00F612A6"/>
    <w:rsid w:val="00F61487"/>
    <w:rsid w:val="00F61659"/>
    <w:rsid w:val="00F6189E"/>
    <w:rsid w:val="00F618FA"/>
    <w:rsid w:val="00F61963"/>
    <w:rsid w:val="00F61BCF"/>
    <w:rsid w:val="00F61F61"/>
    <w:rsid w:val="00F61F73"/>
    <w:rsid w:val="00F61FDD"/>
    <w:rsid w:val="00F621CF"/>
    <w:rsid w:val="00F622E8"/>
    <w:rsid w:val="00F62416"/>
    <w:rsid w:val="00F624F8"/>
    <w:rsid w:val="00F62541"/>
    <w:rsid w:val="00F62835"/>
    <w:rsid w:val="00F62901"/>
    <w:rsid w:val="00F62A9E"/>
    <w:rsid w:val="00F62C44"/>
    <w:rsid w:val="00F62D7B"/>
    <w:rsid w:val="00F62EA6"/>
    <w:rsid w:val="00F63014"/>
    <w:rsid w:val="00F631BA"/>
    <w:rsid w:val="00F631F1"/>
    <w:rsid w:val="00F63254"/>
    <w:rsid w:val="00F6337A"/>
    <w:rsid w:val="00F634CB"/>
    <w:rsid w:val="00F635D6"/>
    <w:rsid w:val="00F63645"/>
    <w:rsid w:val="00F637CB"/>
    <w:rsid w:val="00F63895"/>
    <w:rsid w:val="00F638ED"/>
    <w:rsid w:val="00F63926"/>
    <w:rsid w:val="00F6392A"/>
    <w:rsid w:val="00F63A61"/>
    <w:rsid w:val="00F63E3B"/>
    <w:rsid w:val="00F63F4E"/>
    <w:rsid w:val="00F641B1"/>
    <w:rsid w:val="00F6449F"/>
    <w:rsid w:val="00F646FB"/>
    <w:rsid w:val="00F64784"/>
    <w:rsid w:val="00F64822"/>
    <w:rsid w:val="00F64828"/>
    <w:rsid w:val="00F64A57"/>
    <w:rsid w:val="00F64A8B"/>
    <w:rsid w:val="00F64BFB"/>
    <w:rsid w:val="00F64D9F"/>
    <w:rsid w:val="00F64EC0"/>
    <w:rsid w:val="00F64ED8"/>
    <w:rsid w:val="00F64F3E"/>
    <w:rsid w:val="00F65013"/>
    <w:rsid w:val="00F6503D"/>
    <w:rsid w:val="00F652E1"/>
    <w:rsid w:val="00F653AB"/>
    <w:rsid w:val="00F6557B"/>
    <w:rsid w:val="00F656EC"/>
    <w:rsid w:val="00F65957"/>
    <w:rsid w:val="00F659D2"/>
    <w:rsid w:val="00F65A7C"/>
    <w:rsid w:val="00F65BC0"/>
    <w:rsid w:val="00F65C1B"/>
    <w:rsid w:val="00F65CB3"/>
    <w:rsid w:val="00F65D55"/>
    <w:rsid w:val="00F65D86"/>
    <w:rsid w:val="00F65D9A"/>
    <w:rsid w:val="00F65EF3"/>
    <w:rsid w:val="00F65FB1"/>
    <w:rsid w:val="00F6606C"/>
    <w:rsid w:val="00F6621F"/>
    <w:rsid w:val="00F66267"/>
    <w:rsid w:val="00F663DD"/>
    <w:rsid w:val="00F6648E"/>
    <w:rsid w:val="00F664EC"/>
    <w:rsid w:val="00F66710"/>
    <w:rsid w:val="00F6671E"/>
    <w:rsid w:val="00F66735"/>
    <w:rsid w:val="00F668E9"/>
    <w:rsid w:val="00F669E4"/>
    <w:rsid w:val="00F66AC4"/>
    <w:rsid w:val="00F66B4C"/>
    <w:rsid w:val="00F66EA0"/>
    <w:rsid w:val="00F66EDE"/>
    <w:rsid w:val="00F66F05"/>
    <w:rsid w:val="00F67041"/>
    <w:rsid w:val="00F670C6"/>
    <w:rsid w:val="00F670DF"/>
    <w:rsid w:val="00F671ED"/>
    <w:rsid w:val="00F67302"/>
    <w:rsid w:val="00F6759D"/>
    <w:rsid w:val="00F67851"/>
    <w:rsid w:val="00F67A7C"/>
    <w:rsid w:val="00F67AB5"/>
    <w:rsid w:val="00F67AE2"/>
    <w:rsid w:val="00F67B22"/>
    <w:rsid w:val="00F67EEA"/>
    <w:rsid w:val="00F67EFC"/>
    <w:rsid w:val="00F70030"/>
    <w:rsid w:val="00F700DA"/>
    <w:rsid w:val="00F7010A"/>
    <w:rsid w:val="00F7016A"/>
    <w:rsid w:val="00F701DE"/>
    <w:rsid w:val="00F70209"/>
    <w:rsid w:val="00F7020C"/>
    <w:rsid w:val="00F70344"/>
    <w:rsid w:val="00F705C2"/>
    <w:rsid w:val="00F706D2"/>
    <w:rsid w:val="00F70737"/>
    <w:rsid w:val="00F707BD"/>
    <w:rsid w:val="00F707E3"/>
    <w:rsid w:val="00F70813"/>
    <w:rsid w:val="00F7093E"/>
    <w:rsid w:val="00F70A77"/>
    <w:rsid w:val="00F70D70"/>
    <w:rsid w:val="00F70D80"/>
    <w:rsid w:val="00F70FE2"/>
    <w:rsid w:val="00F71186"/>
    <w:rsid w:val="00F71394"/>
    <w:rsid w:val="00F713E2"/>
    <w:rsid w:val="00F715A8"/>
    <w:rsid w:val="00F716BA"/>
    <w:rsid w:val="00F7171C"/>
    <w:rsid w:val="00F717AF"/>
    <w:rsid w:val="00F7183D"/>
    <w:rsid w:val="00F71851"/>
    <w:rsid w:val="00F718AD"/>
    <w:rsid w:val="00F7197D"/>
    <w:rsid w:val="00F71A56"/>
    <w:rsid w:val="00F71B3C"/>
    <w:rsid w:val="00F71C8A"/>
    <w:rsid w:val="00F71CD0"/>
    <w:rsid w:val="00F71E5E"/>
    <w:rsid w:val="00F71EE7"/>
    <w:rsid w:val="00F71FC5"/>
    <w:rsid w:val="00F721AF"/>
    <w:rsid w:val="00F721F6"/>
    <w:rsid w:val="00F72334"/>
    <w:rsid w:val="00F723F5"/>
    <w:rsid w:val="00F72476"/>
    <w:rsid w:val="00F724F6"/>
    <w:rsid w:val="00F72565"/>
    <w:rsid w:val="00F725DB"/>
    <w:rsid w:val="00F72AAA"/>
    <w:rsid w:val="00F72BF4"/>
    <w:rsid w:val="00F72CED"/>
    <w:rsid w:val="00F72FFD"/>
    <w:rsid w:val="00F73049"/>
    <w:rsid w:val="00F73072"/>
    <w:rsid w:val="00F731ED"/>
    <w:rsid w:val="00F732A1"/>
    <w:rsid w:val="00F7355D"/>
    <w:rsid w:val="00F7359D"/>
    <w:rsid w:val="00F735F9"/>
    <w:rsid w:val="00F7378F"/>
    <w:rsid w:val="00F7381A"/>
    <w:rsid w:val="00F73853"/>
    <w:rsid w:val="00F738C0"/>
    <w:rsid w:val="00F73B2B"/>
    <w:rsid w:val="00F73B4F"/>
    <w:rsid w:val="00F73B72"/>
    <w:rsid w:val="00F73C78"/>
    <w:rsid w:val="00F73CF0"/>
    <w:rsid w:val="00F73CF8"/>
    <w:rsid w:val="00F73D52"/>
    <w:rsid w:val="00F73E6A"/>
    <w:rsid w:val="00F74044"/>
    <w:rsid w:val="00F74336"/>
    <w:rsid w:val="00F74384"/>
    <w:rsid w:val="00F74738"/>
    <w:rsid w:val="00F7482A"/>
    <w:rsid w:val="00F749D5"/>
    <w:rsid w:val="00F74A43"/>
    <w:rsid w:val="00F74CDF"/>
    <w:rsid w:val="00F74D2C"/>
    <w:rsid w:val="00F74EE6"/>
    <w:rsid w:val="00F74FDA"/>
    <w:rsid w:val="00F74FF8"/>
    <w:rsid w:val="00F75154"/>
    <w:rsid w:val="00F753EA"/>
    <w:rsid w:val="00F75495"/>
    <w:rsid w:val="00F7564E"/>
    <w:rsid w:val="00F75687"/>
    <w:rsid w:val="00F7579E"/>
    <w:rsid w:val="00F757A2"/>
    <w:rsid w:val="00F75A40"/>
    <w:rsid w:val="00F75A85"/>
    <w:rsid w:val="00F75AB3"/>
    <w:rsid w:val="00F75B6D"/>
    <w:rsid w:val="00F75C45"/>
    <w:rsid w:val="00F75D23"/>
    <w:rsid w:val="00F75EEB"/>
    <w:rsid w:val="00F7613E"/>
    <w:rsid w:val="00F761CC"/>
    <w:rsid w:val="00F76251"/>
    <w:rsid w:val="00F763DB"/>
    <w:rsid w:val="00F76410"/>
    <w:rsid w:val="00F7661C"/>
    <w:rsid w:val="00F766DD"/>
    <w:rsid w:val="00F7697C"/>
    <w:rsid w:val="00F769FA"/>
    <w:rsid w:val="00F76F1E"/>
    <w:rsid w:val="00F76FDC"/>
    <w:rsid w:val="00F76FFB"/>
    <w:rsid w:val="00F7713C"/>
    <w:rsid w:val="00F772C4"/>
    <w:rsid w:val="00F77319"/>
    <w:rsid w:val="00F77473"/>
    <w:rsid w:val="00F77520"/>
    <w:rsid w:val="00F775CD"/>
    <w:rsid w:val="00F77609"/>
    <w:rsid w:val="00F7778A"/>
    <w:rsid w:val="00F77866"/>
    <w:rsid w:val="00F7795C"/>
    <w:rsid w:val="00F77A0C"/>
    <w:rsid w:val="00F77A71"/>
    <w:rsid w:val="00F77CD1"/>
    <w:rsid w:val="00F8004A"/>
    <w:rsid w:val="00F802A7"/>
    <w:rsid w:val="00F802EA"/>
    <w:rsid w:val="00F80345"/>
    <w:rsid w:val="00F804AB"/>
    <w:rsid w:val="00F80562"/>
    <w:rsid w:val="00F807F1"/>
    <w:rsid w:val="00F80881"/>
    <w:rsid w:val="00F808C4"/>
    <w:rsid w:val="00F80AE5"/>
    <w:rsid w:val="00F80F48"/>
    <w:rsid w:val="00F80F9A"/>
    <w:rsid w:val="00F81222"/>
    <w:rsid w:val="00F812C0"/>
    <w:rsid w:val="00F814F0"/>
    <w:rsid w:val="00F81536"/>
    <w:rsid w:val="00F81567"/>
    <w:rsid w:val="00F81672"/>
    <w:rsid w:val="00F81728"/>
    <w:rsid w:val="00F817C2"/>
    <w:rsid w:val="00F818B8"/>
    <w:rsid w:val="00F81960"/>
    <w:rsid w:val="00F81B6F"/>
    <w:rsid w:val="00F81E12"/>
    <w:rsid w:val="00F81FED"/>
    <w:rsid w:val="00F8210F"/>
    <w:rsid w:val="00F82207"/>
    <w:rsid w:val="00F82235"/>
    <w:rsid w:val="00F825CD"/>
    <w:rsid w:val="00F82654"/>
    <w:rsid w:val="00F826A4"/>
    <w:rsid w:val="00F82828"/>
    <w:rsid w:val="00F8292E"/>
    <w:rsid w:val="00F82991"/>
    <w:rsid w:val="00F82A0E"/>
    <w:rsid w:val="00F82B12"/>
    <w:rsid w:val="00F82DFF"/>
    <w:rsid w:val="00F82E17"/>
    <w:rsid w:val="00F82E9B"/>
    <w:rsid w:val="00F82F46"/>
    <w:rsid w:val="00F83334"/>
    <w:rsid w:val="00F83541"/>
    <w:rsid w:val="00F83556"/>
    <w:rsid w:val="00F8358D"/>
    <w:rsid w:val="00F8366D"/>
    <w:rsid w:val="00F8367B"/>
    <w:rsid w:val="00F836CB"/>
    <w:rsid w:val="00F83934"/>
    <w:rsid w:val="00F83BFA"/>
    <w:rsid w:val="00F83D77"/>
    <w:rsid w:val="00F83FD2"/>
    <w:rsid w:val="00F8404C"/>
    <w:rsid w:val="00F84069"/>
    <w:rsid w:val="00F8412D"/>
    <w:rsid w:val="00F8426C"/>
    <w:rsid w:val="00F842DE"/>
    <w:rsid w:val="00F844AB"/>
    <w:rsid w:val="00F8460A"/>
    <w:rsid w:val="00F846D6"/>
    <w:rsid w:val="00F84760"/>
    <w:rsid w:val="00F8491D"/>
    <w:rsid w:val="00F84B83"/>
    <w:rsid w:val="00F84B9A"/>
    <w:rsid w:val="00F84BEB"/>
    <w:rsid w:val="00F84C31"/>
    <w:rsid w:val="00F84C66"/>
    <w:rsid w:val="00F84C8B"/>
    <w:rsid w:val="00F84C9A"/>
    <w:rsid w:val="00F84E0B"/>
    <w:rsid w:val="00F84E50"/>
    <w:rsid w:val="00F84F74"/>
    <w:rsid w:val="00F851F7"/>
    <w:rsid w:val="00F852B9"/>
    <w:rsid w:val="00F853BF"/>
    <w:rsid w:val="00F854C1"/>
    <w:rsid w:val="00F856B5"/>
    <w:rsid w:val="00F85862"/>
    <w:rsid w:val="00F85995"/>
    <w:rsid w:val="00F859C2"/>
    <w:rsid w:val="00F85A4A"/>
    <w:rsid w:val="00F85A89"/>
    <w:rsid w:val="00F85B03"/>
    <w:rsid w:val="00F85B69"/>
    <w:rsid w:val="00F85D14"/>
    <w:rsid w:val="00F85D56"/>
    <w:rsid w:val="00F86064"/>
    <w:rsid w:val="00F8606E"/>
    <w:rsid w:val="00F86349"/>
    <w:rsid w:val="00F8634A"/>
    <w:rsid w:val="00F863A1"/>
    <w:rsid w:val="00F863CE"/>
    <w:rsid w:val="00F864FA"/>
    <w:rsid w:val="00F86576"/>
    <w:rsid w:val="00F865D9"/>
    <w:rsid w:val="00F867E9"/>
    <w:rsid w:val="00F86B36"/>
    <w:rsid w:val="00F86F41"/>
    <w:rsid w:val="00F86F94"/>
    <w:rsid w:val="00F872FC"/>
    <w:rsid w:val="00F876D1"/>
    <w:rsid w:val="00F8781C"/>
    <w:rsid w:val="00F87847"/>
    <w:rsid w:val="00F878DB"/>
    <w:rsid w:val="00F8791A"/>
    <w:rsid w:val="00F8796E"/>
    <w:rsid w:val="00F879CF"/>
    <w:rsid w:val="00F87A77"/>
    <w:rsid w:val="00F87D84"/>
    <w:rsid w:val="00F87EC1"/>
    <w:rsid w:val="00F87F4F"/>
    <w:rsid w:val="00F87FFD"/>
    <w:rsid w:val="00F880FA"/>
    <w:rsid w:val="00F90013"/>
    <w:rsid w:val="00F90129"/>
    <w:rsid w:val="00F901CB"/>
    <w:rsid w:val="00F901FB"/>
    <w:rsid w:val="00F9044B"/>
    <w:rsid w:val="00F9065F"/>
    <w:rsid w:val="00F906B5"/>
    <w:rsid w:val="00F906E6"/>
    <w:rsid w:val="00F9073C"/>
    <w:rsid w:val="00F90863"/>
    <w:rsid w:val="00F908A9"/>
    <w:rsid w:val="00F90AB7"/>
    <w:rsid w:val="00F90B90"/>
    <w:rsid w:val="00F90C64"/>
    <w:rsid w:val="00F90CB6"/>
    <w:rsid w:val="00F90CC6"/>
    <w:rsid w:val="00F90CE4"/>
    <w:rsid w:val="00F90E0B"/>
    <w:rsid w:val="00F90E4C"/>
    <w:rsid w:val="00F90FC0"/>
    <w:rsid w:val="00F90FEE"/>
    <w:rsid w:val="00F90FFA"/>
    <w:rsid w:val="00F9101A"/>
    <w:rsid w:val="00F910D1"/>
    <w:rsid w:val="00F911CF"/>
    <w:rsid w:val="00F9142F"/>
    <w:rsid w:val="00F914A2"/>
    <w:rsid w:val="00F914F6"/>
    <w:rsid w:val="00F91523"/>
    <w:rsid w:val="00F9194A"/>
    <w:rsid w:val="00F919E1"/>
    <w:rsid w:val="00F91AD4"/>
    <w:rsid w:val="00F91AE1"/>
    <w:rsid w:val="00F91B36"/>
    <w:rsid w:val="00F91B71"/>
    <w:rsid w:val="00F91E70"/>
    <w:rsid w:val="00F91F5A"/>
    <w:rsid w:val="00F91F6F"/>
    <w:rsid w:val="00F92052"/>
    <w:rsid w:val="00F9212B"/>
    <w:rsid w:val="00F92229"/>
    <w:rsid w:val="00F922F0"/>
    <w:rsid w:val="00F923E8"/>
    <w:rsid w:val="00F92873"/>
    <w:rsid w:val="00F928ED"/>
    <w:rsid w:val="00F92926"/>
    <w:rsid w:val="00F9293D"/>
    <w:rsid w:val="00F9294A"/>
    <w:rsid w:val="00F92B37"/>
    <w:rsid w:val="00F92B6F"/>
    <w:rsid w:val="00F92B88"/>
    <w:rsid w:val="00F92C97"/>
    <w:rsid w:val="00F92DED"/>
    <w:rsid w:val="00F92DF0"/>
    <w:rsid w:val="00F92E04"/>
    <w:rsid w:val="00F92F01"/>
    <w:rsid w:val="00F92F49"/>
    <w:rsid w:val="00F92F89"/>
    <w:rsid w:val="00F92FF9"/>
    <w:rsid w:val="00F930EF"/>
    <w:rsid w:val="00F931EB"/>
    <w:rsid w:val="00F93330"/>
    <w:rsid w:val="00F93485"/>
    <w:rsid w:val="00F934E7"/>
    <w:rsid w:val="00F934F3"/>
    <w:rsid w:val="00F93595"/>
    <w:rsid w:val="00F935B3"/>
    <w:rsid w:val="00F936EF"/>
    <w:rsid w:val="00F938A8"/>
    <w:rsid w:val="00F938E8"/>
    <w:rsid w:val="00F93B34"/>
    <w:rsid w:val="00F93C30"/>
    <w:rsid w:val="00F93CC5"/>
    <w:rsid w:val="00F93CE4"/>
    <w:rsid w:val="00F93CF6"/>
    <w:rsid w:val="00F93F62"/>
    <w:rsid w:val="00F93FC2"/>
    <w:rsid w:val="00F940B0"/>
    <w:rsid w:val="00F9417D"/>
    <w:rsid w:val="00F941C2"/>
    <w:rsid w:val="00F94204"/>
    <w:rsid w:val="00F9427F"/>
    <w:rsid w:val="00F943DB"/>
    <w:rsid w:val="00F94424"/>
    <w:rsid w:val="00F944E9"/>
    <w:rsid w:val="00F94548"/>
    <w:rsid w:val="00F9456B"/>
    <w:rsid w:val="00F945BA"/>
    <w:rsid w:val="00F9482C"/>
    <w:rsid w:val="00F949F9"/>
    <w:rsid w:val="00F94DBB"/>
    <w:rsid w:val="00F94EFF"/>
    <w:rsid w:val="00F94F7D"/>
    <w:rsid w:val="00F94FD0"/>
    <w:rsid w:val="00F950AC"/>
    <w:rsid w:val="00F951C8"/>
    <w:rsid w:val="00F95204"/>
    <w:rsid w:val="00F9523B"/>
    <w:rsid w:val="00F952E7"/>
    <w:rsid w:val="00F9537B"/>
    <w:rsid w:val="00F953CB"/>
    <w:rsid w:val="00F953D2"/>
    <w:rsid w:val="00F9542B"/>
    <w:rsid w:val="00F95596"/>
    <w:rsid w:val="00F95629"/>
    <w:rsid w:val="00F9570A"/>
    <w:rsid w:val="00F958B5"/>
    <w:rsid w:val="00F958D5"/>
    <w:rsid w:val="00F95B2C"/>
    <w:rsid w:val="00F95CD8"/>
    <w:rsid w:val="00F95D49"/>
    <w:rsid w:val="00F95DB9"/>
    <w:rsid w:val="00F95E2C"/>
    <w:rsid w:val="00F95EB4"/>
    <w:rsid w:val="00F95F24"/>
    <w:rsid w:val="00F96046"/>
    <w:rsid w:val="00F9612C"/>
    <w:rsid w:val="00F9615F"/>
    <w:rsid w:val="00F964E5"/>
    <w:rsid w:val="00F96747"/>
    <w:rsid w:val="00F96784"/>
    <w:rsid w:val="00F967AC"/>
    <w:rsid w:val="00F967BA"/>
    <w:rsid w:val="00F9682A"/>
    <w:rsid w:val="00F96959"/>
    <w:rsid w:val="00F96B2B"/>
    <w:rsid w:val="00F96B99"/>
    <w:rsid w:val="00F97028"/>
    <w:rsid w:val="00F970F7"/>
    <w:rsid w:val="00F970FB"/>
    <w:rsid w:val="00F97176"/>
    <w:rsid w:val="00F971E5"/>
    <w:rsid w:val="00F97284"/>
    <w:rsid w:val="00F97598"/>
    <w:rsid w:val="00F975E5"/>
    <w:rsid w:val="00F976F5"/>
    <w:rsid w:val="00F977C3"/>
    <w:rsid w:val="00F97812"/>
    <w:rsid w:val="00F9784E"/>
    <w:rsid w:val="00F9786D"/>
    <w:rsid w:val="00F9798F"/>
    <w:rsid w:val="00F97A1C"/>
    <w:rsid w:val="00F97AE7"/>
    <w:rsid w:val="00F97C19"/>
    <w:rsid w:val="00F97CEF"/>
    <w:rsid w:val="00F97D08"/>
    <w:rsid w:val="00F97DB8"/>
    <w:rsid w:val="00F97DF3"/>
    <w:rsid w:val="00F97F2C"/>
    <w:rsid w:val="00F97F66"/>
    <w:rsid w:val="00F97FC6"/>
    <w:rsid w:val="00F97FDB"/>
    <w:rsid w:val="00FA00EE"/>
    <w:rsid w:val="00FA0299"/>
    <w:rsid w:val="00FA0411"/>
    <w:rsid w:val="00FA04EC"/>
    <w:rsid w:val="00FA06A0"/>
    <w:rsid w:val="00FA083C"/>
    <w:rsid w:val="00FA0994"/>
    <w:rsid w:val="00FA0AA2"/>
    <w:rsid w:val="00FA0BCE"/>
    <w:rsid w:val="00FA0C0F"/>
    <w:rsid w:val="00FA0D43"/>
    <w:rsid w:val="00FA0E68"/>
    <w:rsid w:val="00FA1389"/>
    <w:rsid w:val="00FA15A1"/>
    <w:rsid w:val="00FA166E"/>
    <w:rsid w:val="00FA173C"/>
    <w:rsid w:val="00FA1845"/>
    <w:rsid w:val="00FA1C66"/>
    <w:rsid w:val="00FA1D4F"/>
    <w:rsid w:val="00FA1FEC"/>
    <w:rsid w:val="00FA20B5"/>
    <w:rsid w:val="00FA21E6"/>
    <w:rsid w:val="00FA2314"/>
    <w:rsid w:val="00FA2325"/>
    <w:rsid w:val="00FA2462"/>
    <w:rsid w:val="00FA24B8"/>
    <w:rsid w:val="00FA27DD"/>
    <w:rsid w:val="00FA2934"/>
    <w:rsid w:val="00FA29CF"/>
    <w:rsid w:val="00FA29D9"/>
    <w:rsid w:val="00FA2A92"/>
    <w:rsid w:val="00FA2B2A"/>
    <w:rsid w:val="00FA2C5B"/>
    <w:rsid w:val="00FA2F51"/>
    <w:rsid w:val="00FA2FC3"/>
    <w:rsid w:val="00FA3056"/>
    <w:rsid w:val="00FA328C"/>
    <w:rsid w:val="00FA32B3"/>
    <w:rsid w:val="00FA33AF"/>
    <w:rsid w:val="00FA3556"/>
    <w:rsid w:val="00FA35A4"/>
    <w:rsid w:val="00FA363B"/>
    <w:rsid w:val="00FA3713"/>
    <w:rsid w:val="00FA37A7"/>
    <w:rsid w:val="00FA381F"/>
    <w:rsid w:val="00FA38C5"/>
    <w:rsid w:val="00FA38CF"/>
    <w:rsid w:val="00FA392B"/>
    <w:rsid w:val="00FA3A6A"/>
    <w:rsid w:val="00FA3B6B"/>
    <w:rsid w:val="00FA3BF8"/>
    <w:rsid w:val="00FA3C42"/>
    <w:rsid w:val="00FA3F7D"/>
    <w:rsid w:val="00FA3FCC"/>
    <w:rsid w:val="00FA40F1"/>
    <w:rsid w:val="00FA441F"/>
    <w:rsid w:val="00FA455A"/>
    <w:rsid w:val="00FA4608"/>
    <w:rsid w:val="00FA462C"/>
    <w:rsid w:val="00FA48D2"/>
    <w:rsid w:val="00FA4972"/>
    <w:rsid w:val="00FA499E"/>
    <w:rsid w:val="00FA4A35"/>
    <w:rsid w:val="00FA4A9B"/>
    <w:rsid w:val="00FA4AB6"/>
    <w:rsid w:val="00FA4C3E"/>
    <w:rsid w:val="00FA4CD9"/>
    <w:rsid w:val="00FA4CDD"/>
    <w:rsid w:val="00FA4DFF"/>
    <w:rsid w:val="00FA4ED8"/>
    <w:rsid w:val="00FA4FA7"/>
    <w:rsid w:val="00FA5017"/>
    <w:rsid w:val="00FA509B"/>
    <w:rsid w:val="00FA50E9"/>
    <w:rsid w:val="00FA5104"/>
    <w:rsid w:val="00FA513E"/>
    <w:rsid w:val="00FA523B"/>
    <w:rsid w:val="00FA5299"/>
    <w:rsid w:val="00FA52D6"/>
    <w:rsid w:val="00FA55E9"/>
    <w:rsid w:val="00FA55FE"/>
    <w:rsid w:val="00FA5685"/>
    <w:rsid w:val="00FA5BB7"/>
    <w:rsid w:val="00FA5E05"/>
    <w:rsid w:val="00FA5E14"/>
    <w:rsid w:val="00FA5FE1"/>
    <w:rsid w:val="00FA658D"/>
    <w:rsid w:val="00FA65A8"/>
    <w:rsid w:val="00FA6663"/>
    <w:rsid w:val="00FA66C4"/>
    <w:rsid w:val="00FA67A2"/>
    <w:rsid w:val="00FA68D6"/>
    <w:rsid w:val="00FA68FF"/>
    <w:rsid w:val="00FA6923"/>
    <w:rsid w:val="00FA69FF"/>
    <w:rsid w:val="00FA6BE7"/>
    <w:rsid w:val="00FA6D8E"/>
    <w:rsid w:val="00FA6DD7"/>
    <w:rsid w:val="00FA6EC6"/>
    <w:rsid w:val="00FA714A"/>
    <w:rsid w:val="00FA72A6"/>
    <w:rsid w:val="00FA7510"/>
    <w:rsid w:val="00FA7698"/>
    <w:rsid w:val="00FA76ED"/>
    <w:rsid w:val="00FA77B7"/>
    <w:rsid w:val="00FA78DA"/>
    <w:rsid w:val="00FA78F4"/>
    <w:rsid w:val="00FA7908"/>
    <w:rsid w:val="00FA7954"/>
    <w:rsid w:val="00FA79E7"/>
    <w:rsid w:val="00FA7A36"/>
    <w:rsid w:val="00FA7B38"/>
    <w:rsid w:val="00FA7C3E"/>
    <w:rsid w:val="00FA7F80"/>
    <w:rsid w:val="00FA7F98"/>
    <w:rsid w:val="00FB00B0"/>
    <w:rsid w:val="00FB00CA"/>
    <w:rsid w:val="00FB025E"/>
    <w:rsid w:val="00FB02BE"/>
    <w:rsid w:val="00FB0395"/>
    <w:rsid w:val="00FB0587"/>
    <w:rsid w:val="00FB0618"/>
    <w:rsid w:val="00FB06CF"/>
    <w:rsid w:val="00FB06FD"/>
    <w:rsid w:val="00FB0790"/>
    <w:rsid w:val="00FB0791"/>
    <w:rsid w:val="00FB0ACC"/>
    <w:rsid w:val="00FB0ADD"/>
    <w:rsid w:val="00FB0BF6"/>
    <w:rsid w:val="00FB0C5A"/>
    <w:rsid w:val="00FB0C93"/>
    <w:rsid w:val="00FB0CFA"/>
    <w:rsid w:val="00FB0D34"/>
    <w:rsid w:val="00FB0D37"/>
    <w:rsid w:val="00FB0E2B"/>
    <w:rsid w:val="00FB0E2C"/>
    <w:rsid w:val="00FB0EC3"/>
    <w:rsid w:val="00FB0F6F"/>
    <w:rsid w:val="00FB0F81"/>
    <w:rsid w:val="00FB1049"/>
    <w:rsid w:val="00FB104C"/>
    <w:rsid w:val="00FB1127"/>
    <w:rsid w:val="00FB1193"/>
    <w:rsid w:val="00FB11F3"/>
    <w:rsid w:val="00FB11FD"/>
    <w:rsid w:val="00FB1272"/>
    <w:rsid w:val="00FB141B"/>
    <w:rsid w:val="00FB157B"/>
    <w:rsid w:val="00FB1706"/>
    <w:rsid w:val="00FB17F6"/>
    <w:rsid w:val="00FB18A0"/>
    <w:rsid w:val="00FB1925"/>
    <w:rsid w:val="00FB1A07"/>
    <w:rsid w:val="00FB1BFC"/>
    <w:rsid w:val="00FB1C32"/>
    <w:rsid w:val="00FB204A"/>
    <w:rsid w:val="00FB2102"/>
    <w:rsid w:val="00FB2129"/>
    <w:rsid w:val="00FB2217"/>
    <w:rsid w:val="00FB22B0"/>
    <w:rsid w:val="00FB24D8"/>
    <w:rsid w:val="00FB264B"/>
    <w:rsid w:val="00FB2752"/>
    <w:rsid w:val="00FB2771"/>
    <w:rsid w:val="00FB278B"/>
    <w:rsid w:val="00FB288D"/>
    <w:rsid w:val="00FB28A7"/>
    <w:rsid w:val="00FB28DE"/>
    <w:rsid w:val="00FB293C"/>
    <w:rsid w:val="00FB2980"/>
    <w:rsid w:val="00FB29F2"/>
    <w:rsid w:val="00FB2A31"/>
    <w:rsid w:val="00FB2B96"/>
    <w:rsid w:val="00FB2CA7"/>
    <w:rsid w:val="00FB2D03"/>
    <w:rsid w:val="00FB2D19"/>
    <w:rsid w:val="00FB2DB6"/>
    <w:rsid w:val="00FB2E73"/>
    <w:rsid w:val="00FB306A"/>
    <w:rsid w:val="00FB30B4"/>
    <w:rsid w:val="00FB311F"/>
    <w:rsid w:val="00FB3263"/>
    <w:rsid w:val="00FB3641"/>
    <w:rsid w:val="00FB3649"/>
    <w:rsid w:val="00FB3702"/>
    <w:rsid w:val="00FB3773"/>
    <w:rsid w:val="00FB37DA"/>
    <w:rsid w:val="00FB38D9"/>
    <w:rsid w:val="00FB3AB8"/>
    <w:rsid w:val="00FB3D96"/>
    <w:rsid w:val="00FB3DBC"/>
    <w:rsid w:val="00FB3F7A"/>
    <w:rsid w:val="00FB4130"/>
    <w:rsid w:val="00FB418A"/>
    <w:rsid w:val="00FB4520"/>
    <w:rsid w:val="00FB4575"/>
    <w:rsid w:val="00FB466C"/>
    <w:rsid w:val="00FB474B"/>
    <w:rsid w:val="00FB4793"/>
    <w:rsid w:val="00FB48D1"/>
    <w:rsid w:val="00FB490F"/>
    <w:rsid w:val="00FB4A48"/>
    <w:rsid w:val="00FB4A90"/>
    <w:rsid w:val="00FB4AD1"/>
    <w:rsid w:val="00FB51E8"/>
    <w:rsid w:val="00FB53A3"/>
    <w:rsid w:val="00FB53DE"/>
    <w:rsid w:val="00FB545C"/>
    <w:rsid w:val="00FB575A"/>
    <w:rsid w:val="00FB58D1"/>
    <w:rsid w:val="00FB5A0D"/>
    <w:rsid w:val="00FB5A64"/>
    <w:rsid w:val="00FB5B71"/>
    <w:rsid w:val="00FB5CDF"/>
    <w:rsid w:val="00FB5CFE"/>
    <w:rsid w:val="00FB5D0C"/>
    <w:rsid w:val="00FB5D16"/>
    <w:rsid w:val="00FB5E65"/>
    <w:rsid w:val="00FB5FF4"/>
    <w:rsid w:val="00FB62CE"/>
    <w:rsid w:val="00FB631D"/>
    <w:rsid w:val="00FB6380"/>
    <w:rsid w:val="00FB6552"/>
    <w:rsid w:val="00FB655C"/>
    <w:rsid w:val="00FB677C"/>
    <w:rsid w:val="00FB68BF"/>
    <w:rsid w:val="00FB6964"/>
    <w:rsid w:val="00FB6999"/>
    <w:rsid w:val="00FB6C08"/>
    <w:rsid w:val="00FB6C3F"/>
    <w:rsid w:val="00FB6C6D"/>
    <w:rsid w:val="00FB6C73"/>
    <w:rsid w:val="00FB6D15"/>
    <w:rsid w:val="00FB6DD7"/>
    <w:rsid w:val="00FB6ED3"/>
    <w:rsid w:val="00FB6EE1"/>
    <w:rsid w:val="00FB6FB0"/>
    <w:rsid w:val="00FB7211"/>
    <w:rsid w:val="00FB7307"/>
    <w:rsid w:val="00FB74E1"/>
    <w:rsid w:val="00FB7513"/>
    <w:rsid w:val="00FB7617"/>
    <w:rsid w:val="00FB7651"/>
    <w:rsid w:val="00FB7668"/>
    <w:rsid w:val="00FB7755"/>
    <w:rsid w:val="00FB792E"/>
    <w:rsid w:val="00FB79D5"/>
    <w:rsid w:val="00FB7A19"/>
    <w:rsid w:val="00FB7CA8"/>
    <w:rsid w:val="00FB7D40"/>
    <w:rsid w:val="00FB7DF8"/>
    <w:rsid w:val="00FB7ED9"/>
    <w:rsid w:val="00FB7EF3"/>
    <w:rsid w:val="00FC0048"/>
    <w:rsid w:val="00FC011F"/>
    <w:rsid w:val="00FC02D3"/>
    <w:rsid w:val="00FC0390"/>
    <w:rsid w:val="00FC03F3"/>
    <w:rsid w:val="00FC057F"/>
    <w:rsid w:val="00FC059D"/>
    <w:rsid w:val="00FC062F"/>
    <w:rsid w:val="00FC0671"/>
    <w:rsid w:val="00FC0709"/>
    <w:rsid w:val="00FC07D5"/>
    <w:rsid w:val="00FC08E7"/>
    <w:rsid w:val="00FC0D50"/>
    <w:rsid w:val="00FC0F0D"/>
    <w:rsid w:val="00FC1009"/>
    <w:rsid w:val="00FC102C"/>
    <w:rsid w:val="00FC11EF"/>
    <w:rsid w:val="00FC125C"/>
    <w:rsid w:val="00FC127E"/>
    <w:rsid w:val="00FC14ED"/>
    <w:rsid w:val="00FC17C6"/>
    <w:rsid w:val="00FC185F"/>
    <w:rsid w:val="00FC18D5"/>
    <w:rsid w:val="00FC18F5"/>
    <w:rsid w:val="00FC1996"/>
    <w:rsid w:val="00FC1A72"/>
    <w:rsid w:val="00FC1CA2"/>
    <w:rsid w:val="00FC1D83"/>
    <w:rsid w:val="00FC1E7B"/>
    <w:rsid w:val="00FC1EEE"/>
    <w:rsid w:val="00FC1F00"/>
    <w:rsid w:val="00FC1F29"/>
    <w:rsid w:val="00FC20C9"/>
    <w:rsid w:val="00FC23FE"/>
    <w:rsid w:val="00FC2517"/>
    <w:rsid w:val="00FC2603"/>
    <w:rsid w:val="00FC2895"/>
    <w:rsid w:val="00FC28A1"/>
    <w:rsid w:val="00FC28D9"/>
    <w:rsid w:val="00FC2946"/>
    <w:rsid w:val="00FC2D9E"/>
    <w:rsid w:val="00FC2DC8"/>
    <w:rsid w:val="00FC2EC2"/>
    <w:rsid w:val="00FC2EEF"/>
    <w:rsid w:val="00FC3221"/>
    <w:rsid w:val="00FC326C"/>
    <w:rsid w:val="00FC340F"/>
    <w:rsid w:val="00FC3498"/>
    <w:rsid w:val="00FC35CC"/>
    <w:rsid w:val="00FC3707"/>
    <w:rsid w:val="00FC3832"/>
    <w:rsid w:val="00FC3AA7"/>
    <w:rsid w:val="00FC3B8E"/>
    <w:rsid w:val="00FC3CBF"/>
    <w:rsid w:val="00FC3D0A"/>
    <w:rsid w:val="00FC3D2D"/>
    <w:rsid w:val="00FC3F88"/>
    <w:rsid w:val="00FC40A3"/>
    <w:rsid w:val="00FC40F0"/>
    <w:rsid w:val="00FC40FA"/>
    <w:rsid w:val="00FC4110"/>
    <w:rsid w:val="00FC419B"/>
    <w:rsid w:val="00FC41C7"/>
    <w:rsid w:val="00FC4226"/>
    <w:rsid w:val="00FC4274"/>
    <w:rsid w:val="00FC42FA"/>
    <w:rsid w:val="00FC434F"/>
    <w:rsid w:val="00FC4374"/>
    <w:rsid w:val="00FC4376"/>
    <w:rsid w:val="00FC4514"/>
    <w:rsid w:val="00FC453B"/>
    <w:rsid w:val="00FC4542"/>
    <w:rsid w:val="00FC4754"/>
    <w:rsid w:val="00FC4870"/>
    <w:rsid w:val="00FC497A"/>
    <w:rsid w:val="00FC499F"/>
    <w:rsid w:val="00FC4A13"/>
    <w:rsid w:val="00FC4AAA"/>
    <w:rsid w:val="00FC4ADE"/>
    <w:rsid w:val="00FC4B08"/>
    <w:rsid w:val="00FC4DD5"/>
    <w:rsid w:val="00FC4E33"/>
    <w:rsid w:val="00FC508F"/>
    <w:rsid w:val="00FC5121"/>
    <w:rsid w:val="00FC5167"/>
    <w:rsid w:val="00FC52A6"/>
    <w:rsid w:val="00FC5425"/>
    <w:rsid w:val="00FC543E"/>
    <w:rsid w:val="00FC544B"/>
    <w:rsid w:val="00FC5469"/>
    <w:rsid w:val="00FC5478"/>
    <w:rsid w:val="00FC54D4"/>
    <w:rsid w:val="00FC553A"/>
    <w:rsid w:val="00FC55E7"/>
    <w:rsid w:val="00FC5661"/>
    <w:rsid w:val="00FC57AF"/>
    <w:rsid w:val="00FC5853"/>
    <w:rsid w:val="00FC597F"/>
    <w:rsid w:val="00FC5A84"/>
    <w:rsid w:val="00FC5BA8"/>
    <w:rsid w:val="00FC5CAF"/>
    <w:rsid w:val="00FC5E80"/>
    <w:rsid w:val="00FC5ED8"/>
    <w:rsid w:val="00FC606A"/>
    <w:rsid w:val="00FC63AF"/>
    <w:rsid w:val="00FC63C4"/>
    <w:rsid w:val="00FC64B7"/>
    <w:rsid w:val="00FC65C1"/>
    <w:rsid w:val="00FC65C7"/>
    <w:rsid w:val="00FC6828"/>
    <w:rsid w:val="00FC69EE"/>
    <w:rsid w:val="00FC6B87"/>
    <w:rsid w:val="00FC6BFA"/>
    <w:rsid w:val="00FC6C5D"/>
    <w:rsid w:val="00FC6CF9"/>
    <w:rsid w:val="00FC6E85"/>
    <w:rsid w:val="00FC6EA0"/>
    <w:rsid w:val="00FC6F07"/>
    <w:rsid w:val="00FC6FB1"/>
    <w:rsid w:val="00FC6FD1"/>
    <w:rsid w:val="00FC709B"/>
    <w:rsid w:val="00FC73DE"/>
    <w:rsid w:val="00FC7441"/>
    <w:rsid w:val="00FC750B"/>
    <w:rsid w:val="00FC75E0"/>
    <w:rsid w:val="00FC7629"/>
    <w:rsid w:val="00FC7B39"/>
    <w:rsid w:val="00FC7C2A"/>
    <w:rsid w:val="00FC7CC1"/>
    <w:rsid w:val="00FC7DA9"/>
    <w:rsid w:val="00FD0099"/>
    <w:rsid w:val="00FD0151"/>
    <w:rsid w:val="00FD0165"/>
    <w:rsid w:val="00FD01AC"/>
    <w:rsid w:val="00FD01B7"/>
    <w:rsid w:val="00FD0243"/>
    <w:rsid w:val="00FD02B5"/>
    <w:rsid w:val="00FD034D"/>
    <w:rsid w:val="00FD037A"/>
    <w:rsid w:val="00FD037E"/>
    <w:rsid w:val="00FD03B6"/>
    <w:rsid w:val="00FD04F8"/>
    <w:rsid w:val="00FD0558"/>
    <w:rsid w:val="00FD06C7"/>
    <w:rsid w:val="00FD0ACA"/>
    <w:rsid w:val="00FD0C6B"/>
    <w:rsid w:val="00FD0D4C"/>
    <w:rsid w:val="00FD0E4A"/>
    <w:rsid w:val="00FD0FFB"/>
    <w:rsid w:val="00FD162F"/>
    <w:rsid w:val="00FD1707"/>
    <w:rsid w:val="00FD1714"/>
    <w:rsid w:val="00FD18BD"/>
    <w:rsid w:val="00FD194E"/>
    <w:rsid w:val="00FD1A41"/>
    <w:rsid w:val="00FD1B31"/>
    <w:rsid w:val="00FD1B5F"/>
    <w:rsid w:val="00FD1EC2"/>
    <w:rsid w:val="00FD1F2A"/>
    <w:rsid w:val="00FD1F4E"/>
    <w:rsid w:val="00FD1FEA"/>
    <w:rsid w:val="00FD201C"/>
    <w:rsid w:val="00FD204A"/>
    <w:rsid w:val="00FD231C"/>
    <w:rsid w:val="00FD2440"/>
    <w:rsid w:val="00FD24B9"/>
    <w:rsid w:val="00FD251A"/>
    <w:rsid w:val="00FD25D7"/>
    <w:rsid w:val="00FD2629"/>
    <w:rsid w:val="00FD26F9"/>
    <w:rsid w:val="00FD27E2"/>
    <w:rsid w:val="00FD28BD"/>
    <w:rsid w:val="00FD2A0F"/>
    <w:rsid w:val="00FD2AB6"/>
    <w:rsid w:val="00FD3058"/>
    <w:rsid w:val="00FD31CE"/>
    <w:rsid w:val="00FD3483"/>
    <w:rsid w:val="00FD3583"/>
    <w:rsid w:val="00FD3665"/>
    <w:rsid w:val="00FD3756"/>
    <w:rsid w:val="00FD39B3"/>
    <w:rsid w:val="00FD3B6F"/>
    <w:rsid w:val="00FD3C5E"/>
    <w:rsid w:val="00FD3D4D"/>
    <w:rsid w:val="00FD3D89"/>
    <w:rsid w:val="00FD3E9D"/>
    <w:rsid w:val="00FD4112"/>
    <w:rsid w:val="00FD4195"/>
    <w:rsid w:val="00FD4741"/>
    <w:rsid w:val="00FD47EC"/>
    <w:rsid w:val="00FD4859"/>
    <w:rsid w:val="00FD4BAC"/>
    <w:rsid w:val="00FD4D9A"/>
    <w:rsid w:val="00FD4E1F"/>
    <w:rsid w:val="00FD50C2"/>
    <w:rsid w:val="00FD51AC"/>
    <w:rsid w:val="00FD51C6"/>
    <w:rsid w:val="00FD5255"/>
    <w:rsid w:val="00FD53F7"/>
    <w:rsid w:val="00FD5509"/>
    <w:rsid w:val="00FD5510"/>
    <w:rsid w:val="00FD5540"/>
    <w:rsid w:val="00FD5543"/>
    <w:rsid w:val="00FD5640"/>
    <w:rsid w:val="00FD56B0"/>
    <w:rsid w:val="00FD56B7"/>
    <w:rsid w:val="00FD5775"/>
    <w:rsid w:val="00FD592F"/>
    <w:rsid w:val="00FD5A18"/>
    <w:rsid w:val="00FD5A62"/>
    <w:rsid w:val="00FD5B12"/>
    <w:rsid w:val="00FD5CD2"/>
    <w:rsid w:val="00FD5DD1"/>
    <w:rsid w:val="00FD5E31"/>
    <w:rsid w:val="00FD5FBF"/>
    <w:rsid w:val="00FD6134"/>
    <w:rsid w:val="00FD61E0"/>
    <w:rsid w:val="00FD61F5"/>
    <w:rsid w:val="00FD63CC"/>
    <w:rsid w:val="00FD6841"/>
    <w:rsid w:val="00FD69F4"/>
    <w:rsid w:val="00FD6C4E"/>
    <w:rsid w:val="00FD6CB2"/>
    <w:rsid w:val="00FD6E66"/>
    <w:rsid w:val="00FD6F07"/>
    <w:rsid w:val="00FD6F7F"/>
    <w:rsid w:val="00FD703E"/>
    <w:rsid w:val="00FD705A"/>
    <w:rsid w:val="00FD7134"/>
    <w:rsid w:val="00FD71CF"/>
    <w:rsid w:val="00FD72A5"/>
    <w:rsid w:val="00FD757F"/>
    <w:rsid w:val="00FD761A"/>
    <w:rsid w:val="00FD7626"/>
    <w:rsid w:val="00FD7685"/>
    <w:rsid w:val="00FD7700"/>
    <w:rsid w:val="00FD78D0"/>
    <w:rsid w:val="00FD7910"/>
    <w:rsid w:val="00FD7A7F"/>
    <w:rsid w:val="00FD7AFE"/>
    <w:rsid w:val="00FD7BA5"/>
    <w:rsid w:val="00FD7DAA"/>
    <w:rsid w:val="00FD7E70"/>
    <w:rsid w:val="00FD7FA7"/>
    <w:rsid w:val="00FE001E"/>
    <w:rsid w:val="00FE0039"/>
    <w:rsid w:val="00FE010B"/>
    <w:rsid w:val="00FE0123"/>
    <w:rsid w:val="00FE0345"/>
    <w:rsid w:val="00FE0503"/>
    <w:rsid w:val="00FE050C"/>
    <w:rsid w:val="00FE0695"/>
    <w:rsid w:val="00FE0764"/>
    <w:rsid w:val="00FE0862"/>
    <w:rsid w:val="00FE08A1"/>
    <w:rsid w:val="00FE098B"/>
    <w:rsid w:val="00FE0D32"/>
    <w:rsid w:val="00FE0D6F"/>
    <w:rsid w:val="00FE0FD6"/>
    <w:rsid w:val="00FE132F"/>
    <w:rsid w:val="00FE15E3"/>
    <w:rsid w:val="00FE16D5"/>
    <w:rsid w:val="00FE18F8"/>
    <w:rsid w:val="00FE1A45"/>
    <w:rsid w:val="00FE1B68"/>
    <w:rsid w:val="00FE1FBB"/>
    <w:rsid w:val="00FE2015"/>
    <w:rsid w:val="00FE2042"/>
    <w:rsid w:val="00FE20DB"/>
    <w:rsid w:val="00FE2154"/>
    <w:rsid w:val="00FE21B8"/>
    <w:rsid w:val="00FE2436"/>
    <w:rsid w:val="00FE253B"/>
    <w:rsid w:val="00FE256E"/>
    <w:rsid w:val="00FE2580"/>
    <w:rsid w:val="00FE2627"/>
    <w:rsid w:val="00FE2665"/>
    <w:rsid w:val="00FE26C3"/>
    <w:rsid w:val="00FE270B"/>
    <w:rsid w:val="00FE27BF"/>
    <w:rsid w:val="00FE294E"/>
    <w:rsid w:val="00FE2B2B"/>
    <w:rsid w:val="00FE2C0A"/>
    <w:rsid w:val="00FE2C64"/>
    <w:rsid w:val="00FE2DCE"/>
    <w:rsid w:val="00FE2F2A"/>
    <w:rsid w:val="00FE2F38"/>
    <w:rsid w:val="00FE2FF3"/>
    <w:rsid w:val="00FE300C"/>
    <w:rsid w:val="00FE3098"/>
    <w:rsid w:val="00FE313A"/>
    <w:rsid w:val="00FE31A5"/>
    <w:rsid w:val="00FE334A"/>
    <w:rsid w:val="00FE33B1"/>
    <w:rsid w:val="00FE3429"/>
    <w:rsid w:val="00FE34A4"/>
    <w:rsid w:val="00FE37E4"/>
    <w:rsid w:val="00FE3C07"/>
    <w:rsid w:val="00FE3D2D"/>
    <w:rsid w:val="00FE3D9F"/>
    <w:rsid w:val="00FE3DB8"/>
    <w:rsid w:val="00FE40C0"/>
    <w:rsid w:val="00FE40D0"/>
    <w:rsid w:val="00FE40E8"/>
    <w:rsid w:val="00FE4184"/>
    <w:rsid w:val="00FE41CB"/>
    <w:rsid w:val="00FE455C"/>
    <w:rsid w:val="00FE476A"/>
    <w:rsid w:val="00FE4933"/>
    <w:rsid w:val="00FE4935"/>
    <w:rsid w:val="00FE4D79"/>
    <w:rsid w:val="00FE4D84"/>
    <w:rsid w:val="00FE4DFF"/>
    <w:rsid w:val="00FE4EAE"/>
    <w:rsid w:val="00FE5207"/>
    <w:rsid w:val="00FE574F"/>
    <w:rsid w:val="00FE59BC"/>
    <w:rsid w:val="00FE5C6B"/>
    <w:rsid w:val="00FE5CD8"/>
    <w:rsid w:val="00FE5CDD"/>
    <w:rsid w:val="00FE5D06"/>
    <w:rsid w:val="00FE5DD5"/>
    <w:rsid w:val="00FE5DF2"/>
    <w:rsid w:val="00FE5E69"/>
    <w:rsid w:val="00FE5FB8"/>
    <w:rsid w:val="00FE604D"/>
    <w:rsid w:val="00FE610F"/>
    <w:rsid w:val="00FE6569"/>
    <w:rsid w:val="00FE668D"/>
    <w:rsid w:val="00FE680E"/>
    <w:rsid w:val="00FE6911"/>
    <w:rsid w:val="00FE6966"/>
    <w:rsid w:val="00FE6B90"/>
    <w:rsid w:val="00FE6CC2"/>
    <w:rsid w:val="00FE6CEA"/>
    <w:rsid w:val="00FE6F16"/>
    <w:rsid w:val="00FE7085"/>
    <w:rsid w:val="00FE73D2"/>
    <w:rsid w:val="00FE7461"/>
    <w:rsid w:val="00FE74DB"/>
    <w:rsid w:val="00FE75D0"/>
    <w:rsid w:val="00FE76F2"/>
    <w:rsid w:val="00FE7878"/>
    <w:rsid w:val="00FE7913"/>
    <w:rsid w:val="00FE7916"/>
    <w:rsid w:val="00FE794F"/>
    <w:rsid w:val="00FE7951"/>
    <w:rsid w:val="00FE79BD"/>
    <w:rsid w:val="00FE7BC5"/>
    <w:rsid w:val="00FE7BF6"/>
    <w:rsid w:val="00FE7E4D"/>
    <w:rsid w:val="00FF002D"/>
    <w:rsid w:val="00FF029E"/>
    <w:rsid w:val="00FF044D"/>
    <w:rsid w:val="00FF0459"/>
    <w:rsid w:val="00FF04DA"/>
    <w:rsid w:val="00FF068B"/>
    <w:rsid w:val="00FF0766"/>
    <w:rsid w:val="00FF0843"/>
    <w:rsid w:val="00FF08FC"/>
    <w:rsid w:val="00FF0918"/>
    <w:rsid w:val="00FF0A70"/>
    <w:rsid w:val="00FF0A78"/>
    <w:rsid w:val="00FF0A81"/>
    <w:rsid w:val="00FF0A90"/>
    <w:rsid w:val="00FF0B4F"/>
    <w:rsid w:val="00FF0BB7"/>
    <w:rsid w:val="00FF0F44"/>
    <w:rsid w:val="00FF1067"/>
    <w:rsid w:val="00FF1104"/>
    <w:rsid w:val="00FF13BD"/>
    <w:rsid w:val="00FF1562"/>
    <w:rsid w:val="00FF160F"/>
    <w:rsid w:val="00FF17F0"/>
    <w:rsid w:val="00FF1816"/>
    <w:rsid w:val="00FF1AF5"/>
    <w:rsid w:val="00FF1B66"/>
    <w:rsid w:val="00FF1CE8"/>
    <w:rsid w:val="00FF1F84"/>
    <w:rsid w:val="00FF20B6"/>
    <w:rsid w:val="00FF2332"/>
    <w:rsid w:val="00FF23F6"/>
    <w:rsid w:val="00FF24BE"/>
    <w:rsid w:val="00FF250C"/>
    <w:rsid w:val="00FF2743"/>
    <w:rsid w:val="00FF2751"/>
    <w:rsid w:val="00FF27CA"/>
    <w:rsid w:val="00FF2ACF"/>
    <w:rsid w:val="00FF3042"/>
    <w:rsid w:val="00FF31F3"/>
    <w:rsid w:val="00FF3325"/>
    <w:rsid w:val="00FF34D6"/>
    <w:rsid w:val="00FF3506"/>
    <w:rsid w:val="00FF3514"/>
    <w:rsid w:val="00FF3535"/>
    <w:rsid w:val="00FF35F4"/>
    <w:rsid w:val="00FF3648"/>
    <w:rsid w:val="00FF3731"/>
    <w:rsid w:val="00FF37E3"/>
    <w:rsid w:val="00FF38CA"/>
    <w:rsid w:val="00FF3973"/>
    <w:rsid w:val="00FF3A46"/>
    <w:rsid w:val="00FF3CE3"/>
    <w:rsid w:val="00FF3F1A"/>
    <w:rsid w:val="00FF3F1B"/>
    <w:rsid w:val="00FF4030"/>
    <w:rsid w:val="00FF41FD"/>
    <w:rsid w:val="00FF42B5"/>
    <w:rsid w:val="00FF43E3"/>
    <w:rsid w:val="00FF440D"/>
    <w:rsid w:val="00FF4430"/>
    <w:rsid w:val="00FF47F1"/>
    <w:rsid w:val="00FF48F9"/>
    <w:rsid w:val="00FF49A2"/>
    <w:rsid w:val="00FF4A4F"/>
    <w:rsid w:val="00FF4B12"/>
    <w:rsid w:val="00FF50B0"/>
    <w:rsid w:val="00FF5171"/>
    <w:rsid w:val="00FF51AF"/>
    <w:rsid w:val="00FF5248"/>
    <w:rsid w:val="00FF52E2"/>
    <w:rsid w:val="00FF53A5"/>
    <w:rsid w:val="00FF55AA"/>
    <w:rsid w:val="00FF55E5"/>
    <w:rsid w:val="00FF5678"/>
    <w:rsid w:val="00FF56EC"/>
    <w:rsid w:val="00FF5805"/>
    <w:rsid w:val="00FF5A99"/>
    <w:rsid w:val="00FF5BE4"/>
    <w:rsid w:val="00FF5E48"/>
    <w:rsid w:val="00FF5FD8"/>
    <w:rsid w:val="00FF5FED"/>
    <w:rsid w:val="00FF60C4"/>
    <w:rsid w:val="00FF612E"/>
    <w:rsid w:val="00FF6302"/>
    <w:rsid w:val="00FF6374"/>
    <w:rsid w:val="00FF6595"/>
    <w:rsid w:val="00FF6879"/>
    <w:rsid w:val="00FF6883"/>
    <w:rsid w:val="00FF69B6"/>
    <w:rsid w:val="00FF69EF"/>
    <w:rsid w:val="00FF6A46"/>
    <w:rsid w:val="00FF6AEF"/>
    <w:rsid w:val="00FF6BE3"/>
    <w:rsid w:val="00FF6DF3"/>
    <w:rsid w:val="00FF6F08"/>
    <w:rsid w:val="00FF6F4D"/>
    <w:rsid w:val="00FF7109"/>
    <w:rsid w:val="00FF71A4"/>
    <w:rsid w:val="00FF735E"/>
    <w:rsid w:val="00FF74E8"/>
    <w:rsid w:val="00FF7568"/>
    <w:rsid w:val="00FF77F0"/>
    <w:rsid w:val="00FF789C"/>
    <w:rsid w:val="00FF78B2"/>
    <w:rsid w:val="00FF7B29"/>
    <w:rsid w:val="00FF7B89"/>
    <w:rsid w:val="00FF7BC1"/>
    <w:rsid w:val="00FF7D25"/>
    <w:rsid w:val="00FF7F23"/>
    <w:rsid w:val="00FF7F6E"/>
    <w:rsid w:val="00FF7FCD"/>
    <w:rsid w:val="010B8A32"/>
    <w:rsid w:val="010E0DD6"/>
    <w:rsid w:val="0118F3FF"/>
    <w:rsid w:val="013AA05D"/>
    <w:rsid w:val="013ACB2D"/>
    <w:rsid w:val="013CEB73"/>
    <w:rsid w:val="013EDA98"/>
    <w:rsid w:val="0140B23E"/>
    <w:rsid w:val="01429BDB"/>
    <w:rsid w:val="0143A9E0"/>
    <w:rsid w:val="01564742"/>
    <w:rsid w:val="015FC2EE"/>
    <w:rsid w:val="0162575C"/>
    <w:rsid w:val="0165202A"/>
    <w:rsid w:val="0165E237"/>
    <w:rsid w:val="0168D9FE"/>
    <w:rsid w:val="016DC774"/>
    <w:rsid w:val="016DD800"/>
    <w:rsid w:val="01739E72"/>
    <w:rsid w:val="0175E93C"/>
    <w:rsid w:val="0178C9F4"/>
    <w:rsid w:val="017DD2A6"/>
    <w:rsid w:val="017FDCE8"/>
    <w:rsid w:val="0180146F"/>
    <w:rsid w:val="018156C0"/>
    <w:rsid w:val="01815DCF"/>
    <w:rsid w:val="01874310"/>
    <w:rsid w:val="0189909A"/>
    <w:rsid w:val="018A4447"/>
    <w:rsid w:val="018D96D5"/>
    <w:rsid w:val="0191340F"/>
    <w:rsid w:val="01A3CED0"/>
    <w:rsid w:val="01AD19A5"/>
    <w:rsid w:val="01B39FC9"/>
    <w:rsid w:val="01B638A3"/>
    <w:rsid w:val="01C278C4"/>
    <w:rsid w:val="01CBEB71"/>
    <w:rsid w:val="01CC3387"/>
    <w:rsid w:val="01D6EEED"/>
    <w:rsid w:val="01D977FC"/>
    <w:rsid w:val="01DCAEEF"/>
    <w:rsid w:val="01DE6A4D"/>
    <w:rsid w:val="01E33128"/>
    <w:rsid w:val="01F02079"/>
    <w:rsid w:val="01F0D3C8"/>
    <w:rsid w:val="01F572CF"/>
    <w:rsid w:val="01FC0707"/>
    <w:rsid w:val="01FCCA33"/>
    <w:rsid w:val="0200CD27"/>
    <w:rsid w:val="02010F39"/>
    <w:rsid w:val="0201579D"/>
    <w:rsid w:val="021828E4"/>
    <w:rsid w:val="02199C62"/>
    <w:rsid w:val="021A691D"/>
    <w:rsid w:val="021C80BA"/>
    <w:rsid w:val="021F43C1"/>
    <w:rsid w:val="0224ECF3"/>
    <w:rsid w:val="0229D752"/>
    <w:rsid w:val="022C7DFC"/>
    <w:rsid w:val="02375C1E"/>
    <w:rsid w:val="02455A3D"/>
    <w:rsid w:val="0245AABF"/>
    <w:rsid w:val="024E9417"/>
    <w:rsid w:val="024F39B5"/>
    <w:rsid w:val="0252B323"/>
    <w:rsid w:val="02578D84"/>
    <w:rsid w:val="025B913E"/>
    <w:rsid w:val="02635206"/>
    <w:rsid w:val="02667FB8"/>
    <w:rsid w:val="027317B1"/>
    <w:rsid w:val="0278923B"/>
    <w:rsid w:val="027C61A0"/>
    <w:rsid w:val="0282691A"/>
    <w:rsid w:val="02855340"/>
    <w:rsid w:val="02969617"/>
    <w:rsid w:val="029BD51B"/>
    <w:rsid w:val="029CE933"/>
    <w:rsid w:val="029FF003"/>
    <w:rsid w:val="02A6295F"/>
    <w:rsid w:val="02B010EE"/>
    <w:rsid w:val="02B3E27D"/>
    <w:rsid w:val="02BC20DA"/>
    <w:rsid w:val="02BC5488"/>
    <w:rsid w:val="02BE1B92"/>
    <w:rsid w:val="02C17DAF"/>
    <w:rsid w:val="02CCE7E8"/>
    <w:rsid w:val="02CD2D32"/>
    <w:rsid w:val="02CE1897"/>
    <w:rsid w:val="02D15802"/>
    <w:rsid w:val="02D597B4"/>
    <w:rsid w:val="02D65C23"/>
    <w:rsid w:val="02DB7978"/>
    <w:rsid w:val="02DFD391"/>
    <w:rsid w:val="02E2E980"/>
    <w:rsid w:val="02E95C64"/>
    <w:rsid w:val="02EBA87A"/>
    <w:rsid w:val="02EC5022"/>
    <w:rsid w:val="02F0C2A9"/>
    <w:rsid w:val="02F1D0E6"/>
    <w:rsid w:val="0300D77C"/>
    <w:rsid w:val="030F9CCF"/>
    <w:rsid w:val="0318B650"/>
    <w:rsid w:val="031FFAA3"/>
    <w:rsid w:val="032196B7"/>
    <w:rsid w:val="0323B8AB"/>
    <w:rsid w:val="03291B94"/>
    <w:rsid w:val="032AFF39"/>
    <w:rsid w:val="032C5091"/>
    <w:rsid w:val="032CE579"/>
    <w:rsid w:val="032F273C"/>
    <w:rsid w:val="0344A1AC"/>
    <w:rsid w:val="0356C6DE"/>
    <w:rsid w:val="0371085A"/>
    <w:rsid w:val="03714F2B"/>
    <w:rsid w:val="0378971A"/>
    <w:rsid w:val="0379F10E"/>
    <w:rsid w:val="037A29AA"/>
    <w:rsid w:val="037A585E"/>
    <w:rsid w:val="037CD7AB"/>
    <w:rsid w:val="0381D874"/>
    <w:rsid w:val="03864656"/>
    <w:rsid w:val="0391FC7B"/>
    <w:rsid w:val="03928364"/>
    <w:rsid w:val="039ADE28"/>
    <w:rsid w:val="039DA6CF"/>
    <w:rsid w:val="039E6722"/>
    <w:rsid w:val="03ADF20A"/>
    <w:rsid w:val="03BB95C7"/>
    <w:rsid w:val="03BBBE16"/>
    <w:rsid w:val="03C44E5B"/>
    <w:rsid w:val="03C533B9"/>
    <w:rsid w:val="03C601DA"/>
    <w:rsid w:val="03DBD883"/>
    <w:rsid w:val="03E2D8A3"/>
    <w:rsid w:val="03E8CA0D"/>
    <w:rsid w:val="03EB731F"/>
    <w:rsid w:val="03EBBE46"/>
    <w:rsid w:val="03EC2A6C"/>
    <w:rsid w:val="03FEA771"/>
    <w:rsid w:val="04068DA8"/>
    <w:rsid w:val="040B3985"/>
    <w:rsid w:val="0415081E"/>
    <w:rsid w:val="041566DE"/>
    <w:rsid w:val="0415B27A"/>
    <w:rsid w:val="0418EE99"/>
    <w:rsid w:val="0419B3B3"/>
    <w:rsid w:val="041D95B2"/>
    <w:rsid w:val="041DCEB3"/>
    <w:rsid w:val="042C2A2A"/>
    <w:rsid w:val="043083EF"/>
    <w:rsid w:val="0430BBC4"/>
    <w:rsid w:val="043ABD3E"/>
    <w:rsid w:val="0441E0D1"/>
    <w:rsid w:val="0442BC9A"/>
    <w:rsid w:val="04480952"/>
    <w:rsid w:val="0448E313"/>
    <w:rsid w:val="04582340"/>
    <w:rsid w:val="045E304D"/>
    <w:rsid w:val="045F9D79"/>
    <w:rsid w:val="0461DBEC"/>
    <w:rsid w:val="04669E3B"/>
    <w:rsid w:val="0468661B"/>
    <w:rsid w:val="046F404E"/>
    <w:rsid w:val="0476D9DA"/>
    <w:rsid w:val="047A4183"/>
    <w:rsid w:val="047D3C5C"/>
    <w:rsid w:val="0496928D"/>
    <w:rsid w:val="04971837"/>
    <w:rsid w:val="049B7F5A"/>
    <w:rsid w:val="049DC50F"/>
    <w:rsid w:val="04AC68B5"/>
    <w:rsid w:val="04AC7A51"/>
    <w:rsid w:val="04B2018B"/>
    <w:rsid w:val="04B3107A"/>
    <w:rsid w:val="04BAEBF0"/>
    <w:rsid w:val="04C332A9"/>
    <w:rsid w:val="04CF7383"/>
    <w:rsid w:val="04D3A9B2"/>
    <w:rsid w:val="04DA5064"/>
    <w:rsid w:val="04DCD56D"/>
    <w:rsid w:val="04E8A33A"/>
    <w:rsid w:val="04EF4A1D"/>
    <w:rsid w:val="04F7209D"/>
    <w:rsid w:val="04FBF61C"/>
    <w:rsid w:val="04FD9AFC"/>
    <w:rsid w:val="05104BCC"/>
    <w:rsid w:val="051E10BD"/>
    <w:rsid w:val="052068C7"/>
    <w:rsid w:val="05263E34"/>
    <w:rsid w:val="05283E58"/>
    <w:rsid w:val="053BFA1D"/>
    <w:rsid w:val="054169C3"/>
    <w:rsid w:val="054178C8"/>
    <w:rsid w:val="05427DBE"/>
    <w:rsid w:val="05463795"/>
    <w:rsid w:val="0547DFFC"/>
    <w:rsid w:val="0547F1ED"/>
    <w:rsid w:val="0549C9EF"/>
    <w:rsid w:val="0549F8FD"/>
    <w:rsid w:val="054E3668"/>
    <w:rsid w:val="054FC4AF"/>
    <w:rsid w:val="05529F09"/>
    <w:rsid w:val="0559C73F"/>
    <w:rsid w:val="05646783"/>
    <w:rsid w:val="0564795D"/>
    <w:rsid w:val="05697320"/>
    <w:rsid w:val="056ADB70"/>
    <w:rsid w:val="0578A044"/>
    <w:rsid w:val="05847D77"/>
    <w:rsid w:val="05858FF3"/>
    <w:rsid w:val="058D0601"/>
    <w:rsid w:val="0594F4B2"/>
    <w:rsid w:val="0599A04E"/>
    <w:rsid w:val="05A0FD0E"/>
    <w:rsid w:val="05A10A3F"/>
    <w:rsid w:val="05A1D262"/>
    <w:rsid w:val="05B4DA92"/>
    <w:rsid w:val="05B89EE5"/>
    <w:rsid w:val="05BA175A"/>
    <w:rsid w:val="05BF1082"/>
    <w:rsid w:val="05C05601"/>
    <w:rsid w:val="05C52483"/>
    <w:rsid w:val="05C75956"/>
    <w:rsid w:val="05C7915A"/>
    <w:rsid w:val="05C9311B"/>
    <w:rsid w:val="05CB05CF"/>
    <w:rsid w:val="05CE65C0"/>
    <w:rsid w:val="05D44BD3"/>
    <w:rsid w:val="05D5D433"/>
    <w:rsid w:val="05E0F6DE"/>
    <w:rsid w:val="05E2069B"/>
    <w:rsid w:val="05E3AE4B"/>
    <w:rsid w:val="05EE8DC3"/>
    <w:rsid w:val="05F6CB80"/>
    <w:rsid w:val="06169EE0"/>
    <w:rsid w:val="0618151B"/>
    <w:rsid w:val="06211802"/>
    <w:rsid w:val="0623AB69"/>
    <w:rsid w:val="06242C35"/>
    <w:rsid w:val="0624585C"/>
    <w:rsid w:val="0626D647"/>
    <w:rsid w:val="062C3C95"/>
    <w:rsid w:val="062D8E80"/>
    <w:rsid w:val="062DE140"/>
    <w:rsid w:val="06311974"/>
    <w:rsid w:val="06339472"/>
    <w:rsid w:val="06360BCA"/>
    <w:rsid w:val="063BCCA0"/>
    <w:rsid w:val="06442150"/>
    <w:rsid w:val="0644399C"/>
    <w:rsid w:val="0649685A"/>
    <w:rsid w:val="064EE33C"/>
    <w:rsid w:val="064F9308"/>
    <w:rsid w:val="065188FC"/>
    <w:rsid w:val="065ABC98"/>
    <w:rsid w:val="0664F757"/>
    <w:rsid w:val="06670570"/>
    <w:rsid w:val="066A708D"/>
    <w:rsid w:val="066E5AD1"/>
    <w:rsid w:val="066F3D46"/>
    <w:rsid w:val="06880E7C"/>
    <w:rsid w:val="068AD23B"/>
    <w:rsid w:val="068BABEB"/>
    <w:rsid w:val="068E76C7"/>
    <w:rsid w:val="0696554F"/>
    <w:rsid w:val="0697B6BF"/>
    <w:rsid w:val="0697F850"/>
    <w:rsid w:val="069F89A0"/>
    <w:rsid w:val="06A41983"/>
    <w:rsid w:val="06A7C9B9"/>
    <w:rsid w:val="06A8F0A5"/>
    <w:rsid w:val="06ADA548"/>
    <w:rsid w:val="06B02157"/>
    <w:rsid w:val="06BFAEC0"/>
    <w:rsid w:val="06CAB13C"/>
    <w:rsid w:val="06CBE257"/>
    <w:rsid w:val="06D9268D"/>
    <w:rsid w:val="06DC2035"/>
    <w:rsid w:val="06DC2F9F"/>
    <w:rsid w:val="06E2E38C"/>
    <w:rsid w:val="06E44D87"/>
    <w:rsid w:val="06E74A01"/>
    <w:rsid w:val="06F27785"/>
    <w:rsid w:val="06FF7394"/>
    <w:rsid w:val="0704F138"/>
    <w:rsid w:val="070C44C0"/>
    <w:rsid w:val="070D00A8"/>
    <w:rsid w:val="07116565"/>
    <w:rsid w:val="071A1E6D"/>
    <w:rsid w:val="071C9924"/>
    <w:rsid w:val="072208DA"/>
    <w:rsid w:val="07283B02"/>
    <w:rsid w:val="072D97E6"/>
    <w:rsid w:val="07352B3C"/>
    <w:rsid w:val="073BDE81"/>
    <w:rsid w:val="07416A07"/>
    <w:rsid w:val="074DDB1D"/>
    <w:rsid w:val="075A6906"/>
    <w:rsid w:val="075CBCB1"/>
    <w:rsid w:val="076C6C06"/>
    <w:rsid w:val="076CB907"/>
    <w:rsid w:val="077870F8"/>
    <w:rsid w:val="077FDEA4"/>
    <w:rsid w:val="07873FD0"/>
    <w:rsid w:val="0789BCA5"/>
    <w:rsid w:val="07929B0A"/>
    <w:rsid w:val="07A3F330"/>
    <w:rsid w:val="07A6E8FE"/>
    <w:rsid w:val="07A90106"/>
    <w:rsid w:val="07AFAD92"/>
    <w:rsid w:val="07B211B9"/>
    <w:rsid w:val="07B52805"/>
    <w:rsid w:val="07B6B428"/>
    <w:rsid w:val="07BB0EE9"/>
    <w:rsid w:val="07BBF807"/>
    <w:rsid w:val="07BEFC36"/>
    <w:rsid w:val="07C1D7FA"/>
    <w:rsid w:val="07CA0881"/>
    <w:rsid w:val="07D07994"/>
    <w:rsid w:val="07D6915D"/>
    <w:rsid w:val="07D747EC"/>
    <w:rsid w:val="07DD9367"/>
    <w:rsid w:val="07DE51CD"/>
    <w:rsid w:val="07DE9DD4"/>
    <w:rsid w:val="07E46F98"/>
    <w:rsid w:val="07E8D069"/>
    <w:rsid w:val="07EE40F2"/>
    <w:rsid w:val="07F1DF2E"/>
    <w:rsid w:val="07FD8B5F"/>
    <w:rsid w:val="08005C3C"/>
    <w:rsid w:val="08024DE1"/>
    <w:rsid w:val="0803F48C"/>
    <w:rsid w:val="0804F63F"/>
    <w:rsid w:val="0805E6E1"/>
    <w:rsid w:val="0809A4C0"/>
    <w:rsid w:val="080FA4AF"/>
    <w:rsid w:val="0816FE54"/>
    <w:rsid w:val="081A704E"/>
    <w:rsid w:val="081EEBFE"/>
    <w:rsid w:val="08218933"/>
    <w:rsid w:val="0821F2E4"/>
    <w:rsid w:val="0822C04F"/>
    <w:rsid w:val="08304F42"/>
    <w:rsid w:val="08335645"/>
    <w:rsid w:val="08361267"/>
    <w:rsid w:val="083F6FF2"/>
    <w:rsid w:val="0842B598"/>
    <w:rsid w:val="084DD8EB"/>
    <w:rsid w:val="0851AAF9"/>
    <w:rsid w:val="085A3411"/>
    <w:rsid w:val="08637990"/>
    <w:rsid w:val="08698136"/>
    <w:rsid w:val="0872632F"/>
    <w:rsid w:val="087C0CC8"/>
    <w:rsid w:val="087F6877"/>
    <w:rsid w:val="08800696"/>
    <w:rsid w:val="08818394"/>
    <w:rsid w:val="08823098"/>
    <w:rsid w:val="0882B3CE"/>
    <w:rsid w:val="088304EE"/>
    <w:rsid w:val="0889A511"/>
    <w:rsid w:val="088C411B"/>
    <w:rsid w:val="088D0EAD"/>
    <w:rsid w:val="08940E21"/>
    <w:rsid w:val="08947AC1"/>
    <w:rsid w:val="0896592A"/>
    <w:rsid w:val="0896C486"/>
    <w:rsid w:val="08A69F7F"/>
    <w:rsid w:val="08A8851E"/>
    <w:rsid w:val="08AA0A3E"/>
    <w:rsid w:val="08B5E174"/>
    <w:rsid w:val="08B9ACA3"/>
    <w:rsid w:val="08C902F9"/>
    <w:rsid w:val="08CC80BE"/>
    <w:rsid w:val="08CD061E"/>
    <w:rsid w:val="08D4F45C"/>
    <w:rsid w:val="08DC5EA4"/>
    <w:rsid w:val="08DCAD17"/>
    <w:rsid w:val="08DFE723"/>
    <w:rsid w:val="08E10E9A"/>
    <w:rsid w:val="08E22DA1"/>
    <w:rsid w:val="08E40A38"/>
    <w:rsid w:val="08E5488A"/>
    <w:rsid w:val="08EB8439"/>
    <w:rsid w:val="08EF1E7E"/>
    <w:rsid w:val="08F16F26"/>
    <w:rsid w:val="08F2EE39"/>
    <w:rsid w:val="08F588C8"/>
    <w:rsid w:val="08FAA38E"/>
    <w:rsid w:val="08FAB93B"/>
    <w:rsid w:val="08FC5EFE"/>
    <w:rsid w:val="08FDC7C7"/>
    <w:rsid w:val="0909A0A3"/>
    <w:rsid w:val="09158294"/>
    <w:rsid w:val="09170718"/>
    <w:rsid w:val="09192D40"/>
    <w:rsid w:val="0921D184"/>
    <w:rsid w:val="09225ABD"/>
    <w:rsid w:val="092A39E1"/>
    <w:rsid w:val="092BB5C9"/>
    <w:rsid w:val="092FE5AF"/>
    <w:rsid w:val="093008C1"/>
    <w:rsid w:val="093330B8"/>
    <w:rsid w:val="09437075"/>
    <w:rsid w:val="094DE7C6"/>
    <w:rsid w:val="0953A4E6"/>
    <w:rsid w:val="0955C043"/>
    <w:rsid w:val="095FE8B4"/>
    <w:rsid w:val="095FFD44"/>
    <w:rsid w:val="096223CD"/>
    <w:rsid w:val="0963A89D"/>
    <w:rsid w:val="0972B965"/>
    <w:rsid w:val="09772F31"/>
    <w:rsid w:val="097AD257"/>
    <w:rsid w:val="097B12F7"/>
    <w:rsid w:val="097E1D55"/>
    <w:rsid w:val="097F9F8F"/>
    <w:rsid w:val="09829C70"/>
    <w:rsid w:val="0986D133"/>
    <w:rsid w:val="09879E43"/>
    <w:rsid w:val="0987FA83"/>
    <w:rsid w:val="098C809F"/>
    <w:rsid w:val="09935689"/>
    <w:rsid w:val="09947334"/>
    <w:rsid w:val="09953A05"/>
    <w:rsid w:val="09974DB6"/>
    <w:rsid w:val="099D9A04"/>
    <w:rsid w:val="09AD935D"/>
    <w:rsid w:val="09ADF92D"/>
    <w:rsid w:val="09B2A185"/>
    <w:rsid w:val="09B7F740"/>
    <w:rsid w:val="09BF1442"/>
    <w:rsid w:val="09C01FB5"/>
    <w:rsid w:val="09C9E391"/>
    <w:rsid w:val="09CBFBCD"/>
    <w:rsid w:val="09CE7B15"/>
    <w:rsid w:val="09D3B1CE"/>
    <w:rsid w:val="09D9EA25"/>
    <w:rsid w:val="09DCC882"/>
    <w:rsid w:val="09E561E3"/>
    <w:rsid w:val="09E7BAD4"/>
    <w:rsid w:val="09E86665"/>
    <w:rsid w:val="09F7B891"/>
    <w:rsid w:val="09FA3C61"/>
    <w:rsid w:val="0A00A1E1"/>
    <w:rsid w:val="0A06FC6A"/>
    <w:rsid w:val="0A0A8045"/>
    <w:rsid w:val="0A0BBE93"/>
    <w:rsid w:val="0A12DB74"/>
    <w:rsid w:val="0A172BD8"/>
    <w:rsid w:val="0A1BBE16"/>
    <w:rsid w:val="0A241122"/>
    <w:rsid w:val="0A28FB4D"/>
    <w:rsid w:val="0A35F40E"/>
    <w:rsid w:val="0A40C26B"/>
    <w:rsid w:val="0A414BAF"/>
    <w:rsid w:val="0A4345A4"/>
    <w:rsid w:val="0A45AE5C"/>
    <w:rsid w:val="0A4DAE8D"/>
    <w:rsid w:val="0A4E5A98"/>
    <w:rsid w:val="0A516FD7"/>
    <w:rsid w:val="0A51EB3A"/>
    <w:rsid w:val="0A5BCE2D"/>
    <w:rsid w:val="0A5FE723"/>
    <w:rsid w:val="0A632AE8"/>
    <w:rsid w:val="0A679D72"/>
    <w:rsid w:val="0A723128"/>
    <w:rsid w:val="0A735F8D"/>
    <w:rsid w:val="0A78AA20"/>
    <w:rsid w:val="0A792217"/>
    <w:rsid w:val="0A80DA63"/>
    <w:rsid w:val="0A8764F2"/>
    <w:rsid w:val="0A882D62"/>
    <w:rsid w:val="0AA042C9"/>
    <w:rsid w:val="0AA62C69"/>
    <w:rsid w:val="0AAA2B75"/>
    <w:rsid w:val="0AAA746B"/>
    <w:rsid w:val="0AB169F7"/>
    <w:rsid w:val="0AB30833"/>
    <w:rsid w:val="0AB85DE4"/>
    <w:rsid w:val="0AB92099"/>
    <w:rsid w:val="0AC16539"/>
    <w:rsid w:val="0AC528F2"/>
    <w:rsid w:val="0AC9384D"/>
    <w:rsid w:val="0ACD391A"/>
    <w:rsid w:val="0ACF6DE3"/>
    <w:rsid w:val="0AE07B86"/>
    <w:rsid w:val="0AE55DE2"/>
    <w:rsid w:val="0AE8523F"/>
    <w:rsid w:val="0AEA8BCB"/>
    <w:rsid w:val="0AEC4888"/>
    <w:rsid w:val="0AEC5570"/>
    <w:rsid w:val="0AF6B3C2"/>
    <w:rsid w:val="0AF7715B"/>
    <w:rsid w:val="0B0576AB"/>
    <w:rsid w:val="0B06A888"/>
    <w:rsid w:val="0B10E56D"/>
    <w:rsid w:val="0B183797"/>
    <w:rsid w:val="0B1CB109"/>
    <w:rsid w:val="0B2679BB"/>
    <w:rsid w:val="0B2AE2C5"/>
    <w:rsid w:val="0B2F867F"/>
    <w:rsid w:val="0B347BFE"/>
    <w:rsid w:val="0B3C01C0"/>
    <w:rsid w:val="0B4EA899"/>
    <w:rsid w:val="0B5BD8A1"/>
    <w:rsid w:val="0B60C794"/>
    <w:rsid w:val="0B6305F9"/>
    <w:rsid w:val="0B63D025"/>
    <w:rsid w:val="0B72A390"/>
    <w:rsid w:val="0B754290"/>
    <w:rsid w:val="0B7EB597"/>
    <w:rsid w:val="0B811ABF"/>
    <w:rsid w:val="0B8582AB"/>
    <w:rsid w:val="0B900E42"/>
    <w:rsid w:val="0B9C555F"/>
    <w:rsid w:val="0B9EF50C"/>
    <w:rsid w:val="0BA60591"/>
    <w:rsid w:val="0BB59432"/>
    <w:rsid w:val="0BC641A8"/>
    <w:rsid w:val="0BC7E721"/>
    <w:rsid w:val="0BCD0CA8"/>
    <w:rsid w:val="0BD48EEB"/>
    <w:rsid w:val="0BD6D729"/>
    <w:rsid w:val="0BD92011"/>
    <w:rsid w:val="0BD9534A"/>
    <w:rsid w:val="0BDA129C"/>
    <w:rsid w:val="0BDDEF7B"/>
    <w:rsid w:val="0BE3E777"/>
    <w:rsid w:val="0BE5F0A4"/>
    <w:rsid w:val="0BEABDC2"/>
    <w:rsid w:val="0BEB662E"/>
    <w:rsid w:val="0BF91E3F"/>
    <w:rsid w:val="0BFBD783"/>
    <w:rsid w:val="0BFE7350"/>
    <w:rsid w:val="0C0DC966"/>
    <w:rsid w:val="0C0E47F2"/>
    <w:rsid w:val="0C0E629C"/>
    <w:rsid w:val="0C127FF6"/>
    <w:rsid w:val="0C19A603"/>
    <w:rsid w:val="0C25752A"/>
    <w:rsid w:val="0C2A830C"/>
    <w:rsid w:val="0C2ACD69"/>
    <w:rsid w:val="0C365568"/>
    <w:rsid w:val="0C3FD821"/>
    <w:rsid w:val="0C402E0C"/>
    <w:rsid w:val="0C42E360"/>
    <w:rsid w:val="0C4D7E5C"/>
    <w:rsid w:val="0C4F696F"/>
    <w:rsid w:val="0C509B31"/>
    <w:rsid w:val="0C57F78F"/>
    <w:rsid w:val="0C5EF3AD"/>
    <w:rsid w:val="0C6C1FB3"/>
    <w:rsid w:val="0C7256CC"/>
    <w:rsid w:val="0C7FD6C6"/>
    <w:rsid w:val="0C8192EA"/>
    <w:rsid w:val="0C831D08"/>
    <w:rsid w:val="0C846009"/>
    <w:rsid w:val="0C897C93"/>
    <w:rsid w:val="0C8E3D05"/>
    <w:rsid w:val="0C96234B"/>
    <w:rsid w:val="0C977EF8"/>
    <w:rsid w:val="0C9C126E"/>
    <w:rsid w:val="0CA20C3D"/>
    <w:rsid w:val="0CA51993"/>
    <w:rsid w:val="0CAE2826"/>
    <w:rsid w:val="0CB4D2B1"/>
    <w:rsid w:val="0CBC10AC"/>
    <w:rsid w:val="0CC30177"/>
    <w:rsid w:val="0CC4F924"/>
    <w:rsid w:val="0CC73B13"/>
    <w:rsid w:val="0CC8466A"/>
    <w:rsid w:val="0CD0E514"/>
    <w:rsid w:val="0CD40C85"/>
    <w:rsid w:val="0CD7F6A5"/>
    <w:rsid w:val="0CDA7A15"/>
    <w:rsid w:val="0CE27EF9"/>
    <w:rsid w:val="0CE39EB2"/>
    <w:rsid w:val="0CE4EF58"/>
    <w:rsid w:val="0CE50AEC"/>
    <w:rsid w:val="0CE5A683"/>
    <w:rsid w:val="0CEE6F4F"/>
    <w:rsid w:val="0CEF547F"/>
    <w:rsid w:val="0CFA801A"/>
    <w:rsid w:val="0D04015C"/>
    <w:rsid w:val="0D066683"/>
    <w:rsid w:val="0D19DA85"/>
    <w:rsid w:val="0D234924"/>
    <w:rsid w:val="0D26BB25"/>
    <w:rsid w:val="0D27A719"/>
    <w:rsid w:val="0D2B438E"/>
    <w:rsid w:val="0D2F4F37"/>
    <w:rsid w:val="0D38AB30"/>
    <w:rsid w:val="0D412287"/>
    <w:rsid w:val="0D417065"/>
    <w:rsid w:val="0D4D8F3C"/>
    <w:rsid w:val="0D5600C2"/>
    <w:rsid w:val="0D5D6B9A"/>
    <w:rsid w:val="0D601471"/>
    <w:rsid w:val="0D61A826"/>
    <w:rsid w:val="0D715F2A"/>
    <w:rsid w:val="0D71F6F2"/>
    <w:rsid w:val="0D74C98D"/>
    <w:rsid w:val="0D75231D"/>
    <w:rsid w:val="0D75A702"/>
    <w:rsid w:val="0D7A043C"/>
    <w:rsid w:val="0D7B6331"/>
    <w:rsid w:val="0D8250D9"/>
    <w:rsid w:val="0D859721"/>
    <w:rsid w:val="0D8756D3"/>
    <w:rsid w:val="0D87AC29"/>
    <w:rsid w:val="0D8C2B94"/>
    <w:rsid w:val="0D91F95D"/>
    <w:rsid w:val="0D968678"/>
    <w:rsid w:val="0D99E1BB"/>
    <w:rsid w:val="0DA3474A"/>
    <w:rsid w:val="0DA54088"/>
    <w:rsid w:val="0DA8A923"/>
    <w:rsid w:val="0DA93E23"/>
    <w:rsid w:val="0DA95F44"/>
    <w:rsid w:val="0DA9A872"/>
    <w:rsid w:val="0DAACCCA"/>
    <w:rsid w:val="0DAD1A1A"/>
    <w:rsid w:val="0DB3C02A"/>
    <w:rsid w:val="0DBA8781"/>
    <w:rsid w:val="0DBFE9A4"/>
    <w:rsid w:val="0DC19747"/>
    <w:rsid w:val="0DCB10A2"/>
    <w:rsid w:val="0DCF19F3"/>
    <w:rsid w:val="0DD3C883"/>
    <w:rsid w:val="0DD7095B"/>
    <w:rsid w:val="0DDF4C04"/>
    <w:rsid w:val="0DE37EAC"/>
    <w:rsid w:val="0DE8A748"/>
    <w:rsid w:val="0DF046A1"/>
    <w:rsid w:val="0DF2A92E"/>
    <w:rsid w:val="0DF8ED45"/>
    <w:rsid w:val="0E151A88"/>
    <w:rsid w:val="0E1884DF"/>
    <w:rsid w:val="0E19DE21"/>
    <w:rsid w:val="0E1EEDA6"/>
    <w:rsid w:val="0E2867FA"/>
    <w:rsid w:val="0E28E8CD"/>
    <w:rsid w:val="0E29EECB"/>
    <w:rsid w:val="0E3A7106"/>
    <w:rsid w:val="0E4343C5"/>
    <w:rsid w:val="0E44E1F5"/>
    <w:rsid w:val="0E493C21"/>
    <w:rsid w:val="0E4B49B9"/>
    <w:rsid w:val="0E515965"/>
    <w:rsid w:val="0E55B93A"/>
    <w:rsid w:val="0E5FE1B8"/>
    <w:rsid w:val="0E61949B"/>
    <w:rsid w:val="0E6A8A98"/>
    <w:rsid w:val="0E6C3298"/>
    <w:rsid w:val="0E6C3ECE"/>
    <w:rsid w:val="0E6F8F33"/>
    <w:rsid w:val="0E78C010"/>
    <w:rsid w:val="0E7A6752"/>
    <w:rsid w:val="0E7C5DEF"/>
    <w:rsid w:val="0E7C753A"/>
    <w:rsid w:val="0E7D69F4"/>
    <w:rsid w:val="0E88F5F2"/>
    <w:rsid w:val="0E8D99A7"/>
    <w:rsid w:val="0E8F7EFD"/>
    <w:rsid w:val="0E9185B2"/>
    <w:rsid w:val="0E95B542"/>
    <w:rsid w:val="0E96A25B"/>
    <w:rsid w:val="0E9C0488"/>
    <w:rsid w:val="0E9D4718"/>
    <w:rsid w:val="0EA0D269"/>
    <w:rsid w:val="0EA79137"/>
    <w:rsid w:val="0EAB1E72"/>
    <w:rsid w:val="0EB53FCE"/>
    <w:rsid w:val="0EB96283"/>
    <w:rsid w:val="0EB9EAC6"/>
    <w:rsid w:val="0EBA6439"/>
    <w:rsid w:val="0ECD1C73"/>
    <w:rsid w:val="0ECDCE20"/>
    <w:rsid w:val="0ED02464"/>
    <w:rsid w:val="0ED12FBA"/>
    <w:rsid w:val="0ED25653"/>
    <w:rsid w:val="0ED369F1"/>
    <w:rsid w:val="0EEC81F6"/>
    <w:rsid w:val="0EF76F73"/>
    <w:rsid w:val="0EFA2F10"/>
    <w:rsid w:val="0EFE78F6"/>
    <w:rsid w:val="0F0A45A2"/>
    <w:rsid w:val="0F12DF50"/>
    <w:rsid w:val="0F13463C"/>
    <w:rsid w:val="0F1709E5"/>
    <w:rsid w:val="0F1B18B8"/>
    <w:rsid w:val="0F1C2660"/>
    <w:rsid w:val="0F246700"/>
    <w:rsid w:val="0F2BDF77"/>
    <w:rsid w:val="0F2FB5AF"/>
    <w:rsid w:val="0F30A78F"/>
    <w:rsid w:val="0F34ACE7"/>
    <w:rsid w:val="0F470611"/>
    <w:rsid w:val="0F4AD90E"/>
    <w:rsid w:val="0F4BC2C3"/>
    <w:rsid w:val="0F57A6F8"/>
    <w:rsid w:val="0F5945E7"/>
    <w:rsid w:val="0F5A4019"/>
    <w:rsid w:val="0F5D696C"/>
    <w:rsid w:val="0F6D0040"/>
    <w:rsid w:val="0F6EBF28"/>
    <w:rsid w:val="0F739FA8"/>
    <w:rsid w:val="0F7A2672"/>
    <w:rsid w:val="0F7C9BA0"/>
    <w:rsid w:val="0F8560A6"/>
    <w:rsid w:val="0F86464B"/>
    <w:rsid w:val="0F86A1DA"/>
    <w:rsid w:val="0F87F7BB"/>
    <w:rsid w:val="0F8A0B1B"/>
    <w:rsid w:val="0F8B4B1E"/>
    <w:rsid w:val="0F8D083F"/>
    <w:rsid w:val="0F8E1C33"/>
    <w:rsid w:val="0F94180D"/>
    <w:rsid w:val="0F986DC2"/>
    <w:rsid w:val="0FA0E767"/>
    <w:rsid w:val="0FA45799"/>
    <w:rsid w:val="0FB2C91C"/>
    <w:rsid w:val="0FB323D7"/>
    <w:rsid w:val="0FB3B19F"/>
    <w:rsid w:val="0FB62BC7"/>
    <w:rsid w:val="0FB72F1F"/>
    <w:rsid w:val="0FBD63AF"/>
    <w:rsid w:val="0FC66F4D"/>
    <w:rsid w:val="0FCB51AC"/>
    <w:rsid w:val="0FD1BE54"/>
    <w:rsid w:val="0FD23C3D"/>
    <w:rsid w:val="0FD5AED0"/>
    <w:rsid w:val="0FD7DED2"/>
    <w:rsid w:val="0FDE1C16"/>
    <w:rsid w:val="0FE0E432"/>
    <w:rsid w:val="0FE13AD8"/>
    <w:rsid w:val="0FE6F5F4"/>
    <w:rsid w:val="0FE7CAFC"/>
    <w:rsid w:val="0FF16650"/>
    <w:rsid w:val="0FF568A7"/>
    <w:rsid w:val="0FF74EEB"/>
    <w:rsid w:val="10168228"/>
    <w:rsid w:val="101A51ED"/>
    <w:rsid w:val="101BF177"/>
    <w:rsid w:val="101C0D16"/>
    <w:rsid w:val="102F2DA3"/>
    <w:rsid w:val="103BC29B"/>
    <w:rsid w:val="103CC306"/>
    <w:rsid w:val="103DEE70"/>
    <w:rsid w:val="10427F14"/>
    <w:rsid w:val="1042C07A"/>
    <w:rsid w:val="104856C8"/>
    <w:rsid w:val="10491B13"/>
    <w:rsid w:val="105989E8"/>
    <w:rsid w:val="105BEB60"/>
    <w:rsid w:val="105FA4BA"/>
    <w:rsid w:val="106077CC"/>
    <w:rsid w:val="10666EB4"/>
    <w:rsid w:val="107005FD"/>
    <w:rsid w:val="1079DD39"/>
    <w:rsid w:val="107E1358"/>
    <w:rsid w:val="107EE17B"/>
    <w:rsid w:val="10824243"/>
    <w:rsid w:val="10836C77"/>
    <w:rsid w:val="10878980"/>
    <w:rsid w:val="108DD71E"/>
    <w:rsid w:val="10918666"/>
    <w:rsid w:val="10A199D2"/>
    <w:rsid w:val="10A4B62B"/>
    <w:rsid w:val="10A97307"/>
    <w:rsid w:val="10AB2156"/>
    <w:rsid w:val="10B0449F"/>
    <w:rsid w:val="10B11077"/>
    <w:rsid w:val="10B6B0C5"/>
    <w:rsid w:val="10BD299C"/>
    <w:rsid w:val="10C08E5B"/>
    <w:rsid w:val="10C0B729"/>
    <w:rsid w:val="10C345E3"/>
    <w:rsid w:val="10C6578F"/>
    <w:rsid w:val="10CFB945"/>
    <w:rsid w:val="10D6E589"/>
    <w:rsid w:val="10DA6364"/>
    <w:rsid w:val="10DDB054"/>
    <w:rsid w:val="10E6089B"/>
    <w:rsid w:val="10E772EA"/>
    <w:rsid w:val="10FCF480"/>
    <w:rsid w:val="10FDDCA3"/>
    <w:rsid w:val="11056946"/>
    <w:rsid w:val="11064F93"/>
    <w:rsid w:val="110CB7B1"/>
    <w:rsid w:val="1112E6BC"/>
    <w:rsid w:val="1115004B"/>
    <w:rsid w:val="111EF78A"/>
    <w:rsid w:val="1121A7E2"/>
    <w:rsid w:val="112432EA"/>
    <w:rsid w:val="112CE6E3"/>
    <w:rsid w:val="113CABAC"/>
    <w:rsid w:val="1144EB3A"/>
    <w:rsid w:val="11469938"/>
    <w:rsid w:val="114A24D9"/>
    <w:rsid w:val="114C6B6E"/>
    <w:rsid w:val="11543F49"/>
    <w:rsid w:val="11545425"/>
    <w:rsid w:val="1159759C"/>
    <w:rsid w:val="115AD2B1"/>
    <w:rsid w:val="1161E6ED"/>
    <w:rsid w:val="1164BF73"/>
    <w:rsid w:val="1165A45E"/>
    <w:rsid w:val="1165EE9F"/>
    <w:rsid w:val="11694DFE"/>
    <w:rsid w:val="11891DDD"/>
    <w:rsid w:val="118A369A"/>
    <w:rsid w:val="1199C071"/>
    <w:rsid w:val="1199C317"/>
    <w:rsid w:val="11A344B3"/>
    <w:rsid w:val="11A3E5AC"/>
    <w:rsid w:val="11A40139"/>
    <w:rsid w:val="11A8799B"/>
    <w:rsid w:val="11AA1923"/>
    <w:rsid w:val="11B729EA"/>
    <w:rsid w:val="11B7D71B"/>
    <w:rsid w:val="11B9B45F"/>
    <w:rsid w:val="11C40282"/>
    <w:rsid w:val="11C7A468"/>
    <w:rsid w:val="11D06094"/>
    <w:rsid w:val="11D37777"/>
    <w:rsid w:val="11D3E1B3"/>
    <w:rsid w:val="11D6C49B"/>
    <w:rsid w:val="11E39C7B"/>
    <w:rsid w:val="11E47101"/>
    <w:rsid w:val="11E88BFB"/>
    <w:rsid w:val="11EB6C64"/>
    <w:rsid w:val="11F20709"/>
    <w:rsid w:val="11F48F6A"/>
    <w:rsid w:val="11F94856"/>
    <w:rsid w:val="12006CCC"/>
    <w:rsid w:val="120153CA"/>
    <w:rsid w:val="1203A41C"/>
    <w:rsid w:val="120A3D80"/>
    <w:rsid w:val="120C223E"/>
    <w:rsid w:val="120D9D45"/>
    <w:rsid w:val="1211DA5C"/>
    <w:rsid w:val="1213AA22"/>
    <w:rsid w:val="1216D5A9"/>
    <w:rsid w:val="1219EA07"/>
    <w:rsid w:val="121E2CC5"/>
    <w:rsid w:val="12298C3D"/>
    <w:rsid w:val="1232354B"/>
    <w:rsid w:val="123A32A2"/>
    <w:rsid w:val="123A5EE5"/>
    <w:rsid w:val="12422AED"/>
    <w:rsid w:val="124F2475"/>
    <w:rsid w:val="1258575D"/>
    <w:rsid w:val="125AD1EA"/>
    <w:rsid w:val="125C79A5"/>
    <w:rsid w:val="125DFDE6"/>
    <w:rsid w:val="1263137C"/>
    <w:rsid w:val="12640A30"/>
    <w:rsid w:val="1271B077"/>
    <w:rsid w:val="12749879"/>
    <w:rsid w:val="1278270F"/>
    <w:rsid w:val="127AC920"/>
    <w:rsid w:val="127B7173"/>
    <w:rsid w:val="128CF1B9"/>
    <w:rsid w:val="128F5673"/>
    <w:rsid w:val="1290687D"/>
    <w:rsid w:val="129176B4"/>
    <w:rsid w:val="1294D63D"/>
    <w:rsid w:val="12989A7B"/>
    <w:rsid w:val="129AA9E2"/>
    <w:rsid w:val="129E8008"/>
    <w:rsid w:val="129FDB74"/>
    <w:rsid w:val="12A10D4E"/>
    <w:rsid w:val="12AEEDCD"/>
    <w:rsid w:val="12AF64DF"/>
    <w:rsid w:val="12B2B432"/>
    <w:rsid w:val="12B81349"/>
    <w:rsid w:val="12BD75B6"/>
    <w:rsid w:val="12BEA9B7"/>
    <w:rsid w:val="12BEE6F5"/>
    <w:rsid w:val="12C755AE"/>
    <w:rsid w:val="12CD3DA0"/>
    <w:rsid w:val="12CFB4EE"/>
    <w:rsid w:val="12D017CC"/>
    <w:rsid w:val="12D985E3"/>
    <w:rsid w:val="12DBF0AB"/>
    <w:rsid w:val="12E2CB28"/>
    <w:rsid w:val="12E5857D"/>
    <w:rsid w:val="12E68488"/>
    <w:rsid w:val="12E835EB"/>
    <w:rsid w:val="12EC4403"/>
    <w:rsid w:val="12EE4825"/>
    <w:rsid w:val="12F6C8BB"/>
    <w:rsid w:val="12F79304"/>
    <w:rsid w:val="12F88B43"/>
    <w:rsid w:val="130C5526"/>
    <w:rsid w:val="1311D7EA"/>
    <w:rsid w:val="131B2CAE"/>
    <w:rsid w:val="13239391"/>
    <w:rsid w:val="13257EF7"/>
    <w:rsid w:val="13309111"/>
    <w:rsid w:val="1336D8DC"/>
    <w:rsid w:val="133B71DF"/>
    <w:rsid w:val="133CD58B"/>
    <w:rsid w:val="133FA773"/>
    <w:rsid w:val="13496648"/>
    <w:rsid w:val="1349D7F4"/>
    <w:rsid w:val="135336CF"/>
    <w:rsid w:val="13538474"/>
    <w:rsid w:val="1354F0E6"/>
    <w:rsid w:val="13574465"/>
    <w:rsid w:val="135876F1"/>
    <w:rsid w:val="135A4B57"/>
    <w:rsid w:val="135E793C"/>
    <w:rsid w:val="13676548"/>
    <w:rsid w:val="136DB83D"/>
    <w:rsid w:val="1370B931"/>
    <w:rsid w:val="1374649B"/>
    <w:rsid w:val="137B8BA8"/>
    <w:rsid w:val="137CDC2D"/>
    <w:rsid w:val="137EE53D"/>
    <w:rsid w:val="138D13DE"/>
    <w:rsid w:val="139B2491"/>
    <w:rsid w:val="139EB840"/>
    <w:rsid w:val="139F1848"/>
    <w:rsid w:val="13A740EC"/>
    <w:rsid w:val="13ABCDF1"/>
    <w:rsid w:val="13ADB7CC"/>
    <w:rsid w:val="13ADC3A3"/>
    <w:rsid w:val="13B16ABD"/>
    <w:rsid w:val="13B32638"/>
    <w:rsid w:val="13BDC93A"/>
    <w:rsid w:val="13BEAF11"/>
    <w:rsid w:val="13C0958A"/>
    <w:rsid w:val="13C5026C"/>
    <w:rsid w:val="13CD9818"/>
    <w:rsid w:val="13D43F9A"/>
    <w:rsid w:val="13D65E87"/>
    <w:rsid w:val="13D7F288"/>
    <w:rsid w:val="13D872F7"/>
    <w:rsid w:val="13D89D18"/>
    <w:rsid w:val="13E88B30"/>
    <w:rsid w:val="13EB5422"/>
    <w:rsid w:val="1409593D"/>
    <w:rsid w:val="140A6A65"/>
    <w:rsid w:val="140B25D1"/>
    <w:rsid w:val="140DA306"/>
    <w:rsid w:val="141AFE34"/>
    <w:rsid w:val="141C3CC5"/>
    <w:rsid w:val="1421EAB7"/>
    <w:rsid w:val="1429543E"/>
    <w:rsid w:val="142D3495"/>
    <w:rsid w:val="142DF6A5"/>
    <w:rsid w:val="142EA0B6"/>
    <w:rsid w:val="1431F797"/>
    <w:rsid w:val="1433E30D"/>
    <w:rsid w:val="143E0425"/>
    <w:rsid w:val="14405B12"/>
    <w:rsid w:val="144BBF2D"/>
    <w:rsid w:val="1456E938"/>
    <w:rsid w:val="1461E82E"/>
    <w:rsid w:val="146397C9"/>
    <w:rsid w:val="1466498B"/>
    <w:rsid w:val="14687DA9"/>
    <w:rsid w:val="147E04E8"/>
    <w:rsid w:val="148E409A"/>
    <w:rsid w:val="14912CC3"/>
    <w:rsid w:val="14956119"/>
    <w:rsid w:val="1498E578"/>
    <w:rsid w:val="149CA51C"/>
    <w:rsid w:val="149DFBC6"/>
    <w:rsid w:val="149E0BD1"/>
    <w:rsid w:val="14A21E57"/>
    <w:rsid w:val="14A76A5F"/>
    <w:rsid w:val="14A9BA31"/>
    <w:rsid w:val="14AF8313"/>
    <w:rsid w:val="14B5C12E"/>
    <w:rsid w:val="14B6F92D"/>
    <w:rsid w:val="14BCC6D7"/>
    <w:rsid w:val="14BF673D"/>
    <w:rsid w:val="14BFF3E4"/>
    <w:rsid w:val="14CCE936"/>
    <w:rsid w:val="14CE69F8"/>
    <w:rsid w:val="14D169EE"/>
    <w:rsid w:val="14D33A38"/>
    <w:rsid w:val="14D3AFAC"/>
    <w:rsid w:val="14E31D81"/>
    <w:rsid w:val="14E481DA"/>
    <w:rsid w:val="14E702EA"/>
    <w:rsid w:val="14EB5479"/>
    <w:rsid w:val="14ECF966"/>
    <w:rsid w:val="14ED4DB6"/>
    <w:rsid w:val="14F4A8E6"/>
    <w:rsid w:val="14FE24B1"/>
    <w:rsid w:val="15012B3E"/>
    <w:rsid w:val="1509167C"/>
    <w:rsid w:val="150A9AAB"/>
    <w:rsid w:val="150E59F3"/>
    <w:rsid w:val="15100B62"/>
    <w:rsid w:val="1511D77E"/>
    <w:rsid w:val="15228DD6"/>
    <w:rsid w:val="15246765"/>
    <w:rsid w:val="1526CC94"/>
    <w:rsid w:val="1529AC0A"/>
    <w:rsid w:val="1535816D"/>
    <w:rsid w:val="15450B86"/>
    <w:rsid w:val="15491A35"/>
    <w:rsid w:val="1554D49D"/>
    <w:rsid w:val="15582BF0"/>
    <w:rsid w:val="155E037E"/>
    <w:rsid w:val="156777CF"/>
    <w:rsid w:val="15678EE9"/>
    <w:rsid w:val="158927C1"/>
    <w:rsid w:val="159D450A"/>
    <w:rsid w:val="159F8BBE"/>
    <w:rsid w:val="15A5579A"/>
    <w:rsid w:val="15ADCBA9"/>
    <w:rsid w:val="15B2C134"/>
    <w:rsid w:val="15B8B844"/>
    <w:rsid w:val="15BB7C56"/>
    <w:rsid w:val="15BD919A"/>
    <w:rsid w:val="15BE30BA"/>
    <w:rsid w:val="15C4D813"/>
    <w:rsid w:val="15C669E0"/>
    <w:rsid w:val="15D3F5B7"/>
    <w:rsid w:val="15D693FC"/>
    <w:rsid w:val="15DA6D2E"/>
    <w:rsid w:val="15E1E768"/>
    <w:rsid w:val="15E987D2"/>
    <w:rsid w:val="15EA6EBF"/>
    <w:rsid w:val="15F7A904"/>
    <w:rsid w:val="15FB77AE"/>
    <w:rsid w:val="1605A37C"/>
    <w:rsid w:val="160C9EDD"/>
    <w:rsid w:val="1610EB59"/>
    <w:rsid w:val="16111B6F"/>
    <w:rsid w:val="1611B12E"/>
    <w:rsid w:val="1612D565"/>
    <w:rsid w:val="161530F5"/>
    <w:rsid w:val="161A233D"/>
    <w:rsid w:val="161C0CC1"/>
    <w:rsid w:val="161E0238"/>
    <w:rsid w:val="1627ADE3"/>
    <w:rsid w:val="162AAB95"/>
    <w:rsid w:val="163492B9"/>
    <w:rsid w:val="163C2EAD"/>
    <w:rsid w:val="163EE31C"/>
    <w:rsid w:val="1642AF3A"/>
    <w:rsid w:val="16435653"/>
    <w:rsid w:val="164DE38D"/>
    <w:rsid w:val="16534B2D"/>
    <w:rsid w:val="16556B71"/>
    <w:rsid w:val="16587304"/>
    <w:rsid w:val="1664E792"/>
    <w:rsid w:val="166EE2EA"/>
    <w:rsid w:val="16700AFF"/>
    <w:rsid w:val="1674816B"/>
    <w:rsid w:val="167A30B4"/>
    <w:rsid w:val="167B60E4"/>
    <w:rsid w:val="168469EE"/>
    <w:rsid w:val="168BD054"/>
    <w:rsid w:val="1690C5D8"/>
    <w:rsid w:val="16A3F8ED"/>
    <w:rsid w:val="16A67A74"/>
    <w:rsid w:val="16ACDC45"/>
    <w:rsid w:val="16AE193B"/>
    <w:rsid w:val="16AF70B4"/>
    <w:rsid w:val="16B0869A"/>
    <w:rsid w:val="16C0B1DB"/>
    <w:rsid w:val="16CA31E9"/>
    <w:rsid w:val="16CDF58E"/>
    <w:rsid w:val="16DEF1B6"/>
    <w:rsid w:val="16E17174"/>
    <w:rsid w:val="16E4B2CD"/>
    <w:rsid w:val="16E7C0EC"/>
    <w:rsid w:val="16EAFED4"/>
    <w:rsid w:val="16EC046A"/>
    <w:rsid w:val="1706A788"/>
    <w:rsid w:val="17111577"/>
    <w:rsid w:val="171369B7"/>
    <w:rsid w:val="17150FCC"/>
    <w:rsid w:val="172345A7"/>
    <w:rsid w:val="172535FA"/>
    <w:rsid w:val="17272B5D"/>
    <w:rsid w:val="17283608"/>
    <w:rsid w:val="1728967F"/>
    <w:rsid w:val="1728BAD5"/>
    <w:rsid w:val="172AC513"/>
    <w:rsid w:val="17301C48"/>
    <w:rsid w:val="1731FFB8"/>
    <w:rsid w:val="1732C961"/>
    <w:rsid w:val="17356C19"/>
    <w:rsid w:val="1736C645"/>
    <w:rsid w:val="17410336"/>
    <w:rsid w:val="1742F673"/>
    <w:rsid w:val="17559C33"/>
    <w:rsid w:val="17583AD5"/>
    <w:rsid w:val="175C4490"/>
    <w:rsid w:val="176661CE"/>
    <w:rsid w:val="1771D8EC"/>
    <w:rsid w:val="17793244"/>
    <w:rsid w:val="177964ED"/>
    <w:rsid w:val="1779889E"/>
    <w:rsid w:val="177CACB4"/>
    <w:rsid w:val="17857A34"/>
    <w:rsid w:val="17878181"/>
    <w:rsid w:val="178B5856"/>
    <w:rsid w:val="178D4D51"/>
    <w:rsid w:val="179B27CB"/>
    <w:rsid w:val="179B6AAC"/>
    <w:rsid w:val="179E3A99"/>
    <w:rsid w:val="17B4D3DE"/>
    <w:rsid w:val="17BC14AC"/>
    <w:rsid w:val="17BD7DF6"/>
    <w:rsid w:val="17C40129"/>
    <w:rsid w:val="17C79F90"/>
    <w:rsid w:val="17C9E616"/>
    <w:rsid w:val="17D93B77"/>
    <w:rsid w:val="17E4C80A"/>
    <w:rsid w:val="17E4FDFF"/>
    <w:rsid w:val="17E61B27"/>
    <w:rsid w:val="17E925BE"/>
    <w:rsid w:val="17EC8F33"/>
    <w:rsid w:val="17EF0BB6"/>
    <w:rsid w:val="17F660B1"/>
    <w:rsid w:val="17FCA6E2"/>
    <w:rsid w:val="18026060"/>
    <w:rsid w:val="18067D90"/>
    <w:rsid w:val="180BFF4D"/>
    <w:rsid w:val="180D54AF"/>
    <w:rsid w:val="1818A4DC"/>
    <w:rsid w:val="182F564C"/>
    <w:rsid w:val="18325829"/>
    <w:rsid w:val="183F55A0"/>
    <w:rsid w:val="1843FED6"/>
    <w:rsid w:val="1852AEDA"/>
    <w:rsid w:val="185B31EA"/>
    <w:rsid w:val="185C1BE7"/>
    <w:rsid w:val="185DFFF3"/>
    <w:rsid w:val="186242D3"/>
    <w:rsid w:val="18632CEC"/>
    <w:rsid w:val="186B3884"/>
    <w:rsid w:val="186C80B7"/>
    <w:rsid w:val="186D40A5"/>
    <w:rsid w:val="187575F0"/>
    <w:rsid w:val="187D587D"/>
    <w:rsid w:val="1885E7EB"/>
    <w:rsid w:val="189670A0"/>
    <w:rsid w:val="1896E88F"/>
    <w:rsid w:val="18971ADA"/>
    <w:rsid w:val="1897B252"/>
    <w:rsid w:val="189902E1"/>
    <w:rsid w:val="189DC927"/>
    <w:rsid w:val="189FA36F"/>
    <w:rsid w:val="18A383D0"/>
    <w:rsid w:val="18AEF411"/>
    <w:rsid w:val="18C34E1D"/>
    <w:rsid w:val="18CAD38B"/>
    <w:rsid w:val="18CB70DB"/>
    <w:rsid w:val="18CE13F2"/>
    <w:rsid w:val="18D2FB2B"/>
    <w:rsid w:val="18DAE536"/>
    <w:rsid w:val="18DCCC14"/>
    <w:rsid w:val="18E74C0D"/>
    <w:rsid w:val="18EBA13D"/>
    <w:rsid w:val="18EC8AAB"/>
    <w:rsid w:val="18EF84C8"/>
    <w:rsid w:val="18F5FC9D"/>
    <w:rsid w:val="18F7D17D"/>
    <w:rsid w:val="18FC86FA"/>
    <w:rsid w:val="18FE212D"/>
    <w:rsid w:val="190BD858"/>
    <w:rsid w:val="190F3F2F"/>
    <w:rsid w:val="1911FE90"/>
    <w:rsid w:val="1913E8A1"/>
    <w:rsid w:val="19195AB9"/>
    <w:rsid w:val="191CC4EA"/>
    <w:rsid w:val="1920A902"/>
    <w:rsid w:val="192F13AF"/>
    <w:rsid w:val="1931A8D8"/>
    <w:rsid w:val="19349B8B"/>
    <w:rsid w:val="1936902D"/>
    <w:rsid w:val="19383282"/>
    <w:rsid w:val="193951AA"/>
    <w:rsid w:val="193B43F9"/>
    <w:rsid w:val="19401949"/>
    <w:rsid w:val="194E5555"/>
    <w:rsid w:val="194EB09F"/>
    <w:rsid w:val="19508882"/>
    <w:rsid w:val="1954D75A"/>
    <w:rsid w:val="1955D43B"/>
    <w:rsid w:val="195E9C1D"/>
    <w:rsid w:val="1961612C"/>
    <w:rsid w:val="19655470"/>
    <w:rsid w:val="196605B7"/>
    <w:rsid w:val="196B3E87"/>
    <w:rsid w:val="196F36A8"/>
    <w:rsid w:val="19706766"/>
    <w:rsid w:val="19746D03"/>
    <w:rsid w:val="1978D092"/>
    <w:rsid w:val="197AFDCE"/>
    <w:rsid w:val="1982A8E5"/>
    <w:rsid w:val="198345C2"/>
    <w:rsid w:val="1985BDA4"/>
    <w:rsid w:val="198BC298"/>
    <w:rsid w:val="1996388F"/>
    <w:rsid w:val="199A8FCC"/>
    <w:rsid w:val="199F953E"/>
    <w:rsid w:val="199FB687"/>
    <w:rsid w:val="19AC8322"/>
    <w:rsid w:val="19B2C436"/>
    <w:rsid w:val="19B3E425"/>
    <w:rsid w:val="19B4575A"/>
    <w:rsid w:val="19B96861"/>
    <w:rsid w:val="19BE2AC9"/>
    <w:rsid w:val="19C3145D"/>
    <w:rsid w:val="19C3909F"/>
    <w:rsid w:val="19C82EE3"/>
    <w:rsid w:val="19C9C051"/>
    <w:rsid w:val="19CAA48D"/>
    <w:rsid w:val="19CF7787"/>
    <w:rsid w:val="19D15AA1"/>
    <w:rsid w:val="19D23145"/>
    <w:rsid w:val="19D2939D"/>
    <w:rsid w:val="19D39DFA"/>
    <w:rsid w:val="19D6FE31"/>
    <w:rsid w:val="19DA29F1"/>
    <w:rsid w:val="19EE5894"/>
    <w:rsid w:val="19F23B57"/>
    <w:rsid w:val="19F4B638"/>
    <w:rsid w:val="19F5E1A1"/>
    <w:rsid w:val="19F7F165"/>
    <w:rsid w:val="19FF7F03"/>
    <w:rsid w:val="1A0595FA"/>
    <w:rsid w:val="1A07E894"/>
    <w:rsid w:val="1A085C96"/>
    <w:rsid w:val="1A0FD52E"/>
    <w:rsid w:val="1A1176C9"/>
    <w:rsid w:val="1A168123"/>
    <w:rsid w:val="1A180D5C"/>
    <w:rsid w:val="1A1964B4"/>
    <w:rsid w:val="1A1A65E9"/>
    <w:rsid w:val="1A1FA8D8"/>
    <w:rsid w:val="1A215B70"/>
    <w:rsid w:val="1A21A837"/>
    <w:rsid w:val="1A2D57E8"/>
    <w:rsid w:val="1A3A1497"/>
    <w:rsid w:val="1A47BE98"/>
    <w:rsid w:val="1A488936"/>
    <w:rsid w:val="1A4EB528"/>
    <w:rsid w:val="1A5336D5"/>
    <w:rsid w:val="1A602FF1"/>
    <w:rsid w:val="1A615D57"/>
    <w:rsid w:val="1A622CF0"/>
    <w:rsid w:val="1A64A0E7"/>
    <w:rsid w:val="1A67821D"/>
    <w:rsid w:val="1A70F396"/>
    <w:rsid w:val="1A73E983"/>
    <w:rsid w:val="1A7E3A8F"/>
    <w:rsid w:val="1A81CDF3"/>
    <w:rsid w:val="1A83372F"/>
    <w:rsid w:val="1A843066"/>
    <w:rsid w:val="1A8480BA"/>
    <w:rsid w:val="1A8B05D2"/>
    <w:rsid w:val="1A952C22"/>
    <w:rsid w:val="1A9585B9"/>
    <w:rsid w:val="1AA7F6EA"/>
    <w:rsid w:val="1AAA5FB8"/>
    <w:rsid w:val="1AAD32BD"/>
    <w:rsid w:val="1AAFFF70"/>
    <w:rsid w:val="1ABA05CF"/>
    <w:rsid w:val="1ABBB8BE"/>
    <w:rsid w:val="1ABFBAC7"/>
    <w:rsid w:val="1AC9EA0B"/>
    <w:rsid w:val="1ACB5169"/>
    <w:rsid w:val="1ACCF093"/>
    <w:rsid w:val="1ADD6CC5"/>
    <w:rsid w:val="1AE1252C"/>
    <w:rsid w:val="1AE49C5C"/>
    <w:rsid w:val="1AE6FD1C"/>
    <w:rsid w:val="1AEB4DEA"/>
    <w:rsid w:val="1AF221E8"/>
    <w:rsid w:val="1AF46674"/>
    <w:rsid w:val="1AFDCF07"/>
    <w:rsid w:val="1B1416D0"/>
    <w:rsid w:val="1B1EE8F6"/>
    <w:rsid w:val="1B201FA9"/>
    <w:rsid w:val="1B230C75"/>
    <w:rsid w:val="1B23C84E"/>
    <w:rsid w:val="1B275A82"/>
    <w:rsid w:val="1B298BEE"/>
    <w:rsid w:val="1B2BB57B"/>
    <w:rsid w:val="1B2D412B"/>
    <w:rsid w:val="1B2FF6DE"/>
    <w:rsid w:val="1B359CF5"/>
    <w:rsid w:val="1B387301"/>
    <w:rsid w:val="1B419A2F"/>
    <w:rsid w:val="1B421036"/>
    <w:rsid w:val="1B4D4894"/>
    <w:rsid w:val="1B526DD0"/>
    <w:rsid w:val="1B56CEB9"/>
    <w:rsid w:val="1B5A2EB2"/>
    <w:rsid w:val="1B5C672A"/>
    <w:rsid w:val="1B646E4C"/>
    <w:rsid w:val="1B659BDF"/>
    <w:rsid w:val="1B65D154"/>
    <w:rsid w:val="1B6B2055"/>
    <w:rsid w:val="1B7416F0"/>
    <w:rsid w:val="1B7AE867"/>
    <w:rsid w:val="1B7D5754"/>
    <w:rsid w:val="1B83A922"/>
    <w:rsid w:val="1BB7B0D2"/>
    <w:rsid w:val="1BC0E776"/>
    <w:rsid w:val="1BC1ECB5"/>
    <w:rsid w:val="1BCC200F"/>
    <w:rsid w:val="1BCFE1D0"/>
    <w:rsid w:val="1BD9570D"/>
    <w:rsid w:val="1BDCB477"/>
    <w:rsid w:val="1BE42553"/>
    <w:rsid w:val="1BE7A3AC"/>
    <w:rsid w:val="1BEED36E"/>
    <w:rsid w:val="1C02DF59"/>
    <w:rsid w:val="1C032313"/>
    <w:rsid w:val="1C0D0037"/>
    <w:rsid w:val="1C11F828"/>
    <w:rsid w:val="1C138306"/>
    <w:rsid w:val="1C1ABCD8"/>
    <w:rsid w:val="1C21C195"/>
    <w:rsid w:val="1C220C83"/>
    <w:rsid w:val="1C226844"/>
    <w:rsid w:val="1C23A3AA"/>
    <w:rsid w:val="1C243DD6"/>
    <w:rsid w:val="1C2576F5"/>
    <w:rsid w:val="1C35B616"/>
    <w:rsid w:val="1C3931F3"/>
    <w:rsid w:val="1C3A4E9A"/>
    <w:rsid w:val="1C3E5B2C"/>
    <w:rsid w:val="1C4CAFFE"/>
    <w:rsid w:val="1C4DE9F1"/>
    <w:rsid w:val="1C66F391"/>
    <w:rsid w:val="1C6CB6B1"/>
    <w:rsid w:val="1C6E636B"/>
    <w:rsid w:val="1C74C646"/>
    <w:rsid w:val="1C74ED49"/>
    <w:rsid w:val="1C7A3233"/>
    <w:rsid w:val="1C7ED476"/>
    <w:rsid w:val="1C8FF55C"/>
    <w:rsid w:val="1C95C5F7"/>
    <w:rsid w:val="1C962FD3"/>
    <w:rsid w:val="1CA01548"/>
    <w:rsid w:val="1CA2AA37"/>
    <w:rsid w:val="1CAE52A9"/>
    <w:rsid w:val="1CB5C302"/>
    <w:rsid w:val="1CBF2490"/>
    <w:rsid w:val="1CD06ABA"/>
    <w:rsid w:val="1CD12678"/>
    <w:rsid w:val="1CD5352C"/>
    <w:rsid w:val="1CD6BFD1"/>
    <w:rsid w:val="1CEB45F8"/>
    <w:rsid w:val="1CEF0995"/>
    <w:rsid w:val="1CFA13EF"/>
    <w:rsid w:val="1CFA687C"/>
    <w:rsid w:val="1D0ABBA6"/>
    <w:rsid w:val="1D0FAA9A"/>
    <w:rsid w:val="1D114359"/>
    <w:rsid w:val="1D130EAA"/>
    <w:rsid w:val="1D159F69"/>
    <w:rsid w:val="1D1727F5"/>
    <w:rsid w:val="1D17F3BB"/>
    <w:rsid w:val="1D1B142C"/>
    <w:rsid w:val="1D1B20B0"/>
    <w:rsid w:val="1D1D2849"/>
    <w:rsid w:val="1D2058C1"/>
    <w:rsid w:val="1D251404"/>
    <w:rsid w:val="1D254EEB"/>
    <w:rsid w:val="1D2EC46F"/>
    <w:rsid w:val="1D30281C"/>
    <w:rsid w:val="1D3961D9"/>
    <w:rsid w:val="1D3B3196"/>
    <w:rsid w:val="1D3C2ABF"/>
    <w:rsid w:val="1D41CD66"/>
    <w:rsid w:val="1D4813AD"/>
    <w:rsid w:val="1D4A7EF4"/>
    <w:rsid w:val="1D4D7281"/>
    <w:rsid w:val="1D4F66B3"/>
    <w:rsid w:val="1D5925CB"/>
    <w:rsid w:val="1D5A107E"/>
    <w:rsid w:val="1D5BCC5A"/>
    <w:rsid w:val="1D669AFF"/>
    <w:rsid w:val="1D66D148"/>
    <w:rsid w:val="1D729BD6"/>
    <w:rsid w:val="1D7303D2"/>
    <w:rsid w:val="1D8718F1"/>
    <w:rsid w:val="1D89CAF9"/>
    <w:rsid w:val="1D92FDC7"/>
    <w:rsid w:val="1D98256C"/>
    <w:rsid w:val="1D9A9FE1"/>
    <w:rsid w:val="1DA0F5F1"/>
    <w:rsid w:val="1DA429E5"/>
    <w:rsid w:val="1DA929F8"/>
    <w:rsid w:val="1DAD0D90"/>
    <w:rsid w:val="1DB7C516"/>
    <w:rsid w:val="1DC1DB61"/>
    <w:rsid w:val="1DCEC09D"/>
    <w:rsid w:val="1DD0D05D"/>
    <w:rsid w:val="1DDA8830"/>
    <w:rsid w:val="1DDB3913"/>
    <w:rsid w:val="1DDC9F7F"/>
    <w:rsid w:val="1DE03EDE"/>
    <w:rsid w:val="1DE3A251"/>
    <w:rsid w:val="1DE7F9C9"/>
    <w:rsid w:val="1DEE03E8"/>
    <w:rsid w:val="1DF6D572"/>
    <w:rsid w:val="1DFEB456"/>
    <w:rsid w:val="1E062122"/>
    <w:rsid w:val="1E0BC243"/>
    <w:rsid w:val="1E1737FD"/>
    <w:rsid w:val="1E1CFDC4"/>
    <w:rsid w:val="1E1DC99D"/>
    <w:rsid w:val="1E220F0B"/>
    <w:rsid w:val="1E26B29A"/>
    <w:rsid w:val="1E2897BF"/>
    <w:rsid w:val="1E2DA0A9"/>
    <w:rsid w:val="1E37933A"/>
    <w:rsid w:val="1E38AC31"/>
    <w:rsid w:val="1E3DDEDE"/>
    <w:rsid w:val="1E412C93"/>
    <w:rsid w:val="1E47EB6D"/>
    <w:rsid w:val="1E493C30"/>
    <w:rsid w:val="1E4B3825"/>
    <w:rsid w:val="1E4E4285"/>
    <w:rsid w:val="1E535ACC"/>
    <w:rsid w:val="1E53A547"/>
    <w:rsid w:val="1E5EDAF1"/>
    <w:rsid w:val="1E6B9FC6"/>
    <w:rsid w:val="1E6CC4CD"/>
    <w:rsid w:val="1E7D0C73"/>
    <w:rsid w:val="1E8541BF"/>
    <w:rsid w:val="1E8893B8"/>
    <w:rsid w:val="1E88B67A"/>
    <w:rsid w:val="1E89F737"/>
    <w:rsid w:val="1E8C47CB"/>
    <w:rsid w:val="1E93D3CC"/>
    <w:rsid w:val="1E943D1F"/>
    <w:rsid w:val="1E9E4405"/>
    <w:rsid w:val="1EB31650"/>
    <w:rsid w:val="1EC23E6F"/>
    <w:rsid w:val="1ECE8F07"/>
    <w:rsid w:val="1ED60C53"/>
    <w:rsid w:val="1EDC78EC"/>
    <w:rsid w:val="1EDDCC93"/>
    <w:rsid w:val="1EDEE882"/>
    <w:rsid w:val="1EE03B7A"/>
    <w:rsid w:val="1EE3598D"/>
    <w:rsid w:val="1EEB3770"/>
    <w:rsid w:val="1EF88D5D"/>
    <w:rsid w:val="1EF9B967"/>
    <w:rsid w:val="1EFD5E29"/>
    <w:rsid w:val="1EFE24EE"/>
    <w:rsid w:val="1EFFB4CB"/>
    <w:rsid w:val="1F00520A"/>
    <w:rsid w:val="1F023B33"/>
    <w:rsid w:val="1F023D1B"/>
    <w:rsid w:val="1F0CCE05"/>
    <w:rsid w:val="1F0FFC50"/>
    <w:rsid w:val="1F146CB7"/>
    <w:rsid w:val="1F167063"/>
    <w:rsid w:val="1F1779F1"/>
    <w:rsid w:val="1F1A0F13"/>
    <w:rsid w:val="1F20735E"/>
    <w:rsid w:val="1F231B28"/>
    <w:rsid w:val="1F269572"/>
    <w:rsid w:val="1F2D0443"/>
    <w:rsid w:val="1F2D17D0"/>
    <w:rsid w:val="1F2D1EC3"/>
    <w:rsid w:val="1F346192"/>
    <w:rsid w:val="1F34AB0E"/>
    <w:rsid w:val="1F3935FD"/>
    <w:rsid w:val="1F3F1867"/>
    <w:rsid w:val="1F3F88F6"/>
    <w:rsid w:val="1F427843"/>
    <w:rsid w:val="1F446CBA"/>
    <w:rsid w:val="1F4513BF"/>
    <w:rsid w:val="1F47857B"/>
    <w:rsid w:val="1F49B39F"/>
    <w:rsid w:val="1F4A56D2"/>
    <w:rsid w:val="1F5F9CB6"/>
    <w:rsid w:val="1F601973"/>
    <w:rsid w:val="1F6432A5"/>
    <w:rsid w:val="1F657A7D"/>
    <w:rsid w:val="1F6F07E8"/>
    <w:rsid w:val="1F78EEC2"/>
    <w:rsid w:val="1F7F2140"/>
    <w:rsid w:val="1F97EA23"/>
    <w:rsid w:val="1F9C79BD"/>
    <w:rsid w:val="1F9FE615"/>
    <w:rsid w:val="1FA4009C"/>
    <w:rsid w:val="1FAB94FD"/>
    <w:rsid w:val="1FBF60A1"/>
    <w:rsid w:val="1FBFC185"/>
    <w:rsid w:val="1FC5F522"/>
    <w:rsid w:val="1FC6FAB1"/>
    <w:rsid w:val="1FC9C7D0"/>
    <w:rsid w:val="1FCDF064"/>
    <w:rsid w:val="1FD4CDED"/>
    <w:rsid w:val="1FD4DDA3"/>
    <w:rsid w:val="1FE49B75"/>
    <w:rsid w:val="1FE4DA53"/>
    <w:rsid w:val="1FEA450D"/>
    <w:rsid w:val="1FEC4911"/>
    <w:rsid w:val="1FEEFA2F"/>
    <w:rsid w:val="2008A44F"/>
    <w:rsid w:val="200E396F"/>
    <w:rsid w:val="2010A013"/>
    <w:rsid w:val="20126377"/>
    <w:rsid w:val="20142BEB"/>
    <w:rsid w:val="2015B1B4"/>
    <w:rsid w:val="2017624E"/>
    <w:rsid w:val="201D32D2"/>
    <w:rsid w:val="201F1EFD"/>
    <w:rsid w:val="2021FEED"/>
    <w:rsid w:val="20245A4C"/>
    <w:rsid w:val="20249A7E"/>
    <w:rsid w:val="20306C1A"/>
    <w:rsid w:val="20378E5C"/>
    <w:rsid w:val="2037BB1E"/>
    <w:rsid w:val="2044A5E6"/>
    <w:rsid w:val="20462311"/>
    <w:rsid w:val="204713C9"/>
    <w:rsid w:val="205005BC"/>
    <w:rsid w:val="205036BB"/>
    <w:rsid w:val="20520DC4"/>
    <w:rsid w:val="20540419"/>
    <w:rsid w:val="205428B5"/>
    <w:rsid w:val="205C2FBC"/>
    <w:rsid w:val="205E564E"/>
    <w:rsid w:val="206175DA"/>
    <w:rsid w:val="2062E9E8"/>
    <w:rsid w:val="2065C05B"/>
    <w:rsid w:val="20759FB6"/>
    <w:rsid w:val="2082245E"/>
    <w:rsid w:val="208DE56C"/>
    <w:rsid w:val="208DF4B5"/>
    <w:rsid w:val="20936716"/>
    <w:rsid w:val="2099A0ED"/>
    <w:rsid w:val="209A1302"/>
    <w:rsid w:val="20A5BE4E"/>
    <w:rsid w:val="20AB088C"/>
    <w:rsid w:val="20B9BF42"/>
    <w:rsid w:val="20C099BE"/>
    <w:rsid w:val="20C3D7E4"/>
    <w:rsid w:val="20CA2497"/>
    <w:rsid w:val="20CEE358"/>
    <w:rsid w:val="20CF6667"/>
    <w:rsid w:val="20D823B3"/>
    <w:rsid w:val="20DB94A5"/>
    <w:rsid w:val="20E132D6"/>
    <w:rsid w:val="20EEFBF4"/>
    <w:rsid w:val="20F2E50A"/>
    <w:rsid w:val="20F32DAD"/>
    <w:rsid w:val="20FD7676"/>
    <w:rsid w:val="210E9F07"/>
    <w:rsid w:val="211AE19E"/>
    <w:rsid w:val="211E9A55"/>
    <w:rsid w:val="21238449"/>
    <w:rsid w:val="2127B98B"/>
    <w:rsid w:val="21295D4F"/>
    <w:rsid w:val="213341B2"/>
    <w:rsid w:val="21346C44"/>
    <w:rsid w:val="2137ABF3"/>
    <w:rsid w:val="21394312"/>
    <w:rsid w:val="213A5106"/>
    <w:rsid w:val="213FF736"/>
    <w:rsid w:val="21469CDB"/>
    <w:rsid w:val="2148D6AF"/>
    <w:rsid w:val="21498B15"/>
    <w:rsid w:val="2149F1C0"/>
    <w:rsid w:val="21556B76"/>
    <w:rsid w:val="21571438"/>
    <w:rsid w:val="21655F78"/>
    <w:rsid w:val="216B3311"/>
    <w:rsid w:val="2172A754"/>
    <w:rsid w:val="2176DAA2"/>
    <w:rsid w:val="2178F054"/>
    <w:rsid w:val="21790C49"/>
    <w:rsid w:val="217B0375"/>
    <w:rsid w:val="218055F7"/>
    <w:rsid w:val="2180E6CE"/>
    <w:rsid w:val="2181951A"/>
    <w:rsid w:val="2183723F"/>
    <w:rsid w:val="2185872C"/>
    <w:rsid w:val="2188D421"/>
    <w:rsid w:val="219475B0"/>
    <w:rsid w:val="21975397"/>
    <w:rsid w:val="2198C034"/>
    <w:rsid w:val="219E19A6"/>
    <w:rsid w:val="219E4C77"/>
    <w:rsid w:val="21A1D5FA"/>
    <w:rsid w:val="21AA8F2E"/>
    <w:rsid w:val="21AB6C3E"/>
    <w:rsid w:val="21ABFAD0"/>
    <w:rsid w:val="21AE0D79"/>
    <w:rsid w:val="21B0C25D"/>
    <w:rsid w:val="21B58CB6"/>
    <w:rsid w:val="21BB5357"/>
    <w:rsid w:val="21C22D71"/>
    <w:rsid w:val="21C4A4C1"/>
    <w:rsid w:val="21C6976D"/>
    <w:rsid w:val="21C81C9B"/>
    <w:rsid w:val="21CA2057"/>
    <w:rsid w:val="21CA3A98"/>
    <w:rsid w:val="21CEEBDF"/>
    <w:rsid w:val="21D50E16"/>
    <w:rsid w:val="21DAADA0"/>
    <w:rsid w:val="21DAF532"/>
    <w:rsid w:val="21DDF316"/>
    <w:rsid w:val="21E640EB"/>
    <w:rsid w:val="21EF069A"/>
    <w:rsid w:val="21F0FED8"/>
    <w:rsid w:val="21F32641"/>
    <w:rsid w:val="21F9F30E"/>
    <w:rsid w:val="21FAA55B"/>
    <w:rsid w:val="21FBAEEE"/>
    <w:rsid w:val="21FC359D"/>
    <w:rsid w:val="22028F62"/>
    <w:rsid w:val="2202E784"/>
    <w:rsid w:val="22100F90"/>
    <w:rsid w:val="2215C88E"/>
    <w:rsid w:val="2215EA1A"/>
    <w:rsid w:val="2218C4EB"/>
    <w:rsid w:val="2222F647"/>
    <w:rsid w:val="22241AF0"/>
    <w:rsid w:val="222D83FF"/>
    <w:rsid w:val="222F718F"/>
    <w:rsid w:val="2238975B"/>
    <w:rsid w:val="223B7368"/>
    <w:rsid w:val="223D543C"/>
    <w:rsid w:val="2255FB65"/>
    <w:rsid w:val="225ED2E5"/>
    <w:rsid w:val="225F048C"/>
    <w:rsid w:val="2263753B"/>
    <w:rsid w:val="22671C9B"/>
    <w:rsid w:val="2268538B"/>
    <w:rsid w:val="226AA9CB"/>
    <w:rsid w:val="226C6539"/>
    <w:rsid w:val="226D437F"/>
    <w:rsid w:val="227EA6EF"/>
    <w:rsid w:val="227F19A1"/>
    <w:rsid w:val="22825FEE"/>
    <w:rsid w:val="229EB125"/>
    <w:rsid w:val="22A89C7E"/>
    <w:rsid w:val="22ACD957"/>
    <w:rsid w:val="22B24471"/>
    <w:rsid w:val="22C3F2AE"/>
    <w:rsid w:val="22C52ACB"/>
    <w:rsid w:val="22C852A6"/>
    <w:rsid w:val="22C86C87"/>
    <w:rsid w:val="22D0F8FD"/>
    <w:rsid w:val="22D3C294"/>
    <w:rsid w:val="22DD601C"/>
    <w:rsid w:val="22DFF959"/>
    <w:rsid w:val="22E00979"/>
    <w:rsid w:val="22E0C282"/>
    <w:rsid w:val="22E3488B"/>
    <w:rsid w:val="22E7BA40"/>
    <w:rsid w:val="22ECDAAE"/>
    <w:rsid w:val="22EF9C04"/>
    <w:rsid w:val="22F95F08"/>
    <w:rsid w:val="22FAAAF7"/>
    <w:rsid w:val="22FF3879"/>
    <w:rsid w:val="2305F4D8"/>
    <w:rsid w:val="2308DF0A"/>
    <w:rsid w:val="23153D6E"/>
    <w:rsid w:val="231EDD52"/>
    <w:rsid w:val="23206B33"/>
    <w:rsid w:val="2327A243"/>
    <w:rsid w:val="232C3EB1"/>
    <w:rsid w:val="2331B47D"/>
    <w:rsid w:val="233D53FF"/>
    <w:rsid w:val="233F269B"/>
    <w:rsid w:val="23415FAF"/>
    <w:rsid w:val="2343D147"/>
    <w:rsid w:val="234461C6"/>
    <w:rsid w:val="234D7451"/>
    <w:rsid w:val="234E3ABD"/>
    <w:rsid w:val="23521FB0"/>
    <w:rsid w:val="2357D7C1"/>
    <w:rsid w:val="235FFA6A"/>
    <w:rsid w:val="23636BA0"/>
    <w:rsid w:val="23696E7F"/>
    <w:rsid w:val="236B8C71"/>
    <w:rsid w:val="236CD13E"/>
    <w:rsid w:val="236E31F3"/>
    <w:rsid w:val="237463A3"/>
    <w:rsid w:val="237C8D5A"/>
    <w:rsid w:val="238727CE"/>
    <w:rsid w:val="238E8348"/>
    <w:rsid w:val="23908C5F"/>
    <w:rsid w:val="239499BD"/>
    <w:rsid w:val="2396C8DC"/>
    <w:rsid w:val="2397C1D6"/>
    <w:rsid w:val="239B4CA2"/>
    <w:rsid w:val="23BA2687"/>
    <w:rsid w:val="23BD471D"/>
    <w:rsid w:val="23C6523A"/>
    <w:rsid w:val="23CA9A12"/>
    <w:rsid w:val="23CF9C4E"/>
    <w:rsid w:val="23D116AD"/>
    <w:rsid w:val="23D201BA"/>
    <w:rsid w:val="23D412AD"/>
    <w:rsid w:val="23D8ED04"/>
    <w:rsid w:val="23DA4C66"/>
    <w:rsid w:val="23DC6E09"/>
    <w:rsid w:val="23E76174"/>
    <w:rsid w:val="23E93474"/>
    <w:rsid w:val="23F4C56B"/>
    <w:rsid w:val="23F54A03"/>
    <w:rsid w:val="23F7132A"/>
    <w:rsid w:val="23FAA6FE"/>
    <w:rsid w:val="2402A705"/>
    <w:rsid w:val="24030A61"/>
    <w:rsid w:val="240A02C7"/>
    <w:rsid w:val="240B5013"/>
    <w:rsid w:val="240DF796"/>
    <w:rsid w:val="24198DDA"/>
    <w:rsid w:val="2419CBBA"/>
    <w:rsid w:val="243D2CA3"/>
    <w:rsid w:val="2441A63B"/>
    <w:rsid w:val="244300BF"/>
    <w:rsid w:val="244AFF89"/>
    <w:rsid w:val="245403E6"/>
    <w:rsid w:val="24671FF6"/>
    <w:rsid w:val="246B397E"/>
    <w:rsid w:val="246E0C93"/>
    <w:rsid w:val="247A9B6A"/>
    <w:rsid w:val="247C8939"/>
    <w:rsid w:val="24831572"/>
    <w:rsid w:val="248470D8"/>
    <w:rsid w:val="2484DE33"/>
    <w:rsid w:val="24875F58"/>
    <w:rsid w:val="2487BDCD"/>
    <w:rsid w:val="248853B4"/>
    <w:rsid w:val="2488D2B0"/>
    <w:rsid w:val="24930037"/>
    <w:rsid w:val="249E884D"/>
    <w:rsid w:val="24A53BEB"/>
    <w:rsid w:val="24A9A3D3"/>
    <w:rsid w:val="24B73209"/>
    <w:rsid w:val="24BDF8BD"/>
    <w:rsid w:val="24C3B981"/>
    <w:rsid w:val="24C79832"/>
    <w:rsid w:val="24D05D61"/>
    <w:rsid w:val="24DEF11B"/>
    <w:rsid w:val="24DF86A2"/>
    <w:rsid w:val="24E408AF"/>
    <w:rsid w:val="24E5F04A"/>
    <w:rsid w:val="24F35031"/>
    <w:rsid w:val="24F9156F"/>
    <w:rsid w:val="250A424D"/>
    <w:rsid w:val="250CC6C4"/>
    <w:rsid w:val="251458C5"/>
    <w:rsid w:val="2514C844"/>
    <w:rsid w:val="251B6B80"/>
    <w:rsid w:val="251B983D"/>
    <w:rsid w:val="2520FFB3"/>
    <w:rsid w:val="25263D08"/>
    <w:rsid w:val="25290DA3"/>
    <w:rsid w:val="252A37A2"/>
    <w:rsid w:val="253169BC"/>
    <w:rsid w:val="253CFB1B"/>
    <w:rsid w:val="253DA92F"/>
    <w:rsid w:val="25464338"/>
    <w:rsid w:val="2547953B"/>
    <w:rsid w:val="254C3B7A"/>
    <w:rsid w:val="255081B1"/>
    <w:rsid w:val="25537EF4"/>
    <w:rsid w:val="25553040"/>
    <w:rsid w:val="255667FE"/>
    <w:rsid w:val="25672592"/>
    <w:rsid w:val="2569116E"/>
    <w:rsid w:val="2573FB9F"/>
    <w:rsid w:val="257EA149"/>
    <w:rsid w:val="257FC8CD"/>
    <w:rsid w:val="258408B6"/>
    <w:rsid w:val="25849322"/>
    <w:rsid w:val="25894341"/>
    <w:rsid w:val="258B646E"/>
    <w:rsid w:val="25905239"/>
    <w:rsid w:val="259DF295"/>
    <w:rsid w:val="259E1679"/>
    <w:rsid w:val="25A3451D"/>
    <w:rsid w:val="25A38A07"/>
    <w:rsid w:val="25A9D441"/>
    <w:rsid w:val="25AB954F"/>
    <w:rsid w:val="25ACE89D"/>
    <w:rsid w:val="25B2930F"/>
    <w:rsid w:val="25B4F14A"/>
    <w:rsid w:val="25B9EF4F"/>
    <w:rsid w:val="25BE6C75"/>
    <w:rsid w:val="25C2C9FF"/>
    <w:rsid w:val="25C5EF73"/>
    <w:rsid w:val="25CA92DF"/>
    <w:rsid w:val="25CD1B84"/>
    <w:rsid w:val="25CDA750"/>
    <w:rsid w:val="25D3A187"/>
    <w:rsid w:val="25D615FE"/>
    <w:rsid w:val="25D86795"/>
    <w:rsid w:val="25E2A1E4"/>
    <w:rsid w:val="25E2C23D"/>
    <w:rsid w:val="25F2C990"/>
    <w:rsid w:val="25F9E27F"/>
    <w:rsid w:val="25FFC929"/>
    <w:rsid w:val="26039131"/>
    <w:rsid w:val="2607B912"/>
    <w:rsid w:val="260E1D6E"/>
    <w:rsid w:val="260E464D"/>
    <w:rsid w:val="260ECD39"/>
    <w:rsid w:val="26143573"/>
    <w:rsid w:val="2615A33C"/>
    <w:rsid w:val="2615DD22"/>
    <w:rsid w:val="26185004"/>
    <w:rsid w:val="2619C5B9"/>
    <w:rsid w:val="2619D6F4"/>
    <w:rsid w:val="262AFF14"/>
    <w:rsid w:val="262D5671"/>
    <w:rsid w:val="26322688"/>
    <w:rsid w:val="26352B36"/>
    <w:rsid w:val="2637CC55"/>
    <w:rsid w:val="263B9CF5"/>
    <w:rsid w:val="263EE319"/>
    <w:rsid w:val="263F7D05"/>
    <w:rsid w:val="26410AB7"/>
    <w:rsid w:val="2641ABC5"/>
    <w:rsid w:val="2641D821"/>
    <w:rsid w:val="264A0B81"/>
    <w:rsid w:val="264A8194"/>
    <w:rsid w:val="264D710B"/>
    <w:rsid w:val="265511B7"/>
    <w:rsid w:val="265D142E"/>
    <w:rsid w:val="265EED0E"/>
    <w:rsid w:val="266720FD"/>
    <w:rsid w:val="266C8290"/>
    <w:rsid w:val="266E9FB5"/>
    <w:rsid w:val="26783D2A"/>
    <w:rsid w:val="26891C69"/>
    <w:rsid w:val="268C3FB4"/>
    <w:rsid w:val="2695BD97"/>
    <w:rsid w:val="269C60F8"/>
    <w:rsid w:val="269D37A4"/>
    <w:rsid w:val="269D6D7C"/>
    <w:rsid w:val="26A4A8A1"/>
    <w:rsid w:val="26A7E18D"/>
    <w:rsid w:val="26AAB469"/>
    <w:rsid w:val="26B4CD5E"/>
    <w:rsid w:val="26B9C29F"/>
    <w:rsid w:val="26BE6325"/>
    <w:rsid w:val="26C02436"/>
    <w:rsid w:val="26C60BB5"/>
    <w:rsid w:val="26C6DAD1"/>
    <w:rsid w:val="26CA0839"/>
    <w:rsid w:val="26CE469F"/>
    <w:rsid w:val="26D53E94"/>
    <w:rsid w:val="26DD8A29"/>
    <w:rsid w:val="26DECFAF"/>
    <w:rsid w:val="26E3E1DB"/>
    <w:rsid w:val="26EA0067"/>
    <w:rsid w:val="26EBEB29"/>
    <w:rsid w:val="26EC360E"/>
    <w:rsid w:val="26F480FA"/>
    <w:rsid w:val="26F5EDD5"/>
    <w:rsid w:val="26FBD53A"/>
    <w:rsid w:val="26FC276D"/>
    <w:rsid w:val="270059F5"/>
    <w:rsid w:val="2707B5E5"/>
    <w:rsid w:val="270F4051"/>
    <w:rsid w:val="27101A33"/>
    <w:rsid w:val="27119EED"/>
    <w:rsid w:val="2711FFD3"/>
    <w:rsid w:val="271680EE"/>
    <w:rsid w:val="27170291"/>
    <w:rsid w:val="27182F07"/>
    <w:rsid w:val="27199DD7"/>
    <w:rsid w:val="27254463"/>
    <w:rsid w:val="27260FEE"/>
    <w:rsid w:val="2726FBE8"/>
    <w:rsid w:val="27273986"/>
    <w:rsid w:val="27296203"/>
    <w:rsid w:val="272F356D"/>
    <w:rsid w:val="272F9169"/>
    <w:rsid w:val="27307AB7"/>
    <w:rsid w:val="2730EA2C"/>
    <w:rsid w:val="2737F5D2"/>
    <w:rsid w:val="27391290"/>
    <w:rsid w:val="2739B2AE"/>
    <w:rsid w:val="273E519F"/>
    <w:rsid w:val="273E85DB"/>
    <w:rsid w:val="27435E62"/>
    <w:rsid w:val="274D7E97"/>
    <w:rsid w:val="275290E3"/>
    <w:rsid w:val="275F5144"/>
    <w:rsid w:val="27655B3A"/>
    <w:rsid w:val="276ABC4A"/>
    <w:rsid w:val="27756FB7"/>
    <w:rsid w:val="27785EED"/>
    <w:rsid w:val="277BC16B"/>
    <w:rsid w:val="277E66A3"/>
    <w:rsid w:val="2783D2EE"/>
    <w:rsid w:val="27876B48"/>
    <w:rsid w:val="278AA498"/>
    <w:rsid w:val="278F8AFD"/>
    <w:rsid w:val="278FC671"/>
    <w:rsid w:val="279ADAB2"/>
    <w:rsid w:val="279E8B7F"/>
    <w:rsid w:val="27A1EBA6"/>
    <w:rsid w:val="27A57557"/>
    <w:rsid w:val="27ADF361"/>
    <w:rsid w:val="27BB17D4"/>
    <w:rsid w:val="27BC10C8"/>
    <w:rsid w:val="27BC11DA"/>
    <w:rsid w:val="27C7AFB8"/>
    <w:rsid w:val="27CCE8E0"/>
    <w:rsid w:val="27CCEBC3"/>
    <w:rsid w:val="27D128BE"/>
    <w:rsid w:val="27D1F4DF"/>
    <w:rsid w:val="27D2211A"/>
    <w:rsid w:val="27D314FB"/>
    <w:rsid w:val="27DBA004"/>
    <w:rsid w:val="27E70C44"/>
    <w:rsid w:val="27E90352"/>
    <w:rsid w:val="27EA191F"/>
    <w:rsid w:val="27F4AC46"/>
    <w:rsid w:val="27FDC55F"/>
    <w:rsid w:val="27FE23CB"/>
    <w:rsid w:val="27FE8C62"/>
    <w:rsid w:val="28008AE8"/>
    <w:rsid w:val="28067139"/>
    <w:rsid w:val="280B224A"/>
    <w:rsid w:val="28115982"/>
    <w:rsid w:val="2814EE48"/>
    <w:rsid w:val="2815D29A"/>
    <w:rsid w:val="2817E97A"/>
    <w:rsid w:val="28186CAD"/>
    <w:rsid w:val="281A77FB"/>
    <w:rsid w:val="281E9326"/>
    <w:rsid w:val="28204E63"/>
    <w:rsid w:val="28205C69"/>
    <w:rsid w:val="28251656"/>
    <w:rsid w:val="2825BFB9"/>
    <w:rsid w:val="28289C53"/>
    <w:rsid w:val="28458262"/>
    <w:rsid w:val="2845B739"/>
    <w:rsid w:val="28463843"/>
    <w:rsid w:val="28487699"/>
    <w:rsid w:val="2849C344"/>
    <w:rsid w:val="28567C8B"/>
    <w:rsid w:val="2856A837"/>
    <w:rsid w:val="2858BB73"/>
    <w:rsid w:val="2862502B"/>
    <w:rsid w:val="28654D90"/>
    <w:rsid w:val="2865F8FF"/>
    <w:rsid w:val="2869F435"/>
    <w:rsid w:val="286F2425"/>
    <w:rsid w:val="2877AE77"/>
    <w:rsid w:val="287D947A"/>
    <w:rsid w:val="287FA9AA"/>
    <w:rsid w:val="2880205F"/>
    <w:rsid w:val="2882CE1D"/>
    <w:rsid w:val="2882F68B"/>
    <w:rsid w:val="28877017"/>
    <w:rsid w:val="28885283"/>
    <w:rsid w:val="288B9374"/>
    <w:rsid w:val="288D9197"/>
    <w:rsid w:val="288F048C"/>
    <w:rsid w:val="28949C53"/>
    <w:rsid w:val="2898B20F"/>
    <w:rsid w:val="2899A46D"/>
    <w:rsid w:val="289CDF4B"/>
    <w:rsid w:val="28A3B20E"/>
    <w:rsid w:val="28A464D0"/>
    <w:rsid w:val="28A65D27"/>
    <w:rsid w:val="28AEBD9C"/>
    <w:rsid w:val="28B3A545"/>
    <w:rsid w:val="28BBF7B4"/>
    <w:rsid w:val="28BE8346"/>
    <w:rsid w:val="28C2D71A"/>
    <w:rsid w:val="28C6A776"/>
    <w:rsid w:val="28D255AA"/>
    <w:rsid w:val="28D9E2CE"/>
    <w:rsid w:val="28E01957"/>
    <w:rsid w:val="28E38359"/>
    <w:rsid w:val="28E63E9E"/>
    <w:rsid w:val="28E85D45"/>
    <w:rsid w:val="28E995E7"/>
    <w:rsid w:val="28ED3ADC"/>
    <w:rsid w:val="28F064FA"/>
    <w:rsid w:val="28F22084"/>
    <w:rsid w:val="28F68571"/>
    <w:rsid w:val="28F754C3"/>
    <w:rsid w:val="28FECD2B"/>
    <w:rsid w:val="29010891"/>
    <w:rsid w:val="290D2426"/>
    <w:rsid w:val="29112486"/>
    <w:rsid w:val="291A9AEB"/>
    <w:rsid w:val="291C2DD7"/>
    <w:rsid w:val="2924ADBE"/>
    <w:rsid w:val="2925483C"/>
    <w:rsid w:val="292A8884"/>
    <w:rsid w:val="292EB967"/>
    <w:rsid w:val="292F9885"/>
    <w:rsid w:val="293346E7"/>
    <w:rsid w:val="293E0A85"/>
    <w:rsid w:val="293E2310"/>
    <w:rsid w:val="294210C5"/>
    <w:rsid w:val="294628E2"/>
    <w:rsid w:val="294EB2AA"/>
    <w:rsid w:val="295010A2"/>
    <w:rsid w:val="2957B48A"/>
    <w:rsid w:val="295A4460"/>
    <w:rsid w:val="295BE811"/>
    <w:rsid w:val="295D0583"/>
    <w:rsid w:val="296A3C3B"/>
    <w:rsid w:val="296B803C"/>
    <w:rsid w:val="296C0913"/>
    <w:rsid w:val="29760496"/>
    <w:rsid w:val="2978B6BE"/>
    <w:rsid w:val="29849149"/>
    <w:rsid w:val="2987B865"/>
    <w:rsid w:val="29936B7E"/>
    <w:rsid w:val="299B016D"/>
    <w:rsid w:val="299DB0C6"/>
    <w:rsid w:val="29B40D2B"/>
    <w:rsid w:val="29B564B8"/>
    <w:rsid w:val="29B887E6"/>
    <w:rsid w:val="29B8D056"/>
    <w:rsid w:val="29BDE69C"/>
    <w:rsid w:val="29C67D6A"/>
    <w:rsid w:val="29CC06DB"/>
    <w:rsid w:val="29CCE505"/>
    <w:rsid w:val="29D290C3"/>
    <w:rsid w:val="29D8E00F"/>
    <w:rsid w:val="29DA87E0"/>
    <w:rsid w:val="29DCB4D2"/>
    <w:rsid w:val="29E09865"/>
    <w:rsid w:val="29E25C97"/>
    <w:rsid w:val="29E46F87"/>
    <w:rsid w:val="29E8A235"/>
    <w:rsid w:val="29EB2336"/>
    <w:rsid w:val="29F01AB8"/>
    <w:rsid w:val="29F13278"/>
    <w:rsid w:val="29F9EAC7"/>
    <w:rsid w:val="2A0106BA"/>
    <w:rsid w:val="2A04CF80"/>
    <w:rsid w:val="2A058FA9"/>
    <w:rsid w:val="2A0E20BB"/>
    <w:rsid w:val="2A13E04D"/>
    <w:rsid w:val="2A1B8B54"/>
    <w:rsid w:val="2A24B909"/>
    <w:rsid w:val="2A24D749"/>
    <w:rsid w:val="2A2C0EDD"/>
    <w:rsid w:val="2A303071"/>
    <w:rsid w:val="2A34DEF1"/>
    <w:rsid w:val="2A3D83DA"/>
    <w:rsid w:val="2A3FF110"/>
    <w:rsid w:val="2A47EBA8"/>
    <w:rsid w:val="2A532AEE"/>
    <w:rsid w:val="2A5993C8"/>
    <w:rsid w:val="2A5A03FC"/>
    <w:rsid w:val="2A5AD219"/>
    <w:rsid w:val="2A5F875A"/>
    <w:rsid w:val="2A64CBF5"/>
    <w:rsid w:val="2A699025"/>
    <w:rsid w:val="2A6C3EA0"/>
    <w:rsid w:val="2A6F014D"/>
    <w:rsid w:val="2A73340C"/>
    <w:rsid w:val="2A74BC95"/>
    <w:rsid w:val="2A7F16CC"/>
    <w:rsid w:val="2A8092C4"/>
    <w:rsid w:val="2A819F66"/>
    <w:rsid w:val="2A832E28"/>
    <w:rsid w:val="2A855AB3"/>
    <w:rsid w:val="2A8A1D87"/>
    <w:rsid w:val="2A8EF497"/>
    <w:rsid w:val="2AA0D562"/>
    <w:rsid w:val="2AA28A3D"/>
    <w:rsid w:val="2AA567E9"/>
    <w:rsid w:val="2AA6BB33"/>
    <w:rsid w:val="2AA95BD5"/>
    <w:rsid w:val="2AAA2CE4"/>
    <w:rsid w:val="2AB28197"/>
    <w:rsid w:val="2AB324EB"/>
    <w:rsid w:val="2ABC23DE"/>
    <w:rsid w:val="2ACC6B99"/>
    <w:rsid w:val="2AD0F832"/>
    <w:rsid w:val="2AD99DC5"/>
    <w:rsid w:val="2ADAF501"/>
    <w:rsid w:val="2ADC5CFF"/>
    <w:rsid w:val="2ADD6CCE"/>
    <w:rsid w:val="2AE5F9A8"/>
    <w:rsid w:val="2AE84BCC"/>
    <w:rsid w:val="2AE984BF"/>
    <w:rsid w:val="2AF3C175"/>
    <w:rsid w:val="2AFC1D61"/>
    <w:rsid w:val="2B094DE4"/>
    <w:rsid w:val="2B0984F1"/>
    <w:rsid w:val="2B0FC2C1"/>
    <w:rsid w:val="2B129C01"/>
    <w:rsid w:val="2B1381B0"/>
    <w:rsid w:val="2B20B121"/>
    <w:rsid w:val="2B245F92"/>
    <w:rsid w:val="2B25516B"/>
    <w:rsid w:val="2B280BBE"/>
    <w:rsid w:val="2B33EFD6"/>
    <w:rsid w:val="2B3413D6"/>
    <w:rsid w:val="2B35D19E"/>
    <w:rsid w:val="2B4113AD"/>
    <w:rsid w:val="2B42EFC3"/>
    <w:rsid w:val="2B4A5ACF"/>
    <w:rsid w:val="2B57654C"/>
    <w:rsid w:val="2B5C1616"/>
    <w:rsid w:val="2B607499"/>
    <w:rsid w:val="2B64AA4E"/>
    <w:rsid w:val="2B64D589"/>
    <w:rsid w:val="2B65F3FB"/>
    <w:rsid w:val="2B696DE1"/>
    <w:rsid w:val="2B6E213D"/>
    <w:rsid w:val="2B85A787"/>
    <w:rsid w:val="2B91F2A9"/>
    <w:rsid w:val="2B9BCBA5"/>
    <w:rsid w:val="2B9C0603"/>
    <w:rsid w:val="2BA648E6"/>
    <w:rsid w:val="2BAA1403"/>
    <w:rsid w:val="2BABDBA4"/>
    <w:rsid w:val="2BABDECF"/>
    <w:rsid w:val="2BB68BB6"/>
    <w:rsid w:val="2BBA05F8"/>
    <w:rsid w:val="2BBA5950"/>
    <w:rsid w:val="2BC12A0A"/>
    <w:rsid w:val="2BC6A110"/>
    <w:rsid w:val="2BCEB80C"/>
    <w:rsid w:val="2BCEF504"/>
    <w:rsid w:val="2BDC71D4"/>
    <w:rsid w:val="2BE8A8C6"/>
    <w:rsid w:val="2BF53339"/>
    <w:rsid w:val="2BF6BDE2"/>
    <w:rsid w:val="2C039C1B"/>
    <w:rsid w:val="2C11CFDC"/>
    <w:rsid w:val="2C1BE67F"/>
    <w:rsid w:val="2C1C9295"/>
    <w:rsid w:val="2C1CE335"/>
    <w:rsid w:val="2C240BD4"/>
    <w:rsid w:val="2C25C75F"/>
    <w:rsid w:val="2C2B48FB"/>
    <w:rsid w:val="2C2DC2C9"/>
    <w:rsid w:val="2C2F19CF"/>
    <w:rsid w:val="2C336B3D"/>
    <w:rsid w:val="2C365973"/>
    <w:rsid w:val="2C3ABD98"/>
    <w:rsid w:val="2C428903"/>
    <w:rsid w:val="2C59165D"/>
    <w:rsid w:val="2C5CE8B4"/>
    <w:rsid w:val="2C6167B1"/>
    <w:rsid w:val="2C6A8FB6"/>
    <w:rsid w:val="2C72D9B0"/>
    <w:rsid w:val="2C754A27"/>
    <w:rsid w:val="2C789286"/>
    <w:rsid w:val="2C7B8448"/>
    <w:rsid w:val="2C7C9526"/>
    <w:rsid w:val="2C7E6031"/>
    <w:rsid w:val="2C831438"/>
    <w:rsid w:val="2C96C26E"/>
    <w:rsid w:val="2CAAF8A8"/>
    <w:rsid w:val="2CB8768F"/>
    <w:rsid w:val="2CC18CF7"/>
    <w:rsid w:val="2CC5191F"/>
    <w:rsid w:val="2CC7457A"/>
    <w:rsid w:val="2CD1F545"/>
    <w:rsid w:val="2CDFB373"/>
    <w:rsid w:val="2CE2DAE4"/>
    <w:rsid w:val="2CEC3477"/>
    <w:rsid w:val="2CF84B00"/>
    <w:rsid w:val="2CF9E466"/>
    <w:rsid w:val="2CFF411C"/>
    <w:rsid w:val="2D0BD613"/>
    <w:rsid w:val="2D107A1C"/>
    <w:rsid w:val="2D139E1D"/>
    <w:rsid w:val="2D17C7BB"/>
    <w:rsid w:val="2D1E44EC"/>
    <w:rsid w:val="2D217ACF"/>
    <w:rsid w:val="2D2AB768"/>
    <w:rsid w:val="2D2CF38C"/>
    <w:rsid w:val="2D30E5EF"/>
    <w:rsid w:val="2D311BDC"/>
    <w:rsid w:val="2D3A61D8"/>
    <w:rsid w:val="2D3D790C"/>
    <w:rsid w:val="2D3FC6F5"/>
    <w:rsid w:val="2D43F579"/>
    <w:rsid w:val="2D4CBFDD"/>
    <w:rsid w:val="2D5C9240"/>
    <w:rsid w:val="2D62A605"/>
    <w:rsid w:val="2D6C03F5"/>
    <w:rsid w:val="2D6EF4D2"/>
    <w:rsid w:val="2D77E82D"/>
    <w:rsid w:val="2D7A53A1"/>
    <w:rsid w:val="2D8D3654"/>
    <w:rsid w:val="2D8DE30B"/>
    <w:rsid w:val="2D9556BF"/>
    <w:rsid w:val="2DA1DB83"/>
    <w:rsid w:val="2DA4BC85"/>
    <w:rsid w:val="2DA50AB1"/>
    <w:rsid w:val="2DA7657A"/>
    <w:rsid w:val="2DA77A18"/>
    <w:rsid w:val="2DAC18C2"/>
    <w:rsid w:val="2DB146FC"/>
    <w:rsid w:val="2DB56B55"/>
    <w:rsid w:val="2DB5EA08"/>
    <w:rsid w:val="2DBB68BB"/>
    <w:rsid w:val="2DBD0B92"/>
    <w:rsid w:val="2DC35CC0"/>
    <w:rsid w:val="2DC4D945"/>
    <w:rsid w:val="2DCBC8C3"/>
    <w:rsid w:val="2DD0F92E"/>
    <w:rsid w:val="2DDBA7E5"/>
    <w:rsid w:val="2DDC733C"/>
    <w:rsid w:val="2DE96C9A"/>
    <w:rsid w:val="2DEDA3C7"/>
    <w:rsid w:val="2DEFC117"/>
    <w:rsid w:val="2DFE3B38"/>
    <w:rsid w:val="2E02E7AF"/>
    <w:rsid w:val="2E0AA843"/>
    <w:rsid w:val="2E0ADA36"/>
    <w:rsid w:val="2E0CA81F"/>
    <w:rsid w:val="2E0D8D69"/>
    <w:rsid w:val="2E111811"/>
    <w:rsid w:val="2E13D169"/>
    <w:rsid w:val="2E155529"/>
    <w:rsid w:val="2E155608"/>
    <w:rsid w:val="2E16ED31"/>
    <w:rsid w:val="2E181950"/>
    <w:rsid w:val="2E19F610"/>
    <w:rsid w:val="2E200020"/>
    <w:rsid w:val="2E20F92A"/>
    <w:rsid w:val="2E21037B"/>
    <w:rsid w:val="2E222C04"/>
    <w:rsid w:val="2E2CF8CB"/>
    <w:rsid w:val="2E2DCA12"/>
    <w:rsid w:val="2E2DE752"/>
    <w:rsid w:val="2E34F5E5"/>
    <w:rsid w:val="2E36974C"/>
    <w:rsid w:val="2E373A4B"/>
    <w:rsid w:val="2E3CD39F"/>
    <w:rsid w:val="2E472033"/>
    <w:rsid w:val="2E475C36"/>
    <w:rsid w:val="2E55E6B4"/>
    <w:rsid w:val="2E589475"/>
    <w:rsid w:val="2E58F004"/>
    <w:rsid w:val="2E673F3B"/>
    <w:rsid w:val="2E6D3379"/>
    <w:rsid w:val="2E6D45CD"/>
    <w:rsid w:val="2E6D85A5"/>
    <w:rsid w:val="2E6E23E0"/>
    <w:rsid w:val="2E6E6785"/>
    <w:rsid w:val="2E735ECC"/>
    <w:rsid w:val="2E820F72"/>
    <w:rsid w:val="2E86FFC9"/>
    <w:rsid w:val="2E8A9D34"/>
    <w:rsid w:val="2E91F35D"/>
    <w:rsid w:val="2E99549B"/>
    <w:rsid w:val="2E995CDB"/>
    <w:rsid w:val="2E99F8AE"/>
    <w:rsid w:val="2EADE11B"/>
    <w:rsid w:val="2EB01740"/>
    <w:rsid w:val="2EBBEBE3"/>
    <w:rsid w:val="2EBCE58E"/>
    <w:rsid w:val="2EC0F8F1"/>
    <w:rsid w:val="2EC13571"/>
    <w:rsid w:val="2EC63BA4"/>
    <w:rsid w:val="2EC98123"/>
    <w:rsid w:val="2ED2CA57"/>
    <w:rsid w:val="2EDA5658"/>
    <w:rsid w:val="2EE27A12"/>
    <w:rsid w:val="2EE5FBC6"/>
    <w:rsid w:val="2EF5DB5C"/>
    <w:rsid w:val="2EFE63EF"/>
    <w:rsid w:val="2F193160"/>
    <w:rsid w:val="2F1FE30E"/>
    <w:rsid w:val="2F300582"/>
    <w:rsid w:val="2F3781D8"/>
    <w:rsid w:val="2F3E7635"/>
    <w:rsid w:val="2F421B7B"/>
    <w:rsid w:val="2F47A4CF"/>
    <w:rsid w:val="2F491373"/>
    <w:rsid w:val="2F56A90C"/>
    <w:rsid w:val="2F5B269A"/>
    <w:rsid w:val="2F5B3DBA"/>
    <w:rsid w:val="2F6237A5"/>
    <w:rsid w:val="2F62758A"/>
    <w:rsid w:val="2F6576F6"/>
    <w:rsid w:val="2F66DA90"/>
    <w:rsid w:val="2F75ABA7"/>
    <w:rsid w:val="2F814A3E"/>
    <w:rsid w:val="2F95BA0C"/>
    <w:rsid w:val="2F9B2721"/>
    <w:rsid w:val="2F9F5459"/>
    <w:rsid w:val="2FA2FBF3"/>
    <w:rsid w:val="2FA4E1A3"/>
    <w:rsid w:val="2FA6708E"/>
    <w:rsid w:val="2FABA03F"/>
    <w:rsid w:val="2FABBD7E"/>
    <w:rsid w:val="2FACC6FA"/>
    <w:rsid w:val="2FAD60AA"/>
    <w:rsid w:val="2FB43018"/>
    <w:rsid w:val="2FB5DCEE"/>
    <w:rsid w:val="2FB7B3EC"/>
    <w:rsid w:val="2FC4595C"/>
    <w:rsid w:val="2FC49FA4"/>
    <w:rsid w:val="2FC5818C"/>
    <w:rsid w:val="2FC5C819"/>
    <w:rsid w:val="2FCBAFF3"/>
    <w:rsid w:val="2FCD59E7"/>
    <w:rsid w:val="2FE357B2"/>
    <w:rsid w:val="2FF0F9DD"/>
    <w:rsid w:val="2FF592BA"/>
    <w:rsid w:val="2FF70A93"/>
    <w:rsid w:val="30023607"/>
    <w:rsid w:val="300A0CE7"/>
    <w:rsid w:val="301F85B4"/>
    <w:rsid w:val="30213FC3"/>
    <w:rsid w:val="3029249D"/>
    <w:rsid w:val="302B8CB1"/>
    <w:rsid w:val="3033C002"/>
    <w:rsid w:val="30350E65"/>
    <w:rsid w:val="3054B9DE"/>
    <w:rsid w:val="30578521"/>
    <w:rsid w:val="305B1672"/>
    <w:rsid w:val="305B4185"/>
    <w:rsid w:val="305DDCCD"/>
    <w:rsid w:val="305E8028"/>
    <w:rsid w:val="306C3835"/>
    <w:rsid w:val="3072D098"/>
    <w:rsid w:val="30730067"/>
    <w:rsid w:val="30791D84"/>
    <w:rsid w:val="308AF022"/>
    <w:rsid w:val="308FD833"/>
    <w:rsid w:val="30A37718"/>
    <w:rsid w:val="30A67E3A"/>
    <w:rsid w:val="30A7CBE6"/>
    <w:rsid w:val="30ABEB8E"/>
    <w:rsid w:val="30B0CD50"/>
    <w:rsid w:val="30BA112D"/>
    <w:rsid w:val="30BF5A59"/>
    <w:rsid w:val="30BFD90C"/>
    <w:rsid w:val="30C0DB67"/>
    <w:rsid w:val="30C224E1"/>
    <w:rsid w:val="30CCEBDE"/>
    <w:rsid w:val="30D1FB66"/>
    <w:rsid w:val="30D27B4D"/>
    <w:rsid w:val="30DA4702"/>
    <w:rsid w:val="30DB1DBB"/>
    <w:rsid w:val="30DBBDA2"/>
    <w:rsid w:val="30DE0390"/>
    <w:rsid w:val="30DEA2D6"/>
    <w:rsid w:val="30E1FEEF"/>
    <w:rsid w:val="30E37632"/>
    <w:rsid w:val="30E43623"/>
    <w:rsid w:val="30E51C35"/>
    <w:rsid w:val="30EF0C8B"/>
    <w:rsid w:val="30F0A6BC"/>
    <w:rsid w:val="30F1AF6E"/>
    <w:rsid w:val="30F5B218"/>
    <w:rsid w:val="30F869FA"/>
    <w:rsid w:val="30F89C76"/>
    <w:rsid w:val="30FEA595"/>
    <w:rsid w:val="31000183"/>
    <w:rsid w:val="31016D59"/>
    <w:rsid w:val="31029DC3"/>
    <w:rsid w:val="31044377"/>
    <w:rsid w:val="3104CFFB"/>
    <w:rsid w:val="3113CD5E"/>
    <w:rsid w:val="311AA111"/>
    <w:rsid w:val="311D3BF0"/>
    <w:rsid w:val="311FFA8F"/>
    <w:rsid w:val="31206031"/>
    <w:rsid w:val="3121B8E1"/>
    <w:rsid w:val="31265B38"/>
    <w:rsid w:val="312FAF80"/>
    <w:rsid w:val="31319CE0"/>
    <w:rsid w:val="3132B348"/>
    <w:rsid w:val="3133AFEC"/>
    <w:rsid w:val="3137E6AD"/>
    <w:rsid w:val="313C09CD"/>
    <w:rsid w:val="313F8E17"/>
    <w:rsid w:val="31438DB4"/>
    <w:rsid w:val="314BCE67"/>
    <w:rsid w:val="314BDF5C"/>
    <w:rsid w:val="3152BC06"/>
    <w:rsid w:val="3163C28E"/>
    <w:rsid w:val="3171453E"/>
    <w:rsid w:val="3174441D"/>
    <w:rsid w:val="31767251"/>
    <w:rsid w:val="31783711"/>
    <w:rsid w:val="3178A042"/>
    <w:rsid w:val="31813380"/>
    <w:rsid w:val="31813739"/>
    <w:rsid w:val="3187512F"/>
    <w:rsid w:val="318756E4"/>
    <w:rsid w:val="318A7594"/>
    <w:rsid w:val="31955ED1"/>
    <w:rsid w:val="3198AD96"/>
    <w:rsid w:val="319A8DEF"/>
    <w:rsid w:val="319FF392"/>
    <w:rsid w:val="31A4A650"/>
    <w:rsid w:val="31A4C716"/>
    <w:rsid w:val="31A7801B"/>
    <w:rsid w:val="31A9E638"/>
    <w:rsid w:val="31AA8DD6"/>
    <w:rsid w:val="31AC2B7F"/>
    <w:rsid w:val="31AC42CB"/>
    <w:rsid w:val="31B49957"/>
    <w:rsid w:val="31BAB3F0"/>
    <w:rsid w:val="31BC8BB9"/>
    <w:rsid w:val="31BFC647"/>
    <w:rsid w:val="31C4F79C"/>
    <w:rsid w:val="31C55EC2"/>
    <w:rsid w:val="31C57847"/>
    <w:rsid w:val="31CF116B"/>
    <w:rsid w:val="31D2739B"/>
    <w:rsid w:val="31DBC245"/>
    <w:rsid w:val="31DC5B26"/>
    <w:rsid w:val="31E74B79"/>
    <w:rsid w:val="31EEABA9"/>
    <w:rsid w:val="31EF297B"/>
    <w:rsid w:val="31F5F5EF"/>
    <w:rsid w:val="31FDEE8A"/>
    <w:rsid w:val="32036E96"/>
    <w:rsid w:val="32037B1E"/>
    <w:rsid w:val="3206410A"/>
    <w:rsid w:val="32081F47"/>
    <w:rsid w:val="320BBE9E"/>
    <w:rsid w:val="321031AD"/>
    <w:rsid w:val="32191A57"/>
    <w:rsid w:val="321A15C4"/>
    <w:rsid w:val="321C94C0"/>
    <w:rsid w:val="321ED16C"/>
    <w:rsid w:val="321F8C09"/>
    <w:rsid w:val="3224E6ED"/>
    <w:rsid w:val="322673DC"/>
    <w:rsid w:val="322B2EA1"/>
    <w:rsid w:val="322E675F"/>
    <w:rsid w:val="322EE8B5"/>
    <w:rsid w:val="323033C5"/>
    <w:rsid w:val="32357DB1"/>
    <w:rsid w:val="323CFD7E"/>
    <w:rsid w:val="3247F3AC"/>
    <w:rsid w:val="324909CA"/>
    <w:rsid w:val="324F8474"/>
    <w:rsid w:val="32564E06"/>
    <w:rsid w:val="3258629F"/>
    <w:rsid w:val="325BA625"/>
    <w:rsid w:val="3270D607"/>
    <w:rsid w:val="327A27E1"/>
    <w:rsid w:val="327AB66A"/>
    <w:rsid w:val="327BDB59"/>
    <w:rsid w:val="327F34D5"/>
    <w:rsid w:val="3285BEB6"/>
    <w:rsid w:val="3286D087"/>
    <w:rsid w:val="328F4882"/>
    <w:rsid w:val="3293CD51"/>
    <w:rsid w:val="3294A51A"/>
    <w:rsid w:val="329C1332"/>
    <w:rsid w:val="32A05CD3"/>
    <w:rsid w:val="32A34D4D"/>
    <w:rsid w:val="32A36F4E"/>
    <w:rsid w:val="32A5F50F"/>
    <w:rsid w:val="32A6404D"/>
    <w:rsid w:val="32A9B044"/>
    <w:rsid w:val="32AADFDF"/>
    <w:rsid w:val="32AE8B34"/>
    <w:rsid w:val="32B6D8AD"/>
    <w:rsid w:val="32B7451A"/>
    <w:rsid w:val="32C070E8"/>
    <w:rsid w:val="32C85C3D"/>
    <w:rsid w:val="32CAB598"/>
    <w:rsid w:val="32CC60D3"/>
    <w:rsid w:val="32CE46D4"/>
    <w:rsid w:val="32CF2BDD"/>
    <w:rsid w:val="32DB536A"/>
    <w:rsid w:val="32EC725B"/>
    <w:rsid w:val="32F12F79"/>
    <w:rsid w:val="32F38EB3"/>
    <w:rsid w:val="32F3FF9B"/>
    <w:rsid w:val="32FECFED"/>
    <w:rsid w:val="3301DFD2"/>
    <w:rsid w:val="3303D151"/>
    <w:rsid w:val="330C483E"/>
    <w:rsid w:val="3311F20D"/>
    <w:rsid w:val="33246B6A"/>
    <w:rsid w:val="332CA0D7"/>
    <w:rsid w:val="3331C6AA"/>
    <w:rsid w:val="333B25DC"/>
    <w:rsid w:val="333F0E49"/>
    <w:rsid w:val="3345B8CE"/>
    <w:rsid w:val="334DABE0"/>
    <w:rsid w:val="335386B8"/>
    <w:rsid w:val="33579686"/>
    <w:rsid w:val="335A0154"/>
    <w:rsid w:val="3362E3B5"/>
    <w:rsid w:val="33640B2F"/>
    <w:rsid w:val="336584B2"/>
    <w:rsid w:val="3366ABF2"/>
    <w:rsid w:val="33676A80"/>
    <w:rsid w:val="33757441"/>
    <w:rsid w:val="3377D02C"/>
    <w:rsid w:val="3379778C"/>
    <w:rsid w:val="337B99BA"/>
    <w:rsid w:val="337FD481"/>
    <w:rsid w:val="338C68B2"/>
    <w:rsid w:val="33953050"/>
    <w:rsid w:val="339632C6"/>
    <w:rsid w:val="339C97DE"/>
    <w:rsid w:val="339CB912"/>
    <w:rsid w:val="33A0BAE7"/>
    <w:rsid w:val="33A31128"/>
    <w:rsid w:val="33A8533D"/>
    <w:rsid w:val="33AD484C"/>
    <w:rsid w:val="33AF5F0D"/>
    <w:rsid w:val="33B4A1F1"/>
    <w:rsid w:val="33B763EF"/>
    <w:rsid w:val="33BE8FF3"/>
    <w:rsid w:val="33C00FC8"/>
    <w:rsid w:val="33C55480"/>
    <w:rsid w:val="33C9DEEE"/>
    <w:rsid w:val="33CED180"/>
    <w:rsid w:val="33CF6980"/>
    <w:rsid w:val="33DEC10C"/>
    <w:rsid w:val="33E800B4"/>
    <w:rsid w:val="33E84229"/>
    <w:rsid w:val="33E8482C"/>
    <w:rsid w:val="33EDE017"/>
    <w:rsid w:val="33EE388A"/>
    <w:rsid w:val="33F17238"/>
    <w:rsid w:val="34047D84"/>
    <w:rsid w:val="3407B69C"/>
    <w:rsid w:val="341D8F0E"/>
    <w:rsid w:val="3421D70B"/>
    <w:rsid w:val="3428DEDD"/>
    <w:rsid w:val="34336235"/>
    <w:rsid w:val="3446D12A"/>
    <w:rsid w:val="3447F847"/>
    <w:rsid w:val="344BBE4B"/>
    <w:rsid w:val="345429DD"/>
    <w:rsid w:val="346180D2"/>
    <w:rsid w:val="3461B657"/>
    <w:rsid w:val="346309DC"/>
    <w:rsid w:val="346A4688"/>
    <w:rsid w:val="34775A0B"/>
    <w:rsid w:val="34776401"/>
    <w:rsid w:val="347815AC"/>
    <w:rsid w:val="3483A664"/>
    <w:rsid w:val="348547CC"/>
    <w:rsid w:val="348B0161"/>
    <w:rsid w:val="34A1C206"/>
    <w:rsid w:val="34B7971F"/>
    <w:rsid w:val="34B7DDC1"/>
    <w:rsid w:val="34BCDF08"/>
    <w:rsid w:val="34BF1EFB"/>
    <w:rsid w:val="34C2E9AD"/>
    <w:rsid w:val="34C3FDEB"/>
    <w:rsid w:val="34C68B9F"/>
    <w:rsid w:val="34CC2B0B"/>
    <w:rsid w:val="34D95EA0"/>
    <w:rsid w:val="34DF0FA2"/>
    <w:rsid w:val="34EABCAD"/>
    <w:rsid w:val="34F2E246"/>
    <w:rsid w:val="34F30BFC"/>
    <w:rsid w:val="34F85D8F"/>
    <w:rsid w:val="3508C535"/>
    <w:rsid w:val="351AF20F"/>
    <w:rsid w:val="351E5A87"/>
    <w:rsid w:val="35207086"/>
    <w:rsid w:val="3527FF91"/>
    <w:rsid w:val="352DBA53"/>
    <w:rsid w:val="3534FEE9"/>
    <w:rsid w:val="35451847"/>
    <w:rsid w:val="35465626"/>
    <w:rsid w:val="35485B7A"/>
    <w:rsid w:val="354D7F83"/>
    <w:rsid w:val="355114F3"/>
    <w:rsid w:val="355DCA8B"/>
    <w:rsid w:val="355F4219"/>
    <w:rsid w:val="356627CF"/>
    <w:rsid w:val="356D6750"/>
    <w:rsid w:val="357633C5"/>
    <w:rsid w:val="357BA66E"/>
    <w:rsid w:val="357CA468"/>
    <w:rsid w:val="35803445"/>
    <w:rsid w:val="35835158"/>
    <w:rsid w:val="35841373"/>
    <w:rsid w:val="3584DAE0"/>
    <w:rsid w:val="35880C5D"/>
    <w:rsid w:val="359120ED"/>
    <w:rsid w:val="3595B52A"/>
    <w:rsid w:val="3595FBA6"/>
    <w:rsid w:val="359B1A17"/>
    <w:rsid w:val="359D8585"/>
    <w:rsid w:val="35A469DF"/>
    <w:rsid w:val="35B3AA3C"/>
    <w:rsid w:val="35B578F8"/>
    <w:rsid w:val="35B8E7EC"/>
    <w:rsid w:val="35BA6564"/>
    <w:rsid w:val="35BE5C75"/>
    <w:rsid w:val="35C570A8"/>
    <w:rsid w:val="35C907D1"/>
    <w:rsid w:val="35CE0BDB"/>
    <w:rsid w:val="35D4D95C"/>
    <w:rsid w:val="35D655CE"/>
    <w:rsid w:val="35D74B3E"/>
    <w:rsid w:val="35D7DC48"/>
    <w:rsid w:val="35DB95EC"/>
    <w:rsid w:val="35DCD95E"/>
    <w:rsid w:val="35E0E632"/>
    <w:rsid w:val="35E7CD37"/>
    <w:rsid w:val="35E8A48C"/>
    <w:rsid w:val="35F66BB1"/>
    <w:rsid w:val="35FD9214"/>
    <w:rsid w:val="35FDC1B0"/>
    <w:rsid w:val="35FDDD19"/>
    <w:rsid w:val="3601E92F"/>
    <w:rsid w:val="360E0AD4"/>
    <w:rsid w:val="361B520E"/>
    <w:rsid w:val="362688C0"/>
    <w:rsid w:val="362AD045"/>
    <w:rsid w:val="362E57BD"/>
    <w:rsid w:val="362FDF71"/>
    <w:rsid w:val="36406FB7"/>
    <w:rsid w:val="3644ABF2"/>
    <w:rsid w:val="3645C2B4"/>
    <w:rsid w:val="3645EE62"/>
    <w:rsid w:val="364E7517"/>
    <w:rsid w:val="3652D266"/>
    <w:rsid w:val="366CDBFF"/>
    <w:rsid w:val="366E05C0"/>
    <w:rsid w:val="36794881"/>
    <w:rsid w:val="367B2B87"/>
    <w:rsid w:val="36807ABE"/>
    <w:rsid w:val="3683E405"/>
    <w:rsid w:val="3691E24C"/>
    <w:rsid w:val="3693B050"/>
    <w:rsid w:val="3695E77F"/>
    <w:rsid w:val="36964401"/>
    <w:rsid w:val="36969B2C"/>
    <w:rsid w:val="36974875"/>
    <w:rsid w:val="369975C4"/>
    <w:rsid w:val="369C7021"/>
    <w:rsid w:val="369CB2CD"/>
    <w:rsid w:val="369D75B0"/>
    <w:rsid w:val="369D9F7D"/>
    <w:rsid w:val="36A90BE9"/>
    <w:rsid w:val="36B38907"/>
    <w:rsid w:val="36BBE2AE"/>
    <w:rsid w:val="36BEBB95"/>
    <w:rsid w:val="36CB9CB5"/>
    <w:rsid w:val="36DC87CC"/>
    <w:rsid w:val="36DF73F0"/>
    <w:rsid w:val="36E7885E"/>
    <w:rsid w:val="36E79665"/>
    <w:rsid w:val="36EC350F"/>
    <w:rsid w:val="36F20BB6"/>
    <w:rsid w:val="36F98A7E"/>
    <w:rsid w:val="36FFED31"/>
    <w:rsid w:val="370273C4"/>
    <w:rsid w:val="3707E97E"/>
    <w:rsid w:val="3707EB13"/>
    <w:rsid w:val="37111E4D"/>
    <w:rsid w:val="371135D7"/>
    <w:rsid w:val="3716949F"/>
    <w:rsid w:val="371981A5"/>
    <w:rsid w:val="371CBF50"/>
    <w:rsid w:val="371FAAAB"/>
    <w:rsid w:val="37203916"/>
    <w:rsid w:val="3725CF2F"/>
    <w:rsid w:val="3728AED0"/>
    <w:rsid w:val="372AFB1D"/>
    <w:rsid w:val="372CB597"/>
    <w:rsid w:val="373663E6"/>
    <w:rsid w:val="3739ABF4"/>
    <w:rsid w:val="373D4328"/>
    <w:rsid w:val="373DAF46"/>
    <w:rsid w:val="3743FAB2"/>
    <w:rsid w:val="374C1E47"/>
    <w:rsid w:val="374E904E"/>
    <w:rsid w:val="37512466"/>
    <w:rsid w:val="375B54AC"/>
    <w:rsid w:val="3760D676"/>
    <w:rsid w:val="37634F8B"/>
    <w:rsid w:val="3767FDE9"/>
    <w:rsid w:val="376882EE"/>
    <w:rsid w:val="376B4C90"/>
    <w:rsid w:val="37746D6F"/>
    <w:rsid w:val="37779ABA"/>
    <w:rsid w:val="377AB9EA"/>
    <w:rsid w:val="377DDD95"/>
    <w:rsid w:val="377F3390"/>
    <w:rsid w:val="3787961D"/>
    <w:rsid w:val="378CB732"/>
    <w:rsid w:val="3790F245"/>
    <w:rsid w:val="37994CBE"/>
    <w:rsid w:val="37A300C7"/>
    <w:rsid w:val="37A61BF8"/>
    <w:rsid w:val="37A6607B"/>
    <w:rsid w:val="37A948AF"/>
    <w:rsid w:val="37AF0FD9"/>
    <w:rsid w:val="37B1FDAB"/>
    <w:rsid w:val="37B3C54D"/>
    <w:rsid w:val="37C42EDA"/>
    <w:rsid w:val="37C47B87"/>
    <w:rsid w:val="37CB3E94"/>
    <w:rsid w:val="37CB9FC9"/>
    <w:rsid w:val="37CE546A"/>
    <w:rsid w:val="37DB2DB0"/>
    <w:rsid w:val="37E0B314"/>
    <w:rsid w:val="37E4EE1D"/>
    <w:rsid w:val="37F3B371"/>
    <w:rsid w:val="37F699D5"/>
    <w:rsid w:val="3807BBC0"/>
    <w:rsid w:val="38158D33"/>
    <w:rsid w:val="381D2A8C"/>
    <w:rsid w:val="381DBBF6"/>
    <w:rsid w:val="381FA36E"/>
    <w:rsid w:val="38262A00"/>
    <w:rsid w:val="3829E322"/>
    <w:rsid w:val="382C0A6D"/>
    <w:rsid w:val="382C6A73"/>
    <w:rsid w:val="3841E481"/>
    <w:rsid w:val="384ACEDD"/>
    <w:rsid w:val="3856C364"/>
    <w:rsid w:val="385774B9"/>
    <w:rsid w:val="3862A9B4"/>
    <w:rsid w:val="3863B236"/>
    <w:rsid w:val="3864C3EE"/>
    <w:rsid w:val="387D7C16"/>
    <w:rsid w:val="387DADDB"/>
    <w:rsid w:val="3882DDB8"/>
    <w:rsid w:val="388AE6B0"/>
    <w:rsid w:val="388B7200"/>
    <w:rsid w:val="3890F099"/>
    <w:rsid w:val="3893B90C"/>
    <w:rsid w:val="38999BDA"/>
    <w:rsid w:val="389AD54D"/>
    <w:rsid w:val="38AAE9EF"/>
    <w:rsid w:val="38B1ADF9"/>
    <w:rsid w:val="38B4F5DF"/>
    <w:rsid w:val="38BB040A"/>
    <w:rsid w:val="38BB5EC5"/>
    <w:rsid w:val="38BCF1DF"/>
    <w:rsid w:val="38BD072D"/>
    <w:rsid w:val="38C462F3"/>
    <w:rsid w:val="38C5B493"/>
    <w:rsid w:val="38C5C47D"/>
    <w:rsid w:val="38D985A0"/>
    <w:rsid w:val="38DA7D22"/>
    <w:rsid w:val="38DF4E8E"/>
    <w:rsid w:val="38E282FC"/>
    <w:rsid w:val="38EB0DB3"/>
    <w:rsid w:val="38EEA419"/>
    <w:rsid w:val="38EECC3F"/>
    <w:rsid w:val="38F98A35"/>
    <w:rsid w:val="390022B1"/>
    <w:rsid w:val="390CBB17"/>
    <w:rsid w:val="3918128B"/>
    <w:rsid w:val="39193731"/>
    <w:rsid w:val="392360E9"/>
    <w:rsid w:val="392D1205"/>
    <w:rsid w:val="392D8AF2"/>
    <w:rsid w:val="3930596C"/>
    <w:rsid w:val="394755D1"/>
    <w:rsid w:val="39502E58"/>
    <w:rsid w:val="395274D9"/>
    <w:rsid w:val="39533DC5"/>
    <w:rsid w:val="39547AA0"/>
    <w:rsid w:val="3954BB7C"/>
    <w:rsid w:val="395AB1F5"/>
    <w:rsid w:val="395BD42F"/>
    <w:rsid w:val="395F4CF6"/>
    <w:rsid w:val="3961372D"/>
    <w:rsid w:val="3961E1E2"/>
    <w:rsid w:val="39638C86"/>
    <w:rsid w:val="396BF379"/>
    <w:rsid w:val="396DBA2F"/>
    <w:rsid w:val="396FCDF9"/>
    <w:rsid w:val="39707771"/>
    <w:rsid w:val="3973911A"/>
    <w:rsid w:val="39760E61"/>
    <w:rsid w:val="3976579D"/>
    <w:rsid w:val="397D70D4"/>
    <w:rsid w:val="39807584"/>
    <w:rsid w:val="398E3B16"/>
    <w:rsid w:val="398EDCAD"/>
    <w:rsid w:val="398FB785"/>
    <w:rsid w:val="399547D6"/>
    <w:rsid w:val="39968AC7"/>
    <w:rsid w:val="3998F207"/>
    <w:rsid w:val="39A2809B"/>
    <w:rsid w:val="39A85DC0"/>
    <w:rsid w:val="39ACE5CD"/>
    <w:rsid w:val="39AFE1B1"/>
    <w:rsid w:val="39C6AE8C"/>
    <w:rsid w:val="39C80CA4"/>
    <w:rsid w:val="39CA0BCD"/>
    <w:rsid w:val="39CA2A02"/>
    <w:rsid w:val="39D35F9B"/>
    <w:rsid w:val="39D6EC89"/>
    <w:rsid w:val="39DB1FAA"/>
    <w:rsid w:val="39DCA328"/>
    <w:rsid w:val="39E9B1F1"/>
    <w:rsid w:val="39ED45AC"/>
    <w:rsid w:val="39ED88DD"/>
    <w:rsid w:val="39FAFBDA"/>
    <w:rsid w:val="3A06357F"/>
    <w:rsid w:val="3A0C77BC"/>
    <w:rsid w:val="3A1AA81D"/>
    <w:rsid w:val="3A284BC3"/>
    <w:rsid w:val="3A2A6F95"/>
    <w:rsid w:val="3A2AB0EB"/>
    <w:rsid w:val="3A2DAA44"/>
    <w:rsid w:val="3A3F3B6B"/>
    <w:rsid w:val="3A529998"/>
    <w:rsid w:val="3A54498B"/>
    <w:rsid w:val="3A56878E"/>
    <w:rsid w:val="3A6720A9"/>
    <w:rsid w:val="3A682E30"/>
    <w:rsid w:val="3A6C72AE"/>
    <w:rsid w:val="3A6CF7A3"/>
    <w:rsid w:val="3A7C2F02"/>
    <w:rsid w:val="3A81C9CD"/>
    <w:rsid w:val="3A82D489"/>
    <w:rsid w:val="3A83A7ED"/>
    <w:rsid w:val="3A845E38"/>
    <w:rsid w:val="3A857607"/>
    <w:rsid w:val="3A8A866F"/>
    <w:rsid w:val="3A909107"/>
    <w:rsid w:val="3A95CAA0"/>
    <w:rsid w:val="3A98AC88"/>
    <w:rsid w:val="3AAB3C62"/>
    <w:rsid w:val="3AAC9672"/>
    <w:rsid w:val="3AB8A1EE"/>
    <w:rsid w:val="3ABDF3E8"/>
    <w:rsid w:val="3AC3B5F5"/>
    <w:rsid w:val="3AC3FD0B"/>
    <w:rsid w:val="3AC674BB"/>
    <w:rsid w:val="3AE1F99E"/>
    <w:rsid w:val="3AE7DB92"/>
    <w:rsid w:val="3B018810"/>
    <w:rsid w:val="3B022E64"/>
    <w:rsid w:val="3B0B0547"/>
    <w:rsid w:val="3B116183"/>
    <w:rsid w:val="3B150788"/>
    <w:rsid w:val="3B16D3F4"/>
    <w:rsid w:val="3B182C1C"/>
    <w:rsid w:val="3B191206"/>
    <w:rsid w:val="3B1AD6E1"/>
    <w:rsid w:val="3B2B61B0"/>
    <w:rsid w:val="3B2EA849"/>
    <w:rsid w:val="3B2EC99C"/>
    <w:rsid w:val="3B2EFE8C"/>
    <w:rsid w:val="3B316E76"/>
    <w:rsid w:val="3B36642B"/>
    <w:rsid w:val="3B3B5380"/>
    <w:rsid w:val="3B46111F"/>
    <w:rsid w:val="3B467058"/>
    <w:rsid w:val="3B4D8B2F"/>
    <w:rsid w:val="3B4EAE42"/>
    <w:rsid w:val="3B61C9AC"/>
    <w:rsid w:val="3B621204"/>
    <w:rsid w:val="3B64288A"/>
    <w:rsid w:val="3B6D24D6"/>
    <w:rsid w:val="3B6F86FC"/>
    <w:rsid w:val="3B7FBF19"/>
    <w:rsid w:val="3B8024C8"/>
    <w:rsid w:val="3B8508B9"/>
    <w:rsid w:val="3B8D20E6"/>
    <w:rsid w:val="3B8D6F75"/>
    <w:rsid w:val="3B939B8F"/>
    <w:rsid w:val="3B9C94C1"/>
    <w:rsid w:val="3BA3D05A"/>
    <w:rsid w:val="3BB928A6"/>
    <w:rsid w:val="3BC56FE5"/>
    <w:rsid w:val="3BCDA2C9"/>
    <w:rsid w:val="3BCEA8FC"/>
    <w:rsid w:val="3BDCA31D"/>
    <w:rsid w:val="3BE077F6"/>
    <w:rsid w:val="3BE1E7EC"/>
    <w:rsid w:val="3BEE00B8"/>
    <w:rsid w:val="3BF7B985"/>
    <w:rsid w:val="3BF9CCD6"/>
    <w:rsid w:val="3C0261A0"/>
    <w:rsid w:val="3C0BEED8"/>
    <w:rsid w:val="3C14BBFA"/>
    <w:rsid w:val="3C173E22"/>
    <w:rsid w:val="3C190C67"/>
    <w:rsid w:val="3C1A6478"/>
    <w:rsid w:val="3C24065B"/>
    <w:rsid w:val="3C27D974"/>
    <w:rsid w:val="3C32B98E"/>
    <w:rsid w:val="3C377914"/>
    <w:rsid w:val="3C3B23EC"/>
    <w:rsid w:val="3C3EBDB3"/>
    <w:rsid w:val="3C42938B"/>
    <w:rsid w:val="3C430E80"/>
    <w:rsid w:val="3C454AB1"/>
    <w:rsid w:val="3C5309A6"/>
    <w:rsid w:val="3C5749CE"/>
    <w:rsid w:val="3C5E3F04"/>
    <w:rsid w:val="3C5F7322"/>
    <w:rsid w:val="3C6505CC"/>
    <w:rsid w:val="3C706ECB"/>
    <w:rsid w:val="3C721652"/>
    <w:rsid w:val="3C8261CB"/>
    <w:rsid w:val="3C840AFC"/>
    <w:rsid w:val="3C842E72"/>
    <w:rsid w:val="3C8BE443"/>
    <w:rsid w:val="3C903E40"/>
    <w:rsid w:val="3C934156"/>
    <w:rsid w:val="3C964D4A"/>
    <w:rsid w:val="3C97E5E5"/>
    <w:rsid w:val="3CA1692D"/>
    <w:rsid w:val="3CA9BAE1"/>
    <w:rsid w:val="3CAA2250"/>
    <w:rsid w:val="3CAC176A"/>
    <w:rsid w:val="3CAF538D"/>
    <w:rsid w:val="3CC1FDB5"/>
    <w:rsid w:val="3CC41C81"/>
    <w:rsid w:val="3CC445F0"/>
    <w:rsid w:val="3CC728CD"/>
    <w:rsid w:val="3CC9D80D"/>
    <w:rsid w:val="3CD09068"/>
    <w:rsid w:val="3CD690DA"/>
    <w:rsid w:val="3CD94C52"/>
    <w:rsid w:val="3CDBD51C"/>
    <w:rsid w:val="3CE1D17A"/>
    <w:rsid w:val="3CE54DB8"/>
    <w:rsid w:val="3CE7CFA6"/>
    <w:rsid w:val="3CECC8F8"/>
    <w:rsid w:val="3CF1D726"/>
    <w:rsid w:val="3D05A686"/>
    <w:rsid w:val="3D0ACEF8"/>
    <w:rsid w:val="3D118641"/>
    <w:rsid w:val="3D14D339"/>
    <w:rsid w:val="3D1870FF"/>
    <w:rsid w:val="3D1A8F15"/>
    <w:rsid w:val="3D1D5EC6"/>
    <w:rsid w:val="3D1DEDE6"/>
    <w:rsid w:val="3D3891E8"/>
    <w:rsid w:val="3D391197"/>
    <w:rsid w:val="3D3B3E5E"/>
    <w:rsid w:val="3D3C8916"/>
    <w:rsid w:val="3D3E337A"/>
    <w:rsid w:val="3D4029DE"/>
    <w:rsid w:val="3D411205"/>
    <w:rsid w:val="3D464C17"/>
    <w:rsid w:val="3D55808B"/>
    <w:rsid w:val="3D5B2A46"/>
    <w:rsid w:val="3D5E88B1"/>
    <w:rsid w:val="3D774EBD"/>
    <w:rsid w:val="3D77B7E2"/>
    <w:rsid w:val="3D8311BA"/>
    <w:rsid w:val="3D847ACD"/>
    <w:rsid w:val="3D888744"/>
    <w:rsid w:val="3D895E10"/>
    <w:rsid w:val="3D8BBCB7"/>
    <w:rsid w:val="3D9017A8"/>
    <w:rsid w:val="3D91C7F0"/>
    <w:rsid w:val="3D923F70"/>
    <w:rsid w:val="3D9922DF"/>
    <w:rsid w:val="3D9A0DA8"/>
    <w:rsid w:val="3D9BD01E"/>
    <w:rsid w:val="3D9D0097"/>
    <w:rsid w:val="3DA16CDF"/>
    <w:rsid w:val="3DA4D81A"/>
    <w:rsid w:val="3DAA3991"/>
    <w:rsid w:val="3DAE3D10"/>
    <w:rsid w:val="3DAF4F6E"/>
    <w:rsid w:val="3DB548D3"/>
    <w:rsid w:val="3DB86AB0"/>
    <w:rsid w:val="3DCA9B5A"/>
    <w:rsid w:val="3DD08CAB"/>
    <w:rsid w:val="3DD264D4"/>
    <w:rsid w:val="3DD4F837"/>
    <w:rsid w:val="3DDB5CF0"/>
    <w:rsid w:val="3DDED2C3"/>
    <w:rsid w:val="3DE8CAB2"/>
    <w:rsid w:val="3DE9C484"/>
    <w:rsid w:val="3DEA9247"/>
    <w:rsid w:val="3DF4B3C3"/>
    <w:rsid w:val="3DFF4E5E"/>
    <w:rsid w:val="3E003C25"/>
    <w:rsid w:val="3E011AA8"/>
    <w:rsid w:val="3E06A04A"/>
    <w:rsid w:val="3E0F04CC"/>
    <w:rsid w:val="3E1FD788"/>
    <w:rsid w:val="3E209AAF"/>
    <w:rsid w:val="3E2A02FE"/>
    <w:rsid w:val="3E2D8EB5"/>
    <w:rsid w:val="3E2DF64F"/>
    <w:rsid w:val="3E2EC0AA"/>
    <w:rsid w:val="3E313A82"/>
    <w:rsid w:val="3E37DCA8"/>
    <w:rsid w:val="3E3912F3"/>
    <w:rsid w:val="3E3B30EC"/>
    <w:rsid w:val="3E3D6F63"/>
    <w:rsid w:val="3E458B2C"/>
    <w:rsid w:val="3E469A5C"/>
    <w:rsid w:val="3E480385"/>
    <w:rsid w:val="3E50516C"/>
    <w:rsid w:val="3E5D9DF7"/>
    <w:rsid w:val="3E5FBD5F"/>
    <w:rsid w:val="3E6167EF"/>
    <w:rsid w:val="3E630AB2"/>
    <w:rsid w:val="3E6819C3"/>
    <w:rsid w:val="3E6B5270"/>
    <w:rsid w:val="3E70C4E1"/>
    <w:rsid w:val="3E743729"/>
    <w:rsid w:val="3E7B3072"/>
    <w:rsid w:val="3E7D12B3"/>
    <w:rsid w:val="3E8DA7DB"/>
    <w:rsid w:val="3E95EFF2"/>
    <w:rsid w:val="3E985733"/>
    <w:rsid w:val="3E9E1AD2"/>
    <w:rsid w:val="3E9F6479"/>
    <w:rsid w:val="3EA3FD9A"/>
    <w:rsid w:val="3EA46463"/>
    <w:rsid w:val="3EA76DDC"/>
    <w:rsid w:val="3EAEAFAE"/>
    <w:rsid w:val="3EB6D550"/>
    <w:rsid w:val="3EB74150"/>
    <w:rsid w:val="3EBCAF19"/>
    <w:rsid w:val="3EC218CC"/>
    <w:rsid w:val="3EC452FB"/>
    <w:rsid w:val="3EC5ED4A"/>
    <w:rsid w:val="3ECD8EEC"/>
    <w:rsid w:val="3ED33BB5"/>
    <w:rsid w:val="3ED4E8EC"/>
    <w:rsid w:val="3EE1A520"/>
    <w:rsid w:val="3EE2DE76"/>
    <w:rsid w:val="3EE3833D"/>
    <w:rsid w:val="3EE40FE2"/>
    <w:rsid w:val="3EECAE3A"/>
    <w:rsid w:val="3EF32B3D"/>
    <w:rsid w:val="3EFB064E"/>
    <w:rsid w:val="3EFF178C"/>
    <w:rsid w:val="3EFFD08B"/>
    <w:rsid w:val="3F0F1B2D"/>
    <w:rsid w:val="3F146EF8"/>
    <w:rsid w:val="3F18C2AC"/>
    <w:rsid w:val="3F1E0E47"/>
    <w:rsid w:val="3F259344"/>
    <w:rsid w:val="3F2AFFBC"/>
    <w:rsid w:val="3F2C9FB5"/>
    <w:rsid w:val="3F32180D"/>
    <w:rsid w:val="3F3C0086"/>
    <w:rsid w:val="3F3FA788"/>
    <w:rsid w:val="3F597466"/>
    <w:rsid w:val="3F60CD2A"/>
    <w:rsid w:val="3F66CA69"/>
    <w:rsid w:val="3F67B4BF"/>
    <w:rsid w:val="3F6E99D1"/>
    <w:rsid w:val="3F6EA770"/>
    <w:rsid w:val="3F79E2E1"/>
    <w:rsid w:val="3F7A4393"/>
    <w:rsid w:val="3F831C8D"/>
    <w:rsid w:val="3F91C0A7"/>
    <w:rsid w:val="3F97051D"/>
    <w:rsid w:val="3F9BED22"/>
    <w:rsid w:val="3F9FEA05"/>
    <w:rsid w:val="3FA0A694"/>
    <w:rsid w:val="3FA2200F"/>
    <w:rsid w:val="3FA33C9C"/>
    <w:rsid w:val="3FA85DF6"/>
    <w:rsid w:val="3FAA2FC4"/>
    <w:rsid w:val="3FAFBCB9"/>
    <w:rsid w:val="3FBBAF2C"/>
    <w:rsid w:val="3FBDF490"/>
    <w:rsid w:val="3FC245D0"/>
    <w:rsid w:val="3FC4FAAB"/>
    <w:rsid w:val="3FC57463"/>
    <w:rsid w:val="3FCED44B"/>
    <w:rsid w:val="3FD1D9C9"/>
    <w:rsid w:val="3FD1DE88"/>
    <w:rsid w:val="3FD87446"/>
    <w:rsid w:val="3FDA1ECC"/>
    <w:rsid w:val="3FDFA98E"/>
    <w:rsid w:val="3FE68A14"/>
    <w:rsid w:val="3FEBDF00"/>
    <w:rsid w:val="3FEFB9C3"/>
    <w:rsid w:val="400183C7"/>
    <w:rsid w:val="40036212"/>
    <w:rsid w:val="4005C825"/>
    <w:rsid w:val="4008E534"/>
    <w:rsid w:val="40096400"/>
    <w:rsid w:val="400DFAF1"/>
    <w:rsid w:val="4011741E"/>
    <w:rsid w:val="4015CBA8"/>
    <w:rsid w:val="4020E1F5"/>
    <w:rsid w:val="40239D1E"/>
    <w:rsid w:val="402BF521"/>
    <w:rsid w:val="40357627"/>
    <w:rsid w:val="4036CBB3"/>
    <w:rsid w:val="40374698"/>
    <w:rsid w:val="40443CEF"/>
    <w:rsid w:val="404E4B76"/>
    <w:rsid w:val="40576786"/>
    <w:rsid w:val="405908E9"/>
    <w:rsid w:val="405CB44D"/>
    <w:rsid w:val="405D311C"/>
    <w:rsid w:val="406021E2"/>
    <w:rsid w:val="40617B67"/>
    <w:rsid w:val="40648F8B"/>
    <w:rsid w:val="4064EB8D"/>
    <w:rsid w:val="406B9CDD"/>
    <w:rsid w:val="406EC6E8"/>
    <w:rsid w:val="406EDAD9"/>
    <w:rsid w:val="406EDC2D"/>
    <w:rsid w:val="40726757"/>
    <w:rsid w:val="407F0C27"/>
    <w:rsid w:val="407F1143"/>
    <w:rsid w:val="40820D53"/>
    <w:rsid w:val="408499C1"/>
    <w:rsid w:val="4087F683"/>
    <w:rsid w:val="408E48BB"/>
    <w:rsid w:val="408FA6BD"/>
    <w:rsid w:val="40902A8E"/>
    <w:rsid w:val="4092C7E2"/>
    <w:rsid w:val="4093188A"/>
    <w:rsid w:val="4094D2AD"/>
    <w:rsid w:val="4097F36E"/>
    <w:rsid w:val="409C886B"/>
    <w:rsid w:val="409D8254"/>
    <w:rsid w:val="40A159AA"/>
    <w:rsid w:val="40A796CF"/>
    <w:rsid w:val="40B150DA"/>
    <w:rsid w:val="40B647E8"/>
    <w:rsid w:val="40B80101"/>
    <w:rsid w:val="40BF5905"/>
    <w:rsid w:val="40CD9222"/>
    <w:rsid w:val="40D06A47"/>
    <w:rsid w:val="40D431F9"/>
    <w:rsid w:val="40DEB08D"/>
    <w:rsid w:val="40E67858"/>
    <w:rsid w:val="40EB083E"/>
    <w:rsid w:val="40F1276A"/>
    <w:rsid w:val="40FBE3C3"/>
    <w:rsid w:val="40FCCB21"/>
    <w:rsid w:val="4101017B"/>
    <w:rsid w:val="4102FB17"/>
    <w:rsid w:val="4104613E"/>
    <w:rsid w:val="41075B6A"/>
    <w:rsid w:val="4109D4F5"/>
    <w:rsid w:val="410AA6F2"/>
    <w:rsid w:val="410B19BD"/>
    <w:rsid w:val="410FEBFC"/>
    <w:rsid w:val="4114AD73"/>
    <w:rsid w:val="4116D6DC"/>
    <w:rsid w:val="4126B870"/>
    <w:rsid w:val="4129C8C3"/>
    <w:rsid w:val="412BC28E"/>
    <w:rsid w:val="412F8B71"/>
    <w:rsid w:val="41301C90"/>
    <w:rsid w:val="4133B680"/>
    <w:rsid w:val="413656B7"/>
    <w:rsid w:val="41391D3F"/>
    <w:rsid w:val="41438A09"/>
    <w:rsid w:val="41473B14"/>
    <w:rsid w:val="414EAFCB"/>
    <w:rsid w:val="4150771C"/>
    <w:rsid w:val="4157169A"/>
    <w:rsid w:val="4160A8F4"/>
    <w:rsid w:val="4168ADB4"/>
    <w:rsid w:val="4169F835"/>
    <w:rsid w:val="416BA739"/>
    <w:rsid w:val="416BE643"/>
    <w:rsid w:val="416EBD81"/>
    <w:rsid w:val="418F7D21"/>
    <w:rsid w:val="41918E76"/>
    <w:rsid w:val="4195B22B"/>
    <w:rsid w:val="419C0B1C"/>
    <w:rsid w:val="419EE45B"/>
    <w:rsid w:val="41A56D16"/>
    <w:rsid w:val="41A5C031"/>
    <w:rsid w:val="41B3B941"/>
    <w:rsid w:val="41BCA543"/>
    <w:rsid w:val="41BFE0FD"/>
    <w:rsid w:val="41C6C041"/>
    <w:rsid w:val="41C80455"/>
    <w:rsid w:val="41CDAF67"/>
    <w:rsid w:val="41D4ED96"/>
    <w:rsid w:val="41DBEF69"/>
    <w:rsid w:val="41E08686"/>
    <w:rsid w:val="41E3ECEB"/>
    <w:rsid w:val="41E4CD2E"/>
    <w:rsid w:val="41ECFB20"/>
    <w:rsid w:val="41F04FDD"/>
    <w:rsid w:val="41F4AADE"/>
    <w:rsid w:val="41FDA3FC"/>
    <w:rsid w:val="42016CF5"/>
    <w:rsid w:val="420546E3"/>
    <w:rsid w:val="4205864B"/>
    <w:rsid w:val="4216B1C7"/>
    <w:rsid w:val="421E678C"/>
    <w:rsid w:val="42202803"/>
    <w:rsid w:val="42237351"/>
    <w:rsid w:val="42241195"/>
    <w:rsid w:val="422D9276"/>
    <w:rsid w:val="422E6904"/>
    <w:rsid w:val="4230B5CE"/>
    <w:rsid w:val="42340A7A"/>
    <w:rsid w:val="42358F3A"/>
    <w:rsid w:val="42366364"/>
    <w:rsid w:val="4237BC72"/>
    <w:rsid w:val="4237D6E5"/>
    <w:rsid w:val="423F47BA"/>
    <w:rsid w:val="424424CA"/>
    <w:rsid w:val="424C4AF6"/>
    <w:rsid w:val="42529026"/>
    <w:rsid w:val="4262F5CD"/>
    <w:rsid w:val="42683E9E"/>
    <w:rsid w:val="426AFEAC"/>
    <w:rsid w:val="42796722"/>
    <w:rsid w:val="427F3365"/>
    <w:rsid w:val="427FF257"/>
    <w:rsid w:val="428764E0"/>
    <w:rsid w:val="428B079A"/>
    <w:rsid w:val="42995D65"/>
    <w:rsid w:val="42ADCC39"/>
    <w:rsid w:val="42B23C6E"/>
    <w:rsid w:val="42B9A2B4"/>
    <w:rsid w:val="42BCBF33"/>
    <w:rsid w:val="42C1EE27"/>
    <w:rsid w:val="42C3A066"/>
    <w:rsid w:val="42D00862"/>
    <w:rsid w:val="42D38E0E"/>
    <w:rsid w:val="42D68241"/>
    <w:rsid w:val="42D98EB4"/>
    <w:rsid w:val="42DCB499"/>
    <w:rsid w:val="42E46E4E"/>
    <w:rsid w:val="42E47707"/>
    <w:rsid w:val="42E4B19C"/>
    <w:rsid w:val="42E5920F"/>
    <w:rsid w:val="42E79336"/>
    <w:rsid w:val="42EAEFD9"/>
    <w:rsid w:val="42EEAD02"/>
    <w:rsid w:val="42F31400"/>
    <w:rsid w:val="42FD611D"/>
    <w:rsid w:val="42FFD6EF"/>
    <w:rsid w:val="430181EC"/>
    <w:rsid w:val="4309503E"/>
    <w:rsid w:val="4310E09D"/>
    <w:rsid w:val="43110717"/>
    <w:rsid w:val="431755E3"/>
    <w:rsid w:val="43194A06"/>
    <w:rsid w:val="431D7D83"/>
    <w:rsid w:val="432871CF"/>
    <w:rsid w:val="4328C039"/>
    <w:rsid w:val="432D0E2E"/>
    <w:rsid w:val="4333D9E4"/>
    <w:rsid w:val="433635A3"/>
    <w:rsid w:val="433874CF"/>
    <w:rsid w:val="43449E7D"/>
    <w:rsid w:val="43479D20"/>
    <w:rsid w:val="434B4983"/>
    <w:rsid w:val="4357A29A"/>
    <w:rsid w:val="4358994A"/>
    <w:rsid w:val="43652CA6"/>
    <w:rsid w:val="4366AE8B"/>
    <w:rsid w:val="436EF259"/>
    <w:rsid w:val="4370F8F6"/>
    <w:rsid w:val="437164D0"/>
    <w:rsid w:val="437A117E"/>
    <w:rsid w:val="438311F8"/>
    <w:rsid w:val="438913A1"/>
    <w:rsid w:val="4391E968"/>
    <w:rsid w:val="43A2A502"/>
    <w:rsid w:val="43A9BFF3"/>
    <w:rsid w:val="43B30D3F"/>
    <w:rsid w:val="43B4D642"/>
    <w:rsid w:val="43B7A899"/>
    <w:rsid w:val="43B94C86"/>
    <w:rsid w:val="43BEDEE3"/>
    <w:rsid w:val="43C6CA40"/>
    <w:rsid w:val="43CDCCE2"/>
    <w:rsid w:val="43CEF0AF"/>
    <w:rsid w:val="43CF6F0D"/>
    <w:rsid w:val="43CFA209"/>
    <w:rsid w:val="43CFA720"/>
    <w:rsid w:val="43D32C0E"/>
    <w:rsid w:val="43D422C0"/>
    <w:rsid w:val="43D4C3AA"/>
    <w:rsid w:val="43D6306D"/>
    <w:rsid w:val="43D634DF"/>
    <w:rsid w:val="43D80157"/>
    <w:rsid w:val="43DB5A0A"/>
    <w:rsid w:val="43DCA827"/>
    <w:rsid w:val="43DCD65B"/>
    <w:rsid w:val="43DCE428"/>
    <w:rsid w:val="43DCF495"/>
    <w:rsid w:val="43DDB6E8"/>
    <w:rsid w:val="43EC6E2F"/>
    <w:rsid w:val="43EF04BB"/>
    <w:rsid w:val="43F3CE89"/>
    <w:rsid w:val="43F6C8D8"/>
    <w:rsid w:val="43F755C1"/>
    <w:rsid w:val="43F9EEA0"/>
    <w:rsid w:val="43FC50B7"/>
    <w:rsid w:val="43FE9CD5"/>
    <w:rsid w:val="4403AAA1"/>
    <w:rsid w:val="4406BCF1"/>
    <w:rsid w:val="440B5C32"/>
    <w:rsid w:val="440DEE48"/>
    <w:rsid w:val="440EAABB"/>
    <w:rsid w:val="4418CB86"/>
    <w:rsid w:val="441A401A"/>
    <w:rsid w:val="441A5DD6"/>
    <w:rsid w:val="441BA56A"/>
    <w:rsid w:val="441CB64B"/>
    <w:rsid w:val="441CB941"/>
    <w:rsid w:val="44221E52"/>
    <w:rsid w:val="4422728F"/>
    <w:rsid w:val="442835EE"/>
    <w:rsid w:val="442965B7"/>
    <w:rsid w:val="443897FD"/>
    <w:rsid w:val="444922A7"/>
    <w:rsid w:val="4455D2BC"/>
    <w:rsid w:val="445EC377"/>
    <w:rsid w:val="4462F331"/>
    <w:rsid w:val="44668E4D"/>
    <w:rsid w:val="44765B39"/>
    <w:rsid w:val="4478FFB3"/>
    <w:rsid w:val="447B872D"/>
    <w:rsid w:val="447F94C3"/>
    <w:rsid w:val="449436D2"/>
    <w:rsid w:val="4496EE25"/>
    <w:rsid w:val="449B6BB0"/>
    <w:rsid w:val="44A1FC62"/>
    <w:rsid w:val="44A63233"/>
    <w:rsid w:val="44AB45A9"/>
    <w:rsid w:val="44B2A432"/>
    <w:rsid w:val="44BB7776"/>
    <w:rsid w:val="44BF35D9"/>
    <w:rsid w:val="44C19E94"/>
    <w:rsid w:val="44CB1BBA"/>
    <w:rsid w:val="44D23EC8"/>
    <w:rsid w:val="44D41356"/>
    <w:rsid w:val="44D4F4CB"/>
    <w:rsid w:val="44D5485E"/>
    <w:rsid w:val="44D8C320"/>
    <w:rsid w:val="44D91A4B"/>
    <w:rsid w:val="44DD97E8"/>
    <w:rsid w:val="44DDC7A9"/>
    <w:rsid w:val="44E0886D"/>
    <w:rsid w:val="44E0AC71"/>
    <w:rsid w:val="44E68567"/>
    <w:rsid w:val="44EC7EB8"/>
    <w:rsid w:val="44EFCC87"/>
    <w:rsid w:val="44F4528A"/>
    <w:rsid w:val="44FAB529"/>
    <w:rsid w:val="45118FFD"/>
    <w:rsid w:val="45167FF6"/>
    <w:rsid w:val="4519E159"/>
    <w:rsid w:val="4526A388"/>
    <w:rsid w:val="452749EA"/>
    <w:rsid w:val="452D1F43"/>
    <w:rsid w:val="452F9AAE"/>
    <w:rsid w:val="45316437"/>
    <w:rsid w:val="45352D26"/>
    <w:rsid w:val="45398741"/>
    <w:rsid w:val="4549476E"/>
    <w:rsid w:val="454D096F"/>
    <w:rsid w:val="454F1A1F"/>
    <w:rsid w:val="454F6738"/>
    <w:rsid w:val="45523A04"/>
    <w:rsid w:val="455420C6"/>
    <w:rsid w:val="455A4D65"/>
    <w:rsid w:val="455B205B"/>
    <w:rsid w:val="455D69FB"/>
    <w:rsid w:val="4569F7F4"/>
    <w:rsid w:val="457EB8A7"/>
    <w:rsid w:val="45804840"/>
    <w:rsid w:val="4584C146"/>
    <w:rsid w:val="458987CC"/>
    <w:rsid w:val="45899315"/>
    <w:rsid w:val="45961D57"/>
    <w:rsid w:val="45A82F07"/>
    <w:rsid w:val="45AFE19C"/>
    <w:rsid w:val="45B70EE0"/>
    <w:rsid w:val="45BA649B"/>
    <w:rsid w:val="45C4F2C1"/>
    <w:rsid w:val="45CEA0CA"/>
    <w:rsid w:val="45D473DA"/>
    <w:rsid w:val="45D6500E"/>
    <w:rsid w:val="45D69287"/>
    <w:rsid w:val="45D8A7F9"/>
    <w:rsid w:val="45D8C182"/>
    <w:rsid w:val="45DA3C76"/>
    <w:rsid w:val="45DF78DB"/>
    <w:rsid w:val="45E459EB"/>
    <w:rsid w:val="45E4BB34"/>
    <w:rsid w:val="45E7F6EC"/>
    <w:rsid w:val="45F1936F"/>
    <w:rsid w:val="45F1B0CC"/>
    <w:rsid w:val="45F9A4CE"/>
    <w:rsid w:val="45FB582C"/>
    <w:rsid w:val="4600B6FD"/>
    <w:rsid w:val="4609A736"/>
    <w:rsid w:val="460E005B"/>
    <w:rsid w:val="460F516B"/>
    <w:rsid w:val="46111B40"/>
    <w:rsid w:val="4611558A"/>
    <w:rsid w:val="46130F54"/>
    <w:rsid w:val="461550D8"/>
    <w:rsid w:val="46201998"/>
    <w:rsid w:val="46230F04"/>
    <w:rsid w:val="4628919E"/>
    <w:rsid w:val="462C4A29"/>
    <w:rsid w:val="462E0706"/>
    <w:rsid w:val="46354481"/>
    <w:rsid w:val="4636CE2B"/>
    <w:rsid w:val="463AFA3D"/>
    <w:rsid w:val="463CD216"/>
    <w:rsid w:val="4646B233"/>
    <w:rsid w:val="4652D195"/>
    <w:rsid w:val="46546E37"/>
    <w:rsid w:val="46589CC9"/>
    <w:rsid w:val="4661369D"/>
    <w:rsid w:val="46678EBF"/>
    <w:rsid w:val="466DC4F3"/>
    <w:rsid w:val="466F30D0"/>
    <w:rsid w:val="4671E6D6"/>
    <w:rsid w:val="4674C629"/>
    <w:rsid w:val="4675CED8"/>
    <w:rsid w:val="4676418D"/>
    <w:rsid w:val="467641DD"/>
    <w:rsid w:val="4677CCBD"/>
    <w:rsid w:val="467FBE1B"/>
    <w:rsid w:val="468D3998"/>
    <w:rsid w:val="469ADE00"/>
    <w:rsid w:val="469F9136"/>
    <w:rsid w:val="46A3E132"/>
    <w:rsid w:val="46A52FC4"/>
    <w:rsid w:val="46B7E0E7"/>
    <w:rsid w:val="46C36397"/>
    <w:rsid w:val="46CA4AE4"/>
    <w:rsid w:val="46D04EB6"/>
    <w:rsid w:val="46DCCD3B"/>
    <w:rsid w:val="46DE10A5"/>
    <w:rsid w:val="46DFBC55"/>
    <w:rsid w:val="46EA5130"/>
    <w:rsid w:val="46ECE0E6"/>
    <w:rsid w:val="46F7944A"/>
    <w:rsid w:val="46FA44C5"/>
    <w:rsid w:val="46FED0CC"/>
    <w:rsid w:val="470CF544"/>
    <w:rsid w:val="4712CFEF"/>
    <w:rsid w:val="47151C94"/>
    <w:rsid w:val="4716716F"/>
    <w:rsid w:val="4717D879"/>
    <w:rsid w:val="47182F5B"/>
    <w:rsid w:val="471982BB"/>
    <w:rsid w:val="4719F77E"/>
    <w:rsid w:val="471BF11C"/>
    <w:rsid w:val="471D9402"/>
    <w:rsid w:val="471E0BAA"/>
    <w:rsid w:val="471F005A"/>
    <w:rsid w:val="472AF191"/>
    <w:rsid w:val="472CEB3A"/>
    <w:rsid w:val="472E573A"/>
    <w:rsid w:val="4736C68B"/>
    <w:rsid w:val="473E0EB2"/>
    <w:rsid w:val="474158C5"/>
    <w:rsid w:val="47468470"/>
    <w:rsid w:val="4748117E"/>
    <w:rsid w:val="474BFFF2"/>
    <w:rsid w:val="474E4D56"/>
    <w:rsid w:val="47518DEB"/>
    <w:rsid w:val="4758FF56"/>
    <w:rsid w:val="475B1FFF"/>
    <w:rsid w:val="4761B086"/>
    <w:rsid w:val="4765CC4C"/>
    <w:rsid w:val="4768590D"/>
    <w:rsid w:val="476A44B5"/>
    <w:rsid w:val="476A831A"/>
    <w:rsid w:val="476B62E9"/>
    <w:rsid w:val="47790AD4"/>
    <w:rsid w:val="47838731"/>
    <w:rsid w:val="4784FB88"/>
    <w:rsid w:val="4785AFE2"/>
    <w:rsid w:val="478783CB"/>
    <w:rsid w:val="47896C87"/>
    <w:rsid w:val="4790B93A"/>
    <w:rsid w:val="4790CC02"/>
    <w:rsid w:val="479276F3"/>
    <w:rsid w:val="4793FC6E"/>
    <w:rsid w:val="47965015"/>
    <w:rsid w:val="4799E0F5"/>
    <w:rsid w:val="479C0915"/>
    <w:rsid w:val="479CCE27"/>
    <w:rsid w:val="479CDBDA"/>
    <w:rsid w:val="47AD3EEC"/>
    <w:rsid w:val="47B55A68"/>
    <w:rsid w:val="47BBCDF7"/>
    <w:rsid w:val="47BE58FF"/>
    <w:rsid w:val="47BF9294"/>
    <w:rsid w:val="47C14845"/>
    <w:rsid w:val="47C5673A"/>
    <w:rsid w:val="47CBAA5C"/>
    <w:rsid w:val="47CCC03D"/>
    <w:rsid w:val="47D1740A"/>
    <w:rsid w:val="47D74A6F"/>
    <w:rsid w:val="47DBFE74"/>
    <w:rsid w:val="47DE8DCA"/>
    <w:rsid w:val="47E11FAE"/>
    <w:rsid w:val="47E39967"/>
    <w:rsid w:val="47EF5EE6"/>
    <w:rsid w:val="47F207C6"/>
    <w:rsid w:val="47FE9C2B"/>
    <w:rsid w:val="480358BD"/>
    <w:rsid w:val="48083846"/>
    <w:rsid w:val="480C364F"/>
    <w:rsid w:val="480C762C"/>
    <w:rsid w:val="480D3499"/>
    <w:rsid w:val="481CDDB8"/>
    <w:rsid w:val="48225F2E"/>
    <w:rsid w:val="482A7970"/>
    <w:rsid w:val="48325597"/>
    <w:rsid w:val="48372CCA"/>
    <w:rsid w:val="48373832"/>
    <w:rsid w:val="483ABA4E"/>
    <w:rsid w:val="483F7DB9"/>
    <w:rsid w:val="483FF1D2"/>
    <w:rsid w:val="4843821C"/>
    <w:rsid w:val="4846307B"/>
    <w:rsid w:val="484B1AFE"/>
    <w:rsid w:val="48584642"/>
    <w:rsid w:val="4858AEFE"/>
    <w:rsid w:val="486609C3"/>
    <w:rsid w:val="4866160C"/>
    <w:rsid w:val="486AA804"/>
    <w:rsid w:val="4872A6DC"/>
    <w:rsid w:val="4872FF32"/>
    <w:rsid w:val="48731577"/>
    <w:rsid w:val="4873DFA9"/>
    <w:rsid w:val="487466A9"/>
    <w:rsid w:val="487F34BA"/>
    <w:rsid w:val="4880091A"/>
    <w:rsid w:val="4881A60D"/>
    <w:rsid w:val="4883265A"/>
    <w:rsid w:val="48856E15"/>
    <w:rsid w:val="488803CF"/>
    <w:rsid w:val="488C4826"/>
    <w:rsid w:val="488CFBE7"/>
    <w:rsid w:val="488D6F6C"/>
    <w:rsid w:val="488ED4CF"/>
    <w:rsid w:val="489172A6"/>
    <w:rsid w:val="4891EC3B"/>
    <w:rsid w:val="4895FBA2"/>
    <w:rsid w:val="48A1E777"/>
    <w:rsid w:val="48A51E55"/>
    <w:rsid w:val="48A6A800"/>
    <w:rsid w:val="48A9213B"/>
    <w:rsid w:val="48AB6BD4"/>
    <w:rsid w:val="48B686E9"/>
    <w:rsid w:val="48B998B0"/>
    <w:rsid w:val="48BA71C9"/>
    <w:rsid w:val="48BCC041"/>
    <w:rsid w:val="48C49F34"/>
    <w:rsid w:val="48C8656D"/>
    <w:rsid w:val="48CA5D0F"/>
    <w:rsid w:val="48CD4E27"/>
    <w:rsid w:val="48D0C097"/>
    <w:rsid w:val="48D50FFF"/>
    <w:rsid w:val="48D8A33F"/>
    <w:rsid w:val="48E2B3C1"/>
    <w:rsid w:val="48E2DEC5"/>
    <w:rsid w:val="48E6EEEA"/>
    <w:rsid w:val="48ED7105"/>
    <w:rsid w:val="48F798EB"/>
    <w:rsid w:val="490C4D91"/>
    <w:rsid w:val="49104373"/>
    <w:rsid w:val="4919FFCB"/>
    <w:rsid w:val="491E16D9"/>
    <w:rsid w:val="49247497"/>
    <w:rsid w:val="49321C69"/>
    <w:rsid w:val="493EF056"/>
    <w:rsid w:val="493F2102"/>
    <w:rsid w:val="494F53AB"/>
    <w:rsid w:val="4951920B"/>
    <w:rsid w:val="4956184F"/>
    <w:rsid w:val="49668279"/>
    <w:rsid w:val="497344E6"/>
    <w:rsid w:val="49745620"/>
    <w:rsid w:val="4977AF44"/>
    <w:rsid w:val="4980699D"/>
    <w:rsid w:val="49832946"/>
    <w:rsid w:val="49880EA6"/>
    <w:rsid w:val="498C58E3"/>
    <w:rsid w:val="498EE899"/>
    <w:rsid w:val="4990602C"/>
    <w:rsid w:val="4995051F"/>
    <w:rsid w:val="49981622"/>
    <w:rsid w:val="49990EBD"/>
    <w:rsid w:val="49A06894"/>
    <w:rsid w:val="49A51BD2"/>
    <w:rsid w:val="49A6E5F1"/>
    <w:rsid w:val="49B33424"/>
    <w:rsid w:val="49B8B277"/>
    <w:rsid w:val="49B98B54"/>
    <w:rsid w:val="49C06B2C"/>
    <w:rsid w:val="49D045A7"/>
    <w:rsid w:val="49D07AF1"/>
    <w:rsid w:val="49D3B7BD"/>
    <w:rsid w:val="49DE9A9F"/>
    <w:rsid w:val="49DFF1AA"/>
    <w:rsid w:val="49E1C654"/>
    <w:rsid w:val="49E510CF"/>
    <w:rsid w:val="49E8E6A7"/>
    <w:rsid w:val="49ECBA8C"/>
    <w:rsid w:val="49F5F75E"/>
    <w:rsid w:val="49F93DB6"/>
    <w:rsid w:val="49FCD539"/>
    <w:rsid w:val="4A06B9D8"/>
    <w:rsid w:val="4A0F46D1"/>
    <w:rsid w:val="4A123D43"/>
    <w:rsid w:val="4A14D3C3"/>
    <w:rsid w:val="4A180D29"/>
    <w:rsid w:val="4A201F32"/>
    <w:rsid w:val="4A20F4C0"/>
    <w:rsid w:val="4A2412D0"/>
    <w:rsid w:val="4A25C6BE"/>
    <w:rsid w:val="4A2A90D0"/>
    <w:rsid w:val="4A3150DD"/>
    <w:rsid w:val="4A362221"/>
    <w:rsid w:val="4A390530"/>
    <w:rsid w:val="4A3A68BB"/>
    <w:rsid w:val="4A3FA1F9"/>
    <w:rsid w:val="4A446712"/>
    <w:rsid w:val="4A489DD6"/>
    <w:rsid w:val="4A4D6FC3"/>
    <w:rsid w:val="4A527FC6"/>
    <w:rsid w:val="4A54D8D4"/>
    <w:rsid w:val="4A552348"/>
    <w:rsid w:val="4A56CA2F"/>
    <w:rsid w:val="4A60F8A0"/>
    <w:rsid w:val="4A619581"/>
    <w:rsid w:val="4A62E5ED"/>
    <w:rsid w:val="4A67A2F4"/>
    <w:rsid w:val="4A69F535"/>
    <w:rsid w:val="4A717FD1"/>
    <w:rsid w:val="4A7EADE3"/>
    <w:rsid w:val="4A80BF3C"/>
    <w:rsid w:val="4A80EE49"/>
    <w:rsid w:val="4A826E23"/>
    <w:rsid w:val="4A8305EB"/>
    <w:rsid w:val="4A83222D"/>
    <w:rsid w:val="4A89C64C"/>
    <w:rsid w:val="4A8C4870"/>
    <w:rsid w:val="4A8F02EF"/>
    <w:rsid w:val="4AAAAD25"/>
    <w:rsid w:val="4ABA660B"/>
    <w:rsid w:val="4AC050C4"/>
    <w:rsid w:val="4AC85E51"/>
    <w:rsid w:val="4ACF76F2"/>
    <w:rsid w:val="4AD4D1BA"/>
    <w:rsid w:val="4AD72EED"/>
    <w:rsid w:val="4AD80597"/>
    <w:rsid w:val="4ADA0124"/>
    <w:rsid w:val="4ADC27B7"/>
    <w:rsid w:val="4ADE7308"/>
    <w:rsid w:val="4AF04C47"/>
    <w:rsid w:val="4AFA1603"/>
    <w:rsid w:val="4AFBDF84"/>
    <w:rsid w:val="4AFF1CD1"/>
    <w:rsid w:val="4B01D3A7"/>
    <w:rsid w:val="4B05B1D1"/>
    <w:rsid w:val="4B082EF2"/>
    <w:rsid w:val="4B13F9B7"/>
    <w:rsid w:val="4B165422"/>
    <w:rsid w:val="4B1D479C"/>
    <w:rsid w:val="4B2299A6"/>
    <w:rsid w:val="4B3DB2F4"/>
    <w:rsid w:val="4B4EC189"/>
    <w:rsid w:val="4B4FD4FD"/>
    <w:rsid w:val="4B511DFB"/>
    <w:rsid w:val="4B53F9F5"/>
    <w:rsid w:val="4B5800F0"/>
    <w:rsid w:val="4B625C09"/>
    <w:rsid w:val="4B71B1F3"/>
    <w:rsid w:val="4B759CF5"/>
    <w:rsid w:val="4B76A44E"/>
    <w:rsid w:val="4B78EF96"/>
    <w:rsid w:val="4B79929F"/>
    <w:rsid w:val="4B7AD87E"/>
    <w:rsid w:val="4B7EC518"/>
    <w:rsid w:val="4B99236F"/>
    <w:rsid w:val="4B9A86EE"/>
    <w:rsid w:val="4B9CA245"/>
    <w:rsid w:val="4BA01859"/>
    <w:rsid w:val="4BAB2694"/>
    <w:rsid w:val="4BB27BC9"/>
    <w:rsid w:val="4BB81D1D"/>
    <w:rsid w:val="4BC4E497"/>
    <w:rsid w:val="4BD3A24A"/>
    <w:rsid w:val="4BD4F06F"/>
    <w:rsid w:val="4BDD631D"/>
    <w:rsid w:val="4BDE1888"/>
    <w:rsid w:val="4BDFDA82"/>
    <w:rsid w:val="4BE68F0E"/>
    <w:rsid w:val="4BEFF60E"/>
    <w:rsid w:val="4BF83768"/>
    <w:rsid w:val="4C00A844"/>
    <w:rsid w:val="4C06DB8A"/>
    <w:rsid w:val="4C0A4126"/>
    <w:rsid w:val="4C132ABF"/>
    <w:rsid w:val="4C165077"/>
    <w:rsid w:val="4C18FD76"/>
    <w:rsid w:val="4C1CFE28"/>
    <w:rsid w:val="4C2485EF"/>
    <w:rsid w:val="4C29D7B3"/>
    <w:rsid w:val="4C29E64C"/>
    <w:rsid w:val="4C3EE940"/>
    <w:rsid w:val="4C3FE0B2"/>
    <w:rsid w:val="4C4877D9"/>
    <w:rsid w:val="4C4C2AA9"/>
    <w:rsid w:val="4C51A2C7"/>
    <w:rsid w:val="4C523BC0"/>
    <w:rsid w:val="4C561BDD"/>
    <w:rsid w:val="4C5D88A8"/>
    <w:rsid w:val="4C62A063"/>
    <w:rsid w:val="4C659AD0"/>
    <w:rsid w:val="4C6AE08C"/>
    <w:rsid w:val="4C70D309"/>
    <w:rsid w:val="4C721F19"/>
    <w:rsid w:val="4C79282B"/>
    <w:rsid w:val="4C81162B"/>
    <w:rsid w:val="4C836CEC"/>
    <w:rsid w:val="4C83A944"/>
    <w:rsid w:val="4C84C7BC"/>
    <w:rsid w:val="4C87014F"/>
    <w:rsid w:val="4C8A46A5"/>
    <w:rsid w:val="4C901C13"/>
    <w:rsid w:val="4C9065C6"/>
    <w:rsid w:val="4C953471"/>
    <w:rsid w:val="4C9B46ED"/>
    <w:rsid w:val="4C9BECDF"/>
    <w:rsid w:val="4C9F383E"/>
    <w:rsid w:val="4CA534F2"/>
    <w:rsid w:val="4CA6115C"/>
    <w:rsid w:val="4CB2EABB"/>
    <w:rsid w:val="4CB58CE4"/>
    <w:rsid w:val="4CB89F05"/>
    <w:rsid w:val="4CBCAA88"/>
    <w:rsid w:val="4CC67E14"/>
    <w:rsid w:val="4CCC851E"/>
    <w:rsid w:val="4CCE19D6"/>
    <w:rsid w:val="4CD4C8E5"/>
    <w:rsid w:val="4CD900E8"/>
    <w:rsid w:val="4CDCAB8E"/>
    <w:rsid w:val="4CDDD979"/>
    <w:rsid w:val="4CE3C111"/>
    <w:rsid w:val="4CE400CD"/>
    <w:rsid w:val="4CE9353D"/>
    <w:rsid w:val="4CEB3CA5"/>
    <w:rsid w:val="4CED62DF"/>
    <w:rsid w:val="4CEDBAD1"/>
    <w:rsid w:val="4CEE7273"/>
    <w:rsid w:val="4CEEDC7C"/>
    <w:rsid w:val="4CF1BAEA"/>
    <w:rsid w:val="4CF77ACC"/>
    <w:rsid w:val="4CFA2AA5"/>
    <w:rsid w:val="4D0393BF"/>
    <w:rsid w:val="4D0A9A74"/>
    <w:rsid w:val="4D0C574B"/>
    <w:rsid w:val="4D0F590E"/>
    <w:rsid w:val="4D142EBF"/>
    <w:rsid w:val="4D186E3B"/>
    <w:rsid w:val="4D1D47A5"/>
    <w:rsid w:val="4D283A86"/>
    <w:rsid w:val="4D297671"/>
    <w:rsid w:val="4D33EB6E"/>
    <w:rsid w:val="4D3A21AF"/>
    <w:rsid w:val="4D4010EA"/>
    <w:rsid w:val="4D4229A1"/>
    <w:rsid w:val="4D576062"/>
    <w:rsid w:val="4D5977CF"/>
    <w:rsid w:val="4D5A40C0"/>
    <w:rsid w:val="4D5A7258"/>
    <w:rsid w:val="4D5E263B"/>
    <w:rsid w:val="4D5FAF3A"/>
    <w:rsid w:val="4D613D33"/>
    <w:rsid w:val="4D6CB298"/>
    <w:rsid w:val="4D76844F"/>
    <w:rsid w:val="4D7CAAA3"/>
    <w:rsid w:val="4D813C0D"/>
    <w:rsid w:val="4D84A1C6"/>
    <w:rsid w:val="4D889686"/>
    <w:rsid w:val="4D8AB6E6"/>
    <w:rsid w:val="4D8ACA50"/>
    <w:rsid w:val="4D8ACBCC"/>
    <w:rsid w:val="4D91AAFE"/>
    <w:rsid w:val="4D995F9F"/>
    <w:rsid w:val="4DA337DC"/>
    <w:rsid w:val="4DA41DE3"/>
    <w:rsid w:val="4DB0EA06"/>
    <w:rsid w:val="4DB2F655"/>
    <w:rsid w:val="4DB55012"/>
    <w:rsid w:val="4DB86CE2"/>
    <w:rsid w:val="4DBBEF0F"/>
    <w:rsid w:val="4DBDDF99"/>
    <w:rsid w:val="4DC02C38"/>
    <w:rsid w:val="4DC2D0C4"/>
    <w:rsid w:val="4DC454F8"/>
    <w:rsid w:val="4DC72D84"/>
    <w:rsid w:val="4DDB65D9"/>
    <w:rsid w:val="4DDBCCE2"/>
    <w:rsid w:val="4DDE8821"/>
    <w:rsid w:val="4DDF09B1"/>
    <w:rsid w:val="4DE25A2C"/>
    <w:rsid w:val="4DE35B72"/>
    <w:rsid w:val="4DF0B794"/>
    <w:rsid w:val="4E03A140"/>
    <w:rsid w:val="4E04FD78"/>
    <w:rsid w:val="4E05D299"/>
    <w:rsid w:val="4E0B4FC4"/>
    <w:rsid w:val="4E17CF45"/>
    <w:rsid w:val="4E1AB47E"/>
    <w:rsid w:val="4E1C0207"/>
    <w:rsid w:val="4E254912"/>
    <w:rsid w:val="4E3A3A19"/>
    <w:rsid w:val="4E3FC213"/>
    <w:rsid w:val="4E405FD0"/>
    <w:rsid w:val="4E4697B1"/>
    <w:rsid w:val="4E566EA0"/>
    <w:rsid w:val="4E5698FF"/>
    <w:rsid w:val="4E5FC9F7"/>
    <w:rsid w:val="4E6C1EB3"/>
    <w:rsid w:val="4E6D19F2"/>
    <w:rsid w:val="4E6E563B"/>
    <w:rsid w:val="4E7019C4"/>
    <w:rsid w:val="4E745EDC"/>
    <w:rsid w:val="4E7EC5ED"/>
    <w:rsid w:val="4E7FA8BD"/>
    <w:rsid w:val="4E82FF4F"/>
    <w:rsid w:val="4E888F0B"/>
    <w:rsid w:val="4E9DE502"/>
    <w:rsid w:val="4EA2547B"/>
    <w:rsid w:val="4EA78EB6"/>
    <w:rsid w:val="4EAADD03"/>
    <w:rsid w:val="4EAE0B88"/>
    <w:rsid w:val="4EAF8BE7"/>
    <w:rsid w:val="4EBE78F8"/>
    <w:rsid w:val="4EC3F6A1"/>
    <w:rsid w:val="4ECB41DC"/>
    <w:rsid w:val="4ECCF1D9"/>
    <w:rsid w:val="4ED74958"/>
    <w:rsid w:val="4ED89CB2"/>
    <w:rsid w:val="4EDD482F"/>
    <w:rsid w:val="4EDE0857"/>
    <w:rsid w:val="4EE4C4D0"/>
    <w:rsid w:val="4EF05755"/>
    <w:rsid w:val="4EF453D6"/>
    <w:rsid w:val="4EFA8A61"/>
    <w:rsid w:val="4EFD9ABA"/>
    <w:rsid w:val="4F0188C6"/>
    <w:rsid w:val="4F03827A"/>
    <w:rsid w:val="4F0C22C2"/>
    <w:rsid w:val="4F11CE0F"/>
    <w:rsid w:val="4F1292F1"/>
    <w:rsid w:val="4F141242"/>
    <w:rsid w:val="4F1D8B08"/>
    <w:rsid w:val="4F22E9FB"/>
    <w:rsid w:val="4F24BE99"/>
    <w:rsid w:val="4F26A8DD"/>
    <w:rsid w:val="4F2F053A"/>
    <w:rsid w:val="4F2FF0AE"/>
    <w:rsid w:val="4F3D47E4"/>
    <w:rsid w:val="4F3EB1E4"/>
    <w:rsid w:val="4F40F21D"/>
    <w:rsid w:val="4F4517E7"/>
    <w:rsid w:val="4F536C00"/>
    <w:rsid w:val="4F6B9818"/>
    <w:rsid w:val="4F70C9E7"/>
    <w:rsid w:val="4F71701B"/>
    <w:rsid w:val="4F751430"/>
    <w:rsid w:val="4F8E2F24"/>
    <w:rsid w:val="4F917E35"/>
    <w:rsid w:val="4F92C9EC"/>
    <w:rsid w:val="4F947E75"/>
    <w:rsid w:val="4F9B53D2"/>
    <w:rsid w:val="4F9F2FF8"/>
    <w:rsid w:val="4FA2A6BC"/>
    <w:rsid w:val="4FA3DE58"/>
    <w:rsid w:val="4FA43DFA"/>
    <w:rsid w:val="4FA77279"/>
    <w:rsid w:val="4FA9E581"/>
    <w:rsid w:val="4FB1B3B8"/>
    <w:rsid w:val="4FB8E382"/>
    <w:rsid w:val="4FBB4265"/>
    <w:rsid w:val="4FBCD880"/>
    <w:rsid w:val="4FC060A9"/>
    <w:rsid w:val="4FCA16B8"/>
    <w:rsid w:val="4FCE8269"/>
    <w:rsid w:val="4FE1938E"/>
    <w:rsid w:val="4FE19D08"/>
    <w:rsid w:val="4FE3CB80"/>
    <w:rsid w:val="4FE3CEBC"/>
    <w:rsid w:val="4FE54CB0"/>
    <w:rsid w:val="4FE5EA87"/>
    <w:rsid w:val="4FE8B5E0"/>
    <w:rsid w:val="4FE8E6F7"/>
    <w:rsid w:val="4FF1606A"/>
    <w:rsid w:val="4FF1F84D"/>
    <w:rsid w:val="4FF569BC"/>
    <w:rsid w:val="4FF7402C"/>
    <w:rsid w:val="500198AF"/>
    <w:rsid w:val="50029E73"/>
    <w:rsid w:val="500ADAFB"/>
    <w:rsid w:val="501678DA"/>
    <w:rsid w:val="5018C2B0"/>
    <w:rsid w:val="502233C6"/>
    <w:rsid w:val="5026708E"/>
    <w:rsid w:val="502F91F6"/>
    <w:rsid w:val="5032295A"/>
    <w:rsid w:val="5035B41A"/>
    <w:rsid w:val="5035E8F5"/>
    <w:rsid w:val="5039DDFA"/>
    <w:rsid w:val="503C943F"/>
    <w:rsid w:val="503F0E0D"/>
    <w:rsid w:val="504A2438"/>
    <w:rsid w:val="504A5D1C"/>
    <w:rsid w:val="5052043B"/>
    <w:rsid w:val="505C6589"/>
    <w:rsid w:val="505F3D61"/>
    <w:rsid w:val="5060B7BA"/>
    <w:rsid w:val="50610EB1"/>
    <w:rsid w:val="5062FA09"/>
    <w:rsid w:val="506806E5"/>
    <w:rsid w:val="50703AC6"/>
    <w:rsid w:val="5080748E"/>
    <w:rsid w:val="50851360"/>
    <w:rsid w:val="50997470"/>
    <w:rsid w:val="509ECA64"/>
    <w:rsid w:val="509F8D70"/>
    <w:rsid w:val="50A3982B"/>
    <w:rsid w:val="50ADF2CB"/>
    <w:rsid w:val="50B465D3"/>
    <w:rsid w:val="50B722ED"/>
    <w:rsid w:val="50B7F04D"/>
    <w:rsid w:val="50B84D50"/>
    <w:rsid w:val="50C24ABD"/>
    <w:rsid w:val="50D21944"/>
    <w:rsid w:val="50D41659"/>
    <w:rsid w:val="50D8C889"/>
    <w:rsid w:val="50DAD140"/>
    <w:rsid w:val="50DB6677"/>
    <w:rsid w:val="50DF8342"/>
    <w:rsid w:val="50E707A6"/>
    <w:rsid w:val="50E85DCD"/>
    <w:rsid w:val="50EA8FE2"/>
    <w:rsid w:val="50EAC9D3"/>
    <w:rsid w:val="50FC260F"/>
    <w:rsid w:val="51010B2E"/>
    <w:rsid w:val="5109446D"/>
    <w:rsid w:val="51100208"/>
    <w:rsid w:val="5110F14A"/>
    <w:rsid w:val="511B2154"/>
    <w:rsid w:val="5121974E"/>
    <w:rsid w:val="51412504"/>
    <w:rsid w:val="51448007"/>
    <w:rsid w:val="5144A025"/>
    <w:rsid w:val="514999E6"/>
    <w:rsid w:val="5149A22F"/>
    <w:rsid w:val="514CB25D"/>
    <w:rsid w:val="5162F218"/>
    <w:rsid w:val="516492BB"/>
    <w:rsid w:val="5165D501"/>
    <w:rsid w:val="516A69DC"/>
    <w:rsid w:val="516CFFCD"/>
    <w:rsid w:val="517C7ED6"/>
    <w:rsid w:val="51810CBD"/>
    <w:rsid w:val="518445BA"/>
    <w:rsid w:val="5185FC6E"/>
    <w:rsid w:val="518BB811"/>
    <w:rsid w:val="518D7A7A"/>
    <w:rsid w:val="5191D24C"/>
    <w:rsid w:val="5196755C"/>
    <w:rsid w:val="519FFE8E"/>
    <w:rsid w:val="51A7075A"/>
    <w:rsid w:val="51A8A6AB"/>
    <w:rsid w:val="51AC505C"/>
    <w:rsid w:val="51C2373B"/>
    <w:rsid w:val="51C6373E"/>
    <w:rsid w:val="51C9DCA4"/>
    <w:rsid w:val="51C9F9F8"/>
    <w:rsid w:val="51D0AED8"/>
    <w:rsid w:val="51D36D37"/>
    <w:rsid w:val="51DA31D8"/>
    <w:rsid w:val="51DF7492"/>
    <w:rsid w:val="51E0E98E"/>
    <w:rsid w:val="51E18228"/>
    <w:rsid w:val="51EFEB4A"/>
    <w:rsid w:val="51F3B0B1"/>
    <w:rsid w:val="51F6D2D5"/>
    <w:rsid w:val="520202A3"/>
    <w:rsid w:val="5208FAF6"/>
    <w:rsid w:val="520C3417"/>
    <w:rsid w:val="52117B64"/>
    <w:rsid w:val="52131618"/>
    <w:rsid w:val="5214BA45"/>
    <w:rsid w:val="521D240F"/>
    <w:rsid w:val="5222946F"/>
    <w:rsid w:val="52263A23"/>
    <w:rsid w:val="52290E79"/>
    <w:rsid w:val="522B13B7"/>
    <w:rsid w:val="522E0A80"/>
    <w:rsid w:val="52328AA7"/>
    <w:rsid w:val="52328F95"/>
    <w:rsid w:val="52369E92"/>
    <w:rsid w:val="523D40BD"/>
    <w:rsid w:val="524AD463"/>
    <w:rsid w:val="524CB9C5"/>
    <w:rsid w:val="5256BF60"/>
    <w:rsid w:val="525CAF55"/>
    <w:rsid w:val="5260CB29"/>
    <w:rsid w:val="52611F51"/>
    <w:rsid w:val="5261D988"/>
    <w:rsid w:val="5263A70D"/>
    <w:rsid w:val="52656D1B"/>
    <w:rsid w:val="52671626"/>
    <w:rsid w:val="526EC04E"/>
    <w:rsid w:val="52712593"/>
    <w:rsid w:val="5276C11E"/>
    <w:rsid w:val="52773153"/>
    <w:rsid w:val="527E693E"/>
    <w:rsid w:val="527F943C"/>
    <w:rsid w:val="528953C7"/>
    <w:rsid w:val="528DBB3C"/>
    <w:rsid w:val="528FB60A"/>
    <w:rsid w:val="52909D18"/>
    <w:rsid w:val="529A40B0"/>
    <w:rsid w:val="52A3D991"/>
    <w:rsid w:val="52A45EB4"/>
    <w:rsid w:val="52A6E4FE"/>
    <w:rsid w:val="52AEEA5C"/>
    <w:rsid w:val="52AF64DE"/>
    <w:rsid w:val="52B0D919"/>
    <w:rsid w:val="52BF6255"/>
    <w:rsid w:val="52C8A0D9"/>
    <w:rsid w:val="52C9ADD0"/>
    <w:rsid w:val="52D7B7B2"/>
    <w:rsid w:val="52DCDAEE"/>
    <w:rsid w:val="52E54856"/>
    <w:rsid w:val="52E63537"/>
    <w:rsid w:val="52E99A56"/>
    <w:rsid w:val="52EC8264"/>
    <w:rsid w:val="52F69F77"/>
    <w:rsid w:val="52FEFFE2"/>
    <w:rsid w:val="5302A708"/>
    <w:rsid w:val="530DFEA9"/>
    <w:rsid w:val="5310ECB9"/>
    <w:rsid w:val="531633A6"/>
    <w:rsid w:val="5316BAA5"/>
    <w:rsid w:val="531C3D0B"/>
    <w:rsid w:val="531EC916"/>
    <w:rsid w:val="532FCFEF"/>
    <w:rsid w:val="53359898"/>
    <w:rsid w:val="5338021F"/>
    <w:rsid w:val="53382C36"/>
    <w:rsid w:val="533B3C9E"/>
    <w:rsid w:val="533D6B0C"/>
    <w:rsid w:val="534E5D9C"/>
    <w:rsid w:val="534FC545"/>
    <w:rsid w:val="53588CE7"/>
    <w:rsid w:val="535E8E16"/>
    <w:rsid w:val="5360120F"/>
    <w:rsid w:val="5363EB2D"/>
    <w:rsid w:val="536469A9"/>
    <w:rsid w:val="53648019"/>
    <w:rsid w:val="5367DE44"/>
    <w:rsid w:val="536DA30D"/>
    <w:rsid w:val="53758794"/>
    <w:rsid w:val="537D8F05"/>
    <w:rsid w:val="537F620B"/>
    <w:rsid w:val="538FE142"/>
    <w:rsid w:val="5391DB25"/>
    <w:rsid w:val="5398AC4D"/>
    <w:rsid w:val="5398B325"/>
    <w:rsid w:val="539A499A"/>
    <w:rsid w:val="53A1D17E"/>
    <w:rsid w:val="53A8A9E1"/>
    <w:rsid w:val="53ABDBA4"/>
    <w:rsid w:val="53B0901F"/>
    <w:rsid w:val="53B6FBA1"/>
    <w:rsid w:val="53B9145C"/>
    <w:rsid w:val="53C1D3A3"/>
    <w:rsid w:val="53C93CB8"/>
    <w:rsid w:val="53CAFF47"/>
    <w:rsid w:val="53CBE34B"/>
    <w:rsid w:val="53D0AAB2"/>
    <w:rsid w:val="53DF275A"/>
    <w:rsid w:val="53E00457"/>
    <w:rsid w:val="53EE3AC0"/>
    <w:rsid w:val="53F12B90"/>
    <w:rsid w:val="54047914"/>
    <w:rsid w:val="5408D974"/>
    <w:rsid w:val="541456B2"/>
    <w:rsid w:val="54189A15"/>
    <w:rsid w:val="5418AD0A"/>
    <w:rsid w:val="5426D39E"/>
    <w:rsid w:val="543240AD"/>
    <w:rsid w:val="54362C95"/>
    <w:rsid w:val="5437D824"/>
    <w:rsid w:val="543AF86C"/>
    <w:rsid w:val="543D2CA5"/>
    <w:rsid w:val="5440403B"/>
    <w:rsid w:val="544229F1"/>
    <w:rsid w:val="544CBC5D"/>
    <w:rsid w:val="544E70D5"/>
    <w:rsid w:val="5453E25E"/>
    <w:rsid w:val="5462AD9F"/>
    <w:rsid w:val="546453CB"/>
    <w:rsid w:val="5466D7B6"/>
    <w:rsid w:val="546B99A8"/>
    <w:rsid w:val="546C4625"/>
    <w:rsid w:val="546CDDDC"/>
    <w:rsid w:val="546D9749"/>
    <w:rsid w:val="54762B23"/>
    <w:rsid w:val="547F5E8D"/>
    <w:rsid w:val="548191F5"/>
    <w:rsid w:val="54841746"/>
    <w:rsid w:val="5485477A"/>
    <w:rsid w:val="548A6F82"/>
    <w:rsid w:val="549446F2"/>
    <w:rsid w:val="549822A2"/>
    <w:rsid w:val="549D9C33"/>
    <w:rsid w:val="54B9FCDD"/>
    <w:rsid w:val="54BE0EF0"/>
    <w:rsid w:val="54C151F0"/>
    <w:rsid w:val="54C37EC4"/>
    <w:rsid w:val="54C55E6D"/>
    <w:rsid w:val="54C635BA"/>
    <w:rsid w:val="54C8046D"/>
    <w:rsid w:val="54CBD6B6"/>
    <w:rsid w:val="54CCC3EC"/>
    <w:rsid w:val="54CD60BC"/>
    <w:rsid w:val="54D1074F"/>
    <w:rsid w:val="54D72BCE"/>
    <w:rsid w:val="54D998CA"/>
    <w:rsid w:val="54DEE59B"/>
    <w:rsid w:val="54E0656D"/>
    <w:rsid w:val="54E55041"/>
    <w:rsid w:val="54E70AAE"/>
    <w:rsid w:val="54EE3D87"/>
    <w:rsid w:val="54F084B0"/>
    <w:rsid w:val="54F21468"/>
    <w:rsid w:val="54F59709"/>
    <w:rsid w:val="54F6CC4C"/>
    <w:rsid w:val="54F8D746"/>
    <w:rsid w:val="55092FC0"/>
    <w:rsid w:val="550D23BD"/>
    <w:rsid w:val="55116A56"/>
    <w:rsid w:val="5513555A"/>
    <w:rsid w:val="55157651"/>
    <w:rsid w:val="5516579C"/>
    <w:rsid w:val="55198E21"/>
    <w:rsid w:val="551CB94D"/>
    <w:rsid w:val="55294064"/>
    <w:rsid w:val="552C4CF1"/>
    <w:rsid w:val="552DB0CE"/>
    <w:rsid w:val="55322304"/>
    <w:rsid w:val="553383CA"/>
    <w:rsid w:val="55379975"/>
    <w:rsid w:val="554072D9"/>
    <w:rsid w:val="5541885E"/>
    <w:rsid w:val="554C29BD"/>
    <w:rsid w:val="555180AE"/>
    <w:rsid w:val="555AA3F1"/>
    <w:rsid w:val="556D1E5C"/>
    <w:rsid w:val="5576907C"/>
    <w:rsid w:val="55771C65"/>
    <w:rsid w:val="55790A4E"/>
    <w:rsid w:val="5583B1A6"/>
    <w:rsid w:val="558491A6"/>
    <w:rsid w:val="5586089D"/>
    <w:rsid w:val="558AF0B6"/>
    <w:rsid w:val="55906D26"/>
    <w:rsid w:val="55914521"/>
    <w:rsid w:val="55921219"/>
    <w:rsid w:val="559A28B2"/>
    <w:rsid w:val="559B0BBF"/>
    <w:rsid w:val="55A0C471"/>
    <w:rsid w:val="55A42EB0"/>
    <w:rsid w:val="55A63F7D"/>
    <w:rsid w:val="55AA746D"/>
    <w:rsid w:val="55AC5C17"/>
    <w:rsid w:val="55AFEE44"/>
    <w:rsid w:val="55B066D4"/>
    <w:rsid w:val="55B0B31B"/>
    <w:rsid w:val="55B173C5"/>
    <w:rsid w:val="55BBD43C"/>
    <w:rsid w:val="55BF01EB"/>
    <w:rsid w:val="55C897E3"/>
    <w:rsid w:val="55D0DE3B"/>
    <w:rsid w:val="55D462B5"/>
    <w:rsid w:val="55E71DB7"/>
    <w:rsid w:val="55EF16D8"/>
    <w:rsid w:val="55F0641E"/>
    <w:rsid w:val="55FF76F0"/>
    <w:rsid w:val="56016C6A"/>
    <w:rsid w:val="560271E0"/>
    <w:rsid w:val="5602DA65"/>
    <w:rsid w:val="56092EE8"/>
    <w:rsid w:val="560FF7B3"/>
    <w:rsid w:val="56177F97"/>
    <w:rsid w:val="5617CF03"/>
    <w:rsid w:val="561C57A9"/>
    <w:rsid w:val="56222FA4"/>
    <w:rsid w:val="5628C418"/>
    <w:rsid w:val="5629FFEA"/>
    <w:rsid w:val="562F6B06"/>
    <w:rsid w:val="562FDC0A"/>
    <w:rsid w:val="56367047"/>
    <w:rsid w:val="5637A0F3"/>
    <w:rsid w:val="563BDD9D"/>
    <w:rsid w:val="563DF82B"/>
    <w:rsid w:val="564C751F"/>
    <w:rsid w:val="564CDFC9"/>
    <w:rsid w:val="56520675"/>
    <w:rsid w:val="565684C4"/>
    <w:rsid w:val="5657F8B4"/>
    <w:rsid w:val="565B2A26"/>
    <w:rsid w:val="5663A631"/>
    <w:rsid w:val="5666BB72"/>
    <w:rsid w:val="5669CAD8"/>
    <w:rsid w:val="56700A81"/>
    <w:rsid w:val="56713E19"/>
    <w:rsid w:val="56755927"/>
    <w:rsid w:val="567BAEBC"/>
    <w:rsid w:val="56843116"/>
    <w:rsid w:val="5684D411"/>
    <w:rsid w:val="56863671"/>
    <w:rsid w:val="56946C88"/>
    <w:rsid w:val="5694FB8A"/>
    <w:rsid w:val="569B0434"/>
    <w:rsid w:val="56A1EA73"/>
    <w:rsid w:val="56A54CE2"/>
    <w:rsid w:val="56A5F633"/>
    <w:rsid w:val="56A75379"/>
    <w:rsid w:val="56ABD00F"/>
    <w:rsid w:val="56B625DC"/>
    <w:rsid w:val="56DF9501"/>
    <w:rsid w:val="56E07F12"/>
    <w:rsid w:val="56E2A9DB"/>
    <w:rsid w:val="56E8E680"/>
    <w:rsid w:val="56F071A1"/>
    <w:rsid w:val="56FB31E7"/>
    <w:rsid w:val="57037735"/>
    <w:rsid w:val="5709D65B"/>
    <w:rsid w:val="57111954"/>
    <w:rsid w:val="571198E7"/>
    <w:rsid w:val="57146D5C"/>
    <w:rsid w:val="5715C272"/>
    <w:rsid w:val="5717AB92"/>
    <w:rsid w:val="5718D30E"/>
    <w:rsid w:val="5719C842"/>
    <w:rsid w:val="57220F49"/>
    <w:rsid w:val="572DBDE3"/>
    <w:rsid w:val="573EA862"/>
    <w:rsid w:val="5745D8DA"/>
    <w:rsid w:val="574FDA2D"/>
    <w:rsid w:val="575A06AA"/>
    <w:rsid w:val="575A180D"/>
    <w:rsid w:val="575A4FE3"/>
    <w:rsid w:val="575EA4C5"/>
    <w:rsid w:val="57613335"/>
    <w:rsid w:val="57630BE0"/>
    <w:rsid w:val="5766D325"/>
    <w:rsid w:val="576C4FFE"/>
    <w:rsid w:val="57732B41"/>
    <w:rsid w:val="57793D52"/>
    <w:rsid w:val="5784D689"/>
    <w:rsid w:val="5788D119"/>
    <w:rsid w:val="578E30EA"/>
    <w:rsid w:val="57959A54"/>
    <w:rsid w:val="579D4718"/>
    <w:rsid w:val="57AE5063"/>
    <w:rsid w:val="57B16C0D"/>
    <w:rsid w:val="57B21D47"/>
    <w:rsid w:val="57B68E57"/>
    <w:rsid w:val="57B90C3A"/>
    <w:rsid w:val="57BA9D5A"/>
    <w:rsid w:val="57C02A8B"/>
    <w:rsid w:val="57C296F4"/>
    <w:rsid w:val="57C3556B"/>
    <w:rsid w:val="57C5544B"/>
    <w:rsid w:val="57C96962"/>
    <w:rsid w:val="57CD3533"/>
    <w:rsid w:val="57D17643"/>
    <w:rsid w:val="57DAF293"/>
    <w:rsid w:val="57DB4D21"/>
    <w:rsid w:val="57E23F89"/>
    <w:rsid w:val="57E93A06"/>
    <w:rsid w:val="57F1B8C3"/>
    <w:rsid w:val="57F4FFF0"/>
    <w:rsid w:val="57FC90BE"/>
    <w:rsid w:val="57FF5F06"/>
    <w:rsid w:val="580201CF"/>
    <w:rsid w:val="580ADE1B"/>
    <w:rsid w:val="580BB62C"/>
    <w:rsid w:val="5813E58B"/>
    <w:rsid w:val="5814A527"/>
    <w:rsid w:val="581A5732"/>
    <w:rsid w:val="581C0B6B"/>
    <w:rsid w:val="581C71DF"/>
    <w:rsid w:val="581DD42F"/>
    <w:rsid w:val="5826DD08"/>
    <w:rsid w:val="58273BCA"/>
    <w:rsid w:val="582CB962"/>
    <w:rsid w:val="582D5B42"/>
    <w:rsid w:val="582D90EE"/>
    <w:rsid w:val="582F5BA2"/>
    <w:rsid w:val="5832610B"/>
    <w:rsid w:val="583A4ED9"/>
    <w:rsid w:val="583D44AD"/>
    <w:rsid w:val="5847FA48"/>
    <w:rsid w:val="585A1CC0"/>
    <w:rsid w:val="585B4AC3"/>
    <w:rsid w:val="585CBD47"/>
    <w:rsid w:val="585D312A"/>
    <w:rsid w:val="585E0D02"/>
    <w:rsid w:val="58626DB8"/>
    <w:rsid w:val="5863B6B5"/>
    <w:rsid w:val="58677AD3"/>
    <w:rsid w:val="5867F502"/>
    <w:rsid w:val="586A9F22"/>
    <w:rsid w:val="586DDD88"/>
    <w:rsid w:val="586FF79A"/>
    <w:rsid w:val="58765207"/>
    <w:rsid w:val="587F3E34"/>
    <w:rsid w:val="58802B0A"/>
    <w:rsid w:val="5881E471"/>
    <w:rsid w:val="5899A582"/>
    <w:rsid w:val="5899F678"/>
    <w:rsid w:val="589DF6EB"/>
    <w:rsid w:val="58A2C1E1"/>
    <w:rsid w:val="58AF6EE2"/>
    <w:rsid w:val="58B21569"/>
    <w:rsid w:val="58B2D0DA"/>
    <w:rsid w:val="58C33167"/>
    <w:rsid w:val="58C405ED"/>
    <w:rsid w:val="58C5C0CF"/>
    <w:rsid w:val="58C9879B"/>
    <w:rsid w:val="58D21060"/>
    <w:rsid w:val="58D3CF4A"/>
    <w:rsid w:val="58D59552"/>
    <w:rsid w:val="58D6857B"/>
    <w:rsid w:val="58E06431"/>
    <w:rsid w:val="58E8CC02"/>
    <w:rsid w:val="58E9FDB6"/>
    <w:rsid w:val="58EF1F90"/>
    <w:rsid w:val="58F7A19A"/>
    <w:rsid w:val="58FA6997"/>
    <w:rsid w:val="59082505"/>
    <w:rsid w:val="5914CE66"/>
    <w:rsid w:val="59157B5A"/>
    <w:rsid w:val="591F7FF7"/>
    <w:rsid w:val="5923F3D7"/>
    <w:rsid w:val="59267357"/>
    <w:rsid w:val="592E4858"/>
    <w:rsid w:val="593060A5"/>
    <w:rsid w:val="593BFE65"/>
    <w:rsid w:val="593EB94E"/>
    <w:rsid w:val="594AA220"/>
    <w:rsid w:val="595DFF47"/>
    <w:rsid w:val="5972D6AF"/>
    <w:rsid w:val="59754985"/>
    <w:rsid w:val="598358C2"/>
    <w:rsid w:val="59863864"/>
    <w:rsid w:val="5987FC9A"/>
    <w:rsid w:val="5989A752"/>
    <w:rsid w:val="598CCDAB"/>
    <w:rsid w:val="598DADD3"/>
    <w:rsid w:val="5992EA21"/>
    <w:rsid w:val="59948433"/>
    <w:rsid w:val="5995DF36"/>
    <w:rsid w:val="599F833B"/>
    <w:rsid w:val="59A0721F"/>
    <w:rsid w:val="59ABC186"/>
    <w:rsid w:val="59B1DC8B"/>
    <w:rsid w:val="59B6E27D"/>
    <w:rsid w:val="59B71C1B"/>
    <w:rsid w:val="59C516F6"/>
    <w:rsid w:val="59D488D9"/>
    <w:rsid w:val="59D4AD89"/>
    <w:rsid w:val="59ED00CC"/>
    <w:rsid w:val="59F5E54A"/>
    <w:rsid w:val="59FAF4F5"/>
    <w:rsid w:val="59FC78AC"/>
    <w:rsid w:val="59FECCB5"/>
    <w:rsid w:val="59FF03BF"/>
    <w:rsid w:val="5A03F01E"/>
    <w:rsid w:val="5A05F264"/>
    <w:rsid w:val="5A1A14AA"/>
    <w:rsid w:val="5A1A9B34"/>
    <w:rsid w:val="5A203498"/>
    <w:rsid w:val="5A20BC1A"/>
    <w:rsid w:val="5A228C0F"/>
    <w:rsid w:val="5A2688AB"/>
    <w:rsid w:val="5A2A92A2"/>
    <w:rsid w:val="5A2D5637"/>
    <w:rsid w:val="5A3174C5"/>
    <w:rsid w:val="5A354628"/>
    <w:rsid w:val="5A363DCE"/>
    <w:rsid w:val="5A382F0C"/>
    <w:rsid w:val="5A394191"/>
    <w:rsid w:val="5A3E9F91"/>
    <w:rsid w:val="5A41C65B"/>
    <w:rsid w:val="5A44439A"/>
    <w:rsid w:val="5A484584"/>
    <w:rsid w:val="5A4B4A58"/>
    <w:rsid w:val="5A5277A1"/>
    <w:rsid w:val="5A57FCC2"/>
    <w:rsid w:val="5A60A1BC"/>
    <w:rsid w:val="5A610442"/>
    <w:rsid w:val="5A66AEB5"/>
    <w:rsid w:val="5A67D741"/>
    <w:rsid w:val="5A6FF521"/>
    <w:rsid w:val="5A840699"/>
    <w:rsid w:val="5A88F545"/>
    <w:rsid w:val="5A8C6D31"/>
    <w:rsid w:val="5A8D1AFB"/>
    <w:rsid w:val="5A8E5F9A"/>
    <w:rsid w:val="5A925627"/>
    <w:rsid w:val="5A9810B2"/>
    <w:rsid w:val="5AA03DB1"/>
    <w:rsid w:val="5AA7B3C3"/>
    <w:rsid w:val="5AAAEF82"/>
    <w:rsid w:val="5AB05F99"/>
    <w:rsid w:val="5AB990AA"/>
    <w:rsid w:val="5ABA5F10"/>
    <w:rsid w:val="5ABED066"/>
    <w:rsid w:val="5ABF2F58"/>
    <w:rsid w:val="5AC0D075"/>
    <w:rsid w:val="5AC845BB"/>
    <w:rsid w:val="5ADD9957"/>
    <w:rsid w:val="5AE116D0"/>
    <w:rsid w:val="5AF4DDFD"/>
    <w:rsid w:val="5AFE4DC3"/>
    <w:rsid w:val="5B010667"/>
    <w:rsid w:val="5B05EC20"/>
    <w:rsid w:val="5B09E16A"/>
    <w:rsid w:val="5B0DA70A"/>
    <w:rsid w:val="5B12CEC8"/>
    <w:rsid w:val="5B18AFD9"/>
    <w:rsid w:val="5B2CD493"/>
    <w:rsid w:val="5B2CFD82"/>
    <w:rsid w:val="5B2EE50F"/>
    <w:rsid w:val="5B366083"/>
    <w:rsid w:val="5B376F8D"/>
    <w:rsid w:val="5B3960F9"/>
    <w:rsid w:val="5B3CD7E4"/>
    <w:rsid w:val="5B42003C"/>
    <w:rsid w:val="5B450F3B"/>
    <w:rsid w:val="5B4A7599"/>
    <w:rsid w:val="5B5004D8"/>
    <w:rsid w:val="5B5E5558"/>
    <w:rsid w:val="5B648787"/>
    <w:rsid w:val="5B668177"/>
    <w:rsid w:val="5B67EA8B"/>
    <w:rsid w:val="5B68E98E"/>
    <w:rsid w:val="5B6C6EE8"/>
    <w:rsid w:val="5B6D3261"/>
    <w:rsid w:val="5B6E0900"/>
    <w:rsid w:val="5B7A03C7"/>
    <w:rsid w:val="5B7FAF03"/>
    <w:rsid w:val="5B891910"/>
    <w:rsid w:val="5B89AEFF"/>
    <w:rsid w:val="5B8D931B"/>
    <w:rsid w:val="5B936140"/>
    <w:rsid w:val="5B9417D8"/>
    <w:rsid w:val="5B9C887A"/>
    <w:rsid w:val="5BB0D456"/>
    <w:rsid w:val="5BB4CB89"/>
    <w:rsid w:val="5BBEEAD1"/>
    <w:rsid w:val="5BC4B135"/>
    <w:rsid w:val="5BC4EBFA"/>
    <w:rsid w:val="5BC5E21D"/>
    <w:rsid w:val="5BCB3C90"/>
    <w:rsid w:val="5BCEB071"/>
    <w:rsid w:val="5BD1FCCE"/>
    <w:rsid w:val="5BDF1AAF"/>
    <w:rsid w:val="5BE1E175"/>
    <w:rsid w:val="5BE21093"/>
    <w:rsid w:val="5BE7D87A"/>
    <w:rsid w:val="5BE904EF"/>
    <w:rsid w:val="5BF1CCB6"/>
    <w:rsid w:val="5BF86740"/>
    <w:rsid w:val="5BF901D2"/>
    <w:rsid w:val="5BFD1418"/>
    <w:rsid w:val="5BFD3423"/>
    <w:rsid w:val="5BFF4D83"/>
    <w:rsid w:val="5C0490D9"/>
    <w:rsid w:val="5C0683EA"/>
    <w:rsid w:val="5C0A6CF8"/>
    <w:rsid w:val="5C0AE5E4"/>
    <w:rsid w:val="5C123525"/>
    <w:rsid w:val="5C137111"/>
    <w:rsid w:val="5C1AB7DC"/>
    <w:rsid w:val="5C1E50AE"/>
    <w:rsid w:val="5C295EC6"/>
    <w:rsid w:val="5C2CCCEE"/>
    <w:rsid w:val="5C40E260"/>
    <w:rsid w:val="5C42818A"/>
    <w:rsid w:val="5C48ED8C"/>
    <w:rsid w:val="5C49645E"/>
    <w:rsid w:val="5C4D34F5"/>
    <w:rsid w:val="5C4D9445"/>
    <w:rsid w:val="5C4E12BE"/>
    <w:rsid w:val="5C4FF346"/>
    <w:rsid w:val="5C525A00"/>
    <w:rsid w:val="5C56BA61"/>
    <w:rsid w:val="5C57DCE9"/>
    <w:rsid w:val="5C58B48F"/>
    <w:rsid w:val="5C5CE0E7"/>
    <w:rsid w:val="5C6549C2"/>
    <w:rsid w:val="5C75FF3E"/>
    <w:rsid w:val="5C828EA6"/>
    <w:rsid w:val="5C88A2EE"/>
    <w:rsid w:val="5C8D0F77"/>
    <w:rsid w:val="5C900E35"/>
    <w:rsid w:val="5C908B43"/>
    <w:rsid w:val="5C968841"/>
    <w:rsid w:val="5C97B6F5"/>
    <w:rsid w:val="5CA9AE6F"/>
    <w:rsid w:val="5CB6225B"/>
    <w:rsid w:val="5CC0BC6B"/>
    <w:rsid w:val="5CC59496"/>
    <w:rsid w:val="5CD28989"/>
    <w:rsid w:val="5CD3CA21"/>
    <w:rsid w:val="5CD8FC69"/>
    <w:rsid w:val="5CDE6D85"/>
    <w:rsid w:val="5CE98B02"/>
    <w:rsid w:val="5CEB89F0"/>
    <w:rsid w:val="5CEBF4E5"/>
    <w:rsid w:val="5CF11ABD"/>
    <w:rsid w:val="5CF1C54C"/>
    <w:rsid w:val="5CF42885"/>
    <w:rsid w:val="5CFFFC77"/>
    <w:rsid w:val="5D03399F"/>
    <w:rsid w:val="5D0C7794"/>
    <w:rsid w:val="5D0D6E86"/>
    <w:rsid w:val="5D0D7E35"/>
    <w:rsid w:val="5D0F0463"/>
    <w:rsid w:val="5D101237"/>
    <w:rsid w:val="5D12E9E8"/>
    <w:rsid w:val="5D1455B3"/>
    <w:rsid w:val="5D239080"/>
    <w:rsid w:val="5D2B9122"/>
    <w:rsid w:val="5D2D8216"/>
    <w:rsid w:val="5D2E714E"/>
    <w:rsid w:val="5D320D26"/>
    <w:rsid w:val="5D333AB1"/>
    <w:rsid w:val="5D34B9E5"/>
    <w:rsid w:val="5D368D01"/>
    <w:rsid w:val="5D36C172"/>
    <w:rsid w:val="5D395DD7"/>
    <w:rsid w:val="5D3BF39B"/>
    <w:rsid w:val="5D3D68DD"/>
    <w:rsid w:val="5D47E0F5"/>
    <w:rsid w:val="5D47EB27"/>
    <w:rsid w:val="5D520CCF"/>
    <w:rsid w:val="5D5F199A"/>
    <w:rsid w:val="5D6AFBB9"/>
    <w:rsid w:val="5D71B9D2"/>
    <w:rsid w:val="5D7BD021"/>
    <w:rsid w:val="5D7CC8F0"/>
    <w:rsid w:val="5D823617"/>
    <w:rsid w:val="5D8505F9"/>
    <w:rsid w:val="5D916635"/>
    <w:rsid w:val="5D975C54"/>
    <w:rsid w:val="5D9783C4"/>
    <w:rsid w:val="5D979833"/>
    <w:rsid w:val="5D97F93B"/>
    <w:rsid w:val="5D982E53"/>
    <w:rsid w:val="5D99E683"/>
    <w:rsid w:val="5DA043F6"/>
    <w:rsid w:val="5DAFDADC"/>
    <w:rsid w:val="5DB0D43F"/>
    <w:rsid w:val="5DB61583"/>
    <w:rsid w:val="5DB6502E"/>
    <w:rsid w:val="5DB805A7"/>
    <w:rsid w:val="5DBA010D"/>
    <w:rsid w:val="5DBFDCAF"/>
    <w:rsid w:val="5DCDB702"/>
    <w:rsid w:val="5DD2B837"/>
    <w:rsid w:val="5DD67E27"/>
    <w:rsid w:val="5DDFAAC6"/>
    <w:rsid w:val="5DDFBDEB"/>
    <w:rsid w:val="5DE03B3F"/>
    <w:rsid w:val="5DE1854D"/>
    <w:rsid w:val="5DF27D2C"/>
    <w:rsid w:val="5DF3B9F4"/>
    <w:rsid w:val="5DFA5E6F"/>
    <w:rsid w:val="5DFBF3C5"/>
    <w:rsid w:val="5DFFE9CD"/>
    <w:rsid w:val="5E003BFD"/>
    <w:rsid w:val="5E00E3E6"/>
    <w:rsid w:val="5E0AFB36"/>
    <w:rsid w:val="5E0C2287"/>
    <w:rsid w:val="5E0CBF5D"/>
    <w:rsid w:val="5E16A02D"/>
    <w:rsid w:val="5E186B65"/>
    <w:rsid w:val="5E22665A"/>
    <w:rsid w:val="5E284A51"/>
    <w:rsid w:val="5E38F112"/>
    <w:rsid w:val="5E3A701B"/>
    <w:rsid w:val="5E3F9326"/>
    <w:rsid w:val="5E40EAB4"/>
    <w:rsid w:val="5E54E854"/>
    <w:rsid w:val="5E56763B"/>
    <w:rsid w:val="5E5F7166"/>
    <w:rsid w:val="5E6047AB"/>
    <w:rsid w:val="5E64AA92"/>
    <w:rsid w:val="5E658434"/>
    <w:rsid w:val="5E67643B"/>
    <w:rsid w:val="5E81BD9E"/>
    <w:rsid w:val="5E86ECE3"/>
    <w:rsid w:val="5E8C0094"/>
    <w:rsid w:val="5E8DD2EA"/>
    <w:rsid w:val="5E943D8B"/>
    <w:rsid w:val="5EA584F7"/>
    <w:rsid w:val="5EA679B3"/>
    <w:rsid w:val="5EA807EB"/>
    <w:rsid w:val="5EACEAD8"/>
    <w:rsid w:val="5EB24280"/>
    <w:rsid w:val="5EB534D0"/>
    <w:rsid w:val="5EBEEFF8"/>
    <w:rsid w:val="5EBF684F"/>
    <w:rsid w:val="5EC2F923"/>
    <w:rsid w:val="5EC57DBB"/>
    <w:rsid w:val="5ECB4F67"/>
    <w:rsid w:val="5ED3E585"/>
    <w:rsid w:val="5ED4B14A"/>
    <w:rsid w:val="5EDDC4AD"/>
    <w:rsid w:val="5EDFDCA7"/>
    <w:rsid w:val="5EE075A5"/>
    <w:rsid w:val="5EF49205"/>
    <w:rsid w:val="5EF52204"/>
    <w:rsid w:val="5EF57D4E"/>
    <w:rsid w:val="5EF739A8"/>
    <w:rsid w:val="5EFDCFD3"/>
    <w:rsid w:val="5EFF4BD0"/>
    <w:rsid w:val="5F01EAEF"/>
    <w:rsid w:val="5F039C60"/>
    <w:rsid w:val="5F03B36D"/>
    <w:rsid w:val="5F126DA5"/>
    <w:rsid w:val="5F3A7C64"/>
    <w:rsid w:val="5F3C67D5"/>
    <w:rsid w:val="5F417395"/>
    <w:rsid w:val="5F4708E6"/>
    <w:rsid w:val="5F4B3D9F"/>
    <w:rsid w:val="5F52B5CF"/>
    <w:rsid w:val="5F590F86"/>
    <w:rsid w:val="5F634605"/>
    <w:rsid w:val="5F63AA25"/>
    <w:rsid w:val="5F67A92A"/>
    <w:rsid w:val="5F67E840"/>
    <w:rsid w:val="5F6A9DC8"/>
    <w:rsid w:val="5F703450"/>
    <w:rsid w:val="5F72F141"/>
    <w:rsid w:val="5F7375E1"/>
    <w:rsid w:val="5F779722"/>
    <w:rsid w:val="5F7CBEE6"/>
    <w:rsid w:val="5F7D048E"/>
    <w:rsid w:val="5F88F88A"/>
    <w:rsid w:val="5F8E42D5"/>
    <w:rsid w:val="5F962C9F"/>
    <w:rsid w:val="5F995D5F"/>
    <w:rsid w:val="5F9B8E16"/>
    <w:rsid w:val="5F9D7D0F"/>
    <w:rsid w:val="5FAE3778"/>
    <w:rsid w:val="5FAE49D7"/>
    <w:rsid w:val="5FAEC174"/>
    <w:rsid w:val="5FB0550B"/>
    <w:rsid w:val="5FB8FF5B"/>
    <w:rsid w:val="5FBB85BF"/>
    <w:rsid w:val="5FBD2FA3"/>
    <w:rsid w:val="5FBDF87A"/>
    <w:rsid w:val="5FC4734D"/>
    <w:rsid w:val="5FC7DB64"/>
    <w:rsid w:val="5FCBD7D9"/>
    <w:rsid w:val="5FD5586D"/>
    <w:rsid w:val="5FD707CB"/>
    <w:rsid w:val="5FD903CC"/>
    <w:rsid w:val="5FD9E105"/>
    <w:rsid w:val="5FDA5F36"/>
    <w:rsid w:val="5FDA856E"/>
    <w:rsid w:val="5FDCB0F8"/>
    <w:rsid w:val="5FDD7297"/>
    <w:rsid w:val="5FE85BAE"/>
    <w:rsid w:val="5FEAB6D3"/>
    <w:rsid w:val="5FF3FDAD"/>
    <w:rsid w:val="5FFE3DE2"/>
    <w:rsid w:val="5FFF0262"/>
    <w:rsid w:val="6004BE47"/>
    <w:rsid w:val="60086923"/>
    <w:rsid w:val="600C016B"/>
    <w:rsid w:val="6010C8B7"/>
    <w:rsid w:val="601618B0"/>
    <w:rsid w:val="601F0F76"/>
    <w:rsid w:val="602306B9"/>
    <w:rsid w:val="60248FA6"/>
    <w:rsid w:val="602AADD2"/>
    <w:rsid w:val="602CC786"/>
    <w:rsid w:val="60327340"/>
    <w:rsid w:val="6034B9EB"/>
    <w:rsid w:val="603B75DA"/>
    <w:rsid w:val="60406B21"/>
    <w:rsid w:val="60432A1C"/>
    <w:rsid w:val="604740B1"/>
    <w:rsid w:val="6048E851"/>
    <w:rsid w:val="6049F49C"/>
    <w:rsid w:val="604E199E"/>
    <w:rsid w:val="604F00A9"/>
    <w:rsid w:val="605BB2B2"/>
    <w:rsid w:val="6061AF06"/>
    <w:rsid w:val="6061ECE0"/>
    <w:rsid w:val="606A527C"/>
    <w:rsid w:val="6077F87F"/>
    <w:rsid w:val="607DF9A6"/>
    <w:rsid w:val="607E3C6D"/>
    <w:rsid w:val="6085458B"/>
    <w:rsid w:val="6089E752"/>
    <w:rsid w:val="6099A033"/>
    <w:rsid w:val="609F92C4"/>
    <w:rsid w:val="60A2E2FC"/>
    <w:rsid w:val="60ABA240"/>
    <w:rsid w:val="60BEF13F"/>
    <w:rsid w:val="60C5C0D6"/>
    <w:rsid w:val="60CCEEFE"/>
    <w:rsid w:val="60D3959D"/>
    <w:rsid w:val="60D92F10"/>
    <w:rsid w:val="60DA0C45"/>
    <w:rsid w:val="60DB5BDF"/>
    <w:rsid w:val="60DF4BE9"/>
    <w:rsid w:val="60E43DFD"/>
    <w:rsid w:val="60F81518"/>
    <w:rsid w:val="6105B97B"/>
    <w:rsid w:val="6110BE36"/>
    <w:rsid w:val="6114CEA5"/>
    <w:rsid w:val="61179210"/>
    <w:rsid w:val="611F4B96"/>
    <w:rsid w:val="612A5C13"/>
    <w:rsid w:val="613AE959"/>
    <w:rsid w:val="6146CAA2"/>
    <w:rsid w:val="6148B1AB"/>
    <w:rsid w:val="6156E5A5"/>
    <w:rsid w:val="616903FF"/>
    <w:rsid w:val="616DE0B2"/>
    <w:rsid w:val="61701751"/>
    <w:rsid w:val="61741078"/>
    <w:rsid w:val="6175C77E"/>
    <w:rsid w:val="617F7BE2"/>
    <w:rsid w:val="61885C83"/>
    <w:rsid w:val="618A2BEF"/>
    <w:rsid w:val="618B32BC"/>
    <w:rsid w:val="618BA5C4"/>
    <w:rsid w:val="619068DD"/>
    <w:rsid w:val="61A3D3E4"/>
    <w:rsid w:val="61A444D8"/>
    <w:rsid w:val="61A7DA31"/>
    <w:rsid w:val="61AB3E3C"/>
    <w:rsid w:val="61AD1F53"/>
    <w:rsid w:val="61B383A2"/>
    <w:rsid w:val="61B8764C"/>
    <w:rsid w:val="61BDA7D4"/>
    <w:rsid w:val="61C8AF2D"/>
    <w:rsid w:val="61CAFECA"/>
    <w:rsid w:val="61CBFAB5"/>
    <w:rsid w:val="61D5D05E"/>
    <w:rsid w:val="61DAC112"/>
    <w:rsid w:val="61DEC612"/>
    <w:rsid w:val="61E11A89"/>
    <w:rsid w:val="61E34207"/>
    <w:rsid w:val="61E3ED0C"/>
    <w:rsid w:val="61E9E86F"/>
    <w:rsid w:val="61FECA02"/>
    <w:rsid w:val="62064E5D"/>
    <w:rsid w:val="62160E00"/>
    <w:rsid w:val="621C1750"/>
    <w:rsid w:val="621C32EC"/>
    <w:rsid w:val="621D4C1F"/>
    <w:rsid w:val="621FFCF5"/>
    <w:rsid w:val="6231FF6E"/>
    <w:rsid w:val="62339A23"/>
    <w:rsid w:val="6233D845"/>
    <w:rsid w:val="62346AAF"/>
    <w:rsid w:val="62417595"/>
    <w:rsid w:val="62433E6B"/>
    <w:rsid w:val="6243A421"/>
    <w:rsid w:val="6246C109"/>
    <w:rsid w:val="625B0D4C"/>
    <w:rsid w:val="626406BC"/>
    <w:rsid w:val="6268B4D5"/>
    <w:rsid w:val="627088C0"/>
    <w:rsid w:val="6281D034"/>
    <w:rsid w:val="628375D9"/>
    <w:rsid w:val="62938A6F"/>
    <w:rsid w:val="62A85BB3"/>
    <w:rsid w:val="62AD597E"/>
    <w:rsid w:val="62B03844"/>
    <w:rsid w:val="62B6CA39"/>
    <w:rsid w:val="62C19475"/>
    <w:rsid w:val="62C5A577"/>
    <w:rsid w:val="62CC7368"/>
    <w:rsid w:val="62CC97C9"/>
    <w:rsid w:val="62CD02FE"/>
    <w:rsid w:val="62D3B83F"/>
    <w:rsid w:val="62D54B11"/>
    <w:rsid w:val="62D8884D"/>
    <w:rsid w:val="62E72199"/>
    <w:rsid w:val="62EEF434"/>
    <w:rsid w:val="62F4C0C4"/>
    <w:rsid w:val="62F822F8"/>
    <w:rsid w:val="62F8A9F3"/>
    <w:rsid w:val="62FC38B4"/>
    <w:rsid w:val="6310535D"/>
    <w:rsid w:val="63105E09"/>
    <w:rsid w:val="6314C11D"/>
    <w:rsid w:val="6321B586"/>
    <w:rsid w:val="632C8D38"/>
    <w:rsid w:val="632E23DF"/>
    <w:rsid w:val="633C7A0F"/>
    <w:rsid w:val="63419963"/>
    <w:rsid w:val="63419FA0"/>
    <w:rsid w:val="63430120"/>
    <w:rsid w:val="634AD577"/>
    <w:rsid w:val="6354F1D3"/>
    <w:rsid w:val="63594CE0"/>
    <w:rsid w:val="635A96BC"/>
    <w:rsid w:val="635CDB22"/>
    <w:rsid w:val="63672D9F"/>
    <w:rsid w:val="63683470"/>
    <w:rsid w:val="636AD7F8"/>
    <w:rsid w:val="636ECF72"/>
    <w:rsid w:val="63823246"/>
    <w:rsid w:val="63881574"/>
    <w:rsid w:val="63885143"/>
    <w:rsid w:val="638D8DB7"/>
    <w:rsid w:val="638E9B78"/>
    <w:rsid w:val="6393024E"/>
    <w:rsid w:val="63971E9C"/>
    <w:rsid w:val="6399AB15"/>
    <w:rsid w:val="639C88C3"/>
    <w:rsid w:val="639E49B5"/>
    <w:rsid w:val="63AA975D"/>
    <w:rsid w:val="63BF9197"/>
    <w:rsid w:val="63C74383"/>
    <w:rsid w:val="63CAA041"/>
    <w:rsid w:val="63D3DEE1"/>
    <w:rsid w:val="63D517E9"/>
    <w:rsid w:val="63D619F0"/>
    <w:rsid w:val="63DF6BBC"/>
    <w:rsid w:val="63E060BC"/>
    <w:rsid w:val="63E59F1C"/>
    <w:rsid w:val="63E63D87"/>
    <w:rsid w:val="63E8207B"/>
    <w:rsid w:val="63EC4466"/>
    <w:rsid w:val="63ECFA53"/>
    <w:rsid w:val="63F31C27"/>
    <w:rsid w:val="63F59557"/>
    <w:rsid w:val="63F7C95C"/>
    <w:rsid w:val="63F9DF9C"/>
    <w:rsid w:val="63FD665D"/>
    <w:rsid w:val="6404E914"/>
    <w:rsid w:val="640E266D"/>
    <w:rsid w:val="640ED3E1"/>
    <w:rsid w:val="64136371"/>
    <w:rsid w:val="641587B4"/>
    <w:rsid w:val="64167480"/>
    <w:rsid w:val="64179339"/>
    <w:rsid w:val="641BF100"/>
    <w:rsid w:val="642E4D58"/>
    <w:rsid w:val="642F73E7"/>
    <w:rsid w:val="64302A3F"/>
    <w:rsid w:val="6435431F"/>
    <w:rsid w:val="64380789"/>
    <w:rsid w:val="6442872C"/>
    <w:rsid w:val="644C5313"/>
    <w:rsid w:val="644E4AE6"/>
    <w:rsid w:val="645056D3"/>
    <w:rsid w:val="645622B2"/>
    <w:rsid w:val="645BBCEA"/>
    <w:rsid w:val="645CAAA5"/>
    <w:rsid w:val="645D223F"/>
    <w:rsid w:val="645E28EE"/>
    <w:rsid w:val="646C2AB9"/>
    <w:rsid w:val="647122F2"/>
    <w:rsid w:val="6471B9FA"/>
    <w:rsid w:val="647E37E5"/>
    <w:rsid w:val="64805A55"/>
    <w:rsid w:val="6481BE6D"/>
    <w:rsid w:val="648968FE"/>
    <w:rsid w:val="648A7AFD"/>
    <w:rsid w:val="64966C6A"/>
    <w:rsid w:val="649B167E"/>
    <w:rsid w:val="649B2934"/>
    <w:rsid w:val="649BD15C"/>
    <w:rsid w:val="64A0548A"/>
    <w:rsid w:val="64AE7B09"/>
    <w:rsid w:val="64B1BCD6"/>
    <w:rsid w:val="64B3EAE9"/>
    <w:rsid w:val="64B5988A"/>
    <w:rsid w:val="64B62091"/>
    <w:rsid w:val="64BB10A3"/>
    <w:rsid w:val="64BDEC0D"/>
    <w:rsid w:val="64C452CF"/>
    <w:rsid w:val="64C827DF"/>
    <w:rsid w:val="64C83EB4"/>
    <w:rsid w:val="64D8E213"/>
    <w:rsid w:val="64DC7880"/>
    <w:rsid w:val="64DDF507"/>
    <w:rsid w:val="64E3B2BA"/>
    <w:rsid w:val="64ED2728"/>
    <w:rsid w:val="64F7BDDF"/>
    <w:rsid w:val="64F9A635"/>
    <w:rsid w:val="6503C13C"/>
    <w:rsid w:val="65049891"/>
    <w:rsid w:val="65072EEF"/>
    <w:rsid w:val="6507382E"/>
    <w:rsid w:val="65090500"/>
    <w:rsid w:val="650981C2"/>
    <w:rsid w:val="650B42AF"/>
    <w:rsid w:val="650D54A0"/>
    <w:rsid w:val="651153DB"/>
    <w:rsid w:val="651359B1"/>
    <w:rsid w:val="6514180D"/>
    <w:rsid w:val="6514AEB2"/>
    <w:rsid w:val="65158D50"/>
    <w:rsid w:val="65169E0F"/>
    <w:rsid w:val="652329BA"/>
    <w:rsid w:val="6523DA8B"/>
    <w:rsid w:val="652551EF"/>
    <w:rsid w:val="6527F059"/>
    <w:rsid w:val="653066C7"/>
    <w:rsid w:val="653275B7"/>
    <w:rsid w:val="6539A2A2"/>
    <w:rsid w:val="653B07EB"/>
    <w:rsid w:val="65409AA7"/>
    <w:rsid w:val="654AA6E8"/>
    <w:rsid w:val="654D1D0D"/>
    <w:rsid w:val="6554DCB2"/>
    <w:rsid w:val="6555DEA7"/>
    <w:rsid w:val="6558FFFF"/>
    <w:rsid w:val="65614320"/>
    <w:rsid w:val="6566992F"/>
    <w:rsid w:val="656A9F76"/>
    <w:rsid w:val="656C9C98"/>
    <w:rsid w:val="6570AC76"/>
    <w:rsid w:val="65742BB2"/>
    <w:rsid w:val="65776611"/>
    <w:rsid w:val="657BC22B"/>
    <w:rsid w:val="658C3B5A"/>
    <w:rsid w:val="658DE2D4"/>
    <w:rsid w:val="65A11381"/>
    <w:rsid w:val="65A9FC2B"/>
    <w:rsid w:val="65AB2E84"/>
    <w:rsid w:val="65B05466"/>
    <w:rsid w:val="65B29561"/>
    <w:rsid w:val="65B34691"/>
    <w:rsid w:val="65BEC8F5"/>
    <w:rsid w:val="65CAC484"/>
    <w:rsid w:val="65D179F5"/>
    <w:rsid w:val="65E838CC"/>
    <w:rsid w:val="65EC7CE3"/>
    <w:rsid w:val="65F35F00"/>
    <w:rsid w:val="65F6F234"/>
    <w:rsid w:val="65FC31F1"/>
    <w:rsid w:val="65FF9010"/>
    <w:rsid w:val="660C9CB6"/>
    <w:rsid w:val="660CE035"/>
    <w:rsid w:val="660CE96D"/>
    <w:rsid w:val="661F0E6B"/>
    <w:rsid w:val="662DC193"/>
    <w:rsid w:val="66413E0E"/>
    <w:rsid w:val="66436A6E"/>
    <w:rsid w:val="664E187E"/>
    <w:rsid w:val="66502ED3"/>
    <w:rsid w:val="666D8D74"/>
    <w:rsid w:val="667204FB"/>
    <w:rsid w:val="6672278E"/>
    <w:rsid w:val="668E0CA7"/>
    <w:rsid w:val="668E9169"/>
    <w:rsid w:val="668FA03E"/>
    <w:rsid w:val="6694F63F"/>
    <w:rsid w:val="66A2959F"/>
    <w:rsid w:val="66A8A2C7"/>
    <w:rsid w:val="66AA7979"/>
    <w:rsid w:val="66AE6954"/>
    <w:rsid w:val="66B4866C"/>
    <w:rsid w:val="66BEE366"/>
    <w:rsid w:val="66C31612"/>
    <w:rsid w:val="66CC73C3"/>
    <w:rsid w:val="66CD4773"/>
    <w:rsid w:val="66CE4132"/>
    <w:rsid w:val="66D3ADA2"/>
    <w:rsid w:val="66E5B5E5"/>
    <w:rsid w:val="66F5020A"/>
    <w:rsid w:val="66F85ABB"/>
    <w:rsid w:val="66FC36A3"/>
    <w:rsid w:val="66FE3F91"/>
    <w:rsid w:val="66FE8353"/>
    <w:rsid w:val="6700386B"/>
    <w:rsid w:val="670128C6"/>
    <w:rsid w:val="67089D75"/>
    <w:rsid w:val="6709F5C8"/>
    <w:rsid w:val="670DEC53"/>
    <w:rsid w:val="671322F4"/>
    <w:rsid w:val="6713584B"/>
    <w:rsid w:val="67189D66"/>
    <w:rsid w:val="671C6D16"/>
    <w:rsid w:val="67254F02"/>
    <w:rsid w:val="672A0A3D"/>
    <w:rsid w:val="672ED9E7"/>
    <w:rsid w:val="672F1FEE"/>
    <w:rsid w:val="67355A61"/>
    <w:rsid w:val="67384580"/>
    <w:rsid w:val="673D8FA8"/>
    <w:rsid w:val="675119ED"/>
    <w:rsid w:val="675B35A4"/>
    <w:rsid w:val="675FDF60"/>
    <w:rsid w:val="67611A67"/>
    <w:rsid w:val="676144E0"/>
    <w:rsid w:val="676B4A95"/>
    <w:rsid w:val="6770825C"/>
    <w:rsid w:val="6770B2D3"/>
    <w:rsid w:val="677506E4"/>
    <w:rsid w:val="677693EC"/>
    <w:rsid w:val="6777FB0B"/>
    <w:rsid w:val="6787DDA9"/>
    <w:rsid w:val="6789A316"/>
    <w:rsid w:val="678B8D25"/>
    <w:rsid w:val="678BCAEC"/>
    <w:rsid w:val="67914F9C"/>
    <w:rsid w:val="679CCB61"/>
    <w:rsid w:val="679E4627"/>
    <w:rsid w:val="67A0C6B2"/>
    <w:rsid w:val="67A40F44"/>
    <w:rsid w:val="67A94FDA"/>
    <w:rsid w:val="67ADDA20"/>
    <w:rsid w:val="67B063A6"/>
    <w:rsid w:val="67BFD879"/>
    <w:rsid w:val="67BFE059"/>
    <w:rsid w:val="67C40151"/>
    <w:rsid w:val="67C76CCA"/>
    <w:rsid w:val="67D0035F"/>
    <w:rsid w:val="67D14180"/>
    <w:rsid w:val="67D36670"/>
    <w:rsid w:val="67DF8944"/>
    <w:rsid w:val="67E757BD"/>
    <w:rsid w:val="67EAD4B1"/>
    <w:rsid w:val="67F4E87A"/>
    <w:rsid w:val="67F61A08"/>
    <w:rsid w:val="67FE5500"/>
    <w:rsid w:val="67FF9A1C"/>
    <w:rsid w:val="680155E6"/>
    <w:rsid w:val="680729F1"/>
    <w:rsid w:val="6808C765"/>
    <w:rsid w:val="680E7C08"/>
    <w:rsid w:val="68159ED4"/>
    <w:rsid w:val="681D2953"/>
    <w:rsid w:val="681DF65A"/>
    <w:rsid w:val="68297A39"/>
    <w:rsid w:val="6829C280"/>
    <w:rsid w:val="682D8126"/>
    <w:rsid w:val="682DDAA7"/>
    <w:rsid w:val="682FB596"/>
    <w:rsid w:val="6832566F"/>
    <w:rsid w:val="68353085"/>
    <w:rsid w:val="68390692"/>
    <w:rsid w:val="683F4D3A"/>
    <w:rsid w:val="6840F028"/>
    <w:rsid w:val="68472F3A"/>
    <w:rsid w:val="68522099"/>
    <w:rsid w:val="685372F3"/>
    <w:rsid w:val="685A3CD2"/>
    <w:rsid w:val="685AF3CF"/>
    <w:rsid w:val="68633570"/>
    <w:rsid w:val="6869E3A0"/>
    <w:rsid w:val="686B1851"/>
    <w:rsid w:val="6877AF25"/>
    <w:rsid w:val="687C427B"/>
    <w:rsid w:val="68801305"/>
    <w:rsid w:val="688D9BBF"/>
    <w:rsid w:val="688FB9D8"/>
    <w:rsid w:val="6892AFB2"/>
    <w:rsid w:val="689F560F"/>
    <w:rsid w:val="68A0D5C6"/>
    <w:rsid w:val="68A396C6"/>
    <w:rsid w:val="68A5EBC1"/>
    <w:rsid w:val="68ACFC6D"/>
    <w:rsid w:val="68B18C75"/>
    <w:rsid w:val="68B2D86B"/>
    <w:rsid w:val="68B3009D"/>
    <w:rsid w:val="68BE06DA"/>
    <w:rsid w:val="68BFBE40"/>
    <w:rsid w:val="68C3D1B9"/>
    <w:rsid w:val="68C6DEC7"/>
    <w:rsid w:val="68C837D7"/>
    <w:rsid w:val="68D4824D"/>
    <w:rsid w:val="68D881DE"/>
    <w:rsid w:val="68DB246F"/>
    <w:rsid w:val="68DB49D5"/>
    <w:rsid w:val="68DBD46F"/>
    <w:rsid w:val="68DD882B"/>
    <w:rsid w:val="68E37DE4"/>
    <w:rsid w:val="68E8AEF9"/>
    <w:rsid w:val="68F3D533"/>
    <w:rsid w:val="68F601FD"/>
    <w:rsid w:val="68F686E6"/>
    <w:rsid w:val="68FB2952"/>
    <w:rsid w:val="68FF62EA"/>
    <w:rsid w:val="68FFB0F5"/>
    <w:rsid w:val="69006776"/>
    <w:rsid w:val="69037882"/>
    <w:rsid w:val="6908D089"/>
    <w:rsid w:val="690EA9D8"/>
    <w:rsid w:val="6911CA88"/>
    <w:rsid w:val="6918B210"/>
    <w:rsid w:val="6920D4AB"/>
    <w:rsid w:val="6924D44B"/>
    <w:rsid w:val="69334221"/>
    <w:rsid w:val="6933CCD7"/>
    <w:rsid w:val="6938EB07"/>
    <w:rsid w:val="6943D4A3"/>
    <w:rsid w:val="694F94DC"/>
    <w:rsid w:val="6950B225"/>
    <w:rsid w:val="69514A3C"/>
    <w:rsid w:val="695425BD"/>
    <w:rsid w:val="695788B1"/>
    <w:rsid w:val="6959312B"/>
    <w:rsid w:val="69593DAA"/>
    <w:rsid w:val="695DDC25"/>
    <w:rsid w:val="69625AC8"/>
    <w:rsid w:val="69636AD0"/>
    <w:rsid w:val="6964CFC3"/>
    <w:rsid w:val="696CD80F"/>
    <w:rsid w:val="696E0ECD"/>
    <w:rsid w:val="6971BEB0"/>
    <w:rsid w:val="697A8EF9"/>
    <w:rsid w:val="698552B1"/>
    <w:rsid w:val="69865706"/>
    <w:rsid w:val="698B370D"/>
    <w:rsid w:val="69961B19"/>
    <w:rsid w:val="699ABF09"/>
    <w:rsid w:val="69A0A70E"/>
    <w:rsid w:val="69A13186"/>
    <w:rsid w:val="69A4828B"/>
    <w:rsid w:val="69A8FB13"/>
    <w:rsid w:val="69A915B5"/>
    <w:rsid w:val="69AA6A32"/>
    <w:rsid w:val="69B0A807"/>
    <w:rsid w:val="69B5D704"/>
    <w:rsid w:val="69BC2141"/>
    <w:rsid w:val="69BDC594"/>
    <w:rsid w:val="69C33771"/>
    <w:rsid w:val="69CB7C96"/>
    <w:rsid w:val="69D2AF66"/>
    <w:rsid w:val="69D502C7"/>
    <w:rsid w:val="69D5AFD1"/>
    <w:rsid w:val="69DBF865"/>
    <w:rsid w:val="69EA6451"/>
    <w:rsid w:val="69EDAF18"/>
    <w:rsid w:val="69F24781"/>
    <w:rsid w:val="69F4D530"/>
    <w:rsid w:val="69F82A05"/>
    <w:rsid w:val="69F91DA1"/>
    <w:rsid w:val="69FA74F7"/>
    <w:rsid w:val="6A03AD18"/>
    <w:rsid w:val="6A069ACD"/>
    <w:rsid w:val="6A087BE7"/>
    <w:rsid w:val="6A099C9C"/>
    <w:rsid w:val="6A0AD448"/>
    <w:rsid w:val="6A0E3DA4"/>
    <w:rsid w:val="6A1316EF"/>
    <w:rsid w:val="6A16CA67"/>
    <w:rsid w:val="6A265AA4"/>
    <w:rsid w:val="6A36F9D9"/>
    <w:rsid w:val="6A3CAE3B"/>
    <w:rsid w:val="6A3D0702"/>
    <w:rsid w:val="6A3E427E"/>
    <w:rsid w:val="6A414273"/>
    <w:rsid w:val="6A41C9D9"/>
    <w:rsid w:val="6A518609"/>
    <w:rsid w:val="6A5FA411"/>
    <w:rsid w:val="6A611EC1"/>
    <w:rsid w:val="6A6B5DCF"/>
    <w:rsid w:val="6A6BC691"/>
    <w:rsid w:val="6A70A416"/>
    <w:rsid w:val="6A74FC19"/>
    <w:rsid w:val="6A78699D"/>
    <w:rsid w:val="6A7C3748"/>
    <w:rsid w:val="6A84A7A7"/>
    <w:rsid w:val="6A86D94D"/>
    <w:rsid w:val="6A87AC2F"/>
    <w:rsid w:val="6A9AE669"/>
    <w:rsid w:val="6A9EF6A6"/>
    <w:rsid w:val="6AA2E486"/>
    <w:rsid w:val="6AAD8F37"/>
    <w:rsid w:val="6ABB44F3"/>
    <w:rsid w:val="6AC6EA75"/>
    <w:rsid w:val="6AD6149E"/>
    <w:rsid w:val="6ADED48E"/>
    <w:rsid w:val="6AE8DDE4"/>
    <w:rsid w:val="6AED44A9"/>
    <w:rsid w:val="6AF04296"/>
    <w:rsid w:val="6AF46789"/>
    <w:rsid w:val="6B1C66F9"/>
    <w:rsid w:val="6B1FD8A6"/>
    <w:rsid w:val="6B200792"/>
    <w:rsid w:val="6B2CF91B"/>
    <w:rsid w:val="6B335284"/>
    <w:rsid w:val="6B342E60"/>
    <w:rsid w:val="6B361FFF"/>
    <w:rsid w:val="6B366D01"/>
    <w:rsid w:val="6B3A1CAE"/>
    <w:rsid w:val="6B3A9776"/>
    <w:rsid w:val="6B3B70B4"/>
    <w:rsid w:val="6B494014"/>
    <w:rsid w:val="6B4A01CE"/>
    <w:rsid w:val="6B4BD9A6"/>
    <w:rsid w:val="6B504D37"/>
    <w:rsid w:val="6B538719"/>
    <w:rsid w:val="6B556A29"/>
    <w:rsid w:val="6B58794F"/>
    <w:rsid w:val="6B5EE06E"/>
    <w:rsid w:val="6B671F4F"/>
    <w:rsid w:val="6B6C405B"/>
    <w:rsid w:val="6B77B0CF"/>
    <w:rsid w:val="6B77BD85"/>
    <w:rsid w:val="6B7B5E4C"/>
    <w:rsid w:val="6B8102B4"/>
    <w:rsid w:val="6B82B6E3"/>
    <w:rsid w:val="6B851957"/>
    <w:rsid w:val="6B8842C2"/>
    <w:rsid w:val="6B88EB63"/>
    <w:rsid w:val="6B89EA14"/>
    <w:rsid w:val="6B8EA9D8"/>
    <w:rsid w:val="6B9020F1"/>
    <w:rsid w:val="6B905FED"/>
    <w:rsid w:val="6B988685"/>
    <w:rsid w:val="6B9BD154"/>
    <w:rsid w:val="6BA0D6CC"/>
    <w:rsid w:val="6BA15FE8"/>
    <w:rsid w:val="6BA3EF9B"/>
    <w:rsid w:val="6BA59EE7"/>
    <w:rsid w:val="6BA7BA66"/>
    <w:rsid w:val="6BABA8B7"/>
    <w:rsid w:val="6BAE7B72"/>
    <w:rsid w:val="6BBCD37B"/>
    <w:rsid w:val="6BC71DF1"/>
    <w:rsid w:val="6BCE7D1B"/>
    <w:rsid w:val="6BD86A69"/>
    <w:rsid w:val="6BDCEDB2"/>
    <w:rsid w:val="6BE01FE3"/>
    <w:rsid w:val="6BE7636D"/>
    <w:rsid w:val="6BE95EFD"/>
    <w:rsid w:val="6BF134E1"/>
    <w:rsid w:val="6BF736BF"/>
    <w:rsid w:val="6BF87719"/>
    <w:rsid w:val="6BFB7230"/>
    <w:rsid w:val="6BFFDC52"/>
    <w:rsid w:val="6C13F4D4"/>
    <w:rsid w:val="6C150A83"/>
    <w:rsid w:val="6C15E873"/>
    <w:rsid w:val="6C18543B"/>
    <w:rsid w:val="6C1B0EB2"/>
    <w:rsid w:val="6C2233CB"/>
    <w:rsid w:val="6C3295DB"/>
    <w:rsid w:val="6C38ADE9"/>
    <w:rsid w:val="6C3D5924"/>
    <w:rsid w:val="6C3F9E44"/>
    <w:rsid w:val="6C46A0D3"/>
    <w:rsid w:val="6C503E1D"/>
    <w:rsid w:val="6C56A34F"/>
    <w:rsid w:val="6C56A4DA"/>
    <w:rsid w:val="6C5A9D50"/>
    <w:rsid w:val="6C5C4C5C"/>
    <w:rsid w:val="6C5CFEC4"/>
    <w:rsid w:val="6C647C8E"/>
    <w:rsid w:val="6C72A64A"/>
    <w:rsid w:val="6C787969"/>
    <w:rsid w:val="6C7FEA7D"/>
    <w:rsid w:val="6C805601"/>
    <w:rsid w:val="6C8173E0"/>
    <w:rsid w:val="6C839943"/>
    <w:rsid w:val="6C83B014"/>
    <w:rsid w:val="6C83E263"/>
    <w:rsid w:val="6C878C9D"/>
    <w:rsid w:val="6C88655D"/>
    <w:rsid w:val="6C8BDA76"/>
    <w:rsid w:val="6C9CDD34"/>
    <w:rsid w:val="6C9E15C4"/>
    <w:rsid w:val="6CA3183E"/>
    <w:rsid w:val="6CA9ED1B"/>
    <w:rsid w:val="6CB75B1D"/>
    <w:rsid w:val="6CB8C351"/>
    <w:rsid w:val="6CBD6A95"/>
    <w:rsid w:val="6CBE65A2"/>
    <w:rsid w:val="6CBE9DB2"/>
    <w:rsid w:val="6CBEFCA3"/>
    <w:rsid w:val="6CCD279E"/>
    <w:rsid w:val="6CD22811"/>
    <w:rsid w:val="6CD69D99"/>
    <w:rsid w:val="6CD6DC72"/>
    <w:rsid w:val="6CDEC832"/>
    <w:rsid w:val="6CE19618"/>
    <w:rsid w:val="6CF1F078"/>
    <w:rsid w:val="6CF2860A"/>
    <w:rsid w:val="6CF4D073"/>
    <w:rsid w:val="6D00F249"/>
    <w:rsid w:val="6D05DEE4"/>
    <w:rsid w:val="6D060C28"/>
    <w:rsid w:val="6D129082"/>
    <w:rsid w:val="6D225F22"/>
    <w:rsid w:val="6D22AE3D"/>
    <w:rsid w:val="6D31BB7D"/>
    <w:rsid w:val="6D33B147"/>
    <w:rsid w:val="6D35F349"/>
    <w:rsid w:val="6D35FAEA"/>
    <w:rsid w:val="6D398A7B"/>
    <w:rsid w:val="6D3B5F46"/>
    <w:rsid w:val="6D3EAD9E"/>
    <w:rsid w:val="6D428C91"/>
    <w:rsid w:val="6D502CF7"/>
    <w:rsid w:val="6D58DC83"/>
    <w:rsid w:val="6D6247AE"/>
    <w:rsid w:val="6D67FC9F"/>
    <w:rsid w:val="6D68005E"/>
    <w:rsid w:val="6D6B07B1"/>
    <w:rsid w:val="6D7D6693"/>
    <w:rsid w:val="6D8542D0"/>
    <w:rsid w:val="6D8675F6"/>
    <w:rsid w:val="6D869DDD"/>
    <w:rsid w:val="6D93D651"/>
    <w:rsid w:val="6D99A386"/>
    <w:rsid w:val="6D9F4CCB"/>
    <w:rsid w:val="6DA06BA0"/>
    <w:rsid w:val="6DA1A6D4"/>
    <w:rsid w:val="6DA46BA7"/>
    <w:rsid w:val="6DA76EB7"/>
    <w:rsid w:val="6DAF6A73"/>
    <w:rsid w:val="6DB2414D"/>
    <w:rsid w:val="6DB661BA"/>
    <w:rsid w:val="6DB8521F"/>
    <w:rsid w:val="6DBBFED8"/>
    <w:rsid w:val="6DBC9A1E"/>
    <w:rsid w:val="6DC8A628"/>
    <w:rsid w:val="6DCB8F96"/>
    <w:rsid w:val="6DCD30D9"/>
    <w:rsid w:val="6DCEAA53"/>
    <w:rsid w:val="6DCF8528"/>
    <w:rsid w:val="6DD09FAB"/>
    <w:rsid w:val="6DD90580"/>
    <w:rsid w:val="6DDF1BFD"/>
    <w:rsid w:val="6DE16ABE"/>
    <w:rsid w:val="6DEE12CF"/>
    <w:rsid w:val="6DEEA588"/>
    <w:rsid w:val="6DFADEBD"/>
    <w:rsid w:val="6DFBAE08"/>
    <w:rsid w:val="6E0E3190"/>
    <w:rsid w:val="6E1737F6"/>
    <w:rsid w:val="6E1833B3"/>
    <w:rsid w:val="6E19092F"/>
    <w:rsid w:val="6E1CCAE3"/>
    <w:rsid w:val="6E1CE1DB"/>
    <w:rsid w:val="6E1D6595"/>
    <w:rsid w:val="6E2E5DD2"/>
    <w:rsid w:val="6E2EC9D2"/>
    <w:rsid w:val="6E31BD29"/>
    <w:rsid w:val="6E36B611"/>
    <w:rsid w:val="6E4742E4"/>
    <w:rsid w:val="6E4A3D40"/>
    <w:rsid w:val="6E4C12D9"/>
    <w:rsid w:val="6E4C48B1"/>
    <w:rsid w:val="6E5D7DC8"/>
    <w:rsid w:val="6E642833"/>
    <w:rsid w:val="6E656175"/>
    <w:rsid w:val="6E689BB0"/>
    <w:rsid w:val="6E6929FB"/>
    <w:rsid w:val="6E6BD42F"/>
    <w:rsid w:val="6E720566"/>
    <w:rsid w:val="6E738E66"/>
    <w:rsid w:val="6E75659B"/>
    <w:rsid w:val="6E8BD67B"/>
    <w:rsid w:val="6E8E561C"/>
    <w:rsid w:val="6E905C9A"/>
    <w:rsid w:val="6EA61553"/>
    <w:rsid w:val="6EA74465"/>
    <w:rsid w:val="6EAFD42E"/>
    <w:rsid w:val="6EB31709"/>
    <w:rsid w:val="6EB90646"/>
    <w:rsid w:val="6EBC6895"/>
    <w:rsid w:val="6EBE537C"/>
    <w:rsid w:val="6EC187D6"/>
    <w:rsid w:val="6EC2EA48"/>
    <w:rsid w:val="6EC39842"/>
    <w:rsid w:val="6ED2AA9F"/>
    <w:rsid w:val="6ED55F4E"/>
    <w:rsid w:val="6ED90124"/>
    <w:rsid w:val="6EDC9097"/>
    <w:rsid w:val="6EE282E7"/>
    <w:rsid w:val="6EE6D8E6"/>
    <w:rsid w:val="6EEDE687"/>
    <w:rsid w:val="6EEE0F05"/>
    <w:rsid w:val="6EEFFBFB"/>
    <w:rsid w:val="6EF424D9"/>
    <w:rsid w:val="6EF432DC"/>
    <w:rsid w:val="6EF47035"/>
    <w:rsid w:val="6EF8CDC3"/>
    <w:rsid w:val="6EFAFB3D"/>
    <w:rsid w:val="6EFC4A22"/>
    <w:rsid w:val="6EFD63FB"/>
    <w:rsid w:val="6F019564"/>
    <w:rsid w:val="6F01DC79"/>
    <w:rsid w:val="6F047355"/>
    <w:rsid w:val="6F048906"/>
    <w:rsid w:val="6F0C9ED5"/>
    <w:rsid w:val="6F102E0F"/>
    <w:rsid w:val="6F1EAE6F"/>
    <w:rsid w:val="6F233936"/>
    <w:rsid w:val="6F2CBC14"/>
    <w:rsid w:val="6F2EDFB4"/>
    <w:rsid w:val="6F33E54F"/>
    <w:rsid w:val="6F37CC78"/>
    <w:rsid w:val="6F3E1DE3"/>
    <w:rsid w:val="6F440978"/>
    <w:rsid w:val="6F44A78F"/>
    <w:rsid w:val="6F4AC8C2"/>
    <w:rsid w:val="6F503BBD"/>
    <w:rsid w:val="6F5138DC"/>
    <w:rsid w:val="6F55F562"/>
    <w:rsid w:val="6F55F69C"/>
    <w:rsid w:val="6F56F6F6"/>
    <w:rsid w:val="6F58E8AF"/>
    <w:rsid w:val="6F5E57EE"/>
    <w:rsid w:val="6F60C082"/>
    <w:rsid w:val="6F62F8C3"/>
    <w:rsid w:val="6F632279"/>
    <w:rsid w:val="6F64BA58"/>
    <w:rsid w:val="6F7D03C8"/>
    <w:rsid w:val="6F7EAC9E"/>
    <w:rsid w:val="6F8EB27F"/>
    <w:rsid w:val="6F9500DB"/>
    <w:rsid w:val="6F9A5C9C"/>
    <w:rsid w:val="6FA910F1"/>
    <w:rsid w:val="6FAE70E0"/>
    <w:rsid w:val="6FB6983F"/>
    <w:rsid w:val="6FC05169"/>
    <w:rsid w:val="6FC87326"/>
    <w:rsid w:val="6FC89E9F"/>
    <w:rsid w:val="6FCEE316"/>
    <w:rsid w:val="6FD23264"/>
    <w:rsid w:val="6FD8C325"/>
    <w:rsid w:val="6FDB1F24"/>
    <w:rsid w:val="6FDC983F"/>
    <w:rsid w:val="6FE0F665"/>
    <w:rsid w:val="6FE2B596"/>
    <w:rsid w:val="6FE41024"/>
    <w:rsid w:val="6FEA411A"/>
    <w:rsid w:val="6FEB7241"/>
    <w:rsid w:val="6FEB9E92"/>
    <w:rsid w:val="6FF17C4B"/>
    <w:rsid w:val="6FF4AB3A"/>
    <w:rsid w:val="6FF5E759"/>
    <w:rsid w:val="6FF6E29C"/>
    <w:rsid w:val="6FF77F00"/>
    <w:rsid w:val="6FF93387"/>
    <w:rsid w:val="7001D694"/>
    <w:rsid w:val="70042743"/>
    <w:rsid w:val="7008B4F0"/>
    <w:rsid w:val="701183D6"/>
    <w:rsid w:val="70172BF8"/>
    <w:rsid w:val="701F797F"/>
    <w:rsid w:val="70207895"/>
    <w:rsid w:val="7025373B"/>
    <w:rsid w:val="7026C714"/>
    <w:rsid w:val="7029E481"/>
    <w:rsid w:val="702D6947"/>
    <w:rsid w:val="70320650"/>
    <w:rsid w:val="7033B92C"/>
    <w:rsid w:val="703455A2"/>
    <w:rsid w:val="70391D5A"/>
    <w:rsid w:val="703B831C"/>
    <w:rsid w:val="7045568F"/>
    <w:rsid w:val="7061F00A"/>
    <w:rsid w:val="707C99E4"/>
    <w:rsid w:val="707D69F2"/>
    <w:rsid w:val="70828685"/>
    <w:rsid w:val="70842392"/>
    <w:rsid w:val="708B4CB0"/>
    <w:rsid w:val="7091888E"/>
    <w:rsid w:val="709E3ED3"/>
    <w:rsid w:val="70ABF7AC"/>
    <w:rsid w:val="70B85866"/>
    <w:rsid w:val="70B8B579"/>
    <w:rsid w:val="70BB514B"/>
    <w:rsid w:val="70BBF0B8"/>
    <w:rsid w:val="70C8F8CE"/>
    <w:rsid w:val="70CADD4F"/>
    <w:rsid w:val="70D08F56"/>
    <w:rsid w:val="70D2FD49"/>
    <w:rsid w:val="70D4CB62"/>
    <w:rsid w:val="70D74CCF"/>
    <w:rsid w:val="70DFB5E3"/>
    <w:rsid w:val="70E0C5BC"/>
    <w:rsid w:val="70E25088"/>
    <w:rsid w:val="70E45D01"/>
    <w:rsid w:val="70EDEC5F"/>
    <w:rsid w:val="70EE1B74"/>
    <w:rsid w:val="70F2F786"/>
    <w:rsid w:val="70FA1B2C"/>
    <w:rsid w:val="70FC45F8"/>
    <w:rsid w:val="70FD413D"/>
    <w:rsid w:val="71067B62"/>
    <w:rsid w:val="71073DE0"/>
    <w:rsid w:val="710BC696"/>
    <w:rsid w:val="710BDF06"/>
    <w:rsid w:val="710EB75F"/>
    <w:rsid w:val="710FC2CF"/>
    <w:rsid w:val="7118BB84"/>
    <w:rsid w:val="71252AA3"/>
    <w:rsid w:val="71288BBC"/>
    <w:rsid w:val="712CC53D"/>
    <w:rsid w:val="712DB089"/>
    <w:rsid w:val="712F3C1F"/>
    <w:rsid w:val="7138722D"/>
    <w:rsid w:val="7138E105"/>
    <w:rsid w:val="71430A31"/>
    <w:rsid w:val="7144D9D8"/>
    <w:rsid w:val="7146A615"/>
    <w:rsid w:val="714BC19B"/>
    <w:rsid w:val="715197E1"/>
    <w:rsid w:val="7156031B"/>
    <w:rsid w:val="71570511"/>
    <w:rsid w:val="715E1197"/>
    <w:rsid w:val="715FE376"/>
    <w:rsid w:val="716275D3"/>
    <w:rsid w:val="7165F02B"/>
    <w:rsid w:val="71719DC7"/>
    <w:rsid w:val="7172A778"/>
    <w:rsid w:val="7177334A"/>
    <w:rsid w:val="7183EA26"/>
    <w:rsid w:val="71868C86"/>
    <w:rsid w:val="718CD98A"/>
    <w:rsid w:val="71959124"/>
    <w:rsid w:val="71A4F9AB"/>
    <w:rsid w:val="71A64D88"/>
    <w:rsid w:val="71A74769"/>
    <w:rsid w:val="71AB5C9B"/>
    <w:rsid w:val="71ABEF57"/>
    <w:rsid w:val="71B3BFF6"/>
    <w:rsid w:val="71B762A6"/>
    <w:rsid w:val="71B8940B"/>
    <w:rsid w:val="71BA0118"/>
    <w:rsid w:val="71C347AF"/>
    <w:rsid w:val="71C94276"/>
    <w:rsid w:val="71CB88F2"/>
    <w:rsid w:val="71CE4AA0"/>
    <w:rsid w:val="71CF540A"/>
    <w:rsid w:val="71D4A104"/>
    <w:rsid w:val="71E58C62"/>
    <w:rsid w:val="71EE4A8A"/>
    <w:rsid w:val="71EE9009"/>
    <w:rsid w:val="71EEA84D"/>
    <w:rsid w:val="71F06917"/>
    <w:rsid w:val="7204D162"/>
    <w:rsid w:val="720D3D16"/>
    <w:rsid w:val="72131572"/>
    <w:rsid w:val="7215940C"/>
    <w:rsid w:val="72170987"/>
    <w:rsid w:val="721E9F92"/>
    <w:rsid w:val="72207662"/>
    <w:rsid w:val="7224D09D"/>
    <w:rsid w:val="72267067"/>
    <w:rsid w:val="722B5DF7"/>
    <w:rsid w:val="722C4011"/>
    <w:rsid w:val="7231B753"/>
    <w:rsid w:val="72337DD1"/>
    <w:rsid w:val="72338D23"/>
    <w:rsid w:val="7234709C"/>
    <w:rsid w:val="72458314"/>
    <w:rsid w:val="72461ED1"/>
    <w:rsid w:val="7256178A"/>
    <w:rsid w:val="725BDE72"/>
    <w:rsid w:val="725ED4C3"/>
    <w:rsid w:val="725FC4EA"/>
    <w:rsid w:val="7271DC50"/>
    <w:rsid w:val="7275A58E"/>
    <w:rsid w:val="72809EBE"/>
    <w:rsid w:val="7282D318"/>
    <w:rsid w:val="7288B165"/>
    <w:rsid w:val="728D3EAA"/>
    <w:rsid w:val="729088FD"/>
    <w:rsid w:val="72959AB0"/>
    <w:rsid w:val="72996854"/>
    <w:rsid w:val="729F1632"/>
    <w:rsid w:val="72A3347E"/>
    <w:rsid w:val="72AA1988"/>
    <w:rsid w:val="72ADAF52"/>
    <w:rsid w:val="72B384D6"/>
    <w:rsid w:val="72BC321D"/>
    <w:rsid w:val="72BD5D95"/>
    <w:rsid w:val="72C8BCDC"/>
    <w:rsid w:val="72C8C0AC"/>
    <w:rsid w:val="72CC7F64"/>
    <w:rsid w:val="72CFF22E"/>
    <w:rsid w:val="72D4F105"/>
    <w:rsid w:val="72D6B16B"/>
    <w:rsid w:val="72D6B937"/>
    <w:rsid w:val="72D79493"/>
    <w:rsid w:val="72D904B0"/>
    <w:rsid w:val="72DA68B6"/>
    <w:rsid w:val="72E30850"/>
    <w:rsid w:val="72E52261"/>
    <w:rsid w:val="72EAB93F"/>
    <w:rsid w:val="72EDF7C6"/>
    <w:rsid w:val="72EE5B5A"/>
    <w:rsid w:val="72EEB233"/>
    <w:rsid w:val="72EFE007"/>
    <w:rsid w:val="72F0C71E"/>
    <w:rsid w:val="72F3725B"/>
    <w:rsid w:val="72F80B88"/>
    <w:rsid w:val="72F8D4D6"/>
    <w:rsid w:val="72FD1A41"/>
    <w:rsid w:val="72FEEB47"/>
    <w:rsid w:val="7316D292"/>
    <w:rsid w:val="7317140C"/>
    <w:rsid w:val="731DE390"/>
    <w:rsid w:val="73249A65"/>
    <w:rsid w:val="7326A89A"/>
    <w:rsid w:val="7329A663"/>
    <w:rsid w:val="7331626A"/>
    <w:rsid w:val="7333423C"/>
    <w:rsid w:val="7334188F"/>
    <w:rsid w:val="7340616D"/>
    <w:rsid w:val="73448154"/>
    <w:rsid w:val="734934EA"/>
    <w:rsid w:val="734D5DAF"/>
    <w:rsid w:val="734EA1F5"/>
    <w:rsid w:val="7354CE12"/>
    <w:rsid w:val="7358C522"/>
    <w:rsid w:val="735B0E87"/>
    <w:rsid w:val="735D73F4"/>
    <w:rsid w:val="7366066E"/>
    <w:rsid w:val="7366FD51"/>
    <w:rsid w:val="73709206"/>
    <w:rsid w:val="73752B07"/>
    <w:rsid w:val="73766A68"/>
    <w:rsid w:val="737825B1"/>
    <w:rsid w:val="737D00F5"/>
    <w:rsid w:val="739C85E0"/>
    <w:rsid w:val="739FD1C0"/>
    <w:rsid w:val="73A1D58B"/>
    <w:rsid w:val="73A8AE01"/>
    <w:rsid w:val="73AB5462"/>
    <w:rsid w:val="73AEFB7D"/>
    <w:rsid w:val="73B6B758"/>
    <w:rsid w:val="73BCEBB5"/>
    <w:rsid w:val="73C0482C"/>
    <w:rsid w:val="73C4FA7D"/>
    <w:rsid w:val="73C662C7"/>
    <w:rsid w:val="73E2538C"/>
    <w:rsid w:val="73E3742D"/>
    <w:rsid w:val="73E38C12"/>
    <w:rsid w:val="73E3EA35"/>
    <w:rsid w:val="73F01232"/>
    <w:rsid w:val="73F23D7B"/>
    <w:rsid w:val="73FB8351"/>
    <w:rsid w:val="73FEB98F"/>
    <w:rsid w:val="73FF81D7"/>
    <w:rsid w:val="74065A43"/>
    <w:rsid w:val="7413AB96"/>
    <w:rsid w:val="741F32E6"/>
    <w:rsid w:val="7422EAA2"/>
    <w:rsid w:val="74403705"/>
    <w:rsid w:val="74447D20"/>
    <w:rsid w:val="7444CE04"/>
    <w:rsid w:val="744847C8"/>
    <w:rsid w:val="744B357E"/>
    <w:rsid w:val="7457342C"/>
    <w:rsid w:val="745A7553"/>
    <w:rsid w:val="7464FF68"/>
    <w:rsid w:val="74660AEF"/>
    <w:rsid w:val="7472E72E"/>
    <w:rsid w:val="747330A2"/>
    <w:rsid w:val="7474397D"/>
    <w:rsid w:val="747738B3"/>
    <w:rsid w:val="747916BA"/>
    <w:rsid w:val="747BAD85"/>
    <w:rsid w:val="74808E69"/>
    <w:rsid w:val="7481F2E9"/>
    <w:rsid w:val="74842E04"/>
    <w:rsid w:val="748433F5"/>
    <w:rsid w:val="748A41CB"/>
    <w:rsid w:val="748E9F7E"/>
    <w:rsid w:val="74933D7A"/>
    <w:rsid w:val="7497CA97"/>
    <w:rsid w:val="749CF682"/>
    <w:rsid w:val="749D2FC5"/>
    <w:rsid w:val="74A22263"/>
    <w:rsid w:val="74A2E41A"/>
    <w:rsid w:val="74A38993"/>
    <w:rsid w:val="74A3CB18"/>
    <w:rsid w:val="74A64AAF"/>
    <w:rsid w:val="74A82E85"/>
    <w:rsid w:val="74A946DA"/>
    <w:rsid w:val="74B13CC3"/>
    <w:rsid w:val="74B53FEC"/>
    <w:rsid w:val="74B80A93"/>
    <w:rsid w:val="74BC7DE5"/>
    <w:rsid w:val="74BC9D0F"/>
    <w:rsid w:val="74C581CE"/>
    <w:rsid w:val="74D4C96B"/>
    <w:rsid w:val="74D75594"/>
    <w:rsid w:val="74DBA17F"/>
    <w:rsid w:val="74E190AA"/>
    <w:rsid w:val="74E1979E"/>
    <w:rsid w:val="74E42FA7"/>
    <w:rsid w:val="74E9F469"/>
    <w:rsid w:val="74EA0B81"/>
    <w:rsid w:val="74F21540"/>
    <w:rsid w:val="74F2C483"/>
    <w:rsid w:val="74F3B449"/>
    <w:rsid w:val="7500ED08"/>
    <w:rsid w:val="75055EAE"/>
    <w:rsid w:val="75060A53"/>
    <w:rsid w:val="75066D9C"/>
    <w:rsid w:val="750C5088"/>
    <w:rsid w:val="750F86A6"/>
    <w:rsid w:val="7518899D"/>
    <w:rsid w:val="7522BF3B"/>
    <w:rsid w:val="752DDA9D"/>
    <w:rsid w:val="75367657"/>
    <w:rsid w:val="754A1C5E"/>
    <w:rsid w:val="7551EC49"/>
    <w:rsid w:val="7557C7E2"/>
    <w:rsid w:val="7559B37F"/>
    <w:rsid w:val="756DC7EF"/>
    <w:rsid w:val="75740881"/>
    <w:rsid w:val="75761FBA"/>
    <w:rsid w:val="758BDBB6"/>
    <w:rsid w:val="758BF8B8"/>
    <w:rsid w:val="7591E8B3"/>
    <w:rsid w:val="759435C4"/>
    <w:rsid w:val="759483AB"/>
    <w:rsid w:val="7596804C"/>
    <w:rsid w:val="75A103A7"/>
    <w:rsid w:val="75A424B6"/>
    <w:rsid w:val="75A8E53D"/>
    <w:rsid w:val="75A9C03D"/>
    <w:rsid w:val="75AD4EA3"/>
    <w:rsid w:val="75B096F3"/>
    <w:rsid w:val="75B7F562"/>
    <w:rsid w:val="75BAA3CE"/>
    <w:rsid w:val="75BC3F39"/>
    <w:rsid w:val="75C49D70"/>
    <w:rsid w:val="75C5A421"/>
    <w:rsid w:val="75CC9AF5"/>
    <w:rsid w:val="75CE8674"/>
    <w:rsid w:val="75CEE8F3"/>
    <w:rsid w:val="75CF3ADF"/>
    <w:rsid w:val="75DB56E8"/>
    <w:rsid w:val="75E31F5C"/>
    <w:rsid w:val="75EE3FEA"/>
    <w:rsid w:val="75F2A1E6"/>
    <w:rsid w:val="75F681F1"/>
    <w:rsid w:val="75F81A2F"/>
    <w:rsid w:val="75FE7ABA"/>
    <w:rsid w:val="75FFDB20"/>
    <w:rsid w:val="7601EC92"/>
    <w:rsid w:val="7604FE31"/>
    <w:rsid w:val="760504D9"/>
    <w:rsid w:val="7612863F"/>
    <w:rsid w:val="76136133"/>
    <w:rsid w:val="761EEE1D"/>
    <w:rsid w:val="7621CA77"/>
    <w:rsid w:val="762BF1C7"/>
    <w:rsid w:val="7630E576"/>
    <w:rsid w:val="763157AF"/>
    <w:rsid w:val="763861B4"/>
    <w:rsid w:val="7638768C"/>
    <w:rsid w:val="763B9B5F"/>
    <w:rsid w:val="763CBA3A"/>
    <w:rsid w:val="763D8D22"/>
    <w:rsid w:val="76417584"/>
    <w:rsid w:val="76470C62"/>
    <w:rsid w:val="764AB162"/>
    <w:rsid w:val="764ABA7A"/>
    <w:rsid w:val="764F8963"/>
    <w:rsid w:val="76526335"/>
    <w:rsid w:val="765B9B90"/>
    <w:rsid w:val="765F441A"/>
    <w:rsid w:val="76603FEE"/>
    <w:rsid w:val="7664AEA0"/>
    <w:rsid w:val="7667AC4C"/>
    <w:rsid w:val="766B221C"/>
    <w:rsid w:val="766F50FB"/>
    <w:rsid w:val="7674082F"/>
    <w:rsid w:val="767EBE2A"/>
    <w:rsid w:val="767F64F9"/>
    <w:rsid w:val="76833E60"/>
    <w:rsid w:val="76907FA6"/>
    <w:rsid w:val="7696B3FD"/>
    <w:rsid w:val="76A8B632"/>
    <w:rsid w:val="76A97EDB"/>
    <w:rsid w:val="76AAA79C"/>
    <w:rsid w:val="76ABCDD6"/>
    <w:rsid w:val="76B20202"/>
    <w:rsid w:val="76B243C9"/>
    <w:rsid w:val="76B6DE2D"/>
    <w:rsid w:val="76BA72A0"/>
    <w:rsid w:val="76BF8D62"/>
    <w:rsid w:val="76CC9DDC"/>
    <w:rsid w:val="76CCD2AC"/>
    <w:rsid w:val="76CFDF18"/>
    <w:rsid w:val="76D26950"/>
    <w:rsid w:val="76D456FC"/>
    <w:rsid w:val="76D49D4A"/>
    <w:rsid w:val="76D4CFE1"/>
    <w:rsid w:val="76D920CA"/>
    <w:rsid w:val="76DDB5E6"/>
    <w:rsid w:val="76E2BE0A"/>
    <w:rsid w:val="76E43038"/>
    <w:rsid w:val="76E446BE"/>
    <w:rsid w:val="76E4D7BD"/>
    <w:rsid w:val="76E706E9"/>
    <w:rsid w:val="76ED912C"/>
    <w:rsid w:val="76EF82A5"/>
    <w:rsid w:val="76F2738A"/>
    <w:rsid w:val="76F276D1"/>
    <w:rsid w:val="76FE5FB4"/>
    <w:rsid w:val="7700E728"/>
    <w:rsid w:val="770B7A06"/>
    <w:rsid w:val="7716408D"/>
    <w:rsid w:val="7719B1D8"/>
    <w:rsid w:val="77217F9B"/>
    <w:rsid w:val="772408E6"/>
    <w:rsid w:val="772BBE28"/>
    <w:rsid w:val="773385DE"/>
    <w:rsid w:val="77348D5E"/>
    <w:rsid w:val="77430AD7"/>
    <w:rsid w:val="774D8DBC"/>
    <w:rsid w:val="77548C27"/>
    <w:rsid w:val="775B12E3"/>
    <w:rsid w:val="775C44F3"/>
    <w:rsid w:val="77608AF9"/>
    <w:rsid w:val="7762EE66"/>
    <w:rsid w:val="77630C0A"/>
    <w:rsid w:val="77638EFB"/>
    <w:rsid w:val="7766EA02"/>
    <w:rsid w:val="776B50E8"/>
    <w:rsid w:val="776C0314"/>
    <w:rsid w:val="776C1E72"/>
    <w:rsid w:val="776F1B6E"/>
    <w:rsid w:val="777D86FF"/>
    <w:rsid w:val="77862F29"/>
    <w:rsid w:val="779635F6"/>
    <w:rsid w:val="7799281B"/>
    <w:rsid w:val="779F552D"/>
    <w:rsid w:val="77A45A67"/>
    <w:rsid w:val="77AB5655"/>
    <w:rsid w:val="77ABC889"/>
    <w:rsid w:val="77AE0874"/>
    <w:rsid w:val="77B5236B"/>
    <w:rsid w:val="77B54F1C"/>
    <w:rsid w:val="77BF7ECF"/>
    <w:rsid w:val="77C185AA"/>
    <w:rsid w:val="77C5A984"/>
    <w:rsid w:val="77C7FC7A"/>
    <w:rsid w:val="77CE0DCD"/>
    <w:rsid w:val="77CE30BB"/>
    <w:rsid w:val="77CE7E34"/>
    <w:rsid w:val="77D1F251"/>
    <w:rsid w:val="77D37EDB"/>
    <w:rsid w:val="77D932F6"/>
    <w:rsid w:val="77DA326C"/>
    <w:rsid w:val="77E03D42"/>
    <w:rsid w:val="77E98357"/>
    <w:rsid w:val="77EA4BDB"/>
    <w:rsid w:val="77ECF355"/>
    <w:rsid w:val="77F21AFC"/>
    <w:rsid w:val="77F2F4E3"/>
    <w:rsid w:val="77F43339"/>
    <w:rsid w:val="77F5BB28"/>
    <w:rsid w:val="77F7CA95"/>
    <w:rsid w:val="77F83B22"/>
    <w:rsid w:val="780A6CDA"/>
    <w:rsid w:val="780AF7CC"/>
    <w:rsid w:val="780B965B"/>
    <w:rsid w:val="7813B218"/>
    <w:rsid w:val="781E6408"/>
    <w:rsid w:val="782888B2"/>
    <w:rsid w:val="782A20CA"/>
    <w:rsid w:val="782C3645"/>
    <w:rsid w:val="782DE025"/>
    <w:rsid w:val="7831DF00"/>
    <w:rsid w:val="7836BCA5"/>
    <w:rsid w:val="783B5147"/>
    <w:rsid w:val="783E680B"/>
    <w:rsid w:val="783FB333"/>
    <w:rsid w:val="78416D2B"/>
    <w:rsid w:val="7846CD85"/>
    <w:rsid w:val="784DB64F"/>
    <w:rsid w:val="78633C0B"/>
    <w:rsid w:val="7867EBB9"/>
    <w:rsid w:val="787394DD"/>
    <w:rsid w:val="7875B4A0"/>
    <w:rsid w:val="788B66FC"/>
    <w:rsid w:val="788BFB27"/>
    <w:rsid w:val="788FA2F0"/>
    <w:rsid w:val="7891A8C7"/>
    <w:rsid w:val="789768F8"/>
    <w:rsid w:val="78A40FF3"/>
    <w:rsid w:val="78A63504"/>
    <w:rsid w:val="78A8D9C8"/>
    <w:rsid w:val="78AFF90B"/>
    <w:rsid w:val="78B7C9D5"/>
    <w:rsid w:val="78B9A9B5"/>
    <w:rsid w:val="78BCF40D"/>
    <w:rsid w:val="78C52C21"/>
    <w:rsid w:val="78C5BDEB"/>
    <w:rsid w:val="78C887C8"/>
    <w:rsid w:val="78DE426B"/>
    <w:rsid w:val="78E4C250"/>
    <w:rsid w:val="78E9287C"/>
    <w:rsid w:val="78F862CA"/>
    <w:rsid w:val="7900BE69"/>
    <w:rsid w:val="790607E6"/>
    <w:rsid w:val="7911CAB2"/>
    <w:rsid w:val="7913203A"/>
    <w:rsid w:val="79147223"/>
    <w:rsid w:val="791B9D85"/>
    <w:rsid w:val="791E82BA"/>
    <w:rsid w:val="792C3F44"/>
    <w:rsid w:val="7933B67D"/>
    <w:rsid w:val="793B18D8"/>
    <w:rsid w:val="793B246B"/>
    <w:rsid w:val="7944D992"/>
    <w:rsid w:val="7948887D"/>
    <w:rsid w:val="79491474"/>
    <w:rsid w:val="795BFF41"/>
    <w:rsid w:val="795C71A1"/>
    <w:rsid w:val="796A62AD"/>
    <w:rsid w:val="7979E6C2"/>
    <w:rsid w:val="79808196"/>
    <w:rsid w:val="7983F1D9"/>
    <w:rsid w:val="798E5182"/>
    <w:rsid w:val="7991AC0E"/>
    <w:rsid w:val="799768E5"/>
    <w:rsid w:val="799878EC"/>
    <w:rsid w:val="799A4A57"/>
    <w:rsid w:val="79A1BE65"/>
    <w:rsid w:val="79A3B4E4"/>
    <w:rsid w:val="79AA8AC3"/>
    <w:rsid w:val="79AF1B4E"/>
    <w:rsid w:val="79BE3762"/>
    <w:rsid w:val="79C6730F"/>
    <w:rsid w:val="79D07F8B"/>
    <w:rsid w:val="79D50521"/>
    <w:rsid w:val="79DB464D"/>
    <w:rsid w:val="79E702D9"/>
    <w:rsid w:val="79E8A00F"/>
    <w:rsid w:val="79EAF6CD"/>
    <w:rsid w:val="79EBF563"/>
    <w:rsid w:val="79F1D0D0"/>
    <w:rsid w:val="79F69544"/>
    <w:rsid w:val="79F83985"/>
    <w:rsid w:val="79FF6140"/>
    <w:rsid w:val="7A058F68"/>
    <w:rsid w:val="7A062EC9"/>
    <w:rsid w:val="7A1D1569"/>
    <w:rsid w:val="7A1DB00A"/>
    <w:rsid w:val="7A237832"/>
    <w:rsid w:val="7A270FE0"/>
    <w:rsid w:val="7A27529F"/>
    <w:rsid w:val="7A2C56AD"/>
    <w:rsid w:val="7A2ED154"/>
    <w:rsid w:val="7A2EDE45"/>
    <w:rsid w:val="7A312744"/>
    <w:rsid w:val="7A3A0019"/>
    <w:rsid w:val="7A3F2235"/>
    <w:rsid w:val="7A4268CE"/>
    <w:rsid w:val="7A42DFA4"/>
    <w:rsid w:val="7A4468C4"/>
    <w:rsid w:val="7A448B28"/>
    <w:rsid w:val="7A565F79"/>
    <w:rsid w:val="7A589061"/>
    <w:rsid w:val="7A66D102"/>
    <w:rsid w:val="7A7326B6"/>
    <w:rsid w:val="7A796C28"/>
    <w:rsid w:val="7A7E03D3"/>
    <w:rsid w:val="7A8F5D0F"/>
    <w:rsid w:val="7A903225"/>
    <w:rsid w:val="7A9B6076"/>
    <w:rsid w:val="7A9DF5A1"/>
    <w:rsid w:val="7AB51730"/>
    <w:rsid w:val="7ACAC2DA"/>
    <w:rsid w:val="7ACF7B17"/>
    <w:rsid w:val="7ACF7C6A"/>
    <w:rsid w:val="7AD09045"/>
    <w:rsid w:val="7AD1FA92"/>
    <w:rsid w:val="7ADF621E"/>
    <w:rsid w:val="7AE0834E"/>
    <w:rsid w:val="7AEC9CF7"/>
    <w:rsid w:val="7AFC5716"/>
    <w:rsid w:val="7B05F573"/>
    <w:rsid w:val="7B066E8A"/>
    <w:rsid w:val="7B0E1D65"/>
    <w:rsid w:val="7B0F1141"/>
    <w:rsid w:val="7B11C10F"/>
    <w:rsid w:val="7B121131"/>
    <w:rsid w:val="7B1D84DF"/>
    <w:rsid w:val="7B25934C"/>
    <w:rsid w:val="7B27E6BB"/>
    <w:rsid w:val="7B29DBED"/>
    <w:rsid w:val="7B3B65CF"/>
    <w:rsid w:val="7B3E8C6B"/>
    <w:rsid w:val="7B401959"/>
    <w:rsid w:val="7B48D16B"/>
    <w:rsid w:val="7B4B0B71"/>
    <w:rsid w:val="7B4CCD8A"/>
    <w:rsid w:val="7B55203A"/>
    <w:rsid w:val="7B55249F"/>
    <w:rsid w:val="7B622F1D"/>
    <w:rsid w:val="7B6E1182"/>
    <w:rsid w:val="7B756972"/>
    <w:rsid w:val="7B7644FF"/>
    <w:rsid w:val="7B76B39C"/>
    <w:rsid w:val="7B77AC2C"/>
    <w:rsid w:val="7B7FE7A8"/>
    <w:rsid w:val="7B806E3A"/>
    <w:rsid w:val="7B86A4D8"/>
    <w:rsid w:val="7B86F909"/>
    <w:rsid w:val="7B89A59E"/>
    <w:rsid w:val="7B8B6914"/>
    <w:rsid w:val="7B8D6B76"/>
    <w:rsid w:val="7B8F4BFC"/>
    <w:rsid w:val="7B9359CE"/>
    <w:rsid w:val="7B99BAD4"/>
    <w:rsid w:val="7B9A42E1"/>
    <w:rsid w:val="7BA0662A"/>
    <w:rsid w:val="7BA7E6EE"/>
    <w:rsid w:val="7BA878A1"/>
    <w:rsid w:val="7BAC3CCC"/>
    <w:rsid w:val="7BB32A93"/>
    <w:rsid w:val="7BB3ECE5"/>
    <w:rsid w:val="7BB5F1F0"/>
    <w:rsid w:val="7BB67F7E"/>
    <w:rsid w:val="7BB8142E"/>
    <w:rsid w:val="7BBEAEBB"/>
    <w:rsid w:val="7BC24293"/>
    <w:rsid w:val="7BC2F8A5"/>
    <w:rsid w:val="7BC71861"/>
    <w:rsid w:val="7BCBA7A7"/>
    <w:rsid w:val="7BCBBA98"/>
    <w:rsid w:val="7BCC428E"/>
    <w:rsid w:val="7BCC59DE"/>
    <w:rsid w:val="7BD01954"/>
    <w:rsid w:val="7BD554A2"/>
    <w:rsid w:val="7BE7008F"/>
    <w:rsid w:val="7BF2A098"/>
    <w:rsid w:val="7BF2EDFB"/>
    <w:rsid w:val="7BF348F8"/>
    <w:rsid w:val="7BFF6167"/>
    <w:rsid w:val="7C0A9907"/>
    <w:rsid w:val="7C0C55F1"/>
    <w:rsid w:val="7C0E4EEF"/>
    <w:rsid w:val="7C142959"/>
    <w:rsid w:val="7C176817"/>
    <w:rsid w:val="7C18BE96"/>
    <w:rsid w:val="7C192F79"/>
    <w:rsid w:val="7C1AAC2D"/>
    <w:rsid w:val="7C22B56D"/>
    <w:rsid w:val="7C2494E5"/>
    <w:rsid w:val="7C2539C9"/>
    <w:rsid w:val="7C38F936"/>
    <w:rsid w:val="7C3CD404"/>
    <w:rsid w:val="7C4171C7"/>
    <w:rsid w:val="7C419CA8"/>
    <w:rsid w:val="7C44AE14"/>
    <w:rsid w:val="7C45FB63"/>
    <w:rsid w:val="7C48FC85"/>
    <w:rsid w:val="7C4BD0E1"/>
    <w:rsid w:val="7C4CE7B9"/>
    <w:rsid w:val="7C4ED6FA"/>
    <w:rsid w:val="7C4F034E"/>
    <w:rsid w:val="7C4FAD23"/>
    <w:rsid w:val="7C54B1C0"/>
    <w:rsid w:val="7C5911FE"/>
    <w:rsid w:val="7C596CF8"/>
    <w:rsid w:val="7C607239"/>
    <w:rsid w:val="7C63D297"/>
    <w:rsid w:val="7C678DAB"/>
    <w:rsid w:val="7C72CFEF"/>
    <w:rsid w:val="7C7C3AB7"/>
    <w:rsid w:val="7C82208D"/>
    <w:rsid w:val="7C84B7FE"/>
    <w:rsid w:val="7C862EA0"/>
    <w:rsid w:val="7C8ECCF4"/>
    <w:rsid w:val="7C9E5656"/>
    <w:rsid w:val="7CA88A99"/>
    <w:rsid w:val="7CB88E3B"/>
    <w:rsid w:val="7CC1FB84"/>
    <w:rsid w:val="7CCC5353"/>
    <w:rsid w:val="7CDB3EFE"/>
    <w:rsid w:val="7CE058A2"/>
    <w:rsid w:val="7CE0F7AC"/>
    <w:rsid w:val="7CE3414B"/>
    <w:rsid w:val="7CE605BE"/>
    <w:rsid w:val="7CF8B9FD"/>
    <w:rsid w:val="7CFC4514"/>
    <w:rsid w:val="7D00F5E0"/>
    <w:rsid w:val="7D02F33F"/>
    <w:rsid w:val="7D06A8E7"/>
    <w:rsid w:val="7D0F416C"/>
    <w:rsid w:val="7D0FA629"/>
    <w:rsid w:val="7D13754C"/>
    <w:rsid w:val="7D141C28"/>
    <w:rsid w:val="7D16F8C0"/>
    <w:rsid w:val="7D18C991"/>
    <w:rsid w:val="7D19B70E"/>
    <w:rsid w:val="7D235C4B"/>
    <w:rsid w:val="7D24E0A7"/>
    <w:rsid w:val="7D268B0B"/>
    <w:rsid w:val="7D2CF669"/>
    <w:rsid w:val="7D2E24DF"/>
    <w:rsid w:val="7D302CA2"/>
    <w:rsid w:val="7D32564E"/>
    <w:rsid w:val="7D32FDFB"/>
    <w:rsid w:val="7D34DDBA"/>
    <w:rsid w:val="7D3570D0"/>
    <w:rsid w:val="7D3FC581"/>
    <w:rsid w:val="7D440DB3"/>
    <w:rsid w:val="7D4B5D72"/>
    <w:rsid w:val="7D4D1973"/>
    <w:rsid w:val="7D5A609F"/>
    <w:rsid w:val="7D5CCBE0"/>
    <w:rsid w:val="7D5DC788"/>
    <w:rsid w:val="7D609C4C"/>
    <w:rsid w:val="7D6F9CA9"/>
    <w:rsid w:val="7D7136CC"/>
    <w:rsid w:val="7D73591E"/>
    <w:rsid w:val="7D74DE34"/>
    <w:rsid w:val="7D780E8F"/>
    <w:rsid w:val="7D7B0828"/>
    <w:rsid w:val="7D7D5BE6"/>
    <w:rsid w:val="7D80887C"/>
    <w:rsid w:val="7D88C28B"/>
    <w:rsid w:val="7D8E2F6E"/>
    <w:rsid w:val="7D8E92CE"/>
    <w:rsid w:val="7D906958"/>
    <w:rsid w:val="7D97660A"/>
    <w:rsid w:val="7D9DE973"/>
    <w:rsid w:val="7D9FC09F"/>
    <w:rsid w:val="7DA42901"/>
    <w:rsid w:val="7DA8F1AE"/>
    <w:rsid w:val="7DB21426"/>
    <w:rsid w:val="7DB7E5A5"/>
    <w:rsid w:val="7DC1CC34"/>
    <w:rsid w:val="7DC4E153"/>
    <w:rsid w:val="7DCD35AE"/>
    <w:rsid w:val="7DCD6578"/>
    <w:rsid w:val="7DCE2986"/>
    <w:rsid w:val="7DD18372"/>
    <w:rsid w:val="7DDE6A6D"/>
    <w:rsid w:val="7DE023C3"/>
    <w:rsid w:val="7DE07745"/>
    <w:rsid w:val="7DE1C763"/>
    <w:rsid w:val="7DE5EAF7"/>
    <w:rsid w:val="7DEE55AF"/>
    <w:rsid w:val="7DF55021"/>
    <w:rsid w:val="7E01867F"/>
    <w:rsid w:val="7E038BE6"/>
    <w:rsid w:val="7E082CF4"/>
    <w:rsid w:val="7E0EDD29"/>
    <w:rsid w:val="7E20233C"/>
    <w:rsid w:val="7E27F342"/>
    <w:rsid w:val="7E36E719"/>
    <w:rsid w:val="7E39AA50"/>
    <w:rsid w:val="7E4517FA"/>
    <w:rsid w:val="7E486070"/>
    <w:rsid w:val="7E4D492E"/>
    <w:rsid w:val="7E4D7553"/>
    <w:rsid w:val="7E4E5612"/>
    <w:rsid w:val="7E608479"/>
    <w:rsid w:val="7E618AD7"/>
    <w:rsid w:val="7E6867D1"/>
    <w:rsid w:val="7E6C731F"/>
    <w:rsid w:val="7E77E0D1"/>
    <w:rsid w:val="7E77F395"/>
    <w:rsid w:val="7E798071"/>
    <w:rsid w:val="7E8014BA"/>
    <w:rsid w:val="7E807E6C"/>
    <w:rsid w:val="7E83BDB8"/>
    <w:rsid w:val="7E892C63"/>
    <w:rsid w:val="7E8E0213"/>
    <w:rsid w:val="7E91C4D6"/>
    <w:rsid w:val="7EA2A93A"/>
    <w:rsid w:val="7EA5B3E4"/>
    <w:rsid w:val="7EA788F1"/>
    <w:rsid w:val="7EA7D450"/>
    <w:rsid w:val="7EAA0012"/>
    <w:rsid w:val="7EAE7A7E"/>
    <w:rsid w:val="7EB0E646"/>
    <w:rsid w:val="7EB3555E"/>
    <w:rsid w:val="7EB5FA18"/>
    <w:rsid w:val="7EBBDA73"/>
    <w:rsid w:val="7EC4EC5B"/>
    <w:rsid w:val="7EC51FE1"/>
    <w:rsid w:val="7ED1C8E0"/>
    <w:rsid w:val="7ED37D29"/>
    <w:rsid w:val="7ED681B3"/>
    <w:rsid w:val="7EDAE61E"/>
    <w:rsid w:val="7EF0DDDD"/>
    <w:rsid w:val="7EF4584E"/>
    <w:rsid w:val="7EFDCCA4"/>
    <w:rsid w:val="7EFEDF3A"/>
    <w:rsid w:val="7F063A76"/>
    <w:rsid w:val="7F1B49E3"/>
    <w:rsid w:val="7F2BAEB2"/>
    <w:rsid w:val="7F2E5B93"/>
    <w:rsid w:val="7F2EA3A3"/>
    <w:rsid w:val="7F326422"/>
    <w:rsid w:val="7F364594"/>
    <w:rsid w:val="7F370BA5"/>
    <w:rsid w:val="7F378992"/>
    <w:rsid w:val="7F395B5B"/>
    <w:rsid w:val="7F3A955A"/>
    <w:rsid w:val="7F3B2BDE"/>
    <w:rsid w:val="7F3C5A3D"/>
    <w:rsid w:val="7F40F651"/>
    <w:rsid w:val="7F448982"/>
    <w:rsid w:val="7F513256"/>
    <w:rsid w:val="7F660678"/>
    <w:rsid w:val="7F70E760"/>
    <w:rsid w:val="7F7719B8"/>
    <w:rsid w:val="7F79FF8F"/>
    <w:rsid w:val="7F7FABDA"/>
    <w:rsid w:val="7F8D49B5"/>
    <w:rsid w:val="7F993636"/>
    <w:rsid w:val="7F9A0390"/>
    <w:rsid w:val="7F9E1E46"/>
    <w:rsid w:val="7FA4E2FF"/>
    <w:rsid w:val="7FA5EF93"/>
    <w:rsid w:val="7FA8CA54"/>
    <w:rsid w:val="7FAA4104"/>
    <w:rsid w:val="7FAFBE45"/>
    <w:rsid w:val="7FB0BE87"/>
    <w:rsid w:val="7FC4100F"/>
    <w:rsid w:val="7FC51F10"/>
    <w:rsid w:val="7FC529FF"/>
    <w:rsid w:val="7FC8C861"/>
    <w:rsid w:val="7FCDB602"/>
    <w:rsid w:val="7FCFFA41"/>
    <w:rsid w:val="7FD114BA"/>
    <w:rsid w:val="7FD4620C"/>
    <w:rsid w:val="7FDB7D5D"/>
    <w:rsid w:val="7FE75CB6"/>
    <w:rsid w:val="7FF04900"/>
    <w:rsid w:val="7FF0D76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1B49E2"/>
  <w14:defaultImageDpi w14:val="96"/>
  <w15:docId w15:val="{D7F9986A-99FD-4256-9429-7A119527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039"/>
    <w:rPr>
      <w:rFonts w:ascii="Arial" w:hAnsi="Arial"/>
      <w:sz w:val="24"/>
      <w:szCs w:val="24"/>
      <w:lang w:eastAsia="en-US"/>
    </w:rPr>
  </w:style>
  <w:style w:type="paragraph" w:styleId="Heading1">
    <w:name w:val="heading 1"/>
    <w:basedOn w:val="Normal"/>
    <w:next w:val="Normal"/>
    <w:link w:val="Heading1Char"/>
    <w:uiPriority w:val="9"/>
    <w:qFormat/>
    <w:rsid w:val="00E3545D"/>
    <w:pPr>
      <w:keepNext/>
      <w:tabs>
        <w:tab w:val="right" w:pos="10206"/>
      </w:tabs>
      <w:spacing w:before="240" w:after="60"/>
      <w:outlineLvl w:val="0"/>
    </w:pPr>
    <w:rPr>
      <w:rFonts w:ascii="Arial Bold" w:hAnsi="Arial Bold" w:cs="Arial"/>
      <w:b/>
      <w:bCs/>
      <w:spacing w:val="-4"/>
      <w:kern w:val="32"/>
      <w:sz w:val="32"/>
      <w:szCs w:val="32"/>
    </w:rPr>
  </w:style>
  <w:style w:type="paragraph" w:styleId="Heading2">
    <w:name w:val="heading 2"/>
    <w:aliases w:val="EBHeading1"/>
    <w:basedOn w:val="Normal"/>
    <w:next w:val="EBBodyPara"/>
    <w:link w:val="Heading2Char"/>
    <w:uiPriority w:val="9"/>
    <w:qFormat/>
    <w:rsid w:val="002B7335"/>
    <w:pPr>
      <w:keepNext/>
      <w:keepLines/>
      <w:spacing w:before="480" w:after="240"/>
      <w:outlineLvl w:val="1"/>
    </w:pPr>
    <w:rPr>
      <w:rFonts w:cs="Arial"/>
      <w:bCs/>
      <w:color w:val="000000"/>
      <w:sz w:val="32"/>
      <w:szCs w:val="22"/>
      <w:lang w:eastAsia="en-GB"/>
    </w:rPr>
  </w:style>
  <w:style w:type="paragraph" w:styleId="Heading3">
    <w:name w:val="heading 3"/>
    <w:aliases w:val="EBHeading2"/>
    <w:basedOn w:val="Normal"/>
    <w:next w:val="EBBodyPara"/>
    <w:link w:val="Heading3Char"/>
    <w:uiPriority w:val="9"/>
    <w:qFormat/>
    <w:rsid w:val="002B7335"/>
    <w:pPr>
      <w:keepNext/>
      <w:keepLines/>
      <w:spacing w:before="360" w:after="240"/>
      <w:outlineLvl w:val="2"/>
    </w:pPr>
    <w:rPr>
      <w:rFonts w:cs="Arial"/>
      <w:b/>
      <w:bCs/>
      <w:color w:val="000000"/>
      <w:szCs w:val="22"/>
      <w:lang w:eastAsia="en-GB"/>
    </w:rPr>
  </w:style>
  <w:style w:type="paragraph" w:styleId="Heading4">
    <w:name w:val="heading 4"/>
    <w:aliases w:val="EBHeading3"/>
    <w:basedOn w:val="EBBodyPara"/>
    <w:next w:val="Normal"/>
    <w:link w:val="Heading4Char"/>
    <w:uiPriority w:val="9"/>
    <w:qFormat/>
    <w:rsid w:val="002B7335"/>
    <w:pPr>
      <w:spacing w:before="240"/>
      <w:outlineLvl w:val="3"/>
    </w:pPr>
    <w:rPr>
      <w:b/>
    </w:rPr>
  </w:style>
  <w:style w:type="paragraph" w:styleId="Heading5">
    <w:name w:val="heading 5"/>
    <w:aliases w:val="EBHeading4"/>
    <w:basedOn w:val="Normal"/>
    <w:next w:val="Normal"/>
    <w:link w:val="Heading5Char"/>
    <w:uiPriority w:val="9"/>
    <w:qFormat/>
    <w:rsid w:val="002B7335"/>
    <w:pPr>
      <w:spacing w:before="240" w:after="120"/>
      <w:outlineLvl w:val="4"/>
    </w:pPr>
    <w:rPr>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aliases w:val="EBHeading1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aliases w:val="EBHeading2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aliases w:val="EBHeading3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aliases w:val="EBHeading4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paragraph" w:customStyle="1" w:styleId="IATableLabel">
    <w:name w:val="IATableLabel"/>
    <w:basedOn w:val="Normal"/>
    <w:link w:val="IATableLabelCharChar"/>
    <w:rsid w:val="00402E80"/>
    <w:pPr>
      <w:spacing w:before="50" w:after="50"/>
      <w:ind w:left="113" w:right="113"/>
    </w:pPr>
    <w:rPr>
      <w:rFonts w:eastAsia="SimSun"/>
      <w:b/>
      <w:color w:val="000000"/>
      <w:spacing w:val="-5"/>
      <w:sz w:val="20"/>
      <w:szCs w:val="20"/>
      <w:lang w:eastAsia="zh-CN"/>
    </w:rPr>
  </w:style>
  <w:style w:type="character" w:customStyle="1" w:styleId="IATableLabelCharChar">
    <w:name w:val="IATableLabel Char Char"/>
    <w:link w:val="IATableLabel"/>
    <w:locked/>
    <w:rsid w:val="00402E80"/>
    <w:rPr>
      <w:rFonts w:ascii="Arial" w:eastAsia="SimSun" w:hAnsi="Arial"/>
      <w:b/>
      <w:color w:val="000000"/>
      <w:spacing w:val="-5"/>
      <w:lang w:val="en-GB" w:eastAsia="zh-CN"/>
    </w:rPr>
  </w:style>
  <w:style w:type="paragraph" w:customStyle="1" w:styleId="IASpacer">
    <w:name w:val="IASpacer"/>
    <w:basedOn w:val="Normal"/>
    <w:rsid w:val="007208D9"/>
    <w:pPr>
      <w:spacing w:line="80" w:lineRule="exact"/>
    </w:pPr>
    <w:rPr>
      <w:rFonts w:eastAsia="SimSun"/>
      <w:sz w:val="22"/>
      <w:lang w:eastAsia="zh-CN"/>
    </w:rPr>
  </w:style>
  <w:style w:type="paragraph" w:customStyle="1" w:styleId="IATableText">
    <w:name w:val="IATableText"/>
    <w:basedOn w:val="IATableLabel"/>
    <w:link w:val="IATableTextChar"/>
    <w:rsid w:val="00220F29"/>
    <w:rPr>
      <w:b w:val="0"/>
      <w:color w:val="auto"/>
      <w:sz w:val="22"/>
    </w:rPr>
  </w:style>
  <w:style w:type="character" w:customStyle="1" w:styleId="IATableTextChar">
    <w:name w:val="IATableText Char"/>
    <w:link w:val="IATableText"/>
    <w:locked/>
    <w:rsid w:val="00220F29"/>
    <w:rPr>
      <w:rFonts w:ascii="Arial" w:eastAsia="SimSun" w:hAnsi="Arial"/>
      <w:b/>
      <w:color w:val="000000"/>
      <w:spacing w:val="-5"/>
      <w:sz w:val="22"/>
      <w:lang w:val="en-GB" w:eastAsia="zh-CN"/>
    </w:rPr>
  </w:style>
  <w:style w:type="paragraph" w:styleId="BodyText">
    <w:name w:val="Body Text"/>
    <w:basedOn w:val="Normal"/>
    <w:link w:val="BodyTextChar"/>
    <w:uiPriority w:val="99"/>
    <w:rsid w:val="003E54B6"/>
    <w:pPr>
      <w:spacing w:after="120"/>
    </w:pPr>
    <w:rPr>
      <w:rFonts w:cs="Arial"/>
      <w:bCs/>
      <w:color w:val="000000"/>
      <w:sz w:val="22"/>
      <w:szCs w:val="22"/>
      <w:lang w:eastAsia="en-GB"/>
    </w:rPr>
  </w:style>
  <w:style w:type="character" w:customStyle="1" w:styleId="BodyTextChar">
    <w:name w:val="Body Text Char"/>
    <w:basedOn w:val="DefaultParagraphFont"/>
    <w:link w:val="BodyText"/>
    <w:uiPriority w:val="99"/>
    <w:locked/>
    <w:rsid w:val="0049416F"/>
    <w:rPr>
      <w:rFonts w:ascii="Arial" w:hAnsi="Arial" w:cs="Times New Roman"/>
      <w:color w:val="000000"/>
      <w:sz w:val="22"/>
      <w:lang w:val="en-GB" w:eastAsia="en-GB"/>
    </w:rPr>
  </w:style>
  <w:style w:type="table" w:styleId="TableGrid">
    <w:name w:val="Table Grid"/>
    <w:basedOn w:val="TableNormal"/>
    <w:uiPriority w:val="39"/>
    <w:rsid w:val="00026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7F64C7"/>
    <w:pPr>
      <w:ind w:left="113"/>
      <w:outlineLvl w:val="0"/>
    </w:pPr>
    <w:rPr>
      <w:rFonts w:cs="Arial"/>
      <w:bCs/>
      <w:color w:val="FFFFFF"/>
      <w:kern w:val="28"/>
      <w:sz w:val="32"/>
      <w:szCs w:val="32"/>
    </w:rPr>
  </w:style>
  <w:style w:type="character" w:customStyle="1" w:styleId="TitleChar">
    <w:name w:val="Title Char"/>
    <w:basedOn w:val="DefaultParagraphFont"/>
    <w:link w:val="Title"/>
    <w:uiPriority w:val="10"/>
    <w:locked/>
    <w:rsid w:val="00174C10"/>
    <w:rPr>
      <w:rFonts w:ascii="Arial" w:hAnsi="Arial" w:cs="Times New Roman"/>
      <w:color w:val="FFFFFF"/>
      <w:kern w:val="28"/>
      <w:sz w:val="32"/>
      <w:lang w:val="en-GB" w:eastAsia="en-US"/>
    </w:rPr>
  </w:style>
  <w:style w:type="paragraph" w:customStyle="1" w:styleId="IAHeadDept">
    <w:name w:val="IAHeadDept"/>
    <w:basedOn w:val="IATableText"/>
    <w:link w:val="IAHeadDeptChar"/>
    <w:rsid w:val="00C120C0"/>
    <w:pPr>
      <w:spacing w:after="120"/>
      <w:ind w:left="0" w:right="57"/>
    </w:pPr>
    <w:rPr>
      <w:spacing w:val="-6"/>
      <w:szCs w:val="22"/>
    </w:rPr>
  </w:style>
  <w:style w:type="paragraph" w:customStyle="1" w:styleId="IAHeadLabel">
    <w:name w:val="IAHeadLabel"/>
    <w:basedOn w:val="IATableLabel"/>
    <w:link w:val="IAHeadLabelChar"/>
    <w:rsid w:val="00570F8E"/>
    <w:pPr>
      <w:spacing w:before="110"/>
      <w:ind w:left="0" w:right="0"/>
    </w:pPr>
  </w:style>
  <w:style w:type="character" w:customStyle="1" w:styleId="IAHeadLabelChar">
    <w:name w:val="IAHeadLabel Char"/>
    <w:basedOn w:val="IATableLabelCharChar"/>
    <w:link w:val="IAHeadLabel"/>
    <w:locked/>
    <w:rsid w:val="00570F8E"/>
    <w:rPr>
      <w:rFonts w:ascii="Arial" w:eastAsia="SimSun" w:hAnsi="Arial" w:cs="Times New Roman"/>
      <w:b/>
      <w:color w:val="000000"/>
      <w:spacing w:val="-5"/>
      <w:lang w:val="en-GB" w:eastAsia="zh-CN" w:bidi="ar-SA"/>
    </w:rPr>
  </w:style>
  <w:style w:type="table" w:customStyle="1" w:styleId="TableIAHeading">
    <w:name w:val="Table_IAHeading"/>
    <w:basedOn w:val="TableNormal"/>
    <w:semiHidden/>
    <w:rsid w:val="006A5A2E"/>
    <w:rPr>
      <w:rFonts w:eastAsia="SimSun"/>
      <w:color w:val="FFFFFF"/>
    </w:rPr>
    <w:tblPr>
      <w:tblBorders>
        <w:top w:val="single" w:sz="12" w:space="0" w:color="008080"/>
        <w:left w:val="single" w:sz="12" w:space="0" w:color="008080"/>
        <w:bottom w:val="single" w:sz="12" w:space="0" w:color="008080"/>
        <w:right w:val="single" w:sz="12" w:space="0" w:color="008080"/>
        <w:insideH w:val="single" w:sz="12" w:space="0" w:color="008080"/>
      </w:tblBorders>
      <w:tblCellMar>
        <w:left w:w="0" w:type="dxa"/>
        <w:right w:w="0" w:type="dxa"/>
      </w:tblCellMar>
    </w:tblPr>
    <w:tcPr>
      <w:shd w:val="clear" w:color="auto" w:fill="008080"/>
    </w:tcPr>
  </w:style>
  <w:style w:type="paragraph" w:customStyle="1" w:styleId="IATableNotes">
    <w:name w:val="IATableNotes"/>
    <w:basedOn w:val="Normal"/>
    <w:link w:val="IATableNotesChar"/>
    <w:rsid w:val="006A5A2E"/>
    <w:pPr>
      <w:spacing w:before="60" w:after="60"/>
      <w:ind w:left="113" w:right="113"/>
    </w:pPr>
    <w:rPr>
      <w:rFonts w:eastAsia="SimSun"/>
      <w:sz w:val="18"/>
      <w:szCs w:val="20"/>
      <w:lang w:eastAsia="zh-CN"/>
    </w:rPr>
  </w:style>
  <w:style w:type="character" w:customStyle="1" w:styleId="IATableNotesChar">
    <w:name w:val="IATableNotes Char"/>
    <w:link w:val="IATableNotes"/>
    <w:locked/>
    <w:rsid w:val="006A5A2E"/>
    <w:rPr>
      <w:rFonts w:ascii="Arial" w:eastAsia="SimSun" w:hAnsi="Arial"/>
      <w:sz w:val="18"/>
      <w:lang w:val="en-GB" w:eastAsia="zh-CN"/>
    </w:rPr>
  </w:style>
  <w:style w:type="paragraph" w:customStyle="1" w:styleId="IASignOff">
    <w:name w:val="IASignOff"/>
    <w:basedOn w:val="IATableNotes"/>
    <w:next w:val="IATableNotes"/>
    <w:link w:val="IASignOffChar"/>
    <w:semiHidden/>
    <w:rsid w:val="006A5A2E"/>
    <w:pPr>
      <w:spacing w:before="120" w:after="120"/>
      <w:ind w:left="567" w:right="567"/>
    </w:pPr>
    <w:rPr>
      <w:b/>
      <w:bCs/>
      <w:i/>
      <w:iCs/>
    </w:rPr>
  </w:style>
  <w:style w:type="character" w:customStyle="1" w:styleId="IASignOffChar">
    <w:name w:val="IASignOff Char"/>
    <w:link w:val="IASignOff"/>
    <w:locked/>
    <w:rsid w:val="006A5A2E"/>
    <w:rPr>
      <w:rFonts w:ascii="Arial" w:eastAsia="SimSun" w:hAnsi="Arial"/>
      <w:b/>
      <w:i/>
      <w:sz w:val="18"/>
      <w:lang w:val="en-GB" w:eastAsia="zh-CN"/>
    </w:rPr>
  </w:style>
  <w:style w:type="paragraph" w:customStyle="1" w:styleId="IAHeadTitle">
    <w:name w:val="IAHeadTitle"/>
    <w:basedOn w:val="IAHeadDept"/>
    <w:link w:val="IAHeadTitleChar"/>
    <w:rsid w:val="008228A5"/>
    <w:pPr>
      <w:spacing w:before="0" w:after="0"/>
    </w:pPr>
    <w:rPr>
      <w:b/>
      <w:sz w:val="28"/>
      <w:szCs w:val="28"/>
    </w:rPr>
  </w:style>
  <w:style w:type="paragraph" w:customStyle="1" w:styleId="IASignature">
    <w:name w:val="IA Signature"/>
    <w:basedOn w:val="IATableText"/>
    <w:rsid w:val="00C67CDD"/>
    <w:pPr>
      <w:tabs>
        <w:tab w:val="left" w:leader="dot" w:pos="6804"/>
        <w:tab w:val="right" w:leader="dot" w:pos="10206"/>
      </w:tabs>
      <w:spacing w:before="0" w:after="0"/>
      <w:ind w:left="0"/>
    </w:pPr>
  </w:style>
  <w:style w:type="paragraph" w:customStyle="1" w:styleId="IASign-offlabel">
    <w:name w:val="IA Sign-off label"/>
    <w:basedOn w:val="IAHeadLabel"/>
    <w:link w:val="IASign-offlabelChar"/>
    <w:rsid w:val="00FB5CFE"/>
    <w:pPr>
      <w:spacing w:after="120"/>
    </w:pPr>
    <w:rPr>
      <w:szCs w:val="22"/>
      <w:u w:val="single"/>
    </w:rPr>
  </w:style>
  <w:style w:type="character" w:customStyle="1" w:styleId="IASign-offlabelChar">
    <w:name w:val="IA Sign-off label Char"/>
    <w:link w:val="IASign-offlabel"/>
    <w:locked/>
    <w:rsid w:val="009050B9"/>
    <w:rPr>
      <w:rFonts w:ascii="Arial" w:eastAsia="SimSun" w:hAnsi="Arial"/>
      <w:b/>
      <w:color w:val="000000"/>
      <w:spacing w:val="-5"/>
      <w:sz w:val="22"/>
      <w:u w:val="single"/>
      <w:lang w:val="en-GB" w:eastAsia="zh-CN"/>
    </w:rPr>
  </w:style>
  <w:style w:type="paragraph" w:customStyle="1" w:styleId="IASign-off">
    <w:name w:val="IA Sign-off"/>
    <w:basedOn w:val="IATableText"/>
    <w:rsid w:val="00C67CDD"/>
    <w:pPr>
      <w:spacing w:before="0" w:after="0"/>
      <w:ind w:left="0" w:right="284"/>
    </w:pPr>
    <w:rPr>
      <w:b/>
      <w:i/>
    </w:rPr>
  </w:style>
  <w:style w:type="paragraph" w:customStyle="1" w:styleId="IAHeading2">
    <w:name w:val="IAHeading2"/>
    <w:basedOn w:val="Normal"/>
    <w:semiHidden/>
    <w:rsid w:val="000A79FC"/>
    <w:pPr>
      <w:keepNext/>
      <w:keepLines/>
      <w:spacing w:before="60" w:after="60"/>
      <w:ind w:left="113" w:right="113"/>
    </w:pPr>
    <w:rPr>
      <w:rFonts w:eastAsia="SimSun"/>
      <w:b/>
      <w:sz w:val="20"/>
      <w:lang w:eastAsia="zh-CN"/>
    </w:rPr>
  </w:style>
  <w:style w:type="table" w:customStyle="1" w:styleId="TableIABox">
    <w:name w:val="Table_IABox"/>
    <w:basedOn w:val="TableNormal"/>
    <w:rsid w:val="007777A1"/>
    <w:rPr>
      <w:rFonts w:eastAsia="SimSun"/>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Header">
    <w:name w:val="header"/>
    <w:basedOn w:val="Normal"/>
    <w:link w:val="HeaderChar"/>
    <w:uiPriority w:val="99"/>
    <w:rsid w:val="00E96CB5"/>
    <w:pPr>
      <w:jc w:val="center"/>
    </w:pPr>
    <w:rPr>
      <w:caps/>
    </w:rPr>
  </w:style>
  <w:style w:type="character" w:customStyle="1" w:styleId="HeaderChar">
    <w:name w:val="Header Char"/>
    <w:basedOn w:val="DefaultParagraphFont"/>
    <w:link w:val="Header"/>
    <w:uiPriority w:val="99"/>
    <w:locked/>
    <w:rPr>
      <w:rFonts w:ascii="Arial" w:hAnsi="Arial" w:cs="Times New Roman"/>
      <w:sz w:val="24"/>
      <w:szCs w:val="24"/>
      <w:lang w:val="x-none" w:eastAsia="en-US"/>
    </w:rPr>
  </w:style>
  <w:style w:type="paragraph" w:styleId="Footer">
    <w:name w:val="footer"/>
    <w:basedOn w:val="Normal"/>
    <w:link w:val="FooterChar"/>
    <w:uiPriority w:val="99"/>
    <w:rsid w:val="000407D8"/>
    <w:pPr>
      <w:tabs>
        <w:tab w:val="center" w:pos="5132"/>
        <w:tab w:val="right" w:pos="10260"/>
      </w:tabs>
      <w:jc w:val="center"/>
    </w:pPr>
    <w:rPr>
      <w:b/>
      <w:sz w:val="18"/>
    </w:rPr>
  </w:style>
  <w:style w:type="character" w:customStyle="1" w:styleId="FooterChar">
    <w:name w:val="Footer Char"/>
    <w:basedOn w:val="DefaultParagraphFont"/>
    <w:link w:val="Footer"/>
    <w:uiPriority w:val="99"/>
    <w:semiHidden/>
    <w:locked/>
    <w:rPr>
      <w:rFonts w:ascii="Arial" w:hAnsi="Arial" w:cs="Times New Roman"/>
      <w:sz w:val="24"/>
      <w:szCs w:val="24"/>
      <w:lang w:val="x-none" w:eastAsia="en-US"/>
    </w:rPr>
  </w:style>
  <w:style w:type="character" w:styleId="PageNumber">
    <w:name w:val="page number"/>
    <w:basedOn w:val="DefaultParagraphFont"/>
    <w:uiPriority w:val="99"/>
    <w:rsid w:val="00EB43FD"/>
    <w:rPr>
      <w:rFonts w:cs="Times New Roman"/>
    </w:rPr>
  </w:style>
  <w:style w:type="paragraph" w:customStyle="1" w:styleId="IANotes">
    <w:name w:val="IANotes"/>
    <w:basedOn w:val="Normal"/>
    <w:semiHidden/>
    <w:rsid w:val="00650282"/>
    <w:rPr>
      <w:rFonts w:eastAsia="SimSun"/>
      <w:color w:val="008080"/>
      <w:sz w:val="22"/>
      <w:lang w:eastAsia="zh-CN"/>
    </w:rPr>
  </w:style>
  <w:style w:type="paragraph" w:customStyle="1" w:styleId="IATableHeading">
    <w:name w:val="IATableHeading"/>
    <w:basedOn w:val="IATableLabel"/>
    <w:rsid w:val="00716D5C"/>
    <w:rPr>
      <w:sz w:val="22"/>
      <w:szCs w:val="24"/>
    </w:rPr>
  </w:style>
  <w:style w:type="paragraph" w:styleId="FootnoteText">
    <w:name w:val="footnote text"/>
    <w:basedOn w:val="Normal"/>
    <w:link w:val="FootnoteTextChar"/>
    <w:uiPriority w:val="99"/>
    <w:semiHidden/>
    <w:rsid w:val="00490FF7"/>
    <w:rPr>
      <w:rFonts w:eastAsia="SimSun"/>
      <w:sz w:val="16"/>
      <w:szCs w:val="20"/>
      <w:lang w:eastAsia="zh-CN"/>
    </w:rPr>
  </w:style>
  <w:style w:type="character" w:customStyle="1" w:styleId="FootnoteTextChar">
    <w:name w:val="Footnote Text Char"/>
    <w:basedOn w:val="DefaultParagraphFont"/>
    <w:link w:val="FootnoteText"/>
    <w:uiPriority w:val="99"/>
    <w:semiHidden/>
    <w:locked/>
    <w:rPr>
      <w:rFonts w:ascii="Arial" w:hAnsi="Arial" w:cs="Times New Roman"/>
      <w:lang w:val="x-none" w:eastAsia="en-US"/>
    </w:rPr>
  </w:style>
  <w:style w:type="character" w:styleId="FootnoteReference">
    <w:name w:val="footnote reference"/>
    <w:basedOn w:val="DefaultParagraphFont"/>
    <w:uiPriority w:val="99"/>
    <w:rsid w:val="00B84190"/>
    <w:rPr>
      <w:rFonts w:cs="Times New Roman"/>
      <w:sz w:val="22"/>
      <w:vertAlign w:val="superscript"/>
    </w:rPr>
  </w:style>
  <w:style w:type="paragraph" w:customStyle="1" w:styleId="EBBodyPara">
    <w:name w:val="EBBodyPara"/>
    <w:basedOn w:val="BodyText"/>
    <w:rsid w:val="005A2FC0"/>
  </w:style>
  <w:style w:type="paragraph" w:styleId="BalloonText">
    <w:name w:val="Balloon Text"/>
    <w:basedOn w:val="Normal"/>
    <w:link w:val="BalloonTextChar"/>
    <w:uiPriority w:val="99"/>
    <w:semiHidden/>
    <w:rsid w:val="00300C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lang w:val="x-none" w:eastAsia="en-US"/>
    </w:rPr>
  </w:style>
  <w:style w:type="paragraph" w:customStyle="1" w:styleId="EBNumber">
    <w:name w:val="EBNumber"/>
    <w:basedOn w:val="BodyText"/>
    <w:rsid w:val="002B7335"/>
    <w:pPr>
      <w:numPr>
        <w:ilvl w:val="1"/>
        <w:numId w:val="3"/>
      </w:numPr>
    </w:pPr>
  </w:style>
  <w:style w:type="paragraph" w:customStyle="1" w:styleId="EBNumberRestart">
    <w:name w:val="EBNumberRestart"/>
    <w:basedOn w:val="BodyText"/>
    <w:next w:val="EBNumber"/>
    <w:rsid w:val="002B7335"/>
    <w:pPr>
      <w:numPr>
        <w:numId w:val="3"/>
      </w:numPr>
    </w:pPr>
  </w:style>
  <w:style w:type="paragraph" w:customStyle="1" w:styleId="StyleIATableText10ptRight">
    <w:name w:val="Style IATableText + 10 pt Right"/>
    <w:basedOn w:val="IATableText"/>
    <w:rsid w:val="008D39AA"/>
    <w:pPr>
      <w:ind w:left="0" w:right="57"/>
      <w:jc w:val="right"/>
    </w:pPr>
    <w:rPr>
      <w:rFonts w:eastAsia="Times New Roman"/>
      <w:sz w:val="20"/>
    </w:rPr>
  </w:style>
  <w:style w:type="paragraph" w:customStyle="1" w:styleId="SecurityClass">
    <w:name w:val="SecurityClass"/>
    <w:basedOn w:val="Header"/>
    <w:rsid w:val="00AE46AA"/>
  </w:style>
  <w:style w:type="paragraph" w:customStyle="1" w:styleId="IARefNumber">
    <w:name w:val="IARefNumber"/>
    <w:basedOn w:val="IATableText"/>
    <w:rsid w:val="001E152A"/>
    <w:pPr>
      <w:numPr>
        <w:numId w:val="1"/>
      </w:numPr>
    </w:pPr>
  </w:style>
  <w:style w:type="character" w:styleId="Hyperlink">
    <w:name w:val="Hyperlink"/>
    <w:basedOn w:val="DefaultParagraphFont"/>
    <w:uiPriority w:val="99"/>
    <w:rsid w:val="00B4136C"/>
    <w:rPr>
      <w:rFonts w:cs="Times New Roman"/>
      <w:color w:val="auto"/>
      <w:u w:val="single"/>
    </w:rPr>
  </w:style>
  <w:style w:type="paragraph" w:customStyle="1" w:styleId="POPBY">
    <w:name w:val="POPBY"/>
    <w:basedOn w:val="IATableLabel"/>
    <w:rsid w:val="00AB574B"/>
  </w:style>
  <w:style w:type="paragraph" w:customStyle="1" w:styleId="EBBullet">
    <w:name w:val="EBBullet"/>
    <w:basedOn w:val="BodyText"/>
    <w:rsid w:val="002B7335"/>
    <w:pPr>
      <w:numPr>
        <w:numId w:val="2"/>
      </w:numPr>
    </w:pPr>
  </w:style>
  <w:style w:type="paragraph" w:customStyle="1" w:styleId="IAHeadText">
    <w:name w:val="IAHeadText"/>
    <w:basedOn w:val="IATableText"/>
    <w:rsid w:val="00632CB9"/>
    <w:pPr>
      <w:spacing w:before="0" w:after="0"/>
      <w:ind w:left="0" w:right="57"/>
    </w:pPr>
    <w:rPr>
      <w:spacing w:val="-6"/>
    </w:rPr>
  </w:style>
  <w:style w:type="paragraph" w:customStyle="1" w:styleId="IAHeadLabel0">
    <w:name w:val="IAHeadLabel0"/>
    <w:basedOn w:val="IAHeadLabel"/>
    <w:next w:val="IAHeadTitle"/>
    <w:rsid w:val="00632CB9"/>
    <w:pPr>
      <w:spacing w:before="0"/>
    </w:pPr>
  </w:style>
  <w:style w:type="paragraph" w:customStyle="1" w:styleId="IATableLines">
    <w:name w:val="IATableLines"/>
    <w:basedOn w:val="IATableText"/>
    <w:link w:val="IATableLinesChar"/>
    <w:rsid w:val="00E82A56"/>
    <w:pPr>
      <w:spacing w:before="0" w:after="0"/>
    </w:pPr>
  </w:style>
  <w:style w:type="paragraph" w:customStyle="1" w:styleId="EvidenceHeadPIR">
    <w:name w:val="EvidenceHeadPIR"/>
    <w:rsid w:val="00BE650A"/>
    <w:pPr>
      <w:spacing w:after="120"/>
    </w:pPr>
    <w:rPr>
      <w:rFonts w:ascii="Arial" w:hAnsi="Arial" w:cs="Arial"/>
      <w:bCs/>
      <w:color w:val="000000"/>
      <w:sz w:val="22"/>
      <w:szCs w:val="22"/>
    </w:rPr>
  </w:style>
  <w:style w:type="character" w:styleId="FollowedHyperlink">
    <w:name w:val="FollowedHyperlink"/>
    <w:basedOn w:val="DefaultParagraphFont"/>
    <w:uiPriority w:val="99"/>
    <w:rsid w:val="006D37CF"/>
    <w:rPr>
      <w:rFonts w:cs="Times New Roman"/>
      <w:color w:val="auto"/>
      <w:u w:val="single"/>
    </w:rPr>
  </w:style>
  <w:style w:type="paragraph" w:customStyle="1" w:styleId="IASpacer2">
    <w:name w:val="IASpacer2"/>
    <w:basedOn w:val="IASpacer"/>
    <w:rsid w:val="00311373"/>
    <w:pPr>
      <w:spacing w:line="40" w:lineRule="exact"/>
    </w:pPr>
  </w:style>
  <w:style w:type="paragraph" w:customStyle="1" w:styleId="POPVBY">
    <w:name w:val="POPVBY"/>
    <w:basedOn w:val="IATableLabel"/>
    <w:rsid w:val="00AB574B"/>
  </w:style>
  <w:style w:type="paragraph" w:customStyle="1" w:styleId="POTPY">
    <w:name w:val="POTPY"/>
    <w:basedOn w:val="IATableLabel"/>
    <w:rsid w:val="00F622E8"/>
  </w:style>
  <w:style w:type="paragraph" w:customStyle="1" w:styleId="PONBLow">
    <w:name w:val="PONBLow"/>
    <w:basedOn w:val="IATableLabel"/>
    <w:link w:val="PONBLowCharChar"/>
    <w:rsid w:val="00F622E8"/>
    <w:rPr>
      <w:b w:val="0"/>
      <w:szCs w:val="22"/>
    </w:rPr>
  </w:style>
  <w:style w:type="character" w:customStyle="1" w:styleId="PONBLowCharChar">
    <w:name w:val="PONBLow Char Char"/>
    <w:link w:val="PONBLow"/>
    <w:locked/>
    <w:rsid w:val="00F622E8"/>
    <w:rPr>
      <w:rFonts w:ascii="Arial" w:eastAsia="SimSun" w:hAnsi="Arial"/>
      <w:b/>
      <w:color w:val="000000"/>
      <w:spacing w:val="-5"/>
      <w:sz w:val="22"/>
      <w:lang w:val="en-GB" w:eastAsia="zh-CN"/>
    </w:rPr>
  </w:style>
  <w:style w:type="paragraph" w:customStyle="1" w:styleId="PONBHigh">
    <w:name w:val="PONBHigh"/>
    <w:basedOn w:val="IATableLabel"/>
    <w:link w:val="PONBHighChar"/>
    <w:rsid w:val="00F622E8"/>
    <w:rPr>
      <w:b w:val="0"/>
      <w:szCs w:val="22"/>
    </w:rPr>
  </w:style>
  <w:style w:type="character" w:customStyle="1" w:styleId="PONBHighChar">
    <w:name w:val="PONBHigh Char"/>
    <w:link w:val="PONBHigh"/>
    <w:locked/>
    <w:rsid w:val="00F622E8"/>
    <w:rPr>
      <w:rFonts w:ascii="Arial" w:eastAsia="SimSun" w:hAnsi="Arial"/>
      <w:b/>
      <w:color w:val="000000"/>
      <w:spacing w:val="-5"/>
      <w:sz w:val="22"/>
      <w:lang w:val="en-GB" w:eastAsia="zh-CN"/>
    </w:rPr>
  </w:style>
  <w:style w:type="paragraph" w:customStyle="1" w:styleId="PONBBestEst">
    <w:name w:val="PONBBestEst"/>
    <w:basedOn w:val="IATableLabel"/>
    <w:link w:val="PONBBestEstChar"/>
    <w:rsid w:val="00F622E8"/>
    <w:rPr>
      <w:b w:val="0"/>
      <w:szCs w:val="22"/>
    </w:rPr>
  </w:style>
  <w:style w:type="character" w:customStyle="1" w:styleId="PONBBestEstChar">
    <w:name w:val="PONBBestEst Char"/>
    <w:link w:val="PONBBestEst"/>
    <w:locked/>
    <w:rsid w:val="00F622E8"/>
    <w:rPr>
      <w:rFonts w:ascii="Arial" w:eastAsia="SimSun" w:hAnsi="Arial"/>
      <w:b/>
      <w:color w:val="000000"/>
      <w:spacing w:val="-5"/>
      <w:sz w:val="22"/>
      <w:lang w:val="en-GB" w:eastAsia="zh-CN"/>
    </w:rPr>
  </w:style>
  <w:style w:type="paragraph" w:customStyle="1" w:styleId="POTTCostsHigh">
    <w:name w:val="POTTCostsHigh"/>
    <w:basedOn w:val="IATableText"/>
    <w:rsid w:val="00B318B0"/>
    <w:pPr>
      <w:jc w:val="right"/>
    </w:pPr>
  </w:style>
  <w:style w:type="paragraph" w:customStyle="1" w:styleId="POTTCostsLow">
    <w:name w:val="POTTCostsLow"/>
    <w:basedOn w:val="POTTCostsHigh"/>
    <w:rsid w:val="00B318B0"/>
  </w:style>
  <w:style w:type="paragraph" w:customStyle="1" w:styleId="POTTCostsBest">
    <w:name w:val="POTTCostsBest"/>
    <w:basedOn w:val="IATableText"/>
    <w:rsid w:val="00B318B0"/>
    <w:pPr>
      <w:jc w:val="right"/>
    </w:pPr>
  </w:style>
  <w:style w:type="paragraph" w:customStyle="1" w:styleId="POTTCostsYear">
    <w:name w:val="POTTCostsYear"/>
    <w:basedOn w:val="IATableText"/>
    <w:rsid w:val="00B318B0"/>
    <w:pPr>
      <w:jc w:val="center"/>
    </w:pPr>
    <w:rPr>
      <w:szCs w:val="18"/>
    </w:rPr>
  </w:style>
  <w:style w:type="paragraph" w:customStyle="1" w:styleId="POAACostsLow">
    <w:name w:val="POAACostsLow"/>
    <w:basedOn w:val="IATableText"/>
    <w:rsid w:val="00B318B0"/>
    <w:pPr>
      <w:jc w:val="right"/>
    </w:pPr>
  </w:style>
  <w:style w:type="paragraph" w:customStyle="1" w:styleId="POAACostsHigh">
    <w:name w:val="POAACostsHigh"/>
    <w:basedOn w:val="POAACostsLow"/>
    <w:rsid w:val="00B318B0"/>
  </w:style>
  <w:style w:type="paragraph" w:customStyle="1" w:styleId="POAACostsBest">
    <w:name w:val="POAACostsBest"/>
    <w:basedOn w:val="IATableText"/>
    <w:rsid w:val="00B318B0"/>
    <w:pPr>
      <w:jc w:val="right"/>
    </w:pPr>
  </w:style>
  <w:style w:type="paragraph" w:customStyle="1" w:styleId="POTCCostsLow">
    <w:name w:val="POTCCostsLow"/>
    <w:basedOn w:val="IATableText"/>
    <w:rsid w:val="00B318B0"/>
    <w:pPr>
      <w:jc w:val="right"/>
    </w:pPr>
    <w:rPr>
      <w:b/>
    </w:rPr>
  </w:style>
  <w:style w:type="paragraph" w:customStyle="1" w:styleId="POTCCostsHigh">
    <w:name w:val="POTCCostsHigh"/>
    <w:basedOn w:val="IATableText"/>
    <w:rsid w:val="00B318B0"/>
    <w:pPr>
      <w:jc w:val="right"/>
    </w:pPr>
    <w:rPr>
      <w:b/>
    </w:rPr>
  </w:style>
  <w:style w:type="paragraph" w:customStyle="1" w:styleId="POTCCostsBest">
    <w:name w:val="POTCCostsBest"/>
    <w:basedOn w:val="IATableText"/>
    <w:rsid w:val="00B318B0"/>
    <w:pPr>
      <w:jc w:val="right"/>
    </w:pPr>
    <w:rPr>
      <w:b/>
    </w:rPr>
  </w:style>
  <w:style w:type="paragraph" w:customStyle="1" w:styleId="IAPOQ1">
    <w:name w:val="IAPOQ1"/>
    <w:basedOn w:val="IATableLabel"/>
    <w:rsid w:val="00B006A9"/>
  </w:style>
  <w:style w:type="paragraph" w:customStyle="1" w:styleId="IAPOA1">
    <w:name w:val="IAPOA1"/>
    <w:basedOn w:val="IATableLines"/>
    <w:rsid w:val="00B006A9"/>
  </w:style>
  <w:style w:type="paragraph" w:customStyle="1" w:styleId="IAPOQ2">
    <w:name w:val="IAPOQ2"/>
    <w:basedOn w:val="IATableLabel"/>
    <w:link w:val="IAPOQ2Char"/>
    <w:rsid w:val="00B006A9"/>
  </w:style>
  <w:style w:type="paragraph" w:customStyle="1" w:styleId="IAPOA2">
    <w:name w:val="IAPOA2"/>
    <w:basedOn w:val="IATableLines"/>
    <w:rsid w:val="00B006A9"/>
  </w:style>
  <w:style w:type="paragraph" w:customStyle="1" w:styleId="POTTBenLow">
    <w:name w:val="POTTBenLow"/>
    <w:basedOn w:val="POTTCostsLow"/>
    <w:rsid w:val="00B006A9"/>
  </w:style>
  <w:style w:type="paragraph" w:customStyle="1" w:styleId="POTTBenHigh">
    <w:name w:val="POTTBenHigh"/>
    <w:basedOn w:val="POTTCostsHigh"/>
    <w:rsid w:val="00B006A9"/>
  </w:style>
  <w:style w:type="paragraph" w:customStyle="1" w:styleId="POTTBenBest">
    <w:name w:val="POTTBenBest"/>
    <w:basedOn w:val="POTTCostsBest"/>
    <w:rsid w:val="00B006A9"/>
  </w:style>
  <w:style w:type="paragraph" w:customStyle="1" w:styleId="POAABenLow">
    <w:name w:val="POAABenLow"/>
    <w:basedOn w:val="POAACostsLow"/>
    <w:rsid w:val="00B006A9"/>
  </w:style>
  <w:style w:type="paragraph" w:customStyle="1" w:styleId="POAABenHigh">
    <w:name w:val="POAABenHigh"/>
    <w:basedOn w:val="POAABenLow"/>
    <w:rsid w:val="00B006A9"/>
  </w:style>
  <w:style w:type="paragraph" w:customStyle="1" w:styleId="POAABenBest">
    <w:name w:val="POAABenBest"/>
    <w:basedOn w:val="POAABenHigh"/>
    <w:rsid w:val="00B006A9"/>
  </w:style>
  <w:style w:type="paragraph" w:customStyle="1" w:styleId="POTBBenLow">
    <w:name w:val="POTBBenLow"/>
    <w:basedOn w:val="POTCCostsLow"/>
    <w:rsid w:val="00B006A9"/>
  </w:style>
  <w:style w:type="paragraph" w:customStyle="1" w:styleId="POTBBenHigh">
    <w:name w:val="POTBBenHigh"/>
    <w:basedOn w:val="POTBBenLow"/>
    <w:rsid w:val="00B006A9"/>
  </w:style>
  <w:style w:type="paragraph" w:customStyle="1" w:styleId="POTBBenBest">
    <w:name w:val="POTBBenBest"/>
    <w:basedOn w:val="POTBBenHigh"/>
    <w:rsid w:val="00B006A9"/>
  </w:style>
  <w:style w:type="paragraph" w:customStyle="1" w:styleId="IPPOQ3">
    <w:name w:val="IPPOQ3"/>
    <w:basedOn w:val="IAPOQ2"/>
    <w:link w:val="IPPOQ3Char"/>
    <w:rsid w:val="00F1653E"/>
  </w:style>
  <w:style w:type="paragraph" w:customStyle="1" w:styleId="IAPOQ4">
    <w:name w:val="IAPOQ4"/>
    <w:basedOn w:val="IPPOQ3"/>
    <w:link w:val="IAPOQ4Char"/>
    <w:rsid w:val="00F1653E"/>
  </w:style>
  <w:style w:type="paragraph" w:customStyle="1" w:styleId="IAPOA3">
    <w:name w:val="IAPOA3"/>
    <w:basedOn w:val="IAPOA2"/>
    <w:rsid w:val="00F1653E"/>
  </w:style>
  <w:style w:type="paragraph" w:customStyle="1" w:styleId="IAPOA4">
    <w:name w:val="IAPOA4"/>
    <w:basedOn w:val="IAPOA3"/>
    <w:rsid w:val="00F1653E"/>
  </w:style>
  <w:style w:type="paragraph" w:customStyle="1" w:styleId="IAPOA5">
    <w:name w:val="IAPOA5"/>
    <w:basedOn w:val="IAPOA4"/>
    <w:rsid w:val="00F1653E"/>
  </w:style>
  <w:style w:type="paragraph" w:customStyle="1" w:styleId="IAPOQ5">
    <w:name w:val="IAPOQ5"/>
    <w:basedOn w:val="IAPOQ4"/>
    <w:link w:val="IAPOQ5Char"/>
    <w:rsid w:val="00F1653E"/>
  </w:style>
  <w:style w:type="character" w:customStyle="1" w:styleId="IAPOQ2Char">
    <w:name w:val="IAPOQ2 Char"/>
    <w:basedOn w:val="IATableLabelCharChar"/>
    <w:link w:val="IAPOQ2"/>
    <w:locked/>
    <w:rsid w:val="00F1653E"/>
    <w:rPr>
      <w:rFonts w:ascii="Arial" w:eastAsia="SimSun" w:hAnsi="Arial" w:cs="Times New Roman"/>
      <w:b/>
      <w:color w:val="000000"/>
      <w:spacing w:val="-5"/>
      <w:lang w:val="en-GB" w:eastAsia="zh-CN" w:bidi="ar-SA"/>
    </w:rPr>
  </w:style>
  <w:style w:type="character" w:customStyle="1" w:styleId="IPPOQ3Char">
    <w:name w:val="IPPOQ3 Char"/>
    <w:basedOn w:val="IAPOQ2Char"/>
    <w:link w:val="IPPOQ3"/>
    <w:locked/>
    <w:rsid w:val="00F1653E"/>
    <w:rPr>
      <w:rFonts w:ascii="Arial" w:eastAsia="SimSun" w:hAnsi="Arial" w:cs="Times New Roman"/>
      <w:b/>
      <w:color w:val="000000"/>
      <w:spacing w:val="-5"/>
      <w:lang w:val="en-GB" w:eastAsia="zh-CN" w:bidi="ar-SA"/>
    </w:rPr>
  </w:style>
  <w:style w:type="character" w:customStyle="1" w:styleId="IAPOQ4Char">
    <w:name w:val="IAPOQ4 Char"/>
    <w:basedOn w:val="IPPOQ3Char"/>
    <w:link w:val="IAPOQ4"/>
    <w:locked/>
    <w:rsid w:val="00F1653E"/>
    <w:rPr>
      <w:rFonts w:ascii="Arial" w:eastAsia="SimSun" w:hAnsi="Arial" w:cs="Times New Roman"/>
      <w:b/>
      <w:color w:val="000000"/>
      <w:spacing w:val="-5"/>
      <w:lang w:val="en-GB" w:eastAsia="zh-CN" w:bidi="ar-SA"/>
    </w:rPr>
  </w:style>
  <w:style w:type="character" w:customStyle="1" w:styleId="IAPOQ5Char">
    <w:name w:val="IAPOQ5 Char"/>
    <w:basedOn w:val="IAPOQ4Char"/>
    <w:link w:val="IAPOQ5"/>
    <w:locked/>
    <w:rsid w:val="00F1653E"/>
    <w:rPr>
      <w:rFonts w:ascii="Arial" w:eastAsia="SimSun" w:hAnsi="Arial" w:cs="Times New Roman"/>
      <w:b/>
      <w:color w:val="000000"/>
      <w:spacing w:val="-5"/>
      <w:lang w:val="en-GB" w:eastAsia="zh-CN" w:bidi="ar-SA"/>
    </w:rPr>
  </w:style>
  <w:style w:type="paragraph" w:customStyle="1" w:styleId="IAPODisRate">
    <w:name w:val="IAPODisRate"/>
    <w:basedOn w:val="IATableLabel"/>
    <w:rsid w:val="00F1653E"/>
    <w:pPr>
      <w:ind w:left="0"/>
      <w:jc w:val="center"/>
    </w:pPr>
    <w:rPr>
      <w:b w:val="0"/>
    </w:rPr>
  </w:style>
  <w:style w:type="paragraph" w:customStyle="1" w:styleId="IAPODICost">
    <w:name w:val="IAPODICost"/>
    <w:basedOn w:val="IATableLabel"/>
    <w:link w:val="IAPODICostChar"/>
    <w:rsid w:val="000E3FD7"/>
    <w:rPr>
      <w:b w:val="0"/>
      <w:sz w:val="22"/>
      <w:szCs w:val="22"/>
    </w:rPr>
  </w:style>
  <w:style w:type="character" w:customStyle="1" w:styleId="IAPODICostChar">
    <w:name w:val="IAPODICost Char"/>
    <w:link w:val="IAPODICost"/>
    <w:locked/>
    <w:rsid w:val="000E3FD7"/>
    <w:rPr>
      <w:rFonts w:ascii="Arial" w:eastAsia="SimSun" w:hAnsi="Arial"/>
      <w:b/>
      <w:color w:val="000000"/>
      <w:spacing w:val="-5"/>
      <w:sz w:val="22"/>
      <w:lang w:val="en-GB" w:eastAsia="zh-CN"/>
    </w:rPr>
  </w:style>
  <w:style w:type="paragraph" w:customStyle="1" w:styleId="IAPODIBen">
    <w:name w:val="IAPODIBen"/>
    <w:basedOn w:val="IATableLabel"/>
    <w:link w:val="IAPODIBenChar"/>
    <w:rsid w:val="000E3FD7"/>
    <w:rPr>
      <w:b w:val="0"/>
      <w:sz w:val="22"/>
      <w:szCs w:val="22"/>
    </w:rPr>
  </w:style>
  <w:style w:type="paragraph" w:customStyle="1" w:styleId="IAPODINet">
    <w:name w:val="IAPODINet"/>
    <w:basedOn w:val="IATableLabel"/>
    <w:link w:val="IAPODINetChar"/>
    <w:rsid w:val="000E3FD7"/>
    <w:rPr>
      <w:b w:val="0"/>
      <w:sz w:val="22"/>
      <w:szCs w:val="22"/>
    </w:rPr>
  </w:style>
  <w:style w:type="paragraph" w:customStyle="1" w:styleId="IAPODIOIOO">
    <w:name w:val="IAPODIOIOO"/>
    <w:basedOn w:val="IATableLabel"/>
    <w:rsid w:val="000E3FD7"/>
    <w:rPr>
      <w:b w:val="0"/>
      <w:sz w:val="22"/>
      <w:szCs w:val="22"/>
    </w:rPr>
  </w:style>
  <w:style w:type="character" w:customStyle="1" w:styleId="IAPODINetChar">
    <w:name w:val="IAPODINet Char"/>
    <w:link w:val="IAPODINet"/>
    <w:locked/>
    <w:rsid w:val="000E3FD7"/>
    <w:rPr>
      <w:rFonts w:ascii="Arial" w:eastAsia="SimSun" w:hAnsi="Arial"/>
      <w:b/>
      <w:color w:val="000000"/>
      <w:spacing w:val="-5"/>
      <w:sz w:val="22"/>
      <w:lang w:val="en-GB" w:eastAsia="zh-CN"/>
    </w:rPr>
  </w:style>
  <w:style w:type="character" w:customStyle="1" w:styleId="IAPODIBenChar">
    <w:name w:val="IAPODIBen Char"/>
    <w:link w:val="IAPODIBen"/>
    <w:locked/>
    <w:rsid w:val="000E3FD7"/>
    <w:rPr>
      <w:rFonts w:ascii="Arial" w:eastAsia="SimSun" w:hAnsi="Arial"/>
      <w:b/>
      <w:color w:val="000000"/>
      <w:spacing w:val="-5"/>
      <w:sz w:val="22"/>
      <w:lang w:val="en-GB" w:eastAsia="zh-CN"/>
    </w:rPr>
  </w:style>
  <w:style w:type="paragraph" w:customStyle="1" w:styleId="IAPODIMQ">
    <w:name w:val="IAPODIMQ"/>
    <w:basedOn w:val="IATableText"/>
    <w:rsid w:val="000E3FD7"/>
    <w:rPr>
      <w:color w:val="000000"/>
      <w:sz w:val="20"/>
    </w:rPr>
  </w:style>
  <w:style w:type="paragraph" w:customStyle="1" w:styleId="ebbullet0">
    <w:name w:val="ebbullet"/>
    <w:basedOn w:val="Normal"/>
    <w:rsid w:val="001F5423"/>
    <w:pPr>
      <w:spacing w:before="100" w:beforeAutospacing="1" w:after="100" w:afterAutospacing="1"/>
    </w:pPr>
    <w:rPr>
      <w:rFonts w:ascii="Times New Roman" w:hAnsi="Times New Roman"/>
      <w:lang w:eastAsia="en-GB"/>
    </w:rPr>
  </w:style>
  <w:style w:type="paragraph" w:customStyle="1" w:styleId="IATitle">
    <w:name w:val="IATitle"/>
    <w:basedOn w:val="Normal"/>
    <w:rsid w:val="005F32E7"/>
    <w:pPr>
      <w:ind w:left="113"/>
    </w:pPr>
    <w:rPr>
      <w:rFonts w:eastAsia="SimSun" w:cs="Arial"/>
      <w:sz w:val="20"/>
    </w:rPr>
  </w:style>
  <w:style w:type="paragraph" w:customStyle="1" w:styleId="IANo">
    <w:name w:val="IANo"/>
    <w:basedOn w:val="Normal"/>
    <w:link w:val="IANoChar"/>
    <w:rsid w:val="005F32E7"/>
    <w:pPr>
      <w:ind w:left="113"/>
    </w:pPr>
    <w:rPr>
      <w:sz w:val="20"/>
      <w:szCs w:val="22"/>
    </w:rPr>
  </w:style>
  <w:style w:type="character" w:customStyle="1" w:styleId="IAHeadDeptChar">
    <w:name w:val="IAHeadDept Char"/>
    <w:link w:val="IAHeadDept"/>
    <w:locked/>
    <w:rsid w:val="008031EC"/>
    <w:rPr>
      <w:rFonts w:ascii="Arial" w:eastAsia="SimSun" w:hAnsi="Arial"/>
      <w:b/>
      <w:color w:val="000000"/>
      <w:spacing w:val="-6"/>
      <w:sz w:val="22"/>
      <w:lang w:val="en-GB" w:eastAsia="zh-CN"/>
    </w:rPr>
  </w:style>
  <w:style w:type="character" w:customStyle="1" w:styleId="IAHeadTitleChar">
    <w:name w:val="IAHeadTitle Char"/>
    <w:link w:val="IAHeadTitle"/>
    <w:locked/>
    <w:rsid w:val="008031EC"/>
    <w:rPr>
      <w:rFonts w:ascii="Arial" w:eastAsia="SimSun" w:hAnsi="Arial"/>
      <w:b/>
      <w:color w:val="000000"/>
      <w:spacing w:val="-6"/>
      <w:sz w:val="28"/>
      <w:lang w:val="en-GB" w:eastAsia="zh-CN"/>
    </w:rPr>
  </w:style>
  <w:style w:type="character" w:customStyle="1" w:styleId="IANoChar">
    <w:name w:val="IANo Char"/>
    <w:link w:val="IANo"/>
    <w:locked/>
    <w:rsid w:val="005F32E7"/>
    <w:rPr>
      <w:rFonts w:ascii="Arial" w:eastAsia="SimSun" w:hAnsi="Arial"/>
      <w:b/>
      <w:color w:val="000000"/>
      <w:spacing w:val="-6"/>
      <w:sz w:val="22"/>
      <w:lang w:val="en-GB" w:eastAsia="en-US"/>
    </w:rPr>
  </w:style>
  <w:style w:type="paragraph" w:customStyle="1" w:styleId="IALeadDept">
    <w:name w:val="IALeadDept"/>
    <w:basedOn w:val="Normal"/>
    <w:rsid w:val="005F32E7"/>
    <w:pPr>
      <w:ind w:left="113"/>
    </w:pPr>
    <w:rPr>
      <w:rFonts w:cs="Arial"/>
      <w:noProof/>
      <w:sz w:val="20"/>
    </w:rPr>
  </w:style>
  <w:style w:type="paragraph" w:customStyle="1" w:styleId="IAOtherDepts">
    <w:name w:val="IAOtherDepts"/>
    <w:basedOn w:val="IATableLabel"/>
    <w:rsid w:val="008031EC"/>
    <w:pPr>
      <w:spacing w:after="0"/>
    </w:pPr>
    <w:rPr>
      <w:b w:val="0"/>
    </w:rPr>
  </w:style>
  <w:style w:type="paragraph" w:customStyle="1" w:styleId="IADate">
    <w:name w:val="IADate"/>
    <w:basedOn w:val="IATableLabel"/>
    <w:link w:val="IADateChar"/>
    <w:rsid w:val="008031EC"/>
    <w:rPr>
      <w:b w:val="0"/>
      <w:sz w:val="22"/>
      <w:szCs w:val="22"/>
    </w:rPr>
  </w:style>
  <w:style w:type="paragraph" w:customStyle="1" w:styleId="IAStage">
    <w:name w:val="IAStage"/>
    <w:basedOn w:val="IATableLabel"/>
    <w:link w:val="IAStageChar"/>
    <w:rsid w:val="008031EC"/>
    <w:rPr>
      <w:b w:val="0"/>
      <w:sz w:val="22"/>
    </w:rPr>
  </w:style>
  <w:style w:type="paragraph" w:customStyle="1" w:styleId="IASOI">
    <w:name w:val="IASOI"/>
    <w:basedOn w:val="IATableLabel"/>
    <w:link w:val="IASOIChar"/>
    <w:rsid w:val="008031EC"/>
    <w:rPr>
      <w:b w:val="0"/>
      <w:sz w:val="22"/>
    </w:rPr>
  </w:style>
  <w:style w:type="paragraph" w:customStyle="1" w:styleId="IATOM">
    <w:name w:val="IATOM"/>
    <w:basedOn w:val="IATableLabel"/>
    <w:link w:val="IATOMChar"/>
    <w:rsid w:val="008031EC"/>
    <w:rPr>
      <w:b w:val="0"/>
      <w:sz w:val="22"/>
    </w:rPr>
  </w:style>
  <w:style w:type="paragraph" w:customStyle="1" w:styleId="IACOE">
    <w:name w:val="IACOE"/>
    <w:basedOn w:val="Normal"/>
    <w:link w:val="IACOEChar"/>
    <w:autoRedefine/>
    <w:rsid w:val="00B225B0"/>
    <w:rPr>
      <w:rFonts w:eastAsia="SimSun"/>
      <w:spacing w:val="-5"/>
      <w:sz w:val="20"/>
      <w:lang w:eastAsia="zh-CN"/>
    </w:rPr>
  </w:style>
  <w:style w:type="paragraph" w:customStyle="1" w:styleId="IARPC">
    <w:name w:val="IARPC"/>
    <w:basedOn w:val="Title"/>
    <w:link w:val="IARPCChar"/>
    <w:rsid w:val="00174C10"/>
    <w:rPr>
      <w:rFonts w:eastAsia="SimSun"/>
      <w:color w:val="000000"/>
      <w:sz w:val="24"/>
      <w:szCs w:val="24"/>
    </w:rPr>
  </w:style>
  <w:style w:type="paragraph" w:customStyle="1" w:styleId="IAIIOTNPV">
    <w:name w:val="IAIIOTNPV"/>
    <w:basedOn w:val="IATableLabel"/>
    <w:rsid w:val="008031EC"/>
    <w:pPr>
      <w:spacing w:before="0" w:after="0"/>
      <w:jc w:val="both"/>
    </w:pPr>
    <w:rPr>
      <w:b w:val="0"/>
      <w:sz w:val="22"/>
      <w:szCs w:val="22"/>
    </w:rPr>
  </w:style>
  <w:style w:type="paragraph" w:customStyle="1" w:styleId="IAIOBNPV">
    <w:name w:val="IAIOBNPV"/>
    <w:basedOn w:val="IATableLabel"/>
    <w:rsid w:val="008031EC"/>
    <w:pPr>
      <w:spacing w:before="0" w:after="0"/>
    </w:pPr>
    <w:rPr>
      <w:b w:val="0"/>
      <w:sz w:val="22"/>
      <w:szCs w:val="22"/>
    </w:rPr>
  </w:style>
  <w:style w:type="paragraph" w:customStyle="1" w:styleId="IAIONCTBPY">
    <w:name w:val="IAIONCTBPY"/>
    <w:basedOn w:val="IATableLabel"/>
    <w:rsid w:val="008031EC"/>
    <w:pPr>
      <w:spacing w:before="0" w:after="0"/>
    </w:pPr>
    <w:rPr>
      <w:b w:val="0"/>
      <w:sz w:val="22"/>
      <w:szCs w:val="22"/>
    </w:rPr>
  </w:style>
  <w:style w:type="paragraph" w:customStyle="1" w:styleId="IAIOInScopeInOut">
    <w:name w:val="IAIOInScopeInOut"/>
    <w:basedOn w:val="IATableLabel"/>
    <w:rsid w:val="008369A3"/>
    <w:pPr>
      <w:spacing w:before="0" w:after="0"/>
    </w:pPr>
    <w:rPr>
      <w:b w:val="0"/>
      <w:sz w:val="22"/>
      <w:szCs w:val="22"/>
    </w:rPr>
  </w:style>
  <w:style w:type="paragraph" w:customStyle="1" w:styleId="IAIOPrefMQ">
    <w:name w:val="IAIOPrefMQ"/>
    <w:basedOn w:val="IATableText"/>
    <w:rsid w:val="008369A3"/>
    <w:pPr>
      <w:spacing w:before="0" w:after="0"/>
    </w:pPr>
    <w:rPr>
      <w:color w:val="000000"/>
      <w:szCs w:val="22"/>
    </w:rPr>
  </w:style>
  <w:style w:type="paragraph" w:customStyle="1" w:styleId="IAIOQ1">
    <w:name w:val="IAIOQ1"/>
    <w:basedOn w:val="IATableLabel"/>
    <w:rsid w:val="008369A3"/>
  </w:style>
  <w:style w:type="paragraph" w:customStyle="1" w:styleId="IAIOA1">
    <w:name w:val="IAIOA1"/>
    <w:basedOn w:val="IATableLines"/>
    <w:rsid w:val="008369A3"/>
  </w:style>
  <w:style w:type="paragraph" w:customStyle="1" w:styleId="IAIOQ2">
    <w:name w:val="IAIOQ2"/>
    <w:basedOn w:val="IATableLabel"/>
    <w:rsid w:val="008369A3"/>
  </w:style>
  <w:style w:type="paragraph" w:customStyle="1" w:styleId="IAIOA2">
    <w:name w:val="IAIOA2"/>
    <w:basedOn w:val="IATableLines"/>
    <w:rsid w:val="008369A3"/>
  </w:style>
  <w:style w:type="paragraph" w:customStyle="1" w:styleId="IAIOQ3">
    <w:name w:val="IAIOQ3"/>
    <w:basedOn w:val="IATableLabel"/>
    <w:rsid w:val="008369A3"/>
  </w:style>
  <w:style w:type="paragraph" w:customStyle="1" w:styleId="IAIOA3">
    <w:name w:val="IAIOA3"/>
    <w:basedOn w:val="IATableLines"/>
    <w:rsid w:val="008369A3"/>
  </w:style>
  <w:style w:type="paragraph" w:customStyle="1" w:styleId="IAIOPolicyReview">
    <w:name w:val="IAIOPolicyReview"/>
    <w:basedOn w:val="IATableLabel"/>
    <w:link w:val="IAIOPolicyReviewChar"/>
    <w:rsid w:val="00F91F5A"/>
    <w:rPr>
      <w:b w:val="0"/>
      <w:sz w:val="22"/>
      <w:szCs w:val="22"/>
    </w:rPr>
  </w:style>
  <w:style w:type="character" w:customStyle="1" w:styleId="IAIOPolicyReviewChar">
    <w:name w:val="IAIOPolicyReview Char"/>
    <w:link w:val="IAIOPolicyReview"/>
    <w:locked/>
    <w:rsid w:val="00F91F5A"/>
    <w:rPr>
      <w:rFonts w:ascii="Arial" w:eastAsia="SimSun" w:hAnsi="Arial"/>
      <w:b/>
      <w:color w:val="000000"/>
      <w:spacing w:val="-5"/>
      <w:sz w:val="22"/>
      <w:lang w:val="en-GB" w:eastAsia="zh-CN"/>
    </w:rPr>
  </w:style>
  <w:style w:type="paragraph" w:customStyle="1" w:styleId="IAIOReviewMonth">
    <w:name w:val="IAIOReviewMonth"/>
    <w:basedOn w:val="IATableLabel"/>
    <w:link w:val="IAIOReviewMonthChar"/>
    <w:rsid w:val="00F91F5A"/>
    <w:rPr>
      <w:b w:val="0"/>
      <w:sz w:val="22"/>
      <w:szCs w:val="22"/>
    </w:rPr>
  </w:style>
  <w:style w:type="paragraph" w:customStyle="1" w:styleId="IAIOReviewYear">
    <w:name w:val="IAIOReviewYear"/>
    <w:basedOn w:val="IATableLabel"/>
    <w:link w:val="IAIOReviewYearChar"/>
    <w:rsid w:val="00F91F5A"/>
    <w:rPr>
      <w:b w:val="0"/>
      <w:sz w:val="22"/>
      <w:szCs w:val="22"/>
    </w:rPr>
  </w:style>
  <w:style w:type="paragraph" w:customStyle="1" w:styleId="IAIOCheckEU">
    <w:name w:val="IAIOCheckEU"/>
    <w:basedOn w:val="IATableText"/>
    <w:rsid w:val="00F91F5A"/>
    <w:pPr>
      <w:spacing w:before="0" w:after="0"/>
    </w:pPr>
    <w:rPr>
      <w:sz w:val="20"/>
    </w:rPr>
  </w:style>
  <w:style w:type="character" w:customStyle="1" w:styleId="IAIOReviewYearChar">
    <w:name w:val="IAIOReviewYear Char"/>
    <w:link w:val="IAIOReviewYear"/>
    <w:locked/>
    <w:rsid w:val="00F91F5A"/>
    <w:rPr>
      <w:rFonts w:ascii="Arial" w:eastAsia="SimSun" w:hAnsi="Arial"/>
      <w:b/>
      <w:color w:val="000000"/>
      <w:spacing w:val="-5"/>
      <w:sz w:val="22"/>
      <w:lang w:val="en-GB" w:eastAsia="zh-CN"/>
    </w:rPr>
  </w:style>
  <w:style w:type="character" w:customStyle="1" w:styleId="IAIOReviewMonthChar">
    <w:name w:val="IAIOReviewMonth Char"/>
    <w:link w:val="IAIOReviewMonth"/>
    <w:locked/>
    <w:rsid w:val="00F91F5A"/>
    <w:rPr>
      <w:rFonts w:ascii="Arial" w:eastAsia="SimSun" w:hAnsi="Arial"/>
      <w:b/>
      <w:color w:val="000000"/>
      <w:spacing w:val="-5"/>
      <w:sz w:val="22"/>
      <w:lang w:val="en-GB" w:eastAsia="zh-CN"/>
    </w:rPr>
  </w:style>
  <w:style w:type="paragraph" w:customStyle="1" w:styleId="IAIOCheckMicro">
    <w:name w:val="IAIOCheckMicro"/>
    <w:basedOn w:val="IATableLines"/>
    <w:link w:val="IAIOCheckMicroChar"/>
    <w:rsid w:val="00F91F5A"/>
    <w:rPr>
      <w:sz w:val="20"/>
    </w:rPr>
  </w:style>
  <w:style w:type="paragraph" w:customStyle="1" w:styleId="IAIOCheck20">
    <w:name w:val="IAIOCheck20"/>
    <w:basedOn w:val="IATableLines"/>
    <w:rsid w:val="00F91F5A"/>
    <w:rPr>
      <w:sz w:val="20"/>
    </w:rPr>
  </w:style>
  <w:style w:type="paragraph" w:customStyle="1" w:styleId="IAIOCheckSmall">
    <w:name w:val="IAIOCheckSmall"/>
    <w:basedOn w:val="IATableLines"/>
    <w:link w:val="IAIOCheckSmallChar"/>
    <w:rsid w:val="00F91F5A"/>
    <w:rPr>
      <w:sz w:val="20"/>
    </w:rPr>
  </w:style>
  <w:style w:type="paragraph" w:customStyle="1" w:styleId="IAIOCheckMedium">
    <w:name w:val="IAIOCheckMedium"/>
    <w:basedOn w:val="IATableLines"/>
    <w:link w:val="IAIOCheckMediumChar"/>
    <w:rsid w:val="00F91F5A"/>
    <w:rPr>
      <w:sz w:val="20"/>
    </w:rPr>
  </w:style>
  <w:style w:type="paragraph" w:customStyle="1" w:styleId="IAIOCheckLarge">
    <w:name w:val="IAIOCheckLarge"/>
    <w:basedOn w:val="IATableLines"/>
    <w:link w:val="IAIOCheckLargeChar"/>
    <w:rsid w:val="00F91F5A"/>
    <w:rPr>
      <w:sz w:val="20"/>
    </w:rPr>
  </w:style>
  <w:style w:type="paragraph" w:customStyle="1" w:styleId="IAIOCO2Traded">
    <w:name w:val="IAIOCO2Traded"/>
    <w:basedOn w:val="IATableLabel"/>
    <w:link w:val="IAIOCO2TradedChar"/>
    <w:rsid w:val="00F91F5A"/>
    <w:rPr>
      <w:b w:val="0"/>
      <w:sz w:val="22"/>
    </w:rPr>
  </w:style>
  <w:style w:type="paragraph" w:customStyle="1" w:styleId="IAIOCO2NonTraded">
    <w:name w:val="IAIOCO2NonTraded"/>
    <w:basedOn w:val="IAIOCO2Traded"/>
    <w:rsid w:val="008155E3"/>
    <w:rPr>
      <w:sz w:val="20"/>
    </w:rPr>
  </w:style>
  <w:style w:type="paragraph" w:customStyle="1" w:styleId="IAIOtextSign">
    <w:name w:val="IAIOtextSign"/>
    <w:basedOn w:val="Normal"/>
    <w:rsid w:val="00F91F5A"/>
    <w:pPr>
      <w:jc w:val="center"/>
    </w:pPr>
  </w:style>
  <w:style w:type="paragraph" w:customStyle="1" w:styleId="IAIOSigDate">
    <w:name w:val="IAIOSigDate"/>
    <w:basedOn w:val="Normal"/>
    <w:rsid w:val="00F91F5A"/>
    <w:pPr>
      <w:jc w:val="center"/>
    </w:pPr>
    <w:rPr>
      <w:sz w:val="22"/>
      <w:szCs w:val="22"/>
    </w:rPr>
  </w:style>
  <w:style w:type="paragraph" w:customStyle="1" w:styleId="IAPODescription">
    <w:name w:val="IAPODescription"/>
    <w:basedOn w:val="IAHeadLabel"/>
    <w:link w:val="IAPODescriptionCharChar"/>
    <w:rsid w:val="00D00846"/>
    <w:pPr>
      <w:spacing w:before="50"/>
    </w:pPr>
    <w:rPr>
      <w:b w:val="0"/>
    </w:rPr>
  </w:style>
  <w:style w:type="character" w:customStyle="1" w:styleId="IAPODescriptionCharChar">
    <w:name w:val="IAPODescription Char Char"/>
    <w:basedOn w:val="IAHeadLabelChar"/>
    <w:link w:val="IAPODescription"/>
    <w:locked/>
    <w:rsid w:val="00D00846"/>
    <w:rPr>
      <w:rFonts w:ascii="Arial" w:eastAsia="SimSun" w:hAnsi="Arial" w:cs="Times New Roman"/>
      <w:b/>
      <w:color w:val="000000"/>
      <w:spacing w:val="-5"/>
      <w:lang w:val="en-GB" w:eastAsia="zh-CN" w:bidi="ar-SA"/>
    </w:rPr>
  </w:style>
  <w:style w:type="character" w:customStyle="1" w:styleId="IADateChar">
    <w:name w:val="IADate Char"/>
    <w:link w:val="IADate"/>
    <w:locked/>
    <w:rsid w:val="00174C10"/>
    <w:rPr>
      <w:rFonts w:ascii="Arial" w:eastAsia="SimSun" w:hAnsi="Arial"/>
      <w:b/>
      <w:color w:val="000000"/>
      <w:spacing w:val="-5"/>
      <w:sz w:val="22"/>
      <w:lang w:val="en-GB" w:eastAsia="zh-CN"/>
    </w:rPr>
  </w:style>
  <w:style w:type="character" w:customStyle="1" w:styleId="IATableLinesChar">
    <w:name w:val="IATableLines Char"/>
    <w:basedOn w:val="IATableTextChar"/>
    <w:link w:val="IATableLines"/>
    <w:locked/>
    <w:rsid w:val="00174C10"/>
    <w:rPr>
      <w:rFonts w:ascii="Arial" w:eastAsia="SimSun" w:hAnsi="Arial" w:cs="Times New Roman"/>
      <w:b/>
      <w:color w:val="000000"/>
      <w:spacing w:val="-5"/>
      <w:sz w:val="22"/>
      <w:lang w:val="en-GB" w:eastAsia="zh-CN" w:bidi="ar-SA"/>
    </w:rPr>
  </w:style>
  <w:style w:type="character" w:customStyle="1" w:styleId="IACOEChar">
    <w:name w:val="IACOE Char"/>
    <w:link w:val="IACOE"/>
    <w:locked/>
    <w:rsid w:val="00B225B0"/>
    <w:rPr>
      <w:rFonts w:ascii="Arial" w:eastAsia="SimSun" w:hAnsi="Arial"/>
      <w:b/>
      <w:color w:val="000000"/>
      <w:spacing w:val="-5"/>
      <w:sz w:val="24"/>
      <w:lang w:val="en-GB" w:eastAsia="zh-CN"/>
    </w:rPr>
  </w:style>
  <w:style w:type="character" w:customStyle="1" w:styleId="IAStageChar">
    <w:name w:val="IAStage Char"/>
    <w:link w:val="IAStage"/>
    <w:locked/>
    <w:rsid w:val="00174C10"/>
    <w:rPr>
      <w:rFonts w:ascii="Arial" w:eastAsia="SimSun" w:hAnsi="Arial"/>
      <w:b/>
      <w:color w:val="000000"/>
      <w:spacing w:val="-5"/>
      <w:sz w:val="22"/>
      <w:lang w:val="en-GB" w:eastAsia="zh-CN"/>
    </w:rPr>
  </w:style>
  <w:style w:type="character" w:customStyle="1" w:styleId="IASOIChar">
    <w:name w:val="IASOI Char"/>
    <w:link w:val="IASOI"/>
    <w:locked/>
    <w:rsid w:val="00174C10"/>
    <w:rPr>
      <w:rFonts w:ascii="Arial" w:eastAsia="SimSun" w:hAnsi="Arial"/>
      <w:b/>
      <w:color w:val="000000"/>
      <w:spacing w:val="-5"/>
      <w:sz w:val="22"/>
      <w:lang w:val="en-GB" w:eastAsia="zh-CN"/>
    </w:rPr>
  </w:style>
  <w:style w:type="character" w:customStyle="1" w:styleId="IATOMChar">
    <w:name w:val="IATOM Char"/>
    <w:link w:val="IATOM"/>
    <w:locked/>
    <w:rsid w:val="00174C10"/>
    <w:rPr>
      <w:rFonts w:ascii="Arial" w:eastAsia="SimSun" w:hAnsi="Arial"/>
      <w:b/>
      <w:color w:val="000000"/>
      <w:spacing w:val="-5"/>
      <w:sz w:val="22"/>
      <w:lang w:val="en-GB" w:eastAsia="zh-CN"/>
    </w:rPr>
  </w:style>
  <w:style w:type="character" w:customStyle="1" w:styleId="IARPCChar">
    <w:name w:val="IARPC Char"/>
    <w:link w:val="IARPC"/>
    <w:locked/>
    <w:rsid w:val="00174C10"/>
    <w:rPr>
      <w:rFonts w:ascii="Arial" w:eastAsia="SimSun" w:hAnsi="Arial"/>
      <w:color w:val="000000"/>
      <w:kern w:val="28"/>
      <w:sz w:val="24"/>
      <w:lang w:val="en-GB" w:eastAsia="en-US"/>
    </w:rPr>
  </w:style>
  <w:style w:type="character" w:customStyle="1" w:styleId="IAIOCheckMicroChar">
    <w:name w:val="IAIOCheckMicro Char"/>
    <w:basedOn w:val="IATableLinesChar"/>
    <w:link w:val="IAIOCheckMicro"/>
    <w:locked/>
    <w:rsid w:val="00D478C9"/>
    <w:rPr>
      <w:rFonts w:ascii="Arial" w:eastAsia="SimSun" w:hAnsi="Arial" w:cs="Times New Roman"/>
      <w:b/>
      <w:color w:val="000000"/>
      <w:spacing w:val="-5"/>
      <w:sz w:val="22"/>
      <w:lang w:val="en-GB" w:eastAsia="zh-CN" w:bidi="ar-SA"/>
    </w:rPr>
  </w:style>
  <w:style w:type="character" w:customStyle="1" w:styleId="IAIOCheckSmallChar">
    <w:name w:val="IAIOCheckSmall Char"/>
    <w:basedOn w:val="IATableLinesChar"/>
    <w:link w:val="IAIOCheckSmall"/>
    <w:locked/>
    <w:rsid w:val="00D478C9"/>
    <w:rPr>
      <w:rFonts w:ascii="Arial" w:eastAsia="SimSun" w:hAnsi="Arial" w:cs="Times New Roman"/>
      <w:b/>
      <w:color w:val="000000"/>
      <w:spacing w:val="-5"/>
      <w:sz w:val="22"/>
      <w:lang w:val="en-GB" w:eastAsia="zh-CN" w:bidi="ar-SA"/>
    </w:rPr>
  </w:style>
  <w:style w:type="character" w:customStyle="1" w:styleId="IAIOCheckMediumChar">
    <w:name w:val="IAIOCheckMedium Char"/>
    <w:basedOn w:val="IATableLinesChar"/>
    <w:link w:val="IAIOCheckMedium"/>
    <w:locked/>
    <w:rsid w:val="00D478C9"/>
    <w:rPr>
      <w:rFonts w:ascii="Arial" w:eastAsia="SimSun" w:hAnsi="Arial" w:cs="Times New Roman"/>
      <w:b/>
      <w:color w:val="000000"/>
      <w:spacing w:val="-5"/>
      <w:sz w:val="22"/>
      <w:lang w:val="en-GB" w:eastAsia="zh-CN" w:bidi="ar-SA"/>
    </w:rPr>
  </w:style>
  <w:style w:type="character" w:customStyle="1" w:styleId="IAIOCheckLargeChar">
    <w:name w:val="IAIOCheckLarge Char"/>
    <w:basedOn w:val="IATableLinesChar"/>
    <w:link w:val="IAIOCheckLarge"/>
    <w:locked/>
    <w:rsid w:val="00D478C9"/>
    <w:rPr>
      <w:rFonts w:ascii="Arial" w:eastAsia="SimSun" w:hAnsi="Arial" w:cs="Times New Roman"/>
      <w:b/>
      <w:color w:val="000000"/>
      <w:spacing w:val="-5"/>
      <w:sz w:val="22"/>
      <w:lang w:val="en-GB" w:eastAsia="zh-CN" w:bidi="ar-SA"/>
    </w:rPr>
  </w:style>
  <w:style w:type="character" w:customStyle="1" w:styleId="IAIOCO2TradedChar">
    <w:name w:val="IAIOCO2Traded Char"/>
    <w:link w:val="IAIOCO2Traded"/>
    <w:locked/>
    <w:rsid w:val="00D478C9"/>
    <w:rPr>
      <w:rFonts w:ascii="Arial" w:eastAsia="SimSun" w:hAnsi="Arial"/>
      <w:b/>
      <w:color w:val="000000"/>
      <w:spacing w:val="-5"/>
      <w:sz w:val="22"/>
      <w:lang w:val="en-GB" w:eastAsia="zh-CN"/>
    </w:rPr>
  </w:style>
  <w:style w:type="character" w:customStyle="1" w:styleId="IALabel">
    <w:name w:val="IALabel"/>
    <w:rsid w:val="009F6692"/>
    <w:rPr>
      <w:color w:val="000000"/>
      <w:sz w:val="20"/>
    </w:rPr>
  </w:style>
  <w:style w:type="paragraph" w:styleId="ListParagraph">
    <w:name w:val="List Paragraph"/>
    <w:aliases w:val="F5 List Paragraph,List Paragraph1,Dot pt,No Spacing1,List Paragraph Char Char Char,Indicator Text,Colorful List - Accent 11,Numbered Para 1,Bullet 1,Bullet Points,MAIN CONTENT,List Paragraph2,Normal numbered,List Paragraph11,OBC Bullet,L"/>
    <w:basedOn w:val="Normal"/>
    <w:link w:val="ListParagraphChar"/>
    <w:uiPriority w:val="34"/>
    <w:qFormat/>
    <w:rsid w:val="003E549B"/>
    <w:pPr>
      <w:ind w:left="720"/>
      <w:contextualSpacing/>
    </w:pPr>
  </w:style>
  <w:style w:type="paragraph" w:styleId="Subtitle">
    <w:name w:val="Subtitle"/>
    <w:basedOn w:val="Normal"/>
    <w:next w:val="Normal"/>
    <w:link w:val="SubtitleChar"/>
    <w:qFormat/>
    <w:rsid w:val="00E9014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9014C"/>
    <w:rPr>
      <w:rFonts w:asciiTheme="minorHAnsi" w:eastAsiaTheme="minorEastAsia" w:hAnsiTheme="minorHAnsi" w:cstheme="minorBidi"/>
      <w:color w:val="5A5A5A" w:themeColor="text1" w:themeTint="A5"/>
      <w:spacing w:val="15"/>
      <w:sz w:val="22"/>
      <w:szCs w:val="22"/>
      <w:lang w:eastAsia="en-US"/>
    </w:rPr>
  </w:style>
  <w:style w:type="character" w:styleId="CommentReference">
    <w:name w:val="annotation reference"/>
    <w:basedOn w:val="DefaultParagraphFont"/>
    <w:uiPriority w:val="99"/>
    <w:rsid w:val="00FF4A4F"/>
    <w:rPr>
      <w:sz w:val="16"/>
      <w:szCs w:val="16"/>
    </w:rPr>
  </w:style>
  <w:style w:type="paragraph" w:styleId="CommentText">
    <w:name w:val="annotation text"/>
    <w:aliases w:val=" Char1 Char, Char1 Char Char Char, Char1 Char Char,Char1 Char,Char1 Char Char Char,Char1 Char Char"/>
    <w:basedOn w:val="Normal"/>
    <w:link w:val="CommentTextChar"/>
    <w:uiPriority w:val="99"/>
    <w:rsid w:val="00FF4A4F"/>
    <w:rPr>
      <w:sz w:val="20"/>
      <w:szCs w:val="20"/>
    </w:rPr>
  </w:style>
  <w:style w:type="character" w:customStyle="1" w:styleId="CommentTextChar">
    <w:name w:val="Comment Text Char"/>
    <w:aliases w:val=" Char1 Char Char1, Char1 Char Char Char Char, Char1 Char Char Char1,Char1 Char Char1,Char1 Char Char Char Char,Char1 Char Char Char1"/>
    <w:basedOn w:val="DefaultParagraphFont"/>
    <w:link w:val="CommentText"/>
    <w:uiPriority w:val="99"/>
    <w:rsid w:val="00FF4A4F"/>
    <w:rPr>
      <w:rFonts w:ascii="Arial" w:hAnsi="Arial"/>
      <w:lang w:eastAsia="en-US"/>
    </w:rPr>
  </w:style>
  <w:style w:type="paragraph" w:styleId="CommentSubject">
    <w:name w:val="annotation subject"/>
    <w:basedOn w:val="CommentText"/>
    <w:next w:val="CommentText"/>
    <w:link w:val="CommentSubjectChar"/>
    <w:rsid w:val="00FF4A4F"/>
    <w:rPr>
      <w:b/>
      <w:bCs/>
    </w:rPr>
  </w:style>
  <w:style w:type="character" w:customStyle="1" w:styleId="CommentSubjectChar">
    <w:name w:val="Comment Subject Char"/>
    <w:basedOn w:val="CommentTextChar"/>
    <w:link w:val="CommentSubject"/>
    <w:rsid w:val="00FF4A4F"/>
    <w:rPr>
      <w:rFonts w:ascii="Arial" w:hAnsi="Arial"/>
      <w:b/>
      <w:bCs/>
      <w:lang w:eastAsia="en-US"/>
    </w:rPr>
  </w:style>
  <w:style w:type="character" w:styleId="UnresolvedMention">
    <w:name w:val="Unresolved Mention"/>
    <w:basedOn w:val="DefaultParagraphFont"/>
    <w:uiPriority w:val="99"/>
    <w:unhideWhenUsed/>
    <w:rsid w:val="00241457"/>
    <w:rPr>
      <w:color w:val="605E5C"/>
      <w:shd w:val="clear" w:color="auto" w:fill="E1DFDD"/>
    </w:r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link w:val="ListParagraph"/>
    <w:uiPriority w:val="34"/>
    <w:qFormat/>
    <w:locked/>
    <w:rsid w:val="00687F9B"/>
    <w:rPr>
      <w:rFonts w:ascii="Arial" w:hAnsi="Arial"/>
      <w:sz w:val="24"/>
      <w:szCs w:val="24"/>
      <w:lang w:eastAsia="en-US"/>
    </w:rPr>
  </w:style>
  <w:style w:type="paragraph" w:styleId="Revision">
    <w:name w:val="Revision"/>
    <w:hidden/>
    <w:uiPriority w:val="99"/>
    <w:semiHidden/>
    <w:rsid w:val="00385A32"/>
    <w:rPr>
      <w:rFonts w:ascii="Arial" w:hAnsi="Arial"/>
      <w:sz w:val="24"/>
      <w:szCs w:val="24"/>
      <w:lang w:eastAsia="en-US"/>
    </w:rPr>
  </w:style>
  <w:style w:type="character" w:styleId="Strong">
    <w:name w:val="Strong"/>
    <w:basedOn w:val="DefaultParagraphFont"/>
    <w:uiPriority w:val="22"/>
    <w:qFormat/>
    <w:rsid w:val="00FB6C6D"/>
    <w:rPr>
      <w:b/>
      <w:bCs/>
    </w:rPr>
  </w:style>
  <w:style w:type="paragraph" w:customStyle="1" w:styleId="Default">
    <w:name w:val="Default"/>
    <w:basedOn w:val="Normal"/>
    <w:rsid w:val="00A44176"/>
    <w:pPr>
      <w:autoSpaceDE w:val="0"/>
      <w:autoSpaceDN w:val="0"/>
    </w:pPr>
    <w:rPr>
      <w:rFonts w:eastAsiaTheme="minorHAnsi" w:cs="Arial"/>
      <w:color w:val="000000"/>
      <w:lang w:eastAsia="en-GB"/>
    </w:rPr>
  </w:style>
  <w:style w:type="paragraph" w:customStyle="1" w:styleId="paragraph">
    <w:name w:val="paragraph"/>
    <w:basedOn w:val="Normal"/>
    <w:rsid w:val="001346F7"/>
    <w:pPr>
      <w:spacing w:before="100" w:beforeAutospacing="1" w:after="100" w:afterAutospacing="1"/>
    </w:pPr>
    <w:rPr>
      <w:rFonts w:ascii="Times New Roman" w:hAnsi="Times New Roman"/>
      <w:lang w:eastAsia="en-GB"/>
    </w:rPr>
  </w:style>
  <w:style w:type="character" w:customStyle="1" w:styleId="normaltextrun">
    <w:name w:val="normaltextrun"/>
    <w:basedOn w:val="DefaultParagraphFont"/>
    <w:rsid w:val="001346F7"/>
  </w:style>
  <w:style w:type="character" w:customStyle="1" w:styleId="superscript">
    <w:name w:val="superscript"/>
    <w:basedOn w:val="DefaultParagraphFont"/>
    <w:rsid w:val="001346F7"/>
  </w:style>
  <w:style w:type="character" w:customStyle="1" w:styleId="scxw209233512">
    <w:name w:val="scxw209233512"/>
    <w:basedOn w:val="DefaultParagraphFont"/>
    <w:rsid w:val="001346F7"/>
  </w:style>
  <w:style w:type="character" w:customStyle="1" w:styleId="eop">
    <w:name w:val="eop"/>
    <w:basedOn w:val="DefaultParagraphFont"/>
    <w:rsid w:val="001346F7"/>
  </w:style>
  <w:style w:type="character" w:customStyle="1" w:styleId="tabletextChar">
    <w:name w:val="table text Char"/>
    <w:link w:val="tabletext"/>
    <w:rsid w:val="00B66A89"/>
    <w:rPr>
      <w:rFonts w:ascii="Arial" w:hAnsi="Arial"/>
      <w:sz w:val="22"/>
      <w:lang w:eastAsia="en-US"/>
    </w:rPr>
  </w:style>
  <w:style w:type="paragraph" w:customStyle="1" w:styleId="tabletext">
    <w:name w:val="table text"/>
    <w:link w:val="tabletextChar"/>
    <w:rsid w:val="00B66A89"/>
    <w:rPr>
      <w:rFonts w:ascii="Arial" w:hAnsi="Arial"/>
      <w:sz w:val="22"/>
      <w:lang w:eastAsia="en-US"/>
    </w:rPr>
  </w:style>
  <w:style w:type="paragraph" w:customStyle="1" w:styleId="EMLevel1Paragraph">
    <w:name w:val="EM Level 1 Paragraph"/>
    <w:basedOn w:val="Heading2"/>
    <w:qFormat/>
    <w:rsid w:val="00942769"/>
    <w:pPr>
      <w:keepNext w:val="0"/>
      <w:keepLines w:val="0"/>
      <w:numPr>
        <w:ilvl w:val="1"/>
      </w:numPr>
      <w:tabs>
        <w:tab w:val="num" w:pos="696"/>
      </w:tabs>
      <w:spacing w:before="120" w:after="60"/>
      <w:ind w:left="696" w:hanging="576"/>
    </w:pPr>
    <w:rPr>
      <w:rFonts w:ascii="Times New Roman" w:hAnsi="Times New Roman"/>
      <w:bCs w:val="0"/>
      <w:color w:val="auto"/>
      <w:sz w:val="24"/>
      <w:szCs w:val="28"/>
      <w:lang w:eastAsia="en-US"/>
    </w:rPr>
  </w:style>
  <w:style w:type="character" w:styleId="Mention">
    <w:name w:val="Mention"/>
    <w:basedOn w:val="DefaultParagraphFont"/>
    <w:uiPriority w:val="99"/>
    <w:unhideWhenUsed/>
    <w:rsid w:val="001365BD"/>
    <w:rPr>
      <w:color w:val="2B579A"/>
      <w:shd w:val="clear" w:color="auto" w:fill="E1DFDD"/>
    </w:rPr>
  </w:style>
  <w:style w:type="character" w:styleId="Emphasis">
    <w:name w:val="Emphasis"/>
    <w:basedOn w:val="DefaultParagraphFont"/>
    <w:uiPriority w:val="20"/>
    <w:qFormat/>
    <w:rsid w:val="008B71E3"/>
    <w:rPr>
      <w:i/>
      <w:iCs/>
    </w:rPr>
  </w:style>
  <w:style w:type="paragraph" w:customStyle="1" w:styleId="pf0">
    <w:name w:val="pf0"/>
    <w:basedOn w:val="Normal"/>
    <w:rsid w:val="00911DD4"/>
    <w:pPr>
      <w:spacing w:before="100" w:beforeAutospacing="1" w:after="100" w:afterAutospacing="1"/>
    </w:pPr>
    <w:rPr>
      <w:rFonts w:ascii="Times New Roman" w:hAnsi="Times New Roman"/>
      <w:lang w:eastAsia="en-GB"/>
    </w:rPr>
  </w:style>
  <w:style w:type="character" w:customStyle="1" w:styleId="cf01">
    <w:name w:val="cf01"/>
    <w:basedOn w:val="DefaultParagraphFont"/>
    <w:rsid w:val="00911DD4"/>
    <w:rPr>
      <w:rFonts w:ascii="Segoe UI" w:hAnsi="Segoe UI" w:cs="Segoe UI" w:hint="default"/>
      <w:sz w:val="18"/>
      <w:szCs w:val="18"/>
    </w:rPr>
  </w:style>
  <w:style w:type="paragraph" w:styleId="NormalWeb">
    <w:name w:val="Normal (Web)"/>
    <w:basedOn w:val="Normal"/>
    <w:rsid w:val="007912CF"/>
    <w:rPr>
      <w:rFonts w:ascii="Times New Roman" w:hAnsi="Times New Roman"/>
    </w:rPr>
  </w:style>
  <w:style w:type="paragraph" w:customStyle="1" w:styleId="Style1">
    <w:name w:val="Style1"/>
    <w:basedOn w:val="FootnoteText"/>
    <w:qFormat/>
    <w:rsid w:val="00DD4CF8"/>
    <w:rPr>
      <w:sz w:val="18"/>
      <w:szCs w:val="18"/>
    </w:rPr>
  </w:style>
  <w:style w:type="paragraph" w:customStyle="1" w:styleId="Style2">
    <w:name w:val="Style2"/>
    <w:basedOn w:val="FootnoteText"/>
    <w:qFormat/>
    <w:rsid w:val="00DD4CF8"/>
    <w:rPr>
      <w:sz w:val="18"/>
    </w:rPr>
  </w:style>
  <w:style w:type="paragraph" w:customStyle="1" w:styleId="Style3">
    <w:name w:val="Style3"/>
    <w:basedOn w:val="Normal"/>
    <w:qFormat/>
    <w:rsid w:val="00DD4CF8"/>
    <w:rPr>
      <w:b/>
      <w:sz w:val="22"/>
    </w:rPr>
  </w:style>
  <w:style w:type="paragraph" w:styleId="EndnoteText">
    <w:name w:val="endnote text"/>
    <w:basedOn w:val="Normal"/>
    <w:link w:val="EndnoteTextChar"/>
    <w:rsid w:val="00612BF1"/>
    <w:rPr>
      <w:sz w:val="20"/>
      <w:szCs w:val="20"/>
    </w:rPr>
  </w:style>
  <w:style w:type="character" w:customStyle="1" w:styleId="EndnoteTextChar">
    <w:name w:val="Endnote Text Char"/>
    <w:basedOn w:val="DefaultParagraphFont"/>
    <w:link w:val="EndnoteText"/>
    <w:rsid w:val="00612BF1"/>
    <w:rPr>
      <w:rFonts w:ascii="Arial" w:hAnsi="Arial"/>
      <w:lang w:eastAsia="en-US"/>
    </w:rPr>
  </w:style>
  <w:style w:type="character" w:styleId="EndnoteReference">
    <w:name w:val="endnote reference"/>
    <w:basedOn w:val="DefaultParagraphFont"/>
    <w:rsid w:val="00612B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9859">
      <w:bodyDiv w:val="1"/>
      <w:marLeft w:val="0"/>
      <w:marRight w:val="0"/>
      <w:marTop w:val="0"/>
      <w:marBottom w:val="0"/>
      <w:divBdr>
        <w:top w:val="none" w:sz="0" w:space="0" w:color="auto"/>
        <w:left w:val="none" w:sz="0" w:space="0" w:color="auto"/>
        <w:bottom w:val="none" w:sz="0" w:space="0" w:color="auto"/>
        <w:right w:val="none" w:sz="0" w:space="0" w:color="auto"/>
      </w:divBdr>
    </w:div>
    <w:div w:id="41172460">
      <w:bodyDiv w:val="1"/>
      <w:marLeft w:val="0"/>
      <w:marRight w:val="0"/>
      <w:marTop w:val="0"/>
      <w:marBottom w:val="0"/>
      <w:divBdr>
        <w:top w:val="none" w:sz="0" w:space="0" w:color="auto"/>
        <w:left w:val="none" w:sz="0" w:space="0" w:color="auto"/>
        <w:bottom w:val="none" w:sz="0" w:space="0" w:color="auto"/>
        <w:right w:val="none" w:sz="0" w:space="0" w:color="auto"/>
      </w:divBdr>
    </w:div>
    <w:div w:id="71588166">
      <w:bodyDiv w:val="1"/>
      <w:marLeft w:val="0"/>
      <w:marRight w:val="0"/>
      <w:marTop w:val="0"/>
      <w:marBottom w:val="0"/>
      <w:divBdr>
        <w:top w:val="none" w:sz="0" w:space="0" w:color="auto"/>
        <w:left w:val="none" w:sz="0" w:space="0" w:color="auto"/>
        <w:bottom w:val="none" w:sz="0" w:space="0" w:color="auto"/>
        <w:right w:val="none" w:sz="0" w:space="0" w:color="auto"/>
      </w:divBdr>
    </w:div>
    <w:div w:id="78868626">
      <w:bodyDiv w:val="1"/>
      <w:marLeft w:val="0"/>
      <w:marRight w:val="0"/>
      <w:marTop w:val="0"/>
      <w:marBottom w:val="0"/>
      <w:divBdr>
        <w:top w:val="none" w:sz="0" w:space="0" w:color="auto"/>
        <w:left w:val="none" w:sz="0" w:space="0" w:color="auto"/>
        <w:bottom w:val="none" w:sz="0" w:space="0" w:color="auto"/>
        <w:right w:val="none" w:sz="0" w:space="0" w:color="auto"/>
      </w:divBdr>
    </w:div>
    <w:div w:id="144854612">
      <w:bodyDiv w:val="1"/>
      <w:marLeft w:val="0"/>
      <w:marRight w:val="0"/>
      <w:marTop w:val="0"/>
      <w:marBottom w:val="0"/>
      <w:divBdr>
        <w:top w:val="none" w:sz="0" w:space="0" w:color="auto"/>
        <w:left w:val="none" w:sz="0" w:space="0" w:color="auto"/>
        <w:bottom w:val="none" w:sz="0" w:space="0" w:color="auto"/>
        <w:right w:val="none" w:sz="0" w:space="0" w:color="auto"/>
      </w:divBdr>
    </w:div>
    <w:div w:id="243801423">
      <w:bodyDiv w:val="1"/>
      <w:marLeft w:val="0"/>
      <w:marRight w:val="0"/>
      <w:marTop w:val="0"/>
      <w:marBottom w:val="0"/>
      <w:divBdr>
        <w:top w:val="none" w:sz="0" w:space="0" w:color="auto"/>
        <w:left w:val="none" w:sz="0" w:space="0" w:color="auto"/>
        <w:bottom w:val="none" w:sz="0" w:space="0" w:color="auto"/>
        <w:right w:val="none" w:sz="0" w:space="0" w:color="auto"/>
      </w:divBdr>
    </w:div>
    <w:div w:id="365717596">
      <w:bodyDiv w:val="1"/>
      <w:marLeft w:val="0"/>
      <w:marRight w:val="0"/>
      <w:marTop w:val="0"/>
      <w:marBottom w:val="0"/>
      <w:divBdr>
        <w:top w:val="none" w:sz="0" w:space="0" w:color="auto"/>
        <w:left w:val="none" w:sz="0" w:space="0" w:color="auto"/>
        <w:bottom w:val="none" w:sz="0" w:space="0" w:color="auto"/>
        <w:right w:val="none" w:sz="0" w:space="0" w:color="auto"/>
      </w:divBdr>
    </w:div>
    <w:div w:id="408582094">
      <w:bodyDiv w:val="1"/>
      <w:marLeft w:val="0"/>
      <w:marRight w:val="0"/>
      <w:marTop w:val="0"/>
      <w:marBottom w:val="0"/>
      <w:divBdr>
        <w:top w:val="none" w:sz="0" w:space="0" w:color="auto"/>
        <w:left w:val="none" w:sz="0" w:space="0" w:color="auto"/>
        <w:bottom w:val="none" w:sz="0" w:space="0" w:color="auto"/>
        <w:right w:val="none" w:sz="0" w:space="0" w:color="auto"/>
      </w:divBdr>
    </w:div>
    <w:div w:id="449594834">
      <w:bodyDiv w:val="1"/>
      <w:marLeft w:val="0"/>
      <w:marRight w:val="0"/>
      <w:marTop w:val="0"/>
      <w:marBottom w:val="0"/>
      <w:divBdr>
        <w:top w:val="none" w:sz="0" w:space="0" w:color="auto"/>
        <w:left w:val="none" w:sz="0" w:space="0" w:color="auto"/>
        <w:bottom w:val="none" w:sz="0" w:space="0" w:color="auto"/>
        <w:right w:val="none" w:sz="0" w:space="0" w:color="auto"/>
      </w:divBdr>
    </w:div>
    <w:div w:id="479004561">
      <w:bodyDiv w:val="1"/>
      <w:marLeft w:val="0"/>
      <w:marRight w:val="0"/>
      <w:marTop w:val="0"/>
      <w:marBottom w:val="0"/>
      <w:divBdr>
        <w:top w:val="none" w:sz="0" w:space="0" w:color="auto"/>
        <w:left w:val="none" w:sz="0" w:space="0" w:color="auto"/>
        <w:bottom w:val="none" w:sz="0" w:space="0" w:color="auto"/>
        <w:right w:val="none" w:sz="0" w:space="0" w:color="auto"/>
      </w:divBdr>
    </w:div>
    <w:div w:id="626161654">
      <w:bodyDiv w:val="1"/>
      <w:marLeft w:val="0"/>
      <w:marRight w:val="0"/>
      <w:marTop w:val="0"/>
      <w:marBottom w:val="0"/>
      <w:divBdr>
        <w:top w:val="none" w:sz="0" w:space="0" w:color="auto"/>
        <w:left w:val="none" w:sz="0" w:space="0" w:color="auto"/>
        <w:bottom w:val="none" w:sz="0" w:space="0" w:color="auto"/>
        <w:right w:val="none" w:sz="0" w:space="0" w:color="auto"/>
      </w:divBdr>
    </w:div>
    <w:div w:id="667172428">
      <w:bodyDiv w:val="1"/>
      <w:marLeft w:val="0"/>
      <w:marRight w:val="0"/>
      <w:marTop w:val="0"/>
      <w:marBottom w:val="0"/>
      <w:divBdr>
        <w:top w:val="none" w:sz="0" w:space="0" w:color="auto"/>
        <w:left w:val="none" w:sz="0" w:space="0" w:color="auto"/>
        <w:bottom w:val="none" w:sz="0" w:space="0" w:color="auto"/>
        <w:right w:val="none" w:sz="0" w:space="0" w:color="auto"/>
      </w:divBdr>
    </w:div>
    <w:div w:id="733238564">
      <w:bodyDiv w:val="1"/>
      <w:marLeft w:val="0"/>
      <w:marRight w:val="0"/>
      <w:marTop w:val="0"/>
      <w:marBottom w:val="0"/>
      <w:divBdr>
        <w:top w:val="none" w:sz="0" w:space="0" w:color="auto"/>
        <w:left w:val="none" w:sz="0" w:space="0" w:color="auto"/>
        <w:bottom w:val="none" w:sz="0" w:space="0" w:color="auto"/>
        <w:right w:val="none" w:sz="0" w:space="0" w:color="auto"/>
      </w:divBdr>
    </w:div>
    <w:div w:id="766972893">
      <w:bodyDiv w:val="1"/>
      <w:marLeft w:val="0"/>
      <w:marRight w:val="0"/>
      <w:marTop w:val="0"/>
      <w:marBottom w:val="0"/>
      <w:divBdr>
        <w:top w:val="none" w:sz="0" w:space="0" w:color="auto"/>
        <w:left w:val="none" w:sz="0" w:space="0" w:color="auto"/>
        <w:bottom w:val="none" w:sz="0" w:space="0" w:color="auto"/>
        <w:right w:val="none" w:sz="0" w:space="0" w:color="auto"/>
      </w:divBdr>
    </w:div>
    <w:div w:id="805468711">
      <w:bodyDiv w:val="1"/>
      <w:marLeft w:val="0"/>
      <w:marRight w:val="0"/>
      <w:marTop w:val="0"/>
      <w:marBottom w:val="0"/>
      <w:divBdr>
        <w:top w:val="none" w:sz="0" w:space="0" w:color="auto"/>
        <w:left w:val="none" w:sz="0" w:space="0" w:color="auto"/>
        <w:bottom w:val="none" w:sz="0" w:space="0" w:color="auto"/>
        <w:right w:val="none" w:sz="0" w:space="0" w:color="auto"/>
      </w:divBdr>
    </w:div>
    <w:div w:id="819660647">
      <w:bodyDiv w:val="1"/>
      <w:marLeft w:val="0"/>
      <w:marRight w:val="0"/>
      <w:marTop w:val="0"/>
      <w:marBottom w:val="0"/>
      <w:divBdr>
        <w:top w:val="none" w:sz="0" w:space="0" w:color="auto"/>
        <w:left w:val="none" w:sz="0" w:space="0" w:color="auto"/>
        <w:bottom w:val="none" w:sz="0" w:space="0" w:color="auto"/>
        <w:right w:val="none" w:sz="0" w:space="0" w:color="auto"/>
      </w:divBdr>
    </w:div>
    <w:div w:id="964656096">
      <w:bodyDiv w:val="1"/>
      <w:marLeft w:val="0"/>
      <w:marRight w:val="0"/>
      <w:marTop w:val="0"/>
      <w:marBottom w:val="0"/>
      <w:divBdr>
        <w:top w:val="none" w:sz="0" w:space="0" w:color="auto"/>
        <w:left w:val="none" w:sz="0" w:space="0" w:color="auto"/>
        <w:bottom w:val="none" w:sz="0" w:space="0" w:color="auto"/>
        <w:right w:val="none" w:sz="0" w:space="0" w:color="auto"/>
      </w:divBdr>
    </w:div>
    <w:div w:id="979118834">
      <w:bodyDiv w:val="1"/>
      <w:marLeft w:val="0"/>
      <w:marRight w:val="0"/>
      <w:marTop w:val="0"/>
      <w:marBottom w:val="0"/>
      <w:divBdr>
        <w:top w:val="none" w:sz="0" w:space="0" w:color="auto"/>
        <w:left w:val="none" w:sz="0" w:space="0" w:color="auto"/>
        <w:bottom w:val="none" w:sz="0" w:space="0" w:color="auto"/>
        <w:right w:val="none" w:sz="0" w:space="0" w:color="auto"/>
      </w:divBdr>
      <w:divsChild>
        <w:div w:id="1806049093">
          <w:marLeft w:val="0"/>
          <w:marRight w:val="0"/>
          <w:marTop w:val="225"/>
          <w:marBottom w:val="0"/>
          <w:divBdr>
            <w:top w:val="none" w:sz="0" w:space="0" w:color="auto"/>
            <w:left w:val="none" w:sz="0" w:space="0" w:color="auto"/>
            <w:bottom w:val="none" w:sz="0" w:space="0" w:color="auto"/>
            <w:right w:val="none" w:sz="0" w:space="0" w:color="auto"/>
          </w:divBdr>
        </w:div>
      </w:divsChild>
    </w:div>
    <w:div w:id="1036200273">
      <w:bodyDiv w:val="1"/>
      <w:marLeft w:val="0"/>
      <w:marRight w:val="0"/>
      <w:marTop w:val="0"/>
      <w:marBottom w:val="0"/>
      <w:divBdr>
        <w:top w:val="none" w:sz="0" w:space="0" w:color="auto"/>
        <w:left w:val="none" w:sz="0" w:space="0" w:color="auto"/>
        <w:bottom w:val="none" w:sz="0" w:space="0" w:color="auto"/>
        <w:right w:val="none" w:sz="0" w:space="0" w:color="auto"/>
      </w:divBdr>
    </w:div>
    <w:div w:id="1053625815">
      <w:bodyDiv w:val="1"/>
      <w:marLeft w:val="0"/>
      <w:marRight w:val="0"/>
      <w:marTop w:val="0"/>
      <w:marBottom w:val="0"/>
      <w:divBdr>
        <w:top w:val="none" w:sz="0" w:space="0" w:color="auto"/>
        <w:left w:val="none" w:sz="0" w:space="0" w:color="auto"/>
        <w:bottom w:val="none" w:sz="0" w:space="0" w:color="auto"/>
        <w:right w:val="none" w:sz="0" w:space="0" w:color="auto"/>
      </w:divBdr>
    </w:div>
    <w:div w:id="1094982324">
      <w:bodyDiv w:val="1"/>
      <w:marLeft w:val="0"/>
      <w:marRight w:val="0"/>
      <w:marTop w:val="0"/>
      <w:marBottom w:val="0"/>
      <w:divBdr>
        <w:top w:val="none" w:sz="0" w:space="0" w:color="auto"/>
        <w:left w:val="none" w:sz="0" w:space="0" w:color="auto"/>
        <w:bottom w:val="none" w:sz="0" w:space="0" w:color="auto"/>
        <w:right w:val="none" w:sz="0" w:space="0" w:color="auto"/>
      </w:divBdr>
    </w:div>
    <w:div w:id="1220282764">
      <w:bodyDiv w:val="1"/>
      <w:marLeft w:val="0"/>
      <w:marRight w:val="0"/>
      <w:marTop w:val="0"/>
      <w:marBottom w:val="0"/>
      <w:divBdr>
        <w:top w:val="none" w:sz="0" w:space="0" w:color="auto"/>
        <w:left w:val="none" w:sz="0" w:space="0" w:color="auto"/>
        <w:bottom w:val="none" w:sz="0" w:space="0" w:color="auto"/>
        <w:right w:val="none" w:sz="0" w:space="0" w:color="auto"/>
      </w:divBdr>
    </w:div>
    <w:div w:id="1265188650">
      <w:bodyDiv w:val="1"/>
      <w:marLeft w:val="0"/>
      <w:marRight w:val="0"/>
      <w:marTop w:val="0"/>
      <w:marBottom w:val="0"/>
      <w:divBdr>
        <w:top w:val="none" w:sz="0" w:space="0" w:color="auto"/>
        <w:left w:val="none" w:sz="0" w:space="0" w:color="auto"/>
        <w:bottom w:val="none" w:sz="0" w:space="0" w:color="auto"/>
        <w:right w:val="none" w:sz="0" w:space="0" w:color="auto"/>
      </w:divBdr>
    </w:div>
    <w:div w:id="1329481941">
      <w:bodyDiv w:val="1"/>
      <w:marLeft w:val="0"/>
      <w:marRight w:val="0"/>
      <w:marTop w:val="0"/>
      <w:marBottom w:val="0"/>
      <w:divBdr>
        <w:top w:val="none" w:sz="0" w:space="0" w:color="auto"/>
        <w:left w:val="none" w:sz="0" w:space="0" w:color="auto"/>
        <w:bottom w:val="none" w:sz="0" w:space="0" w:color="auto"/>
        <w:right w:val="none" w:sz="0" w:space="0" w:color="auto"/>
      </w:divBdr>
    </w:div>
    <w:div w:id="1352486011">
      <w:bodyDiv w:val="1"/>
      <w:marLeft w:val="0"/>
      <w:marRight w:val="0"/>
      <w:marTop w:val="0"/>
      <w:marBottom w:val="0"/>
      <w:divBdr>
        <w:top w:val="none" w:sz="0" w:space="0" w:color="auto"/>
        <w:left w:val="none" w:sz="0" w:space="0" w:color="auto"/>
        <w:bottom w:val="none" w:sz="0" w:space="0" w:color="auto"/>
        <w:right w:val="none" w:sz="0" w:space="0" w:color="auto"/>
      </w:divBdr>
    </w:div>
    <w:div w:id="1370685713">
      <w:bodyDiv w:val="1"/>
      <w:marLeft w:val="0"/>
      <w:marRight w:val="0"/>
      <w:marTop w:val="0"/>
      <w:marBottom w:val="0"/>
      <w:divBdr>
        <w:top w:val="none" w:sz="0" w:space="0" w:color="auto"/>
        <w:left w:val="none" w:sz="0" w:space="0" w:color="auto"/>
        <w:bottom w:val="none" w:sz="0" w:space="0" w:color="auto"/>
        <w:right w:val="none" w:sz="0" w:space="0" w:color="auto"/>
      </w:divBdr>
    </w:div>
    <w:div w:id="1428651014">
      <w:bodyDiv w:val="1"/>
      <w:marLeft w:val="0"/>
      <w:marRight w:val="0"/>
      <w:marTop w:val="0"/>
      <w:marBottom w:val="0"/>
      <w:divBdr>
        <w:top w:val="none" w:sz="0" w:space="0" w:color="auto"/>
        <w:left w:val="none" w:sz="0" w:space="0" w:color="auto"/>
        <w:bottom w:val="none" w:sz="0" w:space="0" w:color="auto"/>
        <w:right w:val="none" w:sz="0" w:space="0" w:color="auto"/>
      </w:divBdr>
    </w:div>
    <w:div w:id="1449810296">
      <w:bodyDiv w:val="1"/>
      <w:marLeft w:val="0"/>
      <w:marRight w:val="0"/>
      <w:marTop w:val="0"/>
      <w:marBottom w:val="0"/>
      <w:divBdr>
        <w:top w:val="none" w:sz="0" w:space="0" w:color="auto"/>
        <w:left w:val="none" w:sz="0" w:space="0" w:color="auto"/>
        <w:bottom w:val="none" w:sz="0" w:space="0" w:color="auto"/>
        <w:right w:val="none" w:sz="0" w:space="0" w:color="auto"/>
      </w:divBdr>
    </w:div>
    <w:div w:id="1458716169">
      <w:bodyDiv w:val="1"/>
      <w:marLeft w:val="0"/>
      <w:marRight w:val="0"/>
      <w:marTop w:val="0"/>
      <w:marBottom w:val="0"/>
      <w:divBdr>
        <w:top w:val="none" w:sz="0" w:space="0" w:color="auto"/>
        <w:left w:val="none" w:sz="0" w:space="0" w:color="auto"/>
        <w:bottom w:val="none" w:sz="0" w:space="0" w:color="auto"/>
        <w:right w:val="none" w:sz="0" w:space="0" w:color="auto"/>
      </w:divBdr>
    </w:div>
    <w:div w:id="1527716281">
      <w:bodyDiv w:val="1"/>
      <w:marLeft w:val="0"/>
      <w:marRight w:val="0"/>
      <w:marTop w:val="0"/>
      <w:marBottom w:val="0"/>
      <w:divBdr>
        <w:top w:val="none" w:sz="0" w:space="0" w:color="auto"/>
        <w:left w:val="none" w:sz="0" w:space="0" w:color="auto"/>
        <w:bottom w:val="none" w:sz="0" w:space="0" w:color="auto"/>
        <w:right w:val="none" w:sz="0" w:space="0" w:color="auto"/>
      </w:divBdr>
    </w:div>
    <w:div w:id="1588801739">
      <w:bodyDiv w:val="1"/>
      <w:marLeft w:val="0"/>
      <w:marRight w:val="0"/>
      <w:marTop w:val="0"/>
      <w:marBottom w:val="0"/>
      <w:divBdr>
        <w:top w:val="none" w:sz="0" w:space="0" w:color="auto"/>
        <w:left w:val="none" w:sz="0" w:space="0" w:color="auto"/>
        <w:bottom w:val="none" w:sz="0" w:space="0" w:color="auto"/>
        <w:right w:val="none" w:sz="0" w:space="0" w:color="auto"/>
      </w:divBdr>
    </w:div>
    <w:div w:id="1612080694">
      <w:bodyDiv w:val="1"/>
      <w:marLeft w:val="0"/>
      <w:marRight w:val="0"/>
      <w:marTop w:val="0"/>
      <w:marBottom w:val="0"/>
      <w:divBdr>
        <w:top w:val="none" w:sz="0" w:space="0" w:color="auto"/>
        <w:left w:val="none" w:sz="0" w:space="0" w:color="auto"/>
        <w:bottom w:val="none" w:sz="0" w:space="0" w:color="auto"/>
        <w:right w:val="none" w:sz="0" w:space="0" w:color="auto"/>
      </w:divBdr>
    </w:div>
    <w:div w:id="1614942462">
      <w:bodyDiv w:val="1"/>
      <w:marLeft w:val="0"/>
      <w:marRight w:val="0"/>
      <w:marTop w:val="0"/>
      <w:marBottom w:val="0"/>
      <w:divBdr>
        <w:top w:val="none" w:sz="0" w:space="0" w:color="auto"/>
        <w:left w:val="none" w:sz="0" w:space="0" w:color="auto"/>
        <w:bottom w:val="none" w:sz="0" w:space="0" w:color="auto"/>
        <w:right w:val="none" w:sz="0" w:space="0" w:color="auto"/>
      </w:divBdr>
    </w:div>
    <w:div w:id="1636064649">
      <w:bodyDiv w:val="1"/>
      <w:marLeft w:val="0"/>
      <w:marRight w:val="0"/>
      <w:marTop w:val="0"/>
      <w:marBottom w:val="0"/>
      <w:divBdr>
        <w:top w:val="none" w:sz="0" w:space="0" w:color="auto"/>
        <w:left w:val="none" w:sz="0" w:space="0" w:color="auto"/>
        <w:bottom w:val="none" w:sz="0" w:space="0" w:color="auto"/>
        <w:right w:val="none" w:sz="0" w:space="0" w:color="auto"/>
      </w:divBdr>
    </w:div>
    <w:div w:id="1645618319">
      <w:bodyDiv w:val="1"/>
      <w:marLeft w:val="0"/>
      <w:marRight w:val="0"/>
      <w:marTop w:val="0"/>
      <w:marBottom w:val="0"/>
      <w:divBdr>
        <w:top w:val="none" w:sz="0" w:space="0" w:color="auto"/>
        <w:left w:val="none" w:sz="0" w:space="0" w:color="auto"/>
        <w:bottom w:val="none" w:sz="0" w:space="0" w:color="auto"/>
        <w:right w:val="none" w:sz="0" w:space="0" w:color="auto"/>
      </w:divBdr>
    </w:div>
    <w:div w:id="1673139897">
      <w:bodyDiv w:val="1"/>
      <w:marLeft w:val="0"/>
      <w:marRight w:val="0"/>
      <w:marTop w:val="0"/>
      <w:marBottom w:val="0"/>
      <w:divBdr>
        <w:top w:val="none" w:sz="0" w:space="0" w:color="auto"/>
        <w:left w:val="none" w:sz="0" w:space="0" w:color="auto"/>
        <w:bottom w:val="none" w:sz="0" w:space="0" w:color="auto"/>
        <w:right w:val="none" w:sz="0" w:space="0" w:color="auto"/>
      </w:divBdr>
    </w:div>
    <w:div w:id="1684478450">
      <w:bodyDiv w:val="1"/>
      <w:marLeft w:val="0"/>
      <w:marRight w:val="0"/>
      <w:marTop w:val="0"/>
      <w:marBottom w:val="0"/>
      <w:divBdr>
        <w:top w:val="none" w:sz="0" w:space="0" w:color="auto"/>
        <w:left w:val="none" w:sz="0" w:space="0" w:color="auto"/>
        <w:bottom w:val="none" w:sz="0" w:space="0" w:color="auto"/>
        <w:right w:val="none" w:sz="0" w:space="0" w:color="auto"/>
      </w:divBdr>
    </w:div>
    <w:div w:id="1789541994">
      <w:bodyDiv w:val="1"/>
      <w:marLeft w:val="0"/>
      <w:marRight w:val="0"/>
      <w:marTop w:val="0"/>
      <w:marBottom w:val="0"/>
      <w:divBdr>
        <w:top w:val="none" w:sz="0" w:space="0" w:color="auto"/>
        <w:left w:val="none" w:sz="0" w:space="0" w:color="auto"/>
        <w:bottom w:val="none" w:sz="0" w:space="0" w:color="auto"/>
        <w:right w:val="none" w:sz="0" w:space="0" w:color="auto"/>
      </w:divBdr>
    </w:div>
    <w:div w:id="1795522002">
      <w:bodyDiv w:val="1"/>
      <w:marLeft w:val="0"/>
      <w:marRight w:val="0"/>
      <w:marTop w:val="0"/>
      <w:marBottom w:val="0"/>
      <w:divBdr>
        <w:top w:val="none" w:sz="0" w:space="0" w:color="auto"/>
        <w:left w:val="none" w:sz="0" w:space="0" w:color="auto"/>
        <w:bottom w:val="none" w:sz="0" w:space="0" w:color="auto"/>
        <w:right w:val="none" w:sz="0" w:space="0" w:color="auto"/>
      </w:divBdr>
    </w:div>
    <w:div w:id="1811091540">
      <w:bodyDiv w:val="1"/>
      <w:marLeft w:val="0"/>
      <w:marRight w:val="0"/>
      <w:marTop w:val="0"/>
      <w:marBottom w:val="0"/>
      <w:divBdr>
        <w:top w:val="none" w:sz="0" w:space="0" w:color="auto"/>
        <w:left w:val="none" w:sz="0" w:space="0" w:color="auto"/>
        <w:bottom w:val="none" w:sz="0" w:space="0" w:color="auto"/>
        <w:right w:val="none" w:sz="0" w:space="0" w:color="auto"/>
      </w:divBdr>
    </w:div>
    <w:div w:id="1821262553">
      <w:bodyDiv w:val="1"/>
      <w:marLeft w:val="0"/>
      <w:marRight w:val="0"/>
      <w:marTop w:val="0"/>
      <w:marBottom w:val="0"/>
      <w:divBdr>
        <w:top w:val="none" w:sz="0" w:space="0" w:color="auto"/>
        <w:left w:val="none" w:sz="0" w:space="0" w:color="auto"/>
        <w:bottom w:val="none" w:sz="0" w:space="0" w:color="auto"/>
        <w:right w:val="none" w:sz="0" w:space="0" w:color="auto"/>
      </w:divBdr>
    </w:div>
    <w:div w:id="1831948982">
      <w:bodyDiv w:val="1"/>
      <w:marLeft w:val="0"/>
      <w:marRight w:val="0"/>
      <w:marTop w:val="0"/>
      <w:marBottom w:val="0"/>
      <w:divBdr>
        <w:top w:val="none" w:sz="0" w:space="0" w:color="auto"/>
        <w:left w:val="none" w:sz="0" w:space="0" w:color="auto"/>
        <w:bottom w:val="none" w:sz="0" w:space="0" w:color="auto"/>
        <w:right w:val="none" w:sz="0" w:space="0" w:color="auto"/>
      </w:divBdr>
    </w:div>
    <w:div w:id="1833983069">
      <w:bodyDiv w:val="1"/>
      <w:marLeft w:val="0"/>
      <w:marRight w:val="0"/>
      <w:marTop w:val="0"/>
      <w:marBottom w:val="0"/>
      <w:divBdr>
        <w:top w:val="none" w:sz="0" w:space="0" w:color="auto"/>
        <w:left w:val="none" w:sz="0" w:space="0" w:color="auto"/>
        <w:bottom w:val="none" w:sz="0" w:space="0" w:color="auto"/>
        <w:right w:val="none" w:sz="0" w:space="0" w:color="auto"/>
      </w:divBdr>
      <w:divsChild>
        <w:div w:id="1360546685">
          <w:marLeft w:val="0"/>
          <w:marRight w:val="0"/>
          <w:marTop w:val="0"/>
          <w:marBottom w:val="0"/>
          <w:divBdr>
            <w:top w:val="none" w:sz="0" w:space="0" w:color="auto"/>
            <w:left w:val="none" w:sz="0" w:space="0" w:color="auto"/>
            <w:bottom w:val="none" w:sz="0" w:space="0" w:color="auto"/>
            <w:right w:val="none" w:sz="0" w:space="0" w:color="auto"/>
          </w:divBdr>
        </w:div>
        <w:div w:id="1377896672">
          <w:marLeft w:val="0"/>
          <w:marRight w:val="0"/>
          <w:marTop w:val="0"/>
          <w:marBottom w:val="0"/>
          <w:divBdr>
            <w:top w:val="none" w:sz="0" w:space="0" w:color="auto"/>
            <w:left w:val="none" w:sz="0" w:space="0" w:color="auto"/>
            <w:bottom w:val="none" w:sz="0" w:space="0" w:color="auto"/>
            <w:right w:val="none" w:sz="0" w:space="0" w:color="auto"/>
          </w:divBdr>
        </w:div>
        <w:div w:id="1617515880">
          <w:marLeft w:val="0"/>
          <w:marRight w:val="0"/>
          <w:marTop w:val="0"/>
          <w:marBottom w:val="0"/>
          <w:divBdr>
            <w:top w:val="none" w:sz="0" w:space="0" w:color="auto"/>
            <w:left w:val="none" w:sz="0" w:space="0" w:color="auto"/>
            <w:bottom w:val="none" w:sz="0" w:space="0" w:color="auto"/>
            <w:right w:val="none" w:sz="0" w:space="0" w:color="auto"/>
          </w:divBdr>
        </w:div>
        <w:div w:id="1968077322">
          <w:marLeft w:val="0"/>
          <w:marRight w:val="0"/>
          <w:marTop w:val="0"/>
          <w:marBottom w:val="0"/>
          <w:divBdr>
            <w:top w:val="none" w:sz="0" w:space="0" w:color="auto"/>
            <w:left w:val="none" w:sz="0" w:space="0" w:color="auto"/>
            <w:bottom w:val="none" w:sz="0" w:space="0" w:color="auto"/>
            <w:right w:val="none" w:sz="0" w:space="0" w:color="auto"/>
          </w:divBdr>
        </w:div>
        <w:div w:id="2103061751">
          <w:marLeft w:val="0"/>
          <w:marRight w:val="0"/>
          <w:marTop w:val="0"/>
          <w:marBottom w:val="0"/>
          <w:divBdr>
            <w:top w:val="none" w:sz="0" w:space="0" w:color="auto"/>
            <w:left w:val="none" w:sz="0" w:space="0" w:color="auto"/>
            <w:bottom w:val="none" w:sz="0" w:space="0" w:color="auto"/>
            <w:right w:val="none" w:sz="0" w:space="0" w:color="auto"/>
          </w:divBdr>
        </w:div>
        <w:div w:id="2117796901">
          <w:marLeft w:val="0"/>
          <w:marRight w:val="0"/>
          <w:marTop w:val="0"/>
          <w:marBottom w:val="0"/>
          <w:divBdr>
            <w:top w:val="none" w:sz="0" w:space="0" w:color="auto"/>
            <w:left w:val="none" w:sz="0" w:space="0" w:color="auto"/>
            <w:bottom w:val="none" w:sz="0" w:space="0" w:color="auto"/>
            <w:right w:val="none" w:sz="0" w:space="0" w:color="auto"/>
          </w:divBdr>
        </w:div>
      </w:divsChild>
    </w:div>
    <w:div w:id="1836871683">
      <w:bodyDiv w:val="1"/>
      <w:marLeft w:val="0"/>
      <w:marRight w:val="0"/>
      <w:marTop w:val="0"/>
      <w:marBottom w:val="0"/>
      <w:divBdr>
        <w:top w:val="none" w:sz="0" w:space="0" w:color="auto"/>
        <w:left w:val="none" w:sz="0" w:space="0" w:color="auto"/>
        <w:bottom w:val="none" w:sz="0" w:space="0" w:color="auto"/>
        <w:right w:val="none" w:sz="0" w:space="0" w:color="auto"/>
      </w:divBdr>
    </w:div>
    <w:div w:id="1839228386">
      <w:bodyDiv w:val="1"/>
      <w:marLeft w:val="0"/>
      <w:marRight w:val="0"/>
      <w:marTop w:val="0"/>
      <w:marBottom w:val="0"/>
      <w:divBdr>
        <w:top w:val="none" w:sz="0" w:space="0" w:color="auto"/>
        <w:left w:val="none" w:sz="0" w:space="0" w:color="auto"/>
        <w:bottom w:val="none" w:sz="0" w:space="0" w:color="auto"/>
        <w:right w:val="none" w:sz="0" w:space="0" w:color="auto"/>
      </w:divBdr>
    </w:div>
    <w:div w:id="1854227724">
      <w:bodyDiv w:val="1"/>
      <w:marLeft w:val="0"/>
      <w:marRight w:val="0"/>
      <w:marTop w:val="0"/>
      <w:marBottom w:val="0"/>
      <w:divBdr>
        <w:top w:val="none" w:sz="0" w:space="0" w:color="auto"/>
        <w:left w:val="none" w:sz="0" w:space="0" w:color="auto"/>
        <w:bottom w:val="none" w:sz="0" w:space="0" w:color="auto"/>
        <w:right w:val="none" w:sz="0" w:space="0" w:color="auto"/>
      </w:divBdr>
    </w:div>
    <w:div w:id="1866209320">
      <w:bodyDiv w:val="1"/>
      <w:marLeft w:val="0"/>
      <w:marRight w:val="0"/>
      <w:marTop w:val="0"/>
      <w:marBottom w:val="0"/>
      <w:divBdr>
        <w:top w:val="none" w:sz="0" w:space="0" w:color="auto"/>
        <w:left w:val="none" w:sz="0" w:space="0" w:color="auto"/>
        <w:bottom w:val="none" w:sz="0" w:space="0" w:color="auto"/>
        <w:right w:val="none" w:sz="0" w:space="0" w:color="auto"/>
      </w:divBdr>
    </w:div>
    <w:div w:id="1948464181">
      <w:marLeft w:val="0"/>
      <w:marRight w:val="0"/>
      <w:marTop w:val="0"/>
      <w:marBottom w:val="0"/>
      <w:divBdr>
        <w:top w:val="none" w:sz="0" w:space="0" w:color="auto"/>
        <w:left w:val="none" w:sz="0" w:space="0" w:color="auto"/>
        <w:bottom w:val="none" w:sz="0" w:space="0" w:color="auto"/>
        <w:right w:val="none" w:sz="0" w:space="0" w:color="auto"/>
      </w:divBdr>
    </w:div>
    <w:div w:id="1948464182">
      <w:marLeft w:val="0"/>
      <w:marRight w:val="0"/>
      <w:marTop w:val="0"/>
      <w:marBottom w:val="0"/>
      <w:divBdr>
        <w:top w:val="none" w:sz="0" w:space="0" w:color="auto"/>
        <w:left w:val="none" w:sz="0" w:space="0" w:color="auto"/>
        <w:bottom w:val="none" w:sz="0" w:space="0" w:color="auto"/>
        <w:right w:val="none" w:sz="0" w:space="0" w:color="auto"/>
      </w:divBdr>
    </w:div>
    <w:div w:id="1948464183">
      <w:marLeft w:val="0"/>
      <w:marRight w:val="0"/>
      <w:marTop w:val="0"/>
      <w:marBottom w:val="0"/>
      <w:divBdr>
        <w:top w:val="none" w:sz="0" w:space="0" w:color="auto"/>
        <w:left w:val="none" w:sz="0" w:space="0" w:color="auto"/>
        <w:bottom w:val="none" w:sz="0" w:space="0" w:color="auto"/>
        <w:right w:val="none" w:sz="0" w:space="0" w:color="auto"/>
      </w:divBdr>
    </w:div>
    <w:div w:id="1948464184">
      <w:marLeft w:val="0"/>
      <w:marRight w:val="0"/>
      <w:marTop w:val="0"/>
      <w:marBottom w:val="0"/>
      <w:divBdr>
        <w:top w:val="none" w:sz="0" w:space="0" w:color="auto"/>
        <w:left w:val="none" w:sz="0" w:space="0" w:color="auto"/>
        <w:bottom w:val="none" w:sz="0" w:space="0" w:color="auto"/>
        <w:right w:val="none" w:sz="0" w:space="0" w:color="auto"/>
      </w:divBdr>
    </w:div>
    <w:div w:id="1952930247">
      <w:bodyDiv w:val="1"/>
      <w:marLeft w:val="0"/>
      <w:marRight w:val="0"/>
      <w:marTop w:val="0"/>
      <w:marBottom w:val="0"/>
      <w:divBdr>
        <w:top w:val="none" w:sz="0" w:space="0" w:color="auto"/>
        <w:left w:val="none" w:sz="0" w:space="0" w:color="auto"/>
        <w:bottom w:val="none" w:sz="0" w:space="0" w:color="auto"/>
        <w:right w:val="none" w:sz="0" w:space="0" w:color="auto"/>
      </w:divBdr>
      <w:divsChild>
        <w:div w:id="774062271">
          <w:marLeft w:val="0"/>
          <w:marRight w:val="0"/>
          <w:marTop w:val="225"/>
          <w:marBottom w:val="0"/>
          <w:divBdr>
            <w:top w:val="none" w:sz="0" w:space="0" w:color="auto"/>
            <w:left w:val="none" w:sz="0" w:space="0" w:color="auto"/>
            <w:bottom w:val="none" w:sz="0" w:space="0" w:color="auto"/>
            <w:right w:val="none" w:sz="0" w:space="0" w:color="auto"/>
          </w:divBdr>
        </w:div>
      </w:divsChild>
    </w:div>
    <w:div w:id="19778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s://www.legislation.gov.uk/ukpga/2023/56/part/5/crossheading/attributing-criminal-liability-for-economic-crimes-to-certain-bodies" TargetMode="External"/><Relationship Id="rId18" Type="http://schemas.openxmlformats.org/officeDocument/2006/relationships/hyperlink" Target="https://www.gov.uk/government/calls-for-evidence/smarter-regulation-non-financial-reporting-review-call-for-evidence/smarter-regulation-non-financial-reporting-review-call-for-evidence" TargetMode="External"/><Relationship Id="rId26" Type="http://schemas.openxmlformats.org/officeDocument/2006/relationships/hyperlink" Target="http://www.gov.uk" TargetMode="External"/><Relationship Id="rId39" Type="http://schemas.openxmlformats.org/officeDocument/2006/relationships/hyperlink" Target="https://assets.publishing.service.gov.uk/media/5a809f87e5274a2e8ab5134c/insight-into-awareness-and-impact-of-the-bribery-act-2010.pdf" TargetMode="External"/><Relationship Id="rId21" Type="http://schemas.openxmlformats.org/officeDocument/2006/relationships/hyperlink" Target="https://www.gov.uk/government/publications/corporate-offences-for-failing-to-prevent-criminal-facilitation-of-tax-evasion" TargetMode="External"/><Relationship Id="rId34" Type="http://schemas.openxmlformats.org/officeDocument/2006/relationships/hyperlink" Target="https://www.pinsentmasons.com/out-law/guides/corporate-criminal-offences-of-failing-to-prevent-the-facilitation-of-tax-evasion-" TargetMode="External"/><Relationship Id="rId42" Type="http://schemas.openxmlformats.org/officeDocument/2006/relationships/hyperlink" Target="https://www.ons.gov.uk/employmentandlabourmarket/peopleinwork/earningsandworkinghours/bulletins/annualsurveyofhoursandearnings/2021" TargetMode="External"/><Relationship Id="rId47" Type="http://schemas.openxmlformats.org/officeDocument/2006/relationships/hyperlink" Target="https://www.virtual-college.co.uk/courses/compliance/the-bribery-act-2010" TargetMode="External"/><Relationship Id="rId50" Type="http://schemas.openxmlformats.org/officeDocument/2006/relationships/hyperlink" Target="https://data-explorer.oecd.org/vis?df%5bds%5d=DisseminateFinalDMZ&amp;df%5bid%5d=DSD_TENURE%40DF_TENURE_AVE&amp;df%5bag%5d=OECD.ELS.SAE&amp;dq=.TENURE_EMP.._T._T..A&amp;pd=2015%2C&amp;to%5bTIME_PERIOD%5d=false" TargetMode="External"/><Relationship Id="rId55" Type="http://schemas.openxmlformats.org/officeDocument/2006/relationships/hyperlink" Target="https://www.sfo.gov.uk/2016/02/19/sweett-group-plc-sentenced-and-ordered-to-pay-2-3-million-after-bribery-act-conviction/" TargetMode="External"/><Relationship Id="rId63" Type="http://schemas.openxmlformats.org/officeDocument/2006/relationships/hyperlink" Target="https://lordslibrary.parliament.uk/bribery-act-2010-post-legislative-scrutiny/" TargetMode="External"/><Relationship Id="rId68" Type="http://schemas.openxmlformats.org/officeDocument/2006/relationships/hyperlink" Target="https://www.crowe.com/uk/insights/financial-cost-fraud-data-2021" TargetMode="External"/><Relationship Id="rId76" Type="http://schemas.openxmlformats.org/officeDocument/2006/relationships/hyperlink" Target="https://publications.parliament.uk/pa/ld201719/ldselect/ldbribact/303/303.pdf" TargetMode="External"/><Relationship Id="rId84" Type="http://schemas.openxmlformats.org/officeDocument/2006/relationships/hyperlink" Target="https://www.ncvo.org.uk/news-and-insights/news-index/uk-civil-society-almanac-2021/profile/voluntary-sector-definition/" TargetMode="External"/><Relationship Id="rId7" Type="http://schemas.openxmlformats.org/officeDocument/2006/relationships/hyperlink" Target="https://lawcom.gov.uk/project/corporate-criminal-liability/" TargetMode="External"/><Relationship Id="rId71" Type="http://schemas.openxmlformats.org/officeDocument/2006/relationships/hyperlink" Target="https://s3-eu-west-2.amazonaws.com/cloud-platform-e218f50a4812967ba1215eaecede923f/uploads/sites/30/2022/06/Corporate-Criminal-Liability-Options-Paper_LC.pdf" TargetMode="External"/><Relationship Id="rId2" Type="http://schemas.openxmlformats.org/officeDocument/2006/relationships/hyperlink" Target="https://lawcom.gov.uk/project/corporate-criminal-liability/" TargetMode="External"/><Relationship Id="rId16" Type="http://schemas.openxmlformats.org/officeDocument/2006/relationships/hyperlink" Target="https://www.sfo.gov.uk/our-cases/" TargetMode="External"/><Relationship Id="rId29" Type="http://schemas.openxmlformats.org/officeDocument/2006/relationships/hyperlink" Target="https://assets.publishing.service.gov.uk/government/uploads/system/uploads/attachment_data/file/1063330/Green_Book_2022.pdf" TargetMode="External"/><Relationship Id="rId11" Type="http://schemas.openxmlformats.org/officeDocument/2006/relationships/hyperlink" Target="https://www.gov.uk/government/publications/economic-crime-survey-2020" TargetMode="External"/><Relationship Id="rId24" Type="http://schemas.openxmlformats.org/officeDocument/2006/relationships/hyperlink" Target="http://www.gov.uk" TargetMode="External"/><Relationship Id="rId32" Type="http://schemas.openxmlformats.org/officeDocument/2006/relationships/hyperlink" Target="https://www.gov.uk/government/publications/economic-crime-survey-2020/economic-crime-survey-2020" TargetMode="External"/><Relationship Id="rId37" Type="http://schemas.openxmlformats.org/officeDocument/2006/relationships/hyperlink" Target="http://www.gov.uk" TargetMode="External"/><Relationship Id="rId40" Type="http://schemas.openxmlformats.org/officeDocument/2006/relationships/hyperlink" Target="https://www.gov.uk/government/statistics/gdp-deflators-at-market-prices-and-money-gdp-september-2023-quarterly-national-accounts" TargetMode="External"/><Relationship Id="rId45" Type="http://schemas.openxmlformats.org/officeDocument/2006/relationships/hyperlink" Target="https://www.shell.com/sustainability/transparency-and-sustainability-reporting/transparency-and-anti-corruption.html" TargetMode="External"/><Relationship Id="rId53" Type="http://schemas.openxmlformats.org/officeDocument/2006/relationships/hyperlink" Target="https://www.sfo.gov.uk/foi-request/2020-040-bribery-act-2010/" TargetMode="External"/><Relationship Id="rId58" Type="http://schemas.openxmlformats.org/officeDocument/2006/relationships/hyperlink" Target="https://www.sfo.gov.uk/publications/guidance-policy-and-protocols/guidance-for-corporates/deferred-prosecution-agreements/" TargetMode="External"/><Relationship Id="rId66" Type="http://schemas.openxmlformats.org/officeDocument/2006/relationships/hyperlink" Target="https://assets.publishing.service.gov.uk/government/uploads/system/uploads/attachment_data/file/732110/the-economic-and-social-costs-of-crime-horr99.pdf" TargetMode="External"/><Relationship Id="rId74" Type="http://schemas.openxmlformats.org/officeDocument/2006/relationships/hyperlink" Target="https://www.gov.uk/government/publications/better-regulation-framework" TargetMode="External"/><Relationship Id="rId79" Type="http://schemas.openxmlformats.org/officeDocument/2006/relationships/hyperlink" Target="https://www.digitalmarketplace.service.gov.uk/g-cloud/services/279752966611539" TargetMode="External"/><Relationship Id="rId87" Type="http://schemas.openxmlformats.org/officeDocument/2006/relationships/hyperlink" Target="https://www.accountancywales.com/social-clubs/faqs/constitutional/registered-societies-formally-industrial-and-provident-societies/" TargetMode="External"/><Relationship Id="rId5" Type="http://schemas.openxmlformats.org/officeDocument/2006/relationships/hyperlink" Target="https://www.legislation.gov.uk/ukpga/2023/56/schedule/13" TargetMode="External"/><Relationship Id="rId61" Type="http://schemas.openxmlformats.org/officeDocument/2006/relationships/hyperlink" Target="https://www.cps.gov.uk/cps/news/first-ever-cps-deferred-prosecution-agreement-ps615-million" TargetMode="External"/><Relationship Id="rId82" Type="http://schemas.openxmlformats.org/officeDocument/2006/relationships/hyperlink" Target="https://www.gov.uk/government/publications/better-regulation-framework" TargetMode="External"/><Relationship Id="rId19" Type="http://schemas.openxmlformats.org/officeDocument/2006/relationships/hyperlink" Target="https://www.gov.uk/government/publications/better-regulation-framework/medium-sized-business-regulatory-exemption-assessment-supplementary-guidance--2" TargetMode="External"/><Relationship Id="rId4" Type="http://schemas.openxmlformats.org/officeDocument/2006/relationships/hyperlink" Target="https://www.lawcom.gov.uk/project/corporate-criminal-liability/" TargetMode="External"/><Relationship Id="rId9" Type="http://schemas.openxmlformats.org/officeDocument/2006/relationships/hyperlink" Target="https://s3-eu-west-2.amazonaws.com/cloud-platform-e218f50a4812967ba1215eaecede923f/uploads/sites/30/2022/06/Corporate-Criminal-Liability-Options-Paper_LC.pdf" TargetMode="External"/><Relationship Id="rId14" Type="http://schemas.openxmlformats.org/officeDocument/2006/relationships/hyperlink" Target="https://publications.parliament.uk/pa/ld201719/ldselect/ldbribact/303/303.pdf" TargetMode="External"/><Relationship Id="rId22" Type="http://schemas.openxmlformats.org/officeDocument/2006/relationships/hyperlink" Target="https://www.gov.uk/government/statistics/business-population-estimates-2021" TargetMode="External"/><Relationship Id="rId27" Type="http://schemas.openxmlformats.org/officeDocument/2006/relationships/hyperlink" Target="https://www.gov.uk/government/publications/economic-crime-survey-2020/economic-crime-survey-2020" TargetMode="External"/><Relationship Id="rId30" Type="http://schemas.openxmlformats.org/officeDocument/2006/relationships/hyperlink" Target="https://readingsoft.com/" TargetMode="External"/><Relationship Id="rId35" Type="http://schemas.openxmlformats.org/officeDocument/2006/relationships/hyperlink" Target="https://assets.publishing.service.gov.uk/media/5a809f87e5274a2e8ab5134c/insight-into-awareness-and-impact-of-the-bribery-act-2010.pdf" TargetMode="External"/><Relationship Id="rId43" Type="http://schemas.openxmlformats.org/officeDocument/2006/relationships/hyperlink" Target="https://assets.publishing.service.gov.uk/media/5a82aaa0e5274a2e8ab58b82/Tackling-tax-evasion-corporate-offences.pdf" TargetMode="External"/><Relationship Id="rId48" Type="http://schemas.openxmlformats.org/officeDocument/2006/relationships/hyperlink" Target="https://www.virtual-college.co.uk/courses/compliance/the-bribery-act-2010" TargetMode="External"/><Relationship Id="rId56" Type="http://schemas.openxmlformats.org/officeDocument/2006/relationships/hyperlink" Target="https://www.sfo.gov.uk/2022/11/03/glencore-energy-uk-ltd-will-pay-280965092-95-million-over-400-million-usd-after-an-sfo-investigation-revealed-it-paid-us-29-million-in-bribes-to-gain-preferential-access-to-oil-in-africa/" TargetMode="External"/><Relationship Id="rId64" Type="http://schemas.openxmlformats.org/officeDocument/2006/relationships/hyperlink" Target="https://www.ons.gov.uk/peoplepopulationandcommunity/crimeandjustice/datasets/crimeinenglandandwalesappendixtables" TargetMode="External"/><Relationship Id="rId69" Type="http://schemas.openxmlformats.org/officeDocument/2006/relationships/hyperlink" Target="https://www.virtual-college.co.uk/courses/compliance/the-bribery-act-2010" TargetMode="External"/><Relationship Id="rId77" Type="http://schemas.openxmlformats.org/officeDocument/2006/relationships/hyperlink" Target="https://assets.publishing.service.gov.uk/government/uploads/system/uploads/attachment_data/file/440661/insight-into-awareness-and-impact-of-the-bribery-act-2010.pdf" TargetMode="External"/><Relationship Id="rId8" Type="http://schemas.openxmlformats.org/officeDocument/2006/relationships/hyperlink" Target="https://s3-eu-west-2.amazonaws.com/cloud-platform-e218f50a4812967ba1215eaecede923f/uploads/sites/30/2022/06/Corporate-Criminal-Liability-Options-Paper_LC.pdf" TargetMode="External"/><Relationship Id="rId51" Type="http://schemas.openxmlformats.org/officeDocument/2006/relationships/hyperlink" Target="https://assets.publishing.service.gov.uk/government/uploads/system/uploads/attachment_data/file/440661/insight-into-awareness-and-impact-of-the-bribery-act-2010.pdf" TargetMode="External"/><Relationship Id="rId72" Type="http://schemas.openxmlformats.org/officeDocument/2006/relationships/hyperlink" Target="https://www.gov.uk/government/publications/proportionality-in-regulatory-submissions-guidance" TargetMode="External"/><Relationship Id="rId80" Type="http://schemas.openxmlformats.org/officeDocument/2006/relationships/hyperlink" Target="https://assets.publishing.service.gov.uk/government/uploads/system/uploads/attachment_data/file/1019905/BPE__2021_detailed_tables.ods" TargetMode="External"/><Relationship Id="rId85" Type="http://schemas.openxmlformats.org/officeDocument/2006/relationships/hyperlink" Target="https://www.informdirect.co.uk/company-formation/community-interest-company-cic-advantages-disadvantanges/" TargetMode="External"/><Relationship Id="rId3" Type="http://schemas.openxmlformats.org/officeDocument/2006/relationships/hyperlink" Target="https://s3-eu-west-2.amazonaws.com/cloud-platform-e218f50a4812967ba1215eaecede923f/uploads/sites/30/2022/06/Corporate-Criminal-Liability-Options-Paper_LC.pdf" TargetMode="External"/><Relationship Id="rId12" Type="http://schemas.openxmlformats.org/officeDocument/2006/relationships/hyperlink" Target="https://www.justice.gov/corporate-crime/corporate-crime-case-database?f%5B0%5D=cases_index_list_component%3A4271" TargetMode="External"/><Relationship Id="rId17" Type="http://schemas.openxmlformats.org/officeDocument/2006/relationships/hyperlink" Target="https://www.legislation.gov.uk/ukpga/2023/56/section/202/2023-12-26" TargetMode="External"/><Relationship Id="rId25" Type="http://schemas.openxmlformats.org/officeDocument/2006/relationships/hyperlink" Target="https://www.gov.uk/government/publications/economic-crime-survey-2020/economic-crime-survey-2020" TargetMode="External"/><Relationship Id="rId33" Type="http://schemas.openxmlformats.org/officeDocument/2006/relationships/hyperlink" Target="https://www.gov.uk/government/statistics/business-population-estimates-2021" TargetMode="External"/><Relationship Id="rId38" Type="http://schemas.openxmlformats.org/officeDocument/2006/relationships/hyperlink" Target="https://www.gov.uk/government/publications/corporate-offences-for-failing-to-prevent-criminal-facilitation-of-tax-evasion" TargetMode="External"/><Relationship Id="rId46" Type="http://schemas.openxmlformats.org/officeDocument/2006/relationships/hyperlink" Target="https://www.gov.uk/government/statistics/business-population-estimates-2021" TargetMode="External"/><Relationship Id="rId59" Type="http://schemas.openxmlformats.org/officeDocument/2006/relationships/hyperlink" Target="https://www.sfo.gov.uk/cases/r-v-bluu-solutions-limited-and-tetris-projects-limited/" TargetMode="External"/><Relationship Id="rId67" Type="http://schemas.openxmlformats.org/officeDocument/2006/relationships/hyperlink" Target="https://assets.publishing.service.gov.uk/media/64539087faf4aa0012e132cb/Fraud_Strategy_2023.pdf" TargetMode="External"/><Relationship Id="rId20" Type="http://schemas.openxmlformats.org/officeDocument/2006/relationships/hyperlink" Target="https://www.legislation.gov.uk/ukpga/2017/22/part/3" TargetMode="External"/><Relationship Id="rId41" Type="http://schemas.openxmlformats.org/officeDocument/2006/relationships/hyperlink" Target="https://ukhomeoffice.sharepoint.com/sites/PROC1309/SOCRA%20Work%20Portfolio/Fraud/Impact%20Assessments/CCL/Employee%20earnings%20in%20the%20UK%20-%20Office%20for%20National%20Statistics:" TargetMode="External"/><Relationship Id="rId54" Type="http://schemas.openxmlformats.org/officeDocument/2006/relationships/hyperlink" Target="https://www.sfo.gov.uk/2021/10/04/serious-fraud-office-secures-third-set-of-petrofac-bribery-convictions/" TargetMode="External"/><Relationship Id="rId62" Type="http://schemas.openxmlformats.org/officeDocument/2006/relationships/hyperlink" Target="https://www.legislation.gov.uk/ukpga/2023/56/section/202/2023-12-26" TargetMode="External"/><Relationship Id="rId70" Type="http://schemas.openxmlformats.org/officeDocument/2006/relationships/hyperlink" Target="https://www.legislation.gov.uk/ukpga/2023/56/part/5/crossheading/attributing-criminal-liability-for-economic-crimes-to-certain-bodies" TargetMode="External"/><Relationship Id="rId75" Type="http://schemas.openxmlformats.org/officeDocument/2006/relationships/hyperlink" Target="https://www.gov.uk/government/publications/the-magenta-book" TargetMode="External"/><Relationship Id="rId83" Type="http://schemas.openxmlformats.org/officeDocument/2006/relationships/hyperlink" Target="https://www.legislation.gov.uk/ukpga/2015/26/section/27" TargetMode="External"/><Relationship Id="rId88" Type="http://schemas.openxmlformats.org/officeDocument/2006/relationships/hyperlink" Target="https://www.inbrief.co.uk/employees/trade-unions/" TargetMode="External"/><Relationship Id="rId1" Type="http://schemas.openxmlformats.org/officeDocument/2006/relationships/hyperlink" Target="https://www.ons.gov.uk/peoplepopulationandcommunity/crimeandjustice/datasets/crimeinenglandandwalesappendixtables" TargetMode="External"/><Relationship Id="rId6" Type="http://schemas.openxmlformats.org/officeDocument/2006/relationships/hyperlink" Target="https://www.lawcom.gov.uk/law-commission-seek-views-on-corporate-criminal-liability/" TargetMode="External"/><Relationship Id="rId15" Type="http://schemas.openxmlformats.org/officeDocument/2006/relationships/hyperlink" Target="https://www.gov.uk/government/statistics/business-population-estimates-2023/business-population-estimates-for-the-uk-and-regions-2023-statistical-release" TargetMode="External"/><Relationship Id="rId23" Type="http://schemas.openxmlformats.org/officeDocument/2006/relationships/hyperlink" Target="https://www.digitalmarketplace.service.gov.uk/g-cloud/services/279752966611539" TargetMode="External"/><Relationship Id="rId28" Type="http://schemas.openxmlformats.org/officeDocument/2006/relationships/hyperlink" Target="https://www.gov.uk/government/publications/better-regulation-framework" TargetMode="External"/><Relationship Id="rId36" Type="http://schemas.openxmlformats.org/officeDocument/2006/relationships/hyperlink" Target="https://www.justice.gov.uk/downloads/legislation/bribery-act-2010-guidance.pdf" TargetMode="External"/><Relationship Id="rId49" Type="http://schemas.openxmlformats.org/officeDocument/2006/relationships/hyperlink" Target="https://assets.publishing.service.gov.uk/media/5a809f87e5274a2e8ab5134c/insight-into-awareness-and-impact-of-the-bribery-act-2010.pdf" TargetMode="External"/><Relationship Id="rId57" Type="http://schemas.openxmlformats.org/officeDocument/2006/relationships/hyperlink" Target="https://www.cps.gov.uk/cps/news/fraudsters-sentenced-million-pound-bribery-and-corruption-coca-cola-enterprises-uk-ltd" TargetMode="External"/><Relationship Id="rId10" Type="http://schemas.openxmlformats.org/officeDocument/2006/relationships/hyperlink" Target="https://www.gov.uk/government/publications/government-action-on-fraud-in-covid-support-schemes/government-action-on-fraud-in-covid-support-schemes" TargetMode="External"/><Relationship Id="rId31" Type="http://schemas.openxmlformats.org/officeDocument/2006/relationships/hyperlink" Target="http://www.gov.uk" TargetMode="External"/><Relationship Id="rId44" Type="http://schemas.openxmlformats.org/officeDocument/2006/relationships/hyperlink" Target="https://assets.publishing.service.gov.uk/media/5a82aaa0e5274a2e8ab58b82/Tackling-tax-evasion-corporate-offences.pdf" TargetMode="External"/><Relationship Id="rId52" Type="http://schemas.openxmlformats.org/officeDocument/2006/relationships/hyperlink" Target="https://stats.oecd.org/Index.aspx?DataSetCode=TENURE_AVE" TargetMode="External"/><Relationship Id="rId60" Type="http://schemas.openxmlformats.org/officeDocument/2006/relationships/hyperlink" Target="https://www.cps.gov.uk/cps/news/first-ever-cps-deferred-prosecution-agreement-ps615-million" TargetMode="External"/><Relationship Id="rId65" Type="http://schemas.openxmlformats.org/officeDocument/2006/relationships/hyperlink" Target="https://www.acfe.com/-/media/files/acfe/pdfs/rttn/2024/2024-report-to-the-nations.pdf" TargetMode="External"/><Relationship Id="rId73" Type="http://schemas.openxmlformats.org/officeDocument/2006/relationships/hyperlink" Target="https://www.digitalmarketplace.service.gov.uk/g-cloud/services/279752966611539" TargetMode="External"/><Relationship Id="rId78" Type="http://schemas.openxmlformats.org/officeDocument/2006/relationships/hyperlink" Target="https://www.legislation.gov.uk/ukpga/2023/56/section/202/2023-12-26" TargetMode="External"/><Relationship Id="rId81" Type="http://schemas.openxmlformats.org/officeDocument/2006/relationships/hyperlink" Target="https://www.gov.uk/government/statistics/companies-register-activities-statistical-release-2021-to-2022" TargetMode="External"/><Relationship Id="rId86" Type="http://schemas.openxmlformats.org/officeDocument/2006/relationships/hyperlink" Target="https://www.mrassociates.org/knowledge-base/specified-accommodation/cat-1-exempt-accommodation/tell-me-more-about-registered-socie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e9417ab-6472-4075-af16-7dc6074df91e">
      <Value>10</Value>
      <Value>2</Value>
      <Value>1</Value>
      <Value>86</Value>
    </TaxCatchAll>
    <n7493b4506bf40e28c373b1e51a33445 xmlns="4e9417ab-6472-4075-af16-7dc6074df91e">
      <Terms xmlns="http://schemas.microsoft.com/office/infopath/2007/PartnerControls">
        <TermInfo xmlns="http://schemas.microsoft.com/office/infopath/2007/PartnerControls">
          <TermName xmlns="http://schemas.microsoft.com/office/infopath/2007/PartnerControls">Process – Significant</TermName>
          <TermId xmlns="http://schemas.microsoft.com/office/infopath/2007/PartnerControls">6ccbe411-9327-473d-908e-7668b31d44e3</TermId>
        </TermInfo>
      </Terms>
    </n7493b4506bf40e28c373b1e51a33445>
    <cf401361b24e474cb011be6eb76c0e76 xmlns="4e9417ab-6472-4075-af16-7dc6074df91e">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HOMigrated xmlns="4e9417ab-6472-4075-af16-7dc6074df91e">true</HOMigrated>
    <lae2bfa7b6474897ab4a53f76ea236c7 xmlns="4e9417ab-6472-4075-af16-7dc6074df91e">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jb5e598af17141539648acf311d7477b xmlns="4e9417ab-6472-4075-af16-7dc6074df91e">
      <Terms xmlns="http://schemas.microsoft.com/office/infopath/2007/PartnerControls">
        <TermInfo xmlns="http://schemas.microsoft.com/office/infopath/2007/PartnerControls">
          <TermName xmlns="http://schemas.microsoft.com/office/infopath/2007/PartnerControls">Homeland Security Analysis and Insight (A)</TermName>
          <TermId xmlns="http://schemas.microsoft.com/office/infopath/2007/PartnerControls">00abff1e-dbe0-4499-b443-0bed4a285dda</TermId>
        </TermInfo>
      </Terms>
    </jb5e598af17141539648acf311d7477b>
    <lcf76f155ced4ddcb4097134ff3c332f xmlns="f1288a0c-7e91-400a-94fb-973fc1260e67">
      <Terms xmlns="http://schemas.microsoft.com/office/infopath/2007/PartnerControls"/>
    </lcf76f155ced4ddcb4097134ff3c332f>
  </documentManagement>
</p:properties>
</file>

<file path=customXml/item3.xml><?xml version="1.0" encoding="utf-8"?>
<?mso-contentType ?>
<SharedContentType xmlns="Microsoft.SharePoint.Taxonomy.ContentTypeSync" SourceId="93e580ec-c125-41f3-a307-e1c841722a86" ContentTypeId="0x010100A5BF1C78D9F64B679A5EBDE1C6598EBC01" PreviousValue="false"/>
</file>

<file path=customXml/item4.xml><?xml version="1.0" encoding="utf-8"?>
<ct:contentTypeSchema xmlns:ct="http://schemas.microsoft.com/office/2006/metadata/contentType" xmlns:ma="http://schemas.microsoft.com/office/2006/metadata/properties/metaAttributes" ct:_="" ma:_="" ma:contentTypeName="HO document" ma:contentTypeID="0x010100A5BF1C78D9F64B679A5EBDE1C6598EBC01005C99D269E66755448F2BE9B3C0E9BD1A" ma:contentTypeVersion="20" ma:contentTypeDescription="Create a new document." ma:contentTypeScope="" ma:versionID="ba81bba1ff278a3bc9e865528aeb9b6d">
  <xsd:schema xmlns:xsd="http://www.w3.org/2001/XMLSchema" xmlns:xs="http://www.w3.org/2001/XMLSchema" xmlns:p="http://schemas.microsoft.com/office/2006/metadata/properties" xmlns:ns2="4e9417ab-6472-4075-af16-7dc6074df91e" xmlns:ns3="f1288a0c-7e91-400a-94fb-973fc1260e67" xmlns:ns4="dc620cdd-5e0c-4a62-b043-592f7c304b60" targetNamespace="http://schemas.microsoft.com/office/2006/metadata/properties" ma:root="true" ma:fieldsID="6582071050b9a882ba52fbd84218fc20" ns2:_="" ns3:_="" ns4:_="">
    <xsd:import namespace="4e9417ab-6472-4075-af16-7dc6074df91e"/>
    <xsd:import namespace="f1288a0c-7e91-400a-94fb-973fc1260e67"/>
    <xsd:import namespace="dc620cdd-5e0c-4a62-b043-592f7c304b60"/>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jb5e598af17141539648acf311d7477b" minOccurs="0"/>
                <xsd:element ref="ns2:n7493b4506bf40e28c373b1e51a33445" minOccurs="0"/>
                <xsd:element ref="ns2:HOMigrate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17ab-6472-4075-af16-7dc6074df91e"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1;#Official|14c80daa-741b-422c-9722-f71693c9ede4" ma:fieldId="{5ae2bfa7-b647-4897-ab4a-53f76ea236c7}" ma:sspId="93e580ec-c125-41f3-a307-e1c841722a86"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7bc8a72-ff79-4db9-97d3-facd4ff26090}" ma:internalName="TaxCatchAll" ma:showField="CatchAllData" ma:web="dc620cdd-5e0c-4a62-b043-592f7c304b6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7bc8a72-ff79-4db9-97d3-facd4ff26090}" ma:internalName="TaxCatchAllLabel" ma:readOnly="true" ma:showField="CatchAllDataLabel" ma:web="dc620cdd-5e0c-4a62-b043-592f7c304b60">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2;#Crown|69589897-2828-4761-976e-717fd8e631c9" ma:fieldId="{cf401361-b24e-474c-b011-be6eb76c0e76}" ma:sspId="93e580ec-c125-41f3-a307-e1c841722a86" ma:termSetId="bdd694c6-7266-48f2-93d6-d15992cd203e" ma:anchorId="00000000-0000-0000-0000-000000000000" ma:open="false" ma:isKeyword="false">
      <xsd:complexType>
        <xsd:sequence>
          <xsd:element ref="pc:Terms" minOccurs="0" maxOccurs="1"/>
        </xsd:sequence>
      </xsd:complexType>
    </xsd:element>
    <xsd:element name="jb5e598af17141539648acf311d7477b" ma:index="14" nillable="true" ma:taxonomy="true" ma:internalName="jb5e598af17141539648acf311d7477b" ma:taxonomyFieldName="HOBusinessUnit" ma:displayName="Business unit" ma:default="-1;#Criminal Finances Team (A)|9a1414d7-59ee-4ed0-aa4e-ac33dd88dd04" ma:fieldId="{3b5e598a-f171-4153-9648-acf311d7477b}" ma:sspId="93e580ec-c125-41f3-a307-e1c841722a86" ma:termSetId="55eb802e-fbca-455b-a7d2-d5919d4ea3d2" ma:anchorId="00000000-0000-0000-0000-000000000000" ma:open="false" ma:isKeyword="false">
      <xsd:complexType>
        <xsd:sequence>
          <xsd:element ref="pc:Terms" minOccurs="0" maxOccurs="1"/>
        </xsd:sequence>
      </xsd:complexType>
    </xsd:element>
    <xsd:element name="n7493b4506bf40e28c373b1e51a33445" ma:index="16" nillable="true" ma:taxonomy="true" ma:internalName="n7493b4506bf40e28c373b1e51a33445" ma:taxonomyFieldName="HOSiteType" ma:displayName="Site type" ma:default="4;#Policy – Standard|6ac71db3-f607-40c5-a1e1-b9c1a296a59c" ma:fieldId="{77493b45-06bf-40e2-8c37-3b1e51a33445}" ma:sspId="93e580ec-c125-41f3-a307-e1c841722a86" ma:termSetId="4518b03a-1a05-49af-8bf2-e5548589f21b" ma:anchorId="00000000-0000-0000-0000-000000000000" ma:open="false" ma:isKeyword="false">
      <xsd:complexType>
        <xsd:sequence>
          <xsd:element ref="pc:Terms" minOccurs="0" maxOccurs="1"/>
        </xsd:sequence>
      </xsd:complexType>
    </xsd:element>
    <xsd:element name="HOMigrated" ma:index="18" nillable="true" ma:displayName="Migrated" ma:default="0" ma:internalName="HOMigra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1288a0c-7e91-400a-94fb-973fc1260e67"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AutoTags" ma:index="25" nillable="true" ma:displayName="Tags" ma:internalName="MediaServiceAutoTags"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LengthInSeconds" ma:index="30" nillable="true" ma:displayName="Length (seconds)" ma:internalName="MediaLengthInSeconds" ma:readOnly="true">
      <xsd:simpleType>
        <xsd:restriction base="dms:Unknown"/>
      </xsd:simpleType>
    </xsd:element>
    <xsd:element name="lcf76f155ced4ddcb4097134ff3c332f" ma:index="32" nillable="true" ma:taxonomy="true" ma:internalName="lcf76f155ced4ddcb4097134ff3c332f" ma:taxonomyFieldName="MediaServiceImageTags" ma:displayName="Image Tags" ma:readOnly="false" ma:fieldId="{5cf76f15-5ced-4ddc-b409-7134ff3c332f}" ma:taxonomyMulti="true" ma:sspId="93e580ec-c125-41f3-a307-e1c841722a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620cdd-5e0c-4a62-b043-592f7c304b60"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F63A4A-D635-4385-A4D4-5E8F5C874F74}">
  <ds:schemaRefs>
    <ds:schemaRef ds:uri="http://schemas.openxmlformats.org/officeDocument/2006/bibliography"/>
  </ds:schemaRefs>
</ds:datastoreItem>
</file>

<file path=customXml/itemProps2.xml><?xml version="1.0" encoding="utf-8"?>
<ds:datastoreItem xmlns:ds="http://schemas.openxmlformats.org/officeDocument/2006/customXml" ds:itemID="{BFB01731-2485-4F99-A972-95E1624688F6}">
  <ds:schemaRefs>
    <ds:schemaRef ds:uri="http://purl.org/dc/elements/1.1/"/>
    <ds:schemaRef ds:uri="http://schemas.microsoft.com/office/2006/metadata/properties"/>
    <ds:schemaRef ds:uri="e8289077-5bb8-460c-984f-7878551e0ae2"/>
    <ds:schemaRef ds:uri="http://purl.org/dc/terms/"/>
    <ds:schemaRef ds:uri="http://schemas.openxmlformats.org/package/2006/metadata/core-properties"/>
    <ds:schemaRef ds:uri="http://schemas.microsoft.com/office/2006/documentManagement/types"/>
    <ds:schemaRef ds:uri="4e9417ab-6472-4075-af16-7dc6074df91e"/>
    <ds:schemaRef ds:uri="http://schemas.microsoft.com/office/infopath/2007/PartnerControls"/>
    <ds:schemaRef ds:uri="b2c90834-a3f4-4c93-8982-c41b186f178b"/>
    <ds:schemaRef ds:uri="http://www.w3.org/XML/1998/namespace"/>
    <ds:schemaRef ds:uri="http://purl.org/dc/dcmitype/"/>
    <ds:schemaRef ds:uri="f1288a0c-7e91-400a-94fb-973fc1260e67"/>
  </ds:schemaRefs>
</ds:datastoreItem>
</file>

<file path=customXml/itemProps3.xml><?xml version="1.0" encoding="utf-8"?>
<ds:datastoreItem xmlns:ds="http://schemas.openxmlformats.org/officeDocument/2006/customXml" ds:itemID="{6E2DB042-C87D-431B-95CC-CDDA68D34CFB}">
  <ds:schemaRefs>
    <ds:schemaRef ds:uri="Microsoft.SharePoint.Taxonomy.ContentTypeSync"/>
  </ds:schemaRefs>
</ds:datastoreItem>
</file>

<file path=customXml/itemProps4.xml><?xml version="1.0" encoding="utf-8"?>
<ds:datastoreItem xmlns:ds="http://schemas.openxmlformats.org/officeDocument/2006/customXml" ds:itemID="{0044D5A1-4704-41C1-BBF4-8F757D170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417ab-6472-4075-af16-7dc6074df91e"/>
    <ds:schemaRef ds:uri="f1288a0c-7e91-400a-94fb-973fc1260e67"/>
    <ds:schemaRef ds:uri="dc620cdd-5e0c-4a62-b043-592f7c304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3076BA-9B04-4B50-BDEE-B7B6C4FC8A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18502</Words>
  <Characters>98214</Characters>
  <Application>Microsoft Office Word</Application>
  <DocSecurity>4</DocSecurity>
  <Lines>818</Lines>
  <Paragraphs>232</Paragraphs>
  <ScaleCrop>false</ScaleCrop>
  <HeadingPairs>
    <vt:vector size="2" baseType="variant">
      <vt:variant>
        <vt:lpstr>Title</vt:lpstr>
      </vt:variant>
      <vt:variant>
        <vt:i4>1</vt:i4>
      </vt:variant>
    </vt:vector>
  </HeadingPairs>
  <TitlesOfParts>
    <vt:vector size="1" baseType="lpstr">
      <vt:lpstr>Impact Assessment</vt:lpstr>
    </vt:vector>
  </TitlesOfParts>
  <Company>BIS</Company>
  <LinksUpToDate>false</LinksUpToDate>
  <CharactersWithSpaces>116484</CharactersWithSpaces>
  <SharedDoc>false</SharedDoc>
  <HLinks>
    <vt:vector size="522" baseType="variant">
      <vt:variant>
        <vt:i4>5308428</vt:i4>
      </vt:variant>
      <vt:variant>
        <vt:i4>270</vt:i4>
      </vt:variant>
      <vt:variant>
        <vt:i4>0</vt:i4>
      </vt:variant>
      <vt:variant>
        <vt:i4>5</vt:i4>
      </vt:variant>
      <vt:variant>
        <vt:lpwstr>https://www.inbrief.co.uk/employees/trade-unions/</vt:lpwstr>
      </vt:variant>
      <vt:variant>
        <vt:lpwstr/>
      </vt:variant>
      <vt:variant>
        <vt:i4>2818099</vt:i4>
      </vt:variant>
      <vt:variant>
        <vt:i4>267</vt:i4>
      </vt:variant>
      <vt:variant>
        <vt:i4>0</vt:i4>
      </vt:variant>
      <vt:variant>
        <vt:i4>5</vt:i4>
      </vt:variant>
      <vt:variant>
        <vt:lpwstr>https://www.accountancywales.com/social-clubs/faqs/constitutional/registered-societies-formally-industrial-and-provident-societies/</vt:lpwstr>
      </vt:variant>
      <vt:variant>
        <vt:lpwstr/>
      </vt:variant>
      <vt:variant>
        <vt:i4>2359330</vt:i4>
      </vt:variant>
      <vt:variant>
        <vt:i4>264</vt:i4>
      </vt:variant>
      <vt:variant>
        <vt:i4>0</vt:i4>
      </vt:variant>
      <vt:variant>
        <vt:i4>5</vt:i4>
      </vt:variant>
      <vt:variant>
        <vt:lpwstr>https://www.mrassociates.org/knowledge-base/specified-accommodation/cat-1-exempt-accommodation/tell-me-more-about-registered-societies</vt:lpwstr>
      </vt:variant>
      <vt:variant>
        <vt:lpwstr/>
      </vt:variant>
      <vt:variant>
        <vt:i4>8060981</vt:i4>
      </vt:variant>
      <vt:variant>
        <vt:i4>261</vt:i4>
      </vt:variant>
      <vt:variant>
        <vt:i4>0</vt:i4>
      </vt:variant>
      <vt:variant>
        <vt:i4>5</vt:i4>
      </vt:variant>
      <vt:variant>
        <vt:lpwstr>https://www.informdirect.co.uk/company-formation/community-interest-company-cic-advantages-disadvantanges/</vt:lpwstr>
      </vt:variant>
      <vt:variant>
        <vt:lpwstr/>
      </vt:variant>
      <vt:variant>
        <vt:i4>6619223</vt:i4>
      </vt:variant>
      <vt:variant>
        <vt:i4>258</vt:i4>
      </vt:variant>
      <vt:variant>
        <vt:i4>0</vt:i4>
      </vt:variant>
      <vt:variant>
        <vt:i4>5</vt:i4>
      </vt:variant>
      <vt:variant>
        <vt:lpwstr>https://www.ncvo.org.uk/news-and-insights/news-index/uk-civil-society-almanac-2021/profile/voluntary-sector-definition/</vt:lpwstr>
      </vt:variant>
      <vt:variant>
        <vt:lpwstr>/</vt:lpwstr>
      </vt:variant>
      <vt:variant>
        <vt:i4>7078015</vt:i4>
      </vt:variant>
      <vt:variant>
        <vt:i4>255</vt:i4>
      </vt:variant>
      <vt:variant>
        <vt:i4>0</vt:i4>
      </vt:variant>
      <vt:variant>
        <vt:i4>5</vt:i4>
      </vt:variant>
      <vt:variant>
        <vt:lpwstr>https://www.legislation.gov.uk/ukpga/2015/26/section/27</vt:lpwstr>
      </vt:variant>
      <vt:variant>
        <vt:lpwstr/>
      </vt:variant>
      <vt:variant>
        <vt:i4>7405690</vt:i4>
      </vt:variant>
      <vt:variant>
        <vt:i4>252</vt:i4>
      </vt:variant>
      <vt:variant>
        <vt:i4>0</vt:i4>
      </vt:variant>
      <vt:variant>
        <vt:i4>5</vt:i4>
      </vt:variant>
      <vt:variant>
        <vt:lpwstr>https://www.gov.uk/government/publications/better-regulation-framework</vt:lpwstr>
      </vt:variant>
      <vt:variant>
        <vt:lpwstr/>
      </vt:variant>
      <vt:variant>
        <vt:i4>4063281</vt:i4>
      </vt:variant>
      <vt:variant>
        <vt:i4>249</vt:i4>
      </vt:variant>
      <vt:variant>
        <vt:i4>0</vt:i4>
      </vt:variant>
      <vt:variant>
        <vt:i4>5</vt:i4>
      </vt:variant>
      <vt:variant>
        <vt:lpwstr>https://www.gov.uk/government/statistics/companies-register-activities-statistical-release-2021-to-2022</vt:lpwstr>
      </vt:variant>
      <vt:variant>
        <vt:lpwstr/>
      </vt:variant>
      <vt:variant>
        <vt:i4>8323090</vt:i4>
      </vt:variant>
      <vt:variant>
        <vt:i4>246</vt:i4>
      </vt:variant>
      <vt:variant>
        <vt:i4>0</vt:i4>
      </vt:variant>
      <vt:variant>
        <vt:i4>5</vt:i4>
      </vt:variant>
      <vt:variant>
        <vt:lpwstr>https://assets.publishing.service.gov.uk/government/uploads/system/uploads/attachment_data/file/1019905/BPE__2021_detailed_tables.ods</vt:lpwstr>
      </vt:variant>
      <vt:variant>
        <vt:lpwstr/>
      </vt:variant>
      <vt:variant>
        <vt:i4>7667821</vt:i4>
      </vt:variant>
      <vt:variant>
        <vt:i4>243</vt:i4>
      </vt:variant>
      <vt:variant>
        <vt:i4>0</vt:i4>
      </vt:variant>
      <vt:variant>
        <vt:i4>5</vt:i4>
      </vt:variant>
      <vt:variant>
        <vt:lpwstr>https://www.digitalmarketplace.service.gov.uk/g-cloud/services/279752966611539</vt:lpwstr>
      </vt:variant>
      <vt:variant>
        <vt:lpwstr/>
      </vt:variant>
      <vt:variant>
        <vt:i4>7340158</vt:i4>
      </vt:variant>
      <vt:variant>
        <vt:i4>240</vt:i4>
      </vt:variant>
      <vt:variant>
        <vt:i4>0</vt:i4>
      </vt:variant>
      <vt:variant>
        <vt:i4>5</vt:i4>
      </vt:variant>
      <vt:variant>
        <vt:lpwstr>https://www.legislation.gov.uk/ukpga/2023/56/section/202/2023-12-26</vt:lpwstr>
      </vt:variant>
      <vt:variant>
        <vt:lpwstr/>
      </vt:variant>
      <vt:variant>
        <vt:i4>3670102</vt:i4>
      </vt:variant>
      <vt:variant>
        <vt:i4>237</vt:i4>
      </vt:variant>
      <vt:variant>
        <vt:i4>0</vt:i4>
      </vt:variant>
      <vt:variant>
        <vt:i4>5</vt:i4>
      </vt:variant>
      <vt:variant>
        <vt:lpwstr>https://assets.publishing.service.gov.uk/government/uploads/system/uploads/attachment_data/file/440661/insight-into-awareness-and-impact-of-the-bribery-act-2010.pdf</vt:lpwstr>
      </vt:variant>
      <vt:variant>
        <vt:lpwstr/>
      </vt:variant>
      <vt:variant>
        <vt:i4>4784214</vt:i4>
      </vt:variant>
      <vt:variant>
        <vt:i4>234</vt:i4>
      </vt:variant>
      <vt:variant>
        <vt:i4>0</vt:i4>
      </vt:variant>
      <vt:variant>
        <vt:i4>5</vt:i4>
      </vt:variant>
      <vt:variant>
        <vt:lpwstr>https://publications.parliament.uk/pa/ld201719/ldselect/ldbribact/303/303.pdf</vt:lpwstr>
      </vt:variant>
      <vt:variant>
        <vt:lpwstr/>
      </vt:variant>
      <vt:variant>
        <vt:i4>2490427</vt:i4>
      </vt:variant>
      <vt:variant>
        <vt:i4>231</vt:i4>
      </vt:variant>
      <vt:variant>
        <vt:i4>0</vt:i4>
      </vt:variant>
      <vt:variant>
        <vt:i4>5</vt:i4>
      </vt:variant>
      <vt:variant>
        <vt:lpwstr>https://www.gov.uk/government/publications/the-magenta-book</vt:lpwstr>
      </vt:variant>
      <vt:variant>
        <vt:lpwstr/>
      </vt:variant>
      <vt:variant>
        <vt:i4>7405690</vt:i4>
      </vt:variant>
      <vt:variant>
        <vt:i4>228</vt:i4>
      </vt:variant>
      <vt:variant>
        <vt:i4>0</vt:i4>
      </vt:variant>
      <vt:variant>
        <vt:i4>5</vt:i4>
      </vt:variant>
      <vt:variant>
        <vt:lpwstr>https://www.gov.uk/government/publications/better-regulation-framework</vt:lpwstr>
      </vt:variant>
      <vt:variant>
        <vt:lpwstr/>
      </vt:variant>
      <vt:variant>
        <vt:i4>7667821</vt:i4>
      </vt:variant>
      <vt:variant>
        <vt:i4>225</vt:i4>
      </vt:variant>
      <vt:variant>
        <vt:i4>0</vt:i4>
      </vt:variant>
      <vt:variant>
        <vt:i4>5</vt:i4>
      </vt:variant>
      <vt:variant>
        <vt:lpwstr>https://www.digitalmarketplace.service.gov.uk/g-cloud/services/279752966611539</vt:lpwstr>
      </vt:variant>
      <vt:variant>
        <vt:lpwstr/>
      </vt:variant>
      <vt:variant>
        <vt:i4>1900556</vt:i4>
      </vt:variant>
      <vt:variant>
        <vt:i4>222</vt:i4>
      </vt:variant>
      <vt:variant>
        <vt:i4>0</vt:i4>
      </vt:variant>
      <vt:variant>
        <vt:i4>5</vt:i4>
      </vt:variant>
      <vt:variant>
        <vt:lpwstr>https://www.gov.uk/government/publications/proportionality-in-regulatory-submissions-guidance</vt:lpwstr>
      </vt:variant>
      <vt:variant>
        <vt:lpwstr/>
      </vt:variant>
      <vt:variant>
        <vt:i4>7274499</vt:i4>
      </vt:variant>
      <vt:variant>
        <vt:i4>219</vt:i4>
      </vt:variant>
      <vt:variant>
        <vt:i4>0</vt:i4>
      </vt:variant>
      <vt:variant>
        <vt:i4>5</vt:i4>
      </vt:variant>
      <vt:variant>
        <vt:lpwstr>https://s3-eu-west-2.amazonaws.com/cloud-platform-e218f50a4812967ba1215eaecede923f/uploads/sites/30/2022/06/Corporate-Criminal-Liability-Options-Paper_LC.pdf</vt:lpwstr>
      </vt:variant>
      <vt:variant>
        <vt:lpwstr>page=55</vt:lpwstr>
      </vt:variant>
      <vt:variant>
        <vt:i4>4784217</vt:i4>
      </vt:variant>
      <vt:variant>
        <vt:i4>216</vt:i4>
      </vt:variant>
      <vt:variant>
        <vt:i4>0</vt:i4>
      </vt:variant>
      <vt:variant>
        <vt:i4>5</vt:i4>
      </vt:variant>
      <vt:variant>
        <vt:lpwstr>https://www.legislation.gov.uk/ukpga/2023/56/part/5/crossheading/attributing-criminal-liability-for-economic-crimes-to-certain-bodies</vt:lpwstr>
      </vt:variant>
      <vt:variant>
        <vt:lpwstr/>
      </vt:variant>
      <vt:variant>
        <vt:i4>6029401</vt:i4>
      </vt:variant>
      <vt:variant>
        <vt:i4>213</vt:i4>
      </vt:variant>
      <vt:variant>
        <vt:i4>0</vt:i4>
      </vt:variant>
      <vt:variant>
        <vt:i4>5</vt:i4>
      </vt:variant>
      <vt:variant>
        <vt:lpwstr>https://www.virtual-college.co.uk/courses/compliance/the-bribery-act-2010</vt:lpwstr>
      </vt:variant>
      <vt:variant>
        <vt:lpwstr/>
      </vt:variant>
      <vt:variant>
        <vt:i4>851989</vt:i4>
      </vt:variant>
      <vt:variant>
        <vt:i4>210</vt:i4>
      </vt:variant>
      <vt:variant>
        <vt:i4>0</vt:i4>
      </vt:variant>
      <vt:variant>
        <vt:i4>5</vt:i4>
      </vt:variant>
      <vt:variant>
        <vt:lpwstr>https://www.crowe.com/uk/insights/financial-cost-fraud-data-2021</vt:lpwstr>
      </vt:variant>
      <vt:variant>
        <vt:lpwstr/>
      </vt:variant>
      <vt:variant>
        <vt:i4>5767171</vt:i4>
      </vt:variant>
      <vt:variant>
        <vt:i4>207</vt:i4>
      </vt:variant>
      <vt:variant>
        <vt:i4>0</vt:i4>
      </vt:variant>
      <vt:variant>
        <vt:i4>5</vt:i4>
      </vt:variant>
      <vt:variant>
        <vt:lpwstr>https://assets.publishing.service.gov.uk/media/64539087faf4aa0012e132cb/Fraud_Strategy_2023.pdf</vt:lpwstr>
      </vt:variant>
      <vt:variant>
        <vt:lpwstr/>
      </vt:variant>
      <vt:variant>
        <vt:i4>2490439</vt:i4>
      </vt:variant>
      <vt:variant>
        <vt:i4>204</vt:i4>
      </vt:variant>
      <vt:variant>
        <vt:i4>0</vt:i4>
      </vt:variant>
      <vt:variant>
        <vt:i4>5</vt:i4>
      </vt:variant>
      <vt:variant>
        <vt:lpwstr>https://assets.publishing.service.gov.uk/government/uploads/system/uploads/attachment_data/file/732110/the-economic-and-social-costs-of-crime-horr99.pdf</vt:lpwstr>
      </vt:variant>
      <vt:variant>
        <vt:lpwstr/>
      </vt:variant>
      <vt:variant>
        <vt:i4>852061</vt:i4>
      </vt:variant>
      <vt:variant>
        <vt:i4>201</vt:i4>
      </vt:variant>
      <vt:variant>
        <vt:i4>0</vt:i4>
      </vt:variant>
      <vt:variant>
        <vt:i4>5</vt:i4>
      </vt:variant>
      <vt:variant>
        <vt:lpwstr>https://www.acfe.com/-/media/files/acfe/pdfs/rttn/2024/2024-report-to-the-nations.pdf</vt:lpwstr>
      </vt:variant>
      <vt:variant>
        <vt:lpwstr/>
      </vt:variant>
      <vt:variant>
        <vt:i4>6029377</vt:i4>
      </vt:variant>
      <vt:variant>
        <vt:i4>198</vt:i4>
      </vt:variant>
      <vt:variant>
        <vt:i4>0</vt:i4>
      </vt:variant>
      <vt:variant>
        <vt:i4>5</vt:i4>
      </vt:variant>
      <vt:variant>
        <vt:lpwstr>https://www.ons.gov.uk/peoplepopulationandcommunity/crimeandjustice/datasets/crimeinenglandandwalesappendixtables</vt:lpwstr>
      </vt:variant>
      <vt:variant>
        <vt:lpwstr/>
      </vt:variant>
      <vt:variant>
        <vt:i4>3604523</vt:i4>
      </vt:variant>
      <vt:variant>
        <vt:i4>195</vt:i4>
      </vt:variant>
      <vt:variant>
        <vt:i4>0</vt:i4>
      </vt:variant>
      <vt:variant>
        <vt:i4>5</vt:i4>
      </vt:variant>
      <vt:variant>
        <vt:lpwstr>https://lordslibrary.parliament.uk/bribery-act-2010-post-legislative-scrutiny/</vt:lpwstr>
      </vt:variant>
      <vt:variant>
        <vt:lpwstr/>
      </vt:variant>
      <vt:variant>
        <vt:i4>7340158</vt:i4>
      </vt:variant>
      <vt:variant>
        <vt:i4>192</vt:i4>
      </vt:variant>
      <vt:variant>
        <vt:i4>0</vt:i4>
      </vt:variant>
      <vt:variant>
        <vt:i4>5</vt:i4>
      </vt:variant>
      <vt:variant>
        <vt:lpwstr>https://www.legislation.gov.uk/ukpga/2023/56/section/202/2023-12-26</vt:lpwstr>
      </vt:variant>
      <vt:variant>
        <vt:lpwstr/>
      </vt:variant>
      <vt:variant>
        <vt:i4>8126496</vt:i4>
      </vt:variant>
      <vt:variant>
        <vt:i4>189</vt:i4>
      </vt:variant>
      <vt:variant>
        <vt:i4>0</vt:i4>
      </vt:variant>
      <vt:variant>
        <vt:i4>5</vt:i4>
      </vt:variant>
      <vt:variant>
        <vt:lpwstr>https://www.cps.gov.uk/cps/news/first-ever-cps-deferred-prosecution-agreement-ps615-million</vt:lpwstr>
      </vt:variant>
      <vt:variant>
        <vt:lpwstr/>
      </vt:variant>
      <vt:variant>
        <vt:i4>8126496</vt:i4>
      </vt:variant>
      <vt:variant>
        <vt:i4>186</vt:i4>
      </vt:variant>
      <vt:variant>
        <vt:i4>0</vt:i4>
      </vt:variant>
      <vt:variant>
        <vt:i4>5</vt:i4>
      </vt:variant>
      <vt:variant>
        <vt:lpwstr>https://www.cps.gov.uk/cps/news/first-ever-cps-deferred-prosecution-agreement-ps615-million</vt:lpwstr>
      </vt:variant>
      <vt:variant>
        <vt:lpwstr/>
      </vt:variant>
      <vt:variant>
        <vt:i4>4259867</vt:i4>
      </vt:variant>
      <vt:variant>
        <vt:i4>183</vt:i4>
      </vt:variant>
      <vt:variant>
        <vt:i4>0</vt:i4>
      </vt:variant>
      <vt:variant>
        <vt:i4>5</vt:i4>
      </vt:variant>
      <vt:variant>
        <vt:lpwstr>https://www.sfo.gov.uk/cases/r-v-bluu-solutions-limited-and-tetris-projects-limited/</vt:lpwstr>
      </vt:variant>
      <vt:variant>
        <vt:lpwstr/>
      </vt:variant>
      <vt:variant>
        <vt:i4>3670053</vt:i4>
      </vt:variant>
      <vt:variant>
        <vt:i4>180</vt:i4>
      </vt:variant>
      <vt:variant>
        <vt:i4>0</vt:i4>
      </vt:variant>
      <vt:variant>
        <vt:i4>5</vt:i4>
      </vt:variant>
      <vt:variant>
        <vt:lpwstr>https://www.sfo.gov.uk/publications/guidance-policy-and-protocols/guidance-for-corporates/deferred-prosecution-agreements/</vt:lpwstr>
      </vt:variant>
      <vt:variant>
        <vt:lpwstr/>
      </vt:variant>
      <vt:variant>
        <vt:i4>3473470</vt:i4>
      </vt:variant>
      <vt:variant>
        <vt:i4>177</vt:i4>
      </vt:variant>
      <vt:variant>
        <vt:i4>0</vt:i4>
      </vt:variant>
      <vt:variant>
        <vt:i4>5</vt:i4>
      </vt:variant>
      <vt:variant>
        <vt:lpwstr>https://www.cps.gov.uk/cps/news/fraudsters-sentenced-million-pound-bribery-and-corruption-coca-cola-enterprises-uk-ltd</vt:lpwstr>
      </vt:variant>
      <vt:variant>
        <vt:lpwstr/>
      </vt:variant>
      <vt:variant>
        <vt:i4>5177430</vt:i4>
      </vt:variant>
      <vt:variant>
        <vt:i4>174</vt:i4>
      </vt:variant>
      <vt:variant>
        <vt:i4>0</vt:i4>
      </vt:variant>
      <vt:variant>
        <vt:i4>5</vt:i4>
      </vt:variant>
      <vt:variant>
        <vt:lpwstr>https://www.sfo.gov.uk/2022/11/03/glencore-energy-uk-ltd-will-pay-280965092-95-million-over-400-million-usd-after-an-sfo-investigation-revealed-it-paid-us-29-million-in-bribes-to-gain-preferential-access-to-oil-in-africa/</vt:lpwstr>
      </vt:variant>
      <vt:variant>
        <vt:lpwstr/>
      </vt:variant>
      <vt:variant>
        <vt:i4>4194371</vt:i4>
      </vt:variant>
      <vt:variant>
        <vt:i4>171</vt:i4>
      </vt:variant>
      <vt:variant>
        <vt:i4>0</vt:i4>
      </vt:variant>
      <vt:variant>
        <vt:i4>5</vt:i4>
      </vt:variant>
      <vt:variant>
        <vt:lpwstr>https://www.sfo.gov.uk/2016/02/19/sweett-group-plc-sentenced-and-ordered-to-pay-2-3-million-after-bribery-act-conviction/</vt:lpwstr>
      </vt:variant>
      <vt:variant>
        <vt:lpwstr/>
      </vt:variant>
      <vt:variant>
        <vt:i4>1704017</vt:i4>
      </vt:variant>
      <vt:variant>
        <vt:i4>168</vt:i4>
      </vt:variant>
      <vt:variant>
        <vt:i4>0</vt:i4>
      </vt:variant>
      <vt:variant>
        <vt:i4>5</vt:i4>
      </vt:variant>
      <vt:variant>
        <vt:lpwstr>https://www.sfo.gov.uk/2021/10/04/serious-fraud-office-secures-third-set-of-petrofac-bribery-convictions/</vt:lpwstr>
      </vt:variant>
      <vt:variant>
        <vt:lpwstr/>
      </vt:variant>
      <vt:variant>
        <vt:i4>131096</vt:i4>
      </vt:variant>
      <vt:variant>
        <vt:i4>165</vt:i4>
      </vt:variant>
      <vt:variant>
        <vt:i4>0</vt:i4>
      </vt:variant>
      <vt:variant>
        <vt:i4>5</vt:i4>
      </vt:variant>
      <vt:variant>
        <vt:lpwstr>https://www.sfo.gov.uk/foi-request/2020-040-bribery-act-2010/</vt:lpwstr>
      </vt:variant>
      <vt:variant>
        <vt:lpwstr/>
      </vt:variant>
      <vt:variant>
        <vt:i4>3670102</vt:i4>
      </vt:variant>
      <vt:variant>
        <vt:i4>162</vt:i4>
      </vt:variant>
      <vt:variant>
        <vt:i4>0</vt:i4>
      </vt:variant>
      <vt:variant>
        <vt:i4>5</vt:i4>
      </vt:variant>
      <vt:variant>
        <vt:lpwstr>https://assets.publishing.service.gov.uk/government/uploads/system/uploads/attachment_data/file/440661/insight-into-awareness-and-impact-of-the-bribery-act-2010.pdf</vt:lpwstr>
      </vt:variant>
      <vt:variant>
        <vt:lpwstr/>
      </vt:variant>
      <vt:variant>
        <vt:i4>2228226</vt:i4>
      </vt:variant>
      <vt:variant>
        <vt:i4>159</vt:i4>
      </vt:variant>
      <vt:variant>
        <vt:i4>0</vt:i4>
      </vt:variant>
      <vt:variant>
        <vt:i4>5</vt:i4>
      </vt:variant>
      <vt:variant>
        <vt:lpwstr>https://data-explorer.oecd.org/vis?df%5bds%5d=DisseminateFinalDMZ&amp;df%5bid%5d=DSD_TENURE%40DF_TENURE_AVE&amp;df%5bag%5d=OECD.ELS.SAE&amp;dq=.TENURE_EMP.._T._T..A&amp;pd=2015%2C&amp;to%5bTIME_PERIOD%5d=false</vt:lpwstr>
      </vt:variant>
      <vt:variant>
        <vt:lpwstr/>
      </vt:variant>
      <vt:variant>
        <vt:i4>4718666</vt:i4>
      </vt:variant>
      <vt:variant>
        <vt:i4>156</vt:i4>
      </vt:variant>
      <vt:variant>
        <vt:i4>0</vt:i4>
      </vt:variant>
      <vt:variant>
        <vt:i4>5</vt:i4>
      </vt:variant>
      <vt:variant>
        <vt:lpwstr>https://assets.publishing.service.gov.uk/media/5a809f87e5274a2e8ab5134c/insight-into-awareness-and-impact-of-the-bribery-act-2010.pdf</vt:lpwstr>
      </vt:variant>
      <vt:variant>
        <vt:lpwstr/>
      </vt:variant>
      <vt:variant>
        <vt:i4>6029401</vt:i4>
      </vt:variant>
      <vt:variant>
        <vt:i4>153</vt:i4>
      </vt:variant>
      <vt:variant>
        <vt:i4>0</vt:i4>
      </vt:variant>
      <vt:variant>
        <vt:i4>5</vt:i4>
      </vt:variant>
      <vt:variant>
        <vt:lpwstr>https://www.virtual-college.co.uk/courses/compliance/the-bribery-act-2010</vt:lpwstr>
      </vt:variant>
      <vt:variant>
        <vt:lpwstr/>
      </vt:variant>
      <vt:variant>
        <vt:i4>6029401</vt:i4>
      </vt:variant>
      <vt:variant>
        <vt:i4>150</vt:i4>
      </vt:variant>
      <vt:variant>
        <vt:i4>0</vt:i4>
      </vt:variant>
      <vt:variant>
        <vt:i4>5</vt:i4>
      </vt:variant>
      <vt:variant>
        <vt:lpwstr>https://www.virtual-college.co.uk/courses/compliance/the-bribery-act-2010</vt:lpwstr>
      </vt:variant>
      <vt:variant>
        <vt:lpwstr/>
      </vt:variant>
      <vt:variant>
        <vt:i4>6422638</vt:i4>
      </vt:variant>
      <vt:variant>
        <vt:i4>147</vt:i4>
      </vt:variant>
      <vt:variant>
        <vt:i4>0</vt:i4>
      </vt:variant>
      <vt:variant>
        <vt:i4>5</vt:i4>
      </vt:variant>
      <vt:variant>
        <vt:lpwstr>https://www.gov.uk/government/statistics/business-population-estimates-2021</vt:lpwstr>
      </vt:variant>
      <vt:variant>
        <vt:lpwstr/>
      </vt:variant>
      <vt:variant>
        <vt:i4>1179742</vt:i4>
      </vt:variant>
      <vt:variant>
        <vt:i4>144</vt:i4>
      </vt:variant>
      <vt:variant>
        <vt:i4>0</vt:i4>
      </vt:variant>
      <vt:variant>
        <vt:i4>5</vt:i4>
      </vt:variant>
      <vt:variant>
        <vt:lpwstr>https://www.shell.com/sustainability/transparency-and-sustainability-reporting/transparency-and-anti-corruption.html</vt:lpwstr>
      </vt:variant>
      <vt:variant>
        <vt:lpwstr/>
      </vt:variant>
      <vt:variant>
        <vt:i4>1900615</vt:i4>
      </vt:variant>
      <vt:variant>
        <vt:i4>138</vt:i4>
      </vt:variant>
      <vt:variant>
        <vt:i4>0</vt:i4>
      </vt:variant>
      <vt:variant>
        <vt:i4>5</vt:i4>
      </vt:variant>
      <vt:variant>
        <vt:lpwstr>https://assets.publishing.service.gov.uk/media/5a82aaa0e5274a2e8ab58b82/Tackling-tax-evasion-corporate-offences.pdf</vt:lpwstr>
      </vt:variant>
      <vt:variant>
        <vt:lpwstr>page=24</vt:lpwstr>
      </vt:variant>
      <vt:variant>
        <vt:i4>1900615</vt:i4>
      </vt:variant>
      <vt:variant>
        <vt:i4>135</vt:i4>
      </vt:variant>
      <vt:variant>
        <vt:i4>0</vt:i4>
      </vt:variant>
      <vt:variant>
        <vt:i4>5</vt:i4>
      </vt:variant>
      <vt:variant>
        <vt:lpwstr>https://assets.publishing.service.gov.uk/media/5a82aaa0e5274a2e8ab58b82/Tackling-tax-evasion-corporate-offences.pdf</vt:lpwstr>
      </vt:variant>
      <vt:variant>
        <vt:lpwstr>page=25</vt:lpwstr>
      </vt:variant>
      <vt:variant>
        <vt:i4>2752546</vt:i4>
      </vt:variant>
      <vt:variant>
        <vt:i4>132</vt:i4>
      </vt:variant>
      <vt:variant>
        <vt:i4>0</vt:i4>
      </vt:variant>
      <vt:variant>
        <vt:i4>5</vt:i4>
      </vt:variant>
      <vt:variant>
        <vt:lpwstr>https://www.ons.gov.uk/employmentandlabourmarket/peopleinwork/earningsandworkinghours/bulletins/annualsurveyofhoursandearnings/2021</vt:lpwstr>
      </vt:variant>
      <vt:variant>
        <vt:lpwstr>related-links</vt:lpwstr>
      </vt:variant>
      <vt:variant>
        <vt:i4>2162741</vt:i4>
      </vt:variant>
      <vt:variant>
        <vt:i4>129</vt:i4>
      </vt:variant>
      <vt:variant>
        <vt:i4>0</vt:i4>
      </vt:variant>
      <vt:variant>
        <vt:i4>5</vt:i4>
      </vt:variant>
      <vt:variant>
        <vt:lpwstr>https://ukhomeoffice.sharepoint.com/sites/PROC1309/SOCRA Work Portfolio/Fraud/Impact Assessments/CCL/Employee earnings in the UK - Office for National Statistics:</vt:lpwstr>
      </vt:variant>
      <vt:variant>
        <vt:lpwstr/>
      </vt:variant>
      <vt:variant>
        <vt:i4>1179662</vt:i4>
      </vt:variant>
      <vt:variant>
        <vt:i4>126</vt:i4>
      </vt:variant>
      <vt:variant>
        <vt:i4>0</vt:i4>
      </vt:variant>
      <vt:variant>
        <vt:i4>5</vt:i4>
      </vt:variant>
      <vt:variant>
        <vt:lpwstr>https://www.gov.uk/government/statistics/gdp-deflators-at-market-prices-and-money-gdp-september-2023-quarterly-national-accounts</vt:lpwstr>
      </vt:variant>
      <vt:variant>
        <vt:lpwstr/>
      </vt:variant>
      <vt:variant>
        <vt:i4>8323168</vt:i4>
      </vt:variant>
      <vt:variant>
        <vt:i4>123</vt:i4>
      </vt:variant>
      <vt:variant>
        <vt:i4>0</vt:i4>
      </vt:variant>
      <vt:variant>
        <vt:i4>5</vt:i4>
      </vt:variant>
      <vt:variant>
        <vt:lpwstr>https://assets.publishing.service.gov.uk/media/5a809f87e5274a2e8ab5134c/insight-into-awareness-and-impact-of-the-bribery-act-2010.pdf</vt:lpwstr>
      </vt:variant>
      <vt:variant>
        <vt:lpwstr>page=32</vt:lpwstr>
      </vt:variant>
      <vt:variant>
        <vt:i4>4259921</vt:i4>
      </vt:variant>
      <vt:variant>
        <vt:i4>120</vt:i4>
      </vt:variant>
      <vt:variant>
        <vt:i4>0</vt:i4>
      </vt:variant>
      <vt:variant>
        <vt:i4>5</vt:i4>
      </vt:variant>
      <vt:variant>
        <vt:lpwstr>https://www.gov.uk/government/publications/corporate-offences-for-failing-to-prevent-criminal-facilitation-of-tax-evasion</vt:lpwstr>
      </vt:variant>
      <vt:variant>
        <vt:lpwstr/>
      </vt:variant>
      <vt:variant>
        <vt:i4>6291578</vt:i4>
      </vt:variant>
      <vt:variant>
        <vt:i4>117</vt:i4>
      </vt:variant>
      <vt:variant>
        <vt:i4>0</vt:i4>
      </vt:variant>
      <vt:variant>
        <vt:i4>5</vt:i4>
      </vt:variant>
      <vt:variant>
        <vt:lpwstr>http://www.gov.uk/</vt:lpwstr>
      </vt:variant>
      <vt:variant>
        <vt:lpwstr/>
      </vt:variant>
      <vt:variant>
        <vt:i4>8192040</vt:i4>
      </vt:variant>
      <vt:variant>
        <vt:i4>114</vt:i4>
      </vt:variant>
      <vt:variant>
        <vt:i4>0</vt:i4>
      </vt:variant>
      <vt:variant>
        <vt:i4>5</vt:i4>
      </vt:variant>
      <vt:variant>
        <vt:lpwstr>https://www.justice.gov.uk/downloads/legislation/bribery-act-2010-guidance.pdf</vt:lpwstr>
      </vt:variant>
      <vt:variant>
        <vt:lpwstr/>
      </vt:variant>
      <vt:variant>
        <vt:i4>4718666</vt:i4>
      </vt:variant>
      <vt:variant>
        <vt:i4>111</vt:i4>
      </vt:variant>
      <vt:variant>
        <vt:i4>0</vt:i4>
      </vt:variant>
      <vt:variant>
        <vt:i4>5</vt:i4>
      </vt:variant>
      <vt:variant>
        <vt:lpwstr>https://assets.publishing.service.gov.uk/media/5a809f87e5274a2e8ab5134c/insight-into-awareness-and-impact-of-the-bribery-act-2010.pdf</vt:lpwstr>
      </vt:variant>
      <vt:variant>
        <vt:lpwstr/>
      </vt:variant>
      <vt:variant>
        <vt:i4>3407927</vt:i4>
      </vt:variant>
      <vt:variant>
        <vt:i4>108</vt:i4>
      </vt:variant>
      <vt:variant>
        <vt:i4>0</vt:i4>
      </vt:variant>
      <vt:variant>
        <vt:i4>5</vt:i4>
      </vt:variant>
      <vt:variant>
        <vt:lpwstr>https://www.pinsentmasons.com/out-law/guides/corporate-criminal-offences-of-failing-to-prevent-the-facilitation-of-tax-evasion-</vt:lpwstr>
      </vt:variant>
      <vt:variant>
        <vt:lpwstr>:~:text=A%20defence%20of%20reasonable%20prevention,to%20be%20procedures%20in%20place.</vt:lpwstr>
      </vt:variant>
      <vt:variant>
        <vt:i4>6422638</vt:i4>
      </vt:variant>
      <vt:variant>
        <vt:i4>105</vt:i4>
      </vt:variant>
      <vt:variant>
        <vt:i4>0</vt:i4>
      </vt:variant>
      <vt:variant>
        <vt:i4>5</vt:i4>
      </vt:variant>
      <vt:variant>
        <vt:lpwstr>https://www.gov.uk/government/statistics/business-population-estimates-2021</vt:lpwstr>
      </vt:variant>
      <vt:variant>
        <vt:lpwstr/>
      </vt:variant>
      <vt:variant>
        <vt:i4>1507351</vt:i4>
      </vt:variant>
      <vt:variant>
        <vt:i4>102</vt:i4>
      </vt:variant>
      <vt:variant>
        <vt:i4>0</vt:i4>
      </vt:variant>
      <vt:variant>
        <vt:i4>5</vt:i4>
      </vt:variant>
      <vt:variant>
        <vt:lpwstr>https://www.gov.uk/government/publications/economic-crime-survey-2020/economic-crime-survey-2020</vt:lpwstr>
      </vt:variant>
      <vt:variant>
        <vt:lpwstr>section5</vt:lpwstr>
      </vt:variant>
      <vt:variant>
        <vt:i4>6291578</vt:i4>
      </vt:variant>
      <vt:variant>
        <vt:i4>99</vt:i4>
      </vt:variant>
      <vt:variant>
        <vt:i4>0</vt:i4>
      </vt:variant>
      <vt:variant>
        <vt:i4>5</vt:i4>
      </vt:variant>
      <vt:variant>
        <vt:lpwstr>http://www.gov.uk/</vt:lpwstr>
      </vt:variant>
      <vt:variant>
        <vt:lpwstr/>
      </vt:variant>
      <vt:variant>
        <vt:i4>327752</vt:i4>
      </vt:variant>
      <vt:variant>
        <vt:i4>96</vt:i4>
      </vt:variant>
      <vt:variant>
        <vt:i4>0</vt:i4>
      </vt:variant>
      <vt:variant>
        <vt:i4>5</vt:i4>
      </vt:variant>
      <vt:variant>
        <vt:lpwstr>https://readingsoft.com/</vt:lpwstr>
      </vt:variant>
      <vt:variant>
        <vt:lpwstr/>
      </vt:variant>
      <vt:variant>
        <vt:i4>3473501</vt:i4>
      </vt:variant>
      <vt:variant>
        <vt:i4>93</vt:i4>
      </vt:variant>
      <vt:variant>
        <vt:i4>0</vt:i4>
      </vt:variant>
      <vt:variant>
        <vt:i4>5</vt:i4>
      </vt:variant>
      <vt:variant>
        <vt:lpwstr>https://assets.publishing.service.gov.uk/government/uploads/system/uploads/attachment_data/file/1063330/Green_Book_2022.pdf</vt:lpwstr>
      </vt:variant>
      <vt:variant>
        <vt:lpwstr/>
      </vt:variant>
      <vt:variant>
        <vt:i4>7405690</vt:i4>
      </vt:variant>
      <vt:variant>
        <vt:i4>90</vt:i4>
      </vt:variant>
      <vt:variant>
        <vt:i4>0</vt:i4>
      </vt:variant>
      <vt:variant>
        <vt:i4>5</vt:i4>
      </vt:variant>
      <vt:variant>
        <vt:lpwstr>https://www.gov.uk/government/publications/better-regulation-framework</vt:lpwstr>
      </vt:variant>
      <vt:variant>
        <vt:lpwstr/>
      </vt:variant>
      <vt:variant>
        <vt:i4>1507351</vt:i4>
      </vt:variant>
      <vt:variant>
        <vt:i4>87</vt:i4>
      </vt:variant>
      <vt:variant>
        <vt:i4>0</vt:i4>
      </vt:variant>
      <vt:variant>
        <vt:i4>5</vt:i4>
      </vt:variant>
      <vt:variant>
        <vt:lpwstr>https://www.gov.uk/government/publications/economic-crime-survey-2020/economic-crime-survey-2020</vt:lpwstr>
      </vt:variant>
      <vt:variant>
        <vt:lpwstr>section5</vt:lpwstr>
      </vt:variant>
      <vt:variant>
        <vt:i4>6291578</vt:i4>
      </vt:variant>
      <vt:variant>
        <vt:i4>84</vt:i4>
      </vt:variant>
      <vt:variant>
        <vt:i4>0</vt:i4>
      </vt:variant>
      <vt:variant>
        <vt:i4>5</vt:i4>
      </vt:variant>
      <vt:variant>
        <vt:lpwstr>http://www.gov.uk/</vt:lpwstr>
      </vt:variant>
      <vt:variant>
        <vt:lpwstr/>
      </vt:variant>
      <vt:variant>
        <vt:i4>1507351</vt:i4>
      </vt:variant>
      <vt:variant>
        <vt:i4>81</vt:i4>
      </vt:variant>
      <vt:variant>
        <vt:i4>0</vt:i4>
      </vt:variant>
      <vt:variant>
        <vt:i4>5</vt:i4>
      </vt:variant>
      <vt:variant>
        <vt:lpwstr>https://www.gov.uk/government/publications/economic-crime-survey-2020/economic-crime-survey-2020</vt:lpwstr>
      </vt:variant>
      <vt:variant>
        <vt:lpwstr>section5</vt:lpwstr>
      </vt:variant>
      <vt:variant>
        <vt:i4>6291578</vt:i4>
      </vt:variant>
      <vt:variant>
        <vt:i4>78</vt:i4>
      </vt:variant>
      <vt:variant>
        <vt:i4>0</vt:i4>
      </vt:variant>
      <vt:variant>
        <vt:i4>5</vt:i4>
      </vt:variant>
      <vt:variant>
        <vt:lpwstr>http://www.gov.uk/</vt:lpwstr>
      </vt:variant>
      <vt:variant>
        <vt:lpwstr/>
      </vt:variant>
      <vt:variant>
        <vt:i4>7667821</vt:i4>
      </vt:variant>
      <vt:variant>
        <vt:i4>69</vt:i4>
      </vt:variant>
      <vt:variant>
        <vt:i4>0</vt:i4>
      </vt:variant>
      <vt:variant>
        <vt:i4>5</vt:i4>
      </vt:variant>
      <vt:variant>
        <vt:lpwstr>https://www.digitalmarketplace.service.gov.uk/g-cloud/services/279752966611539</vt:lpwstr>
      </vt:variant>
      <vt:variant>
        <vt:lpwstr/>
      </vt:variant>
      <vt:variant>
        <vt:i4>6422638</vt:i4>
      </vt:variant>
      <vt:variant>
        <vt:i4>66</vt:i4>
      </vt:variant>
      <vt:variant>
        <vt:i4>0</vt:i4>
      </vt:variant>
      <vt:variant>
        <vt:i4>5</vt:i4>
      </vt:variant>
      <vt:variant>
        <vt:lpwstr>https://www.gov.uk/government/statistics/business-population-estimates-2021</vt:lpwstr>
      </vt:variant>
      <vt:variant>
        <vt:lpwstr/>
      </vt:variant>
      <vt:variant>
        <vt:i4>4259921</vt:i4>
      </vt:variant>
      <vt:variant>
        <vt:i4>60</vt:i4>
      </vt:variant>
      <vt:variant>
        <vt:i4>0</vt:i4>
      </vt:variant>
      <vt:variant>
        <vt:i4>5</vt:i4>
      </vt:variant>
      <vt:variant>
        <vt:lpwstr>https://www.gov.uk/government/publications/corporate-offences-for-failing-to-prevent-criminal-facilitation-of-tax-evasion</vt:lpwstr>
      </vt:variant>
      <vt:variant>
        <vt:lpwstr/>
      </vt:variant>
      <vt:variant>
        <vt:i4>6291513</vt:i4>
      </vt:variant>
      <vt:variant>
        <vt:i4>57</vt:i4>
      </vt:variant>
      <vt:variant>
        <vt:i4>0</vt:i4>
      </vt:variant>
      <vt:variant>
        <vt:i4>5</vt:i4>
      </vt:variant>
      <vt:variant>
        <vt:lpwstr>https://www.legislation.gov.uk/ukpga/2017/22/part/3</vt:lpwstr>
      </vt:variant>
      <vt:variant>
        <vt:lpwstr/>
      </vt:variant>
      <vt:variant>
        <vt:i4>6881342</vt:i4>
      </vt:variant>
      <vt:variant>
        <vt:i4>54</vt:i4>
      </vt:variant>
      <vt:variant>
        <vt:i4>0</vt:i4>
      </vt:variant>
      <vt:variant>
        <vt:i4>5</vt:i4>
      </vt:variant>
      <vt:variant>
        <vt:lpwstr>https://www.gov.uk/government/publications/better-regulation-framework/medium-sized-business-regulatory-exemption-assessment-supplementary-guidance--2</vt:lpwstr>
      </vt:variant>
      <vt:variant>
        <vt:lpwstr/>
      </vt:variant>
      <vt:variant>
        <vt:i4>786496</vt:i4>
      </vt:variant>
      <vt:variant>
        <vt:i4>51</vt:i4>
      </vt:variant>
      <vt:variant>
        <vt:i4>0</vt:i4>
      </vt:variant>
      <vt:variant>
        <vt:i4>5</vt:i4>
      </vt:variant>
      <vt:variant>
        <vt:lpwstr>https://www.gov.uk/government/calls-for-evidence/smarter-regulation-non-financial-reporting-review-call-for-evidence/smarter-regulation-non-financial-reporting-review-call-for-evidence</vt:lpwstr>
      </vt:variant>
      <vt:variant>
        <vt:lpwstr>fn:4</vt:lpwstr>
      </vt:variant>
      <vt:variant>
        <vt:i4>7340158</vt:i4>
      </vt:variant>
      <vt:variant>
        <vt:i4>48</vt:i4>
      </vt:variant>
      <vt:variant>
        <vt:i4>0</vt:i4>
      </vt:variant>
      <vt:variant>
        <vt:i4>5</vt:i4>
      </vt:variant>
      <vt:variant>
        <vt:lpwstr>https://www.legislation.gov.uk/ukpga/2023/56/section/202/2023-12-26</vt:lpwstr>
      </vt:variant>
      <vt:variant>
        <vt:lpwstr/>
      </vt:variant>
      <vt:variant>
        <vt:i4>5505099</vt:i4>
      </vt:variant>
      <vt:variant>
        <vt:i4>45</vt:i4>
      </vt:variant>
      <vt:variant>
        <vt:i4>0</vt:i4>
      </vt:variant>
      <vt:variant>
        <vt:i4>5</vt:i4>
      </vt:variant>
      <vt:variant>
        <vt:lpwstr>https://www.sfo.gov.uk/our-cases/</vt:lpwstr>
      </vt:variant>
      <vt:variant>
        <vt:lpwstr/>
      </vt:variant>
      <vt:variant>
        <vt:i4>4587606</vt:i4>
      </vt:variant>
      <vt:variant>
        <vt:i4>42</vt:i4>
      </vt:variant>
      <vt:variant>
        <vt:i4>0</vt:i4>
      </vt:variant>
      <vt:variant>
        <vt:i4>5</vt:i4>
      </vt:variant>
      <vt:variant>
        <vt:lpwstr>https://www.gov.uk/government/statistics/business-population-estimates-2023/business-population-estimates-for-the-uk-and-regions-2023-statistical-release</vt:lpwstr>
      </vt:variant>
      <vt:variant>
        <vt:lpwstr/>
      </vt:variant>
      <vt:variant>
        <vt:i4>4784214</vt:i4>
      </vt:variant>
      <vt:variant>
        <vt:i4>39</vt:i4>
      </vt:variant>
      <vt:variant>
        <vt:i4>0</vt:i4>
      </vt:variant>
      <vt:variant>
        <vt:i4>5</vt:i4>
      </vt:variant>
      <vt:variant>
        <vt:lpwstr>https://publications.parliament.uk/pa/ld201719/ldselect/ldbribact/303/303.pdf</vt:lpwstr>
      </vt:variant>
      <vt:variant>
        <vt:lpwstr/>
      </vt:variant>
      <vt:variant>
        <vt:i4>4784217</vt:i4>
      </vt:variant>
      <vt:variant>
        <vt:i4>36</vt:i4>
      </vt:variant>
      <vt:variant>
        <vt:i4>0</vt:i4>
      </vt:variant>
      <vt:variant>
        <vt:i4>5</vt:i4>
      </vt:variant>
      <vt:variant>
        <vt:lpwstr>https://www.legislation.gov.uk/ukpga/2023/56/part/5/crossheading/attributing-criminal-liability-for-economic-crimes-to-certain-bodies</vt:lpwstr>
      </vt:variant>
      <vt:variant>
        <vt:lpwstr/>
      </vt:variant>
      <vt:variant>
        <vt:i4>7602244</vt:i4>
      </vt:variant>
      <vt:variant>
        <vt:i4>33</vt:i4>
      </vt:variant>
      <vt:variant>
        <vt:i4>0</vt:i4>
      </vt:variant>
      <vt:variant>
        <vt:i4>5</vt:i4>
      </vt:variant>
      <vt:variant>
        <vt:lpwstr>https://www.justice.gov/corporate-crime/corporate-crime-case-database?f%5B0%5D=cases_index_list_component%3A4271</vt:lpwstr>
      </vt:variant>
      <vt:variant>
        <vt:lpwstr/>
      </vt:variant>
      <vt:variant>
        <vt:i4>5636185</vt:i4>
      </vt:variant>
      <vt:variant>
        <vt:i4>30</vt:i4>
      </vt:variant>
      <vt:variant>
        <vt:i4>0</vt:i4>
      </vt:variant>
      <vt:variant>
        <vt:i4>5</vt:i4>
      </vt:variant>
      <vt:variant>
        <vt:lpwstr>https://www.gov.uk/government/publications/economic-crime-survey-2020</vt:lpwstr>
      </vt:variant>
      <vt:variant>
        <vt:lpwstr/>
      </vt:variant>
      <vt:variant>
        <vt:i4>4128867</vt:i4>
      </vt:variant>
      <vt:variant>
        <vt:i4>27</vt:i4>
      </vt:variant>
      <vt:variant>
        <vt:i4>0</vt:i4>
      </vt:variant>
      <vt:variant>
        <vt:i4>5</vt:i4>
      </vt:variant>
      <vt:variant>
        <vt:lpwstr>https://www.gov.uk/government/publications/government-action-on-fraud-in-covid-support-schemes/government-action-on-fraud-in-covid-support-schemes</vt:lpwstr>
      </vt:variant>
      <vt:variant>
        <vt:lpwstr/>
      </vt:variant>
      <vt:variant>
        <vt:i4>6225978</vt:i4>
      </vt:variant>
      <vt:variant>
        <vt:i4>24</vt:i4>
      </vt:variant>
      <vt:variant>
        <vt:i4>0</vt:i4>
      </vt:variant>
      <vt:variant>
        <vt:i4>5</vt:i4>
      </vt:variant>
      <vt:variant>
        <vt:lpwstr>https://s3-eu-west-2.amazonaws.com/cloud-platform-e218f50a4812967ba1215eaecede923f/uploads/sites/30/2022/06/Corporate-Criminal-Liability-Options-Paper_LC.pdf</vt:lpwstr>
      </vt:variant>
      <vt:variant>
        <vt:lpwstr>page=194</vt:lpwstr>
      </vt:variant>
      <vt:variant>
        <vt:i4>6160425</vt:i4>
      </vt:variant>
      <vt:variant>
        <vt:i4>21</vt:i4>
      </vt:variant>
      <vt:variant>
        <vt:i4>0</vt:i4>
      </vt:variant>
      <vt:variant>
        <vt:i4>5</vt:i4>
      </vt:variant>
      <vt:variant>
        <vt:lpwstr>https://s3-eu-west-2.amazonaws.com/cloud-platform-e218f50a4812967ba1215eaecede923f/uploads/sites/30/2022/06/Corporate-Criminal-Liability-Options-Paper_LC.pdf</vt:lpwstr>
      </vt:variant>
      <vt:variant>
        <vt:lpwstr/>
      </vt:variant>
      <vt:variant>
        <vt:i4>3932280</vt:i4>
      </vt:variant>
      <vt:variant>
        <vt:i4>18</vt:i4>
      </vt:variant>
      <vt:variant>
        <vt:i4>0</vt:i4>
      </vt:variant>
      <vt:variant>
        <vt:i4>5</vt:i4>
      </vt:variant>
      <vt:variant>
        <vt:lpwstr>https://lawcom.gov.uk/project/corporate-criminal-liability/</vt:lpwstr>
      </vt:variant>
      <vt:variant>
        <vt:lpwstr/>
      </vt:variant>
      <vt:variant>
        <vt:i4>5832716</vt:i4>
      </vt:variant>
      <vt:variant>
        <vt:i4>15</vt:i4>
      </vt:variant>
      <vt:variant>
        <vt:i4>0</vt:i4>
      </vt:variant>
      <vt:variant>
        <vt:i4>5</vt:i4>
      </vt:variant>
      <vt:variant>
        <vt:lpwstr>https://www.lawcom.gov.uk/law-commission-seek-views-on-corporate-criminal-liability/</vt:lpwstr>
      </vt:variant>
      <vt:variant>
        <vt:lpwstr/>
      </vt:variant>
      <vt:variant>
        <vt:i4>4521992</vt:i4>
      </vt:variant>
      <vt:variant>
        <vt:i4>12</vt:i4>
      </vt:variant>
      <vt:variant>
        <vt:i4>0</vt:i4>
      </vt:variant>
      <vt:variant>
        <vt:i4>5</vt:i4>
      </vt:variant>
      <vt:variant>
        <vt:lpwstr>https://www.legislation.gov.uk/ukpga/2023/56/schedule/13</vt:lpwstr>
      </vt:variant>
      <vt:variant>
        <vt:lpwstr/>
      </vt:variant>
      <vt:variant>
        <vt:i4>6619256</vt:i4>
      </vt:variant>
      <vt:variant>
        <vt:i4>9</vt:i4>
      </vt:variant>
      <vt:variant>
        <vt:i4>0</vt:i4>
      </vt:variant>
      <vt:variant>
        <vt:i4>5</vt:i4>
      </vt:variant>
      <vt:variant>
        <vt:lpwstr>https://www.lawcom.gov.uk/project/corporate-criminal-liability/</vt:lpwstr>
      </vt:variant>
      <vt:variant>
        <vt:lpwstr/>
      </vt:variant>
      <vt:variant>
        <vt:i4>6160425</vt:i4>
      </vt:variant>
      <vt:variant>
        <vt:i4>6</vt:i4>
      </vt:variant>
      <vt:variant>
        <vt:i4>0</vt:i4>
      </vt:variant>
      <vt:variant>
        <vt:i4>5</vt:i4>
      </vt:variant>
      <vt:variant>
        <vt:lpwstr>https://s3-eu-west-2.amazonaws.com/cloud-platform-e218f50a4812967ba1215eaecede923f/uploads/sites/30/2022/06/Corporate-Criminal-Liability-Options-Paper_LC.pdf</vt:lpwstr>
      </vt:variant>
      <vt:variant>
        <vt:lpwstr/>
      </vt:variant>
      <vt:variant>
        <vt:i4>3932280</vt:i4>
      </vt:variant>
      <vt:variant>
        <vt:i4>3</vt:i4>
      </vt:variant>
      <vt:variant>
        <vt:i4>0</vt:i4>
      </vt:variant>
      <vt:variant>
        <vt:i4>5</vt:i4>
      </vt:variant>
      <vt:variant>
        <vt:lpwstr>https://lawcom.gov.uk/project/corporate-criminal-liability/</vt:lpwstr>
      </vt:variant>
      <vt:variant>
        <vt:lpwstr/>
      </vt:variant>
      <vt:variant>
        <vt:i4>6029377</vt:i4>
      </vt:variant>
      <vt:variant>
        <vt:i4>0</vt:i4>
      </vt:variant>
      <vt:variant>
        <vt:i4>0</vt:i4>
      </vt:variant>
      <vt:variant>
        <vt:i4>5</vt:i4>
      </vt:variant>
      <vt:variant>
        <vt:lpwstr>https://www.ons.gov.uk/peoplepopulationandcommunity/crimeandjustice/datasets/crimeinenglandandwalesappendixtables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Assessment</dc:title>
  <dc:subject/>
  <dc:creator>Ricketts Simon (GO-Science)</dc:creator>
  <cp:keywords/>
  <dc:description/>
  <cp:lastModifiedBy>Alison Small</cp:lastModifiedBy>
  <cp:revision>2</cp:revision>
  <cp:lastPrinted>2024-10-16T11:19:00Z</cp:lastPrinted>
  <dcterms:created xsi:type="dcterms:W3CDTF">2024-11-06T08:36:00Z</dcterms:created>
  <dcterms:modified xsi:type="dcterms:W3CDTF">2024-11-06T08:36:00Z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property>
  <property fmtid="{D5CDD505-2E9C-101B-9397-08002B2CF9AE}" pid="3" name="Stage">
    <vt:lpwstr>Development/Options</vt:lpwstr>
  </property>
  <property fmtid="{D5CDD505-2E9C-101B-9397-08002B2CF9AE}" pid="4" name="MSIP_Label_ba62f585-b40f-4ab9-bafe-39150f03d124_Enabled">
    <vt:lpwstr>true</vt:lpwstr>
  </property>
  <property fmtid="{D5CDD505-2E9C-101B-9397-08002B2CF9AE}" pid="5" name="MSIP_Label_ba62f585-b40f-4ab9-bafe-39150f03d124_SetDate">
    <vt:lpwstr>2022-07-27T09:18:01Z</vt:lpwstr>
  </property>
  <property fmtid="{D5CDD505-2E9C-101B-9397-08002B2CF9AE}" pid="6" name="MSIP_Label_ba62f585-b40f-4ab9-bafe-39150f03d124_Method">
    <vt:lpwstr>Standard</vt:lpwstr>
  </property>
  <property fmtid="{D5CDD505-2E9C-101B-9397-08002B2CF9AE}" pid="7" name="MSIP_Label_ba62f585-b40f-4ab9-bafe-39150f03d124_Name">
    <vt:lpwstr>OFFICIAL</vt:lpwstr>
  </property>
  <property fmtid="{D5CDD505-2E9C-101B-9397-08002B2CF9AE}" pid="8" name="MSIP_Label_ba62f585-b40f-4ab9-bafe-39150f03d124_SiteId">
    <vt:lpwstr>cbac7005-02c1-43eb-b497-e6492d1b2dd8</vt:lpwstr>
  </property>
  <property fmtid="{D5CDD505-2E9C-101B-9397-08002B2CF9AE}" pid="9" name="MSIP_Label_ba62f585-b40f-4ab9-bafe-39150f03d124_ActionId">
    <vt:lpwstr>9084413e-62e7-41a5-8acf-808d4dafdfae</vt:lpwstr>
  </property>
  <property fmtid="{D5CDD505-2E9C-101B-9397-08002B2CF9AE}" pid="10" name="MSIP_Label_ba62f585-b40f-4ab9-bafe-39150f03d124_ContentBits">
    <vt:lpwstr>0</vt:lpwstr>
  </property>
  <property fmtid="{D5CDD505-2E9C-101B-9397-08002B2CF9AE}" pid="11" name="_dlc_DocIdItemGuid">
    <vt:lpwstr>629fb777-702d-4ea8-8804-9b459f07ca9a</vt:lpwstr>
  </property>
  <property fmtid="{D5CDD505-2E9C-101B-9397-08002B2CF9AE}" pid="12" name="MediaServiceImageTags">
    <vt:lpwstr/>
  </property>
  <property fmtid="{D5CDD505-2E9C-101B-9397-08002B2CF9AE}" pid="13" name="HOCopyrightLevel">
    <vt:lpwstr>2;#Crown|69589897-2828-4761-976e-717fd8e631c9</vt:lpwstr>
  </property>
  <property fmtid="{D5CDD505-2E9C-101B-9397-08002B2CF9AE}" pid="14" name="HOGovernmentSecurityClassification">
    <vt:lpwstr>1;#Official|14c80daa-741b-422c-9722-f71693c9ede4</vt:lpwstr>
  </property>
  <property fmtid="{D5CDD505-2E9C-101B-9397-08002B2CF9AE}" pid="15" name="HOSiteType">
    <vt:lpwstr>10;#Process – Significant|6ccbe411-9327-473d-908e-7668b31d44e3</vt:lpwstr>
  </property>
  <property fmtid="{D5CDD505-2E9C-101B-9397-08002B2CF9AE}" pid="16" name="HOFrom">
    <vt:lpwstr/>
  </property>
  <property fmtid="{D5CDD505-2E9C-101B-9397-08002B2CF9AE}" pid="17" name="_ExtendedDescription">
    <vt:lpwstr/>
  </property>
  <property fmtid="{D5CDD505-2E9C-101B-9397-08002B2CF9AE}" pid="18" name="HOCC">
    <vt:lpwstr/>
  </property>
  <property fmtid="{D5CDD505-2E9C-101B-9397-08002B2CF9AE}" pid="19" name="HOTo">
    <vt:lpwstr/>
  </property>
  <property fmtid="{D5CDD505-2E9C-101B-9397-08002B2CF9AE}" pid="20" name="HOSubject">
    <vt:lpwstr/>
  </property>
  <property fmtid="{D5CDD505-2E9C-101B-9397-08002B2CF9AE}" pid="21" name="MSIP_Label_c1c05e37-788c-4c59-b50e-5c98323c0a70_Enabled">
    <vt:lpwstr>true</vt:lpwstr>
  </property>
  <property fmtid="{D5CDD505-2E9C-101B-9397-08002B2CF9AE}" pid="22" name="MSIP_Label_c1c05e37-788c-4c59-b50e-5c98323c0a70_SetDate">
    <vt:lpwstr>2024-08-21T08:33:14Z</vt:lpwstr>
  </property>
  <property fmtid="{D5CDD505-2E9C-101B-9397-08002B2CF9AE}" pid="23" name="MSIP_Label_c1c05e37-788c-4c59-b50e-5c98323c0a70_Method">
    <vt:lpwstr>Standard</vt:lpwstr>
  </property>
  <property fmtid="{D5CDD505-2E9C-101B-9397-08002B2CF9AE}" pid="24" name="MSIP_Label_c1c05e37-788c-4c59-b50e-5c98323c0a70_Name">
    <vt:lpwstr>OFFICIAL</vt:lpwstr>
  </property>
  <property fmtid="{D5CDD505-2E9C-101B-9397-08002B2CF9AE}" pid="25" name="MSIP_Label_c1c05e37-788c-4c59-b50e-5c98323c0a70_SiteId">
    <vt:lpwstr>8fa217ec-33aa-46fb-ad96-dfe68006bb86</vt:lpwstr>
  </property>
  <property fmtid="{D5CDD505-2E9C-101B-9397-08002B2CF9AE}" pid="26" name="MSIP_Label_c1c05e37-788c-4c59-b50e-5c98323c0a70_ActionId">
    <vt:lpwstr>537bdde1-4cf7-4940-9e48-bc8b0efda8ae</vt:lpwstr>
  </property>
  <property fmtid="{D5CDD505-2E9C-101B-9397-08002B2CF9AE}" pid="27" name="MSIP_Label_c1c05e37-788c-4c59-b50e-5c98323c0a70_ContentBits">
    <vt:lpwstr>0</vt:lpwstr>
  </property>
  <property fmtid="{D5CDD505-2E9C-101B-9397-08002B2CF9AE}" pid="28" name="ContentTypeId">
    <vt:lpwstr>0x010100A5BF1C78D9F64B679A5EBDE1C6598EBC01005C99D269E66755448F2BE9B3C0E9BD1A</vt:lpwstr>
  </property>
  <property fmtid="{D5CDD505-2E9C-101B-9397-08002B2CF9AE}" pid="29" name="Business Unit">
    <vt:lpwstr>1;#Unknown|217df236-3aaa-47f1-ab07-10a7369f728e</vt:lpwstr>
  </property>
  <property fmtid="{D5CDD505-2E9C-101B-9397-08002B2CF9AE}" pid="30" name="m817f42addf14c9a838da36e78800043">
    <vt:lpwstr>Market Frameworks|db361646-3d9a-4f54-8678-364f608b5aeb</vt:lpwstr>
  </property>
  <property fmtid="{D5CDD505-2E9C-101B-9397-08002B2CF9AE}" pid="31" name="c6f593ada1854b629148449de059396b">
    <vt:lpwstr>BEIS|b386cac2-c28c-4db4-8fca-43733d0e74ef</vt:lpwstr>
  </property>
  <property fmtid="{D5CDD505-2E9C-101B-9397-08002B2CF9AE}" pid="32" name="h573c97cf80c4aa6b446c5363dc3ac94">
    <vt:lpwstr>Business Frameworks|16b6589c-07b2-448f-b54c-ee47b05713c3</vt:lpwstr>
  </property>
  <property fmtid="{D5CDD505-2E9C-101B-9397-08002B2CF9AE}" pid="33" name="KIM_Activity">
    <vt:lpwstr>5;#Business Frameworks|16b6589c-07b2-448f-b54c-ee47b05713c3</vt:lpwstr>
  </property>
  <property fmtid="{D5CDD505-2E9C-101B-9397-08002B2CF9AE}" pid="34" name="KIM_Function">
    <vt:lpwstr>4;#Market Frameworks|db361646-3d9a-4f54-8678-364f608b5aeb</vt:lpwstr>
  </property>
  <property fmtid="{D5CDD505-2E9C-101B-9397-08002B2CF9AE}" pid="35" name="KIM_GovernmentBody">
    <vt:lpwstr>3;#BEIS|b386cac2-c28c-4db4-8fca-43733d0e74ef</vt:lpwstr>
  </property>
  <property fmtid="{D5CDD505-2E9C-101B-9397-08002B2CF9AE}" pid="36" name="HOBusinessUnit">
    <vt:lpwstr>86;#Homeland Security Analysis and Insight (A)|00abff1e-dbe0-4499-b443-0bed4a285dda</vt:lpwstr>
  </property>
</Properties>
</file>