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5"/>
        <w:gridCol w:w="2268"/>
        <w:gridCol w:w="2011"/>
        <w:gridCol w:w="824"/>
        <w:gridCol w:w="3246"/>
      </w:tblGrid>
      <w:tr w:rsidR="00A663F1" w14:paraId="46CF6F76" w14:textId="77777777">
        <w:trPr>
          <w:trHeight w:val="544"/>
        </w:trPr>
        <w:tc>
          <w:tcPr>
            <w:tcW w:w="6264" w:type="dxa"/>
            <w:gridSpan w:val="3"/>
            <w:vMerge w:val="restart"/>
          </w:tcPr>
          <w:p w14:paraId="3394BD80" w14:textId="77777777" w:rsidR="00A663F1" w:rsidRDefault="00E46EDB">
            <w:pPr>
              <w:pStyle w:val="TableParagraph"/>
              <w:ind w:left="117"/>
              <w:rPr>
                <w:sz w:val="20"/>
              </w:rPr>
            </w:pPr>
            <w:bookmarkStart w:id="0" w:name="_GoBack"/>
            <w:bookmarkEnd w:id="0"/>
            <w:r>
              <w:rPr>
                <w:b/>
                <w:sz w:val="20"/>
              </w:rPr>
              <w:t xml:space="preserve">Title: </w:t>
            </w:r>
            <w:r>
              <w:rPr>
                <w:sz w:val="20"/>
              </w:rPr>
              <w:t>Breathing Space</w:t>
            </w:r>
          </w:p>
          <w:p w14:paraId="6C36B934" w14:textId="77777777" w:rsidR="00A663F1" w:rsidRDefault="00E46EDB">
            <w:pPr>
              <w:pStyle w:val="TableParagraph"/>
              <w:spacing w:before="111" w:line="240" w:lineRule="auto"/>
              <w:ind w:left="117"/>
              <w:rPr>
                <w:sz w:val="20"/>
              </w:rPr>
            </w:pPr>
            <w:r>
              <w:rPr>
                <w:b/>
                <w:sz w:val="20"/>
              </w:rPr>
              <w:t xml:space="preserve">RPC Reference No: </w:t>
            </w:r>
            <w:r>
              <w:rPr>
                <w:sz w:val="20"/>
              </w:rPr>
              <w:t>RPC-4418(1)-HMT</w:t>
            </w:r>
          </w:p>
          <w:p w14:paraId="0A6BFAB4" w14:textId="77777777" w:rsidR="00A663F1" w:rsidRDefault="00E46EDB">
            <w:pPr>
              <w:pStyle w:val="TableParagraph"/>
              <w:spacing w:before="50" w:line="240" w:lineRule="auto"/>
              <w:ind w:left="117"/>
              <w:rPr>
                <w:sz w:val="20"/>
              </w:rPr>
            </w:pPr>
            <w:r>
              <w:rPr>
                <w:b/>
                <w:sz w:val="20"/>
              </w:rPr>
              <w:t xml:space="preserve">Lead department or agency: </w:t>
            </w:r>
            <w:r>
              <w:rPr>
                <w:sz w:val="20"/>
              </w:rPr>
              <w:t>HM Treasury</w:t>
            </w:r>
          </w:p>
        </w:tc>
        <w:tc>
          <w:tcPr>
            <w:tcW w:w="4070" w:type="dxa"/>
            <w:gridSpan w:val="2"/>
            <w:tcBorders>
              <w:bottom w:val="nil"/>
            </w:tcBorders>
            <w:shd w:val="clear" w:color="auto" w:fill="333333"/>
          </w:tcPr>
          <w:p w14:paraId="6B7D73C6" w14:textId="77777777" w:rsidR="00A663F1" w:rsidRDefault="00E46EDB">
            <w:pPr>
              <w:pStyle w:val="TableParagraph"/>
              <w:spacing w:before="86" w:line="240" w:lineRule="auto"/>
              <w:ind w:left="114"/>
              <w:rPr>
                <w:sz w:val="32"/>
              </w:rPr>
            </w:pPr>
            <w:r>
              <w:rPr>
                <w:color w:val="FFFFFF"/>
                <w:sz w:val="32"/>
              </w:rPr>
              <w:t>Impact Assessment (IA)</w:t>
            </w:r>
          </w:p>
        </w:tc>
      </w:tr>
      <w:tr w:rsidR="00A663F1" w14:paraId="0224851D" w14:textId="77777777">
        <w:trPr>
          <w:trHeight w:val="325"/>
        </w:trPr>
        <w:tc>
          <w:tcPr>
            <w:tcW w:w="6264" w:type="dxa"/>
            <w:gridSpan w:val="3"/>
            <w:vMerge/>
            <w:tcBorders>
              <w:top w:val="nil"/>
            </w:tcBorders>
          </w:tcPr>
          <w:p w14:paraId="1EF3D783" w14:textId="77777777" w:rsidR="00A663F1" w:rsidRDefault="00A663F1">
            <w:pPr>
              <w:rPr>
                <w:sz w:val="2"/>
                <w:szCs w:val="2"/>
              </w:rPr>
            </w:pPr>
          </w:p>
        </w:tc>
        <w:tc>
          <w:tcPr>
            <w:tcW w:w="4070" w:type="dxa"/>
            <w:gridSpan w:val="2"/>
            <w:tcBorders>
              <w:top w:val="nil"/>
              <w:bottom w:val="single" w:sz="4" w:space="0" w:color="333333"/>
            </w:tcBorders>
          </w:tcPr>
          <w:p w14:paraId="0B9F87AC" w14:textId="77777777" w:rsidR="00A663F1" w:rsidRDefault="00E46EDB">
            <w:pPr>
              <w:pStyle w:val="TableParagraph"/>
              <w:spacing w:before="45" w:line="240" w:lineRule="auto"/>
              <w:ind w:left="114"/>
              <w:rPr>
                <w:sz w:val="20"/>
              </w:rPr>
            </w:pPr>
            <w:r>
              <w:rPr>
                <w:b/>
                <w:sz w:val="20"/>
              </w:rPr>
              <w:t xml:space="preserve">Date: </w:t>
            </w:r>
            <w:r>
              <w:rPr>
                <w:sz w:val="20"/>
              </w:rPr>
              <w:t>27/08/2019</w:t>
            </w:r>
          </w:p>
        </w:tc>
      </w:tr>
      <w:tr w:rsidR="00A663F1" w14:paraId="0E1EBBD1" w14:textId="77777777">
        <w:trPr>
          <w:trHeight w:val="352"/>
        </w:trPr>
        <w:tc>
          <w:tcPr>
            <w:tcW w:w="6264" w:type="dxa"/>
            <w:gridSpan w:val="3"/>
            <w:vMerge/>
            <w:tcBorders>
              <w:top w:val="nil"/>
            </w:tcBorders>
          </w:tcPr>
          <w:p w14:paraId="4E1362C8" w14:textId="77777777" w:rsidR="00A663F1" w:rsidRDefault="00A663F1">
            <w:pPr>
              <w:rPr>
                <w:sz w:val="2"/>
                <w:szCs w:val="2"/>
              </w:rPr>
            </w:pPr>
          </w:p>
        </w:tc>
        <w:tc>
          <w:tcPr>
            <w:tcW w:w="4070" w:type="dxa"/>
            <w:gridSpan w:val="2"/>
            <w:tcBorders>
              <w:top w:val="single" w:sz="4" w:space="0" w:color="333333"/>
              <w:bottom w:val="single" w:sz="4" w:space="0" w:color="333333"/>
            </w:tcBorders>
          </w:tcPr>
          <w:p w14:paraId="58C163CE" w14:textId="77777777" w:rsidR="00A663F1" w:rsidRDefault="00E46EDB">
            <w:pPr>
              <w:pStyle w:val="TableParagraph"/>
              <w:spacing w:before="50" w:line="240" w:lineRule="auto"/>
              <w:ind w:left="114"/>
            </w:pPr>
            <w:r>
              <w:rPr>
                <w:b/>
                <w:sz w:val="20"/>
              </w:rPr>
              <w:t xml:space="preserve">Stage: </w:t>
            </w:r>
            <w:r>
              <w:t>Regulations</w:t>
            </w:r>
          </w:p>
        </w:tc>
      </w:tr>
      <w:tr w:rsidR="00A663F1" w14:paraId="13E792D5" w14:textId="77777777">
        <w:trPr>
          <w:trHeight w:val="330"/>
        </w:trPr>
        <w:tc>
          <w:tcPr>
            <w:tcW w:w="6264" w:type="dxa"/>
            <w:gridSpan w:val="3"/>
            <w:vMerge/>
            <w:tcBorders>
              <w:top w:val="nil"/>
            </w:tcBorders>
          </w:tcPr>
          <w:p w14:paraId="4C17FC91" w14:textId="77777777" w:rsidR="00A663F1" w:rsidRDefault="00A663F1">
            <w:pPr>
              <w:rPr>
                <w:sz w:val="2"/>
                <w:szCs w:val="2"/>
              </w:rPr>
            </w:pPr>
          </w:p>
        </w:tc>
        <w:tc>
          <w:tcPr>
            <w:tcW w:w="4070" w:type="dxa"/>
            <w:gridSpan w:val="2"/>
            <w:tcBorders>
              <w:top w:val="single" w:sz="4" w:space="0" w:color="333333"/>
              <w:bottom w:val="single" w:sz="4" w:space="0" w:color="333333"/>
            </w:tcBorders>
          </w:tcPr>
          <w:p w14:paraId="4F4136FE" w14:textId="77777777" w:rsidR="00A663F1" w:rsidRDefault="00E46EDB">
            <w:pPr>
              <w:pStyle w:val="TableParagraph"/>
              <w:spacing w:before="50" w:line="240" w:lineRule="auto"/>
              <w:ind w:left="114"/>
              <w:rPr>
                <w:sz w:val="20"/>
              </w:rPr>
            </w:pPr>
            <w:r>
              <w:rPr>
                <w:b/>
                <w:sz w:val="20"/>
              </w:rPr>
              <w:t xml:space="preserve">Source of intervention: </w:t>
            </w:r>
            <w:r>
              <w:rPr>
                <w:sz w:val="20"/>
              </w:rPr>
              <w:t>Domestic</w:t>
            </w:r>
          </w:p>
        </w:tc>
      </w:tr>
      <w:tr w:rsidR="00A663F1" w14:paraId="7F915929" w14:textId="77777777">
        <w:trPr>
          <w:trHeight w:val="328"/>
        </w:trPr>
        <w:tc>
          <w:tcPr>
            <w:tcW w:w="6264" w:type="dxa"/>
            <w:gridSpan w:val="3"/>
            <w:vMerge/>
            <w:tcBorders>
              <w:top w:val="nil"/>
            </w:tcBorders>
          </w:tcPr>
          <w:p w14:paraId="35F89FB7" w14:textId="77777777" w:rsidR="00A663F1" w:rsidRDefault="00A663F1">
            <w:pPr>
              <w:rPr>
                <w:sz w:val="2"/>
                <w:szCs w:val="2"/>
              </w:rPr>
            </w:pPr>
          </w:p>
        </w:tc>
        <w:tc>
          <w:tcPr>
            <w:tcW w:w="4070" w:type="dxa"/>
            <w:gridSpan w:val="2"/>
            <w:tcBorders>
              <w:top w:val="single" w:sz="4" w:space="0" w:color="333333"/>
              <w:bottom w:val="single" w:sz="4" w:space="0" w:color="333333"/>
            </w:tcBorders>
          </w:tcPr>
          <w:p w14:paraId="1E13FB03" w14:textId="77777777" w:rsidR="00A663F1" w:rsidRDefault="00E46EDB">
            <w:pPr>
              <w:pStyle w:val="TableParagraph"/>
              <w:spacing w:before="50" w:line="240" w:lineRule="auto"/>
              <w:ind w:left="114"/>
              <w:rPr>
                <w:sz w:val="20"/>
              </w:rPr>
            </w:pPr>
            <w:r>
              <w:rPr>
                <w:b/>
                <w:sz w:val="20"/>
              </w:rPr>
              <w:t xml:space="preserve">Type of measure: </w:t>
            </w:r>
            <w:r>
              <w:rPr>
                <w:sz w:val="20"/>
              </w:rPr>
              <w:t>Secondary legislation</w:t>
            </w:r>
          </w:p>
        </w:tc>
      </w:tr>
      <w:tr w:rsidR="00A663F1" w14:paraId="6CBDB691" w14:textId="77777777">
        <w:trPr>
          <w:trHeight w:val="1046"/>
        </w:trPr>
        <w:tc>
          <w:tcPr>
            <w:tcW w:w="6264" w:type="dxa"/>
            <w:gridSpan w:val="3"/>
            <w:vMerge/>
            <w:tcBorders>
              <w:top w:val="nil"/>
            </w:tcBorders>
          </w:tcPr>
          <w:p w14:paraId="06166725" w14:textId="77777777" w:rsidR="00A663F1" w:rsidRDefault="00A663F1">
            <w:pPr>
              <w:rPr>
                <w:sz w:val="2"/>
                <w:szCs w:val="2"/>
              </w:rPr>
            </w:pPr>
          </w:p>
        </w:tc>
        <w:tc>
          <w:tcPr>
            <w:tcW w:w="4070" w:type="dxa"/>
            <w:gridSpan w:val="2"/>
            <w:tcBorders>
              <w:top w:val="single" w:sz="4" w:space="0" w:color="333333"/>
            </w:tcBorders>
          </w:tcPr>
          <w:p w14:paraId="247FA3A0" w14:textId="77777777" w:rsidR="00A663F1" w:rsidRDefault="00E46EDB">
            <w:pPr>
              <w:pStyle w:val="TableParagraph"/>
              <w:ind w:left="114"/>
              <w:rPr>
                <w:b/>
                <w:sz w:val="20"/>
              </w:rPr>
            </w:pPr>
            <w:r>
              <w:rPr>
                <w:b/>
                <w:sz w:val="20"/>
              </w:rPr>
              <w:t>Contact for enquiries:</w:t>
            </w:r>
          </w:p>
          <w:p w14:paraId="4FB4F8E8" w14:textId="77777777" w:rsidR="00A663F1" w:rsidRDefault="00E46EDB">
            <w:pPr>
              <w:pStyle w:val="TableParagraph"/>
              <w:spacing w:line="240" w:lineRule="auto"/>
              <w:ind w:left="114" w:right="1173"/>
              <w:rPr>
                <w:sz w:val="20"/>
              </w:rPr>
            </w:pPr>
            <w:r>
              <w:rPr>
                <w:spacing w:val="-5"/>
                <w:sz w:val="20"/>
              </w:rPr>
              <w:t xml:space="preserve">Alfie </w:t>
            </w:r>
            <w:r>
              <w:rPr>
                <w:spacing w:val="-4"/>
                <w:sz w:val="20"/>
              </w:rPr>
              <w:t xml:space="preserve">Shaw </w:t>
            </w:r>
            <w:hyperlink r:id="rId11">
              <w:r>
                <w:rPr>
                  <w:spacing w:val="-5"/>
                  <w:sz w:val="20"/>
                  <w:u w:val="single"/>
                </w:rPr>
                <w:t>Alfie.Shaw@HMTreasury.gov.uk</w:t>
              </w:r>
            </w:hyperlink>
            <w:r>
              <w:rPr>
                <w:spacing w:val="-5"/>
                <w:sz w:val="20"/>
              </w:rPr>
              <w:t xml:space="preserve"> </w:t>
            </w:r>
            <w:r>
              <w:rPr>
                <w:spacing w:val="-4"/>
                <w:sz w:val="20"/>
              </w:rPr>
              <w:t>020 7270 2492</w:t>
            </w:r>
          </w:p>
        </w:tc>
      </w:tr>
      <w:tr w:rsidR="00A663F1" w14:paraId="4F80E36C" w14:textId="77777777">
        <w:trPr>
          <w:trHeight w:val="400"/>
        </w:trPr>
        <w:tc>
          <w:tcPr>
            <w:tcW w:w="6264" w:type="dxa"/>
            <w:gridSpan w:val="3"/>
            <w:tcBorders>
              <w:left w:val="nil"/>
            </w:tcBorders>
          </w:tcPr>
          <w:p w14:paraId="4511D428" w14:textId="77777777" w:rsidR="00A663F1" w:rsidRDefault="00E46EDB">
            <w:pPr>
              <w:pStyle w:val="TableParagraph"/>
              <w:spacing w:before="58" w:line="322" w:lineRule="exact"/>
              <w:ind w:left="4"/>
              <w:rPr>
                <w:b/>
                <w:sz w:val="28"/>
              </w:rPr>
            </w:pPr>
            <w:r>
              <w:rPr>
                <w:b/>
                <w:sz w:val="28"/>
              </w:rPr>
              <w:t>Summary: Intervention and Options</w:t>
            </w:r>
          </w:p>
        </w:tc>
        <w:tc>
          <w:tcPr>
            <w:tcW w:w="4070" w:type="dxa"/>
            <w:gridSpan w:val="2"/>
            <w:shd w:val="clear" w:color="auto" w:fill="DFDFDF"/>
          </w:tcPr>
          <w:p w14:paraId="5804E98E" w14:textId="4CA50060" w:rsidR="00A663F1" w:rsidRDefault="00E46EDB">
            <w:pPr>
              <w:pStyle w:val="TableParagraph"/>
              <w:spacing w:before="62" w:line="240" w:lineRule="auto"/>
              <w:ind w:left="109"/>
              <w:rPr>
                <w:sz w:val="24"/>
              </w:rPr>
            </w:pPr>
            <w:r>
              <w:rPr>
                <w:b/>
                <w:sz w:val="24"/>
              </w:rPr>
              <w:t xml:space="preserve">RPC Opinion: </w:t>
            </w:r>
            <w:r w:rsidR="005E7C86">
              <w:rPr>
                <w:sz w:val="24"/>
              </w:rPr>
              <w:t>GREEN</w:t>
            </w:r>
          </w:p>
        </w:tc>
      </w:tr>
      <w:tr w:rsidR="00A663F1" w14:paraId="3533E525" w14:textId="77777777">
        <w:trPr>
          <w:trHeight w:val="78"/>
        </w:trPr>
        <w:tc>
          <w:tcPr>
            <w:tcW w:w="10334" w:type="dxa"/>
            <w:gridSpan w:val="5"/>
            <w:tcBorders>
              <w:left w:val="nil"/>
            </w:tcBorders>
            <w:shd w:val="clear" w:color="auto" w:fill="DFDFDF"/>
          </w:tcPr>
          <w:p w14:paraId="1EA18339" w14:textId="77777777" w:rsidR="00A663F1" w:rsidRDefault="00A663F1">
            <w:pPr>
              <w:pStyle w:val="TableParagraph"/>
              <w:spacing w:line="240" w:lineRule="auto"/>
              <w:rPr>
                <w:rFonts w:ascii="Times New Roman"/>
                <w:sz w:val="2"/>
              </w:rPr>
            </w:pPr>
          </w:p>
        </w:tc>
      </w:tr>
      <w:tr w:rsidR="00A663F1" w14:paraId="1991BC7D" w14:textId="77777777">
        <w:trPr>
          <w:trHeight w:val="302"/>
        </w:trPr>
        <w:tc>
          <w:tcPr>
            <w:tcW w:w="10334" w:type="dxa"/>
            <w:gridSpan w:val="5"/>
            <w:shd w:val="clear" w:color="auto" w:fill="DFDFDF"/>
          </w:tcPr>
          <w:p w14:paraId="22EA8234" w14:textId="77777777" w:rsidR="00A663F1" w:rsidRDefault="00E46EDB">
            <w:pPr>
              <w:pStyle w:val="TableParagraph"/>
              <w:spacing w:before="50" w:line="240" w:lineRule="auto"/>
              <w:ind w:left="2620" w:right="2706"/>
              <w:jc w:val="center"/>
              <w:rPr>
                <w:sz w:val="20"/>
              </w:rPr>
            </w:pPr>
            <w:r>
              <w:rPr>
                <w:b/>
                <w:spacing w:val="-4"/>
                <w:sz w:val="20"/>
              </w:rPr>
              <w:t>Cost</w:t>
            </w:r>
            <w:r>
              <w:rPr>
                <w:b/>
                <w:spacing w:val="-11"/>
                <w:sz w:val="20"/>
              </w:rPr>
              <w:t xml:space="preserve"> </w:t>
            </w:r>
            <w:r>
              <w:rPr>
                <w:b/>
                <w:spacing w:val="-3"/>
                <w:sz w:val="20"/>
              </w:rPr>
              <w:t>of</w:t>
            </w:r>
            <w:r>
              <w:rPr>
                <w:b/>
                <w:spacing w:val="-10"/>
                <w:sz w:val="20"/>
              </w:rPr>
              <w:t xml:space="preserve"> </w:t>
            </w:r>
            <w:r>
              <w:rPr>
                <w:b/>
                <w:spacing w:val="-5"/>
                <w:sz w:val="20"/>
              </w:rPr>
              <w:t>Preferred</w:t>
            </w:r>
            <w:r>
              <w:rPr>
                <w:b/>
                <w:spacing w:val="-10"/>
                <w:sz w:val="20"/>
              </w:rPr>
              <w:t xml:space="preserve"> </w:t>
            </w:r>
            <w:r>
              <w:rPr>
                <w:b/>
                <w:spacing w:val="-3"/>
                <w:sz w:val="20"/>
              </w:rPr>
              <w:t>(or</w:t>
            </w:r>
            <w:r>
              <w:rPr>
                <w:b/>
                <w:spacing w:val="-10"/>
                <w:sz w:val="20"/>
              </w:rPr>
              <w:t xml:space="preserve"> </w:t>
            </w:r>
            <w:r>
              <w:rPr>
                <w:b/>
                <w:spacing w:val="-4"/>
                <w:sz w:val="20"/>
              </w:rPr>
              <w:t>more</w:t>
            </w:r>
            <w:r>
              <w:rPr>
                <w:b/>
                <w:spacing w:val="-8"/>
                <w:sz w:val="20"/>
              </w:rPr>
              <w:t xml:space="preserve"> </w:t>
            </w:r>
            <w:r>
              <w:rPr>
                <w:b/>
                <w:spacing w:val="-5"/>
                <w:sz w:val="20"/>
              </w:rPr>
              <w:t>likely)</w:t>
            </w:r>
            <w:r>
              <w:rPr>
                <w:b/>
                <w:spacing w:val="-10"/>
                <w:sz w:val="20"/>
              </w:rPr>
              <w:t xml:space="preserve"> </w:t>
            </w:r>
            <w:r>
              <w:rPr>
                <w:b/>
                <w:spacing w:val="-4"/>
                <w:sz w:val="20"/>
              </w:rPr>
              <w:t>Option</w:t>
            </w:r>
            <w:r>
              <w:rPr>
                <w:b/>
                <w:spacing w:val="-10"/>
                <w:sz w:val="20"/>
              </w:rPr>
              <w:t xml:space="preserve"> </w:t>
            </w:r>
            <w:r>
              <w:rPr>
                <w:spacing w:val="-4"/>
                <w:sz w:val="20"/>
              </w:rPr>
              <w:t>(in</w:t>
            </w:r>
            <w:r>
              <w:rPr>
                <w:spacing w:val="-11"/>
                <w:sz w:val="20"/>
              </w:rPr>
              <w:t xml:space="preserve"> </w:t>
            </w:r>
            <w:r>
              <w:rPr>
                <w:spacing w:val="-5"/>
                <w:sz w:val="20"/>
              </w:rPr>
              <w:t>2016</w:t>
            </w:r>
            <w:r>
              <w:rPr>
                <w:spacing w:val="-9"/>
                <w:sz w:val="20"/>
              </w:rPr>
              <w:t xml:space="preserve"> </w:t>
            </w:r>
            <w:r>
              <w:rPr>
                <w:spacing w:val="-4"/>
                <w:sz w:val="20"/>
              </w:rPr>
              <w:t>prices)</w:t>
            </w:r>
          </w:p>
        </w:tc>
      </w:tr>
      <w:tr w:rsidR="00A663F1" w14:paraId="482775E3" w14:textId="77777777">
        <w:trPr>
          <w:trHeight w:val="555"/>
        </w:trPr>
        <w:tc>
          <w:tcPr>
            <w:tcW w:w="1985" w:type="dxa"/>
            <w:tcBorders>
              <w:bottom w:val="nil"/>
            </w:tcBorders>
            <w:shd w:val="clear" w:color="auto" w:fill="DFDFDF"/>
          </w:tcPr>
          <w:p w14:paraId="06F8D8B6" w14:textId="77777777" w:rsidR="00A663F1" w:rsidRDefault="00E46EDB">
            <w:pPr>
              <w:pStyle w:val="TableParagraph"/>
              <w:spacing w:before="50" w:line="240" w:lineRule="auto"/>
              <w:ind w:left="117"/>
              <w:rPr>
                <w:b/>
                <w:sz w:val="20"/>
              </w:rPr>
            </w:pPr>
            <w:r>
              <w:rPr>
                <w:b/>
                <w:spacing w:val="-4"/>
                <w:sz w:val="20"/>
              </w:rPr>
              <w:t xml:space="preserve">Total Net </w:t>
            </w:r>
            <w:r>
              <w:rPr>
                <w:b/>
                <w:spacing w:val="-5"/>
                <w:sz w:val="20"/>
              </w:rPr>
              <w:t>Present Social Value</w:t>
            </w:r>
          </w:p>
        </w:tc>
        <w:tc>
          <w:tcPr>
            <w:tcW w:w="2268" w:type="dxa"/>
            <w:tcBorders>
              <w:bottom w:val="nil"/>
            </w:tcBorders>
            <w:shd w:val="clear" w:color="auto" w:fill="DFDFDF"/>
          </w:tcPr>
          <w:p w14:paraId="139E74AB" w14:textId="77777777" w:rsidR="00A663F1" w:rsidRDefault="00E46EDB">
            <w:pPr>
              <w:pStyle w:val="TableParagraph"/>
              <w:spacing w:before="50" w:line="240" w:lineRule="auto"/>
              <w:ind w:left="112" w:right="165"/>
              <w:rPr>
                <w:b/>
                <w:sz w:val="20"/>
              </w:rPr>
            </w:pPr>
            <w:r>
              <w:rPr>
                <w:b/>
                <w:spacing w:val="-5"/>
                <w:sz w:val="20"/>
              </w:rPr>
              <w:t xml:space="preserve">Business </w:t>
            </w:r>
            <w:r>
              <w:rPr>
                <w:b/>
                <w:spacing w:val="-4"/>
                <w:sz w:val="20"/>
              </w:rPr>
              <w:t xml:space="preserve">Net </w:t>
            </w:r>
            <w:r>
              <w:rPr>
                <w:b/>
                <w:spacing w:val="-5"/>
                <w:sz w:val="20"/>
              </w:rPr>
              <w:t>Present Value</w:t>
            </w:r>
          </w:p>
        </w:tc>
        <w:tc>
          <w:tcPr>
            <w:tcW w:w="2835" w:type="dxa"/>
            <w:gridSpan w:val="2"/>
            <w:tcBorders>
              <w:bottom w:val="nil"/>
            </w:tcBorders>
            <w:shd w:val="clear" w:color="auto" w:fill="DFDFDF"/>
          </w:tcPr>
          <w:p w14:paraId="40EE8097" w14:textId="77777777" w:rsidR="00A663F1" w:rsidRDefault="00E46EDB">
            <w:pPr>
              <w:pStyle w:val="TableParagraph"/>
              <w:spacing w:before="50" w:line="240" w:lineRule="auto"/>
              <w:ind w:left="113"/>
              <w:rPr>
                <w:b/>
                <w:sz w:val="20"/>
              </w:rPr>
            </w:pPr>
            <w:r>
              <w:rPr>
                <w:b/>
                <w:spacing w:val="-4"/>
                <w:sz w:val="20"/>
              </w:rPr>
              <w:t xml:space="preserve">Net </w:t>
            </w:r>
            <w:r>
              <w:rPr>
                <w:b/>
                <w:spacing w:val="-5"/>
                <w:sz w:val="20"/>
              </w:rPr>
              <w:t xml:space="preserve">direct cost </w:t>
            </w:r>
            <w:r>
              <w:rPr>
                <w:b/>
                <w:sz w:val="20"/>
              </w:rPr>
              <w:t xml:space="preserve">to </w:t>
            </w:r>
            <w:r>
              <w:rPr>
                <w:b/>
                <w:spacing w:val="-5"/>
                <w:sz w:val="20"/>
              </w:rPr>
              <w:t xml:space="preserve">business </w:t>
            </w:r>
            <w:r>
              <w:rPr>
                <w:b/>
                <w:spacing w:val="-4"/>
                <w:sz w:val="20"/>
              </w:rPr>
              <w:t xml:space="preserve">per </w:t>
            </w:r>
            <w:r>
              <w:rPr>
                <w:b/>
                <w:spacing w:val="-5"/>
                <w:sz w:val="20"/>
              </w:rPr>
              <w:t>year</w:t>
            </w:r>
          </w:p>
        </w:tc>
        <w:tc>
          <w:tcPr>
            <w:tcW w:w="3246" w:type="dxa"/>
            <w:vMerge w:val="restart"/>
            <w:shd w:val="clear" w:color="auto" w:fill="DFDFDF"/>
          </w:tcPr>
          <w:p w14:paraId="18C7EABD" w14:textId="77777777" w:rsidR="00A663F1" w:rsidRDefault="00A663F1">
            <w:pPr>
              <w:pStyle w:val="TableParagraph"/>
              <w:spacing w:before="1" w:line="240" w:lineRule="auto"/>
              <w:rPr>
                <w:rFonts w:ascii="Times New Roman"/>
                <w:sz w:val="18"/>
              </w:rPr>
            </w:pPr>
          </w:p>
          <w:p w14:paraId="48850BE2" w14:textId="77777777" w:rsidR="00A663F1" w:rsidRDefault="00E46EDB">
            <w:pPr>
              <w:pStyle w:val="TableParagraph"/>
              <w:spacing w:line="240" w:lineRule="auto"/>
              <w:ind w:left="118"/>
              <w:rPr>
                <w:b/>
                <w:sz w:val="20"/>
              </w:rPr>
            </w:pPr>
            <w:r>
              <w:rPr>
                <w:b/>
                <w:sz w:val="20"/>
              </w:rPr>
              <w:t>Business Impact Target Status</w:t>
            </w:r>
          </w:p>
          <w:p w14:paraId="3325B1EC" w14:textId="77777777" w:rsidR="00A663F1" w:rsidRDefault="00E46EDB">
            <w:pPr>
              <w:pStyle w:val="TableParagraph"/>
              <w:spacing w:before="1" w:line="240" w:lineRule="auto"/>
              <w:ind w:left="118"/>
            </w:pPr>
            <w:r>
              <w:t>Qualifying provision</w:t>
            </w:r>
          </w:p>
        </w:tc>
      </w:tr>
      <w:tr w:rsidR="00A663F1" w14:paraId="1BE24C7B" w14:textId="77777777">
        <w:trPr>
          <w:trHeight w:val="336"/>
        </w:trPr>
        <w:tc>
          <w:tcPr>
            <w:tcW w:w="1985" w:type="dxa"/>
            <w:tcBorders>
              <w:top w:val="nil"/>
            </w:tcBorders>
            <w:shd w:val="clear" w:color="auto" w:fill="DFDFDF"/>
          </w:tcPr>
          <w:p w14:paraId="2CE2666C" w14:textId="77777777" w:rsidR="00A663F1" w:rsidRDefault="00E46EDB">
            <w:pPr>
              <w:pStyle w:val="TableParagraph"/>
              <w:spacing w:before="39" w:line="240" w:lineRule="auto"/>
              <w:ind w:left="117"/>
            </w:pPr>
            <w:r>
              <w:t>£9151.4m</w:t>
            </w:r>
          </w:p>
        </w:tc>
        <w:tc>
          <w:tcPr>
            <w:tcW w:w="2268" w:type="dxa"/>
            <w:tcBorders>
              <w:top w:val="nil"/>
            </w:tcBorders>
            <w:shd w:val="clear" w:color="auto" w:fill="DFDFDF"/>
          </w:tcPr>
          <w:p w14:paraId="048018BA" w14:textId="77777777" w:rsidR="00A663F1" w:rsidRDefault="00E46EDB">
            <w:pPr>
              <w:pStyle w:val="TableParagraph"/>
              <w:spacing w:before="39" w:line="240" w:lineRule="auto"/>
              <w:ind w:left="112"/>
            </w:pPr>
            <w:r>
              <w:t>£6132.0m</w:t>
            </w:r>
          </w:p>
        </w:tc>
        <w:tc>
          <w:tcPr>
            <w:tcW w:w="2011" w:type="dxa"/>
            <w:tcBorders>
              <w:top w:val="nil"/>
              <w:right w:val="nil"/>
            </w:tcBorders>
            <w:shd w:val="clear" w:color="auto" w:fill="DFDFDF"/>
          </w:tcPr>
          <w:p w14:paraId="414142BB" w14:textId="77777777" w:rsidR="00A663F1" w:rsidRDefault="00E46EDB">
            <w:pPr>
              <w:pStyle w:val="TableParagraph"/>
              <w:spacing w:before="39" w:line="240" w:lineRule="auto"/>
              <w:ind w:left="113"/>
            </w:pPr>
            <w:r>
              <w:t>£169.3m</w:t>
            </w:r>
          </w:p>
        </w:tc>
        <w:tc>
          <w:tcPr>
            <w:tcW w:w="824" w:type="dxa"/>
            <w:tcBorders>
              <w:top w:val="nil"/>
              <w:left w:val="nil"/>
            </w:tcBorders>
            <w:shd w:val="clear" w:color="auto" w:fill="DFDFDF"/>
          </w:tcPr>
          <w:p w14:paraId="7FA9CB62" w14:textId="77777777" w:rsidR="00A663F1" w:rsidRDefault="00A663F1">
            <w:pPr>
              <w:pStyle w:val="TableParagraph"/>
              <w:spacing w:line="240" w:lineRule="auto"/>
              <w:rPr>
                <w:rFonts w:ascii="Times New Roman"/>
                <w:sz w:val="20"/>
              </w:rPr>
            </w:pPr>
          </w:p>
        </w:tc>
        <w:tc>
          <w:tcPr>
            <w:tcW w:w="3246" w:type="dxa"/>
            <w:vMerge/>
            <w:tcBorders>
              <w:top w:val="nil"/>
            </w:tcBorders>
            <w:shd w:val="clear" w:color="auto" w:fill="DFDFDF"/>
          </w:tcPr>
          <w:p w14:paraId="2FEC6B6F" w14:textId="77777777" w:rsidR="00A663F1" w:rsidRDefault="00A663F1">
            <w:pPr>
              <w:rPr>
                <w:sz w:val="2"/>
                <w:szCs w:val="2"/>
              </w:rPr>
            </w:pPr>
          </w:p>
        </w:tc>
      </w:tr>
      <w:tr w:rsidR="00A663F1" w14:paraId="4DE9BDAA" w14:textId="77777777">
        <w:trPr>
          <w:trHeight w:val="2099"/>
        </w:trPr>
        <w:tc>
          <w:tcPr>
            <w:tcW w:w="10334" w:type="dxa"/>
            <w:gridSpan w:val="5"/>
          </w:tcPr>
          <w:p w14:paraId="539CC547" w14:textId="77777777" w:rsidR="00A663F1" w:rsidRDefault="00E46EDB">
            <w:pPr>
              <w:pStyle w:val="TableParagraph"/>
              <w:spacing w:before="50" w:line="240" w:lineRule="auto"/>
              <w:ind w:left="117"/>
              <w:rPr>
                <w:b/>
                <w:sz w:val="20"/>
              </w:rPr>
            </w:pPr>
            <w:r>
              <w:rPr>
                <w:b/>
                <w:sz w:val="20"/>
              </w:rPr>
              <w:t>What is the problem under consideration? Why is government intervention necessary?</w:t>
            </w:r>
          </w:p>
          <w:p w14:paraId="40491048" w14:textId="77777777" w:rsidR="00A663F1" w:rsidRDefault="00E46EDB">
            <w:pPr>
              <w:pStyle w:val="TableParagraph"/>
              <w:spacing w:before="48" w:line="240" w:lineRule="auto"/>
              <w:ind w:left="117" w:right="20"/>
            </w:pPr>
            <w:r>
              <w:rPr>
                <w:spacing w:val="-5"/>
              </w:rPr>
              <w:t xml:space="preserve">There </w:t>
            </w:r>
            <w:r>
              <w:rPr>
                <w:spacing w:val="-4"/>
              </w:rPr>
              <w:t xml:space="preserve">are </w:t>
            </w:r>
            <w:r>
              <w:rPr>
                <w:spacing w:val="-3"/>
              </w:rPr>
              <w:t xml:space="preserve">an </w:t>
            </w:r>
            <w:r>
              <w:rPr>
                <w:spacing w:val="-6"/>
              </w:rPr>
              <w:t xml:space="preserve">estimated </w:t>
            </w:r>
            <w:r>
              <w:t xml:space="preserve">9 </w:t>
            </w:r>
            <w:r>
              <w:rPr>
                <w:spacing w:val="-5"/>
              </w:rPr>
              <w:t xml:space="preserve">million </w:t>
            </w:r>
            <w:r>
              <w:rPr>
                <w:spacing w:val="-6"/>
              </w:rPr>
              <w:t xml:space="preserve">overindebted people </w:t>
            </w:r>
            <w:r>
              <w:rPr>
                <w:spacing w:val="-3"/>
              </w:rPr>
              <w:t xml:space="preserve">in </w:t>
            </w:r>
            <w:r>
              <w:rPr>
                <w:spacing w:val="-4"/>
              </w:rPr>
              <w:t xml:space="preserve">the </w:t>
            </w:r>
            <w:r>
              <w:rPr>
                <w:spacing w:val="-5"/>
              </w:rPr>
              <w:t xml:space="preserve">UK, </w:t>
            </w:r>
            <w:r>
              <w:rPr>
                <w:spacing w:val="-4"/>
              </w:rPr>
              <w:t xml:space="preserve">of </w:t>
            </w:r>
            <w:r>
              <w:rPr>
                <w:spacing w:val="-6"/>
              </w:rPr>
              <w:t xml:space="preserve">which </w:t>
            </w:r>
            <w:r>
              <w:rPr>
                <w:spacing w:val="-5"/>
              </w:rPr>
              <w:t xml:space="preserve">only around </w:t>
            </w:r>
            <w:r>
              <w:rPr>
                <w:spacing w:val="-4"/>
              </w:rPr>
              <w:t xml:space="preserve">1.1 </w:t>
            </w:r>
            <w:r>
              <w:rPr>
                <w:spacing w:val="-5"/>
              </w:rPr>
              <w:t xml:space="preserve">million receive </w:t>
            </w:r>
            <w:r>
              <w:rPr>
                <w:spacing w:val="-6"/>
              </w:rPr>
              <w:t xml:space="preserve">advice </w:t>
            </w:r>
            <w:r>
              <w:rPr>
                <w:spacing w:val="-5"/>
              </w:rPr>
              <w:t xml:space="preserve">each </w:t>
            </w:r>
            <w:r>
              <w:rPr>
                <w:spacing w:val="-6"/>
              </w:rPr>
              <w:t>year.</w:t>
            </w:r>
            <w:r>
              <w:rPr>
                <w:spacing w:val="-6"/>
                <w:vertAlign w:val="superscript"/>
              </w:rPr>
              <w:t>1</w:t>
            </w:r>
            <w:r>
              <w:rPr>
                <w:spacing w:val="-6"/>
              </w:rPr>
              <w:t xml:space="preserve"> </w:t>
            </w:r>
            <w:r>
              <w:rPr>
                <w:spacing w:val="-3"/>
              </w:rPr>
              <w:t xml:space="preserve">An </w:t>
            </w:r>
            <w:r>
              <w:rPr>
                <w:spacing w:val="-6"/>
              </w:rPr>
              <w:t xml:space="preserve">additional </w:t>
            </w:r>
            <w:r>
              <w:rPr>
                <w:spacing w:val="-5"/>
              </w:rPr>
              <w:t xml:space="preserve">0.65 </w:t>
            </w:r>
            <w:r>
              <w:t xml:space="preserve">to </w:t>
            </w:r>
            <w:r>
              <w:rPr>
                <w:spacing w:val="-4"/>
              </w:rPr>
              <w:t xml:space="preserve">2.9 </w:t>
            </w:r>
            <w:r>
              <w:rPr>
                <w:spacing w:val="-5"/>
              </w:rPr>
              <w:t xml:space="preserve">million </w:t>
            </w:r>
            <w:r>
              <w:rPr>
                <w:spacing w:val="-6"/>
              </w:rPr>
              <w:t xml:space="preserve">people would benefit </w:t>
            </w:r>
            <w:r>
              <w:rPr>
                <w:spacing w:val="-4"/>
              </w:rPr>
              <w:t xml:space="preserve">from </w:t>
            </w:r>
            <w:r>
              <w:rPr>
                <w:spacing w:val="-5"/>
              </w:rPr>
              <w:t xml:space="preserve">debt </w:t>
            </w:r>
            <w:r>
              <w:rPr>
                <w:spacing w:val="-6"/>
              </w:rPr>
              <w:t xml:space="preserve">advice </w:t>
            </w:r>
            <w:r>
              <w:rPr>
                <w:spacing w:val="-4"/>
              </w:rPr>
              <w:t xml:space="preserve">but </w:t>
            </w:r>
            <w:r>
              <w:rPr>
                <w:spacing w:val="-3"/>
              </w:rPr>
              <w:t xml:space="preserve">do </w:t>
            </w:r>
            <w:r>
              <w:rPr>
                <w:spacing w:val="-5"/>
              </w:rPr>
              <w:t xml:space="preserve">not </w:t>
            </w:r>
            <w:r>
              <w:rPr>
                <w:spacing w:val="-6"/>
              </w:rPr>
              <w:t>seek it.</w:t>
            </w:r>
            <w:r>
              <w:rPr>
                <w:spacing w:val="-6"/>
                <w:vertAlign w:val="superscript"/>
              </w:rPr>
              <w:t>2</w:t>
            </w:r>
            <w:r>
              <w:rPr>
                <w:spacing w:val="-6"/>
              </w:rPr>
              <w:t xml:space="preserve"> </w:t>
            </w:r>
            <w:r>
              <w:rPr>
                <w:spacing w:val="-5"/>
              </w:rPr>
              <w:t xml:space="preserve">Even those that </w:t>
            </w:r>
            <w:r>
              <w:rPr>
                <w:spacing w:val="-3"/>
              </w:rPr>
              <w:t xml:space="preserve">do </w:t>
            </w:r>
            <w:r>
              <w:rPr>
                <w:spacing w:val="-5"/>
              </w:rPr>
              <w:t xml:space="preserve">seek help often </w:t>
            </w:r>
            <w:r>
              <w:rPr>
                <w:spacing w:val="-3"/>
              </w:rPr>
              <w:t xml:space="preserve">do so at </w:t>
            </w:r>
            <w:r>
              <w:t xml:space="preserve">a </w:t>
            </w:r>
            <w:r>
              <w:rPr>
                <w:spacing w:val="-5"/>
              </w:rPr>
              <w:t>late stage</w:t>
            </w:r>
            <w:r>
              <w:rPr>
                <w:spacing w:val="-5"/>
                <w:vertAlign w:val="superscript"/>
              </w:rPr>
              <w:t>3</w:t>
            </w:r>
            <w:r>
              <w:rPr>
                <w:spacing w:val="-5"/>
              </w:rPr>
              <w:t xml:space="preserve"> </w:t>
            </w:r>
            <w:r>
              <w:rPr>
                <w:spacing w:val="-4"/>
              </w:rPr>
              <w:t xml:space="preserve">and </w:t>
            </w:r>
            <w:r>
              <w:rPr>
                <w:spacing w:val="-5"/>
              </w:rPr>
              <w:t xml:space="preserve">sometimes </w:t>
            </w:r>
            <w:r>
              <w:rPr>
                <w:spacing w:val="-4"/>
              </w:rPr>
              <w:t xml:space="preserve">take </w:t>
            </w:r>
            <w:r>
              <w:rPr>
                <w:spacing w:val="-5"/>
              </w:rPr>
              <w:t xml:space="preserve">the quickest rather </w:t>
            </w:r>
            <w:r>
              <w:rPr>
                <w:spacing w:val="-4"/>
              </w:rPr>
              <w:t xml:space="preserve">than </w:t>
            </w:r>
            <w:r>
              <w:rPr>
                <w:spacing w:val="-5"/>
              </w:rPr>
              <w:t xml:space="preserve">most </w:t>
            </w:r>
            <w:r>
              <w:rPr>
                <w:spacing w:val="-6"/>
              </w:rPr>
              <w:t>sustainable solution.</w:t>
            </w:r>
            <w:r>
              <w:rPr>
                <w:spacing w:val="-6"/>
                <w:vertAlign w:val="superscript"/>
              </w:rPr>
              <w:t>4</w:t>
            </w:r>
            <w:r>
              <w:rPr>
                <w:spacing w:val="-6"/>
              </w:rPr>
              <w:t xml:space="preserve"> Evidence suggests </w:t>
            </w:r>
            <w:r>
              <w:rPr>
                <w:spacing w:val="-5"/>
              </w:rPr>
              <w:t xml:space="preserve">that </w:t>
            </w:r>
            <w:r>
              <w:rPr>
                <w:spacing w:val="-6"/>
              </w:rPr>
              <w:t xml:space="preserve">people’s emotions, knowledge </w:t>
            </w:r>
            <w:r>
              <w:rPr>
                <w:spacing w:val="-5"/>
              </w:rPr>
              <w:t xml:space="preserve">and </w:t>
            </w:r>
            <w:r>
              <w:rPr>
                <w:spacing w:val="-6"/>
              </w:rPr>
              <w:t xml:space="preserve">attitudes </w:t>
            </w:r>
            <w:r>
              <w:t xml:space="preserve">to </w:t>
            </w:r>
            <w:r>
              <w:rPr>
                <w:spacing w:val="-5"/>
              </w:rPr>
              <w:t xml:space="preserve">their debt create barriers </w:t>
            </w:r>
            <w:r>
              <w:t xml:space="preserve">to </w:t>
            </w:r>
            <w:r>
              <w:rPr>
                <w:spacing w:val="-6"/>
              </w:rPr>
              <w:t>accessing advice.</w:t>
            </w:r>
            <w:r>
              <w:rPr>
                <w:spacing w:val="-6"/>
                <w:vertAlign w:val="superscript"/>
              </w:rPr>
              <w:t>5</w:t>
            </w:r>
            <w:r>
              <w:rPr>
                <w:spacing w:val="-6"/>
              </w:rPr>
              <w:t xml:space="preserve"> </w:t>
            </w:r>
            <w:r>
              <w:rPr>
                <w:spacing w:val="-4"/>
              </w:rPr>
              <w:t xml:space="preserve">These </w:t>
            </w:r>
            <w:r>
              <w:rPr>
                <w:spacing w:val="-5"/>
              </w:rPr>
              <w:t xml:space="preserve">internal barriers include </w:t>
            </w:r>
            <w:r>
              <w:rPr>
                <w:spacing w:val="-4"/>
              </w:rPr>
              <w:t xml:space="preserve">the </w:t>
            </w:r>
            <w:r>
              <w:rPr>
                <w:spacing w:val="-5"/>
              </w:rPr>
              <w:t xml:space="preserve">stress and </w:t>
            </w:r>
            <w:r>
              <w:rPr>
                <w:spacing w:val="-6"/>
              </w:rPr>
              <w:t xml:space="preserve">anxiety </w:t>
            </w:r>
            <w:r>
              <w:rPr>
                <w:spacing w:val="-4"/>
              </w:rPr>
              <w:t xml:space="preserve">that </w:t>
            </w:r>
            <w:r>
              <w:rPr>
                <w:spacing w:val="-5"/>
              </w:rPr>
              <w:t xml:space="preserve">comes with </w:t>
            </w:r>
            <w:r>
              <w:rPr>
                <w:spacing w:val="-6"/>
              </w:rPr>
              <w:t>problem</w:t>
            </w:r>
          </w:p>
          <w:p w14:paraId="4E026BAD" w14:textId="77777777" w:rsidR="00A663F1" w:rsidRDefault="00E46EDB">
            <w:pPr>
              <w:pStyle w:val="TableParagraph"/>
              <w:spacing w:before="7" w:line="252" w:lineRule="exact"/>
              <w:ind w:left="117"/>
            </w:pPr>
            <w:r>
              <w:rPr>
                <w:spacing w:val="-5"/>
              </w:rPr>
              <w:t xml:space="preserve">debt, </w:t>
            </w:r>
            <w:r>
              <w:rPr>
                <w:spacing w:val="-6"/>
              </w:rPr>
              <w:t xml:space="preserve">which </w:t>
            </w:r>
            <w:r>
              <w:rPr>
                <w:spacing w:val="-4"/>
              </w:rPr>
              <w:t xml:space="preserve">can </w:t>
            </w:r>
            <w:r>
              <w:rPr>
                <w:spacing w:val="-3"/>
              </w:rPr>
              <w:t xml:space="preserve">be </w:t>
            </w:r>
            <w:r>
              <w:rPr>
                <w:spacing w:val="-6"/>
              </w:rPr>
              <w:t xml:space="preserve">compounded when creditors </w:t>
            </w:r>
            <w:r>
              <w:rPr>
                <w:spacing w:val="-5"/>
              </w:rPr>
              <w:t xml:space="preserve">start </w:t>
            </w:r>
            <w:r>
              <w:t xml:space="preserve">to </w:t>
            </w:r>
            <w:r>
              <w:rPr>
                <w:spacing w:val="-5"/>
              </w:rPr>
              <w:t xml:space="preserve">take </w:t>
            </w:r>
            <w:r>
              <w:rPr>
                <w:spacing w:val="-6"/>
              </w:rPr>
              <w:t xml:space="preserve">enforcement action </w:t>
            </w:r>
            <w:r>
              <w:rPr>
                <w:spacing w:val="-5"/>
              </w:rPr>
              <w:t xml:space="preserve">such </w:t>
            </w:r>
            <w:r>
              <w:rPr>
                <w:spacing w:val="-3"/>
              </w:rPr>
              <w:t xml:space="preserve">as </w:t>
            </w:r>
            <w:r>
              <w:rPr>
                <w:spacing w:val="-6"/>
              </w:rPr>
              <w:t xml:space="preserve">chasing </w:t>
            </w:r>
            <w:r>
              <w:rPr>
                <w:spacing w:val="-4"/>
              </w:rPr>
              <w:t xml:space="preserve">for </w:t>
            </w:r>
            <w:r>
              <w:rPr>
                <w:spacing w:val="-6"/>
              </w:rPr>
              <w:t xml:space="preserve">repayment, starting </w:t>
            </w:r>
            <w:r>
              <w:rPr>
                <w:spacing w:val="-5"/>
              </w:rPr>
              <w:t xml:space="preserve">court </w:t>
            </w:r>
            <w:r>
              <w:rPr>
                <w:spacing w:val="-6"/>
              </w:rPr>
              <w:t xml:space="preserve">processes </w:t>
            </w:r>
            <w:r>
              <w:rPr>
                <w:spacing w:val="-3"/>
              </w:rPr>
              <w:t xml:space="preserve">or </w:t>
            </w:r>
            <w:r>
              <w:rPr>
                <w:spacing w:val="-5"/>
              </w:rPr>
              <w:t xml:space="preserve">using </w:t>
            </w:r>
            <w:r>
              <w:rPr>
                <w:spacing w:val="-6"/>
              </w:rPr>
              <w:t>bailiffs.</w:t>
            </w:r>
          </w:p>
        </w:tc>
      </w:tr>
      <w:tr w:rsidR="00A663F1" w14:paraId="67EEF112" w14:textId="77777777">
        <w:trPr>
          <w:trHeight w:val="74"/>
        </w:trPr>
        <w:tc>
          <w:tcPr>
            <w:tcW w:w="10334" w:type="dxa"/>
            <w:gridSpan w:val="5"/>
            <w:tcBorders>
              <w:left w:val="nil"/>
              <w:right w:val="nil"/>
            </w:tcBorders>
          </w:tcPr>
          <w:p w14:paraId="1B1DF93A" w14:textId="77777777" w:rsidR="00A663F1" w:rsidRDefault="00A663F1">
            <w:pPr>
              <w:pStyle w:val="TableParagraph"/>
              <w:spacing w:line="240" w:lineRule="auto"/>
              <w:rPr>
                <w:rFonts w:ascii="Times New Roman"/>
                <w:sz w:val="2"/>
              </w:rPr>
            </w:pPr>
          </w:p>
        </w:tc>
      </w:tr>
      <w:tr w:rsidR="00A663F1" w14:paraId="4CA367DC" w14:textId="77777777">
        <w:trPr>
          <w:trHeight w:val="1591"/>
        </w:trPr>
        <w:tc>
          <w:tcPr>
            <w:tcW w:w="10334" w:type="dxa"/>
            <w:gridSpan w:val="5"/>
          </w:tcPr>
          <w:p w14:paraId="54A338EC" w14:textId="77777777" w:rsidR="00A663F1" w:rsidRDefault="00E46EDB">
            <w:pPr>
              <w:pStyle w:val="TableParagraph"/>
              <w:spacing w:before="49" w:line="240" w:lineRule="auto"/>
              <w:ind w:left="117"/>
              <w:rPr>
                <w:b/>
                <w:sz w:val="18"/>
              </w:rPr>
            </w:pPr>
            <w:r>
              <w:rPr>
                <w:b/>
                <w:sz w:val="18"/>
              </w:rPr>
              <w:t>What are the policy objectives and the intended effects?</w:t>
            </w:r>
          </w:p>
          <w:p w14:paraId="14CB9978" w14:textId="77777777" w:rsidR="00A663F1" w:rsidRDefault="00E46EDB">
            <w:pPr>
              <w:pStyle w:val="TableParagraph"/>
              <w:spacing w:before="51" w:line="240" w:lineRule="auto"/>
              <w:ind w:left="117" w:right="117"/>
            </w:pPr>
            <w:r>
              <w:rPr>
                <w:spacing w:val="-3"/>
              </w:rPr>
              <w:t xml:space="preserve">The </w:t>
            </w:r>
            <w:r>
              <w:rPr>
                <w:spacing w:val="-6"/>
              </w:rPr>
              <w:t xml:space="preserve">government </w:t>
            </w:r>
            <w:r>
              <w:rPr>
                <w:spacing w:val="-5"/>
              </w:rPr>
              <w:t xml:space="preserve">wants </w:t>
            </w:r>
            <w:r>
              <w:rPr>
                <w:spacing w:val="-4"/>
              </w:rPr>
              <w:t xml:space="preserve">to </w:t>
            </w:r>
            <w:r>
              <w:rPr>
                <w:spacing w:val="-6"/>
              </w:rPr>
              <w:t xml:space="preserve">incentivise </w:t>
            </w:r>
            <w:r>
              <w:rPr>
                <w:spacing w:val="-4"/>
              </w:rPr>
              <w:t xml:space="preserve">more </w:t>
            </w:r>
            <w:r>
              <w:rPr>
                <w:spacing w:val="-5"/>
              </w:rPr>
              <w:t xml:space="preserve">people </w:t>
            </w:r>
            <w:r>
              <w:t xml:space="preserve">to </w:t>
            </w:r>
            <w:r>
              <w:rPr>
                <w:spacing w:val="-5"/>
              </w:rPr>
              <w:t xml:space="preserve">access </w:t>
            </w:r>
            <w:r>
              <w:rPr>
                <w:spacing w:val="-6"/>
              </w:rPr>
              <w:t xml:space="preserve">professional </w:t>
            </w:r>
            <w:r>
              <w:rPr>
                <w:spacing w:val="-5"/>
              </w:rPr>
              <w:t xml:space="preserve">debt </w:t>
            </w:r>
            <w:r>
              <w:rPr>
                <w:spacing w:val="-6"/>
              </w:rPr>
              <w:t xml:space="preserve">advice </w:t>
            </w:r>
            <w:r>
              <w:rPr>
                <w:spacing w:val="-4"/>
              </w:rPr>
              <w:t xml:space="preserve">and </w:t>
            </w:r>
            <w:r>
              <w:t xml:space="preserve">to </w:t>
            </w:r>
            <w:r>
              <w:rPr>
                <w:spacing w:val="-6"/>
              </w:rPr>
              <w:t xml:space="preserve">access </w:t>
            </w:r>
            <w:r>
              <w:rPr>
                <w:spacing w:val="-3"/>
              </w:rPr>
              <w:t xml:space="preserve">it </w:t>
            </w:r>
            <w:r>
              <w:rPr>
                <w:spacing w:val="-6"/>
              </w:rPr>
              <w:t xml:space="preserve">sooner, helping </w:t>
            </w:r>
            <w:r>
              <w:rPr>
                <w:spacing w:val="-4"/>
              </w:rPr>
              <w:t xml:space="preserve">them </w:t>
            </w:r>
            <w:r>
              <w:t xml:space="preserve">to </w:t>
            </w:r>
            <w:r>
              <w:rPr>
                <w:spacing w:val="-5"/>
              </w:rPr>
              <w:t xml:space="preserve">reach </w:t>
            </w:r>
            <w:r>
              <w:rPr>
                <w:spacing w:val="-6"/>
              </w:rPr>
              <w:t xml:space="preserve">sustainable </w:t>
            </w:r>
            <w:r>
              <w:rPr>
                <w:spacing w:val="-5"/>
              </w:rPr>
              <w:t xml:space="preserve">debt </w:t>
            </w:r>
            <w:r>
              <w:rPr>
                <w:spacing w:val="-6"/>
              </w:rPr>
              <w:t xml:space="preserve">solutions. </w:t>
            </w:r>
            <w:r>
              <w:rPr>
                <w:spacing w:val="-4"/>
              </w:rPr>
              <w:t xml:space="preserve">The </w:t>
            </w:r>
            <w:r>
              <w:rPr>
                <w:spacing w:val="-6"/>
              </w:rPr>
              <w:t xml:space="preserve">government </w:t>
            </w:r>
            <w:r>
              <w:rPr>
                <w:spacing w:val="-5"/>
              </w:rPr>
              <w:t xml:space="preserve">also wants </w:t>
            </w:r>
            <w:r>
              <w:t xml:space="preserve">to </w:t>
            </w:r>
            <w:r>
              <w:rPr>
                <w:spacing w:val="-6"/>
              </w:rPr>
              <w:t xml:space="preserve">provide debtors </w:t>
            </w:r>
            <w:r>
              <w:rPr>
                <w:spacing w:val="-5"/>
              </w:rPr>
              <w:t xml:space="preserve">who engage with </w:t>
            </w:r>
            <w:r>
              <w:rPr>
                <w:spacing w:val="-4"/>
              </w:rPr>
              <w:t xml:space="preserve">this </w:t>
            </w:r>
            <w:r>
              <w:rPr>
                <w:spacing w:val="-6"/>
              </w:rPr>
              <w:t xml:space="preserve">advice </w:t>
            </w:r>
            <w:r>
              <w:rPr>
                <w:spacing w:val="-5"/>
              </w:rPr>
              <w:t xml:space="preserve">with </w:t>
            </w:r>
            <w:r>
              <w:rPr>
                <w:spacing w:val="-4"/>
              </w:rPr>
              <w:t xml:space="preserve">the </w:t>
            </w:r>
            <w:r>
              <w:rPr>
                <w:spacing w:val="-6"/>
              </w:rPr>
              <w:t xml:space="preserve">headspace </w:t>
            </w:r>
            <w:r>
              <w:t xml:space="preserve">to </w:t>
            </w:r>
            <w:r>
              <w:rPr>
                <w:spacing w:val="-4"/>
              </w:rPr>
              <w:t xml:space="preserve">find </w:t>
            </w:r>
            <w:r>
              <w:t xml:space="preserve">a </w:t>
            </w:r>
            <w:r>
              <w:rPr>
                <w:spacing w:val="-5"/>
              </w:rPr>
              <w:t xml:space="preserve">debt </w:t>
            </w:r>
            <w:r>
              <w:rPr>
                <w:spacing w:val="-6"/>
              </w:rPr>
              <w:t xml:space="preserve">solution </w:t>
            </w:r>
            <w:r>
              <w:rPr>
                <w:spacing w:val="-3"/>
              </w:rPr>
              <w:t xml:space="preserve">by </w:t>
            </w:r>
            <w:r>
              <w:rPr>
                <w:spacing w:val="-6"/>
              </w:rPr>
              <w:t xml:space="preserve">pausing </w:t>
            </w:r>
            <w:r>
              <w:rPr>
                <w:spacing w:val="-5"/>
              </w:rPr>
              <w:t xml:space="preserve">creditor </w:t>
            </w:r>
            <w:r>
              <w:rPr>
                <w:spacing w:val="-6"/>
              </w:rPr>
              <w:t xml:space="preserve">enforcement action, interest, </w:t>
            </w:r>
            <w:r>
              <w:rPr>
                <w:spacing w:val="-5"/>
              </w:rPr>
              <w:t xml:space="preserve">and </w:t>
            </w:r>
            <w:r>
              <w:rPr>
                <w:spacing w:val="-6"/>
              </w:rPr>
              <w:t xml:space="preserve">charges. </w:t>
            </w:r>
            <w:r>
              <w:rPr>
                <w:spacing w:val="-3"/>
              </w:rPr>
              <w:t xml:space="preserve">By </w:t>
            </w:r>
            <w:r>
              <w:rPr>
                <w:spacing w:val="-5"/>
              </w:rPr>
              <w:t xml:space="preserve">offering these </w:t>
            </w:r>
            <w:r>
              <w:rPr>
                <w:spacing w:val="-6"/>
              </w:rPr>
              <w:t xml:space="preserve">protections </w:t>
            </w:r>
            <w:r>
              <w:rPr>
                <w:spacing w:val="-5"/>
              </w:rPr>
              <w:t xml:space="preserve">in </w:t>
            </w:r>
            <w:r>
              <w:rPr>
                <w:spacing w:val="-6"/>
              </w:rPr>
              <w:t xml:space="preserve">Breathing </w:t>
            </w:r>
            <w:r>
              <w:rPr>
                <w:spacing w:val="-5"/>
              </w:rPr>
              <w:t xml:space="preserve">space, </w:t>
            </w:r>
            <w:r>
              <w:rPr>
                <w:spacing w:val="-4"/>
              </w:rPr>
              <w:t xml:space="preserve">and </w:t>
            </w:r>
            <w:r>
              <w:rPr>
                <w:spacing w:val="-3"/>
              </w:rPr>
              <w:t xml:space="preserve">by </w:t>
            </w:r>
            <w:r>
              <w:rPr>
                <w:spacing w:val="-5"/>
              </w:rPr>
              <w:t xml:space="preserve">making debt </w:t>
            </w:r>
            <w:r>
              <w:rPr>
                <w:spacing w:val="-6"/>
              </w:rPr>
              <w:t>advice</w:t>
            </w:r>
            <w:r>
              <w:rPr>
                <w:spacing w:val="-42"/>
              </w:rPr>
              <w:t xml:space="preserve"> </w:t>
            </w:r>
            <w:r>
              <w:rPr>
                <w:spacing w:val="-5"/>
              </w:rPr>
              <w:t>the</w:t>
            </w:r>
          </w:p>
          <w:p w14:paraId="61CB3B00" w14:textId="77777777" w:rsidR="00A663F1" w:rsidRDefault="00E46EDB">
            <w:pPr>
              <w:pStyle w:val="TableParagraph"/>
              <w:spacing w:before="1" w:line="251" w:lineRule="exact"/>
              <w:ind w:left="117"/>
            </w:pPr>
            <w:r>
              <w:t>gateway to these protections, the policy should deliver these objectives.</w:t>
            </w:r>
          </w:p>
        </w:tc>
      </w:tr>
      <w:tr w:rsidR="00A663F1" w14:paraId="66C268F7" w14:textId="77777777">
        <w:trPr>
          <w:trHeight w:val="2422"/>
        </w:trPr>
        <w:tc>
          <w:tcPr>
            <w:tcW w:w="10334" w:type="dxa"/>
            <w:gridSpan w:val="5"/>
            <w:tcBorders>
              <w:bottom w:val="double" w:sz="1" w:space="0" w:color="000000"/>
            </w:tcBorders>
          </w:tcPr>
          <w:p w14:paraId="33D43C3D" w14:textId="77777777" w:rsidR="00A663F1" w:rsidRDefault="00E46EDB">
            <w:pPr>
              <w:pStyle w:val="TableParagraph"/>
              <w:spacing w:before="50" w:line="240" w:lineRule="auto"/>
              <w:ind w:left="117"/>
              <w:rPr>
                <w:b/>
                <w:sz w:val="20"/>
              </w:rPr>
            </w:pPr>
            <w:r>
              <w:rPr>
                <w:b/>
                <w:spacing w:val="-4"/>
                <w:sz w:val="20"/>
              </w:rPr>
              <w:t xml:space="preserve">What </w:t>
            </w:r>
            <w:r>
              <w:rPr>
                <w:b/>
                <w:spacing w:val="-5"/>
                <w:sz w:val="20"/>
              </w:rPr>
              <w:t xml:space="preserve">policy options </w:t>
            </w:r>
            <w:r>
              <w:rPr>
                <w:b/>
                <w:spacing w:val="-4"/>
                <w:sz w:val="20"/>
              </w:rPr>
              <w:t xml:space="preserve">have </w:t>
            </w:r>
            <w:r>
              <w:rPr>
                <w:b/>
                <w:spacing w:val="-5"/>
                <w:sz w:val="20"/>
              </w:rPr>
              <w:t xml:space="preserve">been considered, including </w:t>
            </w:r>
            <w:r>
              <w:rPr>
                <w:b/>
                <w:spacing w:val="-4"/>
                <w:sz w:val="20"/>
              </w:rPr>
              <w:t xml:space="preserve">any </w:t>
            </w:r>
            <w:r>
              <w:rPr>
                <w:b/>
                <w:spacing w:val="-5"/>
                <w:sz w:val="20"/>
              </w:rPr>
              <w:t xml:space="preserve">alternatives </w:t>
            </w:r>
            <w:r>
              <w:rPr>
                <w:b/>
                <w:sz w:val="20"/>
              </w:rPr>
              <w:t xml:space="preserve">to </w:t>
            </w:r>
            <w:r>
              <w:rPr>
                <w:b/>
                <w:spacing w:val="-5"/>
                <w:sz w:val="20"/>
              </w:rPr>
              <w:t xml:space="preserve">regulation? Please </w:t>
            </w:r>
            <w:r>
              <w:rPr>
                <w:b/>
                <w:spacing w:val="-4"/>
                <w:sz w:val="20"/>
              </w:rPr>
              <w:t xml:space="preserve">justify </w:t>
            </w:r>
            <w:r>
              <w:rPr>
                <w:b/>
                <w:spacing w:val="-5"/>
                <w:sz w:val="20"/>
              </w:rPr>
              <w:t xml:space="preserve">preferred </w:t>
            </w:r>
            <w:r>
              <w:rPr>
                <w:b/>
                <w:spacing w:val="-4"/>
                <w:sz w:val="20"/>
              </w:rPr>
              <w:t xml:space="preserve">option </w:t>
            </w:r>
            <w:r>
              <w:rPr>
                <w:b/>
                <w:spacing w:val="-5"/>
                <w:sz w:val="20"/>
              </w:rPr>
              <w:t xml:space="preserve">(further details </w:t>
            </w:r>
            <w:r>
              <w:rPr>
                <w:b/>
                <w:spacing w:val="-3"/>
                <w:sz w:val="20"/>
              </w:rPr>
              <w:t xml:space="preserve">in </w:t>
            </w:r>
            <w:r>
              <w:rPr>
                <w:b/>
                <w:spacing w:val="-5"/>
                <w:sz w:val="20"/>
              </w:rPr>
              <w:t>Evidence Base)</w:t>
            </w:r>
          </w:p>
          <w:p w14:paraId="7017B76A" w14:textId="77777777" w:rsidR="00A663F1" w:rsidRDefault="00E46EDB">
            <w:pPr>
              <w:pStyle w:val="TableParagraph"/>
              <w:spacing w:before="51" w:line="252" w:lineRule="exact"/>
              <w:ind w:left="117"/>
            </w:pPr>
            <w:r>
              <w:t>To achieve these objectives, the government has considered three options:</w:t>
            </w:r>
          </w:p>
          <w:p w14:paraId="58E453BE" w14:textId="77777777" w:rsidR="00A663F1" w:rsidRDefault="00E46EDB">
            <w:pPr>
              <w:pStyle w:val="TableParagraph"/>
              <w:numPr>
                <w:ilvl w:val="0"/>
                <w:numId w:val="11"/>
              </w:numPr>
              <w:tabs>
                <w:tab w:val="left" w:pos="478"/>
              </w:tabs>
              <w:spacing w:line="240" w:lineRule="auto"/>
              <w:ind w:right="176"/>
            </w:pPr>
            <w:r>
              <w:rPr>
                <w:b/>
                <w:spacing w:val="-3"/>
              </w:rPr>
              <w:t xml:space="preserve">Do </w:t>
            </w:r>
            <w:r>
              <w:rPr>
                <w:b/>
                <w:spacing w:val="-6"/>
              </w:rPr>
              <w:t xml:space="preserve">nothing. </w:t>
            </w:r>
            <w:r>
              <w:rPr>
                <w:spacing w:val="-3"/>
              </w:rPr>
              <w:t xml:space="preserve">No </w:t>
            </w:r>
            <w:r>
              <w:rPr>
                <w:spacing w:val="-6"/>
              </w:rPr>
              <w:t xml:space="preserve">government intervention </w:t>
            </w:r>
            <w:r>
              <w:t xml:space="preserve">to </w:t>
            </w:r>
            <w:r>
              <w:rPr>
                <w:spacing w:val="-6"/>
              </w:rPr>
              <w:t xml:space="preserve">address </w:t>
            </w:r>
            <w:r>
              <w:rPr>
                <w:spacing w:val="-5"/>
              </w:rPr>
              <w:t xml:space="preserve">the </w:t>
            </w:r>
            <w:r>
              <w:rPr>
                <w:spacing w:val="-6"/>
              </w:rPr>
              <w:t xml:space="preserve">barriers </w:t>
            </w:r>
            <w:r>
              <w:rPr>
                <w:spacing w:val="-5"/>
              </w:rPr>
              <w:t xml:space="preserve">that </w:t>
            </w:r>
            <w:r>
              <w:rPr>
                <w:spacing w:val="-6"/>
              </w:rPr>
              <w:t xml:space="preserve">prevent </w:t>
            </w:r>
            <w:r>
              <w:rPr>
                <w:spacing w:val="-3"/>
              </w:rPr>
              <w:t xml:space="preserve">or </w:t>
            </w:r>
            <w:r>
              <w:rPr>
                <w:spacing w:val="-5"/>
              </w:rPr>
              <w:t xml:space="preserve">delay </w:t>
            </w:r>
            <w:r>
              <w:rPr>
                <w:spacing w:val="-4"/>
              </w:rPr>
              <w:t xml:space="preserve">the </w:t>
            </w:r>
            <w:r>
              <w:rPr>
                <w:spacing w:val="-5"/>
              </w:rPr>
              <w:t xml:space="preserve">people most </w:t>
            </w:r>
            <w:r>
              <w:rPr>
                <w:spacing w:val="-3"/>
              </w:rPr>
              <w:t xml:space="preserve">in </w:t>
            </w:r>
            <w:r>
              <w:rPr>
                <w:spacing w:val="-5"/>
              </w:rPr>
              <w:t xml:space="preserve">need </w:t>
            </w:r>
            <w:r>
              <w:rPr>
                <w:spacing w:val="-4"/>
              </w:rPr>
              <w:t xml:space="preserve">of </w:t>
            </w:r>
            <w:r>
              <w:rPr>
                <w:spacing w:val="-6"/>
              </w:rPr>
              <w:t xml:space="preserve">professional </w:t>
            </w:r>
            <w:r>
              <w:rPr>
                <w:spacing w:val="-5"/>
              </w:rPr>
              <w:t xml:space="preserve">debt </w:t>
            </w:r>
            <w:r>
              <w:rPr>
                <w:spacing w:val="-6"/>
              </w:rPr>
              <w:t xml:space="preserve">advice </w:t>
            </w:r>
            <w:r>
              <w:rPr>
                <w:spacing w:val="-4"/>
              </w:rPr>
              <w:t xml:space="preserve">from </w:t>
            </w:r>
            <w:r>
              <w:rPr>
                <w:spacing w:val="-6"/>
              </w:rPr>
              <w:t>seeking</w:t>
            </w:r>
            <w:r>
              <w:rPr>
                <w:spacing w:val="-38"/>
              </w:rPr>
              <w:t xml:space="preserve"> </w:t>
            </w:r>
            <w:r>
              <w:rPr>
                <w:spacing w:val="-5"/>
              </w:rPr>
              <w:t>it.</w:t>
            </w:r>
          </w:p>
          <w:p w14:paraId="4A6D9224" w14:textId="77777777" w:rsidR="00A663F1" w:rsidRDefault="00E46EDB">
            <w:pPr>
              <w:pStyle w:val="TableParagraph"/>
              <w:numPr>
                <w:ilvl w:val="0"/>
                <w:numId w:val="11"/>
              </w:numPr>
              <w:tabs>
                <w:tab w:val="left" w:pos="478"/>
              </w:tabs>
              <w:spacing w:line="240" w:lineRule="auto"/>
              <w:ind w:right="454"/>
            </w:pPr>
            <w:r>
              <w:rPr>
                <w:b/>
              </w:rPr>
              <w:t xml:space="preserve">A </w:t>
            </w:r>
            <w:r>
              <w:rPr>
                <w:b/>
                <w:spacing w:val="-5"/>
              </w:rPr>
              <w:t xml:space="preserve">voluntary Breathing </w:t>
            </w:r>
            <w:r>
              <w:rPr>
                <w:b/>
                <w:spacing w:val="-6"/>
              </w:rPr>
              <w:t>Space</w:t>
            </w:r>
            <w:r>
              <w:rPr>
                <w:spacing w:val="-6"/>
              </w:rPr>
              <w:t xml:space="preserve">. </w:t>
            </w:r>
            <w:r>
              <w:rPr>
                <w:spacing w:val="-3"/>
              </w:rPr>
              <w:t xml:space="preserve">The </w:t>
            </w:r>
            <w:r>
              <w:rPr>
                <w:spacing w:val="-6"/>
              </w:rPr>
              <w:t xml:space="preserve">government would encourage creditors </w:t>
            </w:r>
            <w:r>
              <w:t xml:space="preserve">to </w:t>
            </w:r>
            <w:r>
              <w:rPr>
                <w:spacing w:val="-5"/>
              </w:rPr>
              <w:t xml:space="preserve">offer </w:t>
            </w:r>
            <w:r>
              <w:rPr>
                <w:spacing w:val="-4"/>
              </w:rPr>
              <w:t xml:space="preserve">the </w:t>
            </w:r>
            <w:r>
              <w:rPr>
                <w:spacing w:val="-6"/>
              </w:rPr>
              <w:t xml:space="preserve">protections </w:t>
            </w:r>
            <w:r>
              <w:rPr>
                <w:spacing w:val="-4"/>
              </w:rPr>
              <w:t xml:space="preserve">of </w:t>
            </w:r>
            <w:r>
              <w:rPr>
                <w:spacing w:val="-6"/>
              </w:rPr>
              <w:t xml:space="preserve">Breathing </w:t>
            </w:r>
            <w:r>
              <w:rPr>
                <w:spacing w:val="-5"/>
              </w:rPr>
              <w:t>Space</w:t>
            </w:r>
            <w:r>
              <w:rPr>
                <w:spacing w:val="-15"/>
              </w:rPr>
              <w:t xml:space="preserve"> </w:t>
            </w:r>
            <w:r>
              <w:rPr>
                <w:spacing w:val="-6"/>
              </w:rPr>
              <w:t>voluntarily.</w:t>
            </w:r>
          </w:p>
          <w:p w14:paraId="688C3B0E" w14:textId="77777777" w:rsidR="00A663F1" w:rsidRDefault="00E46EDB">
            <w:pPr>
              <w:pStyle w:val="TableParagraph"/>
              <w:numPr>
                <w:ilvl w:val="0"/>
                <w:numId w:val="11"/>
              </w:numPr>
              <w:tabs>
                <w:tab w:val="left" w:pos="478"/>
              </w:tabs>
              <w:spacing w:before="1" w:line="240" w:lineRule="auto"/>
              <w:ind w:right="416"/>
            </w:pPr>
            <w:r>
              <w:rPr>
                <w:b/>
              </w:rPr>
              <w:t xml:space="preserve">A </w:t>
            </w:r>
            <w:r>
              <w:rPr>
                <w:b/>
                <w:spacing w:val="-5"/>
              </w:rPr>
              <w:t>regulatory Breathing Space</w:t>
            </w:r>
            <w:r>
              <w:rPr>
                <w:spacing w:val="-5"/>
              </w:rPr>
              <w:t xml:space="preserve">, </w:t>
            </w:r>
            <w:r>
              <w:rPr>
                <w:spacing w:val="-3"/>
              </w:rPr>
              <w:t xml:space="preserve">as </w:t>
            </w:r>
            <w:r>
              <w:rPr>
                <w:spacing w:val="-6"/>
              </w:rPr>
              <w:t xml:space="preserve">described </w:t>
            </w:r>
            <w:r>
              <w:rPr>
                <w:spacing w:val="-3"/>
              </w:rPr>
              <w:t xml:space="preserve">in </w:t>
            </w:r>
            <w:r>
              <w:rPr>
                <w:spacing w:val="-5"/>
              </w:rPr>
              <w:t xml:space="preserve">the </w:t>
            </w:r>
            <w:r>
              <w:rPr>
                <w:spacing w:val="-6"/>
              </w:rPr>
              <w:t xml:space="preserve">government’s consultation document. </w:t>
            </w:r>
            <w:r>
              <w:rPr>
                <w:spacing w:val="-4"/>
              </w:rPr>
              <w:t xml:space="preserve">This </w:t>
            </w:r>
            <w:r>
              <w:rPr>
                <w:spacing w:val="-5"/>
              </w:rPr>
              <w:t xml:space="preserve">option </w:t>
            </w:r>
            <w:r>
              <w:rPr>
                <w:spacing w:val="-6"/>
              </w:rPr>
              <w:t>would</w:t>
            </w:r>
            <w:r>
              <w:rPr>
                <w:spacing w:val="-9"/>
              </w:rPr>
              <w:t xml:space="preserve"> </w:t>
            </w:r>
            <w:r>
              <w:rPr>
                <w:spacing w:val="-6"/>
              </w:rPr>
              <w:t>deliver</w:t>
            </w:r>
            <w:r>
              <w:rPr>
                <w:spacing w:val="-7"/>
              </w:rPr>
              <w:t xml:space="preserve"> </w:t>
            </w:r>
            <w:r>
              <w:t>a</w:t>
            </w:r>
            <w:r>
              <w:rPr>
                <w:spacing w:val="-8"/>
              </w:rPr>
              <w:t xml:space="preserve"> </w:t>
            </w:r>
            <w:r>
              <w:rPr>
                <w:spacing w:val="-6"/>
              </w:rPr>
              <w:t>higher</w:t>
            </w:r>
            <w:r>
              <w:rPr>
                <w:spacing w:val="-9"/>
              </w:rPr>
              <w:t xml:space="preserve"> </w:t>
            </w:r>
            <w:r>
              <w:rPr>
                <w:spacing w:val="-4"/>
              </w:rPr>
              <w:t>net</w:t>
            </w:r>
            <w:r>
              <w:rPr>
                <w:spacing w:val="-12"/>
              </w:rPr>
              <w:t xml:space="preserve"> </w:t>
            </w:r>
            <w:r>
              <w:rPr>
                <w:spacing w:val="-5"/>
              </w:rPr>
              <w:t>present</w:t>
            </w:r>
            <w:r>
              <w:rPr>
                <w:spacing w:val="-10"/>
              </w:rPr>
              <w:t xml:space="preserve"> </w:t>
            </w:r>
            <w:r>
              <w:rPr>
                <w:spacing w:val="-5"/>
              </w:rPr>
              <w:t>social</w:t>
            </w:r>
            <w:r>
              <w:rPr>
                <w:spacing w:val="-9"/>
              </w:rPr>
              <w:t xml:space="preserve"> </w:t>
            </w:r>
            <w:r>
              <w:rPr>
                <w:spacing w:val="-6"/>
              </w:rPr>
              <w:t>value</w:t>
            </w:r>
            <w:r>
              <w:rPr>
                <w:spacing w:val="-11"/>
              </w:rPr>
              <w:t xml:space="preserve"> </w:t>
            </w:r>
            <w:r>
              <w:rPr>
                <w:spacing w:val="-4"/>
              </w:rPr>
              <w:t>than</w:t>
            </w:r>
            <w:r>
              <w:rPr>
                <w:spacing w:val="-10"/>
              </w:rPr>
              <w:t xml:space="preserve"> </w:t>
            </w:r>
            <w:r>
              <w:rPr>
                <w:spacing w:val="-5"/>
              </w:rPr>
              <w:t>the</w:t>
            </w:r>
            <w:r>
              <w:rPr>
                <w:spacing w:val="-8"/>
              </w:rPr>
              <w:t xml:space="preserve"> </w:t>
            </w:r>
            <w:r>
              <w:rPr>
                <w:spacing w:val="-5"/>
              </w:rPr>
              <w:t>other</w:t>
            </w:r>
            <w:r>
              <w:rPr>
                <w:spacing w:val="-13"/>
              </w:rPr>
              <w:t xml:space="preserve"> </w:t>
            </w:r>
            <w:r>
              <w:rPr>
                <w:spacing w:val="-5"/>
              </w:rPr>
              <w:t>two</w:t>
            </w:r>
            <w:r>
              <w:rPr>
                <w:spacing w:val="-8"/>
              </w:rPr>
              <w:t xml:space="preserve"> </w:t>
            </w:r>
            <w:r>
              <w:rPr>
                <w:spacing w:val="-6"/>
              </w:rPr>
              <w:t>options.</w:t>
            </w:r>
          </w:p>
        </w:tc>
      </w:tr>
      <w:tr w:rsidR="00A663F1" w14:paraId="356D4AAE" w14:textId="77777777">
        <w:trPr>
          <w:trHeight w:val="576"/>
        </w:trPr>
        <w:tc>
          <w:tcPr>
            <w:tcW w:w="10334" w:type="dxa"/>
            <w:gridSpan w:val="5"/>
            <w:tcBorders>
              <w:top w:val="double" w:sz="1" w:space="0" w:color="000000"/>
            </w:tcBorders>
          </w:tcPr>
          <w:p w14:paraId="4B41C69D" w14:textId="77777777" w:rsidR="00A663F1" w:rsidRDefault="00E46EDB">
            <w:pPr>
              <w:pStyle w:val="TableParagraph"/>
              <w:spacing w:before="65" w:line="240" w:lineRule="auto"/>
              <w:ind w:left="117"/>
              <w:rPr>
                <w:sz w:val="20"/>
              </w:rPr>
            </w:pPr>
            <w:r>
              <w:rPr>
                <w:b/>
                <w:spacing w:val="-4"/>
                <w:sz w:val="20"/>
              </w:rPr>
              <w:t xml:space="preserve">Will </w:t>
            </w:r>
            <w:r>
              <w:rPr>
                <w:b/>
                <w:spacing w:val="-3"/>
                <w:sz w:val="20"/>
              </w:rPr>
              <w:t xml:space="preserve">the </w:t>
            </w:r>
            <w:r>
              <w:rPr>
                <w:b/>
                <w:spacing w:val="-5"/>
                <w:sz w:val="20"/>
              </w:rPr>
              <w:t xml:space="preserve">policy </w:t>
            </w:r>
            <w:r>
              <w:rPr>
                <w:b/>
                <w:spacing w:val="-3"/>
                <w:sz w:val="20"/>
              </w:rPr>
              <w:t xml:space="preserve">be </w:t>
            </w:r>
            <w:r>
              <w:rPr>
                <w:b/>
                <w:spacing w:val="-5"/>
                <w:sz w:val="20"/>
              </w:rPr>
              <w:t xml:space="preserve">reviewed? </w:t>
            </w:r>
            <w:r>
              <w:rPr>
                <w:spacing w:val="-4"/>
                <w:sz w:val="20"/>
              </w:rPr>
              <w:t xml:space="preserve">Yes. </w:t>
            </w:r>
            <w:r>
              <w:rPr>
                <w:b/>
                <w:spacing w:val="-3"/>
                <w:sz w:val="20"/>
              </w:rPr>
              <w:t xml:space="preserve">If </w:t>
            </w:r>
            <w:r>
              <w:rPr>
                <w:b/>
                <w:spacing w:val="-5"/>
                <w:sz w:val="20"/>
              </w:rPr>
              <w:t xml:space="preserve">applicable, </w:t>
            </w:r>
            <w:r>
              <w:rPr>
                <w:b/>
                <w:spacing w:val="-4"/>
                <w:sz w:val="20"/>
              </w:rPr>
              <w:t xml:space="preserve">set </w:t>
            </w:r>
            <w:r>
              <w:rPr>
                <w:b/>
                <w:spacing w:val="-5"/>
                <w:sz w:val="20"/>
              </w:rPr>
              <w:t xml:space="preserve">review date: </w:t>
            </w:r>
            <w:r>
              <w:rPr>
                <w:spacing w:val="-3"/>
                <w:sz w:val="20"/>
              </w:rPr>
              <w:t xml:space="preserve">The </w:t>
            </w:r>
            <w:r>
              <w:rPr>
                <w:spacing w:val="-5"/>
                <w:sz w:val="20"/>
              </w:rPr>
              <w:t xml:space="preserve">policy </w:t>
            </w:r>
            <w:r>
              <w:rPr>
                <w:spacing w:val="-4"/>
                <w:sz w:val="20"/>
              </w:rPr>
              <w:t xml:space="preserve">will </w:t>
            </w:r>
            <w:r>
              <w:rPr>
                <w:spacing w:val="-3"/>
                <w:sz w:val="20"/>
              </w:rPr>
              <w:t xml:space="preserve">be </w:t>
            </w:r>
            <w:r>
              <w:rPr>
                <w:spacing w:val="-5"/>
                <w:sz w:val="20"/>
              </w:rPr>
              <w:t xml:space="preserve">reviewed within </w:t>
            </w:r>
            <w:r>
              <w:rPr>
                <w:spacing w:val="-4"/>
                <w:sz w:val="20"/>
              </w:rPr>
              <w:t xml:space="preserve">five </w:t>
            </w:r>
            <w:r>
              <w:rPr>
                <w:spacing w:val="-5"/>
                <w:sz w:val="20"/>
              </w:rPr>
              <w:t xml:space="preserve">years </w:t>
            </w:r>
            <w:r>
              <w:rPr>
                <w:spacing w:val="-3"/>
                <w:sz w:val="20"/>
              </w:rPr>
              <w:t xml:space="preserve">of </w:t>
            </w:r>
            <w:r>
              <w:rPr>
                <w:spacing w:val="-5"/>
                <w:sz w:val="20"/>
              </w:rPr>
              <w:t xml:space="preserve">commencement. </w:t>
            </w:r>
            <w:r>
              <w:rPr>
                <w:spacing w:val="-3"/>
                <w:sz w:val="20"/>
              </w:rPr>
              <w:t xml:space="preserve">When </w:t>
            </w:r>
            <w:r>
              <w:rPr>
                <w:sz w:val="20"/>
              </w:rPr>
              <w:t xml:space="preserve">a </w:t>
            </w:r>
            <w:r>
              <w:rPr>
                <w:spacing w:val="-5"/>
                <w:sz w:val="20"/>
              </w:rPr>
              <w:t xml:space="preserve">commencement date </w:t>
            </w:r>
            <w:r>
              <w:rPr>
                <w:spacing w:val="-3"/>
                <w:sz w:val="20"/>
              </w:rPr>
              <w:t xml:space="preserve">is </w:t>
            </w:r>
            <w:r>
              <w:rPr>
                <w:spacing w:val="-5"/>
                <w:sz w:val="20"/>
              </w:rPr>
              <w:t xml:space="preserve">fixed, </w:t>
            </w:r>
            <w:r>
              <w:rPr>
                <w:spacing w:val="-4"/>
                <w:sz w:val="20"/>
              </w:rPr>
              <w:t xml:space="preserve">the RPC </w:t>
            </w:r>
            <w:r>
              <w:rPr>
                <w:spacing w:val="-5"/>
                <w:sz w:val="20"/>
              </w:rPr>
              <w:t xml:space="preserve">Secretariat will </w:t>
            </w:r>
            <w:r>
              <w:rPr>
                <w:sz w:val="20"/>
              </w:rPr>
              <w:t xml:space="preserve">be </w:t>
            </w:r>
            <w:r>
              <w:rPr>
                <w:spacing w:val="-4"/>
                <w:sz w:val="20"/>
              </w:rPr>
              <w:t>made aware.</w:t>
            </w:r>
          </w:p>
        </w:tc>
      </w:tr>
    </w:tbl>
    <w:p w14:paraId="3CD6C04A" w14:textId="77777777" w:rsidR="00A663F1" w:rsidRDefault="00A663F1">
      <w:pPr>
        <w:pStyle w:val="BodyText"/>
        <w:spacing w:before="0"/>
        <w:ind w:left="0" w:firstLine="0"/>
        <w:rPr>
          <w:rFonts w:ascii="Times New Roman"/>
          <w:sz w:val="20"/>
        </w:rPr>
      </w:pPr>
    </w:p>
    <w:p w14:paraId="159BB0E0" w14:textId="77777777" w:rsidR="00A663F1" w:rsidRDefault="00A663F1">
      <w:pPr>
        <w:pStyle w:val="BodyText"/>
        <w:spacing w:before="0"/>
        <w:ind w:left="0" w:firstLine="0"/>
        <w:rPr>
          <w:rFonts w:ascii="Times New Roman"/>
          <w:sz w:val="20"/>
        </w:rPr>
      </w:pPr>
    </w:p>
    <w:p w14:paraId="10DD3AA0" w14:textId="77777777" w:rsidR="00A663F1" w:rsidRDefault="00A663F1">
      <w:pPr>
        <w:pStyle w:val="BodyText"/>
        <w:spacing w:before="0"/>
        <w:ind w:left="0" w:firstLine="0"/>
        <w:rPr>
          <w:rFonts w:ascii="Times New Roman"/>
          <w:sz w:val="20"/>
        </w:rPr>
      </w:pPr>
    </w:p>
    <w:p w14:paraId="121EB6EA" w14:textId="77777777" w:rsidR="00A663F1" w:rsidRDefault="00A663F1">
      <w:pPr>
        <w:pStyle w:val="BodyText"/>
        <w:spacing w:before="0"/>
        <w:ind w:left="0" w:firstLine="0"/>
        <w:rPr>
          <w:rFonts w:ascii="Times New Roman"/>
          <w:sz w:val="20"/>
        </w:rPr>
      </w:pPr>
    </w:p>
    <w:p w14:paraId="3F5BD79F" w14:textId="77777777" w:rsidR="00A663F1" w:rsidRDefault="00A663F1">
      <w:pPr>
        <w:pStyle w:val="BodyText"/>
        <w:spacing w:before="0"/>
        <w:ind w:left="0" w:firstLine="0"/>
        <w:rPr>
          <w:rFonts w:ascii="Times New Roman"/>
          <w:sz w:val="20"/>
        </w:rPr>
      </w:pPr>
    </w:p>
    <w:p w14:paraId="416BB379" w14:textId="77777777" w:rsidR="00A663F1" w:rsidRDefault="00A663F1">
      <w:pPr>
        <w:pStyle w:val="BodyText"/>
        <w:spacing w:before="0"/>
        <w:ind w:left="0" w:firstLine="0"/>
        <w:rPr>
          <w:rFonts w:ascii="Times New Roman"/>
          <w:sz w:val="20"/>
        </w:rPr>
      </w:pPr>
    </w:p>
    <w:p w14:paraId="5BD0F216" w14:textId="77777777" w:rsidR="00A663F1" w:rsidRDefault="00A663F1">
      <w:pPr>
        <w:pStyle w:val="BodyText"/>
        <w:spacing w:before="0"/>
        <w:ind w:left="0" w:firstLine="0"/>
        <w:rPr>
          <w:rFonts w:ascii="Times New Roman"/>
          <w:sz w:val="20"/>
        </w:rPr>
      </w:pPr>
    </w:p>
    <w:p w14:paraId="79E41A9E" w14:textId="2EFBF1BD" w:rsidR="00A663F1" w:rsidRDefault="00E46EDB">
      <w:pPr>
        <w:pStyle w:val="BodyText"/>
        <w:spacing w:before="9"/>
        <w:ind w:left="0" w:firstLine="0"/>
        <w:rPr>
          <w:rFonts w:ascii="Times New Roman"/>
          <w:sz w:val="13"/>
        </w:rPr>
      </w:pPr>
      <w:r>
        <w:rPr>
          <w:noProof/>
        </w:rPr>
        <mc:AlternateContent>
          <mc:Choice Requires="wps">
            <w:drawing>
              <wp:anchor distT="0" distB="0" distL="0" distR="0" simplePos="0" relativeHeight="487587840" behindDoc="1" locked="0" layoutInCell="1" allowOverlap="1" wp14:anchorId="061CD3DE" wp14:editId="60802442">
                <wp:simplePos x="0" y="0"/>
                <wp:positionH relativeFrom="page">
                  <wp:posOffset>541020</wp:posOffset>
                </wp:positionH>
                <wp:positionV relativeFrom="paragraph">
                  <wp:posOffset>125730</wp:posOffset>
                </wp:positionV>
                <wp:extent cx="1829435" cy="7620"/>
                <wp:effectExtent l="0" t="0" r="0" b="0"/>
                <wp:wrapTopAndBottom/>
                <wp:docPr id="28"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943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7F818F" id="Rectangle 23" o:spid="_x0000_s1026" style="position:absolute;margin-left:42.6pt;margin-top:9.9pt;width:144.05pt;height:.6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" fillcolor="black" stroked="f">
                <w10:wrap type="topAndBottom" anchorx="page"/>
              </v:rect>
            </w:pict>
          </mc:Fallback>
        </mc:AlternateContent>
      </w:r>
    </w:p>
    <w:p w14:paraId="3EDE1D6E" w14:textId="77777777" w:rsidR="00A663F1" w:rsidRDefault="00E46EDB">
      <w:pPr>
        <w:spacing w:before="68" w:line="237" w:lineRule="auto"/>
        <w:ind w:left="252" w:right="940"/>
        <w:rPr>
          <w:i/>
          <w:sz w:val="16"/>
        </w:rPr>
      </w:pPr>
      <w:r>
        <w:rPr>
          <w:position w:val="8"/>
          <w:sz w:val="14"/>
        </w:rPr>
        <w:t xml:space="preserve">1 </w:t>
      </w:r>
      <w:r>
        <w:rPr>
          <w:sz w:val="16"/>
        </w:rPr>
        <w:t>Wyman (2018) Independent Review of the Funding of Debt Advice in England, Wales, Scotland, and Northern Ireland. Available at:</w:t>
      </w:r>
      <w:hyperlink r:id="rId12">
        <w:r>
          <w:rPr>
            <w:sz w:val="16"/>
            <w:u w:val="single"/>
          </w:rPr>
          <w:t xml:space="preserve"> </w:t>
        </w:r>
        <w:r>
          <w:rPr>
            <w:spacing w:val="-1"/>
            <w:sz w:val="16"/>
            <w:u w:val="single"/>
          </w:rPr>
          <w:t>https://masassets.blob.core.windows.net/cms/files/000/000/900/original/Peter_Wyman_Review_of_Debt_Advice_Funding_2018.pdf</w:t>
        </w:r>
      </w:hyperlink>
      <w:r>
        <w:rPr>
          <w:spacing w:val="-1"/>
          <w:sz w:val="16"/>
        </w:rPr>
        <w:t xml:space="preserve">   </w:t>
      </w:r>
      <w:r>
        <w:rPr>
          <w:spacing w:val="-1"/>
          <w:position w:val="9"/>
          <w:sz w:val="16"/>
        </w:rPr>
        <w:t xml:space="preserve"> </w:t>
      </w:r>
      <w:r>
        <w:rPr>
          <w:i/>
          <w:position w:val="9"/>
          <w:sz w:val="14"/>
        </w:rPr>
        <w:t>2</w:t>
      </w:r>
      <w:r>
        <w:rPr>
          <w:i/>
          <w:spacing w:val="6"/>
          <w:position w:val="9"/>
          <w:sz w:val="14"/>
        </w:rPr>
        <w:t xml:space="preserve"> </w:t>
      </w:r>
      <w:r>
        <w:rPr>
          <w:i/>
          <w:sz w:val="16"/>
        </w:rPr>
        <w:t>Ibid.</w:t>
      </w:r>
    </w:p>
    <w:p w14:paraId="6A1BCC84" w14:textId="77777777" w:rsidR="00A663F1" w:rsidRDefault="00E46EDB">
      <w:pPr>
        <w:pStyle w:val="ListParagraph"/>
        <w:numPr>
          <w:ilvl w:val="0"/>
          <w:numId w:val="10"/>
        </w:numPr>
        <w:tabs>
          <w:tab w:val="left" w:pos="375"/>
        </w:tabs>
        <w:spacing w:before="8" w:line="256" w:lineRule="auto"/>
        <w:ind w:right="129" w:firstLine="0"/>
        <w:rPr>
          <w:sz w:val="16"/>
        </w:rPr>
      </w:pPr>
      <w:r>
        <w:rPr>
          <w:sz w:val="16"/>
        </w:rPr>
        <w:t xml:space="preserve">Christians Against Poverty (2019) </w:t>
      </w:r>
      <w:r>
        <w:rPr>
          <w:i/>
          <w:sz w:val="16"/>
        </w:rPr>
        <w:t>Client Report: Changing Perceptions</w:t>
      </w:r>
      <w:r>
        <w:rPr>
          <w:sz w:val="16"/>
        </w:rPr>
        <w:t xml:space="preserve">. Available at: </w:t>
      </w:r>
      <w:hyperlink r:id="rId13">
        <w:r>
          <w:rPr>
            <w:sz w:val="16"/>
            <w:u w:val="single"/>
          </w:rPr>
          <w:t>https://capuk.org/fileserver/downloads/general/cap-client-</w:t>
        </w:r>
      </w:hyperlink>
      <w:hyperlink r:id="rId14">
        <w:r>
          <w:rPr>
            <w:sz w:val="16"/>
            <w:u w:val="single"/>
          </w:rPr>
          <w:t xml:space="preserve"> report-2019-dp.pdf</w:t>
        </w:r>
      </w:hyperlink>
    </w:p>
    <w:p w14:paraId="4781CFB3" w14:textId="77777777" w:rsidR="00A663F1" w:rsidRDefault="00E46EDB">
      <w:pPr>
        <w:pStyle w:val="ListParagraph"/>
        <w:numPr>
          <w:ilvl w:val="0"/>
          <w:numId w:val="10"/>
        </w:numPr>
        <w:tabs>
          <w:tab w:val="left" w:pos="375"/>
        </w:tabs>
        <w:spacing w:before="37" w:line="196" w:lineRule="exact"/>
        <w:ind w:right="1701" w:firstLine="0"/>
        <w:rPr>
          <w:sz w:val="16"/>
        </w:rPr>
      </w:pPr>
      <w:r>
        <w:rPr>
          <w:sz w:val="16"/>
        </w:rPr>
        <w:t>Money Advice Service (2017), ‘How to use behavioural science to increase the uptake of debt advice’ Available online at https://masassets.blob.core.windows.net/cms/files/000/000/810/original/MAS0032-MAS-BehaviouralChange_W.PDF</w:t>
      </w:r>
    </w:p>
    <w:p w14:paraId="5A09E782" w14:textId="77777777" w:rsidR="00A663F1" w:rsidRDefault="00E46EDB">
      <w:pPr>
        <w:pStyle w:val="ListParagraph"/>
        <w:numPr>
          <w:ilvl w:val="0"/>
          <w:numId w:val="10"/>
        </w:numPr>
        <w:tabs>
          <w:tab w:val="left" w:pos="375"/>
        </w:tabs>
        <w:spacing w:before="0" w:line="236" w:lineRule="exact"/>
        <w:ind w:left="374"/>
        <w:rPr>
          <w:sz w:val="16"/>
        </w:rPr>
      </w:pPr>
      <w:r>
        <w:rPr>
          <w:sz w:val="16"/>
        </w:rPr>
        <w:t xml:space="preserve">Money and Pensions Service (2019), </w:t>
      </w:r>
      <w:r>
        <w:rPr>
          <w:i/>
          <w:sz w:val="16"/>
        </w:rPr>
        <w:t xml:space="preserve">Debt Respite Scheme: Response to Request for Advice </w:t>
      </w:r>
      <w:r>
        <w:rPr>
          <w:sz w:val="16"/>
        </w:rPr>
        <w:t>to HM</w:t>
      </w:r>
      <w:r>
        <w:rPr>
          <w:spacing w:val="-10"/>
          <w:sz w:val="16"/>
        </w:rPr>
        <w:t xml:space="preserve"> </w:t>
      </w:r>
      <w:r>
        <w:rPr>
          <w:sz w:val="16"/>
        </w:rPr>
        <w:t>Treasury</w:t>
      </w:r>
    </w:p>
    <w:p w14:paraId="49034C21" w14:textId="77777777" w:rsidR="00A663F1" w:rsidRDefault="00A663F1">
      <w:pPr>
        <w:spacing w:line="236" w:lineRule="exact"/>
        <w:rPr>
          <w:sz w:val="16"/>
        </w:rPr>
        <w:sectPr w:rsidR="00A663F1">
          <w:footerReference w:type="default" r:id="rId15"/>
          <w:type w:val="continuous"/>
          <w:pgSz w:w="11910" w:h="16850"/>
          <w:pgMar w:top="680" w:right="720" w:bottom="480" w:left="600" w:header="720" w:footer="285" w:gutter="0"/>
          <w:pgNumType w:start="1"/>
          <w:cols w:space="720"/>
        </w:sect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05"/>
        <w:gridCol w:w="1103"/>
        <w:gridCol w:w="865"/>
        <w:gridCol w:w="349"/>
        <w:gridCol w:w="635"/>
        <w:gridCol w:w="983"/>
      </w:tblGrid>
      <w:tr w:rsidR="00A663F1" w14:paraId="7A4C3493" w14:textId="77777777">
        <w:trPr>
          <w:trHeight w:val="330"/>
        </w:trPr>
        <w:tc>
          <w:tcPr>
            <w:tcW w:w="7508" w:type="dxa"/>
            <w:gridSpan w:val="2"/>
            <w:shd w:val="clear" w:color="auto" w:fill="DFDFDF"/>
          </w:tcPr>
          <w:p w14:paraId="1E8C6907" w14:textId="77777777" w:rsidR="00A663F1" w:rsidRDefault="00E46EDB">
            <w:pPr>
              <w:pStyle w:val="TableParagraph"/>
              <w:spacing w:before="50" w:line="240" w:lineRule="auto"/>
              <w:ind w:left="117"/>
              <w:rPr>
                <w:sz w:val="20"/>
              </w:rPr>
            </w:pPr>
            <w:r>
              <w:rPr>
                <w:sz w:val="20"/>
              </w:rPr>
              <w:lastRenderedPageBreak/>
              <w:t>Does implementation go beyond minimum EU requirements?</w:t>
            </w:r>
          </w:p>
        </w:tc>
        <w:tc>
          <w:tcPr>
            <w:tcW w:w="2832" w:type="dxa"/>
            <w:gridSpan w:val="4"/>
            <w:shd w:val="clear" w:color="auto" w:fill="DFDFDF"/>
          </w:tcPr>
          <w:p w14:paraId="0BA5FF9F" w14:textId="77777777" w:rsidR="00A663F1" w:rsidRDefault="00E46EDB">
            <w:pPr>
              <w:pStyle w:val="TableParagraph"/>
              <w:spacing w:before="50" w:line="240" w:lineRule="auto"/>
              <w:ind w:left="116"/>
              <w:rPr>
                <w:sz w:val="20"/>
              </w:rPr>
            </w:pPr>
            <w:r>
              <w:rPr>
                <w:sz w:val="20"/>
              </w:rPr>
              <w:t>N/A</w:t>
            </w:r>
          </w:p>
        </w:tc>
      </w:tr>
      <w:tr w:rsidR="00A663F1" w14:paraId="2E13F2C6" w14:textId="77777777">
        <w:trPr>
          <w:trHeight w:val="330"/>
        </w:trPr>
        <w:tc>
          <w:tcPr>
            <w:tcW w:w="7508" w:type="dxa"/>
            <w:gridSpan w:val="2"/>
            <w:shd w:val="clear" w:color="auto" w:fill="DFDFDF"/>
          </w:tcPr>
          <w:p w14:paraId="5889E5FC" w14:textId="77777777" w:rsidR="00A663F1" w:rsidRDefault="00E46EDB">
            <w:pPr>
              <w:pStyle w:val="TableParagraph"/>
              <w:spacing w:before="50" w:line="240" w:lineRule="auto"/>
              <w:ind w:left="117"/>
              <w:rPr>
                <w:sz w:val="20"/>
              </w:rPr>
            </w:pPr>
            <w:r>
              <w:rPr>
                <w:sz w:val="20"/>
              </w:rPr>
              <w:t>Is this measure likely to impact on trade and investment?</w:t>
            </w:r>
          </w:p>
        </w:tc>
        <w:tc>
          <w:tcPr>
            <w:tcW w:w="2832" w:type="dxa"/>
            <w:gridSpan w:val="4"/>
            <w:shd w:val="clear" w:color="auto" w:fill="DFDFDF"/>
          </w:tcPr>
          <w:p w14:paraId="3D48D4AE" w14:textId="77777777" w:rsidR="00A663F1" w:rsidRDefault="00E46EDB">
            <w:pPr>
              <w:pStyle w:val="TableParagraph"/>
              <w:spacing w:before="50" w:line="240" w:lineRule="auto"/>
              <w:ind w:left="116"/>
              <w:rPr>
                <w:sz w:val="20"/>
              </w:rPr>
            </w:pPr>
            <w:r>
              <w:rPr>
                <w:sz w:val="20"/>
              </w:rPr>
              <w:t>No</w:t>
            </w:r>
          </w:p>
        </w:tc>
      </w:tr>
      <w:tr w:rsidR="00A663F1" w14:paraId="20F57F50" w14:textId="77777777">
        <w:trPr>
          <w:trHeight w:val="458"/>
        </w:trPr>
        <w:tc>
          <w:tcPr>
            <w:tcW w:w="6405" w:type="dxa"/>
            <w:shd w:val="clear" w:color="auto" w:fill="DFDFDF"/>
          </w:tcPr>
          <w:p w14:paraId="4E556E6B" w14:textId="77777777" w:rsidR="00A663F1" w:rsidRDefault="00E46EDB">
            <w:pPr>
              <w:pStyle w:val="TableParagraph"/>
              <w:spacing w:before="114" w:line="240" w:lineRule="auto"/>
              <w:ind w:left="117"/>
              <w:rPr>
                <w:sz w:val="20"/>
              </w:rPr>
            </w:pPr>
            <w:r>
              <w:rPr>
                <w:sz w:val="20"/>
              </w:rPr>
              <w:t>Are any of these organisations in scope?</w:t>
            </w:r>
          </w:p>
        </w:tc>
        <w:tc>
          <w:tcPr>
            <w:tcW w:w="1103" w:type="dxa"/>
            <w:shd w:val="clear" w:color="auto" w:fill="DFDFDF"/>
          </w:tcPr>
          <w:p w14:paraId="3E79EC91" w14:textId="77777777" w:rsidR="00A663F1" w:rsidRDefault="00E46EDB">
            <w:pPr>
              <w:pStyle w:val="TableParagraph"/>
              <w:ind w:left="114"/>
              <w:rPr>
                <w:b/>
                <w:sz w:val="20"/>
              </w:rPr>
            </w:pPr>
            <w:r>
              <w:rPr>
                <w:b/>
                <w:sz w:val="20"/>
              </w:rPr>
              <w:t>Micro</w:t>
            </w:r>
          </w:p>
          <w:p w14:paraId="66754D84" w14:textId="77777777" w:rsidR="00A663F1" w:rsidRDefault="00E46EDB">
            <w:pPr>
              <w:pStyle w:val="TableParagraph"/>
              <w:spacing w:line="210" w:lineRule="exact"/>
              <w:ind w:left="114"/>
              <w:rPr>
                <w:sz w:val="20"/>
              </w:rPr>
            </w:pPr>
            <w:r>
              <w:rPr>
                <w:sz w:val="20"/>
              </w:rPr>
              <w:t>Yes</w:t>
            </w:r>
          </w:p>
        </w:tc>
        <w:tc>
          <w:tcPr>
            <w:tcW w:w="865" w:type="dxa"/>
            <w:shd w:val="clear" w:color="auto" w:fill="DFDFDF"/>
          </w:tcPr>
          <w:p w14:paraId="3D2BAECC" w14:textId="77777777" w:rsidR="00A663F1" w:rsidRDefault="00E46EDB">
            <w:pPr>
              <w:pStyle w:val="TableParagraph"/>
              <w:ind w:left="116"/>
              <w:rPr>
                <w:b/>
                <w:sz w:val="20"/>
              </w:rPr>
            </w:pPr>
            <w:r>
              <w:rPr>
                <w:b/>
                <w:sz w:val="20"/>
              </w:rPr>
              <w:t>Small</w:t>
            </w:r>
          </w:p>
          <w:p w14:paraId="4FDDACE3" w14:textId="77777777" w:rsidR="00A663F1" w:rsidRDefault="00E46EDB">
            <w:pPr>
              <w:pStyle w:val="TableParagraph"/>
              <w:spacing w:line="210" w:lineRule="exact"/>
              <w:ind w:left="116"/>
              <w:rPr>
                <w:sz w:val="20"/>
              </w:rPr>
            </w:pPr>
            <w:r>
              <w:rPr>
                <w:sz w:val="20"/>
              </w:rPr>
              <w:t>Yes</w:t>
            </w:r>
          </w:p>
        </w:tc>
        <w:tc>
          <w:tcPr>
            <w:tcW w:w="984" w:type="dxa"/>
            <w:gridSpan w:val="2"/>
            <w:shd w:val="clear" w:color="auto" w:fill="DFDFDF"/>
          </w:tcPr>
          <w:p w14:paraId="063E6612" w14:textId="77777777" w:rsidR="00A663F1" w:rsidRDefault="00E46EDB">
            <w:pPr>
              <w:pStyle w:val="TableParagraph"/>
              <w:ind w:left="115"/>
              <w:rPr>
                <w:b/>
                <w:sz w:val="20"/>
              </w:rPr>
            </w:pPr>
            <w:r>
              <w:rPr>
                <w:b/>
                <w:sz w:val="20"/>
              </w:rPr>
              <w:t>Medium</w:t>
            </w:r>
          </w:p>
          <w:p w14:paraId="22DE7FB5" w14:textId="77777777" w:rsidR="00A663F1" w:rsidRDefault="00E46EDB">
            <w:pPr>
              <w:pStyle w:val="TableParagraph"/>
              <w:spacing w:line="210" w:lineRule="exact"/>
              <w:ind w:left="115"/>
              <w:rPr>
                <w:sz w:val="20"/>
              </w:rPr>
            </w:pPr>
            <w:r>
              <w:rPr>
                <w:sz w:val="20"/>
              </w:rPr>
              <w:t>Yes</w:t>
            </w:r>
          </w:p>
        </w:tc>
        <w:tc>
          <w:tcPr>
            <w:tcW w:w="983" w:type="dxa"/>
            <w:shd w:val="clear" w:color="auto" w:fill="DFDFDF"/>
          </w:tcPr>
          <w:p w14:paraId="4CD5FAF3" w14:textId="77777777" w:rsidR="00A663F1" w:rsidRDefault="00E46EDB">
            <w:pPr>
              <w:pStyle w:val="TableParagraph"/>
              <w:ind w:left="110"/>
              <w:rPr>
                <w:b/>
                <w:sz w:val="20"/>
              </w:rPr>
            </w:pPr>
            <w:r>
              <w:rPr>
                <w:b/>
                <w:sz w:val="20"/>
              </w:rPr>
              <w:t>Large</w:t>
            </w:r>
          </w:p>
          <w:p w14:paraId="48091EF5" w14:textId="77777777" w:rsidR="00A663F1" w:rsidRDefault="00E46EDB">
            <w:pPr>
              <w:pStyle w:val="TableParagraph"/>
              <w:spacing w:line="210" w:lineRule="exact"/>
              <w:ind w:left="110"/>
              <w:rPr>
                <w:sz w:val="20"/>
              </w:rPr>
            </w:pPr>
            <w:r>
              <w:rPr>
                <w:sz w:val="20"/>
              </w:rPr>
              <w:t>Yes</w:t>
            </w:r>
          </w:p>
        </w:tc>
      </w:tr>
      <w:tr w:rsidR="00A663F1" w14:paraId="75025EAE" w14:textId="77777777">
        <w:trPr>
          <w:trHeight w:val="558"/>
        </w:trPr>
        <w:tc>
          <w:tcPr>
            <w:tcW w:w="7508" w:type="dxa"/>
            <w:gridSpan w:val="2"/>
            <w:shd w:val="clear" w:color="auto" w:fill="DFDFDF"/>
          </w:tcPr>
          <w:p w14:paraId="0521DF88" w14:textId="77777777" w:rsidR="00A663F1" w:rsidRDefault="00E46EDB">
            <w:pPr>
              <w:pStyle w:val="TableParagraph"/>
              <w:spacing w:before="49" w:line="240" w:lineRule="auto"/>
              <w:ind w:left="117" w:right="1239"/>
              <w:rPr>
                <w:sz w:val="20"/>
              </w:rPr>
            </w:pPr>
            <w:r>
              <w:rPr>
                <w:spacing w:val="-4"/>
                <w:position w:val="1"/>
                <w:sz w:val="20"/>
              </w:rPr>
              <w:t xml:space="preserve">What </w:t>
            </w:r>
            <w:r>
              <w:rPr>
                <w:spacing w:val="-3"/>
                <w:position w:val="1"/>
                <w:sz w:val="20"/>
              </w:rPr>
              <w:t xml:space="preserve">is </w:t>
            </w:r>
            <w:r>
              <w:rPr>
                <w:spacing w:val="-4"/>
                <w:position w:val="1"/>
                <w:sz w:val="20"/>
              </w:rPr>
              <w:t xml:space="preserve">the </w:t>
            </w:r>
            <w:r>
              <w:rPr>
                <w:spacing w:val="-3"/>
                <w:position w:val="1"/>
                <w:sz w:val="20"/>
              </w:rPr>
              <w:t>CO</w:t>
            </w:r>
            <w:r>
              <w:rPr>
                <w:spacing w:val="-3"/>
                <w:sz w:val="13"/>
              </w:rPr>
              <w:t xml:space="preserve">2 </w:t>
            </w:r>
            <w:r>
              <w:rPr>
                <w:spacing w:val="-5"/>
                <w:position w:val="1"/>
                <w:sz w:val="20"/>
              </w:rPr>
              <w:t xml:space="preserve">equivalent change </w:t>
            </w:r>
            <w:r>
              <w:rPr>
                <w:spacing w:val="-3"/>
                <w:position w:val="1"/>
                <w:sz w:val="20"/>
              </w:rPr>
              <w:t xml:space="preserve">in </w:t>
            </w:r>
            <w:r>
              <w:rPr>
                <w:spacing w:val="-5"/>
                <w:position w:val="1"/>
                <w:sz w:val="20"/>
              </w:rPr>
              <w:t xml:space="preserve">greenhouse </w:t>
            </w:r>
            <w:r>
              <w:rPr>
                <w:spacing w:val="-4"/>
                <w:position w:val="1"/>
                <w:sz w:val="20"/>
              </w:rPr>
              <w:t xml:space="preserve">gas </w:t>
            </w:r>
            <w:r>
              <w:rPr>
                <w:spacing w:val="-5"/>
                <w:position w:val="1"/>
                <w:sz w:val="20"/>
              </w:rPr>
              <w:t xml:space="preserve">emissions? (Million tonnes </w:t>
            </w:r>
            <w:r>
              <w:rPr>
                <w:spacing w:val="-3"/>
                <w:position w:val="1"/>
                <w:sz w:val="20"/>
              </w:rPr>
              <w:t>CO</w:t>
            </w:r>
            <w:r>
              <w:rPr>
                <w:spacing w:val="-3"/>
                <w:sz w:val="13"/>
              </w:rPr>
              <w:t xml:space="preserve">2 </w:t>
            </w:r>
            <w:r>
              <w:rPr>
                <w:spacing w:val="-5"/>
                <w:position w:val="1"/>
                <w:sz w:val="20"/>
              </w:rPr>
              <w:t>equivalent)</w:t>
            </w:r>
          </w:p>
        </w:tc>
        <w:tc>
          <w:tcPr>
            <w:tcW w:w="1214" w:type="dxa"/>
            <w:gridSpan w:val="2"/>
            <w:shd w:val="clear" w:color="auto" w:fill="DFDFDF"/>
          </w:tcPr>
          <w:p w14:paraId="7F89121C" w14:textId="77777777" w:rsidR="00A663F1" w:rsidRDefault="00E46EDB">
            <w:pPr>
              <w:pStyle w:val="TableParagraph"/>
              <w:spacing w:before="50" w:line="240" w:lineRule="auto"/>
              <w:ind w:left="116"/>
              <w:rPr>
                <w:b/>
                <w:sz w:val="20"/>
              </w:rPr>
            </w:pPr>
            <w:r>
              <w:rPr>
                <w:b/>
                <w:sz w:val="20"/>
              </w:rPr>
              <w:t>Traded:</w:t>
            </w:r>
          </w:p>
          <w:p w14:paraId="4888B4BB" w14:textId="77777777" w:rsidR="00A663F1" w:rsidRDefault="00E46EDB">
            <w:pPr>
              <w:pStyle w:val="TableParagraph"/>
              <w:spacing w:line="240" w:lineRule="auto"/>
              <w:ind w:left="116"/>
              <w:rPr>
                <w:b/>
              </w:rPr>
            </w:pPr>
            <w:r>
              <w:rPr>
                <w:b/>
              </w:rPr>
              <w:t>N/A</w:t>
            </w:r>
          </w:p>
        </w:tc>
        <w:tc>
          <w:tcPr>
            <w:tcW w:w="1618" w:type="dxa"/>
            <w:gridSpan w:val="2"/>
            <w:shd w:val="clear" w:color="auto" w:fill="DFDFDF"/>
          </w:tcPr>
          <w:p w14:paraId="3F8A4DD0" w14:textId="77777777" w:rsidR="00A663F1" w:rsidRDefault="00E46EDB">
            <w:pPr>
              <w:pStyle w:val="TableParagraph"/>
              <w:spacing w:before="50" w:line="240" w:lineRule="auto"/>
              <w:ind w:left="111"/>
              <w:rPr>
                <w:b/>
                <w:sz w:val="20"/>
              </w:rPr>
            </w:pPr>
            <w:r>
              <w:rPr>
                <w:b/>
                <w:sz w:val="20"/>
              </w:rPr>
              <w:t>Non-traded:</w:t>
            </w:r>
          </w:p>
          <w:p w14:paraId="37D80346" w14:textId="77777777" w:rsidR="00A663F1" w:rsidRDefault="00E46EDB">
            <w:pPr>
              <w:pStyle w:val="TableParagraph"/>
              <w:spacing w:line="240" w:lineRule="auto"/>
              <w:ind w:left="111"/>
              <w:rPr>
                <w:b/>
              </w:rPr>
            </w:pPr>
            <w:r>
              <w:rPr>
                <w:b/>
              </w:rPr>
              <w:t>N/A</w:t>
            </w:r>
          </w:p>
        </w:tc>
      </w:tr>
    </w:tbl>
    <w:p w14:paraId="76F739A3" w14:textId="77777777" w:rsidR="00A663F1" w:rsidRDefault="00A663F1">
      <w:pPr>
        <w:pStyle w:val="BodyText"/>
        <w:spacing w:before="7"/>
        <w:ind w:left="0" w:firstLine="0"/>
        <w:rPr>
          <w:sz w:val="13"/>
        </w:rPr>
      </w:pPr>
    </w:p>
    <w:p w14:paraId="056B08F2" w14:textId="77777777" w:rsidR="00A663F1" w:rsidRDefault="00E46EDB">
      <w:pPr>
        <w:pStyle w:val="BodyText"/>
        <w:spacing w:before="94"/>
        <w:ind w:left="252" w:firstLine="0"/>
      </w:pPr>
      <w:r>
        <w:t xml:space="preserve">I </w:t>
      </w:r>
      <w:r>
        <w:rPr>
          <w:spacing w:val="-5"/>
        </w:rPr>
        <w:t xml:space="preserve">have </w:t>
      </w:r>
      <w:r>
        <w:rPr>
          <w:spacing w:val="-4"/>
        </w:rPr>
        <w:t xml:space="preserve">read </w:t>
      </w:r>
      <w:r>
        <w:rPr>
          <w:spacing w:val="-5"/>
        </w:rPr>
        <w:t xml:space="preserve">the </w:t>
      </w:r>
      <w:r>
        <w:rPr>
          <w:spacing w:val="-6"/>
        </w:rPr>
        <w:t xml:space="preserve">Impact Assessment </w:t>
      </w:r>
      <w:r>
        <w:rPr>
          <w:spacing w:val="-4"/>
        </w:rPr>
        <w:t xml:space="preserve">and </w:t>
      </w:r>
      <w:r>
        <w:t xml:space="preserve">I </w:t>
      </w:r>
      <w:r>
        <w:rPr>
          <w:spacing w:val="-4"/>
        </w:rPr>
        <w:t xml:space="preserve">am </w:t>
      </w:r>
      <w:r>
        <w:rPr>
          <w:spacing w:val="-6"/>
        </w:rPr>
        <w:t xml:space="preserve">satisfied that, </w:t>
      </w:r>
      <w:r>
        <w:rPr>
          <w:spacing w:val="-5"/>
        </w:rPr>
        <w:t xml:space="preserve">given </w:t>
      </w:r>
      <w:r>
        <w:rPr>
          <w:spacing w:val="-4"/>
        </w:rPr>
        <w:t xml:space="preserve">the </w:t>
      </w:r>
      <w:r>
        <w:rPr>
          <w:spacing w:val="-6"/>
        </w:rPr>
        <w:t xml:space="preserve">available evidence, </w:t>
      </w:r>
      <w:r>
        <w:rPr>
          <w:spacing w:val="-3"/>
        </w:rPr>
        <w:t xml:space="preserve">it </w:t>
      </w:r>
      <w:r>
        <w:rPr>
          <w:spacing w:val="-6"/>
        </w:rPr>
        <w:t xml:space="preserve">represents </w:t>
      </w:r>
      <w:r>
        <w:t xml:space="preserve">a </w:t>
      </w:r>
      <w:r>
        <w:rPr>
          <w:spacing w:val="-6"/>
        </w:rPr>
        <w:t xml:space="preserve">reasonable </w:t>
      </w:r>
      <w:r>
        <w:rPr>
          <w:spacing w:val="-5"/>
        </w:rPr>
        <w:t xml:space="preserve">view </w:t>
      </w:r>
      <w:r>
        <w:rPr>
          <w:spacing w:val="-3"/>
        </w:rPr>
        <w:t xml:space="preserve">of </w:t>
      </w:r>
      <w:r>
        <w:rPr>
          <w:spacing w:val="-4"/>
        </w:rPr>
        <w:t xml:space="preserve">the </w:t>
      </w:r>
      <w:r>
        <w:rPr>
          <w:spacing w:val="-6"/>
        </w:rPr>
        <w:t xml:space="preserve">likely </w:t>
      </w:r>
      <w:r>
        <w:rPr>
          <w:spacing w:val="-5"/>
        </w:rPr>
        <w:t xml:space="preserve">costs, </w:t>
      </w:r>
      <w:r>
        <w:rPr>
          <w:spacing w:val="-6"/>
        </w:rPr>
        <w:t xml:space="preserve">benefits </w:t>
      </w:r>
      <w:r>
        <w:rPr>
          <w:spacing w:val="-4"/>
        </w:rPr>
        <w:t xml:space="preserve">and </w:t>
      </w:r>
      <w:r>
        <w:rPr>
          <w:spacing w:val="-6"/>
        </w:rPr>
        <w:t xml:space="preserve">impact </w:t>
      </w:r>
      <w:r>
        <w:rPr>
          <w:spacing w:val="-4"/>
        </w:rPr>
        <w:t xml:space="preserve">of the </w:t>
      </w:r>
      <w:r>
        <w:rPr>
          <w:spacing w:val="-6"/>
        </w:rPr>
        <w:t>leading options.</w:t>
      </w:r>
    </w:p>
    <w:p w14:paraId="7642E096" w14:textId="77777777" w:rsidR="00A663F1" w:rsidRDefault="00A663F1">
      <w:pPr>
        <w:pStyle w:val="BodyText"/>
        <w:spacing w:before="0"/>
        <w:ind w:left="0" w:firstLine="0"/>
        <w:rPr>
          <w:sz w:val="24"/>
        </w:rPr>
      </w:pPr>
    </w:p>
    <w:p w14:paraId="7EAECEED" w14:textId="77777777" w:rsidR="00A663F1" w:rsidRDefault="00E46EDB">
      <w:pPr>
        <w:pStyle w:val="BodyText"/>
        <w:spacing w:before="0"/>
        <w:ind w:left="252" w:firstLine="0"/>
      </w:pPr>
      <w:r>
        <w:t>Signed by the responsible Minister, the Economic Secretary to the Treasury:</w:t>
      </w:r>
    </w:p>
    <w:p w14:paraId="134564CB" w14:textId="77777777" w:rsidR="00A663F1" w:rsidRDefault="00E46EDB">
      <w:pPr>
        <w:pStyle w:val="BodyText"/>
        <w:spacing w:before="7"/>
        <w:ind w:left="0" w:firstLine="0"/>
        <w:rPr>
          <w:sz w:val="18"/>
        </w:rPr>
      </w:pPr>
      <w:r>
        <w:rPr>
          <w:noProof/>
        </w:rPr>
        <w:drawing>
          <wp:anchor distT="0" distB="0" distL="0" distR="0" simplePos="0" relativeHeight="251658240" behindDoc="0" locked="0" layoutInCell="1" allowOverlap="1" wp14:anchorId="1AF88F64" wp14:editId="4CA1BB74">
            <wp:simplePos x="0" y="0"/>
            <wp:positionH relativeFrom="page">
              <wp:posOffset>2656585</wp:posOffset>
            </wp:positionH>
            <wp:positionV relativeFrom="paragraph">
              <wp:posOffset>160909</wp:posOffset>
            </wp:positionV>
            <wp:extent cx="2227577" cy="133216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6" cstate="print"/>
                    <a:stretch>
                      <a:fillRect/>
                    </a:stretch>
                  </pic:blipFill>
                  <pic:spPr>
                    <a:xfrm>
                      <a:off x="0" y="0"/>
                      <a:ext cx="2227577" cy="1332166"/>
                    </a:xfrm>
                    <a:prstGeom prst="rect">
                      <a:avLst/>
                    </a:prstGeom>
                  </pic:spPr>
                </pic:pic>
              </a:graphicData>
            </a:graphic>
          </wp:anchor>
        </w:drawing>
      </w:r>
    </w:p>
    <w:p w14:paraId="68387B9D" w14:textId="77777777" w:rsidR="00A663F1" w:rsidRDefault="00A663F1">
      <w:pPr>
        <w:rPr>
          <w:sz w:val="18"/>
        </w:rPr>
        <w:sectPr w:rsidR="00A663F1">
          <w:pgSz w:w="11910" w:h="16850"/>
          <w:pgMar w:top="680" w:right="720" w:bottom="480" w:left="600" w:header="0" w:footer="285" w:gutter="0"/>
          <w:cols w:space="720"/>
        </w:sectPr>
      </w:pPr>
    </w:p>
    <w:p w14:paraId="59EB14E5" w14:textId="77777777" w:rsidR="00A663F1" w:rsidRDefault="00E46EDB">
      <w:pPr>
        <w:tabs>
          <w:tab w:val="left" w:pos="8365"/>
        </w:tabs>
        <w:spacing w:before="78"/>
        <w:ind w:left="252"/>
        <w:rPr>
          <w:sz w:val="32"/>
        </w:rPr>
      </w:pPr>
      <w:r>
        <w:rPr>
          <w:b/>
          <w:spacing w:val="-4"/>
          <w:sz w:val="32"/>
        </w:rPr>
        <w:lastRenderedPageBreak/>
        <w:t xml:space="preserve">Summary: </w:t>
      </w:r>
      <w:r>
        <w:rPr>
          <w:b/>
          <w:spacing w:val="-5"/>
          <w:sz w:val="32"/>
        </w:rPr>
        <w:t>Analysis</w:t>
      </w:r>
      <w:r>
        <w:rPr>
          <w:b/>
          <w:spacing w:val="-18"/>
          <w:sz w:val="32"/>
        </w:rPr>
        <w:t xml:space="preserve"> </w:t>
      </w:r>
      <w:r>
        <w:rPr>
          <w:b/>
          <w:sz w:val="32"/>
        </w:rPr>
        <w:t>&amp;</w:t>
      </w:r>
      <w:r>
        <w:rPr>
          <w:b/>
          <w:spacing w:val="-8"/>
          <w:sz w:val="32"/>
        </w:rPr>
        <w:t xml:space="preserve"> </w:t>
      </w:r>
      <w:r>
        <w:rPr>
          <w:b/>
          <w:spacing w:val="-4"/>
          <w:sz w:val="32"/>
        </w:rPr>
        <w:t>Evidence</w:t>
      </w:r>
      <w:r>
        <w:rPr>
          <w:b/>
          <w:spacing w:val="-4"/>
          <w:sz w:val="32"/>
        </w:rPr>
        <w:tab/>
      </w:r>
      <w:r>
        <w:rPr>
          <w:spacing w:val="-4"/>
          <w:sz w:val="32"/>
        </w:rPr>
        <w:t>Policy Option</w:t>
      </w:r>
      <w:r>
        <w:rPr>
          <w:spacing w:val="-11"/>
          <w:sz w:val="32"/>
        </w:rPr>
        <w:t xml:space="preserve"> </w:t>
      </w:r>
      <w:r>
        <w:rPr>
          <w:sz w:val="32"/>
        </w:rPr>
        <w:t>1</w:t>
      </w:r>
    </w:p>
    <w:p w14:paraId="2A8D6D62" w14:textId="77777777" w:rsidR="00A663F1" w:rsidRDefault="00E46EDB">
      <w:pPr>
        <w:spacing w:before="61"/>
        <w:ind w:left="252"/>
        <w:rPr>
          <w:b/>
          <w:sz w:val="20"/>
        </w:rPr>
      </w:pPr>
      <w:r>
        <w:rPr>
          <w:b/>
          <w:sz w:val="20"/>
        </w:rPr>
        <w:t>Description: Do nothing</w:t>
      </w:r>
    </w:p>
    <w:p w14:paraId="0EAA1A6D" w14:textId="77777777" w:rsidR="00A663F1" w:rsidRDefault="00E46EDB">
      <w:pPr>
        <w:spacing w:before="49" w:after="51"/>
        <w:ind w:left="252"/>
        <w:rPr>
          <w:b/>
          <w:sz w:val="20"/>
        </w:rPr>
      </w:pPr>
      <w:r>
        <w:rPr>
          <w:b/>
          <w:sz w:val="20"/>
        </w:rPr>
        <w:t>FULL ECONOMIC ASSESSMENT</w:t>
      </w:r>
    </w:p>
    <w:tbl>
      <w:tblPr>
        <w:tblW w:w="0" w:type="auto"/>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88"/>
        <w:gridCol w:w="735"/>
        <w:gridCol w:w="522"/>
        <w:gridCol w:w="1422"/>
        <w:gridCol w:w="780"/>
        <w:gridCol w:w="1025"/>
        <w:gridCol w:w="1825"/>
        <w:gridCol w:w="1765"/>
        <w:gridCol w:w="855"/>
      </w:tblGrid>
      <w:tr w:rsidR="00A663F1" w14:paraId="3938DCA1" w14:textId="77777777">
        <w:trPr>
          <w:trHeight w:val="282"/>
        </w:trPr>
        <w:tc>
          <w:tcPr>
            <w:tcW w:w="1388" w:type="dxa"/>
            <w:vMerge w:val="restart"/>
          </w:tcPr>
          <w:p w14:paraId="2EC48890" w14:textId="77777777" w:rsidR="00A663F1" w:rsidRDefault="00E46EDB">
            <w:pPr>
              <w:pStyle w:val="TableParagraph"/>
              <w:spacing w:before="49" w:line="240" w:lineRule="auto"/>
              <w:ind w:left="127" w:right="208"/>
              <w:rPr>
                <w:sz w:val="20"/>
              </w:rPr>
            </w:pPr>
            <w:r>
              <w:rPr>
                <w:b/>
                <w:sz w:val="20"/>
              </w:rPr>
              <w:t xml:space="preserve">Price Base Year </w:t>
            </w:r>
            <w:r>
              <w:rPr>
                <w:sz w:val="20"/>
              </w:rPr>
              <w:t>2021</w:t>
            </w:r>
          </w:p>
        </w:tc>
        <w:tc>
          <w:tcPr>
            <w:tcW w:w="1257" w:type="dxa"/>
            <w:gridSpan w:val="2"/>
            <w:vMerge w:val="restart"/>
          </w:tcPr>
          <w:p w14:paraId="44B7C24C" w14:textId="77777777" w:rsidR="00A663F1" w:rsidRDefault="00E46EDB">
            <w:pPr>
              <w:pStyle w:val="TableParagraph"/>
              <w:spacing w:before="49" w:line="240" w:lineRule="auto"/>
              <w:ind w:left="133" w:right="159"/>
              <w:rPr>
                <w:sz w:val="20"/>
              </w:rPr>
            </w:pPr>
            <w:r>
              <w:rPr>
                <w:b/>
                <w:sz w:val="20"/>
              </w:rPr>
              <w:t xml:space="preserve">PV Base Year </w:t>
            </w:r>
            <w:r>
              <w:rPr>
                <w:sz w:val="20"/>
              </w:rPr>
              <w:t>2021</w:t>
            </w:r>
          </w:p>
        </w:tc>
        <w:tc>
          <w:tcPr>
            <w:tcW w:w="1422" w:type="dxa"/>
            <w:vMerge w:val="restart"/>
            <w:tcBorders>
              <w:right w:val="single" w:sz="12" w:space="0" w:color="000000"/>
            </w:tcBorders>
          </w:tcPr>
          <w:p w14:paraId="58A5AA1C" w14:textId="77777777" w:rsidR="00A663F1" w:rsidRDefault="00E46EDB">
            <w:pPr>
              <w:pStyle w:val="TableParagraph"/>
              <w:spacing w:before="49" w:line="240" w:lineRule="auto"/>
              <w:ind w:left="132" w:right="105"/>
              <w:rPr>
                <w:sz w:val="20"/>
              </w:rPr>
            </w:pPr>
            <w:r>
              <w:rPr>
                <w:b/>
                <w:sz w:val="20"/>
              </w:rPr>
              <w:t xml:space="preserve">Time Period Years </w:t>
            </w:r>
            <w:r>
              <w:rPr>
                <w:sz w:val="20"/>
              </w:rPr>
              <w:t>10</w:t>
            </w:r>
          </w:p>
        </w:tc>
        <w:tc>
          <w:tcPr>
            <w:tcW w:w="6250" w:type="dxa"/>
            <w:gridSpan w:val="5"/>
            <w:tcBorders>
              <w:top w:val="single" w:sz="12" w:space="0" w:color="000000"/>
              <w:left w:val="single" w:sz="12" w:space="0" w:color="000000"/>
              <w:bottom w:val="single" w:sz="12" w:space="0" w:color="000000"/>
              <w:right w:val="single" w:sz="12" w:space="0" w:color="000000"/>
            </w:tcBorders>
          </w:tcPr>
          <w:p w14:paraId="667BDF78" w14:textId="77777777" w:rsidR="00A663F1" w:rsidRDefault="00E46EDB">
            <w:pPr>
              <w:pStyle w:val="TableParagraph"/>
              <w:spacing w:before="49" w:line="213" w:lineRule="exact"/>
              <w:ind w:left="1477"/>
              <w:rPr>
                <w:b/>
                <w:sz w:val="20"/>
              </w:rPr>
            </w:pPr>
            <w:r>
              <w:rPr>
                <w:b/>
                <w:sz w:val="20"/>
              </w:rPr>
              <w:t>Net Benefit (Present Value (PV)) (£m)</w:t>
            </w:r>
          </w:p>
        </w:tc>
      </w:tr>
      <w:tr w:rsidR="00A663F1" w14:paraId="1F89117D" w14:textId="77777777">
        <w:trPr>
          <w:trHeight w:val="301"/>
        </w:trPr>
        <w:tc>
          <w:tcPr>
            <w:tcW w:w="1388" w:type="dxa"/>
            <w:vMerge/>
            <w:tcBorders>
              <w:top w:val="nil"/>
            </w:tcBorders>
          </w:tcPr>
          <w:p w14:paraId="5574E4C1" w14:textId="77777777" w:rsidR="00A663F1" w:rsidRDefault="00A663F1">
            <w:pPr>
              <w:rPr>
                <w:sz w:val="2"/>
                <w:szCs w:val="2"/>
              </w:rPr>
            </w:pPr>
          </w:p>
        </w:tc>
        <w:tc>
          <w:tcPr>
            <w:tcW w:w="1257" w:type="dxa"/>
            <w:gridSpan w:val="2"/>
            <w:vMerge/>
            <w:tcBorders>
              <w:top w:val="nil"/>
            </w:tcBorders>
          </w:tcPr>
          <w:p w14:paraId="007898E8" w14:textId="77777777" w:rsidR="00A663F1" w:rsidRDefault="00A663F1">
            <w:pPr>
              <w:rPr>
                <w:sz w:val="2"/>
                <w:szCs w:val="2"/>
              </w:rPr>
            </w:pPr>
          </w:p>
        </w:tc>
        <w:tc>
          <w:tcPr>
            <w:tcW w:w="1422" w:type="dxa"/>
            <w:vMerge/>
            <w:tcBorders>
              <w:top w:val="nil"/>
              <w:right w:val="single" w:sz="12" w:space="0" w:color="000000"/>
            </w:tcBorders>
          </w:tcPr>
          <w:p w14:paraId="2D8EB920" w14:textId="77777777" w:rsidR="00A663F1" w:rsidRDefault="00A663F1">
            <w:pPr>
              <w:rPr>
                <w:sz w:val="2"/>
                <w:szCs w:val="2"/>
              </w:rPr>
            </w:pPr>
          </w:p>
        </w:tc>
        <w:tc>
          <w:tcPr>
            <w:tcW w:w="1805" w:type="dxa"/>
            <w:gridSpan w:val="2"/>
            <w:tcBorders>
              <w:left w:val="single" w:sz="12" w:space="0" w:color="000000"/>
              <w:bottom w:val="single" w:sz="12" w:space="0" w:color="000000"/>
            </w:tcBorders>
          </w:tcPr>
          <w:p w14:paraId="5760C6FC" w14:textId="77777777" w:rsidR="00A663F1" w:rsidRDefault="00E46EDB">
            <w:pPr>
              <w:pStyle w:val="TableParagraph"/>
              <w:spacing w:before="49" w:line="240" w:lineRule="auto"/>
              <w:ind w:left="145"/>
              <w:rPr>
                <w:b/>
                <w:sz w:val="20"/>
              </w:rPr>
            </w:pPr>
            <w:r>
              <w:rPr>
                <w:b/>
                <w:sz w:val="20"/>
              </w:rPr>
              <w:t>Low:</w:t>
            </w:r>
          </w:p>
        </w:tc>
        <w:tc>
          <w:tcPr>
            <w:tcW w:w="1825" w:type="dxa"/>
            <w:tcBorders>
              <w:bottom w:val="single" w:sz="12" w:space="0" w:color="000000"/>
              <w:right w:val="single" w:sz="12" w:space="0" w:color="000000"/>
            </w:tcBorders>
          </w:tcPr>
          <w:p w14:paraId="36BE8608" w14:textId="77777777" w:rsidR="00A663F1" w:rsidRDefault="00E46EDB">
            <w:pPr>
              <w:pStyle w:val="TableParagraph"/>
              <w:spacing w:before="49" w:line="240" w:lineRule="auto"/>
              <w:ind w:left="133"/>
              <w:rPr>
                <w:b/>
                <w:sz w:val="20"/>
              </w:rPr>
            </w:pPr>
            <w:r>
              <w:rPr>
                <w:b/>
                <w:sz w:val="20"/>
              </w:rPr>
              <w:t>High:</w:t>
            </w:r>
          </w:p>
        </w:tc>
        <w:tc>
          <w:tcPr>
            <w:tcW w:w="2620" w:type="dxa"/>
            <w:gridSpan w:val="2"/>
            <w:tcBorders>
              <w:top w:val="single" w:sz="12" w:space="0" w:color="000000"/>
              <w:left w:val="single" w:sz="12" w:space="0" w:color="000000"/>
              <w:bottom w:val="single" w:sz="12" w:space="0" w:color="000000"/>
              <w:right w:val="single" w:sz="12" w:space="0" w:color="000000"/>
            </w:tcBorders>
          </w:tcPr>
          <w:p w14:paraId="46289FD9" w14:textId="77777777" w:rsidR="00A663F1" w:rsidRDefault="00E46EDB">
            <w:pPr>
              <w:pStyle w:val="TableParagraph"/>
              <w:spacing w:before="49" w:line="240" w:lineRule="auto"/>
              <w:ind w:left="128"/>
              <w:rPr>
                <w:b/>
                <w:sz w:val="20"/>
              </w:rPr>
            </w:pPr>
            <w:r>
              <w:rPr>
                <w:b/>
                <w:sz w:val="20"/>
              </w:rPr>
              <w:t>Best Estimate: 0</w:t>
            </w:r>
          </w:p>
        </w:tc>
      </w:tr>
      <w:tr w:rsidR="00A663F1" w14:paraId="1E89982A" w14:textId="77777777">
        <w:trPr>
          <w:trHeight w:val="87"/>
        </w:trPr>
        <w:tc>
          <w:tcPr>
            <w:tcW w:w="7697" w:type="dxa"/>
            <w:gridSpan w:val="7"/>
            <w:tcBorders>
              <w:top w:val="single" w:sz="12" w:space="0" w:color="000000"/>
              <w:left w:val="nil"/>
              <w:bottom w:val="single" w:sz="12" w:space="0" w:color="000000"/>
              <w:right w:val="nil"/>
            </w:tcBorders>
          </w:tcPr>
          <w:p w14:paraId="6870B117" w14:textId="77777777" w:rsidR="00A663F1" w:rsidRDefault="00A663F1">
            <w:pPr>
              <w:pStyle w:val="TableParagraph"/>
              <w:spacing w:line="240" w:lineRule="auto"/>
              <w:rPr>
                <w:rFonts w:ascii="Times New Roman"/>
                <w:sz w:val="4"/>
              </w:rPr>
            </w:pPr>
          </w:p>
        </w:tc>
        <w:tc>
          <w:tcPr>
            <w:tcW w:w="2620" w:type="dxa"/>
            <w:gridSpan w:val="2"/>
            <w:tcBorders>
              <w:top w:val="single" w:sz="12" w:space="0" w:color="000000"/>
              <w:left w:val="nil"/>
              <w:bottom w:val="single" w:sz="12" w:space="0" w:color="000000"/>
              <w:right w:val="nil"/>
            </w:tcBorders>
          </w:tcPr>
          <w:p w14:paraId="4646A08A" w14:textId="77777777" w:rsidR="00A663F1" w:rsidRDefault="00A663F1">
            <w:pPr>
              <w:pStyle w:val="TableParagraph"/>
              <w:spacing w:line="240" w:lineRule="auto"/>
              <w:rPr>
                <w:rFonts w:ascii="Times New Roman"/>
                <w:sz w:val="4"/>
              </w:rPr>
            </w:pPr>
          </w:p>
        </w:tc>
      </w:tr>
      <w:tr w:rsidR="00A663F1" w14:paraId="405CD86C" w14:textId="77777777">
        <w:trPr>
          <w:trHeight w:val="538"/>
        </w:trPr>
        <w:tc>
          <w:tcPr>
            <w:tcW w:w="2123" w:type="dxa"/>
            <w:gridSpan w:val="2"/>
            <w:tcBorders>
              <w:top w:val="single" w:sz="12" w:space="0" w:color="000000"/>
              <w:left w:val="single" w:sz="12" w:space="0" w:color="000000"/>
              <w:bottom w:val="single" w:sz="12" w:space="0" w:color="000000"/>
              <w:right w:val="single" w:sz="6" w:space="0" w:color="000000"/>
            </w:tcBorders>
          </w:tcPr>
          <w:p w14:paraId="1F9F486B" w14:textId="77777777" w:rsidR="00A663F1" w:rsidRDefault="00E46EDB">
            <w:pPr>
              <w:pStyle w:val="TableParagraph"/>
              <w:spacing w:before="52" w:line="240" w:lineRule="auto"/>
              <w:ind w:left="145"/>
              <w:rPr>
                <w:b/>
                <w:sz w:val="24"/>
              </w:rPr>
            </w:pPr>
            <w:r>
              <w:rPr>
                <w:b/>
                <w:sz w:val="24"/>
              </w:rPr>
              <w:t>COSTS (£m)</w:t>
            </w:r>
          </w:p>
        </w:tc>
        <w:tc>
          <w:tcPr>
            <w:tcW w:w="2724" w:type="dxa"/>
            <w:gridSpan w:val="3"/>
            <w:tcBorders>
              <w:top w:val="single" w:sz="12" w:space="0" w:color="000000"/>
              <w:left w:val="single" w:sz="6" w:space="0" w:color="000000"/>
              <w:bottom w:val="single" w:sz="12" w:space="0" w:color="000000"/>
              <w:right w:val="single" w:sz="6" w:space="0" w:color="000000"/>
            </w:tcBorders>
          </w:tcPr>
          <w:p w14:paraId="3CA9FD73" w14:textId="77777777" w:rsidR="00A663F1" w:rsidRDefault="00E46EDB">
            <w:pPr>
              <w:pStyle w:val="TableParagraph"/>
              <w:spacing w:before="52" w:line="240" w:lineRule="auto"/>
              <w:ind w:right="88"/>
              <w:jc w:val="right"/>
              <w:rPr>
                <w:b/>
                <w:sz w:val="20"/>
              </w:rPr>
            </w:pPr>
            <w:r>
              <w:rPr>
                <w:b/>
                <w:spacing w:val="-4"/>
                <w:sz w:val="20"/>
              </w:rPr>
              <w:t>Total</w:t>
            </w:r>
            <w:r>
              <w:rPr>
                <w:b/>
                <w:spacing w:val="-10"/>
                <w:sz w:val="20"/>
              </w:rPr>
              <w:t xml:space="preserve"> </w:t>
            </w:r>
            <w:r>
              <w:rPr>
                <w:b/>
                <w:spacing w:val="-5"/>
                <w:sz w:val="20"/>
              </w:rPr>
              <w:t>Transition</w:t>
            </w:r>
          </w:p>
          <w:p w14:paraId="606CF0AE" w14:textId="77777777" w:rsidR="00A663F1" w:rsidRDefault="00E46EDB">
            <w:pPr>
              <w:pStyle w:val="TableParagraph"/>
              <w:tabs>
                <w:tab w:val="left" w:pos="1538"/>
              </w:tabs>
              <w:spacing w:line="240" w:lineRule="auto"/>
              <w:ind w:right="88"/>
              <w:jc w:val="right"/>
              <w:rPr>
                <w:sz w:val="18"/>
              </w:rPr>
            </w:pPr>
            <w:r>
              <w:rPr>
                <w:spacing w:val="-5"/>
                <w:sz w:val="18"/>
              </w:rPr>
              <w:t>(Constant</w:t>
            </w:r>
            <w:r>
              <w:rPr>
                <w:spacing w:val="-8"/>
                <w:sz w:val="18"/>
              </w:rPr>
              <w:t xml:space="preserve"> </w:t>
            </w:r>
            <w:r>
              <w:rPr>
                <w:spacing w:val="-5"/>
                <w:sz w:val="18"/>
              </w:rPr>
              <w:t>Price)</w:t>
            </w:r>
            <w:r>
              <w:rPr>
                <w:spacing w:val="-5"/>
                <w:sz w:val="18"/>
              </w:rPr>
              <w:tab/>
              <w:t>Years</w:t>
            </w:r>
          </w:p>
        </w:tc>
        <w:tc>
          <w:tcPr>
            <w:tcW w:w="2850" w:type="dxa"/>
            <w:gridSpan w:val="2"/>
            <w:tcBorders>
              <w:top w:val="single" w:sz="12" w:space="0" w:color="000000"/>
              <w:left w:val="single" w:sz="6" w:space="0" w:color="000000"/>
              <w:bottom w:val="single" w:sz="12" w:space="0" w:color="000000"/>
              <w:right w:val="single" w:sz="12" w:space="0" w:color="000000"/>
            </w:tcBorders>
          </w:tcPr>
          <w:p w14:paraId="4E5A1D20" w14:textId="77777777" w:rsidR="00A663F1" w:rsidRDefault="00E46EDB">
            <w:pPr>
              <w:pStyle w:val="TableParagraph"/>
              <w:spacing w:before="52" w:line="240" w:lineRule="auto"/>
              <w:ind w:right="87"/>
              <w:jc w:val="right"/>
              <w:rPr>
                <w:b/>
                <w:sz w:val="20"/>
              </w:rPr>
            </w:pPr>
            <w:r>
              <w:rPr>
                <w:b/>
                <w:spacing w:val="-5"/>
                <w:sz w:val="20"/>
              </w:rPr>
              <w:t xml:space="preserve">Average </w:t>
            </w:r>
            <w:r>
              <w:rPr>
                <w:b/>
                <w:spacing w:val="-6"/>
                <w:sz w:val="20"/>
              </w:rPr>
              <w:t>Annual</w:t>
            </w:r>
          </w:p>
          <w:p w14:paraId="721C2D43" w14:textId="77777777" w:rsidR="00A663F1" w:rsidRDefault="00E46EDB">
            <w:pPr>
              <w:pStyle w:val="TableParagraph"/>
              <w:spacing w:line="240" w:lineRule="auto"/>
              <w:ind w:right="87"/>
              <w:jc w:val="right"/>
              <w:rPr>
                <w:sz w:val="18"/>
              </w:rPr>
            </w:pPr>
            <w:r>
              <w:rPr>
                <w:spacing w:val="-5"/>
                <w:sz w:val="18"/>
              </w:rPr>
              <w:t>(excl. Transition) (Constant</w:t>
            </w:r>
            <w:r>
              <w:rPr>
                <w:spacing w:val="-16"/>
                <w:sz w:val="18"/>
              </w:rPr>
              <w:t xml:space="preserve"> </w:t>
            </w:r>
            <w:r>
              <w:rPr>
                <w:spacing w:val="-5"/>
                <w:sz w:val="18"/>
              </w:rPr>
              <w:t>Price)</w:t>
            </w:r>
          </w:p>
        </w:tc>
        <w:tc>
          <w:tcPr>
            <w:tcW w:w="2620" w:type="dxa"/>
            <w:gridSpan w:val="2"/>
            <w:tcBorders>
              <w:top w:val="single" w:sz="12" w:space="0" w:color="000000"/>
              <w:left w:val="single" w:sz="12" w:space="0" w:color="000000"/>
              <w:bottom w:val="single" w:sz="12" w:space="0" w:color="000000"/>
              <w:right w:val="single" w:sz="12" w:space="0" w:color="000000"/>
            </w:tcBorders>
          </w:tcPr>
          <w:p w14:paraId="3E015EF9" w14:textId="77777777" w:rsidR="00A663F1" w:rsidRDefault="00E46EDB">
            <w:pPr>
              <w:pStyle w:val="TableParagraph"/>
              <w:spacing w:before="52" w:line="240" w:lineRule="auto"/>
              <w:ind w:right="86"/>
              <w:jc w:val="right"/>
              <w:rPr>
                <w:b/>
                <w:sz w:val="20"/>
              </w:rPr>
            </w:pPr>
            <w:r>
              <w:rPr>
                <w:b/>
                <w:spacing w:val="-4"/>
                <w:sz w:val="20"/>
              </w:rPr>
              <w:t>Total</w:t>
            </w:r>
            <w:r>
              <w:rPr>
                <w:b/>
                <w:spacing w:val="-14"/>
                <w:sz w:val="20"/>
              </w:rPr>
              <w:t xml:space="preserve"> </w:t>
            </w:r>
            <w:r>
              <w:rPr>
                <w:b/>
                <w:spacing w:val="-4"/>
                <w:sz w:val="20"/>
              </w:rPr>
              <w:t>Cost</w:t>
            </w:r>
          </w:p>
          <w:p w14:paraId="55A54535" w14:textId="77777777" w:rsidR="00A663F1" w:rsidRDefault="00E46EDB">
            <w:pPr>
              <w:pStyle w:val="TableParagraph"/>
              <w:spacing w:line="240" w:lineRule="auto"/>
              <w:ind w:right="83"/>
              <w:jc w:val="right"/>
              <w:rPr>
                <w:sz w:val="18"/>
              </w:rPr>
            </w:pPr>
            <w:r>
              <w:rPr>
                <w:spacing w:val="-5"/>
                <w:sz w:val="18"/>
              </w:rPr>
              <w:t>(Present</w:t>
            </w:r>
            <w:r>
              <w:rPr>
                <w:spacing w:val="-6"/>
                <w:sz w:val="18"/>
              </w:rPr>
              <w:t xml:space="preserve"> </w:t>
            </w:r>
            <w:r>
              <w:rPr>
                <w:spacing w:val="-5"/>
                <w:sz w:val="18"/>
              </w:rPr>
              <w:t>Value)</w:t>
            </w:r>
          </w:p>
        </w:tc>
      </w:tr>
      <w:tr w:rsidR="00A663F1" w14:paraId="3F7DA8E9" w14:textId="77777777">
        <w:trPr>
          <w:trHeight w:val="318"/>
        </w:trPr>
        <w:tc>
          <w:tcPr>
            <w:tcW w:w="2123" w:type="dxa"/>
            <w:gridSpan w:val="2"/>
            <w:tcBorders>
              <w:top w:val="single" w:sz="12" w:space="0" w:color="000000"/>
              <w:left w:val="single" w:sz="12" w:space="0" w:color="000000"/>
              <w:bottom w:val="single" w:sz="12" w:space="0" w:color="000000"/>
              <w:right w:val="single" w:sz="12" w:space="0" w:color="000000"/>
            </w:tcBorders>
          </w:tcPr>
          <w:p w14:paraId="44E77CBA" w14:textId="77777777" w:rsidR="00A663F1" w:rsidRDefault="00E46EDB">
            <w:pPr>
              <w:pStyle w:val="TableParagraph"/>
              <w:spacing w:before="49" w:line="240" w:lineRule="auto"/>
              <w:ind w:left="145"/>
              <w:rPr>
                <w:b/>
                <w:sz w:val="20"/>
              </w:rPr>
            </w:pPr>
            <w:r>
              <w:rPr>
                <w:b/>
                <w:sz w:val="20"/>
              </w:rPr>
              <w:t>Best Estimate</w:t>
            </w:r>
          </w:p>
        </w:tc>
        <w:tc>
          <w:tcPr>
            <w:tcW w:w="1944" w:type="dxa"/>
            <w:gridSpan w:val="2"/>
            <w:tcBorders>
              <w:top w:val="single" w:sz="12" w:space="0" w:color="000000"/>
              <w:left w:val="single" w:sz="12" w:space="0" w:color="000000"/>
              <w:bottom w:val="single" w:sz="12" w:space="0" w:color="000000"/>
              <w:right w:val="single" w:sz="12" w:space="0" w:color="000000"/>
            </w:tcBorders>
          </w:tcPr>
          <w:p w14:paraId="7FA8CF12" w14:textId="77777777" w:rsidR="00A663F1" w:rsidRDefault="00E46EDB">
            <w:pPr>
              <w:pStyle w:val="TableParagraph"/>
              <w:spacing w:before="49" w:line="240" w:lineRule="auto"/>
              <w:ind w:left="1177"/>
              <w:rPr>
                <w:b/>
                <w:sz w:val="20"/>
              </w:rPr>
            </w:pPr>
            <w:r>
              <w:rPr>
                <w:b/>
                <w:w w:val="99"/>
                <w:sz w:val="20"/>
              </w:rPr>
              <w:t>0</w:t>
            </w:r>
          </w:p>
        </w:tc>
        <w:tc>
          <w:tcPr>
            <w:tcW w:w="780" w:type="dxa"/>
            <w:tcBorders>
              <w:top w:val="single" w:sz="6" w:space="0" w:color="000000"/>
              <w:left w:val="single" w:sz="12" w:space="0" w:color="000000"/>
              <w:bottom w:val="single" w:sz="6" w:space="0" w:color="000000"/>
              <w:right w:val="single" w:sz="12" w:space="0" w:color="000000"/>
            </w:tcBorders>
          </w:tcPr>
          <w:p w14:paraId="0A1CEE23" w14:textId="77777777" w:rsidR="00A663F1" w:rsidRDefault="00A663F1">
            <w:pPr>
              <w:pStyle w:val="TableParagraph"/>
              <w:spacing w:line="240" w:lineRule="auto"/>
              <w:rPr>
                <w:rFonts w:ascii="Times New Roman"/>
                <w:sz w:val="20"/>
              </w:rPr>
            </w:pPr>
          </w:p>
        </w:tc>
        <w:tc>
          <w:tcPr>
            <w:tcW w:w="2850" w:type="dxa"/>
            <w:gridSpan w:val="2"/>
            <w:tcBorders>
              <w:top w:val="single" w:sz="12" w:space="0" w:color="000000"/>
              <w:left w:val="single" w:sz="12" w:space="0" w:color="000000"/>
              <w:bottom w:val="single" w:sz="12" w:space="0" w:color="000000"/>
              <w:right w:val="single" w:sz="12" w:space="0" w:color="000000"/>
            </w:tcBorders>
          </w:tcPr>
          <w:p w14:paraId="12E86D4A" w14:textId="77777777" w:rsidR="00A663F1" w:rsidRDefault="00E46EDB">
            <w:pPr>
              <w:pStyle w:val="TableParagraph"/>
              <w:spacing w:before="49" w:line="240" w:lineRule="auto"/>
              <w:ind w:right="670"/>
              <w:jc w:val="right"/>
              <w:rPr>
                <w:b/>
                <w:sz w:val="20"/>
              </w:rPr>
            </w:pPr>
            <w:r>
              <w:rPr>
                <w:b/>
                <w:w w:val="99"/>
                <w:sz w:val="20"/>
              </w:rPr>
              <w:t>0</w:t>
            </w:r>
          </w:p>
        </w:tc>
        <w:tc>
          <w:tcPr>
            <w:tcW w:w="2620" w:type="dxa"/>
            <w:gridSpan w:val="2"/>
            <w:tcBorders>
              <w:top w:val="single" w:sz="12" w:space="0" w:color="000000"/>
              <w:left w:val="single" w:sz="12" w:space="0" w:color="000000"/>
              <w:bottom w:val="single" w:sz="12" w:space="0" w:color="000000"/>
              <w:right w:val="single" w:sz="12" w:space="0" w:color="000000"/>
            </w:tcBorders>
          </w:tcPr>
          <w:p w14:paraId="79B568AD" w14:textId="77777777" w:rsidR="00A663F1" w:rsidRDefault="00E46EDB">
            <w:pPr>
              <w:pStyle w:val="TableParagraph"/>
              <w:spacing w:before="49" w:line="240" w:lineRule="auto"/>
              <w:ind w:right="668"/>
              <w:jc w:val="right"/>
              <w:rPr>
                <w:b/>
                <w:sz w:val="20"/>
              </w:rPr>
            </w:pPr>
            <w:r>
              <w:rPr>
                <w:b/>
                <w:w w:val="99"/>
                <w:sz w:val="20"/>
              </w:rPr>
              <w:t>0</w:t>
            </w:r>
          </w:p>
        </w:tc>
      </w:tr>
      <w:tr w:rsidR="00A663F1" w14:paraId="76C695E5" w14:textId="77777777">
        <w:trPr>
          <w:trHeight w:val="1163"/>
        </w:trPr>
        <w:tc>
          <w:tcPr>
            <w:tcW w:w="10317" w:type="dxa"/>
            <w:gridSpan w:val="9"/>
            <w:tcBorders>
              <w:top w:val="single" w:sz="12" w:space="0" w:color="000000"/>
              <w:left w:val="single" w:sz="12" w:space="0" w:color="000000"/>
              <w:bottom w:val="single" w:sz="6" w:space="0" w:color="000000"/>
              <w:right w:val="single" w:sz="12" w:space="0" w:color="000000"/>
            </w:tcBorders>
          </w:tcPr>
          <w:p w14:paraId="52C5DA6B" w14:textId="77777777" w:rsidR="00A663F1" w:rsidRDefault="00E46EDB">
            <w:pPr>
              <w:pStyle w:val="TableParagraph"/>
              <w:spacing w:before="49" w:line="240" w:lineRule="auto"/>
              <w:ind w:left="145"/>
              <w:rPr>
                <w:b/>
                <w:sz w:val="20"/>
              </w:rPr>
            </w:pPr>
            <w:r>
              <w:rPr>
                <w:b/>
                <w:sz w:val="20"/>
              </w:rPr>
              <w:t>Description and scale of key monetised costs by ‘main affected groups’</w:t>
            </w:r>
          </w:p>
          <w:p w14:paraId="0B592AAB" w14:textId="77777777" w:rsidR="00A663F1" w:rsidRDefault="00E46EDB">
            <w:pPr>
              <w:pStyle w:val="TableParagraph"/>
              <w:spacing w:before="51" w:line="240" w:lineRule="auto"/>
              <w:ind w:left="145" w:right="169"/>
            </w:pPr>
            <w:r>
              <w:t xml:space="preserve">In </w:t>
            </w:r>
            <w:r>
              <w:rPr>
                <w:spacing w:val="-4"/>
              </w:rPr>
              <w:t xml:space="preserve">the </w:t>
            </w:r>
            <w:r>
              <w:rPr>
                <w:spacing w:val="-6"/>
              </w:rPr>
              <w:t xml:space="preserve">absence </w:t>
            </w:r>
            <w:r>
              <w:rPr>
                <w:spacing w:val="-4"/>
              </w:rPr>
              <w:t xml:space="preserve">of </w:t>
            </w:r>
            <w:r>
              <w:rPr>
                <w:spacing w:val="-6"/>
              </w:rPr>
              <w:t xml:space="preserve">intervention, </w:t>
            </w:r>
            <w:r>
              <w:rPr>
                <w:spacing w:val="-3"/>
              </w:rPr>
              <w:t xml:space="preserve">no </w:t>
            </w:r>
            <w:r>
              <w:rPr>
                <w:spacing w:val="-5"/>
              </w:rPr>
              <w:t xml:space="preserve">change </w:t>
            </w:r>
            <w:r>
              <w:rPr>
                <w:spacing w:val="-3"/>
              </w:rPr>
              <w:t xml:space="preserve">is </w:t>
            </w:r>
            <w:r>
              <w:rPr>
                <w:spacing w:val="-6"/>
              </w:rPr>
              <w:t xml:space="preserve">expected relative </w:t>
            </w:r>
            <w:r>
              <w:t xml:space="preserve">to </w:t>
            </w:r>
            <w:r>
              <w:rPr>
                <w:spacing w:val="-5"/>
              </w:rPr>
              <w:t xml:space="preserve">the </w:t>
            </w:r>
            <w:r>
              <w:rPr>
                <w:spacing w:val="-6"/>
              </w:rPr>
              <w:t xml:space="preserve">counterfactual. </w:t>
            </w:r>
            <w:r>
              <w:rPr>
                <w:spacing w:val="-5"/>
              </w:rPr>
              <w:t xml:space="preserve">Debt </w:t>
            </w:r>
            <w:r>
              <w:rPr>
                <w:spacing w:val="-6"/>
              </w:rPr>
              <w:t xml:space="preserve">advice supply </w:t>
            </w:r>
            <w:r>
              <w:rPr>
                <w:spacing w:val="-3"/>
              </w:rPr>
              <w:t xml:space="preserve">is </w:t>
            </w:r>
            <w:r>
              <w:rPr>
                <w:spacing w:val="-6"/>
              </w:rPr>
              <w:t xml:space="preserve">forecast </w:t>
            </w:r>
            <w:r>
              <w:t xml:space="preserve">to </w:t>
            </w:r>
            <w:r>
              <w:rPr>
                <w:spacing w:val="-5"/>
              </w:rPr>
              <w:t xml:space="preserve">increase from 1.3m </w:t>
            </w:r>
            <w:r>
              <w:rPr>
                <w:spacing w:val="-3"/>
              </w:rPr>
              <w:t xml:space="preserve">in </w:t>
            </w:r>
            <w:r>
              <w:rPr>
                <w:spacing w:val="-6"/>
              </w:rPr>
              <w:t xml:space="preserve">2017-18 </w:t>
            </w:r>
            <w:r>
              <w:t xml:space="preserve">to </w:t>
            </w:r>
            <w:r>
              <w:rPr>
                <w:spacing w:val="-5"/>
              </w:rPr>
              <w:t xml:space="preserve">2.6m in </w:t>
            </w:r>
            <w:r>
              <w:rPr>
                <w:spacing w:val="-6"/>
              </w:rPr>
              <w:t xml:space="preserve">2030-31. </w:t>
            </w:r>
            <w:r>
              <w:rPr>
                <w:spacing w:val="-3"/>
              </w:rPr>
              <w:t xml:space="preserve">The </w:t>
            </w:r>
            <w:r>
              <w:rPr>
                <w:spacing w:val="-6"/>
              </w:rPr>
              <w:t xml:space="preserve">supply </w:t>
            </w:r>
            <w:r>
              <w:rPr>
                <w:spacing w:val="-4"/>
              </w:rPr>
              <w:t xml:space="preserve">of </w:t>
            </w:r>
            <w:r>
              <w:rPr>
                <w:spacing w:val="-5"/>
              </w:rPr>
              <w:t xml:space="preserve">this debt </w:t>
            </w:r>
            <w:r>
              <w:rPr>
                <w:spacing w:val="-6"/>
              </w:rPr>
              <w:t xml:space="preserve">advice </w:t>
            </w:r>
            <w:r>
              <w:rPr>
                <w:spacing w:val="-5"/>
              </w:rPr>
              <w:t xml:space="preserve">comes </w:t>
            </w:r>
            <w:r>
              <w:rPr>
                <w:spacing w:val="-4"/>
              </w:rPr>
              <w:t xml:space="preserve">at </w:t>
            </w:r>
            <w:r>
              <w:t xml:space="preserve">a </w:t>
            </w:r>
            <w:proofErr w:type="gramStart"/>
            <w:r>
              <w:rPr>
                <w:spacing w:val="-5"/>
              </w:rPr>
              <w:t xml:space="preserve">cost, </w:t>
            </w:r>
            <w:r>
              <w:rPr>
                <w:spacing w:val="-4"/>
              </w:rPr>
              <w:t>but</w:t>
            </w:r>
            <w:proofErr w:type="gramEnd"/>
            <w:r>
              <w:rPr>
                <w:spacing w:val="-4"/>
              </w:rPr>
              <w:t xml:space="preserve"> </w:t>
            </w:r>
            <w:r>
              <w:rPr>
                <w:spacing w:val="-6"/>
              </w:rPr>
              <w:t>doing nothing will</w:t>
            </w:r>
            <w:r>
              <w:rPr>
                <w:spacing w:val="-4"/>
              </w:rPr>
              <w:t xml:space="preserve"> not </w:t>
            </w:r>
            <w:r>
              <w:rPr>
                <w:spacing w:val="-5"/>
              </w:rPr>
              <w:t xml:space="preserve">change </w:t>
            </w:r>
            <w:r>
              <w:rPr>
                <w:spacing w:val="-4"/>
              </w:rPr>
              <w:t xml:space="preserve">this </w:t>
            </w:r>
            <w:r>
              <w:rPr>
                <w:spacing w:val="-6"/>
              </w:rPr>
              <w:t xml:space="preserve">cost. </w:t>
            </w:r>
            <w:r>
              <w:rPr>
                <w:spacing w:val="-5"/>
              </w:rPr>
              <w:t xml:space="preserve">There </w:t>
            </w:r>
            <w:r>
              <w:rPr>
                <w:spacing w:val="-3"/>
              </w:rPr>
              <w:t xml:space="preserve">is </w:t>
            </w:r>
            <w:r>
              <w:rPr>
                <w:spacing w:val="-6"/>
              </w:rPr>
              <w:t xml:space="preserve">therefore </w:t>
            </w:r>
            <w:r>
              <w:rPr>
                <w:spacing w:val="-3"/>
              </w:rPr>
              <w:t xml:space="preserve">no </w:t>
            </w:r>
            <w:r>
              <w:rPr>
                <w:spacing w:val="-5"/>
              </w:rPr>
              <w:t xml:space="preserve">marginal cost </w:t>
            </w:r>
            <w:r>
              <w:t xml:space="preserve">to </w:t>
            </w:r>
            <w:r>
              <w:rPr>
                <w:spacing w:val="-6"/>
              </w:rPr>
              <w:t>doing nothing.</w:t>
            </w:r>
          </w:p>
        </w:tc>
      </w:tr>
      <w:tr w:rsidR="00A663F1" w14:paraId="533FB024" w14:textId="77777777">
        <w:trPr>
          <w:trHeight w:val="678"/>
        </w:trPr>
        <w:tc>
          <w:tcPr>
            <w:tcW w:w="10317" w:type="dxa"/>
            <w:gridSpan w:val="9"/>
            <w:tcBorders>
              <w:top w:val="single" w:sz="6" w:space="0" w:color="000000"/>
              <w:left w:val="single" w:sz="12" w:space="0" w:color="000000"/>
              <w:bottom w:val="single" w:sz="12" w:space="0" w:color="000000"/>
              <w:right w:val="single" w:sz="12" w:space="0" w:color="000000"/>
            </w:tcBorders>
          </w:tcPr>
          <w:p w14:paraId="3B715FBD" w14:textId="77777777" w:rsidR="00A663F1" w:rsidRDefault="00E46EDB">
            <w:pPr>
              <w:pStyle w:val="TableParagraph"/>
              <w:spacing w:before="49" w:line="240" w:lineRule="auto"/>
              <w:ind w:left="145"/>
              <w:rPr>
                <w:b/>
                <w:sz w:val="20"/>
              </w:rPr>
            </w:pPr>
            <w:r>
              <w:rPr>
                <w:b/>
                <w:sz w:val="20"/>
              </w:rPr>
              <w:t>Other key non-monetised costs by ‘main affected groups’</w:t>
            </w:r>
          </w:p>
          <w:p w14:paraId="07729EB8" w14:textId="77777777" w:rsidR="00A663F1" w:rsidRDefault="00E46EDB">
            <w:pPr>
              <w:pStyle w:val="TableParagraph"/>
              <w:spacing w:before="52" w:line="240" w:lineRule="auto"/>
              <w:ind w:left="145"/>
            </w:pPr>
            <w:r>
              <w:t>Nil.</w:t>
            </w:r>
          </w:p>
        </w:tc>
      </w:tr>
      <w:tr w:rsidR="00A663F1" w14:paraId="21C58594" w14:textId="77777777">
        <w:trPr>
          <w:trHeight w:val="536"/>
        </w:trPr>
        <w:tc>
          <w:tcPr>
            <w:tcW w:w="2123" w:type="dxa"/>
            <w:gridSpan w:val="2"/>
            <w:tcBorders>
              <w:top w:val="single" w:sz="12" w:space="0" w:color="000000"/>
              <w:left w:val="single" w:sz="12" w:space="0" w:color="000000"/>
              <w:bottom w:val="single" w:sz="12" w:space="0" w:color="000000"/>
              <w:right w:val="single" w:sz="6" w:space="0" w:color="000000"/>
            </w:tcBorders>
          </w:tcPr>
          <w:p w14:paraId="4D5530DD" w14:textId="77777777" w:rsidR="00A663F1" w:rsidRDefault="00E46EDB">
            <w:pPr>
              <w:pStyle w:val="TableParagraph"/>
              <w:spacing w:before="50" w:line="240" w:lineRule="auto"/>
              <w:ind w:left="145"/>
              <w:rPr>
                <w:b/>
                <w:sz w:val="24"/>
              </w:rPr>
            </w:pPr>
            <w:r>
              <w:rPr>
                <w:b/>
                <w:sz w:val="24"/>
              </w:rPr>
              <w:t>BENEFITS (£m)</w:t>
            </w:r>
          </w:p>
        </w:tc>
        <w:tc>
          <w:tcPr>
            <w:tcW w:w="2724" w:type="dxa"/>
            <w:gridSpan w:val="3"/>
            <w:tcBorders>
              <w:top w:val="single" w:sz="12" w:space="0" w:color="000000"/>
              <w:left w:val="single" w:sz="6" w:space="0" w:color="000000"/>
              <w:bottom w:val="single" w:sz="12" w:space="0" w:color="000000"/>
              <w:right w:val="single" w:sz="6" w:space="0" w:color="000000"/>
            </w:tcBorders>
          </w:tcPr>
          <w:p w14:paraId="58407BAE" w14:textId="77777777" w:rsidR="00A663F1" w:rsidRDefault="00E46EDB">
            <w:pPr>
              <w:pStyle w:val="TableParagraph"/>
              <w:spacing w:before="49" w:line="240" w:lineRule="auto"/>
              <w:ind w:right="88"/>
              <w:jc w:val="right"/>
              <w:rPr>
                <w:b/>
                <w:sz w:val="20"/>
              </w:rPr>
            </w:pPr>
            <w:r>
              <w:rPr>
                <w:b/>
                <w:spacing w:val="-4"/>
                <w:sz w:val="20"/>
              </w:rPr>
              <w:t>Total</w:t>
            </w:r>
            <w:r>
              <w:rPr>
                <w:b/>
                <w:spacing w:val="-10"/>
                <w:sz w:val="20"/>
              </w:rPr>
              <w:t xml:space="preserve"> </w:t>
            </w:r>
            <w:r>
              <w:rPr>
                <w:b/>
                <w:spacing w:val="-5"/>
                <w:sz w:val="20"/>
              </w:rPr>
              <w:t>Transition</w:t>
            </w:r>
          </w:p>
          <w:p w14:paraId="3CD5A38B" w14:textId="77777777" w:rsidR="00A663F1" w:rsidRDefault="00E46EDB">
            <w:pPr>
              <w:pStyle w:val="TableParagraph"/>
              <w:tabs>
                <w:tab w:val="left" w:pos="1540"/>
              </w:tabs>
              <w:spacing w:line="240" w:lineRule="auto"/>
              <w:ind w:right="88"/>
              <w:jc w:val="right"/>
              <w:rPr>
                <w:sz w:val="18"/>
              </w:rPr>
            </w:pPr>
            <w:r>
              <w:rPr>
                <w:spacing w:val="-5"/>
                <w:sz w:val="18"/>
              </w:rPr>
              <w:t>(Constant</w:t>
            </w:r>
            <w:r>
              <w:rPr>
                <w:spacing w:val="-8"/>
                <w:sz w:val="18"/>
              </w:rPr>
              <w:t xml:space="preserve"> </w:t>
            </w:r>
            <w:r>
              <w:rPr>
                <w:spacing w:val="-5"/>
                <w:sz w:val="18"/>
              </w:rPr>
              <w:t>Price)</w:t>
            </w:r>
            <w:r>
              <w:rPr>
                <w:spacing w:val="-5"/>
                <w:sz w:val="18"/>
              </w:rPr>
              <w:tab/>
              <w:t>Years</w:t>
            </w:r>
          </w:p>
        </w:tc>
        <w:tc>
          <w:tcPr>
            <w:tcW w:w="2850" w:type="dxa"/>
            <w:gridSpan w:val="2"/>
            <w:tcBorders>
              <w:top w:val="single" w:sz="12" w:space="0" w:color="000000"/>
              <w:left w:val="single" w:sz="6" w:space="0" w:color="000000"/>
              <w:bottom w:val="single" w:sz="12" w:space="0" w:color="000000"/>
              <w:right w:val="single" w:sz="12" w:space="0" w:color="000000"/>
            </w:tcBorders>
          </w:tcPr>
          <w:p w14:paraId="6AEFE376" w14:textId="77777777" w:rsidR="00A663F1" w:rsidRDefault="00E46EDB">
            <w:pPr>
              <w:pStyle w:val="TableParagraph"/>
              <w:spacing w:before="49" w:line="240" w:lineRule="auto"/>
              <w:ind w:right="87"/>
              <w:jc w:val="right"/>
              <w:rPr>
                <w:b/>
                <w:sz w:val="20"/>
              </w:rPr>
            </w:pPr>
            <w:r>
              <w:rPr>
                <w:b/>
                <w:spacing w:val="-5"/>
                <w:sz w:val="20"/>
              </w:rPr>
              <w:t xml:space="preserve">Average </w:t>
            </w:r>
            <w:r>
              <w:rPr>
                <w:b/>
                <w:spacing w:val="-6"/>
                <w:sz w:val="20"/>
              </w:rPr>
              <w:t>Annual</w:t>
            </w:r>
          </w:p>
          <w:p w14:paraId="0FF60927" w14:textId="77777777" w:rsidR="00A663F1" w:rsidRDefault="00E46EDB">
            <w:pPr>
              <w:pStyle w:val="TableParagraph"/>
              <w:spacing w:line="240" w:lineRule="auto"/>
              <w:ind w:right="87"/>
              <w:jc w:val="right"/>
              <w:rPr>
                <w:sz w:val="18"/>
              </w:rPr>
            </w:pPr>
            <w:r>
              <w:rPr>
                <w:spacing w:val="-5"/>
                <w:sz w:val="18"/>
              </w:rPr>
              <w:t>(excl. Transition) (Constant</w:t>
            </w:r>
            <w:r>
              <w:rPr>
                <w:spacing w:val="-16"/>
                <w:sz w:val="18"/>
              </w:rPr>
              <w:t xml:space="preserve"> </w:t>
            </w:r>
            <w:r>
              <w:rPr>
                <w:spacing w:val="-5"/>
                <w:sz w:val="18"/>
              </w:rPr>
              <w:t>Price)</w:t>
            </w:r>
          </w:p>
        </w:tc>
        <w:tc>
          <w:tcPr>
            <w:tcW w:w="2620" w:type="dxa"/>
            <w:gridSpan w:val="2"/>
            <w:tcBorders>
              <w:top w:val="single" w:sz="12" w:space="0" w:color="000000"/>
              <w:left w:val="single" w:sz="12" w:space="0" w:color="000000"/>
              <w:bottom w:val="single" w:sz="12" w:space="0" w:color="000000"/>
              <w:right w:val="single" w:sz="12" w:space="0" w:color="000000"/>
            </w:tcBorders>
          </w:tcPr>
          <w:p w14:paraId="6CC9C434" w14:textId="77777777" w:rsidR="00A663F1" w:rsidRDefault="00E46EDB">
            <w:pPr>
              <w:pStyle w:val="TableParagraph"/>
              <w:spacing w:before="49" w:line="240" w:lineRule="auto"/>
              <w:ind w:left="1350"/>
              <w:rPr>
                <w:b/>
                <w:sz w:val="20"/>
              </w:rPr>
            </w:pPr>
            <w:r>
              <w:rPr>
                <w:b/>
                <w:spacing w:val="-4"/>
                <w:sz w:val="20"/>
              </w:rPr>
              <w:t>Total</w:t>
            </w:r>
            <w:r>
              <w:rPr>
                <w:b/>
                <w:spacing w:val="-10"/>
                <w:sz w:val="20"/>
              </w:rPr>
              <w:t xml:space="preserve"> </w:t>
            </w:r>
            <w:r>
              <w:rPr>
                <w:b/>
                <w:spacing w:val="-5"/>
                <w:sz w:val="20"/>
              </w:rPr>
              <w:t>Benefit</w:t>
            </w:r>
          </w:p>
          <w:p w14:paraId="1378F116" w14:textId="77777777" w:rsidR="00A663F1" w:rsidRDefault="00E46EDB">
            <w:pPr>
              <w:pStyle w:val="TableParagraph"/>
              <w:spacing w:line="240" w:lineRule="auto"/>
              <w:ind w:left="1321"/>
              <w:rPr>
                <w:sz w:val="18"/>
              </w:rPr>
            </w:pPr>
            <w:r>
              <w:rPr>
                <w:spacing w:val="-5"/>
                <w:sz w:val="18"/>
              </w:rPr>
              <w:t>(Present</w:t>
            </w:r>
            <w:r>
              <w:rPr>
                <w:spacing w:val="-6"/>
                <w:sz w:val="18"/>
              </w:rPr>
              <w:t xml:space="preserve"> </w:t>
            </w:r>
            <w:r>
              <w:rPr>
                <w:spacing w:val="-5"/>
                <w:sz w:val="18"/>
              </w:rPr>
              <w:t>Value)</w:t>
            </w:r>
          </w:p>
        </w:tc>
      </w:tr>
      <w:tr w:rsidR="00A663F1" w14:paraId="592231C1" w14:textId="77777777">
        <w:trPr>
          <w:trHeight w:val="317"/>
        </w:trPr>
        <w:tc>
          <w:tcPr>
            <w:tcW w:w="2123" w:type="dxa"/>
            <w:gridSpan w:val="2"/>
            <w:tcBorders>
              <w:top w:val="single" w:sz="12" w:space="0" w:color="000000"/>
              <w:left w:val="single" w:sz="12" w:space="0" w:color="000000"/>
              <w:bottom w:val="single" w:sz="12" w:space="0" w:color="000000"/>
              <w:right w:val="single" w:sz="12" w:space="0" w:color="000000"/>
            </w:tcBorders>
          </w:tcPr>
          <w:p w14:paraId="31A2352A" w14:textId="77777777" w:rsidR="00A663F1" w:rsidRDefault="00E46EDB">
            <w:pPr>
              <w:pStyle w:val="TableParagraph"/>
              <w:spacing w:before="52" w:line="240" w:lineRule="auto"/>
              <w:ind w:left="145"/>
              <w:rPr>
                <w:b/>
                <w:sz w:val="20"/>
              </w:rPr>
            </w:pPr>
            <w:r>
              <w:rPr>
                <w:b/>
                <w:sz w:val="20"/>
              </w:rPr>
              <w:t>Best Estimate</w:t>
            </w:r>
          </w:p>
        </w:tc>
        <w:tc>
          <w:tcPr>
            <w:tcW w:w="1944" w:type="dxa"/>
            <w:gridSpan w:val="2"/>
            <w:tcBorders>
              <w:top w:val="single" w:sz="12" w:space="0" w:color="000000"/>
              <w:left w:val="single" w:sz="12" w:space="0" w:color="000000"/>
              <w:bottom w:val="single" w:sz="12" w:space="0" w:color="000000"/>
              <w:right w:val="single" w:sz="12" w:space="0" w:color="000000"/>
            </w:tcBorders>
          </w:tcPr>
          <w:p w14:paraId="36DE6127" w14:textId="77777777" w:rsidR="00A663F1" w:rsidRDefault="00E46EDB">
            <w:pPr>
              <w:pStyle w:val="TableParagraph"/>
              <w:spacing w:before="52" w:line="240" w:lineRule="auto"/>
              <w:ind w:left="450"/>
              <w:jc w:val="center"/>
              <w:rPr>
                <w:b/>
                <w:sz w:val="20"/>
              </w:rPr>
            </w:pPr>
            <w:r>
              <w:rPr>
                <w:b/>
                <w:w w:val="99"/>
                <w:sz w:val="20"/>
              </w:rPr>
              <w:t>0</w:t>
            </w:r>
          </w:p>
        </w:tc>
        <w:tc>
          <w:tcPr>
            <w:tcW w:w="780" w:type="dxa"/>
            <w:tcBorders>
              <w:top w:val="single" w:sz="6" w:space="0" w:color="000000"/>
              <w:left w:val="single" w:sz="12" w:space="0" w:color="000000"/>
              <w:bottom w:val="single" w:sz="6" w:space="0" w:color="000000"/>
              <w:right w:val="single" w:sz="12" w:space="0" w:color="000000"/>
            </w:tcBorders>
          </w:tcPr>
          <w:p w14:paraId="0C41E74B" w14:textId="77777777" w:rsidR="00A663F1" w:rsidRDefault="00A663F1">
            <w:pPr>
              <w:pStyle w:val="TableParagraph"/>
              <w:spacing w:line="240" w:lineRule="auto"/>
              <w:rPr>
                <w:rFonts w:ascii="Times New Roman"/>
                <w:sz w:val="20"/>
              </w:rPr>
            </w:pPr>
          </w:p>
        </w:tc>
        <w:tc>
          <w:tcPr>
            <w:tcW w:w="2850" w:type="dxa"/>
            <w:gridSpan w:val="2"/>
            <w:tcBorders>
              <w:top w:val="single" w:sz="12" w:space="0" w:color="000000"/>
              <w:left w:val="single" w:sz="12" w:space="0" w:color="000000"/>
              <w:bottom w:val="single" w:sz="12" w:space="0" w:color="000000"/>
              <w:right w:val="single" w:sz="12" w:space="0" w:color="000000"/>
            </w:tcBorders>
          </w:tcPr>
          <w:p w14:paraId="5752DEB8" w14:textId="77777777" w:rsidR="00A663F1" w:rsidRDefault="00E46EDB">
            <w:pPr>
              <w:pStyle w:val="TableParagraph"/>
              <w:spacing w:before="52" w:line="240" w:lineRule="auto"/>
              <w:ind w:right="670"/>
              <w:jc w:val="right"/>
              <w:rPr>
                <w:b/>
                <w:sz w:val="20"/>
              </w:rPr>
            </w:pPr>
            <w:r>
              <w:rPr>
                <w:b/>
                <w:w w:val="99"/>
                <w:sz w:val="20"/>
              </w:rPr>
              <w:t>0</w:t>
            </w:r>
          </w:p>
        </w:tc>
        <w:tc>
          <w:tcPr>
            <w:tcW w:w="2620" w:type="dxa"/>
            <w:gridSpan w:val="2"/>
            <w:tcBorders>
              <w:top w:val="single" w:sz="12" w:space="0" w:color="000000"/>
              <w:left w:val="single" w:sz="12" w:space="0" w:color="000000"/>
              <w:bottom w:val="single" w:sz="12" w:space="0" w:color="000000"/>
              <w:right w:val="single" w:sz="12" w:space="0" w:color="000000"/>
            </w:tcBorders>
          </w:tcPr>
          <w:p w14:paraId="213714B5" w14:textId="77777777" w:rsidR="00A663F1" w:rsidRDefault="00E46EDB">
            <w:pPr>
              <w:pStyle w:val="TableParagraph"/>
              <w:spacing w:before="52" w:line="240" w:lineRule="auto"/>
              <w:ind w:right="668"/>
              <w:jc w:val="right"/>
              <w:rPr>
                <w:b/>
                <w:sz w:val="20"/>
              </w:rPr>
            </w:pPr>
            <w:r>
              <w:rPr>
                <w:b/>
                <w:w w:val="99"/>
                <w:sz w:val="20"/>
              </w:rPr>
              <w:t>0</w:t>
            </w:r>
          </w:p>
        </w:tc>
      </w:tr>
      <w:tr w:rsidR="00A663F1" w14:paraId="2F25AF88" w14:textId="77777777">
        <w:trPr>
          <w:trHeight w:val="1340"/>
        </w:trPr>
        <w:tc>
          <w:tcPr>
            <w:tcW w:w="10317" w:type="dxa"/>
            <w:gridSpan w:val="9"/>
            <w:tcBorders>
              <w:top w:val="single" w:sz="12" w:space="0" w:color="000000"/>
              <w:left w:val="single" w:sz="12" w:space="0" w:color="000000"/>
              <w:bottom w:val="single" w:sz="6" w:space="0" w:color="000000"/>
              <w:right w:val="single" w:sz="12" w:space="0" w:color="000000"/>
            </w:tcBorders>
          </w:tcPr>
          <w:p w14:paraId="0FDB9654" w14:textId="77777777" w:rsidR="00A663F1" w:rsidRDefault="00E46EDB">
            <w:pPr>
              <w:pStyle w:val="TableParagraph"/>
              <w:spacing w:before="52" w:line="240" w:lineRule="auto"/>
              <w:ind w:left="145"/>
              <w:rPr>
                <w:b/>
                <w:sz w:val="20"/>
              </w:rPr>
            </w:pPr>
            <w:r>
              <w:rPr>
                <w:b/>
                <w:sz w:val="20"/>
              </w:rPr>
              <w:t>Description and scale of key monetised benefits by ‘main affected groups’</w:t>
            </w:r>
          </w:p>
          <w:p w14:paraId="7622C67D" w14:textId="77777777" w:rsidR="00A663F1" w:rsidRDefault="00E46EDB">
            <w:pPr>
              <w:pStyle w:val="TableParagraph"/>
              <w:spacing w:before="48" w:line="240" w:lineRule="auto"/>
              <w:ind w:left="145" w:right="169"/>
            </w:pPr>
            <w:r>
              <w:rPr>
                <w:spacing w:val="-3"/>
              </w:rPr>
              <w:t xml:space="preserve">As </w:t>
            </w:r>
            <w:r>
              <w:t xml:space="preserve">a </w:t>
            </w:r>
            <w:r>
              <w:rPr>
                <w:spacing w:val="-5"/>
              </w:rPr>
              <w:t xml:space="preserve">result </w:t>
            </w:r>
            <w:r>
              <w:rPr>
                <w:spacing w:val="-4"/>
              </w:rPr>
              <w:t xml:space="preserve">of the </w:t>
            </w:r>
            <w:r>
              <w:rPr>
                <w:spacing w:val="-6"/>
              </w:rPr>
              <w:t xml:space="preserve">increase </w:t>
            </w:r>
            <w:r>
              <w:rPr>
                <w:spacing w:val="-3"/>
              </w:rPr>
              <w:t xml:space="preserve">in </w:t>
            </w:r>
            <w:r>
              <w:rPr>
                <w:spacing w:val="-5"/>
              </w:rPr>
              <w:t xml:space="preserve">debt </w:t>
            </w:r>
            <w:r>
              <w:rPr>
                <w:spacing w:val="-6"/>
              </w:rPr>
              <w:t xml:space="preserve">advice supply, </w:t>
            </w:r>
            <w:r>
              <w:rPr>
                <w:spacing w:val="-4"/>
              </w:rPr>
              <w:t xml:space="preserve">more </w:t>
            </w:r>
            <w:r>
              <w:rPr>
                <w:spacing w:val="-6"/>
              </w:rPr>
              <w:t xml:space="preserve">people will </w:t>
            </w:r>
            <w:r>
              <w:rPr>
                <w:spacing w:val="-5"/>
              </w:rPr>
              <w:t xml:space="preserve">benefit </w:t>
            </w:r>
            <w:r>
              <w:rPr>
                <w:spacing w:val="-4"/>
              </w:rPr>
              <w:t xml:space="preserve">from </w:t>
            </w:r>
            <w:r>
              <w:rPr>
                <w:spacing w:val="-5"/>
              </w:rPr>
              <w:t xml:space="preserve">debt </w:t>
            </w:r>
            <w:r>
              <w:rPr>
                <w:spacing w:val="-6"/>
              </w:rPr>
              <w:t xml:space="preserve">advice. Doing nothing </w:t>
            </w:r>
            <w:r>
              <w:rPr>
                <w:spacing w:val="-5"/>
              </w:rPr>
              <w:t xml:space="preserve">will </w:t>
            </w:r>
            <w:r>
              <w:rPr>
                <w:spacing w:val="-4"/>
              </w:rPr>
              <w:t xml:space="preserve">not </w:t>
            </w:r>
            <w:r>
              <w:rPr>
                <w:spacing w:val="-5"/>
              </w:rPr>
              <w:t xml:space="preserve">change </w:t>
            </w:r>
            <w:r>
              <w:rPr>
                <w:spacing w:val="-4"/>
              </w:rPr>
              <w:t xml:space="preserve">the </w:t>
            </w:r>
            <w:r>
              <w:rPr>
                <w:spacing w:val="-6"/>
              </w:rPr>
              <w:t xml:space="preserve">number </w:t>
            </w:r>
            <w:r>
              <w:rPr>
                <w:spacing w:val="-4"/>
              </w:rPr>
              <w:t xml:space="preserve">of </w:t>
            </w:r>
            <w:r>
              <w:rPr>
                <w:spacing w:val="-6"/>
              </w:rPr>
              <w:t xml:space="preserve">additional </w:t>
            </w:r>
            <w:r>
              <w:rPr>
                <w:spacing w:val="-5"/>
              </w:rPr>
              <w:t xml:space="preserve">people who will benefit </w:t>
            </w:r>
            <w:r>
              <w:rPr>
                <w:spacing w:val="-4"/>
              </w:rPr>
              <w:t xml:space="preserve">from </w:t>
            </w:r>
            <w:r>
              <w:rPr>
                <w:spacing w:val="-6"/>
              </w:rPr>
              <w:t xml:space="preserve">debt advice </w:t>
            </w:r>
            <w:r>
              <w:rPr>
                <w:spacing w:val="-3"/>
              </w:rPr>
              <w:t xml:space="preserve">in </w:t>
            </w:r>
            <w:r>
              <w:rPr>
                <w:spacing w:val="-4"/>
              </w:rPr>
              <w:t xml:space="preserve">the </w:t>
            </w:r>
            <w:r>
              <w:rPr>
                <w:spacing w:val="-6"/>
              </w:rPr>
              <w:t xml:space="preserve">counterfactual </w:t>
            </w:r>
            <w:r>
              <w:rPr>
                <w:spacing w:val="-3"/>
              </w:rPr>
              <w:t xml:space="preserve">or </w:t>
            </w:r>
            <w:r>
              <w:rPr>
                <w:spacing w:val="-5"/>
              </w:rPr>
              <w:t xml:space="preserve">the </w:t>
            </w:r>
            <w:r>
              <w:rPr>
                <w:spacing w:val="-6"/>
              </w:rPr>
              <w:t xml:space="preserve">value </w:t>
            </w:r>
            <w:r>
              <w:rPr>
                <w:spacing w:val="-4"/>
              </w:rPr>
              <w:t xml:space="preserve">of the </w:t>
            </w:r>
            <w:r>
              <w:rPr>
                <w:spacing w:val="-5"/>
              </w:rPr>
              <w:t xml:space="preserve">debt </w:t>
            </w:r>
            <w:r>
              <w:rPr>
                <w:spacing w:val="-6"/>
              </w:rPr>
              <w:t xml:space="preserve">advice </w:t>
            </w:r>
            <w:r>
              <w:rPr>
                <w:spacing w:val="-5"/>
              </w:rPr>
              <w:t xml:space="preserve">that </w:t>
            </w:r>
            <w:r>
              <w:rPr>
                <w:spacing w:val="-4"/>
              </w:rPr>
              <w:t xml:space="preserve">they </w:t>
            </w:r>
            <w:r>
              <w:rPr>
                <w:spacing w:val="-6"/>
              </w:rPr>
              <w:t xml:space="preserve">receive, </w:t>
            </w:r>
            <w:r>
              <w:rPr>
                <w:spacing w:val="-3"/>
              </w:rPr>
              <w:t xml:space="preserve">so </w:t>
            </w:r>
            <w:r>
              <w:rPr>
                <w:spacing w:val="-5"/>
              </w:rPr>
              <w:t xml:space="preserve">there </w:t>
            </w:r>
            <w:r>
              <w:rPr>
                <w:spacing w:val="-3"/>
              </w:rPr>
              <w:t xml:space="preserve">is no </w:t>
            </w:r>
            <w:r>
              <w:rPr>
                <w:spacing w:val="-5"/>
              </w:rPr>
              <w:t xml:space="preserve">marginal </w:t>
            </w:r>
            <w:r>
              <w:rPr>
                <w:spacing w:val="-6"/>
              </w:rPr>
              <w:t xml:space="preserve">benefit </w:t>
            </w:r>
            <w:r>
              <w:t xml:space="preserve">to </w:t>
            </w:r>
            <w:r>
              <w:rPr>
                <w:spacing w:val="-5"/>
              </w:rPr>
              <w:t xml:space="preserve">doing </w:t>
            </w:r>
            <w:r>
              <w:rPr>
                <w:spacing w:val="-6"/>
              </w:rPr>
              <w:t>nothing.</w:t>
            </w:r>
          </w:p>
        </w:tc>
      </w:tr>
      <w:tr w:rsidR="00A663F1" w14:paraId="37ECC778" w14:textId="77777777">
        <w:trPr>
          <w:trHeight w:val="616"/>
        </w:trPr>
        <w:tc>
          <w:tcPr>
            <w:tcW w:w="10317" w:type="dxa"/>
            <w:gridSpan w:val="9"/>
            <w:tcBorders>
              <w:top w:val="single" w:sz="6" w:space="0" w:color="000000"/>
              <w:left w:val="single" w:sz="12" w:space="0" w:color="000000"/>
              <w:bottom w:val="single" w:sz="6" w:space="0" w:color="000000"/>
              <w:right w:val="single" w:sz="12" w:space="0" w:color="000000"/>
            </w:tcBorders>
          </w:tcPr>
          <w:p w14:paraId="53CBD3A4" w14:textId="77777777" w:rsidR="00A663F1" w:rsidRDefault="00E46EDB">
            <w:pPr>
              <w:pStyle w:val="TableParagraph"/>
              <w:spacing w:before="49" w:line="240" w:lineRule="auto"/>
              <w:ind w:left="145"/>
              <w:rPr>
                <w:b/>
                <w:sz w:val="20"/>
              </w:rPr>
            </w:pPr>
            <w:r>
              <w:rPr>
                <w:b/>
                <w:sz w:val="20"/>
              </w:rPr>
              <w:t>Other key non-monetised benefits by ‘main affected groups’</w:t>
            </w:r>
          </w:p>
          <w:p w14:paraId="4D830F3F" w14:textId="77777777" w:rsidR="00A663F1" w:rsidRDefault="00E46EDB">
            <w:pPr>
              <w:pStyle w:val="TableParagraph"/>
              <w:spacing w:before="52" w:line="240" w:lineRule="auto"/>
              <w:ind w:left="145"/>
            </w:pPr>
            <w:r>
              <w:t>Nil.</w:t>
            </w:r>
          </w:p>
        </w:tc>
      </w:tr>
      <w:tr w:rsidR="00A663F1" w14:paraId="2714FA98" w14:textId="77777777">
        <w:trPr>
          <w:trHeight w:val="331"/>
        </w:trPr>
        <w:tc>
          <w:tcPr>
            <w:tcW w:w="9462" w:type="dxa"/>
            <w:gridSpan w:val="8"/>
            <w:tcBorders>
              <w:top w:val="single" w:sz="6" w:space="0" w:color="000000"/>
              <w:left w:val="single" w:sz="12" w:space="0" w:color="000000"/>
              <w:bottom w:val="nil"/>
              <w:right w:val="single" w:sz="6" w:space="0" w:color="000000"/>
            </w:tcBorders>
          </w:tcPr>
          <w:p w14:paraId="11AD096F" w14:textId="77777777" w:rsidR="00A663F1" w:rsidRDefault="00E46EDB">
            <w:pPr>
              <w:pStyle w:val="TableParagraph"/>
              <w:tabs>
                <w:tab w:val="left" w:pos="7690"/>
              </w:tabs>
              <w:spacing w:before="49" w:line="240" w:lineRule="auto"/>
              <w:ind w:left="145"/>
              <w:rPr>
                <w:b/>
                <w:sz w:val="20"/>
              </w:rPr>
            </w:pPr>
            <w:r>
              <w:rPr>
                <w:b/>
                <w:spacing w:val="-3"/>
                <w:sz w:val="20"/>
              </w:rPr>
              <w:t>Key</w:t>
            </w:r>
            <w:r>
              <w:rPr>
                <w:b/>
                <w:spacing w:val="-17"/>
                <w:sz w:val="20"/>
              </w:rPr>
              <w:t xml:space="preserve"> </w:t>
            </w:r>
            <w:r>
              <w:rPr>
                <w:b/>
                <w:spacing w:val="-5"/>
                <w:sz w:val="20"/>
              </w:rPr>
              <w:t>assumptions/sensitivities/risks</w:t>
            </w:r>
            <w:r>
              <w:rPr>
                <w:b/>
                <w:spacing w:val="-5"/>
                <w:sz w:val="20"/>
              </w:rPr>
              <w:tab/>
              <w:t xml:space="preserve">Discount </w:t>
            </w:r>
            <w:r>
              <w:rPr>
                <w:b/>
                <w:spacing w:val="-4"/>
                <w:sz w:val="20"/>
              </w:rPr>
              <w:t>rate</w:t>
            </w:r>
            <w:r>
              <w:rPr>
                <w:b/>
                <w:spacing w:val="-16"/>
                <w:sz w:val="20"/>
              </w:rPr>
              <w:t xml:space="preserve"> </w:t>
            </w:r>
            <w:r>
              <w:rPr>
                <w:b/>
                <w:spacing w:val="-4"/>
                <w:sz w:val="20"/>
              </w:rPr>
              <w:t>(%)</w:t>
            </w:r>
          </w:p>
        </w:tc>
        <w:tc>
          <w:tcPr>
            <w:tcW w:w="855" w:type="dxa"/>
            <w:tcBorders>
              <w:top w:val="single" w:sz="6" w:space="0" w:color="000000"/>
              <w:left w:val="single" w:sz="6" w:space="0" w:color="000000"/>
              <w:right w:val="single" w:sz="12" w:space="0" w:color="000000"/>
            </w:tcBorders>
          </w:tcPr>
          <w:p w14:paraId="364F9BB3" w14:textId="77777777" w:rsidR="00A663F1" w:rsidRDefault="00E46EDB">
            <w:pPr>
              <w:pStyle w:val="TableParagraph"/>
              <w:spacing w:before="49" w:line="240" w:lineRule="auto"/>
              <w:ind w:left="161"/>
              <w:rPr>
                <w:sz w:val="20"/>
              </w:rPr>
            </w:pPr>
            <w:r>
              <w:rPr>
                <w:sz w:val="20"/>
              </w:rPr>
              <w:t>3.5%</w:t>
            </w:r>
          </w:p>
        </w:tc>
      </w:tr>
      <w:tr w:rsidR="00A663F1" w14:paraId="71362C09" w14:textId="77777777">
        <w:trPr>
          <w:trHeight w:val="347"/>
        </w:trPr>
        <w:tc>
          <w:tcPr>
            <w:tcW w:w="10317" w:type="dxa"/>
            <w:gridSpan w:val="9"/>
            <w:tcBorders>
              <w:top w:val="nil"/>
              <w:left w:val="single" w:sz="12" w:space="0" w:color="000000"/>
              <w:bottom w:val="single" w:sz="12" w:space="0" w:color="000000"/>
              <w:right w:val="single" w:sz="12" w:space="0" w:color="000000"/>
            </w:tcBorders>
          </w:tcPr>
          <w:p w14:paraId="6ADE6784" w14:textId="77777777" w:rsidR="00A663F1" w:rsidRDefault="00E46EDB">
            <w:pPr>
              <w:pStyle w:val="TableParagraph"/>
              <w:spacing w:line="240" w:lineRule="auto"/>
              <w:ind w:left="145"/>
            </w:pPr>
            <w:r>
              <w:t>Nil, as doing nothing is not expected to change the counterfactual.</w:t>
            </w:r>
          </w:p>
        </w:tc>
      </w:tr>
    </w:tbl>
    <w:p w14:paraId="4644437D" w14:textId="77777777" w:rsidR="00A663F1" w:rsidRDefault="00A663F1">
      <w:pPr>
        <w:pStyle w:val="BodyText"/>
        <w:spacing w:before="0"/>
        <w:ind w:left="0" w:firstLine="0"/>
        <w:rPr>
          <w:b/>
        </w:rPr>
      </w:pPr>
    </w:p>
    <w:p w14:paraId="43DDF3BE" w14:textId="77777777" w:rsidR="00A663F1" w:rsidRDefault="00E46EDB">
      <w:pPr>
        <w:spacing w:before="157" w:after="49"/>
        <w:ind w:left="252"/>
        <w:rPr>
          <w:b/>
          <w:sz w:val="20"/>
        </w:rPr>
      </w:pPr>
      <w:r>
        <w:rPr>
          <w:b/>
          <w:sz w:val="20"/>
        </w:rPr>
        <w:t>BUSINESS ASSESSMENT (Option 1)</w:t>
      </w: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1841"/>
        <w:gridCol w:w="1697"/>
        <w:gridCol w:w="4815"/>
      </w:tblGrid>
      <w:tr w:rsidR="00A663F1" w14:paraId="0CA42D21" w14:textId="77777777">
        <w:trPr>
          <w:trHeight w:val="369"/>
        </w:trPr>
        <w:tc>
          <w:tcPr>
            <w:tcW w:w="5518" w:type="dxa"/>
            <w:gridSpan w:val="3"/>
            <w:tcBorders>
              <w:bottom w:val="nil"/>
            </w:tcBorders>
          </w:tcPr>
          <w:p w14:paraId="34DC97FE" w14:textId="77777777" w:rsidR="00A663F1" w:rsidRDefault="00E46EDB">
            <w:pPr>
              <w:pStyle w:val="TableParagraph"/>
              <w:spacing w:before="52" w:line="240" w:lineRule="auto"/>
              <w:ind w:left="117"/>
              <w:rPr>
                <w:b/>
                <w:sz w:val="20"/>
              </w:rPr>
            </w:pPr>
            <w:r>
              <w:rPr>
                <w:b/>
                <w:sz w:val="20"/>
              </w:rPr>
              <w:t>Direct impact on business (Equivalent Annual) £m:</w:t>
            </w:r>
          </w:p>
        </w:tc>
        <w:tc>
          <w:tcPr>
            <w:tcW w:w="4815" w:type="dxa"/>
            <w:vMerge w:val="restart"/>
          </w:tcPr>
          <w:p w14:paraId="0DBFA832" w14:textId="77777777" w:rsidR="00A663F1" w:rsidRDefault="00E46EDB">
            <w:pPr>
              <w:pStyle w:val="TableParagraph"/>
              <w:spacing w:before="50" w:line="240" w:lineRule="auto"/>
              <w:ind w:left="118"/>
              <w:rPr>
                <w:b/>
                <w:sz w:val="20"/>
              </w:rPr>
            </w:pPr>
            <w:r>
              <w:rPr>
                <w:b/>
                <w:spacing w:val="-5"/>
                <w:sz w:val="20"/>
              </w:rPr>
              <w:t xml:space="preserve">Score </w:t>
            </w:r>
            <w:r>
              <w:rPr>
                <w:b/>
                <w:spacing w:val="-3"/>
                <w:sz w:val="20"/>
              </w:rPr>
              <w:t xml:space="preserve">for </w:t>
            </w:r>
            <w:r>
              <w:rPr>
                <w:b/>
                <w:spacing w:val="-5"/>
                <w:sz w:val="20"/>
              </w:rPr>
              <w:t xml:space="preserve">Business </w:t>
            </w:r>
            <w:r>
              <w:rPr>
                <w:b/>
                <w:spacing w:val="-4"/>
                <w:sz w:val="20"/>
              </w:rPr>
              <w:t xml:space="preserve">Impact </w:t>
            </w:r>
            <w:r>
              <w:rPr>
                <w:b/>
                <w:spacing w:val="-5"/>
                <w:sz w:val="20"/>
              </w:rPr>
              <w:t xml:space="preserve">Target (qualifying provisions only) </w:t>
            </w:r>
            <w:r>
              <w:rPr>
                <w:b/>
                <w:spacing w:val="-4"/>
                <w:sz w:val="20"/>
              </w:rPr>
              <w:t>£m:</w:t>
            </w:r>
          </w:p>
        </w:tc>
      </w:tr>
      <w:tr w:rsidR="00A663F1" w14:paraId="427C1C75" w14:textId="77777777">
        <w:trPr>
          <w:trHeight w:val="335"/>
        </w:trPr>
        <w:tc>
          <w:tcPr>
            <w:tcW w:w="1980" w:type="dxa"/>
            <w:vMerge w:val="restart"/>
            <w:tcBorders>
              <w:top w:val="nil"/>
            </w:tcBorders>
          </w:tcPr>
          <w:p w14:paraId="11640FDA" w14:textId="77777777" w:rsidR="00A663F1" w:rsidRDefault="00E46EDB">
            <w:pPr>
              <w:pStyle w:val="TableParagraph"/>
              <w:spacing w:before="45" w:line="240" w:lineRule="auto"/>
              <w:ind w:left="117"/>
              <w:rPr>
                <w:b/>
                <w:sz w:val="20"/>
              </w:rPr>
            </w:pPr>
            <w:r>
              <w:rPr>
                <w:b/>
                <w:sz w:val="20"/>
              </w:rPr>
              <w:t>Costs: 0</w:t>
            </w:r>
          </w:p>
        </w:tc>
        <w:tc>
          <w:tcPr>
            <w:tcW w:w="1841" w:type="dxa"/>
            <w:vMerge w:val="restart"/>
            <w:tcBorders>
              <w:top w:val="nil"/>
            </w:tcBorders>
          </w:tcPr>
          <w:p w14:paraId="46C0CEE6" w14:textId="77777777" w:rsidR="00A663F1" w:rsidRDefault="00E46EDB">
            <w:pPr>
              <w:pStyle w:val="TableParagraph"/>
              <w:spacing w:before="45" w:line="240" w:lineRule="auto"/>
              <w:ind w:left="113"/>
              <w:rPr>
                <w:sz w:val="20"/>
              </w:rPr>
            </w:pPr>
            <w:r>
              <w:rPr>
                <w:b/>
                <w:sz w:val="20"/>
              </w:rPr>
              <w:t xml:space="preserve">Benefits: </w:t>
            </w:r>
            <w:r>
              <w:rPr>
                <w:sz w:val="20"/>
              </w:rPr>
              <w:t>0</w:t>
            </w:r>
          </w:p>
        </w:tc>
        <w:tc>
          <w:tcPr>
            <w:tcW w:w="1697" w:type="dxa"/>
            <w:vMerge w:val="restart"/>
            <w:tcBorders>
              <w:top w:val="nil"/>
            </w:tcBorders>
          </w:tcPr>
          <w:p w14:paraId="6DCE29F0" w14:textId="77777777" w:rsidR="00A663F1" w:rsidRDefault="00E46EDB">
            <w:pPr>
              <w:pStyle w:val="TableParagraph"/>
              <w:spacing w:before="45" w:line="240" w:lineRule="auto"/>
              <w:ind w:left="111"/>
              <w:rPr>
                <w:sz w:val="20"/>
              </w:rPr>
            </w:pPr>
            <w:r>
              <w:rPr>
                <w:b/>
                <w:sz w:val="20"/>
              </w:rPr>
              <w:t xml:space="preserve">Net: </w:t>
            </w:r>
            <w:r>
              <w:rPr>
                <w:sz w:val="20"/>
              </w:rPr>
              <w:t>0</w:t>
            </w:r>
          </w:p>
        </w:tc>
        <w:tc>
          <w:tcPr>
            <w:tcW w:w="4815" w:type="dxa"/>
            <w:vMerge/>
            <w:tcBorders>
              <w:top w:val="nil"/>
            </w:tcBorders>
          </w:tcPr>
          <w:p w14:paraId="192BDAF8" w14:textId="77777777" w:rsidR="00A663F1" w:rsidRDefault="00A663F1">
            <w:pPr>
              <w:rPr>
                <w:sz w:val="2"/>
                <w:szCs w:val="2"/>
              </w:rPr>
            </w:pPr>
          </w:p>
        </w:tc>
      </w:tr>
      <w:tr w:rsidR="00A663F1" w14:paraId="51968B27" w14:textId="77777777">
        <w:trPr>
          <w:trHeight w:val="455"/>
        </w:trPr>
        <w:tc>
          <w:tcPr>
            <w:tcW w:w="1980" w:type="dxa"/>
            <w:vMerge/>
            <w:tcBorders>
              <w:top w:val="nil"/>
            </w:tcBorders>
          </w:tcPr>
          <w:p w14:paraId="2E5C8F78" w14:textId="77777777" w:rsidR="00A663F1" w:rsidRDefault="00A663F1">
            <w:pPr>
              <w:rPr>
                <w:sz w:val="2"/>
                <w:szCs w:val="2"/>
              </w:rPr>
            </w:pPr>
          </w:p>
        </w:tc>
        <w:tc>
          <w:tcPr>
            <w:tcW w:w="1841" w:type="dxa"/>
            <w:vMerge/>
            <w:tcBorders>
              <w:top w:val="nil"/>
            </w:tcBorders>
          </w:tcPr>
          <w:p w14:paraId="2FF8B5B4" w14:textId="77777777" w:rsidR="00A663F1" w:rsidRDefault="00A663F1">
            <w:pPr>
              <w:rPr>
                <w:sz w:val="2"/>
                <w:szCs w:val="2"/>
              </w:rPr>
            </w:pPr>
          </w:p>
        </w:tc>
        <w:tc>
          <w:tcPr>
            <w:tcW w:w="1697" w:type="dxa"/>
            <w:vMerge/>
            <w:tcBorders>
              <w:top w:val="nil"/>
            </w:tcBorders>
          </w:tcPr>
          <w:p w14:paraId="735F7C53" w14:textId="77777777" w:rsidR="00A663F1" w:rsidRDefault="00A663F1">
            <w:pPr>
              <w:rPr>
                <w:sz w:val="2"/>
                <w:szCs w:val="2"/>
              </w:rPr>
            </w:pPr>
          </w:p>
        </w:tc>
        <w:tc>
          <w:tcPr>
            <w:tcW w:w="4815" w:type="dxa"/>
          </w:tcPr>
          <w:p w14:paraId="3131765D" w14:textId="77777777" w:rsidR="00A663F1" w:rsidRDefault="00E46EDB">
            <w:pPr>
              <w:pStyle w:val="TableParagraph"/>
              <w:spacing w:before="50" w:line="240" w:lineRule="auto"/>
              <w:ind w:left="648"/>
              <w:rPr>
                <w:sz w:val="20"/>
              </w:rPr>
            </w:pPr>
            <w:r>
              <w:rPr>
                <w:w w:val="99"/>
                <w:sz w:val="20"/>
              </w:rPr>
              <w:t>0</w:t>
            </w:r>
          </w:p>
        </w:tc>
      </w:tr>
    </w:tbl>
    <w:p w14:paraId="176527F2" w14:textId="77777777" w:rsidR="00A663F1" w:rsidRDefault="00A663F1">
      <w:pPr>
        <w:rPr>
          <w:sz w:val="20"/>
        </w:rPr>
        <w:sectPr w:rsidR="00A663F1">
          <w:footerReference w:type="default" r:id="rId17"/>
          <w:pgSz w:w="11910" w:h="16850"/>
          <w:pgMar w:top="600" w:right="720" w:bottom="960" w:left="600" w:header="0" w:footer="761" w:gutter="0"/>
          <w:pgNumType w:start="3"/>
          <w:cols w:space="720"/>
        </w:sectPr>
      </w:pPr>
    </w:p>
    <w:p w14:paraId="1EBA1B0D" w14:textId="77777777" w:rsidR="00A663F1" w:rsidRDefault="00E46EDB">
      <w:pPr>
        <w:tabs>
          <w:tab w:val="left" w:pos="8365"/>
        </w:tabs>
        <w:spacing w:before="78"/>
        <w:ind w:left="252"/>
        <w:rPr>
          <w:sz w:val="32"/>
        </w:rPr>
      </w:pPr>
      <w:r>
        <w:rPr>
          <w:b/>
          <w:spacing w:val="-4"/>
          <w:sz w:val="32"/>
        </w:rPr>
        <w:lastRenderedPageBreak/>
        <w:t xml:space="preserve">Summary: </w:t>
      </w:r>
      <w:r>
        <w:rPr>
          <w:b/>
          <w:spacing w:val="-5"/>
          <w:sz w:val="32"/>
        </w:rPr>
        <w:t>Analysis</w:t>
      </w:r>
      <w:r>
        <w:rPr>
          <w:b/>
          <w:spacing w:val="-18"/>
          <w:sz w:val="32"/>
        </w:rPr>
        <w:t xml:space="preserve"> </w:t>
      </w:r>
      <w:r>
        <w:rPr>
          <w:b/>
          <w:sz w:val="32"/>
        </w:rPr>
        <w:t>&amp;</w:t>
      </w:r>
      <w:r>
        <w:rPr>
          <w:b/>
          <w:spacing w:val="-8"/>
          <w:sz w:val="32"/>
        </w:rPr>
        <w:t xml:space="preserve"> </w:t>
      </w:r>
      <w:r>
        <w:rPr>
          <w:b/>
          <w:spacing w:val="-4"/>
          <w:sz w:val="32"/>
        </w:rPr>
        <w:t>Evidence</w:t>
      </w:r>
      <w:r>
        <w:rPr>
          <w:b/>
          <w:spacing w:val="-4"/>
          <w:sz w:val="32"/>
        </w:rPr>
        <w:tab/>
      </w:r>
      <w:r>
        <w:rPr>
          <w:spacing w:val="-4"/>
          <w:sz w:val="32"/>
        </w:rPr>
        <w:t>Policy Option</w:t>
      </w:r>
      <w:r>
        <w:rPr>
          <w:spacing w:val="-11"/>
          <w:sz w:val="32"/>
        </w:rPr>
        <w:t xml:space="preserve"> </w:t>
      </w:r>
      <w:r>
        <w:rPr>
          <w:sz w:val="32"/>
        </w:rPr>
        <w:t>2</w:t>
      </w:r>
    </w:p>
    <w:p w14:paraId="64AC74AC" w14:textId="77777777" w:rsidR="00A663F1" w:rsidRDefault="00E46EDB">
      <w:pPr>
        <w:spacing w:before="61" w:after="4" w:line="290" w:lineRule="auto"/>
        <w:ind w:left="252" w:right="6729"/>
        <w:rPr>
          <w:b/>
          <w:sz w:val="20"/>
        </w:rPr>
      </w:pPr>
      <w:r>
        <w:rPr>
          <w:b/>
          <w:spacing w:val="-5"/>
          <w:sz w:val="20"/>
        </w:rPr>
        <w:t xml:space="preserve">Description: Voluntary Breathing Space </w:t>
      </w:r>
      <w:r>
        <w:rPr>
          <w:b/>
          <w:spacing w:val="-4"/>
          <w:sz w:val="20"/>
        </w:rPr>
        <w:t xml:space="preserve">FULL </w:t>
      </w:r>
      <w:r>
        <w:rPr>
          <w:b/>
          <w:spacing w:val="-5"/>
          <w:sz w:val="20"/>
        </w:rPr>
        <w:t>ECONOMIC ASSESSMENT</w:t>
      </w:r>
    </w:p>
    <w:tbl>
      <w:tblPr>
        <w:tblW w:w="0" w:type="auto"/>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88"/>
        <w:gridCol w:w="735"/>
        <w:gridCol w:w="522"/>
        <w:gridCol w:w="1422"/>
        <w:gridCol w:w="780"/>
        <w:gridCol w:w="1025"/>
        <w:gridCol w:w="1825"/>
        <w:gridCol w:w="1765"/>
        <w:gridCol w:w="855"/>
      </w:tblGrid>
      <w:tr w:rsidR="00A663F1" w14:paraId="57F414E0" w14:textId="77777777">
        <w:trPr>
          <w:trHeight w:val="282"/>
        </w:trPr>
        <w:tc>
          <w:tcPr>
            <w:tcW w:w="1388" w:type="dxa"/>
            <w:vMerge w:val="restart"/>
          </w:tcPr>
          <w:p w14:paraId="4704D81B" w14:textId="77777777" w:rsidR="00A663F1" w:rsidRDefault="00E46EDB">
            <w:pPr>
              <w:pStyle w:val="TableParagraph"/>
              <w:spacing w:before="49" w:line="240" w:lineRule="auto"/>
              <w:ind w:left="127" w:right="208"/>
              <w:rPr>
                <w:sz w:val="20"/>
              </w:rPr>
            </w:pPr>
            <w:r>
              <w:rPr>
                <w:b/>
                <w:sz w:val="20"/>
              </w:rPr>
              <w:t xml:space="preserve">Price Base Year </w:t>
            </w:r>
            <w:r>
              <w:rPr>
                <w:sz w:val="20"/>
              </w:rPr>
              <w:t>2021</w:t>
            </w:r>
          </w:p>
        </w:tc>
        <w:tc>
          <w:tcPr>
            <w:tcW w:w="1257" w:type="dxa"/>
            <w:gridSpan w:val="2"/>
            <w:vMerge w:val="restart"/>
          </w:tcPr>
          <w:p w14:paraId="1FE353AF" w14:textId="77777777" w:rsidR="00A663F1" w:rsidRDefault="00E46EDB">
            <w:pPr>
              <w:pStyle w:val="TableParagraph"/>
              <w:spacing w:before="49" w:line="240" w:lineRule="auto"/>
              <w:ind w:left="133" w:right="159"/>
              <w:rPr>
                <w:sz w:val="20"/>
              </w:rPr>
            </w:pPr>
            <w:r>
              <w:rPr>
                <w:b/>
                <w:sz w:val="20"/>
              </w:rPr>
              <w:t xml:space="preserve">PV Base Year </w:t>
            </w:r>
            <w:r>
              <w:rPr>
                <w:sz w:val="20"/>
              </w:rPr>
              <w:t>2021</w:t>
            </w:r>
          </w:p>
        </w:tc>
        <w:tc>
          <w:tcPr>
            <w:tcW w:w="1422" w:type="dxa"/>
            <w:vMerge w:val="restart"/>
            <w:tcBorders>
              <w:right w:val="single" w:sz="12" w:space="0" w:color="000000"/>
            </w:tcBorders>
          </w:tcPr>
          <w:p w14:paraId="6F0E2C2D" w14:textId="77777777" w:rsidR="00A663F1" w:rsidRDefault="00E46EDB">
            <w:pPr>
              <w:pStyle w:val="TableParagraph"/>
              <w:spacing w:before="49" w:line="240" w:lineRule="auto"/>
              <w:ind w:left="132" w:right="105"/>
              <w:rPr>
                <w:sz w:val="20"/>
              </w:rPr>
            </w:pPr>
            <w:r>
              <w:rPr>
                <w:b/>
                <w:sz w:val="20"/>
              </w:rPr>
              <w:t xml:space="preserve">Time Period Years </w:t>
            </w:r>
            <w:r>
              <w:rPr>
                <w:sz w:val="20"/>
              </w:rPr>
              <w:t>10</w:t>
            </w:r>
          </w:p>
        </w:tc>
        <w:tc>
          <w:tcPr>
            <w:tcW w:w="6250" w:type="dxa"/>
            <w:gridSpan w:val="5"/>
            <w:tcBorders>
              <w:top w:val="single" w:sz="12" w:space="0" w:color="000000"/>
              <w:left w:val="single" w:sz="12" w:space="0" w:color="000000"/>
              <w:bottom w:val="single" w:sz="12" w:space="0" w:color="000000"/>
              <w:right w:val="single" w:sz="12" w:space="0" w:color="000000"/>
            </w:tcBorders>
          </w:tcPr>
          <w:p w14:paraId="0DC19EC1" w14:textId="77777777" w:rsidR="00A663F1" w:rsidRDefault="00E46EDB">
            <w:pPr>
              <w:pStyle w:val="TableParagraph"/>
              <w:spacing w:before="49" w:line="213" w:lineRule="exact"/>
              <w:ind w:left="1477"/>
              <w:rPr>
                <w:b/>
                <w:sz w:val="20"/>
              </w:rPr>
            </w:pPr>
            <w:r>
              <w:rPr>
                <w:b/>
                <w:sz w:val="20"/>
              </w:rPr>
              <w:t>Net Benefit (Present Value (PV)) (£m)</w:t>
            </w:r>
          </w:p>
        </w:tc>
      </w:tr>
      <w:tr w:rsidR="00A663F1" w14:paraId="2D1E2464" w14:textId="77777777">
        <w:trPr>
          <w:trHeight w:val="301"/>
        </w:trPr>
        <w:tc>
          <w:tcPr>
            <w:tcW w:w="1388" w:type="dxa"/>
            <w:vMerge/>
            <w:tcBorders>
              <w:top w:val="nil"/>
            </w:tcBorders>
          </w:tcPr>
          <w:p w14:paraId="49D1A925" w14:textId="77777777" w:rsidR="00A663F1" w:rsidRDefault="00A663F1">
            <w:pPr>
              <w:rPr>
                <w:sz w:val="2"/>
                <w:szCs w:val="2"/>
              </w:rPr>
            </w:pPr>
          </w:p>
        </w:tc>
        <w:tc>
          <w:tcPr>
            <w:tcW w:w="1257" w:type="dxa"/>
            <w:gridSpan w:val="2"/>
            <w:vMerge/>
            <w:tcBorders>
              <w:top w:val="nil"/>
            </w:tcBorders>
          </w:tcPr>
          <w:p w14:paraId="0B52CD22" w14:textId="77777777" w:rsidR="00A663F1" w:rsidRDefault="00A663F1">
            <w:pPr>
              <w:rPr>
                <w:sz w:val="2"/>
                <w:szCs w:val="2"/>
              </w:rPr>
            </w:pPr>
          </w:p>
        </w:tc>
        <w:tc>
          <w:tcPr>
            <w:tcW w:w="1422" w:type="dxa"/>
            <w:vMerge/>
            <w:tcBorders>
              <w:top w:val="nil"/>
              <w:right w:val="single" w:sz="12" w:space="0" w:color="000000"/>
            </w:tcBorders>
          </w:tcPr>
          <w:p w14:paraId="029438EB" w14:textId="77777777" w:rsidR="00A663F1" w:rsidRDefault="00A663F1">
            <w:pPr>
              <w:rPr>
                <w:sz w:val="2"/>
                <w:szCs w:val="2"/>
              </w:rPr>
            </w:pPr>
          </w:p>
        </w:tc>
        <w:tc>
          <w:tcPr>
            <w:tcW w:w="1805" w:type="dxa"/>
            <w:gridSpan w:val="2"/>
            <w:tcBorders>
              <w:left w:val="single" w:sz="12" w:space="0" w:color="000000"/>
              <w:bottom w:val="single" w:sz="12" w:space="0" w:color="000000"/>
            </w:tcBorders>
          </w:tcPr>
          <w:p w14:paraId="0B583F41" w14:textId="77777777" w:rsidR="00A663F1" w:rsidRDefault="00E46EDB">
            <w:pPr>
              <w:pStyle w:val="TableParagraph"/>
              <w:spacing w:before="49" w:line="240" w:lineRule="auto"/>
              <w:ind w:left="145"/>
              <w:rPr>
                <w:b/>
                <w:sz w:val="20"/>
              </w:rPr>
            </w:pPr>
            <w:r>
              <w:rPr>
                <w:b/>
                <w:sz w:val="20"/>
              </w:rPr>
              <w:t>Low:</w:t>
            </w:r>
          </w:p>
        </w:tc>
        <w:tc>
          <w:tcPr>
            <w:tcW w:w="1825" w:type="dxa"/>
            <w:tcBorders>
              <w:bottom w:val="single" w:sz="12" w:space="0" w:color="000000"/>
              <w:right w:val="single" w:sz="12" w:space="0" w:color="000000"/>
            </w:tcBorders>
          </w:tcPr>
          <w:p w14:paraId="537F56B7" w14:textId="77777777" w:rsidR="00A663F1" w:rsidRDefault="00E46EDB">
            <w:pPr>
              <w:pStyle w:val="TableParagraph"/>
              <w:spacing w:before="49" w:line="240" w:lineRule="auto"/>
              <w:ind w:left="133"/>
              <w:rPr>
                <w:b/>
                <w:sz w:val="20"/>
              </w:rPr>
            </w:pPr>
            <w:r>
              <w:rPr>
                <w:b/>
                <w:sz w:val="20"/>
              </w:rPr>
              <w:t>High:</w:t>
            </w:r>
          </w:p>
        </w:tc>
        <w:tc>
          <w:tcPr>
            <w:tcW w:w="2620" w:type="dxa"/>
            <w:gridSpan w:val="2"/>
            <w:tcBorders>
              <w:top w:val="single" w:sz="12" w:space="0" w:color="000000"/>
              <w:left w:val="single" w:sz="12" w:space="0" w:color="000000"/>
              <w:bottom w:val="single" w:sz="12" w:space="0" w:color="000000"/>
              <w:right w:val="single" w:sz="12" w:space="0" w:color="000000"/>
            </w:tcBorders>
          </w:tcPr>
          <w:p w14:paraId="572E7A7E" w14:textId="77777777" w:rsidR="00A663F1" w:rsidRDefault="00E46EDB">
            <w:pPr>
              <w:pStyle w:val="TableParagraph"/>
              <w:spacing w:before="49" w:line="240" w:lineRule="auto"/>
              <w:ind w:left="128"/>
              <w:rPr>
                <w:b/>
                <w:sz w:val="20"/>
              </w:rPr>
            </w:pPr>
            <w:r>
              <w:rPr>
                <w:b/>
                <w:sz w:val="20"/>
              </w:rPr>
              <w:t>Best Estimate: 8029.4</w:t>
            </w:r>
          </w:p>
        </w:tc>
      </w:tr>
      <w:tr w:rsidR="00A663F1" w14:paraId="316C6562" w14:textId="77777777">
        <w:trPr>
          <w:trHeight w:val="87"/>
        </w:trPr>
        <w:tc>
          <w:tcPr>
            <w:tcW w:w="7697" w:type="dxa"/>
            <w:gridSpan w:val="7"/>
            <w:tcBorders>
              <w:top w:val="single" w:sz="12" w:space="0" w:color="000000"/>
              <w:left w:val="nil"/>
              <w:bottom w:val="single" w:sz="12" w:space="0" w:color="000000"/>
              <w:right w:val="nil"/>
            </w:tcBorders>
          </w:tcPr>
          <w:p w14:paraId="7866EA64" w14:textId="77777777" w:rsidR="00A663F1" w:rsidRDefault="00A663F1">
            <w:pPr>
              <w:pStyle w:val="TableParagraph"/>
              <w:spacing w:line="240" w:lineRule="auto"/>
              <w:rPr>
                <w:rFonts w:ascii="Times New Roman"/>
                <w:sz w:val="4"/>
              </w:rPr>
            </w:pPr>
          </w:p>
        </w:tc>
        <w:tc>
          <w:tcPr>
            <w:tcW w:w="2620" w:type="dxa"/>
            <w:gridSpan w:val="2"/>
            <w:tcBorders>
              <w:top w:val="single" w:sz="12" w:space="0" w:color="000000"/>
              <w:left w:val="nil"/>
              <w:bottom w:val="single" w:sz="12" w:space="0" w:color="000000"/>
              <w:right w:val="nil"/>
            </w:tcBorders>
          </w:tcPr>
          <w:p w14:paraId="1F3AE4E8" w14:textId="77777777" w:rsidR="00A663F1" w:rsidRDefault="00A663F1">
            <w:pPr>
              <w:pStyle w:val="TableParagraph"/>
              <w:spacing w:line="240" w:lineRule="auto"/>
              <w:rPr>
                <w:rFonts w:ascii="Times New Roman"/>
                <w:sz w:val="4"/>
              </w:rPr>
            </w:pPr>
          </w:p>
        </w:tc>
      </w:tr>
      <w:tr w:rsidR="00A663F1" w14:paraId="439F184A" w14:textId="77777777">
        <w:trPr>
          <w:trHeight w:val="538"/>
        </w:trPr>
        <w:tc>
          <w:tcPr>
            <w:tcW w:w="2123" w:type="dxa"/>
            <w:gridSpan w:val="2"/>
            <w:tcBorders>
              <w:top w:val="single" w:sz="12" w:space="0" w:color="000000"/>
              <w:left w:val="single" w:sz="12" w:space="0" w:color="000000"/>
              <w:bottom w:val="single" w:sz="12" w:space="0" w:color="000000"/>
              <w:right w:val="single" w:sz="6" w:space="0" w:color="000000"/>
            </w:tcBorders>
          </w:tcPr>
          <w:p w14:paraId="267A36EC" w14:textId="77777777" w:rsidR="00A663F1" w:rsidRDefault="00E46EDB">
            <w:pPr>
              <w:pStyle w:val="TableParagraph"/>
              <w:spacing w:before="52" w:line="240" w:lineRule="auto"/>
              <w:ind w:left="145"/>
              <w:rPr>
                <w:b/>
                <w:sz w:val="24"/>
              </w:rPr>
            </w:pPr>
            <w:r>
              <w:rPr>
                <w:b/>
                <w:sz w:val="24"/>
              </w:rPr>
              <w:t>COSTS (£m)</w:t>
            </w:r>
          </w:p>
        </w:tc>
        <w:tc>
          <w:tcPr>
            <w:tcW w:w="2724" w:type="dxa"/>
            <w:gridSpan w:val="3"/>
            <w:tcBorders>
              <w:top w:val="single" w:sz="12" w:space="0" w:color="000000"/>
              <w:left w:val="single" w:sz="6" w:space="0" w:color="000000"/>
              <w:bottom w:val="single" w:sz="12" w:space="0" w:color="000000"/>
              <w:right w:val="single" w:sz="6" w:space="0" w:color="000000"/>
            </w:tcBorders>
          </w:tcPr>
          <w:p w14:paraId="3999B8CD" w14:textId="77777777" w:rsidR="00A663F1" w:rsidRDefault="00E46EDB">
            <w:pPr>
              <w:pStyle w:val="TableParagraph"/>
              <w:spacing w:before="52" w:line="240" w:lineRule="auto"/>
              <w:ind w:right="88"/>
              <w:jc w:val="right"/>
              <w:rPr>
                <w:b/>
                <w:sz w:val="20"/>
              </w:rPr>
            </w:pPr>
            <w:r>
              <w:rPr>
                <w:b/>
                <w:spacing w:val="-4"/>
                <w:sz w:val="20"/>
              </w:rPr>
              <w:t>Total</w:t>
            </w:r>
            <w:r>
              <w:rPr>
                <w:b/>
                <w:spacing w:val="-10"/>
                <w:sz w:val="20"/>
              </w:rPr>
              <w:t xml:space="preserve"> </w:t>
            </w:r>
            <w:r>
              <w:rPr>
                <w:b/>
                <w:spacing w:val="-5"/>
                <w:sz w:val="20"/>
              </w:rPr>
              <w:t>Transition</w:t>
            </w:r>
          </w:p>
          <w:p w14:paraId="59536BBC" w14:textId="77777777" w:rsidR="00A663F1" w:rsidRDefault="00E46EDB">
            <w:pPr>
              <w:pStyle w:val="TableParagraph"/>
              <w:tabs>
                <w:tab w:val="left" w:pos="1538"/>
              </w:tabs>
              <w:spacing w:line="240" w:lineRule="auto"/>
              <w:ind w:right="88"/>
              <w:jc w:val="right"/>
              <w:rPr>
                <w:sz w:val="18"/>
              </w:rPr>
            </w:pPr>
            <w:r>
              <w:rPr>
                <w:spacing w:val="-5"/>
                <w:sz w:val="18"/>
              </w:rPr>
              <w:t>(Constant</w:t>
            </w:r>
            <w:r>
              <w:rPr>
                <w:spacing w:val="-8"/>
                <w:sz w:val="18"/>
              </w:rPr>
              <w:t xml:space="preserve"> </w:t>
            </w:r>
            <w:r>
              <w:rPr>
                <w:spacing w:val="-5"/>
                <w:sz w:val="18"/>
              </w:rPr>
              <w:t>Price)</w:t>
            </w:r>
            <w:r>
              <w:rPr>
                <w:spacing w:val="-5"/>
                <w:sz w:val="18"/>
              </w:rPr>
              <w:tab/>
              <w:t>Years</w:t>
            </w:r>
          </w:p>
        </w:tc>
        <w:tc>
          <w:tcPr>
            <w:tcW w:w="2850" w:type="dxa"/>
            <w:gridSpan w:val="2"/>
            <w:tcBorders>
              <w:top w:val="single" w:sz="12" w:space="0" w:color="000000"/>
              <w:left w:val="single" w:sz="6" w:space="0" w:color="000000"/>
              <w:bottom w:val="single" w:sz="12" w:space="0" w:color="000000"/>
              <w:right w:val="single" w:sz="12" w:space="0" w:color="000000"/>
            </w:tcBorders>
          </w:tcPr>
          <w:p w14:paraId="7058EE46" w14:textId="77777777" w:rsidR="00A663F1" w:rsidRDefault="00E46EDB">
            <w:pPr>
              <w:pStyle w:val="TableParagraph"/>
              <w:spacing w:before="52" w:line="240" w:lineRule="auto"/>
              <w:ind w:right="87"/>
              <w:jc w:val="right"/>
              <w:rPr>
                <w:b/>
                <w:sz w:val="20"/>
              </w:rPr>
            </w:pPr>
            <w:r>
              <w:rPr>
                <w:b/>
                <w:spacing w:val="-5"/>
                <w:sz w:val="20"/>
              </w:rPr>
              <w:t xml:space="preserve">Average </w:t>
            </w:r>
            <w:r>
              <w:rPr>
                <w:b/>
                <w:spacing w:val="-6"/>
                <w:sz w:val="20"/>
              </w:rPr>
              <w:t>Annual</w:t>
            </w:r>
          </w:p>
          <w:p w14:paraId="1EB9F19C" w14:textId="77777777" w:rsidR="00A663F1" w:rsidRDefault="00E46EDB">
            <w:pPr>
              <w:pStyle w:val="TableParagraph"/>
              <w:spacing w:line="240" w:lineRule="auto"/>
              <w:ind w:right="87"/>
              <w:jc w:val="right"/>
              <w:rPr>
                <w:sz w:val="18"/>
              </w:rPr>
            </w:pPr>
            <w:r>
              <w:rPr>
                <w:spacing w:val="-5"/>
                <w:sz w:val="18"/>
              </w:rPr>
              <w:t>(excl. Transition) (Constant</w:t>
            </w:r>
            <w:r>
              <w:rPr>
                <w:spacing w:val="-16"/>
                <w:sz w:val="18"/>
              </w:rPr>
              <w:t xml:space="preserve"> </w:t>
            </w:r>
            <w:r>
              <w:rPr>
                <w:spacing w:val="-5"/>
                <w:sz w:val="18"/>
              </w:rPr>
              <w:t>Price)</w:t>
            </w:r>
          </w:p>
        </w:tc>
        <w:tc>
          <w:tcPr>
            <w:tcW w:w="2620" w:type="dxa"/>
            <w:gridSpan w:val="2"/>
            <w:tcBorders>
              <w:top w:val="single" w:sz="12" w:space="0" w:color="000000"/>
              <w:left w:val="single" w:sz="12" w:space="0" w:color="000000"/>
              <w:bottom w:val="single" w:sz="12" w:space="0" w:color="000000"/>
              <w:right w:val="single" w:sz="12" w:space="0" w:color="000000"/>
            </w:tcBorders>
          </w:tcPr>
          <w:p w14:paraId="5E76C303" w14:textId="77777777" w:rsidR="00A663F1" w:rsidRDefault="00E46EDB">
            <w:pPr>
              <w:pStyle w:val="TableParagraph"/>
              <w:spacing w:before="52" w:line="240" w:lineRule="auto"/>
              <w:ind w:right="86"/>
              <w:jc w:val="right"/>
              <w:rPr>
                <w:b/>
                <w:sz w:val="20"/>
              </w:rPr>
            </w:pPr>
            <w:r>
              <w:rPr>
                <w:b/>
                <w:spacing w:val="-4"/>
                <w:sz w:val="20"/>
              </w:rPr>
              <w:t>Total</w:t>
            </w:r>
            <w:r>
              <w:rPr>
                <w:b/>
                <w:spacing w:val="-14"/>
                <w:sz w:val="20"/>
              </w:rPr>
              <w:t xml:space="preserve"> </w:t>
            </w:r>
            <w:r>
              <w:rPr>
                <w:b/>
                <w:spacing w:val="-4"/>
                <w:sz w:val="20"/>
              </w:rPr>
              <w:t>Cost</w:t>
            </w:r>
          </w:p>
          <w:p w14:paraId="0D244606" w14:textId="77777777" w:rsidR="00A663F1" w:rsidRDefault="00E46EDB">
            <w:pPr>
              <w:pStyle w:val="TableParagraph"/>
              <w:spacing w:line="240" w:lineRule="auto"/>
              <w:ind w:right="83"/>
              <w:jc w:val="right"/>
              <w:rPr>
                <w:sz w:val="18"/>
              </w:rPr>
            </w:pPr>
            <w:r>
              <w:rPr>
                <w:spacing w:val="-5"/>
                <w:sz w:val="18"/>
              </w:rPr>
              <w:t>(Present</w:t>
            </w:r>
            <w:r>
              <w:rPr>
                <w:spacing w:val="-6"/>
                <w:sz w:val="18"/>
              </w:rPr>
              <w:t xml:space="preserve"> </w:t>
            </w:r>
            <w:r>
              <w:rPr>
                <w:spacing w:val="-5"/>
                <w:sz w:val="18"/>
              </w:rPr>
              <w:t>Value)</w:t>
            </w:r>
          </w:p>
        </w:tc>
      </w:tr>
      <w:tr w:rsidR="00A663F1" w14:paraId="6F699D97" w14:textId="77777777">
        <w:trPr>
          <w:trHeight w:val="318"/>
        </w:trPr>
        <w:tc>
          <w:tcPr>
            <w:tcW w:w="2123" w:type="dxa"/>
            <w:gridSpan w:val="2"/>
            <w:tcBorders>
              <w:top w:val="single" w:sz="12" w:space="0" w:color="000000"/>
              <w:left w:val="single" w:sz="12" w:space="0" w:color="000000"/>
              <w:bottom w:val="single" w:sz="12" w:space="0" w:color="000000"/>
              <w:right w:val="single" w:sz="12" w:space="0" w:color="000000"/>
            </w:tcBorders>
          </w:tcPr>
          <w:p w14:paraId="4973ACFE" w14:textId="77777777" w:rsidR="00A663F1" w:rsidRDefault="00E46EDB">
            <w:pPr>
              <w:pStyle w:val="TableParagraph"/>
              <w:spacing w:before="49" w:line="240" w:lineRule="auto"/>
              <w:ind w:left="145"/>
              <w:rPr>
                <w:b/>
                <w:sz w:val="20"/>
              </w:rPr>
            </w:pPr>
            <w:r>
              <w:rPr>
                <w:b/>
                <w:sz w:val="20"/>
              </w:rPr>
              <w:t>Best Estimate</w:t>
            </w:r>
          </w:p>
        </w:tc>
        <w:tc>
          <w:tcPr>
            <w:tcW w:w="1944" w:type="dxa"/>
            <w:gridSpan w:val="2"/>
            <w:tcBorders>
              <w:top w:val="single" w:sz="12" w:space="0" w:color="000000"/>
              <w:left w:val="single" w:sz="12" w:space="0" w:color="000000"/>
              <w:bottom w:val="single" w:sz="12" w:space="0" w:color="000000"/>
              <w:right w:val="single" w:sz="12" w:space="0" w:color="000000"/>
            </w:tcBorders>
          </w:tcPr>
          <w:p w14:paraId="75C06B81" w14:textId="77777777" w:rsidR="00A663F1" w:rsidRDefault="00E46EDB">
            <w:pPr>
              <w:pStyle w:val="TableParagraph"/>
              <w:spacing w:before="50" w:line="248" w:lineRule="exact"/>
              <w:ind w:right="88"/>
              <w:jc w:val="right"/>
            </w:pPr>
            <w:r>
              <w:t>13.7</w:t>
            </w:r>
          </w:p>
        </w:tc>
        <w:tc>
          <w:tcPr>
            <w:tcW w:w="780" w:type="dxa"/>
            <w:tcBorders>
              <w:top w:val="single" w:sz="6" w:space="0" w:color="000000"/>
              <w:left w:val="single" w:sz="12" w:space="0" w:color="000000"/>
              <w:bottom w:val="single" w:sz="6" w:space="0" w:color="000000"/>
              <w:right w:val="single" w:sz="12" w:space="0" w:color="000000"/>
            </w:tcBorders>
          </w:tcPr>
          <w:p w14:paraId="71E92EE5" w14:textId="77777777" w:rsidR="00A663F1" w:rsidRDefault="00A663F1">
            <w:pPr>
              <w:pStyle w:val="TableParagraph"/>
              <w:spacing w:line="240" w:lineRule="auto"/>
              <w:rPr>
                <w:rFonts w:ascii="Times New Roman"/>
                <w:sz w:val="20"/>
              </w:rPr>
            </w:pPr>
          </w:p>
        </w:tc>
        <w:tc>
          <w:tcPr>
            <w:tcW w:w="2850" w:type="dxa"/>
            <w:gridSpan w:val="2"/>
            <w:tcBorders>
              <w:top w:val="single" w:sz="12" w:space="0" w:color="000000"/>
              <w:left w:val="single" w:sz="12" w:space="0" w:color="000000"/>
              <w:bottom w:val="single" w:sz="12" w:space="0" w:color="000000"/>
              <w:right w:val="single" w:sz="12" w:space="0" w:color="000000"/>
            </w:tcBorders>
          </w:tcPr>
          <w:p w14:paraId="19B8EAEC" w14:textId="77777777" w:rsidR="00A663F1" w:rsidRDefault="00E46EDB">
            <w:pPr>
              <w:pStyle w:val="TableParagraph"/>
              <w:spacing w:before="50" w:line="248" w:lineRule="exact"/>
              <w:ind w:right="83"/>
              <w:jc w:val="right"/>
            </w:pPr>
            <w:r>
              <w:t>91.4</w:t>
            </w:r>
          </w:p>
        </w:tc>
        <w:tc>
          <w:tcPr>
            <w:tcW w:w="2620" w:type="dxa"/>
            <w:gridSpan w:val="2"/>
            <w:tcBorders>
              <w:top w:val="single" w:sz="12" w:space="0" w:color="000000"/>
              <w:left w:val="single" w:sz="12" w:space="0" w:color="000000"/>
              <w:bottom w:val="single" w:sz="12" w:space="0" w:color="000000"/>
              <w:right w:val="single" w:sz="12" w:space="0" w:color="000000"/>
            </w:tcBorders>
          </w:tcPr>
          <w:p w14:paraId="66193094" w14:textId="77777777" w:rsidR="00A663F1" w:rsidRDefault="00E46EDB">
            <w:pPr>
              <w:pStyle w:val="TableParagraph"/>
              <w:spacing w:before="50" w:line="248" w:lineRule="exact"/>
              <w:ind w:right="82"/>
              <w:jc w:val="right"/>
              <w:rPr>
                <w:b/>
              </w:rPr>
            </w:pPr>
            <w:r>
              <w:rPr>
                <w:b/>
              </w:rPr>
              <w:t>788.5</w:t>
            </w:r>
          </w:p>
        </w:tc>
      </w:tr>
      <w:tr w:rsidR="00A663F1" w14:paraId="4994604D" w14:textId="77777777">
        <w:trPr>
          <w:trHeight w:val="2865"/>
        </w:trPr>
        <w:tc>
          <w:tcPr>
            <w:tcW w:w="10317" w:type="dxa"/>
            <w:gridSpan w:val="9"/>
            <w:tcBorders>
              <w:top w:val="single" w:sz="12" w:space="0" w:color="000000"/>
              <w:left w:val="single" w:sz="12" w:space="0" w:color="000000"/>
              <w:bottom w:val="single" w:sz="6" w:space="0" w:color="000000"/>
              <w:right w:val="single" w:sz="12" w:space="0" w:color="000000"/>
            </w:tcBorders>
          </w:tcPr>
          <w:p w14:paraId="41CFA56A" w14:textId="77777777" w:rsidR="00A663F1" w:rsidRDefault="00E46EDB">
            <w:pPr>
              <w:pStyle w:val="TableParagraph"/>
              <w:spacing w:before="49" w:line="240" w:lineRule="auto"/>
              <w:ind w:left="145"/>
              <w:rPr>
                <w:b/>
                <w:sz w:val="20"/>
              </w:rPr>
            </w:pPr>
            <w:r>
              <w:rPr>
                <w:b/>
                <w:sz w:val="20"/>
              </w:rPr>
              <w:t>Description and scale of key monetised costs by ‘main affected groups’ (costs in present value)</w:t>
            </w:r>
          </w:p>
          <w:p w14:paraId="56099B37" w14:textId="77777777" w:rsidR="00A663F1" w:rsidRDefault="00E46EDB">
            <w:pPr>
              <w:pStyle w:val="TableParagraph"/>
              <w:spacing w:before="51" w:line="240" w:lineRule="auto"/>
              <w:ind w:left="145" w:right="290"/>
            </w:pPr>
            <w:r>
              <w:rPr>
                <w:spacing w:val="-3"/>
              </w:rPr>
              <w:t xml:space="preserve">The </w:t>
            </w:r>
            <w:r>
              <w:rPr>
                <w:spacing w:val="-5"/>
              </w:rPr>
              <w:t xml:space="preserve">costs </w:t>
            </w:r>
            <w:r>
              <w:rPr>
                <w:spacing w:val="-4"/>
              </w:rPr>
              <w:t xml:space="preserve">of </w:t>
            </w:r>
            <w:r>
              <w:t xml:space="preserve">a </w:t>
            </w:r>
            <w:r>
              <w:rPr>
                <w:spacing w:val="-6"/>
              </w:rPr>
              <w:t xml:space="preserve">voluntary Breathing </w:t>
            </w:r>
            <w:r>
              <w:rPr>
                <w:spacing w:val="-5"/>
              </w:rPr>
              <w:t xml:space="preserve">Space </w:t>
            </w:r>
            <w:r>
              <w:rPr>
                <w:spacing w:val="-6"/>
              </w:rPr>
              <w:t xml:space="preserve">would </w:t>
            </w:r>
            <w:r>
              <w:rPr>
                <w:spacing w:val="-3"/>
              </w:rPr>
              <w:t xml:space="preserve">be </w:t>
            </w:r>
            <w:r>
              <w:rPr>
                <w:spacing w:val="-5"/>
              </w:rPr>
              <w:t xml:space="preserve">the same </w:t>
            </w:r>
            <w:r>
              <w:rPr>
                <w:spacing w:val="-3"/>
              </w:rPr>
              <w:t xml:space="preserve">as in </w:t>
            </w:r>
            <w:r>
              <w:t xml:space="preserve">a </w:t>
            </w:r>
            <w:r>
              <w:rPr>
                <w:spacing w:val="-6"/>
              </w:rPr>
              <w:t xml:space="preserve">mandatory Breathing Space, </w:t>
            </w:r>
            <w:r>
              <w:rPr>
                <w:spacing w:val="-4"/>
              </w:rPr>
              <w:t xml:space="preserve">but </w:t>
            </w:r>
            <w:r>
              <w:rPr>
                <w:spacing w:val="-5"/>
              </w:rPr>
              <w:t xml:space="preserve">their scale </w:t>
            </w:r>
            <w:r>
              <w:rPr>
                <w:spacing w:val="-6"/>
              </w:rPr>
              <w:t xml:space="preserve">would </w:t>
            </w:r>
            <w:r>
              <w:rPr>
                <w:spacing w:val="-3"/>
              </w:rPr>
              <w:t xml:space="preserve">be </w:t>
            </w:r>
            <w:r>
              <w:rPr>
                <w:spacing w:val="-6"/>
              </w:rPr>
              <w:t xml:space="preserve">reduced </w:t>
            </w:r>
            <w:r>
              <w:rPr>
                <w:spacing w:val="-4"/>
              </w:rPr>
              <w:t xml:space="preserve">as </w:t>
            </w:r>
            <w:r>
              <w:t xml:space="preserve">a </w:t>
            </w:r>
            <w:r>
              <w:rPr>
                <w:spacing w:val="-5"/>
              </w:rPr>
              <w:t xml:space="preserve">result </w:t>
            </w:r>
            <w:r>
              <w:rPr>
                <w:spacing w:val="-4"/>
              </w:rPr>
              <w:t xml:space="preserve">of </w:t>
            </w:r>
            <w:r>
              <w:rPr>
                <w:spacing w:val="-6"/>
              </w:rPr>
              <w:t xml:space="preserve">non-compliance. </w:t>
            </w:r>
            <w:r>
              <w:rPr>
                <w:spacing w:val="-4"/>
              </w:rPr>
              <w:t xml:space="preserve">20% of </w:t>
            </w:r>
            <w:r>
              <w:rPr>
                <w:spacing w:val="-5"/>
              </w:rPr>
              <w:t xml:space="preserve">firms already </w:t>
            </w:r>
            <w:r>
              <w:rPr>
                <w:spacing w:val="-6"/>
              </w:rPr>
              <w:t xml:space="preserve">deliver </w:t>
            </w:r>
            <w:r>
              <w:rPr>
                <w:spacing w:val="-5"/>
              </w:rPr>
              <w:t xml:space="preserve">similar </w:t>
            </w:r>
            <w:r>
              <w:rPr>
                <w:spacing w:val="-6"/>
              </w:rPr>
              <w:t xml:space="preserve">protections </w:t>
            </w:r>
            <w:r>
              <w:rPr>
                <w:spacing w:val="-4"/>
              </w:rPr>
              <w:t xml:space="preserve">to </w:t>
            </w:r>
            <w:r>
              <w:rPr>
                <w:spacing w:val="-5"/>
              </w:rPr>
              <w:t xml:space="preserve">those </w:t>
            </w:r>
            <w:r>
              <w:rPr>
                <w:spacing w:val="-4"/>
              </w:rPr>
              <w:t xml:space="preserve">of </w:t>
            </w:r>
            <w:r>
              <w:rPr>
                <w:spacing w:val="-6"/>
              </w:rPr>
              <w:t xml:space="preserve">Breathing Space </w:t>
            </w:r>
            <w:r>
              <w:rPr>
                <w:spacing w:val="-4"/>
              </w:rPr>
              <w:t xml:space="preserve">for </w:t>
            </w:r>
            <w:r>
              <w:rPr>
                <w:spacing w:val="-6"/>
              </w:rPr>
              <w:t xml:space="preserve">clients </w:t>
            </w:r>
            <w:r>
              <w:rPr>
                <w:spacing w:val="-3"/>
              </w:rPr>
              <w:t xml:space="preserve">in </w:t>
            </w:r>
            <w:r>
              <w:rPr>
                <w:spacing w:val="-6"/>
              </w:rPr>
              <w:t xml:space="preserve">problem </w:t>
            </w:r>
            <w:r>
              <w:rPr>
                <w:spacing w:val="-5"/>
              </w:rPr>
              <w:t xml:space="preserve">debt. </w:t>
            </w:r>
            <w:r>
              <w:rPr>
                <w:spacing w:val="-6"/>
              </w:rPr>
              <w:t xml:space="preserve">Non-regulatory intervention </w:t>
            </w:r>
            <w:r>
              <w:rPr>
                <w:spacing w:val="-3"/>
              </w:rPr>
              <w:t xml:space="preserve">is </w:t>
            </w:r>
            <w:r>
              <w:rPr>
                <w:spacing w:val="-6"/>
              </w:rPr>
              <w:t xml:space="preserve">expected </w:t>
            </w:r>
            <w:r>
              <w:t xml:space="preserve">to </w:t>
            </w:r>
            <w:r>
              <w:rPr>
                <w:spacing w:val="-5"/>
              </w:rPr>
              <w:t xml:space="preserve">double this </w:t>
            </w:r>
            <w:r>
              <w:rPr>
                <w:spacing w:val="-6"/>
              </w:rPr>
              <w:t xml:space="preserve">proportion. </w:t>
            </w:r>
            <w:r>
              <w:t xml:space="preserve">In </w:t>
            </w:r>
            <w:r>
              <w:rPr>
                <w:spacing w:val="-4"/>
              </w:rPr>
              <w:t xml:space="preserve">the </w:t>
            </w:r>
            <w:r>
              <w:rPr>
                <w:spacing w:val="-6"/>
              </w:rPr>
              <w:t xml:space="preserve">absence </w:t>
            </w:r>
            <w:r>
              <w:rPr>
                <w:spacing w:val="-4"/>
              </w:rPr>
              <w:t xml:space="preserve">of </w:t>
            </w:r>
            <w:r>
              <w:rPr>
                <w:spacing w:val="-6"/>
              </w:rPr>
              <w:t xml:space="preserve">regulation, </w:t>
            </w:r>
            <w:r>
              <w:rPr>
                <w:spacing w:val="-5"/>
              </w:rPr>
              <w:t xml:space="preserve">firms </w:t>
            </w:r>
            <w:r>
              <w:rPr>
                <w:spacing w:val="-6"/>
              </w:rPr>
              <w:t xml:space="preserve">will </w:t>
            </w:r>
            <w:r>
              <w:rPr>
                <w:spacing w:val="-3"/>
              </w:rPr>
              <w:t xml:space="preserve">be </w:t>
            </w:r>
            <w:r>
              <w:rPr>
                <w:spacing w:val="-6"/>
              </w:rPr>
              <w:t xml:space="preserve">expected </w:t>
            </w:r>
            <w:r>
              <w:t xml:space="preserve">to </w:t>
            </w:r>
            <w:r>
              <w:rPr>
                <w:spacing w:val="-5"/>
              </w:rPr>
              <w:t xml:space="preserve">familiarise </w:t>
            </w:r>
            <w:r>
              <w:rPr>
                <w:spacing w:val="-6"/>
              </w:rPr>
              <w:t xml:space="preserve">themselves </w:t>
            </w:r>
            <w:r>
              <w:rPr>
                <w:spacing w:val="-5"/>
              </w:rPr>
              <w:t xml:space="preserve">with only </w:t>
            </w:r>
            <w:r>
              <w:rPr>
                <w:spacing w:val="-6"/>
              </w:rPr>
              <w:t xml:space="preserve">updated guidance </w:t>
            </w:r>
            <w:r>
              <w:rPr>
                <w:spacing w:val="-5"/>
              </w:rPr>
              <w:t xml:space="preserve">rather than new </w:t>
            </w:r>
            <w:r>
              <w:rPr>
                <w:spacing w:val="-6"/>
              </w:rPr>
              <w:t xml:space="preserve">regulations. </w:t>
            </w:r>
            <w:r>
              <w:rPr>
                <w:spacing w:val="-5"/>
              </w:rPr>
              <w:t xml:space="preserve">Only </w:t>
            </w:r>
            <w:r>
              <w:rPr>
                <w:spacing w:val="-4"/>
              </w:rPr>
              <w:t xml:space="preserve">firms </w:t>
            </w:r>
            <w:r>
              <w:rPr>
                <w:spacing w:val="-5"/>
              </w:rPr>
              <w:t xml:space="preserve">who </w:t>
            </w:r>
            <w:r>
              <w:rPr>
                <w:spacing w:val="-6"/>
              </w:rPr>
              <w:t xml:space="preserve">voluntarily </w:t>
            </w:r>
            <w:r>
              <w:rPr>
                <w:spacing w:val="-5"/>
              </w:rPr>
              <w:t xml:space="preserve">comply </w:t>
            </w:r>
            <w:r>
              <w:rPr>
                <w:spacing w:val="-6"/>
              </w:rPr>
              <w:t xml:space="preserve">would </w:t>
            </w:r>
            <w:r>
              <w:rPr>
                <w:spacing w:val="-3"/>
              </w:rPr>
              <w:t xml:space="preserve">be </w:t>
            </w:r>
            <w:r>
              <w:rPr>
                <w:spacing w:val="-6"/>
              </w:rPr>
              <w:t xml:space="preserve">expected </w:t>
            </w:r>
            <w:r>
              <w:t xml:space="preserve">to </w:t>
            </w:r>
            <w:r>
              <w:rPr>
                <w:spacing w:val="-4"/>
              </w:rPr>
              <w:t xml:space="preserve">make </w:t>
            </w:r>
            <w:r>
              <w:rPr>
                <w:spacing w:val="-5"/>
              </w:rPr>
              <w:t xml:space="preserve">systems </w:t>
            </w:r>
            <w:r>
              <w:rPr>
                <w:spacing w:val="-6"/>
              </w:rPr>
              <w:t xml:space="preserve">changes (£11.2m). </w:t>
            </w:r>
            <w:r>
              <w:rPr>
                <w:spacing w:val="-5"/>
              </w:rPr>
              <w:t xml:space="preserve">Costs </w:t>
            </w:r>
            <w:r>
              <w:t xml:space="preserve">to </w:t>
            </w:r>
            <w:r>
              <w:rPr>
                <w:spacing w:val="-6"/>
              </w:rPr>
              <w:t xml:space="preserve">creditors would </w:t>
            </w:r>
            <w:r>
              <w:rPr>
                <w:spacing w:val="-5"/>
              </w:rPr>
              <w:t xml:space="preserve">therefore </w:t>
            </w:r>
            <w:r>
              <w:rPr>
                <w:spacing w:val="-3"/>
              </w:rPr>
              <w:t xml:space="preserve">be </w:t>
            </w:r>
            <w:r>
              <w:rPr>
                <w:spacing w:val="-6"/>
              </w:rPr>
              <w:t xml:space="preserve">lower </w:t>
            </w:r>
            <w:r>
              <w:rPr>
                <w:spacing w:val="-5"/>
              </w:rPr>
              <w:t xml:space="preserve">than </w:t>
            </w:r>
            <w:r>
              <w:rPr>
                <w:spacing w:val="-6"/>
              </w:rPr>
              <w:t xml:space="preserve">under </w:t>
            </w:r>
            <w:r>
              <w:t xml:space="preserve">a </w:t>
            </w:r>
            <w:r>
              <w:rPr>
                <w:spacing w:val="-5"/>
              </w:rPr>
              <w:t xml:space="preserve">regulatory </w:t>
            </w:r>
            <w:r>
              <w:rPr>
                <w:spacing w:val="-6"/>
              </w:rPr>
              <w:t xml:space="preserve">Breathing </w:t>
            </w:r>
            <w:r>
              <w:rPr>
                <w:spacing w:val="-5"/>
              </w:rPr>
              <w:t xml:space="preserve">Space: foregone </w:t>
            </w:r>
            <w:r>
              <w:rPr>
                <w:spacing w:val="-6"/>
              </w:rPr>
              <w:t xml:space="preserve">interest (£575.3m) </w:t>
            </w:r>
            <w:r>
              <w:rPr>
                <w:spacing w:val="-4"/>
              </w:rPr>
              <w:t xml:space="preserve">and fees </w:t>
            </w:r>
            <w:r>
              <w:rPr>
                <w:spacing w:val="-6"/>
              </w:rPr>
              <w:t xml:space="preserve">(£78.4m), delayed revenue (£0.5m), administrative </w:t>
            </w:r>
            <w:r>
              <w:rPr>
                <w:spacing w:val="-5"/>
              </w:rPr>
              <w:t xml:space="preserve">costs </w:t>
            </w:r>
            <w:r>
              <w:rPr>
                <w:spacing w:val="-6"/>
              </w:rPr>
              <w:t xml:space="preserve">(£114m), familiarisation </w:t>
            </w:r>
            <w:r>
              <w:rPr>
                <w:spacing w:val="-5"/>
              </w:rPr>
              <w:t xml:space="preserve">costs </w:t>
            </w:r>
            <w:r>
              <w:rPr>
                <w:spacing w:val="-6"/>
              </w:rPr>
              <w:t xml:space="preserve">(£0.2m), </w:t>
            </w:r>
            <w:r>
              <w:rPr>
                <w:spacing w:val="-4"/>
              </w:rPr>
              <w:t xml:space="preserve">and </w:t>
            </w:r>
            <w:r>
              <w:rPr>
                <w:spacing w:val="-6"/>
              </w:rPr>
              <w:t xml:space="preserve">dissemination costs (£1.9m). Public sector creditors would </w:t>
            </w:r>
            <w:r>
              <w:rPr>
                <w:spacing w:val="-5"/>
              </w:rPr>
              <w:t xml:space="preserve">comply </w:t>
            </w:r>
            <w:r>
              <w:rPr>
                <w:spacing w:val="-6"/>
              </w:rPr>
              <w:t xml:space="preserve">voluntarily, incurring </w:t>
            </w:r>
            <w:r>
              <w:rPr>
                <w:spacing w:val="-5"/>
              </w:rPr>
              <w:t xml:space="preserve">similar costs </w:t>
            </w:r>
            <w:r>
              <w:rPr>
                <w:spacing w:val="-6"/>
              </w:rPr>
              <w:t>(£6.9m).</w:t>
            </w:r>
          </w:p>
        </w:tc>
      </w:tr>
      <w:tr w:rsidR="00A663F1" w14:paraId="2E8E0C10" w14:textId="77777777">
        <w:trPr>
          <w:trHeight w:val="683"/>
        </w:trPr>
        <w:tc>
          <w:tcPr>
            <w:tcW w:w="10317" w:type="dxa"/>
            <w:gridSpan w:val="9"/>
            <w:tcBorders>
              <w:top w:val="single" w:sz="6" w:space="0" w:color="000000"/>
              <w:left w:val="single" w:sz="12" w:space="0" w:color="000000"/>
              <w:bottom w:val="single" w:sz="12" w:space="0" w:color="000000"/>
              <w:right w:val="single" w:sz="12" w:space="0" w:color="000000"/>
            </w:tcBorders>
          </w:tcPr>
          <w:p w14:paraId="5C3F4336" w14:textId="77777777" w:rsidR="00A663F1" w:rsidRDefault="00E46EDB">
            <w:pPr>
              <w:pStyle w:val="TableParagraph"/>
              <w:spacing w:before="49" w:line="240" w:lineRule="auto"/>
              <w:ind w:left="145"/>
              <w:rPr>
                <w:b/>
                <w:sz w:val="20"/>
              </w:rPr>
            </w:pPr>
            <w:r>
              <w:rPr>
                <w:b/>
                <w:sz w:val="20"/>
              </w:rPr>
              <w:t>Other key non-monetised costs by ‘main affected groups’</w:t>
            </w:r>
          </w:p>
          <w:p w14:paraId="02025546" w14:textId="77777777" w:rsidR="00A663F1" w:rsidRDefault="00E46EDB">
            <w:pPr>
              <w:pStyle w:val="TableParagraph"/>
              <w:spacing w:before="49" w:line="240" w:lineRule="auto"/>
              <w:ind w:left="145"/>
            </w:pPr>
            <w:r>
              <w:t>Creditors may face opportunity costs as a result of the key monetised costs set out above.</w:t>
            </w:r>
          </w:p>
        </w:tc>
      </w:tr>
      <w:tr w:rsidR="00A663F1" w14:paraId="02029C6A" w14:textId="77777777">
        <w:trPr>
          <w:trHeight w:val="536"/>
        </w:trPr>
        <w:tc>
          <w:tcPr>
            <w:tcW w:w="2123" w:type="dxa"/>
            <w:gridSpan w:val="2"/>
            <w:tcBorders>
              <w:top w:val="single" w:sz="12" w:space="0" w:color="000000"/>
              <w:left w:val="single" w:sz="12" w:space="0" w:color="000000"/>
              <w:bottom w:val="single" w:sz="12" w:space="0" w:color="000000"/>
              <w:right w:val="single" w:sz="6" w:space="0" w:color="000000"/>
            </w:tcBorders>
          </w:tcPr>
          <w:p w14:paraId="1A718D0C" w14:textId="77777777" w:rsidR="00A663F1" w:rsidRDefault="00E46EDB">
            <w:pPr>
              <w:pStyle w:val="TableParagraph"/>
              <w:spacing w:before="50" w:line="240" w:lineRule="auto"/>
              <w:ind w:left="145"/>
              <w:rPr>
                <w:b/>
                <w:sz w:val="24"/>
              </w:rPr>
            </w:pPr>
            <w:r>
              <w:rPr>
                <w:b/>
                <w:sz w:val="24"/>
              </w:rPr>
              <w:t>BENEFITS (£m)</w:t>
            </w:r>
          </w:p>
        </w:tc>
        <w:tc>
          <w:tcPr>
            <w:tcW w:w="2724" w:type="dxa"/>
            <w:gridSpan w:val="3"/>
            <w:tcBorders>
              <w:top w:val="single" w:sz="12" w:space="0" w:color="000000"/>
              <w:left w:val="single" w:sz="6" w:space="0" w:color="000000"/>
              <w:bottom w:val="single" w:sz="12" w:space="0" w:color="000000"/>
              <w:right w:val="single" w:sz="6" w:space="0" w:color="000000"/>
            </w:tcBorders>
          </w:tcPr>
          <w:p w14:paraId="113CB791" w14:textId="77777777" w:rsidR="00A663F1" w:rsidRDefault="00E46EDB">
            <w:pPr>
              <w:pStyle w:val="TableParagraph"/>
              <w:spacing w:before="49" w:line="240" w:lineRule="auto"/>
              <w:ind w:right="88"/>
              <w:jc w:val="right"/>
              <w:rPr>
                <w:b/>
                <w:sz w:val="20"/>
              </w:rPr>
            </w:pPr>
            <w:r>
              <w:rPr>
                <w:b/>
                <w:spacing w:val="-4"/>
                <w:sz w:val="20"/>
              </w:rPr>
              <w:t>Total</w:t>
            </w:r>
            <w:r>
              <w:rPr>
                <w:b/>
                <w:spacing w:val="-10"/>
                <w:sz w:val="20"/>
              </w:rPr>
              <w:t xml:space="preserve"> </w:t>
            </w:r>
            <w:r>
              <w:rPr>
                <w:b/>
                <w:spacing w:val="-5"/>
                <w:sz w:val="20"/>
              </w:rPr>
              <w:t>Transition</w:t>
            </w:r>
          </w:p>
          <w:p w14:paraId="615ADD9C" w14:textId="77777777" w:rsidR="00A663F1" w:rsidRDefault="00E46EDB">
            <w:pPr>
              <w:pStyle w:val="TableParagraph"/>
              <w:tabs>
                <w:tab w:val="left" w:pos="1540"/>
              </w:tabs>
              <w:spacing w:line="240" w:lineRule="auto"/>
              <w:ind w:right="88"/>
              <w:jc w:val="right"/>
              <w:rPr>
                <w:sz w:val="18"/>
              </w:rPr>
            </w:pPr>
            <w:r>
              <w:rPr>
                <w:spacing w:val="-5"/>
                <w:sz w:val="18"/>
              </w:rPr>
              <w:t>(Constant</w:t>
            </w:r>
            <w:r>
              <w:rPr>
                <w:spacing w:val="-8"/>
                <w:sz w:val="18"/>
              </w:rPr>
              <w:t xml:space="preserve"> </w:t>
            </w:r>
            <w:r>
              <w:rPr>
                <w:spacing w:val="-5"/>
                <w:sz w:val="18"/>
              </w:rPr>
              <w:t>Price)</w:t>
            </w:r>
            <w:r>
              <w:rPr>
                <w:spacing w:val="-5"/>
                <w:sz w:val="18"/>
              </w:rPr>
              <w:tab/>
              <w:t>Years</w:t>
            </w:r>
          </w:p>
        </w:tc>
        <w:tc>
          <w:tcPr>
            <w:tcW w:w="2850" w:type="dxa"/>
            <w:gridSpan w:val="2"/>
            <w:tcBorders>
              <w:top w:val="single" w:sz="12" w:space="0" w:color="000000"/>
              <w:left w:val="single" w:sz="6" w:space="0" w:color="000000"/>
              <w:bottom w:val="single" w:sz="12" w:space="0" w:color="000000"/>
              <w:right w:val="single" w:sz="12" w:space="0" w:color="000000"/>
            </w:tcBorders>
          </w:tcPr>
          <w:p w14:paraId="75F4A2C1" w14:textId="77777777" w:rsidR="00A663F1" w:rsidRDefault="00E46EDB">
            <w:pPr>
              <w:pStyle w:val="TableParagraph"/>
              <w:spacing w:before="49" w:line="240" w:lineRule="auto"/>
              <w:ind w:right="87"/>
              <w:jc w:val="right"/>
              <w:rPr>
                <w:b/>
                <w:sz w:val="20"/>
              </w:rPr>
            </w:pPr>
            <w:r>
              <w:rPr>
                <w:b/>
                <w:spacing w:val="-5"/>
                <w:sz w:val="20"/>
              </w:rPr>
              <w:t xml:space="preserve">Average </w:t>
            </w:r>
            <w:r>
              <w:rPr>
                <w:b/>
                <w:spacing w:val="-6"/>
                <w:sz w:val="20"/>
              </w:rPr>
              <w:t>Annual</w:t>
            </w:r>
          </w:p>
          <w:p w14:paraId="4514B455" w14:textId="77777777" w:rsidR="00A663F1" w:rsidRDefault="00E46EDB">
            <w:pPr>
              <w:pStyle w:val="TableParagraph"/>
              <w:spacing w:line="240" w:lineRule="auto"/>
              <w:ind w:right="87"/>
              <w:jc w:val="right"/>
              <w:rPr>
                <w:sz w:val="18"/>
              </w:rPr>
            </w:pPr>
            <w:r>
              <w:rPr>
                <w:spacing w:val="-5"/>
                <w:sz w:val="18"/>
              </w:rPr>
              <w:t>(excl. Transition) (Constant</w:t>
            </w:r>
            <w:r>
              <w:rPr>
                <w:spacing w:val="-16"/>
                <w:sz w:val="18"/>
              </w:rPr>
              <w:t xml:space="preserve"> </w:t>
            </w:r>
            <w:r>
              <w:rPr>
                <w:spacing w:val="-5"/>
                <w:sz w:val="18"/>
              </w:rPr>
              <w:t>Price)</w:t>
            </w:r>
          </w:p>
        </w:tc>
        <w:tc>
          <w:tcPr>
            <w:tcW w:w="2620" w:type="dxa"/>
            <w:gridSpan w:val="2"/>
            <w:tcBorders>
              <w:top w:val="single" w:sz="12" w:space="0" w:color="000000"/>
              <w:left w:val="single" w:sz="12" w:space="0" w:color="000000"/>
              <w:bottom w:val="single" w:sz="12" w:space="0" w:color="000000"/>
              <w:right w:val="single" w:sz="12" w:space="0" w:color="000000"/>
            </w:tcBorders>
          </w:tcPr>
          <w:p w14:paraId="46570236" w14:textId="77777777" w:rsidR="00A663F1" w:rsidRDefault="00E46EDB">
            <w:pPr>
              <w:pStyle w:val="TableParagraph"/>
              <w:spacing w:before="49" w:line="240" w:lineRule="auto"/>
              <w:ind w:left="1350"/>
              <w:rPr>
                <w:b/>
                <w:sz w:val="20"/>
              </w:rPr>
            </w:pPr>
            <w:r>
              <w:rPr>
                <w:b/>
                <w:spacing w:val="-4"/>
                <w:sz w:val="20"/>
              </w:rPr>
              <w:t>Total</w:t>
            </w:r>
            <w:r>
              <w:rPr>
                <w:b/>
                <w:spacing w:val="-10"/>
                <w:sz w:val="20"/>
              </w:rPr>
              <w:t xml:space="preserve"> </w:t>
            </w:r>
            <w:r>
              <w:rPr>
                <w:b/>
                <w:spacing w:val="-5"/>
                <w:sz w:val="20"/>
              </w:rPr>
              <w:t>Benefit</w:t>
            </w:r>
          </w:p>
          <w:p w14:paraId="12FCA996" w14:textId="77777777" w:rsidR="00A663F1" w:rsidRDefault="00E46EDB">
            <w:pPr>
              <w:pStyle w:val="TableParagraph"/>
              <w:spacing w:line="240" w:lineRule="auto"/>
              <w:ind w:left="1321"/>
              <w:rPr>
                <w:sz w:val="18"/>
              </w:rPr>
            </w:pPr>
            <w:r>
              <w:rPr>
                <w:spacing w:val="-5"/>
                <w:sz w:val="18"/>
              </w:rPr>
              <w:t>(Present</w:t>
            </w:r>
            <w:r>
              <w:rPr>
                <w:spacing w:val="-6"/>
                <w:sz w:val="18"/>
              </w:rPr>
              <w:t xml:space="preserve"> </w:t>
            </w:r>
            <w:r>
              <w:rPr>
                <w:spacing w:val="-5"/>
                <w:sz w:val="18"/>
              </w:rPr>
              <w:t>Value)</w:t>
            </w:r>
          </w:p>
        </w:tc>
      </w:tr>
      <w:tr w:rsidR="00A663F1" w14:paraId="790FA42C" w14:textId="77777777">
        <w:trPr>
          <w:trHeight w:val="317"/>
        </w:trPr>
        <w:tc>
          <w:tcPr>
            <w:tcW w:w="2123" w:type="dxa"/>
            <w:gridSpan w:val="2"/>
            <w:tcBorders>
              <w:top w:val="single" w:sz="12" w:space="0" w:color="000000"/>
              <w:left w:val="single" w:sz="12" w:space="0" w:color="000000"/>
              <w:bottom w:val="single" w:sz="12" w:space="0" w:color="000000"/>
              <w:right w:val="single" w:sz="12" w:space="0" w:color="000000"/>
            </w:tcBorders>
          </w:tcPr>
          <w:p w14:paraId="39373579" w14:textId="77777777" w:rsidR="00A663F1" w:rsidRDefault="00E46EDB">
            <w:pPr>
              <w:pStyle w:val="TableParagraph"/>
              <w:spacing w:before="52" w:line="240" w:lineRule="auto"/>
              <w:ind w:left="145"/>
              <w:rPr>
                <w:b/>
                <w:sz w:val="20"/>
              </w:rPr>
            </w:pPr>
            <w:r>
              <w:rPr>
                <w:b/>
                <w:sz w:val="20"/>
              </w:rPr>
              <w:t>Best Estimate</w:t>
            </w:r>
          </w:p>
        </w:tc>
        <w:tc>
          <w:tcPr>
            <w:tcW w:w="1944" w:type="dxa"/>
            <w:gridSpan w:val="2"/>
            <w:tcBorders>
              <w:top w:val="single" w:sz="12" w:space="0" w:color="000000"/>
              <w:left w:val="single" w:sz="12" w:space="0" w:color="000000"/>
              <w:bottom w:val="single" w:sz="12" w:space="0" w:color="000000"/>
              <w:right w:val="single" w:sz="12" w:space="0" w:color="000000"/>
            </w:tcBorders>
          </w:tcPr>
          <w:p w14:paraId="160B27D2" w14:textId="77777777" w:rsidR="00A663F1" w:rsidRDefault="00E46EDB">
            <w:pPr>
              <w:pStyle w:val="TableParagraph"/>
              <w:spacing w:before="52" w:line="246" w:lineRule="exact"/>
              <w:ind w:right="88"/>
              <w:jc w:val="right"/>
            </w:pPr>
            <w:r>
              <w:t>0.0</w:t>
            </w:r>
          </w:p>
        </w:tc>
        <w:tc>
          <w:tcPr>
            <w:tcW w:w="780" w:type="dxa"/>
            <w:tcBorders>
              <w:top w:val="single" w:sz="6" w:space="0" w:color="000000"/>
              <w:left w:val="single" w:sz="12" w:space="0" w:color="000000"/>
              <w:bottom w:val="single" w:sz="6" w:space="0" w:color="000000"/>
              <w:right w:val="single" w:sz="12" w:space="0" w:color="000000"/>
            </w:tcBorders>
          </w:tcPr>
          <w:p w14:paraId="45036AFF" w14:textId="77777777" w:rsidR="00A663F1" w:rsidRDefault="00A663F1">
            <w:pPr>
              <w:pStyle w:val="TableParagraph"/>
              <w:spacing w:line="240" w:lineRule="auto"/>
              <w:rPr>
                <w:rFonts w:ascii="Times New Roman"/>
                <w:sz w:val="20"/>
              </w:rPr>
            </w:pPr>
          </w:p>
        </w:tc>
        <w:tc>
          <w:tcPr>
            <w:tcW w:w="2850" w:type="dxa"/>
            <w:gridSpan w:val="2"/>
            <w:tcBorders>
              <w:top w:val="single" w:sz="12" w:space="0" w:color="000000"/>
              <w:left w:val="single" w:sz="12" w:space="0" w:color="000000"/>
              <w:bottom w:val="single" w:sz="12" w:space="0" w:color="000000"/>
              <w:right w:val="single" w:sz="12" w:space="0" w:color="000000"/>
            </w:tcBorders>
          </w:tcPr>
          <w:p w14:paraId="2F2C8BF5" w14:textId="77777777" w:rsidR="00A663F1" w:rsidRDefault="00E46EDB">
            <w:pPr>
              <w:pStyle w:val="TableParagraph"/>
              <w:spacing w:before="52" w:line="246" w:lineRule="exact"/>
              <w:ind w:right="86"/>
              <w:jc w:val="right"/>
            </w:pPr>
            <w:r>
              <w:t>1336.7</w:t>
            </w:r>
          </w:p>
        </w:tc>
        <w:tc>
          <w:tcPr>
            <w:tcW w:w="2620" w:type="dxa"/>
            <w:gridSpan w:val="2"/>
            <w:tcBorders>
              <w:top w:val="single" w:sz="12" w:space="0" w:color="000000"/>
              <w:left w:val="single" w:sz="12" w:space="0" w:color="000000"/>
              <w:bottom w:val="single" w:sz="12" w:space="0" w:color="000000"/>
              <w:right w:val="single" w:sz="12" w:space="0" w:color="000000"/>
            </w:tcBorders>
          </w:tcPr>
          <w:p w14:paraId="5B020F3E" w14:textId="77777777" w:rsidR="00A663F1" w:rsidRDefault="00E46EDB">
            <w:pPr>
              <w:pStyle w:val="TableParagraph"/>
              <w:spacing w:before="52" w:line="246" w:lineRule="exact"/>
              <w:ind w:right="84"/>
              <w:jc w:val="right"/>
              <w:rPr>
                <w:b/>
              </w:rPr>
            </w:pPr>
            <w:r>
              <w:rPr>
                <w:b/>
              </w:rPr>
              <w:t>8817.9</w:t>
            </w:r>
          </w:p>
        </w:tc>
      </w:tr>
      <w:tr w:rsidR="00A663F1" w14:paraId="335F4AF6" w14:textId="77777777">
        <w:trPr>
          <w:trHeight w:val="1897"/>
        </w:trPr>
        <w:tc>
          <w:tcPr>
            <w:tcW w:w="10317" w:type="dxa"/>
            <w:gridSpan w:val="9"/>
            <w:tcBorders>
              <w:top w:val="single" w:sz="12" w:space="0" w:color="000000"/>
              <w:left w:val="single" w:sz="12" w:space="0" w:color="000000"/>
              <w:bottom w:val="single" w:sz="6" w:space="0" w:color="000000"/>
              <w:right w:val="single" w:sz="12" w:space="0" w:color="000000"/>
            </w:tcBorders>
          </w:tcPr>
          <w:p w14:paraId="681A2657" w14:textId="77777777" w:rsidR="00A663F1" w:rsidRDefault="00E46EDB">
            <w:pPr>
              <w:pStyle w:val="TableParagraph"/>
              <w:spacing w:before="52" w:line="240" w:lineRule="auto"/>
              <w:ind w:left="145"/>
              <w:rPr>
                <w:b/>
                <w:sz w:val="20"/>
              </w:rPr>
            </w:pPr>
            <w:r>
              <w:rPr>
                <w:b/>
                <w:sz w:val="20"/>
              </w:rPr>
              <w:t>Description and scale of key monetised benefits by ‘main affected groups’ (benefits in present value)</w:t>
            </w:r>
          </w:p>
          <w:p w14:paraId="4E3DC945" w14:textId="77777777" w:rsidR="00A663F1" w:rsidRDefault="00E46EDB">
            <w:pPr>
              <w:pStyle w:val="TableParagraph"/>
              <w:spacing w:before="49" w:line="240" w:lineRule="auto"/>
              <w:ind w:left="145" w:right="105"/>
            </w:pPr>
            <w:r>
              <w:rPr>
                <w:spacing w:val="-3"/>
              </w:rPr>
              <w:t xml:space="preserve">The </w:t>
            </w:r>
            <w:r>
              <w:rPr>
                <w:spacing w:val="-5"/>
              </w:rPr>
              <w:t xml:space="preserve">benefits </w:t>
            </w:r>
            <w:r>
              <w:rPr>
                <w:spacing w:val="-4"/>
              </w:rPr>
              <w:t xml:space="preserve">of </w:t>
            </w:r>
            <w:r>
              <w:t>a</w:t>
            </w:r>
            <w:r>
              <w:rPr>
                <w:spacing w:val="-6"/>
              </w:rPr>
              <w:t xml:space="preserve"> voluntary Breathing</w:t>
            </w:r>
            <w:r>
              <w:rPr>
                <w:spacing w:val="-5"/>
              </w:rPr>
              <w:t xml:space="preserve"> Space </w:t>
            </w:r>
            <w:r>
              <w:rPr>
                <w:spacing w:val="-6"/>
              </w:rPr>
              <w:t xml:space="preserve">would </w:t>
            </w:r>
            <w:r>
              <w:rPr>
                <w:spacing w:val="-3"/>
              </w:rPr>
              <w:t xml:space="preserve">be </w:t>
            </w:r>
            <w:r>
              <w:rPr>
                <w:spacing w:val="-5"/>
              </w:rPr>
              <w:t xml:space="preserve">the same </w:t>
            </w:r>
            <w:r>
              <w:rPr>
                <w:spacing w:val="-3"/>
              </w:rPr>
              <w:t xml:space="preserve">as in </w:t>
            </w:r>
            <w:r>
              <w:t xml:space="preserve">a </w:t>
            </w:r>
            <w:r>
              <w:rPr>
                <w:spacing w:val="-5"/>
              </w:rPr>
              <w:t xml:space="preserve">mandatory </w:t>
            </w:r>
            <w:r>
              <w:rPr>
                <w:spacing w:val="-6"/>
              </w:rPr>
              <w:t xml:space="preserve">Breathing Space. </w:t>
            </w:r>
            <w:r>
              <w:rPr>
                <w:spacing w:val="-3"/>
              </w:rPr>
              <w:t xml:space="preserve">As </w:t>
            </w:r>
            <w:r>
              <w:rPr>
                <w:spacing w:val="-5"/>
              </w:rPr>
              <w:t xml:space="preserve">only </w:t>
            </w:r>
            <w:r>
              <w:rPr>
                <w:spacing w:val="-4"/>
              </w:rPr>
              <w:t xml:space="preserve">some </w:t>
            </w:r>
            <w:r>
              <w:rPr>
                <w:spacing w:val="-6"/>
              </w:rPr>
              <w:t xml:space="preserve">creditors </w:t>
            </w:r>
            <w:r>
              <w:rPr>
                <w:spacing w:val="-4"/>
              </w:rPr>
              <w:t xml:space="preserve">are </w:t>
            </w:r>
            <w:r>
              <w:rPr>
                <w:spacing w:val="-6"/>
              </w:rPr>
              <w:t xml:space="preserve">expected </w:t>
            </w:r>
            <w:r>
              <w:rPr>
                <w:spacing w:val="-4"/>
              </w:rPr>
              <w:t xml:space="preserve">to </w:t>
            </w:r>
            <w:r>
              <w:rPr>
                <w:spacing w:val="-5"/>
              </w:rPr>
              <w:t xml:space="preserve">comply with the </w:t>
            </w:r>
            <w:r>
              <w:rPr>
                <w:spacing w:val="-6"/>
              </w:rPr>
              <w:t xml:space="preserve">protections </w:t>
            </w:r>
            <w:r>
              <w:rPr>
                <w:spacing w:val="-4"/>
              </w:rPr>
              <w:t xml:space="preserve">of </w:t>
            </w:r>
            <w:r>
              <w:rPr>
                <w:spacing w:val="-6"/>
              </w:rPr>
              <w:t xml:space="preserve">Breathing Space, </w:t>
            </w:r>
            <w:r>
              <w:rPr>
                <w:spacing w:val="-4"/>
              </w:rPr>
              <w:t xml:space="preserve">the </w:t>
            </w:r>
            <w:r>
              <w:rPr>
                <w:spacing w:val="-5"/>
              </w:rPr>
              <w:t xml:space="preserve">scale </w:t>
            </w:r>
            <w:r>
              <w:rPr>
                <w:spacing w:val="-4"/>
              </w:rPr>
              <w:t xml:space="preserve">of the </w:t>
            </w:r>
            <w:r>
              <w:rPr>
                <w:spacing w:val="-6"/>
              </w:rPr>
              <w:t xml:space="preserve">benefits will </w:t>
            </w:r>
            <w:r>
              <w:rPr>
                <w:spacing w:val="-3"/>
              </w:rPr>
              <w:t xml:space="preserve">be </w:t>
            </w:r>
            <w:r>
              <w:rPr>
                <w:spacing w:val="-6"/>
              </w:rPr>
              <w:t xml:space="preserve">lower </w:t>
            </w:r>
            <w:r>
              <w:rPr>
                <w:spacing w:val="-5"/>
              </w:rPr>
              <w:t xml:space="preserve">than </w:t>
            </w:r>
            <w:r>
              <w:rPr>
                <w:spacing w:val="-6"/>
              </w:rPr>
              <w:t xml:space="preserve">under </w:t>
            </w:r>
            <w:r>
              <w:t xml:space="preserve">a </w:t>
            </w:r>
            <w:r>
              <w:rPr>
                <w:spacing w:val="-5"/>
              </w:rPr>
              <w:t xml:space="preserve">regulatory version </w:t>
            </w:r>
            <w:r>
              <w:rPr>
                <w:spacing w:val="-4"/>
              </w:rPr>
              <w:t xml:space="preserve">of the </w:t>
            </w:r>
            <w:r>
              <w:rPr>
                <w:spacing w:val="-5"/>
              </w:rPr>
              <w:t xml:space="preserve">scheme. </w:t>
            </w:r>
            <w:r>
              <w:rPr>
                <w:spacing w:val="-3"/>
              </w:rPr>
              <w:t xml:space="preserve">The </w:t>
            </w:r>
            <w:r>
              <w:rPr>
                <w:spacing w:val="-6"/>
              </w:rPr>
              <w:t xml:space="preserve">benefits </w:t>
            </w:r>
            <w:r>
              <w:rPr>
                <w:spacing w:val="-4"/>
              </w:rPr>
              <w:t xml:space="preserve">of this </w:t>
            </w:r>
            <w:r>
              <w:rPr>
                <w:spacing w:val="-5"/>
              </w:rPr>
              <w:t xml:space="preserve">option </w:t>
            </w:r>
            <w:r>
              <w:rPr>
                <w:spacing w:val="-6"/>
              </w:rPr>
              <w:t xml:space="preserve">compared </w:t>
            </w:r>
            <w:r>
              <w:rPr>
                <w:spacing w:val="-4"/>
              </w:rPr>
              <w:t xml:space="preserve">to </w:t>
            </w:r>
            <w:r>
              <w:rPr>
                <w:spacing w:val="-3"/>
              </w:rPr>
              <w:t xml:space="preserve">do </w:t>
            </w:r>
            <w:r>
              <w:rPr>
                <w:spacing w:val="-6"/>
              </w:rPr>
              <w:t xml:space="preserve">nothing would </w:t>
            </w:r>
            <w:proofErr w:type="gramStart"/>
            <w:r>
              <w:rPr>
                <w:spacing w:val="-4"/>
              </w:rPr>
              <w:t>be:</w:t>
            </w:r>
            <w:proofErr w:type="gramEnd"/>
            <w:r>
              <w:rPr>
                <w:spacing w:val="-4"/>
              </w:rPr>
              <w:t xml:space="preserve"> </w:t>
            </w:r>
            <w:r>
              <w:rPr>
                <w:spacing w:val="-6"/>
              </w:rPr>
              <w:t xml:space="preserve">higher creditor recoveries (£5158.0m), higher employee productivity (£1796.4m), </w:t>
            </w:r>
            <w:r>
              <w:rPr>
                <w:spacing w:val="-5"/>
              </w:rPr>
              <w:t xml:space="preserve">and </w:t>
            </w:r>
            <w:r>
              <w:rPr>
                <w:spacing w:val="-6"/>
              </w:rPr>
              <w:t xml:space="preserve">benefits </w:t>
            </w:r>
            <w:r>
              <w:rPr>
                <w:spacing w:val="-4"/>
              </w:rPr>
              <w:t xml:space="preserve">to </w:t>
            </w:r>
            <w:r>
              <w:rPr>
                <w:spacing w:val="-5"/>
              </w:rPr>
              <w:t xml:space="preserve">debtors </w:t>
            </w:r>
            <w:r>
              <w:rPr>
                <w:spacing w:val="-6"/>
              </w:rPr>
              <w:t xml:space="preserve">themselves (£1205.8m). </w:t>
            </w:r>
            <w:r>
              <w:t xml:space="preserve">In </w:t>
            </w:r>
            <w:r>
              <w:rPr>
                <w:spacing w:val="-6"/>
              </w:rPr>
              <w:t xml:space="preserve">addition, </w:t>
            </w:r>
            <w:r>
              <w:rPr>
                <w:spacing w:val="-5"/>
              </w:rPr>
              <w:t xml:space="preserve">debtors </w:t>
            </w:r>
            <w:r>
              <w:rPr>
                <w:spacing w:val="-6"/>
              </w:rPr>
              <w:t xml:space="preserve">will </w:t>
            </w:r>
            <w:r>
              <w:rPr>
                <w:spacing w:val="-5"/>
              </w:rPr>
              <w:t xml:space="preserve">benefit </w:t>
            </w:r>
            <w:r>
              <w:rPr>
                <w:spacing w:val="-4"/>
              </w:rPr>
              <w:t xml:space="preserve">from </w:t>
            </w:r>
            <w:r>
              <w:rPr>
                <w:spacing w:val="-6"/>
              </w:rPr>
              <w:t xml:space="preserve">economic transfers equivalent </w:t>
            </w:r>
            <w:r>
              <w:t xml:space="preserve">to </w:t>
            </w:r>
            <w:r>
              <w:rPr>
                <w:spacing w:val="-4"/>
              </w:rPr>
              <w:t xml:space="preserve">the </w:t>
            </w:r>
            <w:r>
              <w:rPr>
                <w:spacing w:val="-5"/>
              </w:rPr>
              <w:t xml:space="preserve">inverse </w:t>
            </w:r>
            <w:r>
              <w:rPr>
                <w:spacing w:val="-4"/>
              </w:rPr>
              <w:t xml:space="preserve">of the </w:t>
            </w:r>
            <w:r>
              <w:rPr>
                <w:spacing w:val="-5"/>
              </w:rPr>
              <w:t xml:space="preserve">costs </w:t>
            </w:r>
            <w:r>
              <w:t xml:space="preserve">to </w:t>
            </w:r>
            <w:r>
              <w:rPr>
                <w:spacing w:val="-6"/>
              </w:rPr>
              <w:t xml:space="preserve">creditors </w:t>
            </w:r>
            <w:r>
              <w:rPr>
                <w:spacing w:val="-4"/>
              </w:rPr>
              <w:t xml:space="preserve">of </w:t>
            </w:r>
            <w:r>
              <w:rPr>
                <w:spacing w:val="-6"/>
              </w:rPr>
              <w:t xml:space="preserve">frozen interest </w:t>
            </w:r>
            <w:r>
              <w:rPr>
                <w:spacing w:val="-5"/>
              </w:rPr>
              <w:t xml:space="preserve">and charges </w:t>
            </w:r>
            <w:r>
              <w:rPr>
                <w:spacing w:val="-4"/>
              </w:rPr>
              <w:t xml:space="preserve">and </w:t>
            </w:r>
            <w:r>
              <w:rPr>
                <w:spacing w:val="-6"/>
              </w:rPr>
              <w:t xml:space="preserve">delayed revenue </w:t>
            </w:r>
            <w:r>
              <w:rPr>
                <w:spacing w:val="-7"/>
              </w:rPr>
              <w:t>(£657.8m).</w:t>
            </w:r>
          </w:p>
        </w:tc>
      </w:tr>
      <w:tr w:rsidR="00A663F1" w14:paraId="2622921C" w14:textId="77777777">
        <w:trPr>
          <w:trHeight w:val="669"/>
        </w:trPr>
        <w:tc>
          <w:tcPr>
            <w:tcW w:w="10317" w:type="dxa"/>
            <w:gridSpan w:val="9"/>
            <w:tcBorders>
              <w:top w:val="single" w:sz="6" w:space="0" w:color="000000"/>
              <w:left w:val="single" w:sz="12" w:space="0" w:color="000000"/>
              <w:bottom w:val="single" w:sz="6" w:space="0" w:color="000000"/>
              <w:right w:val="single" w:sz="12" w:space="0" w:color="000000"/>
            </w:tcBorders>
          </w:tcPr>
          <w:p w14:paraId="69CB929C" w14:textId="77777777" w:rsidR="00A663F1" w:rsidRDefault="00E46EDB">
            <w:pPr>
              <w:pStyle w:val="TableParagraph"/>
              <w:spacing w:before="52" w:line="240" w:lineRule="auto"/>
              <w:ind w:left="145"/>
              <w:rPr>
                <w:b/>
                <w:sz w:val="20"/>
              </w:rPr>
            </w:pPr>
            <w:r>
              <w:rPr>
                <w:b/>
                <w:sz w:val="20"/>
              </w:rPr>
              <w:t>Other key non-monetised benefits by ‘main affected groups’</w:t>
            </w:r>
          </w:p>
          <w:p w14:paraId="41C4634E" w14:textId="77777777" w:rsidR="00A663F1" w:rsidRDefault="00E46EDB">
            <w:pPr>
              <w:pStyle w:val="TableParagraph"/>
              <w:spacing w:before="49" w:line="240" w:lineRule="auto"/>
              <w:ind w:left="145"/>
            </w:pPr>
            <w:r>
              <w:rPr>
                <w:spacing w:val="-3"/>
              </w:rPr>
              <w:t xml:space="preserve">The </w:t>
            </w:r>
            <w:r>
              <w:rPr>
                <w:spacing w:val="-5"/>
              </w:rPr>
              <w:t xml:space="preserve">same set </w:t>
            </w:r>
            <w:r>
              <w:rPr>
                <w:spacing w:val="-4"/>
              </w:rPr>
              <w:t xml:space="preserve">of </w:t>
            </w:r>
            <w:r>
              <w:rPr>
                <w:spacing w:val="-6"/>
              </w:rPr>
              <w:t xml:space="preserve">non-monetised benefits </w:t>
            </w:r>
            <w:r>
              <w:rPr>
                <w:spacing w:val="-3"/>
              </w:rPr>
              <w:t xml:space="preserve">as </w:t>
            </w:r>
            <w:r>
              <w:rPr>
                <w:spacing w:val="-6"/>
              </w:rPr>
              <w:t xml:space="preserve">identified </w:t>
            </w:r>
            <w:r>
              <w:rPr>
                <w:spacing w:val="-3"/>
              </w:rPr>
              <w:t xml:space="preserve">in </w:t>
            </w:r>
            <w:r>
              <w:rPr>
                <w:spacing w:val="-5"/>
              </w:rPr>
              <w:t xml:space="preserve">option </w:t>
            </w:r>
            <w:r>
              <w:t xml:space="preserve">3 </w:t>
            </w:r>
            <w:r>
              <w:rPr>
                <w:spacing w:val="-6"/>
              </w:rPr>
              <w:t>(regulatory Breathing Space) would apply.</w:t>
            </w:r>
          </w:p>
        </w:tc>
      </w:tr>
      <w:tr w:rsidR="00A663F1" w14:paraId="073AB74F" w14:textId="77777777">
        <w:trPr>
          <w:trHeight w:val="333"/>
        </w:trPr>
        <w:tc>
          <w:tcPr>
            <w:tcW w:w="9462" w:type="dxa"/>
            <w:gridSpan w:val="8"/>
            <w:tcBorders>
              <w:top w:val="single" w:sz="6" w:space="0" w:color="000000"/>
              <w:left w:val="single" w:sz="12" w:space="0" w:color="000000"/>
              <w:bottom w:val="nil"/>
              <w:right w:val="single" w:sz="6" w:space="0" w:color="000000"/>
            </w:tcBorders>
          </w:tcPr>
          <w:p w14:paraId="174C0FCB" w14:textId="77777777" w:rsidR="00A663F1" w:rsidRDefault="00E46EDB">
            <w:pPr>
              <w:pStyle w:val="TableParagraph"/>
              <w:tabs>
                <w:tab w:val="left" w:pos="7690"/>
              </w:tabs>
              <w:spacing w:before="52" w:line="240" w:lineRule="auto"/>
              <w:ind w:left="145"/>
              <w:rPr>
                <w:b/>
                <w:sz w:val="20"/>
              </w:rPr>
            </w:pPr>
            <w:r>
              <w:rPr>
                <w:b/>
                <w:spacing w:val="-3"/>
                <w:sz w:val="20"/>
              </w:rPr>
              <w:t>Key</w:t>
            </w:r>
            <w:r>
              <w:rPr>
                <w:b/>
                <w:spacing w:val="-17"/>
                <w:sz w:val="20"/>
              </w:rPr>
              <w:t xml:space="preserve"> </w:t>
            </w:r>
            <w:r>
              <w:rPr>
                <w:b/>
                <w:spacing w:val="-5"/>
                <w:sz w:val="20"/>
              </w:rPr>
              <w:t>assumptions/sensitivities/risks</w:t>
            </w:r>
            <w:r>
              <w:rPr>
                <w:b/>
                <w:spacing w:val="-5"/>
                <w:sz w:val="20"/>
              </w:rPr>
              <w:tab/>
              <w:t xml:space="preserve">Discount </w:t>
            </w:r>
            <w:r>
              <w:rPr>
                <w:b/>
                <w:spacing w:val="-4"/>
                <w:sz w:val="20"/>
              </w:rPr>
              <w:t>rate</w:t>
            </w:r>
            <w:r>
              <w:rPr>
                <w:b/>
                <w:spacing w:val="-16"/>
                <w:sz w:val="20"/>
              </w:rPr>
              <w:t xml:space="preserve"> </w:t>
            </w:r>
            <w:r>
              <w:rPr>
                <w:b/>
                <w:spacing w:val="-4"/>
                <w:sz w:val="20"/>
              </w:rPr>
              <w:t>(%)</w:t>
            </w:r>
          </w:p>
        </w:tc>
        <w:tc>
          <w:tcPr>
            <w:tcW w:w="855" w:type="dxa"/>
            <w:tcBorders>
              <w:top w:val="single" w:sz="6" w:space="0" w:color="000000"/>
              <w:left w:val="single" w:sz="6" w:space="0" w:color="000000"/>
              <w:right w:val="single" w:sz="12" w:space="0" w:color="000000"/>
            </w:tcBorders>
          </w:tcPr>
          <w:p w14:paraId="5C06AD7F" w14:textId="77777777" w:rsidR="00A663F1" w:rsidRDefault="00E46EDB">
            <w:pPr>
              <w:pStyle w:val="TableParagraph"/>
              <w:spacing w:before="52" w:line="240" w:lineRule="auto"/>
              <w:ind w:left="161"/>
              <w:rPr>
                <w:sz w:val="20"/>
              </w:rPr>
            </w:pPr>
            <w:r>
              <w:rPr>
                <w:sz w:val="20"/>
              </w:rPr>
              <w:t>3.5%</w:t>
            </w:r>
          </w:p>
        </w:tc>
      </w:tr>
      <w:tr w:rsidR="00A663F1" w14:paraId="2607A886" w14:textId="77777777">
        <w:trPr>
          <w:trHeight w:val="3206"/>
        </w:trPr>
        <w:tc>
          <w:tcPr>
            <w:tcW w:w="10317" w:type="dxa"/>
            <w:gridSpan w:val="9"/>
            <w:tcBorders>
              <w:top w:val="nil"/>
              <w:left w:val="single" w:sz="12" w:space="0" w:color="000000"/>
              <w:bottom w:val="single" w:sz="12" w:space="0" w:color="000000"/>
              <w:right w:val="single" w:sz="12" w:space="0" w:color="000000"/>
            </w:tcBorders>
          </w:tcPr>
          <w:p w14:paraId="729700D4" w14:textId="77777777" w:rsidR="00A663F1" w:rsidRDefault="00E46EDB">
            <w:pPr>
              <w:pStyle w:val="TableParagraph"/>
              <w:spacing w:line="240" w:lineRule="auto"/>
              <w:ind w:left="145" w:right="146"/>
            </w:pPr>
            <w:r>
              <w:rPr>
                <w:spacing w:val="-5"/>
              </w:rPr>
              <w:t xml:space="preserve">There </w:t>
            </w:r>
            <w:r>
              <w:rPr>
                <w:spacing w:val="-3"/>
              </w:rPr>
              <w:t xml:space="preserve">is </w:t>
            </w:r>
            <w:r>
              <w:t xml:space="preserve">a </w:t>
            </w:r>
            <w:r>
              <w:rPr>
                <w:spacing w:val="-5"/>
              </w:rPr>
              <w:t xml:space="preserve">high degree </w:t>
            </w:r>
            <w:r>
              <w:rPr>
                <w:spacing w:val="-4"/>
              </w:rPr>
              <w:t xml:space="preserve">of </w:t>
            </w:r>
            <w:r>
              <w:rPr>
                <w:spacing w:val="-6"/>
              </w:rPr>
              <w:t xml:space="preserve">uncertainty </w:t>
            </w:r>
            <w:r>
              <w:rPr>
                <w:spacing w:val="-5"/>
              </w:rPr>
              <w:t xml:space="preserve">around </w:t>
            </w:r>
            <w:r>
              <w:rPr>
                <w:spacing w:val="-4"/>
              </w:rPr>
              <w:t xml:space="preserve">the </w:t>
            </w:r>
            <w:r>
              <w:rPr>
                <w:spacing w:val="-6"/>
              </w:rPr>
              <w:t xml:space="preserve">relationship between </w:t>
            </w:r>
            <w:r>
              <w:rPr>
                <w:spacing w:val="-4"/>
              </w:rPr>
              <w:t xml:space="preserve">the </w:t>
            </w:r>
            <w:r>
              <w:rPr>
                <w:spacing w:val="-6"/>
              </w:rPr>
              <w:t xml:space="preserve">incentive </w:t>
            </w:r>
            <w:r>
              <w:t xml:space="preserve">to </w:t>
            </w:r>
            <w:r>
              <w:rPr>
                <w:spacing w:val="-5"/>
              </w:rPr>
              <w:t xml:space="preserve">seek debt </w:t>
            </w:r>
            <w:r>
              <w:rPr>
                <w:spacing w:val="-6"/>
              </w:rPr>
              <w:t xml:space="preserve">advice </w:t>
            </w:r>
            <w:r>
              <w:rPr>
                <w:spacing w:val="-4"/>
              </w:rPr>
              <w:t xml:space="preserve">and the </w:t>
            </w:r>
            <w:r>
              <w:rPr>
                <w:spacing w:val="-5"/>
              </w:rPr>
              <w:t xml:space="preserve">strength </w:t>
            </w:r>
            <w:r>
              <w:rPr>
                <w:spacing w:val="-4"/>
              </w:rPr>
              <w:t xml:space="preserve">of </w:t>
            </w:r>
            <w:r>
              <w:rPr>
                <w:spacing w:val="-5"/>
              </w:rPr>
              <w:t xml:space="preserve">the </w:t>
            </w:r>
            <w:r>
              <w:rPr>
                <w:spacing w:val="-6"/>
              </w:rPr>
              <w:t xml:space="preserve">consumer protections </w:t>
            </w:r>
            <w:r>
              <w:rPr>
                <w:spacing w:val="-5"/>
              </w:rPr>
              <w:t xml:space="preserve">that debt </w:t>
            </w:r>
            <w:r>
              <w:rPr>
                <w:spacing w:val="-6"/>
              </w:rPr>
              <w:t xml:space="preserve">advice </w:t>
            </w:r>
            <w:r>
              <w:rPr>
                <w:spacing w:val="-4"/>
              </w:rPr>
              <w:t xml:space="preserve">can </w:t>
            </w:r>
            <w:r>
              <w:rPr>
                <w:spacing w:val="-6"/>
              </w:rPr>
              <w:t xml:space="preserve">provide. </w:t>
            </w:r>
            <w:r>
              <w:rPr>
                <w:spacing w:val="-5"/>
              </w:rPr>
              <w:t xml:space="preserve">Debt </w:t>
            </w:r>
            <w:r>
              <w:rPr>
                <w:spacing w:val="-6"/>
              </w:rPr>
              <w:t xml:space="preserve">advisers estimated </w:t>
            </w:r>
            <w:r>
              <w:rPr>
                <w:spacing w:val="-5"/>
              </w:rPr>
              <w:t xml:space="preserve">that </w:t>
            </w:r>
            <w:r>
              <w:rPr>
                <w:spacing w:val="-6"/>
              </w:rPr>
              <w:t xml:space="preserve">Breathing </w:t>
            </w:r>
            <w:r>
              <w:rPr>
                <w:spacing w:val="-5"/>
              </w:rPr>
              <w:t xml:space="preserve">Space </w:t>
            </w:r>
            <w:r>
              <w:rPr>
                <w:spacing w:val="-6"/>
              </w:rPr>
              <w:t xml:space="preserve">will </w:t>
            </w:r>
            <w:r>
              <w:rPr>
                <w:spacing w:val="-5"/>
              </w:rPr>
              <w:t xml:space="preserve">increase </w:t>
            </w:r>
            <w:r>
              <w:rPr>
                <w:spacing w:val="-4"/>
              </w:rPr>
              <w:t xml:space="preserve">the </w:t>
            </w:r>
            <w:r>
              <w:rPr>
                <w:spacing w:val="-5"/>
              </w:rPr>
              <w:t xml:space="preserve">number </w:t>
            </w:r>
            <w:r>
              <w:rPr>
                <w:spacing w:val="-4"/>
              </w:rPr>
              <w:t xml:space="preserve">of </w:t>
            </w:r>
            <w:r>
              <w:rPr>
                <w:spacing w:val="-6"/>
              </w:rPr>
              <w:t xml:space="preserve">debtors </w:t>
            </w:r>
            <w:r>
              <w:rPr>
                <w:spacing w:val="-5"/>
              </w:rPr>
              <w:t xml:space="preserve">who seek </w:t>
            </w:r>
            <w:r>
              <w:rPr>
                <w:spacing w:val="-6"/>
              </w:rPr>
              <w:t xml:space="preserve">advice </w:t>
            </w:r>
            <w:r>
              <w:rPr>
                <w:spacing w:val="-3"/>
              </w:rPr>
              <w:t xml:space="preserve">by </w:t>
            </w:r>
            <w:r>
              <w:rPr>
                <w:spacing w:val="-4"/>
              </w:rPr>
              <w:t xml:space="preserve">10% per </w:t>
            </w:r>
            <w:r>
              <w:rPr>
                <w:spacing w:val="-6"/>
              </w:rPr>
              <w:t xml:space="preserve">annum. Creditor </w:t>
            </w:r>
            <w:r>
              <w:rPr>
                <w:spacing w:val="-5"/>
              </w:rPr>
              <w:t xml:space="preserve">non- compliance </w:t>
            </w:r>
            <w:r>
              <w:rPr>
                <w:spacing w:val="-6"/>
              </w:rPr>
              <w:t xml:space="preserve">would </w:t>
            </w:r>
            <w:r>
              <w:rPr>
                <w:spacing w:val="-5"/>
              </w:rPr>
              <w:t xml:space="preserve">reduce </w:t>
            </w:r>
            <w:r>
              <w:rPr>
                <w:spacing w:val="-4"/>
              </w:rPr>
              <w:t xml:space="preserve">the </w:t>
            </w:r>
            <w:r>
              <w:rPr>
                <w:spacing w:val="-5"/>
              </w:rPr>
              <w:t xml:space="preserve">strength </w:t>
            </w:r>
            <w:r>
              <w:rPr>
                <w:spacing w:val="-4"/>
              </w:rPr>
              <w:t xml:space="preserve">of </w:t>
            </w:r>
            <w:r>
              <w:rPr>
                <w:spacing w:val="-5"/>
              </w:rPr>
              <w:t xml:space="preserve">the </w:t>
            </w:r>
            <w:r>
              <w:rPr>
                <w:spacing w:val="-6"/>
              </w:rPr>
              <w:t xml:space="preserve">consumer protections accessible </w:t>
            </w:r>
            <w:r>
              <w:rPr>
                <w:spacing w:val="-5"/>
              </w:rPr>
              <w:t xml:space="preserve">via </w:t>
            </w:r>
            <w:r>
              <w:rPr>
                <w:spacing w:val="-6"/>
              </w:rPr>
              <w:t xml:space="preserve">Breathing Space, which would </w:t>
            </w:r>
            <w:r>
              <w:rPr>
                <w:spacing w:val="-5"/>
              </w:rPr>
              <w:t xml:space="preserve">decrease </w:t>
            </w:r>
            <w:r>
              <w:rPr>
                <w:spacing w:val="-4"/>
              </w:rPr>
              <w:t xml:space="preserve">the </w:t>
            </w:r>
            <w:r>
              <w:rPr>
                <w:spacing w:val="-6"/>
              </w:rPr>
              <w:t xml:space="preserve">incentive </w:t>
            </w:r>
            <w:r>
              <w:t xml:space="preserve">to </w:t>
            </w:r>
            <w:r>
              <w:rPr>
                <w:spacing w:val="-5"/>
              </w:rPr>
              <w:t xml:space="preserve">seek </w:t>
            </w:r>
            <w:r>
              <w:rPr>
                <w:spacing w:val="-6"/>
              </w:rPr>
              <w:t xml:space="preserve">advice. </w:t>
            </w:r>
            <w:r>
              <w:rPr>
                <w:spacing w:val="-4"/>
              </w:rPr>
              <w:t xml:space="preserve">This </w:t>
            </w:r>
            <w:r>
              <w:rPr>
                <w:spacing w:val="-6"/>
              </w:rPr>
              <w:t xml:space="preserve">would </w:t>
            </w:r>
            <w:r>
              <w:rPr>
                <w:spacing w:val="-5"/>
              </w:rPr>
              <w:t xml:space="preserve">reduce </w:t>
            </w:r>
            <w:r>
              <w:rPr>
                <w:spacing w:val="-4"/>
              </w:rPr>
              <w:t xml:space="preserve">the </w:t>
            </w:r>
            <w:r>
              <w:rPr>
                <w:spacing w:val="-5"/>
              </w:rPr>
              <w:t xml:space="preserve">forecast 10% </w:t>
            </w:r>
            <w:r>
              <w:rPr>
                <w:spacing w:val="-6"/>
              </w:rPr>
              <w:t xml:space="preserve">uplift </w:t>
            </w:r>
            <w:r>
              <w:rPr>
                <w:spacing w:val="-3"/>
              </w:rPr>
              <w:t xml:space="preserve">in </w:t>
            </w:r>
            <w:r>
              <w:rPr>
                <w:spacing w:val="-5"/>
              </w:rPr>
              <w:t xml:space="preserve">debt </w:t>
            </w:r>
            <w:r>
              <w:rPr>
                <w:spacing w:val="-6"/>
              </w:rPr>
              <w:t xml:space="preserve">advice take- </w:t>
            </w:r>
            <w:r>
              <w:rPr>
                <w:spacing w:val="-4"/>
              </w:rPr>
              <w:t xml:space="preserve">up. </w:t>
            </w:r>
            <w:r>
              <w:t xml:space="preserve">In </w:t>
            </w:r>
            <w:r>
              <w:rPr>
                <w:spacing w:val="-4"/>
              </w:rPr>
              <w:t xml:space="preserve">the </w:t>
            </w:r>
            <w:r>
              <w:rPr>
                <w:spacing w:val="-6"/>
              </w:rPr>
              <w:t xml:space="preserve">absence </w:t>
            </w:r>
            <w:r>
              <w:rPr>
                <w:spacing w:val="-4"/>
              </w:rPr>
              <w:t xml:space="preserve">of </w:t>
            </w:r>
            <w:r>
              <w:rPr>
                <w:spacing w:val="-6"/>
              </w:rPr>
              <w:t xml:space="preserve">evidence </w:t>
            </w:r>
            <w:r>
              <w:rPr>
                <w:spacing w:val="-3"/>
              </w:rPr>
              <w:t xml:space="preserve">on </w:t>
            </w:r>
            <w:r>
              <w:rPr>
                <w:spacing w:val="-6"/>
              </w:rPr>
              <w:t xml:space="preserve">which </w:t>
            </w:r>
            <w:r>
              <w:t xml:space="preserve">to </w:t>
            </w:r>
            <w:r>
              <w:rPr>
                <w:spacing w:val="-5"/>
              </w:rPr>
              <w:t xml:space="preserve">base </w:t>
            </w:r>
            <w:r>
              <w:rPr>
                <w:spacing w:val="-3"/>
              </w:rPr>
              <w:t xml:space="preserve">an </w:t>
            </w:r>
            <w:r>
              <w:rPr>
                <w:spacing w:val="-6"/>
              </w:rPr>
              <w:t xml:space="preserve">assumption </w:t>
            </w:r>
            <w:r>
              <w:rPr>
                <w:spacing w:val="-4"/>
              </w:rPr>
              <w:t xml:space="preserve">for the </w:t>
            </w:r>
            <w:r>
              <w:rPr>
                <w:spacing w:val="-6"/>
              </w:rPr>
              <w:t xml:space="preserve">extent </w:t>
            </w:r>
            <w:r>
              <w:t xml:space="preserve">to </w:t>
            </w:r>
            <w:r>
              <w:rPr>
                <w:spacing w:val="-6"/>
              </w:rPr>
              <w:t xml:space="preserve">which </w:t>
            </w:r>
            <w:r>
              <w:rPr>
                <w:spacing w:val="-4"/>
              </w:rPr>
              <w:t xml:space="preserve">the 10% </w:t>
            </w:r>
            <w:r>
              <w:rPr>
                <w:spacing w:val="-6"/>
              </w:rPr>
              <w:t xml:space="preserve">assumption would </w:t>
            </w:r>
            <w:r>
              <w:rPr>
                <w:spacing w:val="-4"/>
              </w:rPr>
              <w:t xml:space="preserve">fall, </w:t>
            </w:r>
            <w:r>
              <w:rPr>
                <w:spacing w:val="-3"/>
              </w:rPr>
              <w:t xml:space="preserve">it </w:t>
            </w:r>
            <w:r>
              <w:rPr>
                <w:spacing w:val="-4"/>
              </w:rPr>
              <w:t xml:space="preserve">has </w:t>
            </w:r>
            <w:r>
              <w:rPr>
                <w:spacing w:val="-5"/>
              </w:rPr>
              <w:t xml:space="preserve">been assumed </w:t>
            </w:r>
            <w:r>
              <w:t xml:space="preserve">to </w:t>
            </w:r>
            <w:r>
              <w:rPr>
                <w:spacing w:val="-4"/>
              </w:rPr>
              <w:t xml:space="preserve">fall </w:t>
            </w:r>
            <w:r>
              <w:t xml:space="preserve">to </w:t>
            </w:r>
            <w:r>
              <w:rPr>
                <w:spacing w:val="-4"/>
              </w:rPr>
              <w:t xml:space="preserve">5% </w:t>
            </w:r>
            <w:r>
              <w:rPr>
                <w:spacing w:val="-5"/>
              </w:rPr>
              <w:t xml:space="preserve">per </w:t>
            </w:r>
            <w:r>
              <w:rPr>
                <w:spacing w:val="-6"/>
              </w:rPr>
              <w:t xml:space="preserve">annum. </w:t>
            </w:r>
            <w:r>
              <w:rPr>
                <w:spacing w:val="-5"/>
              </w:rPr>
              <w:t xml:space="preserve">Debt </w:t>
            </w:r>
            <w:r>
              <w:rPr>
                <w:spacing w:val="-6"/>
              </w:rPr>
              <w:t xml:space="preserve">advice </w:t>
            </w:r>
            <w:r>
              <w:rPr>
                <w:spacing w:val="-5"/>
              </w:rPr>
              <w:t xml:space="preserve">agencies suggested </w:t>
            </w:r>
            <w:r>
              <w:rPr>
                <w:spacing w:val="-4"/>
              </w:rPr>
              <w:t xml:space="preserve">that </w:t>
            </w:r>
            <w:r>
              <w:rPr>
                <w:spacing w:val="-6"/>
              </w:rPr>
              <w:t xml:space="preserve">Breathing </w:t>
            </w:r>
            <w:r>
              <w:rPr>
                <w:spacing w:val="-5"/>
              </w:rPr>
              <w:t xml:space="preserve">Space </w:t>
            </w:r>
            <w:r>
              <w:rPr>
                <w:spacing w:val="-6"/>
              </w:rPr>
              <w:t xml:space="preserve">will </w:t>
            </w:r>
            <w:r>
              <w:rPr>
                <w:spacing w:val="-5"/>
              </w:rPr>
              <w:t xml:space="preserve">increase </w:t>
            </w:r>
            <w:r>
              <w:rPr>
                <w:spacing w:val="-4"/>
              </w:rPr>
              <w:t xml:space="preserve">the </w:t>
            </w:r>
            <w:r>
              <w:rPr>
                <w:spacing w:val="-6"/>
              </w:rPr>
              <w:t xml:space="preserve">benefit </w:t>
            </w:r>
            <w:r>
              <w:rPr>
                <w:spacing w:val="-4"/>
              </w:rPr>
              <w:t xml:space="preserve">of </w:t>
            </w:r>
            <w:r>
              <w:rPr>
                <w:spacing w:val="-5"/>
              </w:rPr>
              <w:t xml:space="preserve">debt </w:t>
            </w:r>
            <w:r>
              <w:rPr>
                <w:spacing w:val="-6"/>
              </w:rPr>
              <w:t xml:space="preserve">advice </w:t>
            </w:r>
            <w:r>
              <w:rPr>
                <w:spacing w:val="-3"/>
              </w:rPr>
              <w:t xml:space="preserve">by </w:t>
            </w:r>
            <w:r>
              <w:rPr>
                <w:spacing w:val="-5"/>
              </w:rPr>
              <w:t xml:space="preserve">14%. Debtors </w:t>
            </w:r>
            <w:r>
              <w:rPr>
                <w:spacing w:val="-6"/>
              </w:rPr>
              <w:t xml:space="preserve">will </w:t>
            </w:r>
            <w:r>
              <w:rPr>
                <w:spacing w:val="-4"/>
              </w:rPr>
              <w:t xml:space="preserve">not </w:t>
            </w:r>
            <w:r>
              <w:rPr>
                <w:spacing w:val="-6"/>
              </w:rPr>
              <w:t xml:space="preserve">derive </w:t>
            </w:r>
            <w:r>
              <w:rPr>
                <w:spacing w:val="-4"/>
              </w:rPr>
              <w:t xml:space="preserve">this full </w:t>
            </w:r>
            <w:r>
              <w:rPr>
                <w:spacing w:val="-5"/>
              </w:rPr>
              <w:t xml:space="preserve">marginal </w:t>
            </w:r>
            <w:r>
              <w:rPr>
                <w:spacing w:val="-6"/>
              </w:rPr>
              <w:t xml:space="preserve">benefit </w:t>
            </w:r>
            <w:r>
              <w:rPr>
                <w:spacing w:val="-5"/>
              </w:rPr>
              <w:t xml:space="preserve">if </w:t>
            </w:r>
            <w:r>
              <w:rPr>
                <w:spacing w:val="-4"/>
              </w:rPr>
              <w:t xml:space="preserve">not </w:t>
            </w:r>
            <w:proofErr w:type="gramStart"/>
            <w:r>
              <w:rPr>
                <w:spacing w:val="-4"/>
              </w:rPr>
              <w:t>all of</w:t>
            </w:r>
            <w:proofErr w:type="gramEnd"/>
            <w:r>
              <w:rPr>
                <w:spacing w:val="-4"/>
              </w:rPr>
              <w:t xml:space="preserve"> </w:t>
            </w:r>
            <w:r>
              <w:rPr>
                <w:spacing w:val="-5"/>
              </w:rPr>
              <w:t xml:space="preserve">their </w:t>
            </w:r>
            <w:r>
              <w:rPr>
                <w:spacing w:val="-6"/>
              </w:rPr>
              <w:t xml:space="preserve">creditors </w:t>
            </w:r>
            <w:r>
              <w:rPr>
                <w:spacing w:val="-5"/>
              </w:rPr>
              <w:t xml:space="preserve">offer </w:t>
            </w:r>
            <w:r>
              <w:rPr>
                <w:spacing w:val="-4"/>
              </w:rPr>
              <w:t xml:space="preserve">the </w:t>
            </w:r>
            <w:r>
              <w:rPr>
                <w:spacing w:val="-6"/>
              </w:rPr>
              <w:t xml:space="preserve">protections </w:t>
            </w:r>
            <w:r>
              <w:rPr>
                <w:spacing w:val="-4"/>
              </w:rPr>
              <w:t xml:space="preserve">of </w:t>
            </w:r>
            <w:r>
              <w:rPr>
                <w:spacing w:val="-6"/>
              </w:rPr>
              <w:t xml:space="preserve">Breathing </w:t>
            </w:r>
            <w:r>
              <w:rPr>
                <w:spacing w:val="-5"/>
              </w:rPr>
              <w:t xml:space="preserve">Space </w:t>
            </w:r>
            <w:r>
              <w:rPr>
                <w:spacing w:val="-6"/>
              </w:rPr>
              <w:t xml:space="preserve">voluntarily. </w:t>
            </w:r>
            <w:r>
              <w:rPr>
                <w:spacing w:val="-4"/>
              </w:rPr>
              <w:t xml:space="preserve">This </w:t>
            </w:r>
            <w:r>
              <w:rPr>
                <w:spacing w:val="-6"/>
              </w:rPr>
              <w:t xml:space="preserve">relationship will </w:t>
            </w:r>
            <w:r>
              <w:rPr>
                <w:spacing w:val="-4"/>
              </w:rPr>
              <w:t xml:space="preserve">not </w:t>
            </w:r>
            <w:r>
              <w:rPr>
                <w:spacing w:val="-3"/>
              </w:rPr>
              <w:t xml:space="preserve">be </w:t>
            </w:r>
            <w:r>
              <w:rPr>
                <w:spacing w:val="-6"/>
              </w:rPr>
              <w:t xml:space="preserve">direct </w:t>
            </w:r>
            <w:r>
              <w:t xml:space="preserve">– </w:t>
            </w:r>
            <w:r>
              <w:rPr>
                <w:spacing w:val="-4"/>
              </w:rPr>
              <w:t xml:space="preserve">the </w:t>
            </w:r>
            <w:r>
              <w:rPr>
                <w:spacing w:val="-6"/>
              </w:rPr>
              <w:t xml:space="preserve">benefit </w:t>
            </w:r>
            <w:r>
              <w:rPr>
                <w:spacing w:val="-4"/>
              </w:rPr>
              <w:t xml:space="preserve">of </w:t>
            </w:r>
            <w:r>
              <w:rPr>
                <w:spacing w:val="-6"/>
              </w:rPr>
              <w:t xml:space="preserve">Breathing Space when </w:t>
            </w:r>
            <w:r>
              <w:rPr>
                <w:spacing w:val="-5"/>
              </w:rPr>
              <w:t xml:space="preserve">only </w:t>
            </w:r>
            <w:r>
              <w:rPr>
                <w:spacing w:val="-4"/>
              </w:rPr>
              <w:t xml:space="preserve">40% of </w:t>
            </w:r>
            <w:r>
              <w:rPr>
                <w:spacing w:val="-5"/>
              </w:rPr>
              <w:t xml:space="preserve">creditors comply </w:t>
            </w:r>
            <w:r>
              <w:rPr>
                <w:spacing w:val="-6"/>
              </w:rPr>
              <w:t xml:space="preserve">will </w:t>
            </w:r>
            <w:r>
              <w:rPr>
                <w:spacing w:val="-4"/>
              </w:rPr>
              <w:t xml:space="preserve">not </w:t>
            </w:r>
            <w:r>
              <w:rPr>
                <w:spacing w:val="-3"/>
              </w:rPr>
              <w:t xml:space="preserve">be </w:t>
            </w:r>
            <w:r>
              <w:rPr>
                <w:spacing w:val="-4"/>
              </w:rPr>
              <w:t xml:space="preserve">40% of </w:t>
            </w:r>
            <w:r>
              <w:rPr>
                <w:spacing w:val="-5"/>
              </w:rPr>
              <w:t xml:space="preserve">14%. Exactly </w:t>
            </w:r>
            <w:r>
              <w:rPr>
                <w:spacing w:val="-4"/>
              </w:rPr>
              <w:t xml:space="preserve">how much </w:t>
            </w:r>
            <w:r>
              <w:rPr>
                <w:spacing w:val="-6"/>
              </w:rPr>
              <w:t xml:space="preserve">lower </w:t>
            </w:r>
            <w:r>
              <w:rPr>
                <w:spacing w:val="-4"/>
              </w:rPr>
              <w:t xml:space="preserve">the </w:t>
            </w:r>
            <w:r>
              <w:rPr>
                <w:spacing w:val="-5"/>
              </w:rPr>
              <w:t xml:space="preserve">marginal </w:t>
            </w:r>
            <w:r>
              <w:rPr>
                <w:spacing w:val="-6"/>
              </w:rPr>
              <w:t xml:space="preserve">benefit </w:t>
            </w:r>
            <w:r>
              <w:rPr>
                <w:spacing w:val="-4"/>
              </w:rPr>
              <w:t xml:space="preserve">of </w:t>
            </w:r>
            <w:r>
              <w:rPr>
                <w:spacing w:val="-5"/>
              </w:rPr>
              <w:t xml:space="preserve">debt </w:t>
            </w:r>
            <w:r>
              <w:rPr>
                <w:spacing w:val="-6"/>
              </w:rPr>
              <w:t xml:space="preserve">advice will </w:t>
            </w:r>
            <w:r>
              <w:rPr>
                <w:spacing w:val="-3"/>
              </w:rPr>
              <w:t xml:space="preserve">be </w:t>
            </w:r>
            <w:r>
              <w:rPr>
                <w:spacing w:val="-5"/>
              </w:rPr>
              <w:t xml:space="preserve">given </w:t>
            </w:r>
            <w:r>
              <w:rPr>
                <w:spacing w:val="-6"/>
              </w:rPr>
              <w:t xml:space="preserve">incomplete </w:t>
            </w:r>
            <w:r>
              <w:rPr>
                <w:spacing w:val="-5"/>
              </w:rPr>
              <w:t xml:space="preserve">coverage </w:t>
            </w:r>
            <w:r>
              <w:rPr>
                <w:spacing w:val="-3"/>
              </w:rPr>
              <w:t xml:space="preserve">is </w:t>
            </w:r>
            <w:r>
              <w:rPr>
                <w:spacing w:val="-6"/>
              </w:rPr>
              <w:t xml:space="preserve">unclear, </w:t>
            </w:r>
            <w:r>
              <w:rPr>
                <w:spacing w:val="-4"/>
              </w:rPr>
              <w:t xml:space="preserve">but </w:t>
            </w:r>
            <w:r>
              <w:rPr>
                <w:spacing w:val="-3"/>
              </w:rPr>
              <w:t xml:space="preserve">it is </w:t>
            </w:r>
            <w:r>
              <w:rPr>
                <w:spacing w:val="-5"/>
              </w:rPr>
              <w:t xml:space="preserve">assumed </w:t>
            </w:r>
            <w:r>
              <w:t xml:space="preserve">to </w:t>
            </w:r>
            <w:r>
              <w:rPr>
                <w:spacing w:val="-3"/>
              </w:rPr>
              <w:t xml:space="preserve">be </w:t>
            </w:r>
            <w:r>
              <w:rPr>
                <w:spacing w:val="-6"/>
              </w:rPr>
              <w:t xml:space="preserve">half </w:t>
            </w:r>
            <w:r>
              <w:rPr>
                <w:spacing w:val="-5"/>
              </w:rPr>
              <w:t xml:space="preserve">that </w:t>
            </w:r>
            <w:r>
              <w:rPr>
                <w:spacing w:val="-4"/>
              </w:rPr>
              <w:t xml:space="preserve">of </w:t>
            </w:r>
            <w:r>
              <w:t xml:space="preserve">a </w:t>
            </w:r>
            <w:r>
              <w:rPr>
                <w:spacing w:val="-5"/>
              </w:rPr>
              <w:t xml:space="preserve">regulatory version </w:t>
            </w:r>
            <w:r>
              <w:rPr>
                <w:spacing w:val="-4"/>
              </w:rPr>
              <w:t xml:space="preserve">of the </w:t>
            </w:r>
            <w:r>
              <w:rPr>
                <w:spacing w:val="-6"/>
              </w:rPr>
              <w:t xml:space="preserve">scheme, </w:t>
            </w:r>
            <w:r>
              <w:rPr>
                <w:spacing w:val="-3"/>
              </w:rPr>
              <w:t xml:space="preserve">at </w:t>
            </w:r>
            <w:r>
              <w:rPr>
                <w:spacing w:val="-5"/>
              </w:rPr>
              <w:t>7%.</w:t>
            </w:r>
          </w:p>
        </w:tc>
      </w:tr>
    </w:tbl>
    <w:p w14:paraId="0ED8D88D" w14:textId="77777777" w:rsidR="00A663F1" w:rsidRDefault="00A663F1">
      <w:pPr>
        <w:pStyle w:val="BodyText"/>
        <w:spacing w:before="6"/>
        <w:ind w:left="0" w:firstLine="0"/>
        <w:rPr>
          <w:b/>
          <w:sz w:val="28"/>
        </w:rPr>
      </w:pPr>
    </w:p>
    <w:p w14:paraId="2FF851B8" w14:textId="77777777" w:rsidR="00A663F1" w:rsidRDefault="00E46EDB">
      <w:pPr>
        <w:spacing w:after="52"/>
        <w:ind w:left="252"/>
        <w:rPr>
          <w:b/>
          <w:sz w:val="20"/>
        </w:rPr>
      </w:pPr>
      <w:r>
        <w:rPr>
          <w:b/>
          <w:sz w:val="20"/>
        </w:rPr>
        <w:t>BUSINESS ASSESSMENT (Option 2)</w:t>
      </w: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1841"/>
        <w:gridCol w:w="1697"/>
        <w:gridCol w:w="4815"/>
      </w:tblGrid>
      <w:tr w:rsidR="00A663F1" w14:paraId="3A7490AF" w14:textId="77777777">
        <w:trPr>
          <w:trHeight w:val="369"/>
        </w:trPr>
        <w:tc>
          <w:tcPr>
            <w:tcW w:w="5518" w:type="dxa"/>
            <w:gridSpan w:val="3"/>
            <w:tcBorders>
              <w:bottom w:val="nil"/>
            </w:tcBorders>
          </w:tcPr>
          <w:p w14:paraId="6463D808" w14:textId="77777777" w:rsidR="00A663F1" w:rsidRDefault="00E46EDB">
            <w:pPr>
              <w:pStyle w:val="TableParagraph"/>
              <w:spacing w:before="49" w:line="240" w:lineRule="auto"/>
              <w:ind w:left="117"/>
              <w:rPr>
                <w:b/>
                <w:sz w:val="20"/>
              </w:rPr>
            </w:pPr>
            <w:r>
              <w:rPr>
                <w:b/>
                <w:sz w:val="20"/>
              </w:rPr>
              <w:t>Direct impact on business (Equivalent Annual) £m:</w:t>
            </w:r>
          </w:p>
        </w:tc>
        <w:tc>
          <w:tcPr>
            <w:tcW w:w="4815" w:type="dxa"/>
            <w:vMerge w:val="restart"/>
          </w:tcPr>
          <w:p w14:paraId="6563A317" w14:textId="77777777" w:rsidR="00A663F1" w:rsidRDefault="00E46EDB">
            <w:pPr>
              <w:pStyle w:val="TableParagraph"/>
              <w:spacing w:before="49" w:line="240" w:lineRule="auto"/>
              <w:ind w:left="118"/>
              <w:rPr>
                <w:b/>
                <w:sz w:val="20"/>
              </w:rPr>
            </w:pPr>
            <w:r>
              <w:rPr>
                <w:b/>
                <w:spacing w:val="-5"/>
                <w:sz w:val="20"/>
              </w:rPr>
              <w:t xml:space="preserve">Score </w:t>
            </w:r>
            <w:r>
              <w:rPr>
                <w:b/>
                <w:spacing w:val="-3"/>
                <w:sz w:val="20"/>
              </w:rPr>
              <w:t xml:space="preserve">for </w:t>
            </w:r>
            <w:r>
              <w:rPr>
                <w:b/>
                <w:spacing w:val="-5"/>
                <w:sz w:val="20"/>
              </w:rPr>
              <w:t xml:space="preserve">Business </w:t>
            </w:r>
            <w:r>
              <w:rPr>
                <w:b/>
                <w:spacing w:val="-4"/>
                <w:sz w:val="20"/>
              </w:rPr>
              <w:t xml:space="preserve">Impact </w:t>
            </w:r>
            <w:r>
              <w:rPr>
                <w:b/>
                <w:spacing w:val="-5"/>
                <w:sz w:val="20"/>
              </w:rPr>
              <w:t xml:space="preserve">Target (qualifying provisions only) </w:t>
            </w:r>
            <w:r>
              <w:rPr>
                <w:b/>
                <w:spacing w:val="-4"/>
                <w:sz w:val="20"/>
              </w:rPr>
              <w:t>£m:</w:t>
            </w:r>
          </w:p>
        </w:tc>
      </w:tr>
      <w:tr w:rsidR="00A663F1" w14:paraId="51752D74" w14:textId="77777777">
        <w:trPr>
          <w:trHeight w:val="333"/>
        </w:trPr>
        <w:tc>
          <w:tcPr>
            <w:tcW w:w="1980" w:type="dxa"/>
            <w:vMerge w:val="restart"/>
            <w:tcBorders>
              <w:top w:val="nil"/>
            </w:tcBorders>
          </w:tcPr>
          <w:p w14:paraId="24DF4F8F" w14:textId="77777777" w:rsidR="00A663F1" w:rsidRDefault="00E46EDB">
            <w:pPr>
              <w:pStyle w:val="TableParagraph"/>
              <w:spacing w:before="45" w:line="240" w:lineRule="auto"/>
              <w:ind w:left="117"/>
              <w:rPr>
                <w:sz w:val="20"/>
              </w:rPr>
            </w:pPr>
            <w:r>
              <w:rPr>
                <w:b/>
                <w:sz w:val="20"/>
              </w:rPr>
              <w:t xml:space="preserve">Costs: </w:t>
            </w:r>
            <w:r>
              <w:rPr>
                <w:sz w:val="20"/>
              </w:rPr>
              <w:t>0</w:t>
            </w:r>
          </w:p>
        </w:tc>
        <w:tc>
          <w:tcPr>
            <w:tcW w:w="1841" w:type="dxa"/>
            <w:vMerge w:val="restart"/>
            <w:tcBorders>
              <w:top w:val="nil"/>
            </w:tcBorders>
          </w:tcPr>
          <w:p w14:paraId="25FBED74" w14:textId="77777777" w:rsidR="00A663F1" w:rsidRDefault="00E46EDB">
            <w:pPr>
              <w:pStyle w:val="TableParagraph"/>
              <w:spacing w:before="45" w:line="240" w:lineRule="auto"/>
              <w:ind w:left="113"/>
              <w:rPr>
                <w:sz w:val="20"/>
              </w:rPr>
            </w:pPr>
            <w:r>
              <w:rPr>
                <w:b/>
                <w:sz w:val="20"/>
              </w:rPr>
              <w:t xml:space="preserve">Benefits: </w:t>
            </w:r>
            <w:r>
              <w:rPr>
                <w:sz w:val="20"/>
              </w:rPr>
              <w:t>0</w:t>
            </w:r>
          </w:p>
        </w:tc>
        <w:tc>
          <w:tcPr>
            <w:tcW w:w="1697" w:type="dxa"/>
            <w:vMerge w:val="restart"/>
            <w:tcBorders>
              <w:top w:val="nil"/>
            </w:tcBorders>
          </w:tcPr>
          <w:p w14:paraId="4CD14013" w14:textId="77777777" w:rsidR="00A663F1" w:rsidRDefault="00E46EDB">
            <w:pPr>
              <w:pStyle w:val="TableParagraph"/>
              <w:spacing w:before="45" w:line="240" w:lineRule="auto"/>
              <w:ind w:left="111"/>
              <w:rPr>
                <w:sz w:val="20"/>
              </w:rPr>
            </w:pPr>
            <w:r>
              <w:rPr>
                <w:b/>
                <w:sz w:val="20"/>
              </w:rPr>
              <w:t xml:space="preserve">Net: </w:t>
            </w:r>
            <w:r>
              <w:rPr>
                <w:sz w:val="20"/>
              </w:rPr>
              <w:t>0</w:t>
            </w:r>
          </w:p>
        </w:tc>
        <w:tc>
          <w:tcPr>
            <w:tcW w:w="4815" w:type="dxa"/>
            <w:vMerge/>
            <w:tcBorders>
              <w:top w:val="nil"/>
            </w:tcBorders>
          </w:tcPr>
          <w:p w14:paraId="1293F6F1" w14:textId="77777777" w:rsidR="00A663F1" w:rsidRDefault="00A663F1">
            <w:pPr>
              <w:rPr>
                <w:sz w:val="2"/>
                <w:szCs w:val="2"/>
              </w:rPr>
            </w:pPr>
          </w:p>
        </w:tc>
      </w:tr>
      <w:tr w:rsidR="00A663F1" w14:paraId="22C30553" w14:textId="77777777">
        <w:trPr>
          <w:trHeight w:val="385"/>
        </w:trPr>
        <w:tc>
          <w:tcPr>
            <w:tcW w:w="1980" w:type="dxa"/>
            <w:vMerge/>
            <w:tcBorders>
              <w:top w:val="nil"/>
            </w:tcBorders>
          </w:tcPr>
          <w:p w14:paraId="175D93EF" w14:textId="77777777" w:rsidR="00A663F1" w:rsidRDefault="00A663F1">
            <w:pPr>
              <w:rPr>
                <w:sz w:val="2"/>
                <w:szCs w:val="2"/>
              </w:rPr>
            </w:pPr>
          </w:p>
        </w:tc>
        <w:tc>
          <w:tcPr>
            <w:tcW w:w="1841" w:type="dxa"/>
            <w:vMerge/>
            <w:tcBorders>
              <w:top w:val="nil"/>
            </w:tcBorders>
          </w:tcPr>
          <w:p w14:paraId="7C00F4AA" w14:textId="77777777" w:rsidR="00A663F1" w:rsidRDefault="00A663F1">
            <w:pPr>
              <w:rPr>
                <w:sz w:val="2"/>
                <w:szCs w:val="2"/>
              </w:rPr>
            </w:pPr>
          </w:p>
        </w:tc>
        <w:tc>
          <w:tcPr>
            <w:tcW w:w="1697" w:type="dxa"/>
            <w:vMerge/>
            <w:tcBorders>
              <w:top w:val="nil"/>
            </w:tcBorders>
          </w:tcPr>
          <w:p w14:paraId="4BB70A7A" w14:textId="77777777" w:rsidR="00A663F1" w:rsidRDefault="00A663F1">
            <w:pPr>
              <w:rPr>
                <w:sz w:val="2"/>
                <w:szCs w:val="2"/>
              </w:rPr>
            </w:pPr>
          </w:p>
        </w:tc>
        <w:tc>
          <w:tcPr>
            <w:tcW w:w="4815" w:type="dxa"/>
          </w:tcPr>
          <w:p w14:paraId="4819D9BD" w14:textId="77777777" w:rsidR="00A663F1" w:rsidRDefault="00E46EDB">
            <w:pPr>
              <w:pStyle w:val="TableParagraph"/>
              <w:spacing w:before="52" w:line="240" w:lineRule="auto"/>
              <w:ind w:left="648"/>
              <w:rPr>
                <w:sz w:val="20"/>
              </w:rPr>
            </w:pPr>
            <w:r>
              <w:rPr>
                <w:w w:val="99"/>
                <w:sz w:val="20"/>
              </w:rPr>
              <w:t>0</w:t>
            </w:r>
          </w:p>
        </w:tc>
      </w:tr>
    </w:tbl>
    <w:p w14:paraId="2EAFF694" w14:textId="77777777" w:rsidR="00A663F1" w:rsidRDefault="00A663F1">
      <w:pPr>
        <w:rPr>
          <w:sz w:val="20"/>
        </w:rPr>
        <w:sectPr w:rsidR="00A663F1">
          <w:pgSz w:w="11910" w:h="16850"/>
          <w:pgMar w:top="600" w:right="720" w:bottom="960" w:left="600" w:header="0" w:footer="761" w:gutter="0"/>
          <w:cols w:space="720"/>
        </w:sectPr>
      </w:pPr>
    </w:p>
    <w:p w14:paraId="2F9352CD" w14:textId="77777777" w:rsidR="00A663F1" w:rsidRDefault="00E46EDB">
      <w:pPr>
        <w:tabs>
          <w:tab w:val="left" w:pos="8365"/>
        </w:tabs>
        <w:spacing w:before="78"/>
        <w:ind w:left="252"/>
        <w:rPr>
          <w:sz w:val="32"/>
        </w:rPr>
      </w:pPr>
      <w:r>
        <w:rPr>
          <w:b/>
          <w:spacing w:val="-4"/>
          <w:sz w:val="32"/>
        </w:rPr>
        <w:lastRenderedPageBreak/>
        <w:t xml:space="preserve">Summary: </w:t>
      </w:r>
      <w:r>
        <w:rPr>
          <w:b/>
          <w:spacing w:val="-5"/>
          <w:sz w:val="32"/>
        </w:rPr>
        <w:t>Analysis</w:t>
      </w:r>
      <w:r>
        <w:rPr>
          <w:b/>
          <w:spacing w:val="-18"/>
          <w:sz w:val="32"/>
        </w:rPr>
        <w:t xml:space="preserve"> </w:t>
      </w:r>
      <w:r>
        <w:rPr>
          <w:b/>
          <w:sz w:val="32"/>
        </w:rPr>
        <w:t>&amp;</w:t>
      </w:r>
      <w:r>
        <w:rPr>
          <w:b/>
          <w:spacing w:val="-8"/>
          <w:sz w:val="32"/>
        </w:rPr>
        <w:t xml:space="preserve"> </w:t>
      </w:r>
      <w:r>
        <w:rPr>
          <w:b/>
          <w:spacing w:val="-4"/>
          <w:sz w:val="32"/>
        </w:rPr>
        <w:t>Evidence</w:t>
      </w:r>
      <w:r>
        <w:rPr>
          <w:b/>
          <w:spacing w:val="-4"/>
          <w:sz w:val="32"/>
        </w:rPr>
        <w:tab/>
      </w:r>
      <w:r>
        <w:rPr>
          <w:spacing w:val="-4"/>
          <w:sz w:val="32"/>
        </w:rPr>
        <w:t>Policy Option</w:t>
      </w:r>
      <w:r>
        <w:rPr>
          <w:spacing w:val="-11"/>
          <w:sz w:val="32"/>
        </w:rPr>
        <w:t xml:space="preserve"> </w:t>
      </w:r>
      <w:r>
        <w:rPr>
          <w:sz w:val="32"/>
        </w:rPr>
        <w:t>3</w:t>
      </w:r>
    </w:p>
    <w:p w14:paraId="41DC3D71" w14:textId="77777777" w:rsidR="00A663F1" w:rsidRDefault="00E46EDB">
      <w:pPr>
        <w:spacing w:before="61" w:after="4" w:line="290" w:lineRule="auto"/>
        <w:ind w:left="252" w:right="6612"/>
        <w:rPr>
          <w:b/>
          <w:sz w:val="20"/>
        </w:rPr>
      </w:pPr>
      <w:r>
        <w:rPr>
          <w:b/>
          <w:spacing w:val="-5"/>
          <w:sz w:val="20"/>
        </w:rPr>
        <w:t xml:space="preserve">Description: Regulatory Breathing Space </w:t>
      </w:r>
      <w:r>
        <w:rPr>
          <w:b/>
          <w:spacing w:val="-4"/>
          <w:sz w:val="20"/>
        </w:rPr>
        <w:t xml:space="preserve">FULL </w:t>
      </w:r>
      <w:r>
        <w:rPr>
          <w:b/>
          <w:spacing w:val="-5"/>
          <w:sz w:val="20"/>
        </w:rPr>
        <w:t>ECONOMIC ASSESSMENT</w:t>
      </w:r>
    </w:p>
    <w:tbl>
      <w:tblPr>
        <w:tblW w:w="0" w:type="auto"/>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88"/>
        <w:gridCol w:w="735"/>
        <w:gridCol w:w="522"/>
        <w:gridCol w:w="1422"/>
        <w:gridCol w:w="780"/>
        <w:gridCol w:w="1025"/>
        <w:gridCol w:w="1825"/>
        <w:gridCol w:w="1765"/>
        <w:gridCol w:w="855"/>
      </w:tblGrid>
      <w:tr w:rsidR="00A663F1" w14:paraId="33F47D9D" w14:textId="77777777">
        <w:trPr>
          <w:trHeight w:val="282"/>
        </w:trPr>
        <w:tc>
          <w:tcPr>
            <w:tcW w:w="1388" w:type="dxa"/>
            <w:vMerge w:val="restart"/>
          </w:tcPr>
          <w:p w14:paraId="392DF004" w14:textId="77777777" w:rsidR="00A663F1" w:rsidRDefault="00E46EDB">
            <w:pPr>
              <w:pStyle w:val="TableParagraph"/>
              <w:spacing w:before="49" w:line="240" w:lineRule="auto"/>
              <w:ind w:left="127" w:right="208"/>
              <w:rPr>
                <w:sz w:val="20"/>
              </w:rPr>
            </w:pPr>
            <w:r>
              <w:rPr>
                <w:b/>
                <w:sz w:val="20"/>
              </w:rPr>
              <w:t xml:space="preserve">Price Base Year </w:t>
            </w:r>
            <w:r>
              <w:rPr>
                <w:sz w:val="20"/>
              </w:rPr>
              <w:t>2021</w:t>
            </w:r>
          </w:p>
        </w:tc>
        <w:tc>
          <w:tcPr>
            <w:tcW w:w="1257" w:type="dxa"/>
            <w:gridSpan w:val="2"/>
            <w:vMerge w:val="restart"/>
          </w:tcPr>
          <w:p w14:paraId="325DACBC" w14:textId="77777777" w:rsidR="00A663F1" w:rsidRDefault="00E46EDB">
            <w:pPr>
              <w:pStyle w:val="TableParagraph"/>
              <w:spacing w:before="49" w:line="240" w:lineRule="auto"/>
              <w:ind w:left="133" w:right="159"/>
              <w:rPr>
                <w:sz w:val="20"/>
              </w:rPr>
            </w:pPr>
            <w:r>
              <w:rPr>
                <w:b/>
                <w:sz w:val="20"/>
              </w:rPr>
              <w:t xml:space="preserve">PV Base Year </w:t>
            </w:r>
            <w:r>
              <w:rPr>
                <w:sz w:val="20"/>
              </w:rPr>
              <w:t>2021</w:t>
            </w:r>
          </w:p>
        </w:tc>
        <w:tc>
          <w:tcPr>
            <w:tcW w:w="1422" w:type="dxa"/>
            <w:vMerge w:val="restart"/>
            <w:tcBorders>
              <w:right w:val="single" w:sz="12" w:space="0" w:color="000000"/>
            </w:tcBorders>
          </w:tcPr>
          <w:p w14:paraId="4EB8759F" w14:textId="77777777" w:rsidR="00A663F1" w:rsidRDefault="00E46EDB">
            <w:pPr>
              <w:pStyle w:val="TableParagraph"/>
              <w:spacing w:before="49" w:line="240" w:lineRule="auto"/>
              <w:ind w:left="132" w:right="105"/>
              <w:rPr>
                <w:sz w:val="20"/>
              </w:rPr>
            </w:pPr>
            <w:r>
              <w:rPr>
                <w:b/>
                <w:sz w:val="20"/>
              </w:rPr>
              <w:t xml:space="preserve">Time Period Years </w:t>
            </w:r>
            <w:r>
              <w:rPr>
                <w:sz w:val="20"/>
              </w:rPr>
              <w:t>10</w:t>
            </w:r>
          </w:p>
        </w:tc>
        <w:tc>
          <w:tcPr>
            <w:tcW w:w="6250" w:type="dxa"/>
            <w:gridSpan w:val="5"/>
            <w:tcBorders>
              <w:top w:val="single" w:sz="12" w:space="0" w:color="000000"/>
              <w:left w:val="single" w:sz="12" w:space="0" w:color="000000"/>
              <w:bottom w:val="single" w:sz="12" w:space="0" w:color="000000"/>
              <w:right w:val="single" w:sz="12" w:space="0" w:color="000000"/>
            </w:tcBorders>
          </w:tcPr>
          <w:p w14:paraId="15853FFD" w14:textId="77777777" w:rsidR="00A663F1" w:rsidRDefault="00E46EDB">
            <w:pPr>
              <w:pStyle w:val="TableParagraph"/>
              <w:spacing w:before="49" w:line="213" w:lineRule="exact"/>
              <w:ind w:left="1477"/>
              <w:rPr>
                <w:b/>
                <w:sz w:val="20"/>
              </w:rPr>
            </w:pPr>
            <w:r>
              <w:rPr>
                <w:b/>
                <w:sz w:val="20"/>
              </w:rPr>
              <w:t>Net Benefit (Present Value (PV)) (£m)</w:t>
            </w:r>
          </w:p>
        </w:tc>
      </w:tr>
      <w:tr w:rsidR="00A663F1" w14:paraId="472B5464" w14:textId="77777777">
        <w:trPr>
          <w:trHeight w:val="402"/>
        </w:trPr>
        <w:tc>
          <w:tcPr>
            <w:tcW w:w="1388" w:type="dxa"/>
            <w:vMerge/>
            <w:tcBorders>
              <w:top w:val="nil"/>
            </w:tcBorders>
          </w:tcPr>
          <w:p w14:paraId="4583CC6C" w14:textId="77777777" w:rsidR="00A663F1" w:rsidRDefault="00A663F1">
            <w:pPr>
              <w:rPr>
                <w:sz w:val="2"/>
                <w:szCs w:val="2"/>
              </w:rPr>
            </w:pPr>
          </w:p>
        </w:tc>
        <w:tc>
          <w:tcPr>
            <w:tcW w:w="1257" w:type="dxa"/>
            <w:gridSpan w:val="2"/>
            <w:vMerge/>
            <w:tcBorders>
              <w:top w:val="nil"/>
            </w:tcBorders>
          </w:tcPr>
          <w:p w14:paraId="6C4623A6" w14:textId="77777777" w:rsidR="00A663F1" w:rsidRDefault="00A663F1">
            <w:pPr>
              <w:rPr>
                <w:sz w:val="2"/>
                <w:szCs w:val="2"/>
              </w:rPr>
            </w:pPr>
          </w:p>
        </w:tc>
        <w:tc>
          <w:tcPr>
            <w:tcW w:w="1422" w:type="dxa"/>
            <w:vMerge/>
            <w:tcBorders>
              <w:top w:val="nil"/>
              <w:right w:val="single" w:sz="12" w:space="0" w:color="000000"/>
            </w:tcBorders>
          </w:tcPr>
          <w:p w14:paraId="59D27E08" w14:textId="77777777" w:rsidR="00A663F1" w:rsidRDefault="00A663F1">
            <w:pPr>
              <w:rPr>
                <w:sz w:val="2"/>
                <w:szCs w:val="2"/>
              </w:rPr>
            </w:pPr>
          </w:p>
        </w:tc>
        <w:tc>
          <w:tcPr>
            <w:tcW w:w="1805" w:type="dxa"/>
            <w:gridSpan w:val="2"/>
            <w:tcBorders>
              <w:left w:val="single" w:sz="12" w:space="0" w:color="000000"/>
              <w:bottom w:val="single" w:sz="12" w:space="0" w:color="000000"/>
            </w:tcBorders>
          </w:tcPr>
          <w:p w14:paraId="7B39D3F1" w14:textId="77777777" w:rsidR="00A663F1" w:rsidRDefault="00E46EDB">
            <w:pPr>
              <w:pStyle w:val="TableParagraph"/>
              <w:spacing w:before="49" w:line="240" w:lineRule="auto"/>
              <w:ind w:left="145"/>
              <w:rPr>
                <w:b/>
                <w:sz w:val="20"/>
              </w:rPr>
            </w:pPr>
            <w:r>
              <w:rPr>
                <w:b/>
                <w:sz w:val="20"/>
              </w:rPr>
              <w:t>Low:</w:t>
            </w:r>
          </w:p>
        </w:tc>
        <w:tc>
          <w:tcPr>
            <w:tcW w:w="1825" w:type="dxa"/>
            <w:tcBorders>
              <w:bottom w:val="single" w:sz="12" w:space="0" w:color="000000"/>
              <w:right w:val="single" w:sz="12" w:space="0" w:color="000000"/>
            </w:tcBorders>
          </w:tcPr>
          <w:p w14:paraId="7484B8FD" w14:textId="77777777" w:rsidR="00A663F1" w:rsidRDefault="00E46EDB">
            <w:pPr>
              <w:pStyle w:val="TableParagraph"/>
              <w:spacing w:before="49" w:line="240" w:lineRule="auto"/>
              <w:ind w:left="133"/>
              <w:rPr>
                <w:b/>
                <w:sz w:val="20"/>
              </w:rPr>
            </w:pPr>
            <w:r>
              <w:rPr>
                <w:b/>
                <w:sz w:val="20"/>
              </w:rPr>
              <w:t>High:</w:t>
            </w:r>
          </w:p>
        </w:tc>
        <w:tc>
          <w:tcPr>
            <w:tcW w:w="2620" w:type="dxa"/>
            <w:gridSpan w:val="2"/>
            <w:tcBorders>
              <w:top w:val="single" w:sz="12" w:space="0" w:color="000000"/>
              <w:left w:val="single" w:sz="12" w:space="0" w:color="000000"/>
              <w:bottom w:val="single" w:sz="12" w:space="0" w:color="000000"/>
              <w:right w:val="single" w:sz="12" w:space="0" w:color="000000"/>
            </w:tcBorders>
          </w:tcPr>
          <w:p w14:paraId="22B9A63E" w14:textId="77777777" w:rsidR="00A663F1" w:rsidRDefault="00E46EDB">
            <w:pPr>
              <w:pStyle w:val="TableParagraph"/>
              <w:spacing w:before="49" w:line="240" w:lineRule="auto"/>
              <w:ind w:left="128"/>
              <w:rPr>
                <w:b/>
                <w:sz w:val="20"/>
              </w:rPr>
            </w:pPr>
            <w:r>
              <w:rPr>
                <w:b/>
                <w:sz w:val="20"/>
              </w:rPr>
              <w:t>Best Estimate: 11577.5</w:t>
            </w:r>
          </w:p>
        </w:tc>
      </w:tr>
      <w:tr w:rsidR="00A663F1" w14:paraId="22C8CE50" w14:textId="77777777">
        <w:trPr>
          <w:trHeight w:val="87"/>
        </w:trPr>
        <w:tc>
          <w:tcPr>
            <w:tcW w:w="7697" w:type="dxa"/>
            <w:gridSpan w:val="7"/>
            <w:tcBorders>
              <w:top w:val="single" w:sz="12" w:space="0" w:color="000000"/>
              <w:left w:val="nil"/>
              <w:bottom w:val="single" w:sz="12" w:space="0" w:color="000000"/>
              <w:right w:val="nil"/>
            </w:tcBorders>
          </w:tcPr>
          <w:p w14:paraId="64515F2F" w14:textId="77777777" w:rsidR="00A663F1" w:rsidRDefault="00A663F1">
            <w:pPr>
              <w:pStyle w:val="TableParagraph"/>
              <w:spacing w:line="240" w:lineRule="auto"/>
              <w:rPr>
                <w:rFonts w:ascii="Times New Roman"/>
                <w:sz w:val="4"/>
              </w:rPr>
            </w:pPr>
          </w:p>
        </w:tc>
        <w:tc>
          <w:tcPr>
            <w:tcW w:w="2620" w:type="dxa"/>
            <w:gridSpan w:val="2"/>
            <w:tcBorders>
              <w:top w:val="single" w:sz="12" w:space="0" w:color="000000"/>
              <w:left w:val="nil"/>
              <w:bottom w:val="single" w:sz="12" w:space="0" w:color="000000"/>
              <w:right w:val="nil"/>
            </w:tcBorders>
          </w:tcPr>
          <w:p w14:paraId="20BD8CA1" w14:textId="77777777" w:rsidR="00A663F1" w:rsidRDefault="00A663F1">
            <w:pPr>
              <w:pStyle w:val="TableParagraph"/>
              <w:spacing w:line="240" w:lineRule="auto"/>
              <w:rPr>
                <w:rFonts w:ascii="Times New Roman"/>
                <w:sz w:val="4"/>
              </w:rPr>
            </w:pPr>
          </w:p>
        </w:tc>
      </w:tr>
      <w:tr w:rsidR="00A663F1" w14:paraId="439062E3" w14:textId="77777777">
        <w:trPr>
          <w:trHeight w:val="536"/>
        </w:trPr>
        <w:tc>
          <w:tcPr>
            <w:tcW w:w="2123" w:type="dxa"/>
            <w:gridSpan w:val="2"/>
            <w:tcBorders>
              <w:top w:val="single" w:sz="12" w:space="0" w:color="000000"/>
              <w:left w:val="single" w:sz="12" w:space="0" w:color="000000"/>
              <w:bottom w:val="single" w:sz="12" w:space="0" w:color="000000"/>
              <w:right w:val="single" w:sz="6" w:space="0" w:color="000000"/>
            </w:tcBorders>
          </w:tcPr>
          <w:p w14:paraId="0C9F9407" w14:textId="77777777" w:rsidR="00A663F1" w:rsidRDefault="00E46EDB">
            <w:pPr>
              <w:pStyle w:val="TableParagraph"/>
              <w:spacing w:before="52" w:line="240" w:lineRule="auto"/>
              <w:ind w:left="145"/>
              <w:rPr>
                <w:b/>
                <w:sz w:val="24"/>
              </w:rPr>
            </w:pPr>
            <w:r>
              <w:rPr>
                <w:b/>
                <w:sz w:val="24"/>
              </w:rPr>
              <w:t>COSTS (£m)</w:t>
            </w:r>
          </w:p>
        </w:tc>
        <w:tc>
          <w:tcPr>
            <w:tcW w:w="2724" w:type="dxa"/>
            <w:gridSpan w:val="3"/>
            <w:tcBorders>
              <w:top w:val="single" w:sz="12" w:space="0" w:color="000000"/>
              <w:left w:val="single" w:sz="6" w:space="0" w:color="000000"/>
              <w:bottom w:val="single" w:sz="12" w:space="0" w:color="000000"/>
              <w:right w:val="single" w:sz="6" w:space="0" w:color="000000"/>
            </w:tcBorders>
          </w:tcPr>
          <w:p w14:paraId="60FE9686" w14:textId="77777777" w:rsidR="00A663F1" w:rsidRDefault="00E46EDB">
            <w:pPr>
              <w:pStyle w:val="TableParagraph"/>
              <w:spacing w:before="49" w:line="240" w:lineRule="auto"/>
              <w:ind w:right="88"/>
              <w:jc w:val="right"/>
              <w:rPr>
                <w:b/>
                <w:sz w:val="20"/>
              </w:rPr>
            </w:pPr>
            <w:r>
              <w:rPr>
                <w:b/>
                <w:spacing w:val="-4"/>
                <w:sz w:val="20"/>
              </w:rPr>
              <w:t>Total</w:t>
            </w:r>
            <w:r>
              <w:rPr>
                <w:b/>
                <w:spacing w:val="-10"/>
                <w:sz w:val="20"/>
              </w:rPr>
              <w:t xml:space="preserve"> </w:t>
            </w:r>
            <w:r>
              <w:rPr>
                <w:b/>
                <w:spacing w:val="-5"/>
                <w:sz w:val="20"/>
              </w:rPr>
              <w:t>Transition</w:t>
            </w:r>
          </w:p>
          <w:p w14:paraId="21E1858C" w14:textId="77777777" w:rsidR="00A663F1" w:rsidRDefault="00E46EDB">
            <w:pPr>
              <w:pStyle w:val="TableParagraph"/>
              <w:tabs>
                <w:tab w:val="left" w:pos="1538"/>
              </w:tabs>
              <w:spacing w:line="240" w:lineRule="auto"/>
              <w:ind w:right="88"/>
              <w:jc w:val="right"/>
              <w:rPr>
                <w:sz w:val="18"/>
              </w:rPr>
            </w:pPr>
            <w:r>
              <w:rPr>
                <w:spacing w:val="-5"/>
                <w:sz w:val="18"/>
              </w:rPr>
              <w:t>(Constant</w:t>
            </w:r>
            <w:r>
              <w:rPr>
                <w:spacing w:val="-8"/>
                <w:sz w:val="18"/>
              </w:rPr>
              <w:t xml:space="preserve"> </w:t>
            </w:r>
            <w:r>
              <w:rPr>
                <w:spacing w:val="-5"/>
                <w:sz w:val="18"/>
              </w:rPr>
              <w:t>Price)</w:t>
            </w:r>
            <w:r>
              <w:rPr>
                <w:spacing w:val="-5"/>
                <w:sz w:val="18"/>
              </w:rPr>
              <w:tab/>
              <w:t>Years</w:t>
            </w:r>
          </w:p>
        </w:tc>
        <w:tc>
          <w:tcPr>
            <w:tcW w:w="2850" w:type="dxa"/>
            <w:gridSpan w:val="2"/>
            <w:tcBorders>
              <w:top w:val="single" w:sz="12" w:space="0" w:color="000000"/>
              <w:left w:val="single" w:sz="6" w:space="0" w:color="000000"/>
              <w:bottom w:val="single" w:sz="12" w:space="0" w:color="000000"/>
              <w:right w:val="single" w:sz="12" w:space="0" w:color="000000"/>
            </w:tcBorders>
          </w:tcPr>
          <w:p w14:paraId="63CD10CB" w14:textId="77777777" w:rsidR="00A663F1" w:rsidRDefault="00E46EDB">
            <w:pPr>
              <w:pStyle w:val="TableParagraph"/>
              <w:spacing w:before="49" w:line="240" w:lineRule="auto"/>
              <w:ind w:right="87"/>
              <w:jc w:val="right"/>
              <w:rPr>
                <w:b/>
                <w:sz w:val="20"/>
              </w:rPr>
            </w:pPr>
            <w:r>
              <w:rPr>
                <w:b/>
                <w:spacing w:val="-5"/>
                <w:sz w:val="20"/>
              </w:rPr>
              <w:t xml:space="preserve">Average </w:t>
            </w:r>
            <w:r>
              <w:rPr>
                <w:b/>
                <w:spacing w:val="-6"/>
                <w:sz w:val="20"/>
              </w:rPr>
              <w:t>Annual</w:t>
            </w:r>
          </w:p>
          <w:p w14:paraId="4D0A19C8" w14:textId="77777777" w:rsidR="00A663F1" w:rsidRDefault="00E46EDB">
            <w:pPr>
              <w:pStyle w:val="TableParagraph"/>
              <w:spacing w:line="240" w:lineRule="auto"/>
              <w:ind w:right="87"/>
              <w:jc w:val="right"/>
              <w:rPr>
                <w:sz w:val="18"/>
              </w:rPr>
            </w:pPr>
            <w:r>
              <w:rPr>
                <w:spacing w:val="-5"/>
                <w:sz w:val="18"/>
              </w:rPr>
              <w:t>(excl. Transition) (Constant</w:t>
            </w:r>
            <w:r>
              <w:rPr>
                <w:spacing w:val="-16"/>
                <w:sz w:val="18"/>
              </w:rPr>
              <w:t xml:space="preserve"> </w:t>
            </w:r>
            <w:r>
              <w:rPr>
                <w:spacing w:val="-5"/>
                <w:sz w:val="18"/>
              </w:rPr>
              <w:t>Price)</w:t>
            </w:r>
          </w:p>
        </w:tc>
        <w:tc>
          <w:tcPr>
            <w:tcW w:w="2620" w:type="dxa"/>
            <w:gridSpan w:val="2"/>
            <w:tcBorders>
              <w:top w:val="single" w:sz="12" w:space="0" w:color="000000"/>
              <w:left w:val="single" w:sz="12" w:space="0" w:color="000000"/>
              <w:bottom w:val="single" w:sz="12" w:space="0" w:color="000000"/>
              <w:right w:val="single" w:sz="12" w:space="0" w:color="000000"/>
            </w:tcBorders>
          </w:tcPr>
          <w:p w14:paraId="178BE5ED" w14:textId="77777777" w:rsidR="00A663F1" w:rsidRDefault="00E46EDB">
            <w:pPr>
              <w:pStyle w:val="TableParagraph"/>
              <w:spacing w:before="49" w:line="240" w:lineRule="auto"/>
              <w:ind w:right="86"/>
              <w:jc w:val="right"/>
              <w:rPr>
                <w:b/>
                <w:sz w:val="20"/>
              </w:rPr>
            </w:pPr>
            <w:r>
              <w:rPr>
                <w:b/>
                <w:spacing w:val="-4"/>
                <w:sz w:val="20"/>
              </w:rPr>
              <w:t>Total</w:t>
            </w:r>
            <w:r>
              <w:rPr>
                <w:b/>
                <w:spacing w:val="-14"/>
                <w:sz w:val="20"/>
              </w:rPr>
              <w:t xml:space="preserve"> </w:t>
            </w:r>
            <w:r>
              <w:rPr>
                <w:b/>
                <w:spacing w:val="-4"/>
                <w:sz w:val="20"/>
              </w:rPr>
              <w:t>Cost</w:t>
            </w:r>
          </w:p>
          <w:p w14:paraId="6D006786" w14:textId="77777777" w:rsidR="00A663F1" w:rsidRDefault="00E46EDB">
            <w:pPr>
              <w:pStyle w:val="TableParagraph"/>
              <w:spacing w:line="240" w:lineRule="auto"/>
              <w:ind w:right="83"/>
              <w:jc w:val="right"/>
              <w:rPr>
                <w:sz w:val="18"/>
              </w:rPr>
            </w:pPr>
            <w:r>
              <w:rPr>
                <w:spacing w:val="-5"/>
                <w:sz w:val="18"/>
              </w:rPr>
              <w:t>(Present</w:t>
            </w:r>
            <w:r>
              <w:rPr>
                <w:spacing w:val="-6"/>
                <w:sz w:val="18"/>
              </w:rPr>
              <w:t xml:space="preserve"> </w:t>
            </w:r>
            <w:r>
              <w:rPr>
                <w:spacing w:val="-5"/>
                <w:sz w:val="18"/>
              </w:rPr>
              <w:t>Value)</w:t>
            </w:r>
          </w:p>
        </w:tc>
      </w:tr>
      <w:tr w:rsidR="00A663F1" w14:paraId="24E2A98B" w14:textId="77777777">
        <w:trPr>
          <w:trHeight w:val="317"/>
        </w:trPr>
        <w:tc>
          <w:tcPr>
            <w:tcW w:w="2123" w:type="dxa"/>
            <w:gridSpan w:val="2"/>
            <w:tcBorders>
              <w:top w:val="single" w:sz="12" w:space="0" w:color="000000"/>
              <w:left w:val="single" w:sz="12" w:space="0" w:color="000000"/>
              <w:bottom w:val="single" w:sz="12" w:space="0" w:color="000000"/>
              <w:right w:val="single" w:sz="12" w:space="0" w:color="000000"/>
            </w:tcBorders>
          </w:tcPr>
          <w:p w14:paraId="152E64D3" w14:textId="77777777" w:rsidR="00A663F1" w:rsidRDefault="00E46EDB">
            <w:pPr>
              <w:pStyle w:val="TableParagraph"/>
              <w:spacing w:before="52" w:line="240" w:lineRule="auto"/>
              <w:ind w:left="145"/>
              <w:rPr>
                <w:b/>
                <w:sz w:val="20"/>
              </w:rPr>
            </w:pPr>
            <w:r>
              <w:rPr>
                <w:b/>
                <w:sz w:val="20"/>
              </w:rPr>
              <w:t>Best Estimate</w:t>
            </w:r>
          </w:p>
        </w:tc>
        <w:tc>
          <w:tcPr>
            <w:tcW w:w="1944" w:type="dxa"/>
            <w:gridSpan w:val="2"/>
            <w:tcBorders>
              <w:top w:val="single" w:sz="12" w:space="0" w:color="000000"/>
              <w:left w:val="single" w:sz="12" w:space="0" w:color="000000"/>
              <w:bottom w:val="single" w:sz="12" w:space="0" w:color="000000"/>
              <w:right w:val="single" w:sz="12" w:space="0" w:color="000000"/>
            </w:tcBorders>
          </w:tcPr>
          <w:p w14:paraId="2FDEBBA2" w14:textId="77777777" w:rsidR="00A663F1" w:rsidRDefault="00E46EDB">
            <w:pPr>
              <w:pStyle w:val="TableParagraph"/>
              <w:spacing w:before="52" w:line="246" w:lineRule="exact"/>
              <w:ind w:right="88"/>
              <w:jc w:val="right"/>
            </w:pPr>
            <w:r>
              <w:t>31.7</w:t>
            </w:r>
          </w:p>
        </w:tc>
        <w:tc>
          <w:tcPr>
            <w:tcW w:w="780" w:type="dxa"/>
            <w:tcBorders>
              <w:top w:val="single" w:sz="6" w:space="0" w:color="000000"/>
              <w:left w:val="single" w:sz="12" w:space="0" w:color="000000"/>
              <w:bottom w:val="single" w:sz="6" w:space="0" w:color="000000"/>
              <w:right w:val="single" w:sz="12" w:space="0" w:color="000000"/>
            </w:tcBorders>
          </w:tcPr>
          <w:p w14:paraId="0ED10C8C" w14:textId="77777777" w:rsidR="00A663F1" w:rsidRDefault="00A663F1">
            <w:pPr>
              <w:pStyle w:val="TableParagraph"/>
              <w:spacing w:line="240" w:lineRule="auto"/>
              <w:rPr>
                <w:rFonts w:ascii="Times New Roman"/>
                <w:sz w:val="20"/>
              </w:rPr>
            </w:pPr>
          </w:p>
        </w:tc>
        <w:tc>
          <w:tcPr>
            <w:tcW w:w="2850" w:type="dxa"/>
            <w:gridSpan w:val="2"/>
            <w:tcBorders>
              <w:top w:val="single" w:sz="12" w:space="0" w:color="000000"/>
              <w:left w:val="single" w:sz="12" w:space="0" w:color="000000"/>
              <w:bottom w:val="single" w:sz="12" w:space="0" w:color="000000"/>
              <w:right w:val="single" w:sz="12" w:space="0" w:color="000000"/>
            </w:tcBorders>
          </w:tcPr>
          <w:p w14:paraId="04DB1069" w14:textId="77777777" w:rsidR="00A663F1" w:rsidRDefault="00E46EDB">
            <w:pPr>
              <w:pStyle w:val="TableParagraph"/>
              <w:spacing w:before="52" w:line="246" w:lineRule="exact"/>
              <w:ind w:right="83"/>
              <w:jc w:val="right"/>
            </w:pPr>
            <w:r>
              <w:t>240.2</w:t>
            </w:r>
          </w:p>
        </w:tc>
        <w:tc>
          <w:tcPr>
            <w:tcW w:w="2620" w:type="dxa"/>
            <w:gridSpan w:val="2"/>
            <w:tcBorders>
              <w:top w:val="single" w:sz="12" w:space="0" w:color="000000"/>
              <w:left w:val="single" w:sz="12" w:space="0" w:color="000000"/>
              <w:bottom w:val="single" w:sz="12" w:space="0" w:color="000000"/>
              <w:right w:val="single" w:sz="12" w:space="0" w:color="000000"/>
            </w:tcBorders>
          </w:tcPr>
          <w:p w14:paraId="63112C70" w14:textId="77777777" w:rsidR="00A663F1" w:rsidRDefault="00E46EDB">
            <w:pPr>
              <w:pStyle w:val="TableParagraph"/>
              <w:spacing w:before="52" w:line="246" w:lineRule="exact"/>
              <w:ind w:right="84"/>
              <w:jc w:val="right"/>
              <w:rPr>
                <w:b/>
              </w:rPr>
            </w:pPr>
            <w:r>
              <w:rPr>
                <w:b/>
              </w:rPr>
              <w:t>2066.8</w:t>
            </w:r>
          </w:p>
        </w:tc>
      </w:tr>
      <w:tr w:rsidR="00A663F1" w14:paraId="7C8ADA0A" w14:textId="77777777">
        <w:trPr>
          <w:trHeight w:val="2044"/>
        </w:trPr>
        <w:tc>
          <w:tcPr>
            <w:tcW w:w="10317" w:type="dxa"/>
            <w:gridSpan w:val="9"/>
            <w:tcBorders>
              <w:top w:val="single" w:sz="12" w:space="0" w:color="000000"/>
              <w:left w:val="single" w:sz="12" w:space="0" w:color="000000"/>
              <w:bottom w:val="single" w:sz="6" w:space="0" w:color="000000"/>
              <w:right w:val="single" w:sz="12" w:space="0" w:color="000000"/>
            </w:tcBorders>
          </w:tcPr>
          <w:p w14:paraId="268EFFB5" w14:textId="77777777" w:rsidR="00A663F1" w:rsidRDefault="00E46EDB">
            <w:pPr>
              <w:pStyle w:val="TableParagraph"/>
              <w:spacing w:before="52" w:line="240" w:lineRule="auto"/>
              <w:ind w:left="145"/>
              <w:rPr>
                <w:b/>
                <w:sz w:val="20"/>
              </w:rPr>
            </w:pPr>
            <w:r>
              <w:rPr>
                <w:b/>
                <w:sz w:val="20"/>
              </w:rPr>
              <w:t>Description and scale of key monetised costs by ‘main affected groups’ (costs in present value)</w:t>
            </w:r>
          </w:p>
          <w:p w14:paraId="56F47DCC" w14:textId="77777777" w:rsidR="00A663F1" w:rsidRDefault="00E46EDB">
            <w:pPr>
              <w:pStyle w:val="TableParagraph"/>
              <w:spacing w:before="48" w:line="240" w:lineRule="auto"/>
              <w:ind w:left="145" w:right="290"/>
            </w:pPr>
            <w:r>
              <w:rPr>
                <w:spacing w:val="-5"/>
              </w:rPr>
              <w:t xml:space="preserve">Creditors </w:t>
            </w:r>
            <w:r>
              <w:rPr>
                <w:spacing w:val="-6"/>
              </w:rPr>
              <w:t xml:space="preserve">will </w:t>
            </w:r>
            <w:r>
              <w:rPr>
                <w:spacing w:val="-5"/>
              </w:rPr>
              <w:t xml:space="preserve">forego </w:t>
            </w:r>
            <w:r>
              <w:rPr>
                <w:spacing w:val="-6"/>
              </w:rPr>
              <w:t xml:space="preserve">interest (£1460.9m) </w:t>
            </w:r>
            <w:r>
              <w:rPr>
                <w:spacing w:val="-4"/>
              </w:rPr>
              <w:t xml:space="preserve">and </w:t>
            </w:r>
            <w:r>
              <w:rPr>
                <w:spacing w:val="-6"/>
              </w:rPr>
              <w:t xml:space="preserve">charges (£207.7m). </w:t>
            </w:r>
            <w:r>
              <w:rPr>
                <w:spacing w:val="-5"/>
              </w:rPr>
              <w:t xml:space="preserve">Some </w:t>
            </w:r>
            <w:r>
              <w:rPr>
                <w:spacing w:val="-4"/>
              </w:rPr>
              <w:t xml:space="preserve">of </w:t>
            </w:r>
            <w:r>
              <w:rPr>
                <w:spacing w:val="-5"/>
              </w:rPr>
              <w:t xml:space="preserve">the debtors who </w:t>
            </w:r>
            <w:r>
              <w:rPr>
                <w:spacing w:val="-6"/>
              </w:rPr>
              <w:t xml:space="preserve">would </w:t>
            </w:r>
            <w:r>
              <w:rPr>
                <w:spacing w:val="-5"/>
              </w:rPr>
              <w:t xml:space="preserve">have </w:t>
            </w:r>
            <w:r>
              <w:rPr>
                <w:spacing w:val="-4"/>
              </w:rPr>
              <w:t xml:space="preserve">made </w:t>
            </w:r>
            <w:r>
              <w:rPr>
                <w:spacing w:val="-6"/>
              </w:rPr>
              <w:t xml:space="preserve">repayments </w:t>
            </w:r>
            <w:r>
              <w:rPr>
                <w:spacing w:val="-3"/>
              </w:rPr>
              <w:t xml:space="preserve">in </w:t>
            </w:r>
            <w:r>
              <w:rPr>
                <w:spacing w:val="-4"/>
              </w:rPr>
              <w:t xml:space="preserve">the </w:t>
            </w:r>
            <w:r>
              <w:rPr>
                <w:spacing w:val="-6"/>
              </w:rPr>
              <w:t xml:space="preserve">counterfactual </w:t>
            </w:r>
            <w:r>
              <w:rPr>
                <w:spacing w:val="-4"/>
              </w:rPr>
              <w:t xml:space="preserve">may </w:t>
            </w:r>
            <w:r>
              <w:rPr>
                <w:spacing w:val="-6"/>
              </w:rPr>
              <w:t xml:space="preserve">delay </w:t>
            </w:r>
            <w:r>
              <w:rPr>
                <w:spacing w:val="-5"/>
              </w:rPr>
              <w:t xml:space="preserve">their </w:t>
            </w:r>
            <w:r>
              <w:rPr>
                <w:spacing w:val="-6"/>
              </w:rPr>
              <w:t xml:space="preserve">repayments </w:t>
            </w:r>
            <w:r>
              <w:rPr>
                <w:spacing w:val="-5"/>
              </w:rPr>
              <w:t xml:space="preserve">under </w:t>
            </w:r>
            <w:r>
              <w:rPr>
                <w:spacing w:val="-6"/>
              </w:rPr>
              <w:t xml:space="preserve">Breathing </w:t>
            </w:r>
            <w:r>
              <w:rPr>
                <w:spacing w:val="-5"/>
              </w:rPr>
              <w:t xml:space="preserve">Space </w:t>
            </w:r>
            <w:r>
              <w:rPr>
                <w:spacing w:val="-4"/>
              </w:rPr>
              <w:t xml:space="preserve">and </w:t>
            </w:r>
            <w:r>
              <w:rPr>
                <w:spacing w:val="-5"/>
              </w:rPr>
              <w:t xml:space="preserve">some </w:t>
            </w:r>
            <w:r>
              <w:rPr>
                <w:spacing w:val="-6"/>
              </w:rPr>
              <w:t xml:space="preserve">revenue derived </w:t>
            </w:r>
            <w:r>
              <w:rPr>
                <w:spacing w:val="-4"/>
              </w:rPr>
              <w:t xml:space="preserve">from </w:t>
            </w:r>
            <w:r>
              <w:rPr>
                <w:spacing w:val="-6"/>
              </w:rPr>
              <w:t xml:space="preserve">enforcement </w:t>
            </w:r>
            <w:r>
              <w:rPr>
                <w:spacing w:val="-5"/>
              </w:rPr>
              <w:t xml:space="preserve">action </w:t>
            </w:r>
            <w:r>
              <w:rPr>
                <w:spacing w:val="-6"/>
              </w:rPr>
              <w:t xml:space="preserve">will </w:t>
            </w:r>
            <w:r>
              <w:rPr>
                <w:spacing w:val="-3"/>
              </w:rPr>
              <w:t xml:space="preserve">be </w:t>
            </w:r>
            <w:r>
              <w:rPr>
                <w:spacing w:val="-6"/>
              </w:rPr>
              <w:t xml:space="preserve">delayed, generating </w:t>
            </w:r>
            <w:r>
              <w:rPr>
                <w:spacing w:val="-5"/>
              </w:rPr>
              <w:t xml:space="preserve">costs </w:t>
            </w:r>
            <w:r>
              <w:t xml:space="preserve">to </w:t>
            </w:r>
            <w:r>
              <w:rPr>
                <w:spacing w:val="-5"/>
              </w:rPr>
              <w:t xml:space="preserve">creditors </w:t>
            </w:r>
            <w:r>
              <w:rPr>
                <w:spacing w:val="-6"/>
              </w:rPr>
              <w:t xml:space="preserve">(£1.4m). Creditors </w:t>
            </w:r>
            <w:r>
              <w:rPr>
                <w:spacing w:val="-4"/>
              </w:rPr>
              <w:t xml:space="preserve">and </w:t>
            </w:r>
            <w:r>
              <w:rPr>
                <w:spacing w:val="-5"/>
              </w:rPr>
              <w:t xml:space="preserve">debt </w:t>
            </w:r>
            <w:r>
              <w:rPr>
                <w:spacing w:val="-6"/>
              </w:rPr>
              <w:t xml:space="preserve">advisors will </w:t>
            </w:r>
            <w:r>
              <w:rPr>
                <w:spacing w:val="-4"/>
              </w:rPr>
              <w:t xml:space="preserve">face </w:t>
            </w:r>
            <w:r>
              <w:rPr>
                <w:spacing w:val="-6"/>
              </w:rPr>
              <w:t xml:space="preserve">administrative </w:t>
            </w:r>
            <w:r>
              <w:rPr>
                <w:spacing w:val="-5"/>
              </w:rPr>
              <w:t xml:space="preserve">costs </w:t>
            </w:r>
            <w:r>
              <w:rPr>
                <w:spacing w:val="-6"/>
              </w:rPr>
              <w:t xml:space="preserve">(£358.2m), </w:t>
            </w:r>
            <w:r>
              <w:rPr>
                <w:spacing w:val="-5"/>
              </w:rPr>
              <w:t xml:space="preserve">minimised through systems </w:t>
            </w:r>
            <w:r>
              <w:rPr>
                <w:spacing w:val="-6"/>
              </w:rPr>
              <w:t xml:space="preserve">changes </w:t>
            </w:r>
            <w:r>
              <w:rPr>
                <w:spacing w:val="-5"/>
              </w:rPr>
              <w:t xml:space="preserve">where economical </w:t>
            </w:r>
            <w:r>
              <w:rPr>
                <w:spacing w:val="-6"/>
              </w:rPr>
              <w:t xml:space="preserve">(£29.1m). </w:t>
            </w:r>
            <w:r>
              <w:rPr>
                <w:spacing w:val="-5"/>
              </w:rPr>
              <w:t xml:space="preserve">Creditors </w:t>
            </w:r>
            <w:r>
              <w:rPr>
                <w:spacing w:val="-4"/>
              </w:rPr>
              <w:t xml:space="preserve">and </w:t>
            </w:r>
            <w:r>
              <w:rPr>
                <w:spacing w:val="-5"/>
              </w:rPr>
              <w:t xml:space="preserve">debt </w:t>
            </w:r>
            <w:r>
              <w:rPr>
                <w:spacing w:val="-6"/>
              </w:rPr>
              <w:t xml:space="preserve">advisers will </w:t>
            </w:r>
            <w:r>
              <w:rPr>
                <w:spacing w:val="-4"/>
              </w:rPr>
              <w:t xml:space="preserve">face </w:t>
            </w:r>
            <w:r>
              <w:rPr>
                <w:spacing w:val="-6"/>
              </w:rPr>
              <w:t xml:space="preserve">familiarisation </w:t>
            </w:r>
            <w:r>
              <w:rPr>
                <w:spacing w:val="-5"/>
              </w:rPr>
              <w:t xml:space="preserve">(£0.4m) </w:t>
            </w:r>
            <w:r>
              <w:rPr>
                <w:spacing w:val="-4"/>
              </w:rPr>
              <w:t xml:space="preserve">and </w:t>
            </w:r>
            <w:r>
              <w:rPr>
                <w:spacing w:val="-6"/>
              </w:rPr>
              <w:t xml:space="preserve">dissemination </w:t>
            </w:r>
            <w:r>
              <w:rPr>
                <w:spacing w:val="-5"/>
              </w:rPr>
              <w:t xml:space="preserve">costs (£1.9m). </w:t>
            </w:r>
            <w:r>
              <w:rPr>
                <w:spacing w:val="-6"/>
              </w:rPr>
              <w:t xml:space="preserve">Government creditors will </w:t>
            </w:r>
            <w:r>
              <w:rPr>
                <w:spacing w:val="-4"/>
              </w:rPr>
              <w:t xml:space="preserve">face </w:t>
            </w:r>
            <w:r>
              <w:rPr>
                <w:spacing w:val="-5"/>
              </w:rPr>
              <w:t xml:space="preserve">similar </w:t>
            </w:r>
            <w:r>
              <w:rPr>
                <w:spacing w:val="-6"/>
              </w:rPr>
              <w:t>costs (£7.1m).</w:t>
            </w:r>
          </w:p>
        </w:tc>
      </w:tr>
      <w:tr w:rsidR="00A663F1" w14:paraId="03D549F4" w14:textId="77777777">
        <w:trPr>
          <w:trHeight w:val="678"/>
        </w:trPr>
        <w:tc>
          <w:tcPr>
            <w:tcW w:w="10317" w:type="dxa"/>
            <w:gridSpan w:val="9"/>
            <w:tcBorders>
              <w:top w:val="single" w:sz="6" w:space="0" w:color="000000"/>
              <w:left w:val="single" w:sz="12" w:space="0" w:color="000000"/>
              <w:bottom w:val="single" w:sz="12" w:space="0" w:color="000000"/>
              <w:right w:val="single" w:sz="12" w:space="0" w:color="000000"/>
            </w:tcBorders>
          </w:tcPr>
          <w:p w14:paraId="75DBB727" w14:textId="77777777" w:rsidR="00A663F1" w:rsidRDefault="00E46EDB">
            <w:pPr>
              <w:pStyle w:val="TableParagraph"/>
              <w:spacing w:before="49" w:line="240" w:lineRule="auto"/>
              <w:ind w:left="145"/>
              <w:rPr>
                <w:b/>
                <w:sz w:val="20"/>
              </w:rPr>
            </w:pPr>
            <w:r>
              <w:rPr>
                <w:b/>
                <w:sz w:val="20"/>
              </w:rPr>
              <w:t>Other key non-monetised costs by ‘main affected groups’</w:t>
            </w:r>
          </w:p>
          <w:p w14:paraId="090E4763" w14:textId="77777777" w:rsidR="00A663F1" w:rsidRDefault="00E46EDB">
            <w:pPr>
              <w:pStyle w:val="TableParagraph"/>
              <w:spacing w:before="52" w:line="240" w:lineRule="auto"/>
              <w:ind w:left="145"/>
            </w:pPr>
            <w:r>
              <w:t>Creditors may face opportunity costs as a result of the key monetised costs set out above.</w:t>
            </w:r>
          </w:p>
        </w:tc>
      </w:tr>
      <w:tr w:rsidR="00A663F1" w14:paraId="0DEF8BCC" w14:textId="77777777">
        <w:trPr>
          <w:trHeight w:val="538"/>
        </w:trPr>
        <w:tc>
          <w:tcPr>
            <w:tcW w:w="2123" w:type="dxa"/>
            <w:gridSpan w:val="2"/>
            <w:tcBorders>
              <w:top w:val="single" w:sz="12" w:space="0" w:color="000000"/>
              <w:left w:val="single" w:sz="12" w:space="0" w:color="000000"/>
              <w:bottom w:val="single" w:sz="12" w:space="0" w:color="000000"/>
              <w:right w:val="single" w:sz="6" w:space="0" w:color="000000"/>
            </w:tcBorders>
          </w:tcPr>
          <w:p w14:paraId="2882D6D4" w14:textId="77777777" w:rsidR="00A663F1" w:rsidRDefault="00E46EDB">
            <w:pPr>
              <w:pStyle w:val="TableParagraph"/>
              <w:spacing w:before="52" w:line="240" w:lineRule="auto"/>
              <w:ind w:left="145"/>
              <w:rPr>
                <w:b/>
                <w:sz w:val="24"/>
              </w:rPr>
            </w:pPr>
            <w:r>
              <w:rPr>
                <w:b/>
                <w:sz w:val="24"/>
              </w:rPr>
              <w:t>BENEFITS (£m)</w:t>
            </w:r>
          </w:p>
        </w:tc>
        <w:tc>
          <w:tcPr>
            <w:tcW w:w="2724" w:type="dxa"/>
            <w:gridSpan w:val="3"/>
            <w:tcBorders>
              <w:top w:val="single" w:sz="12" w:space="0" w:color="000000"/>
              <w:left w:val="single" w:sz="6" w:space="0" w:color="000000"/>
              <w:bottom w:val="single" w:sz="12" w:space="0" w:color="000000"/>
              <w:right w:val="single" w:sz="6" w:space="0" w:color="000000"/>
            </w:tcBorders>
          </w:tcPr>
          <w:p w14:paraId="3E785DE7" w14:textId="77777777" w:rsidR="00A663F1" w:rsidRDefault="00E46EDB">
            <w:pPr>
              <w:pStyle w:val="TableParagraph"/>
              <w:spacing w:before="49" w:line="240" w:lineRule="auto"/>
              <w:ind w:right="88"/>
              <w:jc w:val="right"/>
              <w:rPr>
                <w:b/>
                <w:sz w:val="20"/>
              </w:rPr>
            </w:pPr>
            <w:r>
              <w:rPr>
                <w:b/>
                <w:spacing w:val="-4"/>
                <w:sz w:val="20"/>
              </w:rPr>
              <w:t>Total</w:t>
            </w:r>
            <w:r>
              <w:rPr>
                <w:b/>
                <w:spacing w:val="-10"/>
                <w:sz w:val="20"/>
              </w:rPr>
              <w:t xml:space="preserve"> </w:t>
            </w:r>
            <w:r>
              <w:rPr>
                <w:b/>
                <w:spacing w:val="-5"/>
                <w:sz w:val="20"/>
              </w:rPr>
              <w:t>Transition</w:t>
            </w:r>
          </w:p>
          <w:p w14:paraId="2AB74D6C" w14:textId="77777777" w:rsidR="00A663F1" w:rsidRDefault="00E46EDB">
            <w:pPr>
              <w:pStyle w:val="TableParagraph"/>
              <w:tabs>
                <w:tab w:val="left" w:pos="1540"/>
              </w:tabs>
              <w:spacing w:line="240" w:lineRule="auto"/>
              <w:ind w:right="88"/>
              <w:jc w:val="right"/>
              <w:rPr>
                <w:sz w:val="18"/>
              </w:rPr>
            </w:pPr>
            <w:r>
              <w:rPr>
                <w:spacing w:val="-5"/>
                <w:sz w:val="18"/>
              </w:rPr>
              <w:t>(Constant</w:t>
            </w:r>
            <w:r>
              <w:rPr>
                <w:spacing w:val="-8"/>
                <w:sz w:val="18"/>
              </w:rPr>
              <w:t xml:space="preserve"> </w:t>
            </w:r>
            <w:r>
              <w:rPr>
                <w:spacing w:val="-5"/>
                <w:sz w:val="18"/>
              </w:rPr>
              <w:t>Price)</w:t>
            </w:r>
            <w:r>
              <w:rPr>
                <w:spacing w:val="-5"/>
                <w:sz w:val="18"/>
              </w:rPr>
              <w:tab/>
              <w:t>Years</w:t>
            </w:r>
          </w:p>
        </w:tc>
        <w:tc>
          <w:tcPr>
            <w:tcW w:w="2850" w:type="dxa"/>
            <w:gridSpan w:val="2"/>
            <w:tcBorders>
              <w:top w:val="single" w:sz="12" w:space="0" w:color="000000"/>
              <w:left w:val="single" w:sz="6" w:space="0" w:color="000000"/>
              <w:bottom w:val="single" w:sz="12" w:space="0" w:color="000000"/>
              <w:right w:val="single" w:sz="12" w:space="0" w:color="000000"/>
            </w:tcBorders>
          </w:tcPr>
          <w:p w14:paraId="5521EE4B" w14:textId="77777777" w:rsidR="00A663F1" w:rsidRDefault="00E46EDB">
            <w:pPr>
              <w:pStyle w:val="TableParagraph"/>
              <w:spacing w:before="49" w:line="240" w:lineRule="auto"/>
              <w:ind w:right="87"/>
              <w:jc w:val="right"/>
              <w:rPr>
                <w:b/>
                <w:sz w:val="20"/>
              </w:rPr>
            </w:pPr>
            <w:r>
              <w:rPr>
                <w:b/>
                <w:spacing w:val="-5"/>
                <w:sz w:val="20"/>
              </w:rPr>
              <w:t xml:space="preserve">Average </w:t>
            </w:r>
            <w:r>
              <w:rPr>
                <w:b/>
                <w:spacing w:val="-6"/>
                <w:sz w:val="20"/>
              </w:rPr>
              <w:t>Annual</w:t>
            </w:r>
          </w:p>
          <w:p w14:paraId="11BF86B8" w14:textId="77777777" w:rsidR="00A663F1" w:rsidRDefault="00E46EDB">
            <w:pPr>
              <w:pStyle w:val="TableParagraph"/>
              <w:spacing w:line="240" w:lineRule="auto"/>
              <w:ind w:right="87"/>
              <w:jc w:val="right"/>
              <w:rPr>
                <w:sz w:val="18"/>
              </w:rPr>
            </w:pPr>
            <w:r>
              <w:rPr>
                <w:spacing w:val="-5"/>
                <w:sz w:val="18"/>
              </w:rPr>
              <w:t>(excl. Transition) (Constant</w:t>
            </w:r>
            <w:r>
              <w:rPr>
                <w:spacing w:val="-16"/>
                <w:sz w:val="18"/>
              </w:rPr>
              <w:t xml:space="preserve"> </w:t>
            </w:r>
            <w:r>
              <w:rPr>
                <w:spacing w:val="-5"/>
                <w:sz w:val="18"/>
              </w:rPr>
              <w:t>Price)</w:t>
            </w:r>
          </w:p>
        </w:tc>
        <w:tc>
          <w:tcPr>
            <w:tcW w:w="2620" w:type="dxa"/>
            <w:gridSpan w:val="2"/>
            <w:tcBorders>
              <w:top w:val="single" w:sz="12" w:space="0" w:color="000000"/>
              <w:left w:val="single" w:sz="12" w:space="0" w:color="000000"/>
              <w:bottom w:val="single" w:sz="12" w:space="0" w:color="000000"/>
              <w:right w:val="single" w:sz="12" w:space="0" w:color="000000"/>
            </w:tcBorders>
          </w:tcPr>
          <w:p w14:paraId="7BA001A7" w14:textId="77777777" w:rsidR="00A663F1" w:rsidRDefault="00E46EDB">
            <w:pPr>
              <w:pStyle w:val="TableParagraph"/>
              <w:spacing w:before="49" w:line="240" w:lineRule="auto"/>
              <w:ind w:left="1350"/>
              <w:rPr>
                <w:b/>
                <w:sz w:val="20"/>
              </w:rPr>
            </w:pPr>
            <w:r>
              <w:rPr>
                <w:b/>
                <w:spacing w:val="-4"/>
                <w:sz w:val="20"/>
              </w:rPr>
              <w:t>Total</w:t>
            </w:r>
            <w:r>
              <w:rPr>
                <w:b/>
                <w:spacing w:val="-10"/>
                <w:sz w:val="20"/>
              </w:rPr>
              <w:t xml:space="preserve"> </w:t>
            </w:r>
            <w:r>
              <w:rPr>
                <w:b/>
                <w:spacing w:val="-5"/>
                <w:sz w:val="20"/>
              </w:rPr>
              <w:t>Benefit</w:t>
            </w:r>
          </w:p>
          <w:p w14:paraId="446C6871" w14:textId="77777777" w:rsidR="00A663F1" w:rsidRDefault="00E46EDB">
            <w:pPr>
              <w:pStyle w:val="TableParagraph"/>
              <w:spacing w:line="240" w:lineRule="auto"/>
              <w:ind w:left="1321"/>
              <w:rPr>
                <w:sz w:val="18"/>
              </w:rPr>
            </w:pPr>
            <w:r>
              <w:rPr>
                <w:spacing w:val="-5"/>
                <w:sz w:val="18"/>
              </w:rPr>
              <w:t>(Present</w:t>
            </w:r>
            <w:r>
              <w:rPr>
                <w:spacing w:val="-6"/>
                <w:sz w:val="18"/>
              </w:rPr>
              <w:t xml:space="preserve"> </w:t>
            </w:r>
            <w:r>
              <w:rPr>
                <w:spacing w:val="-5"/>
                <w:sz w:val="18"/>
              </w:rPr>
              <w:t>Value)</w:t>
            </w:r>
          </w:p>
        </w:tc>
      </w:tr>
      <w:tr w:rsidR="00A663F1" w14:paraId="72E26F82" w14:textId="77777777">
        <w:trPr>
          <w:trHeight w:val="317"/>
        </w:trPr>
        <w:tc>
          <w:tcPr>
            <w:tcW w:w="2123" w:type="dxa"/>
            <w:gridSpan w:val="2"/>
            <w:tcBorders>
              <w:top w:val="single" w:sz="12" w:space="0" w:color="000000"/>
              <w:left w:val="single" w:sz="12" w:space="0" w:color="000000"/>
              <w:bottom w:val="single" w:sz="12" w:space="0" w:color="000000"/>
              <w:right w:val="single" w:sz="12" w:space="0" w:color="000000"/>
            </w:tcBorders>
          </w:tcPr>
          <w:p w14:paraId="39D2D54B" w14:textId="77777777" w:rsidR="00A663F1" w:rsidRDefault="00E46EDB">
            <w:pPr>
              <w:pStyle w:val="TableParagraph"/>
              <w:spacing w:before="49" w:line="240" w:lineRule="auto"/>
              <w:ind w:left="145"/>
              <w:rPr>
                <w:b/>
                <w:sz w:val="20"/>
              </w:rPr>
            </w:pPr>
            <w:r>
              <w:rPr>
                <w:b/>
                <w:sz w:val="20"/>
              </w:rPr>
              <w:t>Best Estimate</w:t>
            </w:r>
          </w:p>
        </w:tc>
        <w:tc>
          <w:tcPr>
            <w:tcW w:w="1944" w:type="dxa"/>
            <w:gridSpan w:val="2"/>
            <w:tcBorders>
              <w:top w:val="single" w:sz="12" w:space="0" w:color="000000"/>
              <w:left w:val="single" w:sz="12" w:space="0" w:color="000000"/>
              <w:bottom w:val="single" w:sz="12" w:space="0" w:color="000000"/>
              <w:right w:val="single" w:sz="12" w:space="0" w:color="000000"/>
            </w:tcBorders>
          </w:tcPr>
          <w:p w14:paraId="684D8352" w14:textId="77777777" w:rsidR="00A663F1" w:rsidRDefault="00E46EDB">
            <w:pPr>
              <w:pStyle w:val="TableParagraph"/>
              <w:spacing w:before="50" w:line="248" w:lineRule="exact"/>
              <w:ind w:right="88"/>
              <w:jc w:val="right"/>
            </w:pPr>
            <w:r>
              <w:t>0.0</w:t>
            </w:r>
          </w:p>
        </w:tc>
        <w:tc>
          <w:tcPr>
            <w:tcW w:w="780" w:type="dxa"/>
            <w:tcBorders>
              <w:top w:val="single" w:sz="6" w:space="0" w:color="000000"/>
              <w:left w:val="single" w:sz="12" w:space="0" w:color="000000"/>
              <w:bottom w:val="single" w:sz="6" w:space="0" w:color="000000"/>
              <w:right w:val="single" w:sz="12" w:space="0" w:color="000000"/>
            </w:tcBorders>
          </w:tcPr>
          <w:p w14:paraId="00B3E245" w14:textId="77777777" w:rsidR="00A663F1" w:rsidRDefault="00A663F1">
            <w:pPr>
              <w:pStyle w:val="TableParagraph"/>
              <w:spacing w:line="240" w:lineRule="auto"/>
              <w:rPr>
                <w:rFonts w:ascii="Times New Roman"/>
                <w:sz w:val="20"/>
              </w:rPr>
            </w:pPr>
          </w:p>
        </w:tc>
        <w:tc>
          <w:tcPr>
            <w:tcW w:w="2850" w:type="dxa"/>
            <w:gridSpan w:val="2"/>
            <w:tcBorders>
              <w:top w:val="single" w:sz="12" w:space="0" w:color="000000"/>
              <w:left w:val="single" w:sz="12" w:space="0" w:color="000000"/>
              <w:bottom w:val="single" w:sz="12" w:space="0" w:color="000000"/>
              <w:right w:val="single" w:sz="12" w:space="0" w:color="000000"/>
            </w:tcBorders>
          </w:tcPr>
          <w:p w14:paraId="0FFC1FC0" w14:textId="77777777" w:rsidR="00A663F1" w:rsidRDefault="00E46EDB">
            <w:pPr>
              <w:pStyle w:val="TableParagraph"/>
              <w:spacing w:before="50" w:line="248" w:lineRule="exact"/>
              <w:ind w:right="83"/>
              <w:jc w:val="right"/>
            </w:pPr>
            <w:r>
              <w:t>1614.5</w:t>
            </w:r>
          </w:p>
        </w:tc>
        <w:tc>
          <w:tcPr>
            <w:tcW w:w="2620" w:type="dxa"/>
            <w:gridSpan w:val="2"/>
            <w:tcBorders>
              <w:top w:val="single" w:sz="12" w:space="0" w:color="000000"/>
              <w:left w:val="single" w:sz="12" w:space="0" w:color="000000"/>
              <w:bottom w:val="single" w:sz="12" w:space="0" w:color="000000"/>
              <w:right w:val="single" w:sz="12" w:space="0" w:color="000000"/>
            </w:tcBorders>
          </w:tcPr>
          <w:p w14:paraId="565AC272" w14:textId="77777777" w:rsidR="00A663F1" w:rsidRDefault="00E46EDB">
            <w:pPr>
              <w:pStyle w:val="TableParagraph"/>
              <w:spacing w:before="50" w:line="248" w:lineRule="exact"/>
              <w:ind w:right="82"/>
              <w:jc w:val="right"/>
              <w:rPr>
                <w:b/>
              </w:rPr>
            </w:pPr>
            <w:r>
              <w:rPr>
                <w:b/>
              </w:rPr>
              <w:t>13644.4</w:t>
            </w:r>
          </w:p>
        </w:tc>
      </w:tr>
      <w:tr w:rsidR="00A663F1" w14:paraId="4F44AB1F" w14:textId="77777777">
        <w:trPr>
          <w:trHeight w:val="2361"/>
        </w:trPr>
        <w:tc>
          <w:tcPr>
            <w:tcW w:w="10317" w:type="dxa"/>
            <w:gridSpan w:val="9"/>
            <w:tcBorders>
              <w:top w:val="single" w:sz="12" w:space="0" w:color="000000"/>
              <w:left w:val="single" w:sz="12" w:space="0" w:color="000000"/>
              <w:bottom w:val="single" w:sz="6" w:space="0" w:color="000000"/>
              <w:right w:val="single" w:sz="12" w:space="0" w:color="000000"/>
            </w:tcBorders>
          </w:tcPr>
          <w:p w14:paraId="73DCB985" w14:textId="77777777" w:rsidR="00A663F1" w:rsidRDefault="00E46EDB">
            <w:pPr>
              <w:pStyle w:val="TableParagraph"/>
              <w:spacing w:before="49" w:line="240" w:lineRule="auto"/>
              <w:ind w:left="145"/>
              <w:rPr>
                <w:b/>
                <w:sz w:val="20"/>
              </w:rPr>
            </w:pPr>
            <w:r>
              <w:rPr>
                <w:b/>
                <w:sz w:val="20"/>
              </w:rPr>
              <w:t>Description and scale of key monetised benefits by ‘main affected groups’ (benefits in present value)</w:t>
            </w:r>
          </w:p>
          <w:p w14:paraId="75C627B6" w14:textId="77777777" w:rsidR="00A663F1" w:rsidRDefault="00E46EDB">
            <w:pPr>
              <w:pStyle w:val="TableParagraph"/>
              <w:spacing w:before="51" w:line="240" w:lineRule="auto"/>
              <w:ind w:left="145" w:right="215"/>
            </w:pPr>
            <w:r>
              <w:rPr>
                <w:spacing w:val="-6"/>
              </w:rPr>
              <w:t xml:space="preserve">Breathing </w:t>
            </w:r>
            <w:r>
              <w:rPr>
                <w:spacing w:val="-5"/>
              </w:rPr>
              <w:t xml:space="preserve">Space </w:t>
            </w:r>
            <w:r>
              <w:rPr>
                <w:spacing w:val="-6"/>
              </w:rPr>
              <w:t xml:space="preserve">will </w:t>
            </w:r>
            <w:r>
              <w:rPr>
                <w:spacing w:val="-5"/>
              </w:rPr>
              <w:t xml:space="preserve">magnify </w:t>
            </w:r>
            <w:r>
              <w:rPr>
                <w:spacing w:val="-4"/>
              </w:rPr>
              <w:t xml:space="preserve">the </w:t>
            </w:r>
            <w:r>
              <w:rPr>
                <w:spacing w:val="-6"/>
              </w:rPr>
              <w:t xml:space="preserve">benefits </w:t>
            </w:r>
            <w:r>
              <w:rPr>
                <w:spacing w:val="-4"/>
              </w:rPr>
              <w:t xml:space="preserve">of </w:t>
            </w:r>
            <w:r>
              <w:rPr>
                <w:spacing w:val="-5"/>
              </w:rPr>
              <w:t xml:space="preserve">debt </w:t>
            </w:r>
            <w:r>
              <w:rPr>
                <w:spacing w:val="-6"/>
              </w:rPr>
              <w:t xml:space="preserve">advice </w:t>
            </w:r>
            <w:r>
              <w:rPr>
                <w:spacing w:val="-3"/>
              </w:rPr>
              <w:t xml:space="preserve">for </w:t>
            </w:r>
            <w:r>
              <w:rPr>
                <w:spacing w:val="-5"/>
              </w:rPr>
              <w:t xml:space="preserve">those who already seek </w:t>
            </w:r>
            <w:r>
              <w:rPr>
                <w:spacing w:val="-3"/>
              </w:rPr>
              <w:t xml:space="preserve">it </w:t>
            </w:r>
            <w:r>
              <w:rPr>
                <w:spacing w:val="-4"/>
              </w:rPr>
              <w:t xml:space="preserve">and </w:t>
            </w:r>
            <w:r>
              <w:rPr>
                <w:spacing w:val="-6"/>
              </w:rPr>
              <w:t xml:space="preserve">encourage </w:t>
            </w:r>
            <w:r>
              <w:rPr>
                <w:spacing w:val="-5"/>
              </w:rPr>
              <w:t xml:space="preserve">more </w:t>
            </w:r>
            <w:r>
              <w:rPr>
                <w:spacing w:val="-4"/>
              </w:rPr>
              <w:t xml:space="preserve">of </w:t>
            </w:r>
            <w:r>
              <w:rPr>
                <w:spacing w:val="-5"/>
              </w:rPr>
              <w:t xml:space="preserve">those </w:t>
            </w:r>
            <w:r>
              <w:rPr>
                <w:spacing w:val="-3"/>
              </w:rPr>
              <w:t xml:space="preserve">in </w:t>
            </w:r>
            <w:r>
              <w:rPr>
                <w:spacing w:val="-6"/>
              </w:rPr>
              <w:t xml:space="preserve">problem </w:t>
            </w:r>
            <w:r>
              <w:rPr>
                <w:spacing w:val="-5"/>
              </w:rPr>
              <w:t xml:space="preserve">debt </w:t>
            </w:r>
            <w:r>
              <w:rPr>
                <w:spacing w:val="-4"/>
              </w:rPr>
              <w:t xml:space="preserve">to </w:t>
            </w:r>
            <w:r>
              <w:rPr>
                <w:spacing w:val="-5"/>
              </w:rPr>
              <w:t xml:space="preserve">seek debt </w:t>
            </w:r>
            <w:r>
              <w:rPr>
                <w:spacing w:val="-6"/>
              </w:rPr>
              <w:t xml:space="preserve">advice. </w:t>
            </w:r>
            <w:r>
              <w:rPr>
                <w:spacing w:val="-5"/>
              </w:rPr>
              <w:t xml:space="preserve">Debt </w:t>
            </w:r>
            <w:r>
              <w:rPr>
                <w:spacing w:val="-6"/>
              </w:rPr>
              <w:t xml:space="preserve">advice </w:t>
            </w:r>
            <w:r>
              <w:rPr>
                <w:spacing w:val="-5"/>
              </w:rPr>
              <w:t xml:space="preserve">agencies </w:t>
            </w:r>
            <w:r>
              <w:rPr>
                <w:spacing w:val="-6"/>
              </w:rPr>
              <w:t xml:space="preserve">estimated </w:t>
            </w:r>
            <w:r>
              <w:rPr>
                <w:spacing w:val="-5"/>
              </w:rPr>
              <w:t xml:space="preserve">that </w:t>
            </w:r>
            <w:r>
              <w:rPr>
                <w:spacing w:val="-4"/>
              </w:rPr>
              <w:t xml:space="preserve">the </w:t>
            </w:r>
            <w:r>
              <w:rPr>
                <w:spacing w:val="-6"/>
              </w:rPr>
              <w:t xml:space="preserve">value </w:t>
            </w:r>
            <w:r>
              <w:rPr>
                <w:spacing w:val="-4"/>
              </w:rPr>
              <w:t xml:space="preserve">of </w:t>
            </w:r>
            <w:r>
              <w:rPr>
                <w:spacing w:val="-5"/>
              </w:rPr>
              <w:t xml:space="preserve">debt </w:t>
            </w:r>
            <w:r>
              <w:rPr>
                <w:spacing w:val="-6"/>
              </w:rPr>
              <w:t xml:space="preserve">advice </w:t>
            </w:r>
            <w:r>
              <w:rPr>
                <w:spacing w:val="-5"/>
              </w:rPr>
              <w:t xml:space="preserve">will </w:t>
            </w:r>
            <w:r>
              <w:rPr>
                <w:spacing w:val="-3"/>
              </w:rPr>
              <w:t xml:space="preserve">be </w:t>
            </w:r>
            <w:r>
              <w:rPr>
                <w:spacing w:val="-4"/>
              </w:rPr>
              <w:t xml:space="preserve">14% </w:t>
            </w:r>
            <w:r>
              <w:rPr>
                <w:spacing w:val="-6"/>
              </w:rPr>
              <w:t xml:space="preserve">higher under Breathing </w:t>
            </w:r>
            <w:r>
              <w:rPr>
                <w:spacing w:val="-5"/>
              </w:rPr>
              <w:t xml:space="preserve">Space </w:t>
            </w:r>
            <w:r>
              <w:rPr>
                <w:spacing w:val="-4"/>
              </w:rPr>
              <w:t xml:space="preserve">and </w:t>
            </w:r>
            <w:r>
              <w:rPr>
                <w:spacing w:val="-3"/>
              </w:rPr>
              <w:t xml:space="preserve">it is </w:t>
            </w:r>
            <w:r>
              <w:rPr>
                <w:spacing w:val="-6"/>
              </w:rPr>
              <w:t xml:space="preserve">forecast </w:t>
            </w:r>
            <w:r>
              <w:rPr>
                <w:spacing w:val="-5"/>
              </w:rPr>
              <w:t xml:space="preserve">that </w:t>
            </w:r>
            <w:r>
              <w:rPr>
                <w:spacing w:val="-3"/>
              </w:rPr>
              <w:t xml:space="preserve">an </w:t>
            </w:r>
            <w:r>
              <w:rPr>
                <w:spacing w:val="-6"/>
              </w:rPr>
              <w:t xml:space="preserve">additional </w:t>
            </w:r>
            <w:r>
              <w:rPr>
                <w:spacing w:val="-5"/>
              </w:rPr>
              <w:t xml:space="preserve">1.3m </w:t>
            </w:r>
            <w:r>
              <w:rPr>
                <w:spacing w:val="-6"/>
              </w:rPr>
              <w:t xml:space="preserve">debtors will </w:t>
            </w:r>
            <w:r>
              <w:rPr>
                <w:spacing w:val="-5"/>
              </w:rPr>
              <w:t xml:space="preserve">seek </w:t>
            </w:r>
            <w:r>
              <w:rPr>
                <w:spacing w:val="-6"/>
              </w:rPr>
              <w:t xml:space="preserve">advice </w:t>
            </w:r>
            <w:r>
              <w:rPr>
                <w:spacing w:val="-5"/>
              </w:rPr>
              <w:t xml:space="preserve">over </w:t>
            </w:r>
            <w:r>
              <w:rPr>
                <w:spacing w:val="-4"/>
              </w:rPr>
              <w:t xml:space="preserve">the </w:t>
            </w:r>
            <w:r>
              <w:rPr>
                <w:spacing w:val="-6"/>
              </w:rPr>
              <w:t xml:space="preserve">assessment period </w:t>
            </w:r>
            <w:r>
              <w:rPr>
                <w:spacing w:val="-3"/>
              </w:rPr>
              <w:t xml:space="preserve">as </w:t>
            </w:r>
            <w:r>
              <w:t xml:space="preserve">a </w:t>
            </w:r>
            <w:r>
              <w:rPr>
                <w:spacing w:val="-5"/>
              </w:rPr>
              <w:t xml:space="preserve">result </w:t>
            </w:r>
            <w:r>
              <w:rPr>
                <w:spacing w:val="-4"/>
              </w:rPr>
              <w:t xml:space="preserve">of </w:t>
            </w:r>
            <w:r>
              <w:rPr>
                <w:spacing w:val="-6"/>
              </w:rPr>
              <w:t xml:space="preserve">Breathing </w:t>
            </w:r>
            <w:r>
              <w:rPr>
                <w:spacing w:val="-5"/>
              </w:rPr>
              <w:t xml:space="preserve">Space. </w:t>
            </w:r>
            <w:r>
              <w:rPr>
                <w:spacing w:val="-4"/>
              </w:rPr>
              <w:t xml:space="preserve">This </w:t>
            </w:r>
            <w:r>
              <w:rPr>
                <w:spacing w:val="-6"/>
              </w:rPr>
              <w:t xml:space="preserve">will </w:t>
            </w:r>
            <w:r>
              <w:rPr>
                <w:spacing w:val="-5"/>
              </w:rPr>
              <w:t xml:space="preserve">promote </w:t>
            </w:r>
            <w:r>
              <w:rPr>
                <w:spacing w:val="-6"/>
              </w:rPr>
              <w:t xml:space="preserve">higher recoveries </w:t>
            </w:r>
            <w:r>
              <w:rPr>
                <w:spacing w:val="-4"/>
              </w:rPr>
              <w:t xml:space="preserve">for </w:t>
            </w:r>
            <w:r>
              <w:rPr>
                <w:spacing w:val="-6"/>
              </w:rPr>
              <w:t xml:space="preserve">creditors (£6109.0m), deliver productivity benefits </w:t>
            </w:r>
            <w:r>
              <w:rPr>
                <w:spacing w:val="-4"/>
              </w:rPr>
              <w:t xml:space="preserve">for </w:t>
            </w:r>
            <w:r>
              <w:rPr>
                <w:spacing w:val="-6"/>
              </w:rPr>
              <w:t xml:space="preserve">employers (£3708.3m), </w:t>
            </w:r>
            <w:r>
              <w:rPr>
                <w:spacing w:val="-4"/>
              </w:rPr>
              <w:t xml:space="preserve">and </w:t>
            </w:r>
            <w:r>
              <w:rPr>
                <w:spacing w:val="-6"/>
              </w:rPr>
              <w:t xml:space="preserve">reduce negative </w:t>
            </w:r>
            <w:r>
              <w:rPr>
                <w:spacing w:val="-5"/>
              </w:rPr>
              <w:t xml:space="preserve">mental and </w:t>
            </w:r>
            <w:r>
              <w:rPr>
                <w:spacing w:val="-6"/>
              </w:rPr>
              <w:t xml:space="preserve">physical </w:t>
            </w:r>
            <w:r>
              <w:rPr>
                <w:spacing w:val="-5"/>
              </w:rPr>
              <w:t xml:space="preserve">health </w:t>
            </w:r>
            <w:r>
              <w:rPr>
                <w:spacing w:val="-6"/>
              </w:rPr>
              <w:t xml:space="preserve">outcomes </w:t>
            </w:r>
            <w:r>
              <w:rPr>
                <w:spacing w:val="-5"/>
              </w:rPr>
              <w:t xml:space="preserve">amongst debtors </w:t>
            </w:r>
            <w:r>
              <w:rPr>
                <w:spacing w:val="-6"/>
              </w:rPr>
              <w:t xml:space="preserve">(£2153.4m). </w:t>
            </w:r>
            <w:r>
              <w:t xml:space="preserve">In </w:t>
            </w:r>
            <w:r>
              <w:rPr>
                <w:spacing w:val="-6"/>
              </w:rPr>
              <w:t xml:space="preserve">addition, </w:t>
            </w:r>
            <w:r>
              <w:rPr>
                <w:spacing w:val="-5"/>
              </w:rPr>
              <w:t xml:space="preserve">debtors will </w:t>
            </w:r>
            <w:r>
              <w:rPr>
                <w:spacing w:val="-6"/>
              </w:rPr>
              <w:t xml:space="preserve">benefit </w:t>
            </w:r>
            <w:r>
              <w:rPr>
                <w:spacing w:val="-5"/>
              </w:rPr>
              <w:t xml:space="preserve">from </w:t>
            </w:r>
            <w:r>
              <w:rPr>
                <w:spacing w:val="-6"/>
              </w:rPr>
              <w:t xml:space="preserve">economic </w:t>
            </w:r>
            <w:r>
              <w:rPr>
                <w:spacing w:val="-5"/>
              </w:rPr>
              <w:t xml:space="preserve">transfers </w:t>
            </w:r>
            <w:r>
              <w:rPr>
                <w:spacing w:val="-6"/>
              </w:rPr>
              <w:t xml:space="preserve">equivalent </w:t>
            </w:r>
            <w:r>
              <w:t xml:space="preserve">to </w:t>
            </w:r>
            <w:r>
              <w:rPr>
                <w:spacing w:val="-4"/>
              </w:rPr>
              <w:t xml:space="preserve">the </w:t>
            </w:r>
            <w:r>
              <w:rPr>
                <w:spacing w:val="-5"/>
              </w:rPr>
              <w:t xml:space="preserve">inverse </w:t>
            </w:r>
            <w:r>
              <w:rPr>
                <w:spacing w:val="-4"/>
              </w:rPr>
              <w:t xml:space="preserve">of the </w:t>
            </w:r>
            <w:r>
              <w:rPr>
                <w:spacing w:val="-5"/>
              </w:rPr>
              <w:t xml:space="preserve">costs </w:t>
            </w:r>
            <w:r>
              <w:t xml:space="preserve">to </w:t>
            </w:r>
            <w:r>
              <w:rPr>
                <w:spacing w:val="-6"/>
              </w:rPr>
              <w:t xml:space="preserve">creditors </w:t>
            </w:r>
            <w:r>
              <w:rPr>
                <w:spacing w:val="-4"/>
              </w:rPr>
              <w:t xml:space="preserve">of </w:t>
            </w:r>
            <w:r>
              <w:rPr>
                <w:spacing w:val="-6"/>
              </w:rPr>
              <w:t xml:space="preserve">frozen interest </w:t>
            </w:r>
            <w:r>
              <w:rPr>
                <w:spacing w:val="-5"/>
              </w:rPr>
              <w:t xml:space="preserve">and charges </w:t>
            </w:r>
            <w:r>
              <w:rPr>
                <w:spacing w:val="-4"/>
              </w:rPr>
              <w:t xml:space="preserve">and </w:t>
            </w:r>
            <w:r>
              <w:rPr>
                <w:spacing w:val="-6"/>
              </w:rPr>
              <w:t>delayed</w:t>
            </w:r>
          </w:p>
          <w:p w14:paraId="4DEE6FD2" w14:textId="77777777" w:rsidR="00A663F1" w:rsidRDefault="00E46EDB">
            <w:pPr>
              <w:pStyle w:val="TableParagraph"/>
              <w:spacing w:line="240" w:lineRule="exact"/>
              <w:ind w:left="145"/>
            </w:pPr>
            <w:r>
              <w:t>revenue (£1673.7m).</w:t>
            </w:r>
          </w:p>
        </w:tc>
      </w:tr>
      <w:tr w:rsidR="00A663F1" w14:paraId="31924D78" w14:textId="77777777">
        <w:trPr>
          <w:trHeight w:val="1909"/>
        </w:trPr>
        <w:tc>
          <w:tcPr>
            <w:tcW w:w="10317" w:type="dxa"/>
            <w:gridSpan w:val="9"/>
            <w:tcBorders>
              <w:top w:val="single" w:sz="6" w:space="0" w:color="000000"/>
              <w:left w:val="single" w:sz="12" w:space="0" w:color="000000"/>
              <w:bottom w:val="single" w:sz="6" w:space="0" w:color="000000"/>
              <w:right w:val="single" w:sz="12" w:space="0" w:color="000000"/>
            </w:tcBorders>
          </w:tcPr>
          <w:p w14:paraId="1865AA51" w14:textId="77777777" w:rsidR="00A663F1" w:rsidRDefault="00E46EDB">
            <w:pPr>
              <w:pStyle w:val="TableParagraph"/>
              <w:spacing w:before="49" w:line="240" w:lineRule="auto"/>
              <w:ind w:left="145"/>
              <w:rPr>
                <w:b/>
                <w:sz w:val="20"/>
              </w:rPr>
            </w:pPr>
            <w:r>
              <w:rPr>
                <w:b/>
                <w:sz w:val="20"/>
              </w:rPr>
              <w:t>Other key non-monetised benefits by ‘main affected groups’</w:t>
            </w:r>
          </w:p>
          <w:p w14:paraId="0F43A80A" w14:textId="77777777" w:rsidR="00A663F1" w:rsidRDefault="00E46EDB">
            <w:pPr>
              <w:pStyle w:val="TableParagraph"/>
              <w:spacing w:before="52" w:line="240" w:lineRule="auto"/>
              <w:ind w:left="145" w:right="127"/>
            </w:pPr>
            <w:r>
              <w:rPr>
                <w:spacing w:val="-6"/>
              </w:rPr>
              <w:t xml:space="preserve">Non-monetised benefits </w:t>
            </w:r>
            <w:r>
              <w:t xml:space="preserve">to </w:t>
            </w:r>
            <w:r>
              <w:rPr>
                <w:spacing w:val="-5"/>
              </w:rPr>
              <w:t xml:space="preserve">debtors </w:t>
            </w:r>
            <w:r>
              <w:rPr>
                <w:spacing w:val="-6"/>
              </w:rPr>
              <w:t xml:space="preserve">include: lower dependence </w:t>
            </w:r>
            <w:r>
              <w:rPr>
                <w:spacing w:val="-3"/>
              </w:rPr>
              <w:t xml:space="preserve">on </w:t>
            </w:r>
            <w:r>
              <w:rPr>
                <w:spacing w:val="-6"/>
              </w:rPr>
              <w:t xml:space="preserve">state-subsidised housing; </w:t>
            </w:r>
            <w:r>
              <w:rPr>
                <w:spacing w:val="-5"/>
              </w:rPr>
              <w:t xml:space="preserve">more </w:t>
            </w:r>
            <w:r>
              <w:rPr>
                <w:spacing w:val="-6"/>
              </w:rPr>
              <w:t xml:space="preserve">positive </w:t>
            </w:r>
            <w:r>
              <w:rPr>
                <w:spacing w:val="-5"/>
              </w:rPr>
              <w:t xml:space="preserve">education </w:t>
            </w:r>
            <w:r>
              <w:rPr>
                <w:spacing w:val="-4"/>
              </w:rPr>
              <w:t xml:space="preserve">and </w:t>
            </w:r>
            <w:r>
              <w:rPr>
                <w:spacing w:val="-6"/>
              </w:rPr>
              <w:t xml:space="preserve">employment outcomes, </w:t>
            </w:r>
            <w:r>
              <w:rPr>
                <w:spacing w:val="-5"/>
              </w:rPr>
              <w:t xml:space="preserve">partly </w:t>
            </w:r>
            <w:r>
              <w:rPr>
                <w:spacing w:val="-3"/>
              </w:rPr>
              <w:t xml:space="preserve">as </w:t>
            </w:r>
            <w:r>
              <w:t xml:space="preserve">a </w:t>
            </w:r>
            <w:r>
              <w:rPr>
                <w:spacing w:val="-5"/>
              </w:rPr>
              <w:t xml:space="preserve">result </w:t>
            </w:r>
            <w:r>
              <w:rPr>
                <w:spacing w:val="-4"/>
              </w:rPr>
              <w:t xml:space="preserve">of </w:t>
            </w:r>
            <w:r>
              <w:rPr>
                <w:spacing w:val="-5"/>
              </w:rPr>
              <w:t xml:space="preserve">higher </w:t>
            </w:r>
            <w:r>
              <w:rPr>
                <w:spacing w:val="-6"/>
              </w:rPr>
              <w:t xml:space="preserve">levels </w:t>
            </w:r>
            <w:r>
              <w:rPr>
                <w:spacing w:val="-4"/>
              </w:rPr>
              <w:t xml:space="preserve">of </w:t>
            </w:r>
            <w:r>
              <w:rPr>
                <w:spacing w:val="-5"/>
              </w:rPr>
              <w:t xml:space="preserve">parental </w:t>
            </w:r>
            <w:r>
              <w:rPr>
                <w:spacing w:val="-6"/>
              </w:rPr>
              <w:t xml:space="preserve">engagement; lower </w:t>
            </w:r>
            <w:r>
              <w:rPr>
                <w:spacing w:val="-5"/>
              </w:rPr>
              <w:t xml:space="preserve">risk </w:t>
            </w:r>
            <w:r>
              <w:rPr>
                <w:spacing w:val="-4"/>
              </w:rPr>
              <w:t xml:space="preserve">of </w:t>
            </w:r>
            <w:r>
              <w:rPr>
                <w:spacing w:val="-5"/>
              </w:rPr>
              <w:t xml:space="preserve">children </w:t>
            </w:r>
            <w:r>
              <w:rPr>
                <w:spacing w:val="-6"/>
              </w:rPr>
              <w:t xml:space="preserve">being </w:t>
            </w:r>
            <w:r>
              <w:rPr>
                <w:spacing w:val="-5"/>
              </w:rPr>
              <w:t xml:space="preserve">taken into care; </w:t>
            </w:r>
            <w:r>
              <w:rPr>
                <w:spacing w:val="-6"/>
              </w:rPr>
              <w:t xml:space="preserve">lower </w:t>
            </w:r>
            <w:r>
              <w:rPr>
                <w:spacing w:val="-5"/>
              </w:rPr>
              <w:t xml:space="preserve">rates </w:t>
            </w:r>
            <w:r>
              <w:rPr>
                <w:spacing w:val="-4"/>
              </w:rPr>
              <w:t xml:space="preserve">of </w:t>
            </w:r>
            <w:r>
              <w:rPr>
                <w:spacing w:val="-6"/>
              </w:rPr>
              <w:t xml:space="preserve">desperation </w:t>
            </w:r>
            <w:r>
              <w:rPr>
                <w:spacing w:val="-5"/>
              </w:rPr>
              <w:t xml:space="preserve">crime; </w:t>
            </w:r>
            <w:r>
              <w:rPr>
                <w:spacing w:val="-6"/>
              </w:rPr>
              <w:t xml:space="preserve">lower </w:t>
            </w:r>
            <w:r>
              <w:rPr>
                <w:spacing w:val="-5"/>
              </w:rPr>
              <w:t xml:space="preserve">risk </w:t>
            </w:r>
            <w:r>
              <w:rPr>
                <w:spacing w:val="-4"/>
              </w:rPr>
              <w:t xml:space="preserve">of </w:t>
            </w:r>
            <w:r>
              <w:rPr>
                <w:spacing w:val="-6"/>
              </w:rPr>
              <w:t xml:space="preserve">eviction </w:t>
            </w:r>
            <w:r>
              <w:rPr>
                <w:spacing w:val="-3"/>
              </w:rPr>
              <w:t xml:space="preserve">or </w:t>
            </w:r>
            <w:r>
              <w:rPr>
                <w:spacing w:val="-6"/>
              </w:rPr>
              <w:t xml:space="preserve">repossession; lower </w:t>
            </w:r>
            <w:r>
              <w:rPr>
                <w:spacing w:val="-5"/>
              </w:rPr>
              <w:t xml:space="preserve">risk </w:t>
            </w:r>
            <w:r>
              <w:rPr>
                <w:spacing w:val="-4"/>
              </w:rPr>
              <w:t xml:space="preserve">of job </w:t>
            </w:r>
            <w:r>
              <w:rPr>
                <w:spacing w:val="-5"/>
              </w:rPr>
              <w:t xml:space="preserve">loss; </w:t>
            </w:r>
            <w:r>
              <w:rPr>
                <w:spacing w:val="-6"/>
              </w:rPr>
              <w:t xml:space="preserve">lower </w:t>
            </w:r>
            <w:r>
              <w:rPr>
                <w:spacing w:val="-5"/>
              </w:rPr>
              <w:t xml:space="preserve">rates </w:t>
            </w:r>
            <w:r>
              <w:rPr>
                <w:spacing w:val="-4"/>
              </w:rPr>
              <w:t xml:space="preserve">of </w:t>
            </w:r>
            <w:r>
              <w:rPr>
                <w:spacing w:val="-6"/>
              </w:rPr>
              <w:t xml:space="preserve">relationship breakdown; increased </w:t>
            </w:r>
            <w:r>
              <w:rPr>
                <w:spacing w:val="-5"/>
              </w:rPr>
              <w:t xml:space="preserve">social security </w:t>
            </w:r>
            <w:r>
              <w:rPr>
                <w:spacing w:val="-6"/>
              </w:rPr>
              <w:t xml:space="preserve">take-up; higher </w:t>
            </w:r>
            <w:r>
              <w:rPr>
                <w:spacing w:val="-5"/>
              </w:rPr>
              <w:t xml:space="preserve">rates </w:t>
            </w:r>
            <w:r>
              <w:rPr>
                <w:spacing w:val="-4"/>
              </w:rPr>
              <w:t xml:space="preserve">of </w:t>
            </w:r>
            <w:r>
              <w:rPr>
                <w:spacing w:val="-5"/>
              </w:rPr>
              <w:t xml:space="preserve">small </w:t>
            </w:r>
            <w:r>
              <w:rPr>
                <w:spacing w:val="-6"/>
              </w:rPr>
              <w:t xml:space="preserve">business continuity, </w:t>
            </w:r>
            <w:r>
              <w:rPr>
                <w:spacing w:val="-4"/>
              </w:rPr>
              <w:t xml:space="preserve">and more </w:t>
            </w:r>
            <w:r>
              <w:rPr>
                <w:spacing w:val="-6"/>
              </w:rPr>
              <w:t xml:space="preserve">positive </w:t>
            </w:r>
            <w:r>
              <w:rPr>
                <w:spacing w:val="-5"/>
              </w:rPr>
              <w:t xml:space="preserve">future credit access. </w:t>
            </w:r>
            <w:r>
              <w:rPr>
                <w:spacing w:val="-6"/>
              </w:rPr>
              <w:t xml:space="preserve">Creditors will benefit </w:t>
            </w:r>
            <w:r>
              <w:rPr>
                <w:spacing w:val="-4"/>
              </w:rPr>
              <w:t xml:space="preserve">from </w:t>
            </w:r>
            <w:r>
              <w:rPr>
                <w:spacing w:val="-5"/>
              </w:rPr>
              <w:t xml:space="preserve">reduced risk </w:t>
            </w:r>
            <w:r>
              <w:rPr>
                <w:spacing w:val="-4"/>
              </w:rPr>
              <w:t xml:space="preserve">of </w:t>
            </w:r>
            <w:r>
              <w:rPr>
                <w:spacing w:val="-5"/>
              </w:rPr>
              <w:t>credit</w:t>
            </w:r>
            <w:r>
              <w:rPr>
                <w:spacing w:val="-10"/>
              </w:rPr>
              <w:t xml:space="preserve"> </w:t>
            </w:r>
            <w:r>
              <w:rPr>
                <w:spacing w:val="-6"/>
              </w:rPr>
              <w:t>cycling,</w:t>
            </w:r>
            <w:r>
              <w:rPr>
                <w:spacing w:val="-9"/>
              </w:rPr>
              <w:t xml:space="preserve"> </w:t>
            </w:r>
            <w:r>
              <w:rPr>
                <w:spacing w:val="-6"/>
              </w:rPr>
              <w:t>whereby</w:t>
            </w:r>
            <w:r>
              <w:rPr>
                <w:spacing w:val="-10"/>
              </w:rPr>
              <w:t xml:space="preserve"> </w:t>
            </w:r>
            <w:r>
              <w:rPr>
                <w:spacing w:val="-5"/>
              </w:rPr>
              <w:t>debtors</w:t>
            </w:r>
            <w:r>
              <w:rPr>
                <w:spacing w:val="-9"/>
              </w:rPr>
              <w:t xml:space="preserve"> </w:t>
            </w:r>
            <w:r>
              <w:rPr>
                <w:spacing w:val="-6"/>
              </w:rPr>
              <w:t>borrow</w:t>
            </w:r>
            <w:r>
              <w:rPr>
                <w:spacing w:val="-14"/>
              </w:rPr>
              <w:t xml:space="preserve"> </w:t>
            </w:r>
            <w:r>
              <w:rPr>
                <w:spacing w:val="-4"/>
              </w:rPr>
              <w:t>from</w:t>
            </w:r>
            <w:r>
              <w:rPr>
                <w:spacing w:val="-10"/>
              </w:rPr>
              <w:t xml:space="preserve"> </w:t>
            </w:r>
            <w:r>
              <w:rPr>
                <w:spacing w:val="-4"/>
              </w:rPr>
              <w:t>one</w:t>
            </w:r>
            <w:r>
              <w:rPr>
                <w:spacing w:val="-10"/>
              </w:rPr>
              <w:t xml:space="preserve"> </w:t>
            </w:r>
            <w:r>
              <w:rPr>
                <w:spacing w:val="-6"/>
              </w:rPr>
              <w:t>creditor</w:t>
            </w:r>
            <w:r>
              <w:rPr>
                <w:spacing w:val="-9"/>
              </w:rPr>
              <w:t xml:space="preserve"> </w:t>
            </w:r>
            <w:r>
              <w:t>to</w:t>
            </w:r>
            <w:r>
              <w:rPr>
                <w:spacing w:val="-11"/>
              </w:rPr>
              <w:t xml:space="preserve"> </w:t>
            </w:r>
            <w:r>
              <w:rPr>
                <w:spacing w:val="-4"/>
              </w:rPr>
              <w:t>pay</w:t>
            </w:r>
            <w:r>
              <w:rPr>
                <w:spacing w:val="-10"/>
              </w:rPr>
              <w:t xml:space="preserve"> </w:t>
            </w:r>
            <w:r>
              <w:rPr>
                <w:spacing w:val="-6"/>
              </w:rPr>
              <w:t>another.</w:t>
            </w:r>
          </w:p>
        </w:tc>
      </w:tr>
      <w:tr w:rsidR="00A663F1" w14:paraId="3C5304D3" w14:textId="77777777">
        <w:trPr>
          <w:trHeight w:val="331"/>
        </w:trPr>
        <w:tc>
          <w:tcPr>
            <w:tcW w:w="9462" w:type="dxa"/>
            <w:gridSpan w:val="8"/>
            <w:tcBorders>
              <w:top w:val="single" w:sz="6" w:space="0" w:color="000000"/>
              <w:left w:val="single" w:sz="12" w:space="0" w:color="000000"/>
              <w:bottom w:val="nil"/>
              <w:right w:val="single" w:sz="6" w:space="0" w:color="000000"/>
            </w:tcBorders>
          </w:tcPr>
          <w:p w14:paraId="54B2B328" w14:textId="77777777" w:rsidR="00A663F1" w:rsidRDefault="00E46EDB">
            <w:pPr>
              <w:pStyle w:val="TableParagraph"/>
              <w:tabs>
                <w:tab w:val="left" w:pos="7690"/>
              </w:tabs>
              <w:spacing w:before="52" w:line="240" w:lineRule="auto"/>
              <w:ind w:left="145"/>
              <w:rPr>
                <w:b/>
                <w:sz w:val="20"/>
              </w:rPr>
            </w:pPr>
            <w:r>
              <w:rPr>
                <w:b/>
                <w:spacing w:val="-3"/>
                <w:sz w:val="20"/>
              </w:rPr>
              <w:t>Key</w:t>
            </w:r>
            <w:r>
              <w:rPr>
                <w:b/>
                <w:spacing w:val="-17"/>
                <w:sz w:val="20"/>
              </w:rPr>
              <w:t xml:space="preserve"> </w:t>
            </w:r>
            <w:r>
              <w:rPr>
                <w:b/>
                <w:spacing w:val="-5"/>
                <w:sz w:val="20"/>
              </w:rPr>
              <w:t>assumptions/sensitivities/risks</w:t>
            </w:r>
            <w:r>
              <w:rPr>
                <w:b/>
                <w:spacing w:val="-5"/>
                <w:sz w:val="20"/>
              </w:rPr>
              <w:tab/>
              <w:t xml:space="preserve">Discount </w:t>
            </w:r>
            <w:r>
              <w:rPr>
                <w:b/>
                <w:spacing w:val="-4"/>
                <w:sz w:val="20"/>
              </w:rPr>
              <w:t>rate</w:t>
            </w:r>
            <w:r>
              <w:rPr>
                <w:b/>
                <w:spacing w:val="-16"/>
                <w:sz w:val="20"/>
              </w:rPr>
              <w:t xml:space="preserve"> </w:t>
            </w:r>
            <w:r>
              <w:rPr>
                <w:b/>
                <w:spacing w:val="-4"/>
                <w:sz w:val="20"/>
              </w:rPr>
              <w:t>(%)</w:t>
            </w:r>
          </w:p>
        </w:tc>
        <w:tc>
          <w:tcPr>
            <w:tcW w:w="855" w:type="dxa"/>
            <w:tcBorders>
              <w:top w:val="single" w:sz="6" w:space="0" w:color="000000"/>
              <w:left w:val="single" w:sz="6" w:space="0" w:color="000000"/>
              <w:right w:val="single" w:sz="12" w:space="0" w:color="000000"/>
            </w:tcBorders>
          </w:tcPr>
          <w:p w14:paraId="668FF912" w14:textId="77777777" w:rsidR="00A663F1" w:rsidRDefault="00E46EDB">
            <w:pPr>
              <w:pStyle w:val="TableParagraph"/>
              <w:spacing w:before="52" w:line="240" w:lineRule="auto"/>
              <w:ind w:left="161"/>
              <w:rPr>
                <w:sz w:val="20"/>
              </w:rPr>
            </w:pPr>
            <w:r>
              <w:rPr>
                <w:sz w:val="20"/>
              </w:rPr>
              <w:t>3.5%</w:t>
            </w:r>
          </w:p>
        </w:tc>
      </w:tr>
      <w:tr w:rsidR="00A663F1" w14:paraId="238973D3" w14:textId="77777777">
        <w:trPr>
          <w:trHeight w:val="1527"/>
        </w:trPr>
        <w:tc>
          <w:tcPr>
            <w:tcW w:w="10317" w:type="dxa"/>
            <w:gridSpan w:val="9"/>
            <w:tcBorders>
              <w:top w:val="nil"/>
              <w:left w:val="single" w:sz="12" w:space="0" w:color="000000"/>
              <w:bottom w:val="single" w:sz="12" w:space="0" w:color="000000"/>
              <w:right w:val="single" w:sz="12" w:space="0" w:color="000000"/>
            </w:tcBorders>
          </w:tcPr>
          <w:p w14:paraId="57ECF1F6" w14:textId="77777777" w:rsidR="00A663F1" w:rsidRDefault="00E46EDB">
            <w:pPr>
              <w:pStyle w:val="TableParagraph"/>
              <w:spacing w:before="2" w:line="240" w:lineRule="auto"/>
              <w:ind w:left="145" w:right="323"/>
              <w:jc w:val="both"/>
            </w:pPr>
            <w:r>
              <w:rPr>
                <w:spacing w:val="-3"/>
              </w:rPr>
              <w:t xml:space="preserve">The </w:t>
            </w:r>
            <w:r>
              <w:rPr>
                <w:spacing w:val="-5"/>
              </w:rPr>
              <w:t xml:space="preserve">costs </w:t>
            </w:r>
            <w:r>
              <w:rPr>
                <w:spacing w:val="-4"/>
              </w:rPr>
              <w:t xml:space="preserve">and </w:t>
            </w:r>
            <w:r>
              <w:rPr>
                <w:spacing w:val="-5"/>
              </w:rPr>
              <w:t xml:space="preserve">benefits </w:t>
            </w:r>
            <w:r>
              <w:rPr>
                <w:spacing w:val="-4"/>
              </w:rPr>
              <w:t xml:space="preserve">of </w:t>
            </w:r>
            <w:r>
              <w:rPr>
                <w:spacing w:val="-6"/>
              </w:rPr>
              <w:t xml:space="preserve">Breathing </w:t>
            </w:r>
            <w:r>
              <w:rPr>
                <w:spacing w:val="-5"/>
              </w:rPr>
              <w:t xml:space="preserve">Space </w:t>
            </w:r>
            <w:r>
              <w:rPr>
                <w:spacing w:val="-4"/>
              </w:rPr>
              <w:t xml:space="preserve">are </w:t>
            </w:r>
            <w:r>
              <w:rPr>
                <w:spacing w:val="-6"/>
              </w:rPr>
              <w:t xml:space="preserve">sensitive </w:t>
            </w:r>
            <w:r>
              <w:t xml:space="preserve">to </w:t>
            </w:r>
            <w:r>
              <w:rPr>
                <w:spacing w:val="-6"/>
              </w:rPr>
              <w:t xml:space="preserve">changes </w:t>
            </w:r>
            <w:r>
              <w:rPr>
                <w:spacing w:val="-3"/>
              </w:rPr>
              <w:t xml:space="preserve">in </w:t>
            </w:r>
            <w:r>
              <w:rPr>
                <w:spacing w:val="-5"/>
              </w:rPr>
              <w:t xml:space="preserve">take-up. </w:t>
            </w:r>
            <w:r>
              <w:rPr>
                <w:spacing w:val="-4"/>
              </w:rPr>
              <w:t xml:space="preserve">If </w:t>
            </w:r>
            <w:r>
              <w:rPr>
                <w:spacing w:val="-5"/>
              </w:rPr>
              <w:t xml:space="preserve">take-up was </w:t>
            </w:r>
            <w:r>
              <w:t xml:space="preserve">to </w:t>
            </w:r>
            <w:r>
              <w:rPr>
                <w:spacing w:val="-3"/>
              </w:rPr>
              <w:t xml:space="preserve">be </w:t>
            </w:r>
            <w:r>
              <w:rPr>
                <w:spacing w:val="-6"/>
              </w:rPr>
              <w:t xml:space="preserve">lower </w:t>
            </w:r>
            <w:r>
              <w:rPr>
                <w:spacing w:val="-4"/>
              </w:rPr>
              <w:t xml:space="preserve">than </w:t>
            </w:r>
            <w:r>
              <w:rPr>
                <w:spacing w:val="-6"/>
              </w:rPr>
              <w:t xml:space="preserve">forecast, </w:t>
            </w:r>
            <w:r>
              <w:rPr>
                <w:spacing w:val="-4"/>
              </w:rPr>
              <w:t xml:space="preserve">the </w:t>
            </w:r>
            <w:r>
              <w:rPr>
                <w:spacing w:val="-6"/>
              </w:rPr>
              <w:t xml:space="preserve">benefits </w:t>
            </w:r>
            <w:r>
              <w:rPr>
                <w:spacing w:val="-4"/>
              </w:rPr>
              <w:t xml:space="preserve">and </w:t>
            </w:r>
            <w:r>
              <w:rPr>
                <w:spacing w:val="-6"/>
              </w:rPr>
              <w:t xml:space="preserve">ongoing </w:t>
            </w:r>
            <w:r>
              <w:rPr>
                <w:spacing w:val="-5"/>
              </w:rPr>
              <w:t xml:space="preserve">costs </w:t>
            </w:r>
            <w:r>
              <w:rPr>
                <w:spacing w:val="-4"/>
              </w:rPr>
              <w:t xml:space="preserve">of the </w:t>
            </w:r>
            <w:r>
              <w:rPr>
                <w:spacing w:val="-5"/>
              </w:rPr>
              <w:t xml:space="preserve">scheme </w:t>
            </w:r>
            <w:r>
              <w:rPr>
                <w:spacing w:val="-6"/>
              </w:rPr>
              <w:t xml:space="preserve">would </w:t>
            </w:r>
            <w:r>
              <w:rPr>
                <w:spacing w:val="-3"/>
              </w:rPr>
              <w:t xml:space="preserve">be </w:t>
            </w:r>
            <w:r>
              <w:rPr>
                <w:spacing w:val="-6"/>
              </w:rPr>
              <w:t xml:space="preserve">lower. </w:t>
            </w:r>
            <w:r>
              <w:rPr>
                <w:spacing w:val="-3"/>
              </w:rPr>
              <w:t xml:space="preserve">As </w:t>
            </w:r>
            <w:r>
              <w:rPr>
                <w:spacing w:val="-6"/>
              </w:rPr>
              <w:t xml:space="preserve">government programmes </w:t>
            </w:r>
            <w:r>
              <w:rPr>
                <w:spacing w:val="-4"/>
              </w:rPr>
              <w:t xml:space="preserve">that rely </w:t>
            </w:r>
            <w:r>
              <w:rPr>
                <w:spacing w:val="-3"/>
              </w:rPr>
              <w:t xml:space="preserve">on </w:t>
            </w:r>
            <w:r>
              <w:rPr>
                <w:spacing w:val="-6"/>
              </w:rPr>
              <w:t xml:space="preserve">consumer </w:t>
            </w:r>
            <w:r>
              <w:rPr>
                <w:spacing w:val="-5"/>
              </w:rPr>
              <w:t xml:space="preserve">demand </w:t>
            </w:r>
            <w:r>
              <w:rPr>
                <w:spacing w:val="-4"/>
              </w:rPr>
              <w:t xml:space="preserve">are </w:t>
            </w:r>
            <w:r>
              <w:rPr>
                <w:spacing w:val="-5"/>
              </w:rPr>
              <w:t xml:space="preserve">often over forecast, </w:t>
            </w:r>
            <w:r>
              <w:rPr>
                <w:spacing w:val="-4"/>
              </w:rPr>
              <w:t xml:space="preserve">this has </w:t>
            </w:r>
            <w:r>
              <w:rPr>
                <w:spacing w:val="-5"/>
              </w:rPr>
              <w:t xml:space="preserve">been </w:t>
            </w:r>
            <w:r>
              <w:rPr>
                <w:spacing w:val="-6"/>
              </w:rPr>
              <w:t xml:space="preserve">accounted </w:t>
            </w:r>
            <w:r>
              <w:rPr>
                <w:spacing w:val="-4"/>
              </w:rPr>
              <w:t xml:space="preserve">for </w:t>
            </w:r>
            <w:r>
              <w:rPr>
                <w:spacing w:val="-5"/>
              </w:rPr>
              <w:t xml:space="preserve">with </w:t>
            </w:r>
            <w:r>
              <w:rPr>
                <w:spacing w:val="-3"/>
              </w:rPr>
              <w:t xml:space="preserve">an </w:t>
            </w:r>
            <w:r>
              <w:rPr>
                <w:spacing w:val="-5"/>
              </w:rPr>
              <w:t xml:space="preserve">optimism </w:t>
            </w:r>
            <w:r>
              <w:rPr>
                <w:spacing w:val="-6"/>
              </w:rPr>
              <w:t xml:space="preserve">bias adjustment </w:t>
            </w:r>
            <w:r>
              <w:t xml:space="preserve">to </w:t>
            </w:r>
            <w:r>
              <w:rPr>
                <w:spacing w:val="-4"/>
              </w:rPr>
              <w:t xml:space="preserve">the </w:t>
            </w:r>
            <w:r>
              <w:rPr>
                <w:spacing w:val="-5"/>
              </w:rPr>
              <w:t xml:space="preserve">forecast caseload </w:t>
            </w:r>
            <w:r>
              <w:rPr>
                <w:spacing w:val="-4"/>
              </w:rPr>
              <w:t xml:space="preserve">of </w:t>
            </w:r>
            <w:r>
              <w:rPr>
                <w:spacing w:val="-6"/>
              </w:rPr>
              <w:t xml:space="preserve">20%. </w:t>
            </w:r>
            <w:r>
              <w:rPr>
                <w:spacing w:val="-4"/>
              </w:rPr>
              <w:t xml:space="preserve">The </w:t>
            </w:r>
            <w:r>
              <w:rPr>
                <w:spacing w:val="-5"/>
              </w:rPr>
              <w:t xml:space="preserve">inverse risk </w:t>
            </w:r>
            <w:r>
              <w:rPr>
                <w:spacing w:val="-4"/>
              </w:rPr>
              <w:t xml:space="preserve">of </w:t>
            </w:r>
            <w:r>
              <w:rPr>
                <w:spacing w:val="-5"/>
              </w:rPr>
              <w:t xml:space="preserve">take-up rising </w:t>
            </w:r>
            <w:r>
              <w:rPr>
                <w:spacing w:val="-6"/>
              </w:rPr>
              <w:t xml:space="preserve">above </w:t>
            </w:r>
            <w:r>
              <w:rPr>
                <w:spacing w:val="-5"/>
              </w:rPr>
              <w:t xml:space="preserve">forecast </w:t>
            </w:r>
            <w:r>
              <w:rPr>
                <w:spacing w:val="-6"/>
              </w:rPr>
              <w:t xml:space="preserve">levels </w:t>
            </w:r>
            <w:r>
              <w:rPr>
                <w:spacing w:val="-3"/>
              </w:rPr>
              <w:t xml:space="preserve">is </w:t>
            </w:r>
            <w:r>
              <w:rPr>
                <w:spacing w:val="-6"/>
              </w:rPr>
              <w:t xml:space="preserve">low. </w:t>
            </w:r>
            <w:r>
              <w:rPr>
                <w:spacing w:val="-5"/>
              </w:rPr>
              <w:t xml:space="preserve">Demand </w:t>
            </w:r>
            <w:r>
              <w:rPr>
                <w:spacing w:val="-4"/>
              </w:rPr>
              <w:t xml:space="preserve">for </w:t>
            </w:r>
            <w:r>
              <w:rPr>
                <w:spacing w:val="-5"/>
              </w:rPr>
              <w:t xml:space="preserve">debt </w:t>
            </w:r>
            <w:r>
              <w:rPr>
                <w:spacing w:val="-6"/>
              </w:rPr>
              <w:t xml:space="preserve">advice </w:t>
            </w:r>
            <w:r>
              <w:rPr>
                <w:spacing w:val="-5"/>
              </w:rPr>
              <w:t xml:space="preserve">can </w:t>
            </w:r>
            <w:r>
              <w:rPr>
                <w:spacing w:val="-3"/>
              </w:rPr>
              <w:t xml:space="preserve">be </w:t>
            </w:r>
            <w:r>
              <w:rPr>
                <w:spacing w:val="-6"/>
              </w:rPr>
              <w:t xml:space="preserve">volatile, </w:t>
            </w:r>
            <w:r>
              <w:rPr>
                <w:spacing w:val="-5"/>
              </w:rPr>
              <w:t xml:space="preserve">but supply </w:t>
            </w:r>
            <w:r>
              <w:rPr>
                <w:spacing w:val="-6"/>
              </w:rPr>
              <w:t xml:space="preserve">constraints within </w:t>
            </w:r>
            <w:r>
              <w:rPr>
                <w:spacing w:val="-4"/>
              </w:rPr>
              <w:t xml:space="preserve">the </w:t>
            </w:r>
            <w:r>
              <w:rPr>
                <w:spacing w:val="-5"/>
              </w:rPr>
              <w:t xml:space="preserve">debt </w:t>
            </w:r>
            <w:r>
              <w:rPr>
                <w:spacing w:val="-6"/>
              </w:rPr>
              <w:t xml:space="preserve">advice </w:t>
            </w:r>
            <w:r>
              <w:rPr>
                <w:spacing w:val="-5"/>
              </w:rPr>
              <w:t xml:space="preserve">sector </w:t>
            </w:r>
            <w:r>
              <w:rPr>
                <w:spacing w:val="-6"/>
              </w:rPr>
              <w:t xml:space="preserve">would </w:t>
            </w:r>
            <w:r>
              <w:rPr>
                <w:spacing w:val="-5"/>
              </w:rPr>
              <w:t>limit the</w:t>
            </w:r>
          </w:p>
          <w:p w14:paraId="380B4601" w14:textId="77777777" w:rsidR="00A663F1" w:rsidRDefault="00E46EDB">
            <w:pPr>
              <w:pStyle w:val="TableParagraph"/>
              <w:spacing w:line="241" w:lineRule="exact"/>
              <w:ind w:left="145"/>
              <w:jc w:val="both"/>
            </w:pPr>
            <w:r>
              <w:t>scope for significant caseload increases.</w:t>
            </w:r>
          </w:p>
        </w:tc>
      </w:tr>
    </w:tbl>
    <w:p w14:paraId="6B2D28DC" w14:textId="77777777" w:rsidR="00A663F1" w:rsidRDefault="00A663F1">
      <w:pPr>
        <w:pStyle w:val="BodyText"/>
        <w:spacing w:before="0"/>
        <w:ind w:left="0" w:firstLine="0"/>
        <w:rPr>
          <w:b/>
        </w:rPr>
      </w:pPr>
    </w:p>
    <w:p w14:paraId="3E857D81" w14:textId="77777777" w:rsidR="00A663F1" w:rsidRDefault="00E46EDB">
      <w:pPr>
        <w:spacing w:before="157" w:after="49"/>
        <w:ind w:left="252"/>
        <w:rPr>
          <w:b/>
          <w:sz w:val="20"/>
        </w:rPr>
      </w:pPr>
      <w:r>
        <w:rPr>
          <w:b/>
          <w:sz w:val="20"/>
        </w:rPr>
        <w:t>BUSINESS ASSESSMENT (Option 3)</w:t>
      </w: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1841"/>
        <w:gridCol w:w="1697"/>
        <w:gridCol w:w="4815"/>
      </w:tblGrid>
      <w:tr w:rsidR="00A663F1" w14:paraId="01D2C522" w14:textId="77777777">
        <w:trPr>
          <w:trHeight w:val="369"/>
        </w:trPr>
        <w:tc>
          <w:tcPr>
            <w:tcW w:w="5518" w:type="dxa"/>
            <w:gridSpan w:val="3"/>
            <w:tcBorders>
              <w:bottom w:val="nil"/>
            </w:tcBorders>
          </w:tcPr>
          <w:p w14:paraId="222C81D3" w14:textId="77777777" w:rsidR="00A663F1" w:rsidRDefault="00E46EDB">
            <w:pPr>
              <w:pStyle w:val="TableParagraph"/>
              <w:spacing w:before="52" w:line="240" w:lineRule="auto"/>
              <w:ind w:left="117"/>
              <w:rPr>
                <w:b/>
                <w:sz w:val="20"/>
              </w:rPr>
            </w:pPr>
            <w:r>
              <w:rPr>
                <w:b/>
                <w:sz w:val="20"/>
              </w:rPr>
              <w:t>Direct impact on business (Equivalent Annual) £m:</w:t>
            </w:r>
          </w:p>
        </w:tc>
        <w:tc>
          <w:tcPr>
            <w:tcW w:w="4815" w:type="dxa"/>
            <w:vMerge w:val="restart"/>
          </w:tcPr>
          <w:p w14:paraId="207D4BD4" w14:textId="77777777" w:rsidR="00A663F1" w:rsidRDefault="00E46EDB">
            <w:pPr>
              <w:pStyle w:val="TableParagraph"/>
              <w:spacing w:before="50" w:line="240" w:lineRule="auto"/>
              <w:ind w:left="118"/>
              <w:rPr>
                <w:b/>
                <w:sz w:val="20"/>
              </w:rPr>
            </w:pPr>
            <w:r>
              <w:rPr>
                <w:b/>
                <w:spacing w:val="-5"/>
                <w:sz w:val="20"/>
              </w:rPr>
              <w:t xml:space="preserve">Score </w:t>
            </w:r>
            <w:r>
              <w:rPr>
                <w:b/>
                <w:spacing w:val="-3"/>
                <w:sz w:val="20"/>
              </w:rPr>
              <w:t xml:space="preserve">for </w:t>
            </w:r>
            <w:r>
              <w:rPr>
                <w:b/>
                <w:spacing w:val="-5"/>
                <w:sz w:val="20"/>
              </w:rPr>
              <w:t xml:space="preserve">Business </w:t>
            </w:r>
            <w:r>
              <w:rPr>
                <w:b/>
                <w:spacing w:val="-4"/>
                <w:sz w:val="20"/>
              </w:rPr>
              <w:t xml:space="preserve">Impact </w:t>
            </w:r>
            <w:r>
              <w:rPr>
                <w:b/>
                <w:spacing w:val="-5"/>
                <w:sz w:val="20"/>
              </w:rPr>
              <w:t xml:space="preserve">Target (qualifying provisions only) </w:t>
            </w:r>
            <w:r>
              <w:rPr>
                <w:b/>
                <w:spacing w:val="-4"/>
                <w:sz w:val="20"/>
              </w:rPr>
              <w:t>£m:</w:t>
            </w:r>
          </w:p>
        </w:tc>
      </w:tr>
      <w:tr w:rsidR="00A663F1" w14:paraId="38F8EA0F" w14:textId="77777777">
        <w:trPr>
          <w:trHeight w:val="335"/>
        </w:trPr>
        <w:tc>
          <w:tcPr>
            <w:tcW w:w="1980" w:type="dxa"/>
            <w:vMerge w:val="restart"/>
            <w:tcBorders>
              <w:top w:val="nil"/>
            </w:tcBorders>
          </w:tcPr>
          <w:p w14:paraId="0DE156E9" w14:textId="77777777" w:rsidR="00A663F1" w:rsidRDefault="00E46EDB">
            <w:pPr>
              <w:pStyle w:val="TableParagraph"/>
              <w:spacing w:before="45" w:line="240" w:lineRule="auto"/>
              <w:ind w:left="117"/>
              <w:rPr>
                <w:sz w:val="20"/>
              </w:rPr>
            </w:pPr>
            <w:r>
              <w:rPr>
                <w:b/>
                <w:sz w:val="20"/>
              </w:rPr>
              <w:t xml:space="preserve">Costs: </w:t>
            </w:r>
            <w:r>
              <w:rPr>
                <w:sz w:val="20"/>
              </w:rPr>
              <w:t>214.2</w:t>
            </w:r>
          </w:p>
        </w:tc>
        <w:tc>
          <w:tcPr>
            <w:tcW w:w="1841" w:type="dxa"/>
            <w:vMerge w:val="restart"/>
            <w:tcBorders>
              <w:top w:val="nil"/>
            </w:tcBorders>
          </w:tcPr>
          <w:p w14:paraId="18CFECE9" w14:textId="77777777" w:rsidR="00A663F1" w:rsidRDefault="00E46EDB">
            <w:pPr>
              <w:pStyle w:val="TableParagraph"/>
              <w:spacing w:before="45" w:line="240" w:lineRule="auto"/>
              <w:ind w:left="113"/>
              <w:rPr>
                <w:sz w:val="20"/>
              </w:rPr>
            </w:pPr>
            <w:r>
              <w:rPr>
                <w:b/>
                <w:sz w:val="20"/>
              </w:rPr>
              <w:t xml:space="preserve">Benefits: </w:t>
            </w:r>
            <w:r>
              <w:rPr>
                <w:sz w:val="20"/>
              </w:rPr>
              <w:t>0</w:t>
            </w:r>
          </w:p>
        </w:tc>
        <w:tc>
          <w:tcPr>
            <w:tcW w:w="1697" w:type="dxa"/>
            <w:vMerge w:val="restart"/>
            <w:tcBorders>
              <w:top w:val="nil"/>
            </w:tcBorders>
          </w:tcPr>
          <w:p w14:paraId="7BC05CF7" w14:textId="77777777" w:rsidR="00A663F1" w:rsidRDefault="00E46EDB">
            <w:pPr>
              <w:pStyle w:val="TableParagraph"/>
              <w:spacing w:before="45" w:line="240" w:lineRule="auto"/>
              <w:ind w:left="111"/>
              <w:rPr>
                <w:sz w:val="20"/>
              </w:rPr>
            </w:pPr>
            <w:r>
              <w:rPr>
                <w:b/>
                <w:sz w:val="20"/>
              </w:rPr>
              <w:t xml:space="preserve">Net: </w:t>
            </w:r>
            <w:r>
              <w:rPr>
                <w:sz w:val="20"/>
              </w:rPr>
              <w:t>214.2</w:t>
            </w:r>
          </w:p>
        </w:tc>
        <w:tc>
          <w:tcPr>
            <w:tcW w:w="4815" w:type="dxa"/>
            <w:vMerge/>
            <w:tcBorders>
              <w:top w:val="nil"/>
            </w:tcBorders>
          </w:tcPr>
          <w:p w14:paraId="1DBB6406" w14:textId="77777777" w:rsidR="00A663F1" w:rsidRDefault="00A663F1">
            <w:pPr>
              <w:rPr>
                <w:sz w:val="2"/>
                <w:szCs w:val="2"/>
              </w:rPr>
            </w:pPr>
          </w:p>
        </w:tc>
      </w:tr>
      <w:tr w:rsidR="00A663F1" w14:paraId="075ACE08" w14:textId="77777777">
        <w:trPr>
          <w:trHeight w:val="480"/>
        </w:trPr>
        <w:tc>
          <w:tcPr>
            <w:tcW w:w="1980" w:type="dxa"/>
            <w:vMerge/>
            <w:tcBorders>
              <w:top w:val="nil"/>
            </w:tcBorders>
          </w:tcPr>
          <w:p w14:paraId="40381DE9" w14:textId="77777777" w:rsidR="00A663F1" w:rsidRDefault="00A663F1">
            <w:pPr>
              <w:rPr>
                <w:sz w:val="2"/>
                <w:szCs w:val="2"/>
              </w:rPr>
            </w:pPr>
          </w:p>
        </w:tc>
        <w:tc>
          <w:tcPr>
            <w:tcW w:w="1841" w:type="dxa"/>
            <w:vMerge/>
            <w:tcBorders>
              <w:top w:val="nil"/>
            </w:tcBorders>
          </w:tcPr>
          <w:p w14:paraId="43E05307" w14:textId="77777777" w:rsidR="00A663F1" w:rsidRDefault="00A663F1">
            <w:pPr>
              <w:rPr>
                <w:sz w:val="2"/>
                <w:szCs w:val="2"/>
              </w:rPr>
            </w:pPr>
          </w:p>
        </w:tc>
        <w:tc>
          <w:tcPr>
            <w:tcW w:w="1697" w:type="dxa"/>
            <w:vMerge/>
            <w:tcBorders>
              <w:top w:val="nil"/>
            </w:tcBorders>
          </w:tcPr>
          <w:p w14:paraId="0FDE1627" w14:textId="77777777" w:rsidR="00A663F1" w:rsidRDefault="00A663F1">
            <w:pPr>
              <w:rPr>
                <w:sz w:val="2"/>
                <w:szCs w:val="2"/>
              </w:rPr>
            </w:pPr>
          </w:p>
        </w:tc>
        <w:tc>
          <w:tcPr>
            <w:tcW w:w="4815" w:type="dxa"/>
          </w:tcPr>
          <w:p w14:paraId="56048B24" w14:textId="77777777" w:rsidR="00A663F1" w:rsidRDefault="00E46EDB">
            <w:pPr>
              <w:pStyle w:val="TableParagraph"/>
              <w:spacing w:before="49" w:line="240" w:lineRule="auto"/>
              <w:ind w:left="648"/>
              <w:rPr>
                <w:sz w:val="20"/>
              </w:rPr>
            </w:pPr>
            <w:r>
              <w:rPr>
                <w:sz w:val="20"/>
              </w:rPr>
              <w:t>846.5</w:t>
            </w:r>
          </w:p>
        </w:tc>
      </w:tr>
    </w:tbl>
    <w:p w14:paraId="419EB63D" w14:textId="77777777" w:rsidR="00A663F1" w:rsidRDefault="00A663F1">
      <w:pPr>
        <w:rPr>
          <w:sz w:val="20"/>
        </w:rPr>
        <w:sectPr w:rsidR="00A663F1">
          <w:pgSz w:w="11910" w:h="16850"/>
          <w:pgMar w:top="600" w:right="720" w:bottom="1020" w:left="600" w:header="0" w:footer="761" w:gutter="0"/>
          <w:cols w:space="720"/>
        </w:sectPr>
      </w:pPr>
    </w:p>
    <w:p w14:paraId="00C217E2" w14:textId="77777777" w:rsidR="00A663F1" w:rsidRDefault="00E46EDB">
      <w:pPr>
        <w:pStyle w:val="Heading1"/>
        <w:numPr>
          <w:ilvl w:val="0"/>
          <w:numId w:val="9"/>
        </w:numPr>
        <w:tabs>
          <w:tab w:val="left" w:pos="613"/>
        </w:tabs>
        <w:spacing w:before="78"/>
      </w:pPr>
      <w:r>
        <w:lastRenderedPageBreak/>
        <w:t>Problem under</w:t>
      </w:r>
      <w:r>
        <w:rPr>
          <w:spacing w:val="-2"/>
        </w:rPr>
        <w:t xml:space="preserve"> </w:t>
      </w:r>
      <w:r>
        <w:t>consideration</w:t>
      </w:r>
    </w:p>
    <w:p w14:paraId="311AE4C9" w14:textId="77777777" w:rsidR="00A663F1" w:rsidRDefault="00E46EDB">
      <w:pPr>
        <w:pStyle w:val="ListParagraph"/>
        <w:numPr>
          <w:ilvl w:val="1"/>
          <w:numId w:val="9"/>
        </w:numPr>
        <w:tabs>
          <w:tab w:val="left" w:pos="1045"/>
        </w:tabs>
        <w:spacing w:before="122"/>
        <w:ind w:right="239"/>
      </w:pPr>
      <w:r>
        <w:t>There are substantial benefits from the provision of professional debt advice. These benefits fall across society, including to creditors who receive higher repayments, to employers who benefit from higher employee productivity, and to individuals in problem</w:t>
      </w:r>
      <w:r>
        <w:rPr>
          <w:spacing w:val="-3"/>
        </w:rPr>
        <w:t xml:space="preserve"> </w:t>
      </w:r>
      <w:r>
        <w:t>debt.</w:t>
      </w:r>
    </w:p>
    <w:p w14:paraId="6FC7C8E3" w14:textId="77777777" w:rsidR="00A663F1" w:rsidRDefault="00E46EDB">
      <w:pPr>
        <w:pStyle w:val="ListParagraph"/>
        <w:numPr>
          <w:ilvl w:val="1"/>
          <w:numId w:val="9"/>
        </w:numPr>
        <w:tabs>
          <w:tab w:val="left" w:pos="1045"/>
        </w:tabs>
        <w:spacing w:before="119"/>
        <w:ind w:right="283"/>
      </w:pPr>
      <w:r>
        <w:t>The Money Advice Service (now the Money and Pensions Service), a financial advice and guidance body established by government, estimates the benefits of debt advice to be</w:t>
      </w:r>
      <w:r>
        <w:rPr>
          <w:spacing w:val="-28"/>
        </w:rPr>
        <w:t xml:space="preserve"> </w:t>
      </w:r>
      <w:r>
        <w:t>between</w:t>
      </w:r>
    </w:p>
    <w:p w14:paraId="5E7297F3" w14:textId="77777777" w:rsidR="00A663F1" w:rsidRDefault="00E46EDB">
      <w:pPr>
        <w:pStyle w:val="BodyText"/>
        <w:spacing w:before="1"/>
        <w:ind w:firstLine="0"/>
      </w:pPr>
      <w:r>
        <w:t>£475-£1bn per annum in 2021 prices.</w:t>
      </w:r>
      <w:r>
        <w:rPr>
          <w:vertAlign w:val="superscript"/>
        </w:rPr>
        <w:t>1</w:t>
      </w:r>
    </w:p>
    <w:p w14:paraId="6D3C21A9" w14:textId="77777777" w:rsidR="00A663F1" w:rsidRDefault="00E46EDB">
      <w:pPr>
        <w:pStyle w:val="ListParagraph"/>
        <w:numPr>
          <w:ilvl w:val="1"/>
          <w:numId w:val="9"/>
        </w:numPr>
        <w:tabs>
          <w:tab w:val="left" w:pos="1045"/>
        </w:tabs>
        <w:spacing w:before="119"/>
        <w:ind w:right="357"/>
        <w:jc w:val="both"/>
      </w:pPr>
      <w:r>
        <w:t>There are estimated to be up to 9 million people in the UK struggling with their debts.</w:t>
      </w:r>
      <w:r>
        <w:rPr>
          <w:vertAlign w:val="superscript"/>
        </w:rPr>
        <w:t>2</w:t>
      </w:r>
      <w:r>
        <w:t xml:space="preserve"> In 2018, Peter Wyman conducted an independent review of debt advice funding in the United Kingdom. He found that between 0.65m and 2.9m people in the UK would benefit from advice but do not seek it.</w:t>
      </w:r>
    </w:p>
    <w:p w14:paraId="36E44F2D" w14:textId="77777777" w:rsidR="00A663F1" w:rsidRDefault="00E46EDB">
      <w:pPr>
        <w:pStyle w:val="ListParagraph"/>
        <w:numPr>
          <w:ilvl w:val="1"/>
          <w:numId w:val="9"/>
        </w:numPr>
        <w:tabs>
          <w:tab w:val="left" w:pos="1045"/>
        </w:tabs>
        <w:spacing w:before="121"/>
        <w:ind w:right="173"/>
      </w:pPr>
      <w:r>
        <w:t>Those who seek debt advice often seek it too late. Christians Against Poverty report that most of their clients wait over a year before seeking advice, far later than when advice would be most beneficial.</w:t>
      </w:r>
      <w:r>
        <w:rPr>
          <w:vertAlign w:val="superscript"/>
        </w:rPr>
        <w:t>3</w:t>
      </w:r>
      <w:r>
        <w:t xml:space="preserve"> The debt advice charity StepChange estimates that people who wait six months to seek advice see their debts grow 14% larger than those who seek advice at an earlier</w:t>
      </w:r>
      <w:r>
        <w:rPr>
          <w:spacing w:val="-19"/>
        </w:rPr>
        <w:t xml:space="preserve"> </w:t>
      </w:r>
      <w:r>
        <w:t>stage.</w:t>
      </w:r>
      <w:r>
        <w:rPr>
          <w:vertAlign w:val="superscript"/>
        </w:rPr>
        <w:t>4</w:t>
      </w:r>
    </w:p>
    <w:p w14:paraId="6FBE31B5" w14:textId="77777777" w:rsidR="00A663F1" w:rsidRDefault="00E46EDB">
      <w:pPr>
        <w:pStyle w:val="Heading1"/>
        <w:numPr>
          <w:ilvl w:val="0"/>
          <w:numId w:val="9"/>
        </w:numPr>
        <w:tabs>
          <w:tab w:val="left" w:pos="613"/>
        </w:tabs>
        <w:spacing w:before="119"/>
      </w:pPr>
      <w:r>
        <w:t>Rationale for</w:t>
      </w:r>
      <w:r>
        <w:rPr>
          <w:spacing w:val="-4"/>
        </w:rPr>
        <w:t xml:space="preserve"> </w:t>
      </w:r>
      <w:r>
        <w:t>intervention</w:t>
      </w:r>
    </w:p>
    <w:p w14:paraId="6E85EE14" w14:textId="77777777" w:rsidR="00A663F1" w:rsidRDefault="00E46EDB">
      <w:pPr>
        <w:pStyle w:val="ListParagraph"/>
        <w:numPr>
          <w:ilvl w:val="1"/>
          <w:numId w:val="9"/>
        </w:numPr>
        <w:tabs>
          <w:tab w:val="left" w:pos="1045"/>
        </w:tabs>
        <w:spacing w:before="121"/>
        <w:ind w:right="455"/>
      </w:pPr>
      <w:r>
        <w:t>There are clear demand side barriers to accessing advice from the point that it would be most beneficial. The government is seizing the opportunity to address</w:t>
      </w:r>
      <w:r>
        <w:rPr>
          <w:spacing w:val="-9"/>
        </w:rPr>
        <w:t xml:space="preserve"> </w:t>
      </w:r>
      <w:r>
        <w:t>these.</w:t>
      </w:r>
    </w:p>
    <w:p w14:paraId="230B62E3" w14:textId="77777777" w:rsidR="00A663F1" w:rsidRDefault="00E46EDB">
      <w:pPr>
        <w:pStyle w:val="ListParagraph"/>
        <w:numPr>
          <w:ilvl w:val="1"/>
          <w:numId w:val="9"/>
        </w:numPr>
        <w:tabs>
          <w:tab w:val="left" w:pos="1045"/>
        </w:tabs>
        <w:spacing w:before="121"/>
        <w:ind w:right="270"/>
      </w:pPr>
      <w:r>
        <w:t>Advice to the government from the Money and Pensions Service (MAPS) states that individuals in problem debt often have internal barriers where their attitudes, emotions and knowledge impact their willingness to seek advice.</w:t>
      </w:r>
      <w:r>
        <w:rPr>
          <w:vertAlign w:val="superscript"/>
        </w:rPr>
        <w:t>5</w:t>
      </w:r>
      <w:r>
        <w:t xml:space="preserve"> MAPS suggest that people in problem debt often deny the severity of their circumstances, partly as a result of the stigma attached to being in problem debt. For others, fear, shame, embarrassment, and the hope that they will be able to resolve their problem debt without professional help cause them to delay seeking</w:t>
      </w:r>
      <w:r>
        <w:rPr>
          <w:spacing w:val="-10"/>
        </w:rPr>
        <w:t xml:space="preserve"> </w:t>
      </w:r>
      <w:r>
        <w:t>advice.</w:t>
      </w:r>
      <w:r>
        <w:rPr>
          <w:vertAlign w:val="superscript"/>
        </w:rPr>
        <w:t>6</w:t>
      </w:r>
    </w:p>
    <w:p w14:paraId="06DD6E6B" w14:textId="77777777" w:rsidR="00A663F1" w:rsidRDefault="00E46EDB">
      <w:pPr>
        <w:pStyle w:val="ListParagraph"/>
        <w:numPr>
          <w:ilvl w:val="1"/>
          <w:numId w:val="9"/>
        </w:numPr>
        <w:tabs>
          <w:tab w:val="left" w:pos="1045"/>
        </w:tabs>
        <w:spacing w:before="119"/>
        <w:ind w:right="182"/>
      </w:pPr>
      <w:r>
        <w:t>By the time that debtors seek advice, many creditors will have progressed to taking enforcement action, such as writing to the debtor to request repayment, taking court action, or using bailiffs, all of which can add to the stress and anxiety that debtors</w:t>
      </w:r>
      <w:r>
        <w:rPr>
          <w:spacing w:val="-10"/>
        </w:rPr>
        <w:t xml:space="preserve"> </w:t>
      </w:r>
      <w:r>
        <w:t>experience.</w:t>
      </w:r>
    </w:p>
    <w:p w14:paraId="77E1AB13" w14:textId="77777777" w:rsidR="00A663F1" w:rsidRDefault="00E46EDB">
      <w:pPr>
        <w:pStyle w:val="ListParagraph"/>
        <w:numPr>
          <w:ilvl w:val="1"/>
          <w:numId w:val="9"/>
        </w:numPr>
        <w:tabs>
          <w:tab w:val="left" w:pos="1045"/>
        </w:tabs>
        <w:ind w:right="177"/>
      </w:pPr>
      <w:r>
        <w:t>Debtors who are at crisis point when they seek advice are less likely to achieve an optimum outcome from debt advice. Research by the Money Advice Service suggests that the stress and anxiety of problem debt results in people being more likely to ignore essential communication, to report feeling overwhelmed by information about debt solutions, and to choose poorer debt solutions, often opting for quick fixes over more sustainable debt</w:t>
      </w:r>
      <w:r>
        <w:rPr>
          <w:spacing w:val="-7"/>
        </w:rPr>
        <w:t xml:space="preserve"> </w:t>
      </w:r>
      <w:r>
        <w:t>solutions.</w:t>
      </w:r>
      <w:r>
        <w:rPr>
          <w:vertAlign w:val="superscript"/>
        </w:rPr>
        <w:t>7</w:t>
      </w:r>
    </w:p>
    <w:p w14:paraId="276CFE8D" w14:textId="77777777" w:rsidR="00A663F1" w:rsidRDefault="00E46EDB">
      <w:pPr>
        <w:pStyle w:val="ListParagraph"/>
        <w:numPr>
          <w:ilvl w:val="1"/>
          <w:numId w:val="9"/>
        </w:numPr>
        <w:tabs>
          <w:tab w:val="left" w:pos="1045"/>
        </w:tabs>
        <w:spacing w:before="119"/>
        <w:ind w:right="281"/>
      </w:pPr>
      <w:r>
        <w:t xml:space="preserve">Some creditors already offer protections </w:t>
      </w:r>
      <w:proofErr w:type="gramStart"/>
      <w:r>
        <w:t>similar to</w:t>
      </w:r>
      <w:proofErr w:type="gramEnd"/>
      <w:r>
        <w:t xml:space="preserve"> those of Breathing Space. Chapter 7 of the Financial Conduct Authority’s (FCA) Consumer Credit Sourcebook suggests that firms consider “suspending, reducing, waiving or cancelling any further interest or charges… allowing deferment of payment of arrears… accepting token payments for a reasonable period of time in order to allow a customer to recover from an unexpected income shock… [and]</w:t>
      </w:r>
      <w:r>
        <w:rPr>
          <w:spacing w:val="-21"/>
        </w:rPr>
        <w:t xml:space="preserve"> </w:t>
      </w:r>
      <w:r>
        <w:t>refer[ing]</w:t>
      </w:r>
    </w:p>
    <w:p w14:paraId="1B6E2A70" w14:textId="77777777" w:rsidR="00A663F1" w:rsidRDefault="00A663F1">
      <w:pPr>
        <w:pStyle w:val="BodyText"/>
        <w:spacing w:before="0"/>
        <w:ind w:left="0" w:firstLine="0"/>
        <w:rPr>
          <w:sz w:val="20"/>
        </w:rPr>
      </w:pPr>
    </w:p>
    <w:p w14:paraId="6C5EBB8A" w14:textId="77777777" w:rsidR="00A663F1" w:rsidRDefault="00A663F1">
      <w:pPr>
        <w:pStyle w:val="BodyText"/>
        <w:spacing w:before="0"/>
        <w:ind w:left="0" w:firstLine="0"/>
        <w:rPr>
          <w:sz w:val="20"/>
        </w:rPr>
      </w:pPr>
    </w:p>
    <w:p w14:paraId="094D8776" w14:textId="77777777" w:rsidR="00A663F1" w:rsidRDefault="00A663F1">
      <w:pPr>
        <w:pStyle w:val="BodyText"/>
        <w:spacing w:before="0"/>
        <w:ind w:left="0" w:firstLine="0"/>
        <w:rPr>
          <w:sz w:val="20"/>
        </w:rPr>
      </w:pPr>
    </w:p>
    <w:p w14:paraId="7E5263C0" w14:textId="77777777" w:rsidR="00A663F1" w:rsidRDefault="00A663F1">
      <w:pPr>
        <w:pStyle w:val="BodyText"/>
        <w:spacing w:before="0"/>
        <w:ind w:left="0" w:firstLine="0"/>
        <w:rPr>
          <w:sz w:val="20"/>
        </w:rPr>
      </w:pPr>
    </w:p>
    <w:p w14:paraId="39C9AB32" w14:textId="40D8131A" w:rsidR="00A663F1" w:rsidRDefault="00E46EDB">
      <w:pPr>
        <w:pStyle w:val="BodyText"/>
        <w:spacing w:before="3"/>
        <w:ind w:left="0" w:firstLine="0"/>
        <w:rPr>
          <w:sz w:val="13"/>
        </w:rPr>
      </w:pPr>
      <w:r>
        <w:rPr>
          <w:noProof/>
        </w:rPr>
        <mc:AlternateContent>
          <mc:Choice Requires="wps">
            <w:drawing>
              <wp:anchor distT="0" distB="0" distL="0" distR="0" simplePos="0" relativeHeight="487588864" behindDoc="1" locked="0" layoutInCell="1" allowOverlap="1" wp14:anchorId="73A13FF5" wp14:editId="4E983939">
                <wp:simplePos x="0" y="0"/>
                <wp:positionH relativeFrom="page">
                  <wp:posOffset>541020</wp:posOffset>
                </wp:positionH>
                <wp:positionV relativeFrom="paragraph">
                  <wp:posOffset>121920</wp:posOffset>
                </wp:positionV>
                <wp:extent cx="1829435" cy="7620"/>
                <wp:effectExtent l="0" t="0" r="0" b="0"/>
                <wp:wrapTopAndBottom/>
                <wp:docPr id="27"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943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F51C18" id="Rectangle 22" o:spid="_x0000_s1026" style="position:absolute;margin-left:42.6pt;margin-top:9.6pt;width:144.05pt;height:.6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" fillcolor="black" stroked="f">
                <w10:wrap type="topAndBottom" anchorx="page"/>
              </v:rect>
            </w:pict>
          </mc:Fallback>
        </mc:AlternateContent>
      </w:r>
    </w:p>
    <w:p w14:paraId="08B96D1E" w14:textId="77777777" w:rsidR="00A663F1" w:rsidRDefault="00E46EDB">
      <w:pPr>
        <w:pStyle w:val="ListParagraph"/>
        <w:numPr>
          <w:ilvl w:val="0"/>
          <w:numId w:val="8"/>
        </w:numPr>
        <w:tabs>
          <w:tab w:val="left" w:pos="375"/>
        </w:tabs>
        <w:spacing w:before="67" w:line="256" w:lineRule="auto"/>
        <w:ind w:right="4605" w:firstLine="0"/>
        <w:rPr>
          <w:sz w:val="16"/>
        </w:rPr>
      </w:pPr>
      <w:r>
        <w:rPr>
          <w:sz w:val="16"/>
        </w:rPr>
        <w:t xml:space="preserve">Europe Economics (2018) </w:t>
      </w:r>
      <w:r>
        <w:rPr>
          <w:i/>
          <w:sz w:val="16"/>
        </w:rPr>
        <w:t xml:space="preserve">The Economic Impact of Debt Advice. </w:t>
      </w:r>
      <w:r>
        <w:rPr>
          <w:sz w:val="16"/>
        </w:rPr>
        <w:t>Available at:</w:t>
      </w:r>
      <w:hyperlink r:id="rId18">
        <w:r>
          <w:rPr>
            <w:sz w:val="16"/>
            <w:u w:val="single"/>
          </w:rPr>
          <w:t xml:space="preserve"> </w:t>
        </w:r>
        <w:r>
          <w:rPr>
            <w:spacing w:val="-1"/>
            <w:sz w:val="16"/>
            <w:u w:val="single"/>
          </w:rPr>
          <w:t>https://www.moneyadviceservice.org.uk/en/corporate/economicimpactdebtadvice</w:t>
        </w:r>
      </w:hyperlink>
    </w:p>
    <w:p w14:paraId="4C9BC41B" w14:textId="77777777" w:rsidR="00A663F1" w:rsidRDefault="00E46EDB">
      <w:pPr>
        <w:pStyle w:val="ListParagraph"/>
        <w:numPr>
          <w:ilvl w:val="0"/>
          <w:numId w:val="8"/>
        </w:numPr>
        <w:tabs>
          <w:tab w:val="left" w:pos="370"/>
        </w:tabs>
        <w:spacing w:before="36" w:line="196" w:lineRule="exact"/>
        <w:ind w:right="983" w:firstLine="0"/>
        <w:rPr>
          <w:sz w:val="16"/>
        </w:rPr>
      </w:pPr>
      <w:r>
        <w:rPr>
          <w:sz w:val="16"/>
        </w:rPr>
        <w:t>Wyman (2018) Independent Review of the Funding of Debt Advice in England, Wales, Scotland and Northern Ireland. Available at:</w:t>
      </w:r>
      <w:hyperlink r:id="rId19">
        <w:r>
          <w:rPr>
            <w:sz w:val="16"/>
            <w:u w:val="single"/>
          </w:rPr>
          <w:t xml:space="preserve"> </w:t>
        </w:r>
        <w:r>
          <w:rPr>
            <w:spacing w:val="-1"/>
            <w:sz w:val="16"/>
            <w:u w:val="single"/>
          </w:rPr>
          <w:t>https://masassets.blob.core.windows.net/cms/files/000/000/900/original/Peter_Wyman_Review_of_Debt_Advice_Funding_2018.pdf</w:t>
        </w:r>
      </w:hyperlink>
    </w:p>
    <w:p w14:paraId="0EBF2018" w14:textId="77777777" w:rsidR="00A663F1" w:rsidRDefault="00E46EDB">
      <w:pPr>
        <w:pStyle w:val="ListParagraph"/>
        <w:numPr>
          <w:ilvl w:val="0"/>
          <w:numId w:val="8"/>
        </w:numPr>
        <w:tabs>
          <w:tab w:val="left" w:pos="375"/>
        </w:tabs>
        <w:spacing w:before="45" w:line="196" w:lineRule="exact"/>
        <w:ind w:right="129" w:firstLine="0"/>
        <w:rPr>
          <w:sz w:val="16"/>
        </w:rPr>
      </w:pPr>
      <w:r>
        <w:rPr>
          <w:sz w:val="16"/>
        </w:rPr>
        <w:t xml:space="preserve">Christians Against Poverty (2019) </w:t>
      </w:r>
      <w:r>
        <w:rPr>
          <w:i/>
          <w:sz w:val="16"/>
        </w:rPr>
        <w:t>Client Report: Changing Perceptions</w:t>
      </w:r>
      <w:r>
        <w:rPr>
          <w:sz w:val="16"/>
        </w:rPr>
        <w:t xml:space="preserve">. Available at: </w:t>
      </w:r>
      <w:hyperlink r:id="rId20">
        <w:r>
          <w:rPr>
            <w:sz w:val="16"/>
            <w:u w:val="single"/>
          </w:rPr>
          <w:t>https://capuk.org/fileserver/downloads/general/cap-client-</w:t>
        </w:r>
      </w:hyperlink>
      <w:hyperlink r:id="rId21">
        <w:r>
          <w:rPr>
            <w:sz w:val="16"/>
            <w:u w:val="single"/>
          </w:rPr>
          <w:t xml:space="preserve"> report-2019-dp.pdf</w:t>
        </w:r>
      </w:hyperlink>
    </w:p>
    <w:p w14:paraId="553EFBDB" w14:textId="77777777" w:rsidR="00A663F1" w:rsidRDefault="00E46EDB">
      <w:pPr>
        <w:pStyle w:val="ListParagraph"/>
        <w:numPr>
          <w:ilvl w:val="0"/>
          <w:numId w:val="8"/>
        </w:numPr>
        <w:tabs>
          <w:tab w:val="left" w:pos="375"/>
        </w:tabs>
        <w:spacing w:before="0" w:line="236" w:lineRule="exact"/>
        <w:ind w:left="374"/>
        <w:rPr>
          <w:sz w:val="16"/>
        </w:rPr>
      </w:pPr>
      <w:r>
        <w:rPr>
          <w:sz w:val="16"/>
        </w:rPr>
        <w:t xml:space="preserve">StepChange (2015) </w:t>
      </w:r>
      <w:r>
        <w:rPr>
          <w:i/>
          <w:sz w:val="16"/>
        </w:rPr>
        <w:t xml:space="preserve">Safe Harbours </w:t>
      </w:r>
      <w:r>
        <w:rPr>
          <w:sz w:val="16"/>
        </w:rPr>
        <w:t>Available at:</w:t>
      </w:r>
      <w:r>
        <w:rPr>
          <w:spacing w:val="-11"/>
          <w:sz w:val="16"/>
        </w:rPr>
        <w:t xml:space="preserve"> </w:t>
      </w:r>
      <w:hyperlink r:id="rId22">
        <w:r>
          <w:rPr>
            <w:sz w:val="16"/>
            <w:u w:val="single"/>
          </w:rPr>
          <w:t>https://www.stepchange.org/Portals/0/documents/Reports/safe-harbours-report.pdf</w:t>
        </w:r>
      </w:hyperlink>
    </w:p>
    <w:p w14:paraId="6C50D0CE" w14:textId="77777777" w:rsidR="00A663F1" w:rsidRDefault="00E46EDB">
      <w:pPr>
        <w:pStyle w:val="ListParagraph"/>
        <w:numPr>
          <w:ilvl w:val="0"/>
          <w:numId w:val="8"/>
        </w:numPr>
        <w:tabs>
          <w:tab w:val="left" w:pos="375"/>
        </w:tabs>
        <w:spacing w:before="7" w:line="244" w:lineRule="auto"/>
        <w:ind w:right="2683" w:firstLine="0"/>
        <w:rPr>
          <w:sz w:val="16"/>
        </w:rPr>
      </w:pPr>
      <w:r>
        <w:rPr>
          <w:sz w:val="16"/>
        </w:rPr>
        <w:t xml:space="preserve">Money and Pensions Service (2019) </w:t>
      </w:r>
      <w:r>
        <w:rPr>
          <w:i/>
          <w:sz w:val="16"/>
        </w:rPr>
        <w:t xml:space="preserve">Debt Respite Scheme: Response to Request for Advice. </w:t>
      </w:r>
      <w:r>
        <w:rPr>
          <w:sz w:val="16"/>
        </w:rPr>
        <w:t>Available at:</w:t>
      </w:r>
      <w:hyperlink r:id="rId23">
        <w:r>
          <w:rPr>
            <w:sz w:val="16"/>
            <w:u w:val="single"/>
          </w:rPr>
          <w:t xml:space="preserve"> https://www.gov.uk/government/publications/breathing-space-scheme-money-and-pensions-service-advice</w:t>
        </w:r>
      </w:hyperlink>
      <w:r>
        <w:rPr>
          <w:position w:val="8"/>
          <w:sz w:val="16"/>
        </w:rPr>
        <w:t xml:space="preserve"> </w:t>
      </w:r>
      <w:r>
        <w:rPr>
          <w:position w:val="8"/>
          <w:sz w:val="14"/>
        </w:rPr>
        <w:t xml:space="preserve">6 </w:t>
      </w:r>
      <w:r>
        <w:rPr>
          <w:sz w:val="16"/>
        </w:rPr>
        <w:t>Christians Against Poverty</w:t>
      </w:r>
      <w:r>
        <w:rPr>
          <w:spacing w:val="2"/>
          <w:sz w:val="16"/>
        </w:rPr>
        <w:t xml:space="preserve"> </w:t>
      </w:r>
      <w:r>
        <w:rPr>
          <w:sz w:val="16"/>
        </w:rPr>
        <w:t>(2019)</w:t>
      </w:r>
    </w:p>
    <w:p w14:paraId="73675D47" w14:textId="77777777" w:rsidR="00A663F1" w:rsidRDefault="00E46EDB">
      <w:pPr>
        <w:spacing w:before="5" w:line="244" w:lineRule="auto"/>
        <w:ind w:left="252" w:right="163"/>
        <w:rPr>
          <w:sz w:val="16"/>
        </w:rPr>
      </w:pPr>
      <w:r>
        <w:rPr>
          <w:position w:val="8"/>
          <w:sz w:val="14"/>
        </w:rPr>
        <w:t xml:space="preserve">7 </w:t>
      </w:r>
      <w:r>
        <w:rPr>
          <w:sz w:val="16"/>
        </w:rPr>
        <w:t xml:space="preserve">Money Advice Service (2017) </w:t>
      </w:r>
      <w:r>
        <w:rPr>
          <w:i/>
          <w:sz w:val="16"/>
        </w:rPr>
        <w:t xml:space="preserve">Better debt advice: from a moment of crisis to a lifetime of resilience </w:t>
      </w:r>
      <w:r>
        <w:rPr>
          <w:sz w:val="16"/>
        </w:rPr>
        <w:t>Available at:</w:t>
      </w:r>
      <w:hyperlink r:id="rId24">
        <w:r>
          <w:rPr>
            <w:sz w:val="16"/>
            <w:u w:val="single"/>
          </w:rPr>
          <w:t xml:space="preserve"> https://www.fincap.org.uk/en/insights/better-debt-advice-from-a-moment-of-crisis-to-a-lifetime-of-resilience</w:t>
        </w:r>
        <w:r>
          <w:rPr>
            <w:sz w:val="16"/>
          </w:rPr>
          <w:t xml:space="preserve"> </w:t>
        </w:r>
      </w:hyperlink>
      <w:r>
        <w:rPr>
          <w:sz w:val="16"/>
        </w:rPr>
        <w:t xml:space="preserve">Money Advice Service (2017) </w:t>
      </w:r>
      <w:r>
        <w:rPr>
          <w:i/>
          <w:sz w:val="16"/>
        </w:rPr>
        <w:t xml:space="preserve">How to use behavioural science to increase the uptake of debt advice </w:t>
      </w:r>
      <w:r>
        <w:rPr>
          <w:sz w:val="16"/>
        </w:rPr>
        <w:t>Available at:</w:t>
      </w:r>
      <w:hyperlink r:id="rId25">
        <w:r>
          <w:rPr>
            <w:sz w:val="16"/>
          </w:rPr>
          <w:t xml:space="preserve"> </w:t>
        </w:r>
        <w:r>
          <w:rPr>
            <w:sz w:val="16"/>
            <w:u w:val="single"/>
          </w:rPr>
          <w:t>https://asauk.org.uk/wp-content/uploads/2018/03/MAS0032-MAS-</w:t>
        </w:r>
      </w:hyperlink>
      <w:hyperlink r:id="rId26">
        <w:r>
          <w:rPr>
            <w:sz w:val="16"/>
            <w:u w:val="single"/>
          </w:rPr>
          <w:t xml:space="preserve"> BehaviouralChange_W.pdf</w:t>
        </w:r>
      </w:hyperlink>
    </w:p>
    <w:p w14:paraId="5F72631A" w14:textId="77777777" w:rsidR="00A663F1" w:rsidRDefault="00A663F1">
      <w:pPr>
        <w:spacing w:line="244" w:lineRule="auto"/>
        <w:rPr>
          <w:sz w:val="16"/>
        </w:rPr>
        <w:sectPr w:rsidR="00A663F1">
          <w:pgSz w:w="11910" w:h="16850"/>
          <w:pgMar w:top="600" w:right="720" w:bottom="1020" w:left="600" w:header="0" w:footer="761" w:gutter="0"/>
          <w:cols w:space="720"/>
        </w:sectPr>
      </w:pPr>
    </w:p>
    <w:p w14:paraId="4250D574" w14:textId="77777777" w:rsidR="00A663F1" w:rsidRDefault="00E46EDB">
      <w:pPr>
        <w:pStyle w:val="BodyText"/>
        <w:spacing w:before="78"/>
        <w:ind w:right="238" w:firstLine="0"/>
      </w:pPr>
      <w:r>
        <w:lastRenderedPageBreak/>
        <w:t>the customer to a not-for-profit debt advice body.”</w:t>
      </w:r>
      <w:r>
        <w:rPr>
          <w:vertAlign w:val="superscript"/>
        </w:rPr>
        <w:t>8</w:t>
      </w:r>
      <w:r>
        <w:t xml:space="preserve"> These protections are referred to collectively as ‘forbearance’.</w:t>
      </w:r>
    </w:p>
    <w:p w14:paraId="3219AA65" w14:textId="77777777" w:rsidR="00A663F1" w:rsidRDefault="00E46EDB">
      <w:pPr>
        <w:pStyle w:val="ListParagraph"/>
        <w:numPr>
          <w:ilvl w:val="1"/>
          <w:numId w:val="9"/>
        </w:numPr>
        <w:tabs>
          <w:tab w:val="left" w:pos="1045"/>
        </w:tabs>
        <w:spacing w:before="121"/>
        <w:ind w:right="329"/>
      </w:pPr>
      <w:r>
        <w:t>Not all debtors who need it are shown this forbearance. The FCA does not mandate that the firms it regulates undertake these steps and, in any case, debtors can owe money to firms in a host of different sectors which are not FCA regulated, such as utility companies, landlords, and the public sector. The enforcement and forbearance practices that debtors experience can therefore be very</w:t>
      </w:r>
      <w:r>
        <w:rPr>
          <w:spacing w:val="-3"/>
        </w:rPr>
        <w:t xml:space="preserve"> </w:t>
      </w:r>
      <w:r>
        <w:t>varied.</w:t>
      </w:r>
    </w:p>
    <w:p w14:paraId="1DAAA3B5" w14:textId="77777777" w:rsidR="00A663F1" w:rsidRDefault="00E46EDB">
      <w:pPr>
        <w:pStyle w:val="Heading1"/>
        <w:numPr>
          <w:ilvl w:val="0"/>
          <w:numId w:val="9"/>
        </w:numPr>
        <w:tabs>
          <w:tab w:val="left" w:pos="613"/>
        </w:tabs>
        <w:spacing w:before="120"/>
      </w:pPr>
      <w:r>
        <w:t>Policy</w:t>
      </w:r>
      <w:r>
        <w:rPr>
          <w:spacing w:val="-6"/>
        </w:rPr>
        <w:t xml:space="preserve"> </w:t>
      </w:r>
      <w:r>
        <w:t>objective</w:t>
      </w:r>
    </w:p>
    <w:p w14:paraId="36572761" w14:textId="77777777" w:rsidR="00A663F1" w:rsidRDefault="00E46EDB">
      <w:pPr>
        <w:pStyle w:val="ListParagraph"/>
        <w:numPr>
          <w:ilvl w:val="1"/>
          <w:numId w:val="9"/>
        </w:numPr>
        <w:tabs>
          <w:tab w:val="left" w:pos="1045"/>
        </w:tabs>
        <w:spacing w:before="121"/>
        <w:ind w:right="302"/>
      </w:pPr>
      <w:r>
        <w:t>The government wants to encourage and incentivise more people to access debt advice and to access it sooner. This will help them to achieve better, more sustainable outcomes from debt advice. This will benefit not just to debtors but creditors and employers,</w:t>
      </w:r>
      <w:r>
        <w:rPr>
          <w:spacing w:val="-7"/>
        </w:rPr>
        <w:t xml:space="preserve"> </w:t>
      </w:r>
      <w:r>
        <w:t>too.</w:t>
      </w:r>
    </w:p>
    <w:p w14:paraId="488E78CC" w14:textId="77777777" w:rsidR="00A663F1" w:rsidRDefault="00E46EDB">
      <w:pPr>
        <w:pStyle w:val="ListParagraph"/>
        <w:numPr>
          <w:ilvl w:val="1"/>
          <w:numId w:val="9"/>
        </w:numPr>
        <w:tabs>
          <w:tab w:val="left" w:pos="1045"/>
        </w:tabs>
        <w:ind w:right="207"/>
      </w:pPr>
      <w:r>
        <w:t>If creditors more consistently provide forbearance and pause enforcement action for those who are in the process of engaging with debt advice, those individuals will have the headspace to engage more effectively to achieve more sustainable solutions. Making debt advice the gateway to such protections would also make debt advice more attractive to those who need it, incentivising them to seek advice and to seek it</w:t>
      </w:r>
      <w:r>
        <w:rPr>
          <w:spacing w:val="-1"/>
        </w:rPr>
        <w:t xml:space="preserve"> </w:t>
      </w:r>
      <w:r>
        <w:t>sooner.</w:t>
      </w:r>
    </w:p>
    <w:p w14:paraId="1CBD0BAB" w14:textId="77777777" w:rsidR="00A663F1" w:rsidRDefault="00E46EDB">
      <w:pPr>
        <w:pStyle w:val="Heading1"/>
        <w:numPr>
          <w:ilvl w:val="0"/>
          <w:numId w:val="9"/>
        </w:numPr>
        <w:tabs>
          <w:tab w:val="left" w:pos="613"/>
        </w:tabs>
        <w:spacing w:before="120"/>
      </w:pPr>
      <w:r>
        <w:t>Description of options</w:t>
      </w:r>
      <w:r>
        <w:rPr>
          <w:spacing w:val="-7"/>
        </w:rPr>
        <w:t xml:space="preserve"> </w:t>
      </w:r>
      <w:r>
        <w:t>considered</w:t>
      </w:r>
    </w:p>
    <w:p w14:paraId="1B7565A2" w14:textId="77777777" w:rsidR="00A663F1" w:rsidRDefault="00E46EDB">
      <w:pPr>
        <w:pStyle w:val="ListParagraph"/>
        <w:numPr>
          <w:ilvl w:val="1"/>
          <w:numId w:val="9"/>
        </w:numPr>
        <w:tabs>
          <w:tab w:val="left" w:pos="1045"/>
        </w:tabs>
        <w:spacing w:before="119"/>
        <w:ind w:right="376"/>
      </w:pPr>
      <w:r>
        <w:t>This impact assessment considers a regulatory Breathing Space against a voluntary approach and doing</w:t>
      </w:r>
      <w:r>
        <w:rPr>
          <w:spacing w:val="-1"/>
        </w:rPr>
        <w:t xml:space="preserve"> </w:t>
      </w:r>
      <w:r>
        <w:t>nothing.</w:t>
      </w:r>
    </w:p>
    <w:p w14:paraId="01C8A869" w14:textId="77777777" w:rsidR="00A663F1" w:rsidRDefault="00E46EDB">
      <w:pPr>
        <w:pStyle w:val="ListParagraph"/>
        <w:numPr>
          <w:ilvl w:val="1"/>
          <w:numId w:val="9"/>
        </w:numPr>
        <w:tabs>
          <w:tab w:val="left" w:pos="1045"/>
        </w:tabs>
        <w:spacing w:before="121"/>
        <w:ind w:right="149"/>
      </w:pPr>
      <w:r>
        <w:t>First, this assessment considers doing nothing. This would see no change in counterfactual debt advice take-up or outcomes and so no additional costs or benefits. Take-up of debt advice would rise, but more slowly than under a mandatory Breathing Space. The benefits of debt advice would accrue accordingly, but debt advice would be less beneficial than under Breathing</w:t>
      </w:r>
      <w:r>
        <w:rPr>
          <w:spacing w:val="-21"/>
        </w:rPr>
        <w:t xml:space="preserve"> </w:t>
      </w:r>
      <w:r>
        <w:t>Space.</w:t>
      </w:r>
    </w:p>
    <w:p w14:paraId="09F16C3C" w14:textId="77777777" w:rsidR="00A663F1" w:rsidRDefault="00E46EDB">
      <w:pPr>
        <w:pStyle w:val="ListParagraph"/>
        <w:numPr>
          <w:ilvl w:val="1"/>
          <w:numId w:val="9"/>
        </w:numPr>
        <w:tabs>
          <w:tab w:val="left" w:pos="1045"/>
        </w:tabs>
        <w:spacing w:before="121"/>
        <w:ind w:right="219"/>
      </w:pPr>
      <w:r>
        <w:t>Next, a voluntary approach to delivering Breathing Space is assessed. This would see the government work with creditors, trade bodies, and regulators to encourage more creditors to freeze interest, fees, and charges, to refrain from contacting debtors, and to pause enforcement action where debtors are in financial hardship. More creditors would offer these protections than do in the counterfactual, but fewer than would do so under a regulatory Breathing Space. As a result of incomplete coverage, the rate of increase in take-up of debt advice and the marginal benefit of debt advice would be lower than under a regulatory version of Breathing</w:t>
      </w:r>
      <w:r>
        <w:rPr>
          <w:spacing w:val="-11"/>
        </w:rPr>
        <w:t xml:space="preserve"> </w:t>
      </w:r>
      <w:r>
        <w:t>Space.</w:t>
      </w:r>
    </w:p>
    <w:p w14:paraId="0DD1F419" w14:textId="77777777" w:rsidR="00A663F1" w:rsidRDefault="00E46EDB">
      <w:pPr>
        <w:pStyle w:val="ListParagraph"/>
        <w:numPr>
          <w:ilvl w:val="1"/>
          <w:numId w:val="9"/>
        </w:numPr>
        <w:tabs>
          <w:tab w:val="left" w:pos="1045"/>
        </w:tabs>
        <w:ind w:right="229"/>
      </w:pPr>
      <w:r>
        <w:t>Finally, this assessment considers a regulatory Breathing Space. This will pause enforcement action; freeze interest, fees, and charges, and pause creditor contact with debtors where it relates to debt repayment. These protections would last for a 60-day period and be accessible via professional debt advice. This is expected to increase take-up of debt advice and the benefit of debt</w:t>
      </w:r>
      <w:r>
        <w:rPr>
          <w:spacing w:val="5"/>
        </w:rPr>
        <w:t xml:space="preserve"> </w:t>
      </w:r>
      <w:r>
        <w:t>advice.</w:t>
      </w:r>
    </w:p>
    <w:p w14:paraId="4A8E1354" w14:textId="77777777" w:rsidR="00A663F1" w:rsidRDefault="00E46EDB">
      <w:pPr>
        <w:pStyle w:val="ListParagraph"/>
        <w:numPr>
          <w:ilvl w:val="1"/>
          <w:numId w:val="9"/>
        </w:numPr>
        <w:tabs>
          <w:tab w:val="left" w:pos="1045"/>
        </w:tabs>
        <w:ind w:right="220"/>
      </w:pPr>
      <w:r>
        <w:t xml:space="preserve">To support an evidence-based assessment of the costs and benefits of Breathing Space, information was requested from a range of stakeholders </w:t>
      </w:r>
      <w:proofErr w:type="gramStart"/>
      <w:r>
        <w:t>including:</w:t>
      </w:r>
      <w:proofErr w:type="gramEnd"/>
      <w:r>
        <w:t xml:space="preserve"> debt advice agencies; industry bodies representing the financial services sector, debt collection agencies, and enforcement agents; utility companies, and the public sector. This stakeholder engagement was in addition to a formal consultation that received over 130</w:t>
      </w:r>
      <w:r>
        <w:rPr>
          <w:spacing w:val="-9"/>
        </w:rPr>
        <w:t xml:space="preserve"> </w:t>
      </w:r>
      <w:r>
        <w:t>responses.</w:t>
      </w:r>
      <w:r>
        <w:rPr>
          <w:vertAlign w:val="superscript"/>
        </w:rPr>
        <w:t>9</w:t>
      </w:r>
    </w:p>
    <w:p w14:paraId="47884735" w14:textId="77777777" w:rsidR="00A663F1" w:rsidRDefault="00E46EDB">
      <w:pPr>
        <w:pStyle w:val="Heading1"/>
        <w:numPr>
          <w:ilvl w:val="0"/>
          <w:numId w:val="9"/>
        </w:numPr>
        <w:tabs>
          <w:tab w:val="left" w:pos="613"/>
        </w:tabs>
      </w:pPr>
      <w:r>
        <w:t>Breathing Space policy</w:t>
      </w:r>
      <w:r>
        <w:rPr>
          <w:spacing w:val="-6"/>
        </w:rPr>
        <w:t xml:space="preserve"> </w:t>
      </w:r>
      <w:r>
        <w:t>outline</w:t>
      </w:r>
    </w:p>
    <w:p w14:paraId="52209B90" w14:textId="77777777" w:rsidR="00A663F1" w:rsidRDefault="00E46EDB">
      <w:pPr>
        <w:pStyle w:val="ListParagraph"/>
        <w:numPr>
          <w:ilvl w:val="1"/>
          <w:numId w:val="9"/>
        </w:numPr>
        <w:tabs>
          <w:tab w:val="left" w:pos="1045"/>
        </w:tabs>
        <w:spacing w:before="119"/>
        <w:ind w:right="533"/>
      </w:pPr>
      <w:r>
        <w:t>Breathing Space is a 2017 manifesto commitment.</w:t>
      </w:r>
      <w:r>
        <w:rPr>
          <w:vertAlign w:val="superscript"/>
        </w:rPr>
        <w:t>10</w:t>
      </w:r>
      <w:r>
        <w:t xml:space="preserve"> It will pause enforcement action; freeze interest, fees, and charges, and pause creditor contact with debtors where it relates to debt repayment for a 60-day period. These protections will be accessible via professional debt advice.</w:t>
      </w:r>
    </w:p>
    <w:p w14:paraId="47FCBEF3" w14:textId="77777777" w:rsidR="00A663F1" w:rsidRDefault="00E46EDB">
      <w:pPr>
        <w:pStyle w:val="ListParagraph"/>
        <w:numPr>
          <w:ilvl w:val="1"/>
          <w:numId w:val="9"/>
        </w:numPr>
        <w:tabs>
          <w:tab w:val="left" w:pos="1045"/>
        </w:tabs>
        <w:spacing w:before="121"/>
        <w:ind w:right="479"/>
      </w:pPr>
      <w:r>
        <w:t>The strong protections of Breathing Space will incentivise debtors to seek advice sooner by providing a tangible way out of debt problems that might otherwise seem insurmountable. By pausing enforcement action and freezing interest, fees, and charges, Breathing Space</w:t>
      </w:r>
      <w:r>
        <w:rPr>
          <w:spacing w:val="-16"/>
        </w:rPr>
        <w:t xml:space="preserve"> </w:t>
      </w:r>
      <w:r>
        <w:t>will</w:t>
      </w:r>
    </w:p>
    <w:p w14:paraId="46364FBC" w14:textId="13786DDA" w:rsidR="00A663F1" w:rsidRDefault="00E46EDB">
      <w:pPr>
        <w:pStyle w:val="BodyText"/>
        <w:spacing w:before="9"/>
        <w:ind w:left="0" w:firstLine="0"/>
        <w:rPr>
          <w:sz w:val="11"/>
        </w:rPr>
      </w:pPr>
      <w:r>
        <w:rPr>
          <w:noProof/>
        </w:rPr>
        <mc:AlternateContent>
          <mc:Choice Requires="wps">
            <w:drawing>
              <wp:anchor distT="0" distB="0" distL="0" distR="0" simplePos="0" relativeHeight="487589376" behindDoc="1" locked="0" layoutInCell="1" allowOverlap="1" wp14:anchorId="0C1F8CA6" wp14:editId="6D3132D8">
                <wp:simplePos x="0" y="0"/>
                <wp:positionH relativeFrom="page">
                  <wp:posOffset>541020</wp:posOffset>
                </wp:positionH>
                <wp:positionV relativeFrom="paragraph">
                  <wp:posOffset>111125</wp:posOffset>
                </wp:positionV>
                <wp:extent cx="1829435" cy="7620"/>
                <wp:effectExtent l="0" t="0" r="0" b="0"/>
                <wp:wrapTopAndBottom/>
                <wp:docPr id="26"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943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254010" id="Rectangle 21" o:spid="_x0000_s1026" style="position:absolute;margin-left:42.6pt;margin-top:8.75pt;width:144.05pt;height:.6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" fillcolor="black" stroked="f">
                <w10:wrap type="topAndBottom" anchorx="page"/>
              </v:rect>
            </w:pict>
          </mc:Fallback>
        </mc:AlternateContent>
      </w:r>
    </w:p>
    <w:p w14:paraId="2C9DC8DF" w14:textId="77777777" w:rsidR="00A663F1" w:rsidRDefault="00E46EDB">
      <w:pPr>
        <w:spacing w:before="67"/>
        <w:ind w:left="252"/>
        <w:rPr>
          <w:sz w:val="16"/>
        </w:rPr>
      </w:pPr>
      <w:r>
        <w:rPr>
          <w:position w:val="8"/>
          <w:sz w:val="14"/>
        </w:rPr>
        <w:t xml:space="preserve">8 </w:t>
      </w:r>
      <w:r>
        <w:rPr>
          <w:sz w:val="16"/>
        </w:rPr>
        <w:t>FCA (2014)</w:t>
      </w:r>
    </w:p>
    <w:p w14:paraId="3C2FEA3B" w14:textId="3DFF08D4" w:rsidR="00A663F1" w:rsidRDefault="00E46EDB">
      <w:pPr>
        <w:pStyle w:val="ListParagraph"/>
        <w:numPr>
          <w:ilvl w:val="0"/>
          <w:numId w:val="7"/>
        </w:numPr>
        <w:tabs>
          <w:tab w:val="left" w:pos="375"/>
          <w:tab w:val="left" w:pos="8320"/>
        </w:tabs>
        <w:spacing w:before="6" w:line="249" w:lineRule="auto"/>
        <w:ind w:right="145" w:firstLine="0"/>
        <w:rPr>
          <w:sz w:val="16"/>
        </w:rPr>
      </w:pPr>
      <w:r>
        <w:rPr>
          <w:noProof/>
        </w:rPr>
        <mc:AlternateContent>
          <mc:Choice Requires="wps">
            <w:drawing>
              <wp:anchor distT="0" distB="0" distL="114300" distR="114300" simplePos="0" relativeHeight="15730688" behindDoc="0" locked="0" layoutInCell="1" allowOverlap="1" wp14:anchorId="31636C7C" wp14:editId="034660DF">
                <wp:simplePos x="0" y="0"/>
                <wp:positionH relativeFrom="page">
                  <wp:posOffset>541020</wp:posOffset>
                </wp:positionH>
                <wp:positionV relativeFrom="paragraph">
                  <wp:posOffset>391160</wp:posOffset>
                </wp:positionV>
                <wp:extent cx="29210" cy="7620"/>
                <wp:effectExtent l="0" t="0" r="0" b="0"/>
                <wp:wrapNone/>
                <wp:docPr id="25"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1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B373A0" id="Rectangle 20" o:spid="_x0000_s1026" style="position:absolute;margin-left:42.6pt;margin-top:30.8pt;width:2.3pt;height:.6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" fillcolor="black" stroked="f">
                <w10:wrap anchorx="page"/>
              </v:rect>
            </w:pict>
          </mc:Fallback>
        </mc:AlternateContent>
      </w:r>
      <w:r>
        <w:rPr>
          <w:sz w:val="16"/>
        </w:rPr>
        <w:t xml:space="preserve">HM Treasury (2019) </w:t>
      </w:r>
      <w:r>
        <w:rPr>
          <w:i/>
          <w:sz w:val="16"/>
        </w:rPr>
        <w:t>Breathing Space scheme: response to policy proposal</w:t>
      </w:r>
      <w:r>
        <w:rPr>
          <w:sz w:val="16"/>
        </w:rPr>
        <w:t>. Available at:</w:t>
      </w:r>
      <w:hyperlink r:id="rId27">
        <w:r>
          <w:rPr>
            <w:sz w:val="16"/>
            <w:u w:val="single"/>
          </w:rPr>
          <w:t xml:space="preserve"> </w:t>
        </w:r>
        <w:r>
          <w:rPr>
            <w:spacing w:val="-1"/>
            <w:sz w:val="16"/>
            <w:u w:val="single"/>
          </w:rPr>
          <w:t>https://assets.publishing.service.gov.uk/government/uploads/system/uploads/attachment_data/file/810058/</w:t>
        </w:r>
        <w:r>
          <w:rPr>
            <w:spacing w:val="-1"/>
            <w:sz w:val="16"/>
            <w:u w:val="single"/>
          </w:rPr>
          <w:tab/>
          <w:t>17June_CLEAN_response.pd</w:t>
        </w:r>
      </w:hyperlink>
      <w:hyperlink r:id="rId28">
        <w:r>
          <w:rPr>
            <w:spacing w:val="-1"/>
            <w:sz w:val="16"/>
          </w:rPr>
          <w:t xml:space="preserve"> </w:t>
        </w:r>
        <w:r>
          <w:rPr>
            <w:sz w:val="16"/>
          </w:rPr>
          <w:t>f</w:t>
        </w:r>
      </w:hyperlink>
    </w:p>
    <w:p w14:paraId="15399D66" w14:textId="77777777" w:rsidR="00A663F1" w:rsidRDefault="00E46EDB">
      <w:pPr>
        <w:pStyle w:val="ListParagraph"/>
        <w:numPr>
          <w:ilvl w:val="0"/>
          <w:numId w:val="7"/>
        </w:numPr>
        <w:tabs>
          <w:tab w:val="left" w:pos="452"/>
        </w:tabs>
        <w:spacing w:before="0" w:line="232" w:lineRule="exact"/>
        <w:ind w:left="451" w:hanging="200"/>
        <w:rPr>
          <w:sz w:val="16"/>
        </w:rPr>
      </w:pPr>
      <w:r>
        <w:rPr>
          <w:sz w:val="16"/>
        </w:rPr>
        <w:t xml:space="preserve">Conservative Party (2017) </w:t>
      </w:r>
      <w:r>
        <w:rPr>
          <w:i/>
          <w:sz w:val="16"/>
        </w:rPr>
        <w:t xml:space="preserve">Manifesto. </w:t>
      </w:r>
      <w:r>
        <w:rPr>
          <w:sz w:val="16"/>
        </w:rPr>
        <w:t>Available at:</w:t>
      </w:r>
      <w:r>
        <w:rPr>
          <w:spacing w:val="-1"/>
          <w:sz w:val="16"/>
        </w:rPr>
        <w:t xml:space="preserve"> </w:t>
      </w:r>
      <w:hyperlink r:id="rId29">
        <w:r>
          <w:rPr>
            <w:sz w:val="16"/>
            <w:u w:val="single"/>
          </w:rPr>
          <w:t>https://www.conservatives.com/manifesto</w:t>
        </w:r>
      </w:hyperlink>
    </w:p>
    <w:p w14:paraId="5E57FBDD" w14:textId="77777777" w:rsidR="00A663F1" w:rsidRDefault="00A663F1">
      <w:pPr>
        <w:spacing w:line="232" w:lineRule="exact"/>
        <w:rPr>
          <w:sz w:val="16"/>
        </w:rPr>
        <w:sectPr w:rsidR="00A663F1">
          <w:pgSz w:w="11910" w:h="16850"/>
          <w:pgMar w:top="600" w:right="720" w:bottom="960" w:left="600" w:header="0" w:footer="761" w:gutter="0"/>
          <w:cols w:space="720"/>
        </w:sectPr>
      </w:pPr>
    </w:p>
    <w:p w14:paraId="706634C2" w14:textId="77777777" w:rsidR="00A663F1" w:rsidRDefault="00E46EDB">
      <w:pPr>
        <w:pStyle w:val="BodyText"/>
        <w:spacing w:before="78"/>
        <w:ind w:right="146" w:firstLine="0"/>
      </w:pPr>
      <w:r>
        <w:lastRenderedPageBreak/>
        <w:t>provide debtors with the headspace to engage fully with debt advice, away from the pressures of spiralling debts and ongoing enforcement action.</w:t>
      </w:r>
    </w:p>
    <w:p w14:paraId="1C02F0C3" w14:textId="77777777" w:rsidR="00A663F1" w:rsidRDefault="00E46EDB">
      <w:pPr>
        <w:pStyle w:val="ListParagraph"/>
        <w:numPr>
          <w:ilvl w:val="1"/>
          <w:numId w:val="9"/>
        </w:numPr>
        <w:tabs>
          <w:tab w:val="left" w:pos="1045"/>
        </w:tabs>
        <w:spacing w:before="121"/>
        <w:ind w:right="352"/>
      </w:pPr>
      <w:r>
        <w:t>Breathing Space will also include a Mental Health Crisis Moratorium for those receiving mental health crisis treatment. For this group, the protections of Breathing Space will last for the duration of their crisis treatment, followed by a further 30 days. The Money and Mental Health Policy Institute estimate that the median duration of in-patient psychiatric treatment is 34 days. This suggests that the median duration within the Mental Health Crisis Moratorium before entering the main protections of Breathing Space is 64</w:t>
      </w:r>
      <w:r>
        <w:rPr>
          <w:spacing w:val="3"/>
        </w:rPr>
        <w:t xml:space="preserve"> </w:t>
      </w:r>
      <w:r>
        <w:t>days.</w:t>
      </w:r>
    </w:p>
    <w:p w14:paraId="37DB2D1A" w14:textId="77777777" w:rsidR="00A663F1" w:rsidRDefault="00E46EDB">
      <w:pPr>
        <w:pStyle w:val="ListParagraph"/>
        <w:numPr>
          <w:ilvl w:val="1"/>
          <w:numId w:val="9"/>
        </w:numPr>
        <w:tabs>
          <w:tab w:val="left" w:pos="1045"/>
        </w:tabs>
        <w:spacing w:before="121"/>
        <w:ind w:right="161"/>
      </w:pPr>
      <w:r>
        <w:t>Not all debtors will remain within the protections of Breathing Space for its full 60-day duration. Breathing Space will impose a number of obligations on debtors, including: not taking out further credit of £500 or more without the approval of their debt advisor, continuing to meet their ongoing liabilities where they are able to do so, and continuing to engage with debt advice with a view to finding a debt solution. Where they are notified of a failure to meet the ongoing eligibility criteria, debt advisers will administer an ongoing eligibility check at the 30-day point, removing debtors who have not met the ongoing eligibility</w:t>
      </w:r>
      <w:r>
        <w:rPr>
          <w:spacing w:val="-2"/>
        </w:rPr>
        <w:t xml:space="preserve"> </w:t>
      </w:r>
      <w:r>
        <w:t>criteria.</w:t>
      </w:r>
      <w:r>
        <w:rPr>
          <w:vertAlign w:val="superscript"/>
        </w:rPr>
        <w:t>11</w:t>
      </w:r>
    </w:p>
    <w:p w14:paraId="6E5E0420" w14:textId="77777777" w:rsidR="00A663F1" w:rsidRDefault="00E46EDB">
      <w:pPr>
        <w:pStyle w:val="Heading1"/>
        <w:numPr>
          <w:ilvl w:val="0"/>
          <w:numId w:val="9"/>
        </w:numPr>
        <w:tabs>
          <w:tab w:val="left" w:pos="613"/>
        </w:tabs>
        <w:spacing w:before="118"/>
      </w:pPr>
      <w:r>
        <w:t>Do Nothing – option</w:t>
      </w:r>
      <w:r>
        <w:rPr>
          <w:spacing w:val="-5"/>
        </w:rPr>
        <w:t xml:space="preserve"> </w:t>
      </w:r>
      <w:r>
        <w:t>1</w:t>
      </w:r>
    </w:p>
    <w:p w14:paraId="27D13CFB" w14:textId="77777777" w:rsidR="00A663F1" w:rsidRDefault="00E46EDB">
      <w:pPr>
        <w:pStyle w:val="ListParagraph"/>
        <w:numPr>
          <w:ilvl w:val="1"/>
          <w:numId w:val="9"/>
        </w:numPr>
        <w:tabs>
          <w:tab w:val="left" w:pos="1045"/>
        </w:tabs>
        <w:spacing w:before="122"/>
        <w:ind w:right="219"/>
      </w:pPr>
      <w:r>
        <w:t>In the absence of a policy intervention, debt advice take-up will continue to rise and there will be no change in debt advice outcomes. By contrast, a regulatory Breathing Space would improve both outcomes and</w:t>
      </w:r>
      <w:r>
        <w:rPr>
          <w:spacing w:val="-2"/>
        </w:rPr>
        <w:t xml:space="preserve"> </w:t>
      </w:r>
      <w:r>
        <w:t>take-up.</w:t>
      </w:r>
    </w:p>
    <w:p w14:paraId="211D3EAE" w14:textId="77777777" w:rsidR="00A663F1" w:rsidRDefault="00E46EDB">
      <w:pPr>
        <w:pStyle w:val="ListParagraph"/>
        <w:numPr>
          <w:ilvl w:val="1"/>
          <w:numId w:val="9"/>
        </w:numPr>
        <w:tabs>
          <w:tab w:val="left" w:pos="1045"/>
        </w:tabs>
        <w:ind w:right="194"/>
      </w:pPr>
      <w:r>
        <w:t xml:space="preserve">The Money and Pensions Service (MAPS) is the body that commissions the delivery of free to access debt advice. MAPS </w:t>
      </w:r>
      <w:proofErr w:type="gramStart"/>
      <w:r>
        <w:t>collects</w:t>
      </w:r>
      <w:proofErr w:type="gramEnd"/>
      <w:r>
        <w:t xml:space="preserve"> nationwide data on debt advice supply, which is represented in Table 1</w:t>
      </w:r>
      <w:r>
        <w:rPr>
          <w:spacing w:val="-2"/>
        </w:rPr>
        <w:t xml:space="preserve"> </w:t>
      </w:r>
      <w:r>
        <w:t>below.</w:t>
      </w:r>
    </w:p>
    <w:p w14:paraId="79FA5659" w14:textId="77777777" w:rsidR="00A663F1" w:rsidRDefault="00E46EDB">
      <w:pPr>
        <w:pStyle w:val="ListParagraph"/>
        <w:numPr>
          <w:ilvl w:val="1"/>
          <w:numId w:val="9"/>
        </w:numPr>
        <w:tabs>
          <w:tab w:val="left" w:pos="1045"/>
        </w:tabs>
        <w:spacing w:before="119"/>
        <w:ind w:right="210"/>
      </w:pPr>
      <w:r>
        <w:t>MAPS’s best estimate, based on debt advice provider data, is that 16.7% of the debt advice sessions that are recorded annually are likely to be duplicates. That is, they are likely to record the same debtor receiving separate advice more than once in a 12-month period. Breathing Space will only be accessible once per year, so duplicates are removed from the</w:t>
      </w:r>
      <w:r>
        <w:rPr>
          <w:spacing w:val="-25"/>
        </w:rPr>
        <w:t xml:space="preserve"> </w:t>
      </w:r>
      <w:r>
        <w:t>counterfactual.</w:t>
      </w:r>
    </w:p>
    <w:p w14:paraId="13CF9CEE" w14:textId="77777777" w:rsidR="00A663F1" w:rsidRDefault="00E46EDB">
      <w:pPr>
        <w:pStyle w:val="ListParagraph"/>
        <w:numPr>
          <w:ilvl w:val="1"/>
          <w:numId w:val="9"/>
        </w:numPr>
        <w:tabs>
          <w:tab w:val="left" w:pos="1045"/>
        </w:tabs>
        <w:spacing w:before="121"/>
        <w:ind w:right="218"/>
      </w:pPr>
      <w:r>
        <w:t>MAPS estimate that 7.5% of debt advice is supplied in Scotland and Northern Ireland.</w:t>
      </w:r>
      <w:r>
        <w:rPr>
          <w:vertAlign w:val="superscript"/>
        </w:rPr>
        <w:t>12</w:t>
      </w:r>
      <w:r>
        <w:t xml:space="preserve"> The territorial extent of Breathing Space will be England and Wales, so debt advice supplied in Scotland and Northern Ireland will not lead to Breathing Space. Advice supplied in Scotland and Northern Ireland is therefore removed from the</w:t>
      </w:r>
      <w:r>
        <w:rPr>
          <w:spacing w:val="-10"/>
        </w:rPr>
        <w:t xml:space="preserve"> </w:t>
      </w:r>
      <w:r>
        <w:t>counterfactual.</w:t>
      </w:r>
    </w:p>
    <w:p w14:paraId="1EC40F09" w14:textId="77777777" w:rsidR="00A663F1" w:rsidRDefault="00A663F1">
      <w:pPr>
        <w:pStyle w:val="BodyText"/>
        <w:spacing w:before="6"/>
        <w:ind w:left="0" w:firstLine="0"/>
        <w:rPr>
          <w:sz w:val="10"/>
        </w:rPr>
      </w:pPr>
    </w:p>
    <w:tbl>
      <w:tblPr>
        <w:tblW w:w="0" w:type="auto"/>
        <w:tblInd w:w="25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09"/>
        <w:gridCol w:w="950"/>
        <w:gridCol w:w="1104"/>
        <w:gridCol w:w="1107"/>
      </w:tblGrid>
      <w:tr w:rsidR="00A663F1" w14:paraId="3C6F2DD5" w14:textId="77777777">
        <w:trPr>
          <w:trHeight w:val="290"/>
        </w:trPr>
        <w:tc>
          <w:tcPr>
            <w:tcW w:w="2509" w:type="dxa"/>
          </w:tcPr>
          <w:p w14:paraId="62818510" w14:textId="77777777" w:rsidR="00A663F1" w:rsidRDefault="00E46EDB">
            <w:pPr>
              <w:pStyle w:val="TableParagraph"/>
              <w:ind w:left="87" w:right="78"/>
              <w:jc w:val="center"/>
              <w:rPr>
                <w:b/>
                <w:sz w:val="20"/>
              </w:rPr>
            </w:pPr>
            <w:r>
              <w:rPr>
                <w:b/>
                <w:sz w:val="20"/>
              </w:rPr>
              <w:t>Debt advice supply</w:t>
            </w:r>
          </w:p>
        </w:tc>
        <w:tc>
          <w:tcPr>
            <w:tcW w:w="950" w:type="dxa"/>
          </w:tcPr>
          <w:p w14:paraId="1DDAAAE1" w14:textId="77777777" w:rsidR="00A663F1" w:rsidRDefault="00E46EDB">
            <w:pPr>
              <w:pStyle w:val="TableParagraph"/>
              <w:ind w:right="98"/>
              <w:jc w:val="right"/>
              <w:rPr>
                <w:b/>
                <w:sz w:val="20"/>
              </w:rPr>
            </w:pPr>
            <w:r>
              <w:rPr>
                <w:b/>
                <w:sz w:val="20"/>
              </w:rPr>
              <w:t>2015-16</w:t>
            </w:r>
          </w:p>
        </w:tc>
        <w:tc>
          <w:tcPr>
            <w:tcW w:w="1104" w:type="dxa"/>
          </w:tcPr>
          <w:p w14:paraId="68DA3B13" w14:textId="77777777" w:rsidR="00A663F1" w:rsidRDefault="00E46EDB">
            <w:pPr>
              <w:pStyle w:val="TableParagraph"/>
              <w:ind w:left="84" w:right="77"/>
              <w:jc w:val="center"/>
              <w:rPr>
                <w:b/>
                <w:sz w:val="20"/>
              </w:rPr>
            </w:pPr>
            <w:r>
              <w:rPr>
                <w:b/>
                <w:sz w:val="20"/>
              </w:rPr>
              <w:t>2016-17</w:t>
            </w:r>
          </w:p>
        </w:tc>
        <w:tc>
          <w:tcPr>
            <w:tcW w:w="1107" w:type="dxa"/>
          </w:tcPr>
          <w:p w14:paraId="171930BB" w14:textId="77777777" w:rsidR="00A663F1" w:rsidRDefault="00E46EDB">
            <w:pPr>
              <w:pStyle w:val="TableParagraph"/>
              <w:ind w:left="87" w:right="77"/>
              <w:jc w:val="center"/>
              <w:rPr>
                <w:b/>
                <w:sz w:val="20"/>
              </w:rPr>
            </w:pPr>
            <w:r>
              <w:rPr>
                <w:b/>
                <w:sz w:val="20"/>
              </w:rPr>
              <w:t>2017-18</w:t>
            </w:r>
          </w:p>
        </w:tc>
      </w:tr>
      <w:tr w:rsidR="00A663F1" w14:paraId="709DD2B0" w14:textId="77777777">
        <w:trPr>
          <w:trHeight w:val="290"/>
        </w:trPr>
        <w:tc>
          <w:tcPr>
            <w:tcW w:w="2509" w:type="dxa"/>
          </w:tcPr>
          <w:p w14:paraId="103E0B30" w14:textId="77777777" w:rsidR="00A663F1" w:rsidRDefault="00E46EDB">
            <w:pPr>
              <w:pStyle w:val="TableParagraph"/>
              <w:ind w:left="89" w:right="76"/>
              <w:jc w:val="center"/>
              <w:rPr>
                <w:sz w:val="20"/>
              </w:rPr>
            </w:pPr>
            <w:r>
              <w:rPr>
                <w:sz w:val="20"/>
              </w:rPr>
              <w:t>Total, UK</w:t>
            </w:r>
          </w:p>
        </w:tc>
        <w:tc>
          <w:tcPr>
            <w:tcW w:w="950" w:type="dxa"/>
          </w:tcPr>
          <w:p w14:paraId="373FFCDD" w14:textId="77777777" w:rsidR="00A663F1" w:rsidRDefault="00E46EDB">
            <w:pPr>
              <w:pStyle w:val="TableParagraph"/>
              <w:ind w:right="105"/>
              <w:jc w:val="right"/>
              <w:rPr>
                <w:sz w:val="20"/>
              </w:rPr>
            </w:pPr>
            <w:r>
              <w:rPr>
                <w:sz w:val="20"/>
              </w:rPr>
              <w:t>953,764</w:t>
            </w:r>
          </w:p>
        </w:tc>
        <w:tc>
          <w:tcPr>
            <w:tcW w:w="1104" w:type="dxa"/>
          </w:tcPr>
          <w:p w14:paraId="2CD48E9E" w14:textId="77777777" w:rsidR="00A663F1" w:rsidRDefault="00E46EDB">
            <w:pPr>
              <w:pStyle w:val="TableParagraph"/>
              <w:ind w:left="87" w:right="77"/>
              <w:jc w:val="center"/>
              <w:rPr>
                <w:sz w:val="20"/>
              </w:rPr>
            </w:pPr>
            <w:r>
              <w:rPr>
                <w:sz w:val="20"/>
              </w:rPr>
              <w:t>1,134,607</w:t>
            </w:r>
          </w:p>
        </w:tc>
        <w:tc>
          <w:tcPr>
            <w:tcW w:w="1107" w:type="dxa"/>
          </w:tcPr>
          <w:p w14:paraId="716FFF30" w14:textId="77777777" w:rsidR="00A663F1" w:rsidRDefault="00E46EDB">
            <w:pPr>
              <w:pStyle w:val="TableParagraph"/>
              <w:ind w:left="90" w:right="77"/>
              <w:jc w:val="center"/>
              <w:rPr>
                <w:sz w:val="20"/>
              </w:rPr>
            </w:pPr>
            <w:r>
              <w:rPr>
                <w:sz w:val="20"/>
              </w:rPr>
              <w:t>1,390,776</w:t>
            </w:r>
          </w:p>
        </w:tc>
      </w:tr>
      <w:tr w:rsidR="00A663F1" w14:paraId="50EDE699" w14:textId="77777777">
        <w:trPr>
          <w:trHeight w:val="290"/>
        </w:trPr>
        <w:tc>
          <w:tcPr>
            <w:tcW w:w="2509" w:type="dxa"/>
          </w:tcPr>
          <w:p w14:paraId="71A8ACAF" w14:textId="77777777" w:rsidR="00A663F1" w:rsidRDefault="00E46EDB">
            <w:pPr>
              <w:pStyle w:val="TableParagraph"/>
              <w:ind w:left="89" w:right="78"/>
              <w:jc w:val="center"/>
              <w:rPr>
                <w:sz w:val="20"/>
              </w:rPr>
            </w:pPr>
            <w:r>
              <w:rPr>
                <w:sz w:val="20"/>
              </w:rPr>
              <w:t>Total, England and Wales</w:t>
            </w:r>
          </w:p>
        </w:tc>
        <w:tc>
          <w:tcPr>
            <w:tcW w:w="950" w:type="dxa"/>
          </w:tcPr>
          <w:p w14:paraId="6EF5B46D" w14:textId="77777777" w:rsidR="00A663F1" w:rsidRDefault="00E46EDB">
            <w:pPr>
              <w:pStyle w:val="TableParagraph"/>
              <w:ind w:right="105"/>
              <w:jc w:val="right"/>
              <w:rPr>
                <w:sz w:val="20"/>
              </w:rPr>
            </w:pPr>
            <w:r>
              <w:rPr>
                <w:sz w:val="20"/>
              </w:rPr>
              <w:t>882,232</w:t>
            </w:r>
          </w:p>
        </w:tc>
        <w:tc>
          <w:tcPr>
            <w:tcW w:w="1104" w:type="dxa"/>
          </w:tcPr>
          <w:p w14:paraId="6317A75E" w14:textId="77777777" w:rsidR="00A663F1" w:rsidRDefault="00E46EDB">
            <w:pPr>
              <w:pStyle w:val="TableParagraph"/>
              <w:ind w:left="87" w:right="77"/>
              <w:jc w:val="center"/>
              <w:rPr>
                <w:sz w:val="20"/>
              </w:rPr>
            </w:pPr>
            <w:r>
              <w:rPr>
                <w:sz w:val="20"/>
              </w:rPr>
              <w:t>1,049,511</w:t>
            </w:r>
          </w:p>
        </w:tc>
        <w:tc>
          <w:tcPr>
            <w:tcW w:w="1107" w:type="dxa"/>
          </w:tcPr>
          <w:p w14:paraId="1D7C9F09" w14:textId="77777777" w:rsidR="00A663F1" w:rsidRDefault="00E46EDB">
            <w:pPr>
              <w:pStyle w:val="TableParagraph"/>
              <w:ind w:left="90" w:right="77"/>
              <w:jc w:val="center"/>
              <w:rPr>
                <w:sz w:val="20"/>
              </w:rPr>
            </w:pPr>
            <w:r>
              <w:rPr>
                <w:sz w:val="20"/>
              </w:rPr>
              <w:t>1,286,468</w:t>
            </w:r>
          </w:p>
        </w:tc>
      </w:tr>
      <w:tr w:rsidR="00A663F1" w14:paraId="62BD434B" w14:textId="77777777">
        <w:trPr>
          <w:trHeight w:val="289"/>
        </w:trPr>
        <w:tc>
          <w:tcPr>
            <w:tcW w:w="2509" w:type="dxa"/>
          </w:tcPr>
          <w:p w14:paraId="51B45C9D" w14:textId="77777777" w:rsidR="00A663F1" w:rsidRDefault="00E46EDB">
            <w:pPr>
              <w:pStyle w:val="TableParagraph"/>
              <w:ind w:left="89" w:right="76"/>
              <w:jc w:val="center"/>
              <w:rPr>
                <w:sz w:val="20"/>
              </w:rPr>
            </w:pPr>
            <w:r>
              <w:rPr>
                <w:sz w:val="20"/>
              </w:rPr>
              <w:t>Duplication adjustment</w:t>
            </w:r>
          </w:p>
        </w:tc>
        <w:tc>
          <w:tcPr>
            <w:tcW w:w="950" w:type="dxa"/>
          </w:tcPr>
          <w:p w14:paraId="0F51D57F" w14:textId="77777777" w:rsidR="00A663F1" w:rsidRDefault="00E46EDB">
            <w:pPr>
              <w:pStyle w:val="TableParagraph"/>
              <w:ind w:right="105"/>
              <w:jc w:val="right"/>
              <w:rPr>
                <w:sz w:val="20"/>
              </w:rPr>
            </w:pPr>
            <w:r>
              <w:rPr>
                <w:sz w:val="20"/>
              </w:rPr>
              <w:t>734,899</w:t>
            </w:r>
          </w:p>
        </w:tc>
        <w:tc>
          <w:tcPr>
            <w:tcW w:w="1104" w:type="dxa"/>
          </w:tcPr>
          <w:p w14:paraId="5178102C" w14:textId="77777777" w:rsidR="00A663F1" w:rsidRDefault="00E46EDB">
            <w:pPr>
              <w:pStyle w:val="TableParagraph"/>
              <w:ind w:left="87" w:right="77"/>
              <w:jc w:val="center"/>
              <w:rPr>
                <w:sz w:val="20"/>
              </w:rPr>
            </w:pPr>
            <w:r>
              <w:rPr>
                <w:sz w:val="20"/>
              </w:rPr>
              <w:t>874,243</w:t>
            </w:r>
          </w:p>
        </w:tc>
        <w:tc>
          <w:tcPr>
            <w:tcW w:w="1107" w:type="dxa"/>
          </w:tcPr>
          <w:p w14:paraId="06115A2E" w14:textId="77777777" w:rsidR="00A663F1" w:rsidRDefault="00E46EDB">
            <w:pPr>
              <w:pStyle w:val="TableParagraph"/>
              <w:ind w:left="90" w:right="77"/>
              <w:jc w:val="center"/>
              <w:rPr>
                <w:sz w:val="20"/>
              </w:rPr>
            </w:pPr>
            <w:r>
              <w:rPr>
                <w:sz w:val="20"/>
              </w:rPr>
              <w:t>1,071,628</w:t>
            </w:r>
          </w:p>
        </w:tc>
      </w:tr>
    </w:tbl>
    <w:p w14:paraId="11CB7103" w14:textId="77777777" w:rsidR="00A663F1" w:rsidRDefault="00E46EDB">
      <w:pPr>
        <w:ind w:left="3709"/>
        <w:rPr>
          <w:i/>
          <w:sz w:val="20"/>
        </w:rPr>
      </w:pPr>
      <w:r>
        <w:rPr>
          <w:b/>
          <w:i/>
          <w:sz w:val="20"/>
          <w:u w:val="single"/>
        </w:rPr>
        <w:t xml:space="preserve">Table 1: </w:t>
      </w:r>
      <w:r>
        <w:rPr>
          <w:i/>
          <w:sz w:val="20"/>
          <w:u w:val="single"/>
        </w:rPr>
        <w:t>Baseline debt advice supply</w:t>
      </w:r>
    </w:p>
    <w:p w14:paraId="44BB2E9F" w14:textId="77777777" w:rsidR="00A663F1" w:rsidRDefault="00E46EDB">
      <w:pPr>
        <w:pStyle w:val="ListParagraph"/>
        <w:numPr>
          <w:ilvl w:val="1"/>
          <w:numId w:val="9"/>
        </w:numPr>
        <w:tabs>
          <w:tab w:val="left" w:pos="1045"/>
        </w:tabs>
        <w:spacing w:before="121"/>
        <w:ind w:right="241"/>
      </w:pPr>
      <w:r>
        <w:t>From this starting point, debt advice supply may be forecast across the assessment period. As Peter Wyman pointed out in his Independent Review of Debt Advice Funding, forecasting future take-up of debt advice is challenging given the complexity of the relationship between levels of over indebtedness and wider macroeconomic factors. Partly for this reason, there is no official forecast of debt advice supply across the period that this impact assessment</w:t>
      </w:r>
      <w:r>
        <w:rPr>
          <w:spacing w:val="-8"/>
        </w:rPr>
        <w:t xml:space="preserve"> </w:t>
      </w:r>
      <w:r>
        <w:t>examines.</w:t>
      </w:r>
    </w:p>
    <w:p w14:paraId="5BF85BE2" w14:textId="77777777" w:rsidR="00A663F1" w:rsidRDefault="00E46EDB">
      <w:pPr>
        <w:pStyle w:val="ListParagraph"/>
        <w:numPr>
          <w:ilvl w:val="1"/>
          <w:numId w:val="9"/>
        </w:numPr>
        <w:tabs>
          <w:tab w:val="left" w:pos="1045"/>
        </w:tabs>
        <w:ind w:right="157"/>
      </w:pPr>
      <w:r>
        <w:t>In the absence of an official forecast, the three-year trend is extrapolated across the assessment period. Debt advice is supplied via three primary channels: telephone, face-to-face, and online. As Table 2, below, shows, there has been significant volatility in the supply of advice via each channel. This volatility has been most pronounced in the online advice channel. This reflects a sector-wide strategy of increasing debt advice supply by reducing the unit costs of debt advice. As online advice is cheapest to supply, the debt advice sector has sought to increase supply of advice via this channel.</w:t>
      </w:r>
    </w:p>
    <w:p w14:paraId="61E9C9F0" w14:textId="77777777" w:rsidR="00A663F1" w:rsidRDefault="00A663F1">
      <w:pPr>
        <w:pStyle w:val="BodyText"/>
        <w:spacing w:before="0"/>
        <w:ind w:left="0" w:firstLine="0"/>
        <w:rPr>
          <w:sz w:val="20"/>
        </w:rPr>
      </w:pPr>
    </w:p>
    <w:p w14:paraId="60F4D80C" w14:textId="77777777" w:rsidR="00A663F1" w:rsidRDefault="00A663F1">
      <w:pPr>
        <w:pStyle w:val="BodyText"/>
        <w:spacing w:before="0"/>
        <w:ind w:left="0" w:firstLine="0"/>
        <w:rPr>
          <w:sz w:val="20"/>
        </w:rPr>
      </w:pPr>
    </w:p>
    <w:p w14:paraId="2C1138B9" w14:textId="77777777" w:rsidR="00A663F1" w:rsidRDefault="00A663F1">
      <w:pPr>
        <w:pStyle w:val="BodyText"/>
        <w:spacing w:before="0"/>
        <w:ind w:left="0" w:firstLine="0"/>
        <w:rPr>
          <w:sz w:val="20"/>
        </w:rPr>
      </w:pPr>
    </w:p>
    <w:p w14:paraId="2BB9EE6B" w14:textId="71023D9E" w:rsidR="00A663F1" w:rsidRDefault="00E46EDB">
      <w:pPr>
        <w:pStyle w:val="BodyText"/>
        <w:spacing w:before="9"/>
        <w:ind w:left="0" w:firstLine="0"/>
        <w:rPr>
          <w:sz w:val="27"/>
        </w:rPr>
      </w:pPr>
      <w:r>
        <w:rPr>
          <w:noProof/>
        </w:rPr>
        <mc:AlternateContent>
          <mc:Choice Requires="wps">
            <w:drawing>
              <wp:anchor distT="0" distB="0" distL="0" distR="0" simplePos="0" relativeHeight="487590400" behindDoc="1" locked="0" layoutInCell="1" allowOverlap="1" wp14:anchorId="4E45A305" wp14:editId="081D8EF7">
                <wp:simplePos x="0" y="0"/>
                <wp:positionH relativeFrom="page">
                  <wp:posOffset>541020</wp:posOffset>
                </wp:positionH>
                <wp:positionV relativeFrom="paragraph">
                  <wp:posOffset>227965</wp:posOffset>
                </wp:positionV>
                <wp:extent cx="1829435" cy="7620"/>
                <wp:effectExtent l="0" t="0" r="0" b="0"/>
                <wp:wrapTopAndBottom/>
                <wp:docPr id="24"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943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86E37D" id="Rectangle 19" o:spid="_x0000_s1026" style="position:absolute;margin-left:42.6pt;margin-top:17.95pt;width:144.05pt;height:.6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" fillcolor="black" stroked="f">
                <w10:wrap type="topAndBottom" anchorx="page"/>
              </v:rect>
            </w:pict>
          </mc:Fallback>
        </mc:AlternateContent>
      </w:r>
    </w:p>
    <w:p w14:paraId="16FC5737" w14:textId="77777777" w:rsidR="00A663F1" w:rsidRDefault="00E46EDB">
      <w:pPr>
        <w:pStyle w:val="ListParagraph"/>
        <w:numPr>
          <w:ilvl w:val="0"/>
          <w:numId w:val="7"/>
        </w:numPr>
        <w:tabs>
          <w:tab w:val="left" w:pos="452"/>
        </w:tabs>
        <w:spacing w:before="67"/>
        <w:ind w:left="451" w:hanging="200"/>
        <w:rPr>
          <w:sz w:val="16"/>
        </w:rPr>
      </w:pPr>
      <w:r>
        <w:rPr>
          <w:sz w:val="16"/>
        </w:rPr>
        <w:t>The 30-day check may be undertaken at any point between days 25 and 35 of Breathing</w:t>
      </w:r>
      <w:r>
        <w:rPr>
          <w:spacing w:val="-13"/>
          <w:sz w:val="16"/>
        </w:rPr>
        <w:t xml:space="preserve"> </w:t>
      </w:r>
      <w:r>
        <w:rPr>
          <w:sz w:val="16"/>
        </w:rPr>
        <w:t>Space.</w:t>
      </w:r>
    </w:p>
    <w:p w14:paraId="69AA9260" w14:textId="77777777" w:rsidR="00A663F1" w:rsidRDefault="00E46EDB">
      <w:pPr>
        <w:pStyle w:val="ListParagraph"/>
        <w:numPr>
          <w:ilvl w:val="0"/>
          <w:numId w:val="7"/>
        </w:numPr>
        <w:tabs>
          <w:tab w:val="left" w:pos="452"/>
        </w:tabs>
        <w:spacing w:before="7" w:line="256" w:lineRule="auto"/>
        <w:ind w:right="804" w:firstLine="0"/>
        <w:rPr>
          <w:sz w:val="16"/>
        </w:rPr>
      </w:pPr>
      <w:r>
        <w:rPr>
          <w:sz w:val="16"/>
        </w:rPr>
        <w:t>Money Advice Service (2018) Mapping the unmet demand for debt advice in the UK Available at:</w:t>
      </w:r>
      <w:hyperlink r:id="rId30">
        <w:r>
          <w:rPr>
            <w:sz w:val="16"/>
            <w:u w:val="single"/>
          </w:rPr>
          <w:t xml:space="preserve"> </w:t>
        </w:r>
        <w:r>
          <w:rPr>
            <w:spacing w:val="-1"/>
            <w:sz w:val="16"/>
            <w:u w:val="single"/>
          </w:rPr>
          <w:t>https://masassets.blob.core.windows.net/cms/files/000/001/064/original/Mapping_the_unmet_demand_for_debt_advice_in_the_UK.pdf</w:t>
        </w:r>
      </w:hyperlink>
    </w:p>
    <w:p w14:paraId="4FBE4BF5" w14:textId="77777777" w:rsidR="00A663F1" w:rsidRDefault="00A663F1">
      <w:pPr>
        <w:spacing w:line="256" w:lineRule="auto"/>
        <w:rPr>
          <w:sz w:val="16"/>
        </w:rPr>
        <w:sectPr w:rsidR="00A663F1">
          <w:pgSz w:w="11910" w:h="16850"/>
          <w:pgMar w:top="600" w:right="720" w:bottom="960" w:left="600" w:header="0" w:footer="761" w:gutter="0"/>
          <w:cols w:space="720"/>
        </w:sectPr>
      </w:pPr>
    </w:p>
    <w:tbl>
      <w:tblPr>
        <w:tblW w:w="0" w:type="auto"/>
        <w:tblInd w:w="16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6"/>
        <w:gridCol w:w="1111"/>
        <w:gridCol w:w="951"/>
        <w:gridCol w:w="1107"/>
        <w:gridCol w:w="952"/>
        <w:gridCol w:w="1107"/>
      </w:tblGrid>
      <w:tr w:rsidR="00A663F1" w14:paraId="4D27BC09" w14:textId="77777777">
        <w:trPr>
          <w:trHeight w:val="690"/>
        </w:trPr>
        <w:tc>
          <w:tcPr>
            <w:tcW w:w="2146" w:type="dxa"/>
          </w:tcPr>
          <w:p w14:paraId="5274E319" w14:textId="77777777" w:rsidR="00A663F1" w:rsidRDefault="00E46EDB">
            <w:pPr>
              <w:pStyle w:val="TableParagraph"/>
              <w:spacing w:before="3" w:line="230" w:lineRule="exact"/>
              <w:ind w:left="107" w:right="195"/>
              <w:jc w:val="both"/>
              <w:rPr>
                <w:b/>
                <w:sz w:val="20"/>
              </w:rPr>
            </w:pPr>
            <w:r>
              <w:rPr>
                <w:b/>
                <w:sz w:val="20"/>
              </w:rPr>
              <w:lastRenderedPageBreak/>
              <w:t>England and Wales debt advice supply by channel</w:t>
            </w:r>
          </w:p>
        </w:tc>
        <w:tc>
          <w:tcPr>
            <w:tcW w:w="1111" w:type="dxa"/>
          </w:tcPr>
          <w:p w14:paraId="693921E7" w14:textId="77777777" w:rsidR="00A663F1" w:rsidRDefault="00E46EDB">
            <w:pPr>
              <w:pStyle w:val="TableParagraph"/>
              <w:ind w:left="107"/>
              <w:rPr>
                <w:b/>
                <w:sz w:val="20"/>
              </w:rPr>
            </w:pPr>
            <w:r>
              <w:rPr>
                <w:b/>
                <w:sz w:val="20"/>
              </w:rPr>
              <w:t>2015-16</w:t>
            </w:r>
          </w:p>
        </w:tc>
        <w:tc>
          <w:tcPr>
            <w:tcW w:w="951" w:type="dxa"/>
          </w:tcPr>
          <w:p w14:paraId="4FD6835E" w14:textId="77777777" w:rsidR="00A663F1" w:rsidRDefault="00E46EDB">
            <w:pPr>
              <w:pStyle w:val="TableParagraph"/>
              <w:ind w:right="98"/>
              <w:jc w:val="right"/>
              <w:rPr>
                <w:b/>
                <w:sz w:val="20"/>
              </w:rPr>
            </w:pPr>
            <w:r>
              <w:rPr>
                <w:b/>
                <w:w w:val="95"/>
                <w:sz w:val="20"/>
              </w:rPr>
              <w:t>Change</w:t>
            </w:r>
          </w:p>
        </w:tc>
        <w:tc>
          <w:tcPr>
            <w:tcW w:w="1107" w:type="dxa"/>
          </w:tcPr>
          <w:p w14:paraId="737A8EED" w14:textId="77777777" w:rsidR="00A663F1" w:rsidRDefault="00E46EDB">
            <w:pPr>
              <w:pStyle w:val="TableParagraph"/>
              <w:ind w:left="107"/>
              <w:rPr>
                <w:b/>
                <w:sz w:val="20"/>
              </w:rPr>
            </w:pPr>
            <w:r>
              <w:rPr>
                <w:b/>
                <w:sz w:val="20"/>
              </w:rPr>
              <w:t>2016-17</w:t>
            </w:r>
          </w:p>
        </w:tc>
        <w:tc>
          <w:tcPr>
            <w:tcW w:w="952" w:type="dxa"/>
          </w:tcPr>
          <w:p w14:paraId="3FCA1BE0" w14:textId="77777777" w:rsidR="00A663F1" w:rsidRDefault="00E46EDB">
            <w:pPr>
              <w:pStyle w:val="TableParagraph"/>
              <w:ind w:right="100"/>
              <w:jc w:val="right"/>
              <w:rPr>
                <w:b/>
                <w:sz w:val="20"/>
              </w:rPr>
            </w:pPr>
            <w:r>
              <w:rPr>
                <w:b/>
                <w:w w:val="95"/>
                <w:sz w:val="20"/>
              </w:rPr>
              <w:t>Change</w:t>
            </w:r>
          </w:p>
        </w:tc>
        <w:tc>
          <w:tcPr>
            <w:tcW w:w="1107" w:type="dxa"/>
          </w:tcPr>
          <w:p w14:paraId="479C2AEE" w14:textId="77777777" w:rsidR="00A663F1" w:rsidRDefault="00E46EDB">
            <w:pPr>
              <w:pStyle w:val="TableParagraph"/>
              <w:ind w:left="106"/>
              <w:rPr>
                <w:b/>
                <w:sz w:val="20"/>
              </w:rPr>
            </w:pPr>
            <w:r>
              <w:rPr>
                <w:b/>
                <w:sz w:val="20"/>
              </w:rPr>
              <w:t>2017-18</w:t>
            </w:r>
          </w:p>
        </w:tc>
      </w:tr>
      <w:tr w:rsidR="00A663F1" w14:paraId="116C1595" w14:textId="77777777">
        <w:trPr>
          <w:trHeight w:val="458"/>
        </w:trPr>
        <w:tc>
          <w:tcPr>
            <w:tcW w:w="2146" w:type="dxa"/>
          </w:tcPr>
          <w:p w14:paraId="08657B5E" w14:textId="77777777" w:rsidR="00A663F1" w:rsidRDefault="00E46EDB">
            <w:pPr>
              <w:pStyle w:val="TableParagraph"/>
              <w:spacing w:line="227" w:lineRule="exact"/>
              <w:ind w:left="107"/>
              <w:rPr>
                <w:sz w:val="20"/>
              </w:rPr>
            </w:pPr>
            <w:r>
              <w:rPr>
                <w:sz w:val="20"/>
              </w:rPr>
              <w:t>Total change</w:t>
            </w:r>
          </w:p>
        </w:tc>
        <w:tc>
          <w:tcPr>
            <w:tcW w:w="1111" w:type="dxa"/>
          </w:tcPr>
          <w:p w14:paraId="383A6D50" w14:textId="77777777" w:rsidR="00A663F1" w:rsidRDefault="00A663F1">
            <w:pPr>
              <w:pStyle w:val="TableParagraph"/>
              <w:spacing w:before="9" w:line="240" w:lineRule="auto"/>
              <w:rPr>
                <w:sz w:val="19"/>
              </w:rPr>
            </w:pPr>
          </w:p>
          <w:p w14:paraId="34805753" w14:textId="77777777" w:rsidR="00A663F1" w:rsidRDefault="00E46EDB">
            <w:pPr>
              <w:pStyle w:val="TableParagraph"/>
              <w:spacing w:line="211" w:lineRule="exact"/>
              <w:ind w:left="107"/>
              <w:rPr>
                <w:sz w:val="20"/>
              </w:rPr>
            </w:pPr>
            <w:r>
              <w:rPr>
                <w:sz w:val="20"/>
              </w:rPr>
              <w:t>882,232</w:t>
            </w:r>
          </w:p>
        </w:tc>
        <w:tc>
          <w:tcPr>
            <w:tcW w:w="951" w:type="dxa"/>
          </w:tcPr>
          <w:p w14:paraId="3AA2ED02" w14:textId="77777777" w:rsidR="00A663F1" w:rsidRDefault="00E46EDB">
            <w:pPr>
              <w:pStyle w:val="TableParagraph"/>
              <w:spacing w:line="227" w:lineRule="exact"/>
              <w:ind w:right="99"/>
              <w:jc w:val="right"/>
              <w:rPr>
                <w:sz w:val="20"/>
              </w:rPr>
            </w:pPr>
            <w:r>
              <w:rPr>
                <w:w w:val="95"/>
                <w:sz w:val="20"/>
              </w:rPr>
              <w:t>19%</w:t>
            </w:r>
          </w:p>
        </w:tc>
        <w:tc>
          <w:tcPr>
            <w:tcW w:w="1107" w:type="dxa"/>
          </w:tcPr>
          <w:p w14:paraId="176B481C" w14:textId="77777777" w:rsidR="00A663F1" w:rsidRDefault="00A663F1">
            <w:pPr>
              <w:pStyle w:val="TableParagraph"/>
              <w:spacing w:before="9" w:line="240" w:lineRule="auto"/>
              <w:rPr>
                <w:sz w:val="19"/>
              </w:rPr>
            </w:pPr>
          </w:p>
          <w:p w14:paraId="09BA209C" w14:textId="77777777" w:rsidR="00A663F1" w:rsidRDefault="00E46EDB">
            <w:pPr>
              <w:pStyle w:val="TableParagraph"/>
              <w:spacing w:line="211" w:lineRule="exact"/>
              <w:ind w:left="107"/>
              <w:rPr>
                <w:sz w:val="20"/>
              </w:rPr>
            </w:pPr>
            <w:r>
              <w:rPr>
                <w:sz w:val="20"/>
              </w:rPr>
              <w:t>1,049,511</w:t>
            </w:r>
          </w:p>
        </w:tc>
        <w:tc>
          <w:tcPr>
            <w:tcW w:w="952" w:type="dxa"/>
          </w:tcPr>
          <w:p w14:paraId="4481AA42" w14:textId="77777777" w:rsidR="00A663F1" w:rsidRDefault="00E46EDB">
            <w:pPr>
              <w:pStyle w:val="TableParagraph"/>
              <w:spacing w:line="227" w:lineRule="exact"/>
              <w:ind w:right="100"/>
              <w:jc w:val="right"/>
              <w:rPr>
                <w:sz w:val="20"/>
              </w:rPr>
            </w:pPr>
            <w:r>
              <w:rPr>
                <w:w w:val="95"/>
                <w:sz w:val="20"/>
              </w:rPr>
              <w:t>23%</w:t>
            </w:r>
          </w:p>
        </w:tc>
        <w:tc>
          <w:tcPr>
            <w:tcW w:w="1107" w:type="dxa"/>
          </w:tcPr>
          <w:p w14:paraId="3D6D788C" w14:textId="77777777" w:rsidR="00A663F1" w:rsidRDefault="00A663F1">
            <w:pPr>
              <w:pStyle w:val="TableParagraph"/>
              <w:spacing w:before="9" w:line="240" w:lineRule="auto"/>
              <w:rPr>
                <w:sz w:val="19"/>
              </w:rPr>
            </w:pPr>
          </w:p>
          <w:p w14:paraId="2BB67325" w14:textId="77777777" w:rsidR="00A663F1" w:rsidRDefault="00E46EDB">
            <w:pPr>
              <w:pStyle w:val="TableParagraph"/>
              <w:spacing w:line="211" w:lineRule="exact"/>
              <w:ind w:left="106"/>
              <w:rPr>
                <w:sz w:val="20"/>
              </w:rPr>
            </w:pPr>
            <w:r>
              <w:rPr>
                <w:sz w:val="20"/>
              </w:rPr>
              <w:t>1,286,468</w:t>
            </w:r>
          </w:p>
        </w:tc>
      </w:tr>
      <w:tr w:rsidR="00A663F1" w14:paraId="1B565ED1" w14:textId="77777777">
        <w:trPr>
          <w:trHeight w:val="460"/>
        </w:trPr>
        <w:tc>
          <w:tcPr>
            <w:tcW w:w="2146" w:type="dxa"/>
          </w:tcPr>
          <w:p w14:paraId="7A849F03" w14:textId="77777777" w:rsidR="00A663F1" w:rsidRDefault="00E46EDB">
            <w:pPr>
              <w:pStyle w:val="TableParagraph"/>
              <w:ind w:left="107"/>
              <w:rPr>
                <w:sz w:val="20"/>
              </w:rPr>
            </w:pPr>
            <w:r>
              <w:rPr>
                <w:sz w:val="20"/>
              </w:rPr>
              <w:t>Face to face</w:t>
            </w:r>
          </w:p>
        </w:tc>
        <w:tc>
          <w:tcPr>
            <w:tcW w:w="1111" w:type="dxa"/>
          </w:tcPr>
          <w:p w14:paraId="4CD52489" w14:textId="77777777" w:rsidR="00A663F1" w:rsidRDefault="00A663F1">
            <w:pPr>
              <w:pStyle w:val="TableParagraph"/>
              <w:spacing w:before="11" w:line="240" w:lineRule="auto"/>
              <w:rPr>
                <w:sz w:val="19"/>
              </w:rPr>
            </w:pPr>
          </w:p>
          <w:p w14:paraId="27E76BB8" w14:textId="77777777" w:rsidR="00A663F1" w:rsidRDefault="00E46EDB">
            <w:pPr>
              <w:pStyle w:val="TableParagraph"/>
              <w:spacing w:line="211" w:lineRule="exact"/>
              <w:ind w:left="107"/>
              <w:rPr>
                <w:sz w:val="20"/>
              </w:rPr>
            </w:pPr>
            <w:r>
              <w:rPr>
                <w:sz w:val="20"/>
              </w:rPr>
              <w:t>313,115</w:t>
            </w:r>
          </w:p>
        </w:tc>
        <w:tc>
          <w:tcPr>
            <w:tcW w:w="951" w:type="dxa"/>
          </w:tcPr>
          <w:p w14:paraId="741C4469" w14:textId="77777777" w:rsidR="00A663F1" w:rsidRDefault="00E46EDB">
            <w:pPr>
              <w:pStyle w:val="TableParagraph"/>
              <w:ind w:right="96"/>
              <w:jc w:val="right"/>
              <w:rPr>
                <w:sz w:val="20"/>
              </w:rPr>
            </w:pPr>
            <w:r>
              <w:rPr>
                <w:w w:val="95"/>
                <w:sz w:val="20"/>
              </w:rPr>
              <w:t>-5%</w:t>
            </w:r>
          </w:p>
        </w:tc>
        <w:tc>
          <w:tcPr>
            <w:tcW w:w="1107" w:type="dxa"/>
          </w:tcPr>
          <w:p w14:paraId="7B7976CA" w14:textId="77777777" w:rsidR="00A663F1" w:rsidRDefault="00A663F1">
            <w:pPr>
              <w:pStyle w:val="TableParagraph"/>
              <w:spacing w:before="11" w:line="240" w:lineRule="auto"/>
              <w:rPr>
                <w:sz w:val="19"/>
              </w:rPr>
            </w:pPr>
          </w:p>
          <w:p w14:paraId="7DCF0CF4" w14:textId="77777777" w:rsidR="00A663F1" w:rsidRDefault="00E46EDB">
            <w:pPr>
              <w:pStyle w:val="TableParagraph"/>
              <w:spacing w:line="211" w:lineRule="exact"/>
              <w:ind w:left="107"/>
              <w:rPr>
                <w:sz w:val="20"/>
              </w:rPr>
            </w:pPr>
            <w:r>
              <w:rPr>
                <w:sz w:val="20"/>
              </w:rPr>
              <w:t>297,954</w:t>
            </w:r>
          </w:p>
        </w:tc>
        <w:tc>
          <w:tcPr>
            <w:tcW w:w="952" w:type="dxa"/>
          </w:tcPr>
          <w:p w14:paraId="0B30EA4D" w14:textId="77777777" w:rsidR="00A663F1" w:rsidRDefault="00E46EDB">
            <w:pPr>
              <w:pStyle w:val="TableParagraph"/>
              <w:ind w:right="98"/>
              <w:jc w:val="right"/>
              <w:rPr>
                <w:sz w:val="20"/>
              </w:rPr>
            </w:pPr>
            <w:r>
              <w:rPr>
                <w:w w:val="95"/>
                <w:sz w:val="20"/>
              </w:rPr>
              <w:t>7%</w:t>
            </w:r>
          </w:p>
        </w:tc>
        <w:tc>
          <w:tcPr>
            <w:tcW w:w="1107" w:type="dxa"/>
          </w:tcPr>
          <w:p w14:paraId="6E99309C" w14:textId="77777777" w:rsidR="00A663F1" w:rsidRDefault="00A663F1">
            <w:pPr>
              <w:pStyle w:val="TableParagraph"/>
              <w:spacing w:before="11" w:line="240" w:lineRule="auto"/>
              <w:rPr>
                <w:sz w:val="19"/>
              </w:rPr>
            </w:pPr>
          </w:p>
          <w:p w14:paraId="05EACA0F" w14:textId="77777777" w:rsidR="00A663F1" w:rsidRDefault="00E46EDB">
            <w:pPr>
              <w:pStyle w:val="TableParagraph"/>
              <w:spacing w:line="211" w:lineRule="exact"/>
              <w:ind w:left="106"/>
              <w:rPr>
                <w:sz w:val="20"/>
              </w:rPr>
            </w:pPr>
            <w:r>
              <w:rPr>
                <w:sz w:val="20"/>
              </w:rPr>
              <w:t>318,730</w:t>
            </w:r>
          </w:p>
        </w:tc>
      </w:tr>
      <w:tr w:rsidR="00A663F1" w14:paraId="13DAFBDB" w14:textId="77777777">
        <w:trPr>
          <w:trHeight w:val="457"/>
        </w:trPr>
        <w:tc>
          <w:tcPr>
            <w:tcW w:w="2146" w:type="dxa"/>
          </w:tcPr>
          <w:p w14:paraId="5B8048B2" w14:textId="77777777" w:rsidR="00A663F1" w:rsidRDefault="00E46EDB">
            <w:pPr>
              <w:pStyle w:val="TableParagraph"/>
              <w:ind w:left="107"/>
              <w:rPr>
                <w:sz w:val="20"/>
              </w:rPr>
            </w:pPr>
            <w:r>
              <w:rPr>
                <w:sz w:val="20"/>
              </w:rPr>
              <w:t>Phone</w:t>
            </w:r>
          </w:p>
        </w:tc>
        <w:tc>
          <w:tcPr>
            <w:tcW w:w="1111" w:type="dxa"/>
          </w:tcPr>
          <w:p w14:paraId="6371CD86" w14:textId="77777777" w:rsidR="00A663F1" w:rsidRDefault="00A663F1">
            <w:pPr>
              <w:pStyle w:val="TableParagraph"/>
              <w:spacing w:before="8" w:line="240" w:lineRule="auto"/>
              <w:rPr>
                <w:sz w:val="19"/>
              </w:rPr>
            </w:pPr>
          </w:p>
          <w:p w14:paraId="1FE666FF" w14:textId="77777777" w:rsidR="00A663F1" w:rsidRDefault="00E46EDB">
            <w:pPr>
              <w:pStyle w:val="TableParagraph"/>
              <w:spacing w:before="1" w:line="211" w:lineRule="exact"/>
              <w:ind w:left="107"/>
              <w:rPr>
                <w:sz w:val="20"/>
              </w:rPr>
            </w:pPr>
            <w:r>
              <w:rPr>
                <w:sz w:val="20"/>
              </w:rPr>
              <w:t>410,562</w:t>
            </w:r>
          </w:p>
        </w:tc>
        <w:tc>
          <w:tcPr>
            <w:tcW w:w="951" w:type="dxa"/>
          </w:tcPr>
          <w:p w14:paraId="650A0BE4" w14:textId="77777777" w:rsidR="00A663F1" w:rsidRDefault="00E46EDB">
            <w:pPr>
              <w:pStyle w:val="TableParagraph"/>
              <w:ind w:right="99"/>
              <w:jc w:val="right"/>
              <w:rPr>
                <w:sz w:val="20"/>
              </w:rPr>
            </w:pPr>
            <w:r>
              <w:rPr>
                <w:w w:val="95"/>
                <w:sz w:val="20"/>
              </w:rPr>
              <w:t>24%</w:t>
            </w:r>
          </w:p>
        </w:tc>
        <w:tc>
          <w:tcPr>
            <w:tcW w:w="1107" w:type="dxa"/>
          </w:tcPr>
          <w:p w14:paraId="4D772011" w14:textId="77777777" w:rsidR="00A663F1" w:rsidRDefault="00A663F1">
            <w:pPr>
              <w:pStyle w:val="TableParagraph"/>
              <w:spacing w:before="8" w:line="240" w:lineRule="auto"/>
              <w:rPr>
                <w:sz w:val="19"/>
              </w:rPr>
            </w:pPr>
          </w:p>
          <w:p w14:paraId="6E15F7C7" w14:textId="77777777" w:rsidR="00A663F1" w:rsidRDefault="00E46EDB">
            <w:pPr>
              <w:pStyle w:val="TableParagraph"/>
              <w:spacing w:before="1" w:line="211" w:lineRule="exact"/>
              <w:ind w:left="107"/>
              <w:rPr>
                <w:sz w:val="20"/>
              </w:rPr>
            </w:pPr>
            <w:r>
              <w:rPr>
                <w:sz w:val="20"/>
              </w:rPr>
              <w:t>510,597</w:t>
            </w:r>
          </w:p>
        </w:tc>
        <w:tc>
          <w:tcPr>
            <w:tcW w:w="952" w:type="dxa"/>
          </w:tcPr>
          <w:p w14:paraId="5BCF71B2" w14:textId="77777777" w:rsidR="00A663F1" w:rsidRDefault="00E46EDB">
            <w:pPr>
              <w:pStyle w:val="TableParagraph"/>
              <w:ind w:right="98"/>
              <w:jc w:val="right"/>
              <w:rPr>
                <w:sz w:val="20"/>
              </w:rPr>
            </w:pPr>
            <w:r>
              <w:rPr>
                <w:w w:val="95"/>
                <w:sz w:val="20"/>
              </w:rPr>
              <w:t>-5%</w:t>
            </w:r>
          </w:p>
        </w:tc>
        <w:tc>
          <w:tcPr>
            <w:tcW w:w="1107" w:type="dxa"/>
          </w:tcPr>
          <w:p w14:paraId="4049A2CA" w14:textId="77777777" w:rsidR="00A663F1" w:rsidRDefault="00A663F1">
            <w:pPr>
              <w:pStyle w:val="TableParagraph"/>
              <w:spacing w:before="8" w:line="240" w:lineRule="auto"/>
              <w:rPr>
                <w:sz w:val="19"/>
              </w:rPr>
            </w:pPr>
          </w:p>
          <w:p w14:paraId="63F6F327" w14:textId="77777777" w:rsidR="00A663F1" w:rsidRDefault="00E46EDB">
            <w:pPr>
              <w:pStyle w:val="TableParagraph"/>
              <w:spacing w:before="1" w:line="211" w:lineRule="exact"/>
              <w:ind w:left="106"/>
              <w:rPr>
                <w:sz w:val="20"/>
              </w:rPr>
            </w:pPr>
            <w:r>
              <w:rPr>
                <w:sz w:val="20"/>
              </w:rPr>
              <w:t>485,798</w:t>
            </w:r>
          </w:p>
        </w:tc>
      </w:tr>
      <w:tr w:rsidR="00A663F1" w14:paraId="749F88E3" w14:textId="77777777">
        <w:trPr>
          <w:trHeight w:val="460"/>
        </w:trPr>
        <w:tc>
          <w:tcPr>
            <w:tcW w:w="2146" w:type="dxa"/>
          </w:tcPr>
          <w:p w14:paraId="52FCCE7C" w14:textId="77777777" w:rsidR="00A663F1" w:rsidRDefault="00E46EDB">
            <w:pPr>
              <w:pStyle w:val="TableParagraph"/>
              <w:ind w:left="107"/>
              <w:rPr>
                <w:sz w:val="20"/>
              </w:rPr>
            </w:pPr>
            <w:r>
              <w:rPr>
                <w:sz w:val="20"/>
              </w:rPr>
              <w:t>Online</w:t>
            </w:r>
          </w:p>
        </w:tc>
        <w:tc>
          <w:tcPr>
            <w:tcW w:w="1111" w:type="dxa"/>
          </w:tcPr>
          <w:p w14:paraId="478A414A" w14:textId="77777777" w:rsidR="00A663F1" w:rsidRDefault="00A663F1">
            <w:pPr>
              <w:pStyle w:val="TableParagraph"/>
              <w:spacing w:before="11" w:line="240" w:lineRule="auto"/>
              <w:rPr>
                <w:sz w:val="19"/>
              </w:rPr>
            </w:pPr>
          </w:p>
          <w:p w14:paraId="1DF79059" w14:textId="77777777" w:rsidR="00A663F1" w:rsidRDefault="00E46EDB">
            <w:pPr>
              <w:pStyle w:val="TableParagraph"/>
              <w:spacing w:line="211" w:lineRule="exact"/>
              <w:ind w:left="107"/>
              <w:rPr>
                <w:sz w:val="20"/>
              </w:rPr>
            </w:pPr>
            <w:r>
              <w:rPr>
                <w:sz w:val="20"/>
              </w:rPr>
              <w:t>158,554</w:t>
            </w:r>
          </w:p>
        </w:tc>
        <w:tc>
          <w:tcPr>
            <w:tcW w:w="951" w:type="dxa"/>
          </w:tcPr>
          <w:p w14:paraId="3D695F5A" w14:textId="77777777" w:rsidR="00A663F1" w:rsidRDefault="00E46EDB">
            <w:pPr>
              <w:pStyle w:val="TableParagraph"/>
              <w:ind w:right="99"/>
              <w:jc w:val="right"/>
              <w:rPr>
                <w:sz w:val="20"/>
              </w:rPr>
            </w:pPr>
            <w:r>
              <w:rPr>
                <w:w w:val="95"/>
                <w:sz w:val="20"/>
              </w:rPr>
              <w:t>52%</w:t>
            </w:r>
          </w:p>
        </w:tc>
        <w:tc>
          <w:tcPr>
            <w:tcW w:w="1107" w:type="dxa"/>
          </w:tcPr>
          <w:p w14:paraId="0E7BE24E" w14:textId="77777777" w:rsidR="00A663F1" w:rsidRDefault="00A663F1">
            <w:pPr>
              <w:pStyle w:val="TableParagraph"/>
              <w:spacing w:before="11" w:line="240" w:lineRule="auto"/>
              <w:rPr>
                <w:sz w:val="19"/>
              </w:rPr>
            </w:pPr>
          </w:p>
          <w:p w14:paraId="41A57F4F" w14:textId="77777777" w:rsidR="00A663F1" w:rsidRDefault="00E46EDB">
            <w:pPr>
              <w:pStyle w:val="TableParagraph"/>
              <w:spacing w:line="211" w:lineRule="exact"/>
              <w:ind w:left="107"/>
              <w:rPr>
                <w:sz w:val="20"/>
              </w:rPr>
            </w:pPr>
            <w:r>
              <w:rPr>
                <w:sz w:val="20"/>
              </w:rPr>
              <w:t>240,961</w:t>
            </w:r>
          </w:p>
        </w:tc>
        <w:tc>
          <w:tcPr>
            <w:tcW w:w="952" w:type="dxa"/>
          </w:tcPr>
          <w:p w14:paraId="0511E3A7" w14:textId="77777777" w:rsidR="00A663F1" w:rsidRDefault="00E46EDB">
            <w:pPr>
              <w:pStyle w:val="TableParagraph"/>
              <w:ind w:right="100"/>
              <w:jc w:val="right"/>
              <w:rPr>
                <w:sz w:val="20"/>
              </w:rPr>
            </w:pPr>
            <w:r>
              <w:rPr>
                <w:w w:val="95"/>
                <w:sz w:val="20"/>
              </w:rPr>
              <w:t>100%</w:t>
            </w:r>
          </w:p>
        </w:tc>
        <w:tc>
          <w:tcPr>
            <w:tcW w:w="1107" w:type="dxa"/>
          </w:tcPr>
          <w:p w14:paraId="1A572B01" w14:textId="77777777" w:rsidR="00A663F1" w:rsidRDefault="00A663F1">
            <w:pPr>
              <w:pStyle w:val="TableParagraph"/>
              <w:spacing w:before="11" w:line="240" w:lineRule="auto"/>
              <w:rPr>
                <w:sz w:val="19"/>
              </w:rPr>
            </w:pPr>
          </w:p>
          <w:p w14:paraId="1D1974B8" w14:textId="77777777" w:rsidR="00A663F1" w:rsidRDefault="00E46EDB">
            <w:pPr>
              <w:pStyle w:val="TableParagraph"/>
              <w:spacing w:line="211" w:lineRule="exact"/>
              <w:ind w:left="106"/>
              <w:rPr>
                <w:sz w:val="20"/>
              </w:rPr>
            </w:pPr>
            <w:r>
              <w:rPr>
                <w:sz w:val="20"/>
              </w:rPr>
              <w:t>481,940</w:t>
            </w:r>
          </w:p>
        </w:tc>
      </w:tr>
      <w:tr w:rsidR="00A663F1" w14:paraId="199B5293" w14:textId="77777777">
        <w:trPr>
          <w:trHeight w:val="580"/>
        </w:trPr>
        <w:tc>
          <w:tcPr>
            <w:tcW w:w="2146" w:type="dxa"/>
          </w:tcPr>
          <w:p w14:paraId="275368B3" w14:textId="77777777" w:rsidR="00A663F1" w:rsidRDefault="00E46EDB">
            <w:pPr>
              <w:pStyle w:val="TableParagraph"/>
              <w:spacing w:line="240" w:lineRule="auto"/>
              <w:ind w:left="107" w:right="552"/>
              <w:rPr>
                <w:sz w:val="20"/>
              </w:rPr>
            </w:pPr>
            <w:r>
              <w:rPr>
                <w:sz w:val="20"/>
              </w:rPr>
              <w:t>Average change excluding online</w:t>
            </w:r>
          </w:p>
        </w:tc>
        <w:tc>
          <w:tcPr>
            <w:tcW w:w="1111" w:type="dxa"/>
          </w:tcPr>
          <w:p w14:paraId="45E454CC" w14:textId="77777777" w:rsidR="00A663F1" w:rsidRDefault="00A663F1">
            <w:pPr>
              <w:pStyle w:val="TableParagraph"/>
              <w:spacing w:line="240" w:lineRule="auto"/>
              <w:rPr>
                <w:rFonts w:ascii="Times New Roman"/>
                <w:sz w:val="20"/>
              </w:rPr>
            </w:pPr>
          </w:p>
        </w:tc>
        <w:tc>
          <w:tcPr>
            <w:tcW w:w="951" w:type="dxa"/>
          </w:tcPr>
          <w:p w14:paraId="6395F1AB" w14:textId="77777777" w:rsidR="00A663F1" w:rsidRDefault="00E46EDB">
            <w:pPr>
              <w:pStyle w:val="TableParagraph"/>
              <w:ind w:right="99"/>
              <w:jc w:val="right"/>
              <w:rPr>
                <w:sz w:val="20"/>
              </w:rPr>
            </w:pPr>
            <w:r>
              <w:rPr>
                <w:w w:val="95"/>
                <w:sz w:val="20"/>
              </w:rPr>
              <w:t>10%</w:t>
            </w:r>
          </w:p>
        </w:tc>
        <w:tc>
          <w:tcPr>
            <w:tcW w:w="1107" w:type="dxa"/>
          </w:tcPr>
          <w:p w14:paraId="0A652BFA" w14:textId="77777777" w:rsidR="00A663F1" w:rsidRDefault="00A663F1">
            <w:pPr>
              <w:pStyle w:val="TableParagraph"/>
              <w:spacing w:line="240" w:lineRule="auto"/>
              <w:rPr>
                <w:rFonts w:ascii="Times New Roman"/>
                <w:sz w:val="20"/>
              </w:rPr>
            </w:pPr>
          </w:p>
        </w:tc>
        <w:tc>
          <w:tcPr>
            <w:tcW w:w="952" w:type="dxa"/>
          </w:tcPr>
          <w:p w14:paraId="6654DD26" w14:textId="77777777" w:rsidR="00A663F1" w:rsidRDefault="00E46EDB">
            <w:pPr>
              <w:pStyle w:val="TableParagraph"/>
              <w:ind w:right="98"/>
              <w:jc w:val="right"/>
              <w:rPr>
                <w:sz w:val="20"/>
              </w:rPr>
            </w:pPr>
            <w:r>
              <w:rPr>
                <w:w w:val="95"/>
                <w:sz w:val="20"/>
              </w:rPr>
              <w:t>1%</w:t>
            </w:r>
          </w:p>
        </w:tc>
        <w:tc>
          <w:tcPr>
            <w:tcW w:w="1107" w:type="dxa"/>
          </w:tcPr>
          <w:p w14:paraId="60B4F802" w14:textId="77777777" w:rsidR="00A663F1" w:rsidRDefault="00A663F1">
            <w:pPr>
              <w:pStyle w:val="TableParagraph"/>
              <w:spacing w:line="240" w:lineRule="auto"/>
              <w:rPr>
                <w:rFonts w:ascii="Times New Roman"/>
                <w:sz w:val="20"/>
              </w:rPr>
            </w:pPr>
          </w:p>
        </w:tc>
      </w:tr>
      <w:tr w:rsidR="00A663F1" w14:paraId="6D316292" w14:textId="77777777">
        <w:trPr>
          <w:trHeight w:val="580"/>
        </w:trPr>
        <w:tc>
          <w:tcPr>
            <w:tcW w:w="2146" w:type="dxa"/>
          </w:tcPr>
          <w:p w14:paraId="76BB8FD1" w14:textId="77777777" w:rsidR="00A663F1" w:rsidRDefault="00E46EDB">
            <w:pPr>
              <w:pStyle w:val="TableParagraph"/>
              <w:spacing w:line="240" w:lineRule="auto"/>
              <w:ind w:left="107"/>
              <w:rPr>
                <w:sz w:val="20"/>
              </w:rPr>
            </w:pPr>
            <w:r>
              <w:rPr>
                <w:sz w:val="20"/>
              </w:rPr>
              <w:t>Average of annual changes</w:t>
            </w:r>
          </w:p>
        </w:tc>
        <w:tc>
          <w:tcPr>
            <w:tcW w:w="5228" w:type="dxa"/>
            <w:gridSpan w:val="5"/>
          </w:tcPr>
          <w:p w14:paraId="14892A88" w14:textId="77777777" w:rsidR="00A663F1" w:rsidRDefault="00E46EDB">
            <w:pPr>
              <w:pStyle w:val="TableParagraph"/>
              <w:ind w:left="2446" w:right="2442"/>
              <w:jc w:val="center"/>
              <w:rPr>
                <w:sz w:val="20"/>
              </w:rPr>
            </w:pPr>
            <w:r>
              <w:rPr>
                <w:sz w:val="20"/>
              </w:rPr>
              <w:t>5%</w:t>
            </w:r>
          </w:p>
        </w:tc>
      </w:tr>
    </w:tbl>
    <w:p w14:paraId="1A9F599A" w14:textId="77777777" w:rsidR="00A663F1" w:rsidRDefault="00E46EDB">
      <w:pPr>
        <w:spacing w:line="228" w:lineRule="exact"/>
        <w:ind w:left="2590"/>
        <w:rPr>
          <w:i/>
          <w:sz w:val="20"/>
        </w:rPr>
      </w:pPr>
      <w:r>
        <w:rPr>
          <w:b/>
          <w:i/>
          <w:sz w:val="20"/>
          <w:u w:val="single"/>
        </w:rPr>
        <w:t xml:space="preserve">Table 2: </w:t>
      </w:r>
      <w:r>
        <w:rPr>
          <w:i/>
          <w:sz w:val="20"/>
          <w:u w:val="single"/>
        </w:rPr>
        <w:t>Debt advice supply in England and Wales by channel</w:t>
      </w:r>
    </w:p>
    <w:p w14:paraId="6E3D2569" w14:textId="77777777" w:rsidR="00A663F1" w:rsidRDefault="00E46EDB">
      <w:pPr>
        <w:pStyle w:val="ListParagraph"/>
        <w:numPr>
          <w:ilvl w:val="1"/>
          <w:numId w:val="9"/>
        </w:numPr>
        <w:tabs>
          <w:tab w:val="left" w:pos="1045"/>
        </w:tabs>
        <w:spacing w:before="121"/>
        <w:ind w:right="180"/>
      </w:pPr>
      <w:r>
        <w:t>As online-channel debt advice reaches an optimum point, the annual increase in online debt advice is expected to revert to a similar level as that of telephone and face-to-face advice. There is uncertainty as to when this optimum point will be reached. This forecast assumes that it is reached in 2018-19. Therefore, in this forecast of counterfactual debt advice supply across the assessment period, the baseline annual increase in debt advice supply is taken to be the mean of the annual change in debt advice supply delivered by the telephone and face-to-face channels.</w:t>
      </w:r>
    </w:p>
    <w:p w14:paraId="3AD11D63" w14:textId="77777777" w:rsidR="00A663F1" w:rsidRDefault="00E46EDB">
      <w:pPr>
        <w:pStyle w:val="ListParagraph"/>
        <w:numPr>
          <w:ilvl w:val="1"/>
          <w:numId w:val="9"/>
        </w:numPr>
        <w:tabs>
          <w:tab w:val="left" w:pos="1045"/>
        </w:tabs>
        <w:spacing w:before="121"/>
        <w:ind w:right="232"/>
      </w:pPr>
      <w:r>
        <w:t>As Table 2 illustrates, this suggests that debt advice supply will increase by 5% per annum from 2018-19 to 2030-31. This suggests that debt advice supply will rise from 1.6m to 2.5m over the assessment period, or 1.3m to 2.1m when duplicates are</w:t>
      </w:r>
      <w:r>
        <w:rPr>
          <w:spacing w:val="-5"/>
        </w:rPr>
        <w:t xml:space="preserve"> </w:t>
      </w:r>
      <w:r>
        <w:t>removed.</w:t>
      </w:r>
    </w:p>
    <w:p w14:paraId="03613CB4" w14:textId="77777777" w:rsidR="00A663F1" w:rsidRDefault="00E46EDB">
      <w:pPr>
        <w:pStyle w:val="ListParagraph"/>
        <w:numPr>
          <w:ilvl w:val="1"/>
          <w:numId w:val="9"/>
        </w:numPr>
        <w:tabs>
          <w:tab w:val="left" w:pos="1045"/>
        </w:tabs>
        <w:spacing w:before="119"/>
        <w:ind w:right="234"/>
      </w:pPr>
      <w:r>
        <w:t>Doing nothing will not change the amount of debt advice that is supplied across the assessment period and will not increase the value of that debt advice to either creditors, employers, or debtors. It will impose no new costs. Doing nothing will therefore have no impact on society, meaning that this option’s Net Present Social Value, Business Net Present Value, and Equivalent Annual Net Direct Cost to Business are all</w:t>
      </w:r>
      <w:r>
        <w:rPr>
          <w:spacing w:val="-3"/>
        </w:rPr>
        <w:t xml:space="preserve"> </w:t>
      </w:r>
      <w:r>
        <w:t>nil.</w:t>
      </w:r>
    </w:p>
    <w:p w14:paraId="446281C8" w14:textId="77777777" w:rsidR="00A663F1" w:rsidRDefault="00E46EDB">
      <w:pPr>
        <w:pStyle w:val="Heading1"/>
        <w:numPr>
          <w:ilvl w:val="0"/>
          <w:numId w:val="9"/>
        </w:numPr>
        <w:tabs>
          <w:tab w:val="left" w:pos="613"/>
        </w:tabs>
        <w:spacing w:before="120"/>
      </w:pPr>
      <w:r>
        <w:t>Voluntary Breathing Space – option</w:t>
      </w:r>
      <w:r>
        <w:rPr>
          <w:spacing w:val="-7"/>
        </w:rPr>
        <w:t xml:space="preserve"> </w:t>
      </w:r>
      <w:r>
        <w:t>2</w:t>
      </w:r>
    </w:p>
    <w:p w14:paraId="1219BEEF" w14:textId="77777777" w:rsidR="00A663F1" w:rsidRDefault="00E46EDB">
      <w:pPr>
        <w:pStyle w:val="ListParagraph"/>
        <w:numPr>
          <w:ilvl w:val="1"/>
          <w:numId w:val="9"/>
        </w:numPr>
        <w:tabs>
          <w:tab w:val="left" w:pos="1045"/>
        </w:tabs>
        <w:spacing w:before="119"/>
        <w:ind w:right="294"/>
      </w:pPr>
      <w:r>
        <w:t>In the absence of regulation, there is strong evidence that coverage of Breathing Space would be incomplete as a result of creditor non-compliance, limiting both the costs and benefits of this option.</w:t>
      </w:r>
    </w:p>
    <w:p w14:paraId="00BE922C" w14:textId="77777777" w:rsidR="00A663F1" w:rsidRDefault="00E46EDB">
      <w:pPr>
        <w:pStyle w:val="ListParagraph"/>
        <w:numPr>
          <w:ilvl w:val="1"/>
          <w:numId w:val="9"/>
        </w:numPr>
        <w:tabs>
          <w:tab w:val="left" w:pos="1045"/>
        </w:tabs>
        <w:spacing w:before="122"/>
        <w:ind w:right="165"/>
      </w:pPr>
      <w:r>
        <w:t>Some respondents to the government’s consultation on a policy proposal for Breathing Space suggested that debts owed to their sector should not be included in the scheme, arguing that the existing forbearance that they provide is</w:t>
      </w:r>
      <w:r>
        <w:rPr>
          <w:spacing w:val="-6"/>
        </w:rPr>
        <w:t xml:space="preserve"> </w:t>
      </w:r>
      <w:r>
        <w:t>adequate.</w:t>
      </w:r>
      <w:r>
        <w:rPr>
          <w:vertAlign w:val="superscript"/>
        </w:rPr>
        <w:t>13</w:t>
      </w:r>
    </w:p>
    <w:p w14:paraId="29FA5011" w14:textId="77777777" w:rsidR="00A663F1" w:rsidRDefault="00E46EDB">
      <w:pPr>
        <w:pStyle w:val="ListParagraph"/>
        <w:numPr>
          <w:ilvl w:val="1"/>
          <w:numId w:val="9"/>
        </w:numPr>
        <w:tabs>
          <w:tab w:val="left" w:pos="1045"/>
        </w:tabs>
        <w:ind w:right="171"/>
      </w:pPr>
      <w:r>
        <w:t>A non-regulatory intervention might see the government work with regulators to encourage more creditors to deliver forbearance in a guise that is similar the protections of Breathing Space. This could be achieved by working with regulators directly to update guidance, or by collaborating with trade bodies to develop sector-wide codes of practice with recognition for firms who adhere. Such a non-regulatory intervention would increase the proportion of creditors who offer this level of forbearance, but by exactly how much is</w:t>
      </w:r>
      <w:r>
        <w:rPr>
          <w:spacing w:val="-6"/>
        </w:rPr>
        <w:t xml:space="preserve"> </w:t>
      </w:r>
      <w:r>
        <w:t>uncertain.</w:t>
      </w:r>
    </w:p>
    <w:p w14:paraId="02DE6ADB" w14:textId="77777777" w:rsidR="00A663F1" w:rsidRDefault="00E46EDB">
      <w:pPr>
        <w:pStyle w:val="ListParagraph"/>
        <w:numPr>
          <w:ilvl w:val="1"/>
          <w:numId w:val="9"/>
        </w:numPr>
        <w:tabs>
          <w:tab w:val="left" w:pos="1045"/>
        </w:tabs>
        <w:spacing w:before="119"/>
        <w:ind w:right="182"/>
      </w:pPr>
      <w:r>
        <w:t>Recent efforts to change creditor behaviour through voluntary approaches have been only partially successful. In his independent review of debt advice funding, Peter Wyman recommended that a wider range of creditors should contribute to debt advice funding.</w:t>
      </w:r>
      <w:r>
        <w:rPr>
          <w:vertAlign w:val="superscript"/>
        </w:rPr>
        <w:t>14</w:t>
      </w:r>
      <w:r>
        <w:t xml:space="preserve"> Wyman proposed that this objective should be achieved through the development of a code of conduct by creditor trade bodies. Over a year after the publication of Wyman’s recommendation, compliance with this recommendation has been limited. This suggests that compliance with a voluntary Breathing Space would be</w:t>
      </w:r>
      <w:r>
        <w:rPr>
          <w:spacing w:val="-2"/>
        </w:rPr>
        <w:t xml:space="preserve"> </w:t>
      </w:r>
      <w:r>
        <w:t>incomplete.</w:t>
      </w:r>
    </w:p>
    <w:p w14:paraId="29B607E6" w14:textId="77777777" w:rsidR="00A663F1" w:rsidRDefault="00A663F1">
      <w:pPr>
        <w:pStyle w:val="BodyText"/>
        <w:spacing w:before="0"/>
        <w:ind w:left="0" w:firstLine="0"/>
        <w:rPr>
          <w:sz w:val="20"/>
        </w:rPr>
      </w:pPr>
    </w:p>
    <w:p w14:paraId="4759C475" w14:textId="77777777" w:rsidR="00A663F1" w:rsidRDefault="00A663F1">
      <w:pPr>
        <w:pStyle w:val="BodyText"/>
        <w:spacing w:before="0"/>
        <w:ind w:left="0" w:firstLine="0"/>
        <w:rPr>
          <w:sz w:val="20"/>
        </w:rPr>
      </w:pPr>
    </w:p>
    <w:p w14:paraId="59D290AF" w14:textId="4F17D9AD" w:rsidR="00A663F1" w:rsidRDefault="00E46EDB">
      <w:pPr>
        <w:pStyle w:val="BodyText"/>
        <w:spacing w:before="2"/>
        <w:ind w:left="0" w:firstLine="0"/>
        <w:rPr>
          <w:sz w:val="16"/>
        </w:rPr>
      </w:pPr>
      <w:r>
        <w:rPr>
          <w:noProof/>
        </w:rPr>
        <mc:AlternateContent>
          <mc:Choice Requires="wps">
            <w:drawing>
              <wp:anchor distT="0" distB="0" distL="0" distR="0" simplePos="0" relativeHeight="487590912" behindDoc="1" locked="0" layoutInCell="1" allowOverlap="1" wp14:anchorId="608BC5B7" wp14:editId="7CF49C29">
                <wp:simplePos x="0" y="0"/>
                <wp:positionH relativeFrom="page">
                  <wp:posOffset>541020</wp:posOffset>
                </wp:positionH>
                <wp:positionV relativeFrom="paragraph">
                  <wp:posOffset>142875</wp:posOffset>
                </wp:positionV>
                <wp:extent cx="1829435" cy="7620"/>
                <wp:effectExtent l="0" t="0" r="0" b="0"/>
                <wp:wrapTopAndBottom/>
                <wp:docPr id="23"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943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C2A040" id="Rectangle 18" o:spid="_x0000_s1026" style="position:absolute;margin-left:42.6pt;margin-top:11.25pt;width:144.05pt;height:.6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" fillcolor="black" stroked="f">
                <w10:wrap type="topAndBottom" anchorx="page"/>
              </v:rect>
            </w:pict>
          </mc:Fallback>
        </mc:AlternateContent>
      </w:r>
    </w:p>
    <w:p w14:paraId="7E05795D" w14:textId="77777777" w:rsidR="00A663F1" w:rsidRDefault="00E46EDB">
      <w:pPr>
        <w:pStyle w:val="ListParagraph"/>
        <w:numPr>
          <w:ilvl w:val="0"/>
          <w:numId w:val="7"/>
        </w:numPr>
        <w:tabs>
          <w:tab w:val="left" w:pos="452"/>
        </w:tabs>
        <w:spacing w:before="67"/>
        <w:ind w:left="451" w:hanging="200"/>
        <w:rPr>
          <w:sz w:val="16"/>
        </w:rPr>
      </w:pPr>
      <w:r>
        <w:rPr>
          <w:sz w:val="16"/>
        </w:rPr>
        <w:t>HM Treasury</w:t>
      </w:r>
      <w:r>
        <w:rPr>
          <w:spacing w:val="-3"/>
          <w:sz w:val="16"/>
        </w:rPr>
        <w:t xml:space="preserve"> </w:t>
      </w:r>
      <w:r>
        <w:rPr>
          <w:sz w:val="16"/>
        </w:rPr>
        <w:t>(2019)</w:t>
      </w:r>
    </w:p>
    <w:p w14:paraId="330DE54A" w14:textId="77777777" w:rsidR="00A663F1" w:rsidRDefault="00E46EDB">
      <w:pPr>
        <w:spacing w:before="9"/>
        <w:ind w:left="252"/>
        <w:rPr>
          <w:sz w:val="16"/>
        </w:rPr>
      </w:pPr>
      <w:r>
        <w:rPr>
          <w:position w:val="8"/>
          <w:sz w:val="14"/>
        </w:rPr>
        <w:t xml:space="preserve">14 </w:t>
      </w:r>
      <w:r>
        <w:rPr>
          <w:sz w:val="16"/>
        </w:rPr>
        <w:t>Wyman (2018)</w:t>
      </w:r>
    </w:p>
    <w:p w14:paraId="37220F24" w14:textId="77777777" w:rsidR="00A663F1" w:rsidRDefault="00A663F1">
      <w:pPr>
        <w:rPr>
          <w:sz w:val="16"/>
        </w:rPr>
        <w:sectPr w:rsidR="00A663F1">
          <w:pgSz w:w="11910" w:h="16850"/>
          <w:pgMar w:top="680" w:right="720" w:bottom="960" w:left="600" w:header="0" w:footer="761" w:gutter="0"/>
          <w:cols w:space="720"/>
        </w:sectPr>
      </w:pPr>
    </w:p>
    <w:p w14:paraId="30ABA7F4" w14:textId="77777777" w:rsidR="00A663F1" w:rsidRDefault="00E46EDB">
      <w:pPr>
        <w:pStyle w:val="ListParagraph"/>
        <w:numPr>
          <w:ilvl w:val="1"/>
          <w:numId w:val="9"/>
        </w:numPr>
        <w:tabs>
          <w:tab w:val="left" w:pos="1045"/>
        </w:tabs>
        <w:spacing w:before="78"/>
        <w:ind w:right="159"/>
      </w:pPr>
      <w:r>
        <w:lastRenderedPageBreak/>
        <w:t xml:space="preserve">Creditors responding to requests for information submitted as part of this impact assessment estimated that creditors offer forbearance </w:t>
      </w:r>
      <w:proofErr w:type="gramStart"/>
      <w:r>
        <w:t>similar to</w:t>
      </w:r>
      <w:proofErr w:type="gramEnd"/>
      <w:r>
        <w:t xml:space="preserve"> the protections of Breathing Space in 20% of cases in the status</w:t>
      </w:r>
      <w:r>
        <w:rPr>
          <w:spacing w:val="-4"/>
        </w:rPr>
        <w:t xml:space="preserve"> </w:t>
      </w:r>
      <w:r>
        <w:t>quo.</w:t>
      </w:r>
    </w:p>
    <w:p w14:paraId="4457073E" w14:textId="77777777" w:rsidR="00A663F1" w:rsidRDefault="00E46EDB">
      <w:pPr>
        <w:pStyle w:val="ListParagraph"/>
        <w:numPr>
          <w:ilvl w:val="1"/>
          <w:numId w:val="9"/>
        </w:numPr>
        <w:tabs>
          <w:tab w:val="left" w:pos="1045"/>
        </w:tabs>
        <w:spacing w:before="122"/>
        <w:ind w:right="147"/>
      </w:pPr>
      <w:r>
        <w:t>In the absence of outturn data, this assessment assumes that a non-regulatory intervention would double the proportion of creditors offering these protections. As fewer creditors would comply with Breathing Space than under the regulatory option, costs to creditors would be</w:t>
      </w:r>
      <w:r>
        <w:rPr>
          <w:spacing w:val="-27"/>
        </w:rPr>
        <w:t xml:space="preserve"> </w:t>
      </w:r>
      <w:r>
        <w:t>lower.</w:t>
      </w:r>
    </w:p>
    <w:p w14:paraId="59BDB9ED" w14:textId="77777777" w:rsidR="00A663F1" w:rsidRDefault="00E46EDB">
      <w:pPr>
        <w:pStyle w:val="ListParagraph"/>
        <w:numPr>
          <w:ilvl w:val="1"/>
          <w:numId w:val="9"/>
        </w:numPr>
        <w:tabs>
          <w:tab w:val="left" w:pos="1045"/>
        </w:tabs>
        <w:ind w:right="244"/>
      </w:pPr>
      <w:r>
        <w:t>Some costs would fall below this level. For example, there would be no regulations and so firms would have to familiarise themselves with guidance alone rather than both regulations and guidance. Likewise, only the firms complying with the voluntary Breathing Space would be expected to make systems</w:t>
      </w:r>
      <w:r>
        <w:rPr>
          <w:spacing w:val="-4"/>
        </w:rPr>
        <w:t xml:space="preserve"> </w:t>
      </w:r>
      <w:r>
        <w:t>changes.</w:t>
      </w:r>
    </w:p>
    <w:p w14:paraId="5E92A238" w14:textId="77777777" w:rsidR="00A663F1" w:rsidRDefault="00E46EDB">
      <w:pPr>
        <w:pStyle w:val="ListParagraph"/>
        <w:numPr>
          <w:ilvl w:val="1"/>
          <w:numId w:val="9"/>
        </w:numPr>
        <w:tabs>
          <w:tab w:val="left" w:pos="1045"/>
        </w:tabs>
        <w:spacing w:before="118"/>
        <w:ind w:right="526"/>
      </w:pPr>
      <w:r>
        <w:t>The protections offered by Breathing Space will encourage debtors to seek professional debt advice sooner. Debt advice agencies were consulted on how much this would improve debt advice outcomes. They suggested that encouraging debtors to seek advice sooner would produce financial and social benefits, which are discussed in more detail in section 9</w:t>
      </w:r>
      <w:r>
        <w:rPr>
          <w:spacing w:val="-19"/>
        </w:rPr>
        <w:t xml:space="preserve"> </w:t>
      </w:r>
      <w:r>
        <w:t>below.</w:t>
      </w:r>
    </w:p>
    <w:p w14:paraId="3A66387A" w14:textId="77777777" w:rsidR="00A663F1" w:rsidRDefault="00E46EDB">
      <w:pPr>
        <w:pStyle w:val="ListParagraph"/>
        <w:numPr>
          <w:ilvl w:val="1"/>
          <w:numId w:val="9"/>
        </w:numPr>
        <w:tabs>
          <w:tab w:val="left" w:pos="1045"/>
        </w:tabs>
        <w:spacing w:before="121"/>
        <w:ind w:right="303"/>
      </w:pPr>
      <w:r>
        <w:t xml:space="preserve">People in problem debt who delay seeking debt advice typically present to debt advisers with more significant debts. StepChange estimate that </w:t>
      </w:r>
      <w:r>
        <w:rPr>
          <w:sz w:val="24"/>
        </w:rPr>
        <w:t xml:space="preserve">debtors who </w:t>
      </w:r>
      <w:r>
        <w:t>wait six months after first worrying about their debts before seeking professional advice can see their debts grow by 14% on average.</w:t>
      </w:r>
      <w:r>
        <w:rPr>
          <w:vertAlign w:val="superscript"/>
        </w:rPr>
        <w:t>15</w:t>
      </w:r>
    </w:p>
    <w:p w14:paraId="7E917D01" w14:textId="77777777" w:rsidR="00A663F1" w:rsidRDefault="00E46EDB">
      <w:pPr>
        <w:pStyle w:val="ListParagraph"/>
        <w:numPr>
          <w:ilvl w:val="1"/>
          <w:numId w:val="9"/>
        </w:numPr>
        <w:tabs>
          <w:tab w:val="left" w:pos="1692"/>
          <w:tab w:val="left" w:pos="1693"/>
        </w:tabs>
        <w:ind w:right="221"/>
      </w:pPr>
      <w:r>
        <w:t>The financial benefits alone of seeking debt advice sooner could be 14% over 6 months. The social benefits are expected be higher still, though by how much is uncertain. Breathing Space is therefore assumed to increase by 14% the benefit to debtors of seeking advice. This is a low estimate looking only at financial benefits, so the realistic benefit is likely to be</w:t>
      </w:r>
      <w:r>
        <w:rPr>
          <w:spacing w:val="-32"/>
        </w:rPr>
        <w:t xml:space="preserve"> </w:t>
      </w:r>
      <w:r>
        <w:t>higher.</w:t>
      </w:r>
    </w:p>
    <w:p w14:paraId="2E7583A7" w14:textId="77777777" w:rsidR="00A663F1" w:rsidRDefault="00E46EDB">
      <w:pPr>
        <w:pStyle w:val="ListParagraph"/>
        <w:numPr>
          <w:ilvl w:val="1"/>
          <w:numId w:val="9"/>
        </w:numPr>
        <w:tabs>
          <w:tab w:val="left" w:pos="1692"/>
          <w:tab w:val="left" w:pos="1693"/>
        </w:tabs>
        <w:spacing w:before="121"/>
        <w:ind w:right="268"/>
      </w:pPr>
      <w:r>
        <w:t>Debtors who would not have received advice in the absence of Breathing Space but who receive it under Breathing Space will derive this full benefit. Those who would have received debt advice in the counterfactual will derive only the marginal</w:t>
      </w:r>
      <w:r>
        <w:rPr>
          <w:spacing w:val="-5"/>
        </w:rPr>
        <w:t xml:space="preserve"> </w:t>
      </w:r>
      <w:r>
        <w:t>benefit.</w:t>
      </w:r>
    </w:p>
    <w:p w14:paraId="6D4873E8" w14:textId="77777777" w:rsidR="00A663F1" w:rsidRDefault="00E46EDB">
      <w:pPr>
        <w:pStyle w:val="ListParagraph"/>
        <w:numPr>
          <w:ilvl w:val="1"/>
          <w:numId w:val="9"/>
        </w:numPr>
        <w:tabs>
          <w:tab w:val="left" w:pos="1692"/>
          <w:tab w:val="left" w:pos="1693"/>
        </w:tabs>
        <w:ind w:right="148"/>
      </w:pPr>
      <w:r>
        <w:t>The benefits of a voluntary Breathing Space are superior to doing nothing as some creditors would voluntarily deliver the protections of Breathing Space. However, the majority would not. The marginal benefits of Breathing Space apply per person, not per debt. Debt advice agencies estimate that debtors hold an average of 4 to 6 debts at the point of seeking advice. As a result of non-compliance in a significant minority of cases, it is unlikely that debtors will gain the headspace to engage fully with debt</w:t>
      </w:r>
      <w:r>
        <w:rPr>
          <w:spacing w:val="-8"/>
        </w:rPr>
        <w:t xml:space="preserve"> </w:t>
      </w:r>
      <w:r>
        <w:t>advice.</w:t>
      </w:r>
    </w:p>
    <w:p w14:paraId="0F938E1C" w14:textId="77777777" w:rsidR="00A663F1" w:rsidRDefault="00E46EDB">
      <w:pPr>
        <w:pStyle w:val="ListParagraph"/>
        <w:numPr>
          <w:ilvl w:val="1"/>
          <w:numId w:val="9"/>
        </w:numPr>
        <w:tabs>
          <w:tab w:val="left" w:pos="1692"/>
          <w:tab w:val="left" w:pos="1693"/>
        </w:tabs>
        <w:spacing w:before="121"/>
        <w:ind w:right="179"/>
      </w:pPr>
      <w:r>
        <w:t>It is uncertain how much this would reduce the 14% marginal benefit of debt advice under Breathing Space. It is clear, though, that the relationship is not direct. Being pursued for interest, undergoing enforcement action, and being contacted by creditors seeking repayment is likely to reduce disproportionately the marginal benefits of debt advice under a mandatory Breathing Space.</w:t>
      </w:r>
    </w:p>
    <w:p w14:paraId="2ABF8158" w14:textId="77777777" w:rsidR="00A663F1" w:rsidRDefault="00E46EDB">
      <w:pPr>
        <w:pStyle w:val="ListParagraph"/>
        <w:numPr>
          <w:ilvl w:val="1"/>
          <w:numId w:val="9"/>
        </w:numPr>
        <w:tabs>
          <w:tab w:val="left" w:pos="1692"/>
          <w:tab w:val="left" w:pos="1693"/>
        </w:tabs>
        <w:ind w:right="204"/>
      </w:pPr>
      <w:r>
        <w:t>Non-compliance will reduce the extent to which debtors find the best debt solutions for them and the higher creditor recoveries that this yields; it would reduce the extent to which Breathing Space counters absenteeism and presenteeism amongst employed debtors, lowering with it the benefits to employers, and most obviously, it would limit the improvement in debtor quality of life that a regulatory Breathing Space could deliver by countering debtors’ sense of impending enforcement action and spiralling debts. For these reasons, it is assumed that non- compliance would reduce the marginal benefits of debt advice under Breathing Space from 14% to</w:t>
      </w:r>
      <w:r>
        <w:rPr>
          <w:spacing w:val="1"/>
        </w:rPr>
        <w:t xml:space="preserve"> </w:t>
      </w:r>
      <w:r>
        <w:t>7%.</w:t>
      </w:r>
    </w:p>
    <w:p w14:paraId="0FD1D727" w14:textId="77777777" w:rsidR="00A663F1" w:rsidRDefault="00E46EDB">
      <w:pPr>
        <w:pStyle w:val="ListParagraph"/>
        <w:numPr>
          <w:ilvl w:val="1"/>
          <w:numId w:val="9"/>
        </w:numPr>
        <w:tabs>
          <w:tab w:val="left" w:pos="1692"/>
          <w:tab w:val="left" w:pos="1693"/>
        </w:tabs>
        <w:ind w:right="160"/>
      </w:pPr>
      <w:r>
        <w:t>In addition to reducing the marginal benefits of debt advice, creditor non-compliance is likely to reduce the incentive for debtors to seek professional advice where they would not have done in the counterfactual. The rate of increase in debt advice take-up would therefore be lower than under a regulatory version of Breathing Space, where it is assumed that the protections of Breathing Space increase by 10% the number of people who receive debt advice in each year of the assessment</w:t>
      </w:r>
      <w:r>
        <w:rPr>
          <w:spacing w:val="-2"/>
        </w:rPr>
        <w:t xml:space="preserve"> </w:t>
      </w:r>
      <w:r>
        <w:t>period.</w:t>
      </w:r>
    </w:p>
    <w:p w14:paraId="00379FE8" w14:textId="77777777" w:rsidR="00A663F1" w:rsidRDefault="00A663F1">
      <w:pPr>
        <w:pStyle w:val="BodyText"/>
        <w:spacing w:before="0"/>
        <w:ind w:left="0" w:firstLine="0"/>
        <w:rPr>
          <w:sz w:val="20"/>
        </w:rPr>
      </w:pPr>
    </w:p>
    <w:p w14:paraId="70FE2540" w14:textId="77777777" w:rsidR="00A663F1" w:rsidRDefault="00A663F1">
      <w:pPr>
        <w:pStyle w:val="BodyText"/>
        <w:spacing w:before="0"/>
        <w:ind w:left="0" w:firstLine="0"/>
        <w:rPr>
          <w:sz w:val="20"/>
        </w:rPr>
      </w:pPr>
    </w:p>
    <w:p w14:paraId="60E7FB44" w14:textId="77777777" w:rsidR="00A663F1" w:rsidRDefault="00A663F1">
      <w:pPr>
        <w:pStyle w:val="BodyText"/>
        <w:spacing w:before="8"/>
        <w:ind w:left="0" w:firstLine="0"/>
        <w:rPr>
          <w:sz w:val="21"/>
        </w:rPr>
      </w:pPr>
    </w:p>
    <w:p w14:paraId="3E9F4109" w14:textId="77777777" w:rsidR="00A663F1" w:rsidRDefault="00E46EDB">
      <w:pPr>
        <w:pStyle w:val="ListParagraph"/>
        <w:numPr>
          <w:ilvl w:val="0"/>
          <w:numId w:val="6"/>
        </w:numPr>
        <w:tabs>
          <w:tab w:val="left" w:pos="452"/>
        </w:tabs>
        <w:spacing w:before="94" w:line="256" w:lineRule="auto"/>
        <w:ind w:right="867" w:firstLine="0"/>
        <w:rPr>
          <w:sz w:val="16"/>
        </w:rPr>
      </w:pPr>
      <w:r>
        <w:rPr>
          <w:sz w:val="16"/>
        </w:rPr>
        <w:t xml:space="preserve">StepChange (2015) </w:t>
      </w:r>
      <w:r>
        <w:rPr>
          <w:i/>
          <w:sz w:val="16"/>
        </w:rPr>
        <w:t xml:space="preserve">Safe Harbours: Why we need a new extended breathing space guarantee to help people in temporary financial difficulties recover from debt. </w:t>
      </w:r>
      <w:r>
        <w:rPr>
          <w:sz w:val="16"/>
        </w:rPr>
        <w:t>Available at:</w:t>
      </w:r>
      <w:r>
        <w:rPr>
          <w:spacing w:val="-8"/>
          <w:sz w:val="16"/>
        </w:rPr>
        <w:t xml:space="preserve"> </w:t>
      </w:r>
      <w:hyperlink r:id="rId31">
        <w:r>
          <w:rPr>
            <w:sz w:val="16"/>
            <w:u w:val="single"/>
          </w:rPr>
          <w:t>https://www.stepchange.org/policy-and-research/breathing-space.aspx</w:t>
        </w:r>
      </w:hyperlink>
    </w:p>
    <w:p w14:paraId="7E8ECE3B" w14:textId="77777777" w:rsidR="00A663F1" w:rsidRDefault="00A663F1">
      <w:pPr>
        <w:spacing w:line="256" w:lineRule="auto"/>
        <w:rPr>
          <w:sz w:val="16"/>
        </w:rPr>
        <w:sectPr w:rsidR="00A663F1">
          <w:footerReference w:type="default" r:id="rId32"/>
          <w:pgSz w:w="11910" w:h="16850"/>
          <w:pgMar w:top="600" w:right="720" w:bottom="960" w:left="600" w:header="0" w:footer="761" w:gutter="0"/>
          <w:cols w:space="720"/>
        </w:sectPr>
      </w:pPr>
    </w:p>
    <w:p w14:paraId="478AB714" w14:textId="77777777" w:rsidR="00A663F1" w:rsidRDefault="00E46EDB">
      <w:pPr>
        <w:pStyle w:val="ListParagraph"/>
        <w:numPr>
          <w:ilvl w:val="1"/>
          <w:numId w:val="9"/>
        </w:numPr>
        <w:tabs>
          <w:tab w:val="left" w:pos="1692"/>
          <w:tab w:val="left" w:pos="1693"/>
        </w:tabs>
        <w:spacing w:before="78"/>
        <w:ind w:right="144"/>
      </w:pPr>
      <w:r>
        <w:lastRenderedPageBreak/>
        <w:t>There is significant uncertainty around the relationship between the strength of the protections of Breathing Space and marginal demand for debt advice. Given this uncertainty, it is assumed that the rate of increase in debt advice take-up under a voluntary Breathing Space would be half that of a regulatory Breathing Space. This equates to 5% per annum and 2.5% in year one to account for lag</w:t>
      </w:r>
      <w:r>
        <w:rPr>
          <w:spacing w:val="-3"/>
        </w:rPr>
        <w:t xml:space="preserve"> </w:t>
      </w:r>
      <w:r>
        <w:t>time.</w:t>
      </w:r>
    </w:p>
    <w:p w14:paraId="2F9E47AB" w14:textId="77777777" w:rsidR="00A663F1" w:rsidRDefault="00E46EDB">
      <w:pPr>
        <w:pStyle w:val="ListParagraph"/>
        <w:numPr>
          <w:ilvl w:val="1"/>
          <w:numId w:val="9"/>
        </w:numPr>
        <w:tabs>
          <w:tab w:val="left" w:pos="1692"/>
          <w:tab w:val="left" w:pos="1693"/>
        </w:tabs>
        <w:ind w:right="238"/>
      </w:pPr>
      <w:r>
        <w:t>The present value of this option is inherently lower than that of a regulatory Breathing Space as a result of non-compliance. Non-compliance reduces the incentive for more people in problem debt to take up debt advice and the marginal benefit of doing so relative to a regulatory option.</w:t>
      </w:r>
    </w:p>
    <w:p w14:paraId="663036F2" w14:textId="77777777" w:rsidR="00A663F1" w:rsidRDefault="00E46EDB">
      <w:pPr>
        <w:pStyle w:val="ListParagraph"/>
        <w:numPr>
          <w:ilvl w:val="1"/>
          <w:numId w:val="9"/>
        </w:numPr>
        <w:tabs>
          <w:tab w:val="left" w:pos="1692"/>
          <w:tab w:val="left" w:pos="1693"/>
        </w:tabs>
        <w:spacing w:before="121"/>
        <w:ind w:right="210"/>
      </w:pPr>
      <w:proofErr w:type="gramStart"/>
      <w:r>
        <w:t>All of</w:t>
      </w:r>
      <w:proofErr w:type="gramEnd"/>
      <w:r>
        <w:t xml:space="preserve"> the business impacts of this option are considered indirect, as an impact arises only where businesses choose to comply with the non-regulatory Breathing Space</w:t>
      </w:r>
      <w:r>
        <w:rPr>
          <w:spacing w:val="-12"/>
        </w:rPr>
        <w:t xml:space="preserve"> </w:t>
      </w:r>
      <w:r>
        <w:t>scheme.</w:t>
      </w:r>
    </w:p>
    <w:p w14:paraId="62B8DB39" w14:textId="77777777" w:rsidR="00A663F1" w:rsidRDefault="00E46EDB">
      <w:pPr>
        <w:pStyle w:val="Heading1"/>
        <w:numPr>
          <w:ilvl w:val="0"/>
          <w:numId w:val="9"/>
        </w:numPr>
        <w:tabs>
          <w:tab w:val="left" w:pos="613"/>
        </w:tabs>
      </w:pPr>
      <w:r>
        <w:t>Regulatory Breathing Space – take-up – option</w:t>
      </w:r>
      <w:r>
        <w:rPr>
          <w:spacing w:val="-11"/>
        </w:rPr>
        <w:t xml:space="preserve"> </w:t>
      </w:r>
      <w:r>
        <w:t>3</w:t>
      </w:r>
    </w:p>
    <w:p w14:paraId="68BEF677" w14:textId="77777777" w:rsidR="00A663F1" w:rsidRDefault="00E46EDB">
      <w:pPr>
        <w:pStyle w:val="ListParagraph"/>
        <w:numPr>
          <w:ilvl w:val="1"/>
          <w:numId w:val="9"/>
        </w:numPr>
        <w:tabs>
          <w:tab w:val="left" w:pos="1045"/>
        </w:tabs>
        <w:spacing w:before="119"/>
        <w:ind w:right="205"/>
      </w:pPr>
      <w:r>
        <w:t>The key determinant of the costs and benefits of a regulatory Breathing Space is take-up. Counterfactual debt advice take-up has been discussed in section 6, where it was projected that it would rise from 1.3m to 2.1m between 2021-22 and 2030-31. The Breathing Space caseload will be a subset of this counterfactual debt advice supply, as the scheme is accessible only via professional debt advice.</w:t>
      </w:r>
    </w:p>
    <w:p w14:paraId="01022E7E" w14:textId="77777777" w:rsidR="00A663F1" w:rsidRDefault="00E46EDB">
      <w:pPr>
        <w:pStyle w:val="ListParagraph"/>
        <w:numPr>
          <w:ilvl w:val="1"/>
          <w:numId w:val="9"/>
        </w:numPr>
        <w:tabs>
          <w:tab w:val="left" w:pos="1045"/>
        </w:tabs>
        <w:ind w:right="297"/>
      </w:pPr>
      <w:r>
        <w:t>The initial eligibility criteria set out that the scheme is accessible only to people in problem debt who are likely to be able to access a debt solution and for whom such a solution would be in their best interests.</w:t>
      </w:r>
      <w:r>
        <w:rPr>
          <w:vertAlign w:val="superscript"/>
        </w:rPr>
        <w:t>16</w:t>
      </w:r>
      <w:r>
        <w:t xml:space="preserve"> Engagement with debt advice agencies suggested that, on average, 60% of those who receive debt advice are advised to enter a debt solution. This group would meet the initial eligibility criteria in full. The Breathing Space caseload is therefore forecast to be 60% of the maximum caseload as set out in paragraph 8.1, which is 800,000 in 2021-22, rising to 1.3m in</w:t>
      </w:r>
      <w:r>
        <w:rPr>
          <w:spacing w:val="-2"/>
        </w:rPr>
        <w:t xml:space="preserve"> </w:t>
      </w:r>
      <w:r>
        <w:t>2030-31.</w:t>
      </w:r>
    </w:p>
    <w:p w14:paraId="4BBE4388" w14:textId="77777777" w:rsidR="00A663F1" w:rsidRDefault="00E46EDB">
      <w:pPr>
        <w:pStyle w:val="ListParagraph"/>
        <w:numPr>
          <w:ilvl w:val="1"/>
          <w:numId w:val="9"/>
        </w:numPr>
        <w:tabs>
          <w:tab w:val="left" w:pos="1045"/>
        </w:tabs>
        <w:spacing w:before="121"/>
        <w:ind w:right="187"/>
      </w:pPr>
      <w:r>
        <w:t>Breathing Space will provide strong protections for people in problem debt. These protections will increase the incentive to take-up debt advice. It is uncertain by exactly how much this will increase demand for debt advice. Engagement with debt advice agencies suggested that a 10% annual increase in demand for debt advice was a central assumption. To account for a lag time in this demand increase while debtors become aware and convinced of the benefits of Breathing Space, it is forecast that marginal demand will be 5% of existing demand in 2021-22, rising to 10% per annum thereafter. This suggests that the marginal caseload – the number of people who will take-up debt advice under Breathing Space where they would not have done in the counterfactual – will be 66,000 in 2021-22 and 213,000 in</w:t>
      </w:r>
      <w:r>
        <w:rPr>
          <w:spacing w:val="-6"/>
        </w:rPr>
        <w:t xml:space="preserve"> </w:t>
      </w:r>
      <w:r>
        <w:t>2030-31.</w:t>
      </w:r>
    </w:p>
    <w:p w14:paraId="5D31953E" w14:textId="77777777" w:rsidR="00A663F1" w:rsidRDefault="00E46EDB">
      <w:pPr>
        <w:pStyle w:val="ListParagraph"/>
        <w:numPr>
          <w:ilvl w:val="1"/>
          <w:numId w:val="9"/>
        </w:numPr>
        <w:tabs>
          <w:tab w:val="left" w:pos="1045"/>
        </w:tabs>
        <w:spacing w:before="121"/>
        <w:ind w:right="144"/>
      </w:pPr>
      <w:r>
        <w:t xml:space="preserve">Not </w:t>
      </w:r>
      <w:proofErr w:type="gramStart"/>
      <w:r>
        <w:t>all of</w:t>
      </w:r>
      <w:proofErr w:type="gramEnd"/>
      <w:r>
        <w:t xml:space="preserve"> the people who are incentivised to take-up debt advice under Breathing Space will be eligible to enter the scheme. In the low scenario, they will be as likely to be eligible for Breathing Space as people who seek debt advice in the counterfactual. In this scenario, 60% of the marginal caseload would be eligible for Breathing Space. </w:t>
      </w:r>
      <w:proofErr w:type="gramStart"/>
      <w:r>
        <w:t>In reality, it</w:t>
      </w:r>
      <w:proofErr w:type="gramEnd"/>
      <w:r>
        <w:t xml:space="preserve"> is likely that they will have a higher eligibility rate than this counterfactual population, by virtue of having self-selected into debt advice as a direct result of the existence of Breathing Space. In the absence of outturn data to inform an alternative assumption, it is assumed that the eligibility rate of this population will be 80%: the midpoint of the minimum (60%) and maximum (100%) eligibility rates. This reduces the size of the marginal caseload who enter Breathing Space to 53,000 in 2021-22, rising to 170,000 in 2030-31.</w:t>
      </w:r>
    </w:p>
    <w:p w14:paraId="523752D9" w14:textId="77777777" w:rsidR="00A663F1" w:rsidRDefault="00E46EDB">
      <w:pPr>
        <w:pStyle w:val="ListParagraph"/>
        <w:numPr>
          <w:ilvl w:val="1"/>
          <w:numId w:val="9"/>
        </w:numPr>
        <w:tabs>
          <w:tab w:val="left" w:pos="1045"/>
        </w:tabs>
        <w:ind w:right="247"/>
      </w:pPr>
      <w:r>
        <w:t>The sum of the eligible static and marginal caseloads is the Breathing Space caseload, which is forecast to be 851,000 in 2021-22, rising to 1.45m in 2030-31. However, there is significant uncertainty in this forecast. Specifically, the 5% baseline annual increase in counterfactual debt advice demand (paragraph 6.7); the 60% eligibility rate (paragraph 8.2); the 10% increase in marginal debt advice demand (paragraph 8.3), and the 80% eligibility rate (paragraph 8.4), are uncertain. Recent experience with other demand-side policy interventions suggests that uncertainties in take-up forecasts often manifest on the side of optimism rather</w:t>
      </w:r>
      <w:r>
        <w:rPr>
          <w:spacing w:val="-15"/>
        </w:rPr>
        <w:t xml:space="preserve"> </w:t>
      </w:r>
      <w:r>
        <w:t>than</w:t>
      </w:r>
    </w:p>
    <w:p w14:paraId="2F723B2E" w14:textId="77777777" w:rsidR="00A663F1" w:rsidRDefault="00A663F1">
      <w:pPr>
        <w:pStyle w:val="BodyText"/>
        <w:spacing w:before="0"/>
        <w:ind w:left="0" w:firstLine="0"/>
        <w:rPr>
          <w:sz w:val="20"/>
        </w:rPr>
      </w:pPr>
    </w:p>
    <w:p w14:paraId="4C552036" w14:textId="77777777" w:rsidR="00A663F1" w:rsidRDefault="00A663F1">
      <w:pPr>
        <w:pStyle w:val="BodyText"/>
        <w:spacing w:before="0"/>
        <w:ind w:left="0" w:firstLine="0"/>
        <w:rPr>
          <w:sz w:val="20"/>
        </w:rPr>
      </w:pPr>
    </w:p>
    <w:p w14:paraId="78C1A2E9" w14:textId="77777777" w:rsidR="00A663F1" w:rsidRDefault="00A663F1">
      <w:pPr>
        <w:pStyle w:val="BodyText"/>
        <w:spacing w:before="0"/>
        <w:ind w:left="0" w:firstLine="0"/>
        <w:rPr>
          <w:sz w:val="20"/>
        </w:rPr>
      </w:pPr>
    </w:p>
    <w:p w14:paraId="3793C90B" w14:textId="77777777" w:rsidR="00A663F1" w:rsidRDefault="00A663F1">
      <w:pPr>
        <w:pStyle w:val="BodyText"/>
        <w:spacing w:before="0"/>
        <w:ind w:left="0" w:firstLine="0"/>
        <w:rPr>
          <w:sz w:val="20"/>
        </w:rPr>
      </w:pPr>
    </w:p>
    <w:p w14:paraId="3B948356" w14:textId="08FB095F" w:rsidR="00A663F1" w:rsidRDefault="00E46EDB">
      <w:pPr>
        <w:pStyle w:val="BodyText"/>
        <w:spacing w:before="0"/>
        <w:ind w:left="0" w:firstLine="0"/>
        <w:rPr>
          <w:sz w:val="16"/>
        </w:rPr>
      </w:pPr>
      <w:r>
        <w:rPr>
          <w:noProof/>
        </w:rPr>
        <mc:AlternateContent>
          <mc:Choice Requires="wps">
            <w:drawing>
              <wp:anchor distT="0" distB="0" distL="0" distR="0" simplePos="0" relativeHeight="487591424" behindDoc="1" locked="0" layoutInCell="1" allowOverlap="1" wp14:anchorId="6D2CE195" wp14:editId="0326F7BF">
                <wp:simplePos x="0" y="0"/>
                <wp:positionH relativeFrom="page">
                  <wp:posOffset>541020</wp:posOffset>
                </wp:positionH>
                <wp:positionV relativeFrom="paragraph">
                  <wp:posOffset>142240</wp:posOffset>
                </wp:positionV>
                <wp:extent cx="1829435" cy="7620"/>
                <wp:effectExtent l="0" t="0" r="0" b="0"/>
                <wp:wrapTopAndBottom/>
                <wp:docPr id="2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943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A1A896" id="Rectangle 17" o:spid="_x0000_s1026" style="position:absolute;margin-left:42.6pt;margin-top:11.2pt;width:144.05pt;height:.6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" fillcolor="black" stroked="f">
                <w10:wrap type="topAndBottom" anchorx="page"/>
              </v:rect>
            </w:pict>
          </mc:Fallback>
        </mc:AlternateContent>
      </w:r>
    </w:p>
    <w:p w14:paraId="4B7F5A00" w14:textId="77777777" w:rsidR="00A663F1" w:rsidRDefault="00E46EDB">
      <w:pPr>
        <w:pStyle w:val="ListParagraph"/>
        <w:numPr>
          <w:ilvl w:val="0"/>
          <w:numId w:val="6"/>
        </w:numPr>
        <w:tabs>
          <w:tab w:val="left" w:pos="452"/>
        </w:tabs>
        <w:spacing w:before="67"/>
        <w:ind w:left="451"/>
        <w:rPr>
          <w:sz w:val="16"/>
        </w:rPr>
      </w:pPr>
      <w:r>
        <w:rPr>
          <w:sz w:val="16"/>
        </w:rPr>
        <w:t>HM Treasury</w:t>
      </w:r>
      <w:r>
        <w:rPr>
          <w:spacing w:val="-3"/>
          <w:sz w:val="16"/>
        </w:rPr>
        <w:t xml:space="preserve"> </w:t>
      </w:r>
      <w:r>
        <w:rPr>
          <w:sz w:val="16"/>
        </w:rPr>
        <w:t>(2019)</w:t>
      </w:r>
    </w:p>
    <w:p w14:paraId="6FAC9115" w14:textId="77777777" w:rsidR="00A663F1" w:rsidRDefault="00A663F1">
      <w:pPr>
        <w:rPr>
          <w:sz w:val="16"/>
        </w:rPr>
        <w:sectPr w:rsidR="00A663F1">
          <w:footerReference w:type="default" r:id="rId33"/>
          <w:pgSz w:w="11910" w:h="16850"/>
          <w:pgMar w:top="600" w:right="720" w:bottom="960" w:left="600" w:header="0" w:footer="761" w:gutter="0"/>
          <w:pgNumType w:start="11"/>
          <w:cols w:space="720"/>
        </w:sectPr>
      </w:pPr>
    </w:p>
    <w:p w14:paraId="4A46BFB9" w14:textId="77777777" w:rsidR="00A663F1" w:rsidRDefault="00E46EDB">
      <w:pPr>
        <w:pStyle w:val="BodyText"/>
        <w:spacing w:before="78"/>
        <w:ind w:right="269" w:firstLine="0"/>
      </w:pPr>
      <w:r>
        <w:lastRenderedPageBreak/>
        <w:t>conservatism. To account for this, a 20% optimism bias adjustment is applied. This reduces the Breathing Space caseload to 681,000 in 2021-22 and 1.2m in 2030-31.</w:t>
      </w:r>
    </w:p>
    <w:p w14:paraId="17360808" w14:textId="77777777" w:rsidR="00A663F1" w:rsidRDefault="00E46EDB">
      <w:pPr>
        <w:pStyle w:val="ListParagraph"/>
        <w:numPr>
          <w:ilvl w:val="1"/>
          <w:numId w:val="9"/>
        </w:numPr>
        <w:tabs>
          <w:tab w:val="left" w:pos="1045"/>
        </w:tabs>
        <w:spacing w:before="121"/>
        <w:ind w:right="249"/>
      </w:pPr>
      <w:r>
        <w:t>In addition to this core caseload, another cohort of people in problem debt will enter Breathing Space via the Mental Health Alternative Access Mechanism. This mechanism will be accessible to people receiving mental health crisis treatment. NHS England data suggests that there are 92,300 people receiving mental health crisis treatment. NHS England estimate that this figure will rise by 150,000 between 2019-20 and 2030-31. This increase is assumed to be</w:t>
      </w:r>
      <w:r>
        <w:rPr>
          <w:spacing w:val="-19"/>
        </w:rPr>
        <w:t xml:space="preserve"> </w:t>
      </w:r>
      <w:r>
        <w:t>linear.</w:t>
      </w:r>
    </w:p>
    <w:p w14:paraId="0EDEDCFF" w14:textId="77777777" w:rsidR="00A663F1" w:rsidRDefault="00E46EDB">
      <w:pPr>
        <w:pStyle w:val="ListParagraph"/>
        <w:numPr>
          <w:ilvl w:val="1"/>
          <w:numId w:val="9"/>
        </w:numPr>
        <w:tabs>
          <w:tab w:val="left" w:pos="1045"/>
        </w:tabs>
        <w:ind w:right="418"/>
      </w:pPr>
      <w:r>
        <w:t>Within this cohort, only people in problem debt are expected to enter Breathing Space via the Alternative Access Mechanism. The Money and Mental Health Policy Institute estimates that 22% of people with severe symptoms of common mental disorders are also in problem debt.</w:t>
      </w:r>
      <w:r>
        <w:rPr>
          <w:vertAlign w:val="superscript"/>
        </w:rPr>
        <w:t>17</w:t>
      </w:r>
      <w:r>
        <w:t xml:space="preserve"> This suggests that the number of people entering Breathing Space via the Alternative Access Mechanism will be 27,500 in 2021-22, rising to 54,000 by</w:t>
      </w:r>
      <w:r>
        <w:rPr>
          <w:spacing w:val="-5"/>
        </w:rPr>
        <w:t xml:space="preserve"> </w:t>
      </w:r>
      <w:r>
        <w:t>2030-31.</w:t>
      </w:r>
    </w:p>
    <w:p w14:paraId="16D0DE0F" w14:textId="77777777" w:rsidR="00A663F1" w:rsidRDefault="00E46EDB">
      <w:pPr>
        <w:pStyle w:val="ListParagraph"/>
        <w:numPr>
          <w:ilvl w:val="1"/>
          <w:numId w:val="9"/>
        </w:numPr>
        <w:tabs>
          <w:tab w:val="left" w:pos="1045"/>
        </w:tabs>
        <w:ind w:right="147"/>
      </w:pPr>
      <w:r>
        <w:t>It is assumed that the debt compositions of each cohort are the same. This is an uncertainty and data were unavailable to inform an evidence-based position. The data that informs the costs forecast in this impact assessment is derived from the general population who seek advice in the counterfactual. Debtors who do not seek advice in the counterfactual but take-up debt advice under Breathing Space might have different types of debts or different debt levels. The same could be true of people in problem debt who are receiving mental health crisis treatment. Data is intrinsically unavailable on the former group, as they do not currently take-up debt advice. Data comparable with that of the general population was not available on the latter</w:t>
      </w:r>
      <w:r>
        <w:rPr>
          <w:spacing w:val="-11"/>
        </w:rPr>
        <w:t xml:space="preserve"> </w:t>
      </w:r>
      <w:r>
        <w:t>group.</w:t>
      </w:r>
    </w:p>
    <w:p w14:paraId="65E39A7F" w14:textId="77777777" w:rsidR="00A663F1" w:rsidRDefault="00E46EDB">
      <w:pPr>
        <w:pStyle w:val="ListParagraph"/>
        <w:numPr>
          <w:ilvl w:val="1"/>
          <w:numId w:val="9"/>
        </w:numPr>
        <w:tabs>
          <w:tab w:val="left" w:pos="1045"/>
        </w:tabs>
        <w:ind w:right="183"/>
      </w:pPr>
      <w:r>
        <w:t>Not all debtors will remain within the protections of Breathing Space throughout its 60-day duration. Some will be removed at the 30-day point for contravening the ongoing eligibility criteria set out in section 5 – taking out further credit worth over £500 without their debt adviser’s consent, not pay ongoing bills that they have the means to pay, or failing to engage with debt advice.</w:t>
      </w:r>
    </w:p>
    <w:p w14:paraId="67AAEB0D" w14:textId="77777777" w:rsidR="00A663F1" w:rsidRDefault="00E46EDB">
      <w:pPr>
        <w:pStyle w:val="ListParagraph"/>
        <w:numPr>
          <w:ilvl w:val="1"/>
          <w:numId w:val="9"/>
        </w:numPr>
        <w:tabs>
          <w:tab w:val="left" w:pos="1692"/>
          <w:tab w:val="left" w:pos="1693"/>
        </w:tabs>
        <w:spacing w:before="122"/>
        <w:ind w:right="137"/>
      </w:pPr>
      <w:r>
        <w:t>In the counterfactual, debt advice agencies suggested that around 3% of those who seek debt advice take out new credit and fall behind on their ongoing liabilities two months after seeking advice. In some of these cases, that new credit will be worth over £500 and the failure to meet ongoing liabilities could be considered a choice rather than purely a product of the debtor’s financial position. In the absence of evidence to inform an assumption, it is assumed that this proportion would be 50%, so that 1.5% of counterfactual debt advice recipients deliberately stop paying their ongoing liabilities and take out further credit having sought debt advice. Debt advisers suggested that, additionally, 15% to 20% of debt advice recipients fail to continue to engage with debt</w:t>
      </w:r>
      <w:r>
        <w:rPr>
          <w:spacing w:val="-2"/>
        </w:rPr>
        <w:t xml:space="preserve"> </w:t>
      </w:r>
      <w:r>
        <w:t>advice.</w:t>
      </w:r>
    </w:p>
    <w:p w14:paraId="230847A9" w14:textId="77777777" w:rsidR="00A663F1" w:rsidRDefault="00E46EDB">
      <w:pPr>
        <w:pStyle w:val="ListParagraph"/>
        <w:numPr>
          <w:ilvl w:val="1"/>
          <w:numId w:val="9"/>
        </w:numPr>
        <w:tabs>
          <w:tab w:val="left" w:pos="1692"/>
          <w:tab w:val="left" w:pos="1693"/>
        </w:tabs>
        <w:spacing w:before="119"/>
        <w:ind w:right="212"/>
      </w:pPr>
      <w:r>
        <w:t>This data is based on the counterfactual, where there is little explicit penalty to debtors who take out further credit, fail to engage with debt advice, or who stop meeting their ongoing liabilities. Under Breathing Space, where failing to meet the ongoing eligibility criteria would lead to removal from the scheme’s protections, it is reasonable to assume that debtors will alter their behaviour and so the proportion of debtors engaging in these behaviours will fall under Breathing Space relative to the</w:t>
      </w:r>
      <w:r>
        <w:rPr>
          <w:spacing w:val="-4"/>
        </w:rPr>
        <w:t xml:space="preserve"> </w:t>
      </w:r>
      <w:r>
        <w:t>counterfactual.</w:t>
      </w:r>
    </w:p>
    <w:p w14:paraId="0FB1F47E" w14:textId="77777777" w:rsidR="00A663F1" w:rsidRDefault="00E46EDB">
      <w:pPr>
        <w:pStyle w:val="ListParagraph"/>
        <w:numPr>
          <w:ilvl w:val="1"/>
          <w:numId w:val="9"/>
        </w:numPr>
        <w:tabs>
          <w:tab w:val="left" w:pos="1692"/>
          <w:tab w:val="left" w:pos="1693"/>
        </w:tabs>
        <w:spacing w:before="122"/>
        <w:ind w:right="527"/>
      </w:pPr>
      <w:r>
        <w:t>The extent of this fall is unknown. In the central scenario, it is assumed that the rate of removal will be 50% lower under Breathing Space than it would be in the counterfactual, suggesting that 10% of debtors will be removed from Breathing Space after 30</w:t>
      </w:r>
      <w:r>
        <w:rPr>
          <w:spacing w:val="-12"/>
        </w:rPr>
        <w:t xml:space="preserve"> </w:t>
      </w:r>
      <w:r>
        <w:t>days.</w:t>
      </w:r>
    </w:p>
    <w:p w14:paraId="38FD2DF0" w14:textId="77777777" w:rsidR="00A663F1" w:rsidRDefault="00E46EDB">
      <w:pPr>
        <w:pStyle w:val="ListParagraph"/>
        <w:numPr>
          <w:ilvl w:val="1"/>
          <w:numId w:val="9"/>
        </w:numPr>
        <w:tabs>
          <w:tab w:val="left" w:pos="1692"/>
          <w:tab w:val="left" w:pos="1693"/>
        </w:tabs>
        <w:spacing w:before="119"/>
        <w:ind w:right="244"/>
      </w:pPr>
      <w:r>
        <w:t>For this group, it is assumed that one monthly debt repayment, one late payment charge, and one compounding interval falls within each 30-day period. For the remaining 90% of debtors, it is assumed that two debt repayments, two late payment charges, and two compounding intervals fall within the 60 days of Breathing</w:t>
      </w:r>
      <w:r>
        <w:rPr>
          <w:spacing w:val="-2"/>
        </w:rPr>
        <w:t xml:space="preserve"> </w:t>
      </w:r>
      <w:r>
        <w:t>Space.</w:t>
      </w:r>
    </w:p>
    <w:p w14:paraId="63D81173" w14:textId="77777777" w:rsidR="00A663F1" w:rsidRDefault="00E46EDB">
      <w:pPr>
        <w:pStyle w:val="ListParagraph"/>
        <w:numPr>
          <w:ilvl w:val="1"/>
          <w:numId w:val="9"/>
        </w:numPr>
        <w:tabs>
          <w:tab w:val="left" w:pos="1692"/>
          <w:tab w:val="left" w:pos="1693"/>
        </w:tabs>
        <w:spacing w:before="119"/>
        <w:ind w:right="342"/>
      </w:pPr>
      <w:r>
        <w:t>This forecast assumes that debt advice supply increases with demand. This assumption is consistent with the government’s intent. The government has increased funding for free professional debt advice to almost £56m this year, delivering 560,000 sessions in England. In addition, as Peter Wyman recommended in his review of debt advice funding, debt</w:t>
      </w:r>
      <w:r>
        <w:rPr>
          <w:spacing w:val="-17"/>
        </w:rPr>
        <w:t xml:space="preserve"> </w:t>
      </w:r>
      <w:r>
        <w:t>advice</w:t>
      </w:r>
    </w:p>
    <w:p w14:paraId="73224AA2" w14:textId="12AF256E" w:rsidR="00A663F1" w:rsidRDefault="00E46EDB">
      <w:pPr>
        <w:pStyle w:val="BodyText"/>
        <w:spacing w:before="6"/>
        <w:ind w:left="0" w:firstLine="0"/>
        <w:rPr>
          <w:sz w:val="23"/>
        </w:rPr>
      </w:pPr>
      <w:r>
        <w:rPr>
          <w:noProof/>
        </w:rPr>
        <mc:AlternateContent>
          <mc:Choice Requires="wps">
            <w:drawing>
              <wp:anchor distT="0" distB="0" distL="0" distR="0" simplePos="0" relativeHeight="487591936" behindDoc="1" locked="0" layoutInCell="1" allowOverlap="1" wp14:anchorId="6DD704BE" wp14:editId="383CE1CC">
                <wp:simplePos x="0" y="0"/>
                <wp:positionH relativeFrom="page">
                  <wp:posOffset>541020</wp:posOffset>
                </wp:positionH>
                <wp:positionV relativeFrom="paragraph">
                  <wp:posOffset>196850</wp:posOffset>
                </wp:positionV>
                <wp:extent cx="1829435" cy="7620"/>
                <wp:effectExtent l="0" t="0" r="0" b="0"/>
                <wp:wrapTopAndBottom/>
                <wp:docPr id="2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943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2B0D9B" id="Rectangle 16" o:spid="_x0000_s1026" style="position:absolute;margin-left:42.6pt;margin-top:15.5pt;width:144.05pt;height:.6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" fillcolor="black" stroked="f">
                <w10:wrap type="topAndBottom" anchorx="page"/>
              </v:rect>
            </w:pict>
          </mc:Fallback>
        </mc:AlternateContent>
      </w:r>
    </w:p>
    <w:p w14:paraId="05960B3C" w14:textId="77777777" w:rsidR="00A663F1" w:rsidRDefault="00E46EDB">
      <w:pPr>
        <w:spacing w:before="67" w:line="256" w:lineRule="auto"/>
        <w:ind w:left="252" w:right="2673"/>
        <w:rPr>
          <w:sz w:val="16"/>
        </w:rPr>
      </w:pPr>
      <w:r>
        <w:rPr>
          <w:position w:val="8"/>
          <w:sz w:val="14"/>
        </w:rPr>
        <w:t>17</w:t>
      </w:r>
      <w:r>
        <w:rPr>
          <w:sz w:val="16"/>
        </w:rPr>
        <w:t xml:space="preserve">Money and Mental Health Policy Institute (2019) </w:t>
      </w:r>
      <w:r>
        <w:rPr>
          <w:i/>
          <w:sz w:val="16"/>
        </w:rPr>
        <w:t xml:space="preserve">Debt and mental health: a statistical update </w:t>
      </w:r>
      <w:r>
        <w:rPr>
          <w:sz w:val="16"/>
          <w:u w:val="single"/>
        </w:rPr>
        <w:t>Available at:</w:t>
      </w:r>
      <w:r>
        <w:rPr>
          <w:sz w:val="16"/>
        </w:rPr>
        <w:t xml:space="preserve"> </w:t>
      </w:r>
      <w:hyperlink r:id="rId34">
        <w:r>
          <w:rPr>
            <w:sz w:val="16"/>
            <w:u w:val="single"/>
          </w:rPr>
          <w:t>https://www.moneyandmentalhealth.org/wp-content/uploads/2019/03/debt-and-mental-health-policy-note.pdf</w:t>
        </w:r>
      </w:hyperlink>
    </w:p>
    <w:p w14:paraId="6839C34D" w14:textId="77777777" w:rsidR="00A663F1" w:rsidRDefault="00A663F1">
      <w:pPr>
        <w:spacing w:line="256" w:lineRule="auto"/>
        <w:rPr>
          <w:sz w:val="16"/>
        </w:rPr>
        <w:sectPr w:rsidR="00A663F1">
          <w:pgSz w:w="11910" w:h="16850"/>
          <w:pgMar w:top="600" w:right="720" w:bottom="1020" w:left="600" w:header="0" w:footer="761" w:gutter="0"/>
          <w:cols w:space="720"/>
        </w:sectPr>
      </w:pPr>
    </w:p>
    <w:p w14:paraId="0B065E42" w14:textId="77777777" w:rsidR="00A663F1" w:rsidRDefault="00E46EDB">
      <w:pPr>
        <w:pStyle w:val="BodyText"/>
        <w:spacing w:before="78"/>
        <w:ind w:right="526" w:firstLine="0"/>
      </w:pPr>
      <w:r>
        <w:lastRenderedPageBreak/>
        <w:t>supply will rise as providers shift from high unit-cost advice channels to less expensive ones, increasing the number of advice sessions that may be delivered with the available funding.</w:t>
      </w:r>
      <w:r>
        <w:rPr>
          <w:vertAlign w:val="superscript"/>
        </w:rPr>
        <w:t>18</w:t>
      </w:r>
    </w:p>
    <w:p w14:paraId="0E5AB211" w14:textId="77777777" w:rsidR="00A663F1" w:rsidRDefault="00E46EDB">
      <w:pPr>
        <w:pStyle w:val="ListParagraph"/>
        <w:numPr>
          <w:ilvl w:val="1"/>
          <w:numId w:val="9"/>
        </w:numPr>
        <w:tabs>
          <w:tab w:val="left" w:pos="1692"/>
          <w:tab w:val="left" w:pos="1693"/>
        </w:tabs>
        <w:spacing w:before="121"/>
        <w:ind w:right="244"/>
      </w:pPr>
      <w:r>
        <w:t>A macroeconomic deterioration could increase demand for debt advice and so take-up of Breathing Space. Likewise, a period of sustained economic growth could reduce demand for debt advice. Given the inherent uncertainty and in the interests of proportionality, this take-up forecast makes no assumption about macroeconomic</w:t>
      </w:r>
      <w:r>
        <w:rPr>
          <w:spacing w:val="-7"/>
        </w:rPr>
        <w:t xml:space="preserve"> </w:t>
      </w:r>
      <w:r>
        <w:t>change.</w:t>
      </w:r>
    </w:p>
    <w:p w14:paraId="486DF078" w14:textId="77777777" w:rsidR="00A663F1" w:rsidRDefault="00E46EDB">
      <w:pPr>
        <w:pStyle w:val="Heading1"/>
        <w:numPr>
          <w:ilvl w:val="0"/>
          <w:numId w:val="9"/>
        </w:numPr>
        <w:tabs>
          <w:tab w:val="left" w:pos="613"/>
        </w:tabs>
        <w:spacing w:before="123"/>
      </w:pPr>
      <w:r>
        <w:t>Regulatory Breathing Space – counterfactual benefits of debt</w:t>
      </w:r>
      <w:r>
        <w:rPr>
          <w:spacing w:val="-6"/>
        </w:rPr>
        <w:t xml:space="preserve"> </w:t>
      </w:r>
      <w:r>
        <w:t>advice</w:t>
      </w:r>
    </w:p>
    <w:p w14:paraId="3CAF1192" w14:textId="77777777" w:rsidR="00A663F1" w:rsidRDefault="00E46EDB">
      <w:pPr>
        <w:pStyle w:val="ListParagraph"/>
        <w:numPr>
          <w:ilvl w:val="1"/>
          <w:numId w:val="9"/>
        </w:numPr>
        <w:tabs>
          <w:tab w:val="left" w:pos="1045"/>
        </w:tabs>
        <w:spacing w:before="141" w:line="259" w:lineRule="auto"/>
        <w:ind w:right="172"/>
      </w:pPr>
      <w:r>
        <w:t xml:space="preserve">Breathing Space will incentivise more people to seek debt advice and to do so earlier, promoting more positive debt advice outcomes. </w:t>
      </w:r>
      <w:r>
        <w:rPr>
          <w:spacing w:val="3"/>
        </w:rPr>
        <w:t xml:space="preserve">We </w:t>
      </w:r>
      <w:r>
        <w:t>start by looking at the benefits associated with debt advice.</w:t>
      </w:r>
    </w:p>
    <w:p w14:paraId="2341F00C" w14:textId="77777777" w:rsidR="00A663F1" w:rsidRDefault="00E46EDB">
      <w:pPr>
        <w:pStyle w:val="ListParagraph"/>
        <w:numPr>
          <w:ilvl w:val="1"/>
          <w:numId w:val="9"/>
        </w:numPr>
        <w:tabs>
          <w:tab w:val="left" w:pos="1045"/>
        </w:tabs>
        <w:spacing w:before="119" w:line="259" w:lineRule="auto"/>
        <w:ind w:right="235"/>
      </w:pPr>
      <w:r>
        <w:t xml:space="preserve">In the interests of proportionality, the best available secondary evidence on the economic value of debt advice is taken as the starting point of this analysis of the benefits of Breathing Space. This research includes The Money Advice Service’s </w:t>
      </w:r>
      <w:proofErr w:type="gramStart"/>
      <w:r>
        <w:rPr>
          <w:i/>
        </w:rPr>
        <w:t>The</w:t>
      </w:r>
      <w:proofErr w:type="gramEnd"/>
      <w:r>
        <w:rPr>
          <w:i/>
        </w:rPr>
        <w:t xml:space="preserve"> Economic Impact of Debt Advice</w:t>
      </w:r>
      <w:r>
        <w:rPr>
          <w:i/>
          <w:vertAlign w:val="superscript"/>
        </w:rPr>
        <w:t>19</w:t>
      </w:r>
      <w:r>
        <w:rPr>
          <w:i/>
        </w:rPr>
        <w:t xml:space="preserve"> </w:t>
      </w:r>
      <w:r>
        <w:rPr>
          <w:spacing w:val="-6"/>
        </w:rPr>
        <w:t xml:space="preserve">and </w:t>
      </w:r>
      <w:r>
        <w:t xml:space="preserve">StepChange’s </w:t>
      </w:r>
      <w:r>
        <w:rPr>
          <w:i/>
        </w:rPr>
        <w:t>The Social Cost of Problem</w:t>
      </w:r>
      <w:r>
        <w:rPr>
          <w:i/>
          <w:spacing w:val="1"/>
        </w:rPr>
        <w:t xml:space="preserve"> </w:t>
      </w:r>
      <w:r>
        <w:rPr>
          <w:i/>
        </w:rPr>
        <w:t>Debt.</w:t>
      </w:r>
      <w:r>
        <w:rPr>
          <w:i/>
          <w:vertAlign w:val="superscript"/>
        </w:rPr>
        <w:t>20</w:t>
      </w:r>
      <w:r>
        <w:t>.</w:t>
      </w:r>
    </w:p>
    <w:p w14:paraId="33A2C651" w14:textId="77777777" w:rsidR="00A663F1" w:rsidRDefault="00E46EDB">
      <w:pPr>
        <w:pStyle w:val="ListParagraph"/>
        <w:numPr>
          <w:ilvl w:val="1"/>
          <w:numId w:val="9"/>
        </w:numPr>
        <w:tabs>
          <w:tab w:val="left" w:pos="1045"/>
        </w:tabs>
        <w:spacing w:before="119" w:line="259" w:lineRule="auto"/>
        <w:ind w:right="187"/>
      </w:pPr>
      <w:r>
        <w:rPr>
          <w:i/>
        </w:rPr>
        <w:t xml:space="preserve">Transforming Lives </w:t>
      </w:r>
      <w:r>
        <w:t xml:space="preserve">is an impact evaluation conducted for StepChange by Baker Tilly. A review of the social impact of debt advice for UK individuals and families, the report uses a social return on investment methodology to identify the economic value of debt advice delivered between 2012 and 2013 to 109,397 debt advice clients. The report identifies a wide variety of areas where debt advice has delivered a societal benefit. These benefits </w:t>
      </w:r>
      <w:proofErr w:type="gramStart"/>
      <w:r>
        <w:t>include:</w:t>
      </w:r>
      <w:proofErr w:type="gramEnd"/>
      <w:r>
        <w:t xml:space="preserve"> increased employment, improved mental health, higher creditor recovery, reduced desperation crime, reduced debt recycling, reduced risk of children being taken into care, reduced rates of eviction, improved interpersonal relationships, increased small business survival, and higher parental engagement, amongst</w:t>
      </w:r>
      <w:r>
        <w:rPr>
          <w:spacing w:val="3"/>
        </w:rPr>
        <w:t xml:space="preserve"> </w:t>
      </w:r>
      <w:r>
        <w:t>others.</w:t>
      </w:r>
    </w:p>
    <w:p w14:paraId="069ECF9F" w14:textId="77777777" w:rsidR="00A663F1" w:rsidRDefault="00E46EDB">
      <w:pPr>
        <w:pStyle w:val="ListParagraph"/>
        <w:numPr>
          <w:ilvl w:val="1"/>
          <w:numId w:val="9"/>
        </w:numPr>
        <w:tabs>
          <w:tab w:val="left" w:pos="1045"/>
        </w:tabs>
        <w:spacing w:before="119" w:line="259" w:lineRule="auto"/>
        <w:ind w:right="303"/>
      </w:pPr>
      <w:r>
        <w:t xml:space="preserve">Building on this research, Europe Economics explored </w:t>
      </w:r>
      <w:r>
        <w:rPr>
          <w:i/>
        </w:rPr>
        <w:t xml:space="preserve">The Economic Value of Debt Advice </w:t>
      </w:r>
      <w:r>
        <w:t>for the Money Advice Service. This research used a regression model to identify whether a treatment group who undertook debt advice experienced different outcomes to a control group who did not. The specific outcomes that this research examined were those where Baker Tilly identified an impact amongst StepChange clients. To mitigate the risk of sample-selection bias, Propensity Score Matching was</w:t>
      </w:r>
      <w:r>
        <w:rPr>
          <w:spacing w:val="-2"/>
        </w:rPr>
        <w:t xml:space="preserve"> </w:t>
      </w:r>
      <w:r>
        <w:t>employed.</w:t>
      </w:r>
    </w:p>
    <w:p w14:paraId="158FB119" w14:textId="77777777" w:rsidR="00A663F1" w:rsidRDefault="00E46EDB">
      <w:pPr>
        <w:pStyle w:val="ListParagraph"/>
        <w:numPr>
          <w:ilvl w:val="1"/>
          <w:numId w:val="9"/>
        </w:numPr>
        <w:tabs>
          <w:tab w:val="left" w:pos="1045"/>
        </w:tabs>
        <w:spacing w:before="118" w:line="259" w:lineRule="auto"/>
        <w:ind w:right="196"/>
      </w:pPr>
      <w:r>
        <w:t>This impact assessment only monetises benefits where Europe Economics identified a clear link between debt advice and improved outcomes. This means that many of the benefits identified in the StepChange report are not monetised here. The benefits monetised in this impact assessment</w:t>
      </w:r>
      <w:r>
        <w:rPr>
          <w:spacing w:val="1"/>
        </w:rPr>
        <w:t xml:space="preserve"> </w:t>
      </w:r>
      <w:r>
        <w:t>are:</w:t>
      </w:r>
    </w:p>
    <w:p w14:paraId="4489D79C" w14:textId="77777777" w:rsidR="00A663F1" w:rsidRDefault="00E46EDB">
      <w:pPr>
        <w:pStyle w:val="ListParagraph"/>
        <w:numPr>
          <w:ilvl w:val="2"/>
          <w:numId w:val="9"/>
        </w:numPr>
        <w:tabs>
          <w:tab w:val="left" w:pos="1754"/>
          <w:tab w:val="left" w:pos="1755"/>
        </w:tabs>
        <w:spacing w:before="119" w:line="259" w:lineRule="auto"/>
        <w:ind w:right="587" w:hanging="504"/>
      </w:pPr>
      <w:r>
        <w:t>Higher employee productivity – where debt advice reduces rates of absenteeism and presenteeism amongst employees who are in problem</w:t>
      </w:r>
      <w:r>
        <w:rPr>
          <w:spacing w:val="4"/>
        </w:rPr>
        <w:t xml:space="preserve"> </w:t>
      </w:r>
      <w:r>
        <w:t>debt.</w:t>
      </w:r>
    </w:p>
    <w:p w14:paraId="7721591B" w14:textId="77777777" w:rsidR="00A663F1" w:rsidRDefault="00E46EDB">
      <w:pPr>
        <w:pStyle w:val="ListParagraph"/>
        <w:numPr>
          <w:ilvl w:val="2"/>
          <w:numId w:val="9"/>
        </w:numPr>
        <w:tabs>
          <w:tab w:val="left" w:pos="1693"/>
        </w:tabs>
        <w:spacing w:before="121" w:line="259" w:lineRule="auto"/>
        <w:ind w:right="279" w:hanging="504"/>
      </w:pPr>
      <w:r>
        <w:t>Improved debtor wellbeing, when debt advice helps people in problem debt to return to a stable financial footing, improving their wellbeing and reducing the morbidity of mental health problems such as anxiety and depression,</w:t>
      </w:r>
      <w:r>
        <w:rPr>
          <w:spacing w:val="-4"/>
        </w:rPr>
        <w:t xml:space="preserve"> </w:t>
      </w:r>
      <w:r>
        <w:t>and</w:t>
      </w:r>
    </w:p>
    <w:p w14:paraId="55644E0E" w14:textId="77777777" w:rsidR="00A663F1" w:rsidRDefault="00E46EDB">
      <w:pPr>
        <w:pStyle w:val="ListParagraph"/>
        <w:numPr>
          <w:ilvl w:val="2"/>
          <w:numId w:val="9"/>
        </w:numPr>
        <w:tabs>
          <w:tab w:val="left" w:pos="1693"/>
        </w:tabs>
        <w:spacing w:before="119" w:line="259" w:lineRule="auto"/>
        <w:ind w:right="266" w:hanging="504"/>
      </w:pPr>
      <w:r>
        <w:t>Higher debt repayments when debt advice supports people in problem debt to enter debt solutions in which they repay more of their</w:t>
      </w:r>
      <w:r>
        <w:rPr>
          <w:spacing w:val="-6"/>
        </w:rPr>
        <w:t xml:space="preserve"> </w:t>
      </w:r>
      <w:r>
        <w:t>debts.</w:t>
      </w:r>
    </w:p>
    <w:p w14:paraId="041342A3" w14:textId="77777777" w:rsidR="00A663F1" w:rsidRDefault="00E46EDB">
      <w:pPr>
        <w:pStyle w:val="Heading1"/>
        <w:numPr>
          <w:ilvl w:val="0"/>
          <w:numId w:val="9"/>
        </w:numPr>
        <w:tabs>
          <w:tab w:val="left" w:pos="613"/>
        </w:tabs>
        <w:spacing w:before="119"/>
      </w:pPr>
      <w:r>
        <w:t>Regulatory Breathing Space – overview of benefits calculation</w:t>
      </w:r>
      <w:r>
        <w:rPr>
          <w:spacing w:val="-5"/>
        </w:rPr>
        <w:t xml:space="preserve"> </w:t>
      </w:r>
      <w:r>
        <w:t>methodology</w:t>
      </w:r>
    </w:p>
    <w:p w14:paraId="71F008A1" w14:textId="77777777" w:rsidR="00A663F1" w:rsidRDefault="00E46EDB">
      <w:pPr>
        <w:pStyle w:val="ListParagraph"/>
        <w:numPr>
          <w:ilvl w:val="1"/>
          <w:numId w:val="9"/>
        </w:numPr>
        <w:tabs>
          <w:tab w:val="left" w:pos="1692"/>
          <w:tab w:val="left" w:pos="1693"/>
        </w:tabs>
        <w:spacing w:before="140" w:line="259" w:lineRule="auto"/>
        <w:ind w:right="397"/>
      </w:pPr>
      <w:r>
        <w:t>Both sources express the benefits of debt advice at population level. Unit costs and benefits per advised debtor have been identified by dividing the population-level benefit by</w:t>
      </w:r>
      <w:r>
        <w:rPr>
          <w:spacing w:val="-18"/>
        </w:rPr>
        <w:t xml:space="preserve"> </w:t>
      </w:r>
      <w:r>
        <w:t>the</w:t>
      </w:r>
    </w:p>
    <w:p w14:paraId="20880924" w14:textId="77777777" w:rsidR="00A663F1" w:rsidRDefault="00A663F1">
      <w:pPr>
        <w:pStyle w:val="BodyText"/>
        <w:spacing w:before="0"/>
        <w:ind w:left="0" w:firstLine="0"/>
        <w:rPr>
          <w:sz w:val="20"/>
        </w:rPr>
      </w:pPr>
    </w:p>
    <w:p w14:paraId="1DD37F46" w14:textId="77777777" w:rsidR="00A663F1" w:rsidRDefault="00A663F1">
      <w:pPr>
        <w:pStyle w:val="BodyText"/>
        <w:spacing w:before="0"/>
        <w:ind w:left="0" w:firstLine="0"/>
        <w:rPr>
          <w:sz w:val="20"/>
        </w:rPr>
      </w:pPr>
    </w:p>
    <w:p w14:paraId="55C6680F" w14:textId="799FF5AA" w:rsidR="00A663F1" w:rsidRDefault="00E46EDB">
      <w:pPr>
        <w:pStyle w:val="BodyText"/>
        <w:spacing w:before="6"/>
        <w:ind w:left="0" w:firstLine="0"/>
        <w:rPr>
          <w:sz w:val="25"/>
        </w:rPr>
      </w:pPr>
      <w:r>
        <w:rPr>
          <w:noProof/>
        </w:rPr>
        <mc:AlternateContent>
          <mc:Choice Requires="wps">
            <w:drawing>
              <wp:anchor distT="0" distB="0" distL="0" distR="0" simplePos="0" relativeHeight="487592448" behindDoc="1" locked="0" layoutInCell="1" allowOverlap="1" wp14:anchorId="6CDDD15A" wp14:editId="428168D8">
                <wp:simplePos x="0" y="0"/>
                <wp:positionH relativeFrom="page">
                  <wp:posOffset>541020</wp:posOffset>
                </wp:positionH>
                <wp:positionV relativeFrom="paragraph">
                  <wp:posOffset>211455</wp:posOffset>
                </wp:positionV>
                <wp:extent cx="1829435" cy="7620"/>
                <wp:effectExtent l="0" t="0" r="0" b="0"/>
                <wp:wrapTopAndBottom/>
                <wp:docPr id="20"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943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204B2D" id="Rectangle 15" o:spid="_x0000_s1026" style="position:absolute;margin-left:42.6pt;margin-top:16.65pt;width:144.05pt;height:.6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" fillcolor="black" stroked="f">
                <w10:wrap type="topAndBottom" anchorx="page"/>
              </v:rect>
            </w:pict>
          </mc:Fallback>
        </mc:AlternateContent>
      </w:r>
    </w:p>
    <w:p w14:paraId="3792FA2A" w14:textId="77777777" w:rsidR="00A663F1" w:rsidRDefault="00A663F1">
      <w:pPr>
        <w:pStyle w:val="BodyText"/>
        <w:spacing w:before="7"/>
        <w:ind w:left="0" w:firstLine="0"/>
        <w:rPr>
          <w:sz w:val="21"/>
        </w:rPr>
      </w:pPr>
    </w:p>
    <w:p w14:paraId="1C93FA9F" w14:textId="77777777" w:rsidR="00A663F1" w:rsidRDefault="00E46EDB">
      <w:pPr>
        <w:pStyle w:val="ListParagraph"/>
        <w:numPr>
          <w:ilvl w:val="0"/>
          <w:numId w:val="5"/>
        </w:numPr>
        <w:tabs>
          <w:tab w:val="left" w:pos="452"/>
        </w:tabs>
        <w:spacing w:before="94" w:line="256" w:lineRule="auto"/>
        <w:ind w:right="1408" w:firstLine="0"/>
        <w:rPr>
          <w:sz w:val="16"/>
        </w:rPr>
      </w:pPr>
      <w:r>
        <w:rPr>
          <w:sz w:val="16"/>
        </w:rPr>
        <w:t xml:space="preserve">Europe Economics (2018) </w:t>
      </w:r>
      <w:r>
        <w:rPr>
          <w:i/>
          <w:sz w:val="16"/>
        </w:rPr>
        <w:t xml:space="preserve">The Economic Impact of Debt Advice A Report for the Money Advice Service </w:t>
      </w:r>
      <w:r>
        <w:rPr>
          <w:sz w:val="16"/>
          <w:u w:val="single"/>
        </w:rPr>
        <w:t xml:space="preserve">Available at: </w:t>
      </w:r>
      <w:r>
        <w:rPr>
          <w:spacing w:val="-1"/>
          <w:sz w:val="16"/>
          <w:u w:val="single"/>
        </w:rPr>
        <w:t>https://masassets.blob.core.windows.net/cms/files/000/000/898/original/Economic_Impact_of_Debt_Advice_-_main_report.pdf</w:t>
      </w:r>
    </w:p>
    <w:p w14:paraId="740265AC" w14:textId="77777777" w:rsidR="00A663F1" w:rsidRDefault="00E46EDB">
      <w:pPr>
        <w:pStyle w:val="ListParagraph"/>
        <w:numPr>
          <w:ilvl w:val="0"/>
          <w:numId w:val="5"/>
        </w:numPr>
        <w:tabs>
          <w:tab w:val="left" w:pos="452"/>
        </w:tabs>
        <w:spacing w:before="37" w:line="196" w:lineRule="exact"/>
        <w:ind w:right="799" w:firstLine="0"/>
        <w:rPr>
          <w:sz w:val="16"/>
        </w:rPr>
      </w:pPr>
      <w:r>
        <w:rPr>
          <w:sz w:val="16"/>
        </w:rPr>
        <w:t>Clifford, Ward, Coram, &amp; Ross (2014) StepChange Debt Charity: Social Impact Evaluation of certain projects using Social Return on Investment Available at:</w:t>
      </w:r>
      <w:r>
        <w:rPr>
          <w:spacing w:val="-5"/>
          <w:sz w:val="16"/>
        </w:rPr>
        <w:t xml:space="preserve"> </w:t>
      </w:r>
      <w:hyperlink r:id="rId35">
        <w:r>
          <w:rPr>
            <w:sz w:val="16"/>
            <w:u w:val="single"/>
          </w:rPr>
          <w:t>https://www.stepchange.org/Portals/0/documents/media/reports/Transforming_lives.pdf</w:t>
        </w:r>
      </w:hyperlink>
    </w:p>
    <w:p w14:paraId="1B03755E" w14:textId="77777777" w:rsidR="00A663F1" w:rsidRDefault="00A663F1">
      <w:pPr>
        <w:spacing w:line="196" w:lineRule="exact"/>
        <w:rPr>
          <w:sz w:val="16"/>
        </w:rPr>
        <w:sectPr w:rsidR="00A663F1">
          <w:pgSz w:w="11910" w:h="16850"/>
          <w:pgMar w:top="600" w:right="720" w:bottom="960" w:left="600" w:header="0" w:footer="761" w:gutter="0"/>
          <w:cols w:space="720"/>
        </w:sectPr>
      </w:pPr>
    </w:p>
    <w:p w14:paraId="6EBA509E" w14:textId="77777777" w:rsidR="00A663F1" w:rsidRDefault="00E46EDB">
      <w:pPr>
        <w:pStyle w:val="BodyText"/>
        <w:spacing w:before="81" w:line="259" w:lineRule="auto"/>
        <w:ind w:right="194" w:firstLine="0"/>
      </w:pPr>
      <w:r>
        <w:lastRenderedPageBreak/>
        <w:t>relevant underlying population. These benefits have been uprated by CPI from the year in which they were identified to the impact assessment base year, 2021-22.</w:t>
      </w:r>
    </w:p>
    <w:p w14:paraId="7CB3A373" w14:textId="77777777" w:rsidR="00A663F1" w:rsidRDefault="00E46EDB">
      <w:pPr>
        <w:pStyle w:val="ListParagraph"/>
        <w:numPr>
          <w:ilvl w:val="1"/>
          <w:numId w:val="9"/>
        </w:numPr>
        <w:tabs>
          <w:tab w:val="left" w:pos="1692"/>
          <w:tab w:val="left" w:pos="1693"/>
        </w:tabs>
        <w:spacing w:line="259" w:lineRule="auto"/>
        <w:ind w:right="182"/>
      </w:pPr>
      <w:r>
        <w:t>These benefits then need to be applied to the Breathing Space caseload. There are three cohorts within the Breathing Space caseload forecast. These are: debtors who receive advice in the counterfactual, who will engage more effectively with advice under Breathing Space; debtors who take-up advice under Breathing Space that they would not have taken up in the counterfactual, and people who enter Breathing Space via the Mental Health Alternative Access Mechanism, who would not have received advice in the counterfactual. These caseloads are summarised in table 3 below. Year 1 is 2021-22 and year 10 is</w:t>
      </w:r>
      <w:r>
        <w:rPr>
          <w:spacing w:val="-7"/>
        </w:rPr>
        <w:t xml:space="preserve"> </w:t>
      </w:r>
      <w:r>
        <w:t>2030-31.</w:t>
      </w:r>
    </w:p>
    <w:p w14:paraId="12925BE8" w14:textId="77777777" w:rsidR="00A663F1" w:rsidRDefault="00A663F1">
      <w:pPr>
        <w:pStyle w:val="BodyText"/>
        <w:spacing w:before="1"/>
        <w:ind w:left="0" w:firstLine="0"/>
        <w:rPr>
          <w:sz w:val="10"/>
        </w:rPr>
      </w:pPr>
    </w:p>
    <w:tbl>
      <w:tblPr>
        <w:tblW w:w="0" w:type="auto"/>
        <w:tblInd w:w="2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53"/>
        <w:gridCol w:w="550"/>
        <w:gridCol w:w="550"/>
        <w:gridCol w:w="550"/>
        <w:gridCol w:w="550"/>
        <w:gridCol w:w="553"/>
        <w:gridCol w:w="550"/>
        <w:gridCol w:w="660"/>
        <w:gridCol w:w="662"/>
        <w:gridCol w:w="660"/>
        <w:gridCol w:w="717"/>
      </w:tblGrid>
      <w:tr w:rsidR="00A663F1" w14:paraId="77825194" w14:textId="77777777">
        <w:trPr>
          <w:trHeight w:val="350"/>
        </w:trPr>
        <w:tc>
          <w:tcPr>
            <w:tcW w:w="4153" w:type="dxa"/>
          </w:tcPr>
          <w:p w14:paraId="13DC80C4" w14:textId="77777777" w:rsidR="00A663F1" w:rsidRDefault="00A663F1">
            <w:pPr>
              <w:pStyle w:val="TableParagraph"/>
              <w:spacing w:line="240" w:lineRule="auto"/>
              <w:rPr>
                <w:rFonts w:ascii="Times New Roman"/>
                <w:sz w:val="20"/>
              </w:rPr>
            </w:pPr>
          </w:p>
        </w:tc>
        <w:tc>
          <w:tcPr>
            <w:tcW w:w="550" w:type="dxa"/>
          </w:tcPr>
          <w:p w14:paraId="0D449C7F" w14:textId="77777777" w:rsidR="00A663F1" w:rsidRDefault="00E46EDB">
            <w:pPr>
              <w:pStyle w:val="TableParagraph"/>
              <w:ind w:left="105"/>
              <w:rPr>
                <w:b/>
                <w:sz w:val="20"/>
              </w:rPr>
            </w:pPr>
            <w:r>
              <w:rPr>
                <w:b/>
                <w:w w:val="99"/>
                <w:sz w:val="20"/>
              </w:rPr>
              <w:t>1</w:t>
            </w:r>
          </w:p>
        </w:tc>
        <w:tc>
          <w:tcPr>
            <w:tcW w:w="550" w:type="dxa"/>
          </w:tcPr>
          <w:p w14:paraId="1C347DF2" w14:textId="77777777" w:rsidR="00A663F1" w:rsidRDefault="00E46EDB">
            <w:pPr>
              <w:pStyle w:val="TableParagraph"/>
              <w:ind w:left="107"/>
              <w:rPr>
                <w:b/>
                <w:sz w:val="20"/>
              </w:rPr>
            </w:pPr>
            <w:r>
              <w:rPr>
                <w:b/>
                <w:w w:val="99"/>
                <w:sz w:val="20"/>
              </w:rPr>
              <w:t>2</w:t>
            </w:r>
          </w:p>
        </w:tc>
        <w:tc>
          <w:tcPr>
            <w:tcW w:w="550" w:type="dxa"/>
          </w:tcPr>
          <w:p w14:paraId="24D05D2B" w14:textId="77777777" w:rsidR="00A663F1" w:rsidRDefault="00E46EDB">
            <w:pPr>
              <w:pStyle w:val="TableParagraph"/>
              <w:ind w:left="107"/>
              <w:rPr>
                <w:b/>
                <w:sz w:val="20"/>
              </w:rPr>
            </w:pPr>
            <w:r>
              <w:rPr>
                <w:b/>
                <w:w w:val="99"/>
                <w:sz w:val="20"/>
              </w:rPr>
              <w:t>3</w:t>
            </w:r>
          </w:p>
        </w:tc>
        <w:tc>
          <w:tcPr>
            <w:tcW w:w="550" w:type="dxa"/>
          </w:tcPr>
          <w:p w14:paraId="6893138F" w14:textId="77777777" w:rsidR="00A663F1" w:rsidRDefault="00E46EDB">
            <w:pPr>
              <w:pStyle w:val="TableParagraph"/>
              <w:ind w:right="213"/>
              <w:jc w:val="center"/>
              <w:rPr>
                <w:b/>
                <w:sz w:val="20"/>
              </w:rPr>
            </w:pPr>
            <w:r>
              <w:rPr>
                <w:b/>
                <w:w w:val="99"/>
                <w:sz w:val="20"/>
              </w:rPr>
              <w:t>4</w:t>
            </w:r>
          </w:p>
        </w:tc>
        <w:tc>
          <w:tcPr>
            <w:tcW w:w="553" w:type="dxa"/>
          </w:tcPr>
          <w:p w14:paraId="6D624617" w14:textId="77777777" w:rsidR="00A663F1" w:rsidRDefault="00E46EDB">
            <w:pPr>
              <w:pStyle w:val="TableParagraph"/>
              <w:ind w:left="106"/>
              <w:rPr>
                <w:b/>
                <w:sz w:val="20"/>
              </w:rPr>
            </w:pPr>
            <w:r>
              <w:rPr>
                <w:b/>
                <w:w w:val="99"/>
                <w:sz w:val="20"/>
              </w:rPr>
              <w:t>5</w:t>
            </w:r>
          </w:p>
        </w:tc>
        <w:tc>
          <w:tcPr>
            <w:tcW w:w="550" w:type="dxa"/>
          </w:tcPr>
          <w:p w14:paraId="6E27C4D5" w14:textId="77777777" w:rsidR="00A663F1" w:rsidRDefault="00E46EDB">
            <w:pPr>
              <w:pStyle w:val="TableParagraph"/>
              <w:ind w:left="103"/>
              <w:rPr>
                <w:b/>
                <w:sz w:val="20"/>
              </w:rPr>
            </w:pPr>
            <w:r>
              <w:rPr>
                <w:b/>
                <w:w w:val="99"/>
                <w:sz w:val="20"/>
              </w:rPr>
              <w:t>6</w:t>
            </w:r>
          </w:p>
        </w:tc>
        <w:tc>
          <w:tcPr>
            <w:tcW w:w="660" w:type="dxa"/>
          </w:tcPr>
          <w:p w14:paraId="06B70F8D" w14:textId="77777777" w:rsidR="00A663F1" w:rsidRDefault="00E46EDB">
            <w:pPr>
              <w:pStyle w:val="TableParagraph"/>
              <w:ind w:left="103"/>
              <w:rPr>
                <w:b/>
                <w:sz w:val="20"/>
              </w:rPr>
            </w:pPr>
            <w:r>
              <w:rPr>
                <w:b/>
                <w:w w:val="99"/>
                <w:sz w:val="20"/>
              </w:rPr>
              <w:t>7</w:t>
            </w:r>
          </w:p>
        </w:tc>
        <w:tc>
          <w:tcPr>
            <w:tcW w:w="662" w:type="dxa"/>
          </w:tcPr>
          <w:p w14:paraId="37DC448D" w14:textId="77777777" w:rsidR="00A663F1" w:rsidRDefault="00E46EDB">
            <w:pPr>
              <w:pStyle w:val="TableParagraph"/>
              <w:ind w:left="105"/>
              <w:rPr>
                <w:b/>
                <w:sz w:val="20"/>
              </w:rPr>
            </w:pPr>
            <w:r>
              <w:rPr>
                <w:b/>
                <w:w w:val="99"/>
                <w:sz w:val="20"/>
              </w:rPr>
              <w:t>8</w:t>
            </w:r>
          </w:p>
        </w:tc>
        <w:tc>
          <w:tcPr>
            <w:tcW w:w="660" w:type="dxa"/>
          </w:tcPr>
          <w:p w14:paraId="183EB522" w14:textId="77777777" w:rsidR="00A663F1" w:rsidRDefault="00E46EDB">
            <w:pPr>
              <w:pStyle w:val="TableParagraph"/>
              <w:ind w:left="103"/>
              <w:rPr>
                <w:b/>
                <w:sz w:val="20"/>
              </w:rPr>
            </w:pPr>
            <w:r>
              <w:rPr>
                <w:b/>
                <w:w w:val="99"/>
                <w:sz w:val="20"/>
              </w:rPr>
              <w:t>9</w:t>
            </w:r>
          </w:p>
        </w:tc>
        <w:tc>
          <w:tcPr>
            <w:tcW w:w="717" w:type="dxa"/>
          </w:tcPr>
          <w:p w14:paraId="38B7A002" w14:textId="77777777" w:rsidR="00A663F1" w:rsidRDefault="00E46EDB">
            <w:pPr>
              <w:pStyle w:val="TableParagraph"/>
              <w:ind w:left="106"/>
              <w:rPr>
                <w:b/>
                <w:sz w:val="20"/>
              </w:rPr>
            </w:pPr>
            <w:r>
              <w:rPr>
                <w:b/>
                <w:sz w:val="20"/>
              </w:rPr>
              <w:t>10</w:t>
            </w:r>
          </w:p>
        </w:tc>
      </w:tr>
      <w:tr w:rsidR="00A663F1" w14:paraId="31C2D815" w14:textId="77777777">
        <w:trPr>
          <w:trHeight w:val="349"/>
        </w:trPr>
        <w:tc>
          <w:tcPr>
            <w:tcW w:w="4153" w:type="dxa"/>
          </w:tcPr>
          <w:p w14:paraId="5D808756" w14:textId="77777777" w:rsidR="00A663F1" w:rsidRDefault="00E46EDB">
            <w:pPr>
              <w:pStyle w:val="TableParagraph"/>
              <w:ind w:left="107"/>
              <w:rPr>
                <w:b/>
                <w:sz w:val="20"/>
              </w:rPr>
            </w:pPr>
            <w:r>
              <w:rPr>
                <w:b/>
                <w:sz w:val="20"/>
              </w:rPr>
              <w:t>Receive debt advice in the counterfactual</w:t>
            </w:r>
          </w:p>
        </w:tc>
        <w:tc>
          <w:tcPr>
            <w:tcW w:w="550" w:type="dxa"/>
          </w:tcPr>
          <w:p w14:paraId="26D4CFBA" w14:textId="77777777" w:rsidR="00A663F1" w:rsidRDefault="00E46EDB">
            <w:pPr>
              <w:pStyle w:val="TableParagraph"/>
              <w:ind w:left="105"/>
              <w:rPr>
                <w:sz w:val="20"/>
              </w:rPr>
            </w:pPr>
            <w:r>
              <w:rPr>
                <w:sz w:val="20"/>
              </w:rPr>
              <w:t>639</w:t>
            </w:r>
          </w:p>
        </w:tc>
        <w:tc>
          <w:tcPr>
            <w:tcW w:w="550" w:type="dxa"/>
          </w:tcPr>
          <w:p w14:paraId="4D31D21C" w14:textId="77777777" w:rsidR="00A663F1" w:rsidRDefault="00E46EDB">
            <w:pPr>
              <w:pStyle w:val="TableParagraph"/>
              <w:ind w:left="107"/>
              <w:rPr>
                <w:sz w:val="20"/>
              </w:rPr>
            </w:pPr>
            <w:r>
              <w:rPr>
                <w:sz w:val="20"/>
              </w:rPr>
              <w:t>673</w:t>
            </w:r>
          </w:p>
        </w:tc>
        <w:tc>
          <w:tcPr>
            <w:tcW w:w="550" w:type="dxa"/>
          </w:tcPr>
          <w:p w14:paraId="0B565737" w14:textId="77777777" w:rsidR="00A663F1" w:rsidRDefault="00E46EDB">
            <w:pPr>
              <w:pStyle w:val="TableParagraph"/>
              <w:ind w:left="107"/>
              <w:rPr>
                <w:sz w:val="20"/>
              </w:rPr>
            </w:pPr>
            <w:r>
              <w:rPr>
                <w:sz w:val="20"/>
              </w:rPr>
              <w:t>710</w:t>
            </w:r>
          </w:p>
        </w:tc>
        <w:tc>
          <w:tcPr>
            <w:tcW w:w="550" w:type="dxa"/>
          </w:tcPr>
          <w:p w14:paraId="0A5C80B2" w14:textId="77777777" w:rsidR="00A663F1" w:rsidRDefault="00E46EDB">
            <w:pPr>
              <w:pStyle w:val="TableParagraph"/>
              <w:ind w:left="85" w:right="80"/>
              <w:jc w:val="center"/>
              <w:rPr>
                <w:sz w:val="20"/>
              </w:rPr>
            </w:pPr>
            <w:r>
              <w:rPr>
                <w:sz w:val="20"/>
              </w:rPr>
              <w:t>748</w:t>
            </w:r>
          </w:p>
        </w:tc>
        <w:tc>
          <w:tcPr>
            <w:tcW w:w="553" w:type="dxa"/>
          </w:tcPr>
          <w:p w14:paraId="19C1EA7C" w14:textId="77777777" w:rsidR="00A663F1" w:rsidRDefault="00E46EDB">
            <w:pPr>
              <w:pStyle w:val="TableParagraph"/>
              <w:ind w:left="106"/>
              <w:rPr>
                <w:sz w:val="20"/>
              </w:rPr>
            </w:pPr>
            <w:r>
              <w:rPr>
                <w:sz w:val="20"/>
              </w:rPr>
              <w:t>788</w:t>
            </w:r>
          </w:p>
        </w:tc>
        <w:tc>
          <w:tcPr>
            <w:tcW w:w="550" w:type="dxa"/>
          </w:tcPr>
          <w:p w14:paraId="3F4D44E7" w14:textId="77777777" w:rsidR="00A663F1" w:rsidRDefault="00E46EDB">
            <w:pPr>
              <w:pStyle w:val="TableParagraph"/>
              <w:ind w:left="103"/>
              <w:rPr>
                <w:sz w:val="20"/>
              </w:rPr>
            </w:pPr>
            <w:r>
              <w:rPr>
                <w:sz w:val="20"/>
              </w:rPr>
              <w:t>831</w:t>
            </w:r>
          </w:p>
        </w:tc>
        <w:tc>
          <w:tcPr>
            <w:tcW w:w="660" w:type="dxa"/>
          </w:tcPr>
          <w:p w14:paraId="1259320E" w14:textId="77777777" w:rsidR="00A663F1" w:rsidRDefault="00E46EDB">
            <w:pPr>
              <w:pStyle w:val="TableParagraph"/>
              <w:ind w:left="103"/>
              <w:rPr>
                <w:sz w:val="20"/>
              </w:rPr>
            </w:pPr>
            <w:r>
              <w:rPr>
                <w:sz w:val="20"/>
              </w:rPr>
              <w:t>876</w:t>
            </w:r>
          </w:p>
        </w:tc>
        <w:tc>
          <w:tcPr>
            <w:tcW w:w="662" w:type="dxa"/>
          </w:tcPr>
          <w:p w14:paraId="02E1F84A" w14:textId="77777777" w:rsidR="00A663F1" w:rsidRDefault="00E46EDB">
            <w:pPr>
              <w:pStyle w:val="TableParagraph"/>
              <w:ind w:left="105"/>
              <w:rPr>
                <w:sz w:val="20"/>
              </w:rPr>
            </w:pPr>
            <w:r>
              <w:rPr>
                <w:sz w:val="20"/>
              </w:rPr>
              <w:t>923</w:t>
            </w:r>
          </w:p>
        </w:tc>
        <w:tc>
          <w:tcPr>
            <w:tcW w:w="660" w:type="dxa"/>
          </w:tcPr>
          <w:p w14:paraId="31FEE103" w14:textId="77777777" w:rsidR="00A663F1" w:rsidRDefault="00E46EDB">
            <w:pPr>
              <w:pStyle w:val="TableParagraph"/>
              <w:ind w:left="103"/>
              <w:rPr>
                <w:sz w:val="20"/>
              </w:rPr>
            </w:pPr>
            <w:r>
              <w:rPr>
                <w:sz w:val="20"/>
              </w:rPr>
              <w:t>973</w:t>
            </w:r>
          </w:p>
        </w:tc>
        <w:tc>
          <w:tcPr>
            <w:tcW w:w="717" w:type="dxa"/>
          </w:tcPr>
          <w:p w14:paraId="1A0AF76D" w14:textId="77777777" w:rsidR="00A663F1" w:rsidRDefault="00E46EDB">
            <w:pPr>
              <w:pStyle w:val="TableParagraph"/>
              <w:ind w:left="106"/>
              <w:rPr>
                <w:sz w:val="20"/>
              </w:rPr>
            </w:pPr>
            <w:r>
              <w:rPr>
                <w:sz w:val="20"/>
              </w:rPr>
              <w:t>1,026</w:t>
            </w:r>
          </w:p>
        </w:tc>
      </w:tr>
      <w:tr w:rsidR="00A663F1" w14:paraId="276B2777" w14:textId="77777777">
        <w:trPr>
          <w:trHeight w:val="350"/>
        </w:trPr>
        <w:tc>
          <w:tcPr>
            <w:tcW w:w="4153" w:type="dxa"/>
          </w:tcPr>
          <w:p w14:paraId="1AE85C0C" w14:textId="77777777" w:rsidR="00A663F1" w:rsidRDefault="00E46EDB">
            <w:pPr>
              <w:pStyle w:val="TableParagraph"/>
              <w:ind w:left="107"/>
              <w:rPr>
                <w:b/>
                <w:sz w:val="20"/>
              </w:rPr>
            </w:pPr>
            <w:r>
              <w:rPr>
                <w:b/>
                <w:sz w:val="20"/>
              </w:rPr>
              <w:t>New debt advice</w:t>
            </w:r>
          </w:p>
        </w:tc>
        <w:tc>
          <w:tcPr>
            <w:tcW w:w="550" w:type="dxa"/>
          </w:tcPr>
          <w:p w14:paraId="5F1FF799" w14:textId="77777777" w:rsidR="00A663F1" w:rsidRDefault="00E46EDB">
            <w:pPr>
              <w:pStyle w:val="TableParagraph"/>
              <w:ind w:left="105"/>
              <w:rPr>
                <w:sz w:val="20"/>
              </w:rPr>
            </w:pPr>
            <w:r>
              <w:rPr>
                <w:sz w:val="20"/>
              </w:rPr>
              <w:t>42</w:t>
            </w:r>
          </w:p>
        </w:tc>
        <w:tc>
          <w:tcPr>
            <w:tcW w:w="550" w:type="dxa"/>
          </w:tcPr>
          <w:p w14:paraId="686A8E1C" w14:textId="77777777" w:rsidR="00A663F1" w:rsidRDefault="00E46EDB">
            <w:pPr>
              <w:pStyle w:val="TableParagraph"/>
              <w:ind w:left="107"/>
              <w:rPr>
                <w:sz w:val="20"/>
              </w:rPr>
            </w:pPr>
            <w:r>
              <w:rPr>
                <w:sz w:val="20"/>
              </w:rPr>
              <w:t>89</w:t>
            </w:r>
          </w:p>
        </w:tc>
        <w:tc>
          <w:tcPr>
            <w:tcW w:w="550" w:type="dxa"/>
          </w:tcPr>
          <w:p w14:paraId="5ADAA6BB" w14:textId="77777777" w:rsidR="00A663F1" w:rsidRDefault="00E46EDB">
            <w:pPr>
              <w:pStyle w:val="TableParagraph"/>
              <w:ind w:left="107"/>
              <w:rPr>
                <w:sz w:val="20"/>
              </w:rPr>
            </w:pPr>
            <w:r>
              <w:rPr>
                <w:sz w:val="20"/>
              </w:rPr>
              <w:t>94</w:t>
            </w:r>
          </w:p>
        </w:tc>
        <w:tc>
          <w:tcPr>
            <w:tcW w:w="550" w:type="dxa"/>
          </w:tcPr>
          <w:p w14:paraId="113B369E" w14:textId="77777777" w:rsidR="00A663F1" w:rsidRDefault="00E46EDB">
            <w:pPr>
              <w:pStyle w:val="TableParagraph"/>
              <w:ind w:left="85" w:right="188"/>
              <w:jc w:val="center"/>
              <w:rPr>
                <w:sz w:val="20"/>
              </w:rPr>
            </w:pPr>
            <w:r>
              <w:rPr>
                <w:sz w:val="20"/>
              </w:rPr>
              <w:t>99</w:t>
            </w:r>
          </w:p>
        </w:tc>
        <w:tc>
          <w:tcPr>
            <w:tcW w:w="553" w:type="dxa"/>
          </w:tcPr>
          <w:p w14:paraId="27AB0758" w14:textId="77777777" w:rsidR="00A663F1" w:rsidRDefault="00E46EDB">
            <w:pPr>
              <w:pStyle w:val="TableParagraph"/>
              <w:ind w:left="106"/>
              <w:rPr>
                <w:sz w:val="20"/>
              </w:rPr>
            </w:pPr>
            <w:r>
              <w:rPr>
                <w:sz w:val="20"/>
              </w:rPr>
              <w:t>105</w:t>
            </w:r>
          </w:p>
        </w:tc>
        <w:tc>
          <w:tcPr>
            <w:tcW w:w="550" w:type="dxa"/>
          </w:tcPr>
          <w:p w14:paraId="67457A6E" w14:textId="77777777" w:rsidR="00A663F1" w:rsidRDefault="00E46EDB">
            <w:pPr>
              <w:pStyle w:val="TableParagraph"/>
              <w:ind w:left="103"/>
              <w:rPr>
                <w:sz w:val="20"/>
              </w:rPr>
            </w:pPr>
            <w:r>
              <w:rPr>
                <w:sz w:val="20"/>
              </w:rPr>
              <w:t>110</w:t>
            </w:r>
          </w:p>
        </w:tc>
        <w:tc>
          <w:tcPr>
            <w:tcW w:w="660" w:type="dxa"/>
          </w:tcPr>
          <w:p w14:paraId="6F76C864" w14:textId="77777777" w:rsidR="00A663F1" w:rsidRDefault="00E46EDB">
            <w:pPr>
              <w:pStyle w:val="TableParagraph"/>
              <w:ind w:left="103"/>
              <w:rPr>
                <w:sz w:val="20"/>
              </w:rPr>
            </w:pPr>
            <w:r>
              <w:rPr>
                <w:sz w:val="20"/>
              </w:rPr>
              <w:t>116</w:t>
            </w:r>
          </w:p>
        </w:tc>
        <w:tc>
          <w:tcPr>
            <w:tcW w:w="662" w:type="dxa"/>
          </w:tcPr>
          <w:p w14:paraId="3AF29CE3" w14:textId="77777777" w:rsidR="00A663F1" w:rsidRDefault="00E46EDB">
            <w:pPr>
              <w:pStyle w:val="TableParagraph"/>
              <w:ind w:left="105"/>
              <w:rPr>
                <w:sz w:val="20"/>
              </w:rPr>
            </w:pPr>
            <w:r>
              <w:rPr>
                <w:sz w:val="20"/>
              </w:rPr>
              <w:t>122</w:t>
            </w:r>
          </w:p>
        </w:tc>
        <w:tc>
          <w:tcPr>
            <w:tcW w:w="660" w:type="dxa"/>
          </w:tcPr>
          <w:p w14:paraId="08799459" w14:textId="77777777" w:rsidR="00A663F1" w:rsidRDefault="00E46EDB">
            <w:pPr>
              <w:pStyle w:val="TableParagraph"/>
              <w:ind w:left="103"/>
              <w:rPr>
                <w:sz w:val="20"/>
              </w:rPr>
            </w:pPr>
            <w:r>
              <w:rPr>
                <w:sz w:val="20"/>
              </w:rPr>
              <w:t>129</w:t>
            </w:r>
          </w:p>
        </w:tc>
        <w:tc>
          <w:tcPr>
            <w:tcW w:w="717" w:type="dxa"/>
          </w:tcPr>
          <w:p w14:paraId="3B3CD2AE" w14:textId="77777777" w:rsidR="00A663F1" w:rsidRDefault="00E46EDB">
            <w:pPr>
              <w:pStyle w:val="TableParagraph"/>
              <w:ind w:left="106"/>
              <w:rPr>
                <w:sz w:val="20"/>
              </w:rPr>
            </w:pPr>
            <w:r>
              <w:rPr>
                <w:sz w:val="20"/>
              </w:rPr>
              <w:t>136</w:t>
            </w:r>
          </w:p>
        </w:tc>
      </w:tr>
      <w:tr w:rsidR="00A663F1" w14:paraId="6F7A44A0" w14:textId="77777777">
        <w:trPr>
          <w:trHeight w:val="350"/>
        </w:trPr>
        <w:tc>
          <w:tcPr>
            <w:tcW w:w="4153" w:type="dxa"/>
          </w:tcPr>
          <w:p w14:paraId="54D5DA4B" w14:textId="77777777" w:rsidR="00A663F1" w:rsidRDefault="00E46EDB">
            <w:pPr>
              <w:pStyle w:val="TableParagraph"/>
              <w:ind w:left="107"/>
              <w:rPr>
                <w:b/>
                <w:sz w:val="20"/>
              </w:rPr>
            </w:pPr>
            <w:r>
              <w:rPr>
                <w:b/>
                <w:sz w:val="20"/>
              </w:rPr>
              <w:t>Mental Health Access Mechanism</w:t>
            </w:r>
          </w:p>
        </w:tc>
        <w:tc>
          <w:tcPr>
            <w:tcW w:w="550" w:type="dxa"/>
          </w:tcPr>
          <w:p w14:paraId="2B2455D3" w14:textId="77777777" w:rsidR="00A663F1" w:rsidRDefault="00E46EDB">
            <w:pPr>
              <w:pStyle w:val="TableParagraph"/>
              <w:ind w:left="105"/>
              <w:rPr>
                <w:sz w:val="20"/>
              </w:rPr>
            </w:pPr>
            <w:r>
              <w:rPr>
                <w:sz w:val="20"/>
              </w:rPr>
              <w:t>27</w:t>
            </w:r>
          </w:p>
        </w:tc>
        <w:tc>
          <w:tcPr>
            <w:tcW w:w="550" w:type="dxa"/>
          </w:tcPr>
          <w:p w14:paraId="2BFD4CAE" w14:textId="77777777" w:rsidR="00A663F1" w:rsidRDefault="00E46EDB">
            <w:pPr>
              <w:pStyle w:val="TableParagraph"/>
              <w:ind w:left="107"/>
              <w:rPr>
                <w:sz w:val="20"/>
              </w:rPr>
            </w:pPr>
            <w:r>
              <w:rPr>
                <w:sz w:val="20"/>
              </w:rPr>
              <w:t>30</w:t>
            </w:r>
          </w:p>
        </w:tc>
        <w:tc>
          <w:tcPr>
            <w:tcW w:w="550" w:type="dxa"/>
          </w:tcPr>
          <w:p w14:paraId="2F737E90" w14:textId="77777777" w:rsidR="00A663F1" w:rsidRDefault="00E46EDB">
            <w:pPr>
              <w:pStyle w:val="TableParagraph"/>
              <w:ind w:left="107"/>
              <w:rPr>
                <w:sz w:val="20"/>
              </w:rPr>
            </w:pPr>
            <w:r>
              <w:rPr>
                <w:sz w:val="20"/>
              </w:rPr>
              <w:t>33</w:t>
            </w:r>
          </w:p>
        </w:tc>
        <w:tc>
          <w:tcPr>
            <w:tcW w:w="550" w:type="dxa"/>
          </w:tcPr>
          <w:p w14:paraId="7CCB1B7F" w14:textId="77777777" w:rsidR="00A663F1" w:rsidRDefault="00E46EDB">
            <w:pPr>
              <w:pStyle w:val="TableParagraph"/>
              <w:ind w:left="85" w:right="188"/>
              <w:jc w:val="center"/>
              <w:rPr>
                <w:sz w:val="20"/>
              </w:rPr>
            </w:pPr>
            <w:r>
              <w:rPr>
                <w:sz w:val="20"/>
              </w:rPr>
              <w:t>36</w:t>
            </w:r>
          </w:p>
        </w:tc>
        <w:tc>
          <w:tcPr>
            <w:tcW w:w="553" w:type="dxa"/>
          </w:tcPr>
          <w:p w14:paraId="16EAD864" w14:textId="77777777" w:rsidR="00A663F1" w:rsidRDefault="00E46EDB">
            <w:pPr>
              <w:pStyle w:val="TableParagraph"/>
              <w:ind w:left="106"/>
              <w:rPr>
                <w:sz w:val="20"/>
              </w:rPr>
            </w:pPr>
            <w:r>
              <w:rPr>
                <w:sz w:val="20"/>
              </w:rPr>
              <w:t>39</w:t>
            </w:r>
          </w:p>
        </w:tc>
        <w:tc>
          <w:tcPr>
            <w:tcW w:w="550" w:type="dxa"/>
          </w:tcPr>
          <w:p w14:paraId="4A7C348B" w14:textId="77777777" w:rsidR="00A663F1" w:rsidRDefault="00E46EDB">
            <w:pPr>
              <w:pStyle w:val="TableParagraph"/>
              <w:ind w:left="103"/>
              <w:rPr>
                <w:sz w:val="20"/>
              </w:rPr>
            </w:pPr>
            <w:r>
              <w:rPr>
                <w:sz w:val="20"/>
              </w:rPr>
              <w:t>42</w:t>
            </w:r>
          </w:p>
        </w:tc>
        <w:tc>
          <w:tcPr>
            <w:tcW w:w="660" w:type="dxa"/>
          </w:tcPr>
          <w:p w14:paraId="19F88586" w14:textId="77777777" w:rsidR="00A663F1" w:rsidRDefault="00E46EDB">
            <w:pPr>
              <w:pStyle w:val="TableParagraph"/>
              <w:ind w:left="103"/>
              <w:rPr>
                <w:sz w:val="20"/>
              </w:rPr>
            </w:pPr>
            <w:r>
              <w:rPr>
                <w:sz w:val="20"/>
              </w:rPr>
              <w:t>45</w:t>
            </w:r>
          </w:p>
        </w:tc>
        <w:tc>
          <w:tcPr>
            <w:tcW w:w="662" w:type="dxa"/>
          </w:tcPr>
          <w:p w14:paraId="6E273507" w14:textId="77777777" w:rsidR="00A663F1" w:rsidRDefault="00E46EDB">
            <w:pPr>
              <w:pStyle w:val="TableParagraph"/>
              <w:ind w:left="105"/>
              <w:rPr>
                <w:sz w:val="20"/>
              </w:rPr>
            </w:pPr>
            <w:r>
              <w:rPr>
                <w:sz w:val="20"/>
              </w:rPr>
              <w:t>48</w:t>
            </w:r>
          </w:p>
        </w:tc>
        <w:tc>
          <w:tcPr>
            <w:tcW w:w="660" w:type="dxa"/>
          </w:tcPr>
          <w:p w14:paraId="712A3517" w14:textId="77777777" w:rsidR="00A663F1" w:rsidRDefault="00E46EDB">
            <w:pPr>
              <w:pStyle w:val="TableParagraph"/>
              <w:ind w:left="103"/>
              <w:rPr>
                <w:sz w:val="20"/>
              </w:rPr>
            </w:pPr>
            <w:r>
              <w:rPr>
                <w:sz w:val="20"/>
              </w:rPr>
              <w:t>51</w:t>
            </w:r>
          </w:p>
        </w:tc>
        <w:tc>
          <w:tcPr>
            <w:tcW w:w="717" w:type="dxa"/>
          </w:tcPr>
          <w:p w14:paraId="7B43B4C1" w14:textId="77777777" w:rsidR="00A663F1" w:rsidRDefault="00E46EDB">
            <w:pPr>
              <w:pStyle w:val="TableParagraph"/>
              <w:ind w:left="106"/>
              <w:rPr>
                <w:sz w:val="20"/>
              </w:rPr>
            </w:pPr>
            <w:r>
              <w:rPr>
                <w:sz w:val="20"/>
              </w:rPr>
              <w:t>54</w:t>
            </w:r>
          </w:p>
        </w:tc>
      </w:tr>
      <w:tr w:rsidR="00A663F1" w14:paraId="0CE5B1C2" w14:textId="77777777">
        <w:trPr>
          <w:trHeight w:val="350"/>
        </w:trPr>
        <w:tc>
          <w:tcPr>
            <w:tcW w:w="4153" w:type="dxa"/>
          </w:tcPr>
          <w:p w14:paraId="40A79959" w14:textId="77777777" w:rsidR="00A663F1" w:rsidRDefault="00E46EDB">
            <w:pPr>
              <w:pStyle w:val="TableParagraph"/>
              <w:ind w:left="107"/>
              <w:rPr>
                <w:b/>
                <w:sz w:val="20"/>
              </w:rPr>
            </w:pPr>
            <w:r>
              <w:rPr>
                <w:b/>
                <w:sz w:val="20"/>
              </w:rPr>
              <w:t>Total</w:t>
            </w:r>
          </w:p>
        </w:tc>
        <w:tc>
          <w:tcPr>
            <w:tcW w:w="550" w:type="dxa"/>
          </w:tcPr>
          <w:p w14:paraId="78B2C278" w14:textId="77777777" w:rsidR="00A663F1" w:rsidRDefault="00E46EDB">
            <w:pPr>
              <w:pStyle w:val="TableParagraph"/>
              <w:ind w:left="105"/>
              <w:rPr>
                <w:sz w:val="20"/>
              </w:rPr>
            </w:pPr>
            <w:r>
              <w:rPr>
                <w:sz w:val="20"/>
              </w:rPr>
              <w:t>708</w:t>
            </w:r>
          </w:p>
        </w:tc>
        <w:tc>
          <w:tcPr>
            <w:tcW w:w="550" w:type="dxa"/>
          </w:tcPr>
          <w:p w14:paraId="7CDB7F4F" w14:textId="77777777" w:rsidR="00A663F1" w:rsidRDefault="00E46EDB">
            <w:pPr>
              <w:pStyle w:val="TableParagraph"/>
              <w:ind w:left="107"/>
              <w:rPr>
                <w:sz w:val="20"/>
              </w:rPr>
            </w:pPr>
            <w:r>
              <w:rPr>
                <w:sz w:val="20"/>
              </w:rPr>
              <w:t>792</w:t>
            </w:r>
          </w:p>
        </w:tc>
        <w:tc>
          <w:tcPr>
            <w:tcW w:w="550" w:type="dxa"/>
          </w:tcPr>
          <w:p w14:paraId="0BAFF483" w14:textId="77777777" w:rsidR="00A663F1" w:rsidRDefault="00E46EDB">
            <w:pPr>
              <w:pStyle w:val="TableParagraph"/>
              <w:ind w:left="107"/>
              <w:rPr>
                <w:sz w:val="20"/>
              </w:rPr>
            </w:pPr>
            <w:r>
              <w:rPr>
                <w:sz w:val="20"/>
              </w:rPr>
              <w:t>837</w:t>
            </w:r>
          </w:p>
        </w:tc>
        <w:tc>
          <w:tcPr>
            <w:tcW w:w="550" w:type="dxa"/>
          </w:tcPr>
          <w:p w14:paraId="7843EDF9" w14:textId="77777777" w:rsidR="00A663F1" w:rsidRDefault="00E46EDB">
            <w:pPr>
              <w:pStyle w:val="TableParagraph"/>
              <w:ind w:left="85" w:right="80"/>
              <w:jc w:val="center"/>
              <w:rPr>
                <w:sz w:val="20"/>
              </w:rPr>
            </w:pPr>
            <w:r>
              <w:rPr>
                <w:sz w:val="20"/>
              </w:rPr>
              <w:t>883</w:t>
            </w:r>
          </w:p>
        </w:tc>
        <w:tc>
          <w:tcPr>
            <w:tcW w:w="553" w:type="dxa"/>
          </w:tcPr>
          <w:p w14:paraId="610D65FC" w14:textId="77777777" w:rsidR="00A663F1" w:rsidRDefault="00E46EDB">
            <w:pPr>
              <w:pStyle w:val="TableParagraph"/>
              <w:ind w:left="106"/>
              <w:rPr>
                <w:sz w:val="20"/>
              </w:rPr>
            </w:pPr>
            <w:r>
              <w:rPr>
                <w:sz w:val="20"/>
              </w:rPr>
              <w:t>932</w:t>
            </w:r>
          </w:p>
        </w:tc>
        <w:tc>
          <w:tcPr>
            <w:tcW w:w="550" w:type="dxa"/>
          </w:tcPr>
          <w:p w14:paraId="5A0E708D" w14:textId="77777777" w:rsidR="00A663F1" w:rsidRDefault="00E46EDB">
            <w:pPr>
              <w:pStyle w:val="TableParagraph"/>
              <w:ind w:left="103"/>
              <w:rPr>
                <w:sz w:val="20"/>
              </w:rPr>
            </w:pPr>
            <w:r>
              <w:rPr>
                <w:sz w:val="20"/>
              </w:rPr>
              <w:t>983</w:t>
            </w:r>
          </w:p>
        </w:tc>
        <w:tc>
          <w:tcPr>
            <w:tcW w:w="660" w:type="dxa"/>
          </w:tcPr>
          <w:p w14:paraId="7700C2A9" w14:textId="77777777" w:rsidR="00A663F1" w:rsidRDefault="00E46EDB">
            <w:pPr>
              <w:pStyle w:val="TableParagraph"/>
              <w:ind w:left="103"/>
              <w:rPr>
                <w:sz w:val="20"/>
              </w:rPr>
            </w:pPr>
            <w:r>
              <w:rPr>
                <w:sz w:val="20"/>
              </w:rPr>
              <w:t>1037</w:t>
            </w:r>
          </w:p>
        </w:tc>
        <w:tc>
          <w:tcPr>
            <w:tcW w:w="662" w:type="dxa"/>
          </w:tcPr>
          <w:p w14:paraId="7338CDBE" w14:textId="77777777" w:rsidR="00A663F1" w:rsidRDefault="00E46EDB">
            <w:pPr>
              <w:pStyle w:val="TableParagraph"/>
              <w:ind w:left="105"/>
              <w:rPr>
                <w:sz w:val="20"/>
              </w:rPr>
            </w:pPr>
            <w:r>
              <w:rPr>
                <w:sz w:val="20"/>
              </w:rPr>
              <w:t>1093</w:t>
            </w:r>
          </w:p>
        </w:tc>
        <w:tc>
          <w:tcPr>
            <w:tcW w:w="660" w:type="dxa"/>
          </w:tcPr>
          <w:p w14:paraId="6539F811" w14:textId="77777777" w:rsidR="00A663F1" w:rsidRDefault="00E46EDB">
            <w:pPr>
              <w:pStyle w:val="TableParagraph"/>
              <w:ind w:left="103"/>
              <w:rPr>
                <w:sz w:val="20"/>
              </w:rPr>
            </w:pPr>
            <w:r>
              <w:rPr>
                <w:sz w:val="20"/>
              </w:rPr>
              <w:t>1153</w:t>
            </w:r>
          </w:p>
        </w:tc>
        <w:tc>
          <w:tcPr>
            <w:tcW w:w="717" w:type="dxa"/>
          </w:tcPr>
          <w:p w14:paraId="7BEEA2BA" w14:textId="77777777" w:rsidR="00A663F1" w:rsidRDefault="00E46EDB">
            <w:pPr>
              <w:pStyle w:val="TableParagraph"/>
              <w:ind w:left="106"/>
              <w:rPr>
                <w:sz w:val="20"/>
              </w:rPr>
            </w:pPr>
            <w:r>
              <w:rPr>
                <w:sz w:val="20"/>
              </w:rPr>
              <w:t>1216</w:t>
            </w:r>
          </w:p>
        </w:tc>
      </w:tr>
    </w:tbl>
    <w:p w14:paraId="62E12070" w14:textId="77777777" w:rsidR="00A663F1" w:rsidRDefault="00E46EDB">
      <w:pPr>
        <w:ind w:left="1049"/>
        <w:rPr>
          <w:i/>
        </w:rPr>
      </w:pPr>
      <w:r>
        <w:rPr>
          <w:b/>
          <w:i/>
          <w:u w:val="single"/>
        </w:rPr>
        <w:t xml:space="preserve">Table 3: </w:t>
      </w:r>
      <w:r>
        <w:rPr>
          <w:i/>
          <w:u w:val="single"/>
        </w:rPr>
        <w:t>Breathing Space caseload in thousands by year between 2021-22 and 2030-31</w:t>
      </w:r>
    </w:p>
    <w:p w14:paraId="71A65508" w14:textId="77777777" w:rsidR="00A663F1" w:rsidRDefault="00E46EDB">
      <w:pPr>
        <w:pStyle w:val="ListParagraph"/>
        <w:numPr>
          <w:ilvl w:val="1"/>
          <w:numId w:val="9"/>
        </w:numPr>
        <w:tabs>
          <w:tab w:val="left" w:pos="1692"/>
          <w:tab w:val="left" w:pos="1693"/>
        </w:tabs>
        <w:spacing w:before="124" w:line="259" w:lineRule="auto"/>
        <w:ind w:right="169"/>
      </w:pPr>
      <w:r>
        <w:t>The cohort who already receive debt advice in the counterfactual will only benefit from the marginal value of debt advice under Breathing Space. Those who take-up debt advice for the first time under Breathing Space will derive the full value of debt advice under Breathing</w:t>
      </w:r>
      <w:r>
        <w:rPr>
          <w:spacing w:val="-27"/>
        </w:rPr>
        <w:t xml:space="preserve"> </w:t>
      </w:r>
      <w:r>
        <w:t>Space.</w:t>
      </w:r>
    </w:p>
    <w:p w14:paraId="151906C6" w14:textId="77777777" w:rsidR="00A663F1" w:rsidRDefault="00E46EDB">
      <w:pPr>
        <w:pStyle w:val="ListParagraph"/>
        <w:numPr>
          <w:ilvl w:val="1"/>
          <w:numId w:val="9"/>
        </w:numPr>
        <w:tabs>
          <w:tab w:val="left" w:pos="1692"/>
          <w:tab w:val="left" w:pos="1693"/>
        </w:tabs>
        <w:spacing w:before="118" w:line="259" w:lineRule="auto"/>
        <w:ind w:right="232"/>
      </w:pPr>
      <w:r>
        <w:t>People who join Breathing Space via the Mental Health Access Mechanism are assumed not to have received debt advice in the counterfactual. This is a reasonable assumption as they are individuals receiving mental health crisis treatment. The Mental Health Access Mechanism has been designed to deal with the fact that they are unlikely to be able to have the conversations with a debt adviser which are a requirement to meet the eligibility criteria of the main scheme.</w:t>
      </w:r>
    </w:p>
    <w:p w14:paraId="7C259EEF" w14:textId="77777777" w:rsidR="00A663F1" w:rsidRDefault="00E46EDB">
      <w:pPr>
        <w:pStyle w:val="ListParagraph"/>
        <w:numPr>
          <w:ilvl w:val="1"/>
          <w:numId w:val="9"/>
        </w:numPr>
        <w:tabs>
          <w:tab w:val="left" w:pos="1692"/>
          <w:tab w:val="left" w:pos="1693"/>
        </w:tabs>
        <w:spacing w:before="118" w:line="259" w:lineRule="auto"/>
        <w:ind w:right="527"/>
      </w:pPr>
      <w:r>
        <w:t>The benefits of Breathing Space to debtors, employers, and creditors are therefore calculated by multiplying the relevant populations by either the full or marginal benefit of debt advice under Breathing</w:t>
      </w:r>
      <w:r>
        <w:rPr>
          <w:spacing w:val="-2"/>
        </w:rPr>
        <w:t xml:space="preserve"> </w:t>
      </w:r>
      <w:r>
        <w:t>Space.</w:t>
      </w:r>
    </w:p>
    <w:p w14:paraId="4A4F4231" w14:textId="77777777" w:rsidR="00A663F1" w:rsidRDefault="00E46EDB">
      <w:pPr>
        <w:pStyle w:val="Heading1"/>
        <w:numPr>
          <w:ilvl w:val="0"/>
          <w:numId w:val="9"/>
        </w:numPr>
        <w:tabs>
          <w:tab w:val="left" w:pos="613"/>
        </w:tabs>
      </w:pPr>
      <w:r>
        <w:t>Regulatory Breathing Space – benefits to</w:t>
      </w:r>
      <w:r>
        <w:rPr>
          <w:spacing w:val="-6"/>
        </w:rPr>
        <w:t xml:space="preserve"> </w:t>
      </w:r>
      <w:r>
        <w:t>employers</w:t>
      </w:r>
    </w:p>
    <w:p w14:paraId="5DAB25F2" w14:textId="77777777" w:rsidR="00A663F1" w:rsidRDefault="00E46EDB">
      <w:pPr>
        <w:pStyle w:val="ListParagraph"/>
        <w:numPr>
          <w:ilvl w:val="1"/>
          <w:numId w:val="9"/>
        </w:numPr>
        <w:tabs>
          <w:tab w:val="left" w:pos="1692"/>
          <w:tab w:val="left" w:pos="1693"/>
        </w:tabs>
        <w:spacing w:before="139" w:line="259" w:lineRule="auto"/>
        <w:ind w:right="195"/>
      </w:pPr>
      <w:r>
        <w:t>Europe Economics estimated that the benefit of debt advice to employers was £3,384 per debtor in 2018. This productivity benefit to employers has been adjusted to reflect the fact that not all people in problem debt are in employment. A survey conducted by YouGov for Europe Economics suggested that the employment rate of people in problem debt was between 50% and 55%. In 2021 prices, this equated to a benefit of £1,969 at a 55% employment rate,</w:t>
      </w:r>
      <w:r>
        <w:rPr>
          <w:spacing w:val="-15"/>
        </w:rPr>
        <w:t xml:space="preserve"> </w:t>
      </w:r>
      <w:r>
        <w:t>or</w:t>
      </w:r>
    </w:p>
    <w:p w14:paraId="09DB8E15" w14:textId="77777777" w:rsidR="00A663F1" w:rsidRDefault="00E46EDB">
      <w:pPr>
        <w:pStyle w:val="BodyText"/>
        <w:spacing w:before="0" w:line="259" w:lineRule="auto"/>
        <w:ind w:right="683" w:firstLine="0"/>
      </w:pPr>
      <w:r>
        <w:t>£1,790 at a 50% employment rate. The average of the two – £1,880 – is applied across the Breathing Space caseload.</w:t>
      </w:r>
    </w:p>
    <w:p w14:paraId="46E674F3" w14:textId="77777777" w:rsidR="00A663F1" w:rsidRDefault="00E46EDB">
      <w:pPr>
        <w:pStyle w:val="ListParagraph"/>
        <w:numPr>
          <w:ilvl w:val="1"/>
          <w:numId w:val="9"/>
        </w:numPr>
        <w:tabs>
          <w:tab w:val="left" w:pos="1692"/>
          <w:tab w:val="left" w:pos="1693"/>
        </w:tabs>
        <w:spacing w:line="259" w:lineRule="auto"/>
        <w:ind w:right="429"/>
      </w:pPr>
      <w:r>
        <w:t>As discussed in paragraph 7.10, debt advice agencies suggested that the value of debt advice under Breathing Space would be 14% higher than in the counterfactual. Applying this uplift to the baseline benefit per debtor, regardless of employment status, elevates the £1,879 benefit to £2,142 per debtor, a marginal benefit of</w:t>
      </w:r>
      <w:r>
        <w:rPr>
          <w:spacing w:val="-8"/>
        </w:rPr>
        <w:t xml:space="preserve"> </w:t>
      </w:r>
      <w:r>
        <w:t>£263.</w:t>
      </w:r>
    </w:p>
    <w:p w14:paraId="12216665" w14:textId="77777777" w:rsidR="00A663F1" w:rsidRDefault="00E46EDB">
      <w:pPr>
        <w:pStyle w:val="ListParagraph"/>
        <w:numPr>
          <w:ilvl w:val="1"/>
          <w:numId w:val="9"/>
        </w:numPr>
        <w:tabs>
          <w:tab w:val="left" w:pos="1692"/>
          <w:tab w:val="left" w:pos="1693"/>
        </w:tabs>
        <w:spacing w:line="259" w:lineRule="auto"/>
        <w:ind w:right="478"/>
      </w:pPr>
      <w:r>
        <w:t xml:space="preserve">Debtors who received advice in the counterfactual will benefit only from the marginal benefit of debt advice under Breathing Space. As they will receive this benefit without altering their behaviour, the benefit in respect of this cohort </w:t>
      </w:r>
      <w:proofErr w:type="gramStart"/>
      <w:r>
        <w:t>is considered to be</w:t>
      </w:r>
      <w:proofErr w:type="gramEnd"/>
      <w:r>
        <w:rPr>
          <w:spacing w:val="-12"/>
        </w:rPr>
        <w:t xml:space="preserve"> </w:t>
      </w:r>
      <w:r>
        <w:t>direct.</w:t>
      </w:r>
    </w:p>
    <w:p w14:paraId="2661FB8C" w14:textId="77777777" w:rsidR="00A663F1" w:rsidRDefault="00E46EDB">
      <w:pPr>
        <w:pStyle w:val="ListParagraph"/>
        <w:numPr>
          <w:ilvl w:val="1"/>
          <w:numId w:val="9"/>
        </w:numPr>
        <w:tabs>
          <w:tab w:val="left" w:pos="1692"/>
          <w:tab w:val="left" w:pos="1693"/>
        </w:tabs>
        <w:spacing w:before="118" w:line="259" w:lineRule="auto"/>
        <w:ind w:right="304"/>
      </w:pPr>
      <w:r>
        <w:t>Those who take up debt advice under Breathing Space where they would not have done in the counterfactual will benefit from the full value of debt advice. The benefit in respect of this cohort is indirect, as the beneficiary debtors must alter their behaviour in order to access debt advice under Breathing</w:t>
      </w:r>
      <w:r>
        <w:rPr>
          <w:spacing w:val="-2"/>
        </w:rPr>
        <w:t xml:space="preserve"> </w:t>
      </w:r>
      <w:r>
        <w:t>Space.</w:t>
      </w:r>
    </w:p>
    <w:p w14:paraId="17FBEEF2" w14:textId="77777777" w:rsidR="00A663F1" w:rsidRDefault="00E46EDB">
      <w:pPr>
        <w:pStyle w:val="ListParagraph"/>
        <w:numPr>
          <w:ilvl w:val="1"/>
          <w:numId w:val="9"/>
        </w:numPr>
        <w:tabs>
          <w:tab w:val="left" w:pos="1692"/>
          <w:tab w:val="left" w:pos="1693"/>
        </w:tabs>
        <w:spacing w:line="259" w:lineRule="auto"/>
        <w:ind w:right="536"/>
      </w:pPr>
      <w:r>
        <w:t>The cohort who enter Breathing Space via the Mental Health Alternative Access Mechanism are excluded as they are not expected to receive debt advice during their mental health crisis treatment. This calculation is reflected in table 4,</w:t>
      </w:r>
      <w:r>
        <w:rPr>
          <w:spacing w:val="-8"/>
        </w:rPr>
        <w:t xml:space="preserve"> </w:t>
      </w:r>
      <w:r>
        <w:t>below.</w:t>
      </w:r>
    </w:p>
    <w:p w14:paraId="370A7F86" w14:textId="77777777" w:rsidR="00A663F1" w:rsidRDefault="00A663F1">
      <w:pPr>
        <w:spacing w:line="259" w:lineRule="auto"/>
        <w:sectPr w:rsidR="00A663F1">
          <w:pgSz w:w="11910" w:h="16850"/>
          <w:pgMar w:top="600" w:right="720" w:bottom="960" w:left="600" w:header="0" w:footer="761" w:gutter="0"/>
          <w:cols w:space="720"/>
        </w:sectPr>
      </w:pPr>
    </w:p>
    <w:tbl>
      <w:tblPr>
        <w:tblW w:w="0" w:type="auto"/>
        <w:tblInd w:w="7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62"/>
        <w:gridCol w:w="549"/>
        <w:gridCol w:w="552"/>
        <w:gridCol w:w="549"/>
        <w:gridCol w:w="549"/>
        <w:gridCol w:w="549"/>
        <w:gridCol w:w="550"/>
        <w:gridCol w:w="549"/>
        <w:gridCol w:w="551"/>
        <w:gridCol w:w="549"/>
        <w:gridCol w:w="717"/>
      </w:tblGrid>
      <w:tr w:rsidR="00A663F1" w14:paraId="6D218E02" w14:textId="77777777">
        <w:trPr>
          <w:trHeight w:val="350"/>
        </w:trPr>
        <w:tc>
          <w:tcPr>
            <w:tcW w:w="3562" w:type="dxa"/>
          </w:tcPr>
          <w:p w14:paraId="28CB07B4" w14:textId="77777777" w:rsidR="00A663F1" w:rsidRDefault="00A663F1">
            <w:pPr>
              <w:pStyle w:val="TableParagraph"/>
              <w:spacing w:line="240" w:lineRule="auto"/>
              <w:rPr>
                <w:rFonts w:ascii="Times New Roman"/>
                <w:sz w:val="20"/>
              </w:rPr>
            </w:pPr>
          </w:p>
        </w:tc>
        <w:tc>
          <w:tcPr>
            <w:tcW w:w="549" w:type="dxa"/>
          </w:tcPr>
          <w:p w14:paraId="0FF35DEF" w14:textId="77777777" w:rsidR="00A663F1" w:rsidRDefault="00E46EDB">
            <w:pPr>
              <w:pStyle w:val="TableParagraph"/>
              <w:spacing w:before="2" w:line="240" w:lineRule="auto"/>
              <w:ind w:left="107"/>
              <w:rPr>
                <w:b/>
                <w:sz w:val="20"/>
              </w:rPr>
            </w:pPr>
            <w:r>
              <w:rPr>
                <w:b/>
                <w:w w:val="99"/>
                <w:sz w:val="20"/>
              </w:rPr>
              <w:t>1</w:t>
            </w:r>
          </w:p>
        </w:tc>
        <w:tc>
          <w:tcPr>
            <w:tcW w:w="552" w:type="dxa"/>
          </w:tcPr>
          <w:p w14:paraId="06674FA0" w14:textId="77777777" w:rsidR="00A663F1" w:rsidRDefault="00E46EDB">
            <w:pPr>
              <w:pStyle w:val="TableParagraph"/>
              <w:spacing w:before="2" w:line="240" w:lineRule="auto"/>
              <w:ind w:left="108"/>
              <w:rPr>
                <w:b/>
                <w:sz w:val="20"/>
              </w:rPr>
            </w:pPr>
            <w:r>
              <w:rPr>
                <w:b/>
                <w:w w:val="99"/>
                <w:sz w:val="20"/>
              </w:rPr>
              <w:t>2</w:t>
            </w:r>
          </w:p>
        </w:tc>
        <w:tc>
          <w:tcPr>
            <w:tcW w:w="549" w:type="dxa"/>
          </w:tcPr>
          <w:p w14:paraId="446670A3" w14:textId="77777777" w:rsidR="00A663F1" w:rsidRDefault="00E46EDB">
            <w:pPr>
              <w:pStyle w:val="TableParagraph"/>
              <w:spacing w:before="2" w:line="240" w:lineRule="auto"/>
              <w:ind w:left="106"/>
              <w:rPr>
                <w:b/>
                <w:sz w:val="20"/>
              </w:rPr>
            </w:pPr>
            <w:r>
              <w:rPr>
                <w:b/>
                <w:w w:val="99"/>
                <w:sz w:val="20"/>
              </w:rPr>
              <w:t>3</w:t>
            </w:r>
          </w:p>
        </w:tc>
        <w:tc>
          <w:tcPr>
            <w:tcW w:w="549" w:type="dxa"/>
          </w:tcPr>
          <w:p w14:paraId="28FBE9F1" w14:textId="77777777" w:rsidR="00A663F1" w:rsidRDefault="00E46EDB">
            <w:pPr>
              <w:pStyle w:val="TableParagraph"/>
              <w:spacing w:before="2" w:line="240" w:lineRule="auto"/>
              <w:ind w:left="109"/>
              <w:rPr>
                <w:b/>
                <w:sz w:val="20"/>
              </w:rPr>
            </w:pPr>
            <w:r>
              <w:rPr>
                <w:b/>
                <w:w w:val="99"/>
                <w:sz w:val="20"/>
              </w:rPr>
              <w:t>4</w:t>
            </w:r>
          </w:p>
        </w:tc>
        <w:tc>
          <w:tcPr>
            <w:tcW w:w="549" w:type="dxa"/>
          </w:tcPr>
          <w:p w14:paraId="634A9C63" w14:textId="77777777" w:rsidR="00A663F1" w:rsidRDefault="00E46EDB">
            <w:pPr>
              <w:pStyle w:val="TableParagraph"/>
              <w:spacing w:before="2" w:line="240" w:lineRule="auto"/>
              <w:ind w:left="110"/>
              <w:rPr>
                <w:b/>
                <w:sz w:val="20"/>
              </w:rPr>
            </w:pPr>
            <w:r>
              <w:rPr>
                <w:b/>
                <w:w w:val="99"/>
                <w:sz w:val="20"/>
              </w:rPr>
              <w:t>5</w:t>
            </w:r>
          </w:p>
        </w:tc>
        <w:tc>
          <w:tcPr>
            <w:tcW w:w="550" w:type="dxa"/>
          </w:tcPr>
          <w:p w14:paraId="405E7A00" w14:textId="77777777" w:rsidR="00A663F1" w:rsidRDefault="00E46EDB">
            <w:pPr>
              <w:pStyle w:val="TableParagraph"/>
              <w:spacing w:before="2" w:line="240" w:lineRule="auto"/>
              <w:ind w:left="111"/>
              <w:rPr>
                <w:b/>
                <w:sz w:val="20"/>
              </w:rPr>
            </w:pPr>
            <w:r>
              <w:rPr>
                <w:b/>
                <w:w w:val="99"/>
                <w:sz w:val="20"/>
              </w:rPr>
              <w:t>6</w:t>
            </w:r>
          </w:p>
        </w:tc>
        <w:tc>
          <w:tcPr>
            <w:tcW w:w="549" w:type="dxa"/>
          </w:tcPr>
          <w:p w14:paraId="037B2B65" w14:textId="77777777" w:rsidR="00A663F1" w:rsidRDefault="00E46EDB">
            <w:pPr>
              <w:pStyle w:val="TableParagraph"/>
              <w:spacing w:before="2" w:line="240" w:lineRule="auto"/>
              <w:ind w:left="110"/>
              <w:rPr>
                <w:b/>
                <w:sz w:val="20"/>
              </w:rPr>
            </w:pPr>
            <w:r>
              <w:rPr>
                <w:b/>
                <w:w w:val="99"/>
                <w:sz w:val="20"/>
              </w:rPr>
              <w:t>7</w:t>
            </w:r>
          </w:p>
        </w:tc>
        <w:tc>
          <w:tcPr>
            <w:tcW w:w="551" w:type="dxa"/>
          </w:tcPr>
          <w:p w14:paraId="273C698E" w14:textId="77777777" w:rsidR="00A663F1" w:rsidRDefault="00E46EDB">
            <w:pPr>
              <w:pStyle w:val="TableParagraph"/>
              <w:spacing w:before="2" w:line="240" w:lineRule="auto"/>
              <w:ind w:left="111"/>
              <w:rPr>
                <w:b/>
                <w:sz w:val="20"/>
              </w:rPr>
            </w:pPr>
            <w:r>
              <w:rPr>
                <w:b/>
                <w:w w:val="99"/>
                <w:sz w:val="20"/>
              </w:rPr>
              <w:t>8</w:t>
            </w:r>
          </w:p>
        </w:tc>
        <w:tc>
          <w:tcPr>
            <w:tcW w:w="549" w:type="dxa"/>
          </w:tcPr>
          <w:p w14:paraId="53AA3856" w14:textId="77777777" w:rsidR="00A663F1" w:rsidRDefault="00E46EDB">
            <w:pPr>
              <w:pStyle w:val="TableParagraph"/>
              <w:spacing w:before="2" w:line="240" w:lineRule="auto"/>
              <w:ind w:left="110"/>
              <w:rPr>
                <w:b/>
                <w:sz w:val="20"/>
              </w:rPr>
            </w:pPr>
            <w:r>
              <w:rPr>
                <w:b/>
                <w:w w:val="99"/>
                <w:sz w:val="20"/>
              </w:rPr>
              <w:t>9</w:t>
            </w:r>
          </w:p>
        </w:tc>
        <w:tc>
          <w:tcPr>
            <w:tcW w:w="717" w:type="dxa"/>
          </w:tcPr>
          <w:p w14:paraId="44402D95" w14:textId="77777777" w:rsidR="00A663F1" w:rsidRDefault="00E46EDB">
            <w:pPr>
              <w:pStyle w:val="TableParagraph"/>
              <w:spacing w:before="2" w:line="240" w:lineRule="auto"/>
              <w:ind w:left="113"/>
              <w:rPr>
                <w:b/>
                <w:sz w:val="20"/>
              </w:rPr>
            </w:pPr>
            <w:r>
              <w:rPr>
                <w:b/>
                <w:sz w:val="20"/>
              </w:rPr>
              <w:t>10</w:t>
            </w:r>
          </w:p>
        </w:tc>
      </w:tr>
      <w:tr w:rsidR="00A663F1" w14:paraId="58864A79" w14:textId="77777777">
        <w:trPr>
          <w:trHeight w:val="350"/>
        </w:trPr>
        <w:tc>
          <w:tcPr>
            <w:tcW w:w="3562" w:type="dxa"/>
          </w:tcPr>
          <w:p w14:paraId="3B51DD9C" w14:textId="77777777" w:rsidR="00A663F1" w:rsidRDefault="00E46EDB">
            <w:pPr>
              <w:pStyle w:val="TableParagraph"/>
              <w:ind w:left="107"/>
              <w:rPr>
                <w:b/>
                <w:sz w:val="20"/>
              </w:rPr>
            </w:pPr>
            <w:r>
              <w:rPr>
                <w:b/>
                <w:sz w:val="20"/>
              </w:rPr>
              <w:t>Caseload – marginal benefit (‘000s)</w:t>
            </w:r>
          </w:p>
        </w:tc>
        <w:tc>
          <w:tcPr>
            <w:tcW w:w="549" w:type="dxa"/>
          </w:tcPr>
          <w:p w14:paraId="4EAF7F50" w14:textId="77777777" w:rsidR="00A663F1" w:rsidRDefault="00E46EDB">
            <w:pPr>
              <w:pStyle w:val="TableParagraph"/>
              <w:ind w:left="107"/>
              <w:rPr>
                <w:sz w:val="20"/>
              </w:rPr>
            </w:pPr>
            <w:r>
              <w:rPr>
                <w:sz w:val="20"/>
              </w:rPr>
              <w:t>639</w:t>
            </w:r>
          </w:p>
        </w:tc>
        <w:tc>
          <w:tcPr>
            <w:tcW w:w="552" w:type="dxa"/>
          </w:tcPr>
          <w:p w14:paraId="3DB41181" w14:textId="77777777" w:rsidR="00A663F1" w:rsidRDefault="00E46EDB">
            <w:pPr>
              <w:pStyle w:val="TableParagraph"/>
              <w:ind w:left="108"/>
              <w:rPr>
                <w:sz w:val="20"/>
              </w:rPr>
            </w:pPr>
            <w:r>
              <w:rPr>
                <w:sz w:val="20"/>
              </w:rPr>
              <w:t>673</w:t>
            </w:r>
          </w:p>
        </w:tc>
        <w:tc>
          <w:tcPr>
            <w:tcW w:w="549" w:type="dxa"/>
          </w:tcPr>
          <w:p w14:paraId="40105BDA" w14:textId="77777777" w:rsidR="00A663F1" w:rsidRDefault="00E46EDB">
            <w:pPr>
              <w:pStyle w:val="TableParagraph"/>
              <w:ind w:left="106"/>
              <w:rPr>
                <w:sz w:val="20"/>
              </w:rPr>
            </w:pPr>
            <w:r>
              <w:rPr>
                <w:sz w:val="20"/>
              </w:rPr>
              <w:t>710</w:t>
            </w:r>
          </w:p>
        </w:tc>
        <w:tc>
          <w:tcPr>
            <w:tcW w:w="549" w:type="dxa"/>
          </w:tcPr>
          <w:p w14:paraId="4EA099CE" w14:textId="77777777" w:rsidR="00A663F1" w:rsidRDefault="00E46EDB">
            <w:pPr>
              <w:pStyle w:val="TableParagraph"/>
              <w:ind w:left="109"/>
              <w:rPr>
                <w:sz w:val="20"/>
              </w:rPr>
            </w:pPr>
            <w:r>
              <w:rPr>
                <w:sz w:val="20"/>
              </w:rPr>
              <w:t>748</w:t>
            </w:r>
          </w:p>
        </w:tc>
        <w:tc>
          <w:tcPr>
            <w:tcW w:w="549" w:type="dxa"/>
          </w:tcPr>
          <w:p w14:paraId="023944FD" w14:textId="77777777" w:rsidR="00A663F1" w:rsidRDefault="00E46EDB">
            <w:pPr>
              <w:pStyle w:val="TableParagraph"/>
              <w:ind w:left="110"/>
              <w:rPr>
                <w:sz w:val="20"/>
              </w:rPr>
            </w:pPr>
            <w:r>
              <w:rPr>
                <w:sz w:val="20"/>
              </w:rPr>
              <w:t>788</w:t>
            </w:r>
          </w:p>
        </w:tc>
        <w:tc>
          <w:tcPr>
            <w:tcW w:w="550" w:type="dxa"/>
          </w:tcPr>
          <w:p w14:paraId="6A184685" w14:textId="77777777" w:rsidR="00A663F1" w:rsidRDefault="00E46EDB">
            <w:pPr>
              <w:pStyle w:val="TableParagraph"/>
              <w:ind w:left="111"/>
              <w:rPr>
                <w:sz w:val="20"/>
              </w:rPr>
            </w:pPr>
            <w:r>
              <w:rPr>
                <w:sz w:val="20"/>
              </w:rPr>
              <w:t>831</w:t>
            </w:r>
          </w:p>
        </w:tc>
        <w:tc>
          <w:tcPr>
            <w:tcW w:w="549" w:type="dxa"/>
          </w:tcPr>
          <w:p w14:paraId="40564764" w14:textId="77777777" w:rsidR="00A663F1" w:rsidRDefault="00E46EDB">
            <w:pPr>
              <w:pStyle w:val="TableParagraph"/>
              <w:ind w:left="110"/>
              <w:rPr>
                <w:sz w:val="20"/>
              </w:rPr>
            </w:pPr>
            <w:r>
              <w:rPr>
                <w:sz w:val="20"/>
              </w:rPr>
              <w:t>876</w:t>
            </w:r>
          </w:p>
        </w:tc>
        <w:tc>
          <w:tcPr>
            <w:tcW w:w="551" w:type="dxa"/>
          </w:tcPr>
          <w:p w14:paraId="48FDA776" w14:textId="77777777" w:rsidR="00A663F1" w:rsidRDefault="00E46EDB">
            <w:pPr>
              <w:pStyle w:val="TableParagraph"/>
              <w:ind w:left="111"/>
              <w:rPr>
                <w:sz w:val="20"/>
              </w:rPr>
            </w:pPr>
            <w:r>
              <w:rPr>
                <w:sz w:val="20"/>
              </w:rPr>
              <w:t>923</w:t>
            </w:r>
          </w:p>
        </w:tc>
        <w:tc>
          <w:tcPr>
            <w:tcW w:w="549" w:type="dxa"/>
          </w:tcPr>
          <w:p w14:paraId="460E356E" w14:textId="77777777" w:rsidR="00A663F1" w:rsidRDefault="00E46EDB">
            <w:pPr>
              <w:pStyle w:val="TableParagraph"/>
              <w:ind w:left="110"/>
              <w:rPr>
                <w:sz w:val="20"/>
              </w:rPr>
            </w:pPr>
            <w:r>
              <w:rPr>
                <w:sz w:val="20"/>
              </w:rPr>
              <w:t>973</w:t>
            </w:r>
          </w:p>
        </w:tc>
        <w:tc>
          <w:tcPr>
            <w:tcW w:w="717" w:type="dxa"/>
          </w:tcPr>
          <w:p w14:paraId="2A249574" w14:textId="77777777" w:rsidR="00A663F1" w:rsidRDefault="00E46EDB">
            <w:pPr>
              <w:pStyle w:val="TableParagraph"/>
              <w:ind w:left="113"/>
              <w:rPr>
                <w:sz w:val="20"/>
              </w:rPr>
            </w:pPr>
            <w:r>
              <w:rPr>
                <w:sz w:val="20"/>
              </w:rPr>
              <w:t>1,026</w:t>
            </w:r>
          </w:p>
        </w:tc>
      </w:tr>
      <w:tr w:rsidR="00A663F1" w14:paraId="033C9126" w14:textId="77777777">
        <w:trPr>
          <w:trHeight w:val="350"/>
        </w:trPr>
        <w:tc>
          <w:tcPr>
            <w:tcW w:w="3562" w:type="dxa"/>
          </w:tcPr>
          <w:p w14:paraId="32E3DACD" w14:textId="77777777" w:rsidR="00A663F1" w:rsidRDefault="00E46EDB">
            <w:pPr>
              <w:pStyle w:val="TableParagraph"/>
              <w:ind w:left="107"/>
              <w:rPr>
                <w:b/>
                <w:sz w:val="20"/>
              </w:rPr>
            </w:pPr>
            <w:r>
              <w:rPr>
                <w:b/>
                <w:sz w:val="20"/>
              </w:rPr>
              <w:t>Benefit/£m</w:t>
            </w:r>
          </w:p>
        </w:tc>
        <w:tc>
          <w:tcPr>
            <w:tcW w:w="549" w:type="dxa"/>
          </w:tcPr>
          <w:p w14:paraId="6A4DB1F4" w14:textId="77777777" w:rsidR="00A663F1" w:rsidRDefault="00E46EDB">
            <w:pPr>
              <w:pStyle w:val="TableParagraph"/>
              <w:ind w:left="107"/>
              <w:rPr>
                <w:sz w:val="20"/>
              </w:rPr>
            </w:pPr>
            <w:r>
              <w:rPr>
                <w:sz w:val="20"/>
              </w:rPr>
              <w:t>168</w:t>
            </w:r>
          </w:p>
        </w:tc>
        <w:tc>
          <w:tcPr>
            <w:tcW w:w="552" w:type="dxa"/>
          </w:tcPr>
          <w:p w14:paraId="41B0C26B" w14:textId="77777777" w:rsidR="00A663F1" w:rsidRDefault="00E46EDB">
            <w:pPr>
              <w:pStyle w:val="TableParagraph"/>
              <w:ind w:left="108"/>
              <w:rPr>
                <w:sz w:val="20"/>
              </w:rPr>
            </w:pPr>
            <w:r>
              <w:rPr>
                <w:sz w:val="20"/>
              </w:rPr>
              <w:t>177</w:t>
            </w:r>
          </w:p>
        </w:tc>
        <w:tc>
          <w:tcPr>
            <w:tcW w:w="549" w:type="dxa"/>
          </w:tcPr>
          <w:p w14:paraId="351F687A" w14:textId="77777777" w:rsidR="00A663F1" w:rsidRDefault="00E46EDB">
            <w:pPr>
              <w:pStyle w:val="TableParagraph"/>
              <w:ind w:left="106"/>
              <w:rPr>
                <w:sz w:val="20"/>
              </w:rPr>
            </w:pPr>
            <w:r>
              <w:rPr>
                <w:sz w:val="20"/>
              </w:rPr>
              <w:t>187</w:t>
            </w:r>
          </w:p>
        </w:tc>
        <w:tc>
          <w:tcPr>
            <w:tcW w:w="549" w:type="dxa"/>
          </w:tcPr>
          <w:p w14:paraId="10F7CF7D" w14:textId="77777777" w:rsidR="00A663F1" w:rsidRDefault="00E46EDB">
            <w:pPr>
              <w:pStyle w:val="TableParagraph"/>
              <w:ind w:left="109"/>
              <w:rPr>
                <w:sz w:val="20"/>
              </w:rPr>
            </w:pPr>
            <w:r>
              <w:rPr>
                <w:sz w:val="20"/>
              </w:rPr>
              <w:t>197</w:t>
            </w:r>
          </w:p>
        </w:tc>
        <w:tc>
          <w:tcPr>
            <w:tcW w:w="549" w:type="dxa"/>
          </w:tcPr>
          <w:p w14:paraId="0DDFA69C" w14:textId="77777777" w:rsidR="00A663F1" w:rsidRDefault="00E46EDB">
            <w:pPr>
              <w:pStyle w:val="TableParagraph"/>
              <w:ind w:left="110"/>
              <w:rPr>
                <w:sz w:val="20"/>
              </w:rPr>
            </w:pPr>
            <w:r>
              <w:rPr>
                <w:sz w:val="20"/>
              </w:rPr>
              <w:t>207</w:t>
            </w:r>
          </w:p>
        </w:tc>
        <w:tc>
          <w:tcPr>
            <w:tcW w:w="550" w:type="dxa"/>
          </w:tcPr>
          <w:p w14:paraId="58076AFD" w14:textId="77777777" w:rsidR="00A663F1" w:rsidRDefault="00E46EDB">
            <w:pPr>
              <w:pStyle w:val="TableParagraph"/>
              <w:ind w:left="111"/>
              <w:rPr>
                <w:sz w:val="20"/>
              </w:rPr>
            </w:pPr>
            <w:r>
              <w:rPr>
                <w:sz w:val="20"/>
              </w:rPr>
              <w:t>219</w:t>
            </w:r>
          </w:p>
        </w:tc>
        <w:tc>
          <w:tcPr>
            <w:tcW w:w="549" w:type="dxa"/>
          </w:tcPr>
          <w:p w14:paraId="2FA04E38" w14:textId="77777777" w:rsidR="00A663F1" w:rsidRDefault="00E46EDB">
            <w:pPr>
              <w:pStyle w:val="TableParagraph"/>
              <w:ind w:left="110"/>
              <w:rPr>
                <w:sz w:val="20"/>
              </w:rPr>
            </w:pPr>
            <w:r>
              <w:rPr>
                <w:sz w:val="20"/>
              </w:rPr>
              <w:t>230</w:t>
            </w:r>
          </w:p>
        </w:tc>
        <w:tc>
          <w:tcPr>
            <w:tcW w:w="551" w:type="dxa"/>
          </w:tcPr>
          <w:p w14:paraId="33E579CF" w14:textId="77777777" w:rsidR="00A663F1" w:rsidRDefault="00E46EDB">
            <w:pPr>
              <w:pStyle w:val="TableParagraph"/>
              <w:ind w:left="111"/>
              <w:rPr>
                <w:sz w:val="20"/>
              </w:rPr>
            </w:pPr>
            <w:r>
              <w:rPr>
                <w:sz w:val="20"/>
              </w:rPr>
              <w:t>243</w:t>
            </w:r>
          </w:p>
        </w:tc>
        <w:tc>
          <w:tcPr>
            <w:tcW w:w="549" w:type="dxa"/>
          </w:tcPr>
          <w:p w14:paraId="057ECE46" w14:textId="77777777" w:rsidR="00A663F1" w:rsidRDefault="00E46EDB">
            <w:pPr>
              <w:pStyle w:val="TableParagraph"/>
              <w:ind w:left="110"/>
              <w:rPr>
                <w:sz w:val="20"/>
              </w:rPr>
            </w:pPr>
            <w:r>
              <w:rPr>
                <w:sz w:val="20"/>
              </w:rPr>
              <w:t>256</w:t>
            </w:r>
          </w:p>
        </w:tc>
        <w:tc>
          <w:tcPr>
            <w:tcW w:w="717" w:type="dxa"/>
          </w:tcPr>
          <w:p w14:paraId="6CBBFF43" w14:textId="77777777" w:rsidR="00A663F1" w:rsidRDefault="00E46EDB">
            <w:pPr>
              <w:pStyle w:val="TableParagraph"/>
              <w:ind w:left="113"/>
              <w:rPr>
                <w:sz w:val="20"/>
              </w:rPr>
            </w:pPr>
            <w:r>
              <w:rPr>
                <w:sz w:val="20"/>
              </w:rPr>
              <w:t>270</w:t>
            </w:r>
          </w:p>
        </w:tc>
      </w:tr>
      <w:tr w:rsidR="00A663F1" w14:paraId="69EC251D" w14:textId="77777777">
        <w:trPr>
          <w:trHeight w:val="350"/>
        </w:trPr>
        <w:tc>
          <w:tcPr>
            <w:tcW w:w="3562" w:type="dxa"/>
          </w:tcPr>
          <w:p w14:paraId="4599102F" w14:textId="77777777" w:rsidR="00A663F1" w:rsidRDefault="00E46EDB">
            <w:pPr>
              <w:pStyle w:val="TableParagraph"/>
              <w:ind w:left="107"/>
              <w:rPr>
                <w:b/>
                <w:sz w:val="20"/>
              </w:rPr>
            </w:pPr>
            <w:r>
              <w:rPr>
                <w:b/>
                <w:sz w:val="20"/>
              </w:rPr>
              <w:t>Caseload – full benefit (‘000s)</w:t>
            </w:r>
          </w:p>
        </w:tc>
        <w:tc>
          <w:tcPr>
            <w:tcW w:w="549" w:type="dxa"/>
          </w:tcPr>
          <w:p w14:paraId="1C0EA974" w14:textId="77777777" w:rsidR="00A663F1" w:rsidRDefault="00E46EDB">
            <w:pPr>
              <w:pStyle w:val="TableParagraph"/>
              <w:ind w:left="107"/>
              <w:rPr>
                <w:sz w:val="20"/>
              </w:rPr>
            </w:pPr>
            <w:r>
              <w:rPr>
                <w:sz w:val="20"/>
              </w:rPr>
              <w:t>42</w:t>
            </w:r>
          </w:p>
        </w:tc>
        <w:tc>
          <w:tcPr>
            <w:tcW w:w="552" w:type="dxa"/>
          </w:tcPr>
          <w:p w14:paraId="79879177" w14:textId="77777777" w:rsidR="00A663F1" w:rsidRDefault="00E46EDB">
            <w:pPr>
              <w:pStyle w:val="TableParagraph"/>
              <w:ind w:left="108"/>
              <w:rPr>
                <w:sz w:val="20"/>
              </w:rPr>
            </w:pPr>
            <w:r>
              <w:rPr>
                <w:sz w:val="20"/>
              </w:rPr>
              <w:t>89</w:t>
            </w:r>
          </w:p>
        </w:tc>
        <w:tc>
          <w:tcPr>
            <w:tcW w:w="549" w:type="dxa"/>
          </w:tcPr>
          <w:p w14:paraId="60E489A0" w14:textId="77777777" w:rsidR="00A663F1" w:rsidRDefault="00E46EDB">
            <w:pPr>
              <w:pStyle w:val="TableParagraph"/>
              <w:ind w:left="106"/>
              <w:rPr>
                <w:sz w:val="20"/>
              </w:rPr>
            </w:pPr>
            <w:r>
              <w:rPr>
                <w:sz w:val="20"/>
              </w:rPr>
              <w:t>94</w:t>
            </w:r>
          </w:p>
        </w:tc>
        <w:tc>
          <w:tcPr>
            <w:tcW w:w="549" w:type="dxa"/>
          </w:tcPr>
          <w:p w14:paraId="3A80A1A8" w14:textId="77777777" w:rsidR="00A663F1" w:rsidRDefault="00E46EDB">
            <w:pPr>
              <w:pStyle w:val="TableParagraph"/>
              <w:ind w:left="109"/>
              <w:rPr>
                <w:sz w:val="20"/>
              </w:rPr>
            </w:pPr>
            <w:r>
              <w:rPr>
                <w:sz w:val="20"/>
              </w:rPr>
              <w:t>99</w:t>
            </w:r>
          </w:p>
        </w:tc>
        <w:tc>
          <w:tcPr>
            <w:tcW w:w="549" w:type="dxa"/>
          </w:tcPr>
          <w:p w14:paraId="73C67E66" w14:textId="77777777" w:rsidR="00A663F1" w:rsidRDefault="00E46EDB">
            <w:pPr>
              <w:pStyle w:val="TableParagraph"/>
              <w:ind w:left="110"/>
              <w:rPr>
                <w:sz w:val="20"/>
              </w:rPr>
            </w:pPr>
            <w:r>
              <w:rPr>
                <w:sz w:val="20"/>
              </w:rPr>
              <w:t>105</w:t>
            </w:r>
          </w:p>
        </w:tc>
        <w:tc>
          <w:tcPr>
            <w:tcW w:w="550" w:type="dxa"/>
          </w:tcPr>
          <w:p w14:paraId="20EBFD20" w14:textId="77777777" w:rsidR="00A663F1" w:rsidRDefault="00E46EDB">
            <w:pPr>
              <w:pStyle w:val="TableParagraph"/>
              <w:ind w:left="111"/>
              <w:rPr>
                <w:sz w:val="20"/>
              </w:rPr>
            </w:pPr>
            <w:r>
              <w:rPr>
                <w:sz w:val="20"/>
              </w:rPr>
              <w:t>110</w:t>
            </w:r>
          </w:p>
        </w:tc>
        <w:tc>
          <w:tcPr>
            <w:tcW w:w="549" w:type="dxa"/>
          </w:tcPr>
          <w:p w14:paraId="185A8806" w14:textId="77777777" w:rsidR="00A663F1" w:rsidRDefault="00E46EDB">
            <w:pPr>
              <w:pStyle w:val="TableParagraph"/>
              <w:ind w:left="110"/>
              <w:rPr>
                <w:sz w:val="20"/>
              </w:rPr>
            </w:pPr>
            <w:r>
              <w:rPr>
                <w:sz w:val="20"/>
              </w:rPr>
              <w:t>116</w:t>
            </w:r>
          </w:p>
        </w:tc>
        <w:tc>
          <w:tcPr>
            <w:tcW w:w="551" w:type="dxa"/>
          </w:tcPr>
          <w:p w14:paraId="64210806" w14:textId="77777777" w:rsidR="00A663F1" w:rsidRDefault="00E46EDB">
            <w:pPr>
              <w:pStyle w:val="TableParagraph"/>
              <w:ind w:left="111"/>
              <w:rPr>
                <w:sz w:val="20"/>
              </w:rPr>
            </w:pPr>
            <w:r>
              <w:rPr>
                <w:sz w:val="20"/>
              </w:rPr>
              <w:t>122</w:t>
            </w:r>
          </w:p>
        </w:tc>
        <w:tc>
          <w:tcPr>
            <w:tcW w:w="549" w:type="dxa"/>
          </w:tcPr>
          <w:p w14:paraId="623DB0B5" w14:textId="77777777" w:rsidR="00A663F1" w:rsidRDefault="00E46EDB">
            <w:pPr>
              <w:pStyle w:val="TableParagraph"/>
              <w:ind w:left="110"/>
              <w:rPr>
                <w:sz w:val="20"/>
              </w:rPr>
            </w:pPr>
            <w:r>
              <w:rPr>
                <w:sz w:val="20"/>
              </w:rPr>
              <w:t>129</w:t>
            </w:r>
          </w:p>
        </w:tc>
        <w:tc>
          <w:tcPr>
            <w:tcW w:w="717" w:type="dxa"/>
          </w:tcPr>
          <w:p w14:paraId="73B10A7C" w14:textId="77777777" w:rsidR="00A663F1" w:rsidRDefault="00E46EDB">
            <w:pPr>
              <w:pStyle w:val="TableParagraph"/>
              <w:ind w:left="113"/>
              <w:rPr>
                <w:sz w:val="20"/>
              </w:rPr>
            </w:pPr>
            <w:r>
              <w:rPr>
                <w:sz w:val="20"/>
              </w:rPr>
              <w:t>136</w:t>
            </w:r>
          </w:p>
        </w:tc>
      </w:tr>
      <w:tr w:rsidR="00A663F1" w14:paraId="037AAD7F" w14:textId="77777777">
        <w:trPr>
          <w:trHeight w:val="350"/>
        </w:trPr>
        <w:tc>
          <w:tcPr>
            <w:tcW w:w="3562" w:type="dxa"/>
          </w:tcPr>
          <w:p w14:paraId="2358C34C" w14:textId="77777777" w:rsidR="00A663F1" w:rsidRDefault="00E46EDB">
            <w:pPr>
              <w:pStyle w:val="TableParagraph"/>
              <w:ind w:left="107"/>
              <w:rPr>
                <w:b/>
                <w:sz w:val="20"/>
              </w:rPr>
            </w:pPr>
            <w:r>
              <w:rPr>
                <w:b/>
                <w:sz w:val="20"/>
              </w:rPr>
              <w:t>Benefit/£m</w:t>
            </w:r>
          </w:p>
        </w:tc>
        <w:tc>
          <w:tcPr>
            <w:tcW w:w="549" w:type="dxa"/>
          </w:tcPr>
          <w:p w14:paraId="1F48F475" w14:textId="77777777" w:rsidR="00A663F1" w:rsidRDefault="00E46EDB">
            <w:pPr>
              <w:pStyle w:val="TableParagraph"/>
              <w:ind w:left="107"/>
              <w:rPr>
                <w:sz w:val="20"/>
              </w:rPr>
            </w:pPr>
            <w:r>
              <w:rPr>
                <w:sz w:val="20"/>
              </w:rPr>
              <w:t>91</w:t>
            </w:r>
          </w:p>
        </w:tc>
        <w:tc>
          <w:tcPr>
            <w:tcW w:w="552" w:type="dxa"/>
          </w:tcPr>
          <w:p w14:paraId="4CD6E8AC" w14:textId="77777777" w:rsidR="00A663F1" w:rsidRDefault="00E46EDB">
            <w:pPr>
              <w:pStyle w:val="TableParagraph"/>
              <w:ind w:left="108"/>
              <w:rPr>
                <w:sz w:val="20"/>
              </w:rPr>
            </w:pPr>
            <w:r>
              <w:rPr>
                <w:sz w:val="20"/>
              </w:rPr>
              <w:t>191</w:t>
            </w:r>
          </w:p>
        </w:tc>
        <w:tc>
          <w:tcPr>
            <w:tcW w:w="549" w:type="dxa"/>
          </w:tcPr>
          <w:p w14:paraId="6BA8E2DA" w14:textId="77777777" w:rsidR="00A663F1" w:rsidRDefault="00E46EDB">
            <w:pPr>
              <w:pStyle w:val="TableParagraph"/>
              <w:ind w:left="106"/>
              <w:rPr>
                <w:sz w:val="20"/>
              </w:rPr>
            </w:pPr>
            <w:r>
              <w:rPr>
                <w:sz w:val="20"/>
              </w:rPr>
              <w:t>202</w:t>
            </w:r>
          </w:p>
        </w:tc>
        <w:tc>
          <w:tcPr>
            <w:tcW w:w="549" w:type="dxa"/>
          </w:tcPr>
          <w:p w14:paraId="4913B344" w14:textId="77777777" w:rsidR="00A663F1" w:rsidRDefault="00E46EDB">
            <w:pPr>
              <w:pStyle w:val="TableParagraph"/>
              <w:ind w:left="109"/>
              <w:rPr>
                <w:sz w:val="20"/>
              </w:rPr>
            </w:pPr>
            <w:r>
              <w:rPr>
                <w:sz w:val="20"/>
              </w:rPr>
              <w:t>212</w:t>
            </w:r>
          </w:p>
        </w:tc>
        <w:tc>
          <w:tcPr>
            <w:tcW w:w="549" w:type="dxa"/>
          </w:tcPr>
          <w:p w14:paraId="13D10B1A" w14:textId="77777777" w:rsidR="00A663F1" w:rsidRDefault="00E46EDB">
            <w:pPr>
              <w:pStyle w:val="TableParagraph"/>
              <w:ind w:left="110"/>
              <w:rPr>
                <w:sz w:val="20"/>
              </w:rPr>
            </w:pPr>
            <w:r>
              <w:rPr>
                <w:sz w:val="20"/>
              </w:rPr>
              <w:t>224</w:t>
            </w:r>
          </w:p>
        </w:tc>
        <w:tc>
          <w:tcPr>
            <w:tcW w:w="550" w:type="dxa"/>
          </w:tcPr>
          <w:p w14:paraId="55A39E4A" w14:textId="77777777" w:rsidR="00A663F1" w:rsidRDefault="00E46EDB">
            <w:pPr>
              <w:pStyle w:val="TableParagraph"/>
              <w:ind w:left="111"/>
              <w:rPr>
                <w:sz w:val="20"/>
              </w:rPr>
            </w:pPr>
            <w:r>
              <w:rPr>
                <w:sz w:val="20"/>
              </w:rPr>
              <w:t>236</w:t>
            </w:r>
          </w:p>
        </w:tc>
        <w:tc>
          <w:tcPr>
            <w:tcW w:w="549" w:type="dxa"/>
          </w:tcPr>
          <w:p w14:paraId="00FC5F6B" w14:textId="77777777" w:rsidR="00A663F1" w:rsidRDefault="00E46EDB">
            <w:pPr>
              <w:pStyle w:val="TableParagraph"/>
              <w:ind w:left="110"/>
              <w:rPr>
                <w:sz w:val="20"/>
              </w:rPr>
            </w:pPr>
            <w:r>
              <w:rPr>
                <w:sz w:val="20"/>
              </w:rPr>
              <w:t>249</w:t>
            </w:r>
          </w:p>
        </w:tc>
        <w:tc>
          <w:tcPr>
            <w:tcW w:w="551" w:type="dxa"/>
          </w:tcPr>
          <w:p w14:paraId="6CE539E0" w14:textId="77777777" w:rsidR="00A663F1" w:rsidRDefault="00E46EDB">
            <w:pPr>
              <w:pStyle w:val="TableParagraph"/>
              <w:ind w:left="111"/>
              <w:rPr>
                <w:sz w:val="20"/>
              </w:rPr>
            </w:pPr>
            <w:r>
              <w:rPr>
                <w:sz w:val="20"/>
              </w:rPr>
              <w:t>262</w:t>
            </w:r>
          </w:p>
        </w:tc>
        <w:tc>
          <w:tcPr>
            <w:tcW w:w="549" w:type="dxa"/>
          </w:tcPr>
          <w:p w14:paraId="30EA3472" w14:textId="77777777" w:rsidR="00A663F1" w:rsidRDefault="00E46EDB">
            <w:pPr>
              <w:pStyle w:val="TableParagraph"/>
              <w:ind w:left="110"/>
              <w:rPr>
                <w:sz w:val="20"/>
              </w:rPr>
            </w:pPr>
            <w:r>
              <w:rPr>
                <w:sz w:val="20"/>
              </w:rPr>
              <w:t>277</w:t>
            </w:r>
          </w:p>
        </w:tc>
        <w:tc>
          <w:tcPr>
            <w:tcW w:w="717" w:type="dxa"/>
          </w:tcPr>
          <w:p w14:paraId="23EAD85A" w14:textId="77777777" w:rsidR="00A663F1" w:rsidRDefault="00E46EDB">
            <w:pPr>
              <w:pStyle w:val="TableParagraph"/>
              <w:ind w:left="113"/>
              <w:rPr>
                <w:sz w:val="20"/>
              </w:rPr>
            </w:pPr>
            <w:r>
              <w:rPr>
                <w:sz w:val="20"/>
              </w:rPr>
              <w:t>291</w:t>
            </w:r>
          </w:p>
        </w:tc>
      </w:tr>
      <w:tr w:rsidR="00A663F1" w14:paraId="3270D00D" w14:textId="77777777">
        <w:trPr>
          <w:trHeight w:val="350"/>
        </w:trPr>
        <w:tc>
          <w:tcPr>
            <w:tcW w:w="3562" w:type="dxa"/>
          </w:tcPr>
          <w:p w14:paraId="145E887A" w14:textId="77777777" w:rsidR="00A663F1" w:rsidRDefault="00E46EDB">
            <w:pPr>
              <w:pStyle w:val="TableParagraph"/>
              <w:ind w:left="107"/>
              <w:rPr>
                <w:b/>
                <w:sz w:val="20"/>
              </w:rPr>
            </w:pPr>
            <w:r>
              <w:rPr>
                <w:b/>
                <w:sz w:val="20"/>
              </w:rPr>
              <w:t>Total benefit/£m</w:t>
            </w:r>
          </w:p>
        </w:tc>
        <w:tc>
          <w:tcPr>
            <w:tcW w:w="549" w:type="dxa"/>
          </w:tcPr>
          <w:p w14:paraId="09A671A9" w14:textId="77777777" w:rsidR="00A663F1" w:rsidRDefault="00E46EDB">
            <w:pPr>
              <w:pStyle w:val="TableParagraph"/>
              <w:ind w:left="107"/>
              <w:rPr>
                <w:sz w:val="20"/>
              </w:rPr>
            </w:pPr>
            <w:r>
              <w:rPr>
                <w:sz w:val="20"/>
              </w:rPr>
              <w:t>259</w:t>
            </w:r>
          </w:p>
        </w:tc>
        <w:tc>
          <w:tcPr>
            <w:tcW w:w="552" w:type="dxa"/>
          </w:tcPr>
          <w:p w14:paraId="516322DB" w14:textId="77777777" w:rsidR="00A663F1" w:rsidRDefault="00E46EDB">
            <w:pPr>
              <w:pStyle w:val="TableParagraph"/>
              <w:ind w:left="108"/>
              <w:rPr>
                <w:sz w:val="20"/>
              </w:rPr>
            </w:pPr>
            <w:r>
              <w:rPr>
                <w:sz w:val="20"/>
              </w:rPr>
              <w:t>368</w:t>
            </w:r>
          </w:p>
        </w:tc>
        <w:tc>
          <w:tcPr>
            <w:tcW w:w="549" w:type="dxa"/>
          </w:tcPr>
          <w:p w14:paraId="633D09D1" w14:textId="77777777" w:rsidR="00A663F1" w:rsidRDefault="00E46EDB">
            <w:pPr>
              <w:pStyle w:val="TableParagraph"/>
              <w:ind w:left="106"/>
              <w:rPr>
                <w:sz w:val="20"/>
              </w:rPr>
            </w:pPr>
            <w:r>
              <w:rPr>
                <w:sz w:val="20"/>
              </w:rPr>
              <w:t>388</w:t>
            </w:r>
          </w:p>
        </w:tc>
        <w:tc>
          <w:tcPr>
            <w:tcW w:w="549" w:type="dxa"/>
          </w:tcPr>
          <w:p w14:paraId="37AE8419" w14:textId="77777777" w:rsidR="00A663F1" w:rsidRDefault="00E46EDB">
            <w:pPr>
              <w:pStyle w:val="TableParagraph"/>
              <w:ind w:left="109"/>
              <w:rPr>
                <w:sz w:val="20"/>
              </w:rPr>
            </w:pPr>
            <w:r>
              <w:rPr>
                <w:sz w:val="20"/>
              </w:rPr>
              <w:t>409</w:t>
            </w:r>
          </w:p>
        </w:tc>
        <w:tc>
          <w:tcPr>
            <w:tcW w:w="549" w:type="dxa"/>
          </w:tcPr>
          <w:p w14:paraId="3D0E7F82" w14:textId="77777777" w:rsidR="00A663F1" w:rsidRDefault="00E46EDB">
            <w:pPr>
              <w:pStyle w:val="TableParagraph"/>
              <w:ind w:left="110"/>
              <w:rPr>
                <w:sz w:val="20"/>
              </w:rPr>
            </w:pPr>
            <w:r>
              <w:rPr>
                <w:sz w:val="20"/>
              </w:rPr>
              <w:t>431</w:t>
            </w:r>
          </w:p>
        </w:tc>
        <w:tc>
          <w:tcPr>
            <w:tcW w:w="550" w:type="dxa"/>
          </w:tcPr>
          <w:p w14:paraId="703E828E" w14:textId="77777777" w:rsidR="00A663F1" w:rsidRDefault="00E46EDB">
            <w:pPr>
              <w:pStyle w:val="TableParagraph"/>
              <w:ind w:left="111"/>
              <w:rPr>
                <w:sz w:val="20"/>
              </w:rPr>
            </w:pPr>
            <w:r>
              <w:rPr>
                <w:sz w:val="20"/>
              </w:rPr>
              <w:t>455</w:t>
            </w:r>
          </w:p>
        </w:tc>
        <w:tc>
          <w:tcPr>
            <w:tcW w:w="549" w:type="dxa"/>
          </w:tcPr>
          <w:p w14:paraId="292363BE" w14:textId="77777777" w:rsidR="00A663F1" w:rsidRDefault="00E46EDB">
            <w:pPr>
              <w:pStyle w:val="TableParagraph"/>
              <w:ind w:left="110"/>
              <w:rPr>
                <w:sz w:val="20"/>
              </w:rPr>
            </w:pPr>
            <w:r>
              <w:rPr>
                <w:sz w:val="20"/>
              </w:rPr>
              <w:t>479</w:t>
            </w:r>
          </w:p>
        </w:tc>
        <w:tc>
          <w:tcPr>
            <w:tcW w:w="551" w:type="dxa"/>
          </w:tcPr>
          <w:p w14:paraId="4DB64810" w14:textId="77777777" w:rsidR="00A663F1" w:rsidRDefault="00E46EDB">
            <w:pPr>
              <w:pStyle w:val="TableParagraph"/>
              <w:ind w:left="111"/>
              <w:rPr>
                <w:sz w:val="20"/>
              </w:rPr>
            </w:pPr>
            <w:r>
              <w:rPr>
                <w:sz w:val="20"/>
              </w:rPr>
              <w:t>505</w:t>
            </w:r>
          </w:p>
        </w:tc>
        <w:tc>
          <w:tcPr>
            <w:tcW w:w="549" w:type="dxa"/>
          </w:tcPr>
          <w:p w14:paraId="64F7780F" w14:textId="77777777" w:rsidR="00A663F1" w:rsidRDefault="00E46EDB">
            <w:pPr>
              <w:pStyle w:val="TableParagraph"/>
              <w:ind w:left="110"/>
              <w:rPr>
                <w:sz w:val="20"/>
              </w:rPr>
            </w:pPr>
            <w:r>
              <w:rPr>
                <w:sz w:val="20"/>
              </w:rPr>
              <w:t>533</w:t>
            </w:r>
          </w:p>
        </w:tc>
        <w:tc>
          <w:tcPr>
            <w:tcW w:w="717" w:type="dxa"/>
          </w:tcPr>
          <w:p w14:paraId="04C5C705" w14:textId="77777777" w:rsidR="00A663F1" w:rsidRDefault="00E46EDB">
            <w:pPr>
              <w:pStyle w:val="TableParagraph"/>
              <w:ind w:left="113"/>
              <w:rPr>
                <w:sz w:val="20"/>
              </w:rPr>
            </w:pPr>
            <w:r>
              <w:rPr>
                <w:sz w:val="20"/>
              </w:rPr>
              <w:t>561</w:t>
            </w:r>
          </w:p>
        </w:tc>
      </w:tr>
    </w:tbl>
    <w:p w14:paraId="2CEA5645" w14:textId="77777777" w:rsidR="00A663F1" w:rsidRDefault="00E46EDB">
      <w:pPr>
        <w:spacing w:line="251" w:lineRule="exact"/>
        <w:ind w:left="934"/>
        <w:rPr>
          <w:i/>
        </w:rPr>
      </w:pPr>
      <w:r>
        <w:rPr>
          <w:b/>
          <w:i/>
          <w:u w:val="single"/>
        </w:rPr>
        <w:t xml:space="preserve">Table 4: </w:t>
      </w:r>
      <w:r>
        <w:rPr>
          <w:i/>
          <w:u w:val="single"/>
        </w:rPr>
        <w:t>Benefits of Breathing Space to employers by year between 2021-22 and 2030-31.</w:t>
      </w:r>
    </w:p>
    <w:p w14:paraId="34FC5CD9" w14:textId="77777777" w:rsidR="00A663F1" w:rsidRDefault="00E46EDB">
      <w:pPr>
        <w:pStyle w:val="Heading1"/>
        <w:numPr>
          <w:ilvl w:val="0"/>
          <w:numId w:val="9"/>
        </w:numPr>
        <w:tabs>
          <w:tab w:val="left" w:pos="613"/>
        </w:tabs>
        <w:spacing w:before="124"/>
      </w:pPr>
      <w:r>
        <w:t>Regulatory Breathing Space – benefits to</w:t>
      </w:r>
      <w:r>
        <w:rPr>
          <w:spacing w:val="-6"/>
        </w:rPr>
        <w:t xml:space="preserve"> </w:t>
      </w:r>
      <w:r>
        <w:t>debtors</w:t>
      </w:r>
    </w:p>
    <w:p w14:paraId="5082CB1F" w14:textId="77777777" w:rsidR="00A663F1" w:rsidRDefault="00E46EDB">
      <w:pPr>
        <w:pStyle w:val="ListParagraph"/>
        <w:numPr>
          <w:ilvl w:val="1"/>
          <w:numId w:val="9"/>
        </w:numPr>
        <w:tabs>
          <w:tab w:val="left" w:pos="1692"/>
          <w:tab w:val="left" w:pos="1693"/>
        </w:tabs>
        <w:spacing w:before="140" w:line="259" w:lineRule="auto"/>
        <w:ind w:right="162"/>
      </w:pPr>
      <w:r>
        <w:t>Europe Economics monetise a range of benefits to debtors, both to their personal wellbeing and in terms of reducing their demand for treatment by lowering the morbidity of certain mental health problems that may be caused or exacerbated by problem debt. The sum of these benefits in the central scenario is £910, as illustrated in table</w:t>
      </w:r>
      <w:r>
        <w:rPr>
          <w:spacing w:val="-10"/>
        </w:rPr>
        <w:t xml:space="preserve"> </w:t>
      </w:r>
      <w:r>
        <w:t>5.</w:t>
      </w:r>
    </w:p>
    <w:p w14:paraId="44B73961" w14:textId="77777777" w:rsidR="00A663F1" w:rsidRDefault="00A663F1">
      <w:pPr>
        <w:pStyle w:val="BodyText"/>
        <w:spacing w:before="2"/>
        <w:ind w:left="0" w:firstLine="0"/>
        <w:rPr>
          <w:sz w:val="10"/>
        </w:rPr>
      </w:pPr>
    </w:p>
    <w:tbl>
      <w:tblPr>
        <w:tblW w:w="0" w:type="auto"/>
        <w:tblInd w:w="1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3"/>
        <w:gridCol w:w="1695"/>
        <w:gridCol w:w="1573"/>
        <w:gridCol w:w="1568"/>
      </w:tblGrid>
      <w:tr w:rsidR="00A663F1" w14:paraId="0B1D13F9" w14:textId="77777777">
        <w:trPr>
          <w:trHeight w:val="578"/>
        </w:trPr>
        <w:tc>
          <w:tcPr>
            <w:tcW w:w="2053" w:type="dxa"/>
          </w:tcPr>
          <w:p w14:paraId="44212544" w14:textId="77777777" w:rsidR="00A663F1" w:rsidRDefault="00E46EDB">
            <w:pPr>
              <w:pStyle w:val="TableParagraph"/>
              <w:ind w:left="107"/>
              <w:rPr>
                <w:b/>
                <w:sz w:val="20"/>
              </w:rPr>
            </w:pPr>
            <w:r>
              <w:rPr>
                <w:b/>
                <w:sz w:val="20"/>
              </w:rPr>
              <w:t>Benefit</w:t>
            </w:r>
          </w:p>
        </w:tc>
        <w:tc>
          <w:tcPr>
            <w:tcW w:w="1695" w:type="dxa"/>
          </w:tcPr>
          <w:p w14:paraId="469F722D" w14:textId="77777777" w:rsidR="00A663F1" w:rsidRDefault="00E46EDB">
            <w:pPr>
              <w:pStyle w:val="TableParagraph"/>
              <w:ind w:left="107"/>
              <w:rPr>
                <w:b/>
                <w:sz w:val="20"/>
              </w:rPr>
            </w:pPr>
            <w:r>
              <w:rPr>
                <w:b/>
                <w:sz w:val="20"/>
              </w:rPr>
              <w:t>Upper value</w:t>
            </w:r>
          </w:p>
        </w:tc>
        <w:tc>
          <w:tcPr>
            <w:tcW w:w="1573" w:type="dxa"/>
          </w:tcPr>
          <w:p w14:paraId="6DEC0555" w14:textId="77777777" w:rsidR="00A663F1" w:rsidRDefault="00E46EDB">
            <w:pPr>
              <w:pStyle w:val="TableParagraph"/>
              <w:ind w:left="107"/>
              <w:rPr>
                <w:b/>
                <w:sz w:val="20"/>
              </w:rPr>
            </w:pPr>
            <w:r>
              <w:rPr>
                <w:b/>
                <w:sz w:val="20"/>
              </w:rPr>
              <w:t>Lower value</w:t>
            </w:r>
          </w:p>
        </w:tc>
        <w:tc>
          <w:tcPr>
            <w:tcW w:w="1568" w:type="dxa"/>
          </w:tcPr>
          <w:p w14:paraId="129577AE" w14:textId="77777777" w:rsidR="00A663F1" w:rsidRDefault="00E46EDB">
            <w:pPr>
              <w:pStyle w:val="TableParagraph"/>
              <w:spacing w:line="240" w:lineRule="auto"/>
              <w:ind w:left="106" w:right="210"/>
              <w:rPr>
                <w:b/>
                <w:sz w:val="20"/>
              </w:rPr>
            </w:pPr>
            <w:r>
              <w:rPr>
                <w:b/>
                <w:w w:val="95"/>
                <w:sz w:val="20"/>
              </w:rPr>
              <w:t xml:space="preserve">Average </w:t>
            </w:r>
            <w:r>
              <w:rPr>
                <w:b/>
                <w:sz w:val="20"/>
              </w:rPr>
              <w:t>value</w:t>
            </w:r>
          </w:p>
        </w:tc>
      </w:tr>
      <w:tr w:rsidR="00A663F1" w14:paraId="39D1F401" w14:textId="77777777">
        <w:trPr>
          <w:trHeight w:val="580"/>
        </w:trPr>
        <w:tc>
          <w:tcPr>
            <w:tcW w:w="2053" w:type="dxa"/>
          </w:tcPr>
          <w:p w14:paraId="7593EF0D" w14:textId="77777777" w:rsidR="00A663F1" w:rsidRDefault="00E46EDB">
            <w:pPr>
              <w:pStyle w:val="TableParagraph"/>
              <w:spacing w:line="240" w:lineRule="auto"/>
              <w:ind w:left="107" w:right="648"/>
              <w:rPr>
                <w:sz w:val="20"/>
              </w:rPr>
            </w:pPr>
            <w:r>
              <w:rPr>
                <w:sz w:val="20"/>
              </w:rPr>
              <w:t>Lower rates of depression</w:t>
            </w:r>
          </w:p>
        </w:tc>
        <w:tc>
          <w:tcPr>
            <w:tcW w:w="1695" w:type="dxa"/>
          </w:tcPr>
          <w:p w14:paraId="4746BD62" w14:textId="77777777" w:rsidR="00A663F1" w:rsidRDefault="00E46EDB">
            <w:pPr>
              <w:pStyle w:val="TableParagraph"/>
              <w:spacing w:before="2" w:line="240" w:lineRule="auto"/>
              <w:ind w:left="107"/>
              <w:rPr>
                <w:sz w:val="20"/>
              </w:rPr>
            </w:pPr>
            <w:r>
              <w:rPr>
                <w:sz w:val="20"/>
              </w:rPr>
              <w:t>£134</w:t>
            </w:r>
          </w:p>
        </w:tc>
        <w:tc>
          <w:tcPr>
            <w:tcW w:w="1573" w:type="dxa"/>
          </w:tcPr>
          <w:p w14:paraId="7FDC3596" w14:textId="77777777" w:rsidR="00A663F1" w:rsidRDefault="00E46EDB">
            <w:pPr>
              <w:pStyle w:val="TableParagraph"/>
              <w:spacing w:before="2" w:line="240" w:lineRule="auto"/>
              <w:ind w:left="107"/>
              <w:rPr>
                <w:sz w:val="20"/>
              </w:rPr>
            </w:pPr>
            <w:r>
              <w:rPr>
                <w:sz w:val="20"/>
              </w:rPr>
              <w:t>£71</w:t>
            </w:r>
          </w:p>
        </w:tc>
        <w:tc>
          <w:tcPr>
            <w:tcW w:w="1568" w:type="dxa"/>
          </w:tcPr>
          <w:p w14:paraId="3E00A54B" w14:textId="77777777" w:rsidR="00A663F1" w:rsidRDefault="00E46EDB">
            <w:pPr>
              <w:pStyle w:val="TableParagraph"/>
              <w:spacing w:before="2" w:line="240" w:lineRule="auto"/>
              <w:ind w:left="106"/>
              <w:rPr>
                <w:sz w:val="20"/>
              </w:rPr>
            </w:pPr>
            <w:r>
              <w:rPr>
                <w:sz w:val="20"/>
              </w:rPr>
              <w:t>£102.50</w:t>
            </w:r>
          </w:p>
        </w:tc>
      </w:tr>
      <w:tr w:rsidR="00A663F1" w14:paraId="6CA38E71" w14:textId="77777777">
        <w:trPr>
          <w:trHeight w:val="580"/>
        </w:trPr>
        <w:tc>
          <w:tcPr>
            <w:tcW w:w="2053" w:type="dxa"/>
          </w:tcPr>
          <w:p w14:paraId="468AA853" w14:textId="77777777" w:rsidR="00A663F1" w:rsidRDefault="00E46EDB">
            <w:pPr>
              <w:pStyle w:val="TableParagraph"/>
              <w:spacing w:line="240" w:lineRule="auto"/>
              <w:ind w:left="107" w:right="648"/>
              <w:rPr>
                <w:sz w:val="20"/>
              </w:rPr>
            </w:pPr>
            <w:r>
              <w:rPr>
                <w:sz w:val="20"/>
              </w:rPr>
              <w:t>Lower rates of anxiety</w:t>
            </w:r>
          </w:p>
        </w:tc>
        <w:tc>
          <w:tcPr>
            <w:tcW w:w="1695" w:type="dxa"/>
          </w:tcPr>
          <w:p w14:paraId="50684973" w14:textId="77777777" w:rsidR="00A663F1" w:rsidRDefault="00E46EDB">
            <w:pPr>
              <w:pStyle w:val="TableParagraph"/>
              <w:ind w:left="107"/>
              <w:rPr>
                <w:sz w:val="20"/>
              </w:rPr>
            </w:pPr>
            <w:r>
              <w:rPr>
                <w:sz w:val="20"/>
              </w:rPr>
              <w:t>£36</w:t>
            </w:r>
          </w:p>
        </w:tc>
        <w:tc>
          <w:tcPr>
            <w:tcW w:w="1573" w:type="dxa"/>
          </w:tcPr>
          <w:p w14:paraId="4BD69DB0" w14:textId="77777777" w:rsidR="00A663F1" w:rsidRDefault="00E46EDB">
            <w:pPr>
              <w:pStyle w:val="TableParagraph"/>
              <w:ind w:left="107"/>
              <w:rPr>
                <w:sz w:val="20"/>
              </w:rPr>
            </w:pPr>
            <w:r>
              <w:rPr>
                <w:sz w:val="20"/>
              </w:rPr>
              <w:t>£21</w:t>
            </w:r>
          </w:p>
        </w:tc>
        <w:tc>
          <w:tcPr>
            <w:tcW w:w="1568" w:type="dxa"/>
          </w:tcPr>
          <w:p w14:paraId="036C4BC6" w14:textId="77777777" w:rsidR="00A663F1" w:rsidRDefault="00E46EDB">
            <w:pPr>
              <w:pStyle w:val="TableParagraph"/>
              <w:ind w:left="106"/>
              <w:rPr>
                <w:sz w:val="20"/>
              </w:rPr>
            </w:pPr>
            <w:r>
              <w:rPr>
                <w:sz w:val="20"/>
              </w:rPr>
              <w:t>£28.50</w:t>
            </w:r>
          </w:p>
        </w:tc>
      </w:tr>
      <w:tr w:rsidR="00A663F1" w14:paraId="7210A07D" w14:textId="77777777">
        <w:trPr>
          <w:trHeight w:val="580"/>
        </w:trPr>
        <w:tc>
          <w:tcPr>
            <w:tcW w:w="2053" w:type="dxa"/>
          </w:tcPr>
          <w:p w14:paraId="599C8900" w14:textId="77777777" w:rsidR="00A663F1" w:rsidRDefault="00E46EDB">
            <w:pPr>
              <w:pStyle w:val="TableParagraph"/>
              <w:spacing w:line="240" w:lineRule="auto"/>
              <w:ind w:left="107" w:right="115"/>
              <w:rPr>
                <w:sz w:val="20"/>
              </w:rPr>
            </w:pPr>
            <w:r>
              <w:rPr>
                <w:sz w:val="20"/>
              </w:rPr>
              <w:t>Lower rates of panic attacks</w:t>
            </w:r>
          </w:p>
        </w:tc>
        <w:tc>
          <w:tcPr>
            <w:tcW w:w="1695" w:type="dxa"/>
          </w:tcPr>
          <w:p w14:paraId="654099E4" w14:textId="77777777" w:rsidR="00A663F1" w:rsidRDefault="00E46EDB">
            <w:pPr>
              <w:pStyle w:val="TableParagraph"/>
              <w:ind w:left="107"/>
              <w:rPr>
                <w:sz w:val="20"/>
              </w:rPr>
            </w:pPr>
            <w:r>
              <w:rPr>
                <w:sz w:val="20"/>
              </w:rPr>
              <w:t>£52</w:t>
            </w:r>
          </w:p>
        </w:tc>
        <w:tc>
          <w:tcPr>
            <w:tcW w:w="1573" w:type="dxa"/>
          </w:tcPr>
          <w:p w14:paraId="7A5CB84F" w14:textId="77777777" w:rsidR="00A663F1" w:rsidRDefault="00E46EDB">
            <w:pPr>
              <w:pStyle w:val="TableParagraph"/>
              <w:ind w:left="107"/>
              <w:rPr>
                <w:sz w:val="20"/>
              </w:rPr>
            </w:pPr>
            <w:r>
              <w:rPr>
                <w:sz w:val="20"/>
              </w:rPr>
              <w:t>£25</w:t>
            </w:r>
          </w:p>
        </w:tc>
        <w:tc>
          <w:tcPr>
            <w:tcW w:w="1568" w:type="dxa"/>
          </w:tcPr>
          <w:p w14:paraId="5217B1E6" w14:textId="77777777" w:rsidR="00A663F1" w:rsidRDefault="00E46EDB">
            <w:pPr>
              <w:pStyle w:val="TableParagraph"/>
              <w:ind w:left="106"/>
              <w:rPr>
                <w:sz w:val="20"/>
              </w:rPr>
            </w:pPr>
            <w:r>
              <w:rPr>
                <w:sz w:val="20"/>
              </w:rPr>
              <w:t>£38.50</w:t>
            </w:r>
          </w:p>
        </w:tc>
      </w:tr>
      <w:tr w:rsidR="00A663F1" w14:paraId="6DF12E97" w14:textId="77777777">
        <w:trPr>
          <w:trHeight w:val="580"/>
        </w:trPr>
        <w:tc>
          <w:tcPr>
            <w:tcW w:w="2053" w:type="dxa"/>
          </w:tcPr>
          <w:p w14:paraId="02E9D6BF" w14:textId="77777777" w:rsidR="00A663F1" w:rsidRDefault="00E46EDB">
            <w:pPr>
              <w:pStyle w:val="TableParagraph"/>
              <w:spacing w:line="240" w:lineRule="auto"/>
              <w:ind w:left="107" w:right="704"/>
              <w:rPr>
                <w:sz w:val="20"/>
              </w:rPr>
            </w:pPr>
            <w:r>
              <w:rPr>
                <w:sz w:val="20"/>
              </w:rPr>
              <w:t>Higher debtor wellbeing</w:t>
            </w:r>
          </w:p>
        </w:tc>
        <w:tc>
          <w:tcPr>
            <w:tcW w:w="1695" w:type="dxa"/>
          </w:tcPr>
          <w:p w14:paraId="5FE01043" w14:textId="77777777" w:rsidR="00A663F1" w:rsidRDefault="00E46EDB">
            <w:pPr>
              <w:pStyle w:val="TableParagraph"/>
              <w:ind w:left="107"/>
              <w:rPr>
                <w:sz w:val="20"/>
              </w:rPr>
            </w:pPr>
            <w:r>
              <w:rPr>
                <w:sz w:val="20"/>
              </w:rPr>
              <w:t>£846</w:t>
            </w:r>
          </w:p>
        </w:tc>
        <w:tc>
          <w:tcPr>
            <w:tcW w:w="1573" w:type="dxa"/>
          </w:tcPr>
          <w:p w14:paraId="31DCC0FF" w14:textId="77777777" w:rsidR="00A663F1" w:rsidRDefault="00E46EDB">
            <w:pPr>
              <w:pStyle w:val="TableParagraph"/>
              <w:ind w:left="107"/>
              <w:rPr>
                <w:sz w:val="20"/>
              </w:rPr>
            </w:pPr>
            <w:r>
              <w:rPr>
                <w:sz w:val="20"/>
              </w:rPr>
              <w:t>£635</w:t>
            </w:r>
          </w:p>
        </w:tc>
        <w:tc>
          <w:tcPr>
            <w:tcW w:w="1568" w:type="dxa"/>
          </w:tcPr>
          <w:p w14:paraId="7CE4BB45" w14:textId="77777777" w:rsidR="00A663F1" w:rsidRDefault="00E46EDB">
            <w:pPr>
              <w:pStyle w:val="TableParagraph"/>
              <w:ind w:left="106"/>
              <w:rPr>
                <w:sz w:val="20"/>
              </w:rPr>
            </w:pPr>
            <w:r>
              <w:rPr>
                <w:sz w:val="20"/>
              </w:rPr>
              <w:t>£740.50</w:t>
            </w:r>
          </w:p>
        </w:tc>
      </w:tr>
      <w:tr w:rsidR="00A663F1" w14:paraId="48F2FFD6" w14:textId="77777777">
        <w:trPr>
          <w:trHeight w:val="350"/>
        </w:trPr>
        <w:tc>
          <w:tcPr>
            <w:tcW w:w="2053" w:type="dxa"/>
            <w:tcBorders>
              <w:top w:val="nil"/>
              <w:left w:val="nil"/>
              <w:bottom w:val="nil"/>
              <w:right w:val="nil"/>
            </w:tcBorders>
            <w:shd w:val="clear" w:color="auto" w:fill="000000"/>
          </w:tcPr>
          <w:p w14:paraId="58953FAE" w14:textId="77777777" w:rsidR="00A663F1" w:rsidRDefault="00A663F1">
            <w:pPr>
              <w:pStyle w:val="TableParagraph"/>
              <w:spacing w:line="240" w:lineRule="auto"/>
              <w:rPr>
                <w:rFonts w:ascii="Times New Roman"/>
                <w:sz w:val="20"/>
              </w:rPr>
            </w:pPr>
          </w:p>
        </w:tc>
        <w:tc>
          <w:tcPr>
            <w:tcW w:w="1695" w:type="dxa"/>
            <w:tcBorders>
              <w:top w:val="nil"/>
              <w:left w:val="nil"/>
              <w:bottom w:val="nil"/>
              <w:right w:val="nil"/>
            </w:tcBorders>
            <w:shd w:val="clear" w:color="auto" w:fill="000000"/>
          </w:tcPr>
          <w:p w14:paraId="70B8D48B" w14:textId="77777777" w:rsidR="00A663F1" w:rsidRDefault="00A663F1">
            <w:pPr>
              <w:pStyle w:val="TableParagraph"/>
              <w:spacing w:line="240" w:lineRule="auto"/>
              <w:rPr>
                <w:rFonts w:ascii="Times New Roman"/>
                <w:sz w:val="20"/>
              </w:rPr>
            </w:pPr>
          </w:p>
        </w:tc>
        <w:tc>
          <w:tcPr>
            <w:tcW w:w="1573" w:type="dxa"/>
          </w:tcPr>
          <w:p w14:paraId="7DBECCA2" w14:textId="77777777" w:rsidR="00A663F1" w:rsidRDefault="00E46EDB">
            <w:pPr>
              <w:pStyle w:val="TableParagraph"/>
              <w:ind w:left="107"/>
              <w:rPr>
                <w:b/>
                <w:sz w:val="20"/>
              </w:rPr>
            </w:pPr>
            <w:r>
              <w:rPr>
                <w:b/>
                <w:sz w:val="20"/>
              </w:rPr>
              <w:t>Sum</w:t>
            </w:r>
          </w:p>
        </w:tc>
        <w:tc>
          <w:tcPr>
            <w:tcW w:w="1568" w:type="dxa"/>
          </w:tcPr>
          <w:p w14:paraId="1BBD51AC" w14:textId="77777777" w:rsidR="00A663F1" w:rsidRDefault="00E46EDB">
            <w:pPr>
              <w:pStyle w:val="TableParagraph"/>
              <w:ind w:left="106"/>
              <w:rPr>
                <w:sz w:val="20"/>
              </w:rPr>
            </w:pPr>
            <w:r>
              <w:rPr>
                <w:sz w:val="20"/>
              </w:rPr>
              <w:t>£910</w:t>
            </w:r>
          </w:p>
        </w:tc>
      </w:tr>
    </w:tbl>
    <w:p w14:paraId="2D4D921B" w14:textId="77777777" w:rsidR="00A663F1" w:rsidRDefault="00E46EDB">
      <w:pPr>
        <w:ind w:left="3337"/>
        <w:rPr>
          <w:i/>
        </w:rPr>
      </w:pPr>
      <w:r>
        <w:rPr>
          <w:b/>
          <w:i/>
          <w:u w:val="single"/>
        </w:rPr>
        <w:t xml:space="preserve">Table 5: </w:t>
      </w:r>
      <w:r>
        <w:rPr>
          <w:i/>
          <w:u w:val="single"/>
        </w:rPr>
        <w:t>Values of debt advice to debtors</w:t>
      </w:r>
    </w:p>
    <w:p w14:paraId="13EAD5BA" w14:textId="77777777" w:rsidR="00A663F1" w:rsidRDefault="00E46EDB">
      <w:pPr>
        <w:pStyle w:val="ListParagraph"/>
        <w:numPr>
          <w:ilvl w:val="1"/>
          <w:numId w:val="9"/>
        </w:numPr>
        <w:tabs>
          <w:tab w:val="left" w:pos="1692"/>
          <w:tab w:val="left" w:pos="1693"/>
        </w:tabs>
        <w:spacing w:before="122" w:line="259" w:lineRule="auto"/>
        <w:ind w:right="158"/>
      </w:pPr>
      <w:r>
        <w:t>As explained in paragraph 7.10, debt advice agencies agreed that the value of this benefit will increase by 14% under Breathing Space, to £1,037, a marginal benefit of</w:t>
      </w:r>
      <w:r>
        <w:rPr>
          <w:spacing w:val="-9"/>
        </w:rPr>
        <w:t xml:space="preserve"> </w:t>
      </w:r>
      <w:r>
        <w:t>£127.</w:t>
      </w:r>
    </w:p>
    <w:p w14:paraId="3315F1B9" w14:textId="77777777" w:rsidR="00A663F1" w:rsidRDefault="00E46EDB">
      <w:pPr>
        <w:pStyle w:val="ListParagraph"/>
        <w:numPr>
          <w:ilvl w:val="1"/>
          <w:numId w:val="9"/>
        </w:numPr>
        <w:tabs>
          <w:tab w:val="left" w:pos="1692"/>
          <w:tab w:val="left" w:pos="1693"/>
        </w:tabs>
        <w:spacing w:line="259" w:lineRule="auto"/>
        <w:ind w:right="171"/>
      </w:pPr>
      <w:r>
        <w:t>All three cohorts will benefit. The cohort who already receive debt advice in the counterfactual will benefit by the marginal benefit of debt advice under Breathing Space. The Mental Health Access Mechanism and new debt advice cohorts will benefit from the full value of debt advice. This benefit has no impact on business. The size of this impact is quantified in table 6</w:t>
      </w:r>
      <w:r>
        <w:rPr>
          <w:spacing w:val="-1"/>
        </w:rPr>
        <w:t xml:space="preserve"> </w:t>
      </w:r>
      <w:r>
        <w:t>below.</w:t>
      </w:r>
    </w:p>
    <w:p w14:paraId="6BE7260A" w14:textId="77777777" w:rsidR="00A663F1" w:rsidRDefault="00E46EDB">
      <w:pPr>
        <w:pStyle w:val="ListParagraph"/>
        <w:numPr>
          <w:ilvl w:val="1"/>
          <w:numId w:val="9"/>
        </w:numPr>
        <w:tabs>
          <w:tab w:val="left" w:pos="1692"/>
          <w:tab w:val="left" w:pos="1693"/>
        </w:tabs>
        <w:spacing w:line="259" w:lineRule="auto"/>
        <w:ind w:right="186"/>
      </w:pPr>
      <w:r>
        <w:t>It is possible that people in the Mental Health Access Mechanism cohort will see greater improvements to their wellbeing and reductions in mental health problems than the other cohorts, given they are a cohort explicitly suffering from the intersection of both problem debt and mental health crisis. However, primary research was not available to support or quantify this possibility.</w:t>
      </w:r>
    </w:p>
    <w:p w14:paraId="1DAB33B0" w14:textId="77777777" w:rsidR="00A663F1" w:rsidRDefault="00A663F1">
      <w:pPr>
        <w:pStyle w:val="BodyText"/>
        <w:spacing w:before="0"/>
        <w:ind w:left="0" w:firstLine="0"/>
        <w:rPr>
          <w:sz w:val="10"/>
        </w:rPr>
      </w:pPr>
    </w:p>
    <w:tbl>
      <w:tblPr>
        <w:tblW w:w="0" w:type="auto"/>
        <w:tblInd w:w="7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62"/>
        <w:gridCol w:w="549"/>
        <w:gridCol w:w="552"/>
        <w:gridCol w:w="549"/>
        <w:gridCol w:w="549"/>
        <w:gridCol w:w="549"/>
        <w:gridCol w:w="550"/>
        <w:gridCol w:w="549"/>
        <w:gridCol w:w="551"/>
        <w:gridCol w:w="549"/>
        <w:gridCol w:w="717"/>
      </w:tblGrid>
      <w:tr w:rsidR="00A663F1" w14:paraId="5E18EE7D" w14:textId="77777777">
        <w:trPr>
          <w:trHeight w:val="350"/>
        </w:trPr>
        <w:tc>
          <w:tcPr>
            <w:tcW w:w="3562" w:type="dxa"/>
          </w:tcPr>
          <w:p w14:paraId="4BEAA9B3" w14:textId="77777777" w:rsidR="00A663F1" w:rsidRDefault="00A663F1">
            <w:pPr>
              <w:pStyle w:val="TableParagraph"/>
              <w:spacing w:line="240" w:lineRule="auto"/>
              <w:rPr>
                <w:rFonts w:ascii="Times New Roman"/>
                <w:sz w:val="20"/>
              </w:rPr>
            </w:pPr>
          </w:p>
        </w:tc>
        <w:tc>
          <w:tcPr>
            <w:tcW w:w="549" w:type="dxa"/>
          </w:tcPr>
          <w:p w14:paraId="047D0BCD" w14:textId="77777777" w:rsidR="00A663F1" w:rsidRDefault="00E46EDB">
            <w:pPr>
              <w:pStyle w:val="TableParagraph"/>
              <w:ind w:left="107"/>
              <w:rPr>
                <w:b/>
                <w:sz w:val="20"/>
              </w:rPr>
            </w:pPr>
            <w:r>
              <w:rPr>
                <w:b/>
                <w:w w:val="99"/>
                <w:sz w:val="20"/>
              </w:rPr>
              <w:t>1</w:t>
            </w:r>
          </w:p>
        </w:tc>
        <w:tc>
          <w:tcPr>
            <w:tcW w:w="552" w:type="dxa"/>
          </w:tcPr>
          <w:p w14:paraId="4C3A6DCC" w14:textId="77777777" w:rsidR="00A663F1" w:rsidRDefault="00E46EDB">
            <w:pPr>
              <w:pStyle w:val="TableParagraph"/>
              <w:ind w:left="108"/>
              <w:rPr>
                <w:b/>
                <w:sz w:val="20"/>
              </w:rPr>
            </w:pPr>
            <w:r>
              <w:rPr>
                <w:b/>
                <w:w w:val="99"/>
                <w:sz w:val="20"/>
              </w:rPr>
              <w:t>2</w:t>
            </w:r>
          </w:p>
        </w:tc>
        <w:tc>
          <w:tcPr>
            <w:tcW w:w="549" w:type="dxa"/>
          </w:tcPr>
          <w:p w14:paraId="7892F908" w14:textId="77777777" w:rsidR="00A663F1" w:rsidRDefault="00E46EDB">
            <w:pPr>
              <w:pStyle w:val="TableParagraph"/>
              <w:ind w:left="106"/>
              <w:rPr>
                <w:b/>
                <w:sz w:val="20"/>
              </w:rPr>
            </w:pPr>
            <w:r>
              <w:rPr>
                <w:b/>
                <w:w w:val="99"/>
                <w:sz w:val="20"/>
              </w:rPr>
              <w:t>3</w:t>
            </w:r>
          </w:p>
        </w:tc>
        <w:tc>
          <w:tcPr>
            <w:tcW w:w="549" w:type="dxa"/>
          </w:tcPr>
          <w:p w14:paraId="3968A483" w14:textId="77777777" w:rsidR="00A663F1" w:rsidRDefault="00E46EDB">
            <w:pPr>
              <w:pStyle w:val="TableParagraph"/>
              <w:ind w:left="109"/>
              <w:rPr>
                <w:b/>
                <w:sz w:val="20"/>
              </w:rPr>
            </w:pPr>
            <w:r>
              <w:rPr>
                <w:b/>
                <w:w w:val="99"/>
                <w:sz w:val="20"/>
              </w:rPr>
              <w:t>4</w:t>
            </w:r>
          </w:p>
        </w:tc>
        <w:tc>
          <w:tcPr>
            <w:tcW w:w="549" w:type="dxa"/>
          </w:tcPr>
          <w:p w14:paraId="7E7C121F" w14:textId="77777777" w:rsidR="00A663F1" w:rsidRDefault="00E46EDB">
            <w:pPr>
              <w:pStyle w:val="TableParagraph"/>
              <w:ind w:left="110"/>
              <w:rPr>
                <w:b/>
                <w:sz w:val="20"/>
              </w:rPr>
            </w:pPr>
            <w:r>
              <w:rPr>
                <w:b/>
                <w:w w:val="99"/>
                <w:sz w:val="20"/>
              </w:rPr>
              <w:t>5</w:t>
            </w:r>
          </w:p>
        </w:tc>
        <w:tc>
          <w:tcPr>
            <w:tcW w:w="550" w:type="dxa"/>
          </w:tcPr>
          <w:p w14:paraId="78D03BF9" w14:textId="77777777" w:rsidR="00A663F1" w:rsidRDefault="00E46EDB">
            <w:pPr>
              <w:pStyle w:val="TableParagraph"/>
              <w:ind w:left="111"/>
              <w:rPr>
                <w:b/>
                <w:sz w:val="20"/>
              </w:rPr>
            </w:pPr>
            <w:r>
              <w:rPr>
                <w:b/>
                <w:w w:val="99"/>
                <w:sz w:val="20"/>
              </w:rPr>
              <w:t>6</w:t>
            </w:r>
          </w:p>
        </w:tc>
        <w:tc>
          <w:tcPr>
            <w:tcW w:w="549" w:type="dxa"/>
          </w:tcPr>
          <w:p w14:paraId="6799C474" w14:textId="77777777" w:rsidR="00A663F1" w:rsidRDefault="00E46EDB">
            <w:pPr>
              <w:pStyle w:val="TableParagraph"/>
              <w:ind w:left="110"/>
              <w:rPr>
                <w:b/>
                <w:sz w:val="20"/>
              </w:rPr>
            </w:pPr>
            <w:r>
              <w:rPr>
                <w:b/>
                <w:w w:val="99"/>
                <w:sz w:val="20"/>
              </w:rPr>
              <w:t>7</w:t>
            </w:r>
          </w:p>
        </w:tc>
        <w:tc>
          <w:tcPr>
            <w:tcW w:w="551" w:type="dxa"/>
          </w:tcPr>
          <w:p w14:paraId="11127FDE" w14:textId="77777777" w:rsidR="00A663F1" w:rsidRDefault="00E46EDB">
            <w:pPr>
              <w:pStyle w:val="TableParagraph"/>
              <w:ind w:left="111"/>
              <w:rPr>
                <w:b/>
                <w:sz w:val="20"/>
              </w:rPr>
            </w:pPr>
            <w:r>
              <w:rPr>
                <w:b/>
                <w:w w:val="99"/>
                <w:sz w:val="20"/>
              </w:rPr>
              <w:t>8</w:t>
            </w:r>
          </w:p>
        </w:tc>
        <w:tc>
          <w:tcPr>
            <w:tcW w:w="549" w:type="dxa"/>
          </w:tcPr>
          <w:p w14:paraId="0DC02671" w14:textId="77777777" w:rsidR="00A663F1" w:rsidRDefault="00E46EDB">
            <w:pPr>
              <w:pStyle w:val="TableParagraph"/>
              <w:ind w:left="110"/>
              <w:rPr>
                <w:b/>
                <w:sz w:val="20"/>
              </w:rPr>
            </w:pPr>
            <w:r>
              <w:rPr>
                <w:b/>
                <w:w w:val="99"/>
                <w:sz w:val="20"/>
              </w:rPr>
              <w:t>9</w:t>
            </w:r>
          </w:p>
        </w:tc>
        <w:tc>
          <w:tcPr>
            <w:tcW w:w="717" w:type="dxa"/>
          </w:tcPr>
          <w:p w14:paraId="1F8F78C5" w14:textId="77777777" w:rsidR="00A663F1" w:rsidRDefault="00E46EDB">
            <w:pPr>
              <w:pStyle w:val="TableParagraph"/>
              <w:ind w:left="113"/>
              <w:rPr>
                <w:b/>
                <w:sz w:val="20"/>
              </w:rPr>
            </w:pPr>
            <w:r>
              <w:rPr>
                <w:b/>
                <w:sz w:val="20"/>
              </w:rPr>
              <w:t>10</w:t>
            </w:r>
          </w:p>
        </w:tc>
      </w:tr>
      <w:tr w:rsidR="00A663F1" w14:paraId="7384D715" w14:textId="77777777">
        <w:trPr>
          <w:trHeight w:val="350"/>
        </w:trPr>
        <w:tc>
          <w:tcPr>
            <w:tcW w:w="3562" w:type="dxa"/>
          </w:tcPr>
          <w:p w14:paraId="7D8211D7" w14:textId="77777777" w:rsidR="00A663F1" w:rsidRDefault="00E46EDB">
            <w:pPr>
              <w:pStyle w:val="TableParagraph"/>
              <w:ind w:left="107"/>
              <w:rPr>
                <w:b/>
                <w:sz w:val="20"/>
              </w:rPr>
            </w:pPr>
            <w:r>
              <w:rPr>
                <w:b/>
                <w:sz w:val="20"/>
              </w:rPr>
              <w:t>Caseload – marginal benefit (‘000s)</w:t>
            </w:r>
          </w:p>
        </w:tc>
        <w:tc>
          <w:tcPr>
            <w:tcW w:w="549" w:type="dxa"/>
          </w:tcPr>
          <w:p w14:paraId="01F35C8C" w14:textId="77777777" w:rsidR="00A663F1" w:rsidRDefault="00E46EDB">
            <w:pPr>
              <w:pStyle w:val="TableParagraph"/>
              <w:ind w:left="107"/>
              <w:rPr>
                <w:sz w:val="20"/>
              </w:rPr>
            </w:pPr>
            <w:r>
              <w:rPr>
                <w:sz w:val="20"/>
              </w:rPr>
              <w:t>639</w:t>
            </w:r>
          </w:p>
        </w:tc>
        <w:tc>
          <w:tcPr>
            <w:tcW w:w="552" w:type="dxa"/>
          </w:tcPr>
          <w:p w14:paraId="703208A6" w14:textId="77777777" w:rsidR="00A663F1" w:rsidRDefault="00E46EDB">
            <w:pPr>
              <w:pStyle w:val="TableParagraph"/>
              <w:ind w:left="108"/>
              <w:rPr>
                <w:sz w:val="20"/>
              </w:rPr>
            </w:pPr>
            <w:r>
              <w:rPr>
                <w:sz w:val="20"/>
              </w:rPr>
              <w:t>673</w:t>
            </w:r>
          </w:p>
        </w:tc>
        <w:tc>
          <w:tcPr>
            <w:tcW w:w="549" w:type="dxa"/>
          </w:tcPr>
          <w:p w14:paraId="4A82C570" w14:textId="77777777" w:rsidR="00A663F1" w:rsidRDefault="00E46EDB">
            <w:pPr>
              <w:pStyle w:val="TableParagraph"/>
              <w:ind w:left="106"/>
              <w:rPr>
                <w:sz w:val="20"/>
              </w:rPr>
            </w:pPr>
            <w:r>
              <w:rPr>
                <w:sz w:val="20"/>
              </w:rPr>
              <w:t>710</w:t>
            </w:r>
          </w:p>
        </w:tc>
        <w:tc>
          <w:tcPr>
            <w:tcW w:w="549" w:type="dxa"/>
          </w:tcPr>
          <w:p w14:paraId="15DD3148" w14:textId="77777777" w:rsidR="00A663F1" w:rsidRDefault="00E46EDB">
            <w:pPr>
              <w:pStyle w:val="TableParagraph"/>
              <w:ind w:left="109"/>
              <w:rPr>
                <w:sz w:val="20"/>
              </w:rPr>
            </w:pPr>
            <w:r>
              <w:rPr>
                <w:sz w:val="20"/>
              </w:rPr>
              <w:t>748</w:t>
            </w:r>
          </w:p>
        </w:tc>
        <w:tc>
          <w:tcPr>
            <w:tcW w:w="549" w:type="dxa"/>
          </w:tcPr>
          <w:p w14:paraId="61B85798" w14:textId="77777777" w:rsidR="00A663F1" w:rsidRDefault="00E46EDB">
            <w:pPr>
              <w:pStyle w:val="TableParagraph"/>
              <w:ind w:left="110"/>
              <w:rPr>
                <w:sz w:val="20"/>
              </w:rPr>
            </w:pPr>
            <w:r>
              <w:rPr>
                <w:sz w:val="20"/>
              </w:rPr>
              <w:t>788</w:t>
            </w:r>
          </w:p>
        </w:tc>
        <w:tc>
          <w:tcPr>
            <w:tcW w:w="550" w:type="dxa"/>
          </w:tcPr>
          <w:p w14:paraId="78054426" w14:textId="77777777" w:rsidR="00A663F1" w:rsidRDefault="00E46EDB">
            <w:pPr>
              <w:pStyle w:val="TableParagraph"/>
              <w:ind w:left="111"/>
              <w:rPr>
                <w:sz w:val="20"/>
              </w:rPr>
            </w:pPr>
            <w:r>
              <w:rPr>
                <w:sz w:val="20"/>
              </w:rPr>
              <w:t>831</w:t>
            </w:r>
          </w:p>
        </w:tc>
        <w:tc>
          <w:tcPr>
            <w:tcW w:w="549" w:type="dxa"/>
          </w:tcPr>
          <w:p w14:paraId="7D144F27" w14:textId="77777777" w:rsidR="00A663F1" w:rsidRDefault="00E46EDB">
            <w:pPr>
              <w:pStyle w:val="TableParagraph"/>
              <w:ind w:left="110"/>
              <w:rPr>
                <w:sz w:val="20"/>
              </w:rPr>
            </w:pPr>
            <w:r>
              <w:rPr>
                <w:sz w:val="20"/>
              </w:rPr>
              <w:t>876</w:t>
            </w:r>
          </w:p>
        </w:tc>
        <w:tc>
          <w:tcPr>
            <w:tcW w:w="551" w:type="dxa"/>
          </w:tcPr>
          <w:p w14:paraId="0F2D73FF" w14:textId="77777777" w:rsidR="00A663F1" w:rsidRDefault="00E46EDB">
            <w:pPr>
              <w:pStyle w:val="TableParagraph"/>
              <w:ind w:left="111"/>
              <w:rPr>
                <w:sz w:val="20"/>
              </w:rPr>
            </w:pPr>
            <w:r>
              <w:rPr>
                <w:sz w:val="20"/>
              </w:rPr>
              <w:t>923</w:t>
            </w:r>
          </w:p>
        </w:tc>
        <w:tc>
          <w:tcPr>
            <w:tcW w:w="549" w:type="dxa"/>
          </w:tcPr>
          <w:p w14:paraId="5DC7B59B" w14:textId="77777777" w:rsidR="00A663F1" w:rsidRDefault="00E46EDB">
            <w:pPr>
              <w:pStyle w:val="TableParagraph"/>
              <w:ind w:left="110"/>
              <w:rPr>
                <w:sz w:val="20"/>
              </w:rPr>
            </w:pPr>
            <w:r>
              <w:rPr>
                <w:sz w:val="20"/>
              </w:rPr>
              <w:t>973</w:t>
            </w:r>
          </w:p>
        </w:tc>
        <w:tc>
          <w:tcPr>
            <w:tcW w:w="717" w:type="dxa"/>
          </w:tcPr>
          <w:p w14:paraId="518EEF72" w14:textId="77777777" w:rsidR="00A663F1" w:rsidRDefault="00E46EDB">
            <w:pPr>
              <w:pStyle w:val="TableParagraph"/>
              <w:ind w:left="113"/>
              <w:rPr>
                <w:sz w:val="20"/>
              </w:rPr>
            </w:pPr>
            <w:r>
              <w:rPr>
                <w:sz w:val="20"/>
              </w:rPr>
              <w:t>1,026</w:t>
            </w:r>
          </w:p>
        </w:tc>
      </w:tr>
      <w:tr w:rsidR="00A663F1" w14:paraId="6DEEB17E" w14:textId="77777777">
        <w:trPr>
          <w:trHeight w:val="350"/>
        </w:trPr>
        <w:tc>
          <w:tcPr>
            <w:tcW w:w="3562" w:type="dxa"/>
          </w:tcPr>
          <w:p w14:paraId="4A3C2555" w14:textId="77777777" w:rsidR="00A663F1" w:rsidRDefault="00E46EDB">
            <w:pPr>
              <w:pStyle w:val="TableParagraph"/>
              <w:ind w:left="107"/>
              <w:rPr>
                <w:b/>
                <w:sz w:val="20"/>
              </w:rPr>
            </w:pPr>
            <w:r>
              <w:rPr>
                <w:b/>
                <w:sz w:val="20"/>
              </w:rPr>
              <w:t>Benefit/£m</w:t>
            </w:r>
          </w:p>
        </w:tc>
        <w:tc>
          <w:tcPr>
            <w:tcW w:w="549" w:type="dxa"/>
          </w:tcPr>
          <w:p w14:paraId="00710C84" w14:textId="77777777" w:rsidR="00A663F1" w:rsidRDefault="00E46EDB">
            <w:pPr>
              <w:pStyle w:val="TableParagraph"/>
              <w:ind w:left="107"/>
              <w:rPr>
                <w:sz w:val="20"/>
              </w:rPr>
            </w:pPr>
            <w:r>
              <w:rPr>
                <w:sz w:val="20"/>
              </w:rPr>
              <w:t>81</w:t>
            </w:r>
          </w:p>
        </w:tc>
        <w:tc>
          <w:tcPr>
            <w:tcW w:w="552" w:type="dxa"/>
          </w:tcPr>
          <w:p w14:paraId="0BF9E73E" w14:textId="77777777" w:rsidR="00A663F1" w:rsidRDefault="00E46EDB">
            <w:pPr>
              <w:pStyle w:val="TableParagraph"/>
              <w:ind w:left="108"/>
              <w:rPr>
                <w:sz w:val="20"/>
              </w:rPr>
            </w:pPr>
            <w:r>
              <w:rPr>
                <w:sz w:val="20"/>
              </w:rPr>
              <w:t>86</w:t>
            </w:r>
          </w:p>
        </w:tc>
        <w:tc>
          <w:tcPr>
            <w:tcW w:w="549" w:type="dxa"/>
          </w:tcPr>
          <w:p w14:paraId="0D28ED5A" w14:textId="77777777" w:rsidR="00A663F1" w:rsidRDefault="00E46EDB">
            <w:pPr>
              <w:pStyle w:val="TableParagraph"/>
              <w:ind w:left="106"/>
              <w:rPr>
                <w:sz w:val="20"/>
              </w:rPr>
            </w:pPr>
            <w:r>
              <w:rPr>
                <w:sz w:val="20"/>
              </w:rPr>
              <w:t>90</w:t>
            </w:r>
          </w:p>
        </w:tc>
        <w:tc>
          <w:tcPr>
            <w:tcW w:w="549" w:type="dxa"/>
          </w:tcPr>
          <w:p w14:paraId="76263AAB" w14:textId="77777777" w:rsidR="00A663F1" w:rsidRDefault="00E46EDB">
            <w:pPr>
              <w:pStyle w:val="TableParagraph"/>
              <w:ind w:left="109"/>
              <w:rPr>
                <w:sz w:val="20"/>
              </w:rPr>
            </w:pPr>
            <w:r>
              <w:rPr>
                <w:sz w:val="20"/>
              </w:rPr>
              <w:t>95</w:t>
            </w:r>
          </w:p>
        </w:tc>
        <w:tc>
          <w:tcPr>
            <w:tcW w:w="549" w:type="dxa"/>
          </w:tcPr>
          <w:p w14:paraId="33A5B7AF" w14:textId="77777777" w:rsidR="00A663F1" w:rsidRDefault="00E46EDB">
            <w:pPr>
              <w:pStyle w:val="TableParagraph"/>
              <w:ind w:left="110"/>
              <w:rPr>
                <w:sz w:val="20"/>
              </w:rPr>
            </w:pPr>
            <w:r>
              <w:rPr>
                <w:sz w:val="20"/>
              </w:rPr>
              <w:t>100</w:t>
            </w:r>
          </w:p>
        </w:tc>
        <w:tc>
          <w:tcPr>
            <w:tcW w:w="550" w:type="dxa"/>
          </w:tcPr>
          <w:p w14:paraId="778472B0" w14:textId="77777777" w:rsidR="00A663F1" w:rsidRDefault="00E46EDB">
            <w:pPr>
              <w:pStyle w:val="TableParagraph"/>
              <w:ind w:left="111"/>
              <w:rPr>
                <w:sz w:val="20"/>
              </w:rPr>
            </w:pPr>
            <w:r>
              <w:rPr>
                <w:sz w:val="20"/>
              </w:rPr>
              <w:t>106</w:t>
            </w:r>
          </w:p>
        </w:tc>
        <w:tc>
          <w:tcPr>
            <w:tcW w:w="549" w:type="dxa"/>
          </w:tcPr>
          <w:p w14:paraId="2F30BA08" w14:textId="77777777" w:rsidR="00A663F1" w:rsidRDefault="00E46EDB">
            <w:pPr>
              <w:pStyle w:val="TableParagraph"/>
              <w:ind w:left="110"/>
              <w:rPr>
                <w:sz w:val="20"/>
              </w:rPr>
            </w:pPr>
            <w:r>
              <w:rPr>
                <w:sz w:val="20"/>
              </w:rPr>
              <w:t>112</w:t>
            </w:r>
          </w:p>
        </w:tc>
        <w:tc>
          <w:tcPr>
            <w:tcW w:w="551" w:type="dxa"/>
          </w:tcPr>
          <w:p w14:paraId="7B5D948D" w14:textId="77777777" w:rsidR="00A663F1" w:rsidRDefault="00E46EDB">
            <w:pPr>
              <w:pStyle w:val="TableParagraph"/>
              <w:ind w:left="111"/>
              <w:rPr>
                <w:sz w:val="20"/>
              </w:rPr>
            </w:pPr>
            <w:r>
              <w:rPr>
                <w:sz w:val="20"/>
              </w:rPr>
              <w:t>118</w:t>
            </w:r>
          </w:p>
        </w:tc>
        <w:tc>
          <w:tcPr>
            <w:tcW w:w="549" w:type="dxa"/>
          </w:tcPr>
          <w:p w14:paraId="5018E8A5" w14:textId="77777777" w:rsidR="00A663F1" w:rsidRDefault="00E46EDB">
            <w:pPr>
              <w:pStyle w:val="TableParagraph"/>
              <w:ind w:left="110"/>
              <w:rPr>
                <w:sz w:val="20"/>
              </w:rPr>
            </w:pPr>
            <w:r>
              <w:rPr>
                <w:sz w:val="20"/>
              </w:rPr>
              <w:t>124</w:t>
            </w:r>
          </w:p>
        </w:tc>
        <w:tc>
          <w:tcPr>
            <w:tcW w:w="717" w:type="dxa"/>
          </w:tcPr>
          <w:p w14:paraId="66A1F2DB" w14:textId="77777777" w:rsidR="00A663F1" w:rsidRDefault="00E46EDB">
            <w:pPr>
              <w:pStyle w:val="TableParagraph"/>
              <w:ind w:left="113"/>
              <w:rPr>
                <w:sz w:val="20"/>
              </w:rPr>
            </w:pPr>
            <w:r>
              <w:rPr>
                <w:sz w:val="20"/>
              </w:rPr>
              <w:t>131</w:t>
            </w:r>
          </w:p>
        </w:tc>
      </w:tr>
      <w:tr w:rsidR="00A663F1" w14:paraId="4B0DD4FF" w14:textId="77777777">
        <w:trPr>
          <w:trHeight w:val="350"/>
        </w:trPr>
        <w:tc>
          <w:tcPr>
            <w:tcW w:w="3562" w:type="dxa"/>
          </w:tcPr>
          <w:p w14:paraId="791C2B3A" w14:textId="77777777" w:rsidR="00A663F1" w:rsidRDefault="00E46EDB">
            <w:pPr>
              <w:pStyle w:val="TableParagraph"/>
              <w:ind w:left="107"/>
              <w:rPr>
                <w:b/>
                <w:sz w:val="20"/>
              </w:rPr>
            </w:pPr>
            <w:r>
              <w:rPr>
                <w:b/>
                <w:sz w:val="20"/>
              </w:rPr>
              <w:t>Caseload – full benefit (‘000s)</w:t>
            </w:r>
          </w:p>
        </w:tc>
        <w:tc>
          <w:tcPr>
            <w:tcW w:w="549" w:type="dxa"/>
          </w:tcPr>
          <w:p w14:paraId="48B34508" w14:textId="77777777" w:rsidR="00A663F1" w:rsidRDefault="00E46EDB">
            <w:pPr>
              <w:pStyle w:val="TableParagraph"/>
              <w:ind w:left="107"/>
              <w:rPr>
                <w:sz w:val="20"/>
              </w:rPr>
            </w:pPr>
            <w:r>
              <w:rPr>
                <w:sz w:val="20"/>
              </w:rPr>
              <w:t>69</w:t>
            </w:r>
          </w:p>
        </w:tc>
        <w:tc>
          <w:tcPr>
            <w:tcW w:w="552" w:type="dxa"/>
          </w:tcPr>
          <w:p w14:paraId="206C3294" w14:textId="77777777" w:rsidR="00A663F1" w:rsidRDefault="00E46EDB">
            <w:pPr>
              <w:pStyle w:val="TableParagraph"/>
              <w:ind w:left="108"/>
              <w:rPr>
                <w:sz w:val="20"/>
              </w:rPr>
            </w:pPr>
            <w:r>
              <w:rPr>
                <w:sz w:val="20"/>
              </w:rPr>
              <w:t>119</w:t>
            </w:r>
          </w:p>
        </w:tc>
        <w:tc>
          <w:tcPr>
            <w:tcW w:w="549" w:type="dxa"/>
          </w:tcPr>
          <w:p w14:paraId="71DD161A" w14:textId="77777777" w:rsidR="00A663F1" w:rsidRDefault="00E46EDB">
            <w:pPr>
              <w:pStyle w:val="TableParagraph"/>
              <w:ind w:left="106"/>
              <w:rPr>
                <w:sz w:val="20"/>
              </w:rPr>
            </w:pPr>
            <w:r>
              <w:rPr>
                <w:sz w:val="20"/>
              </w:rPr>
              <w:t>127</w:t>
            </w:r>
          </w:p>
        </w:tc>
        <w:tc>
          <w:tcPr>
            <w:tcW w:w="549" w:type="dxa"/>
          </w:tcPr>
          <w:p w14:paraId="49A5E871" w14:textId="77777777" w:rsidR="00A663F1" w:rsidRDefault="00E46EDB">
            <w:pPr>
              <w:pStyle w:val="TableParagraph"/>
              <w:ind w:left="109"/>
              <w:rPr>
                <w:sz w:val="20"/>
              </w:rPr>
            </w:pPr>
            <w:r>
              <w:rPr>
                <w:sz w:val="20"/>
              </w:rPr>
              <w:t>135</w:t>
            </w:r>
          </w:p>
        </w:tc>
        <w:tc>
          <w:tcPr>
            <w:tcW w:w="549" w:type="dxa"/>
          </w:tcPr>
          <w:p w14:paraId="7CD320C5" w14:textId="77777777" w:rsidR="00A663F1" w:rsidRDefault="00E46EDB">
            <w:pPr>
              <w:pStyle w:val="TableParagraph"/>
              <w:ind w:left="110"/>
              <w:rPr>
                <w:sz w:val="20"/>
              </w:rPr>
            </w:pPr>
            <w:r>
              <w:rPr>
                <w:sz w:val="20"/>
              </w:rPr>
              <w:t>144</w:t>
            </w:r>
          </w:p>
        </w:tc>
        <w:tc>
          <w:tcPr>
            <w:tcW w:w="550" w:type="dxa"/>
          </w:tcPr>
          <w:p w14:paraId="4A9D3115" w14:textId="77777777" w:rsidR="00A663F1" w:rsidRDefault="00E46EDB">
            <w:pPr>
              <w:pStyle w:val="TableParagraph"/>
              <w:ind w:left="111"/>
              <w:rPr>
                <w:sz w:val="20"/>
              </w:rPr>
            </w:pPr>
            <w:r>
              <w:rPr>
                <w:sz w:val="20"/>
              </w:rPr>
              <w:t>152</w:t>
            </w:r>
          </w:p>
        </w:tc>
        <w:tc>
          <w:tcPr>
            <w:tcW w:w="549" w:type="dxa"/>
          </w:tcPr>
          <w:p w14:paraId="0B70D4DD" w14:textId="77777777" w:rsidR="00A663F1" w:rsidRDefault="00E46EDB">
            <w:pPr>
              <w:pStyle w:val="TableParagraph"/>
              <w:ind w:left="110"/>
              <w:rPr>
                <w:sz w:val="20"/>
              </w:rPr>
            </w:pPr>
            <w:r>
              <w:rPr>
                <w:sz w:val="20"/>
              </w:rPr>
              <w:t>161</w:t>
            </w:r>
          </w:p>
        </w:tc>
        <w:tc>
          <w:tcPr>
            <w:tcW w:w="551" w:type="dxa"/>
          </w:tcPr>
          <w:p w14:paraId="02A2DAC9" w14:textId="77777777" w:rsidR="00A663F1" w:rsidRDefault="00E46EDB">
            <w:pPr>
              <w:pStyle w:val="TableParagraph"/>
              <w:ind w:left="111"/>
              <w:rPr>
                <w:sz w:val="20"/>
              </w:rPr>
            </w:pPr>
            <w:r>
              <w:rPr>
                <w:sz w:val="20"/>
              </w:rPr>
              <w:t>170</w:t>
            </w:r>
          </w:p>
        </w:tc>
        <w:tc>
          <w:tcPr>
            <w:tcW w:w="549" w:type="dxa"/>
          </w:tcPr>
          <w:p w14:paraId="3CB002D9" w14:textId="77777777" w:rsidR="00A663F1" w:rsidRDefault="00E46EDB">
            <w:pPr>
              <w:pStyle w:val="TableParagraph"/>
              <w:ind w:left="110"/>
              <w:rPr>
                <w:sz w:val="20"/>
              </w:rPr>
            </w:pPr>
            <w:r>
              <w:rPr>
                <w:sz w:val="20"/>
              </w:rPr>
              <w:t>180</w:t>
            </w:r>
          </w:p>
        </w:tc>
        <w:tc>
          <w:tcPr>
            <w:tcW w:w="717" w:type="dxa"/>
          </w:tcPr>
          <w:p w14:paraId="476A10A8" w14:textId="77777777" w:rsidR="00A663F1" w:rsidRDefault="00E46EDB">
            <w:pPr>
              <w:pStyle w:val="TableParagraph"/>
              <w:ind w:left="113"/>
              <w:rPr>
                <w:sz w:val="20"/>
              </w:rPr>
            </w:pPr>
            <w:r>
              <w:rPr>
                <w:sz w:val="20"/>
              </w:rPr>
              <w:t>190</w:t>
            </w:r>
          </w:p>
        </w:tc>
      </w:tr>
      <w:tr w:rsidR="00A663F1" w14:paraId="5631BD09" w14:textId="77777777">
        <w:trPr>
          <w:trHeight w:val="350"/>
        </w:trPr>
        <w:tc>
          <w:tcPr>
            <w:tcW w:w="3562" w:type="dxa"/>
          </w:tcPr>
          <w:p w14:paraId="6CB11DEA" w14:textId="77777777" w:rsidR="00A663F1" w:rsidRDefault="00E46EDB">
            <w:pPr>
              <w:pStyle w:val="TableParagraph"/>
              <w:ind w:left="107"/>
              <w:rPr>
                <w:b/>
                <w:sz w:val="20"/>
              </w:rPr>
            </w:pPr>
            <w:r>
              <w:rPr>
                <w:b/>
                <w:sz w:val="20"/>
              </w:rPr>
              <w:t>Benefit/£m</w:t>
            </w:r>
          </w:p>
        </w:tc>
        <w:tc>
          <w:tcPr>
            <w:tcW w:w="549" w:type="dxa"/>
          </w:tcPr>
          <w:p w14:paraId="61D58DB2" w14:textId="77777777" w:rsidR="00A663F1" w:rsidRDefault="00E46EDB">
            <w:pPr>
              <w:pStyle w:val="TableParagraph"/>
              <w:ind w:left="107"/>
              <w:rPr>
                <w:sz w:val="20"/>
              </w:rPr>
            </w:pPr>
            <w:r>
              <w:rPr>
                <w:sz w:val="20"/>
              </w:rPr>
              <w:t>72</w:t>
            </w:r>
          </w:p>
        </w:tc>
        <w:tc>
          <w:tcPr>
            <w:tcW w:w="552" w:type="dxa"/>
          </w:tcPr>
          <w:p w14:paraId="58A9D0E3" w14:textId="77777777" w:rsidR="00A663F1" w:rsidRDefault="00E46EDB">
            <w:pPr>
              <w:pStyle w:val="TableParagraph"/>
              <w:ind w:left="108"/>
              <w:rPr>
                <w:sz w:val="20"/>
              </w:rPr>
            </w:pPr>
            <w:r>
              <w:rPr>
                <w:sz w:val="20"/>
              </w:rPr>
              <w:t>124</w:t>
            </w:r>
          </w:p>
        </w:tc>
        <w:tc>
          <w:tcPr>
            <w:tcW w:w="549" w:type="dxa"/>
          </w:tcPr>
          <w:p w14:paraId="05BF6B89" w14:textId="77777777" w:rsidR="00A663F1" w:rsidRDefault="00E46EDB">
            <w:pPr>
              <w:pStyle w:val="TableParagraph"/>
              <w:ind w:left="106"/>
              <w:rPr>
                <w:sz w:val="20"/>
              </w:rPr>
            </w:pPr>
            <w:r>
              <w:rPr>
                <w:sz w:val="20"/>
              </w:rPr>
              <w:t>132</w:t>
            </w:r>
          </w:p>
        </w:tc>
        <w:tc>
          <w:tcPr>
            <w:tcW w:w="549" w:type="dxa"/>
          </w:tcPr>
          <w:p w14:paraId="1B8D1CCC" w14:textId="77777777" w:rsidR="00A663F1" w:rsidRDefault="00E46EDB">
            <w:pPr>
              <w:pStyle w:val="TableParagraph"/>
              <w:ind w:left="109"/>
              <w:rPr>
                <w:sz w:val="20"/>
              </w:rPr>
            </w:pPr>
            <w:r>
              <w:rPr>
                <w:sz w:val="20"/>
              </w:rPr>
              <w:t>141</w:t>
            </w:r>
          </w:p>
        </w:tc>
        <w:tc>
          <w:tcPr>
            <w:tcW w:w="549" w:type="dxa"/>
          </w:tcPr>
          <w:p w14:paraId="0F96702A" w14:textId="77777777" w:rsidR="00A663F1" w:rsidRDefault="00E46EDB">
            <w:pPr>
              <w:pStyle w:val="TableParagraph"/>
              <w:ind w:left="110"/>
              <w:rPr>
                <w:sz w:val="20"/>
              </w:rPr>
            </w:pPr>
            <w:r>
              <w:rPr>
                <w:sz w:val="20"/>
              </w:rPr>
              <w:t>149</w:t>
            </w:r>
          </w:p>
        </w:tc>
        <w:tc>
          <w:tcPr>
            <w:tcW w:w="550" w:type="dxa"/>
          </w:tcPr>
          <w:p w14:paraId="1959BBA0" w14:textId="77777777" w:rsidR="00A663F1" w:rsidRDefault="00E46EDB">
            <w:pPr>
              <w:pStyle w:val="TableParagraph"/>
              <w:ind w:left="111"/>
              <w:rPr>
                <w:sz w:val="20"/>
              </w:rPr>
            </w:pPr>
            <w:r>
              <w:rPr>
                <w:sz w:val="20"/>
              </w:rPr>
              <w:t>158</w:t>
            </w:r>
          </w:p>
        </w:tc>
        <w:tc>
          <w:tcPr>
            <w:tcW w:w="549" w:type="dxa"/>
          </w:tcPr>
          <w:p w14:paraId="227F9DBA" w14:textId="77777777" w:rsidR="00A663F1" w:rsidRDefault="00E46EDB">
            <w:pPr>
              <w:pStyle w:val="TableParagraph"/>
              <w:ind w:left="110"/>
              <w:rPr>
                <w:sz w:val="20"/>
              </w:rPr>
            </w:pPr>
            <w:r>
              <w:rPr>
                <w:sz w:val="20"/>
              </w:rPr>
              <w:t>168</w:t>
            </w:r>
          </w:p>
        </w:tc>
        <w:tc>
          <w:tcPr>
            <w:tcW w:w="551" w:type="dxa"/>
          </w:tcPr>
          <w:p w14:paraId="14D2AFAE" w14:textId="77777777" w:rsidR="00A663F1" w:rsidRDefault="00E46EDB">
            <w:pPr>
              <w:pStyle w:val="TableParagraph"/>
              <w:ind w:left="111"/>
              <w:rPr>
                <w:sz w:val="20"/>
              </w:rPr>
            </w:pPr>
            <w:r>
              <w:rPr>
                <w:sz w:val="20"/>
              </w:rPr>
              <w:t>177</w:t>
            </w:r>
          </w:p>
        </w:tc>
        <w:tc>
          <w:tcPr>
            <w:tcW w:w="549" w:type="dxa"/>
          </w:tcPr>
          <w:p w14:paraId="71AA6825" w14:textId="77777777" w:rsidR="00A663F1" w:rsidRDefault="00E46EDB">
            <w:pPr>
              <w:pStyle w:val="TableParagraph"/>
              <w:ind w:left="110"/>
              <w:rPr>
                <w:sz w:val="20"/>
              </w:rPr>
            </w:pPr>
            <w:r>
              <w:rPr>
                <w:sz w:val="20"/>
              </w:rPr>
              <w:t>187</w:t>
            </w:r>
          </w:p>
        </w:tc>
        <w:tc>
          <w:tcPr>
            <w:tcW w:w="717" w:type="dxa"/>
          </w:tcPr>
          <w:p w14:paraId="316A4DA7" w14:textId="77777777" w:rsidR="00A663F1" w:rsidRDefault="00E46EDB">
            <w:pPr>
              <w:pStyle w:val="TableParagraph"/>
              <w:ind w:left="113"/>
              <w:rPr>
                <w:sz w:val="20"/>
              </w:rPr>
            </w:pPr>
            <w:r>
              <w:rPr>
                <w:sz w:val="20"/>
              </w:rPr>
              <w:t>198</w:t>
            </w:r>
          </w:p>
        </w:tc>
      </w:tr>
      <w:tr w:rsidR="00A663F1" w14:paraId="511ECC4D" w14:textId="77777777">
        <w:trPr>
          <w:trHeight w:val="350"/>
        </w:trPr>
        <w:tc>
          <w:tcPr>
            <w:tcW w:w="3562" w:type="dxa"/>
          </w:tcPr>
          <w:p w14:paraId="4D2DD30B" w14:textId="77777777" w:rsidR="00A663F1" w:rsidRDefault="00E46EDB">
            <w:pPr>
              <w:pStyle w:val="TableParagraph"/>
              <w:ind w:left="107"/>
              <w:rPr>
                <w:b/>
                <w:sz w:val="20"/>
              </w:rPr>
            </w:pPr>
            <w:r>
              <w:rPr>
                <w:b/>
                <w:sz w:val="20"/>
              </w:rPr>
              <w:t>Total benefit/£m</w:t>
            </w:r>
          </w:p>
        </w:tc>
        <w:tc>
          <w:tcPr>
            <w:tcW w:w="549" w:type="dxa"/>
          </w:tcPr>
          <w:p w14:paraId="72061F7D" w14:textId="77777777" w:rsidR="00A663F1" w:rsidRDefault="00E46EDB">
            <w:pPr>
              <w:pStyle w:val="TableParagraph"/>
              <w:ind w:left="107"/>
              <w:rPr>
                <w:sz w:val="20"/>
              </w:rPr>
            </w:pPr>
            <w:r>
              <w:rPr>
                <w:sz w:val="20"/>
              </w:rPr>
              <w:t>154</w:t>
            </w:r>
          </w:p>
        </w:tc>
        <w:tc>
          <w:tcPr>
            <w:tcW w:w="552" w:type="dxa"/>
          </w:tcPr>
          <w:p w14:paraId="6FF2FE16" w14:textId="77777777" w:rsidR="00A663F1" w:rsidRDefault="00E46EDB">
            <w:pPr>
              <w:pStyle w:val="TableParagraph"/>
              <w:ind w:left="108"/>
              <w:rPr>
                <w:sz w:val="20"/>
              </w:rPr>
            </w:pPr>
            <w:r>
              <w:rPr>
                <w:sz w:val="20"/>
              </w:rPr>
              <w:t>210</w:t>
            </w:r>
          </w:p>
        </w:tc>
        <w:tc>
          <w:tcPr>
            <w:tcW w:w="549" w:type="dxa"/>
          </w:tcPr>
          <w:p w14:paraId="580A7F9C" w14:textId="77777777" w:rsidR="00A663F1" w:rsidRDefault="00E46EDB">
            <w:pPr>
              <w:pStyle w:val="TableParagraph"/>
              <w:ind w:left="106"/>
              <w:rPr>
                <w:sz w:val="20"/>
              </w:rPr>
            </w:pPr>
            <w:r>
              <w:rPr>
                <w:sz w:val="20"/>
              </w:rPr>
              <w:t>223</w:t>
            </w:r>
          </w:p>
        </w:tc>
        <w:tc>
          <w:tcPr>
            <w:tcW w:w="549" w:type="dxa"/>
          </w:tcPr>
          <w:p w14:paraId="25CE79FC" w14:textId="77777777" w:rsidR="00A663F1" w:rsidRDefault="00E46EDB">
            <w:pPr>
              <w:pStyle w:val="TableParagraph"/>
              <w:ind w:left="109"/>
              <w:rPr>
                <w:sz w:val="20"/>
              </w:rPr>
            </w:pPr>
            <w:r>
              <w:rPr>
                <w:sz w:val="20"/>
              </w:rPr>
              <w:t>236</w:t>
            </w:r>
          </w:p>
        </w:tc>
        <w:tc>
          <w:tcPr>
            <w:tcW w:w="549" w:type="dxa"/>
          </w:tcPr>
          <w:p w14:paraId="7D2A8B1D" w14:textId="77777777" w:rsidR="00A663F1" w:rsidRDefault="00E46EDB">
            <w:pPr>
              <w:pStyle w:val="TableParagraph"/>
              <w:ind w:left="110"/>
              <w:rPr>
                <w:sz w:val="20"/>
              </w:rPr>
            </w:pPr>
            <w:r>
              <w:rPr>
                <w:sz w:val="20"/>
              </w:rPr>
              <w:t>250</w:t>
            </w:r>
          </w:p>
        </w:tc>
        <w:tc>
          <w:tcPr>
            <w:tcW w:w="550" w:type="dxa"/>
          </w:tcPr>
          <w:p w14:paraId="6427DE2E" w14:textId="77777777" w:rsidR="00A663F1" w:rsidRDefault="00E46EDB">
            <w:pPr>
              <w:pStyle w:val="TableParagraph"/>
              <w:ind w:left="111"/>
              <w:rPr>
                <w:sz w:val="20"/>
              </w:rPr>
            </w:pPr>
            <w:r>
              <w:rPr>
                <w:sz w:val="20"/>
              </w:rPr>
              <w:t>264</w:t>
            </w:r>
          </w:p>
        </w:tc>
        <w:tc>
          <w:tcPr>
            <w:tcW w:w="549" w:type="dxa"/>
          </w:tcPr>
          <w:p w14:paraId="68837448" w14:textId="77777777" w:rsidR="00A663F1" w:rsidRDefault="00E46EDB">
            <w:pPr>
              <w:pStyle w:val="TableParagraph"/>
              <w:ind w:left="110"/>
              <w:rPr>
                <w:sz w:val="20"/>
              </w:rPr>
            </w:pPr>
            <w:r>
              <w:rPr>
                <w:sz w:val="20"/>
              </w:rPr>
              <w:t>279</w:t>
            </w:r>
          </w:p>
        </w:tc>
        <w:tc>
          <w:tcPr>
            <w:tcW w:w="551" w:type="dxa"/>
          </w:tcPr>
          <w:p w14:paraId="1610EBBD" w14:textId="77777777" w:rsidR="00A663F1" w:rsidRDefault="00E46EDB">
            <w:pPr>
              <w:pStyle w:val="TableParagraph"/>
              <w:ind w:left="111"/>
              <w:rPr>
                <w:sz w:val="20"/>
              </w:rPr>
            </w:pPr>
            <w:r>
              <w:rPr>
                <w:sz w:val="20"/>
              </w:rPr>
              <w:t>295</w:t>
            </w:r>
          </w:p>
        </w:tc>
        <w:tc>
          <w:tcPr>
            <w:tcW w:w="549" w:type="dxa"/>
          </w:tcPr>
          <w:p w14:paraId="2230759F" w14:textId="77777777" w:rsidR="00A663F1" w:rsidRDefault="00E46EDB">
            <w:pPr>
              <w:pStyle w:val="TableParagraph"/>
              <w:ind w:left="110"/>
              <w:rPr>
                <w:sz w:val="20"/>
              </w:rPr>
            </w:pPr>
            <w:r>
              <w:rPr>
                <w:sz w:val="20"/>
              </w:rPr>
              <w:t>311</w:t>
            </w:r>
          </w:p>
        </w:tc>
        <w:tc>
          <w:tcPr>
            <w:tcW w:w="717" w:type="dxa"/>
          </w:tcPr>
          <w:p w14:paraId="381D24F0" w14:textId="77777777" w:rsidR="00A663F1" w:rsidRDefault="00E46EDB">
            <w:pPr>
              <w:pStyle w:val="TableParagraph"/>
              <w:ind w:left="113"/>
              <w:rPr>
                <w:sz w:val="20"/>
              </w:rPr>
            </w:pPr>
            <w:r>
              <w:rPr>
                <w:sz w:val="20"/>
              </w:rPr>
              <w:t>328</w:t>
            </w:r>
          </w:p>
        </w:tc>
      </w:tr>
    </w:tbl>
    <w:p w14:paraId="259079E5" w14:textId="77777777" w:rsidR="00A663F1" w:rsidRDefault="00E46EDB">
      <w:pPr>
        <w:ind w:left="1073"/>
        <w:rPr>
          <w:i/>
        </w:rPr>
      </w:pPr>
      <w:r>
        <w:rPr>
          <w:b/>
          <w:i/>
          <w:u w:val="single"/>
        </w:rPr>
        <w:t xml:space="preserve">Table 6: </w:t>
      </w:r>
      <w:r>
        <w:rPr>
          <w:i/>
          <w:u w:val="single"/>
        </w:rPr>
        <w:t>Benefits of Breathing Space to debtors by year between 2021-22 and 2030-31.</w:t>
      </w:r>
    </w:p>
    <w:p w14:paraId="32A10A74" w14:textId="77777777" w:rsidR="00A663F1" w:rsidRDefault="00A663F1">
      <w:pPr>
        <w:sectPr w:rsidR="00A663F1">
          <w:pgSz w:w="11910" w:h="16850"/>
          <w:pgMar w:top="680" w:right="720" w:bottom="1020" w:left="600" w:header="0" w:footer="761" w:gutter="0"/>
          <w:cols w:space="720"/>
        </w:sectPr>
      </w:pPr>
    </w:p>
    <w:p w14:paraId="671AC9D2" w14:textId="77777777" w:rsidR="00A663F1" w:rsidRDefault="00E46EDB">
      <w:pPr>
        <w:pStyle w:val="Heading1"/>
        <w:numPr>
          <w:ilvl w:val="0"/>
          <w:numId w:val="9"/>
        </w:numPr>
        <w:tabs>
          <w:tab w:val="left" w:pos="613"/>
        </w:tabs>
        <w:spacing w:before="81"/>
      </w:pPr>
      <w:r>
        <w:lastRenderedPageBreak/>
        <w:t>Regulatory Breathing Space – benefits to</w:t>
      </w:r>
      <w:r>
        <w:rPr>
          <w:spacing w:val="-6"/>
        </w:rPr>
        <w:t xml:space="preserve"> </w:t>
      </w:r>
      <w:r>
        <w:t>creditors</w:t>
      </w:r>
    </w:p>
    <w:p w14:paraId="09BD7AA6" w14:textId="77777777" w:rsidR="00A663F1" w:rsidRDefault="00E46EDB">
      <w:pPr>
        <w:pStyle w:val="ListParagraph"/>
        <w:numPr>
          <w:ilvl w:val="1"/>
          <w:numId w:val="9"/>
        </w:numPr>
        <w:tabs>
          <w:tab w:val="left" w:pos="1692"/>
          <w:tab w:val="left" w:pos="1693"/>
        </w:tabs>
        <w:spacing w:before="140" w:line="259" w:lineRule="auto"/>
        <w:ind w:right="438"/>
      </w:pPr>
      <w:r>
        <w:t>People in problem debt who seek debt advice repay more to their creditors. Under Breathing Space, this benefit will be more pronounced. The creditor behaviour that causes people in problem debt either to enter inappropriate debt solutions or to disengage with debt advice will be prohibited under Breathing Space. As a result, fewer debtors will enter the most readily accessible debt solution rather than the most appropriate, and fewer debtors will disengage with debt advice under the strain of impending enforcement action and spiralling debts before they manage to find a debt</w:t>
      </w:r>
      <w:r>
        <w:rPr>
          <w:spacing w:val="-12"/>
        </w:rPr>
        <w:t xml:space="preserve"> </w:t>
      </w:r>
      <w:r>
        <w:t>solution.</w:t>
      </w:r>
    </w:p>
    <w:p w14:paraId="4516E15C" w14:textId="77777777" w:rsidR="00A663F1" w:rsidRDefault="00E46EDB">
      <w:pPr>
        <w:pStyle w:val="ListParagraph"/>
        <w:numPr>
          <w:ilvl w:val="1"/>
          <w:numId w:val="9"/>
        </w:numPr>
        <w:tabs>
          <w:tab w:val="left" w:pos="1692"/>
          <w:tab w:val="left" w:pos="1693"/>
        </w:tabs>
        <w:spacing w:before="118" w:line="259" w:lineRule="auto"/>
        <w:ind w:right="315"/>
      </w:pPr>
      <w:r>
        <w:t>Not all debtors who receive debt advice will enter debt solutions. Longitudinal research conducted for the Money and Pensions Service suggests that 84% of people in problem debt who agree to undertake an action following debt advice subsequently undertake that action. As only people in problem debt who have a realistic chance of entering a debt solution are eligible for Breathing Space, it is reasonable to assume that all debtors who enter Breathing Space will be advised to enter some form of debt solution. MAPS’ finding suggests that 84% will subsequently enter that solution, while 16% will</w:t>
      </w:r>
      <w:r>
        <w:rPr>
          <w:spacing w:val="-4"/>
        </w:rPr>
        <w:t xml:space="preserve"> </w:t>
      </w:r>
      <w:r>
        <w:t>not.</w:t>
      </w:r>
    </w:p>
    <w:p w14:paraId="19D062F6" w14:textId="77777777" w:rsidR="00A663F1" w:rsidRDefault="00E46EDB">
      <w:pPr>
        <w:pStyle w:val="ListParagraph"/>
        <w:numPr>
          <w:ilvl w:val="1"/>
          <w:numId w:val="9"/>
        </w:numPr>
        <w:tabs>
          <w:tab w:val="left" w:pos="1692"/>
          <w:tab w:val="left" w:pos="1693"/>
        </w:tabs>
        <w:spacing w:before="121" w:line="256" w:lineRule="auto"/>
        <w:ind w:right="512"/>
      </w:pPr>
      <w:r>
        <w:t>Europe Economics estimate that debtors who are advised to enter Debt Management Plans (DMPs) or Individual Voluntary Arrangements (IVAs) repay their creditors an</w:t>
      </w:r>
      <w:r>
        <w:rPr>
          <w:spacing w:val="-28"/>
        </w:rPr>
        <w:t xml:space="preserve"> </w:t>
      </w:r>
      <w:r>
        <w:t>additional</w:t>
      </w:r>
    </w:p>
    <w:p w14:paraId="6A71375B" w14:textId="77777777" w:rsidR="00A663F1" w:rsidRDefault="00E46EDB">
      <w:pPr>
        <w:pStyle w:val="BodyText"/>
        <w:spacing w:before="4" w:line="259" w:lineRule="auto"/>
        <w:ind w:right="194" w:firstLine="0"/>
      </w:pPr>
      <w:r>
        <w:t>£3,522. StepChange estimate that debtors who seek advice repay an additional £858. The difference is driven by the fact that Europe Economics look only at two types of formal debt solution, whereas StepChange look at debt solutions ranging from a formal debt solution to budgeting advice. As described in paragraph 7.10, both figures are uplifted by 14% to reflect the enhanced value of debt advice under Breathing Space. This yields a benefit to creditors of</w:t>
      </w:r>
    </w:p>
    <w:p w14:paraId="14657C8C" w14:textId="77777777" w:rsidR="00A663F1" w:rsidRDefault="00E46EDB">
      <w:pPr>
        <w:pStyle w:val="BodyText"/>
        <w:spacing w:before="0" w:line="259" w:lineRule="auto"/>
        <w:ind w:right="316" w:firstLine="0"/>
      </w:pPr>
      <w:r>
        <w:t>£4,015 in respect of debtors who enter debt solutions and £979 in respect of those who do not. The marginal benefit is therefore £493 or £121, respectively.</w:t>
      </w:r>
    </w:p>
    <w:p w14:paraId="1467BC36" w14:textId="77777777" w:rsidR="00A663F1" w:rsidRDefault="00E46EDB">
      <w:pPr>
        <w:pStyle w:val="ListParagraph"/>
        <w:numPr>
          <w:ilvl w:val="1"/>
          <w:numId w:val="9"/>
        </w:numPr>
        <w:tabs>
          <w:tab w:val="left" w:pos="1692"/>
          <w:tab w:val="left" w:pos="1693"/>
        </w:tabs>
        <w:spacing w:before="118" w:line="259" w:lineRule="auto"/>
        <w:ind w:right="220"/>
      </w:pPr>
      <w:r>
        <w:t>The cohorts who receive debt advice under Breathing Space but not in the counterfactual and who receive debt advice in both Breathing Space and the counterfactual are each divided into further cohorts. These further cohorts reflect the fact that 84% of the people in each cohort will enter debt solutions while 16% will not. This division is reflected in table 7</w:t>
      </w:r>
      <w:r>
        <w:rPr>
          <w:spacing w:val="-15"/>
        </w:rPr>
        <w:t xml:space="preserve"> </w:t>
      </w:r>
      <w:r>
        <w:t>below.</w:t>
      </w:r>
    </w:p>
    <w:p w14:paraId="6AAC23AE" w14:textId="77777777" w:rsidR="00A663F1" w:rsidRDefault="00A663F1">
      <w:pPr>
        <w:pStyle w:val="BodyText"/>
        <w:spacing w:before="2"/>
        <w:ind w:left="0" w:firstLine="0"/>
        <w:rPr>
          <w:sz w:val="10"/>
        </w:rPr>
      </w:pPr>
    </w:p>
    <w:tbl>
      <w:tblPr>
        <w:tblW w:w="0" w:type="auto"/>
        <w:tblInd w:w="13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97"/>
        <w:gridCol w:w="716"/>
        <w:gridCol w:w="550"/>
        <w:gridCol w:w="550"/>
        <w:gridCol w:w="553"/>
        <w:gridCol w:w="550"/>
        <w:gridCol w:w="550"/>
        <w:gridCol w:w="550"/>
        <w:gridCol w:w="551"/>
        <w:gridCol w:w="550"/>
        <w:gridCol w:w="552"/>
        <w:gridCol w:w="715"/>
      </w:tblGrid>
      <w:tr w:rsidR="00A663F1" w14:paraId="231EC303" w14:textId="77777777">
        <w:trPr>
          <w:trHeight w:val="290"/>
        </w:trPr>
        <w:tc>
          <w:tcPr>
            <w:tcW w:w="1597" w:type="dxa"/>
          </w:tcPr>
          <w:p w14:paraId="68E1AFA9" w14:textId="77777777" w:rsidR="00A663F1" w:rsidRDefault="00A663F1">
            <w:pPr>
              <w:pStyle w:val="TableParagraph"/>
              <w:spacing w:line="240" w:lineRule="auto"/>
              <w:rPr>
                <w:rFonts w:ascii="Times New Roman"/>
                <w:sz w:val="20"/>
              </w:rPr>
            </w:pPr>
          </w:p>
        </w:tc>
        <w:tc>
          <w:tcPr>
            <w:tcW w:w="716" w:type="dxa"/>
          </w:tcPr>
          <w:p w14:paraId="351CE45A" w14:textId="77777777" w:rsidR="00A663F1" w:rsidRDefault="00E46EDB">
            <w:pPr>
              <w:pStyle w:val="TableParagraph"/>
              <w:ind w:left="107"/>
              <w:rPr>
                <w:b/>
                <w:sz w:val="20"/>
              </w:rPr>
            </w:pPr>
            <w:r>
              <w:rPr>
                <w:b/>
                <w:sz w:val="20"/>
              </w:rPr>
              <w:t>Code</w:t>
            </w:r>
          </w:p>
        </w:tc>
        <w:tc>
          <w:tcPr>
            <w:tcW w:w="550" w:type="dxa"/>
          </w:tcPr>
          <w:p w14:paraId="30711123" w14:textId="77777777" w:rsidR="00A663F1" w:rsidRDefault="00E46EDB">
            <w:pPr>
              <w:pStyle w:val="TableParagraph"/>
              <w:ind w:right="97"/>
              <w:jc w:val="right"/>
              <w:rPr>
                <w:b/>
                <w:sz w:val="20"/>
              </w:rPr>
            </w:pPr>
            <w:r>
              <w:rPr>
                <w:b/>
                <w:w w:val="99"/>
                <w:sz w:val="20"/>
              </w:rPr>
              <w:t>1</w:t>
            </w:r>
          </w:p>
        </w:tc>
        <w:tc>
          <w:tcPr>
            <w:tcW w:w="550" w:type="dxa"/>
          </w:tcPr>
          <w:p w14:paraId="7CAB2748" w14:textId="77777777" w:rsidR="00A663F1" w:rsidRDefault="00E46EDB">
            <w:pPr>
              <w:pStyle w:val="TableParagraph"/>
              <w:ind w:right="95"/>
              <w:jc w:val="right"/>
              <w:rPr>
                <w:b/>
                <w:sz w:val="20"/>
              </w:rPr>
            </w:pPr>
            <w:r>
              <w:rPr>
                <w:b/>
                <w:w w:val="99"/>
                <w:sz w:val="20"/>
              </w:rPr>
              <w:t>2</w:t>
            </w:r>
          </w:p>
        </w:tc>
        <w:tc>
          <w:tcPr>
            <w:tcW w:w="553" w:type="dxa"/>
          </w:tcPr>
          <w:p w14:paraId="4D0EDE81" w14:textId="77777777" w:rsidR="00A663F1" w:rsidRDefault="00E46EDB">
            <w:pPr>
              <w:pStyle w:val="TableParagraph"/>
              <w:ind w:right="98"/>
              <w:jc w:val="right"/>
              <w:rPr>
                <w:b/>
                <w:sz w:val="20"/>
              </w:rPr>
            </w:pPr>
            <w:r>
              <w:rPr>
                <w:b/>
                <w:w w:val="99"/>
                <w:sz w:val="20"/>
              </w:rPr>
              <w:t>3</w:t>
            </w:r>
          </w:p>
        </w:tc>
        <w:tc>
          <w:tcPr>
            <w:tcW w:w="550" w:type="dxa"/>
          </w:tcPr>
          <w:p w14:paraId="4E7AE3B0" w14:textId="77777777" w:rsidR="00A663F1" w:rsidRDefault="00E46EDB">
            <w:pPr>
              <w:pStyle w:val="TableParagraph"/>
              <w:ind w:left="328"/>
              <w:rPr>
                <w:b/>
                <w:sz w:val="20"/>
              </w:rPr>
            </w:pPr>
            <w:r>
              <w:rPr>
                <w:b/>
                <w:w w:val="99"/>
                <w:sz w:val="20"/>
              </w:rPr>
              <w:t>4</w:t>
            </w:r>
          </w:p>
        </w:tc>
        <w:tc>
          <w:tcPr>
            <w:tcW w:w="550" w:type="dxa"/>
          </w:tcPr>
          <w:p w14:paraId="5B7DB532" w14:textId="77777777" w:rsidR="00A663F1" w:rsidRDefault="00E46EDB">
            <w:pPr>
              <w:pStyle w:val="TableParagraph"/>
              <w:ind w:left="327"/>
              <w:rPr>
                <w:b/>
                <w:sz w:val="20"/>
              </w:rPr>
            </w:pPr>
            <w:r>
              <w:rPr>
                <w:b/>
                <w:w w:val="99"/>
                <w:sz w:val="20"/>
              </w:rPr>
              <w:t>5</w:t>
            </w:r>
          </w:p>
        </w:tc>
        <w:tc>
          <w:tcPr>
            <w:tcW w:w="550" w:type="dxa"/>
          </w:tcPr>
          <w:p w14:paraId="009D2C57" w14:textId="77777777" w:rsidR="00A663F1" w:rsidRDefault="00E46EDB">
            <w:pPr>
              <w:pStyle w:val="TableParagraph"/>
              <w:ind w:left="327"/>
              <w:rPr>
                <w:b/>
                <w:sz w:val="20"/>
              </w:rPr>
            </w:pPr>
            <w:r>
              <w:rPr>
                <w:b/>
                <w:w w:val="99"/>
                <w:sz w:val="20"/>
              </w:rPr>
              <w:t>6</w:t>
            </w:r>
          </w:p>
        </w:tc>
        <w:tc>
          <w:tcPr>
            <w:tcW w:w="551" w:type="dxa"/>
          </w:tcPr>
          <w:p w14:paraId="28BAABAC" w14:textId="77777777" w:rsidR="00A663F1" w:rsidRDefault="00E46EDB">
            <w:pPr>
              <w:pStyle w:val="TableParagraph"/>
              <w:ind w:left="327"/>
              <w:rPr>
                <w:b/>
                <w:sz w:val="20"/>
              </w:rPr>
            </w:pPr>
            <w:r>
              <w:rPr>
                <w:b/>
                <w:w w:val="99"/>
                <w:sz w:val="20"/>
              </w:rPr>
              <w:t>7</w:t>
            </w:r>
          </w:p>
        </w:tc>
        <w:tc>
          <w:tcPr>
            <w:tcW w:w="550" w:type="dxa"/>
          </w:tcPr>
          <w:p w14:paraId="1C58A374" w14:textId="77777777" w:rsidR="00A663F1" w:rsidRDefault="00E46EDB">
            <w:pPr>
              <w:pStyle w:val="TableParagraph"/>
              <w:ind w:left="328"/>
              <w:rPr>
                <w:b/>
                <w:sz w:val="20"/>
              </w:rPr>
            </w:pPr>
            <w:r>
              <w:rPr>
                <w:b/>
                <w:w w:val="99"/>
                <w:sz w:val="20"/>
              </w:rPr>
              <w:t>8</w:t>
            </w:r>
          </w:p>
        </w:tc>
        <w:tc>
          <w:tcPr>
            <w:tcW w:w="552" w:type="dxa"/>
          </w:tcPr>
          <w:p w14:paraId="0F836070" w14:textId="77777777" w:rsidR="00A663F1" w:rsidRDefault="00E46EDB">
            <w:pPr>
              <w:pStyle w:val="TableParagraph"/>
              <w:ind w:right="100"/>
              <w:jc w:val="right"/>
              <w:rPr>
                <w:b/>
                <w:sz w:val="20"/>
              </w:rPr>
            </w:pPr>
            <w:r>
              <w:rPr>
                <w:b/>
                <w:w w:val="99"/>
                <w:sz w:val="20"/>
              </w:rPr>
              <w:t>9</w:t>
            </w:r>
          </w:p>
        </w:tc>
        <w:tc>
          <w:tcPr>
            <w:tcW w:w="715" w:type="dxa"/>
          </w:tcPr>
          <w:p w14:paraId="3E1768DD" w14:textId="77777777" w:rsidR="00A663F1" w:rsidRDefault="00E46EDB">
            <w:pPr>
              <w:pStyle w:val="TableParagraph"/>
              <w:ind w:right="101"/>
              <w:jc w:val="right"/>
              <w:rPr>
                <w:b/>
                <w:sz w:val="20"/>
              </w:rPr>
            </w:pPr>
            <w:r>
              <w:rPr>
                <w:b/>
                <w:sz w:val="20"/>
              </w:rPr>
              <w:t>10</w:t>
            </w:r>
          </w:p>
        </w:tc>
      </w:tr>
      <w:tr w:rsidR="00A663F1" w14:paraId="1F241ECE" w14:textId="77777777">
        <w:trPr>
          <w:trHeight w:val="690"/>
        </w:trPr>
        <w:tc>
          <w:tcPr>
            <w:tcW w:w="1597" w:type="dxa"/>
          </w:tcPr>
          <w:p w14:paraId="6E2C0847" w14:textId="77777777" w:rsidR="00A663F1" w:rsidRDefault="00E46EDB">
            <w:pPr>
              <w:pStyle w:val="TableParagraph"/>
              <w:spacing w:before="3" w:line="230" w:lineRule="exact"/>
              <w:ind w:left="110" w:right="89"/>
              <w:rPr>
                <w:b/>
                <w:sz w:val="20"/>
              </w:rPr>
            </w:pPr>
            <w:r>
              <w:rPr>
                <w:b/>
                <w:sz w:val="20"/>
              </w:rPr>
              <w:t xml:space="preserve">Receive debt advice in the </w:t>
            </w:r>
            <w:r>
              <w:rPr>
                <w:b/>
                <w:w w:val="95"/>
                <w:sz w:val="20"/>
              </w:rPr>
              <w:t>counterfactual</w:t>
            </w:r>
          </w:p>
        </w:tc>
        <w:tc>
          <w:tcPr>
            <w:tcW w:w="716" w:type="dxa"/>
            <w:tcBorders>
              <w:top w:val="nil"/>
              <w:left w:val="nil"/>
              <w:bottom w:val="nil"/>
              <w:right w:val="nil"/>
            </w:tcBorders>
            <w:shd w:val="clear" w:color="auto" w:fill="000000"/>
          </w:tcPr>
          <w:p w14:paraId="2A4682DB" w14:textId="77777777" w:rsidR="00A663F1" w:rsidRDefault="00A663F1">
            <w:pPr>
              <w:pStyle w:val="TableParagraph"/>
              <w:spacing w:line="240" w:lineRule="auto"/>
              <w:rPr>
                <w:rFonts w:ascii="Times New Roman"/>
                <w:sz w:val="20"/>
              </w:rPr>
            </w:pPr>
          </w:p>
        </w:tc>
        <w:tc>
          <w:tcPr>
            <w:tcW w:w="550" w:type="dxa"/>
          </w:tcPr>
          <w:p w14:paraId="6E16D729" w14:textId="77777777" w:rsidR="00A663F1" w:rsidRDefault="00A663F1">
            <w:pPr>
              <w:pStyle w:val="TableParagraph"/>
              <w:spacing w:before="11" w:line="240" w:lineRule="auto"/>
              <w:rPr>
                <w:sz w:val="19"/>
              </w:rPr>
            </w:pPr>
          </w:p>
          <w:p w14:paraId="7D49244C" w14:textId="77777777" w:rsidR="00A663F1" w:rsidRDefault="00E46EDB">
            <w:pPr>
              <w:pStyle w:val="TableParagraph"/>
              <w:spacing w:line="240" w:lineRule="auto"/>
              <w:ind w:right="100"/>
              <w:jc w:val="right"/>
              <w:rPr>
                <w:sz w:val="20"/>
              </w:rPr>
            </w:pPr>
            <w:r>
              <w:rPr>
                <w:w w:val="95"/>
                <w:sz w:val="20"/>
              </w:rPr>
              <w:t>639</w:t>
            </w:r>
          </w:p>
        </w:tc>
        <w:tc>
          <w:tcPr>
            <w:tcW w:w="550" w:type="dxa"/>
          </w:tcPr>
          <w:p w14:paraId="7A0260BB" w14:textId="77777777" w:rsidR="00A663F1" w:rsidRDefault="00A663F1">
            <w:pPr>
              <w:pStyle w:val="TableParagraph"/>
              <w:spacing w:before="11" w:line="240" w:lineRule="auto"/>
              <w:rPr>
                <w:sz w:val="19"/>
              </w:rPr>
            </w:pPr>
          </w:p>
          <w:p w14:paraId="4845E024" w14:textId="77777777" w:rsidR="00A663F1" w:rsidRDefault="00E46EDB">
            <w:pPr>
              <w:pStyle w:val="TableParagraph"/>
              <w:spacing w:line="240" w:lineRule="auto"/>
              <w:ind w:right="98"/>
              <w:jc w:val="right"/>
              <w:rPr>
                <w:sz w:val="20"/>
              </w:rPr>
            </w:pPr>
            <w:r>
              <w:rPr>
                <w:w w:val="95"/>
                <w:sz w:val="20"/>
              </w:rPr>
              <w:t>673</w:t>
            </w:r>
          </w:p>
        </w:tc>
        <w:tc>
          <w:tcPr>
            <w:tcW w:w="553" w:type="dxa"/>
          </w:tcPr>
          <w:p w14:paraId="3BB4A8CF" w14:textId="77777777" w:rsidR="00A663F1" w:rsidRDefault="00A663F1">
            <w:pPr>
              <w:pStyle w:val="TableParagraph"/>
              <w:spacing w:before="11" w:line="240" w:lineRule="auto"/>
              <w:rPr>
                <w:sz w:val="19"/>
              </w:rPr>
            </w:pPr>
          </w:p>
          <w:p w14:paraId="1CBCDDF9" w14:textId="77777777" w:rsidR="00A663F1" w:rsidRDefault="00E46EDB">
            <w:pPr>
              <w:pStyle w:val="TableParagraph"/>
              <w:spacing w:line="240" w:lineRule="auto"/>
              <w:ind w:right="101"/>
              <w:jc w:val="right"/>
              <w:rPr>
                <w:sz w:val="20"/>
              </w:rPr>
            </w:pPr>
            <w:r>
              <w:rPr>
                <w:w w:val="95"/>
                <w:sz w:val="20"/>
              </w:rPr>
              <w:t>710</w:t>
            </w:r>
          </w:p>
        </w:tc>
        <w:tc>
          <w:tcPr>
            <w:tcW w:w="550" w:type="dxa"/>
          </w:tcPr>
          <w:p w14:paraId="149C6BF5" w14:textId="77777777" w:rsidR="00A663F1" w:rsidRDefault="00A663F1">
            <w:pPr>
              <w:pStyle w:val="TableParagraph"/>
              <w:spacing w:before="11" w:line="240" w:lineRule="auto"/>
              <w:rPr>
                <w:sz w:val="19"/>
              </w:rPr>
            </w:pPr>
          </w:p>
          <w:p w14:paraId="4FE648F4" w14:textId="77777777" w:rsidR="00A663F1" w:rsidRDefault="00E46EDB">
            <w:pPr>
              <w:pStyle w:val="TableParagraph"/>
              <w:spacing w:line="240" w:lineRule="auto"/>
              <w:ind w:left="105"/>
              <w:rPr>
                <w:sz w:val="20"/>
              </w:rPr>
            </w:pPr>
            <w:r>
              <w:rPr>
                <w:sz w:val="20"/>
              </w:rPr>
              <w:t>748</w:t>
            </w:r>
          </w:p>
        </w:tc>
        <w:tc>
          <w:tcPr>
            <w:tcW w:w="550" w:type="dxa"/>
          </w:tcPr>
          <w:p w14:paraId="5089A643" w14:textId="77777777" w:rsidR="00A663F1" w:rsidRDefault="00A663F1">
            <w:pPr>
              <w:pStyle w:val="TableParagraph"/>
              <w:spacing w:before="11" w:line="240" w:lineRule="auto"/>
              <w:rPr>
                <w:sz w:val="19"/>
              </w:rPr>
            </w:pPr>
          </w:p>
          <w:p w14:paraId="4BBC2837" w14:textId="77777777" w:rsidR="00A663F1" w:rsidRDefault="00E46EDB">
            <w:pPr>
              <w:pStyle w:val="TableParagraph"/>
              <w:spacing w:line="240" w:lineRule="auto"/>
              <w:ind w:left="104"/>
              <w:rPr>
                <w:sz w:val="20"/>
              </w:rPr>
            </w:pPr>
            <w:r>
              <w:rPr>
                <w:sz w:val="20"/>
              </w:rPr>
              <w:t>788</w:t>
            </w:r>
          </w:p>
        </w:tc>
        <w:tc>
          <w:tcPr>
            <w:tcW w:w="550" w:type="dxa"/>
          </w:tcPr>
          <w:p w14:paraId="0C5F9196" w14:textId="77777777" w:rsidR="00A663F1" w:rsidRDefault="00A663F1">
            <w:pPr>
              <w:pStyle w:val="TableParagraph"/>
              <w:spacing w:before="11" w:line="240" w:lineRule="auto"/>
              <w:rPr>
                <w:sz w:val="19"/>
              </w:rPr>
            </w:pPr>
          </w:p>
          <w:p w14:paraId="4960E588" w14:textId="77777777" w:rsidR="00A663F1" w:rsidRDefault="00E46EDB">
            <w:pPr>
              <w:pStyle w:val="TableParagraph"/>
              <w:spacing w:line="240" w:lineRule="auto"/>
              <w:ind w:left="104"/>
              <w:rPr>
                <w:sz w:val="20"/>
              </w:rPr>
            </w:pPr>
            <w:r>
              <w:rPr>
                <w:sz w:val="20"/>
              </w:rPr>
              <w:t>831</w:t>
            </w:r>
          </w:p>
        </w:tc>
        <w:tc>
          <w:tcPr>
            <w:tcW w:w="551" w:type="dxa"/>
          </w:tcPr>
          <w:p w14:paraId="25527B88" w14:textId="77777777" w:rsidR="00A663F1" w:rsidRDefault="00A663F1">
            <w:pPr>
              <w:pStyle w:val="TableParagraph"/>
              <w:spacing w:before="11" w:line="240" w:lineRule="auto"/>
              <w:rPr>
                <w:sz w:val="19"/>
              </w:rPr>
            </w:pPr>
          </w:p>
          <w:p w14:paraId="6859E42D" w14:textId="77777777" w:rsidR="00A663F1" w:rsidRDefault="00E46EDB">
            <w:pPr>
              <w:pStyle w:val="TableParagraph"/>
              <w:spacing w:line="240" w:lineRule="auto"/>
              <w:ind w:left="103"/>
              <w:rPr>
                <w:sz w:val="20"/>
              </w:rPr>
            </w:pPr>
            <w:r>
              <w:rPr>
                <w:sz w:val="20"/>
              </w:rPr>
              <w:t>876</w:t>
            </w:r>
          </w:p>
        </w:tc>
        <w:tc>
          <w:tcPr>
            <w:tcW w:w="550" w:type="dxa"/>
          </w:tcPr>
          <w:p w14:paraId="5B936F08" w14:textId="77777777" w:rsidR="00A663F1" w:rsidRDefault="00A663F1">
            <w:pPr>
              <w:pStyle w:val="TableParagraph"/>
              <w:spacing w:before="11" w:line="240" w:lineRule="auto"/>
              <w:rPr>
                <w:sz w:val="19"/>
              </w:rPr>
            </w:pPr>
          </w:p>
          <w:p w14:paraId="42177A32" w14:textId="77777777" w:rsidR="00A663F1" w:rsidRDefault="00E46EDB">
            <w:pPr>
              <w:pStyle w:val="TableParagraph"/>
              <w:spacing w:line="240" w:lineRule="auto"/>
              <w:ind w:left="105"/>
              <w:rPr>
                <w:sz w:val="20"/>
              </w:rPr>
            </w:pPr>
            <w:r>
              <w:rPr>
                <w:sz w:val="20"/>
              </w:rPr>
              <w:t>923</w:t>
            </w:r>
          </w:p>
        </w:tc>
        <w:tc>
          <w:tcPr>
            <w:tcW w:w="552" w:type="dxa"/>
          </w:tcPr>
          <w:p w14:paraId="19B7A669" w14:textId="77777777" w:rsidR="00A663F1" w:rsidRDefault="00A663F1">
            <w:pPr>
              <w:pStyle w:val="TableParagraph"/>
              <w:spacing w:before="11" w:line="240" w:lineRule="auto"/>
              <w:rPr>
                <w:sz w:val="19"/>
              </w:rPr>
            </w:pPr>
          </w:p>
          <w:p w14:paraId="3577C03E" w14:textId="77777777" w:rsidR="00A663F1" w:rsidRDefault="00E46EDB">
            <w:pPr>
              <w:pStyle w:val="TableParagraph"/>
              <w:spacing w:line="240" w:lineRule="auto"/>
              <w:ind w:right="103"/>
              <w:jc w:val="right"/>
              <w:rPr>
                <w:sz w:val="20"/>
              </w:rPr>
            </w:pPr>
            <w:r>
              <w:rPr>
                <w:w w:val="95"/>
                <w:sz w:val="20"/>
              </w:rPr>
              <w:t>973</w:t>
            </w:r>
          </w:p>
        </w:tc>
        <w:tc>
          <w:tcPr>
            <w:tcW w:w="715" w:type="dxa"/>
          </w:tcPr>
          <w:p w14:paraId="4E16E9E8" w14:textId="77777777" w:rsidR="00A663F1" w:rsidRDefault="00A663F1">
            <w:pPr>
              <w:pStyle w:val="TableParagraph"/>
              <w:spacing w:before="11" w:line="240" w:lineRule="auto"/>
              <w:rPr>
                <w:sz w:val="19"/>
              </w:rPr>
            </w:pPr>
          </w:p>
          <w:p w14:paraId="60184BE3" w14:textId="77777777" w:rsidR="00A663F1" w:rsidRDefault="00E46EDB">
            <w:pPr>
              <w:pStyle w:val="TableParagraph"/>
              <w:spacing w:line="240" w:lineRule="auto"/>
              <w:ind w:right="100"/>
              <w:jc w:val="right"/>
              <w:rPr>
                <w:sz w:val="20"/>
              </w:rPr>
            </w:pPr>
            <w:r>
              <w:rPr>
                <w:w w:val="95"/>
                <w:sz w:val="20"/>
              </w:rPr>
              <w:t>1,026</w:t>
            </w:r>
          </w:p>
        </w:tc>
      </w:tr>
      <w:tr w:rsidR="00A663F1" w14:paraId="46E6535A" w14:textId="77777777">
        <w:trPr>
          <w:trHeight w:val="458"/>
        </w:trPr>
        <w:tc>
          <w:tcPr>
            <w:tcW w:w="1597" w:type="dxa"/>
          </w:tcPr>
          <w:p w14:paraId="47BE886C" w14:textId="77777777" w:rsidR="00A663F1" w:rsidRDefault="00E46EDB">
            <w:pPr>
              <w:pStyle w:val="TableParagraph"/>
              <w:spacing w:before="1" w:line="230" w:lineRule="exact"/>
              <w:ind w:left="110" w:right="89" w:firstLine="55"/>
              <w:rPr>
                <w:sz w:val="20"/>
              </w:rPr>
            </w:pPr>
            <w:r>
              <w:rPr>
                <w:sz w:val="20"/>
              </w:rPr>
              <w:t>o/w enter a solution</w:t>
            </w:r>
          </w:p>
        </w:tc>
        <w:tc>
          <w:tcPr>
            <w:tcW w:w="716" w:type="dxa"/>
            <w:tcBorders>
              <w:top w:val="nil"/>
            </w:tcBorders>
          </w:tcPr>
          <w:p w14:paraId="73846AED" w14:textId="77777777" w:rsidR="00A663F1" w:rsidRDefault="00E46EDB">
            <w:pPr>
              <w:pStyle w:val="TableParagraph"/>
              <w:spacing w:line="227" w:lineRule="exact"/>
              <w:ind w:left="107"/>
              <w:rPr>
                <w:sz w:val="20"/>
              </w:rPr>
            </w:pPr>
            <w:r>
              <w:rPr>
                <w:w w:val="99"/>
                <w:sz w:val="20"/>
              </w:rPr>
              <w:t>A</w:t>
            </w:r>
          </w:p>
        </w:tc>
        <w:tc>
          <w:tcPr>
            <w:tcW w:w="550" w:type="dxa"/>
          </w:tcPr>
          <w:p w14:paraId="3A07022E" w14:textId="77777777" w:rsidR="00A663F1" w:rsidRDefault="00A663F1">
            <w:pPr>
              <w:pStyle w:val="TableParagraph"/>
              <w:spacing w:before="9" w:line="240" w:lineRule="auto"/>
              <w:rPr>
                <w:sz w:val="19"/>
              </w:rPr>
            </w:pPr>
          </w:p>
          <w:p w14:paraId="39EB70C2" w14:textId="77777777" w:rsidR="00A663F1" w:rsidRDefault="00E46EDB">
            <w:pPr>
              <w:pStyle w:val="TableParagraph"/>
              <w:spacing w:line="211" w:lineRule="exact"/>
              <w:ind w:right="100"/>
              <w:jc w:val="right"/>
              <w:rPr>
                <w:sz w:val="20"/>
              </w:rPr>
            </w:pPr>
            <w:r>
              <w:rPr>
                <w:w w:val="95"/>
                <w:sz w:val="20"/>
              </w:rPr>
              <w:t>536</w:t>
            </w:r>
          </w:p>
        </w:tc>
        <w:tc>
          <w:tcPr>
            <w:tcW w:w="550" w:type="dxa"/>
          </w:tcPr>
          <w:p w14:paraId="18519859" w14:textId="77777777" w:rsidR="00A663F1" w:rsidRDefault="00A663F1">
            <w:pPr>
              <w:pStyle w:val="TableParagraph"/>
              <w:spacing w:before="9" w:line="240" w:lineRule="auto"/>
              <w:rPr>
                <w:sz w:val="19"/>
              </w:rPr>
            </w:pPr>
          </w:p>
          <w:p w14:paraId="0D4E47F5" w14:textId="77777777" w:rsidR="00A663F1" w:rsidRDefault="00E46EDB">
            <w:pPr>
              <w:pStyle w:val="TableParagraph"/>
              <w:spacing w:line="211" w:lineRule="exact"/>
              <w:ind w:right="98"/>
              <w:jc w:val="right"/>
              <w:rPr>
                <w:sz w:val="20"/>
              </w:rPr>
            </w:pPr>
            <w:r>
              <w:rPr>
                <w:w w:val="95"/>
                <w:sz w:val="20"/>
              </w:rPr>
              <w:t>565</w:t>
            </w:r>
          </w:p>
        </w:tc>
        <w:tc>
          <w:tcPr>
            <w:tcW w:w="553" w:type="dxa"/>
          </w:tcPr>
          <w:p w14:paraId="0F2B2945" w14:textId="77777777" w:rsidR="00A663F1" w:rsidRDefault="00A663F1">
            <w:pPr>
              <w:pStyle w:val="TableParagraph"/>
              <w:spacing w:before="9" w:line="240" w:lineRule="auto"/>
              <w:rPr>
                <w:sz w:val="19"/>
              </w:rPr>
            </w:pPr>
          </w:p>
          <w:p w14:paraId="05DAF670" w14:textId="77777777" w:rsidR="00A663F1" w:rsidRDefault="00E46EDB">
            <w:pPr>
              <w:pStyle w:val="TableParagraph"/>
              <w:spacing w:line="211" w:lineRule="exact"/>
              <w:ind w:right="101"/>
              <w:jc w:val="right"/>
              <w:rPr>
                <w:sz w:val="20"/>
              </w:rPr>
            </w:pPr>
            <w:r>
              <w:rPr>
                <w:w w:val="95"/>
                <w:sz w:val="20"/>
              </w:rPr>
              <w:t>596</w:t>
            </w:r>
          </w:p>
        </w:tc>
        <w:tc>
          <w:tcPr>
            <w:tcW w:w="550" w:type="dxa"/>
          </w:tcPr>
          <w:p w14:paraId="3C2CED45" w14:textId="77777777" w:rsidR="00A663F1" w:rsidRDefault="00A663F1">
            <w:pPr>
              <w:pStyle w:val="TableParagraph"/>
              <w:spacing w:before="9" w:line="240" w:lineRule="auto"/>
              <w:rPr>
                <w:sz w:val="19"/>
              </w:rPr>
            </w:pPr>
          </w:p>
          <w:p w14:paraId="22974DF4" w14:textId="77777777" w:rsidR="00A663F1" w:rsidRDefault="00E46EDB">
            <w:pPr>
              <w:pStyle w:val="TableParagraph"/>
              <w:spacing w:line="211" w:lineRule="exact"/>
              <w:ind w:left="105"/>
              <w:rPr>
                <w:sz w:val="20"/>
              </w:rPr>
            </w:pPr>
            <w:r>
              <w:rPr>
                <w:sz w:val="20"/>
              </w:rPr>
              <w:t>628</w:t>
            </w:r>
          </w:p>
        </w:tc>
        <w:tc>
          <w:tcPr>
            <w:tcW w:w="550" w:type="dxa"/>
          </w:tcPr>
          <w:p w14:paraId="219653F9" w14:textId="77777777" w:rsidR="00A663F1" w:rsidRDefault="00A663F1">
            <w:pPr>
              <w:pStyle w:val="TableParagraph"/>
              <w:spacing w:before="9" w:line="240" w:lineRule="auto"/>
              <w:rPr>
                <w:sz w:val="19"/>
              </w:rPr>
            </w:pPr>
          </w:p>
          <w:p w14:paraId="1F203221" w14:textId="77777777" w:rsidR="00A663F1" w:rsidRDefault="00E46EDB">
            <w:pPr>
              <w:pStyle w:val="TableParagraph"/>
              <w:spacing w:line="211" w:lineRule="exact"/>
              <w:ind w:left="104"/>
              <w:rPr>
                <w:sz w:val="20"/>
              </w:rPr>
            </w:pPr>
            <w:r>
              <w:rPr>
                <w:sz w:val="20"/>
              </w:rPr>
              <w:t>662</w:t>
            </w:r>
          </w:p>
        </w:tc>
        <w:tc>
          <w:tcPr>
            <w:tcW w:w="550" w:type="dxa"/>
          </w:tcPr>
          <w:p w14:paraId="312FD815" w14:textId="77777777" w:rsidR="00A663F1" w:rsidRDefault="00A663F1">
            <w:pPr>
              <w:pStyle w:val="TableParagraph"/>
              <w:spacing w:before="9" w:line="240" w:lineRule="auto"/>
              <w:rPr>
                <w:sz w:val="19"/>
              </w:rPr>
            </w:pPr>
          </w:p>
          <w:p w14:paraId="13816B08" w14:textId="77777777" w:rsidR="00A663F1" w:rsidRDefault="00E46EDB">
            <w:pPr>
              <w:pStyle w:val="TableParagraph"/>
              <w:spacing w:line="211" w:lineRule="exact"/>
              <w:ind w:left="104"/>
              <w:rPr>
                <w:sz w:val="20"/>
              </w:rPr>
            </w:pPr>
            <w:r>
              <w:rPr>
                <w:sz w:val="20"/>
              </w:rPr>
              <w:t>698</w:t>
            </w:r>
          </w:p>
        </w:tc>
        <w:tc>
          <w:tcPr>
            <w:tcW w:w="551" w:type="dxa"/>
          </w:tcPr>
          <w:p w14:paraId="66F3DDBB" w14:textId="77777777" w:rsidR="00A663F1" w:rsidRDefault="00A663F1">
            <w:pPr>
              <w:pStyle w:val="TableParagraph"/>
              <w:spacing w:before="9" w:line="240" w:lineRule="auto"/>
              <w:rPr>
                <w:sz w:val="19"/>
              </w:rPr>
            </w:pPr>
          </w:p>
          <w:p w14:paraId="348E483E" w14:textId="77777777" w:rsidR="00A663F1" w:rsidRDefault="00E46EDB">
            <w:pPr>
              <w:pStyle w:val="TableParagraph"/>
              <w:spacing w:line="211" w:lineRule="exact"/>
              <w:ind w:left="103"/>
              <w:rPr>
                <w:sz w:val="20"/>
              </w:rPr>
            </w:pPr>
            <w:r>
              <w:rPr>
                <w:sz w:val="20"/>
              </w:rPr>
              <w:t>736</w:t>
            </w:r>
          </w:p>
        </w:tc>
        <w:tc>
          <w:tcPr>
            <w:tcW w:w="550" w:type="dxa"/>
          </w:tcPr>
          <w:p w14:paraId="51764F49" w14:textId="77777777" w:rsidR="00A663F1" w:rsidRDefault="00A663F1">
            <w:pPr>
              <w:pStyle w:val="TableParagraph"/>
              <w:spacing w:before="9" w:line="240" w:lineRule="auto"/>
              <w:rPr>
                <w:sz w:val="19"/>
              </w:rPr>
            </w:pPr>
          </w:p>
          <w:p w14:paraId="42CC786A" w14:textId="77777777" w:rsidR="00A663F1" w:rsidRDefault="00E46EDB">
            <w:pPr>
              <w:pStyle w:val="TableParagraph"/>
              <w:spacing w:line="211" w:lineRule="exact"/>
              <w:ind w:left="105"/>
              <w:rPr>
                <w:sz w:val="20"/>
              </w:rPr>
            </w:pPr>
            <w:r>
              <w:rPr>
                <w:sz w:val="20"/>
              </w:rPr>
              <w:t>776</w:t>
            </w:r>
          </w:p>
        </w:tc>
        <w:tc>
          <w:tcPr>
            <w:tcW w:w="552" w:type="dxa"/>
          </w:tcPr>
          <w:p w14:paraId="39344CA1" w14:textId="77777777" w:rsidR="00A663F1" w:rsidRDefault="00A663F1">
            <w:pPr>
              <w:pStyle w:val="TableParagraph"/>
              <w:spacing w:before="9" w:line="240" w:lineRule="auto"/>
              <w:rPr>
                <w:sz w:val="19"/>
              </w:rPr>
            </w:pPr>
          </w:p>
          <w:p w14:paraId="266C9954" w14:textId="77777777" w:rsidR="00A663F1" w:rsidRDefault="00E46EDB">
            <w:pPr>
              <w:pStyle w:val="TableParagraph"/>
              <w:spacing w:line="211" w:lineRule="exact"/>
              <w:ind w:right="103"/>
              <w:jc w:val="right"/>
              <w:rPr>
                <w:sz w:val="20"/>
              </w:rPr>
            </w:pPr>
            <w:r>
              <w:rPr>
                <w:w w:val="95"/>
                <w:sz w:val="20"/>
              </w:rPr>
              <w:t>818</w:t>
            </w:r>
          </w:p>
        </w:tc>
        <w:tc>
          <w:tcPr>
            <w:tcW w:w="715" w:type="dxa"/>
          </w:tcPr>
          <w:p w14:paraId="2F42E104" w14:textId="77777777" w:rsidR="00A663F1" w:rsidRDefault="00A663F1">
            <w:pPr>
              <w:pStyle w:val="TableParagraph"/>
              <w:spacing w:before="9" w:line="240" w:lineRule="auto"/>
              <w:rPr>
                <w:sz w:val="19"/>
              </w:rPr>
            </w:pPr>
          </w:p>
          <w:p w14:paraId="33BF2474" w14:textId="77777777" w:rsidR="00A663F1" w:rsidRDefault="00E46EDB">
            <w:pPr>
              <w:pStyle w:val="TableParagraph"/>
              <w:spacing w:line="211" w:lineRule="exact"/>
              <w:ind w:left="102"/>
              <w:rPr>
                <w:sz w:val="20"/>
              </w:rPr>
            </w:pPr>
            <w:r>
              <w:rPr>
                <w:sz w:val="20"/>
              </w:rPr>
              <w:t>862</w:t>
            </w:r>
          </w:p>
        </w:tc>
      </w:tr>
      <w:tr w:rsidR="00A663F1" w14:paraId="22C1CB39" w14:textId="77777777">
        <w:trPr>
          <w:trHeight w:val="577"/>
        </w:trPr>
        <w:tc>
          <w:tcPr>
            <w:tcW w:w="1597" w:type="dxa"/>
          </w:tcPr>
          <w:p w14:paraId="0D187C0A" w14:textId="77777777" w:rsidR="00A663F1" w:rsidRDefault="00E46EDB">
            <w:pPr>
              <w:pStyle w:val="TableParagraph"/>
              <w:spacing w:line="240" w:lineRule="auto"/>
              <w:ind w:left="110" w:right="89" w:firstLine="55"/>
              <w:rPr>
                <w:sz w:val="20"/>
              </w:rPr>
            </w:pPr>
            <w:r>
              <w:rPr>
                <w:sz w:val="20"/>
              </w:rPr>
              <w:t>o/w do not enter a solution</w:t>
            </w:r>
          </w:p>
        </w:tc>
        <w:tc>
          <w:tcPr>
            <w:tcW w:w="716" w:type="dxa"/>
          </w:tcPr>
          <w:p w14:paraId="7F5B4506" w14:textId="77777777" w:rsidR="00A663F1" w:rsidRDefault="00E46EDB">
            <w:pPr>
              <w:pStyle w:val="TableParagraph"/>
              <w:spacing w:line="227" w:lineRule="exact"/>
              <w:ind w:left="107"/>
              <w:rPr>
                <w:sz w:val="20"/>
              </w:rPr>
            </w:pPr>
            <w:r>
              <w:rPr>
                <w:w w:val="99"/>
                <w:sz w:val="20"/>
              </w:rPr>
              <w:t>B</w:t>
            </w:r>
          </w:p>
        </w:tc>
        <w:tc>
          <w:tcPr>
            <w:tcW w:w="550" w:type="dxa"/>
          </w:tcPr>
          <w:p w14:paraId="6B73FCA0" w14:textId="77777777" w:rsidR="00A663F1" w:rsidRDefault="00A663F1">
            <w:pPr>
              <w:pStyle w:val="TableParagraph"/>
              <w:spacing w:before="8" w:line="240" w:lineRule="auto"/>
              <w:rPr>
                <w:sz w:val="19"/>
              </w:rPr>
            </w:pPr>
          </w:p>
          <w:p w14:paraId="5BAF734B" w14:textId="77777777" w:rsidR="00A663F1" w:rsidRDefault="00E46EDB">
            <w:pPr>
              <w:pStyle w:val="TableParagraph"/>
              <w:spacing w:line="240" w:lineRule="auto"/>
              <w:ind w:right="100"/>
              <w:jc w:val="right"/>
              <w:rPr>
                <w:sz w:val="20"/>
              </w:rPr>
            </w:pPr>
            <w:r>
              <w:rPr>
                <w:w w:val="95"/>
                <w:sz w:val="20"/>
              </w:rPr>
              <w:t>102</w:t>
            </w:r>
          </w:p>
        </w:tc>
        <w:tc>
          <w:tcPr>
            <w:tcW w:w="550" w:type="dxa"/>
          </w:tcPr>
          <w:p w14:paraId="74E6F71C" w14:textId="77777777" w:rsidR="00A663F1" w:rsidRDefault="00A663F1">
            <w:pPr>
              <w:pStyle w:val="TableParagraph"/>
              <w:spacing w:before="8" w:line="240" w:lineRule="auto"/>
              <w:rPr>
                <w:sz w:val="19"/>
              </w:rPr>
            </w:pPr>
          </w:p>
          <w:p w14:paraId="5BA2D878" w14:textId="77777777" w:rsidR="00A663F1" w:rsidRDefault="00E46EDB">
            <w:pPr>
              <w:pStyle w:val="TableParagraph"/>
              <w:spacing w:line="240" w:lineRule="auto"/>
              <w:ind w:right="98"/>
              <w:jc w:val="right"/>
              <w:rPr>
                <w:sz w:val="20"/>
              </w:rPr>
            </w:pPr>
            <w:r>
              <w:rPr>
                <w:w w:val="95"/>
                <w:sz w:val="20"/>
              </w:rPr>
              <w:t>108</w:t>
            </w:r>
          </w:p>
        </w:tc>
        <w:tc>
          <w:tcPr>
            <w:tcW w:w="553" w:type="dxa"/>
          </w:tcPr>
          <w:p w14:paraId="115751A2" w14:textId="77777777" w:rsidR="00A663F1" w:rsidRDefault="00A663F1">
            <w:pPr>
              <w:pStyle w:val="TableParagraph"/>
              <w:spacing w:before="8" w:line="240" w:lineRule="auto"/>
              <w:rPr>
                <w:sz w:val="19"/>
              </w:rPr>
            </w:pPr>
          </w:p>
          <w:p w14:paraId="5DE365C1" w14:textId="77777777" w:rsidR="00A663F1" w:rsidRDefault="00E46EDB">
            <w:pPr>
              <w:pStyle w:val="TableParagraph"/>
              <w:spacing w:line="240" w:lineRule="auto"/>
              <w:ind w:right="101"/>
              <w:jc w:val="right"/>
              <w:rPr>
                <w:sz w:val="20"/>
              </w:rPr>
            </w:pPr>
            <w:r>
              <w:rPr>
                <w:w w:val="95"/>
                <w:sz w:val="20"/>
              </w:rPr>
              <w:t>114</w:t>
            </w:r>
          </w:p>
        </w:tc>
        <w:tc>
          <w:tcPr>
            <w:tcW w:w="550" w:type="dxa"/>
          </w:tcPr>
          <w:p w14:paraId="77C375E6" w14:textId="77777777" w:rsidR="00A663F1" w:rsidRDefault="00A663F1">
            <w:pPr>
              <w:pStyle w:val="TableParagraph"/>
              <w:spacing w:before="8" w:line="240" w:lineRule="auto"/>
              <w:rPr>
                <w:sz w:val="19"/>
              </w:rPr>
            </w:pPr>
          </w:p>
          <w:p w14:paraId="208F0220" w14:textId="77777777" w:rsidR="00A663F1" w:rsidRDefault="00E46EDB">
            <w:pPr>
              <w:pStyle w:val="TableParagraph"/>
              <w:spacing w:line="240" w:lineRule="auto"/>
              <w:ind w:left="105"/>
              <w:rPr>
                <w:sz w:val="20"/>
              </w:rPr>
            </w:pPr>
            <w:r>
              <w:rPr>
                <w:sz w:val="20"/>
              </w:rPr>
              <w:t>120</w:t>
            </w:r>
          </w:p>
        </w:tc>
        <w:tc>
          <w:tcPr>
            <w:tcW w:w="550" w:type="dxa"/>
          </w:tcPr>
          <w:p w14:paraId="29514BFC" w14:textId="77777777" w:rsidR="00A663F1" w:rsidRDefault="00A663F1">
            <w:pPr>
              <w:pStyle w:val="TableParagraph"/>
              <w:spacing w:before="8" w:line="240" w:lineRule="auto"/>
              <w:rPr>
                <w:sz w:val="19"/>
              </w:rPr>
            </w:pPr>
          </w:p>
          <w:p w14:paraId="2EDCCB87" w14:textId="77777777" w:rsidR="00A663F1" w:rsidRDefault="00E46EDB">
            <w:pPr>
              <w:pStyle w:val="TableParagraph"/>
              <w:spacing w:line="240" w:lineRule="auto"/>
              <w:ind w:left="104"/>
              <w:rPr>
                <w:sz w:val="20"/>
              </w:rPr>
            </w:pPr>
            <w:r>
              <w:rPr>
                <w:sz w:val="20"/>
              </w:rPr>
              <w:t>126</w:t>
            </w:r>
          </w:p>
        </w:tc>
        <w:tc>
          <w:tcPr>
            <w:tcW w:w="550" w:type="dxa"/>
          </w:tcPr>
          <w:p w14:paraId="6778D0BC" w14:textId="77777777" w:rsidR="00A663F1" w:rsidRDefault="00A663F1">
            <w:pPr>
              <w:pStyle w:val="TableParagraph"/>
              <w:spacing w:before="8" w:line="240" w:lineRule="auto"/>
              <w:rPr>
                <w:sz w:val="19"/>
              </w:rPr>
            </w:pPr>
          </w:p>
          <w:p w14:paraId="20EC9C35" w14:textId="77777777" w:rsidR="00A663F1" w:rsidRDefault="00E46EDB">
            <w:pPr>
              <w:pStyle w:val="TableParagraph"/>
              <w:spacing w:line="240" w:lineRule="auto"/>
              <w:ind w:left="104"/>
              <w:rPr>
                <w:sz w:val="20"/>
              </w:rPr>
            </w:pPr>
            <w:r>
              <w:rPr>
                <w:sz w:val="20"/>
              </w:rPr>
              <w:t>133</w:t>
            </w:r>
          </w:p>
        </w:tc>
        <w:tc>
          <w:tcPr>
            <w:tcW w:w="551" w:type="dxa"/>
          </w:tcPr>
          <w:p w14:paraId="303163EA" w14:textId="77777777" w:rsidR="00A663F1" w:rsidRDefault="00A663F1">
            <w:pPr>
              <w:pStyle w:val="TableParagraph"/>
              <w:spacing w:before="8" w:line="240" w:lineRule="auto"/>
              <w:rPr>
                <w:sz w:val="19"/>
              </w:rPr>
            </w:pPr>
          </w:p>
          <w:p w14:paraId="71D2C67F" w14:textId="77777777" w:rsidR="00A663F1" w:rsidRDefault="00E46EDB">
            <w:pPr>
              <w:pStyle w:val="TableParagraph"/>
              <w:spacing w:line="240" w:lineRule="auto"/>
              <w:ind w:left="103"/>
              <w:rPr>
                <w:sz w:val="20"/>
              </w:rPr>
            </w:pPr>
            <w:r>
              <w:rPr>
                <w:sz w:val="20"/>
              </w:rPr>
              <w:t>140</w:t>
            </w:r>
          </w:p>
        </w:tc>
        <w:tc>
          <w:tcPr>
            <w:tcW w:w="550" w:type="dxa"/>
          </w:tcPr>
          <w:p w14:paraId="3E15E2B5" w14:textId="77777777" w:rsidR="00A663F1" w:rsidRDefault="00A663F1">
            <w:pPr>
              <w:pStyle w:val="TableParagraph"/>
              <w:spacing w:before="8" w:line="240" w:lineRule="auto"/>
              <w:rPr>
                <w:sz w:val="19"/>
              </w:rPr>
            </w:pPr>
          </w:p>
          <w:p w14:paraId="68A71B3C" w14:textId="77777777" w:rsidR="00A663F1" w:rsidRDefault="00E46EDB">
            <w:pPr>
              <w:pStyle w:val="TableParagraph"/>
              <w:spacing w:line="240" w:lineRule="auto"/>
              <w:ind w:left="105"/>
              <w:rPr>
                <w:sz w:val="20"/>
              </w:rPr>
            </w:pPr>
            <w:r>
              <w:rPr>
                <w:sz w:val="20"/>
              </w:rPr>
              <w:t>148</w:t>
            </w:r>
          </w:p>
        </w:tc>
        <w:tc>
          <w:tcPr>
            <w:tcW w:w="552" w:type="dxa"/>
          </w:tcPr>
          <w:p w14:paraId="6DCCB2B2" w14:textId="77777777" w:rsidR="00A663F1" w:rsidRDefault="00A663F1">
            <w:pPr>
              <w:pStyle w:val="TableParagraph"/>
              <w:spacing w:before="8" w:line="240" w:lineRule="auto"/>
              <w:rPr>
                <w:sz w:val="19"/>
              </w:rPr>
            </w:pPr>
          </w:p>
          <w:p w14:paraId="60F05810" w14:textId="77777777" w:rsidR="00A663F1" w:rsidRDefault="00E46EDB">
            <w:pPr>
              <w:pStyle w:val="TableParagraph"/>
              <w:spacing w:line="240" w:lineRule="auto"/>
              <w:ind w:right="103"/>
              <w:jc w:val="right"/>
              <w:rPr>
                <w:sz w:val="20"/>
              </w:rPr>
            </w:pPr>
            <w:r>
              <w:rPr>
                <w:w w:val="95"/>
                <w:sz w:val="20"/>
              </w:rPr>
              <w:t>156</w:t>
            </w:r>
          </w:p>
        </w:tc>
        <w:tc>
          <w:tcPr>
            <w:tcW w:w="715" w:type="dxa"/>
          </w:tcPr>
          <w:p w14:paraId="7F6F5253" w14:textId="77777777" w:rsidR="00A663F1" w:rsidRDefault="00A663F1">
            <w:pPr>
              <w:pStyle w:val="TableParagraph"/>
              <w:spacing w:before="8" w:line="240" w:lineRule="auto"/>
              <w:rPr>
                <w:sz w:val="19"/>
              </w:rPr>
            </w:pPr>
          </w:p>
          <w:p w14:paraId="6CB6254C" w14:textId="77777777" w:rsidR="00A663F1" w:rsidRDefault="00E46EDB">
            <w:pPr>
              <w:pStyle w:val="TableParagraph"/>
              <w:spacing w:line="240" w:lineRule="auto"/>
              <w:ind w:left="102"/>
              <w:rPr>
                <w:sz w:val="20"/>
              </w:rPr>
            </w:pPr>
            <w:r>
              <w:rPr>
                <w:sz w:val="20"/>
              </w:rPr>
              <w:t>164</w:t>
            </w:r>
          </w:p>
        </w:tc>
      </w:tr>
      <w:tr w:rsidR="00A663F1" w14:paraId="3BDBF6CF" w14:textId="77777777">
        <w:trPr>
          <w:trHeight w:val="919"/>
        </w:trPr>
        <w:tc>
          <w:tcPr>
            <w:tcW w:w="1597" w:type="dxa"/>
          </w:tcPr>
          <w:p w14:paraId="7F9E11DC" w14:textId="77777777" w:rsidR="00A663F1" w:rsidRDefault="00E46EDB">
            <w:pPr>
              <w:pStyle w:val="TableParagraph"/>
              <w:spacing w:line="240" w:lineRule="auto"/>
              <w:ind w:left="110" w:right="98"/>
              <w:jc w:val="both"/>
              <w:rPr>
                <w:b/>
                <w:sz w:val="20"/>
              </w:rPr>
            </w:pPr>
            <w:r>
              <w:rPr>
                <w:b/>
                <w:sz w:val="20"/>
              </w:rPr>
              <w:t>Do not receive debt advice in the</w:t>
            </w:r>
          </w:p>
          <w:p w14:paraId="6E20220D" w14:textId="77777777" w:rsidR="00A663F1" w:rsidRDefault="00E46EDB">
            <w:pPr>
              <w:pStyle w:val="TableParagraph"/>
              <w:spacing w:line="210" w:lineRule="exact"/>
              <w:ind w:left="110"/>
              <w:rPr>
                <w:b/>
                <w:sz w:val="20"/>
              </w:rPr>
            </w:pPr>
            <w:r>
              <w:rPr>
                <w:b/>
                <w:sz w:val="20"/>
              </w:rPr>
              <w:t>counterfactual</w:t>
            </w:r>
          </w:p>
        </w:tc>
        <w:tc>
          <w:tcPr>
            <w:tcW w:w="716" w:type="dxa"/>
            <w:tcBorders>
              <w:top w:val="nil"/>
              <w:left w:val="nil"/>
              <w:bottom w:val="nil"/>
              <w:right w:val="nil"/>
            </w:tcBorders>
            <w:shd w:val="clear" w:color="auto" w:fill="000000"/>
          </w:tcPr>
          <w:p w14:paraId="61C733BF" w14:textId="77777777" w:rsidR="00A663F1" w:rsidRDefault="00A663F1">
            <w:pPr>
              <w:pStyle w:val="TableParagraph"/>
              <w:spacing w:line="240" w:lineRule="auto"/>
              <w:rPr>
                <w:rFonts w:ascii="Times New Roman"/>
                <w:sz w:val="20"/>
              </w:rPr>
            </w:pPr>
          </w:p>
        </w:tc>
        <w:tc>
          <w:tcPr>
            <w:tcW w:w="550" w:type="dxa"/>
          </w:tcPr>
          <w:p w14:paraId="32191D4D" w14:textId="77777777" w:rsidR="00A663F1" w:rsidRDefault="00A663F1">
            <w:pPr>
              <w:pStyle w:val="TableParagraph"/>
              <w:spacing w:before="11" w:line="240" w:lineRule="auto"/>
              <w:rPr>
                <w:sz w:val="19"/>
              </w:rPr>
            </w:pPr>
          </w:p>
          <w:p w14:paraId="0885D091" w14:textId="77777777" w:rsidR="00A663F1" w:rsidRDefault="00E46EDB">
            <w:pPr>
              <w:pStyle w:val="TableParagraph"/>
              <w:spacing w:line="240" w:lineRule="auto"/>
              <w:ind w:left="106"/>
              <w:rPr>
                <w:sz w:val="20"/>
              </w:rPr>
            </w:pPr>
            <w:r>
              <w:rPr>
                <w:sz w:val="20"/>
              </w:rPr>
              <w:t>42</w:t>
            </w:r>
          </w:p>
        </w:tc>
        <w:tc>
          <w:tcPr>
            <w:tcW w:w="550" w:type="dxa"/>
          </w:tcPr>
          <w:p w14:paraId="109F09FE" w14:textId="77777777" w:rsidR="00A663F1" w:rsidRDefault="00A663F1">
            <w:pPr>
              <w:pStyle w:val="TableParagraph"/>
              <w:spacing w:before="11" w:line="240" w:lineRule="auto"/>
              <w:rPr>
                <w:sz w:val="19"/>
              </w:rPr>
            </w:pPr>
          </w:p>
          <w:p w14:paraId="404F1B68" w14:textId="77777777" w:rsidR="00A663F1" w:rsidRDefault="00E46EDB">
            <w:pPr>
              <w:pStyle w:val="TableParagraph"/>
              <w:spacing w:line="240" w:lineRule="auto"/>
              <w:ind w:left="108"/>
              <w:rPr>
                <w:sz w:val="20"/>
              </w:rPr>
            </w:pPr>
            <w:r>
              <w:rPr>
                <w:sz w:val="20"/>
              </w:rPr>
              <w:t>89</w:t>
            </w:r>
          </w:p>
        </w:tc>
        <w:tc>
          <w:tcPr>
            <w:tcW w:w="553" w:type="dxa"/>
          </w:tcPr>
          <w:p w14:paraId="35DB3F38" w14:textId="77777777" w:rsidR="00A663F1" w:rsidRDefault="00A663F1">
            <w:pPr>
              <w:pStyle w:val="TableParagraph"/>
              <w:spacing w:before="11" w:line="240" w:lineRule="auto"/>
              <w:rPr>
                <w:sz w:val="19"/>
              </w:rPr>
            </w:pPr>
          </w:p>
          <w:p w14:paraId="37152A66" w14:textId="77777777" w:rsidR="00A663F1" w:rsidRDefault="00E46EDB">
            <w:pPr>
              <w:pStyle w:val="TableParagraph"/>
              <w:spacing w:line="240" w:lineRule="auto"/>
              <w:ind w:left="108"/>
              <w:rPr>
                <w:sz w:val="20"/>
              </w:rPr>
            </w:pPr>
            <w:r>
              <w:rPr>
                <w:sz w:val="20"/>
              </w:rPr>
              <w:t>94</w:t>
            </w:r>
          </w:p>
        </w:tc>
        <w:tc>
          <w:tcPr>
            <w:tcW w:w="550" w:type="dxa"/>
          </w:tcPr>
          <w:p w14:paraId="420869D7" w14:textId="77777777" w:rsidR="00A663F1" w:rsidRDefault="00A663F1">
            <w:pPr>
              <w:pStyle w:val="TableParagraph"/>
              <w:spacing w:before="11" w:line="240" w:lineRule="auto"/>
              <w:rPr>
                <w:sz w:val="19"/>
              </w:rPr>
            </w:pPr>
          </w:p>
          <w:p w14:paraId="57D12E54" w14:textId="77777777" w:rsidR="00A663F1" w:rsidRDefault="00E46EDB">
            <w:pPr>
              <w:pStyle w:val="TableParagraph"/>
              <w:spacing w:line="240" w:lineRule="auto"/>
              <w:ind w:left="105"/>
              <w:rPr>
                <w:sz w:val="20"/>
              </w:rPr>
            </w:pPr>
            <w:r>
              <w:rPr>
                <w:sz w:val="20"/>
              </w:rPr>
              <w:t>99</w:t>
            </w:r>
          </w:p>
        </w:tc>
        <w:tc>
          <w:tcPr>
            <w:tcW w:w="550" w:type="dxa"/>
          </w:tcPr>
          <w:p w14:paraId="0EEB2276" w14:textId="77777777" w:rsidR="00A663F1" w:rsidRDefault="00A663F1">
            <w:pPr>
              <w:pStyle w:val="TableParagraph"/>
              <w:spacing w:before="11" w:line="240" w:lineRule="auto"/>
              <w:rPr>
                <w:sz w:val="19"/>
              </w:rPr>
            </w:pPr>
          </w:p>
          <w:p w14:paraId="6D95C974" w14:textId="77777777" w:rsidR="00A663F1" w:rsidRDefault="00E46EDB">
            <w:pPr>
              <w:pStyle w:val="TableParagraph"/>
              <w:spacing w:line="240" w:lineRule="auto"/>
              <w:ind w:left="104"/>
              <w:rPr>
                <w:sz w:val="20"/>
              </w:rPr>
            </w:pPr>
            <w:r>
              <w:rPr>
                <w:sz w:val="20"/>
              </w:rPr>
              <w:t>105</w:t>
            </w:r>
          </w:p>
        </w:tc>
        <w:tc>
          <w:tcPr>
            <w:tcW w:w="550" w:type="dxa"/>
          </w:tcPr>
          <w:p w14:paraId="265E5703" w14:textId="77777777" w:rsidR="00A663F1" w:rsidRDefault="00A663F1">
            <w:pPr>
              <w:pStyle w:val="TableParagraph"/>
              <w:spacing w:before="11" w:line="240" w:lineRule="auto"/>
              <w:rPr>
                <w:sz w:val="19"/>
              </w:rPr>
            </w:pPr>
          </w:p>
          <w:p w14:paraId="0C3CC8E9" w14:textId="77777777" w:rsidR="00A663F1" w:rsidRDefault="00E46EDB">
            <w:pPr>
              <w:pStyle w:val="TableParagraph"/>
              <w:spacing w:line="240" w:lineRule="auto"/>
              <w:ind w:left="104"/>
              <w:rPr>
                <w:sz w:val="20"/>
              </w:rPr>
            </w:pPr>
            <w:r>
              <w:rPr>
                <w:sz w:val="20"/>
              </w:rPr>
              <w:t>110</w:t>
            </w:r>
          </w:p>
        </w:tc>
        <w:tc>
          <w:tcPr>
            <w:tcW w:w="551" w:type="dxa"/>
          </w:tcPr>
          <w:p w14:paraId="12F45CAD" w14:textId="77777777" w:rsidR="00A663F1" w:rsidRDefault="00A663F1">
            <w:pPr>
              <w:pStyle w:val="TableParagraph"/>
              <w:spacing w:before="11" w:line="240" w:lineRule="auto"/>
              <w:rPr>
                <w:sz w:val="19"/>
              </w:rPr>
            </w:pPr>
          </w:p>
          <w:p w14:paraId="43941E02" w14:textId="77777777" w:rsidR="00A663F1" w:rsidRDefault="00E46EDB">
            <w:pPr>
              <w:pStyle w:val="TableParagraph"/>
              <w:spacing w:line="240" w:lineRule="auto"/>
              <w:ind w:left="103"/>
              <w:rPr>
                <w:sz w:val="20"/>
              </w:rPr>
            </w:pPr>
            <w:r>
              <w:rPr>
                <w:sz w:val="20"/>
              </w:rPr>
              <w:t>116</w:t>
            </w:r>
          </w:p>
        </w:tc>
        <w:tc>
          <w:tcPr>
            <w:tcW w:w="550" w:type="dxa"/>
          </w:tcPr>
          <w:p w14:paraId="244FFF4E" w14:textId="77777777" w:rsidR="00A663F1" w:rsidRDefault="00A663F1">
            <w:pPr>
              <w:pStyle w:val="TableParagraph"/>
              <w:spacing w:before="11" w:line="240" w:lineRule="auto"/>
              <w:rPr>
                <w:sz w:val="19"/>
              </w:rPr>
            </w:pPr>
          </w:p>
          <w:p w14:paraId="2C021F3D" w14:textId="77777777" w:rsidR="00A663F1" w:rsidRDefault="00E46EDB">
            <w:pPr>
              <w:pStyle w:val="TableParagraph"/>
              <w:spacing w:line="240" w:lineRule="auto"/>
              <w:ind w:left="105"/>
              <w:rPr>
                <w:sz w:val="20"/>
              </w:rPr>
            </w:pPr>
            <w:r>
              <w:rPr>
                <w:sz w:val="20"/>
              </w:rPr>
              <w:t>122</w:t>
            </w:r>
          </w:p>
        </w:tc>
        <w:tc>
          <w:tcPr>
            <w:tcW w:w="552" w:type="dxa"/>
          </w:tcPr>
          <w:p w14:paraId="68754112" w14:textId="77777777" w:rsidR="00A663F1" w:rsidRDefault="00A663F1">
            <w:pPr>
              <w:pStyle w:val="TableParagraph"/>
              <w:spacing w:before="11" w:line="240" w:lineRule="auto"/>
              <w:rPr>
                <w:sz w:val="19"/>
              </w:rPr>
            </w:pPr>
          </w:p>
          <w:p w14:paraId="754E4E8A" w14:textId="77777777" w:rsidR="00A663F1" w:rsidRDefault="00E46EDB">
            <w:pPr>
              <w:pStyle w:val="TableParagraph"/>
              <w:spacing w:line="240" w:lineRule="auto"/>
              <w:ind w:right="103"/>
              <w:jc w:val="right"/>
              <w:rPr>
                <w:sz w:val="20"/>
              </w:rPr>
            </w:pPr>
            <w:r>
              <w:rPr>
                <w:w w:val="95"/>
                <w:sz w:val="20"/>
              </w:rPr>
              <w:t>129</w:t>
            </w:r>
          </w:p>
        </w:tc>
        <w:tc>
          <w:tcPr>
            <w:tcW w:w="715" w:type="dxa"/>
          </w:tcPr>
          <w:p w14:paraId="5827FFC3" w14:textId="77777777" w:rsidR="00A663F1" w:rsidRDefault="00A663F1">
            <w:pPr>
              <w:pStyle w:val="TableParagraph"/>
              <w:spacing w:before="11" w:line="240" w:lineRule="auto"/>
              <w:rPr>
                <w:sz w:val="19"/>
              </w:rPr>
            </w:pPr>
          </w:p>
          <w:p w14:paraId="118BD0F5" w14:textId="77777777" w:rsidR="00A663F1" w:rsidRDefault="00E46EDB">
            <w:pPr>
              <w:pStyle w:val="TableParagraph"/>
              <w:spacing w:line="240" w:lineRule="auto"/>
              <w:ind w:left="102"/>
              <w:rPr>
                <w:sz w:val="20"/>
              </w:rPr>
            </w:pPr>
            <w:r>
              <w:rPr>
                <w:sz w:val="20"/>
              </w:rPr>
              <w:t>136</w:t>
            </w:r>
          </w:p>
        </w:tc>
      </w:tr>
      <w:tr w:rsidR="00A663F1" w14:paraId="76703EDA" w14:textId="77777777">
        <w:trPr>
          <w:trHeight w:val="460"/>
        </w:trPr>
        <w:tc>
          <w:tcPr>
            <w:tcW w:w="1597" w:type="dxa"/>
          </w:tcPr>
          <w:p w14:paraId="009838B2" w14:textId="77777777" w:rsidR="00A663F1" w:rsidRDefault="00E46EDB">
            <w:pPr>
              <w:pStyle w:val="TableParagraph"/>
              <w:spacing w:before="3" w:line="230" w:lineRule="exact"/>
              <w:ind w:left="110" w:right="89" w:firstLine="55"/>
              <w:rPr>
                <w:sz w:val="20"/>
              </w:rPr>
            </w:pPr>
            <w:r>
              <w:rPr>
                <w:sz w:val="20"/>
              </w:rPr>
              <w:t>o/w enter a solution</w:t>
            </w:r>
          </w:p>
        </w:tc>
        <w:tc>
          <w:tcPr>
            <w:tcW w:w="716" w:type="dxa"/>
          </w:tcPr>
          <w:p w14:paraId="6AC3C1CE" w14:textId="77777777" w:rsidR="00A663F1" w:rsidRDefault="00E46EDB">
            <w:pPr>
              <w:pStyle w:val="TableParagraph"/>
              <w:ind w:left="107"/>
              <w:rPr>
                <w:sz w:val="20"/>
              </w:rPr>
            </w:pPr>
            <w:r>
              <w:rPr>
                <w:w w:val="99"/>
                <w:sz w:val="20"/>
              </w:rPr>
              <w:t>C</w:t>
            </w:r>
          </w:p>
        </w:tc>
        <w:tc>
          <w:tcPr>
            <w:tcW w:w="550" w:type="dxa"/>
          </w:tcPr>
          <w:p w14:paraId="72EEDE11" w14:textId="77777777" w:rsidR="00A663F1" w:rsidRDefault="00A663F1">
            <w:pPr>
              <w:pStyle w:val="TableParagraph"/>
              <w:spacing w:before="11" w:line="240" w:lineRule="auto"/>
              <w:rPr>
                <w:sz w:val="19"/>
              </w:rPr>
            </w:pPr>
          </w:p>
          <w:p w14:paraId="50CA1C80" w14:textId="77777777" w:rsidR="00A663F1" w:rsidRDefault="00E46EDB">
            <w:pPr>
              <w:pStyle w:val="TableParagraph"/>
              <w:spacing w:line="211" w:lineRule="exact"/>
              <w:ind w:left="106"/>
              <w:rPr>
                <w:sz w:val="20"/>
              </w:rPr>
            </w:pPr>
            <w:r>
              <w:rPr>
                <w:sz w:val="20"/>
              </w:rPr>
              <w:t>36</w:t>
            </w:r>
          </w:p>
        </w:tc>
        <w:tc>
          <w:tcPr>
            <w:tcW w:w="550" w:type="dxa"/>
          </w:tcPr>
          <w:p w14:paraId="74B42ABF" w14:textId="77777777" w:rsidR="00A663F1" w:rsidRDefault="00A663F1">
            <w:pPr>
              <w:pStyle w:val="TableParagraph"/>
              <w:spacing w:before="11" w:line="240" w:lineRule="auto"/>
              <w:rPr>
                <w:sz w:val="19"/>
              </w:rPr>
            </w:pPr>
          </w:p>
          <w:p w14:paraId="3ED8CFD5" w14:textId="77777777" w:rsidR="00A663F1" w:rsidRDefault="00E46EDB">
            <w:pPr>
              <w:pStyle w:val="TableParagraph"/>
              <w:spacing w:line="211" w:lineRule="exact"/>
              <w:ind w:left="108"/>
              <w:rPr>
                <w:sz w:val="20"/>
              </w:rPr>
            </w:pPr>
            <w:r>
              <w:rPr>
                <w:sz w:val="20"/>
              </w:rPr>
              <w:t>75</w:t>
            </w:r>
          </w:p>
        </w:tc>
        <w:tc>
          <w:tcPr>
            <w:tcW w:w="553" w:type="dxa"/>
          </w:tcPr>
          <w:p w14:paraId="1EA9EE54" w14:textId="77777777" w:rsidR="00A663F1" w:rsidRDefault="00A663F1">
            <w:pPr>
              <w:pStyle w:val="TableParagraph"/>
              <w:spacing w:before="11" w:line="240" w:lineRule="auto"/>
              <w:rPr>
                <w:sz w:val="19"/>
              </w:rPr>
            </w:pPr>
          </w:p>
          <w:p w14:paraId="7828DF15" w14:textId="77777777" w:rsidR="00A663F1" w:rsidRDefault="00E46EDB">
            <w:pPr>
              <w:pStyle w:val="TableParagraph"/>
              <w:spacing w:line="211" w:lineRule="exact"/>
              <w:ind w:left="108"/>
              <w:rPr>
                <w:sz w:val="20"/>
              </w:rPr>
            </w:pPr>
            <w:r>
              <w:rPr>
                <w:sz w:val="20"/>
              </w:rPr>
              <w:t>79</w:t>
            </w:r>
          </w:p>
        </w:tc>
        <w:tc>
          <w:tcPr>
            <w:tcW w:w="550" w:type="dxa"/>
          </w:tcPr>
          <w:p w14:paraId="53032F46" w14:textId="77777777" w:rsidR="00A663F1" w:rsidRDefault="00A663F1">
            <w:pPr>
              <w:pStyle w:val="TableParagraph"/>
              <w:spacing w:before="11" w:line="240" w:lineRule="auto"/>
              <w:rPr>
                <w:sz w:val="19"/>
              </w:rPr>
            </w:pPr>
          </w:p>
          <w:p w14:paraId="3C397A01" w14:textId="77777777" w:rsidR="00A663F1" w:rsidRDefault="00E46EDB">
            <w:pPr>
              <w:pStyle w:val="TableParagraph"/>
              <w:spacing w:line="211" w:lineRule="exact"/>
              <w:ind w:left="105"/>
              <w:rPr>
                <w:sz w:val="20"/>
              </w:rPr>
            </w:pPr>
            <w:r>
              <w:rPr>
                <w:sz w:val="20"/>
              </w:rPr>
              <w:t>83</w:t>
            </w:r>
          </w:p>
        </w:tc>
        <w:tc>
          <w:tcPr>
            <w:tcW w:w="550" w:type="dxa"/>
          </w:tcPr>
          <w:p w14:paraId="040A4F95" w14:textId="77777777" w:rsidR="00A663F1" w:rsidRDefault="00A663F1">
            <w:pPr>
              <w:pStyle w:val="TableParagraph"/>
              <w:spacing w:before="11" w:line="240" w:lineRule="auto"/>
              <w:rPr>
                <w:sz w:val="19"/>
              </w:rPr>
            </w:pPr>
          </w:p>
          <w:p w14:paraId="1A9BCB17" w14:textId="77777777" w:rsidR="00A663F1" w:rsidRDefault="00E46EDB">
            <w:pPr>
              <w:pStyle w:val="TableParagraph"/>
              <w:spacing w:line="211" w:lineRule="exact"/>
              <w:ind w:left="104"/>
              <w:rPr>
                <w:sz w:val="20"/>
              </w:rPr>
            </w:pPr>
            <w:r>
              <w:rPr>
                <w:sz w:val="20"/>
              </w:rPr>
              <w:t>88</w:t>
            </w:r>
          </w:p>
        </w:tc>
        <w:tc>
          <w:tcPr>
            <w:tcW w:w="550" w:type="dxa"/>
          </w:tcPr>
          <w:p w14:paraId="65CB0187" w14:textId="77777777" w:rsidR="00A663F1" w:rsidRDefault="00A663F1">
            <w:pPr>
              <w:pStyle w:val="TableParagraph"/>
              <w:spacing w:before="11" w:line="240" w:lineRule="auto"/>
              <w:rPr>
                <w:sz w:val="19"/>
              </w:rPr>
            </w:pPr>
          </w:p>
          <w:p w14:paraId="38067F85" w14:textId="77777777" w:rsidR="00A663F1" w:rsidRDefault="00E46EDB">
            <w:pPr>
              <w:pStyle w:val="TableParagraph"/>
              <w:spacing w:line="211" w:lineRule="exact"/>
              <w:ind w:left="104"/>
              <w:rPr>
                <w:sz w:val="20"/>
              </w:rPr>
            </w:pPr>
            <w:r>
              <w:rPr>
                <w:sz w:val="20"/>
              </w:rPr>
              <w:t>93</w:t>
            </w:r>
          </w:p>
        </w:tc>
        <w:tc>
          <w:tcPr>
            <w:tcW w:w="551" w:type="dxa"/>
          </w:tcPr>
          <w:p w14:paraId="6C56E53C" w14:textId="77777777" w:rsidR="00A663F1" w:rsidRDefault="00A663F1">
            <w:pPr>
              <w:pStyle w:val="TableParagraph"/>
              <w:spacing w:before="11" w:line="240" w:lineRule="auto"/>
              <w:rPr>
                <w:sz w:val="19"/>
              </w:rPr>
            </w:pPr>
          </w:p>
          <w:p w14:paraId="5CA5196B" w14:textId="77777777" w:rsidR="00A663F1" w:rsidRDefault="00E46EDB">
            <w:pPr>
              <w:pStyle w:val="TableParagraph"/>
              <w:spacing w:line="211" w:lineRule="exact"/>
              <w:ind w:left="103"/>
              <w:rPr>
                <w:sz w:val="20"/>
              </w:rPr>
            </w:pPr>
            <w:r>
              <w:rPr>
                <w:sz w:val="20"/>
              </w:rPr>
              <w:t>98</w:t>
            </w:r>
          </w:p>
        </w:tc>
        <w:tc>
          <w:tcPr>
            <w:tcW w:w="550" w:type="dxa"/>
          </w:tcPr>
          <w:p w14:paraId="44CD09FE" w14:textId="77777777" w:rsidR="00A663F1" w:rsidRDefault="00A663F1">
            <w:pPr>
              <w:pStyle w:val="TableParagraph"/>
              <w:spacing w:before="11" w:line="240" w:lineRule="auto"/>
              <w:rPr>
                <w:sz w:val="19"/>
              </w:rPr>
            </w:pPr>
          </w:p>
          <w:p w14:paraId="0905333D" w14:textId="77777777" w:rsidR="00A663F1" w:rsidRDefault="00E46EDB">
            <w:pPr>
              <w:pStyle w:val="TableParagraph"/>
              <w:spacing w:line="211" w:lineRule="exact"/>
              <w:ind w:left="105"/>
              <w:rPr>
                <w:sz w:val="20"/>
              </w:rPr>
            </w:pPr>
            <w:r>
              <w:rPr>
                <w:sz w:val="20"/>
              </w:rPr>
              <w:t>103</w:t>
            </w:r>
          </w:p>
        </w:tc>
        <w:tc>
          <w:tcPr>
            <w:tcW w:w="552" w:type="dxa"/>
          </w:tcPr>
          <w:p w14:paraId="278B5619" w14:textId="77777777" w:rsidR="00A663F1" w:rsidRDefault="00A663F1">
            <w:pPr>
              <w:pStyle w:val="TableParagraph"/>
              <w:spacing w:before="11" w:line="240" w:lineRule="auto"/>
              <w:rPr>
                <w:sz w:val="19"/>
              </w:rPr>
            </w:pPr>
          </w:p>
          <w:p w14:paraId="2772B3A2" w14:textId="77777777" w:rsidR="00A663F1" w:rsidRDefault="00E46EDB">
            <w:pPr>
              <w:pStyle w:val="TableParagraph"/>
              <w:spacing w:line="211" w:lineRule="exact"/>
              <w:ind w:right="103"/>
              <w:jc w:val="right"/>
              <w:rPr>
                <w:sz w:val="20"/>
              </w:rPr>
            </w:pPr>
            <w:r>
              <w:rPr>
                <w:w w:val="95"/>
                <w:sz w:val="20"/>
              </w:rPr>
              <w:t>108</w:t>
            </w:r>
          </w:p>
        </w:tc>
        <w:tc>
          <w:tcPr>
            <w:tcW w:w="715" w:type="dxa"/>
          </w:tcPr>
          <w:p w14:paraId="76620A51" w14:textId="77777777" w:rsidR="00A663F1" w:rsidRDefault="00A663F1">
            <w:pPr>
              <w:pStyle w:val="TableParagraph"/>
              <w:spacing w:before="11" w:line="240" w:lineRule="auto"/>
              <w:rPr>
                <w:sz w:val="19"/>
              </w:rPr>
            </w:pPr>
          </w:p>
          <w:p w14:paraId="2A32B5AC" w14:textId="77777777" w:rsidR="00A663F1" w:rsidRDefault="00E46EDB">
            <w:pPr>
              <w:pStyle w:val="TableParagraph"/>
              <w:spacing w:line="211" w:lineRule="exact"/>
              <w:ind w:left="102"/>
              <w:rPr>
                <w:sz w:val="20"/>
              </w:rPr>
            </w:pPr>
            <w:r>
              <w:rPr>
                <w:sz w:val="20"/>
              </w:rPr>
              <w:t>114</w:t>
            </w:r>
          </w:p>
        </w:tc>
      </w:tr>
      <w:tr w:rsidR="00A663F1" w14:paraId="18625C90" w14:textId="77777777">
        <w:trPr>
          <w:trHeight w:val="577"/>
        </w:trPr>
        <w:tc>
          <w:tcPr>
            <w:tcW w:w="1597" w:type="dxa"/>
          </w:tcPr>
          <w:p w14:paraId="4B283A50" w14:textId="77777777" w:rsidR="00A663F1" w:rsidRDefault="00E46EDB">
            <w:pPr>
              <w:pStyle w:val="TableParagraph"/>
              <w:spacing w:line="240" w:lineRule="auto"/>
              <w:ind w:left="110" w:right="89" w:firstLine="55"/>
              <w:rPr>
                <w:sz w:val="20"/>
              </w:rPr>
            </w:pPr>
            <w:r>
              <w:rPr>
                <w:sz w:val="20"/>
              </w:rPr>
              <w:t>o/w do not enter a solution</w:t>
            </w:r>
          </w:p>
        </w:tc>
        <w:tc>
          <w:tcPr>
            <w:tcW w:w="716" w:type="dxa"/>
          </w:tcPr>
          <w:p w14:paraId="6151F87C" w14:textId="77777777" w:rsidR="00A663F1" w:rsidRDefault="00E46EDB">
            <w:pPr>
              <w:pStyle w:val="TableParagraph"/>
              <w:spacing w:line="227" w:lineRule="exact"/>
              <w:ind w:left="107"/>
              <w:rPr>
                <w:sz w:val="20"/>
              </w:rPr>
            </w:pPr>
            <w:r>
              <w:rPr>
                <w:w w:val="99"/>
                <w:sz w:val="20"/>
              </w:rPr>
              <w:t>D</w:t>
            </w:r>
          </w:p>
        </w:tc>
        <w:tc>
          <w:tcPr>
            <w:tcW w:w="550" w:type="dxa"/>
          </w:tcPr>
          <w:p w14:paraId="20B69CB1" w14:textId="77777777" w:rsidR="00A663F1" w:rsidRDefault="00A663F1">
            <w:pPr>
              <w:pStyle w:val="TableParagraph"/>
              <w:spacing w:before="8" w:line="240" w:lineRule="auto"/>
              <w:rPr>
                <w:sz w:val="19"/>
              </w:rPr>
            </w:pPr>
          </w:p>
          <w:p w14:paraId="18A5FE81" w14:textId="77777777" w:rsidR="00A663F1" w:rsidRDefault="00E46EDB">
            <w:pPr>
              <w:pStyle w:val="TableParagraph"/>
              <w:spacing w:line="240" w:lineRule="auto"/>
              <w:ind w:left="106"/>
              <w:rPr>
                <w:sz w:val="20"/>
              </w:rPr>
            </w:pPr>
            <w:r>
              <w:rPr>
                <w:w w:val="99"/>
                <w:sz w:val="20"/>
              </w:rPr>
              <w:t>7</w:t>
            </w:r>
          </w:p>
        </w:tc>
        <w:tc>
          <w:tcPr>
            <w:tcW w:w="550" w:type="dxa"/>
          </w:tcPr>
          <w:p w14:paraId="33216A4A" w14:textId="77777777" w:rsidR="00A663F1" w:rsidRDefault="00A663F1">
            <w:pPr>
              <w:pStyle w:val="TableParagraph"/>
              <w:spacing w:before="8" w:line="240" w:lineRule="auto"/>
              <w:rPr>
                <w:sz w:val="19"/>
              </w:rPr>
            </w:pPr>
          </w:p>
          <w:p w14:paraId="23F7610A" w14:textId="77777777" w:rsidR="00A663F1" w:rsidRDefault="00E46EDB">
            <w:pPr>
              <w:pStyle w:val="TableParagraph"/>
              <w:spacing w:line="240" w:lineRule="auto"/>
              <w:ind w:left="108"/>
              <w:rPr>
                <w:sz w:val="20"/>
              </w:rPr>
            </w:pPr>
            <w:r>
              <w:rPr>
                <w:sz w:val="20"/>
              </w:rPr>
              <w:t>14</w:t>
            </w:r>
          </w:p>
        </w:tc>
        <w:tc>
          <w:tcPr>
            <w:tcW w:w="553" w:type="dxa"/>
          </w:tcPr>
          <w:p w14:paraId="64529366" w14:textId="77777777" w:rsidR="00A663F1" w:rsidRDefault="00A663F1">
            <w:pPr>
              <w:pStyle w:val="TableParagraph"/>
              <w:spacing w:before="8" w:line="240" w:lineRule="auto"/>
              <w:rPr>
                <w:sz w:val="19"/>
              </w:rPr>
            </w:pPr>
          </w:p>
          <w:p w14:paraId="4EED96EE" w14:textId="77777777" w:rsidR="00A663F1" w:rsidRDefault="00E46EDB">
            <w:pPr>
              <w:pStyle w:val="TableParagraph"/>
              <w:spacing w:line="240" w:lineRule="auto"/>
              <w:ind w:left="108"/>
              <w:rPr>
                <w:sz w:val="20"/>
              </w:rPr>
            </w:pPr>
            <w:r>
              <w:rPr>
                <w:sz w:val="20"/>
              </w:rPr>
              <w:t>15</w:t>
            </w:r>
          </w:p>
        </w:tc>
        <w:tc>
          <w:tcPr>
            <w:tcW w:w="550" w:type="dxa"/>
          </w:tcPr>
          <w:p w14:paraId="0BC4115D" w14:textId="77777777" w:rsidR="00A663F1" w:rsidRDefault="00A663F1">
            <w:pPr>
              <w:pStyle w:val="TableParagraph"/>
              <w:spacing w:before="8" w:line="240" w:lineRule="auto"/>
              <w:rPr>
                <w:sz w:val="19"/>
              </w:rPr>
            </w:pPr>
          </w:p>
          <w:p w14:paraId="7BDADBA6" w14:textId="77777777" w:rsidR="00A663F1" w:rsidRDefault="00E46EDB">
            <w:pPr>
              <w:pStyle w:val="TableParagraph"/>
              <w:spacing w:line="240" w:lineRule="auto"/>
              <w:ind w:left="105"/>
              <w:rPr>
                <w:sz w:val="20"/>
              </w:rPr>
            </w:pPr>
            <w:r>
              <w:rPr>
                <w:sz w:val="20"/>
              </w:rPr>
              <w:t>16</w:t>
            </w:r>
          </w:p>
        </w:tc>
        <w:tc>
          <w:tcPr>
            <w:tcW w:w="550" w:type="dxa"/>
          </w:tcPr>
          <w:p w14:paraId="1629585B" w14:textId="77777777" w:rsidR="00A663F1" w:rsidRDefault="00A663F1">
            <w:pPr>
              <w:pStyle w:val="TableParagraph"/>
              <w:spacing w:before="8" w:line="240" w:lineRule="auto"/>
              <w:rPr>
                <w:sz w:val="19"/>
              </w:rPr>
            </w:pPr>
          </w:p>
          <w:p w14:paraId="4B2F6802" w14:textId="77777777" w:rsidR="00A663F1" w:rsidRDefault="00E46EDB">
            <w:pPr>
              <w:pStyle w:val="TableParagraph"/>
              <w:spacing w:line="240" w:lineRule="auto"/>
              <w:ind w:left="104"/>
              <w:rPr>
                <w:sz w:val="20"/>
              </w:rPr>
            </w:pPr>
            <w:r>
              <w:rPr>
                <w:sz w:val="20"/>
              </w:rPr>
              <w:t>17</w:t>
            </w:r>
          </w:p>
        </w:tc>
        <w:tc>
          <w:tcPr>
            <w:tcW w:w="550" w:type="dxa"/>
          </w:tcPr>
          <w:p w14:paraId="74B60378" w14:textId="77777777" w:rsidR="00A663F1" w:rsidRDefault="00A663F1">
            <w:pPr>
              <w:pStyle w:val="TableParagraph"/>
              <w:spacing w:before="8" w:line="240" w:lineRule="auto"/>
              <w:rPr>
                <w:sz w:val="19"/>
              </w:rPr>
            </w:pPr>
          </w:p>
          <w:p w14:paraId="05AFFE45" w14:textId="77777777" w:rsidR="00A663F1" w:rsidRDefault="00E46EDB">
            <w:pPr>
              <w:pStyle w:val="TableParagraph"/>
              <w:spacing w:line="240" w:lineRule="auto"/>
              <w:ind w:left="104"/>
              <w:rPr>
                <w:sz w:val="20"/>
              </w:rPr>
            </w:pPr>
            <w:r>
              <w:rPr>
                <w:sz w:val="20"/>
              </w:rPr>
              <w:t>18</w:t>
            </w:r>
          </w:p>
        </w:tc>
        <w:tc>
          <w:tcPr>
            <w:tcW w:w="551" w:type="dxa"/>
          </w:tcPr>
          <w:p w14:paraId="4BBA514B" w14:textId="77777777" w:rsidR="00A663F1" w:rsidRDefault="00A663F1">
            <w:pPr>
              <w:pStyle w:val="TableParagraph"/>
              <w:spacing w:before="8" w:line="240" w:lineRule="auto"/>
              <w:rPr>
                <w:sz w:val="19"/>
              </w:rPr>
            </w:pPr>
          </w:p>
          <w:p w14:paraId="45CD74E0" w14:textId="77777777" w:rsidR="00A663F1" w:rsidRDefault="00E46EDB">
            <w:pPr>
              <w:pStyle w:val="TableParagraph"/>
              <w:spacing w:line="240" w:lineRule="auto"/>
              <w:ind w:left="103"/>
              <w:rPr>
                <w:sz w:val="20"/>
              </w:rPr>
            </w:pPr>
            <w:r>
              <w:rPr>
                <w:sz w:val="20"/>
              </w:rPr>
              <w:t>19</w:t>
            </w:r>
          </w:p>
        </w:tc>
        <w:tc>
          <w:tcPr>
            <w:tcW w:w="550" w:type="dxa"/>
          </w:tcPr>
          <w:p w14:paraId="76098BEA" w14:textId="77777777" w:rsidR="00A663F1" w:rsidRDefault="00A663F1">
            <w:pPr>
              <w:pStyle w:val="TableParagraph"/>
              <w:spacing w:before="8" w:line="240" w:lineRule="auto"/>
              <w:rPr>
                <w:sz w:val="19"/>
              </w:rPr>
            </w:pPr>
          </w:p>
          <w:p w14:paraId="67498857" w14:textId="77777777" w:rsidR="00A663F1" w:rsidRDefault="00E46EDB">
            <w:pPr>
              <w:pStyle w:val="TableParagraph"/>
              <w:spacing w:line="240" w:lineRule="auto"/>
              <w:ind w:left="105"/>
              <w:rPr>
                <w:sz w:val="20"/>
              </w:rPr>
            </w:pPr>
            <w:r>
              <w:rPr>
                <w:sz w:val="20"/>
              </w:rPr>
              <w:t>20</w:t>
            </w:r>
          </w:p>
        </w:tc>
        <w:tc>
          <w:tcPr>
            <w:tcW w:w="552" w:type="dxa"/>
          </w:tcPr>
          <w:p w14:paraId="0B006706" w14:textId="77777777" w:rsidR="00A663F1" w:rsidRDefault="00A663F1">
            <w:pPr>
              <w:pStyle w:val="TableParagraph"/>
              <w:spacing w:before="8" w:line="240" w:lineRule="auto"/>
              <w:rPr>
                <w:sz w:val="19"/>
              </w:rPr>
            </w:pPr>
          </w:p>
          <w:p w14:paraId="297CF67F" w14:textId="77777777" w:rsidR="00A663F1" w:rsidRDefault="00E46EDB">
            <w:pPr>
              <w:pStyle w:val="TableParagraph"/>
              <w:spacing w:line="240" w:lineRule="auto"/>
              <w:ind w:left="105"/>
              <w:rPr>
                <w:sz w:val="20"/>
              </w:rPr>
            </w:pPr>
            <w:r>
              <w:rPr>
                <w:sz w:val="20"/>
              </w:rPr>
              <w:t>21</w:t>
            </w:r>
          </w:p>
        </w:tc>
        <w:tc>
          <w:tcPr>
            <w:tcW w:w="715" w:type="dxa"/>
          </w:tcPr>
          <w:p w14:paraId="3A092B25" w14:textId="77777777" w:rsidR="00A663F1" w:rsidRDefault="00A663F1">
            <w:pPr>
              <w:pStyle w:val="TableParagraph"/>
              <w:spacing w:before="8" w:line="240" w:lineRule="auto"/>
              <w:rPr>
                <w:sz w:val="19"/>
              </w:rPr>
            </w:pPr>
          </w:p>
          <w:p w14:paraId="0CC90F73" w14:textId="77777777" w:rsidR="00A663F1" w:rsidRDefault="00E46EDB">
            <w:pPr>
              <w:pStyle w:val="TableParagraph"/>
              <w:spacing w:line="240" w:lineRule="auto"/>
              <w:ind w:left="102"/>
              <w:rPr>
                <w:sz w:val="20"/>
              </w:rPr>
            </w:pPr>
            <w:r>
              <w:rPr>
                <w:sz w:val="20"/>
              </w:rPr>
              <w:t>22</w:t>
            </w:r>
          </w:p>
        </w:tc>
      </w:tr>
    </w:tbl>
    <w:p w14:paraId="1085B31E" w14:textId="77777777" w:rsidR="00A663F1" w:rsidRDefault="00E46EDB">
      <w:pPr>
        <w:ind w:left="1054"/>
        <w:rPr>
          <w:i/>
        </w:rPr>
      </w:pPr>
      <w:r>
        <w:rPr>
          <w:b/>
          <w:i/>
          <w:u w:val="single"/>
        </w:rPr>
        <w:t xml:space="preserve">Table 7: </w:t>
      </w:r>
      <w:r>
        <w:rPr>
          <w:i/>
          <w:u w:val="single"/>
        </w:rPr>
        <w:t>Sub-cohort debt advice outcomes in thousands between 2021-22 and 2030-31.</w:t>
      </w:r>
    </w:p>
    <w:p w14:paraId="74353F37" w14:textId="77777777" w:rsidR="00A663F1" w:rsidRDefault="00E46EDB">
      <w:pPr>
        <w:pStyle w:val="ListParagraph"/>
        <w:numPr>
          <w:ilvl w:val="1"/>
          <w:numId w:val="9"/>
        </w:numPr>
        <w:tabs>
          <w:tab w:val="left" w:pos="1692"/>
          <w:tab w:val="left" w:pos="1693"/>
        </w:tabs>
        <w:spacing w:before="121" w:line="259" w:lineRule="auto"/>
        <w:ind w:right="144"/>
      </w:pPr>
      <w:r>
        <w:t>As in the calculations for the other benefits of Breathing Space, the full and marginal benefits of Breathing Space are applied in respect of the relevant caseloads. In this instance, the benefit to debtors who do not take up debt advice in the counterfactual is £4,015 for debtors who enter solutions (C) and £979 for those who do not (D). In respect of debtors who do receive debt advice in the counterfactual, the relevant marginal figures – £493 (A) and £121 (B) – are applied. Applying these unit benefits to the relevant caseloads yields the benefits summarised in table 8 below.</w:t>
      </w:r>
    </w:p>
    <w:p w14:paraId="39C71F76" w14:textId="77777777" w:rsidR="00A663F1" w:rsidRDefault="00A663F1">
      <w:pPr>
        <w:spacing w:line="259" w:lineRule="auto"/>
        <w:sectPr w:rsidR="00A663F1">
          <w:pgSz w:w="11910" w:h="16850"/>
          <w:pgMar w:top="600" w:right="720" w:bottom="1020" w:left="600" w:header="0" w:footer="761" w:gutter="0"/>
          <w:cols w:space="720"/>
        </w:sectPr>
      </w:pPr>
    </w:p>
    <w:tbl>
      <w:tblPr>
        <w:tblW w:w="0" w:type="auto"/>
        <w:tblInd w:w="4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40"/>
        <w:gridCol w:w="788"/>
        <w:gridCol w:w="787"/>
        <w:gridCol w:w="787"/>
        <w:gridCol w:w="785"/>
        <w:gridCol w:w="787"/>
        <w:gridCol w:w="787"/>
        <w:gridCol w:w="788"/>
        <w:gridCol w:w="787"/>
        <w:gridCol w:w="787"/>
        <w:gridCol w:w="787"/>
      </w:tblGrid>
      <w:tr w:rsidR="00A663F1" w14:paraId="216B120F" w14:textId="77777777">
        <w:trPr>
          <w:trHeight w:val="350"/>
        </w:trPr>
        <w:tc>
          <w:tcPr>
            <w:tcW w:w="1940" w:type="dxa"/>
          </w:tcPr>
          <w:p w14:paraId="270EBCB9" w14:textId="77777777" w:rsidR="00A663F1" w:rsidRDefault="00A663F1">
            <w:pPr>
              <w:pStyle w:val="TableParagraph"/>
              <w:spacing w:line="240" w:lineRule="auto"/>
              <w:rPr>
                <w:rFonts w:ascii="Times New Roman"/>
                <w:sz w:val="20"/>
              </w:rPr>
            </w:pPr>
          </w:p>
        </w:tc>
        <w:tc>
          <w:tcPr>
            <w:tcW w:w="788" w:type="dxa"/>
          </w:tcPr>
          <w:p w14:paraId="7B6ACA4A" w14:textId="77777777" w:rsidR="00A663F1" w:rsidRDefault="00E46EDB">
            <w:pPr>
              <w:pStyle w:val="TableParagraph"/>
              <w:spacing w:line="221" w:lineRule="exact"/>
              <w:ind w:left="107"/>
              <w:rPr>
                <w:b/>
                <w:sz w:val="20"/>
              </w:rPr>
            </w:pPr>
            <w:r>
              <w:rPr>
                <w:b/>
                <w:w w:val="99"/>
                <w:sz w:val="20"/>
              </w:rPr>
              <w:t>1</w:t>
            </w:r>
          </w:p>
        </w:tc>
        <w:tc>
          <w:tcPr>
            <w:tcW w:w="787" w:type="dxa"/>
          </w:tcPr>
          <w:p w14:paraId="4ADF64DB" w14:textId="77777777" w:rsidR="00A663F1" w:rsidRDefault="00E46EDB">
            <w:pPr>
              <w:pStyle w:val="TableParagraph"/>
              <w:spacing w:line="221" w:lineRule="exact"/>
              <w:ind w:left="107"/>
              <w:rPr>
                <w:b/>
                <w:sz w:val="20"/>
              </w:rPr>
            </w:pPr>
            <w:r>
              <w:rPr>
                <w:b/>
                <w:w w:val="99"/>
                <w:sz w:val="20"/>
              </w:rPr>
              <w:t>2</w:t>
            </w:r>
          </w:p>
        </w:tc>
        <w:tc>
          <w:tcPr>
            <w:tcW w:w="787" w:type="dxa"/>
          </w:tcPr>
          <w:p w14:paraId="772CF5A7" w14:textId="77777777" w:rsidR="00A663F1" w:rsidRDefault="00E46EDB">
            <w:pPr>
              <w:pStyle w:val="TableParagraph"/>
              <w:spacing w:line="221" w:lineRule="exact"/>
              <w:ind w:left="107"/>
              <w:rPr>
                <w:b/>
                <w:sz w:val="20"/>
              </w:rPr>
            </w:pPr>
            <w:r>
              <w:rPr>
                <w:b/>
                <w:w w:val="99"/>
                <w:sz w:val="20"/>
              </w:rPr>
              <w:t>3</w:t>
            </w:r>
          </w:p>
        </w:tc>
        <w:tc>
          <w:tcPr>
            <w:tcW w:w="785" w:type="dxa"/>
          </w:tcPr>
          <w:p w14:paraId="12D90E8B" w14:textId="77777777" w:rsidR="00A663F1" w:rsidRDefault="00E46EDB">
            <w:pPr>
              <w:pStyle w:val="TableParagraph"/>
              <w:spacing w:line="221" w:lineRule="exact"/>
              <w:ind w:left="107"/>
              <w:rPr>
                <w:b/>
                <w:sz w:val="20"/>
              </w:rPr>
            </w:pPr>
            <w:r>
              <w:rPr>
                <w:b/>
                <w:w w:val="99"/>
                <w:sz w:val="20"/>
              </w:rPr>
              <w:t>4</w:t>
            </w:r>
          </w:p>
        </w:tc>
        <w:tc>
          <w:tcPr>
            <w:tcW w:w="787" w:type="dxa"/>
          </w:tcPr>
          <w:p w14:paraId="2C0F9C2D" w14:textId="77777777" w:rsidR="00A663F1" w:rsidRDefault="00E46EDB">
            <w:pPr>
              <w:pStyle w:val="TableParagraph"/>
              <w:spacing w:line="221" w:lineRule="exact"/>
              <w:ind w:left="107"/>
              <w:rPr>
                <w:b/>
                <w:sz w:val="20"/>
              </w:rPr>
            </w:pPr>
            <w:r>
              <w:rPr>
                <w:b/>
                <w:w w:val="99"/>
                <w:sz w:val="20"/>
              </w:rPr>
              <w:t>5</w:t>
            </w:r>
          </w:p>
        </w:tc>
        <w:tc>
          <w:tcPr>
            <w:tcW w:w="787" w:type="dxa"/>
          </w:tcPr>
          <w:p w14:paraId="6DE72E3B" w14:textId="77777777" w:rsidR="00A663F1" w:rsidRDefault="00E46EDB">
            <w:pPr>
              <w:pStyle w:val="TableParagraph"/>
              <w:spacing w:line="221" w:lineRule="exact"/>
              <w:ind w:left="107"/>
              <w:rPr>
                <w:b/>
                <w:sz w:val="20"/>
              </w:rPr>
            </w:pPr>
            <w:r>
              <w:rPr>
                <w:b/>
                <w:w w:val="99"/>
                <w:sz w:val="20"/>
              </w:rPr>
              <w:t>6</w:t>
            </w:r>
          </w:p>
        </w:tc>
        <w:tc>
          <w:tcPr>
            <w:tcW w:w="788" w:type="dxa"/>
          </w:tcPr>
          <w:p w14:paraId="58E57D00" w14:textId="77777777" w:rsidR="00A663F1" w:rsidRDefault="00E46EDB">
            <w:pPr>
              <w:pStyle w:val="TableParagraph"/>
              <w:spacing w:line="221" w:lineRule="exact"/>
              <w:ind w:left="108"/>
              <w:rPr>
                <w:b/>
                <w:sz w:val="20"/>
              </w:rPr>
            </w:pPr>
            <w:r>
              <w:rPr>
                <w:b/>
                <w:w w:val="99"/>
                <w:sz w:val="20"/>
              </w:rPr>
              <w:t>7</w:t>
            </w:r>
          </w:p>
        </w:tc>
        <w:tc>
          <w:tcPr>
            <w:tcW w:w="787" w:type="dxa"/>
          </w:tcPr>
          <w:p w14:paraId="76F954AB" w14:textId="77777777" w:rsidR="00A663F1" w:rsidRDefault="00E46EDB">
            <w:pPr>
              <w:pStyle w:val="TableParagraph"/>
              <w:spacing w:line="221" w:lineRule="exact"/>
              <w:ind w:left="107"/>
              <w:rPr>
                <w:b/>
                <w:sz w:val="20"/>
              </w:rPr>
            </w:pPr>
            <w:r>
              <w:rPr>
                <w:b/>
                <w:w w:val="99"/>
                <w:sz w:val="20"/>
              </w:rPr>
              <w:t>8</w:t>
            </w:r>
          </w:p>
        </w:tc>
        <w:tc>
          <w:tcPr>
            <w:tcW w:w="787" w:type="dxa"/>
          </w:tcPr>
          <w:p w14:paraId="563224FF" w14:textId="77777777" w:rsidR="00A663F1" w:rsidRDefault="00E46EDB">
            <w:pPr>
              <w:pStyle w:val="TableParagraph"/>
              <w:spacing w:line="221" w:lineRule="exact"/>
              <w:ind w:left="108"/>
              <w:rPr>
                <w:b/>
                <w:sz w:val="20"/>
              </w:rPr>
            </w:pPr>
            <w:r>
              <w:rPr>
                <w:b/>
                <w:w w:val="99"/>
                <w:sz w:val="20"/>
              </w:rPr>
              <w:t>9</w:t>
            </w:r>
          </w:p>
        </w:tc>
        <w:tc>
          <w:tcPr>
            <w:tcW w:w="787" w:type="dxa"/>
          </w:tcPr>
          <w:p w14:paraId="5CC234A9" w14:textId="77777777" w:rsidR="00A663F1" w:rsidRDefault="00E46EDB">
            <w:pPr>
              <w:pStyle w:val="TableParagraph"/>
              <w:spacing w:line="221" w:lineRule="exact"/>
              <w:ind w:left="108"/>
              <w:rPr>
                <w:b/>
                <w:sz w:val="20"/>
              </w:rPr>
            </w:pPr>
            <w:r>
              <w:rPr>
                <w:b/>
                <w:sz w:val="20"/>
              </w:rPr>
              <w:t>10</w:t>
            </w:r>
          </w:p>
        </w:tc>
      </w:tr>
      <w:tr w:rsidR="00A663F1" w14:paraId="2C7CB184" w14:textId="77777777">
        <w:trPr>
          <w:trHeight w:val="811"/>
        </w:trPr>
        <w:tc>
          <w:tcPr>
            <w:tcW w:w="1940" w:type="dxa"/>
          </w:tcPr>
          <w:p w14:paraId="23A09B0C" w14:textId="77777777" w:rsidR="00A663F1" w:rsidRDefault="00E46EDB">
            <w:pPr>
              <w:pStyle w:val="TableParagraph"/>
              <w:spacing w:line="240" w:lineRule="auto"/>
              <w:ind w:left="108" w:right="41"/>
              <w:rPr>
                <w:b/>
                <w:sz w:val="20"/>
              </w:rPr>
            </w:pPr>
            <w:r>
              <w:rPr>
                <w:b/>
                <w:sz w:val="20"/>
              </w:rPr>
              <w:t xml:space="preserve">Receive debt advice in the </w:t>
            </w:r>
            <w:r>
              <w:rPr>
                <w:b/>
                <w:w w:val="95"/>
                <w:sz w:val="20"/>
              </w:rPr>
              <w:t>counterfactual/£m</w:t>
            </w:r>
          </w:p>
        </w:tc>
        <w:tc>
          <w:tcPr>
            <w:tcW w:w="788" w:type="dxa"/>
          </w:tcPr>
          <w:p w14:paraId="6368EDC7" w14:textId="77777777" w:rsidR="00A663F1" w:rsidRDefault="00E46EDB">
            <w:pPr>
              <w:pStyle w:val="TableParagraph"/>
              <w:spacing w:line="221" w:lineRule="exact"/>
              <w:ind w:left="107"/>
              <w:rPr>
                <w:sz w:val="20"/>
              </w:rPr>
            </w:pPr>
            <w:r>
              <w:rPr>
                <w:sz w:val="20"/>
              </w:rPr>
              <w:t>277</w:t>
            </w:r>
          </w:p>
        </w:tc>
        <w:tc>
          <w:tcPr>
            <w:tcW w:w="787" w:type="dxa"/>
          </w:tcPr>
          <w:p w14:paraId="4B76E401" w14:textId="77777777" w:rsidR="00A663F1" w:rsidRDefault="00E46EDB">
            <w:pPr>
              <w:pStyle w:val="TableParagraph"/>
              <w:spacing w:line="221" w:lineRule="exact"/>
              <w:ind w:left="107"/>
              <w:rPr>
                <w:sz w:val="20"/>
              </w:rPr>
            </w:pPr>
            <w:r>
              <w:rPr>
                <w:sz w:val="20"/>
              </w:rPr>
              <w:t>292</w:t>
            </w:r>
          </w:p>
        </w:tc>
        <w:tc>
          <w:tcPr>
            <w:tcW w:w="787" w:type="dxa"/>
          </w:tcPr>
          <w:p w14:paraId="2B15C5BE" w14:textId="77777777" w:rsidR="00A663F1" w:rsidRDefault="00E46EDB">
            <w:pPr>
              <w:pStyle w:val="TableParagraph"/>
              <w:spacing w:line="221" w:lineRule="exact"/>
              <w:ind w:left="107"/>
              <w:rPr>
                <w:sz w:val="20"/>
              </w:rPr>
            </w:pPr>
            <w:r>
              <w:rPr>
                <w:sz w:val="20"/>
              </w:rPr>
              <w:t>308</w:t>
            </w:r>
          </w:p>
        </w:tc>
        <w:tc>
          <w:tcPr>
            <w:tcW w:w="785" w:type="dxa"/>
          </w:tcPr>
          <w:p w14:paraId="7D4FD985" w14:textId="77777777" w:rsidR="00A663F1" w:rsidRDefault="00E46EDB">
            <w:pPr>
              <w:pStyle w:val="TableParagraph"/>
              <w:spacing w:line="221" w:lineRule="exact"/>
              <w:ind w:left="107"/>
              <w:rPr>
                <w:sz w:val="20"/>
              </w:rPr>
            </w:pPr>
            <w:r>
              <w:rPr>
                <w:sz w:val="20"/>
              </w:rPr>
              <w:t>324</w:t>
            </w:r>
          </w:p>
        </w:tc>
        <w:tc>
          <w:tcPr>
            <w:tcW w:w="787" w:type="dxa"/>
          </w:tcPr>
          <w:p w14:paraId="7B58B8CD" w14:textId="77777777" w:rsidR="00A663F1" w:rsidRDefault="00E46EDB">
            <w:pPr>
              <w:pStyle w:val="TableParagraph"/>
              <w:spacing w:line="221" w:lineRule="exact"/>
              <w:ind w:left="107"/>
              <w:rPr>
                <w:sz w:val="20"/>
              </w:rPr>
            </w:pPr>
            <w:r>
              <w:rPr>
                <w:sz w:val="20"/>
              </w:rPr>
              <w:t>342</w:t>
            </w:r>
          </w:p>
        </w:tc>
        <w:tc>
          <w:tcPr>
            <w:tcW w:w="787" w:type="dxa"/>
          </w:tcPr>
          <w:p w14:paraId="15B6897C" w14:textId="77777777" w:rsidR="00A663F1" w:rsidRDefault="00E46EDB">
            <w:pPr>
              <w:pStyle w:val="TableParagraph"/>
              <w:spacing w:line="221" w:lineRule="exact"/>
              <w:ind w:left="107"/>
              <w:rPr>
                <w:sz w:val="20"/>
              </w:rPr>
            </w:pPr>
            <w:r>
              <w:rPr>
                <w:sz w:val="20"/>
              </w:rPr>
              <w:t>360</w:t>
            </w:r>
          </w:p>
        </w:tc>
        <w:tc>
          <w:tcPr>
            <w:tcW w:w="788" w:type="dxa"/>
          </w:tcPr>
          <w:p w14:paraId="16C51B03" w14:textId="77777777" w:rsidR="00A663F1" w:rsidRDefault="00E46EDB">
            <w:pPr>
              <w:pStyle w:val="TableParagraph"/>
              <w:spacing w:line="221" w:lineRule="exact"/>
              <w:ind w:left="108"/>
              <w:rPr>
                <w:sz w:val="20"/>
              </w:rPr>
            </w:pPr>
            <w:r>
              <w:rPr>
                <w:sz w:val="20"/>
              </w:rPr>
              <w:t>380</w:t>
            </w:r>
          </w:p>
        </w:tc>
        <w:tc>
          <w:tcPr>
            <w:tcW w:w="787" w:type="dxa"/>
          </w:tcPr>
          <w:p w14:paraId="22AA0813" w14:textId="77777777" w:rsidR="00A663F1" w:rsidRDefault="00E46EDB">
            <w:pPr>
              <w:pStyle w:val="TableParagraph"/>
              <w:spacing w:line="221" w:lineRule="exact"/>
              <w:ind w:left="107"/>
              <w:rPr>
                <w:sz w:val="20"/>
              </w:rPr>
            </w:pPr>
            <w:r>
              <w:rPr>
                <w:sz w:val="20"/>
              </w:rPr>
              <w:t>400</w:t>
            </w:r>
          </w:p>
        </w:tc>
        <w:tc>
          <w:tcPr>
            <w:tcW w:w="787" w:type="dxa"/>
          </w:tcPr>
          <w:p w14:paraId="70048D67" w14:textId="77777777" w:rsidR="00A663F1" w:rsidRDefault="00E46EDB">
            <w:pPr>
              <w:pStyle w:val="TableParagraph"/>
              <w:spacing w:line="221" w:lineRule="exact"/>
              <w:ind w:left="108"/>
              <w:rPr>
                <w:sz w:val="20"/>
              </w:rPr>
            </w:pPr>
            <w:r>
              <w:rPr>
                <w:sz w:val="20"/>
              </w:rPr>
              <w:t>422</w:t>
            </w:r>
          </w:p>
        </w:tc>
        <w:tc>
          <w:tcPr>
            <w:tcW w:w="787" w:type="dxa"/>
          </w:tcPr>
          <w:p w14:paraId="79B193B6" w14:textId="77777777" w:rsidR="00A663F1" w:rsidRDefault="00E46EDB">
            <w:pPr>
              <w:pStyle w:val="TableParagraph"/>
              <w:spacing w:line="221" w:lineRule="exact"/>
              <w:ind w:left="108"/>
              <w:rPr>
                <w:sz w:val="20"/>
              </w:rPr>
            </w:pPr>
            <w:r>
              <w:rPr>
                <w:sz w:val="20"/>
              </w:rPr>
              <w:t>445</w:t>
            </w:r>
          </w:p>
        </w:tc>
      </w:tr>
      <w:tr w:rsidR="00A663F1" w14:paraId="79FA5D58" w14:textId="77777777">
        <w:trPr>
          <w:trHeight w:val="810"/>
        </w:trPr>
        <w:tc>
          <w:tcPr>
            <w:tcW w:w="1940" w:type="dxa"/>
          </w:tcPr>
          <w:p w14:paraId="46B2ED4B" w14:textId="77777777" w:rsidR="00A663F1" w:rsidRDefault="00E46EDB">
            <w:pPr>
              <w:pStyle w:val="TableParagraph"/>
              <w:spacing w:line="240" w:lineRule="auto"/>
              <w:ind w:left="108" w:right="41"/>
              <w:rPr>
                <w:b/>
                <w:sz w:val="20"/>
              </w:rPr>
            </w:pPr>
            <w:r>
              <w:rPr>
                <w:b/>
                <w:sz w:val="20"/>
              </w:rPr>
              <w:t xml:space="preserve">Do not receive debt advice in the </w:t>
            </w:r>
            <w:r>
              <w:rPr>
                <w:b/>
                <w:w w:val="95"/>
                <w:sz w:val="20"/>
              </w:rPr>
              <w:t>counterfactual/£m</w:t>
            </w:r>
          </w:p>
        </w:tc>
        <w:tc>
          <w:tcPr>
            <w:tcW w:w="788" w:type="dxa"/>
          </w:tcPr>
          <w:p w14:paraId="59463601" w14:textId="77777777" w:rsidR="00A663F1" w:rsidRDefault="00E46EDB">
            <w:pPr>
              <w:pStyle w:val="TableParagraph"/>
              <w:spacing w:line="221" w:lineRule="exact"/>
              <w:ind w:left="107"/>
              <w:rPr>
                <w:sz w:val="20"/>
              </w:rPr>
            </w:pPr>
            <w:r>
              <w:rPr>
                <w:sz w:val="20"/>
              </w:rPr>
              <w:t>149</w:t>
            </w:r>
          </w:p>
        </w:tc>
        <w:tc>
          <w:tcPr>
            <w:tcW w:w="787" w:type="dxa"/>
          </w:tcPr>
          <w:p w14:paraId="7592A372" w14:textId="77777777" w:rsidR="00A663F1" w:rsidRDefault="00E46EDB">
            <w:pPr>
              <w:pStyle w:val="TableParagraph"/>
              <w:spacing w:line="221" w:lineRule="exact"/>
              <w:ind w:left="107"/>
              <w:rPr>
                <w:sz w:val="20"/>
              </w:rPr>
            </w:pPr>
            <w:r>
              <w:rPr>
                <w:sz w:val="20"/>
              </w:rPr>
              <w:t>315</w:t>
            </w:r>
          </w:p>
        </w:tc>
        <w:tc>
          <w:tcPr>
            <w:tcW w:w="787" w:type="dxa"/>
          </w:tcPr>
          <w:p w14:paraId="15953983" w14:textId="77777777" w:rsidR="00A663F1" w:rsidRDefault="00E46EDB">
            <w:pPr>
              <w:pStyle w:val="TableParagraph"/>
              <w:spacing w:line="221" w:lineRule="exact"/>
              <w:ind w:left="107"/>
              <w:rPr>
                <w:sz w:val="20"/>
              </w:rPr>
            </w:pPr>
            <w:r>
              <w:rPr>
                <w:sz w:val="20"/>
              </w:rPr>
              <w:t>332</w:t>
            </w:r>
          </w:p>
        </w:tc>
        <w:tc>
          <w:tcPr>
            <w:tcW w:w="785" w:type="dxa"/>
          </w:tcPr>
          <w:p w14:paraId="18CC1C0D" w14:textId="77777777" w:rsidR="00A663F1" w:rsidRDefault="00E46EDB">
            <w:pPr>
              <w:pStyle w:val="TableParagraph"/>
              <w:spacing w:line="221" w:lineRule="exact"/>
              <w:ind w:left="107"/>
              <w:rPr>
                <w:sz w:val="20"/>
              </w:rPr>
            </w:pPr>
            <w:r>
              <w:rPr>
                <w:sz w:val="20"/>
              </w:rPr>
              <w:t>350</w:t>
            </w:r>
          </w:p>
        </w:tc>
        <w:tc>
          <w:tcPr>
            <w:tcW w:w="787" w:type="dxa"/>
          </w:tcPr>
          <w:p w14:paraId="695CE0CF" w14:textId="77777777" w:rsidR="00A663F1" w:rsidRDefault="00E46EDB">
            <w:pPr>
              <w:pStyle w:val="TableParagraph"/>
              <w:spacing w:line="221" w:lineRule="exact"/>
              <w:ind w:left="107"/>
              <w:rPr>
                <w:sz w:val="20"/>
              </w:rPr>
            </w:pPr>
            <w:r>
              <w:rPr>
                <w:sz w:val="20"/>
              </w:rPr>
              <w:t>369</w:t>
            </w:r>
          </w:p>
        </w:tc>
        <w:tc>
          <w:tcPr>
            <w:tcW w:w="787" w:type="dxa"/>
          </w:tcPr>
          <w:p w14:paraId="2B2946FB" w14:textId="77777777" w:rsidR="00A663F1" w:rsidRDefault="00E46EDB">
            <w:pPr>
              <w:pStyle w:val="TableParagraph"/>
              <w:spacing w:line="221" w:lineRule="exact"/>
              <w:ind w:left="107"/>
              <w:rPr>
                <w:sz w:val="20"/>
              </w:rPr>
            </w:pPr>
            <w:r>
              <w:rPr>
                <w:sz w:val="20"/>
              </w:rPr>
              <w:t>389</w:t>
            </w:r>
          </w:p>
        </w:tc>
        <w:tc>
          <w:tcPr>
            <w:tcW w:w="788" w:type="dxa"/>
          </w:tcPr>
          <w:p w14:paraId="6994E698" w14:textId="77777777" w:rsidR="00A663F1" w:rsidRDefault="00E46EDB">
            <w:pPr>
              <w:pStyle w:val="TableParagraph"/>
              <w:spacing w:line="221" w:lineRule="exact"/>
              <w:ind w:left="108"/>
              <w:rPr>
                <w:sz w:val="20"/>
              </w:rPr>
            </w:pPr>
            <w:r>
              <w:rPr>
                <w:sz w:val="20"/>
              </w:rPr>
              <w:t>410</w:t>
            </w:r>
          </w:p>
        </w:tc>
        <w:tc>
          <w:tcPr>
            <w:tcW w:w="787" w:type="dxa"/>
          </w:tcPr>
          <w:p w14:paraId="105F4624" w14:textId="77777777" w:rsidR="00A663F1" w:rsidRDefault="00E46EDB">
            <w:pPr>
              <w:pStyle w:val="TableParagraph"/>
              <w:spacing w:line="221" w:lineRule="exact"/>
              <w:ind w:left="107"/>
              <w:rPr>
                <w:sz w:val="20"/>
              </w:rPr>
            </w:pPr>
            <w:r>
              <w:rPr>
                <w:sz w:val="20"/>
              </w:rPr>
              <w:t>432</w:t>
            </w:r>
          </w:p>
        </w:tc>
        <w:tc>
          <w:tcPr>
            <w:tcW w:w="787" w:type="dxa"/>
          </w:tcPr>
          <w:p w14:paraId="32127C4A" w14:textId="77777777" w:rsidR="00A663F1" w:rsidRDefault="00E46EDB">
            <w:pPr>
              <w:pStyle w:val="TableParagraph"/>
              <w:spacing w:line="221" w:lineRule="exact"/>
              <w:ind w:left="108"/>
              <w:rPr>
                <w:sz w:val="20"/>
              </w:rPr>
            </w:pPr>
            <w:r>
              <w:rPr>
                <w:sz w:val="20"/>
              </w:rPr>
              <w:t>455</w:t>
            </w:r>
          </w:p>
        </w:tc>
        <w:tc>
          <w:tcPr>
            <w:tcW w:w="787" w:type="dxa"/>
          </w:tcPr>
          <w:p w14:paraId="0A36F8FB" w14:textId="77777777" w:rsidR="00A663F1" w:rsidRDefault="00E46EDB">
            <w:pPr>
              <w:pStyle w:val="TableParagraph"/>
              <w:spacing w:line="221" w:lineRule="exact"/>
              <w:ind w:left="108"/>
              <w:rPr>
                <w:sz w:val="20"/>
              </w:rPr>
            </w:pPr>
            <w:r>
              <w:rPr>
                <w:sz w:val="20"/>
              </w:rPr>
              <w:t>480</w:t>
            </w:r>
          </w:p>
        </w:tc>
      </w:tr>
    </w:tbl>
    <w:p w14:paraId="14DBE099" w14:textId="77777777" w:rsidR="00A663F1" w:rsidRDefault="00E46EDB">
      <w:pPr>
        <w:spacing w:line="245" w:lineRule="exact"/>
        <w:ind w:left="1589"/>
        <w:rPr>
          <w:i/>
        </w:rPr>
      </w:pPr>
      <w:r>
        <w:rPr>
          <w:b/>
          <w:i/>
          <w:u w:val="single"/>
        </w:rPr>
        <w:t xml:space="preserve">Table 8: </w:t>
      </w:r>
      <w:r>
        <w:rPr>
          <w:i/>
          <w:u w:val="single"/>
        </w:rPr>
        <w:t>Benefits of Breathing Space to creditors between 2021-22 and 2030-31.</w:t>
      </w:r>
    </w:p>
    <w:p w14:paraId="52440926" w14:textId="77777777" w:rsidR="00A663F1" w:rsidRDefault="00E46EDB">
      <w:pPr>
        <w:pStyle w:val="ListParagraph"/>
        <w:numPr>
          <w:ilvl w:val="1"/>
          <w:numId w:val="9"/>
        </w:numPr>
        <w:tabs>
          <w:tab w:val="left" w:pos="1692"/>
          <w:tab w:val="left" w:pos="1693"/>
        </w:tabs>
        <w:spacing w:before="121" w:line="259" w:lineRule="auto"/>
        <w:ind w:right="247"/>
      </w:pPr>
      <w:r>
        <w:t xml:space="preserve">Some debtors will take up debt advice under Breathing Space that they would not have taken up in the counterfactual. </w:t>
      </w:r>
      <w:proofErr w:type="gramStart"/>
      <w:r>
        <w:t>All of</w:t>
      </w:r>
      <w:proofErr w:type="gramEnd"/>
      <w:r>
        <w:t xml:space="preserve"> this group are forecast to repay more to their creditors than they would have done in the counterfactual. It is assumed that the proportion of this cohort who will enter debt solutions is the same as that of people who seek advice in the counterfactual. As this benefit depends upon a behavioural change, it is not inevitable and is therefore considered indirect. This benefit is expressed in the first row of table</w:t>
      </w:r>
      <w:r>
        <w:rPr>
          <w:spacing w:val="-10"/>
        </w:rPr>
        <w:t xml:space="preserve"> </w:t>
      </w:r>
      <w:r>
        <w:t>8.</w:t>
      </w:r>
    </w:p>
    <w:p w14:paraId="171FE028" w14:textId="77777777" w:rsidR="00A663F1" w:rsidRDefault="00E46EDB">
      <w:pPr>
        <w:pStyle w:val="ListParagraph"/>
        <w:numPr>
          <w:ilvl w:val="1"/>
          <w:numId w:val="9"/>
        </w:numPr>
        <w:tabs>
          <w:tab w:val="left" w:pos="1692"/>
          <w:tab w:val="left" w:pos="1693"/>
        </w:tabs>
        <w:spacing w:before="118" w:line="259" w:lineRule="auto"/>
        <w:ind w:right="245"/>
      </w:pPr>
      <w:r>
        <w:t>Creditors are also expected to benefit from higher repayments from debtors who were already engaging with debt advice. Within this cohort, the behaviour of some creditors in the counterfactual provoked some debtors either to disengage with debt advice or to enter a sub- optimal debt solution. This creditor behaviour – applying the pressure of impending or actual enforcement action while allowing debts to spiral through the addition of interest and charges – will be prohibited under Breathing Space. As a result, debtors will continue along their existing pathways: having sought advice, they will enter debt solutions and so repay their creditors more than they would have done otherwise. This benefit will not be an immediate and inevitable consequence of the policy; it will depend on behavioural change on the part of creditors. It is therefore considered to be</w:t>
      </w:r>
      <w:r>
        <w:rPr>
          <w:spacing w:val="-5"/>
        </w:rPr>
        <w:t xml:space="preserve"> </w:t>
      </w:r>
      <w:r>
        <w:t>indirect.</w:t>
      </w:r>
    </w:p>
    <w:p w14:paraId="3CE720D8" w14:textId="77777777" w:rsidR="00A663F1" w:rsidRDefault="00E46EDB">
      <w:pPr>
        <w:pStyle w:val="ListParagraph"/>
        <w:numPr>
          <w:ilvl w:val="1"/>
          <w:numId w:val="9"/>
        </w:numPr>
        <w:tabs>
          <w:tab w:val="left" w:pos="1692"/>
          <w:tab w:val="left" w:pos="1693"/>
        </w:tabs>
        <w:spacing w:before="119" w:line="259" w:lineRule="auto"/>
        <w:ind w:right="163"/>
      </w:pPr>
      <w:r>
        <w:t>This represents a conservative assessment of the likely benefits of Breathing Space. In addition to the benefits of debt advice that are monetised in the secondary sources, there are a wider set of benefits that are identified in the secondary source material but that are not monetised. These include lower dependence on state-subsidised housing; more positive education and employment outcomes, partly as a result of higher levels of parental engagement; lower risk of children being taken into care; lower rates of desperation crime; lower risk of eviction or repossession; lower risk of job loss; lower rates of relationship breakdown; increased social security take-up; higher rates of small business continuity, and more positive future credit access.</w:t>
      </w:r>
    </w:p>
    <w:p w14:paraId="09E3CECC" w14:textId="77777777" w:rsidR="00A663F1" w:rsidRDefault="00E46EDB">
      <w:pPr>
        <w:pStyle w:val="Heading1"/>
        <w:numPr>
          <w:ilvl w:val="0"/>
          <w:numId w:val="9"/>
        </w:numPr>
        <w:tabs>
          <w:tab w:val="left" w:pos="613"/>
        </w:tabs>
        <w:spacing w:before="117"/>
      </w:pPr>
      <w:r>
        <w:t>Regulatory Breathing Space – costs – summary – option</w:t>
      </w:r>
      <w:r>
        <w:rPr>
          <w:spacing w:val="-9"/>
        </w:rPr>
        <w:t xml:space="preserve"> </w:t>
      </w:r>
      <w:r>
        <w:t>3</w:t>
      </w:r>
    </w:p>
    <w:p w14:paraId="038110CD" w14:textId="77777777" w:rsidR="00A663F1" w:rsidRDefault="00E46EDB">
      <w:pPr>
        <w:pStyle w:val="ListParagraph"/>
        <w:numPr>
          <w:ilvl w:val="1"/>
          <w:numId w:val="9"/>
        </w:numPr>
        <w:tabs>
          <w:tab w:val="left" w:pos="1692"/>
          <w:tab w:val="left" w:pos="1693"/>
        </w:tabs>
        <w:spacing w:before="119"/>
        <w:ind w:left="1692" w:hanging="1081"/>
      </w:pPr>
      <w:r>
        <w:t>The costs of Breathing Space are summarised</w:t>
      </w:r>
      <w:r>
        <w:rPr>
          <w:spacing w:val="-1"/>
        </w:rPr>
        <w:t xml:space="preserve"> </w:t>
      </w:r>
      <w:r>
        <w:t>below.</w:t>
      </w:r>
    </w:p>
    <w:p w14:paraId="096E2DCA" w14:textId="77777777" w:rsidR="00A663F1" w:rsidRDefault="00E46EDB">
      <w:pPr>
        <w:pStyle w:val="ListParagraph"/>
        <w:numPr>
          <w:ilvl w:val="2"/>
          <w:numId w:val="9"/>
        </w:numPr>
        <w:tabs>
          <w:tab w:val="left" w:pos="1693"/>
        </w:tabs>
        <w:spacing w:before="121"/>
        <w:ind w:right="537" w:hanging="504"/>
      </w:pPr>
      <w:r>
        <w:t>Enforcement action will be paused during Breathing Space. Some debtors will change their repayment behaviour as a result, choosing not to make debt repayments that they would have made in the counterfactual. In addition, revenue that might have been generated by enforcement action will be delayed until the end of Breathing Space, when enforcement action may continue. This will generate indirect costs to creditors who have borrowed to</w:t>
      </w:r>
      <w:r>
        <w:rPr>
          <w:spacing w:val="-1"/>
        </w:rPr>
        <w:t xml:space="preserve"> </w:t>
      </w:r>
      <w:r>
        <w:t>lend.</w:t>
      </w:r>
    </w:p>
    <w:p w14:paraId="62DF6364" w14:textId="77777777" w:rsidR="00A663F1" w:rsidRDefault="00E46EDB">
      <w:pPr>
        <w:pStyle w:val="ListParagraph"/>
        <w:numPr>
          <w:ilvl w:val="2"/>
          <w:numId w:val="9"/>
        </w:numPr>
        <w:tabs>
          <w:tab w:val="left" w:pos="1693"/>
        </w:tabs>
        <w:ind w:right="746" w:hanging="504"/>
      </w:pPr>
      <w:r>
        <w:t>Contractual and default interest will be frozen during Breathing Space. Creditors will forego revenue as a</w:t>
      </w:r>
      <w:r>
        <w:rPr>
          <w:spacing w:val="-7"/>
        </w:rPr>
        <w:t xml:space="preserve"> </w:t>
      </w:r>
      <w:r>
        <w:t>result.</w:t>
      </w:r>
    </w:p>
    <w:p w14:paraId="2EF4D855" w14:textId="77777777" w:rsidR="00A663F1" w:rsidRDefault="00E46EDB">
      <w:pPr>
        <w:pStyle w:val="ListParagraph"/>
        <w:numPr>
          <w:ilvl w:val="2"/>
          <w:numId w:val="9"/>
        </w:numPr>
        <w:tabs>
          <w:tab w:val="left" w:pos="1693"/>
        </w:tabs>
        <w:ind w:right="260" w:hanging="504"/>
      </w:pPr>
      <w:r>
        <w:t>Late payment fees and charges that would have been added during Breathing Space will be frozen. Creditors will forego revenue as a</w:t>
      </w:r>
      <w:r>
        <w:rPr>
          <w:spacing w:val="-5"/>
        </w:rPr>
        <w:t xml:space="preserve"> </w:t>
      </w:r>
      <w:r>
        <w:t>result.</w:t>
      </w:r>
    </w:p>
    <w:p w14:paraId="021C0907" w14:textId="77777777" w:rsidR="00A663F1" w:rsidRDefault="00E46EDB">
      <w:pPr>
        <w:pStyle w:val="ListParagraph"/>
        <w:numPr>
          <w:ilvl w:val="2"/>
          <w:numId w:val="9"/>
        </w:numPr>
        <w:tabs>
          <w:tab w:val="left" w:pos="1693"/>
        </w:tabs>
        <w:spacing w:before="121"/>
        <w:ind w:right="525" w:hanging="504"/>
      </w:pPr>
      <w:r>
        <w:t>Creditors will be required to take administrative steps to comply with Breathing Space. These will take up administrator time at a cost to</w:t>
      </w:r>
      <w:r>
        <w:rPr>
          <w:spacing w:val="-15"/>
        </w:rPr>
        <w:t xml:space="preserve"> </w:t>
      </w:r>
      <w:r>
        <w:t>creditors.</w:t>
      </w:r>
    </w:p>
    <w:p w14:paraId="08930459" w14:textId="77777777" w:rsidR="00A663F1" w:rsidRDefault="00E46EDB">
      <w:pPr>
        <w:pStyle w:val="ListParagraph"/>
        <w:numPr>
          <w:ilvl w:val="2"/>
          <w:numId w:val="9"/>
        </w:numPr>
        <w:tabs>
          <w:tab w:val="left" w:pos="1693"/>
        </w:tabs>
        <w:spacing w:before="118"/>
        <w:ind w:right="444" w:hanging="504"/>
      </w:pPr>
      <w:r>
        <w:t>Debt advisers will be required to undertake additional administrative activities to deliver Breathing Space, at a cost to debt advice</w:t>
      </w:r>
      <w:r>
        <w:rPr>
          <w:spacing w:val="2"/>
        </w:rPr>
        <w:t xml:space="preserve"> </w:t>
      </w:r>
      <w:r>
        <w:t>agencies.</w:t>
      </w:r>
    </w:p>
    <w:p w14:paraId="0B1A83A8" w14:textId="77777777" w:rsidR="00A663F1" w:rsidRDefault="00A663F1">
      <w:pPr>
        <w:sectPr w:rsidR="00A663F1">
          <w:pgSz w:w="11910" w:h="16850"/>
          <w:pgMar w:top="1080" w:right="720" w:bottom="1020" w:left="600" w:header="0" w:footer="761" w:gutter="0"/>
          <w:cols w:space="720"/>
        </w:sectPr>
      </w:pPr>
    </w:p>
    <w:p w14:paraId="13398CC8" w14:textId="77777777" w:rsidR="00A663F1" w:rsidRDefault="00E46EDB">
      <w:pPr>
        <w:pStyle w:val="ListParagraph"/>
        <w:numPr>
          <w:ilvl w:val="2"/>
          <w:numId w:val="9"/>
        </w:numPr>
        <w:tabs>
          <w:tab w:val="left" w:pos="1693"/>
        </w:tabs>
        <w:spacing w:before="78"/>
        <w:ind w:right="724" w:hanging="504"/>
      </w:pPr>
      <w:r>
        <w:lastRenderedPageBreak/>
        <w:t>To reduce the cost of these administrative activities, some creditors and debt advice agencies will find it economical to make systems</w:t>
      </w:r>
      <w:r>
        <w:rPr>
          <w:spacing w:val="-7"/>
        </w:rPr>
        <w:t xml:space="preserve"> </w:t>
      </w:r>
      <w:r>
        <w:t>changes.</w:t>
      </w:r>
    </w:p>
    <w:p w14:paraId="21DA8730" w14:textId="77777777" w:rsidR="00A663F1" w:rsidRDefault="00E46EDB">
      <w:pPr>
        <w:pStyle w:val="ListParagraph"/>
        <w:numPr>
          <w:ilvl w:val="2"/>
          <w:numId w:val="9"/>
        </w:numPr>
        <w:tabs>
          <w:tab w:val="left" w:pos="1693"/>
        </w:tabs>
        <w:spacing w:before="121"/>
        <w:ind w:right="455" w:hanging="504"/>
      </w:pPr>
      <w:r>
        <w:t>Approved Mental Health Professionals will need to complete forms to provide evidence that people are receiving mental health crisis</w:t>
      </w:r>
      <w:r>
        <w:rPr>
          <w:spacing w:val="-6"/>
        </w:rPr>
        <w:t xml:space="preserve"> </w:t>
      </w:r>
      <w:r>
        <w:t>treatment.</w:t>
      </w:r>
    </w:p>
    <w:p w14:paraId="578107AA" w14:textId="77777777" w:rsidR="00A663F1" w:rsidRDefault="00E46EDB">
      <w:pPr>
        <w:pStyle w:val="ListParagraph"/>
        <w:numPr>
          <w:ilvl w:val="2"/>
          <w:numId w:val="9"/>
        </w:numPr>
        <w:tabs>
          <w:tab w:val="left" w:pos="1693"/>
        </w:tabs>
        <w:ind w:right="304" w:hanging="504"/>
      </w:pPr>
      <w:r>
        <w:t>Creditors and debt advisers will need to familiarise themselves with the Breathing Space regulations and guidance in order to deliver the</w:t>
      </w:r>
      <w:r>
        <w:rPr>
          <w:spacing w:val="-7"/>
        </w:rPr>
        <w:t xml:space="preserve"> </w:t>
      </w:r>
      <w:r>
        <w:t>scheme.</w:t>
      </w:r>
    </w:p>
    <w:p w14:paraId="0C0FECB0" w14:textId="77777777" w:rsidR="00A663F1" w:rsidRDefault="00E46EDB">
      <w:pPr>
        <w:pStyle w:val="ListParagraph"/>
        <w:numPr>
          <w:ilvl w:val="2"/>
          <w:numId w:val="9"/>
        </w:numPr>
        <w:tabs>
          <w:tab w:val="left" w:pos="1693"/>
        </w:tabs>
        <w:spacing w:before="121"/>
        <w:ind w:right="173" w:hanging="504"/>
        <w:jc w:val="both"/>
      </w:pPr>
      <w:r>
        <w:t>Debt advisers will require a deep understanding of Breathing Space. This will require debt advisers to undergo training to disseminate the contents of the Breathing Space regulations and guidance, at a cost to debt advice</w:t>
      </w:r>
      <w:r>
        <w:rPr>
          <w:spacing w:val="-7"/>
        </w:rPr>
        <w:t xml:space="preserve"> </w:t>
      </w:r>
      <w:r>
        <w:t>agencies.</w:t>
      </w:r>
    </w:p>
    <w:p w14:paraId="59F7CCF0" w14:textId="77777777" w:rsidR="00A663F1" w:rsidRDefault="00E46EDB">
      <w:pPr>
        <w:pStyle w:val="ListParagraph"/>
        <w:numPr>
          <w:ilvl w:val="1"/>
          <w:numId w:val="9"/>
        </w:numPr>
        <w:tabs>
          <w:tab w:val="left" w:pos="1692"/>
          <w:tab w:val="left" w:pos="1693"/>
        </w:tabs>
        <w:spacing w:before="119"/>
        <w:ind w:right="221"/>
      </w:pPr>
      <w:r>
        <w:t xml:space="preserve">The costs of a regulatory Breathing Space, like the benefits, are divided between those that directly impact business and those that indirectly impact business. This division is made </w:t>
      </w:r>
      <w:proofErr w:type="gramStart"/>
      <w:r>
        <w:t>on the basis of</w:t>
      </w:r>
      <w:proofErr w:type="gramEnd"/>
      <w:r>
        <w:t xml:space="preserve"> whether the impact is immediate and inevitable or not. Where a behavioural change is required for the impact to materialise, the impact is considered</w:t>
      </w:r>
      <w:r>
        <w:rPr>
          <w:spacing w:val="-15"/>
        </w:rPr>
        <w:t xml:space="preserve"> </w:t>
      </w:r>
      <w:r>
        <w:t>indirect.</w:t>
      </w:r>
    </w:p>
    <w:p w14:paraId="127E0B73" w14:textId="77777777" w:rsidR="00A663F1" w:rsidRDefault="00E46EDB">
      <w:pPr>
        <w:pStyle w:val="ListParagraph"/>
        <w:numPr>
          <w:ilvl w:val="1"/>
          <w:numId w:val="9"/>
        </w:numPr>
        <w:tabs>
          <w:tab w:val="left" w:pos="1692"/>
          <w:tab w:val="left" w:pos="1693"/>
        </w:tabs>
        <w:spacing w:before="121"/>
        <w:ind w:right="492"/>
      </w:pPr>
      <w:r>
        <w:t>Costs arising from the cohorts of debtors in Breathing Space who already receive debt advice in the counterfactual and who enter Breathing Space via the Mental Health Alternative Access Mechanism do not require behavioural change. They are therefore considered to be direct.</w:t>
      </w:r>
    </w:p>
    <w:p w14:paraId="088A02B6" w14:textId="77777777" w:rsidR="00A663F1" w:rsidRDefault="00E46EDB">
      <w:pPr>
        <w:pStyle w:val="ListParagraph"/>
        <w:numPr>
          <w:ilvl w:val="1"/>
          <w:numId w:val="9"/>
        </w:numPr>
        <w:tabs>
          <w:tab w:val="left" w:pos="1692"/>
          <w:tab w:val="left" w:pos="1693"/>
        </w:tabs>
        <w:spacing w:before="119"/>
        <w:ind w:right="462"/>
      </w:pPr>
      <w:r>
        <w:t>By contrast, costs arising from the cohort of debtors in Breathing Space who do not receive debt advice in the counterfactual are considered to be indirect as they are neither immediate nor inevitable, materialising only where debtors choose to take up debt advice that they would not have received in the</w:t>
      </w:r>
      <w:r>
        <w:rPr>
          <w:spacing w:val="-3"/>
        </w:rPr>
        <w:t xml:space="preserve"> </w:t>
      </w:r>
      <w:r>
        <w:t>counterfactual.</w:t>
      </w:r>
    </w:p>
    <w:p w14:paraId="3196C1FB" w14:textId="77777777" w:rsidR="00A663F1" w:rsidRDefault="00E46EDB">
      <w:pPr>
        <w:pStyle w:val="ListParagraph"/>
        <w:numPr>
          <w:ilvl w:val="1"/>
          <w:numId w:val="9"/>
        </w:numPr>
        <w:tabs>
          <w:tab w:val="left" w:pos="1692"/>
          <w:tab w:val="left" w:pos="1693"/>
        </w:tabs>
        <w:spacing w:before="121"/>
        <w:ind w:right="230"/>
      </w:pPr>
      <w:r>
        <w:t>This segmentation of the Breathing Space caseload into sub-cohorts is illustrated in table 8 below. As explained in paragraph 8.12, not all debtors are expected to remain in Breathing Space for its full 60-day</w:t>
      </w:r>
      <w:r>
        <w:rPr>
          <w:spacing w:val="-9"/>
        </w:rPr>
        <w:t xml:space="preserve"> </w:t>
      </w:r>
      <w:r>
        <w:t>duration.</w:t>
      </w:r>
    </w:p>
    <w:p w14:paraId="7F9C870E" w14:textId="77777777" w:rsidR="00A663F1" w:rsidRDefault="00A663F1">
      <w:pPr>
        <w:pStyle w:val="BodyText"/>
        <w:spacing w:before="4" w:after="1"/>
        <w:ind w:left="0" w:firstLine="0"/>
        <w:rPr>
          <w:sz w:val="10"/>
        </w:rPr>
      </w:pPr>
    </w:p>
    <w:tbl>
      <w:tblPr>
        <w:tblW w:w="0" w:type="auto"/>
        <w:tblInd w:w="2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57"/>
        <w:gridCol w:w="871"/>
        <w:gridCol w:w="549"/>
        <w:gridCol w:w="549"/>
        <w:gridCol w:w="551"/>
        <w:gridCol w:w="549"/>
        <w:gridCol w:w="549"/>
        <w:gridCol w:w="550"/>
        <w:gridCol w:w="717"/>
        <w:gridCol w:w="717"/>
        <w:gridCol w:w="715"/>
        <w:gridCol w:w="717"/>
      </w:tblGrid>
      <w:tr w:rsidR="00A663F1" w14:paraId="57F23E22" w14:textId="77777777">
        <w:trPr>
          <w:trHeight w:val="350"/>
        </w:trPr>
        <w:tc>
          <w:tcPr>
            <w:tcW w:w="3157" w:type="dxa"/>
            <w:tcBorders>
              <w:top w:val="nil"/>
              <w:left w:val="nil"/>
              <w:bottom w:val="nil"/>
              <w:right w:val="nil"/>
            </w:tcBorders>
            <w:shd w:val="clear" w:color="auto" w:fill="000000"/>
          </w:tcPr>
          <w:p w14:paraId="32F6323A" w14:textId="77777777" w:rsidR="00A663F1" w:rsidRDefault="00A663F1">
            <w:pPr>
              <w:pStyle w:val="TableParagraph"/>
              <w:spacing w:line="240" w:lineRule="auto"/>
              <w:rPr>
                <w:rFonts w:ascii="Times New Roman"/>
                <w:sz w:val="20"/>
              </w:rPr>
            </w:pPr>
          </w:p>
        </w:tc>
        <w:tc>
          <w:tcPr>
            <w:tcW w:w="871" w:type="dxa"/>
          </w:tcPr>
          <w:p w14:paraId="29F1A494" w14:textId="77777777" w:rsidR="00A663F1" w:rsidRDefault="00E46EDB">
            <w:pPr>
              <w:pStyle w:val="TableParagraph"/>
              <w:ind w:left="105"/>
              <w:rPr>
                <w:b/>
                <w:sz w:val="20"/>
              </w:rPr>
            </w:pPr>
            <w:r>
              <w:rPr>
                <w:b/>
                <w:sz w:val="20"/>
              </w:rPr>
              <w:t>Impact</w:t>
            </w:r>
          </w:p>
        </w:tc>
        <w:tc>
          <w:tcPr>
            <w:tcW w:w="549" w:type="dxa"/>
          </w:tcPr>
          <w:p w14:paraId="36437C83" w14:textId="77777777" w:rsidR="00A663F1" w:rsidRDefault="00E46EDB">
            <w:pPr>
              <w:pStyle w:val="TableParagraph"/>
              <w:ind w:left="108"/>
              <w:rPr>
                <w:b/>
                <w:sz w:val="20"/>
              </w:rPr>
            </w:pPr>
            <w:r>
              <w:rPr>
                <w:b/>
                <w:w w:val="99"/>
                <w:sz w:val="20"/>
              </w:rPr>
              <w:t>1</w:t>
            </w:r>
          </w:p>
        </w:tc>
        <w:tc>
          <w:tcPr>
            <w:tcW w:w="549" w:type="dxa"/>
          </w:tcPr>
          <w:p w14:paraId="560C70A6" w14:textId="77777777" w:rsidR="00A663F1" w:rsidRDefault="00E46EDB">
            <w:pPr>
              <w:pStyle w:val="TableParagraph"/>
              <w:ind w:left="108"/>
              <w:rPr>
                <w:b/>
                <w:sz w:val="20"/>
              </w:rPr>
            </w:pPr>
            <w:r>
              <w:rPr>
                <w:b/>
                <w:w w:val="99"/>
                <w:sz w:val="20"/>
              </w:rPr>
              <w:t>2</w:t>
            </w:r>
          </w:p>
        </w:tc>
        <w:tc>
          <w:tcPr>
            <w:tcW w:w="551" w:type="dxa"/>
          </w:tcPr>
          <w:p w14:paraId="364A7FF3" w14:textId="77777777" w:rsidR="00A663F1" w:rsidRDefault="00E46EDB">
            <w:pPr>
              <w:pStyle w:val="TableParagraph"/>
              <w:ind w:left="109"/>
              <w:rPr>
                <w:b/>
                <w:sz w:val="20"/>
              </w:rPr>
            </w:pPr>
            <w:r>
              <w:rPr>
                <w:b/>
                <w:w w:val="99"/>
                <w:sz w:val="20"/>
              </w:rPr>
              <w:t>3</w:t>
            </w:r>
          </w:p>
        </w:tc>
        <w:tc>
          <w:tcPr>
            <w:tcW w:w="549" w:type="dxa"/>
          </w:tcPr>
          <w:p w14:paraId="631B597A" w14:textId="77777777" w:rsidR="00A663F1" w:rsidRDefault="00E46EDB">
            <w:pPr>
              <w:pStyle w:val="TableParagraph"/>
              <w:ind w:left="108"/>
              <w:rPr>
                <w:b/>
                <w:sz w:val="20"/>
              </w:rPr>
            </w:pPr>
            <w:r>
              <w:rPr>
                <w:b/>
                <w:w w:val="99"/>
                <w:sz w:val="20"/>
              </w:rPr>
              <w:t>4</w:t>
            </w:r>
          </w:p>
        </w:tc>
        <w:tc>
          <w:tcPr>
            <w:tcW w:w="549" w:type="dxa"/>
          </w:tcPr>
          <w:p w14:paraId="2B44931C" w14:textId="77777777" w:rsidR="00A663F1" w:rsidRDefault="00E46EDB">
            <w:pPr>
              <w:pStyle w:val="TableParagraph"/>
              <w:ind w:right="208"/>
              <w:jc w:val="center"/>
              <w:rPr>
                <w:b/>
                <w:sz w:val="20"/>
              </w:rPr>
            </w:pPr>
            <w:r>
              <w:rPr>
                <w:b/>
                <w:w w:val="99"/>
                <w:sz w:val="20"/>
              </w:rPr>
              <w:t>5</w:t>
            </w:r>
          </w:p>
        </w:tc>
        <w:tc>
          <w:tcPr>
            <w:tcW w:w="550" w:type="dxa"/>
          </w:tcPr>
          <w:p w14:paraId="00CC6155" w14:textId="77777777" w:rsidR="00A663F1" w:rsidRDefault="00E46EDB">
            <w:pPr>
              <w:pStyle w:val="TableParagraph"/>
              <w:ind w:left="109"/>
              <w:rPr>
                <w:b/>
                <w:sz w:val="20"/>
              </w:rPr>
            </w:pPr>
            <w:r>
              <w:rPr>
                <w:b/>
                <w:w w:val="99"/>
                <w:sz w:val="20"/>
              </w:rPr>
              <w:t>6</w:t>
            </w:r>
          </w:p>
        </w:tc>
        <w:tc>
          <w:tcPr>
            <w:tcW w:w="717" w:type="dxa"/>
          </w:tcPr>
          <w:p w14:paraId="3BBEAA48" w14:textId="77777777" w:rsidR="00A663F1" w:rsidRDefault="00E46EDB">
            <w:pPr>
              <w:pStyle w:val="TableParagraph"/>
              <w:ind w:left="112"/>
              <w:rPr>
                <w:b/>
                <w:sz w:val="20"/>
              </w:rPr>
            </w:pPr>
            <w:r>
              <w:rPr>
                <w:b/>
                <w:w w:val="99"/>
                <w:sz w:val="20"/>
              </w:rPr>
              <w:t>7</w:t>
            </w:r>
          </w:p>
        </w:tc>
        <w:tc>
          <w:tcPr>
            <w:tcW w:w="717" w:type="dxa"/>
          </w:tcPr>
          <w:p w14:paraId="1C977309" w14:textId="77777777" w:rsidR="00A663F1" w:rsidRDefault="00E46EDB">
            <w:pPr>
              <w:pStyle w:val="TableParagraph"/>
              <w:ind w:left="110"/>
              <w:rPr>
                <w:b/>
                <w:sz w:val="20"/>
              </w:rPr>
            </w:pPr>
            <w:r>
              <w:rPr>
                <w:b/>
                <w:w w:val="99"/>
                <w:sz w:val="20"/>
              </w:rPr>
              <w:t>8</w:t>
            </w:r>
          </w:p>
        </w:tc>
        <w:tc>
          <w:tcPr>
            <w:tcW w:w="715" w:type="dxa"/>
          </w:tcPr>
          <w:p w14:paraId="7924EE44" w14:textId="77777777" w:rsidR="00A663F1" w:rsidRDefault="00E46EDB">
            <w:pPr>
              <w:pStyle w:val="TableParagraph"/>
              <w:ind w:left="110"/>
              <w:rPr>
                <w:b/>
                <w:sz w:val="20"/>
              </w:rPr>
            </w:pPr>
            <w:r>
              <w:rPr>
                <w:b/>
                <w:w w:val="99"/>
                <w:sz w:val="20"/>
              </w:rPr>
              <w:t>9</w:t>
            </w:r>
          </w:p>
        </w:tc>
        <w:tc>
          <w:tcPr>
            <w:tcW w:w="717" w:type="dxa"/>
          </w:tcPr>
          <w:p w14:paraId="18D5AA48" w14:textId="77777777" w:rsidR="00A663F1" w:rsidRDefault="00E46EDB">
            <w:pPr>
              <w:pStyle w:val="TableParagraph"/>
              <w:ind w:left="113"/>
              <w:rPr>
                <w:b/>
                <w:sz w:val="20"/>
              </w:rPr>
            </w:pPr>
            <w:r>
              <w:rPr>
                <w:b/>
                <w:sz w:val="20"/>
              </w:rPr>
              <w:t>10</w:t>
            </w:r>
          </w:p>
        </w:tc>
      </w:tr>
      <w:tr w:rsidR="00A663F1" w14:paraId="5DEFB7F4" w14:textId="77777777">
        <w:trPr>
          <w:trHeight w:val="350"/>
        </w:trPr>
        <w:tc>
          <w:tcPr>
            <w:tcW w:w="3157" w:type="dxa"/>
            <w:tcBorders>
              <w:top w:val="nil"/>
            </w:tcBorders>
          </w:tcPr>
          <w:p w14:paraId="03467E1D" w14:textId="77777777" w:rsidR="00A663F1" w:rsidRDefault="00E46EDB">
            <w:pPr>
              <w:pStyle w:val="TableParagraph"/>
              <w:ind w:left="107"/>
              <w:rPr>
                <w:b/>
                <w:sz w:val="20"/>
              </w:rPr>
            </w:pPr>
            <w:r>
              <w:rPr>
                <w:b/>
                <w:sz w:val="20"/>
              </w:rPr>
              <w:t>Mental Health caseload</w:t>
            </w:r>
          </w:p>
        </w:tc>
        <w:tc>
          <w:tcPr>
            <w:tcW w:w="871" w:type="dxa"/>
          </w:tcPr>
          <w:p w14:paraId="4260D742" w14:textId="77777777" w:rsidR="00A663F1" w:rsidRDefault="00E46EDB">
            <w:pPr>
              <w:pStyle w:val="TableParagraph"/>
              <w:ind w:left="105"/>
              <w:rPr>
                <w:sz w:val="20"/>
              </w:rPr>
            </w:pPr>
            <w:r>
              <w:rPr>
                <w:sz w:val="20"/>
              </w:rPr>
              <w:t>Direct</w:t>
            </w:r>
          </w:p>
        </w:tc>
        <w:tc>
          <w:tcPr>
            <w:tcW w:w="549" w:type="dxa"/>
          </w:tcPr>
          <w:p w14:paraId="182EC5B7" w14:textId="77777777" w:rsidR="00A663F1" w:rsidRDefault="00E46EDB">
            <w:pPr>
              <w:pStyle w:val="TableParagraph"/>
              <w:ind w:left="108"/>
              <w:rPr>
                <w:sz w:val="20"/>
              </w:rPr>
            </w:pPr>
            <w:r>
              <w:rPr>
                <w:sz w:val="20"/>
              </w:rPr>
              <w:t>27</w:t>
            </w:r>
          </w:p>
        </w:tc>
        <w:tc>
          <w:tcPr>
            <w:tcW w:w="549" w:type="dxa"/>
          </w:tcPr>
          <w:p w14:paraId="5563B394" w14:textId="77777777" w:rsidR="00A663F1" w:rsidRDefault="00E46EDB">
            <w:pPr>
              <w:pStyle w:val="TableParagraph"/>
              <w:ind w:left="108"/>
              <w:rPr>
                <w:sz w:val="20"/>
              </w:rPr>
            </w:pPr>
            <w:r>
              <w:rPr>
                <w:sz w:val="20"/>
              </w:rPr>
              <w:t>30</w:t>
            </w:r>
          </w:p>
        </w:tc>
        <w:tc>
          <w:tcPr>
            <w:tcW w:w="551" w:type="dxa"/>
          </w:tcPr>
          <w:p w14:paraId="6CED1426" w14:textId="77777777" w:rsidR="00A663F1" w:rsidRDefault="00E46EDB">
            <w:pPr>
              <w:pStyle w:val="TableParagraph"/>
              <w:ind w:left="109"/>
              <w:rPr>
                <w:sz w:val="20"/>
              </w:rPr>
            </w:pPr>
            <w:r>
              <w:rPr>
                <w:sz w:val="20"/>
              </w:rPr>
              <w:t>33</w:t>
            </w:r>
          </w:p>
        </w:tc>
        <w:tc>
          <w:tcPr>
            <w:tcW w:w="549" w:type="dxa"/>
          </w:tcPr>
          <w:p w14:paraId="5E2AD869" w14:textId="77777777" w:rsidR="00A663F1" w:rsidRDefault="00E46EDB">
            <w:pPr>
              <w:pStyle w:val="TableParagraph"/>
              <w:ind w:left="108"/>
              <w:rPr>
                <w:sz w:val="20"/>
              </w:rPr>
            </w:pPr>
            <w:r>
              <w:rPr>
                <w:sz w:val="20"/>
              </w:rPr>
              <w:t>36</w:t>
            </w:r>
          </w:p>
        </w:tc>
        <w:tc>
          <w:tcPr>
            <w:tcW w:w="549" w:type="dxa"/>
          </w:tcPr>
          <w:p w14:paraId="2CBD0F7C" w14:textId="77777777" w:rsidR="00A663F1" w:rsidRDefault="00E46EDB">
            <w:pPr>
              <w:pStyle w:val="TableParagraph"/>
              <w:ind w:left="85" w:right="183"/>
              <w:jc w:val="center"/>
              <w:rPr>
                <w:sz w:val="20"/>
              </w:rPr>
            </w:pPr>
            <w:r>
              <w:rPr>
                <w:sz w:val="20"/>
              </w:rPr>
              <w:t>39</w:t>
            </w:r>
          </w:p>
        </w:tc>
        <w:tc>
          <w:tcPr>
            <w:tcW w:w="550" w:type="dxa"/>
          </w:tcPr>
          <w:p w14:paraId="6C07CBA1" w14:textId="77777777" w:rsidR="00A663F1" w:rsidRDefault="00E46EDB">
            <w:pPr>
              <w:pStyle w:val="TableParagraph"/>
              <w:ind w:left="109"/>
              <w:rPr>
                <w:sz w:val="20"/>
              </w:rPr>
            </w:pPr>
            <w:r>
              <w:rPr>
                <w:sz w:val="20"/>
              </w:rPr>
              <w:t>42</w:t>
            </w:r>
          </w:p>
        </w:tc>
        <w:tc>
          <w:tcPr>
            <w:tcW w:w="717" w:type="dxa"/>
          </w:tcPr>
          <w:p w14:paraId="021BD98D" w14:textId="77777777" w:rsidR="00A663F1" w:rsidRDefault="00E46EDB">
            <w:pPr>
              <w:pStyle w:val="TableParagraph"/>
              <w:ind w:left="112"/>
              <w:rPr>
                <w:sz w:val="20"/>
              </w:rPr>
            </w:pPr>
            <w:r>
              <w:rPr>
                <w:sz w:val="20"/>
              </w:rPr>
              <w:t>45</w:t>
            </w:r>
          </w:p>
        </w:tc>
        <w:tc>
          <w:tcPr>
            <w:tcW w:w="717" w:type="dxa"/>
          </w:tcPr>
          <w:p w14:paraId="0175A5A8" w14:textId="77777777" w:rsidR="00A663F1" w:rsidRDefault="00E46EDB">
            <w:pPr>
              <w:pStyle w:val="TableParagraph"/>
              <w:ind w:left="110"/>
              <w:rPr>
                <w:sz w:val="20"/>
              </w:rPr>
            </w:pPr>
            <w:r>
              <w:rPr>
                <w:sz w:val="20"/>
              </w:rPr>
              <w:t>48</w:t>
            </w:r>
          </w:p>
        </w:tc>
        <w:tc>
          <w:tcPr>
            <w:tcW w:w="715" w:type="dxa"/>
          </w:tcPr>
          <w:p w14:paraId="1960D0B0" w14:textId="77777777" w:rsidR="00A663F1" w:rsidRDefault="00E46EDB">
            <w:pPr>
              <w:pStyle w:val="TableParagraph"/>
              <w:ind w:left="110"/>
              <w:rPr>
                <w:sz w:val="20"/>
              </w:rPr>
            </w:pPr>
            <w:r>
              <w:rPr>
                <w:sz w:val="20"/>
              </w:rPr>
              <w:t>51</w:t>
            </w:r>
          </w:p>
        </w:tc>
        <w:tc>
          <w:tcPr>
            <w:tcW w:w="717" w:type="dxa"/>
          </w:tcPr>
          <w:p w14:paraId="3232B252" w14:textId="77777777" w:rsidR="00A663F1" w:rsidRDefault="00E46EDB">
            <w:pPr>
              <w:pStyle w:val="TableParagraph"/>
              <w:ind w:left="113"/>
              <w:rPr>
                <w:sz w:val="20"/>
              </w:rPr>
            </w:pPr>
            <w:r>
              <w:rPr>
                <w:sz w:val="20"/>
              </w:rPr>
              <w:t>54</w:t>
            </w:r>
          </w:p>
        </w:tc>
      </w:tr>
      <w:tr w:rsidR="00A663F1" w14:paraId="5758FF4E" w14:textId="77777777">
        <w:trPr>
          <w:trHeight w:val="930"/>
        </w:trPr>
        <w:tc>
          <w:tcPr>
            <w:tcW w:w="3157" w:type="dxa"/>
          </w:tcPr>
          <w:p w14:paraId="5070F896" w14:textId="77777777" w:rsidR="00A663F1" w:rsidRDefault="00E46EDB">
            <w:pPr>
              <w:pStyle w:val="TableParagraph"/>
              <w:spacing w:line="240" w:lineRule="auto"/>
              <w:ind w:left="107" w:right="1308"/>
              <w:rPr>
                <w:b/>
                <w:sz w:val="20"/>
              </w:rPr>
            </w:pPr>
            <w:r>
              <w:rPr>
                <w:b/>
                <w:sz w:val="20"/>
              </w:rPr>
              <w:t>Debt advice in the counterfactual</w:t>
            </w:r>
          </w:p>
          <w:p w14:paraId="18FD7061" w14:textId="77777777" w:rsidR="00A663F1" w:rsidRDefault="00E46EDB">
            <w:pPr>
              <w:pStyle w:val="TableParagraph"/>
              <w:spacing w:before="120" w:line="240" w:lineRule="auto"/>
              <w:ind w:left="107"/>
              <w:rPr>
                <w:sz w:val="20"/>
              </w:rPr>
            </w:pPr>
            <w:r>
              <w:rPr>
                <w:sz w:val="20"/>
              </w:rPr>
              <w:t>60 days in Breathing Space</w:t>
            </w:r>
          </w:p>
        </w:tc>
        <w:tc>
          <w:tcPr>
            <w:tcW w:w="871" w:type="dxa"/>
          </w:tcPr>
          <w:p w14:paraId="4DCD0391" w14:textId="77777777" w:rsidR="00A663F1" w:rsidRDefault="00E46EDB">
            <w:pPr>
              <w:pStyle w:val="TableParagraph"/>
              <w:ind w:left="105"/>
              <w:rPr>
                <w:sz w:val="20"/>
              </w:rPr>
            </w:pPr>
            <w:r>
              <w:rPr>
                <w:sz w:val="20"/>
              </w:rPr>
              <w:t>Direct</w:t>
            </w:r>
          </w:p>
        </w:tc>
        <w:tc>
          <w:tcPr>
            <w:tcW w:w="549" w:type="dxa"/>
          </w:tcPr>
          <w:p w14:paraId="4D0EB2B5" w14:textId="77777777" w:rsidR="00A663F1" w:rsidRDefault="00E46EDB">
            <w:pPr>
              <w:pStyle w:val="TableParagraph"/>
              <w:ind w:left="108"/>
              <w:rPr>
                <w:sz w:val="20"/>
              </w:rPr>
            </w:pPr>
            <w:r>
              <w:rPr>
                <w:sz w:val="20"/>
              </w:rPr>
              <w:t>573</w:t>
            </w:r>
          </w:p>
        </w:tc>
        <w:tc>
          <w:tcPr>
            <w:tcW w:w="549" w:type="dxa"/>
          </w:tcPr>
          <w:p w14:paraId="47EAAC36" w14:textId="77777777" w:rsidR="00A663F1" w:rsidRDefault="00E46EDB">
            <w:pPr>
              <w:pStyle w:val="TableParagraph"/>
              <w:ind w:left="108"/>
              <w:rPr>
                <w:sz w:val="20"/>
              </w:rPr>
            </w:pPr>
            <w:r>
              <w:rPr>
                <w:sz w:val="20"/>
              </w:rPr>
              <w:t>604</w:t>
            </w:r>
          </w:p>
        </w:tc>
        <w:tc>
          <w:tcPr>
            <w:tcW w:w="551" w:type="dxa"/>
          </w:tcPr>
          <w:p w14:paraId="10DD6105" w14:textId="77777777" w:rsidR="00A663F1" w:rsidRDefault="00E46EDB">
            <w:pPr>
              <w:pStyle w:val="TableParagraph"/>
              <w:ind w:left="109"/>
              <w:rPr>
                <w:sz w:val="20"/>
              </w:rPr>
            </w:pPr>
            <w:r>
              <w:rPr>
                <w:sz w:val="20"/>
              </w:rPr>
              <w:t>637</w:t>
            </w:r>
          </w:p>
        </w:tc>
        <w:tc>
          <w:tcPr>
            <w:tcW w:w="549" w:type="dxa"/>
          </w:tcPr>
          <w:p w14:paraId="17DFC8A6" w14:textId="77777777" w:rsidR="00A663F1" w:rsidRDefault="00E46EDB">
            <w:pPr>
              <w:pStyle w:val="TableParagraph"/>
              <w:ind w:left="108"/>
              <w:rPr>
                <w:sz w:val="20"/>
              </w:rPr>
            </w:pPr>
            <w:r>
              <w:rPr>
                <w:sz w:val="20"/>
              </w:rPr>
              <w:t>671</w:t>
            </w:r>
          </w:p>
        </w:tc>
        <w:tc>
          <w:tcPr>
            <w:tcW w:w="549" w:type="dxa"/>
          </w:tcPr>
          <w:p w14:paraId="7F2134E2" w14:textId="77777777" w:rsidR="00A663F1" w:rsidRDefault="00E46EDB">
            <w:pPr>
              <w:pStyle w:val="TableParagraph"/>
              <w:ind w:left="85" w:right="76"/>
              <w:jc w:val="center"/>
              <w:rPr>
                <w:sz w:val="20"/>
              </w:rPr>
            </w:pPr>
            <w:r>
              <w:rPr>
                <w:sz w:val="20"/>
              </w:rPr>
              <w:t>708</w:t>
            </w:r>
          </w:p>
        </w:tc>
        <w:tc>
          <w:tcPr>
            <w:tcW w:w="550" w:type="dxa"/>
          </w:tcPr>
          <w:p w14:paraId="37F6C53A" w14:textId="77777777" w:rsidR="00A663F1" w:rsidRDefault="00E46EDB">
            <w:pPr>
              <w:pStyle w:val="TableParagraph"/>
              <w:ind w:left="109"/>
              <w:rPr>
                <w:sz w:val="20"/>
              </w:rPr>
            </w:pPr>
            <w:r>
              <w:rPr>
                <w:sz w:val="20"/>
              </w:rPr>
              <w:t>746</w:t>
            </w:r>
          </w:p>
        </w:tc>
        <w:tc>
          <w:tcPr>
            <w:tcW w:w="717" w:type="dxa"/>
          </w:tcPr>
          <w:p w14:paraId="10F9171E" w14:textId="77777777" w:rsidR="00A663F1" w:rsidRDefault="00E46EDB">
            <w:pPr>
              <w:pStyle w:val="TableParagraph"/>
              <w:ind w:left="112"/>
              <w:rPr>
                <w:sz w:val="20"/>
              </w:rPr>
            </w:pPr>
            <w:r>
              <w:rPr>
                <w:sz w:val="20"/>
              </w:rPr>
              <w:t>786</w:t>
            </w:r>
          </w:p>
        </w:tc>
        <w:tc>
          <w:tcPr>
            <w:tcW w:w="717" w:type="dxa"/>
          </w:tcPr>
          <w:p w14:paraId="3EF89398" w14:textId="77777777" w:rsidR="00A663F1" w:rsidRDefault="00E46EDB">
            <w:pPr>
              <w:pStyle w:val="TableParagraph"/>
              <w:ind w:left="110"/>
              <w:rPr>
                <w:sz w:val="20"/>
              </w:rPr>
            </w:pPr>
            <w:r>
              <w:rPr>
                <w:sz w:val="20"/>
              </w:rPr>
              <w:t>829</w:t>
            </w:r>
          </w:p>
        </w:tc>
        <w:tc>
          <w:tcPr>
            <w:tcW w:w="715" w:type="dxa"/>
          </w:tcPr>
          <w:p w14:paraId="614302D0" w14:textId="77777777" w:rsidR="00A663F1" w:rsidRDefault="00E46EDB">
            <w:pPr>
              <w:pStyle w:val="TableParagraph"/>
              <w:ind w:left="110"/>
              <w:rPr>
                <w:sz w:val="20"/>
              </w:rPr>
            </w:pPr>
            <w:r>
              <w:rPr>
                <w:sz w:val="20"/>
              </w:rPr>
              <w:t>874</w:t>
            </w:r>
          </w:p>
        </w:tc>
        <w:tc>
          <w:tcPr>
            <w:tcW w:w="717" w:type="dxa"/>
          </w:tcPr>
          <w:p w14:paraId="62CFC22C" w14:textId="77777777" w:rsidR="00A663F1" w:rsidRDefault="00E46EDB">
            <w:pPr>
              <w:pStyle w:val="TableParagraph"/>
              <w:ind w:left="113"/>
              <w:rPr>
                <w:sz w:val="20"/>
              </w:rPr>
            </w:pPr>
            <w:r>
              <w:rPr>
                <w:sz w:val="20"/>
              </w:rPr>
              <w:t>921</w:t>
            </w:r>
          </w:p>
        </w:tc>
      </w:tr>
      <w:tr w:rsidR="00A663F1" w14:paraId="0FE4BFF2" w14:textId="77777777">
        <w:trPr>
          <w:trHeight w:val="928"/>
        </w:trPr>
        <w:tc>
          <w:tcPr>
            <w:tcW w:w="3157" w:type="dxa"/>
          </w:tcPr>
          <w:p w14:paraId="0C472DB4" w14:textId="77777777" w:rsidR="00A663F1" w:rsidRDefault="00E46EDB">
            <w:pPr>
              <w:pStyle w:val="TableParagraph"/>
              <w:spacing w:line="240" w:lineRule="auto"/>
              <w:ind w:left="107" w:right="1308"/>
              <w:rPr>
                <w:b/>
                <w:sz w:val="20"/>
              </w:rPr>
            </w:pPr>
            <w:r>
              <w:rPr>
                <w:b/>
                <w:sz w:val="20"/>
              </w:rPr>
              <w:t>Debt advice in the counterfactual</w:t>
            </w:r>
          </w:p>
          <w:p w14:paraId="21B1081E" w14:textId="77777777" w:rsidR="00A663F1" w:rsidRDefault="00E46EDB">
            <w:pPr>
              <w:pStyle w:val="TableParagraph"/>
              <w:spacing w:before="120" w:line="240" w:lineRule="auto"/>
              <w:ind w:left="107"/>
              <w:rPr>
                <w:sz w:val="20"/>
              </w:rPr>
            </w:pPr>
            <w:r>
              <w:rPr>
                <w:sz w:val="20"/>
              </w:rPr>
              <w:t>30 days in Breathing Space</w:t>
            </w:r>
          </w:p>
        </w:tc>
        <w:tc>
          <w:tcPr>
            <w:tcW w:w="871" w:type="dxa"/>
          </w:tcPr>
          <w:p w14:paraId="1F912371" w14:textId="77777777" w:rsidR="00A663F1" w:rsidRDefault="00E46EDB">
            <w:pPr>
              <w:pStyle w:val="TableParagraph"/>
              <w:ind w:left="105"/>
              <w:rPr>
                <w:sz w:val="20"/>
              </w:rPr>
            </w:pPr>
            <w:r>
              <w:rPr>
                <w:sz w:val="20"/>
              </w:rPr>
              <w:t>Direct</w:t>
            </w:r>
          </w:p>
        </w:tc>
        <w:tc>
          <w:tcPr>
            <w:tcW w:w="549" w:type="dxa"/>
          </w:tcPr>
          <w:p w14:paraId="1E0976E7" w14:textId="77777777" w:rsidR="00A663F1" w:rsidRDefault="00E46EDB">
            <w:pPr>
              <w:pStyle w:val="TableParagraph"/>
              <w:ind w:left="108"/>
              <w:rPr>
                <w:sz w:val="20"/>
              </w:rPr>
            </w:pPr>
            <w:r>
              <w:rPr>
                <w:sz w:val="20"/>
              </w:rPr>
              <w:t>65</w:t>
            </w:r>
          </w:p>
        </w:tc>
        <w:tc>
          <w:tcPr>
            <w:tcW w:w="549" w:type="dxa"/>
          </w:tcPr>
          <w:p w14:paraId="6C232F04" w14:textId="77777777" w:rsidR="00A663F1" w:rsidRDefault="00E46EDB">
            <w:pPr>
              <w:pStyle w:val="TableParagraph"/>
              <w:ind w:left="108"/>
              <w:rPr>
                <w:sz w:val="20"/>
              </w:rPr>
            </w:pPr>
            <w:r>
              <w:rPr>
                <w:sz w:val="20"/>
              </w:rPr>
              <w:t>69</w:t>
            </w:r>
          </w:p>
        </w:tc>
        <w:tc>
          <w:tcPr>
            <w:tcW w:w="551" w:type="dxa"/>
          </w:tcPr>
          <w:p w14:paraId="1CCFA803" w14:textId="77777777" w:rsidR="00A663F1" w:rsidRDefault="00E46EDB">
            <w:pPr>
              <w:pStyle w:val="TableParagraph"/>
              <w:ind w:left="109"/>
              <w:rPr>
                <w:sz w:val="20"/>
              </w:rPr>
            </w:pPr>
            <w:r>
              <w:rPr>
                <w:sz w:val="20"/>
              </w:rPr>
              <w:t>73</w:t>
            </w:r>
          </w:p>
        </w:tc>
        <w:tc>
          <w:tcPr>
            <w:tcW w:w="549" w:type="dxa"/>
          </w:tcPr>
          <w:p w14:paraId="656D42CB" w14:textId="77777777" w:rsidR="00A663F1" w:rsidRDefault="00E46EDB">
            <w:pPr>
              <w:pStyle w:val="TableParagraph"/>
              <w:ind w:left="108"/>
              <w:rPr>
                <w:sz w:val="20"/>
              </w:rPr>
            </w:pPr>
            <w:r>
              <w:rPr>
                <w:sz w:val="20"/>
              </w:rPr>
              <w:t>77</w:t>
            </w:r>
          </w:p>
        </w:tc>
        <w:tc>
          <w:tcPr>
            <w:tcW w:w="549" w:type="dxa"/>
          </w:tcPr>
          <w:p w14:paraId="2BA85F6E" w14:textId="77777777" w:rsidR="00A663F1" w:rsidRDefault="00E46EDB">
            <w:pPr>
              <w:pStyle w:val="TableParagraph"/>
              <w:ind w:left="85" w:right="183"/>
              <w:jc w:val="center"/>
              <w:rPr>
                <w:sz w:val="20"/>
              </w:rPr>
            </w:pPr>
            <w:r>
              <w:rPr>
                <w:sz w:val="20"/>
              </w:rPr>
              <w:t>81</w:t>
            </w:r>
          </w:p>
        </w:tc>
        <w:tc>
          <w:tcPr>
            <w:tcW w:w="550" w:type="dxa"/>
          </w:tcPr>
          <w:p w14:paraId="7561D833" w14:textId="77777777" w:rsidR="00A663F1" w:rsidRDefault="00E46EDB">
            <w:pPr>
              <w:pStyle w:val="TableParagraph"/>
              <w:ind w:left="109"/>
              <w:rPr>
                <w:sz w:val="20"/>
              </w:rPr>
            </w:pPr>
            <w:r>
              <w:rPr>
                <w:sz w:val="20"/>
              </w:rPr>
              <w:t>85</w:t>
            </w:r>
          </w:p>
        </w:tc>
        <w:tc>
          <w:tcPr>
            <w:tcW w:w="717" w:type="dxa"/>
          </w:tcPr>
          <w:p w14:paraId="45B0032E" w14:textId="77777777" w:rsidR="00A663F1" w:rsidRDefault="00E46EDB">
            <w:pPr>
              <w:pStyle w:val="TableParagraph"/>
              <w:ind w:left="112"/>
              <w:rPr>
                <w:sz w:val="20"/>
              </w:rPr>
            </w:pPr>
            <w:r>
              <w:rPr>
                <w:sz w:val="20"/>
              </w:rPr>
              <w:t>90</w:t>
            </w:r>
          </w:p>
        </w:tc>
        <w:tc>
          <w:tcPr>
            <w:tcW w:w="717" w:type="dxa"/>
          </w:tcPr>
          <w:p w14:paraId="0C76CFDC" w14:textId="77777777" w:rsidR="00A663F1" w:rsidRDefault="00E46EDB">
            <w:pPr>
              <w:pStyle w:val="TableParagraph"/>
              <w:ind w:left="110"/>
              <w:rPr>
                <w:sz w:val="20"/>
              </w:rPr>
            </w:pPr>
            <w:r>
              <w:rPr>
                <w:sz w:val="20"/>
              </w:rPr>
              <w:t>95</w:t>
            </w:r>
          </w:p>
        </w:tc>
        <w:tc>
          <w:tcPr>
            <w:tcW w:w="715" w:type="dxa"/>
          </w:tcPr>
          <w:p w14:paraId="4510DDB9" w14:textId="77777777" w:rsidR="00A663F1" w:rsidRDefault="00E46EDB">
            <w:pPr>
              <w:pStyle w:val="TableParagraph"/>
              <w:ind w:left="110"/>
              <w:rPr>
                <w:sz w:val="20"/>
              </w:rPr>
            </w:pPr>
            <w:r>
              <w:rPr>
                <w:sz w:val="20"/>
              </w:rPr>
              <w:t>100</w:t>
            </w:r>
          </w:p>
        </w:tc>
        <w:tc>
          <w:tcPr>
            <w:tcW w:w="717" w:type="dxa"/>
          </w:tcPr>
          <w:p w14:paraId="3316E1E4" w14:textId="77777777" w:rsidR="00A663F1" w:rsidRDefault="00E46EDB">
            <w:pPr>
              <w:pStyle w:val="TableParagraph"/>
              <w:ind w:left="113"/>
              <w:rPr>
                <w:sz w:val="20"/>
              </w:rPr>
            </w:pPr>
            <w:r>
              <w:rPr>
                <w:sz w:val="20"/>
              </w:rPr>
              <w:t>105</w:t>
            </w:r>
          </w:p>
        </w:tc>
      </w:tr>
      <w:tr w:rsidR="00A663F1" w14:paraId="7DDBEF79" w14:textId="77777777">
        <w:trPr>
          <w:trHeight w:val="930"/>
        </w:trPr>
        <w:tc>
          <w:tcPr>
            <w:tcW w:w="3157" w:type="dxa"/>
          </w:tcPr>
          <w:p w14:paraId="55A471C4" w14:textId="77777777" w:rsidR="00A663F1" w:rsidRDefault="00E46EDB">
            <w:pPr>
              <w:pStyle w:val="TableParagraph"/>
              <w:spacing w:line="240" w:lineRule="auto"/>
              <w:ind w:left="107"/>
              <w:rPr>
                <w:b/>
                <w:sz w:val="20"/>
              </w:rPr>
            </w:pPr>
            <w:r>
              <w:rPr>
                <w:b/>
                <w:sz w:val="20"/>
              </w:rPr>
              <w:t>No debt advice in the counterfactual</w:t>
            </w:r>
          </w:p>
          <w:p w14:paraId="20AD57A7" w14:textId="77777777" w:rsidR="00A663F1" w:rsidRDefault="00E46EDB">
            <w:pPr>
              <w:pStyle w:val="TableParagraph"/>
              <w:spacing w:before="120" w:line="240" w:lineRule="auto"/>
              <w:ind w:left="107"/>
              <w:rPr>
                <w:sz w:val="20"/>
              </w:rPr>
            </w:pPr>
            <w:r>
              <w:rPr>
                <w:sz w:val="20"/>
              </w:rPr>
              <w:t>60 days in Breathing Space</w:t>
            </w:r>
          </w:p>
        </w:tc>
        <w:tc>
          <w:tcPr>
            <w:tcW w:w="871" w:type="dxa"/>
          </w:tcPr>
          <w:p w14:paraId="35086747" w14:textId="77777777" w:rsidR="00A663F1" w:rsidRDefault="00E46EDB">
            <w:pPr>
              <w:pStyle w:val="TableParagraph"/>
              <w:spacing w:before="2" w:line="240" w:lineRule="auto"/>
              <w:ind w:left="105"/>
              <w:rPr>
                <w:sz w:val="20"/>
              </w:rPr>
            </w:pPr>
            <w:r>
              <w:rPr>
                <w:sz w:val="20"/>
              </w:rPr>
              <w:t>Indirect</w:t>
            </w:r>
          </w:p>
        </w:tc>
        <w:tc>
          <w:tcPr>
            <w:tcW w:w="549" w:type="dxa"/>
          </w:tcPr>
          <w:p w14:paraId="1E6EDED2" w14:textId="77777777" w:rsidR="00A663F1" w:rsidRDefault="00E46EDB">
            <w:pPr>
              <w:pStyle w:val="TableParagraph"/>
              <w:spacing w:before="2" w:line="240" w:lineRule="auto"/>
              <w:ind w:left="108"/>
              <w:rPr>
                <w:sz w:val="20"/>
              </w:rPr>
            </w:pPr>
            <w:r>
              <w:rPr>
                <w:sz w:val="20"/>
              </w:rPr>
              <w:t>38</w:t>
            </w:r>
          </w:p>
        </w:tc>
        <w:tc>
          <w:tcPr>
            <w:tcW w:w="549" w:type="dxa"/>
          </w:tcPr>
          <w:p w14:paraId="1E66D178" w14:textId="77777777" w:rsidR="00A663F1" w:rsidRDefault="00E46EDB">
            <w:pPr>
              <w:pStyle w:val="TableParagraph"/>
              <w:spacing w:before="2" w:line="240" w:lineRule="auto"/>
              <w:ind w:left="108"/>
              <w:rPr>
                <w:sz w:val="20"/>
              </w:rPr>
            </w:pPr>
            <w:r>
              <w:rPr>
                <w:sz w:val="20"/>
              </w:rPr>
              <w:t>80</w:t>
            </w:r>
          </w:p>
        </w:tc>
        <w:tc>
          <w:tcPr>
            <w:tcW w:w="551" w:type="dxa"/>
          </w:tcPr>
          <w:p w14:paraId="697E9E64" w14:textId="77777777" w:rsidR="00A663F1" w:rsidRDefault="00E46EDB">
            <w:pPr>
              <w:pStyle w:val="TableParagraph"/>
              <w:spacing w:before="2" w:line="240" w:lineRule="auto"/>
              <w:ind w:left="109"/>
              <w:rPr>
                <w:sz w:val="20"/>
              </w:rPr>
            </w:pPr>
            <w:r>
              <w:rPr>
                <w:sz w:val="20"/>
              </w:rPr>
              <w:t>84</w:t>
            </w:r>
          </w:p>
        </w:tc>
        <w:tc>
          <w:tcPr>
            <w:tcW w:w="549" w:type="dxa"/>
          </w:tcPr>
          <w:p w14:paraId="398F4C34" w14:textId="77777777" w:rsidR="00A663F1" w:rsidRDefault="00E46EDB">
            <w:pPr>
              <w:pStyle w:val="TableParagraph"/>
              <w:spacing w:before="2" w:line="240" w:lineRule="auto"/>
              <w:ind w:left="108"/>
              <w:rPr>
                <w:sz w:val="20"/>
              </w:rPr>
            </w:pPr>
            <w:r>
              <w:rPr>
                <w:sz w:val="20"/>
              </w:rPr>
              <w:t>89</w:t>
            </w:r>
          </w:p>
        </w:tc>
        <w:tc>
          <w:tcPr>
            <w:tcW w:w="549" w:type="dxa"/>
          </w:tcPr>
          <w:p w14:paraId="496B339E" w14:textId="77777777" w:rsidR="00A663F1" w:rsidRDefault="00E46EDB">
            <w:pPr>
              <w:pStyle w:val="TableParagraph"/>
              <w:spacing w:before="2" w:line="240" w:lineRule="auto"/>
              <w:ind w:left="85" w:right="183"/>
              <w:jc w:val="center"/>
              <w:rPr>
                <w:sz w:val="20"/>
              </w:rPr>
            </w:pPr>
            <w:r>
              <w:rPr>
                <w:sz w:val="20"/>
              </w:rPr>
              <w:t>94</w:t>
            </w:r>
          </w:p>
        </w:tc>
        <w:tc>
          <w:tcPr>
            <w:tcW w:w="550" w:type="dxa"/>
          </w:tcPr>
          <w:p w14:paraId="30A80E3D" w14:textId="77777777" w:rsidR="00A663F1" w:rsidRDefault="00E46EDB">
            <w:pPr>
              <w:pStyle w:val="TableParagraph"/>
              <w:spacing w:before="2" w:line="240" w:lineRule="auto"/>
              <w:ind w:left="109"/>
              <w:rPr>
                <w:sz w:val="20"/>
              </w:rPr>
            </w:pPr>
            <w:r>
              <w:rPr>
                <w:sz w:val="20"/>
              </w:rPr>
              <w:t>99</w:t>
            </w:r>
          </w:p>
        </w:tc>
        <w:tc>
          <w:tcPr>
            <w:tcW w:w="717" w:type="dxa"/>
          </w:tcPr>
          <w:p w14:paraId="3A370BD5" w14:textId="77777777" w:rsidR="00A663F1" w:rsidRDefault="00E46EDB">
            <w:pPr>
              <w:pStyle w:val="TableParagraph"/>
              <w:spacing w:before="2" w:line="240" w:lineRule="auto"/>
              <w:ind w:left="112"/>
              <w:rPr>
                <w:sz w:val="20"/>
              </w:rPr>
            </w:pPr>
            <w:r>
              <w:rPr>
                <w:sz w:val="20"/>
              </w:rPr>
              <w:t>104</w:t>
            </w:r>
          </w:p>
        </w:tc>
        <w:tc>
          <w:tcPr>
            <w:tcW w:w="717" w:type="dxa"/>
          </w:tcPr>
          <w:p w14:paraId="6CCDC3C4" w14:textId="77777777" w:rsidR="00A663F1" w:rsidRDefault="00E46EDB">
            <w:pPr>
              <w:pStyle w:val="TableParagraph"/>
              <w:spacing w:before="2" w:line="240" w:lineRule="auto"/>
              <w:ind w:left="110"/>
              <w:rPr>
                <w:sz w:val="20"/>
              </w:rPr>
            </w:pPr>
            <w:r>
              <w:rPr>
                <w:sz w:val="20"/>
              </w:rPr>
              <w:t>110</w:t>
            </w:r>
          </w:p>
        </w:tc>
        <w:tc>
          <w:tcPr>
            <w:tcW w:w="715" w:type="dxa"/>
          </w:tcPr>
          <w:p w14:paraId="2CDC2ACB" w14:textId="77777777" w:rsidR="00A663F1" w:rsidRDefault="00E46EDB">
            <w:pPr>
              <w:pStyle w:val="TableParagraph"/>
              <w:spacing w:before="2" w:line="240" w:lineRule="auto"/>
              <w:ind w:left="110"/>
              <w:rPr>
                <w:sz w:val="20"/>
              </w:rPr>
            </w:pPr>
            <w:r>
              <w:rPr>
                <w:sz w:val="20"/>
              </w:rPr>
              <w:t>116</w:t>
            </w:r>
          </w:p>
        </w:tc>
        <w:tc>
          <w:tcPr>
            <w:tcW w:w="717" w:type="dxa"/>
          </w:tcPr>
          <w:p w14:paraId="15627980" w14:textId="77777777" w:rsidR="00A663F1" w:rsidRDefault="00E46EDB">
            <w:pPr>
              <w:pStyle w:val="TableParagraph"/>
              <w:spacing w:before="2" w:line="240" w:lineRule="auto"/>
              <w:ind w:left="113"/>
              <w:rPr>
                <w:sz w:val="20"/>
              </w:rPr>
            </w:pPr>
            <w:r>
              <w:rPr>
                <w:sz w:val="20"/>
              </w:rPr>
              <w:t>122</w:t>
            </w:r>
          </w:p>
        </w:tc>
      </w:tr>
      <w:tr w:rsidR="00A663F1" w14:paraId="3B40BB5E" w14:textId="77777777">
        <w:trPr>
          <w:trHeight w:val="931"/>
        </w:trPr>
        <w:tc>
          <w:tcPr>
            <w:tcW w:w="3157" w:type="dxa"/>
          </w:tcPr>
          <w:p w14:paraId="797EFC33" w14:textId="77777777" w:rsidR="00A663F1" w:rsidRDefault="00E46EDB">
            <w:pPr>
              <w:pStyle w:val="TableParagraph"/>
              <w:spacing w:line="240" w:lineRule="auto"/>
              <w:ind w:left="107"/>
              <w:rPr>
                <w:b/>
                <w:sz w:val="20"/>
              </w:rPr>
            </w:pPr>
            <w:r>
              <w:rPr>
                <w:b/>
                <w:sz w:val="20"/>
              </w:rPr>
              <w:t>No debt advice in the counterfactual</w:t>
            </w:r>
          </w:p>
          <w:p w14:paraId="179E2B7D" w14:textId="77777777" w:rsidR="00A663F1" w:rsidRDefault="00E46EDB">
            <w:pPr>
              <w:pStyle w:val="TableParagraph"/>
              <w:spacing w:before="121" w:line="240" w:lineRule="auto"/>
              <w:ind w:left="107"/>
              <w:rPr>
                <w:sz w:val="20"/>
              </w:rPr>
            </w:pPr>
            <w:r>
              <w:rPr>
                <w:sz w:val="20"/>
              </w:rPr>
              <w:t>30 days in Breathing Space</w:t>
            </w:r>
          </w:p>
        </w:tc>
        <w:tc>
          <w:tcPr>
            <w:tcW w:w="871" w:type="dxa"/>
            <w:tcBorders>
              <w:bottom w:val="nil"/>
            </w:tcBorders>
          </w:tcPr>
          <w:p w14:paraId="29F710BC" w14:textId="77777777" w:rsidR="00A663F1" w:rsidRDefault="00E46EDB">
            <w:pPr>
              <w:pStyle w:val="TableParagraph"/>
              <w:ind w:left="105"/>
              <w:rPr>
                <w:sz w:val="20"/>
              </w:rPr>
            </w:pPr>
            <w:r>
              <w:rPr>
                <w:sz w:val="20"/>
              </w:rPr>
              <w:t>Indirect</w:t>
            </w:r>
          </w:p>
        </w:tc>
        <w:tc>
          <w:tcPr>
            <w:tcW w:w="549" w:type="dxa"/>
          </w:tcPr>
          <w:p w14:paraId="0649CA3A" w14:textId="77777777" w:rsidR="00A663F1" w:rsidRDefault="00E46EDB">
            <w:pPr>
              <w:pStyle w:val="TableParagraph"/>
              <w:ind w:left="108"/>
              <w:rPr>
                <w:sz w:val="20"/>
              </w:rPr>
            </w:pPr>
            <w:r>
              <w:rPr>
                <w:w w:val="99"/>
                <w:sz w:val="20"/>
              </w:rPr>
              <w:t>4</w:t>
            </w:r>
          </w:p>
        </w:tc>
        <w:tc>
          <w:tcPr>
            <w:tcW w:w="549" w:type="dxa"/>
          </w:tcPr>
          <w:p w14:paraId="57DFC2F3" w14:textId="77777777" w:rsidR="00A663F1" w:rsidRDefault="00E46EDB">
            <w:pPr>
              <w:pStyle w:val="TableParagraph"/>
              <w:ind w:left="108"/>
              <w:rPr>
                <w:sz w:val="20"/>
              </w:rPr>
            </w:pPr>
            <w:r>
              <w:rPr>
                <w:w w:val="99"/>
                <w:sz w:val="20"/>
              </w:rPr>
              <w:t>9</w:t>
            </w:r>
          </w:p>
        </w:tc>
        <w:tc>
          <w:tcPr>
            <w:tcW w:w="551" w:type="dxa"/>
          </w:tcPr>
          <w:p w14:paraId="3E46C0BD" w14:textId="77777777" w:rsidR="00A663F1" w:rsidRDefault="00E46EDB">
            <w:pPr>
              <w:pStyle w:val="TableParagraph"/>
              <w:ind w:left="109"/>
              <w:rPr>
                <w:sz w:val="20"/>
              </w:rPr>
            </w:pPr>
            <w:r>
              <w:rPr>
                <w:sz w:val="20"/>
              </w:rPr>
              <w:t>10</w:t>
            </w:r>
          </w:p>
        </w:tc>
        <w:tc>
          <w:tcPr>
            <w:tcW w:w="549" w:type="dxa"/>
          </w:tcPr>
          <w:p w14:paraId="3B5CF20B" w14:textId="77777777" w:rsidR="00A663F1" w:rsidRDefault="00E46EDB">
            <w:pPr>
              <w:pStyle w:val="TableParagraph"/>
              <w:ind w:left="108"/>
              <w:rPr>
                <w:sz w:val="20"/>
              </w:rPr>
            </w:pPr>
            <w:r>
              <w:rPr>
                <w:sz w:val="20"/>
              </w:rPr>
              <w:t>10</w:t>
            </w:r>
          </w:p>
        </w:tc>
        <w:tc>
          <w:tcPr>
            <w:tcW w:w="549" w:type="dxa"/>
          </w:tcPr>
          <w:p w14:paraId="77BE7299" w14:textId="77777777" w:rsidR="00A663F1" w:rsidRDefault="00E46EDB">
            <w:pPr>
              <w:pStyle w:val="TableParagraph"/>
              <w:ind w:left="85" w:right="183"/>
              <w:jc w:val="center"/>
              <w:rPr>
                <w:sz w:val="20"/>
              </w:rPr>
            </w:pPr>
            <w:r>
              <w:rPr>
                <w:sz w:val="20"/>
              </w:rPr>
              <w:t>11</w:t>
            </w:r>
          </w:p>
        </w:tc>
        <w:tc>
          <w:tcPr>
            <w:tcW w:w="550" w:type="dxa"/>
          </w:tcPr>
          <w:p w14:paraId="603F5948" w14:textId="77777777" w:rsidR="00A663F1" w:rsidRDefault="00E46EDB">
            <w:pPr>
              <w:pStyle w:val="TableParagraph"/>
              <w:ind w:left="109"/>
              <w:rPr>
                <w:sz w:val="20"/>
              </w:rPr>
            </w:pPr>
            <w:r>
              <w:rPr>
                <w:sz w:val="20"/>
              </w:rPr>
              <w:t>11</w:t>
            </w:r>
          </w:p>
        </w:tc>
        <w:tc>
          <w:tcPr>
            <w:tcW w:w="717" w:type="dxa"/>
          </w:tcPr>
          <w:p w14:paraId="7951092D" w14:textId="77777777" w:rsidR="00A663F1" w:rsidRDefault="00E46EDB">
            <w:pPr>
              <w:pStyle w:val="TableParagraph"/>
              <w:ind w:left="112"/>
              <w:rPr>
                <w:sz w:val="20"/>
              </w:rPr>
            </w:pPr>
            <w:r>
              <w:rPr>
                <w:sz w:val="20"/>
              </w:rPr>
              <w:t>12</w:t>
            </w:r>
          </w:p>
        </w:tc>
        <w:tc>
          <w:tcPr>
            <w:tcW w:w="717" w:type="dxa"/>
          </w:tcPr>
          <w:p w14:paraId="34DA0460" w14:textId="77777777" w:rsidR="00A663F1" w:rsidRDefault="00E46EDB">
            <w:pPr>
              <w:pStyle w:val="TableParagraph"/>
              <w:ind w:left="110"/>
              <w:rPr>
                <w:sz w:val="20"/>
              </w:rPr>
            </w:pPr>
            <w:r>
              <w:rPr>
                <w:sz w:val="20"/>
              </w:rPr>
              <w:t>13</w:t>
            </w:r>
          </w:p>
        </w:tc>
        <w:tc>
          <w:tcPr>
            <w:tcW w:w="715" w:type="dxa"/>
          </w:tcPr>
          <w:p w14:paraId="2AE6A8A0" w14:textId="77777777" w:rsidR="00A663F1" w:rsidRDefault="00E46EDB">
            <w:pPr>
              <w:pStyle w:val="TableParagraph"/>
              <w:ind w:left="110"/>
              <w:rPr>
                <w:sz w:val="20"/>
              </w:rPr>
            </w:pPr>
            <w:r>
              <w:rPr>
                <w:sz w:val="20"/>
              </w:rPr>
              <w:t>13</w:t>
            </w:r>
          </w:p>
        </w:tc>
        <w:tc>
          <w:tcPr>
            <w:tcW w:w="717" w:type="dxa"/>
          </w:tcPr>
          <w:p w14:paraId="6DDFBC1E" w14:textId="77777777" w:rsidR="00A663F1" w:rsidRDefault="00E46EDB">
            <w:pPr>
              <w:pStyle w:val="TableParagraph"/>
              <w:ind w:left="113"/>
              <w:rPr>
                <w:sz w:val="20"/>
              </w:rPr>
            </w:pPr>
            <w:r>
              <w:rPr>
                <w:sz w:val="20"/>
              </w:rPr>
              <w:t>14</w:t>
            </w:r>
          </w:p>
        </w:tc>
      </w:tr>
      <w:tr w:rsidR="00A663F1" w14:paraId="604565D9" w14:textId="77777777">
        <w:trPr>
          <w:trHeight w:val="350"/>
        </w:trPr>
        <w:tc>
          <w:tcPr>
            <w:tcW w:w="3157" w:type="dxa"/>
          </w:tcPr>
          <w:p w14:paraId="3D60D15A" w14:textId="77777777" w:rsidR="00A663F1" w:rsidRDefault="00E46EDB">
            <w:pPr>
              <w:pStyle w:val="TableParagraph"/>
              <w:ind w:left="107"/>
              <w:rPr>
                <w:b/>
                <w:sz w:val="20"/>
              </w:rPr>
            </w:pPr>
            <w:r>
              <w:rPr>
                <w:b/>
                <w:sz w:val="20"/>
              </w:rPr>
              <w:t>Total</w:t>
            </w:r>
          </w:p>
        </w:tc>
        <w:tc>
          <w:tcPr>
            <w:tcW w:w="871" w:type="dxa"/>
            <w:tcBorders>
              <w:top w:val="nil"/>
              <w:left w:val="nil"/>
              <w:bottom w:val="nil"/>
              <w:right w:val="nil"/>
            </w:tcBorders>
            <w:shd w:val="clear" w:color="auto" w:fill="000000"/>
          </w:tcPr>
          <w:p w14:paraId="464C391F" w14:textId="77777777" w:rsidR="00A663F1" w:rsidRDefault="00A663F1">
            <w:pPr>
              <w:pStyle w:val="TableParagraph"/>
              <w:spacing w:line="240" w:lineRule="auto"/>
              <w:rPr>
                <w:rFonts w:ascii="Times New Roman"/>
                <w:sz w:val="20"/>
              </w:rPr>
            </w:pPr>
          </w:p>
        </w:tc>
        <w:tc>
          <w:tcPr>
            <w:tcW w:w="549" w:type="dxa"/>
          </w:tcPr>
          <w:p w14:paraId="7538226A" w14:textId="77777777" w:rsidR="00A663F1" w:rsidRDefault="00E46EDB">
            <w:pPr>
              <w:pStyle w:val="TableParagraph"/>
              <w:ind w:left="108"/>
              <w:rPr>
                <w:sz w:val="20"/>
              </w:rPr>
            </w:pPr>
            <w:r>
              <w:rPr>
                <w:sz w:val="20"/>
              </w:rPr>
              <w:t>708</w:t>
            </w:r>
          </w:p>
        </w:tc>
        <w:tc>
          <w:tcPr>
            <w:tcW w:w="549" w:type="dxa"/>
          </w:tcPr>
          <w:p w14:paraId="058D39A4" w14:textId="77777777" w:rsidR="00A663F1" w:rsidRDefault="00E46EDB">
            <w:pPr>
              <w:pStyle w:val="TableParagraph"/>
              <w:ind w:left="108"/>
              <w:rPr>
                <w:sz w:val="20"/>
              </w:rPr>
            </w:pPr>
            <w:r>
              <w:rPr>
                <w:sz w:val="20"/>
              </w:rPr>
              <w:t>793</w:t>
            </w:r>
          </w:p>
        </w:tc>
        <w:tc>
          <w:tcPr>
            <w:tcW w:w="551" w:type="dxa"/>
          </w:tcPr>
          <w:p w14:paraId="15E9093E" w14:textId="77777777" w:rsidR="00A663F1" w:rsidRDefault="00E46EDB">
            <w:pPr>
              <w:pStyle w:val="TableParagraph"/>
              <w:ind w:left="109"/>
              <w:rPr>
                <w:sz w:val="20"/>
              </w:rPr>
            </w:pPr>
            <w:r>
              <w:rPr>
                <w:sz w:val="20"/>
              </w:rPr>
              <w:t>837</w:t>
            </w:r>
          </w:p>
        </w:tc>
        <w:tc>
          <w:tcPr>
            <w:tcW w:w="549" w:type="dxa"/>
          </w:tcPr>
          <w:p w14:paraId="28146000" w14:textId="77777777" w:rsidR="00A663F1" w:rsidRDefault="00E46EDB">
            <w:pPr>
              <w:pStyle w:val="TableParagraph"/>
              <w:ind w:left="108"/>
              <w:rPr>
                <w:sz w:val="20"/>
              </w:rPr>
            </w:pPr>
            <w:r>
              <w:rPr>
                <w:sz w:val="20"/>
              </w:rPr>
              <w:t>884</w:t>
            </w:r>
          </w:p>
        </w:tc>
        <w:tc>
          <w:tcPr>
            <w:tcW w:w="549" w:type="dxa"/>
          </w:tcPr>
          <w:p w14:paraId="30B396A0" w14:textId="77777777" w:rsidR="00A663F1" w:rsidRDefault="00E46EDB">
            <w:pPr>
              <w:pStyle w:val="TableParagraph"/>
              <w:ind w:left="85" w:right="76"/>
              <w:jc w:val="center"/>
              <w:rPr>
                <w:sz w:val="20"/>
              </w:rPr>
            </w:pPr>
            <w:r>
              <w:rPr>
                <w:sz w:val="20"/>
              </w:rPr>
              <w:t>932</w:t>
            </w:r>
          </w:p>
        </w:tc>
        <w:tc>
          <w:tcPr>
            <w:tcW w:w="550" w:type="dxa"/>
          </w:tcPr>
          <w:p w14:paraId="74A63B8F" w14:textId="77777777" w:rsidR="00A663F1" w:rsidRDefault="00E46EDB">
            <w:pPr>
              <w:pStyle w:val="TableParagraph"/>
              <w:ind w:left="109"/>
              <w:rPr>
                <w:sz w:val="20"/>
              </w:rPr>
            </w:pPr>
            <w:r>
              <w:rPr>
                <w:sz w:val="20"/>
              </w:rPr>
              <w:t>984</w:t>
            </w:r>
          </w:p>
        </w:tc>
        <w:tc>
          <w:tcPr>
            <w:tcW w:w="717" w:type="dxa"/>
          </w:tcPr>
          <w:p w14:paraId="2847C913" w14:textId="77777777" w:rsidR="00A663F1" w:rsidRDefault="00E46EDB">
            <w:pPr>
              <w:pStyle w:val="TableParagraph"/>
              <w:ind w:left="112"/>
              <w:rPr>
                <w:sz w:val="20"/>
              </w:rPr>
            </w:pPr>
            <w:r>
              <w:rPr>
                <w:sz w:val="20"/>
              </w:rPr>
              <w:t>1,040</w:t>
            </w:r>
          </w:p>
        </w:tc>
        <w:tc>
          <w:tcPr>
            <w:tcW w:w="717" w:type="dxa"/>
          </w:tcPr>
          <w:p w14:paraId="64F99592" w14:textId="77777777" w:rsidR="00A663F1" w:rsidRDefault="00E46EDB">
            <w:pPr>
              <w:pStyle w:val="TableParagraph"/>
              <w:ind w:left="110"/>
              <w:rPr>
                <w:sz w:val="20"/>
              </w:rPr>
            </w:pPr>
            <w:r>
              <w:rPr>
                <w:sz w:val="20"/>
              </w:rPr>
              <w:t>1,094</w:t>
            </w:r>
          </w:p>
        </w:tc>
        <w:tc>
          <w:tcPr>
            <w:tcW w:w="715" w:type="dxa"/>
          </w:tcPr>
          <w:p w14:paraId="55EC00AB" w14:textId="77777777" w:rsidR="00A663F1" w:rsidRDefault="00E46EDB">
            <w:pPr>
              <w:pStyle w:val="TableParagraph"/>
              <w:ind w:left="110"/>
              <w:rPr>
                <w:sz w:val="20"/>
              </w:rPr>
            </w:pPr>
            <w:r>
              <w:rPr>
                <w:sz w:val="20"/>
              </w:rPr>
              <w:t>1,154</w:t>
            </w:r>
          </w:p>
        </w:tc>
        <w:tc>
          <w:tcPr>
            <w:tcW w:w="717" w:type="dxa"/>
          </w:tcPr>
          <w:p w14:paraId="59E278E9" w14:textId="77777777" w:rsidR="00A663F1" w:rsidRDefault="00E46EDB">
            <w:pPr>
              <w:pStyle w:val="TableParagraph"/>
              <w:ind w:left="113"/>
              <w:rPr>
                <w:sz w:val="20"/>
              </w:rPr>
            </w:pPr>
            <w:r>
              <w:rPr>
                <w:sz w:val="20"/>
              </w:rPr>
              <w:t>1,217</w:t>
            </w:r>
          </w:p>
        </w:tc>
      </w:tr>
    </w:tbl>
    <w:p w14:paraId="6161228D" w14:textId="77777777" w:rsidR="00A663F1" w:rsidRDefault="00E46EDB">
      <w:pPr>
        <w:ind w:left="713"/>
        <w:jc w:val="both"/>
        <w:rPr>
          <w:i/>
        </w:rPr>
      </w:pPr>
      <w:r>
        <w:rPr>
          <w:b/>
          <w:i/>
          <w:u w:val="single"/>
        </w:rPr>
        <w:t xml:space="preserve">Table 9: </w:t>
      </w:r>
      <w:r>
        <w:rPr>
          <w:i/>
          <w:u w:val="single"/>
        </w:rPr>
        <w:t>Segmentation of Breathing Space cohort between 2021-22 and 2030-31 in thousands.</w:t>
      </w:r>
    </w:p>
    <w:p w14:paraId="66776A90" w14:textId="77777777" w:rsidR="00A663F1" w:rsidRDefault="00E46EDB">
      <w:pPr>
        <w:pStyle w:val="Heading1"/>
        <w:numPr>
          <w:ilvl w:val="0"/>
          <w:numId w:val="9"/>
        </w:numPr>
        <w:tabs>
          <w:tab w:val="left" w:pos="613"/>
        </w:tabs>
        <w:spacing w:before="119"/>
        <w:jc w:val="both"/>
      </w:pPr>
      <w:r>
        <w:t>Regulatory Breathing Space – costs – delayed revenue – option</w:t>
      </w:r>
      <w:r>
        <w:rPr>
          <w:spacing w:val="-8"/>
        </w:rPr>
        <w:t xml:space="preserve"> </w:t>
      </w:r>
      <w:r>
        <w:t>3</w:t>
      </w:r>
    </w:p>
    <w:p w14:paraId="0E40135F" w14:textId="77777777" w:rsidR="00A663F1" w:rsidRDefault="00E46EDB">
      <w:pPr>
        <w:pStyle w:val="ListParagraph"/>
        <w:numPr>
          <w:ilvl w:val="1"/>
          <w:numId w:val="9"/>
        </w:numPr>
        <w:tabs>
          <w:tab w:val="left" w:pos="1693"/>
        </w:tabs>
        <w:spacing w:before="121"/>
        <w:ind w:right="269"/>
        <w:jc w:val="both"/>
      </w:pPr>
      <w:r>
        <w:t>Breathing Space will pause enforcement action. Some debtors may respond by delaying repayments that they would have made in the counterfactual. In addition, revenue that creditors would have derived from enforcement action will be delayed by Breathing</w:t>
      </w:r>
      <w:r>
        <w:rPr>
          <w:spacing w:val="-10"/>
        </w:rPr>
        <w:t xml:space="preserve"> </w:t>
      </w:r>
      <w:r>
        <w:t>Space.</w:t>
      </w:r>
    </w:p>
    <w:p w14:paraId="4B33DD0E" w14:textId="77777777" w:rsidR="00A663F1" w:rsidRDefault="00E46EDB">
      <w:pPr>
        <w:pStyle w:val="ListParagraph"/>
        <w:numPr>
          <w:ilvl w:val="1"/>
          <w:numId w:val="9"/>
        </w:numPr>
        <w:tabs>
          <w:tab w:val="left" w:pos="1692"/>
          <w:tab w:val="left" w:pos="1693"/>
        </w:tabs>
        <w:ind w:right="351"/>
      </w:pPr>
      <w:r>
        <w:t xml:space="preserve">The value of the capital lent to debtors will vary according to its source. For all creditors, delayed repayments will drive opportunity costs. Leveraged creditors will also face the cost of borrowing. The cost to creditors of delayed revenue will be offset by a corresponding benefit to debtors of retaining money that they would otherwise have repaid, so this cost </w:t>
      </w:r>
      <w:proofErr w:type="gramStart"/>
      <w:r>
        <w:t>is considered to be</w:t>
      </w:r>
      <w:proofErr w:type="gramEnd"/>
      <w:r>
        <w:t xml:space="preserve"> an economic</w:t>
      </w:r>
      <w:r>
        <w:rPr>
          <w:spacing w:val="-3"/>
        </w:rPr>
        <w:t xml:space="preserve"> </w:t>
      </w:r>
      <w:r>
        <w:t>transfer.</w:t>
      </w:r>
    </w:p>
    <w:p w14:paraId="1FB44F1C" w14:textId="77777777" w:rsidR="00A663F1" w:rsidRDefault="00A663F1">
      <w:pPr>
        <w:sectPr w:rsidR="00A663F1">
          <w:pgSz w:w="11910" w:h="16850"/>
          <w:pgMar w:top="600" w:right="720" w:bottom="1020" w:left="600" w:header="0" w:footer="761" w:gutter="0"/>
          <w:cols w:space="720"/>
        </w:sectPr>
      </w:pPr>
    </w:p>
    <w:p w14:paraId="634BA3A9" w14:textId="77777777" w:rsidR="00A663F1" w:rsidRDefault="00E46EDB">
      <w:pPr>
        <w:pStyle w:val="ListParagraph"/>
        <w:numPr>
          <w:ilvl w:val="1"/>
          <w:numId w:val="9"/>
        </w:numPr>
        <w:tabs>
          <w:tab w:val="left" w:pos="1692"/>
          <w:tab w:val="left" w:pos="1693"/>
        </w:tabs>
        <w:spacing w:before="78"/>
        <w:ind w:right="257"/>
      </w:pPr>
      <w:r>
        <w:lastRenderedPageBreak/>
        <w:t xml:space="preserve">The protections of Breathing Space do not extend to debtors’ payment of ongoing bills – should they not pay </w:t>
      </w:r>
      <w:proofErr w:type="gramStart"/>
      <w:r>
        <w:t>these,</w:t>
      </w:r>
      <w:proofErr w:type="gramEnd"/>
      <w:r>
        <w:t xml:space="preserve"> creditors will not be prevented from taking enforcement action. Additionally, debtors in Breathing Space will be required to meet their ongoing liabilities where they are able to do so to remain in the scheme’s protections. Their ongoing liabilities repayment behaviour should not, therefore, change. However, debtors will have the discretion to alter their repayment behaviour for their accrued debt or arrears, where enforcement action is prohibited for</w:t>
      </w:r>
      <w:r>
        <w:rPr>
          <w:spacing w:val="-1"/>
        </w:rPr>
        <w:t xml:space="preserve"> </w:t>
      </w:r>
      <w:r>
        <w:t>non-repayment.</w:t>
      </w:r>
    </w:p>
    <w:p w14:paraId="67D276F7" w14:textId="77777777" w:rsidR="00A663F1" w:rsidRDefault="00E46EDB">
      <w:pPr>
        <w:pStyle w:val="ListParagraph"/>
        <w:numPr>
          <w:ilvl w:val="1"/>
          <w:numId w:val="9"/>
        </w:numPr>
        <w:tabs>
          <w:tab w:val="left" w:pos="1692"/>
          <w:tab w:val="left" w:pos="1693"/>
        </w:tabs>
        <w:spacing w:before="121"/>
        <w:ind w:right="308"/>
      </w:pPr>
      <w:r>
        <w:t>To quantify the cost to creditors of delayed revenue, the counterfactual revenue is identified. This is a product of the proportion of debtors within Breathing Space who might have made debt repayments and the average value of those</w:t>
      </w:r>
      <w:r>
        <w:rPr>
          <w:spacing w:val="-7"/>
        </w:rPr>
        <w:t xml:space="preserve"> </w:t>
      </w:r>
      <w:r>
        <w:t>repayments.</w:t>
      </w:r>
    </w:p>
    <w:p w14:paraId="102AC324" w14:textId="77777777" w:rsidR="00A663F1" w:rsidRDefault="00E46EDB">
      <w:pPr>
        <w:pStyle w:val="ListParagraph"/>
        <w:numPr>
          <w:ilvl w:val="1"/>
          <w:numId w:val="9"/>
        </w:numPr>
        <w:tabs>
          <w:tab w:val="left" w:pos="1692"/>
          <w:tab w:val="left" w:pos="1693"/>
        </w:tabs>
        <w:spacing w:before="119"/>
        <w:ind w:right="203"/>
      </w:pPr>
      <w:r>
        <w:t>Debt advisers consulted as part of this impact assessment suggested that only 40% of their clients have a surplus budget after meeting their ongoing liabilities. They estimated that the average monthly surplus amongst such clients is</w:t>
      </w:r>
      <w:r>
        <w:rPr>
          <w:spacing w:val="-9"/>
        </w:rPr>
        <w:t xml:space="preserve"> </w:t>
      </w:r>
      <w:r>
        <w:t>£294.</w:t>
      </w:r>
    </w:p>
    <w:p w14:paraId="538CF4A6" w14:textId="77777777" w:rsidR="00A663F1" w:rsidRDefault="00E46EDB">
      <w:pPr>
        <w:pStyle w:val="ListParagraph"/>
        <w:numPr>
          <w:ilvl w:val="1"/>
          <w:numId w:val="9"/>
        </w:numPr>
        <w:tabs>
          <w:tab w:val="left" w:pos="1692"/>
          <w:tab w:val="left" w:pos="1693"/>
        </w:tabs>
        <w:spacing w:before="122"/>
        <w:ind w:right="269"/>
      </w:pPr>
      <w:r>
        <w:t>It is assumed that only debtors who have a surplus after paying their ongoing bills make repayments of their debts and arrears, that they repay their whole surplus to their creditors, and that all debtors who could afford to make repayments on their debts or arrears do so. These assumptions are likely to overstate the costs to</w:t>
      </w:r>
      <w:r>
        <w:rPr>
          <w:spacing w:val="-11"/>
        </w:rPr>
        <w:t xml:space="preserve"> </w:t>
      </w:r>
      <w:r>
        <w:t>creditors.</w:t>
      </w:r>
    </w:p>
    <w:p w14:paraId="61926376" w14:textId="77777777" w:rsidR="00A663F1" w:rsidRDefault="00E46EDB">
      <w:pPr>
        <w:pStyle w:val="ListParagraph"/>
        <w:numPr>
          <w:ilvl w:val="1"/>
          <w:numId w:val="9"/>
        </w:numPr>
        <w:tabs>
          <w:tab w:val="left" w:pos="1692"/>
          <w:tab w:val="left" w:pos="1693"/>
        </w:tabs>
        <w:spacing w:before="119"/>
        <w:ind w:right="404"/>
      </w:pPr>
      <w:r>
        <w:t xml:space="preserve">Not </w:t>
      </w:r>
      <w:proofErr w:type="gramStart"/>
      <w:r>
        <w:t>all of</w:t>
      </w:r>
      <w:proofErr w:type="gramEnd"/>
      <w:r>
        <w:t xml:space="preserve"> this revenue will be delayed under Breathing Space. Debt advisers suggested that they would advise debtors to delay making debt repayments only where doing so would allow them to save the money required to enter an insolvency</w:t>
      </w:r>
      <w:r>
        <w:rPr>
          <w:spacing w:val="-18"/>
        </w:rPr>
        <w:t xml:space="preserve"> </w:t>
      </w:r>
      <w:r>
        <w:t>solution.</w:t>
      </w:r>
    </w:p>
    <w:p w14:paraId="47FE99EE" w14:textId="77777777" w:rsidR="00A663F1" w:rsidRDefault="00E46EDB">
      <w:pPr>
        <w:pStyle w:val="ListParagraph"/>
        <w:numPr>
          <w:ilvl w:val="1"/>
          <w:numId w:val="9"/>
        </w:numPr>
        <w:tabs>
          <w:tab w:val="left" w:pos="1692"/>
          <w:tab w:val="left" w:pos="1693"/>
        </w:tabs>
        <w:ind w:right="161"/>
      </w:pPr>
      <w:r>
        <w:t>Debt advisers suggested that they would recommend such an insolvency solution to 9.5% of the debtors that they advise. In 6.5% of those cases, debtors could save the money required to access that solution either immediately or by the end of the 60 days of their Breathing</w:t>
      </w:r>
      <w:r>
        <w:rPr>
          <w:spacing w:val="-22"/>
        </w:rPr>
        <w:t xml:space="preserve"> </w:t>
      </w:r>
      <w:r>
        <w:t>Space.</w:t>
      </w:r>
    </w:p>
    <w:p w14:paraId="0D64272A" w14:textId="77777777" w:rsidR="00A663F1" w:rsidRDefault="00E46EDB">
      <w:pPr>
        <w:pStyle w:val="ListParagraph"/>
        <w:numPr>
          <w:ilvl w:val="1"/>
          <w:numId w:val="9"/>
        </w:numPr>
        <w:tabs>
          <w:tab w:val="left" w:pos="1692"/>
          <w:tab w:val="left" w:pos="1693"/>
        </w:tabs>
        <w:spacing w:before="122"/>
        <w:ind w:right="218"/>
      </w:pPr>
      <w:r>
        <w:t>This circumstance would account for c.0.6% of the Breathing Space caseload. In addition to this proportion of the caseload, a further proportion might change their debt repayment behaviour against the advice of their adviser. Data to inform an assumption on the size of this caseload was not available, so it is assumed that the same proportion would change their behaviour against the advice of their debt adviser as would change it on their debt adviser’s advice. 1.2% of the Breathing Space caseload is therefore assumed to change their debt repayment behaviour to stop repaying these</w:t>
      </w:r>
      <w:r>
        <w:rPr>
          <w:spacing w:val="-1"/>
        </w:rPr>
        <w:t xml:space="preserve"> </w:t>
      </w:r>
      <w:r>
        <w:t>debts.</w:t>
      </w:r>
    </w:p>
    <w:p w14:paraId="563F38B8" w14:textId="77777777" w:rsidR="00A663F1" w:rsidRDefault="00E46EDB">
      <w:pPr>
        <w:pStyle w:val="ListParagraph"/>
        <w:numPr>
          <w:ilvl w:val="1"/>
          <w:numId w:val="9"/>
        </w:numPr>
        <w:tabs>
          <w:tab w:val="left" w:pos="1692"/>
          <w:tab w:val="left" w:pos="1693"/>
        </w:tabs>
        <w:ind w:right="131"/>
      </w:pPr>
      <w:r>
        <w:t>In addition to revenue delayed by changes in debtor repayment behaviour, creditors could see revenue delayed as a result of the pausing of enforcement action during Breathing Space (for instance, reductions to benefits or enforcement agent action to recover debts). Debt advisers estimated that 17.5% of their clients were subject to enforcement action at the point of seeking debt advice.</w:t>
      </w:r>
    </w:p>
    <w:p w14:paraId="526FC91A" w14:textId="77777777" w:rsidR="00A663F1" w:rsidRDefault="00E46EDB">
      <w:pPr>
        <w:pStyle w:val="ListParagraph"/>
        <w:numPr>
          <w:ilvl w:val="1"/>
          <w:numId w:val="9"/>
        </w:numPr>
        <w:tabs>
          <w:tab w:val="left" w:pos="1692"/>
          <w:tab w:val="left" w:pos="1693"/>
        </w:tabs>
        <w:ind w:right="314"/>
      </w:pPr>
      <w:r>
        <w:t>Data on the creditor revenue derived from this enforcement action was unavailable, so it is assumed that this action generated the same amount of revenue as deliberate repayments</w:t>
      </w:r>
      <w:r>
        <w:rPr>
          <w:spacing w:val="-20"/>
        </w:rPr>
        <w:t xml:space="preserve"> </w:t>
      </w:r>
      <w:r>
        <w:t>–</w:t>
      </w:r>
    </w:p>
    <w:p w14:paraId="2582D79E" w14:textId="77777777" w:rsidR="00A663F1" w:rsidRDefault="00E46EDB">
      <w:pPr>
        <w:pStyle w:val="BodyText"/>
        <w:spacing w:before="0"/>
        <w:ind w:right="525" w:firstLine="0"/>
      </w:pPr>
      <w:r>
        <w:t>£294 per month, with Breathing Space covering two months. We assume the repayment of these debts would stop. Not all enforcement action would have yielded revenue in the counterfactual during the 60 days of Breathing Space, so this is likely to overstate the cost to creditors.</w:t>
      </w:r>
    </w:p>
    <w:p w14:paraId="279694D4" w14:textId="77777777" w:rsidR="00A663F1" w:rsidRDefault="00E46EDB">
      <w:pPr>
        <w:pStyle w:val="ListParagraph"/>
        <w:numPr>
          <w:ilvl w:val="1"/>
          <w:numId w:val="9"/>
        </w:numPr>
        <w:tabs>
          <w:tab w:val="left" w:pos="1692"/>
          <w:tab w:val="left" w:pos="1693"/>
        </w:tabs>
        <w:ind w:right="261"/>
      </w:pPr>
      <w:r>
        <w:t>This suggests that £29m will be delayed in 2021-22, rising to £51m in 2030-31 as the Breathing Space caseload grows. The cost to creditors of this delay will be only a fraction of the delayed revenue. The money that creditors lend could derive from a variety of sources. In the interest of proportionality, it is assumed that all creditors borrow the capital that they lend. The cost of delayed revenue will therefore be equivalent to the cost to creditors of maintaining a leveraged position. In addition, there will be an opportunity cost for creditors, but this is not monetised.</w:t>
      </w:r>
    </w:p>
    <w:p w14:paraId="56D846FB" w14:textId="77777777" w:rsidR="00A663F1" w:rsidRDefault="00E46EDB">
      <w:pPr>
        <w:pStyle w:val="ListParagraph"/>
        <w:numPr>
          <w:ilvl w:val="1"/>
          <w:numId w:val="9"/>
        </w:numPr>
        <w:tabs>
          <w:tab w:val="left" w:pos="1692"/>
          <w:tab w:val="left" w:pos="1693"/>
        </w:tabs>
        <w:ind w:right="192"/>
      </w:pPr>
      <w:r>
        <w:t>Creditors could borrow from a variety of sources. Large creditors might have access to interbank rates, whereas smaller creditors are more likely to borrow at high-street rates. To account for the uncertainty discussed in section 23 around the proportion of businesses affected by Breathing Space of each size, a sensitivity analysis across these two rates is</w:t>
      </w:r>
      <w:r>
        <w:rPr>
          <w:spacing w:val="-14"/>
        </w:rPr>
        <w:t xml:space="preserve"> </w:t>
      </w:r>
      <w:r>
        <w:t>taken.</w:t>
      </w:r>
    </w:p>
    <w:p w14:paraId="4227ED57" w14:textId="77777777" w:rsidR="00A663F1" w:rsidRDefault="00E46EDB">
      <w:pPr>
        <w:pStyle w:val="ListParagraph"/>
        <w:numPr>
          <w:ilvl w:val="1"/>
          <w:numId w:val="9"/>
        </w:numPr>
        <w:tabs>
          <w:tab w:val="left" w:pos="1692"/>
          <w:tab w:val="left" w:pos="1693"/>
        </w:tabs>
        <w:spacing w:before="121"/>
        <w:ind w:right="253"/>
      </w:pPr>
      <w:r>
        <w:t>Amongst the cheapest borrowing rate that large creditors might have access to is the 12- month GBP London Interbank Overnight Rate (LIBOR). As at Thursday 1</w:t>
      </w:r>
      <w:r>
        <w:rPr>
          <w:vertAlign w:val="superscript"/>
        </w:rPr>
        <w:t>st</w:t>
      </w:r>
      <w:r>
        <w:t xml:space="preserve"> August, the</w:t>
      </w:r>
      <w:r>
        <w:rPr>
          <w:spacing w:val="-19"/>
        </w:rPr>
        <w:t xml:space="preserve"> </w:t>
      </w:r>
      <w:r>
        <w:t>GBP</w:t>
      </w:r>
    </w:p>
    <w:p w14:paraId="10C8FA80" w14:textId="77777777" w:rsidR="00A663F1" w:rsidRDefault="00A663F1">
      <w:pPr>
        <w:sectPr w:rsidR="00A663F1">
          <w:pgSz w:w="11910" w:h="16850"/>
          <w:pgMar w:top="600" w:right="720" w:bottom="1020" w:left="600" w:header="0" w:footer="761" w:gutter="0"/>
          <w:cols w:space="720"/>
        </w:sectPr>
      </w:pPr>
    </w:p>
    <w:p w14:paraId="093EB674" w14:textId="77777777" w:rsidR="00A663F1" w:rsidRDefault="00E46EDB">
      <w:pPr>
        <w:pStyle w:val="BodyText"/>
        <w:spacing w:before="78"/>
        <w:ind w:right="158" w:firstLine="0"/>
      </w:pPr>
      <w:r>
        <w:lastRenderedPageBreak/>
        <w:t>LIBOR 12-month rate stands at 0.847%. Over two months, this rate is equivalent to a 0.14% interest rate. According to the Federation of Small Business, in Q2 2019, just over half of small businesses accessing credit did so at a rate lower than 5%, or 0.83% over a two-month period.</w:t>
      </w:r>
      <w:r>
        <w:rPr>
          <w:vertAlign w:val="superscript"/>
        </w:rPr>
        <w:t>21</w:t>
      </w:r>
      <w:r>
        <w:t xml:space="preserve"> The average of these two rates is 0.49%.</w:t>
      </w:r>
    </w:p>
    <w:p w14:paraId="45EA2B39" w14:textId="77777777" w:rsidR="00A663F1" w:rsidRDefault="00E46EDB">
      <w:pPr>
        <w:pStyle w:val="ListParagraph"/>
        <w:numPr>
          <w:ilvl w:val="1"/>
          <w:numId w:val="9"/>
        </w:numPr>
        <w:tabs>
          <w:tab w:val="left" w:pos="1692"/>
          <w:tab w:val="left" w:pos="1693"/>
        </w:tabs>
        <w:spacing w:before="121"/>
        <w:ind w:right="153"/>
      </w:pPr>
      <w:r>
        <w:t>The cost to creditors of delayed revenue is therefore equivalent to 0.49% of the stock of delayed revenue, which is forecast to be £140,000 in 2021-22, rising to £250,000 in 2030-31. No assumption is made as to changes in the assumed interest rate over the course of the assessment</w:t>
      </w:r>
      <w:r>
        <w:rPr>
          <w:spacing w:val="1"/>
        </w:rPr>
        <w:t xml:space="preserve"> </w:t>
      </w:r>
      <w:r>
        <w:t>period.</w:t>
      </w:r>
    </w:p>
    <w:p w14:paraId="4389148E" w14:textId="77777777" w:rsidR="00A663F1" w:rsidRDefault="00E46EDB">
      <w:pPr>
        <w:pStyle w:val="ListParagraph"/>
        <w:numPr>
          <w:ilvl w:val="1"/>
          <w:numId w:val="9"/>
        </w:numPr>
        <w:tabs>
          <w:tab w:val="left" w:pos="1692"/>
          <w:tab w:val="left" w:pos="1693"/>
        </w:tabs>
        <w:spacing w:before="121"/>
        <w:ind w:right="212"/>
      </w:pPr>
      <w:r>
        <w:t>The benefit to debtors of retaining money that they otherwise would have paid to their creditors is taken to be the inverse of the cost to creditors. On a net basis, the impact of delayed revenue to society is therefore nil and delayed revenue is therefore considered to be an economic</w:t>
      </w:r>
      <w:r>
        <w:rPr>
          <w:spacing w:val="-3"/>
        </w:rPr>
        <w:t xml:space="preserve"> </w:t>
      </w:r>
      <w:r>
        <w:t>transfer.</w:t>
      </w:r>
    </w:p>
    <w:p w14:paraId="7CE6662C" w14:textId="77777777" w:rsidR="00A663F1" w:rsidRDefault="00E46EDB">
      <w:pPr>
        <w:pStyle w:val="ListParagraph"/>
        <w:numPr>
          <w:ilvl w:val="1"/>
          <w:numId w:val="9"/>
        </w:numPr>
        <w:tabs>
          <w:tab w:val="left" w:pos="1692"/>
          <w:tab w:val="left" w:pos="1693"/>
        </w:tabs>
        <w:spacing w:before="119"/>
        <w:ind w:right="394"/>
      </w:pPr>
      <w:r>
        <w:t>No distributional weighting is applied, though the benefit to debtors is likely to be higher than the cost to creditors. Applying a formal distributional weight to delayed revenue would therefore increase the marginal benefit to debtors and decrease the marginal cost to creditors. Not applying this weighting therefore understates the benefit to debtors of delayed</w:t>
      </w:r>
      <w:r>
        <w:rPr>
          <w:spacing w:val="-21"/>
        </w:rPr>
        <w:t xml:space="preserve"> </w:t>
      </w:r>
      <w:r>
        <w:t>revenue.</w:t>
      </w:r>
    </w:p>
    <w:p w14:paraId="2DEA96FA" w14:textId="77777777" w:rsidR="00A663F1" w:rsidRDefault="00E46EDB">
      <w:pPr>
        <w:pStyle w:val="ListParagraph"/>
        <w:numPr>
          <w:ilvl w:val="1"/>
          <w:numId w:val="9"/>
        </w:numPr>
        <w:tabs>
          <w:tab w:val="left" w:pos="1692"/>
          <w:tab w:val="left" w:pos="1693"/>
        </w:tabs>
        <w:spacing w:before="121"/>
        <w:ind w:right="397"/>
      </w:pPr>
      <w:r>
        <w:t xml:space="preserve">The entirety of this cost </w:t>
      </w:r>
      <w:proofErr w:type="gramStart"/>
      <w:r>
        <w:t>is considered to be</w:t>
      </w:r>
      <w:proofErr w:type="gramEnd"/>
      <w:r>
        <w:t xml:space="preserve"> indirect, as the cost materialises only where debtors choose to alter their repayment behaviour, not as an automatic consequence of the policy.</w:t>
      </w:r>
    </w:p>
    <w:p w14:paraId="1BAECB5D" w14:textId="77777777" w:rsidR="00A663F1" w:rsidRDefault="00E46EDB">
      <w:pPr>
        <w:pStyle w:val="Heading1"/>
        <w:numPr>
          <w:ilvl w:val="0"/>
          <w:numId w:val="9"/>
        </w:numPr>
        <w:tabs>
          <w:tab w:val="left" w:pos="613"/>
        </w:tabs>
        <w:spacing w:before="120"/>
      </w:pPr>
      <w:r>
        <w:t>Regulatory Breathing Space – costs – interest foregone – option</w:t>
      </w:r>
      <w:r>
        <w:rPr>
          <w:spacing w:val="-10"/>
        </w:rPr>
        <w:t xml:space="preserve"> </w:t>
      </w:r>
      <w:r>
        <w:t>3</w:t>
      </w:r>
    </w:p>
    <w:p w14:paraId="1BBC80C2" w14:textId="77777777" w:rsidR="00A663F1" w:rsidRDefault="00E46EDB">
      <w:pPr>
        <w:pStyle w:val="ListParagraph"/>
        <w:numPr>
          <w:ilvl w:val="1"/>
          <w:numId w:val="9"/>
        </w:numPr>
        <w:tabs>
          <w:tab w:val="left" w:pos="1693"/>
        </w:tabs>
        <w:spacing w:before="119"/>
        <w:ind w:right="413"/>
        <w:jc w:val="both"/>
      </w:pPr>
      <w:r>
        <w:t xml:space="preserve">Breathing Space will freeze interest for 60 days. This will drive a cost to some creditors who charge interest, and an equal benefit to debtors and so this impact </w:t>
      </w:r>
      <w:proofErr w:type="gramStart"/>
      <w:r>
        <w:t>is considered to be</w:t>
      </w:r>
      <w:proofErr w:type="gramEnd"/>
      <w:r>
        <w:t xml:space="preserve"> an economic</w:t>
      </w:r>
      <w:r>
        <w:rPr>
          <w:spacing w:val="-3"/>
        </w:rPr>
        <w:t xml:space="preserve"> </w:t>
      </w:r>
      <w:r>
        <w:t>transfer.</w:t>
      </w:r>
    </w:p>
    <w:p w14:paraId="29A46161" w14:textId="77777777" w:rsidR="00A663F1" w:rsidRDefault="00E46EDB">
      <w:pPr>
        <w:pStyle w:val="ListParagraph"/>
        <w:numPr>
          <w:ilvl w:val="1"/>
          <w:numId w:val="9"/>
        </w:numPr>
        <w:tabs>
          <w:tab w:val="left" w:pos="1692"/>
          <w:tab w:val="left" w:pos="1693"/>
        </w:tabs>
        <w:spacing w:before="122"/>
        <w:ind w:right="359"/>
      </w:pPr>
      <w:r>
        <w:t>The first step in quantifying the amount of interest that creditors will forego during Breathing Space is to quantify the principal that will fall within the protections of Breathing Space. The principal of debt falling within Breathing Space’s protections is taken to be the forecast caseload in each year multiplied by the proportion of debtors with each type of debt. These proportions are based on evidence shared by debt advice agencies on the existing</w:t>
      </w:r>
      <w:r>
        <w:rPr>
          <w:spacing w:val="-30"/>
        </w:rPr>
        <w:t xml:space="preserve"> </w:t>
      </w:r>
      <w:r>
        <w:t>debt composition of the debtors who seek advice in the</w:t>
      </w:r>
      <w:r>
        <w:rPr>
          <w:spacing w:val="-4"/>
        </w:rPr>
        <w:t xml:space="preserve"> </w:t>
      </w:r>
      <w:r>
        <w:t>counterfactual.</w:t>
      </w:r>
    </w:p>
    <w:p w14:paraId="223883FB" w14:textId="77777777" w:rsidR="00A663F1" w:rsidRDefault="00E46EDB">
      <w:pPr>
        <w:pStyle w:val="ListParagraph"/>
        <w:numPr>
          <w:ilvl w:val="1"/>
          <w:numId w:val="9"/>
        </w:numPr>
        <w:tabs>
          <w:tab w:val="left" w:pos="1692"/>
          <w:tab w:val="left" w:pos="1693"/>
        </w:tabs>
        <w:spacing w:before="119"/>
        <w:ind w:right="145"/>
      </w:pPr>
      <w:r>
        <w:t>The product is then multiplied by debt advice agencies’ evidence on the average level of each type of debt, yielding the principal that falls within the protections of Breathing Space. This process is repeated for both cohorts who remain within the protections of Breathing Space for 60 days, 30 days, and, amongst those who enter via the mental Health Crisis Moratorium, 64</w:t>
      </w:r>
      <w:r>
        <w:rPr>
          <w:spacing w:val="-25"/>
        </w:rPr>
        <w:t xml:space="preserve"> </w:t>
      </w:r>
      <w:r>
        <w:t>days.</w:t>
      </w:r>
    </w:p>
    <w:p w14:paraId="6D2C016F" w14:textId="77777777" w:rsidR="00A663F1" w:rsidRDefault="00E46EDB">
      <w:pPr>
        <w:pStyle w:val="ListParagraph"/>
        <w:numPr>
          <w:ilvl w:val="1"/>
          <w:numId w:val="9"/>
        </w:numPr>
        <w:tabs>
          <w:tab w:val="left" w:pos="1692"/>
          <w:tab w:val="left" w:pos="1693"/>
        </w:tabs>
        <w:spacing w:before="121"/>
        <w:ind w:right="154"/>
      </w:pPr>
      <w:r>
        <w:t>The next step is to identify the average Annual Percentage Rate for each type of debt. In the case of credit card debt, the best available source is the Bank of England, which publishes monthly data.</w:t>
      </w:r>
      <w:r>
        <w:rPr>
          <w:vertAlign w:val="superscript"/>
        </w:rPr>
        <w:t>22</w:t>
      </w:r>
      <w:r>
        <w:t xml:space="preserve"> As at 30 June, this was 18.45%. Where such product-wide data is not available, and in the interests of proportionality, an indicative APR for each type of debt has been identified via open source credit comparison</w:t>
      </w:r>
      <w:r>
        <w:rPr>
          <w:spacing w:val="-2"/>
        </w:rPr>
        <w:t xml:space="preserve"> </w:t>
      </w:r>
      <w:r>
        <w:t>websites.</w:t>
      </w:r>
    </w:p>
    <w:p w14:paraId="4C3FE394" w14:textId="77777777" w:rsidR="00A663F1" w:rsidRDefault="00E46EDB">
      <w:pPr>
        <w:pStyle w:val="ListParagraph"/>
        <w:numPr>
          <w:ilvl w:val="1"/>
          <w:numId w:val="9"/>
        </w:numPr>
        <w:tabs>
          <w:tab w:val="left" w:pos="1692"/>
          <w:tab w:val="left" w:pos="1693"/>
        </w:tabs>
        <w:ind w:right="154"/>
      </w:pPr>
      <w:r>
        <w:t>The amount of interest that will be foregone as a result of Breathing Space is sensitive to the frequency of the relevant compounding intervals. This will vary by debt, but, in the interests of proportionality, debts are assumed to compound monthly, with two compounding intervals falling within the 60 days of Breathing Space, two in the 64 days of the Mental Health Crisis Moratorium, and one in the 30 days of Breathing Space for the 10% of debtors who are removed at the 30-day</w:t>
      </w:r>
      <w:r>
        <w:rPr>
          <w:spacing w:val="-4"/>
        </w:rPr>
        <w:t xml:space="preserve"> </w:t>
      </w:r>
      <w:r>
        <w:t>checkpoint.</w:t>
      </w:r>
    </w:p>
    <w:p w14:paraId="4A0A801A" w14:textId="77777777" w:rsidR="00A663F1" w:rsidRDefault="00E46EDB">
      <w:pPr>
        <w:pStyle w:val="ListParagraph"/>
        <w:numPr>
          <w:ilvl w:val="1"/>
          <w:numId w:val="9"/>
        </w:numPr>
        <w:tabs>
          <w:tab w:val="left" w:pos="1692"/>
          <w:tab w:val="left" w:pos="1693"/>
        </w:tabs>
        <w:spacing w:before="119"/>
        <w:ind w:right="546"/>
      </w:pPr>
      <w:r>
        <w:t xml:space="preserve">In the counterfactual, not </w:t>
      </w:r>
      <w:proofErr w:type="gramStart"/>
      <w:r>
        <w:t>all of</w:t>
      </w:r>
      <w:proofErr w:type="gramEnd"/>
      <w:r>
        <w:t xml:space="preserve"> the interest that would have been added to debt stocks during Breathing Space would have been repaid. Likewise, interest may not be added in</w:t>
      </w:r>
      <w:r>
        <w:rPr>
          <w:spacing w:val="-18"/>
        </w:rPr>
        <w:t xml:space="preserve"> </w:t>
      </w:r>
      <w:r>
        <w:t>all</w:t>
      </w:r>
    </w:p>
    <w:p w14:paraId="0FE14F66" w14:textId="77777777" w:rsidR="00A663F1" w:rsidRDefault="00A663F1">
      <w:pPr>
        <w:pStyle w:val="BodyText"/>
        <w:spacing w:before="0"/>
        <w:ind w:left="0" w:firstLine="0"/>
        <w:rPr>
          <w:sz w:val="20"/>
        </w:rPr>
      </w:pPr>
    </w:p>
    <w:p w14:paraId="51AFA963" w14:textId="77777777" w:rsidR="00A663F1" w:rsidRDefault="00A663F1">
      <w:pPr>
        <w:pStyle w:val="BodyText"/>
        <w:spacing w:before="0"/>
        <w:ind w:left="0" w:firstLine="0"/>
        <w:rPr>
          <w:sz w:val="20"/>
        </w:rPr>
      </w:pPr>
    </w:p>
    <w:p w14:paraId="5B0210AE" w14:textId="6488EFF0" w:rsidR="00A663F1" w:rsidRDefault="00E46EDB">
      <w:pPr>
        <w:pStyle w:val="BodyText"/>
        <w:spacing w:before="8"/>
        <w:ind w:left="0" w:firstLine="0"/>
        <w:rPr>
          <w:sz w:val="10"/>
        </w:rPr>
      </w:pPr>
      <w:r>
        <w:rPr>
          <w:noProof/>
        </w:rPr>
        <mc:AlternateContent>
          <mc:Choice Requires="wps">
            <w:drawing>
              <wp:anchor distT="0" distB="0" distL="0" distR="0" simplePos="0" relativeHeight="487592960" behindDoc="1" locked="0" layoutInCell="1" allowOverlap="1" wp14:anchorId="14B54BEE" wp14:editId="1F965007">
                <wp:simplePos x="0" y="0"/>
                <wp:positionH relativeFrom="page">
                  <wp:posOffset>541020</wp:posOffset>
                </wp:positionH>
                <wp:positionV relativeFrom="paragraph">
                  <wp:posOffset>103505</wp:posOffset>
                </wp:positionV>
                <wp:extent cx="1829435" cy="7620"/>
                <wp:effectExtent l="0" t="0" r="0" b="0"/>
                <wp:wrapTopAndBottom/>
                <wp:docPr id="19"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943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D6D433" id="Rectangle 14" o:spid="_x0000_s1026" style="position:absolute;margin-left:42.6pt;margin-top:8.15pt;width:144.05pt;height:.6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" fillcolor="black" stroked="f">
                <w10:wrap type="topAndBottom" anchorx="page"/>
              </v:rect>
            </w:pict>
          </mc:Fallback>
        </mc:AlternateContent>
      </w:r>
    </w:p>
    <w:p w14:paraId="7946DB9E" w14:textId="77777777" w:rsidR="00A663F1" w:rsidRDefault="00E46EDB">
      <w:pPr>
        <w:pStyle w:val="ListParagraph"/>
        <w:numPr>
          <w:ilvl w:val="0"/>
          <w:numId w:val="5"/>
        </w:numPr>
        <w:tabs>
          <w:tab w:val="left" w:pos="452"/>
        </w:tabs>
        <w:spacing w:before="67" w:line="256" w:lineRule="auto"/>
        <w:ind w:right="323" w:firstLine="0"/>
        <w:rPr>
          <w:sz w:val="16"/>
        </w:rPr>
      </w:pPr>
      <w:r>
        <w:rPr>
          <w:sz w:val="16"/>
        </w:rPr>
        <w:t xml:space="preserve">FSB (2019) </w:t>
      </w:r>
      <w:r>
        <w:rPr>
          <w:i/>
          <w:sz w:val="16"/>
        </w:rPr>
        <w:t>Voice of Small Business Index: Quarter 2, 2019</w:t>
      </w:r>
      <w:r>
        <w:rPr>
          <w:sz w:val="16"/>
        </w:rPr>
        <w:t xml:space="preserve">. Available at: </w:t>
      </w:r>
      <w:hyperlink r:id="rId36">
        <w:r>
          <w:rPr>
            <w:sz w:val="16"/>
            <w:u w:val="single"/>
          </w:rPr>
          <w:t>https://www.fsb.org.uk/docs/default-source/fsb-org-uk/fsb-sbi-q2-</w:t>
        </w:r>
      </w:hyperlink>
      <w:hyperlink r:id="rId37">
        <w:r>
          <w:rPr>
            <w:sz w:val="16"/>
            <w:u w:val="single"/>
          </w:rPr>
          <w:t xml:space="preserve"> 2019-final.pdf?sfvrsn=3d13ed21_0</w:t>
        </w:r>
      </w:hyperlink>
    </w:p>
    <w:p w14:paraId="2E6438A2" w14:textId="77777777" w:rsidR="00A663F1" w:rsidRDefault="00E46EDB">
      <w:pPr>
        <w:pStyle w:val="ListParagraph"/>
        <w:numPr>
          <w:ilvl w:val="0"/>
          <w:numId w:val="5"/>
        </w:numPr>
        <w:tabs>
          <w:tab w:val="left" w:pos="452"/>
        </w:tabs>
        <w:spacing w:before="0" w:line="227" w:lineRule="exact"/>
        <w:ind w:left="451"/>
        <w:rPr>
          <w:i/>
          <w:sz w:val="16"/>
        </w:rPr>
      </w:pPr>
      <w:r>
        <w:rPr>
          <w:sz w:val="16"/>
        </w:rPr>
        <w:t>Bank of</w:t>
      </w:r>
      <w:r>
        <w:rPr>
          <w:spacing w:val="-2"/>
          <w:sz w:val="16"/>
        </w:rPr>
        <w:t xml:space="preserve"> </w:t>
      </w:r>
      <w:r>
        <w:rPr>
          <w:sz w:val="16"/>
        </w:rPr>
        <w:t>England</w:t>
      </w:r>
      <w:r>
        <w:rPr>
          <w:spacing w:val="-4"/>
          <w:sz w:val="16"/>
        </w:rPr>
        <w:t xml:space="preserve"> </w:t>
      </w:r>
      <w:r>
        <w:rPr>
          <w:sz w:val="16"/>
        </w:rPr>
        <w:t>(2019)</w:t>
      </w:r>
      <w:r>
        <w:rPr>
          <w:spacing w:val="1"/>
          <w:sz w:val="16"/>
        </w:rPr>
        <w:t xml:space="preserve"> </w:t>
      </w:r>
      <w:r>
        <w:rPr>
          <w:i/>
          <w:sz w:val="16"/>
        </w:rPr>
        <w:t>Monthly</w:t>
      </w:r>
      <w:r>
        <w:rPr>
          <w:i/>
          <w:spacing w:val="-2"/>
          <w:sz w:val="16"/>
        </w:rPr>
        <w:t xml:space="preserve"> </w:t>
      </w:r>
      <w:r>
        <w:rPr>
          <w:i/>
          <w:sz w:val="16"/>
        </w:rPr>
        <w:t>Average</w:t>
      </w:r>
      <w:r>
        <w:rPr>
          <w:i/>
          <w:spacing w:val="-2"/>
          <w:sz w:val="16"/>
        </w:rPr>
        <w:t xml:space="preserve"> </w:t>
      </w:r>
      <w:r>
        <w:rPr>
          <w:i/>
          <w:sz w:val="16"/>
        </w:rPr>
        <w:t>of UK</w:t>
      </w:r>
      <w:r>
        <w:rPr>
          <w:i/>
          <w:spacing w:val="-3"/>
          <w:sz w:val="16"/>
        </w:rPr>
        <w:t xml:space="preserve"> </w:t>
      </w:r>
      <w:r>
        <w:rPr>
          <w:i/>
          <w:sz w:val="16"/>
        </w:rPr>
        <w:t>Resident</w:t>
      </w:r>
      <w:r>
        <w:rPr>
          <w:i/>
          <w:spacing w:val="-2"/>
          <w:sz w:val="16"/>
        </w:rPr>
        <w:t xml:space="preserve"> </w:t>
      </w:r>
      <w:r>
        <w:rPr>
          <w:i/>
          <w:sz w:val="16"/>
        </w:rPr>
        <w:t>Banks’</w:t>
      </w:r>
      <w:r>
        <w:rPr>
          <w:i/>
          <w:spacing w:val="-5"/>
          <w:sz w:val="16"/>
        </w:rPr>
        <w:t xml:space="preserve"> </w:t>
      </w:r>
      <w:r>
        <w:rPr>
          <w:i/>
          <w:sz w:val="16"/>
        </w:rPr>
        <w:t>Sterling</w:t>
      </w:r>
      <w:r>
        <w:rPr>
          <w:i/>
          <w:spacing w:val="-2"/>
          <w:sz w:val="16"/>
        </w:rPr>
        <w:t xml:space="preserve"> </w:t>
      </w:r>
      <w:r>
        <w:rPr>
          <w:i/>
          <w:sz w:val="16"/>
        </w:rPr>
        <w:t>Weighted</w:t>
      </w:r>
      <w:r>
        <w:rPr>
          <w:i/>
          <w:spacing w:val="-3"/>
          <w:sz w:val="16"/>
        </w:rPr>
        <w:t xml:space="preserve"> </w:t>
      </w:r>
      <w:r>
        <w:rPr>
          <w:i/>
          <w:sz w:val="16"/>
        </w:rPr>
        <w:t>Average</w:t>
      </w:r>
      <w:r>
        <w:rPr>
          <w:i/>
          <w:spacing w:val="-3"/>
          <w:sz w:val="16"/>
        </w:rPr>
        <w:t xml:space="preserve"> </w:t>
      </w:r>
      <w:r>
        <w:rPr>
          <w:i/>
          <w:sz w:val="16"/>
        </w:rPr>
        <w:t>Interest</w:t>
      </w:r>
      <w:r>
        <w:rPr>
          <w:i/>
          <w:spacing w:val="-5"/>
          <w:sz w:val="16"/>
        </w:rPr>
        <w:t xml:space="preserve"> </w:t>
      </w:r>
      <w:r>
        <w:rPr>
          <w:i/>
          <w:sz w:val="16"/>
        </w:rPr>
        <w:t>Rate, Credit</w:t>
      </w:r>
      <w:r>
        <w:rPr>
          <w:i/>
          <w:spacing w:val="-2"/>
          <w:sz w:val="16"/>
        </w:rPr>
        <w:t xml:space="preserve"> </w:t>
      </w:r>
      <w:r>
        <w:rPr>
          <w:i/>
          <w:sz w:val="16"/>
        </w:rPr>
        <w:t>Card</w:t>
      </w:r>
      <w:r>
        <w:rPr>
          <w:i/>
          <w:spacing w:val="-2"/>
          <w:sz w:val="16"/>
        </w:rPr>
        <w:t xml:space="preserve"> </w:t>
      </w:r>
      <w:r>
        <w:rPr>
          <w:i/>
          <w:sz w:val="16"/>
        </w:rPr>
        <w:t>Loans</w:t>
      </w:r>
      <w:r>
        <w:rPr>
          <w:i/>
          <w:spacing w:val="-2"/>
          <w:sz w:val="16"/>
        </w:rPr>
        <w:t xml:space="preserve"> </w:t>
      </w:r>
      <w:r>
        <w:rPr>
          <w:i/>
          <w:sz w:val="16"/>
        </w:rPr>
        <w:t>to</w:t>
      </w:r>
      <w:r>
        <w:rPr>
          <w:i/>
          <w:spacing w:val="-4"/>
          <w:sz w:val="16"/>
        </w:rPr>
        <w:t xml:space="preserve"> </w:t>
      </w:r>
      <w:r>
        <w:rPr>
          <w:i/>
          <w:sz w:val="16"/>
        </w:rPr>
        <w:t>Individuals</w:t>
      </w:r>
    </w:p>
    <w:p w14:paraId="55DD589F" w14:textId="77777777" w:rsidR="00A663F1" w:rsidRDefault="00E46EDB">
      <w:pPr>
        <w:spacing w:before="13"/>
        <w:ind w:left="252" w:right="188"/>
        <w:rPr>
          <w:sz w:val="16"/>
        </w:rPr>
      </w:pPr>
      <w:r>
        <w:rPr>
          <w:i/>
          <w:sz w:val="16"/>
        </w:rPr>
        <w:t xml:space="preserve">and Individual Trusts </w:t>
      </w:r>
      <w:r>
        <w:rPr>
          <w:sz w:val="16"/>
        </w:rPr>
        <w:t xml:space="preserve">Available at: </w:t>
      </w:r>
      <w:hyperlink r:id="rId38">
        <w:r>
          <w:rPr>
            <w:sz w:val="16"/>
            <w:u w:val="single"/>
          </w:rPr>
          <w:t>https://www.bankofengland.co.uk/boeapps/database/fromshowcolumns.asp?Travel=NIxAZxSUx&amp;FromSeries=1&amp;ToSeries=50&amp;DAT=RNG&amp;FD</w:t>
        </w:r>
      </w:hyperlink>
    </w:p>
    <w:p w14:paraId="279DA753" w14:textId="77777777" w:rsidR="00A663F1" w:rsidRDefault="00446697">
      <w:pPr>
        <w:ind w:left="252" w:right="144"/>
        <w:rPr>
          <w:sz w:val="16"/>
        </w:rPr>
      </w:pPr>
      <w:hyperlink r:id="rId39">
        <w:r w:rsidR="00E46EDB">
          <w:rPr>
            <w:sz w:val="16"/>
            <w:u w:val="single"/>
          </w:rPr>
          <w:t>=1&amp;FM=Jan&amp;FY=2010&amp;TD=11&amp;TM=May&amp;TY=2025&amp;FNY=Y&amp;CSVF=TT&amp;html.x=66&amp;html.y=26&amp;SeriesCodes=CFMZ6IR&amp;UsingCodes=Y&amp;Filte</w:t>
        </w:r>
      </w:hyperlink>
      <w:r w:rsidR="00E46EDB">
        <w:rPr>
          <w:sz w:val="16"/>
        </w:rPr>
        <w:t xml:space="preserve"> </w:t>
      </w:r>
      <w:hyperlink r:id="rId40">
        <w:r w:rsidR="00E46EDB">
          <w:rPr>
            <w:sz w:val="16"/>
            <w:u w:val="single"/>
          </w:rPr>
          <w:t>r=N&amp;title=CFMZ6IR&amp;VPD=Y#notes</w:t>
        </w:r>
      </w:hyperlink>
    </w:p>
    <w:p w14:paraId="6628F3A4" w14:textId="77777777" w:rsidR="00A663F1" w:rsidRDefault="00A663F1">
      <w:pPr>
        <w:rPr>
          <w:sz w:val="16"/>
        </w:rPr>
        <w:sectPr w:rsidR="00A663F1">
          <w:pgSz w:w="11910" w:h="16850"/>
          <w:pgMar w:top="600" w:right="720" w:bottom="960" w:left="600" w:header="0" w:footer="761" w:gutter="0"/>
          <w:cols w:space="720"/>
        </w:sectPr>
      </w:pPr>
    </w:p>
    <w:p w14:paraId="4C17C846" w14:textId="77777777" w:rsidR="00A663F1" w:rsidRDefault="00E46EDB">
      <w:pPr>
        <w:pStyle w:val="BodyText"/>
        <w:spacing w:before="78"/>
        <w:ind w:right="244" w:firstLine="0"/>
      </w:pPr>
      <w:r>
        <w:lastRenderedPageBreak/>
        <w:t>cases, for example where creditors agree to freeze it as part of their forbearance procedures as discussed in paragraphs 2.5 and</w:t>
      </w:r>
      <w:r>
        <w:rPr>
          <w:spacing w:val="-5"/>
        </w:rPr>
        <w:t xml:space="preserve"> </w:t>
      </w:r>
      <w:r>
        <w:t>2.6.</w:t>
      </w:r>
    </w:p>
    <w:p w14:paraId="476AFC45" w14:textId="77777777" w:rsidR="00A663F1" w:rsidRDefault="00E46EDB">
      <w:pPr>
        <w:pStyle w:val="ListParagraph"/>
        <w:numPr>
          <w:ilvl w:val="1"/>
          <w:numId w:val="9"/>
        </w:numPr>
        <w:tabs>
          <w:tab w:val="left" w:pos="1692"/>
          <w:tab w:val="left" w:pos="1693"/>
        </w:tabs>
        <w:spacing w:before="121"/>
        <w:ind w:right="169"/>
      </w:pPr>
      <w:r>
        <w:t xml:space="preserve">Information on the specific repayment rates expected by creditors is market sensitive. In the absence of outturn data on repayment rates, an assumed repayment rate was derived from the proportion of debtors with a personal budget surplus after meeting their essential costs. Debt advisers estimated that 40% of their clients retained a budget surplus after meeting </w:t>
      </w:r>
      <w:proofErr w:type="gramStart"/>
      <w:r>
        <w:t>all of</w:t>
      </w:r>
      <w:proofErr w:type="gramEnd"/>
      <w:r>
        <w:t xml:space="preserve"> their ongoing liabilities. It is assumed that only debtors with a positive budget can meet their interest payments as they come due, such that the average repayment rate for interest payments across most debts is 40%.</w:t>
      </w:r>
    </w:p>
    <w:p w14:paraId="6E5CD0E9" w14:textId="77777777" w:rsidR="00A663F1" w:rsidRDefault="00E46EDB">
      <w:pPr>
        <w:pStyle w:val="ListParagraph"/>
        <w:numPr>
          <w:ilvl w:val="1"/>
          <w:numId w:val="9"/>
        </w:numPr>
        <w:tabs>
          <w:tab w:val="left" w:pos="1692"/>
          <w:tab w:val="left" w:pos="1693"/>
        </w:tabs>
        <w:ind w:right="303"/>
      </w:pPr>
      <w:r>
        <w:t>Debt advisers suggested that the repayment rate of high cost credit products is likely to be lower than those of other forms of credit. Data shared by debt advice providers suggested that debt advice clients with high cost credit products were 33% less likely to be able to handle their debts on their own without a debt solution, or after maximising their incomes, compared to other debt advice clients. It is therefore assumed that the repayment rate of high cost credit products is 33% lower than that of other credit products, at</w:t>
      </w:r>
      <w:r>
        <w:rPr>
          <w:spacing w:val="4"/>
        </w:rPr>
        <w:t xml:space="preserve"> </w:t>
      </w:r>
      <w:r>
        <w:t>27%.</w:t>
      </w:r>
    </w:p>
    <w:p w14:paraId="79C75F6B" w14:textId="77777777" w:rsidR="00A663F1" w:rsidRDefault="00E46EDB">
      <w:pPr>
        <w:pStyle w:val="ListParagraph"/>
        <w:numPr>
          <w:ilvl w:val="1"/>
          <w:numId w:val="9"/>
        </w:numPr>
        <w:tabs>
          <w:tab w:val="left" w:pos="1692"/>
          <w:tab w:val="left" w:pos="1693"/>
        </w:tabs>
        <w:spacing w:before="119"/>
        <w:ind w:right="331"/>
      </w:pPr>
      <w:r>
        <w:t>The amount of interest foregone is therefore expressed as the principal multiplied by the monthly interest rate, expressed to the power of the number of compounding intervals that fall within Breathing Space. This amount is then multiplied by the counterfactual repayment</w:t>
      </w:r>
      <w:r>
        <w:rPr>
          <w:spacing w:val="-21"/>
        </w:rPr>
        <w:t xml:space="preserve"> </w:t>
      </w:r>
      <w:r>
        <w:t>rate.</w:t>
      </w:r>
    </w:p>
    <w:p w14:paraId="70A497E9" w14:textId="77777777" w:rsidR="00A663F1" w:rsidRDefault="00E46EDB">
      <w:pPr>
        <w:pStyle w:val="ListParagraph"/>
        <w:numPr>
          <w:ilvl w:val="1"/>
          <w:numId w:val="9"/>
        </w:numPr>
        <w:tabs>
          <w:tab w:val="left" w:pos="1692"/>
          <w:tab w:val="left" w:pos="1693"/>
        </w:tabs>
        <w:spacing w:before="123"/>
        <w:ind w:right="191"/>
      </w:pPr>
      <w:r>
        <w:t>This process is repeated for each of the sub-cohorts of the Breathing Space caseload in order to facilitate segmentation of the overall cost into direct and indirect costs. As discussed in section 14, costs that are automatic – arising from debtors who do not change their behaviour in order to enter Breathing Space – are considered direct. Other costs are considered indirect. The breakdown of these costs is given in table 10</w:t>
      </w:r>
      <w:r>
        <w:rPr>
          <w:spacing w:val="-3"/>
        </w:rPr>
        <w:t xml:space="preserve"> </w:t>
      </w:r>
      <w:r>
        <w:t>below.</w:t>
      </w:r>
    </w:p>
    <w:p w14:paraId="7564B236" w14:textId="77777777" w:rsidR="00A663F1" w:rsidRDefault="00A663F1">
      <w:pPr>
        <w:pStyle w:val="BodyText"/>
        <w:spacing w:before="4" w:after="1"/>
        <w:ind w:left="0" w:firstLine="0"/>
        <w:rPr>
          <w:sz w:val="10"/>
        </w:rPr>
      </w:pPr>
    </w:p>
    <w:tbl>
      <w:tblPr>
        <w:tblW w:w="0" w:type="auto"/>
        <w:tblInd w:w="10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97"/>
        <w:gridCol w:w="550"/>
        <w:gridCol w:w="550"/>
        <w:gridCol w:w="550"/>
        <w:gridCol w:w="550"/>
        <w:gridCol w:w="552"/>
        <w:gridCol w:w="550"/>
        <w:gridCol w:w="549"/>
        <w:gridCol w:w="549"/>
        <w:gridCol w:w="549"/>
        <w:gridCol w:w="549"/>
      </w:tblGrid>
      <w:tr w:rsidR="00A663F1" w14:paraId="3A648C12" w14:textId="77777777">
        <w:trPr>
          <w:trHeight w:val="350"/>
        </w:trPr>
        <w:tc>
          <w:tcPr>
            <w:tcW w:w="3097" w:type="dxa"/>
            <w:tcBorders>
              <w:top w:val="nil"/>
              <w:left w:val="nil"/>
              <w:bottom w:val="nil"/>
              <w:right w:val="nil"/>
            </w:tcBorders>
            <w:shd w:val="clear" w:color="auto" w:fill="000000"/>
          </w:tcPr>
          <w:p w14:paraId="3315C977" w14:textId="77777777" w:rsidR="00A663F1" w:rsidRDefault="00A663F1">
            <w:pPr>
              <w:pStyle w:val="TableParagraph"/>
              <w:spacing w:line="240" w:lineRule="auto"/>
              <w:rPr>
                <w:rFonts w:ascii="Times New Roman"/>
              </w:rPr>
            </w:pPr>
          </w:p>
        </w:tc>
        <w:tc>
          <w:tcPr>
            <w:tcW w:w="550" w:type="dxa"/>
          </w:tcPr>
          <w:p w14:paraId="65DE99D8" w14:textId="77777777" w:rsidR="00A663F1" w:rsidRDefault="00E46EDB">
            <w:pPr>
              <w:pStyle w:val="TableParagraph"/>
              <w:ind w:left="107"/>
              <w:rPr>
                <w:b/>
                <w:sz w:val="20"/>
              </w:rPr>
            </w:pPr>
            <w:r>
              <w:rPr>
                <w:b/>
                <w:w w:val="99"/>
                <w:sz w:val="20"/>
              </w:rPr>
              <w:t>1</w:t>
            </w:r>
          </w:p>
        </w:tc>
        <w:tc>
          <w:tcPr>
            <w:tcW w:w="550" w:type="dxa"/>
          </w:tcPr>
          <w:p w14:paraId="27C0D57A" w14:textId="77777777" w:rsidR="00A663F1" w:rsidRDefault="00E46EDB">
            <w:pPr>
              <w:pStyle w:val="TableParagraph"/>
              <w:ind w:left="106"/>
              <w:rPr>
                <w:b/>
                <w:sz w:val="20"/>
              </w:rPr>
            </w:pPr>
            <w:r>
              <w:rPr>
                <w:b/>
                <w:w w:val="99"/>
                <w:sz w:val="20"/>
              </w:rPr>
              <w:t>2</w:t>
            </w:r>
          </w:p>
        </w:tc>
        <w:tc>
          <w:tcPr>
            <w:tcW w:w="550" w:type="dxa"/>
          </w:tcPr>
          <w:p w14:paraId="2BCA7347" w14:textId="77777777" w:rsidR="00A663F1" w:rsidRDefault="00E46EDB">
            <w:pPr>
              <w:pStyle w:val="TableParagraph"/>
              <w:ind w:left="106"/>
              <w:rPr>
                <w:b/>
                <w:sz w:val="20"/>
              </w:rPr>
            </w:pPr>
            <w:r>
              <w:rPr>
                <w:b/>
                <w:w w:val="99"/>
                <w:sz w:val="20"/>
              </w:rPr>
              <w:t>3</w:t>
            </w:r>
          </w:p>
        </w:tc>
        <w:tc>
          <w:tcPr>
            <w:tcW w:w="550" w:type="dxa"/>
          </w:tcPr>
          <w:p w14:paraId="10B528FD" w14:textId="77777777" w:rsidR="00A663F1" w:rsidRDefault="00E46EDB">
            <w:pPr>
              <w:pStyle w:val="TableParagraph"/>
              <w:ind w:left="106"/>
              <w:rPr>
                <w:b/>
                <w:sz w:val="20"/>
              </w:rPr>
            </w:pPr>
            <w:r>
              <w:rPr>
                <w:b/>
                <w:w w:val="99"/>
                <w:sz w:val="20"/>
              </w:rPr>
              <w:t>4</w:t>
            </w:r>
          </w:p>
        </w:tc>
        <w:tc>
          <w:tcPr>
            <w:tcW w:w="552" w:type="dxa"/>
          </w:tcPr>
          <w:p w14:paraId="10F21C3F" w14:textId="77777777" w:rsidR="00A663F1" w:rsidRDefault="00E46EDB">
            <w:pPr>
              <w:pStyle w:val="TableParagraph"/>
              <w:ind w:left="106"/>
              <w:rPr>
                <w:b/>
                <w:sz w:val="20"/>
              </w:rPr>
            </w:pPr>
            <w:r>
              <w:rPr>
                <w:b/>
                <w:w w:val="99"/>
                <w:sz w:val="20"/>
              </w:rPr>
              <w:t>5</w:t>
            </w:r>
          </w:p>
        </w:tc>
        <w:tc>
          <w:tcPr>
            <w:tcW w:w="550" w:type="dxa"/>
          </w:tcPr>
          <w:p w14:paraId="3332686A" w14:textId="77777777" w:rsidR="00A663F1" w:rsidRDefault="00E46EDB">
            <w:pPr>
              <w:pStyle w:val="TableParagraph"/>
              <w:ind w:left="103"/>
              <w:rPr>
                <w:b/>
                <w:sz w:val="20"/>
              </w:rPr>
            </w:pPr>
            <w:r>
              <w:rPr>
                <w:b/>
                <w:w w:val="99"/>
                <w:sz w:val="20"/>
              </w:rPr>
              <w:t>6</w:t>
            </w:r>
          </w:p>
        </w:tc>
        <w:tc>
          <w:tcPr>
            <w:tcW w:w="549" w:type="dxa"/>
          </w:tcPr>
          <w:p w14:paraId="2FDC87F2" w14:textId="77777777" w:rsidR="00A663F1" w:rsidRDefault="00E46EDB">
            <w:pPr>
              <w:pStyle w:val="TableParagraph"/>
              <w:ind w:left="106"/>
              <w:rPr>
                <w:b/>
                <w:sz w:val="20"/>
              </w:rPr>
            </w:pPr>
            <w:r>
              <w:rPr>
                <w:b/>
                <w:w w:val="99"/>
                <w:sz w:val="20"/>
              </w:rPr>
              <w:t>7</w:t>
            </w:r>
          </w:p>
        </w:tc>
        <w:tc>
          <w:tcPr>
            <w:tcW w:w="549" w:type="dxa"/>
          </w:tcPr>
          <w:p w14:paraId="3A5815CC" w14:textId="77777777" w:rsidR="00A663F1" w:rsidRDefault="00E46EDB">
            <w:pPr>
              <w:pStyle w:val="TableParagraph"/>
              <w:ind w:right="212"/>
              <w:jc w:val="center"/>
              <w:rPr>
                <w:b/>
                <w:sz w:val="20"/>
              </w:rPr>
            </w:pPr>
            <w:r>
              <w:rPr>
                <w:b/>
                <w:w w:val="99"/>
                <w:sz w:val="20"/>
              </w:rPr>
              <w:t>8</w:t>
            </w:r>
          </w:p>
        </w:tc>
        <w:tc>
          <w:tcPr>
            <w:tcW w:w="549" w:type="dxa"/>
          </w:tcPr>
          <w:p w14:paraId="60490681" w14:textId="77777777" w:rsidR="00A663F1" w:rsidRDefault="00E46EDB">
            <w:pPr>
              <w:pStyle w:val="TableParagraph"/>
              <w:ind w:left="107"/>
              <w:rPr>
                <w:b/>
                <w:sz w:val="20"/>
              </w:rPr>
            </w:pPr>
            <w:r>
              <w:rPr>
                <w:b/>
                <w:w w:val="99"/>
                <w:sz w:val="20"/>
              </w:rPr>
              <w:t>9</w:t>
            </w:r>
          </w:p>
        </w:tc>
        <w:tc>
          <w:tcPr>
            <w:tcW w:w="549" w:type="dxa"/>
          </w:tcPr>
          <w:p w14:paraId="6C8B6312" w14:textId="77777777" w:rsidR="00A663F1" w:rsidRDefault="00E46EDB">
            <w:pPr>
              <w:pStyle w:val="TableParagraph"/>
              <w:ind w:left="108"/>
              <w:rPr>
                <w:b/>
                <w:sz w:val="20"/>
              </w:rPr>
            </w:pPr>
            <w:r>
              <w:rPr>
                <w:b/>
                <w:sz w:val="20"/>
              </w:rPr>
              <w:t>10</w:t>
            </w:r>
          </w:p>
        </w:tc>
      </w:tr>
      <w:tr w:rsidR="00A663F1" w14:paraId="7CF53096" w14:textId="77777777">
        <w:trPr>
          <w:trHeight w:val="350"/>
        </w:trPr>
        <w:tc>
          <w:tcPr>
            <w:tcW w:w="3097" w:type="dxa"/>
            <w:tcBorders>
              <w:top w:val="nil"/>
            </w:tcBorders>
          </w:tcPr>
          <w:p w14:paraId="3E5E62FC" w14:textId="77777777" w:rsidR="00A663F1" w:rsidRDefault="00E46EDB">
            <w:pPr>
              <w:pStyle w:val="TableParagraph"/>
              <w:ind w:left="107"/>
              <w:rPr>
                <w:b/>
                <w:sz w:val="20"/>
              </w:rPr>
            </w:pPr>
            <w:r>
              <w:rPr>
                <w:b/>
                <w:sz w:val="20"/>
              </w:rPr>
              <w:t>Interest foregone - direct/£m</w:t>
            </w:r>
          </w:p>
        </w:tc>
        <w:tc>
          <w:tcPr>
            <w:tcW w:w="550" w:type="dxa"/>
          </w:tcPr>
          <w:p w14:paraId="46082C39" w14:textId="77777777" w:rsidR="00A663F1" w:rsidRDefault="00E46EDB">
            <w:pPr>
              <w:pStyle w:val="TableParagraph"/>
              <w:ind w:left="107"/>
              <w:rPr>
                <w:sz w:val="20"/>
              </w:rPr>
            </w:pPr>
            <w:r>
              <w:rPr>
                <w:sz w:val="20"/>
              </w:rPr>
              <w:t>119</w:t>
            </w:r>
          </w:p>
        </w:tc>
        <w:tc>
          <w:tcPr>
            <w:tcW w:w="550" w:type="dxa"/>
          </w:tcPr>
          <w:p w14:paraId="429555E8" w14:textId="77777777" w:rsidR="00A663F1" w:rsidRDefault="00E46EDB">
            <w:pPr>
              <w:pStyle w:val="TableParagraph"/>
              <w:ind w:left="106"/>
              <w:rPr>
                <w:sz w:val="20"/>
              </w:rPr>
            </w:pPr>
            <w:r>
              <w:rPr>
                <w:sz w:val="20"/>
              </w:rPr>
              <w:t>126</w:t>
            </w:r>
          </w:p>
        </w:tc>
        <w:tc>
          <w:tcPr>
            <w:tcW w:w="550" w:type="dxa"/>
          </w:tcPr>
          <w:p w14:paraId="760D7EE4" w14:textId="77777777" w:rsidR="00A663F1" w:rsidRDefault="00E46EDB">
            <w:pPr>
              <w:pStyle w:val="TableParagraph"/>
              <w:ind w:left="106"/>
              <w:rPr>
                <w:sz w:val="20"/>
              </w:rPr>
            </w:pPr>
            <w:r>
              <w:rPr>
                <w:sz w:val="20"/>
              </w:rPr>
              <w:t>133</w:t>
            </w:r>
          </w:p>
        </w:tc>
        <w:tc>
          <w:tcPr>
            <w:tcW w:w="550" w:type="dxa"/>
          </w:tcPr>
          <w:p w14:paraId="7EC9FA51" w14:textId="77777777" w:rsidR="00A663F1" w:rsidRDefault="00E46EDB">
            <w:pPr>
              <w:pStyle w:val="TableParagraph"/>
              <w:ind w:left="106"/>
              <w:rPr>
                <w:sz w:val="20"/>
              </w:rPr>
            </w:pPr>
            <w:r>
              <w:rPr>
                <w:sz w:val="20"/>
              </w:rPr>
              <w:t>140</w:t>
            </w:r>
          </w:p>
        </w:tc>
        <w:tc>
          <w:tcPr>
            <w:tcW w:w="552" w:type="dxa"/>
          </w:tcPr>
          <w:p w14:paraId="2595019E" w14:textId="77777777" w:rsidR="00A663F1" w:rsidRDefault="00E46EDB">
            <w:pPr>
              <w:pStyle w:val="TableParagraph"/>
              <w:ind w:left="106"/>
              <w:rPr>
                <w:sz w:val="20"/>
              </w:rPr>
            </w:pPr>
            <w:r>
              <w:rPr>
                <w:sz w:val="20"/>
              </w:rPr>
              <w:t>147</w:t>
            </w:r>
          </w:p>
        </w:tc>
        <w:tc>
          <w:tcPr>
            <w:tcW w:w="550" w:type="dxa"/>
          </w:tcPr>
          <w:p w14:paraId="606BDE8B" w14:textId="77777777" w:rsidR="00A663F1" w:rsidRDefault="00E46EDB">
            <w:pPr>
              <w:pStyle w:val="TableParagraph"/>
              <w:ind w:left="103"/>
              <w:rPr>
                <w:sz w:val="20"/>
              </w:rPr>
            </w:pPr>
            <w:r>
              <w:rPr>
                <w:sz w:val="20"/>
              </w:rPr>
              <w:t>155</w:t>
            </w:r>
          </w:p>
        </w:tc>
        <w:tc>
          <w:tcPr>
            <w:tcW w:w="549" w:type="dxa"/>
          </w:tcPr>
          <w:p w14:paraId="254553AA" w14:textId="77777777" w:rsidR="00A663F1" w:rsidRDefault="00E46EDB">
            <w:pPr>
              <w:pStyle w:val="TableParagraph"/>
              <w:ind w:left="106"/>
              <w:rPr>
                <w:sz w:val="20"/>
              </w:rPr>
            </w:pPr>
            <w:r>
              <w:rPr>
                <w:sz w:val="20"/>
              </w:rPr>
              <w:t>164</w:t>
            </w:r>
          </w:p>
        </w:tc>
        <w:tc>
          <w:tcPr>
            <w:tcW w:w="549" w:type="dxa"/>
          </w:tcPr>
          <w:p w14:paraId="6FA75A13" w14:textId="77777777" w:rsidR="00A663F1" w:rsidRDefault="00E46EDB">
            <w:pPr>
              <w:pStyle w:val="TableParagraph"/>
              <w:ind w:left="84" w:right="78"/>
              <w:jc w:val="center"/>
              <w:rPr>
                <w:sz w:val="20"/>
              </w:rPr>
            </w:pPr>
            <w:r>
              <w:rPr>
                <w:sz w:val="20"/>
              </w:rPr>
              <w:t>172</w:t>
            </w:r>
          </w:p>
        </w:tc>
        <w:tc>
          <w:tcPr>
            <w:tcW w:w="549" w:type="dxa"/>
          </w:tcPr>
          <w:p w14:paraId="02378963" w14:textId="77777777" w:rsidR="00A663F1" w:rsidRDefault="00E46EDB">
            <w:pPr>
              <w:pStyle w:val="TableParagraph"/>
              <w:ind w:left="107"/>
              <w:rPr>
                <w:sz w:val="20"/>
              </w:rPr>
            </w:pPr>
            <w:r>
              <w:rPr>
                <w:sz w:val="20"/>
              </w:rPr>
              <w:t>182</w:t>
            </w:r>
          </w:p>
        </w:tc>
        <w:tc>
          <w:tcPr>
            <w:tcW w:w="549" w:type="dxa"/>
          </w:tcPr>
          <w:p w14:paraId="279E3F75" w14:textId="77777777" w:rsidR="00A663F1" w:rsidRDefault="00E46EDB">
            <w:pPr>
              <w:pStyle w:val="TableParagraph"/>
              <w:ind w:left="108"/>
              <w:rPr>
                <w:sz w:val="20"/>
              </w:rPr>
            </w:pPr>
            <w:r>
              <w:rPr>
                <w:sz w:val="20"/>
              </w:rPr>
              <w:t>192</w:t>
            </w:r>
          </w:p>
        </w:tc>
      </w:tr>
      <w:tr w:rsidR="00A663F1" w14:paraId="3EFDD4D5" w14:textId="77777777">
        <w:trPr>
          <w:trHeight w:val="350"/>
        </w:trPr>
        <w:tc>
          <w:tcPr>
            <w:tcW w:w="3097" w:type="dxa"/>
          </w:tcPr>
          <w:p w14:paraId="6555ED77" w14:textId="77777777" w:rsidR="00A663F1" w:rsidRDefault="00E46EDB">
            <w:pPr>
              <w:pStyle w:val="TableParagraph"/>
              <w:ind w:left="107"/>
              <w:rPr>
                <w:b/>
                <w:sz w:val="20"/>
              </w:rPr>
            </w:pPr>
            <w:r>
              <w:rPr>
                <w:b/>
                <w:sz w:val="20"/>
              </w:rPr>
              <w:t>Interest foregone - indirect/£m</w:t>
            </w:r>
          </w:p>
        </w:tc>
        <w:tc>
          <w:tcPr>
            <w:tcW w:w="550" w:type="dxa"/>
          </w:tcPr>
          <w:p w14:paraId="2C83DB8D" w14:textId="77777777" w:rsidR="00A663F1" w:rsidRDefault="00E46EDB">
            <w:pPr>
              <w:pStyle w:val="TableParagraph"/>
              <w:ind w:left="107"/>
              <w:rPr>
                <w:sz w:val="20"/>
              </w:rPr>
            </w:pPr>
            <w:r>
              <w:rPr>
                <w:w w:val="99"/>
                <w:sz w:val="20"/>
              </w:rPr>
              <w:t>8</w:t>
            </w:r>
          </w:p>
        </w:tc>
        <w:tc>
          <w:tcPr>
            <w:tcW w:w="550" w:type="dxa"/>
          </w:tcPr>
          <w:p w14:paraId="598A8A96" w14:textId="77777777" w:rsidR="00A663F1" w:rsidRDefault="00E46EDB">
            <w:pPr>
              <w:pStyle w:val="TableParagraph"/>
              <w:ind w:left="106"/>
              <w:rPr>
                <w:sz w:val="20"/>
              </w:rPr>
            </w:pPr>
            <w:r>
              <w:rPr>
                <w:sz w:val="20"/>
              </w:rPr>
              <w:t>17</w:t>
            </w:r>
          </w:p>
        </w:tc>
        <w:tc>
          <w:tcPr>
            <w:tcW w:w="550" w:type="dxa"/>
          </w:tcPr>
          <w:p w14:paraId="32F37895" w14:textId="77777777" w:rsidR="00A663F1" w:rsidRDefault="00E46EDB">
            <w:pPr>
              <w:pStyle w:val="TableParagraph"/>
              <w:ind w:left="106"/>
              <w:rPr>
                <w:sz w:val="20"/>
              </w:rPr>
            </w:pPr>
            <w:r>
              <w:rPr>
                <w:sz w:val="20"/>
              </w:rPr>
              <w:t>18</w:t>
            </w:r>
          </w:p>
        </w:tc>
        <w:tc>
          <w:tcPr>
            <w:tcW w:w="550" w:type="dxa"/>
          </w:tcPr>
          <w:p w14:paraId="4165A8AC" w14:textId="77777777" w:rsidR="00A663F1" w:rsidRDefault="00E46EDB">
            <w:pPr>
              <w:pStyle w:val="TableParagraph"/>
              <w:ind w:left="106"/>
              <w:rPr>
                <w:sz w:val="20"/>
              </w:rPr>
            </w:pPr>
            <w:r>
              <w:rPr>
                <w:sz w:val="20"/>
              </w:rPr>
              <w:t>19</w:t>
            </w:r>
          </w:p>
        </w:tc>
        <w:tc>
          <w:tcPr>
            <w:tcW w:w="552" w:type="dxa"/>
          </w:tcPr>
          <w:p w14:paraId="74049F54" w14:textId="77777777" w:rsidR="00A663F1" w:rsidRDefault="00E46EDB">
            <w:pPr>
              <w:pStyle w:val="TableParagraph"/>
              <w:ind w:left="106"/>
              <w:rPr>
                <w:sz w:val="20"/>
              </w:rPr>
            </w:pPr>
            <w:r>
              <w:rPr>
                <w:sz w:val="20"/>
              </w:rPr>
              <w:t>20</w:t>
            </w:r>
          </w:p>
        </w:tc>
        <w:tc>
          <w:tcPr>
            <w:tcW w:w="550" w:type="dxa"/>
          </w:tcPr>
          <w:p w14:paraId="70615957" w14:textId="77777777" w:rsidR="00A663F1" w:rsidRDefault="00E46EDB">
            <w:pPr>
              <w:pStyle w:val="TableParagraph"/>
              <w:ind w:left="103"/>
              <w:rPr>
                <w:sz w:val="20"/>
              </w:rPr>
            </w:pPr>
            <w:r>
              <w:rPr>
                <w:sz w:val="20"/>
              </w:rPr>
              <w:t>21</w:t>
            </w:r>
          </w:p>
        </w:tc>
        <w:tc>
          <w:tcPr>
            <w:tcW w:w="549" w:type="dxa"/>
          </w:tcPr>
          <w:p w14:paraId="61AD5A4F" w14:textId="77777777" w:rsidR="00A663F1" w:rsidRDefault="00E46EDB">
            <w:pPr>
              <w:pStyle w:val="TableParagraph"/>
              <w:ind w:left="106"/>
              <w:rPr>
                <w:sz w:val="20"/>
              </w:rPr>
            </w:pPr>
            <w:r>
              <w:rPr>
                <w:sz w:val="20"/>
              </w:rPr>
              <w:t>22</w:t>
            </w:r>
          </w:p>
        </w:tc>
        <w:tc>
          <w:tcPr>
            <w:tcW w:w="549" w:type="dxa"/>
          </w:tcPr>
          <w:p w14:paraId="526E84B4" w14:textId="77777777" w:rsidR="00A663F1" w:rsidRDefault="00E46EDB">
            <w:pPr>
              <w:pStyle w:val="TableParagraph"/>
              <w:ind w:left="85" w:right="187"/>
              <w:jc w:val="center"/>
              <w:rPr>
                <w:sz w:val="20"/>
              </w:rPr>
            </w:pPr>
            <w:r>
              <w:rPr>
                <w:sz w:val="20"/>
              </w:rPr>
              <w:t>23</w:t>
            </w:r>
          </w:p>
        </w:tc>
        <w:tc>
          <w:tcPr>
            <w:tcW w:w="549" w:type="dxa"/>
          </w:tcPr>
          <w:p w14:paraId="74E5DED4" w14:textId="77777777" w:rsidR="00A663F1" w:rsidRDefault="00E46EDB">
            <w:pPr>
              <w:pStyle w:val="TableParagraph"/>
              <w:ind w:left="107"/>
              <w:rPr>
                <w:sz w:val="20"/>
              </w:rPr>
            </w:pPr>
            <w:r>
              <w:rPr>
                <w:sz w:val="20"/>
              </w:rPr>
              <w:t>24</w:t>
            </w:r>
          </w:p>
        </w:tc>
        <w:tc>
          <w:tcPr>
            <w:tcW w:w="549" w:type="dxa"/>
          </w:tcPr>
          <w:p w14:paraId="31A26B5E" w14:textId="77777777" w:rsidR="00A663F1" w:rsidRDefault="00E46EDB">
            <w:pPr>
              <w:pStyle w:val="TableParagraph"/>
              <w:ind w:left="108"/>
              <w:rPr>
                <w:sz w:val="20"/>
              </w:rPr>
            </w:pPr>
            <w:r>
              <w:rPr>
                <w:sz w:val="20"/>
              </w:rPr>
              <w:t>25</w:t>
            </w:r>
          </w:p>
        </w:tc>
      </w:tr>
      <w:tr w:rsidR="00A663F1" w14:paraId="227D8226" w14:textId="77777777">
        <w:trPr>
          <w:trHeight w:val="350"/>
        </w:trPr>
        <w:tc>
          <w:tcPr>
            <w:tcW w:w="3097" w:type="dxa"/>
          </w:tcPr>
          <w:p w14:paraId="2ADAC77F" w14:textId="77777777" w:rsidR="00A663F1" w:rsidRDefault="00E46EDB">
            <w:pPr>
              <w:pStyle w:val="TableParagraph"/>
              <w:ind w:left="107"/>
              <w:rPr>
                <w:b/>
                <w:sz w:val="20"/>
              </w:rPr>
            </w:pPr>
            <w:r>
              <w:rPr>
                <w:b/>
                <w:sz w:val="20"/>
              </w:rPr>
              <w:t>Total/£m</w:t>
            </w:r>
          </w:p>
        </w:tc>
        <w:tc>
          <w:tcPr>
            <w:tcW w:w="550" w:type="dxa"/>
          </w:tcPr>
          <w:p w14:paraId="26241DFE" w14:textId="77777777" w:rsidR="00A663F1" w:rsidRDefault="00E46EDB">
            <w:pPr>
              <w:pStyle w:val="TableParagraph"/>
              <w:ind w:left="107"/>
              <w:rPr>
                <w:sz w:val="20"/>
              </w:rPr>
            </w:pPr>
            <w:r>
              <w:rPr>
                <w:sz w:val="20"/>
              </w:rPr>
              <w:t>127</w:t>
            </w:r>
          </w:p>
        </w:tc>
        <w:tc>
          <w:tcPr>
            <w:tcW w:w="550" w:type="dxa"/>
          </w:tcPr>
          <w:p w14:paraId="529F5E5B" w14:textId="77777777" w:rsidR="00A663F1" w:rsidRDefault="00E46EDB">
            <w:pPr>
              <w:pStyle w:val="TableParagraph"/>
              <w:ind w:left="106"/>
              <w:rPr>
                <w:sz w:val="20"/>
              </w:rPr>
            </w:pPr>
            <w:r>
              <w:rPr>
                <w:sz w:val="20"/>
              </w:rPr>
              <w:t>142</w:t>
            </w:r>
          </w:p>
        </w:tc>
        <w:tc>
          <w:tcPr>
            <w:tcW w:w="550" w:type="dxa"/>
          </w:tcPr>
          <w:p w14:paraId="46F3B508" w14:textId="77777777" w:rsidR="00A663F1" w:rsidRDefault="00E46EDB">
            <w:pPr>
              <w:pStyle w:val="TableParagraph"/>
              <w:ind w:left="106"/>
              <w:rPr>
                <w:sz w:val="20"/>
              </w:rPr>
            </w:pPr>
            <w:r>
              <w:rPr>
                <w:sz w:val="20"/>
              </w:rPr>
              <w:t>150</w:t>
            </w:r>
          </w:p>
        </w:tc>
        <w:tc>
          <w:tcPr>
            <w:tcW w:w="550" w:type="dxa"/>
          </w:tcPr>
          <w:p w14:paraId="0E74C3EF" w14:textId="77777777" w:rsidR="00A663F1" w:rsidRDefault="00E46EDB">
            <w:pPr>
              <w:pStyle w:val="TableParagraph"/>
              <w:ind w:left="106"/>
              <w:rPr>
                <w:sz w:val="20"/>
              </w:rPr>
            </w:pPr>
            <w:r>
              <w:rPr>
                <w:sz w:val="20"/>
              </w:rPr>
              <w:t>158</w:t>
            </w:r>
          </w:p>
        </w:tc>
        <w:tc>
          <w:tcPr>
            <w:tcW w:w="552" w:type="dxa"/>
          </w:tcPr>
          <w:p w14:paraId="308D5B00" w14:textId="77777777" w:rsidR="00A663F1" w:rsidRDefault="00E46EDB">
            <w:pPr>
              <w:pStyle w:val="TableParagraph"/>
              <w:ind w:left="106"/>
              <w:rPr>
                <w:sz w:val="20"/>
              </w:rPr>
            </w:pPr>
            <w:r>
              <w:rPr>
                <w:sz w:val="20"/>
              </w:rPr>
              <w:t>167</w:t>
            </w:r>
          </w:p>
        </w:tc>
        <w:tc>
          <w:tcPr>
            <w:tcW w:w="550" w:type="dxa"/>
          </w:tcPr>
          <w:p w14:paraId="39E8EB2A" w14:textId="77777777" w:rsidR="00A663F1" w:rsidRDefault="00E46EDB">
            <w:pPr>
              <w:pStyle w:val="TableParagraph"/>
              <w:ind w:left="103"/>
              <w:rPr>
                <w:sz w:val="20"/>
              </w:rPr>
            </w:pPr>
            <w:r>
              <w:rPr>
                <w:sz w:val="20"/>
              </w:rPr>
              <w:t>176</w:t>
            </w:r>
          </w:p>
        </w:tc>
        <w:tc>
          <w:tcPr>
            <w:tcW w:w="549" w:type="dxa"/>
          </w:tcPr>
          <w:p w14:paraId="37926DC5" w14:textId="77777777" w:rsidR="00A663F1" w:rsidRDefault="00E46EDB">
            <w:pPr>
              <w:pStyle w:val="TableParagraph"/>
              <w:ind w:left="106"/>
              <w:rPr>
                <w:sz w:val="20"/>
              </w:rPr>
            </w:pPr>
            <w:r>
              <w:rPr>
                <w:sz w:val="20"/>
              </w:rPr>
              <w:t>185</w:t>
            </w:r>
          </w:p>
        </w:tc>
        <w:tc>
          <w:tcPr>
            <w:tcW w:w="549" w:type="dxa"/>
          </w:tcPr>
          <w:p w14:paraId="0789EB4C" w14:textId="77777777" w:rsidR="00A663F1" w:rsidRDefault="00E46EDB">
            <w:pPr>
              <w:pStyle w:val="TableParagraph"/>
              <w:ind w:left="84" w:right="78"/>
              <w:jc w:val="center"/>
              <w:rPr>
                <w:sz w:val="20"/>
              </w:rPr>
            </w:pPr>
            <w:r>
              <w:rPr>
                <w:sz w:val="20"/>
              </w:rPr>
              <w:t>195</w:t>
            </w:r>
          </w:p>
        </w:tc>
        <w:tc>
          <w:tcPr>
            <w:tcW w:w="549" w:type="dxa"/>
          </w:tcPr>
          <w:p w14:paraId="51147616" w14:textId="77777777" w:rsidR="00A663F1" w:rsidRDefault="00E46EDB">
            <w:pPr>
              <w:pStyle w:val="TableParagraph"/>
              <w:ind w:left="107"/>
              <w:rPr>
                <w:sz w:val="20"/>
              </w:rPr>
            </w:pPr>
            <w:r>
              <w:rPr>
                <w:sz w:val="20"/>
              </w:rPr>
              <w:t>206</w:t>
            </w:r>
          </w:p>
        </w:tc>
        <w:tc>
          <w:tcPr>
            <w:tcW w:w="549" w:type="dxa"/>
          </w:tcPr>
          <w:p w14:paraId="1902FBAB" w14:textId="77777777" w:rsidR="00A663F1" w:rsidRDefault="00E46EDB">
            <w:pPr>
              <w:pStyle w:val="TableParagraph"/>
              <w:ind w:left="108"/>
              <w:rPr>
                <w:sz w:val="20"/>
              </w:rPr>
            </w:pPr>
            <w:r>
              <w:rPr>
                <w:sz w:val="20"/>
              </w:rPr>
              <w:t>217</w:t>
            </w:r>
          </w:p>
        </w:tc>
      </w:tr>
    </w:tbl>
    <w:p w14:paraId="43F6BA08" w14:textId="77777777" w:rsidR="00A663F1" w:rsidRDefault="00E46EDB">
      <w:pPr>
        <w:ind w:left="1315"/>
        <w:rPr>
          <w:i/>
        </w:rPr>
      </w:pPr>
      <w:r>
        <w:rPr>
          <w:b/>
          <w:i/>
          <w:u w:val="single"/>
        </w:rPr>
        <w:t xml:space="preserve">Table 10: </w:t>
      </w:r>
      <w:r>
        <w:rPr>
          <w:i/>
          <w:u w:val="single"/>
        </w:rPr>
        <w:t>Direct and indirect costs of interest foregone between 2021-22 and 2030-31.</w:t>
      </w:r>
    </w:p>
    <w:p w14:paraId="6B4B90A8" w14:textId="77777777" w:rsidR="00A663F1" w:rsidRDefault="00E46EDB">
      <w:pPr>
        <w:pStyle w:val="ListParagraph"/>
        <w:numPr>
          <w:ilvl w:val="1"/>
          <w:numId w:val="9"/>
        </w:numPr>
        <w:tabs>
          <w:tab w:val="left" w:pos="1692"/>
          <w:tab w:val="left" w:pos="1693"/>
        </w:tabs>
        <w:spacing w:before="119"/>
        <w:ind w:right="166"/>
      </w:pPr>
      <w:r>
        <w:t xml:space="preserve">As discussed in paragraph 15.1, the cost of lending will vary by creditor. </w:t>
      </w:r>
      <w:r>
        <w:rPr>
          <w:spacing w:val="-2"/>
        </w:rPr>
        <w:t xml:space="preserve">All </w:t>
      </w:r>
      <w:r>
        <w:t>creditors will face opportunity costs where counterfactual revenue is delayed and leveraged creditors will face additional costs of borrowing to lend. This also applies to foregone interest, where debtors’ contractual interest liabilities will cover the risk taken by creditors, their profit margins, and the cost of servicing their own debts. For that reason, as in paragraph 15.14, the stock of interest foregone is multiplied by the assumed two-month cost of borrowing to lend, which is taken to be 0.49%. This increases the cost to creditors of interest foregone by £683,000 in 2021-22, rising</w:t>
      </w:r>
      <w:r>
        <w:rPr>
          <w:spacing w:val="-21"/>
        </w:rPr>
        <w:t xml:space="preserve"> </w:t>
      </w:r>
      <w:r>
        <w:t>to</w:t>
      </w:r>
    </w:p>
    <w:p w14:paraId="4CF96F5F" w14:textId="77777777" w:rsidR="00A663F1" w:rsidRDefault="00E46EDB">
      <w:pPr>
        <w:pStyle w:val="BodyText"/>
        <w:spacing w:before="0"/>
        <w:ind w:firstLine="0"/>
      </w:pPr>
      <w:r>
        <w:t>£1.2m by 2030-31. This cost is included in table 10.</w:t>
      </w:r>
    </w:p>
    <w:p w14:paraId="1832708C" w14:textId="77777777" w:rsidR="00A663F1" w:rsidRDefault="00E46EDB">
      <w:pPr>
        <w:pStyle w:val="ListParagraph"/>
        <w:numPr>
          <w:ilvl w:val="1"/>
          <w:numId w:val="9"/>
        </w:numPr>
        <w:tabs>
          <w:tab w:val="left" w:pos="1692"/>
          <w:tab w:val="left" w:pos="1693"/>
        </w:tabs>
        <w:spacing w:before="122"/>
        <w:ind w:right="143"/>
      </w:pPr>
      <w:r>
        <w:t xml:space="preserve">This process is repeated for each of the debt types identified by debt advice agencies to identify the total cost to creditors of foregone interest in each year of the assessment period. The inverse of this cost </w:t>
      </w:r>
      <w:proofErr w:type="gramStart"/>
      <w:r>
        <w:t>is considered to be</w:t>
      </w:r>
      <w:proofErr w:type="gramEnd"/>
      <w:r>
        <w:t xml:space="preserve"> a benefit to debtors, so foregone interest is treated as an economic transfer. As set out in paragraph 15.16, distributional weighting is not applied, so the benefit to debtors of freezing interest is likely to be</w:t>
      </w:r>
      <w:r>
        <w:rPr>
          <w:spacing w:val="-5"/>
        </w:rPr>
        <w:t xml:space="preserve"> </w:t>
      </w:r>
      <w:r>
        <w:t>understated.</w:t>
      </w:r>
    </w:p>
    <w:p w14:paraId="621466F3" w14:textId="77777777" w:rsidR="00A663F1" w:rsidRDefault="00E46EDB">
      <w:pPr>
        <w:pStyle w:val="Heading1"/>
        <w:numPr>
          <w:ilvl w:val="0"/>
          <w:numId w:val="9"/>
        </w:numPr>
        <w:tabs>
          <w:tab w:val="left" w:pos="613"/>
        </w:tabs>
        <w:spacing w:before="120"/>
      </w:pPr>
      <w:r>
        <w:t>Regulatory Breathing Space – costs – charges foregone – option</w:t>
      </w:r>
      <w:r>
        <w:rPr>
          <w:spacing w:val="-12"/>
        </w:rPr>
        <w:t xml:space="preserve"> </w:t>
      </w:r>
      <w:r>
        <w:t>3</w:t>
      </w:r>
    </w:p>
    <w:p w14:paraId="43BE6C0B" w14:textId="77777777" w:rsidR="00A663F1" w:rsidRDefault="00E46EDB">
      <w:pPr>
        <w:pStyle w:val="ListParagraph"/>
        <w:numPr>
          <w:ilvl w:val="1"/>
          <w:numId w:val="9"/>
        </w:numPr>
        <w:tabs>
          <w:tab w:val="left" w:pos="1692"/>
          <w:tab w:val="left" w:pos="1693"/>
        </w:tabs>
        <w:spacing w:before="119"/>
        <w:ind w:right="489"/>
      </w:pPr>
      <w:r>
        <w:t xml:space="preserve">Breathing Space will prevent the addition of new late-payment fees and charges. Creditors will therefore forego charge revenue. This will drive a cost to creditors and an equal benefit to debtors and so this impact </w:t>
      </w:r>
      <w:proofErr w:type="gramStart"/>
      <w:r>
        <w:t>is considered to be</w:t>
      </w:r>
      <w:proofErr w:type="gramEnd"/>
      <w:r>
        <w:t xml:space="preserve"> an economic</w:t>
      </w:r>
      <w:r>
        <w:rPr>
          <w:spacing w:val="-13"/>
        </w:rPr>
        <w:t xml:space="preserve"> </w:t>
      </w:r>
      <w:r>
        <w:t>transfer.</w:t>
      </w:r>
    </w:p>
    <w:p w14:paraId="7B43ADD2" w14:textId="77777777" w:rsidR="00A663F1" w:rsidRDefault="00E46EDB">
      <w:pPr>
        <w:pStyle w:val="ListParagraph"/>
        <w:numPr>
          <w:ilvl w:val="1"/>
          <w:numId w:val="9"/>
        </w:numPr>
        <w:tabs>
          <w:tab w:val="left" w:pos="1692"/>
          <w:tab w:val="left" w:pos="1693"/>
        </w:tabs>
        <w:ind w:right="134"/>
      </w:pPr>
      <w:r>
        <w:t>As with interest foregone as set out in section 16, the key drivers of the cost to creditors of freezing the addition of new late payment fees and charges are the number of charges that would have been added during Breathing Space, their average value, and the expected counterfactual repayment</w:t>
      </w:r>
      <w:r>
        <w:rPr>
          <w:spacing w:val="-5"/>
        </w:rPr>
        <w:t xml:space="preserve"> </w:t>
      </w:r>
      <w:r>
        <w:t>rate.</w:t>
      </w:r>
    </w:p>
    <w:p w14:paraId="6E704A98" w14:textId="77777777" w:rsidR="00A663F1" w:rsidRDefault="00E46EDB">
      <w:pPr>
        <w:pStyle w:val="ListParagraph"/>
        <w:numPr>
          <w:ilvl w:val="1"/>
          <w:numId w:val="9"/>
        </w:numPr>
        <w:tabs>
          <w:tab w:val="left" w:pos="1692"/>
          <w:tab w:val="left" w:pos="1693"/>
        </w:tabs>
        <w:ind w:right="235"/>
      </w:pPr>
      <w:r>
        <w:t>Debt advisers consulted as part of this Impact Assessment shared data on the number of debts held by debtors, disaggregated by debt type, and on the proportion of debtors with each type of debt. Where data on the number of debts held by each debtor was unavailable, it</w:t>
      </w:r>
      <w:r>
        <w:rPr>
          <w:spacing w:val="-21"/>
        </w:rPr>
        <w:t xml:space="preserve"> </w:t>
      </w:r>
      <w:r>
        <w:t>is</w:t>
      </w:r>
    </w:p>
    <w:p w14:paraId="64EAAC6B" w14:textId="77777777" w:rsidR="00A663F1" w:rsidRDefault="00A663F1">
      <w:pPr>
        <w:sectPr w:rsidR="00A663F1">
          <w:pgSz w:w="11910" w:h="16850"/>
          <w:pgMar w:top="600" w:right="720" w:bottom="1020" w:left="600" w:header="0" w:footer="761" w:gutter="0"/>
          <w:cols w:space="720"/>
        </w:sectPr>
      </w:pPr>
    </w:p>
    <w:p w14:paraId="19E560D0" w14:textId="77777777" w:rsidR="00A663F1" w:rsidRDefault="00E46EDB">
      <w:pPr>
        <w:pStyle w:val="BodyText"/>
        <w:spacing w:before="78"/>
        <w:ind w:right="378" w:firstLine="0"/>
      </w:pPr>
      <w:r>
        <w:lastRenderedPageBreak/>
        <w:t>assumed that debtors hold only one of each debt. It is assumed that late payment charges are added monthly, with one charge added each 30 days during the 60 days of Breathing Space</w:t>
      </w:r>
    </w:p>
    <w:p w14:paraId="0FBFBA2C" w14:textId="77777777" w:rsidR="00A663F1" w:rsidRDefault="00E46EDB">
      <w:pPr>
        <w:pStyle w:val="ListParagraph"/>
        <w:numPr>
          <w:ilvl w:val="1"/>
          <w:numId w:val="9"/>
        </w:numPr>
        <w:tabs>
          <w:tab w:val="left" w:pos="1692"/>
          <w:tab w:val="left" w:pos="1693"/>
        </w:tabs>
        <w:spacing w:before="121"/>
        <w:ind w:right="283"/>
      </w:pPr>
      <w:r>
        <w:t>Not all debts will be overdue at the point of entry into Breathing Space. Arrears will, by their nature, be overdue at the point of entry into Breathing Space. However, many other debts, such as those owed to financial services creditors (e.g. personal loans) may not be. In the absence of evidence to support an alternative assumption, it is assumed that 50% of debts are overdue at the point of entry into Breathing Space.</w:t>
      </w:r>
    </w:p>
    <w:p w14:paraId="4955DCB6" w14:textId="77777777" w:rsidR="00A663F1" w:rsidRDefault="00E46EDB">
      <w:pPr>
        <w:pStyle w:val="ListParagraph"/>
        <w:numPr>
          <w:ilvl w:val="1"/>
          <w:numId w:val="9"/>
        </w:numPr>
        <w:tabs>
          <w:tab w:val="left" w:pos="1692"/>
          <w:tab w:val="left" w:pos="1693"/>
        </w:tabs>
        <w:ind w:right="141"/>
      </w:pPr>
      <w:r>
        <w:t>The number of charges due during Breathing Space is calculated as the Breathing Space caseload multiplied by the proportion of debtors with each type of debt, multiplied by the average number of debts held by debtors with each debt</w:t>
      </w:r>
      <w:r>
        <w:rPr>
          <w:spacing w:val="-6"/>
        </w:rPr>
        <w:t xml:space="preserve"> </w:t>
      </w:r>
      <w:r>
        <w:t>type.</w:t>
      </w:r>
    </w:p>
    <w:p w14:paraId="7E010AD4" w14:textId="77777777" w:rsidR="00A663F1" w:rsidRDefault="00E46EDB">
      <w:pPr>
        <w:pStyle w:val="ListParagraph"/>
        <w:numPr>
          <w:ilvl w:val="1"/>
          <w:numId w:val="9"/>
        </w:numPr>
        <w:tabs>
          <w:tab w:val="left" w:pos="1692"/>
          <w:tab w:val="left" w:pos="1693"/>
        </w:tabs>
        <w:spacing w:before="119"/>
        <w:ind w:right="436"/>
      </w:pPr>
      <w:r>
        <w:t>The number of late payment charges due during Breathing Space is then multiplied by their average value. In the absence of sector-scale data on the average value of late payment charges, indicative values derived from open sources have been</w:t>
      </w:r>
      <w:r>
        <w:rPr>
          <w:spacing w:val="-4"/>
        </w:rPr>
        <w:t xml:space="preserve"> </w:t>
      </w:r>
      <w:r>
        <w:t>used.</w:t>
      </w:r>
    </w:p>
    <w:p w14:paraId="0909699F" w14:textId="77777777" w:rsidR="00A663F1" w:rsidRDefault="00E46EDB">
      <w:pPr>
        <w:pStyle w:val="ListParagraph"/>
        <w:numPr>
          <w:ilvl w:val="1"/>
          <w:numId w:val="9"/>
        </w:numPr>
        <w:tabs>
          <w:tab w:val="left" w:pos="1692"/>
          <w:tab w:val="left" w:pos="1693"/>
        </w:tabs>
        <w:spacing w:before="122"/>
        <w:ind w:right="254"/>
      </w:pPr>
      <w:r>
        <w:t>The product is then adjusted for the expected counterfactual repayment rate, yielding the amount of charge revenue that will be foregone. For consistency, it is assumed that the repayment rate of late-payment fees and charges is the same as that of</w:t>
      </w:r>
      <w:r>
        <w:rPr>
          <w:spacing w:val="-9"/>
        </w:rPr>
        <w:t xml:space="preserve"> </w:t>
      </w:r>
      <w:r>
        <w:t>interest.</w:t>
      </w:r>
    </w:p>
    <w:p w14:paraId="49259CF4" w14:textId="77777777" w:rsidR="00A663F1" w:rsidRDefault="00E46EDB">
      <w:pPr>
        <w:pStyle w:val="ListParagraph"/>
        <w:numPr>
          <w:ilvl w:val="1"/>
          <w:numId w:val="9"/>
        </w:numPr>
        <w:tabs>
          <w:tab w:val="left" w:pos="1692"/>
          <w:tab w:val="left" w:pos="1693"/>
        </w:tabs>
        <w:ind w:right="192"/>
      </w:pPr>
      <w:r>
        <w:t>This process is repeated for each of the sub-cohorts of the Breathing Space caseload in order to facilitate segmentation of the overall cost into direct and indirect costs. As discussed in section 14, costs that are automatic – arising from debtors who do not change their behaviour in order to enter Breathing Space – are considered direct. Other costs are considered indirect. The breakdown of these costs is given in table 11</w:t>
      </w:r>
      <w:r>
        <w:rPr>
          <w:spacing w:val="-3"/>
        </w:rPr>
        <w:t xml:space="preserve"> </w:t>
      </w:r>
      <w:r>
        <w:t>below.</w:t>
      </w:r>
    </w:p>
    <w:p w14:paraId="43030C37" w14:textId="77777777" w:rsidR="00A663F1" w:rsidRDefault="00A663F1">
      <w:pPr>
        <w:pStyle w:val="BodyText"/>
        <w:spacing w:before="5"/>
        <w:ind w:left="0" w:firstLine="0"/>
        <w:rPr>
          <w:sz w:val="10"/>
        </w:rPr>
      </w:pPr>
    </w:p>
    <w:tbl>
      <w:tblPr>
        <w:tblW w:w="0" w:type="auto"/>
        <w:tblInd w:w="1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73"/>
        <w:gridCol w:w="439"/>
        <w:gridCol w:w="439"/>
        <w:gridCol w:w="439"/>
        <w:gridCol w:w="439"/>
        <w:gridCol w:w="439"/>
        <w:gridCol w:w="440"/>
        <w:gridCol w:w="439"/>
        <w:gridCol w:w="439"/>
        <w:gridCol w:w="437"/>
        <w:gridCol w:w="439"/>
      </w:tblGrid>
      <w:tr w:rsidR="00A663F1" w14:paraId="5B7CA4D6" w14:textId="77777777">
        <w:trPr>
          <w:trHeight w:val="350"/>
        </w:trPr>
        <w:tc>
          <w:tcPr>
            <w:tcW w:w="3173" w:type="dxa"/>
          </w:tcPr>
          <w:p w14:paraId="66F87012" w14:textId="77777777" w:rsidR="00A663F1" w:rsidRDefault="00A663F1">
            <w:pPr>
              <w:pStyle w:val="TableParagraph"/>
              <w:spacing w:line="240" w:lineRule="auto"/>
              <w:rPr>
                <w:rFonts w:ascii="Times New Roman"/>
              </w:rPr>
            </w:pPr>
          </w:p>
        </w:tc>
        <w:tc>
          <w:tcPr>
            <w:tcW w:w="439" w:type="dxa"/>
          </w:tcPr>
          <w:p w14:paraId="63F0576D" w14:textId="77777777" w:rsidR="00A663F1" w:rsidRDefault="00E46EDB">
            <w:pPr>
              <w:pStyle w:val="TableParagraph"/>
              <w:ind w:left="108"/>
              <w:rPr>
                <w:b/>
                <w:sz w:val="20"/>
              </w:rPr>
            </w:pPr>
            <w:r>
              <w:rPr>
                <w:b/>
                <w:w w:val="99"/>
                <w:sz w:val="20"/>
              </w:rPr>
              <w:t>1</w:t>
            </w:r>
          </w:p>
        </w:tc>
        <w:tc>
          <w:tcPr>
            <w:tcW w:w="439" w:type="dxa"/>
          </w:tcPr>
          <w:p w14:paraId="1656D83A" w14:textId="77777777" w:rsidR="00A663F1" w:rsidRDefault="00E46EDB">
            <w:pPr>
              <w:pStyle w:val="TableParagraph"/>
              <w:ind w:left="108"/>
              <w:rPr>
                <w:b/>
                <w:sz w:val="20"/>
              </w:rPr>
            </w:pPr>
            <w:r>
              <w:rPr>
                <w:b/>
                <w:w w:val="99"/>
                <w:sz w:val="20"/>
              </w:rPr>
              <w:t>2</w:t>
            </w:r>
          </w:p>
        </w:tc>
        <w:tc>
          <w:tcPr>
            <w:tcW w:w="439" w:type="dxa"/>
          </w:tcPr>
          <w:p w14:paraId="1CB1E491" w14:textId="77777777" w:rsidR="00A663F1" w:rsidRDefault="00E46EDB">
            <w:pPr>
              <w:pStyle w:val="TableParagraph"/>
              <w:ind w:left="109"/>
              <w:rPr>
                <w:b/>
                <w:sz w:val="20"/>
              </w:rPr>
            </w:pPr>
            <w:r>
              <w:rPr>
                <w:b/>
                <w:w w:val="99"/>
                <w:sz w:val="20"/>
              </w:rPr>
              <w:t>3</w:t>
            </w:r>
          </w:p>
        </w:tc>
        <w:tc>
          <w:tcPr>
            <w:tcW w:w="439" w:type="dxa"/>
          </w:tcPr>
          <w:p w14:paraId="6F9A4AB1" w14:textId="77777777" w:rsidR="00A663F1" w:rsidRDefault="00E46EDB">
            <w:pPr>
              <w:pStyle w:val="TableParagraph"/>
              <w:ind w:left="109"/>
              <w:rPr>
                <w:b/>
                <w:sz w:val="20"/>
              </w:rPr>
            </w:pPr>
            <w:r>
              <w:rPr>
                <w:b/>
                <w:w w:val="99"/>
                <w:sz w:val="20"/>
              </w:rPr>
              <w:t>4</w:t>
            </w:r>
          </w:p>
        </w:tc>
        <w:tc>
          <w:tcPr>
            <w:tcW w:w="439" w:type="dxa"/>
          </w:tcPr>
          <w:p w14:paraId="0D30551A" w14:textId="77777777" w:rsidR="00A663F1" w:rsidRDefault="00E46EDB">
            <w:pPr>
              <w:pStyle w:val="TableParagraph"/>
              <w:ind w:left="109"/>
              <w:rPr>
                <w:b/>
                <w:sz w:val="20"/>
              </w:rPr>
            </w:pPr>
            <w:r>
              <w:rPr>
                <w:b/>
                <w:w w:val="99"/>
                <w:sz w:val="20"/>
              </w:rPr>
              <w:t>5</w:t>
            </w:r>
          </w:p>
        </w:tc>
        <w:tc>
          <w:tcPr>
            <w:tcW w:w="440" w:type="dxa"/>
          </w:tcPr>
          <w:p w14:paraId="123D7009" w14:textId="77777777" w:rsidR="00A663F1" w:rsidRDefault="00E46EDB">
            <w:pPr>
              <w:pStyle w:val="TableParagraph"/>
              <w:ind w:left="109"/>
              <w:rPr>
                <w:b/>
                <w:sz w:val="20"/>
              </w:rPr>
            </w:pPr>
            <w:r>
              <w:rPr>
                <w:b/>
                <w:w w:val="99"/>
                <w:sz w:val="20"/>
              </w:rPr>
              <w:t>6</w:t>
            </w:r>
          </w:p>
        </w:tc>
        <w:tc>
          <w:tcPr>
            <w:tcW w:w="439" w:type="dxa"/>
          </w:tcPr>
          <w:p w14:paraId="59FFB57A" w14:textId="77777777" w:rsidR="00A663F1" w:rsidRDefault="00E46EDB">
            <w:pPr>
              <w:pStyle w:val="TableParagraph"/>
              <w:ind w:left="109"/>
              <w:rPr>
                <w:b/>
                <w:sz w:val="20"/>
              </w:rPr>
            </w:pPr>
            <w:r>
              <w:rPr>
                <w:b/>
                <w:w w:val="99"/>
                <w:sz w:val="20"/>
              </w:rPr>
              <w:t>7</w:t>
            </w:r>
          </w:p>
        </w:tc>
        <w:tc>
          <w:tcPr>
            <w:tcW w:w="439" w:type="dxa"/>
          </w:tcPr>
          <w:p w14:paraId="41E1E99A" w14:textId="77777777" w:rsidR="00A663F1" w:rsidRDefault="00E46EDB">
            <w:pPr>
              <w:pStyle w:val="TableParagraph"/>
              <w:ind w:right="97"/>
              <w:jc w:val="center"/>
              <w:rPr>
                <w:b/>
                <w:sz w:val="20"/>
              </w:rPr>
            </w:pPr>
            <w:r>
              <w:rPr>
                <w:b/>
                <w:w w:val="99"/>
                <w:sz w:val="20"/>
              </w:rPr>
              <w:t>8</w:t>
            </w:r>
          </w:p>
        </w:tc>
        <w:tc>
          <w:tcPr>
            <w:tcW w:w="437" w:type="dxa"/>
          </w:tcPr>
          <w:p w14:paraId="12CBA273" w14:textId="77777777" w:rsidR="00A663F1" w:rsidRDefault="00E46EDB">
            <w:pPr>
              <w:pStyle w:val="TableParagraph"/>
              <w:ind w:right="99"/>
              <w:jc w:val="center"/>
              <w:rPr>
                <w:b/>
                <w:sz w:val="20"/>
              </w:rPr>
            </w:pPr>
            <w:r>
              <w:rPr>
                <w:b/>
                <w:w w:val="99"/>
                <w:sz w:val="20"/>
              </w:rPr>
              <w:t>9</w:t>
            </w:r>
          </w:p>
        </w:tc>
        <w:tc>
          <w:tcPr>
            <w:tcW w:w="439" w:type="dxa"/>
          </w:tcPr>
          <w:p w14:paraId="2923BFAA" w14:textId="77777777" w:rsidR="00A663F1" w:rsidRDefault="00E46EDB">
            <w:pPr>
              <w:pStyle w:val="TableParagraph"/>
              <w:ind w:left="88" w:right="78"/>
              <w:jc w:val="center"/>
              <w:rPr>
                <w:b/>
                <w:sz w:val="20"/>
              </w:rPr>
            </w:pPr>
            <w:r>
              <w:rPr>
                <w:b/>
                <w:sz w:val="20"/>
              </w:rPr>
              <w:t>10</w:t>
            </w:r>
          </w:p>
        </w:tc>
      </w:tr>
      <w:tr w:rsidR="00A663F1" w14:paraId="484A94D0" w14:textId="77777777">
        <w:trPr>
          <w:trHeight w:val="350"/>
        </w:trPr>
        <w:tc>
          <w:tcPr>
            <w:tcW w:w="3173" w:type="dxa"/>
          </w:tcPr>
          <w:p w14:paraId="57CC9BE7" w14:textId="77777777" w:rsidR="00A663F1" w:rsidRDefault="00E46EDB">
            <w:pPr>
              <w:pStyle w:val="TableParagraph"/>
              <w:ind w:left="107"/>
              <w:rPr>
                <w:b/>
                <w:sz w:val="20"/>
              </w:rPr>
            </w:pPr>
            <w:r>
              <w:rPr>
                <w:b/>
                <w:sz w:val="20"/>
              </w:rPr>
              <w:t>Charges foregone - direct/£m</w:t>
            </w:r>
          </w:p>
        </w:tc>
        <w:tc>
          <w:tcPr>
            <w:tcW w:w="439" w:type="dxa"/>
          </w:tcPr>
          <w:p w14:paraId="5F85D7EA" w14:textId="77777777" w:rsidR="00A663F1" w:rsidRDefault="00E46EDB">
            <w:pPr>
              <w:pStyle w:val="TableParagraph"/>
              <w:ind w:left="108"/>
              <w:rPr>
                <w:sz w:val="20"/>
              </w:rPr>
            </w:pPr>
            <w:r>
              <w:rPr>
                <w:sz w:val="20"/>
              </w:rPr>
              <w:t>16</w:t>
            </w:r>
          </w:p>
        </w:tc>
        <w:tc>
          <w:tcPr>
            <w:tcW w:w="439" w:type="dxa"/>
          </w:tcPr>
          <w:p w14:paraId="2CB91489" w14:textId="77777777" w:rsidR="00A663F1" w:rsidRDefault="00E46EDB">
            <w:pPr>
              <w:pStyle w:val="TableParagraph"/>
              <w:ind w:left="108"/>
              <w:rPr>
                <w:sz w:val="20"/>
              </w:rPr>
            </w:pPr>
            <w:r>
              <w:rPr>
                <w:sz w:val="20"/>
              </w:rPr>
              <w:t>18</w:t>
            </w:r>
          </w:p>
        </w:tc>
        <w:tc>
          <w:tcPr>
            <w:tcW w:w="439" w:type="dxa"/>
          </w:tcPr>
          <w:p w14:paraId="53558E28" w14:textId="77777777" w:rsidR="00A663F1" w:rsidRDefault="00E46EDB">
            <w:pPr>
              <w:pStyle w:val="TableParagraph"/>
              <w:ind w:left="109"/>
              <w:rPr>
                <w:sz w:val="20"/>
              </w:rPr>
            </w:pPr>
            <w:r>
              <w:rPr>
                <w:sz w:val="20"/>
              </w:rPr>
              <w:t>19</w:t>
            </w:r>
          </w:p>
        </w:tc>
        <w:tc>
          <w:tcPr>
            <w:tcW w:w="439" w:type="dxa"/>
          </w:tcPr>
          <w:p w14:paraId="143B6BD3" w14:textId="77777777" w:rsidR="00A663F1" w:rsidRDefault="00E46EDB">
            <w:pPr>
              <w:pStyle w:val="TableParagraph"/>
              <w:ind w:left="109"/>
              <w:rPr>
                <w:sz w:val="20"/>
              </w:rPr>
            </w:pPr>
            <w:r>
              <w:rPr>
                <w:sz w:val="20"/>
              </w:rPr>
              <w:t>20</w:t>
            </w:r>
          </w:p>
        </w:tc>
        <w:tc>
          <w:tcPr>
            <w:tcW w:w="439" w:type="dxa"/>
          </w:tcPr>
          <w:p w14:paraId="46A44895" w14:textId="77777777" w:rsidR="00A663F1" w:rsidRDefault="00E46EDB">
            <w:pPr>
              <w:pStyle w:val="TableParagraph"/>
              <w:ind w:left="109"/>
              <w:rPr>
                <w:sz w:val="20"/>
              </w:rPr>
            </w:pPr>
            <w:r>
              <w:rPr>
                <w:sz w:val="20"/>
              </w:rPr>
              <w:t>21</w:t>
            </w:r>
          </w:p>
        </w:tc>
        <w:tc>
          <w:tcPr>
            <w:tcW w:w="440" w:type="dxa"/>
          </w:tcPr>
          <w:p w14:paraId="2781482F" w14:textId="77777777" w:rsidR="00A663F1" w:rsidRDefault="00E46EDB">
            <w:pPr>
              <w:pStyle w:val="TableParagraph"/>
              <w:ind w:left="109"/>
              <w:rPr>
                <w:sz w:val="20"/>
              </w:rPr>
            </w:pPr>
            <w:r>
              <w:rPr>
                <w:sz w:val="20"/>
              </w:rPr>
              <w:t>22</w:t>
            </w:r>
          </w:p>
        </w:tc>
        <w:tc>
          <w:tcPr>
            <w:tcW w:w="439" w:type="dxa"/>
          </w:tcPr>
          <w:p w14:paraId="25BAF490" w14:textId="77777777" w:rsidR="00A663F1" w:rsidRDefault="00E46EDB">
            <w:pPr>
              <w:pStyle w:val="TableParagraph"/>
              <w:ind w:left="109"/>
              <w:rPr>
                <w:sz w:val="20"/>
              </w:rPr>
            </w:pPr>
            <w:r>
              <w:rPr>
                <w:sz w:val="20"/>
              </w:rPr>
              <w:t>24</w:t>
            </w:r>
          </w:p>
        </w:tc>
        <w:tc>
          <w:tcPr>
            <w:tcW w:w="439" w:type="dxa"/>
          </w:tcPr>
          <w:p w14:paraId="104508B7" w14:textId="77777777" w:rsidR="00A663F1" w:rsidRDefault="00E46EDB">
            <w:pPr>
              <w:pStyle w:val="TableParagraph"/>
              <w:ind w:left="88" w:right="78"/>
              <w:jc w:val="center"/>
              <w:rPr>
                <w:sz w:val="20"/>
              </w:rPr>
            </w:pPr>
            <w:r>
              <w:rPr>
                <w:sz w:val="20"/>
              </w:rPr>
              <w:t>25</w:t>
            </w:r>
          </w:p>
        </w:tc>
        <w:tc>
          <w:tcPr>
            <w:tcW w:w="437" w:type="dxa"/>
          </w:tcPr>
          <w:p w14:paraId="436C0423" w14:textId="77777777" w:rsidR="00A663F1" w:rsidRDefault="00E46EDB">
            <w:pPr>
              <w:pStyle w:val="TableParagraph"/>
              <w:ind w:left="86" w:right="78"/>
              <w:jc w:val="center"/>
              <w:rPr>
                <w:sz w:val="20"/>
              </w:rPr>
            </w:pPr>
            <w:r>
              <w:rPr>
                <w:sz w:val="20"/>
              </w:rPr>
              <w:t>26</w:t>
            </w:r>
          </w:p>
        </w:tc>
        <w:tc>
          <w:tcPr>
            <w:tcW w:w="439" w:type="dxa"/>
          </w:tcPr>
          <w:p w14:paraId="21E77A46" w14:textId="77777777" w:rsidR="00A663F1" w:rsidRDefault="00E46EDB">
            <w:pPr>
              <w:pStyle w:val="TableParagraph"/>
              <w:ind w:left="88" w:right="78"/>
              <w:jc w:val="center"/>
              <w:rPr>
                <w:sz w:val="20"/>
              </w:rPr>
            </w:pPr>
            <w:r>
              <w:rPr>
                <w:sz w:val="20"/>
              </w:rPr>
              <w:t>28</w:t>
            </w:r>
          </w:p>
        </w:tc>
      </w:tr>
      <w:tr w:rsidR="00A663F1" w14:paraId="05F9AB02" w14:textId="77777777">
        <w:trPr>
          <w:trHeight w:val="350"/>
        </w:trPr>
        <w:tc>
          <w:tcPr>
            <w:tcW w:w="3173" w:type="dxa"/>
          </w:tcPr>
          <w:p w14:paraId="703BD10B" w14:textId="77777777" w:rsidR="00A663F1" w:rsidRDefault="00E46EDB">
            <w:pPr>
              <w:pStyle w:val="TableParagraph"/>
              <w:ind w:left="107"/>
              <w:rPr>
                <w:b/>
                <w:sz w:val="20"/>
              </w:rPr>
            </w:pPr>
            <w:r>
              <w:rPr>
                <w:b/>
                <w:sz w:val="20"/>
              </w:rPr>
              <w:t>Charges foregone - indirect/£m</w:t>
            </w:r>
          </w:p>
        </w:tc>
        <w:tc>
          <w:tcPr>
            <w:tcW w:w="439" w:type="dxa"/>
          </w:tcPr>
          <w:p w14:paraId="41CF78E6" w14:textId="77777777" w:rsidR="00A663F1" w:rsidRDefault="00E46EDB">
            <w:pPr>
              <w:pStyle w:val="TableParagraph"/>
              <w:ind w:left="108"/>
              <w:rPr>
                <w:sz w:val="20"/>
              </w:rPr>
            </w:pPr>
            <w:r>
              <w:rPr>
                <w:w w:val="99"/>
                <w:sz w:val="20"/>
              </w:rPr>
              <w:t>1</w:t>
            </w:r>
          </w:p>
        </w:tc>
        <w:tc>
          <w:tcPr>
            <w:tcW w:w="439" w:type="dxa"/>
          </w:tcPr>
          <w:p w14:paraId="4F5DEA98" w14:textId="77777777" w:rsidR="00A663F1" w:rsidRDefault="00E46EDB">
            <w:pPr>
              <w:pStyle w:val="TableParagraph"/>
              <w:ind w:left="108"/>
              <w:rPr>
                <w:sz w:val="20"/>
              </w:rPr>
            </w:pPr>
            <w:r>
              <w:rPr>
                <w:w w:val="99"/>
                <w:sz w:val="20"/>
              </w:rPr>
              <w:t>2</w:t>
            </w:r>
          </w:p>
        </w:tc>
        <w:tc>
          <w:tcPr>
            <w:tcW w:w="439" w:type="dxa"/>
          </w:tcPr>
          <w:p w14:paraId="60FD974B" w14:textId="77777777" w:rsidR="00A663F1" w:rsidRDefault="00E46EDB">
            <w:pPr>
              <w:pStyle w:val="TableParagraph"/>
              <w:ind w:left="109"/>
              <w:rPr>
                <w:sz w:val="20"/>
              </w:rPr>
            </w:pPr>
            <w:r>
              <w:rPr>
                <w:w w:val="99"/>
                <w:sz w:val="20"/>
              </w:rPr>
              <w:t>2</w:t>
            </w:r>
          </w:p>
        </w:tc>
        <w:tc>
          <w:tcPr>
            <w:tcW w:w="439" w:type="dxa"/>
          </w:tcPr>
          <w:p w14:paraId="7BA1FC6C" w14:textId="77777777" w:rsidR="00A663F1" w:rsidRDefault="00E46EDB">
            <w:pPr>
              <w:pStyle w:val="TableParagraph"/>
              <w:ind w:left="109"/>
              <w:rPr>
                <w:sz w:val="20"/>
              </w:rPr>
            </w:pPr>
            <w:r>
              <w:rPr>
                <w:w w:val="99"/>
                <w:sz w:val="20"/>
              </w:rPr>
              <w:t>2</w:t>
            </w:r>
          </w:p>
        </w:tc>
        <w:tc>
          <w:tcPr>
            <w:tcW w:w="439" w:type="dxa"/>
          </w:tcPr>
          <w:p w14:paraId="105DB5D2" w14:textId="77777777" w:rsidR="00A663F1" w:rsidRDefault="00E46EDB">
            <w:pPr>
              <w:pStyle w:val="TableParagraph"/>
              <w:ind w:left="109"/>
              <w:rPr>
                <w:sz w:val="20"/>
              </w:rPr>
            </w:pPr>
            <w:r>
              <w:rPr>
                <w:w w:val="99"/>
                <w:sz w:val="20"/>
              </w:rPr>
              <w:t>3</w:t>
            </w:r>
          </w:p>
        </w:tc>
        <w:tc>
          <w:tcPr>
            <w:tcW w:w="440" w:type="dxa"/>
          </w:tcPr>
          <w:p w14:paraId="7614F30E" w14:textId="77777777" w:rsidR="00A663F1" w:rsidRDefault="00E46EDB">
            <w:pPr>
              <w:pStyle w:val="TableParagraph"/>
              <w:ind w:left="109"/>
              <w:rPr>
                <w:sz w:val="20"/>
              </w:rPr>
            </w:pPr>
            <w:r>
              <w:rPr>
                <w:w w:val="99"/>
                <w:sz w:val="20"/>
              </w:rPr>
              <w:t>3</w:t>
            </w:r>
          </w:p>
        </w:tc>
        <w:tc>
          <w:tcPr>
            <w:tcW w:w="439" w:type="dxa"/>
          </w:tcPr>
          <w:p w14:paraId="1CBD6204" w14:textId="77777777" w:rsidR="00A663F1" w:rsidRDefault="00E46EDB">
            <w:pPr>
              <w:pStyle w:val="TableParagraph"/>
              <w:ind w:left="109"/>
              <w:rPr>
                <w:sz w:val="20"/>
              </w:rPr>
            </w:pPr>
            <w:r>
              <w:rPr>
                <w:w w:val="99"/>
                <w:sz w:val="20"/>
              </w:rPr>
              <w:t>3</w:t>
            </w:r>
          </w:p>
        </w:tc>
        <w:tc>
          <w:tcPr>
            <w:tcW w:w="439" w:type="dxa"/>
          </w:tcPr>
          <w:p w14:paraId="2865E5BB" w14:textId="77777777" w:rsidR="00A663F1" w:rsidRDefault="00E46EDB">
            <w:pPr>
              <w:pStyle w:val="TableParagraph"/>
              <w:ind w:right="97"/>
              <w:jc w:val="center"/>
              <w:rPr>
                <w:sz w:val="20"/>
              </w:rPr>
            </w:pPr>
            <w:r>
              <w:rPr>
                <w:w w:val="99"/>
                <w:sz w:val="20"/>
              </w:rPr>
              <w:t>3</w:t>
            </w:r>
          </w:p>
        </w:tc>
        <w:tc>
          <w:tcPr>
            <w:tcW w:w="437" w:type="dxa"/>
          </w:tcPr>
          <w:p w14:paraId="682B0C33" w14:textId="77777777" w:rsidR="00A663F1" w:rsidRDefault="00E46EDB">
            <w:pPr>
              <w:pStyle w:val="TableParagraph"/>
              <w:ind w:right="99"/>
              <w:jc w:val="center"/>
              <w:rPr>
                <w:sz w:val="20"/>
              </w:rPr>
            </w:pPr>
            <w:r>
              <w:rPr>
                <w:w w:val="99"/>
                <w:sz w:val="20"/>
              </w:rPr>
              <w:t>3</w:t>
            </w:r>
          </w:p>
        </w:tc>
        <w:tc>
          <w:tcPr>
            <w:tcW w:w="439" w:type="dxa"/>
          </w:tcPr>
          <w:p w14:paraId="567FF57D" w14:textId="77777777" w:rsidR="00A663F1" w:rsidRDefault="00E46EDB">
            <w:pPr>
              <w:pStyle w:val="TableParagraph"/>
              <w:ind w:right="97"/>
              <w:jc w:val="center"/>
              <w:rPr>
                <w:sz w:val="20"/>
              </w:rPr>
            </w:pPr>
            <w:r>
              <w:rPr>
                <w:w w:val="99"/>
                <w:sz w:val="20"/>
              </w:rPr>
              <w:t>3</w:t>
            </w:r>
          </w:p>
        </w:tc>
      </w:tr>
      <w:tr w:rsidR="00A663F1" w14:paraId="0403F942" w14:textId="77777777">
        <w:trPr>
          <w:trHeight w:val="350"/>
        </w:trPr>
        <w:tc>
          <w:tcPr>
            <w:tcW w:w="3173" w:type="dxa"/>
          </w:tcPr>
          <w:p w14:paraId="56222319" w14:textId="77777777" w:rsidR="00A663F1" w:rsidRDefault="00E46EDB">
            <w:pPr>
              <w:pStyle w:val="TableParagraph"/>
              <w:ind w:left="107"/>
              <w:rPr>
                <w:b/>
                <w:sz w:val="20"/>
              </w:rPr>
            </w:pPr>
            <w:r>
              <w:rPr>
                <w:b/>
                <w:sz w:val="20"/>
              </w:rPr>
              <w:t>Total/£m</w:t>
            </w:r>
          </w:p>
        </w:tc>
        <w:tc>
          <w:tcPr>
            <w:tcW w:w="439" w:type="dxa"/>
          </w:tcPr>
          <w:p w14:paraId="76A958D6" w14:textId="77777777" w:rsidR="00A663F1" w:rsidRDefault="00E46EDB">
            <w:pPr>
              <w:pStyle w:val="TableParagraph"/>
              <w:ind w:left="108"/>
              <w:rPr>
                <w:sz w:val="20"/>
              </w:rPr>
            </w:pPr>
            <w:r>
              <w:rPr>
                <w:sz w:val="20"/>
              </w:rPr>
              <w:t>17</w:t>
            </w:r>
          </w:p>
        </w:tc>
        <w:tc>
          <w:tcPr>
            <w:tcW w:w="439" w:type="dxa"/>
          </w:tcPr>
          <w:p w14:paraId="59C1F304" w14:textId="77777777" w:rsidR="00A663F1" w:rsidRDefault="00E46EDB">
            <w:pPr>
              <w:pStyle w:val="TableParagraph"/>
              <w:ind w:left="108"/>
              <w:rPr>
                <w:sz w:val="20"/>
              </w:rPr>
            </w:pPr>
            <w:r>
              <w:rPr>
                <w:sz w:val="20"/>
              </w:rPr>
              <w:t>20</w:t>
            </w:r>
          </w:p>
        </w:tc>
        <w:tc>
          <w:tcPr>
            <w:tcW w:w="439" w:type="dxa"/>
          </w:tcPr>
          <w:p w14:paraId="0094C23D" w14:textId="77777777" w:rsidR="00A663F1" w:rsidRDefault="00E46EDB">
            <w:pPr>
              <w:pStyle w:val="TableParagraph"/>
              <w:ind w:left="109"/>
              <w:rPr>
                <w:sz w:val="20"/>
              </w:rPr>
            </w:pPr>
            <w:r>
              <w:rPr>
                <w:sz w:val="20"/>
              </w:rPr>
              <w:t>21</w:t>
            </w:r>
          </w:p>
        </w:tc>
        <w:tc>
          <w:tcPr>
            <w:tcW w:w="439" w:type="dxa"/>
          </w:tcPr>
          <w:p w14:paraId="65EC5335" w14:textId="77777777" w:rsidR="00A663F1" w:rsidRDefault="00E46EDB">
            <w:pPr>
              <w:pStyle w:val="TableParagraph"/>
              <w:ind w:left="109"/>
              <w:rPr>
                <w:sz w:val="20"/>
              </w:rPr>
            </w:pPr>
            <w:r>
              <w:rPr>
                <w:sz w:val="20"/>
              </w:rPr>
              <w:t>23</w:t>
            </w:r>
          </w:p>
        </w:tc>
        <w:tc>
          <w:tcPr>
            <w:tcW w:w="439" w:type="dxa"/>
          </w:tcPr>
          <w:p w14:paraId="3641092C" w14:textId="77777777" w:rsidR="00A663F1" w:rsidRDefault="00E46EDB">
            <w:pPr>
              <w:pStyle w:val="TableParagraph"/>
              <w:ind w:left="109"/>
              <w:rPr>
                <w:sz w:val="20"/>
              </w:rPr>
            </w:pPr>
            <w:r>
              <w:rPr>
                <w:sz w:val="20"/>
              </w:rPr>
              <w:t>24</w:t>
            </w:r>
          </w:p>
        </w:tc>
        <w:tc>
          <w:tcPr>
            <w:tcW w:w="440" w:type="dxa"/>
          </w:tcPr>
          <w:p w14:paraId="7809B805" w14:textId="77777777" w:rsidR="00A663F1" w:rsidRDefault="00E46EDB">
            <w:pPr>
              <w:pStyle w:val="TableParagraph"/>
              <w:ind w:left="109"/>
              <w:rPr>
                <w:sz w:val="20"/>
              </w:rPr>
            </w:pPr>
            <w:r>
              <w:rPr>
                <w:sz w:val="20"/>
              </w:rPr>
              <w:t>25</w:t>
            </w:r>
          </w:p>
        </w:tc>
        <w:tc>
          <w:tcPr>
            <w:tcW w:w="439" w:type="dxa"/>
          </w:tcPr>
          <w:p w14:paraId="27E58C42" w14:textId="77777777" w:rsidR="00A663F1" w:rsidRDefault="00E46EDB">
            <w:pPr>
              <w:pStyle w:val="TableParagraph"/>
              <w:ind w:left="109"/>
              <w:rPr>
                <w:sz w:val="20"/>
              </w:rPr>
            </w:pPr>
            <w:r>
              <w:rPr>
                <w:sz w:val="20"/>
              </w:rPr>
              <w:t>26</w:t>
            </w:r>
          </w:p>
        </w:tc>
        <w:tc>
          <w:tcPr>
            <w:tcW w:w="439" w:type="dxa"/>
          </w:tcPr>
          <w:p w14:paraId="2C427DF2" w14:textId="77777777" w:rsidR="00A663F1" w:rsidRDefault="00E46EDB">
            <w:pPr>
              <w:pStyle w:val="TableParagraph"/>
              <w:ind w:left="88" w:right="78"/>
              <w:jc w:val="center"/>
              <w:rPr>
                <w:sz w:val="20"/>
              </w:rPr>
            </w:pPr>
            <w:r>
              <w:rPr>
                <w:sz w:val="20"/>
              </w:rPr>
              <w:t>28</w:t>
            </w:r>
          </w:p>
        </w:tc>
        <w:tc>
          <w:tcPr>
            <w:tcW w:w="437" w:type="dxa"/>
          </w:tcPr>
          <w:p w14:paraId="0DE668B6" w14:textId="77777777" w:rsidR="00A663F1" w:rsidRDefault="00E46EDB">
            <w:pPr>
              <w:pStyle w:val="TableParagraph"/>
              <w:ind w:left="86" w:right="78"/>
              <w:jc w:val="center"/>
              <w:rPr>
                <w:sz w:val="20"/>
              </w:rPr>
            </w:pPr>
            <w:r>
              <w:rPr>
                <w:sz w:val="20"/>
              </w:rPr>
              <w:t>29</w:t>
            </w:r>
          </w:p>
        </w:tc>
        <w:tc>
          <w:tcPr>
            <w:tcW w:w="439" w:type="dxa"/>
          </w:tcPr>
          <w:p w14:paraId="5B4BBFA5" w14:textId="77777777" w:rsidR="00A663F1" w:rsidRDefault="00E46EDB">
            <w:pPr>
              <w:pStyle w:val="TableParagraph"/>
              <w:ind w:left="88" w:right="78"/>
              <w:jc w:val="center"/>
              <w:rPr>
                <w:sz w:val="20"/>
              </w:rPr>
            </w:pPr>
            <w:r>
              <w:rPr>
                <w:sz w:val="20"/>
              </w:rPr>
              <w:t>31</w:t>
            </w:r>
          </w:p>
        </w:tc>
      </w:tr>
    </w:tbl>
    <w:p w14:paraId="277E0410" w14:textId="77777777" w:rsidR="00A663F1" w:rsidRDefault="00E46EDB">
      <w:pPr>
        <w:ind w:left="1284"/>
        <w:rPr>
          <w:i/>
        </w:rPr>
      </w:pPr>
      <w:r>
        <w:rPr>
          <w:b/>
          <w:i/>
          <w:u w:val="single"/>
        </w:rPr>
        <w:t xml:space="preserve">Table 11: </w:t>
      </w:r>
      <w:r>
        <w:rPr>
          <w:i/>
          <w:u w:val="single"/>
        </w:rPr>
        <w:t>Direct and indirect costs of charges foregone between 2021-22 and 2030-31.</w:t>
      </w:r>
    </w:p>
    <w:p w14:paraId="286E9E4C" w14:textId="77777777" w:rsidR="00A663F1" w:rsidRDefault="00E46EDB">
      <w:pPr>
        <w:pStyle w:val="ListParagraph"/>
        <w:numPr>
          <w:ilvl w:val="1"/>
          <w:numId w:val="9"/>
        </w:numPr>
        <w:tabs>
          <w:tab w:val="left" w:pos="1692"/>
          <w:tab w:val="left" w:pos="1693"/>
        </w:tabs>
        <w:spacing w:before="119"/>
        <w:ind w:right="142"/>
      </w:pPr>
      <w:r>
        <w:t>As in the case of interest foregone, the stock of charges foregone is multiplied by the assumed two-month cost of borrowing to lend, which is taken to be 0.49%, in order to establish the cost to leveraged creditors of foregone late-payment charge revenue. This increases the cost to creditors of charges foregone by £90,000 in 2021-22, rising to £159,000 by 2030-31. This cost is included in table</w:t>
      </w:r>
      <w:r>
        <w:rPr>
          <w:spacing w:val="-4"/>
        </w:rPr>
        <w:t xml:space="preserve"> </w:t>
      </w:r>
      <w:r>
        <w:t>11.</w:t>
      </w:r>
    </w:p>
    <w:p w14:paraId="36BBA433" w14:textId="77777777" w:rsidR="00A663F1" w:rsidRDefault="00E46EDB">
      <w:pPr>
        <w:pStyle w:val="ListParagraph"/>
        <w:numPr>
          <w:ilvl w:val="1"/>
          <w:numId w:val="9"/>
        </w:numPr>
        <w:tabs>
          <w:tab w:val="left" w:pos="1692"/>
          <w:tab w:val="left" w:pos="1693"/>
        </w:tabs>
        <w:ind w:right="316"/>
      </w:pPr>
      <w:r>
        <w:t xml:space="preserve">This process is repeated for each of the debt types identified by debt advice agencies to derive the total cost to creditors of foregone late payment fees and charges. The inverse of this cost </w:t>
      </w:r>
      <w:proofErr w:type="gramStart"/>
      <w:r>
        <w:t>is considered to be</w:t>
      </w:r>
      <w:proofErr w:type="gramEnd"/>
      <w:r>
        <w:t xml:space="preserve"> a benefit to debtors. Not applying a distributional weighting is likely to understate the benefit to debtors of this economic</w:t>
      </w:r>
      <w:r>
        <w:rPr>
          <w:spacing w:val="-13"/>
        </w:rPr>
        <w:t xml:space="preserve"> </w:t>
      </w:r>
      <w:r>
        <w:t>transfer.</w:t>
      </w:r>
    </w:p>
    <w:p w14:paraId="57970328" w14:textId="77777777" w:rsidR="00A663F1" w:rsidRDefault="00E46EDB">
      <w:pPr>
        <w:pStyle w:val="Heading1"/>
        <w:numPr>
          <w:ilvl w:val="0"/>
          <w:numId w:val="9"/>
        </w:numPr>
        <w:tabs>
          <w:tab w:val="left" w:pos="613"/>
        </w:tabs>
      </w:pPr>
      <w:r>
        <w:t>Regulatory Breathing Space – costs – creditor administration – option</w:t>
      </w:r>
      <w:r>
        <w:rPr>
          <w:spacing w:val="-16"/>
        </w:rPr>
        <w:t xml:space="preserve"> </w:t>
      </w:r>
      <w:r>
        <w:t>3</w:t>
      </w:r>
    </w:p>
    <w:p w14:paraId="5760EC13" w14:textId="77777777" w:rsidR="00A663F1" w:rsidRDefault="00E46EDB">
      <w:pPr>
        <w:pStyle w:val="ListParagraph"/>
        <w:numPr>
          <w:ilvl w:val="1"/>
          <w:numId w:val="9"/>
        </w:numPr>
        <w:tabs>
          <w:tab w:val="left" w:pos="1692"/>
          <w:tab w:val="left" w:pos="1693"/>
        </w:tabs>
        <w:spacing w:before="121"/>
        <w:ind w:right="317"/>
      </w:pPr>
      <w:r>
        <w:t>Breathing Space will impose an additional administrative burden on some creditors, who will have to freeze interest, fees, and charges and pause enforcement action throughout Breathing</w:t>
      </w:r>
      <w:r>
        <w:rPr>
          <w:spacing w:val="1"/>
        </w:rPr>
        <w:t xml:space="preserve"> </w:t>
      </w:r>
      <w:r>
        <w:t>Space.</w:t>
      </w:r>
    </w:p>
    <w:p w14:paraId="3C4D66E0" w14:textId="77777777" w:rsidR="00A663F1" w:rsidRDefault="00E46EDB">
      <w:pPr>
        <w:pStyle w:val="ListParagraph"/>
        <w:numPr>
          <w:ilvl w:val="1"/>
          <w:numId w:val="9"/>
        </w:numPr>
        <w:tabs>
          <w:tab w:val="left" w:pos="1692"/>
          <w:tab w:val="left" w:pos="1693"/>
        </w:tabs>
        <w:ind w:right="365"/>
      </w:pPr>
      <w:r>
        <w:t>Many of the creditors who responded to the government’s consultation on the Breathing Space scheme pointed out that their sectors already provide similar protections to Breathing Space as part of their wider forbearance practices for some individuals, as discussed in paragraph 2.5. Trade bodies estimated that, for this reason, Breathing Space could impose no material additional administrative cost in 20% of</w:t>
      </w:r>
      <w:r>
        <w:rPr>
          <w:spacing w:val="2"/>
        </w:rPr>
        <w:t xml:space="preserve"> </w:t>
      </w:r>
      <w:r>
        <w:t>cases.</w:t>
      </w:r>
    </w:p>
    <w:p w14:paraId="00706E47" w14:textId="77777777" w:rsidR="00A663F1" w:rsidRDefault="00E46EDB">
      <w:pPr>
        <w:pStyle w:val="ListParagraph"/>
        <w:numPr>
          <w:ilvl w:val="1"/>
          <w:numId w:val="9"/>
        </w:numPr>
        <w:tabs>
          <w:tab w:val="left" w:pos="1692"/>
          <w:tab w:val="left" w:pos="1693"/>
        </w:tabs>
        <w:ind w:right="187"/>
      </w:pPr>
      <w:r>
        <w:t>In response to requests for information made as part of this Impact Assessment, creditors provided estimates for the number of minutes required to perform various administrative tasks, along with the average wage costs of the administrators who will perform them. In total, these actions are expected to take between 36.5 and 44 minutes. These administrative activities include:</w:t>
      </w:r>
    </w:p>
    <w:p w14:paraId="74435788" w14:textId="77777777" w:rsidR="00A663F1" w:rsidRDefault="00E46EDB">
      <w:pPr>
        <w:pStyle w:val="ListParagraph"/>
        <w:numPr>
          <w:ilvl w:val="2"/>
          <w:numId w:val="9"/>
        </w:numPr>
        <w:tabs>
          <w:tab w:val="left" w:pos="1693"/>
        </w:tabs>
        <w:spacing w:before="121"/>
        <w:ind w:left="1692" w:hanging="721"/>
      </w:pPr>
      <w:r>
        <w:t>Processing the notification of an entry into Breathing</w:t>
      </w:r>
      <w:r>
        <w:rPr>
          <w:spacing w:val="-3"/>
        </w:rPr>
        <w:t xml:space="preserve"> </w:t>
      </w:r>
      <w:r>
        <w:t>Space</w:t>
      </w:r>
    </w:p>
    <w:p w14:paraId="5681F005" w14:textId="77777777" w:rsidR="00A663F1" w:rsidRDefault="00E46EDB">
      <w:pPr>
        <w:pStyle w:val="ListParagraph"/>
        <w:numPr>
          <w:ilvl w:val="2"/>
          <w:numId w:val="9"/>
        </w:numPr>
        <w:tabs>
          <w:tab w:val="left" w:pos="1693"/>
        </w:tabs>
        <w:spacing w:before="119"/>
        <w:ind w:left="1692" w:hanging="721"/>
      </w:pPr>
      <w:r>
        <w:t>Supressing contact relating to</w:t>
      </w:r>
      <w:r>
        <w:rPr>
          <w:spacing w:val="-3"/>
        </w:rPr>
        <w:t xml:space="preserve"> </w:t>
      </w:r>
      <w:r>
        <w:t>repayment</w:t>
      </w:r>
    </w:p>
    <w:p w14:paraId="51E1DFAF" w14:textId="77777777" w:rsidR="00A663F1" w:rsidRDefault="00A663F1">
      <w:pPr>
        <w:sectPr w:rsidR="00A663F1">
          <w:pgSz w:w="11910" w:h="16850"/>
          <w:pgMar w:top="600" w:right="720" w:bottom="1020" w:left="600" w:header="0" w:footer="761" w:gutter="0"/>
          <w:cols w:space="720"/>
        </w:sectPr>
      </w:pPr>
    </w:p>
    <w:p w14:paraId="614F1DAE" w14:textId="77777777" w:rsidR="00A663F1" w:rsidRDefault="00E46EDB">
      <w:pPr>
        <w:pStyle w:val="ListParagraph"/>
        <w:numPr>
          <w:ilvl w:val="2"/>
          <w:numId w:val="9"/>
        </w:numPr>
        <w:tabs>
          <w:tab w:val="left" w:pos="1693"/>
        </w:tabs>
        <w:spacing w:before="78"/>
        <w:ind w:left="1692" w:hanging="721"/>
      </w:pPr>
      <w:r>
        <w:lastRenderedPageBreak/>
        <w:t>Notifying enforcement agents to pause enforcement action, where it is</w:t>
      </w:r>
      <w:r>
        <w:rPr>
          <w:spacing w:val="-6"/>
        </w:rPr>
        <w:t xml:space="preserve"> </w:t>
      </w:r>
      <w:r>
        <w:t>ongoing</w:t>
      </w:r>
    </w:p>
    <w:p w14:paraId="333285A3" w14:textId="77777777" w:rsidR="00A663F1" w:rsidRDefault="00E46EDB">
      <w:pPr>
        <w:pStyle w:val="ListParagraph"/>
        <w:numPr>
          <w:ilvl w:val="2"/>
          <w:numId w:val="9"/>
        </w:numPr>
        <w:tabs>
          <w:tab w:val="left" w:pos="1693"/>
        </w:tabs>
        <w:spacing w:before="122"/>
        <w:ind w:left="1692" w:hanging="721"/>
      </w:pPr>
      <w:r>
        <w:t>Suppressing the accrual of interest and addition of late payment</w:t>
      </w:r>
      <w:r>
        <w:rPr>
          <w:spacing w:val="-6"/>
        </w:rPr>
        <w:t xml:space="preserve"> </w:t>
      </w:r>
      <w:r>
        <w:t>charges</w:t>
      </w:r>
    </w:p>
    <w:p w14:paraId="343D877F" w14:textId="77777777" w:rsidR="00A663F1" w:rsidRDefault="00E46EDB">
      <w:pPr>
        <w:pStyle w:val="ListParagraph"/>
        <w:numPr>
          <w:ilvl w:val="2"/>
          <w:numId w:val="9"/>
        </w:numPr>
        <w:tabs>
          <w:tab w:val="left" w:pos="1693"/>
        </w:tabs>
        <w:spacing w:before="119"/>
        <w:ind w:left="1692" w:hanging="721"/>
      </w:pPr>
      <w:r>
        <w:t>Reversing these actions at the conclusion of Breathing</w:t>
      </w:r>
      <w:r>
        <w:rPr>
          <w:spacing w:val="-2"/>
        </w:rPr>
        <w:t xml:space="preserve"> </w:t>
      </w:r>
      <w:r>
        <w:t>Space.</w:t>
      </w:r>
    </w:p>
    <w:p w14:paraId="3783DF57" w14:textId="77777777" w:rsidR="00A663F1" w:rsidRDefault="00E46EDB">
      <w:pPr>
        <w:pStyle w:val="ListParagraph"/>
        <w:numPr>
          <w:ilvl w:val="1"/>
          <w:numId w:val="9"/>
        </w:numPr>
        <w:tabs>
          <w:tab w:val="left" w:pos="1692"/>
          <w:tab w:val="left" w:pos="1693"/>
        </w:tabs>
        <w:spacing w:before="121"/>
        <w:ind w:right="136"/>
      </w:pPr>
      <w:r>
        <w:t>On average, debtors have numerous debts. Debt advisers consulted as part of this Impact Assessment suggested a range of between four and six debts per debtor. It may be that some debtors have multiple debts to the same creditor, in which case the creditor would be expected to incur administrative costs only once. However, no evidence was available on the extent to which debtors owe multiple debts to the same creditor, so this assessment assumes that all debts give rise to an administrative burden, rather than only a subset. This is likely to overstate the administrative costs of Breathing Space.</w:t>
      </w:r>
    </w:p>
    <w:p w14:paraId="591BDC07" w14:textId="77777777" w:rsidR="00A663F1" w:rsidRDefault="00E46EDB">
      <w:pPr>
        <w:pStyle w:val="ListParagraph"/>
        <w:numPr>
          <w:ilvl w:val="1"/>
          <w:numId w:val="9"/>
        </w:numPr>
        <w:tabs>
          <w:tab w:val="left" w:pos="1692"/>
          <w:tab w:val="left" w:pos="1693"/>
        </w:tabs>
        <w:spacing w:before="118"/>
        <w:ind w:right="266"/>
      </w:pPr>
      <w:r>
        <w:t>The cost of performing these interventions will be equivalent to the total number of hours that each type of intervention requires multiplied by the average £13 per hour wage costs of the administrators who will perform those actions, uplifted by 20.6% to reflect non-wage labour costs.</w:t>
      </w:r>
    </w:p>
    <w:p w14:paraId="1CD4E711" w14:textId="77777777" w:rsidR="00A663F1" w:rsidRDefault="00E46EDB">
      <w:pPr>
        <w:pStyle w:val="ListParagraph"/>
        <w:numPr>
          <w:ilvl w:val="1"/>
          <w:numId w:val="9"/>
        </w:numPr>
        <w:tabs>
          <w:tab w:val="left" w:pos="1692"/>
          <w:tab w:val="left" w:pos="1693"/>
        </w:tabs>
        <w:spacing w:before="121"/>
        <w:ind w:right="415"/>
      </w:pPr>
      <w:r>
        <w:t>Pausing enforcement action will only be necessary in the subset of cases where it is ongoing at the point that debtors enter Breathing Space. Debt advisers estimated that it would be necessary to pause enforcement action in between 5% and 30% of cases, or 18% in the central</w:t>
      </w:r>
      <w:r>
        <w:rPr>
          <w:spacing w:val="-3"/>
        </w:rPr>
        <w:t xml:space="preserve"> </w:t>
      </w:r>
      <w:r>
        <w:t>scenario.</w:t>
      </w:r>
    </w:p>
    <w:p w14:paraId="2EB12795" w14:textId="77777777" w:rsidR="00A663F1" w:rsidRDefault="00E46EDB">
      <w:pPr>
        <w:pStyle w:val="ListParagraph"/>
        <w:numPr>
          <w:ilvl w:val="1"/>
          <w:numId w:val="9"/>
        </w:numPr>
        <w:tabs>
          <w:tab w:val="left" w:pos="1692"/>
          <w:tab w:val="left" w:pos="1693"/>
        </w:tabs>
        <w:spacing w:before="122"/>
        <w:ind w:right="735"/>
      </w:pPr>
      <w:r>
        <w:t xml:space="preserve">This process is repeated for each of the administrative interventions associated with Breathing Space as the caseload builds to derive the total administrative cost of Breathing Space. This is expected to be £26m in 2021-22, rising to £45m in 2030-31. This cost </w:t>
      </w:r>
      <w:proofErr w:type="gramStart"/>
      <w:r>
        <w:t>is considered to be</w:t>
      </w:r>
      <w:proofErr w:type="gramEnd"/>
      <w:r>
        <w:t xml:space="preserve"> direct as it arises automatically: compliance will be</w:t>
      </w:r>
      <w:r>
        <w:rPr>
          <w:spacing w:val="-5"/>
        </w:rPr>
        <w:t xml:space="preserve"> </w:t>
      </w:r>
      <w:r>
        <w:t>statutory.</w:t>
      </w:r>
    </w:p>
    <w:p w14:paraId="5D483FA4" w14:textId="77777777" w:rsidR="00A663F1" w:rsidRDefault="00E46EDB">
      <w:pPr>
        <w:pStyle w:val="Heading1"/>
        <w:numPr>
          <w:ilvl w:val="0"/>
          <w:numId w:val="9"/>
        </w:numPr>
        <w:tabs>
          <w:tab w:val="left" w:pos="613"/>
        </w:tabs>
        <w:spacing w:before="118"/>
      </w:pPr>
      <w:r>
        <w:t>Regulatory Breathing Space – costs – debt advisor administration – option</w:t>
      </w:r>
      <w:r>
        <w:rPr>
          <w:spacing w:val="-12"/>
        </w:rPr>
        <w:t xml:space="preserve"> </w:t>
      </w:r>
      <w:r>
        <w:t>3</w:t>
      </w:r>
    </w:p>
    <w:p w14:paraId="37BE5F7B" w14:textId="77777777" w:rsidR="00A663F1" w:rsidRDefault="00E46EDB">
      <w:pPr>
        <w:pStyle w:val="ListParagraph"/>
        <w:numPr>
          <w:ilvl w:val="1"/>
          <w:numId w:val="9"/>
        </w:numPr>
        <w:tabs>
          <w:tab w:val="left" w:pos="1692"/>
          <w:tab w:val="left" w:pos="1693"/>
        </w:tabs>
        <w:spacing w:before="122"/>
        <w:ind w:right="452"/>
      </w:pPr>
      <w:r>
        <w:t>The same approach as outlined in section 18 is taken in assessing the administrative costs of Breathing Space to debt advisers, with the exception that no adjustment is made to account for administrative actions that are taken in the counterfactual: all of the administrative actions attributed to debt advisers are additive to those undertaken in the</w:t>
      </w:r>
      <w:r>
        <w:rPr>
          <w:spacing w:val="-18"/>
        </w:rPr>
        <w:t xml:space="preserve"> </w:t>
      </w:r>
      <w:r>
        <w:t>counterfactual.</w:t>
      </w:r>
    </w:p>
    <w:p w14:paraId="1D61B08D" w14:textId="77777777" w:rsidR="00A663F1" w:rsidRDefault="00E46EDB">
      <w:pPr>
        <w:pStyle w:val="ListParagraph"/>
        <w:numPr>
          <w:ilvl w:val="1"/>
          <w:numId w:val="9"/>
        </w:numPr>
        <w:tabs>
          <w:tab w:val="left" w:pos="1692"/>
          <w:tab w:val="left" w:pos="1693"/>
        </w:tabs>
        <w:spacing w:before="119"/>
        <w:ind w:right="267"/>
      </w:pPr>
      <w:r>
        <w:t>Debt advice agencies suggested that debt advisers are paid an average of between £14 and £19 per hour. The activities that will be required under Breathing Space in addition to those that are required in the baseline scenario are listed below. Debt advisers estimated that they would take between 23 and 41 minutes in</w:t>
      </w:r>
      <w:r>
        <w:rPr>
          <w:spacing w:val="-6"/>
        </w:rPr>
        <w:t xml:space="preserve"> </w:t>
      </w:r>
      <w:r>
        <w:t>total.</w:t>
      </w:r>
    </w:p>
    <w:p w14:paraId="47BED3E9" w14:textId="77777777" w:rsidR="00A663F1" w:rsidRDefault="00E46EDB">
      <w:pPr>
        <w:pStyle w:val="ListParagraph"/>
        <w:numPr>
          <w:ilvl w:val="2"/>
          <w:numId w:val="9"/>
        </w:numPr>
        <w:tabs>
          <w:tab w:val="left" w:pos="1693"/>
        </w:tabs>
        <w:ind w:left="1692" w:hanging="721"/>
      </w:pPr>
      <w:r>
        <w:t>Assessing eligibility for Breathing</w:t>
      </w:r>
      <w:r>
        <w:rPr>
          <w:spacing w:val="1"/>
        </w:rPr>
        <w:t xml:space="preserve"> </w:t>
      </w:r>
      <w:r>
        <w:t>Space</w:t>
      </w:r>
    </w:p>
    <w:p w14:paraId="7ED45E71" w14:textId="77777777" w:rsidR="00A663F1" w:rsidRDefault="00E46EDB">
      <w:pPr>
        <w:pStyle w:val="ListParagraph"/>
        <w:numPr>
          <w:ilvl w:val="2"/>
          <w:numId w:val="9"/>
        </w:numPr>
        <w:tabs>
          <w:tab w:val="left" w:pos="1693"/>
        </w:tabs>
        <w:spacing w:before="119"/>
        <w:ind w:left="1692" w:hanging="721"/>
      </w:pPr>
      <w:r>
        <w:t>Registering debtors on the Breathing Space digital</w:t>
      </w:r>
      <w:r>
        <w:rPr>
          <w:spacing w:val="-5"/>
        </w:rPr>
        <w:t xml:space="preserve"> </w:t>
      </w:r>
      <w:r>
        <w:t>portal</w:t>
      </w:r>
    </w:p>
    <w:p w14:paraId="34381C39" w14:textId="77777777" w:rsidR="00A663F1" w:rsidRDefault="00E46EDB">
      <w:pPr>
        <w:pStyle w:val="ListParagraph"/>
        <w:numPr>
          <w:ilvl w:val="2"/>
          <w:numId w:val="9"/>
        </w:numPr>
        <w:tabs>
          <w:tab w:val="left" w:pos="1693"/>
        </w:tabs>
        <w:spacing w:before="122"/>
        <w:ind w:left="1692" w:hanging="721"/>
      </w:pPr>
      <w:r>
        <w:t>Administering a check on debtor eligibility at the 30-day</w:t>
      </w:r>
      <w:r>
        <w:rPr>
          <w:spacing w:val="-5"/>
        </w:rPr>
        <w:t xml:space="preserve"> </w:t>
      </w:r>
      <w:r>
        <w:t>point</w:t>
      </w:r>
    </w:p>
    <w:p w14:paraId="679F8441" w14:textId="77777777" w:rsidR="00A663F1" w:rsidRDefault="00E46EDB">
      <w:pPr>
        <w:pStyle w:val="ListParagraph"/>
        <w:numPr>
          <w:ilvl w:val="2"/>
          <w:numId w:val="9"/>
        </w:numPr>
        <w:tabs>
          <w:tab w:val="left" w:pos="1693"/>
        </w:tabs>
        <w:spacing w:before="119"/>
        <w:ind w:left="1692" w:hanging="721"/>
      </w:pPr>
      <w:r>
        <w:t>Removing debtors from the Breathing Space</w:t>
      </w:r>
      <w:r>
        <w:rPr>
          <w:spacing w:val="-3"/>
        </w:rPr>
        <w:t xml:space="preserve"> </w:t>
      </w:r>
      <w:r>
        <w:t>portal</w:t>
      </w:r>
    </w:p>
    <w:p w14:paraId="6DA1B1BD" w14:textId="77777777" w:rsidR="00A663F1" w:rsidRDefault="00E46EDB">
      <w:pPr>
        <w:pStyle w:val="ListParagraph"/>
        <w:numPr>
          <w:ilvl w:val="2"/>
          <w:numId w:val="9"/>
        </w:numPr>
        <w:tabs>
          <w:tab w:val="left" w:pos="1693"/>
        </w:tabs>
        <w:spacing w:before="121"/>
        <w:ind w:left="1692" w:hanging="721"/>
      </w:pPr>
      <w:r>
        <w:t>Informing debtors of their removal from the Breathing Space</w:t>
      </w:r>
      <w:r>
        <w:rPr>
          <w:spacing w:val="-6"/>
        </w:rPr>
        <w:t xml:space="preserve"> </w:t>
      </w:r>
      <w:r>
        <w:t>portal</w:t>
      </w:r>
    </w:p>
    <w:p w14:paraId="6F2C90B9" w14:textId="77777777" w:rsidR="00A663F1" w:rsidRDefault="00E46EDB">
      <w:pPr>
        <w:pStyle w:val="ListParagraph"/>
        <w:numPr>
          <w:ilvl w:val="1"/>
          <w:numId w:val="9"/>
        </w:numPr>
        <w:tabs>
          <w:tab w:val="left" w:pos="1692"/>
          <w:tab w:val="left" w:pos="1693"/>
        </w:tabs>
        <w:ind w:right="169"/>
      </w:pPr>
      <w:r>
        <w:t xml:space="preserve">The 30-day check will not be burdensome in </w:t>
      </w:r>
      <w:proofErr w:type="gramStart"/>
      <w:r>
        <w:t>the majority of</w:t>
      </w:r>
      <w:proofErr w:type="gramEnd"/>
      <w:r>
        <w:t xml:space="preserve"> cases. The debt adviser will have to confirm that the debtor has continued to engage in debt advice – information which should be readily available to them – and will only need to investigate whether a debtor has contravened other ongoing Breathing Space eligibility criteria where a creditor has proactively reported to them that this is the case. It is expected that the 30-day check will be administered in 10% of</w:t>
      </w:r>
      <w:r>
        <w:rPr>
          <w:spacing w:val="2"/>
        </w:rPr>
        <w:t xml:space="preserve"> </w:t>
      </w:r>
      <w:r>
        <w:t>cases.</w:t>
      </w:r>
    </w:p>
    <w:p w14:paraId="1BB90D29" w14:textId="77777777" w:rsidR="00A663F1" w:rsidRDefault="00E46EDB">
      <w:pPr>
        <w:pStyle w:val="ListParagraph"/>
        <w:numPr>
          <w:ilvl w:val="1"/>
          <w:numId w:val="9"/>
        </w:numPr>
        <w:tabs>
          <w:tab w:val="left" w:pos="1692"/>
          <w:tab w:val="left" w:pos="1693"/>
        </w:tabs>
        <w:spacing w:before="119"/>
        <w:ind w:right="194"/>
      </w:pPr>
      <w:r>
        <w:t xml:space="preserve">This suggests a debt advice provider administration cost of £5m in 2021-22, rising to £8m in 2030-31. This cost </w:t>
      </w:r>
      <w:proofErr w:type="gramStart"/>
      <w:r>
        <w:t>is considered to be</w:t>
      </w:r>
      <w:proofErr w:type="gramEnd"/>
      <w:r>
        <w:t xml:space="preserve"> direct as it arises automatically: compliance will be statutory.</w:t>
      </w:r>
    </w:p>
    <w:p w14:paraId="253A8C6D" w14:textId="77777777" w:rsidR="00A663F1" w:rsidRDefault="00E46EDB">
      <w:pPr>
        <w:pStyle w:val="Heading1"/>
        <w:numPr>
          <w:ilvl w:val="0"/>
          <w:numId w:val="9"/>
        </w:numPr>
        <w:tabs>
          <w:tab w:val="left" w:pos="613"/>
        </w:tabs>
        <w:spacing w:before="122"/>
      </w:pPr>
      <w:r>
        <w:t>Regulatory Breathing Space – costs – systems changes – option</w:t>
      </w:r>
      <w:r>
        <w:rPr>
          <w:spacing w:val="-6"/>
        </w:rPr>
        <w:t xml:space="preserve"> </w:t>
      </w:r>
      <w:r>
        <w:t>3</w:t>
      </w:r>
    </w:p>
    <w:p w14:paraId="522A03B8" w14:textId="77777777" w:rsidR="00A663F1" w:rsidRDefault="00E46EDB">
      <w:pPr>
        <w:pStyle w:val="ListParagraph"/>
        <w:numPr>
          <w:ilvl w:val="1"/>
          <w:numId w:val="9"/>
        </w:numPr>
        <w:tabs>
          <w:tab w:val="left" w:pos="1692"/>
          <w:tab w:val="left" w:pos="1693"/>
        </w:tabs>
        <w:spacing w:before="119"/>
        <w:ind w:right="135"/>
      </w:pPr>
      <w:r>
        <w:t xml:space="preserve">Where creditors see </w:t>
      </w:r>
      <w:proofErr w:type="gramStart"/>
      <w:r>
        <w:t>a large number of</w:t>
      </w:r>
      <w:proofErr w:type="gramEnd"/>
      <w:r>
        <w:t xml:space="preserve"> their clients enter Breathing Space, it may be more economical for them to invest in IT systems changes than to comply with the policy purely via administrative workaround. Likewise, the largest debt advice agencies may choose to make IT systems changes to reduce their administrative</w:t>
      </w:r>
      <w:r>
        <w:rPr>
          <w:spacing w:val="-7"/>
        </w:rPr>
        <w:t xml:space="preserve"> </w:t>
      </w:r>
      <w:r>
        <w:t>burden.</w:t>
      </w:r>
    </w:p>
    <w:p w14:paraId="30DD86AE" w14:textId="77777777" w:rsidR="00A663F1" w:rsidRDefault="00A663F1">
      <w:pPr>
        <w:sectPr w:rsidR="00A663F1">
          <w:pgSz w:w="11910" w:h="16850"/>
          <w:pgMar w:top="600" w:right="720" w:bottom="1020" w:left="600" w:header="0" w:footer="761" w:gutter="0"/>
          <w:cols w:space="720"/>
        </w:sectPr>
      </w:pPr>
    </w:p>
    <w:p w14:paraId="3D849D13" w14:textId="77777777" w:rsidR="00A663F1" w:rsidRDefault="00E46EDB">
      <w:pPr>
        <w:pStyle w:val="ListParagraph"/>
        <w:numPr>
          <w:ilvl w:val="1"/>
          <w:numId w:val="9"/>
        </w:numPr>
        <w:tabs>
          <w:tab w:val="left" w:pos="1692"/>
          <w:tab w:val="left" w:pos="1693"/>
        </w:tabs>
        <w:spacing w:before="78"/>
        <w:ind w:right="277"/>
      </w:pPr>
      <w:r>
        <w:lastRenderedPageBreak/>
        <w:t>Ahead of conducting further scoping work, creditors struggled to estimate the costs of changing their systems in order to comply with Breathing Space. The best available estimate was that systems changes would cost between £60,000 to £85,000. Given the uncertainty, only the upper estimate has been used in the calculations that follow. To account for the risk of cost escalation, the upper estimate of costs has been uplifted by 20% to account for optimism bias, leaving it at</w:t>
      </w:r>
      <w:r>
        <w:rPr>
          <w:spacing w:val="-1"/>
        </w:rPr>
        <w:t xml:space="preserve"> </w:t>
      </w:r>
      <w:r>
        <w:t>£102,000.</w:t>
      </w:r>
    </w:p>
    <w:p w14:paraId="238AAFE8" w14:textId="77777777" w:rsidR="00A663F1" w:rsidRDefault="00E46EDB">
      <w:pPr>
        <w:pStyle w:val="ListParagraph"/>
        <w:numPr>
          <w:ilvl w:val="1"/>
          <w:numId w:val="9"/>
        </w:numPr>
        <w:tabs>
          <w:tab w:val="left" w:pos="1692"/>
          <w:tab w:val="left" w:pos="1693"/>
        </w:tabs>
        <w:spacing w:before="122"/>
        <w:ind w:right="170"/>
      </w:pPr>
      <w:r>
        <w:t>Firms are only expected to make systems changes where it is economical to do so. This will be a product of the number of debtors with debts owed to a firm who enter Breathing Space, which will, in turn, be a product of market concentration. This may not be the case for firms who, by virtue of their business model, depend on automation and for whom administrative workaround is either undesirable – for example where significant restructuring would be required, such as the hire of additional staff – or undeliverable – for example where the business model depends on rapid decision making. Sector-scale data was unavailable on the proportion of consumer lenders who depend on automation and so who might make systems changes where administrative workaround would nonetheless be more</w:t>
      </w:r>
      <w:r>
        <w:rPr>
          <w:spacing w:val="-6"/>
        </w:rPr>
        <w:t xml:space="preserve"> </w:t>
      </w:r>
      <w:r>
        <w:t>cost-effective.</w:t>
      </w:r>
    </w:p>
    <w:p w14:paraId="1A8B0E22" w14:textId="77777777" w:rsidR="00A663F1" w:rsidRDefault="00E46EDB">
      <w:pPr>
        <w:pStyle w:val="ListParagraph"/>
        <w:numPr>
          <w:ilvl w:val="1"/>
          <w:numId w:val="9"/>
        </w:numPr>
        <w:tabs>
          <w:tab w:val="left" w:pos="1692"/>
          <w:tab w:val="left" w:pos="1693"/>
        </w:tabs>
        <w:spacing w:before="118"/>
        <w:ind w:right="255"/>
      </w:pPr>
      <w:r>
        <w:t>190 firms own 99% of outstanding consumer credit.</w:t>
      </w:r>
      <w:r>
        <w:rPr>
          <w:vertAlign w:val="superscript"/>
        </w:rPr>
        <w:t>23</w:t>
      </w:r>
      <w:r>
        <w:t xml:space="preserve"> It is assumed that only these firms make systems changes. The remaining c.2,600 firms who own 1% of outstanding consumer credit are likely to comply with Breathing Space via administrative workaround, which is likely to be more economical. In addition to these financial services creditors, representative organisations estimated that up to 60 energy firms and 25 water firms could need to make systems</w:t>
      </w:r>
      <w:r>
        <w:rPr>
          <w:spacing w:val="-1"/>
        </w:rPr>
        <w:t xml:space="preserve"> </w:t>
      </w:r>
      <w:r>
        <w:t>changes.</w:t>
      </w:r>
    </w:p>
    <w:p w14:paraId="63A9E054" w14:textId="77777777" w:rsidR="00A663F1" w:rsidRDefault="00E46EDB">
      <w:pPr>
        <w:pStyle w:val="ListParagraph"/>
        <w:numPr>
          <w:ilvl w:val="1"/>
          <w:numId w:val="9"/>
        </w:numPr>
        <w:tabs>
          <w:tab w:val="left" w:pos="1692"/>
          <w:tab w:val="left" w:pos="1693"/>
        </w:tabs>
        <w:spacing w:before="122"/>
        <w:ind w:right="267"/>
      </w:pPr>
      <w:r>
        <w:t xml:space="preserve">Some systems change costs will fall on the public sector. </w:t>
      </w:r>
      <w:proofErr w:type="gramStart"/>
      <w:r>
        <w:t>In particular, there</w:t>
      </w:r>
      <w:proofErr w:type="gramEnd"/>
      <w:r>
        <w:t xml:space="preserve"> will be costs associated with the development of a central digital portal that will act as an interface between debt advisers and creditors to facilitate implementation of Breathing</w:t>
      </w:r>
      <w:r>
        <w:rPr>
          <w:spacing w:val="-4"/>
        </w:rPr>
        <w:t xml:space="preserve"> </w:t>
      </w:r>
      <w:r>
        <w:t>Space.</w:t>
      </w:r>
    </w:p>
    <w:p w14:paraId="070FD647" w14:textId="77777777" w:rsidR="00A663F1" w:rsidRDefault="00E46EDB">
      <w:pPr>
        <w:pStyle w:val="ListParagraph"/>
        <w:numPr>
          <w:ilvl w:val="1"/>
          <w:numId w:val="9"/>
        </w:numPr>
        <w:tabs>
          <w:tab w:val="left" w:pos="1692"/>
          <w:tab w:val="left" w:pos="1693"/>
        </w:tabs>
        <w:ind w:right="243"/>
      </w:pPr>
      <w:r>
        <w:t>Engagement with debt advice agencies suggests that only the largest nine debt advice agencies will need to make systems changes to deliver Breathing Space. For the approximately 900 smaller debt advice agencies, administrative workarounds are likely to be more economical than making systems changes. Indeed, in some cases debt advice agencies may have no bespoke systems to</w:t>
      </w:r>
      <w:r>
        <w:rPr>
          <w:spacing w:val="-7"/>
        </w:rPr>
        <w:t xml:space="preserve"> </w:t>
      </w:r>
      <w:r>
        <w:t>change.</w:t>
      </w:r>
    </w:p>
    <w:p w14:paraId="059C1A85" w14:textId="77777777" w:rsidR="00A663F1" w:rsidRDefault="00E46EDB">
      <w:pPr>
        <w:pStyle w:val="ListParagraph"/>
        <w:numPr>
          <w:ilvl w:val="1"/>
          <w:numId w:val="9"/>
        </w:numPr>
        <w:tabs>
          <w:tab w:val="left" w:pos="1692"/>
          <w:tab w:val="left" w:pos="1693"/>
        </w:tabs>
        <w:ind w:right="416"/>
      </w:pPr>
      <w:r>
        <w:t>This suggests that a total of 275 private sector creditors and 10 third sector debt advice agencies will need to make systems changes, at a cost of £102,000 per</w:t>
      </w:r>
      <w:r>
        <w:rPr>
          <w:spacing w:val="-8"/>
        </w:rPr>
        <w:t xml:space="preserve"> </w:t>
      </w:r>
      <w:r>
        <w:t>firm.</w:t>
      </w:r>
    </w:p>
    <w:p w14:paraId="50B200AF" w14:textId="77777777" w:rsidR="00A663F1" w:rsidRDefault="00E46EDB">
      <w:pPr>
        <w:pStyle w:val="ListParagraph"/>
        <w:numPr>
          <w:ilvl w:val="1"/>
          <w:numId w:val="9"/>
        </w:numPr>
        <w:tabs>
          <w:tab w:val="left" w:pos="1692"/>
          <w:tab w:val="left" w:pos="1693"/>
        </w:tabs>
        <w:ind w:right="155"/>
      </w:pPr>
      <w:r>
        <w:t>The systems change cost is therefore taken to be the cost of systems change multiplied by the number of firms making systems changes. 285 private and third sector firms are expected to make systems changes costing £102,000 each, at a present value cost of</w:t>
      </w:r>
      <w:r>
        <w:rPr>
          <w:spacing w:val="-9"/>
        </w:rPr>
        <w:t xml:space="preserve"> </w:t>
      </w:r>
      <w:r>
        <w:t>£29.1m.</w:t>
      </w:r>
    </w:p>
    <w:p w14:paraId="57D12565" w14:textId="77777777" w:rsidR="00A663F1" w:rsidRDefault="00E46EDB">
      <w:pPr>
        <w:pStyle w:val="ListParagraph"/>
        <w:numPr>
          <w:ilvl w:val="1"/>
          <w:numId w:val="9"/>
        </w:numPr>
        <w:tabs>
          <w:tab w:val="left" w:pos="1692"/>
          <w:tab w:val="left" w:pos="1693"/>
        </w:tabs>
        <w:ind w:right="181"/>
      </w:pPr>
      <w:r>
        <w:t>In addition to the cost of private and third sector system changes, a small number of large public sector creditors are expected to make systems changes. The costs to public sector creditors of making systems changes is assumed to be the same as that which falls on private sector creditors. Work within the public sector is being undertaken to a longer timeline to reach more bespoke assessments of public sector system change</w:t>
      </w:r>
      <w:r>
        <w:rPr>
          <w:spacing w:val="-1"/>
        </w:rPr>
        <w:t xml:space="preserve"> </w:t>
      </w:r>
      <w:r>
        <w:t>costs.</w:t>
      </w:r>
    </w:p>
    <w:p w14:paraId="0D947C25" w14:textId="77777777" w:rsidR="00A663F1" w:rsidRDefault="00E46EDB">
      <w:pPr>
        <w:pStyle w:val="ListParagraph"/>
        <w:numPr>
          <w:ilvl w:val="1"/>
          <w:numId w:val="9"/>
        </w:numPr>
        <w:tabs>
          <w:tab w:val="left" w:pos="1692"/>
          <w:tab w:val="left" w:pos="1693"/>
        </w:tabs>
        <w:ind w:right="874"/>
      </w:pPr>
      <w:r>
        <w:t xml:space="preserve">This cost </w:t>
      </w:r>
      <w:proofErr w:type="gramStart"/>
      <w:r>
        <w:t>is considered to be</w:t>
      </w:r>
      <w:proofErr w:type="gramEnd"/>
      <w:r>
        <w:t xml:space="preserve"> indirect as systems changes will only be made where creditors or debt advice providers choose to make them. They will not be an automatic consequence of the</w:t>
      </w:r>
      <w:r>
        <w:rPr>
          <w:spacing w:val="-2"/>
        </w:rPr>
        <w:t xml:space="preserve"> </w:t>
      </w:r>
      <w:r>
        <w:t>policy.</w:t>
      </w:r>
    </w:p>
    <w:p w14:paraId="146B52DD" w14:textId="77777777" w:rsidR="00A663F1" w:rsidRDefault="00E46EDB">
      <w:pPr>
        <w:pStyle w:val="Heading1"/>
        <w:numPr>
          <w:ilvl w:val="0"/>
          <w:numId w:val="9"/>
        </w:numPr>
        <w:tabs>
          <w:tab w:val="left" w:pos="613"/>
        </w:tabs>
        <w:spacing w:before="120"/>
      </w:pPr>
      <w:r>
        <w:t xml:space="preserve">Regulatory Breathing Space – costs – </w:t>
      </w:r>
      <w:r>
        <w:rPr>
          <w:spacing w:val="-3"/>
        </w:rPr>
        <w:t xml:space="preserve">AMHP </w:t>
      </w:r>
      <w:r>
        <w:t>administration – option</w:t>
      </w:r>
      <w:r>
        <w:rPr>
          <w:spacing w:val="-5"/>
        </w:rPr>
        <w:t xml:space="preserve"> </w:t>
      </w:r>
      <w:r>
        <w:t>3</w:t>
      </w:r>
    </w:p>
    <w:p w14:paraId="74569D55" w14:textId="77777777" w:rsidR="00A663F1" w:rsidRDefault="00E46EDB">
      <w:pPr>
        <w:pStyle w:val="ListParagraph"/>
        <w:numPr>
          <w:ilvl w:val="1"/>
          <w:numId w:val="9"/>
        </w:numPr>
        <w:tabs>
          <w:tab w:val="left" w:pos="1692"/>
          <w:tab w:val="left" w:pos="1693"/>
        </w:tabs>
        <w:spacing w:before="121"/>
        <w:ind w:right="377"/>
      </w:pPr>
      <w:r>
        <w:t xml:space="preserve">Breathing Space will offer an alternative access mechanism for people receiving mental health crisis treatment. This group will be entered into the protections of Breathing Space by a debt adviser </w:t>
      </w:r>
      <w:proofErr w:type="gramStart"/>
      <w:r>
        <w:t>on the basis of</w:t>
      </w:r>
      <w:proofErr w:type="gramEnd"/>
      <w:r>
        <w:t xml:space="preserve"> an application which includes evidence from an Approved Mental Health Professional (AMHP) that the individual is receiving mental health crisis</w:t>
      </w:r>
      <w:r>
        <w:rPr>
          <w:spacing w:val="-21"/>
        </w:rPr>
        <w:t xml:space="preserve"> </w:t>
      </w:r>
      <w:r>
        <w:t>treatment.</w:t>
      </w:r>
    </w:p>
    <w:p w14:paraId="39DEB6CC" w14:textId="77777777" w:rsidR="00A663F1" w:rsidRDefault="00E46EDB">
      <w:pPr>
        <w:pStyle w:val="ListParagraph"/>
        <w:numPr>
          <w:ilvl w:val="1"/>
          <w:numId w:val="9"/>
        </w:numPr>
        <w:tabs>
          <w:tab w:val="left" w:pos="1692"/>
          <w:tab w:val="left" w:pos="1693"/>
        </w:tabs>
        <w:spacing w:before="119"/>
        <w:ind w:right="239"/>
      </w:pPr>
      <w:r>
        <w:t>This will introduce a new burden on the time of AMHPs, at an administrative cost. This cost will be a factor of the average hourly earnings of AMHPs, the amount of time taken to</w:t>
      </w:r>
      <w:r>
        <w:rPr>
          <w:spacing w:val="-29"/>
        </w:rPr>
        <w:t xml:space="preserve"> </w:t>
      </w:r>
      <w:r>
        <w:t>enter a patient into Breathing Space and then remove them from it, and the number of patients who will enter the protections of Breathing Space via this</w:t>
      </w:r>
      <w:r>
        <w:rPr>
          <w:spacing w:val="-2"/>
        </w:rPr>
        <w:t xml:space="preserve"> </w:t>
      </w:r>
      <w:r>
        <w:t>avenue.</w:t>
      </w:r>
    </w:p>
    <w:p w14:paraId="30177FC2" w14:textId="214D56BC" w:rsidR="00A663F1" w:rsidRDefault="00E46EDB">
      <w:pPr>
        <w:pStyle w:val="BodyText"/>
        <w:spacing w:before="8"/>
        <w:ind w:left="0" w:firstLine="0"/>
        <w:rPr>
          <w:sz w:val="26"/>
        </w:rPr>
      </w:pPr>
      <w:r>
        <w:rPr>
          <w:noProof/>
        </w:rPr>
        <mc:AlternateContent>
          <mc:Choice Requires="wps">
            <w:drawing>
              <wp:anchor distT="0" distB="0" distL="0" distR="0" simplePos="0" relativeHeight="487593472" behindDoc="1" locked="0" layoutInCell="1" allowOverlap="1" wp14:anchorId="0A2EA209" wp14:editId="2900DDE5">
                <wp:simplePos x="0" y="0"/>
                <wp:positionH relativeFrom="page">
                  <wp:posOffset>541020</wp:posOffset>
                </wp:positionH>
                <wp:positionV relativeFrom="paragraph">
                  <wp:posOffset>220345</wp:posOffset>
                </wp:positionV>
                <wp:extent cx="1829435" cy="7620"/>
                <wp:effectExtent l="0" t="0" r="0" b="0"/>
                <wp:wrapTopAndBottom/>
                <wp:docPr id="18"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943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DD3B13" id="Rectangle 13" o:spid="_x0000_s1026" style="position:absolute;margin-left:42.6pt;margin-top:17.35pt;width:144.05pt;height:.6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" fillcolor="black" stroked="f">
                <w10:wrap type="topAndBottom" anchorx="page"/>
              </v:rect>
            </w:pict>
          </mc:Fallback>
        </mc:AlternateContent>
      </w:r>
    </w:p>
    <w:p w14:paraId="108D128A" w14:textId="77777777" w:rsidR="00A663F1" w:rsidRDefault="00E46EDB">
      <w:pPr>
        <w:pStyle w:val="ListParagraph"/>
        <w:numPr>
          <w:ilvl w:val="0"/>
          <w:numId w:val="5"/>
        </w:numPr>
        <w:tabs>
          <w:tab w:val="left" w:pos="452"/>
        </w:tabs>
        <w:spacing w:before="67" w:line="256" w:lineRule="auto"/>
        <w:ind w:right="969" w:firstLine="0"/>
        <w:rPr>
          <w:sz w:val="16"/>
        </w:rPr>
      </w:pPr>
      <w:r>
        <w:rPr>
          <w:sz w:val="16"/>
        </w:rPr>
        <w:t>FCA analysis of data collected via the CCR003: Lenders regulatory return for reporting periods ending June 18 – May 19. Clearly misreported data were corrected for this</w:t>
      </w:r>
      <w:r>
        <w:rPr>
          <w:spacing w:val="-3"/>
          <w:sz w:val="16"/>
        </w:rPr>
        <w:t xml:space="preserve"> </w:t>
      </w:r>
      <w:r>
        <w:rPr>
          <w:sz w:val="16"/>
        </w:rPr>
        <w:t>analysis.</w:t>
      </w:r>
    </w:p>
    <w:p w14:paraId="0F0D028A" w14:textId="77777777" w:rsidR="00A663F1" w:rsidRDefault="00A663F1">
      <w:pPr>
        <w:spacing w:line="256" w:lineRule="auto"/>
        <w:rPr>
          <w:sz w:val="16"/>
        </w:rPr>
        <w:sectPr w:rsidR="00A663F1">
          <w:pgSz w:w="11910" w:h="16850"/>
          <w:pgMar w:top="600" w:right="720" w:bottom="960" w:left="600" w:header="0" w:footer="761" w:gutter="0"/>
          <w:cols w:space="720"/>
        </w:sectPr>
      </w:pPr>
    </w:p>
    <w:p w14:paraId="012729C6" w14:textId="77777777" w:rsidR="00A663F1" w:rsidRDefault="00E46EDB">
      <w:pPr>
        <w:pStyle w:val="ListParagraph"/>
        <w:numPr>
          <w:ilvl w:val="1"/>
          <w:numId w:val="9"/>
        </w:numPr>
        <w:tabs>
          <w:tab w:val="left" w:pos="1692"/>
          <w:tab w:val="left" w:pos="1693"/>
        </w:tabs>
        <w:spacing w:before="78"/>
        <w:ind w:right="512"/>
      </w:pPr>
      <w:r>
        <w:lastRenderedPageBreak/>
        <w:t>It is forecast that 27,500 people will enter Breathing Space via this avenue in 2021-22, rising to 54,000 by</w:t>
      </w:r>
      <w:r>
        <w:rPr>
          <w:spacing w:val="-7"/>
        </w:rPr>
        <w:t xml:space="preserve"> </w:t>
      </w:r>
      <w:r>
        <w:t>2030-31.</w:t>
      </w:r>
    </w:p>
    <w:p w14:paraId="567A48E6" w14:textId="77777777" w:rsidR="00A663F1" w:rsidRDefault="00E46EDB">
      <w:pPr>
        <w:pStyle w:val="ListParagraph"/>
        <w:numPr>
          <w:ilvl w:val="1"/>
          <w:numId w:val="9"/>
        </w:numPr>
        <w:tabs>
          <w:tab w:val="left" w:pos="1692"/>
          <w:tab w:val="left" w:pos="1693"/>
        </w:tabs>
        <w:spacing w:before="121"/>
        <w:ind w:right="289"/>
      </w:pPr>
      <w:r>
        <w:t>The Department for Health and Social Care (DHSC) estimate that the average hourly wage of an AMHP is £20.16. This is an approximation, as AMHP remuneration varies geographically and is not set centrally. Uplifted by 20.6% to account for non-wage labour costs, the average hourly cost of AMHP time rises to</w:t>
      </w:r>
      <w:r>
        <w:rPr>
          <w:spacing w:val="-7"/>
        </w:rPr>
        <w:t xml:space="preserve"> </w:t>
      </w:r>
      <w:r>
        <w:t>£24.32.</w:t>
      </w:r>
    </w:p>
    <w:p w14:paraId="2C4B93B2" w14:textId="77777777" w:rsidR="00A663F1" w:rsidRDefault="00E46EDB">
      <w:pPr>
        <w:pStyle w:val="ListParagraph"/>
        <w:numPr>
          <w:ilvl w:val="1"/>
          <w:numId w:val="9"/>
        </w:numPr>
        <w:tabs>
          <w:tab w:val="left" w:pos="1692"/>
          <w:tab w:val="left" w:pos="1693"/>
        </w:tabs>
        <w:spacing w:before="121"/>
        <w:ind w:right="161"/>
      </w:pPr>
      <w:r>
        <w:t>The specific form that will be used by AMHPs to enter patients into the protections of Breathing Space has not yet been developed. DHSC identified a suitable proxy form as Form A2 under Regulation 4(1)(a)(ii) of the Mental Health Act 1983. This form is used by AMHPs to admit a patient for assessment.</w:t>
      </w:r>
      <w:r>
        <w:rPr>
          <w:vertAlign w:val="superscript"/>
        </w:rPr>
        <w:t>24</w:t>
      </w:r>
      <w:r>
        <w:t xml:space="preserve"> DHSC estimated that it takes AMHPs 15 minutes to process this form.</w:t>
      </w:r>
    </w:p>
    <w:p w14:paraId="6A6DE76E" w14:textId="77777777" w:rsidR="00A663F1" w:rsidRDefault="00E46EDB">
      <w:pPr>
        <w:pStyle w:val="ListParagraph"/>
        <w:numPr>
          <w:ilvl w:val="1"/>
          <w:numId w:val="9"/>
        </w:numPr>
        <w:tabs>
          <w:tab w:val="left" w:pos="1692"/>
          <w:tab w:val="left" w:pos="1693"/>
        </w:tabs>
        <w:ind w:right="182"/>
      </w:pPr>
      <w:r>
        <w:t>In addition to entering patients into the Breathing Space alternative access mechanism, mental health professionals will need to inform debt advisers when treatment ends so that the breathing space can come to an end. It is estimated that this will take half as long as processing the initial entry. This suggests a total time requirement of 22.5 minutes per patient entering the mechanism. Per patient, this suggests that the administrative cost to AMHPs will be 37.5% of an hour’s labour costs, which equates to an administrative cost of £9.12 per</w:t>
      </w:r>
      <w:r>
        <w:rPr>
          <w:spacing w:val="-18"/>
        </w:rPr>
        <w:t xml:space="preserve"> </w:t>
      </w:r>
      <w:r>
        <w:t>patient.</w:t>
      </w:r>
    </w:p>
    <w:p w14:paraId="15546A03" w14:textId="77777777" w:rsidR="00A663F1" w:rsidRDefault="00E46EDB">
      <w:pPr>
        <w:pStyle w:val="ListParagraph"/>
        <w:numPr>
          <w:ilvl w:val="1"/>
          <w:numId w:val="9"/>
        </w:numPr>
        <w:tabs>
          <w:tab w:val="left" w:pos="1692"/>
          <w:tab w:val="left" w:pos="1693"/>
        </w:tabs>
        <w:spacing w:before="119"/>
        <w:ind w:left="1692" w:hanging="1081"/>
      </w:pPr>
      <w:r>
        <w:t>Multiplied by the forecast caseload, this suggests a 2021-22 cost of £250,000, rising</w:t>
      </w:r>
      <w:r>
        <w:rPr>
          <w:spacing w:val="-18"/>
        </w:rPr>
        <w:t xml:space="preserve"> </w:t>
      </w:r>
      <w:r>
        <w:t>to</w:t>
      </w:r>
    </w:p>
    <w:p w14:paraId="6273C303" w14:textId="77777777" w:rsidR="00A663F1" w:rsidRDefault="00E46EDB">
      <w:pPr>
        <w:pStyle w:val="BodyText"/>
        <w:spacing w:before="2"/>
        <w:ind w:right="549" w:firstLine="0"/>
      </w:pPr>
      <w:r>
        <w:t>£500,000 by 2030-31. This is a cost to government and so features in the Net Present Value without a distinction being made as to whether the impact is direct or indirect.</w:t>
      </w:r>
    </w:p>
    <w:p w14:paraId="0E0D46B3" w14:textId="77777777" w:rsidR="00A663F1" w:rsidRDefault="00E46EDB">
      <w:pPr>
        <w:pStyle w:val="Heading1"/>
        <w:numPr>
          <w:ilvl w:val="0"/>
          <w:numId w:val="9"/>
        </w:numPr>
        <w:tabs>
          <w:tab w:val="left" w:pos="613"/>
        </w:tabs>
        <w:spacing w:before="118"/>
      </w:pPr>
      <w:r>
        <w:t>Regulatory Breathing Space – costs –</w:t>
      </w:r>
      <w:r>
        <w:rPr>
          <w:spacing w:val="-5"/>
        </w:rPr>
        <w:t xml:space="preserve"> </w:t>
      </w:r>
      <w:r>
        <w:t>familiarisation</w:t>
      </w:r>
    </w:p>
    <w:p w14:paraId="2E5DF721" w14:textId="77777777" w:rsidR="00A663F1" w:rsidRDefault="00E46EDB">
      <w:pPr>
        <w:pStyle w:val="ListParagraph"/>
        <w:numPr>
          <w:ilvl w:val="1"/>
          <w:numId w:val="9"/>
        </w:numPr>
        <w:tabs>
          <w:tab w:val="left" w:pos="1692"/>
          <w:tab w:val="left" w:pos="1693"/>
        </w:tabs>
        <w:spacing w:before="121"/>
        <w:ind w:right="180"/>
      </w:pPr>
      <w:r>
        <w:t>In order to comply with Breathing Space, firms will need to familiarise themselves with the relevant legislation and the accompanying guidance. Debt advice agencies will need to familiarise themselves with both the regulations and the government’s</w:t>
      </w:r>
      <w:r>
        <w:rPr>
          <w:spacing w:val="-12"/>
        </w:rPr>
        <w:t xml:space="preserve"> </w:t>
      </w:r>
      <w:r>
        <w:t>guidance.</w:t>
      </w:r>
    </w:p>
    <w:p w14:paraId="65DE6602" w14:textId="77777777" w:rsidR="00A663F1" w:rsidRDefault="00E46EDB">
      <w:pPr>
        <w:pStyle w:val="ListParagraph"/>
        <w:numPr>
          <w:ilvl w:val="1"/>
          <w:numId w:val="9"/>
        </w:numPr>
        <w:tabs>
          <w:tab w:val="left" w:pos="1692"/>
          <w:tab w:val="left" w:pos="1693"/>
        </w:tabs>
        <w:ind w:right="166"/>
      </w:pPr>
      <w:r>
        <w:t>The costs of undertaking this familiarisation activity will vary between small and micro firms and debt advice agencies and larger ones. Small and micro firms and debt advice agencies are expected to engage consultants to assist them in familiarising themselves with the legislation and guidance. Larger firms are expected to engage the services of in-house legal and compliance professionals. The mean hourly wages of in-house compliance staff are expected to be £22 per hour, while those of external consultants are expected to be £24 per hour.</w:t>
      </w:r>
      <w:r>
        <w:rPr>
          <w:vertAlign w:val="superscript"/>
        </w:rPr>
        <w:t>25</w:t>
      </w:r>
      <w:r>
        <w:t xml:space="preserve"> These wage costs are inflated by 20.6% to reflect non-wage labour costs. Small and micro firms and debt advice agencies are therefore expected to incur more significant familiarisation costs than larger ones. This is discussed in more detail in the small and micro business</w:t>
      </w:r>
      <w:r>
        <w:rPr>
          <w:spacing w:val="-19"/>
        </w:rPr>
        <w:t xml:space="preserve"> </w:t>
      </w:r>
      <w:r>
        <w:t>assessment</w:t>
      </w:r>
    </w:p>
    <w:p w14:paraId="1FFC3D56" w14:textId="77777777" w:rsidR="00A663F1" w:rsidRDefault="00E46EDB">
      <w:pPr>
        <w:pStyle w:val="ListParagraph"/>
        <w:numPr>
          <w:ilvl w:val="1"/>
          <w:numId w:val="9"/>
        </w:numPr>
        <w:tabs>
          <w:tab w:val="left" w:pos="1692"/>
          <w:tab w:val="left" w:pos="1693"/>
        </w:tabs>
        <w:spacing w:before="121"/>
        <w:ind w:right="232"/>
      </w:pPr>
      <w:r>
        <w:t xml:space="preserve">275 large firms and 2,600 small firms are expected to familiarise themselves with the Breathing Space regulations and guidance. This large </w:t>
      </w:r>
      <w:proofErr w:type="gramStart"/>
      <w:r>
        <w:t>firms</w:t>
      </w:r>
      <w:proofErr w:type="gramEnd"/>
      <w:r>
        <w:t xml:space="preserve"> figure is the sum of the 190 large consumer lenders, 60 large energy firms, and 25 large water firms. In addition, 909 large and small debt advice agencies are expected to familiarise themselves with the relevant regulations and guidance. In addition, a small number of large public-sector creditors, a small number of central government departments are expected to familiarise themselves with the relevant regulations and guidance. The costs for these bodies </w:t>
      </w:r>
      <w:proofErr w:type="gramStart"/>
      <w:r>
        <w:t>is</w:t>
      </w:r>
      <w:proofErr w:type="gramEnd"/>
      <w:r>
        <w:t xml:space="preserve"> assumed to be the same as for those of large</w:t>
      </w:r>
      <w:r>
        <w:rPr>
          <w:spacing w:val="-3"/>
        </w:rPr>
        <w:t xml:space="preserve"> </w:t>
      </w:r>
      <w:r>
        <w:t>creditors.</w:t>
      </w:r>
    </w:p>
    <w:p w14:paraId="2AC9C138" w14:textId="77777777" w:rsidR="00A663F1" w:rsidRDefault="00E46EDB">
      <w:pPr>
        <w:pStyle w:val="ListParagraph"/>
        <w:numPr>
          <w:ilvl w:val="1"/>
          <w:numId w:val="9"/>
        </w:numPr>
        <w:tabs>
          <w:tab w:val="left" w:pos="1692"/>
          <w:tab w:val="left" w:pos="1693"/>
        </w:tabs>
        <w:ind w:right="154"/>
      </w:pPr>
      <w:r>
        <w:t xml:space="preserve">Reading speed declines with text complexity. An assessment of the complexity of the Breathing Space regulations yields a Flesch-Kinkaid readability score that suggests a reading speed of 100 words per minute. The draft regulations are currently 7,352 words long. It is assumed that the </w:t>
      </w:r>
      <w:proofErr w:type="gramStart"/>
      <w:r>
        <w:t>as yet</w:t>
      </w:r>
      <w:proofErr w:type="gramEnd"/>
      <w:r>
        <w:t xml:space="preserve"> unwritten guidance accompanying the regulations will be as long as the original regulations. Taken together, this suggests a reading time of 2.45 hours. The familiarisation costs to creditors and debt advice agencies will therefore be £445,000 in 2021-22, with no ongoing costs. This cost </w:t>
      </w:r>
      <w:proofErr w:type="gramStart"/>
      <w:r>
        <w:t>is considered to be</w:t>
      </w:r>
      <w:proofErr w:type="gramEnd"/>
      <w:r>
        <w:t xml:space="preserve"> direct as it arises automatically: compliance will be</w:t>
      </w:r>
      <w:r>
        <w:rPr>
          <w:spacing w:val="-1"/>
        </w:rPr>
        <w:t xml:space="preserve"> </w:t>
      </w:r>
      <w:r>
        <w:t>statutory.</w:t>
      </w:r>
    </w:p>
    <w:p w14:paraId="190644EF" w14:textId="77777777" w:rsidR="00A663F1" w:rsidRDefault="00E46EDB">
      <w:pPr>
        <w:pStyle w:val="Heading1"/>
        <w:numPr>
          <w:ilvl w:val="0"/>
          <w:numId w:val="9"/>
        </w:numPr>
        <w:tabs>
          <w:tab w:val="left" w:pos="613"/>
        </w:tabs>
        <w:spacing w:before="119"/>
      </w:pPr>
      <w:r>
        <w:t>Statutory Breathing Space – Costs –</w:t>
      </w:r>
      <w:r>
        <w:rPr>
          <w:spacing w:val="-5"/>
        </w:rPr>
        <w:t xml:space="preserve"> </w:t>
      </w:r>
      <w:r>
        <w:t>Dissemination</w:t>
      </w:r>
    </w:p>
    <w:p w14:paraId="208F3228" w14:textId="77777777" w:rsidR="00A663F1" w:rsidRDefault="00A663F1">
      <w:pPr>
        <w:pStyle w:val="BodyText"/>
        <w:spacing w:before="0"/>
        <w:ind w:left="0" w:firstLine="0"/>
        <w:rPr>
          <w:b/>
          <w:sz w:val="20"/>
        </w:rPr>
      </w:pPr>
    </w:p>
    <w:p w14:paraId="3083FE40" w14:textId="5283E4E7" w:rsidR="00A663F1" w:rsidRDefault="00E46EDB">
      <w:pPr>
        <w:pStyle w:val="BodyText"/>
        <w:spacing w:before="2"/>
        <w:ind w:left="0" w:firstLine="0"/>
        <w:rPr>
          <w:b/>
          <w:sz w:val="17"/>
        </w:rPr>
      </w:pPr>
      <w:r>
        <w:rPr>
          <w:noProof/>
        </w:rPr>
        <mc:AlternateContent>
          <mc:Choice Requires="wps">
            <w:drawing>
              <wp:anchor distT="0" distB="0" distL="0" distR="0" simplePos="0" relativeHeight="487593984" behindDoc="1" locked="0" layoutInCell="1" allowOverlap="1" wp14:anchorId="3A0AEC11" wp14:editId="5075CE9B">
                <wp:simplePos x="0" y="0"/>
                <wp:positionH relativeFrom="page">
                  <wp:posOffset>541020</wp:posOffset>
                </wp:positionH>
                <wp:positionV relativeFrom="paragraph">
                  <wp:posOffset>150495</wp:posOffset>
                </wp:positionV>
                <wp:extent cx="1829435" cy="7620"/>
                <wp:effectExtent l="0" t="0" r="0" b="0"/>
                <wp:wrapTopAndBottom/>
                <wp:docPr id="17"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943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BC29EF" id="Rectangle 12" o:spid="_x0000_s1026" style="position:absolute;margin-left:42.6pt;margin-top:11.85pt;width:144.05pt;height:.6pt;z-index:-1572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" fillcolor="black" stroked="f">
                <w10:wrap type="topAndBottom" anchorx="page"/>
              </v:rect>
            </w:pict>
          </mc:Fallback>
        </mc:AlternateContent>
      </w:r>
    </w:p>
    <w:p w14:paraId="52BDAF4C" w14:textId="77777777" w:rsidR="00A663F1" w:rsidRDefault="00E46EDB">
      <w:pPr>
        <w:pStyle w:val="ListParagraph"/>
        <w:numPr>
          <w:ilvl w:val="0"/>
          <w:numId w:val="5"/>
        </w:numPr>
        <w:tabs>
          <w:tab w:val="left" w:pos="452"/>
        </w:tabs>
        <w:spacing w:before="67" w:line="256" w:lineRule="auto"/>
        <w:ind w:right="357" w:firstLine="0"/>
        <w:rPr>
          <w:sz w:val="16"/>
        </w:rPr>
      </w:pPr>
      <w:r>
        <w:rPr>
          <w:sz w:val="16"/>
        </w:rPr>
        <w:t xml:space="preserve">An image of the form is available here: </w:t>
      </w:r>
      <w:hyperlink r:id="rId41">
        <w:r>
          <w:rPr>
            <w:sz w:val="16"/>
            <w:u w:val="single"/>
          </w:rPr>
          <w:t>https://blogs.kcl.ac.uk/socialcareworkforce/wp-content/blogs.dir/7/files/2017/07/Form-A2-Section-2-</w:t>
        </w:r>
      </w:hyperlink>
      <w:hyperlink r:id="rId42">
        <w:r>
          <w:rPr>
            <w:sz w:val="16"/>
            <w:u w:val="single"/>
          </w:rPr>
          <w:t xml:space="preserve"> appl-by-AMHP-for-admiss-for-assess-page-001-724x1024.jpg</w:t>
        </w:r>
      </w:hyperlink>
    </w:p>
    <w:p w14:paraId="51FACC7A" w14:textId="77777777" w:rsidR="00A663F1" w:rsidRDefault="00E46EDB">
      <w:pPr>
        <w:spacing w:line="227" w:lineRule="exact"/>
        <w:ind w:left="252"/>
        <w:rPr>
          <w:sz w:val="16"/>
        </w:rPr>
      </w:pPr>
      <w:r>
        <w:rPr>
          <w:position w:val="8"/>
          <w:sz w:val="14"/>
        </w:rPr>
        <w:t>25</w:t>
      </w:r>
      <w:r>
        <w:rPr>
          <w:sz w:val="16"/>
        </w:rPr>
        <w:t>Office for National Statistics (2018) Annual Survey of Hours and Earnings, Table 4.5a – gross hourly pay by SIC07</w:t>
      </w:r>
    </w:p>
    <w:p w14:paraId="1D83444E" w14:textId="77777777" w:rsidR="00A663F1" w:rsidRDefault="00A663F1">
      <w:pPr>
        <w:spacing w:line="227" w:lineRule="exact"/>
        <w:rPr>
          <w:sz w:val="16"/>
        </w:rPr>
        <w:sectPr w:rsidR="00A663F1">
          <w:pgSz w:w="11910" w:h="16850"/>
          <w:pgMar w:top="600" w:right="720" w:bottom="960" w:left="600" w:header="0" w:footer="761" w:gutter="0"/>
          <w:cols w:space="720"/>
        </w:sectPr>
      </w:pPr>
    </w:p>
    <w:p w14:paraId="4FE031F6" w14:textId="77777777" w:rsidR="00A663F1" w:rsidRDefault="00E46EDB">
      <w:pPr>
        <w:pStyle w:val="ListParagraph"/>
        <w:numPr>
          <w:ilvl w:val="1"/>
          <w:numId w:val="9"/>
        </w:numPr>
        <w:tabs>
          <w:tab w:val="left" w:pos="1692"/>
          <w:tab w:val="left" w:pos="1693"/>
        </w:tabs>
        <w:spacing w:before="78"/>
        <w:ind w:right="254"/>
      </w:pPr>
      <w:r>
        <w:lastRenderedPageBreak/>
        <w:t>Debt advisers will need a deep understanding of the Breathing Space regulations and guidance in order to advise their clients effectively. The exact cost of gaining this understanding will vary at an individual scale, but debt advisers consulted as part of this Impact Assessment agreed that a day of face to face training supported by one hour of e-learning would be an effective means of disseminating awareness of Breathing Space to debt</w:t>
      </w:r>
      <w:r>
        <w:rPr>
          <w:spacing w:val="-6"/>
        </w:rPr>
        <w:t xml:space="preserve"> </w:t>
      </w:r>
      <w:r>
        <w:t>advisers.</w:t>
      </w:r>
    </w:p>
    <w:p w14:paraId="66E98B19" w14:textId="77777777" w:rsidR="00A663F1" w:rsidRDefault="00E46EDB">
      <w:pPr>
        <w:pStyle w:val="ListParagraph"/>
        <w:numPr>
          <w:ilvl w:val="1"/>
          <w:numId w:val="9"/>
        </w:numPr>
        <w:tabs>
          <w:tab w:val="left" w:pos="1692"/>
          <w:tab w:val="left" w:pos="1693"/>
        </w:tabs>
        <w:ind w:right="466"/>
      </w:pPr>
      <w:r>
        <w:t>One debt advice training provider suggested that the cost of developing an e-learning package would be £17,000. They suggested that the cost of accessing that learning would</w:t>
      </w:r>
      <w:r>
        <w:rPr>
          <w:spacing w:val="-26"/>
        </w:rPr>
        <w:t xml:space="preserve"> </w:t>
      </w:r>
      <w:r>
        <w:t>be</w:t>
      </w:r>
    </w:p>
    <w:p w14:paraId="288A2B08" w14:textId="77777777" w:rsidR="00A663F1" w:rsidRDefault="00E46EDB">
      <w:pPr>
        <w:pStyle w:val="BodyText"/>
        <w:spacing w:before="1"/>
        <w:ind w:right="280" w:firstLine="0"/>
      </w:pPr>
      <w:r>
        <w:t>£55 per debt advisor. In addition, they suggested that the cost of delivering face to face training would be £600 per group of twelve debt advisers.</w:t>
      </w:r>
    </w:p>
    <w:p w14:paraId="57A1896D" w14:textId="77777777" w:rsidR="00A663F1" w:rsidRDefault="00E46EDB">
      <w:pPr>
        <w:pStyle w:val="ListParagraph"/>
        <w:numPr>
          <w:ilvl w:val="1"/>
          <w:numId w:val="9"/>
        </w:numPr>
        <w:tabs>
          <w:tab w:val="left" w:pos="1692"/>
          <w:tab w:val="left" w:pos="1693"/>
        </w:tabs>
        <w:ind w:right="161"/>
      </w:pPr>
      <w:r>
        <w:t>Evidence shared by a debt advice organisation suggests that there are approximately 900 professional debt advice agencies in England and Wales. National scale data is not collected on the number of debt advisers, but one large debt advice training provider estimated that a central estimate for the number of debt advisers would be 7,300. This estimate is based on that provider’s assessment of their market share, which excludes the largest debt advice</w:t>
      </w:r>
      <w:r>
        <w:rPr>
          <w:spacing w:val="-25"/>
        </w:rPr>
        <w:t xml:space="preserve"> </w:t>
      </w:r>
      <w:r>
        <w:t>agencies.</w:t>
      </w:r>
    </w:p>
    <w:p w14:paraId="6B220B4A" w14:textId="77777777" w:rsidR="00A663F1" w:rsidRDefault="00E46EDB">
      <w:pPr>
        <w:pStyle w:val="ListParagraph"/>
        <w:numPr>
          <w:ilvl w:val="1"/>
          <w:numId w:val="9"/>
        </w:numPr>
        <w:tabs>
          <w:tab w:val="left" w:pos="1692"/>
          <w:tab w:val="left" w:pos="1693"/>
        </w:tabs>
        <w:ind w:right="205"/>
      </w:pPr>
      <w:r>
        <w:t>Two large debt advice agencies contacted with a request for information to inform this Impact Assessment suggested that they had 116 debt advisers each. There are nine other large debt advice agencies. It is assumed that all have the same number of debt advisers, suggesting that there are 1,040 debt advisers at these firms in addition to the 7,300 debt advisers identified by the training provider. Free training is already provided for 4,250 providers per</w:t>
      </w:r>
      <w:r>
        <w:rPr>
          <w:spacing w:val="-15"/>
        </w:rPr>
        <w:t xml:space="preserve"> </w:t>
      </w:r>
      <w:r>
        <w:t>year.</w:t>
      </w:r>
    </w:p>
    <w:p w14:paraId="1417F6EB" w14:textId="77777777" w:rsidR="00A663F1" w:rsidRDefault="00E46EDB">
      <w:pPr>
        <w:pStyle w:val="ListParagraph"/>
        <w:numPr>
          <w:ilvl w:val="1"/>
          <w:numId w:val="9"/>
        </w:numPr>
        <w:tabs>
          <w:tab w:val="left" w:pos="1692"/>
          <w:tab w:val="left" w:pos="1693"/>
        </w:tabs>
        <w:spacing w:before="121"/>
        <w:ind w:right="365"/>
      </w:pPr>
      <w:r>
        <w:t xml:space="preserve">This suggests that the Breathing Space dissemination cost is likely to be £1.9m, a transitional cost that will be felt only in 2021-22. This cost </w:t>
      </w:r>
      <w:proofErr w:type="gramStart"/>
      <w:r>
        <w:t>is considered to be</w:t>
      </w:r>
      <w:proofErr w:type="gramEnd"/>
      <w:r>
        <w:t xml:space="preserve"> direct as it arises automatically: compliance will be</w:t>
      </w:r>
      <w:r>
        <w:rPr>
          <w:spacing w:val="1"/>
        </w:rPr>
        <w:t xml:space="preserve"> </w:t>
      </w:r>
      <w:r>
        <w:t>statutory.</w:t>
      </w:r>
    </w:p>
    <w:p w14:paraId="76685189" w14:textId="77777777" w:rsidR="00A663F1" w:rsidRDefault="00E46EDB">
      <w:pPr>
        <w:pStyle w:val="ListParagraph"/>
        <w:numPr>
          <w:ilvl w:val="1"/>
          <w:numId w:val="9"/>
        </w:numPr>
        <w:tabs>
          <w:tab w:val="left" w:pos="1692"/>
          <w:tab w:val="left" w:pos="1693"/>
        </w:tabs>
        <w:spacing w:before="119"/>
        <w:ind w:right="223"/>
      </w:pPr>
      <w:r>
        <w:t xml:space="preserve">Creditor administrators will not require a deep understanding of Breathing Space. They will be expected to respond reactively to notifications from the Insolvency Service notifying them of the entry of their clients into Breathing Space. As these notifications will provide clear information on the actions required of creditors, there will be no requirement for creditor administrators proactively to develop their understanding of Breathing Space policy. This is not the case with systems architects, who will need to understand the policy in </w:t>
      </w:r>
      <w:proofErr w:type="gramStart"/>
      <w:r>
        <w:t>great detail</w:t>
      </w:r>
      <w:proofErr w:type="gramEnd"/>
      <w:r>
        <w:t xml:space="preserve"> in order to make systems changes. This cost is treated as a familiarisation issue and is addressed in section 21.</w:t>
      </w:r>
    </w:p>
    <w:p w14:paraId="1B0CEF81" w14:textId="77777777" w:rsidR="00A663F1" w:rsidRDefault="00E46EDB">
      <w:pPr>
        <w:pStyle w:val="Heading1"/>
        <w:numPr>
          <w:ilvl w:val="0"/>
          <w:numId w:val="9"/>
        </w:numPr>
        <w:tabs>
          <w:tab w:val="left" w:pos="613"/>
        </w:tabs>
        <w:spacing w:before="122"/>
      </w:pPr>
      <w:r>
        <w:t>Small and Microbusiness Assessment – sectoral composition</w:t>
      </w:r>
    </w:p>
    <w:p w14:paraId="5A4CEFB8" w14:textId="77777777" w:rsidR="00A663F1" w:rsidRDefault="00E46EDB">
      <w:pPr>
        <w:pStyle w:val="ListParagraph"/>
        <w:numPr>
          <w:ilvl w:val="1"/>
          <w:numId w:val="9"/>
        </w:numPr>
        <w:tabs>
          <w:tab w:val="left" w:pos="1692"/>
          <w:tab w:val="left" w:pos="1693"/>
        </w:tabs>
        <w:spacing w:before="119"/>
        <w:ind w:right="170"/>
      </w:pPr>
      <w:r>
        <w:t xml:space="preserve">The costs to creditors of Breathing Space are a result of foregone interest and charges, delayed revenue, additional administration, systems changes, dissemination, and familiarisation. Businesses will face fixed costs, such as systems changes, and variable costs, such as delayed revenue, that are proportionate to the number of customers that each creditor sees enter Breathing Space. As discussed elsewhere, </w:t>
      </w:r>
      <w:proofErr w:type="gramStart"/>
      <w:r>
        <w:t>the majority of</w:t>
      </w:r>
      <w:proofErr w:type="gramEnd"/>
      <w:r>
        <w:t xml:space="preserve"> the costs faced by most businesses will be variable, with the majority of the fixed costs falling on larger firms who will see a large number of clients enter Breathing</w:t>
      </w:r>
      <w:r>
        <w:rPr>
          <w:spacing w:val="3"/>
        </w:rPr>
        <w:t xml:space="preserve"> </w:t>
      </w:r>
      <w:r>
        <w:t>Space.</w:t>
      </w:r>
    </w:p>
    <w:p w14:paraId="5495471A" w14:textId="77777777" w:rsidR="00A663F1" w:rsidRDefault="00E46EDB">
      <w:pPr>
        <w:pStyle w:val="ListParagraph"/>
        <w:numPr>
          <w:ilvl w:val="1"/>
          <w:numId w:val="9"/>
        </w:numPr>
        <w:tabs>
          <w:tab w:val="left" w:pos="1692"/>
          <w:tab w:val="left" w:pos="1693"/>
        </w:tabs>
        <w:spacing w:before="121"/>
        <w:ind w:right="157"/>
      </w:pPr>
      <w:r>
        <w:t>Firms with a higher risk appetite will see a larger proportion of their clients enter Breathing Space than more conservative lenders. The Breathing Space caseload will be made up of people in problem debt, who will be riskier clients for creditors: those who choose to engage with riskier clients will see a larger proportion of their client base enter Breathing Space. Information about risk appetite is commercially sensitive, so it was not available for the purposes of this impact assessment. This does not apply in the case of involuntary creditors, who do not choose which clients they lend</w:t>
      </w:r>
      <w:r>
        <w:rPr>
          <w:spacing w:val="-4"/>
        </w:rPr>
        <w:t xml:space="preserve"> </w:t>
      </w:r>
      <w:r>
        <w:t>to.</w:t>
      </w:r>
    </w:p>
    <w:p w14:paraId="7DD58170" w14:textId="77777777" w:rsidR="00A663F1" w:rsidRDefault="00E46EDB">
      <w:pPr>
        <w:pStyle w:val="ListParagraph"/>
        <w:numPr>
          <w:ilvl w:val="1"/>
          <w:numId w:val="9"/>
        </w:numPr>
        <w:tabs>
          <w:tab w:val="left" w:pos="1692"/>
          <w:tab w:val="left" w:pos="1693"/>
        </w:tabs>
        <w:spacing w:before="121"/>
        <w:ind w:right="195"/>
      </w:pPr>
      <w:r>
        <w:t>The other part of this calculation is the number of clients that each firm will have. This is a product of their market concentration, which will vary by sector. The best available source of evidence on this question is the Business Population Estimates.</w:t>
      </w:r>
      <w:r>
        <w:rPr>
          <w:vertAlign w:val="superscript"/>
        </w:rPr>
        <w:t>26</w:t>
      </w:r>
      <w:r>
        <w:t xml:space="preserve"> This data is arranged by sector (grouped by Standard Industrial Classification) and disaggregated by business size in terms of number of</w:t>
      </w:r>
      <w:r>
        <w:rPr>
          <w:spacing w:val="5"/>
        </w:rPr>
        <w:t xml:space="preserve"> </w:t>
      </w:r>
      <w:r>
        <w:t>employees.</w:t>
      </w:r>
    </w:p>
    <w:p w14:paraId="02D3B375" w14:textId="77777777" w:rsidR="00A663F1" w:rsidRDefault="00E46EDB">
      <w:pPr>
        <w:pStyle w:val="ListParagraph"/>
        <w:numPr>
          <w:ilvl w:val="1"/>
          <w:numId w:val="9"/>
        </w:numPr>
        <w:tabs>
          <w:tab w:val="left" w:pos="1692"/>
          <w:tab w:val="left" w:pos="1693"/>
        </w:tabs>
        <w:ind w:right="737"/>
      </w:pPr>
      <w:r>
        <w:t>Breathing Space will operate in England and Wales only. At this scale, the Business Population Estimates provide data only by 1-digit Standard Industrial Classification</w:t>
      </w:r>
      <w:r>
        <w:rPr>
          <w:spacing w:val="-26"/>
        </w:rPr>
        <w:t xml:space="preserve"> </w:t>
      </w:r>
      <w:r>
        <w:t>code,</w:t>
      </w:r>
    </w:p>
    <w:p w14:paraId="0E983618" w14:textId="5738A4F5" w:rsidR="00A663F1" w:rsidRDefault="00E46EDB">
      <w:pPr>
        <w:pStyle w:val="BodyText"/>
        <w:spacing w:before="0"/>
        <w:ind w:left="0" w:firstLine="0"/>
        <w:rPr>
          <w:sz w:val="15"/>
        </w:rPr>
      </w:pPr>
      <w:r>
        <w:rPr>
          <w:noProof/>
        </w:rPr>
        <mc:AlternateContent>
          <mc:Choice Requires="wps">
            <w:drawing>
              <wp:anchor distT="0" distB="0" distL="0" distR="0" simplePos="0" relativeHeight="487594496" behindDoc="1" locked="0" layoutInCell="1" allowOverlap="1" wp14:anchorId="500F15E0" wp14:editId="180D7470">
                <wp:simplePos x="0" y="0"/>
                <wp:positionH relativeFrom="page">
                  <wp:posOffset>541020</wp:posOffset>
                </wp:positionH>
                <wp:positionV relativeFrom="paragraph">
                  <wp:posOffset>134620</wp:posOffset>
                </wp:positionV>
                <wp:extent cx="1829435" cy="7620"/>
                <wp:effectExtent l="0" t="0" r="0" b="0"/>
                <wp:wrapTopAndBottom/>
                <wp:docPr id="1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943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BF4F7A" id="Rectangle 11" o:spid="_x0000_s1026" style="position:absolute;margin-left:42.6pt;margin-top:10.6pt;width:144.05pt;height:.6pt;z-index:-15721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" fillcolor="black" stroked="f">
                <w10:wrap type="topAndBottom" anchorx="page"/>
              </v:rect>
            </w:pict>
          </mc:Fallback>
        </mc:AlternateContent>
      </w:r>
    </w:p>
    <w:p w14:paraId="005FFF1B" w14:textId="77777777" w:rsidR="00A663F1" w:rsidRDefault="00E46EDB">
      <w:pPr>
        <w:pStyle w:val="ListParagraph"/>
        <w:numPr>
          <w:ilvl w:val="0"/>
          <w:numId w:val="4"/>
        </w:numPr>
        <w:tabs>
          <w:tab w:val="left" w:pos="452"/>
        </w:tabs>
        <w:spacing w:before="67" w:line="256" w:lineRule="auto"/>
        <w:ind w:right="2260" w:firstLine="0"/>
        <w:rPr>
          <w:sz w:val="16"/>
        </w:rPr>
      </w:pPr>
      <w:r>
        <w:rPr>
          <w:sz w:val="16"/>
        </w:rPr>
        <w:t xml:space="preserve">Department for Business, Energy &amp; Industrial Strategy (2019) </w:t>
      </w:r>
      <w:r>
        <w:rPr>
          <w:i/>
          <w:sz w:val="16"/>
        </w:rPr>
        <w:t xml:space="preserve">Business population estimates 2019 </w:t>
      </w:r>
      <w:r>
        <w:rPr>
          <w:sz w:val="16"/>
          <w:u w:val="single"/>
        </w:rPr>
        <w:t>Available at:</w:t>
      </w:r>
      <w:hyperlink r:id="rId43">
        <w:r>
          <w:rPr>
            <w:sz w:val="16"/>
            <w:u w:val="single"/>
          </w:rPr>
          <w:t xml:space="preserve"> https://www.gov.uk/government/statistics/business-population-estimates-2019</w:t>
        </w:r>
      </w:hyperlink>
    </w:p>
    <w:p w14:paraId="7DCA64C1" w14:textId="77777777" w:rsidR="00A663F1" w:rsidRDefault="00A663F1">
      <w:pPr>
        <w:spacing w:line="256" w:lineRule="auto"/>
        <w:rPr>
          <w:sz w:val="16"/>
        </w:rPr>
        <w:sectPr w:rsidR="00A663F1">
          <w:pgSz w:w="11910" w:h="16850"/>
          <w:pgMar w:top="600" w:right="720" w:bottom="960" w:left="600" w:header="0" w:footer="761" w:gutter="0"/>
          <w:cols w:space="720"/>
        </w:sectPr>
      </w:pPr>
    </w:p>
    <w:p w14:paraId="588837ED" w14:textId="77777777" w:rsidR="00A663F1" w:rsidRDefault="00E46EDB">
      <w:pPr>
        <w:pStyle w:val="BodyText"/>
        <w:spacing w:before="78"/>
        <w:ind w:right="708" w:firstLine="0"/>
      </w:pPr>
      <w:r>
        <w:lastRenderedPageBreak/>
        <w:t>grouping utility companies with those engaged in mining and quarrying, for example. This provides a potentially misleading picture about the number of SMBs likely to be affected by Breathing Space.</w:t>
      </w:r>
    </w:p>
    <w:p w14:paraId="7CD6520A" w14:textId="77777777" w:rsidR="00A663F1" w:rsidRDefault="00E46EDB">
      <w:pPr>
        <w:pStyle w:val="ListParagraph"/>
        <w:numPr>
          <w:ilvl w:val="1"/>
          <w:numId w:val="9"/>
        </w:numPr>
        <w:tabs>
          <w:tab w:val="left" w:pos="1692"/>
          <w:tab w:val="left" w:pos="1693"/>
        </w:tabs>
        <w:spacing w:before="122"/>
        <w:ind w:right="315"/>
      </w:pPr>
      <w:r>
        <w:t xml:space="preserve">For that reason, UK-scale 2-digit Standard Industrial Classification codes are used as a proxy for the sectoral compositions of England and Wales. This provides a higher level of granularity, with some risk of reduced accuracy. This data suggests that, by employment, 9.3% of businesses engaged in financial and insurance activities are SMBs. Clearly, not </w:t>
      </w:r>
      <w:proofErr w:type="gramStart"/>
      <w:r>
        <w:t>all of</w:t>
      </w:r>
      <w:proofErr w:type="gramEnd"/>
      <w:r>
        <w:t xml:space="preserve"> these businesses will be consumer-facing credit-issuing firms, but more granular data was not available.</w:t>
      </w:r>
    </w:p>
    <w:p w14:paraId="45164CC2" w14:textId="77777777" w:rsidR="00A663F1" w:rsidRDefault="00E46EDB">
      <w:pPr>
        <w:pStyle w:val="ListParagraph"/>
        <w:numPr>
          <w:ilvl w:val="1"/>
          <w:numId w:val="9"/>
        </w:numPr>
        <w:tabs>
          <w:tab w:val="left" w:pos="1692"/>
          <w:tab w:val="left" w:pos="1693"/>
        </w:tabs>
        <w:spacing w:before="119"/>
        <w:ind w:right="131"/>
      </w:pPr>
      <w:r>
        <w:t xml:space="preserve">The fact that 9.3% of firms by employment are SMBs does not suggest that 9.3% of the burden of Breathing Space will fall on SMBs: the number of clients of each firm will not be directly proportional to the firm’s number of employees. Sector-level market concentration data is unavailable in the Business Population Estimates for this sector, but stakeholders consulted as part of this impact assessment suggested that </w:t>
      </w:r>
      <w:proofErr w:type="gramStart"/>
      <w:r>
        <w:t>the vast majority of</w:t>
      </w:r>
      <w:proofErr w:type="gramEnd"/>
      <w:r>
        <w:t xml:space="preserve"> borrowers engage with large creditors. FCA analysis suggests that 190 firms </w:t>
      </w:r>
      <w:r>
        <w:rPr>
          <w:spacing w:val="-3"/>
        </w:rPr>
        <w:t xml:space="preserve">own </w:t>
      </w:r>
      <w:r>
        <w:t>99% of outstanding consumer credit.</w:t>
      </w:r>
      <w:r>
        <w:rPr>
          <w:vertAlign w:val="superscript"/>
        </w:rPr>
        <w:t>27</w:t>
      </w:r>
      <w:r>
        <w:t xml:space="preserve"> Some of the further c.2,600 firms who own 1% of outstanding consumer credit may be SMBs, but data on the proportion of these firms who are SMBs was</w:t>
      </w:r>
      <w:r>
        <w:rPr>
          <w:spacing w:val="-11"/>
        </w:rPr>
        <w:t xml:space="preserve"> </w:t>
      </w:r>
      <w:r>
        <w:t>unavailable.</w:t>
      </w:r>
    </w:p>
    <w:p w14:paraId="038B8386" w14:textId="77777777" w:rsidR="00A663F1" w:rsidRDefault="00E46EDB">
      <w:pPr>
        <w:pStyle w:val="ListParagraph"/>
        <w:numPr>
          <w:ilvl w:val="1"/>
          <w:numId w:val="9"/>
        </w:numPr>
        <w:tabs>
          <w:tab w:val="left" w:pos="1692"/>
          <w:tab w:val="left" w:pos="1693"/>
        </w:tabs>
        <w:ind w:right="233"/>
      </w:pPr>
      <w:r>
        <w:t>SMBs might still face a disproportionate cost if their clients were more likely than those of larger businesses to enter Breathing Space. However, stakeholders consulted as part of this impact assessment suggested that there was no reason to believe that SMBs deal with higher risk clients than larger businesses. Indeed, given SMBs’ lower capacity to absorb write-offs relative to larger firms, stakeholders suggested that SMBs might be less likely to see clients enter Breathing Space than larger businesses, where SMBs are voluntary creditors who choose which clients to issue with credit. This may not be the case for involuntary</w:t>
      </w:r>
      <w:r>
        <w:rPr>
          <w:spacing w:val="-17"/>
        </w:rPr>
        <w:t xml:space="preserve"> </w:t>
      </w:r>
      <w:r>
        <w:t>creditors.</w:t>
      </w:r>
    </w:p>
    <w:p w14:paraId="1A416561" w14:textId="77777777" w:rsidR="00A663F1" w:rsidRDefault="00E46EDB">
      <w:pPr>
        <w:pStyle w:val="ListParagraph"/>
        <w:numPr>
          <w:ilvl w:val="1"/>
          <w:numId w:val="9"/>
        </w:numPr>
        <w:tabs>
          <w:tab w:val="left" w:pos="1692"/>
          <w:tab w:val="left" w:pos="1693"/>
        </w:tabs>
        <w:spacing w:before="121"/>
        <w:ind w:right="316"/>
      </w:pPr>
      <w:r>
        <w:t>Similar data availability issues were faced with other sectors. For example, trade bodies suggested that there are 60 consumer-facing energy companies operating in the UK, but that data was not available for England and Wales specifically, on the market concentration of each firm, and on the size of each firm by number of</w:t>
      </w:r>
      <w:r>
        <w:rPr>
          <w:spacing w:val="-3"/>
        </w:rPr>
        <w:t xml:space="preserve"> </w:t>
      </w:r>
      <w:r>
        <w:t>employees.</w:t>
      </w:r>
    </w:p>
    <w:p w14:paraId="59DAE878" w14:textId="77777777" w:rsidR="00A663F1" w:rsidRDefault="00E46EDB">
      <w:pPr>
        <w:pStyle w:val="ListParagraph"/>
        <w:numPr>
          <w:ilvl w:val="1"/>
          <w:numId w:val="9"/>
        </w:numPr>
        <w:tabs>
          <w:tab w:val="left" w:pos="1692"/>
          <w:tab w:val="left" w:pos="1693"/>
        </w:tabs>
        <w:spacing w:before="121"/>
        <w:ind w:right="330"/>
      </w:pPr>
      <w:r>
        <w:t>Likewise, a trade body reported that there are 25 water companies operating in England and Wales, eight of which serve limited geographical areas. Although these firms might be assumed to be SMBs, this could not be confirmed. In any case, their market concentration was unknown.</w:t>
      </w:r>
    </w:p>
    <w:p w14:paraId="3E152035" w14:textId="77777777" w:rsidR="00A663F1" w:rsidRDefault="00E46EDB">
      <w:pPr>
        <w:pStyle w:val="ListParagraph"/>
        <w:numPr>
          <w:ilvl w:val="1"/>
          <w:numId w:val="9"/>
        </w:numPr>
        <w:tabs>
          <w:tab w:val="left" w:pos="1692"/>
          <w:tab w:val="left" w:pos="1693"/>
        </w:tabs>
        <w:spacing w:before="118"/>
        <w:ind w:right="135"/>
      </w:pPr>
      <w:r>
        <w:t>Data on the housing sector was more readily available. Debt advisers suggested that 13% of those presenting for debt advice would have rent arrears. Of these, data published in the Wyman Review suggested that 35% would dwell in private tenancies and 44% in social ones.</w:t>
      </w:r>
      <w:r>
        <w:rPr>
          <w:vertAlign w:val="superscript"/>
        </w:rPr>
        <w:t>28</w:t>
      </w:r>
      <w:r>
        <w:t xml:space="preserve"> The remainder, who have rent arrears but fall into neither category, are likely to be from ‘other’ tenancies, such as informal ones. Such arrangements do not impact</w:t>
      </w:r>
      <w:r>
        <w:rPr>
          <w:spacing w:val="-8"/>
        </w:rPr>
        <w:t xml:space="preserve"> </w:t>
      </w:r>
      <w:r>
        <w:t>business.</w:t>
      </w:r>
    </w:p>
    <w:p w14:paraId="4B815836" w14:textId="77777777" w:rsidR="00A663F1" w:rsidRDefault="00E46EDB">
      <w:pPr>
        <w:pStyle w:val="ListParagraph"/>
        <w:numPr>
          <w:ilvl w:val="1"/>
          <w:numId w:val="9"/>
        </w:numPr>
        <w:tabs>
          <w:tab w:val="left" w:pos="1692"/>
          <w:tab w:val="left" w:pos="1693"/>
        </w:tabs>
        <w:ind w:right="246"/>
      </w:pPr>
      <w:r>
        <w:t>Of the 44% of people in Breathing Space with rent arrears who live in the Social Rented Sector, 60% are likely to live in Housing Association-administered tenancies, with the remaining 40% in Local Authority housing.</w:t>
      </w:r>
      <w:r>
        <w:rPr>
          <w:vertAlign w:val="superscript"/>
        </w:rPr>
        <w:t>29</w:t>
      </w:r>
      <w:r>
        <w:t xml:space="preserve"> The National Housing Federation suggested that 4% of social tenancies with Housing Associations might be with SMB associations. The Local Government Association suggested that all Local Authority social landlords would have more than 50 employees. This suggests that 1% of people in Breathing Space with rent arrears will dwell in the social rented sector and have an SMB</w:t>
      </w:r>
      <w:r>
        <w:rPr>
          <w:spacing w:val="-10"/>
        </w:rPr>
        <w:t xml:space="preserve"> </w:t>
      </w:r>
      <w:r>
        <w:t>landlord.</w:t>
      </w:r>
    </w:p>
    <w:p w14:paraId="3C21E9FB" w14:textId="77777777" w:rsidR="00A663F1" w:rsidRDefault="00E46EDB">
      <w:pPr>
        <w:pStyle w:val="ListParagraph"/>
        <w:numPr>
          <w:ilvl w:val="1"/>
          <w:numId w:val="9"/>
        </w:numPr>
        <w:tabs>
          <w:tab w:val="left" w:pos="1692"/>
          <w:tab w:val="left" w:pos="1693"/>
        </w:tabs>
        <w:spacing w:before="121"/>
        <w:ind w:right="203"/>
      </w:pPr>
      <w:r>
        <w:t>Of the 35% of people in Breathing Space with rent arrears who dwell in private tenancies, the English Private Landlords Survey suggests that 97% will be with landlords who own fewer than 101 rental properties.</w:t>
      </w:r>
      <w:r>
        <w:rPr>
          <w:vertAlign w:val="superscript"/>
        </w:rPr>
        <w:t>30</w:t>
      </w:r>
      <w:r>
        <w:t xml:space="preserve"> Data on the number of employees of these landlords</w:t>
      </w:r>
      <w:r>
        <w:rPr>
          <w:spacing w:val="-10"/>
        </w:rPr>
        <w:t xml:space="preserve"> </w:t>
      </w:r>
      <w:r>
        <w:t>was</w:t>
      </w:r>
    </w:p>
    <w:p w14:paraId="7C1A1E44" w14:textId="77777777" w:rsidR="00A663F1" w:rsidRDefault="00A663F1">
      <w:pPr>
        <w:pStyle w:val="BodyText"/>
        <w:spacing w:before="0"/>
        <w:ind w:left="0" w:firstLine="0"/>
        <w:rPr>
          <w:sz w:val="20"/>
        </w:rPr>
      </w:pPr>
    </w:p>
    <w:p w14:paraId="11081FFA" w14:textId="4D360E8B" w:rsidR="00A663F1" w:rsidRDefault="00E46EDB">
      <w:pPr>
        <w:pStyle w:val="BodyText"/>
        <w:spacing w:before="1"/>
        <w:ind w:left="0" w:firstLine="0"/>
        <w:rPr>
          <w:sz w:val="12"/>
        </w:rPr>
      </w:pPr>
      <w:r>
        <w:rPr>
          <w:noProof/>
        </w:rPr>
        <mc:AlternateContent>
          <mc:Choice Requires="wps">
            <w:drawing>
              <wp:anchor distT="0" distB="0" distL="0" distR="0" simplePos="0" relativeHeight="487595008" behindDoc="1" locked="0" layoutInCell="1" allowOverlap="1" wp14:anchorId="6DC71A13" wp14:editId="1690D487">
                <wp:simplePos x="0" y="0"/>
                <wp:positionH relativeFrom="page">
                  <wp:posOffset>541020</wp:posOffset>
                </wp:positionH>
                <wp:positionV relativeFrom="paragraph">
                  <wp:posOffset>113030</wp:posOffset>
                </wp:positionV>
                <wp:extent cx="1829435" cy="7620"/>
                <wp:effectExtent l="0" t="0" r="0" b="0"/>
                <wp:wrapTopAndBottom/>
                <wp:docPr id="15"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943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AEC605" id="Rectangle 10" o:spid="_x0000_s1026" style="position:absolute;margin-left:42.6pt;margin-top:8.9pt;width:144.05pt;height:.6pt;z-index:-15721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" fillcolor="black" stroked="f">
                <w10:wrap type="topAndBottom" anchorx="page"/>
              </v:rect>
            </w:pict>
          </mc:Fallback>
        </mc:AlternateContent>
      </w:r>
    </w:p>
    <w:p w14:paraId="7FBF644D" w14:textId="77777777" w:rsidR="00A663F1" w:rsidRDefault="00E46EDB">
      <w:pPr>
        <w:pStyle w:val="ListParagraph"/>
        <w:numPr>
          <w:ilvl w:val="0"/>
          <w:numId w:val="4"/>
        </w:numPr>
        <w:tabs>
          <w:tab w:val="left" w:pos="452"/>
        </w:tabs>
        <w:spacing w:before="67" w:line="256" w:lineRule="auto"/>
        <w:ind w:right="969" w:firstLine="0"/>
        <w:rPr>
          <w:sz w:val="16"/>
        </w:rPr>
      </w:pPr>
      <w:r>
        <w:rPr>
          <w:sz w:val="16"/>
        </w:rPr>
        <w:t>FCA analysis of data collected via the CCR003: Lenders regulatory return for reporting periods ending June 18 – May 19. Clearly misreported data were corrected for this</w:t>
      </w:r>
      <w:r>
        <w:rPr>
          <w:spacing w:val="-3"/>
          <w:sz w:val="16"/>
        </w:rPr>
        <w:t xml:space="preserve"> </w:t>
      </w:r>
      <w:r>
        <w:rPr>
          <w:sz w:val="16"/>
        </w:rPr>
        <w:t>analysis.</w:t>
      </w:r>
    </w:p>
    <w:p w14:paraId="6C77DDCC" w14:textId="77777777" w:rsidR="00A663F1" w:rsidRDefault="00E46EDB">
      <w:pPr>
        <w:spacing w:line="227" w:lineRule="exact"/>
        <w:ind w:left="252"/>
        <w:rPr>
          <w:sz w:val="16"/>
        </w:rPr>
      </w:pPr>
      <w:r>
        <w:rPr>
          <w:position w:val="8"/>
          <w:sz w:val="14"/>
        </w:rPr>
        <w:t xml:space="preserve">28 </w:t>
      </w:r>
      <w:r>
        <w:rPr>
          <w:sz w:val="16"/>
        </w:rPr>
        <w:t>Wyman (2018)</w:t>
      </w:r>
    </w:p>
    <w:p w14:paraId="4D84D6D1" w14:textId="77777777" w:rsidR="00A663F1" w:rsidRDefault="00E46EDB">
      <w:pPr>
        <w:pStyle w:val="ListParagraph"/>
        <w:numPr>
          <w:ilvl w:val="0"/>
          <w:numId w:val="3"/>
        </w:numPr>
        <w:tabs>
          <w:tab w:val="left" w:pos="452"/>
        </w:tabs>
        <w:spacing w:before="6" w:line="256" w:lineRule="auto"/>
        <w:ind w:right="623" w:firstLine="0"/>
        <w:rPr>
          <w:sz w:val="16"/>
        </w:rPr>
      </w:pPr>
      <w:r>
        <w:rPr>
          <w:sz w:val="16"/>
        </w:rPr>
        <w:t xml:space="preserve">Ministry of Housing, Communities &amp; Local Government (2019) </w:t>
      </w:r>
      <w:r>
        <w:rPr>
          <w:i/>
          <w:sz w:val="16"/>
        </w:rPr>
        <w:t xml:space="preserve">English Housing Survey 2017 to 2018: social rented sector </w:t>
      </w:r>
      <w:r>
        <w:rPr>
          <w:sz w:val="16"/>
        </w:rPr>
        <w:t>Available at:</w:t>
      </w:r>
      <w:hyperlink r:id="rId44">
        <w:r>
          <w:rPr>
            <w:sz w:val="16"/>
            <w:u w:val="single"/>
          </w:rPr>
          <w:t xml:space="preserve"> https://www.gov.uk/government/statistics/english-housing-survey-2017-to-2018-social-rented-sector</w:t>
        </w:r>
        <w:r>
          <w:rPr>
            <w:spacing w:val="-10"/>
            <w:sz w:val="16"/>
          </w:rPr>
          <w:t xml:space="preserve"> </w:t>
        </w:r>
      </w:hyperlink>
      <w:r>
        <w:rPr>
          <w:sz w:val="16"/>
        </w:rPr>
        <w:t>Percentages</w:t>
      </w:r>
      <w:r>
        <w:rPr>
          <w:spacing w:val="-9"/>
          <w:sz w:val="16"/>
        </w:rPr>
        <w:t xml:space="preserve"> </w:t>
      </w:r>
      <w:r>
        <w:rPr>
          <w:sz w:val="16"/>
        </w:rPr>
        <w:t>derived</w:t>
      </w:r>
      <w:r>
        <w:rPr>
          <w:spacing w:val="-9"/>
          <w:sz w:val="16"/>
        </w:rPr>
        <w:t xml:space="preserve"> </w:t>
      </w:r>
      <w:r>
        <w:rPr>
          <w:sz w:val="16"/>
        </w:rPr>
        <w:t>from</w:t>
      </w:r>
      <w:r>
        <w:rPr>
          <w:spacing w:val="-7"/>
          <w:sz w:val="16"/>
        </w:rPr>
        <w:t xml:space="preserve"> </w:t>
      </w:r>
      <w:r>
        <w:rPr>
          <w:sz w:val="16"/>
        </w:rPr>
        <w:t>figure</w:t>
      </w:r>
      <w:r>
        <w:rPr>
          <w:spacing w:val="-9"/>
          <w:sz w:val="16"/>
        </w:rPr>
        <w:t xml:space="preserve"> </w:t>
      </w:r>
      <w:r>
        <w:rPr>
          <w:sz w:val="16"/>
        </w:rPr>
        <w:t>3.3.</w:t>
      </w:r>
    </w:p>
    <w:p w14:paraId="7C31E591" w14:textId="77777777" w:rsidR="00A663F1" w:rsidRDefault="00A663F1">
      <w:pPr>
        <w:pStyle w:val="BodyText"/>
        <w:spacing w:before="6"/>
        <w:ind w:left="0" w:firstLine="0"/>
        <w:rPr>
          <w:sz w:val="14"/>
        </w:rPr>
      </w:pPr>
    </w:p>
    <w:p w14:paraId="2140DD1F" w14:textId="77777777" w:rsidR="00A663F1" w:rsidRDefault="00E46EDB">
      <w:pPr>
        <w:pStyle w:val="ListParagraph"/>
        <w:numPr>
          <w:ilvl w:val="0"/>
          <w:numId w:val="3"/>
        </w:numPr>
        <w:tabs>
          <w:tab w:val="left" w:pos="452"/>
        </w:tabs>
        <w:spacing w:before="0" w:line="256" w:lineRule="auto"/>
        <w:ind w:right="1205" w:firstLine="0"/>
        <w:rPr>
          <w:sz w:val="16"/>
        </w:rPr>
      </w:pPr>
      <w:r>
        <w:rPr>
          <w:sz w:val="16"/>
        </w:rPr>
        <w:t>Ministry of Housing, Communities &amp; Local Government (2019) English Private Landlord Survey 2018: main report Available at:</w:t>
      </w:r>
      <w:hyperlink r:id="rId45">
        <w:r>
          <w:rPr>
            <w:sz w:val="16"/>
            <w:u w:val="single"/>
          </w:rPr>
          <w:t xml:space="preserve"> https://www.gov.uk/government/publications/english-private-landlord-survey-2018-main-report</w:t>
        </w:r>
      </w:hyperlink>
    </w:p>
    <w:p w14:paraId="506FA209" w14:textId="77777777" w:rsidR="00A663F1" w:rsidRDefault="00A663F1">
      <w:pPr>
        <w:spacing w:line="256" w:lineRule="auto"/>
        <w:rPr>
          <w:sz w:val="16"/>
        </w:rPr>
        <w:sectPr w:rsidR="00A663F1">
          <w:pgSz w:w="11910" w:h="16850"/>
          <w:pgMar w:top="600" w:right="720" w:bottom="960" w:left="600" w:header="0" w:footer="761" w:gutter="0"/>
          <w:cols w:space="720"/>
        </w:sectPr>
      </w:pPr>
    </w:p>
    <w:p w14:paraId="65A820D0" w14:textId="77777777" w:rsidR="00A663F1" w:rsidRDefault="00E46EDB">
      <w:pPr>
        <w:pStyle w:val="BodyText"/>
        <w:spacing w:before="78"/>
        <w:ind w:right="329" w:firstLine="0"/>
      </w:pPr>
      <w:r>
        <w:lastRenderedPageBreak/>
        <w:t>unavailable, so it is assumed that all are SMBs. This suggests that 34% of people in Breathing Space with rent arrears will dwell in the private rented sector and have an SMB landlord. This suggests that there will be a disproportionate impact on SMB private landlords of any net costs of Breathing Space.</w:t>
      </w:r>
    </w:p>
    <w:p w14:paraId="7DFFBAD4" w14:textId="77777777" w:rsidR="00A663F1" w:rsidRDefault="00E46EDB">
      <w:pPr>
        <w:pStyle w:val="Heading1"/>
        <w:numPr>
          <w:ilvl w:val="0"/>
          <w:numId w:val="9"/>
        </w:numPr>
        <w:tabs>
          <w:tab w:val="left" w:pos="613"/>
        </w:tabs>
      </w:pPr>
      <w:r>
        <w:t>Small and Microbusiness Assessment – relative</w:t>
      </w:r>
      <w:r>
        <w:rPr>
          <w:spacing w:val="-1"/>
        </w:rPr>
        <w:t xml:space="preserve"> </w:t>
      </w:r>
      <w:r>
        <w:t>costs</w:t>
      </w:r>
    </w:p>
    <w:p w14:paraId="56AF4D1A" w14:textId="77777777" w:rsidR="00A663F1" w:rsidRDefault="00E46EDB">
      <w:pPr>
        <w:pStyle w:val="ListParagraph"/>
        <w:numPr>
          <w:ilvl w:val="1"/>
          <w:numId w:val="9"/>
        </w:numPr>
        <w:tabs>
          <w:tab w:val="left" w:pos="1692"/>
          <w:tab w:val="left" w:pos="1693"/>
        </w:tabs>
        <w:spacing w:before="119"/>
        <w:ind w:right="196"/>
      </w:pPr>
      <w:r>
        <w:t>Debtors in the scheme will be required to continue to meet their ongoing liabilities, such as paying their rent. As explained in paragraph 15.8, only a minority of debtors are expected to stop making arrears repayments during Breathing Space, which is not intended to be a repayment holiday. As discussed in paragraph 15.1, the cost to creditors of delayed revenue will be a factor of the source of the money lent to debtors. In some cases, this will be the cost of borrowing to lend. If SMBs needed to access finance as a result of delayed revenue this will be, in some cases, at a higher borrowing rate than those that larger businesses will have access to. In the case of landlords and other involuntary creditors, this might arise where a landlord was forced to borrow as an opportunity cost of not receiving rent arrears payments that might have been made in the counterfactual. Conversely, people in Breathing Space will be offered specialist debt advice and support whilst on the scheme, which may help landlords recover some of the owing rent</w:t>
      </w:r>
      <w:r>
        <w:rPr>
          <w:spacing w:val="1"/>
        </w:rPr>
        <w:t xml:space="preserve"> </w:t>
      </w:r>
      <w:r>
        <w:t>arrears.</w:t>
      </w:r>
    </w:p>
    <w:p w14:paraId="1E2DC27A" w14:textId="77777777" w:rsidR="00A663F1" w:rsidRDefault="00E46EDB">
      <w:pPr>
        <w:pStyle w:val="ListParagraph"/>
        <w:numPr>
          <w:ilvl w:val="1"/>
          <w:numId w:val="9"/>
        </w:numPr>
        <w:tabs>
          <w:tab w:val="left" w:pos="1692"/>
          <w:tab w:val="left" w:pos="1693"/>
        </w:tabs>
        <w:spacing w:before="121"/>
        <w:ind w:right="344"/>
      </w:pPr>
      <w:r>
        <w:t>Large businesses may be able to borrow at close to the London Inter-Bank Overnight Rate, as discussed in section 15. As at Thursday 1</w:t>
      </w:r>
      <w:r>
        <w:rPr>
          <w:vertAlign w:val="superscript"/>
        </w:rPr>
        <w:t>st</w:t>
      </w:r>
      <w:r>
        <w:t xml:space="preserve"> August, the GBP LIBOR 12-month rate stood at 0.847%. Over </w:t>
      </w:r>
      <w:r>
        <w:rPr>
          <w:spacing w:val="-2"/>
        </w:rPr>
        <w:t xml:space="preserve">two </w:t>
      </w:r>
      <w:r>
        <w:t xml:space="preserve">months, this rate is equivalent to a 0.14% interest rate. This rate is likely to be far below that accessible to SMBs. According to the Federation of Small Business’s quarterly </w:t>
      </w:r>
      <w:r>
        <w:rPr>
          <w:i/>
        </w:rPr>
        <w:t>Voice of Small Business Index</w:t>
      </w:r>
      <w:r>
        <w:t>, 53.1% of SMBs who borrowed in Q2 2019 did so at beneath 5% APR, or 0.83% over a two-month</w:t>
      </w:r>
      <w:r>
        <w:rPr>
          <w:spacing w:val="-2"/>
        </w:rPr>
        <w:t xml:space="preserve"> </w:t>
      </w:r>
      <w:r>
        <w:t>period.</w:t>
      </w:r>
      <w:r>
        <w:rPr>
          <w:vertAlign w:val="superscript"/>
        </w:rPr>
        <w:t>31</w:t>
      </w:r>
    </w:p>
    <w:p w14:paraId="5C8A889A" w14:textId="77777777" w:rsidR="00A663F1" w:rsidRDefault="00E46EDB">
      <w:pPr>
        <w:pStyle w:val="ListParagraph"/>
        <w:numPr>
          <w:ilvl w:val="1"/>
          <w:numId w:val="9"/>
        </w:numPr>
        <w:tabs>
          <w:tab w:val="left" w:pos="1692"/>
          <w:tab w:val="left" w:pos="1693"/>
        </w:tabs>
        <w:spacing w:before="122"/>
        <w:ind w:right="183"/>
      </w:pPr>
      <w:r>
        <w:t>The extent to which disproportionate costs fall on SMBs will be a factor of their market concentration and their risk appetite, which will dictate the number of debtors that SMBs are likely to see enter Breathing Space. As data to inform a specific assessment of the proportion of costs that will fall on SMBs was unavailable, a sensitivity analysis was applied: the cost of delayed revenue for all creditors in Breathing Space is assumed to be the average of 0.14% and 0.83%, which is 0.49%. This is likely to overstate the cost of delayed revenue as</w:t>
      </w:r>
      <w:proofErr w:type="gramStart"/>
      <w:r>
        <w:t>, in reality, the</w:t>
      </w:r>
      <w:proofErr w:type="gramEnd"/>
      <w:r>
        <w:t xml:space="preserve"> market share of SMBs in sectors affected by Breathing Space is likely to be very small, with the exception – as described above – of private landlords. For that reason, most creditors affected by Breathing Space will face lower delayed revenue costs than the level assumed by this sensitivity</w:t>
      </w:r>
      <w:r>
        <w:rPr>
          <w:spacing w:val="-3"/>
        </w:rPr>
        <w:t xml:space="preserve"> </w:t>
      </w:r>
      <w:r>
        <w:t>analysis.</w:t>
      </w:r>
    </w:p>
    <w:p w14:paraId="49A76452" w14:textId="77777777" w:rsidR="00A663F1" w:rsidRDefault="00E46EDB">
      <w:pPr>
        <w:pStyle w:val="ListParagraph"/>
        <w:numPr>
          <w:ilvl w:val="1"/>
          <w:numId w:val="9"/>
        </w:numPr>
        <w:tabs>
          <w:tab w:val="left" w:pos="1692"/>
          <w:tab w:val="left" w:pos="1693"/>
        </w:tabs>
        <w:ind w:right="253"/>
      </w:pPr>
      <w:r>
        <w:t>SMBs are likely to face higher familiarisation costs than larger businesses. As explained in section 21, SMBs are less likely to employ in-house legal and accounting professionals than larger firms. As a result, they are expected to familiarise themselves with Breathing Space by engaging external consultants. According to the Office for National Statistics, the mean hourly gross wage of workers engaged in management consultancy activities is £2 more per hour than that of workers engaged in legal and accounting activities.</w:t>
      </w:r>
      <w:r>
        <w:rPr>
          <w:vertAlign w:val="superscript"/>
        </w:rPr>
        <w:t>32</w:t>
      </w:r>
      <w:r>
        <w:t xml:space="preserve"> As a result, the expected cost of familiarisation is expected to be 8% higher for SMBs than for larger</w:t>
      </w:r>
      <w:r>
        <w:rPr>
          <w:spacing w:val="-10"/>
        </w:rPr>
        <w:t xml:space="preserve"> </w:t>
      </w:r>
      <w:r>
        <w:t>firms.</w:t>
      </w:r>
    </w:p>
    <w:p w14:paraId="35C0789A" w14:textId="77777777" w:rsidR="00A663F1" w:rsidRDefault="00E46EDB">
      <w:pPr>
        <w:pStyle w:val="ListParagraph"/>
        <w:numPr>
          <w:ilvl w:val="1"/>
          <w:numId w:val="9"/>
        </w:numPr>
        <w:tabs>
          <w:tab w:val="left" w:pos="1692"/>
          <w:tab w:val="left" w:pos="1693"/>
        </w:tabs>
        <w:ind w:right="245"/>
      </w:pPr>
      <w:r>
        <w:t xml:space="preserve">Not </w:t>
      </w:r>
      <w:proofErr w:type="gramStart"/>
      <w:r>
        <w:t>all of</w:t>
      </w:r>
      <w:proofErr w:type="gramEnd"/>
      <w:r>
        <w:t xml:space="preserve"> the additional cost of engaging management consultants is attributable to their increased labour costs, so the true additional cost is likely to be higher than 8%. Quantifying the full additional cost would require data on the costs to SMBs of engaging the services of management consultants, rather than the management consultants’ hourly wage costs. This data is not available, but </w:t>
      </w:r>
      <w:proofErr w:type="gramStart"/>
      <w:r>
        <w:t>it is clear that SMB</w:t>
      </w:r>
      <w:proofErr w:type="gramEnd"/>
      <w:r>
        <w:t xml:space="preserve"> familiarisation costs will be higher than those of larger businesses.</w:t>
      </w:r>
    </w:p>
    <w:p w14:paraId="33DF8B7B" w14:textId="77777777" w:rsidR="00A663F1" w:rsidRDefault="00E46EDB">
      <w:pPr>
        <w:pStyle w:val="ListParagraph"/>
        <w:numPr>
          <w:ilvl w:val="1"/>
          <w:numId w:val="9"/>
        </w:numPr>
        <w:tabs>
          <w:tab w:val="left" w:pos="1692"/>
          <w:tab w:val="left" w:pos="1693"/>
        </w:tabs>
        <w:ind w:right="156"/>
      </w:pPr>
      <w:r>
        <w:t>SMBs would face higher costs of foregone interest and charges if a higher proportion of their clients entered Breathing Space, or if those clients carried larger debts than those of larger businesses, or if SMBs charged higher interest rates than larger firms. As discussed above, data on market concentration was unavailable. As credit risk appetite varies by firm and would be commercially disclosive, respondents to requests for information submitted as part of this</w:t>
      </w:r>
      <w:r>
        <w:rPr>
          <w:spacing w:val="-30"/>
        </w:rPr>
        <w:t xml:space="preserve"> </w:t>
      </w:r>
      <w:r>
        <w:t>impact</w:t>
      </w:r>
    </w:p>
    <w:p w14:paraId="21F6B7DD" w14:textId="77777777" w:rsidR="00A663F1" w:rsidRDefault="00A663F1">
      <w:pPr>
        <w:pStyle w:val="BodyText"/>
        <w:spacing w:before="0"/>
        <w:ind w:left="0" w:firstLine="0"/>
        <w:rPr>
          <w:sz w:val="20"/>
        </w:rPr>
      </w:pPr>
    </w:p>
    <w:p w14:paraId="10F86C62" w14:textId="19017F88" w:rsidR="00A663F1" w:rsidRDefault="00E46EDB">
      <w:pPr>
        <w:pStyle w:val="BodyText"/>
        <w:spacing w:before="4"/>
        <w:ind w:left="0" w:firstLine="0"/>
        <w:rPr>
          <w:sz w:val="10"/>
        </w:rPr>
      </w:pPr>
      <w:r>
        <w:rPr>
          <w:noProof/>
        </w:rPr>
        <mc:AlternateContent>
          <mc:Choice Requires="wps">
            <w:drawing>
              <wp:anchor distT="0" distB="0" distL="0" distR="0" simplePos="0" relativeHeight="487595520" behindDoc="1" locked="0" layoutInCell="1" allowOverlap="1" wp14:anchorId="0A4033BB" wp14:editId="7B697D86">
                <wp:simplePos x="0" y="0"/>
                <wp:positionH relativeFrom="page">
                  <wp:posOffset>541020</wp:posOffset>
                </wp:positionH>
                <wp:positionV relativeFrom="paragraph">
                  <wp:posOffset>100965</wp:posOffset>
                </wp:positionV>
                <wp:extent cx="1829435" cy="7620"/>
                <wp:effectExtent l="0" t="0" r="0" b="0"/>
                <wp:wrapTopAndBottom/>
                <wp:docPr id="1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943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31F3F9" id="Rectangle 9" o:spid="_x0000_s1026" style="position:absolute;margin-left:42.6pt;margin-top:7.95pt;width:144.05pt;height:.6pt;z-index:-157209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" fillcolor="black" stroked="f">
                <w10:wrap type="topAndBottom" anchorx="page"/>
              </v:rect>
            </w:pict>
          </mc:Fallback>
        </mc:AlternateContent>
      </w:r>
    </w:p>
    <w:p w14:paraId="2562AFF0" w14:textId="77777777" w:rsidR="00A663F1" w:rsidRDefault="00E46EDB">
      <w:pPr>
        <w:pStyle w:val="ListParagraph"/>
        <w:numPr>
          <w:ilvl w:val="0"/>
          <w:numId w:val="3"/>
        </w:numPr>
        <w:tabs>
          <w:tab w:val="left" w:pos="452"/>
        </w:tabs>
        <w:spacing w:before="67" w:line="256" w:lineRule="auto"/>
        <w:ind w:right="282" w:firstLine="0"/>
        <w:rPr>
          <w:sz w:val="16"/>
        </w:rPr>
      </w:pPr>
      <w:r>
        <w:rPr>
          <w:sz w:val="16"/>
        </w:rPr>
        <w:t xml:space="preserve">Federation of Small Business (2019) </w:t>
      </w:r>
      <w:r>
        <w:rPr>
          <w:i/>
          <w:sz w:val="16"/>
        </w:rPr>
        <w:t xml:space="preserve">FSB Voice of Small Business Index: Quarter 2, 2019 </w:t>
      </w:r>
      <w:r>
        <w:rPr>
          <w:sz w:val="16"/>
        </w:rPr>
        <w:t xml:space="preserve">Available at: </w:t>
      </w:r>
      <w:hyperlink r:id="rId46">
        <w:r>
          <w:rPr>
            <w:sz w:val="16"/>
            <w:u w:val="single"/>
          </w:rPr>
          <w:t>https://www.fsb.org.uk/docs/default-</w:t>
        </w:r>
      </w:hyperlink>
      <w:hyperlink r:id="rId47">
        <w:r>
          <w:rPr>
            <w:sz w:val="16"/>
            <w:u w:val="single"/>
          </w:rPr>
          <w:t xml:space="preserve"> source/fsb-org-uk/fsb-sbi-q2-2019-final.pdf?sfvrsn=3d13ed21_0</w:t>
        </w:r>
      </w:hyperlink>
    </w:p>
    <w:p w14:paraId="560456D7" w14:textId="77777777" w:rsidR="00A663F1" w:rsidRDefault="00E46EDB">
      <w:pPr>
        <w:pStyle w:val="ListParagraph"/>
        <w:numPr>
          <w:ilvl w:val="0"/>
          <w:numId w:val="3"/>
        </w:numPr>
        <w:tabs>
          <w:tab w:val="left" w:pos="452"/>
        </w:tabs>
        <w:spacing w:before="36" w:line="196" w:lineRule="exact"/>
        <w:ind w:right="149" w:firstLine="0"/>
        <w:rPr>
          <w:sz w:val="16"/>
        </w:rPr>
      </w:pPr>
      <w:r>
        <w:rPr>
          <w:sz w:val="16"/>
        </w:rPr>
        <w:t>ONS (2018) ‘Annual Survey of Hours and Earnings 2018, table 4.5a: gross hourly pay for all employee jobs by industry SIC (2007)’. Available at:</w:t>
      </w:r>
      <w:r>
        <w:rPr>
          <w:spacing w:val="-2"/>
          <w:sz w:val="16"/>
        </w:rPr>
        <w:t xml:space="preserve"> </w:t>
      </w:r>
      <w:hyperlink r:id="rId48">
        <w:r>
          <w:rPr>
            <w:sz w:val="16"/>
            <w:u w:val="single"/>
          </w:rPr>
          <w:t>https://www.ons.gov.uk/employmentandlabourmarket/peopleinwork/earningsandworkinghours/datasets/industry2digitsicashetable4</w:t>
        </w:r>
      </w:hyperlink>
    </w:p>
    <w:p w14:paraId="7F8448F9" w14:textId="77777777" w:rsidR="00A663F1" w:rsidRDefault="00A663F1">
      <w:pPr>
        <w:spacing w:line="196" w:lineRule="exact"/>
        <w:rPr>
          <w:sz w:val="16"/>
        </w:rPr>
        <w:sectPr w:rsidR="00A663F1">
          <w:pgSz w:w="11910" w:h="16850"/>
          <w:pgMar w:top="600" w:right="720" w:bottom="960" w:left="600" w:header="0" w:footer="761" w:gutter="0"/>
          <w:cols w:space="720"/>
        </w:sectPr>
      </w:pPr>
    </w:p>
    <w:p w14:paraId="10F0749E" w14:textId="77777777" w:rsidR="00A663F1" w:rsidRDefault="00E46EDB">
      <w:pPr>
        <w:pStyle w:val="BodyText"/>
        <w:spacing w:before="78"/>
        <w:ind w:right="476" w:firstLine="0"/>
      </w:pPr>
      <w:r>
        <w:lastRenderedPageBreak/>
        <w:t xml:space="preserve">assessment </w:t>
      </w:r>
      <w:proofErr w:type="gramStart"/>
      <w:r>
        <w:t>were</w:t>
      </w:r>
      <w:proofErr w:type="gramEnd"/>
      <w:r>
        <w:t xml:space="preserve"> not able to quantify whether SMBs operate more risk tolerant lending strategies than larger firms or whether they lend at less competitive rates. They suggested – anecdotally – that this was unlikely to be the case. Therefore, SMBs are not expected to bear disproportionate costs as a result of interest and charges foregone.</w:t>
      </w:r>
    </w:p>
    <w:p w14:paraId="73B6841F" w14:textId="77777777" w:rsidR="00A663F1" w:rsidRDefault="00E46EDB">
      <w:pPr>
        <w:pStyle w:val="ListParagraph"/>
        <w:numPr>
          <w:ilvl w:val="1"/>
          <w:numId w:val="9"/>
        </w:numPr>
        <w:tabs>
          <w:tab w:val="left" w:pos="1692"/>
          <w:tab w:val="left" w:pos="1693"/>
        </w:tabs>
        <w:spacing w:before="121"/>
        <w:ind w:right="135"/>
      </w:pPr>
      <w:r>
        <w:t>As discussed in section 20, firms are expected to make systems changes only where it is economical to do so. Whether or not this is the case will be a factor of the costs of complying with the policy manually via administrative workaround, which will be a product of the number of interventions required, which will in turn be a product of the number of people that each business sees enter Breathing Space. As discussed above, it was not possible to assess whether SMBs were more likely to see their clients enter Breathing Space than larger firms, though anecdotal evidence suggests that this is unlikely. For that reason, SMBs are not expected to face higher systems change costs than larger</w:t>
      </w:r>
      <w:r>
        <w:rPr>
          <w:spacing w:val="-8"/>
        </w:rPr>
        <w:t xml:space="preserve"> </w:t>
      </w:r>
      <w:r>
        <w:t>firms.</w:t>
      </w:r>
    </w:p>
    <w:p w14:paraId="3BF79857" w14:textId="77777777" w:rsidR="00A663F1" w:rsidRDefault="00E46EDB">
      <w:pPr>
        <w:pStyle w:val="ListParagraph"/>
        <w:numPr>
          <w:ilvl w:val="1"/>
          <w:numId w:val="9"/>
        </w:numPr>
        <w:tabs>
          <w:tab w:val="left" w:pos="1692"/>
          <w:tab w:val="left" w:pos="1693"/>
        </w:tabs>
        <w:ind w:right="161"/>
      </w:pPr>
      <w:r>
        <w:t>Some firms may be forced to make systems changes not because doing so is more economical than complying with Breathing Space via administrative intervention, but because of their business models. For example, firms that depend upon a high level of automation might not be able to hire the staff required to make administrative changes without fundamentally restructuring. Data on the extent to which firms rely on automation was not available, so it has not been possible to assess the extent to which SMBs might be forced to make systems changes.</w:t>
      </w:r>
    </w:p>
    <w:p w14:paraId="249C1DD8" w14:textId="77777777" w:rsidR="00A663F1" w:rsidRDefault="00E46EDB">
      <w:pPr>
        <w:pStyle w:val="Heading1"/>
        <w:numPr>
          <w:ilvl w:val="0"/>
          <w:numId w:val="9"/>
        </w:numPr>
        <w:tabs>
          <w:tab w:val="left" w:pos="613"/>
        </w:tabs>
      </w:pPr>
      <w:r>
        <w:t>Small and Microbusiness Assessment – exemption and</w:t>
      </w:r>
      <w:r>
        <w:rPr>
          <w:spacing w:val="-7"/>
        </w:rPr>
        <w:t xml:space="preserve"> </w:t>
      </w:r>
      <w:r>
        <w:t>mitigations</w:t>
      </w:r>
    </w:p>
    <w:p w14:paraId="1431B1F3" w14:textId="77777777" w:rsidR="00A663F1" w:rsidRDefault="00E46EDB">
      <w:pPr>
        <w:pStyle w:val="ListParagraph"/>
        <w:numPr>
          <w:ilvl w:val="1"/>
          <w:numId w:val="9"/>
        </w:numPr>
        <w:tabs>
          <w:tab w:val="left" w:pos="1692"/>
          <w:tab w:val="left" w:pos="1693"/>
        </w:tabs>
        <w:spacing w:before="119"/>
        <w:ind w:right="176"/>
      </w:pPr>
      <w:r>
        <w:t>The assessment above identified some disproportionate costs to SMBs. Although there is no evidence – save for in the housing sector – that SMBs will see more of their clients enter Breathing Space than larger firms, there is strong evidence that SMBs will face higher costs per debtor in Breathing Space than larger firms. For example, the costs to SMBs of delayed revenue and of familiarisation with the policy will be higher than those faced by larger</w:t>
      </w:r>
      <w:r>
        <w:rPr>
          <w:spacing w:val="-23"/>
        </w:rPr>
        <w:t xml:space="preserve"> </w:t>
      </w:r>
      <w:r>
        <w:t>businesses.</w:t>
      </w:r>
    </w:p>
    <w:p w14:paraId="51847FE2" w14:textId="77777777" w:rsidR="00A663F1" w:rsidRDefault="00E46EDB">
      <w:pPr>
        <w:pStyle w:val="ListParagraph"/>
        <w:numPr>
          <w:ilvl w:val="1"/>
          <w:numId w:val="9"/>
        </w:numPr>
        <w:tabs>
          <w:tab w:val="left" w:pos="1692"/>
          <w:tab w:val="left" w:pos="1693"/>
        </w:tabs>
        <w:spacing w:before="122"/>
        <w:ind w:right="153"/>
      </w:pPr>
      <w:r>
        <w:t xml:space="preserve">For that reason, the government considered full exemption for SMBs. This would mean that debts owed to SMBs would not fall within the protections of Breathing Space. The government concluded that this would undermine the wider policy intent of incentivising people in problem debt to take-up debt advice and of promoting more positive debt advice outcomes, as it would not provide genuine respite from enforcement action and spiralling debts, particularly where debtors’ liabilities were mostly or entirely to creditors who were excluded from the protections of the scheme. This would mean that debtors with the same debt types and levels would be treated differently </w:t>
      </w:r>
      <w:proofErr w:type="gramStart"/>
      <w:r>
        <w:t>on the basis of</w:t>
      </w:r>
      <w:proofErr w:type="gramEnd"/>
      <w:r>
        <w:t xml:space="preserve"> the number of employees of their creditor. For debtors whose only debts were to SMBs, there would be no additional incentive to seek debt advice. For those undergoing enforcement action and continuing to accrue interest and charges on some of their debts, they would not have the headspace to identify and enter the most appropriate debt solution, rather than the most readily</w:t>
      </w:r>
      <w:r>
        <w:rPr>
          <w:spacing w:val="-13"/>
        </w:rPr>
        <w:t xml:space="preserve"> </w:t>
      </w:r>
      <w:r>
        <w:t>accessible.</w:t>
      </w:r>
    </w:p>
    <w:p w14:paraId="632ADB50" w14:textId="77777777" w:rsidR="00A663F1" w:rsidRDefault="00E46EDB">
      <w:pPr>
        <w:pStyle w:val="ListParagraph"/>
        <w:numPr>
          <w:ilvl w:val="1"/>
          <w:numId w:val="9"/>
        </w:numPr>
        <w:tabs>
          <w:tab w:val="left" w:pos="1692"/>
          <w:tab w:val="left" w:pos="1693"/>
        </w:tabs>
        <w:spacing w:before="118"/>
        <w:ind w:right="346"/>
      </w:pPr>
      <w:r>
        <w:t>Separately, full exemption would impose an excessive administrative burden on debt advice agencies or an undeliverable obligation on the Insolvency Service: either debt advice agencies or the Insolvency Service would need to verify that a creditor was an SMB. As such evidence is not readily available, this would require administratively burdensome investigation and verification, as well as introducing the risk of gaming on the part of unscrupulous</w:t>
      </w:r>
      <w:r>
        <w:rPr>
          <w:spacing w:val="-29"/>
        </w:rPr>
        <w:t xml:space="preserve"> </w:t>
      </w:r>
      <w:r>
        <w:t>creditors.</w:t>
      </w:r>
    </w:p>
    <w:p w14:paraId="7E2C8093" w14:textId="77777777" w:rsidR="00A663F1" w:rsidRDefault="00E46EDB">
      <w:pPr>
        <w:pStyle w:val="ListParagraph"/>
        <w:numPr>
          <w:ilvl w:val="1"/>
          <w:numId w:val="9"/>
        </w:numPr>
        <w:tabs>
          <w:tab w:val="left" w:pos="1692"/>
          <w:tab w:val="left" w:pos="1693"/>
        </w:tabs>
        <w:spacing w:before="121"/>
        <w:ind w:right="631"/>
      </w:pPr>
      <w:r>
        <w:t>As full exemption would not achieve the policy intent and would be undeliverable, the government considered a range of</w:t>
      </w:r>
      <w:r>
        <w:rPr>
          <w:spacing w:val="-4"/>
        </w:rPr>
        <w:t xml:space="preserve"> </w:t>
      </w:r>
      <w:r>
        <w:t>mitigations.</w:t>
      </w:r>
    </w:p>
    <w:p w14:paraId="0C4D728E" w14:textId="77777777" w:rsidR="00A663F1" w:rsidRDefault="00E46EDB">
      <w:pPr>
        <w:pStyle w:val="ListParagraph"/>
        <w:numPr>
          <w:ilvl w:val="2"/>
          <w:numId w:val="9"/>
        </w:numPr>
        <w:tabs>
          <w:tab w:val="left" w:pos="1693"/>
        </w:tabs>
        <w:ind w:right="160" w:hanging="504"/>
      </w:pPr>
      <w:r>
        <w:t xml:space="preserve">In recognition of the fact that SMBs will face higher familiarisation costs, the government could provide additional time for SMB creditors to comply with Breathing Space, bringing SMB debts into Breathing Space </w:t>
      </w:r>
      <w:proofErr w:type="gramStart"/>
      <w:r>
        <w:t>at a later date</w:t>
      </w:r>
      <w:proofErr w:type="gramEnd"/>
      <w:r>
        <w:t xml:space="preserve"> than the commencement of the wider policy. This would not be proportionate, given that the costs to SMBs are not forecast to be significantly higher than to larger businesses. It would also undermine the policy intent for debtors who have debts only to</w:t>
      </w:r>
      <w:r>
        <w:rPr>
          <w:spacing w:val="-5"/>
        </w:rPr>
        <w:t xml:space="preserve"> </w:t>
      </w:r>
      <w:r>
        <w:t>SMBs.</w:t>
      </w:r>
    </w:p>
    <w:p w14:paraId="12305B79" w14:textId="77777777" w:rsidR="00A663F1" w:rsidRDefault="00E46EDB">
      <w:pPr>
        <w:pStyle w:val="ListParagraph"/>
        <w:numPr>
          <w:ilvl w:val="2"/>
          <w:numId w:val="9"/>
        </w:numPr>
        <w:tabs>
          <w:tab w:val="left" w:pos="1693"/>
        </w:tabs>
        <w:spacing w:before="122"/>
        <w:ind w:right="180" w:hanging="504"/>
      </w:pPr>
      <w:r>
        <w:t xml:space="preserve">The government could apply the protections of Breathing Space to debts owed to SMBs only in respect of pausing enforcement, allowing SMBs to continue charging interest and adding charges. This would not achieve the policy intent, as the effect on debtors undergoing enforcement action in respect of one creditor is </w:t>
      </w:r>
      <w:proofErr w:type="gramStart"/>
      <w:r>
        <w:t>similar to</w:t>
      </w:r>
      <w:proofErr w:type="gramEnd"/>
      <w:r>
        <w:t xml:space="preserve"> that of debtors undergoing enforcement action across a range of creditors: it would reduce their</w:t>
      </w:r>
      <w:r>
        <w:rPr>
          <w:spacing w:val="-24"/>
        </w:rPr>
        <w:t xml:space="preserve"> </w:t>
      </w:r>
      <w:r>
        <w:t>headspace</w:t>
      </w:r>
    </w:p>
    <w:p w14:paraId="6431F909" w14:textId="77777777" w:rsidR="00A663F1" w:rsidRDefault="00A663F1">
      <w:pPr>
        <w:sectPr w:rsidR="00A663F1">
          <w:pgSz w:w="11910" w:h="16850"/>
          <w:pgMar w:top="600" w:right="720" w:bottom="1020" w:left="600" w:header="0" w:footer="761" w:gutter="0"/>
          <w:cols w:space="720"/>
        </w:sectPr>
      </w:pPr>
    </w:p>
    <w:p w14:paraId="6C2BC46E" w14:textId="77777777" w:rsidR="00A663F1" w:rsidRDefault="00E46EDB">
      <w:pPr>
        <w:pStyle w:val="BodyText"/>
        <w:spacing w:before="78"/>
        <w:ind w:left="1476" w:right="410" w:firstLine="0"/>
      </w:pPr>
      <w:r>
        <w:lastRenderedPageBreak/>
        <w:t>to engage with debt advice, undermining the policy intent of promoting more positive debt advice outcomes. In addition, the operational difficulty set out in paragraph 25.3 would apply.</w:t>
      </w:r>
    </w:p>
    <w:p w14:paraId="661B9AF5" w14:textId="77777777" w:rsidR="00A663F1" w:rsidRDefault="00E46EDB">
      <w:pPr>
        <w:pStyle w:val="ListParagraph"/>
        <w:numPr>
          <w:ilvl w:val="2"/>
          <w:numId w:val="9"/>
        </w:numPr>
        <w:tabs>
          <w:tab w:val="left" w:pos="1693"/>
        </w:tabs>
        <w:spacing w:before="122"/>
        <w:ind w:right="271" w:hanging="504"/>
      </w:pPr>
      <w:r>
        <w:t>The government could reduce the duration of Breathing Space in respect of debts owed to SMBs. This would reduce the ongoing costs to SMB creditors, such as delayed</w:t>
      </w:r>
      <w:r>
        <w:rPr>
          <w:spacing w:val="-27"/>
        </w:rPr>
        <w:t xml:space="preserve"> </w:t>
      </w:r>
      <w:r>
        <w:t>revenue, but not the transitional costs of, for example, familiarisation. As with the mitigations discussed above, this mitigation would compromise the policy intent while delivering only a small benefit to SMBs, so this mitigation would be disproportionate. The operational challenge set out in paragraph 25.3 would</w:t>
      </w:r>
      <w:r>
        <w:rPr>
          <w:spacing w:val="3"/>
        </w:rPr>
        <w:t xml:space="preserve"> </w:t>
      </w:r>
      <w:r>
        <w:t>apply.</w:t>
      </w:r>
    </w:p>
    <w:p w14:paraId="4C149187" w14:textId="77777777" w:rsidR="00A663F1" w:rsidRDefault="00E46EDB">
      <w:pPr>
        <w:pStyle w:val="ListParagraph"/>
        <w:numPr>
          <w:ilvl w:val="1"/>
          <w:numId w:val="9"/>
        </w:numPr>
        <w:tabs>
          <w:tab w:val="left" w:pos="1692"/>
          <w:tab w:val="left" w:pos="1693"/>
        </w:tabs>
        <w:spacing w:before="119"/>
        <w:ind w:right="146"/>
      </w:pPr>
      <w:proofErr w:type="gramStart"/>
      <w:r>
        <w:t>All of</w:t>
      </w:r>
      <w:proofErr w:type="gramEnd"/>
      <w:r>
        <w:t xml:space="preserve"> these mitigations would significantly undermine the policy intent, so the government will not provide mitigations for SMBs. Exemption would also critically undermine the policy intent. The government does not propose to treat debts owed to SMBs differently to those owed to larger creditors.</w:t>
      </w:r>
    </w:p>
    <w:p w14:paraId="4C1FD0CB" w14:textId="77777777" w:rsidR="00A663F1" w:rsidRDefault="00E46EDB">
      <w:pPr>
        <w:pStyle w:val="Heading1"/>
        <w:numPr>
          <w:ilvl w:val="0"/>
          <w:numId w:val="9"/>
        </w:numPr>
        <w:tabs>
          <w:tab w:val="left" w:pos="613"/>
        </w:tabs>
      </w:pPr>
      <w:r>
        <w:t>Wider</w:t>
      </w:r>
      <w:r>
        <w:rPr>
          <w:spacing w:val="-1"/>
        </w:rPr>
        <w:t xml:space="preserve"> </w:t>
      </w:r>
      <w:r>
        <w:t>impacts</w:t>
      </w:r>
    </w:p>
    <w:p w14:paraId="7B99D309" w14:textId="77777777" w:rsidR="00A663F1" w:rsidRDefault="00E46EDB">
      <w:pPr>
        <w:pStyle w:val="ListParagraph"/>
        <w:numPr>
          <w:ilvl w:val="1"/>
          <w:numId w:val="9"/>
        </w:numPr>
        <w:tabs>
          <w:tab w:val="left" w:pos="1692"/>
          <w:tab w:val="left" w:pos="1693"/>
        </w:tabs>
        <w:spacing w:before="119"/>
        <w:ind w:right="300"/>
      </w:pPr>
      <w:r>
        <w:t xml:space="preserve">The government’s preferred option has been formulated with due regard to the Public Sector Equality Duty. Several potential disadvantages in access to Breathing Space have been identified as arising </w:t>
      </w:r>
      <w:proofErr w:type="gramStart"/>
      <w:r>
        <w:t>as a consequence of</w:t>
      </w:r>
      <w:proofErr w:type="gramEnd"/>
      <w:r>
        <w:t xml:space="preserve"> debtors’ protected characteristics. These have been mitigated</w:t>
      </w:r>
      <w:r>
        <w:rPr>
          <w:spacing w:val="-3"/>
        </w:rPr>
        <w:t xml:space="preserve"> </w:t>
      </w:r>
      <w:r>
        <w:t>appropriately.</w:t>
      </w:r>
    </w:p>
    <w:p w14:paraId="5741F18F" w14:textId="77777777" w:rsidR="00A663F1" w:rsidRDefault="00E46EDB">
      <w:pPr>
        <w:pStyle w:val="ListParagraph"/>
        <w:numPr>
          <w:ilvl w:val="2"/>
          <w:numId w:val="9"/>
        </w:numPr>
        <w:tabs>
          <w:tab w:val="left" w:pos="1693"/>
        </w:tabs>
        <w:spacing w:before="122"/>
        <w:ind w:right="198" w:hanging="504"/>
      </w:pPr>
      <w:r>
        <w:rPr>
          <w:b/>
        </w:rPr>
        <w:t xml:space="preserve">Age: </w:t>
      </w:r>
      <w:proofErr w:type="gramStart"/>
      <w:r>
        <w:t>the</w:t>
      </w:r>
      <w:proofErr w:type="gramEnd"/>
      <w:r>
        <w:t xml:space="preserve"> Money Advice Service estimates that 1% of the overindebted population is aged over 65.</w:t>
      </w:r>
      <w:r>
        <w:rPr>
          <w:vertAlign w:val="superscript"/>
        </w:rPr>
        <w:t>33</w:t>
      </w:r>
      <w:r>
        <w:t xml:space="preserve"> The Wyman Review suggests that 7% of debt advice clients are aged over 65.</w:t>
      </w:r>
      <w:r>
        <w:rPr>
          <w:vertAlign w:val="superscript"/>
        </w:rPr>
        <w:t>34</w:t>
      </w:r>
      <w:r>
        <w:t xml:space="preserve"> This suggests that people in problem debt who are aged over-65 will benefit disproportionately from Breathing Space. However, evidence from Ofcom suggests that people aged over-65 may be less able to access debt advice via online or telephone channels than the general population. For example, people aged 65-74 are 15 percentage points less likely than the adult population to use a mobile phone, nine percentage points less likely to use a computer, and 16 percentage points less likely to use a tablet.</w:t>
      </w:r>
      <w:r>
        <w:rPr>
          <w:vertAlign w:val="superscript"/>
        </w:rPr>
        <w:t>35</w:t>
      </w:r>
      <w:r>
        <w:t xml:space="preserve"> To ensure that this inequality of access to debt advice delivered via telephone or online channels does not discriminate against those aged over-65, the government will make Breathing Space accessible via either telephone, online, or face-to-face debt advice channels.</w:t>
      </w:r>
    </w:p>
    <w:p w14:paraId="17DCED5E" w14:textId="77777777" w:rsidR="00A663F1" w:rsidRDefault="00E46EDB">
      <w:pPr>
        <w:pStyle w:val="ListParagraph"/>
        <w:numPr>
          <w:ilvl w:val="2"/>
          <w:numId w:val="9"/>
        </w:numPr>
        <w:tabs>
          <w:tab w:val="left" w:pos="1693"/>
        </w:tabs>
        <w:ind w:right="227" w:hanging="504"/>
      </w:pPr>
      <w:r>
        <w:rPr>
          <w:b/>
        </w:rPr>
        <w:t xml:space="preserve">Gender: </w:t>
      </w:r>
      <w:r>
        <w:t>the Money Advice Service estimates that 64% of overindebted people are female.</w:t>
      </w:r>
      <w:r>
        <w:rPr>
          <w:vertAlign w:val="superscript"/>
        </w:rPr>
        <w:t>36</w:t>
      </w:r>
      <w:r>
        <w:t xml:space="preserve"> The Wyman Review suggests that 59% of debt advice clients are female.</w:t>
      </w:r>
      <w:r>
        <w:rPr>
          <w:vertAlign w:val="superscript"/>
        </w:rPr>
        <w:t>37</w:t>
      </w:r>
      <w:r>
        <w:t xml:space="preserve"> This suggests that Breathing Space is more likely to benefit females than males, both because females are more likely to be overindebted but also because they are more likely to take-up debt advice.</w:t>
      </w:r>
    </w:p>
    <w:p w14:paraId="118AF0A4" w14:textId="77777777" w:rsidR="00A663F1" w:rsidRDefault="00E46EDB">
      <w:pPr>
        <w:pStyle w:val="ListParagraph"/>
        <w:numPr>
          <w:ilvl w:val="2"/>
          <w:numId w:val="9"/>
        </w:numPr>
        <w:tabs>
          <w:tab w:val="left" w:pos="1693"/>
        </w:tabs>
        <w:ind w:right="232" w:hanging="504"/>
      </w:pPr>
      <w:r>
        <w:rPr>
          <w:b/>
        </w:rPr>
        <w:t xml:space="preserve">Disability: </w:t>
      </w:r>
      <w:r>
        <w:t>the Wyman Review estimates that 40% of debt advice clients suffer from a disability or long-term health condition.</w:t>
      </w:r>
      <w:r>
        <w:rPr>
          <w:vertAlign w:val="superscript"/>
        </w:rPr>
        <w:t>38</w:t>
      </w:r>
      <w:r>
        <w:t xml:space="preserve"> Disability may restrict the channels through which debtors may seek advice. For example, the Money and Mental Health Policy Institute suggests that those with mental health problems are 22 percentage points more likely than the population in general to have serious difficulty carrying out essential administration over the phone.</w:t>
      </w:r>
      <w:r>
        <w:rPr>
          <w:vertAlign w:val="superscript"/>
        </w:rPr>
        <w:t>39</w:t>
      </w:r>
      <w:r>
        <w:t xml:space="preserve"> Likewise, difficulties of physical access may make seeking face-to-face debt advice problematic for those with physical health</w:t>
      </w:r>
      <w:r>
        <w:rPr>
          <w:spacing w:val="-6"/>
        </w:rPr>
        <w:t xml:space="preserve"> </w:t>
      </w:r>
      <w:r>
        <w:t>problems.</w:t>
      </w:r>
    </w:p>
    <w:p w14:paraId="1A3E6D9E" w14:textId="77777777" w:rsidR="00A663F1" w:rsidRDefault="00E46EDB">
      <w:pPr>
        <w:pStyle w:val="ListParagraph"/>
        <w:numPr>
          <w:ilvl w:val="2"/>
          <w:numId w:val="9"/>
        </w:numPr>
        <w:tabs>
          <w:tab w:val="left" w:pos="1693"/>
        </w:tabs>
        <w:spacing w:before="119"/>
        <w:ind w:right="212" w:hanging="504"/>
      </w:pPr>
      <w:r>
        <w:t>To ensure that difficulties in accessing debt advice via some channels does not discriminate against disabled people accessing Breathing Space, the government will make Breathing Space accessible via a range of debt advice channels, including</w:t>
      </w:r>
      <w:r>
        <w:rPr>
          <w:spacing w:val="-5"/>
        </w:rPr>
        <w:t xml:space="preserve"> </w:t>
      </w:r>
      <w:r>
        <w:t>telephone,</w:t>
      </w:r>
    </w:p>
    <w:p w14:paraId="67FFF60D" w14:textId="298950C6" w:rsidR="00A663F1" w:rsidRDefault="00E46EDB">
      <w:pPr>
        <w:pStyle w:val="BodyText"/>
        <w:spacing w:before="11"/>
        <w:ind w:left="0" w:firstLine="0"/>
        <w:rPr>
          <w:sz w:val="25"/>
        </w:rPr>
      </w:pPr>
      <w:r>
        <w:rPr>
          <w:noProof/>
        </w:rPr>
        <mc:AlternateContent>
          <mc:Choice Requires="wps">
            <w:drawing>
              <wp:anchor distT="0" distB="0" distL="0" distR="0" simplePos="0" relativeHeight="487596032" behindDoc="1" locked="0" layoutInCell="1" allowOverlap="1" wp14:anchorId="5C0D44E7" wp14:editId="034FDACB">
                <wp:simplePos x="0" y="0"/>
                <wp:positionH relativeFrom="page">
                  <wp:posOffset>541020</wp:posOffset>
                </wp:positionH>
                <wp:positionV relativeFrom="paragraph">
                  <wp:posOffset>214630</wp:posOffset>
                </wp:positionV>
                <wp:extent cx="1829435" cy="7620"/>
                <wp:effectExtent l="0" t="0" r="0" b="0"/>
                <wp:wrapTopAndBottom/>
                <wp:docPr id="1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943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E9838D" id="Rectangle 8" o:spid="_x0000_s1026" style="position:absolute;margin-left:42.6pt;margin-top:16.9pt;width:144.05pt;height:.6pt;z-index:-15720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" fillcolor="black" stroked="f">
                <w10:wrap type="topAndBottom" anchorx="page"/>
              </v:rect>
            </w:pict>
          </mc:Fallback>
        </mc:AlternateContent>
      </w:r>
    </w:p>
    <w:p w14:paraId="618F3EA4" w14:textId="77777777" w:rsidR="00A663F1" w:rsidRDefault="00E46EDB">
      <w:pPr>
        <w:pStyle w:val="ListParagraph"/>
        <w:numPr>
          <w:ilvl w:val="0"/>
          <w:numId w:val="3"/>
        </w:numPr>
        <w:tabs>
          <w:tab w:val="left" w:pos="452"/>
        </w:tabs>
        <w:spacing w:before="67" w:line="256" w:lineRule="auto"/>
        <w:ind w:right="177" w:firstLine="0"/>
        <w:rPr>
          <w:sz w:val="16"/>
        </w:rPr>
      </w:pPr>
      <w:r>
        <w:rPr>
          <w:sz w:val="16"/>
        </w:rPr>
        <w:t xml:space="preserve">Money Advice Service (2013) </w:t>
      </w:r>
      <w:r>
        <w:rPr>
          <w:i/>
          <w:sz w:val="16"/>
        </w:rPr>
        <w:t xml:space="preserve">Indebted Lives: The Complexities </w:t>
      </w:r>
      <w:proofErr w:type="gramStart"/>
      <w:r>
        <w:rPr>
          <w:i/>
          <w:sz w:val="16"/>
        </w:rPr>
        <w:t>Of</w:t>
      </w:r>
      <w:proofErr w:type="gramEnd"/>
      <w:r>
        <w:rPr>
          <w:i/>
          <w:sz w:val="16"/>
        </w:rPr>
        <w:t xml:space="preserve"> Life In Debt. </w:t>
      </w:r>
      <w:r>
        <w:rPr>
          <w:sz w:val="16"/>
        </w:rPr>
        <w:t xml:space="preserve">Available at: </w:t>
      </w:r>
      <w:hyperlink r:id="rId49">
        <w:r>
          <w:rPr>
            <w:sz w:val="16"/>
            <w:u w:val="single"/>
          </w:rPr>
          <w:t>https://mascdn.azureedge.net/cms/cs-indebted-</w:t>
        </w:r>
      </w:hyperlink>
      <w:hyperlink r:id="rId50">
        <w:r>
          <w:rPr>
            <w:sz w:val="16"/>
            <w:u w:val="single"/>
          </w:rPr>
          <w:t xml:space="preserve"> lives-the-complexities-of-life-in-debt_november-2013.pdf</w:t>
        </w:r>
      </w:hyperlink>
    </w:p>
    <w:p w14:paraId="4F630553" w14:textId="77777777" w:rsidR="00A663F1" w:rsidRDefault="00E46EDB">
      <w:pPr>
        <w:spacing w:line="227" w:lineRule="exact"/>
        <w:ind w:left="252"/>
        <w:rPr>
          <w:sz w:val="16"/>
        </w:rPr>
      </w:pPr>
      <w:r>
        <w:rPr>
          <w:position w:val="8"/>
          <w:sz w:val="14"/>
        </w:rPr>
        <w:t xml:space="preserve">34 </w:t>
      </w:r>
      <w:r>
        <w:rPr>
          <w:sz w:val="16"/>
        </w:rPr>
        <w:t>Wyman (2018)</w:t>
      </w:r>
    </w:p>
    <w:p w14:paraId="24D022A3" w14:textId="77777777" w:rsidR="00A663F1" w:rsidRDefault="00E46EDB">
      <w:pPr>
        <w:pStyle w:val="ListParagraph"/>
        <w:numPr>
          <w:ilvl w:val="0"/>
          <w:numId w:val="2"/>
        </w:numPr>
        <w:tabs>
          <w:tab w:val="left" w:pos="452"/>
        </w:tabs>
        <w:spacing w:before="9"/>
        <w:rPr>
          <w:sz w:val="16"/>
        </w:rPr>
      </w:pPr>
      <w:r>
        <w:rPr>
          <w:sz w:val="16"/>
        </w:rPr>
        <w:t xml:space="preserve">Ofcom (2017) </w:t>
      </w:r>
      <w:r>
        <w:rPr>
          <w:i/>
          <w:sz w:val="16"/>
        </w:rPr>
        <w:t>Adults’ Media Use and Attitudes Report 2017</w:t>
      </w:r>
      <w:r>
        <w:rPr>
          <w:sz w:val="16"/>
        </w:rPr>
        <w:t>. Available</w:t>
      </w:r>
      <w:r>
        <w:rPr>
          <w:spacing w:val="-9"/>
          <w:sz w:val="16"/>
        </w:rPr>
        <w:t xml:space="preserve"> </w:t>
      </w:r>
      <w:r>
        <w:rPr>
          <w:sz w:val="16"/>
        </w:rPr>
        <w:t>at:</w:t>
      </w:r>
    </w:p>
    <w:p w14:paraId="5FCD86C1" w14:textId="77777777" w:rsidR="00A663F1" w:rsidRDefault="00446697">
      <w:pPr>
        <w:spacing w:before="13"/>
        <w:ind w:left="252"/>
        <w:rPr>
          <w:sz w:val="16"/>
        </w:rPr>
      </w:pPr>
      <w:hyperlink r:id="rId51">
        <w:r w:rsidR="00E46EDB">
          <w:rPr>
            <w:sz w:val="16"/>
          </w:rPr>
          <w:t>https://www.ofcom.org.uk/ data/assets/pdf_file/0019/102772/section-5-digital-media.pdf</w:t>
        </w:r>
      </w:hyperlink>
    </w:p>
    <w:p w14:paraId="6AB77526" w14:textId="2298C04A" w:rsidR="00A663F1" w:rsidRDefault="00E46EDB">
      <w:pPr>
        <w:pStyle w:val="BodyText"/>
        <w:spacing w:before="0" w:line="20" w:lineRule="exact"/>
        <w:ind w:left="252" w:firstLine="0"/>
        <w:rPr>
          <w:sz w:val="2"/>
        </w:rPr>
      </w:pPr>
      <w:r>
        <w:rPr>
          <w:noProof/>
          <w:sz w:val="2"/>
        </w:rPr>
        <mc:AlternateContent>
          <mc:Choice Requires="wpg">
            <w:drawing>
              <wp:inline distT="0" distB="0" distL="0" distR="0" wp14:anchorId="04194610" wp14:editId="5CF0F2A0">
                <wp:extent cx="3999865" cy="10160"/>
                <wp:effectExtent l="0" t="5715" r="2540" b="3175"/>
                <wp:docPr id="10"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99865" cy="10160"/>
                          <a:chOff x="0" y="0"/>
                          <a:chExt cx="6299" cy="16"/>
                        </a:xfrm>
                      </wpg:grpSpPr>
                      <wps:wsp>
                        <wps:cNvPr id="11" name="Line 7"/>
                        <wps:cNvCnPr>
                          <a:cxnSpLocks noChangeShapeType="1"/>
                        </wps:cNvCnPr>
                        <wps:spPr bwMode="auto">
                          <a:xfrm>
                            <a:off x="1841" y="10"/>
                            <a:ext cx="178" cy="0"/>
                          </a:xfrm>
                          <a:prstGeom prst="line">
                            <a:avLst/>
                          </a:prstGeom>
                          <a:noFill/>
                          <a:ln w="643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 name="Rectangle 6"/>
                        <wps:cNvSpPr>
                          <a:spLocks noChangeArrowheads="1"/>
                        </wps:cNvSpPr>
                        <wps:spPr bwMode="auto">
                          <a:xfrm>
                            <a:off x="0" y="0"/>
                            <a:ext cx="6299"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D290543" id="Group 5" o:spid="_x0000_s1026" style="width:314.95pt;height:.8pt;mso-position-horizontal-relative:char;mso-position-vertical-relative:line" coordsize="629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">
                <v:line id="Line 7" o:spid="_x0000_s1027" style="position:absolute;visibility:visible;mso-wrap-style:square" from="1841,10" to="2019,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" strokeweight=".17869mm"/>
                <v:rect id="Rectangle 6" o:spid="_x0000_s1028" style="position:absolute;width:6299;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" fillcolor="black" stroked="f"/>
                <w10:anchorlock/>
              </v:group>
            </w:pict>
          </mc:Fallback>
        </mc:AlternateContent>
      </w:r>
    </w:p>
    <w:p w14:paraId="1B16273F" w14:textId="77777777" w:rsidR="00A663F1" w:rsidRDefault="00E46EDB">
      <w:pPr>
        <w:pStyle w:val="ListParagraph"/>
        <w:numPr>
          <w:ilvl w:val="0"/>
          <w:numId w:val="2"/>
        </w:numPr>
        <w:tabs>
          <w:tab w:val="left" w:pos="452"/>
        </w:tabs>
        <w:spacing w:before="0" w:line="220" w:lineRule="exact"/>
        <w:rPr>
          <w:sz w:val="16"/>
        </w:rPr>
      </w:pPr>
      <w:r>
        <w:rPr>
          <w:sz w:val="16"/>
        </w:rPr>
        <w:t>Money Advice Service</w:t>
      </w:r>
      <w:r>
        <w:rPr>
          <w:spacing w:val="-4"/>
          <w:sz w:val="16"/>
        </w:rPr>
        <w:t xml:space="preserve"> </w:t>
      </w:r>
      <w:r>
        <w:rPr>
          <w:sz w:val="16"/>
        </w:rPr>
        <w:t>(2013)</w:t>
      </w:r>
    </w:p>
    <w:p w14:paraId="3BEC59B4" w14:textId="77777777" w:rsidR="00A663F1" w:rsidRDefault="00E46EDB">
      <w:pPr>
        <w:spacing w:before="6" w:line="245" w:lineRule="exact"/>
        <w:ind w:left="252"/>
        <w:rPr>
          <w:sz w:val="16"/>
        </w:rPr>
      </w:pPr>
      <w:r>
        <w:rPr>
          <w:position w:val="8"/>
          <w:sz w:val="14"/>
        </w:rPr>
        <w:t xml:space="preserve">37 </w:t>
      </w:r>
      <w:r>
        <w:rPr>
          <w:sz w:val="16"/>
        </w:rPr>
        <w:t>Wyman (2018)</w:t>
      </w:r>
    </w:p>
    <w:p w14:paraId="753A229B" w14:textId="77777777" w:rsidR="00A663F1" w:rsidRDefault="00E46EDB">
      <w:pPr>
        <w:pStyle w:val="ListParagraph"/>
        <w:numPr>
          <w:ilvl w:val="0"/>
          <w:numId w:val="1"/>
        </w:numPr>
        <w:tabs>
          <w:tab w:val="left" w:pos="452"/>
        </w:tabs>
        <w:spacing w:before="0"/>
        <w:rPr>
          <w:i/>
          <w:sz w:val="14"/>
        </w:rPr>
      </w:pPr>
      <w:r>
        <w:rPr>
          <w:i/>
          <w:sz w:val="16"/>
        </w:rPr>
        <w:t>Ibid.</w:t>
      </w:r>
    </w:p>
    <w:p w14:paraId="524E9ACE" w14:textId="0F0DC39E" w:rsidR="00A663F1" w:rsidRDefault="00E46EDB">
      <w:pPr>
        <w:pStyle w:val="ListParagraph"/>
        <w:numPr>
          <w:ilvl w:val="0"/>
          <w:numId w:val="1"/>
        </w:numPr>
        <w:tabs>
          <w:tab w:val="left" w:pos="452"/>
        </w:tabs>
        <w:spacing w:before="7" w:line="256" w:lineRule="auto"/>
        <w:ind w:left="252" w:right="935" w:firstLine="0"/>
        <w:rPr>
          <w:sz w:val="14"/>
        </w:rPr>
      </w:pPr>
      <w:r>
        <w:rPr>
          <w:noProof/>
        </w:rPr>
        <mc:AlternateContent>
          <mc:Choice Requires="wps">
            <w:drawing>
              <wp:anchor distT="0" distB="0" distL="114300" distR="114300" simplePos="0" relativeHeight="485649408" behindDoc="1" locked="0" layoutInCell="1" allowOverlap="1" wp14:anchorId="452F51D1" wp14:editId="3811699F">
                <wp:simplePos x="0" y="0"/>
                <wp:positionH relativeFrom="page">
                  <wp:posOffset>4533265</wp:posOffset>
                </wp:positionH>
                <wp:positionV relativeFrom="paragraph">
                  <wp:posOffset>149225</wp:posOffset>
                </wp:positionV>
                <wp:extent cx="1974215" cy="7620"/>
                <wp:effectExtent l="0" t="0" r="0" b="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421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0304E1" id="Rectangle 4" o:spid="_x0000_s1026" style="position:absolute;margin-left:356.95pt;margin-top:11.75pt;width:155.45pt;height:.6pt;z-index:-17667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" fillcolor="black" stroked="f">
                <w10:wrap anchorx="page"/>
              </v:rect>
            </w:pict>
          </mc:Fallback>
        </mc:AlternateContent>
      </w:r>
      <w:r>
        <w:rPr>
          <w:sz w:val="16"/>
        </w:rPr>
        <w:t>Money and Mental Health Policy Institute (2019</w:t>
      </w:r>
      <w:r>
        <w:rPr>
          <w:i/>
          <w:sz w:val="16"/>
        </w:rPr>
        <w:t>) Annual review 2018/19</w:t>
      </w:r>
      <w:r>
        <w:rPr>
          <w:sz w:val="16"/>
        </w:rPr>
        <w:t xml:space="preserve">. Available at: </w:t>
      </w:r>
      <w:hyperlink r:id="rId52">
        <w:r>
          <w:rPr>
            <w:sz w:val="16"/>
          </w:rPr>
          <w:t>https://www.moneyandmentalhealth.org/wp-</w:t>
        </w:r>
      </w:hyperlink>
      <w:hyperlink r:id="rId53">
        <w:r>
          <w:rPr>
            <w:sz w:val="16"/>
            <w:u w:val="single"/>
          </w:rPr>
          <w:t xml:space="preserve"> content/uploads/2019/07/Money-and-Mental-Health-Annual-Review-2018-19.pdf</w:t>
        </w:r>
      </w:hyperlink>
    </w:p>
    <w:p w14:paraId="2C95AC7A" w14:textId="77777777" w:rsidR="00A663F1" w:rsidRDefault="00A663F1">
      <w:pPr>
        <w:spacing w:line="256" w:lineRule="auto"/>
        <w:rPr>
          <w:sz w:val="14"/>
        </w:rPr>
        <w:sectPr w:rsidR="00A663F1">
          <w:pgSz w:w="11910" w:h="16850"/>
          <w:pgMar w:top="600" w:right="720" w:bottom="960" w:left="600" w:header="0" w:footer="761" w:gutter="0"/>
          <w:cols w:space="720"/>
        </w:sectPr>
      </w:pPr>
    </w:p>
    <w:p w14:paraId="05067D6B" w14:textId="77777777" w:rsidR="00A663F1" w:rsidRDefault="00E46EDB">
      <w:pPr>
        <w:pStyle w:val="BodyText"/>
        <w:spacing w:before="78"/>
        <w:ind w:left="1476" w:right="130" w:firstLine="0"/>
      </w:pPr>
      <w:r>
        <w:lastRenderedPageBreak/>
        <w:t>online, and face-to-face. The government has committed to mitigations to ensure that Breathing Space is accessible to people receiving treatment for mental health crisis. They will be able to enter Breathing Space without seeking advice from a debt adviser and will have access to its protections throughout their crisis treatment and then for a further 30 days, after which they will have the option of entering the protections of the main scheme for its full 60-day duration.</w:t>
      </w:r>
    </w:p>
    <w:p w14:paraId="65063514" w14:textId="77777777" w:rsidR="00A663F1" w:rsidRDefault="00E46EDB">
      <w:pPr>
        <w:pStyle w:val="ListParagraph"/>
        <w:numPr>
          <w:ilvl w:val="1"/>
          <w:numId w:val="9"/>
        </w:numPr>
        <w:tabs>
          <w:tab w:val="left" w:pos="1692"/>
          <w:tab w:val="left" w:pos="1693"/>
        </w:tabs>
        <w:spacing w:before="122"/>
        <w:ind w:right="183"/>
      </w:pPr>
      <w:r>
        <w:t>Breathing Space is accessible only via professional debt advice. The debt advice sector makes a variety of adaptations to ensure that advice is accessible to those with protected characteristics. For example, StepChange – a debt charity – has an advocacy team who provide additional practical support to vulnerable debt advice clients. This support is delivered in partnership with dedicated support organisations including Macmillan, Age UK, Dementia Friends, Mind, and Samaritans. It can involve offering supplementary debt advice sessions, referring debt advice clients to specialist third party organisations, and submitting debt write-off requests to creditors in certain circumstances - ensuring that people with protected characteristics have access to debt</w:t>
      </w:r>
      <w:r>
        <w:rPr>
          <w:spacing w:val="-3"/>
        </w:rPr>
        <w:t xml:space="preserve"> </w:t>
      </w:r>
      <w:r>
        <w:t>advice.</w:t>
      </w:r>
    </w:p>
    <w:p w14:paraId="3A2F3DD9" w14:textId="77777777" w:rsidR="00A663F1" w:rsidRDefault="00E46EDB">
      <w:pPr>
        <w:pStyle w:val="ListParagraph"/>
        <w:numPr>
          <w:ilvl w:val="1"/>
          <w:numId w:val="9"/>
        </w:numPr>
        <w:tabs>
          <w:tab w:val="left" w:pos="1692"/>
          <w:tab w:val="left" w:pos="1693"/>
        </w:tabs>
        <w:spacing w:before="118"/>
        <w:ind w:right="181"/>
      </w:pPr>
      <w:r>
        <w:rPr>
          <w:b/>
        </w:rPr>
        <w:t xml:space="preserve">Family Test: </w:t>
      </w:r>
      <w:r>
        <w:t xml:space="preserve">The costs of problem debt are felt strongly by families. </w:t>
      </w:r>
      <w:r>
        <w:rPr>
          <w:i/>
        </w:rPr>
        <w:t>StepChange</w:t>
      </w:r>
      <w:r>
        <w:t>, a debt advice agency, suggest that 90% of parents in problem debt cut back on essential items for their children to help them keep up with their debts. They suggest that families in problem debt are twice as likely to argue about money than families in general, contributing to relationship strain and family breakdown. These problems are not limited to parents. Amongst children from families in problem debt, StepChange found that 60% often worried about their families’ finances.</w:t>
      </w:r>
    </w:p>
    <w:p w14:paraId="416471CB" w14:textId="77777777" w:rsidR="00A663F1" w:rsidRDefault="00E46EDB">
      <w:pPr>
        <w:pStyle w:val="ListParagraph"/>
        <w:numPr>
          <w:ilvl w:val="1"/>
          <w:numId w:val="9"/>
        </w:numPr>
        <w:tabs>
          <w:tab w:val="left" w:pos="1692"/>
          <w:tab w:val="left" w:pos="1693"/>
        </w:tabs>
        <w:spacing w:before="121"/>
        <w:ind w:right="255"/>
      </w:pPr>
      <w:r>
        <w:t>Debt advice agencies responding to requests for information submitted as part of this Impact Assessment were unanimous in reporting that Breathing Space would reduce rates of family breakdown amongst those in problem debt. They suggested that, in promoting more positive debt advice outcomes, Breathing Space would reduce the psychosocial burdens of problem debt. Amongst those who seek debt advice in the counterfactual, debt advice agencies suggested that over 50% of their clients had reported improved personal relationships after having received</w:t>
      </w:r>
      <w:r>
        <w:rPr>
          <w:spacing w:val="1"/>
        </w:rPr>
        <w:t xml:space="preserve"> </w:t>
      </w:r>
      <w:r>
        <w:t>advice.</w:t>
      </w:r>
      <w:r>
        <w:rPr>
          <w:vertAlign w:val="superscript"/>
        </w:rPr>
        <w:t>40</w:t>
      </w:r>
    </w:p>
    <w:p w14:paraId="456E48EB" w14:textId="77777777" w:rsidR="00A663F1" w:rsidRDefault="00E46EDB">
      <w:pPr>
        <w:pStyle w:val="Heading1"/>
        <w:numPr>
          <w:ilvl w:val="0"/>
          <w:numId w:val="9"/>
        </w:numPr>
        <w:tabs>
          <w:tab w:val="left" w:pos="613"/>
        </w:tabs>
      </w:pPr>
      <w:r>
        <w:t>Trade</w:t>
      </w:r>
      <w:r>
        <w:rPr>
          <w:spacing w:val="-1"/>
        </w:rPr>
        <w:t xml:space="preserve"> </w:t>
      </w:r>
      <w:r>
        <w:t>implications</w:t>
      </w:r>
    </w:p>
    <w:p w14:paraId="32F046D9" w14:textId="77777777" w:rsidR="00A663F1" w:rsidRDefault="00E46EDB">
      <w:pPr>
        <w:pStyle w:val="ListParagraph"/>
        <w:numPr>
          <w:ilvl w:val="1"/>
          <w:numId w:val="9"/>
        </w:numPr>
        <w:tabs>
          <w:tab w:val="left" w:pos="1692"/>
          <w:tab w:val="left" w:pos="1693"/>
        </w:tabs>
        <w:spacing w:before="121"/>
        <w:ind w:left="1692" w:hanging="1081"/>
      </w:pPr>
      <w:r>
        <w:t>No trade impact is expected as a result of Breathing</w:t>
      </w:r>
      <w:r>
        <w:rPr>
          <w:spacing w:val="-6"/>
        </w:rPr>
        <w:t xml:space="preserve"> </w:t>
      </w:r>
      <w:r>
        <w:t>Space.</w:t>
      </w:r>
    </w:p>
    <w:p w14:paraId="46DAC6C0" w14:textId="77777777" w:rsidR="00A663F1" w:rsidRDefault="00E46EDB">
      <w:pPr>
        <w:pStyle w:val="Heading1"/>
        <w:numPr>
          <w:ilvl w:val="0"/>
          <w:numId w:val="9"/>
        </w:numPr>
        <w:tabs>
          <w:tab w:val="left" w:pos="613"/>
        </w:tabs>
        <w:spacing w:before="119"/>
        <w:jc w:val="both"/>
      </w:pPr>
      <w:r>
        <w:t>Summary</w:t>
      </w:r>
    </w:p>
    <w:p w14:paraId="52079E5F" w14:textId="77777777" w:rsidR="00A663F1" w:rsidRDefault="00E46EDB">
      <w:pPr>
        <w:pStyle w:val="ListParagraph"/>
        <w:numPr>
          <w:ilvl w:val="1"/>
          <w:numId w:val="9"/>
        </w:numPr>
        <w:tabs>
          <w:tab w:val="left" w:pos="973"/>
        </w:tabs>
        <w:spacing w:before="119"/>
        <w:ind w:left="684" w:right="718" w:hanging="433"/>
        <w:jc w:val="both"/>
      </w:pPr>
      <w:r>
        <w:t>The Net Present Value of a regulatory Breathing Space is substantially higher than that of a voluntary Breathing Space. Both options have higher net present values than doing nothing. A regulatory Breathing Space is therefore the government’s preferred</w:t>
      </w:r>
      <w:r>
        <w:rPr>
          <w:spacing w:val="-15"/>
        </w:rPr>
        <w:t xml:space="preserve"> </w:t>
      </w:r>
      <w:r>
        <w:t>option.</w:t>
      </w:r>
    </w:p>
    <w:p w14:paraId="09538E90" w14:textId="77777777" w:rsidR="00A663F1" w:rsidRDefault="00E46EDB">
      <w:pPr>
        <w:pStyle w:val="ListParagraph"/>
        <w:numPr>
          <w:ilvl w:val="1"/>
          <w:numId w:val="9"/>
        </w:numPr>
        <w:tabs>
          <w:tab w:val="left" w:pos="972"/>
          <w:tab w:val="left" w:pos="973"/>
        </w:tabs>
        <w:spacing w:before="122"/>
        <w:ind w:left="684" w:right="218" w:hanging="433"/>
      </w:pPr>
      <w:r>
        <w:t>In present value terms, the forecast benefits of Breathing Space – £13,644m – would need to fall to £2,067m for the Net Present Value of Breathing Space to be</w:t>
      </w:r>
      <w:r>
        <w:rPr>
          <w:spacing w:val="-7"/>
        </w:rPr>
        <w:t xml:space="preserve"> </w:t>
      </w:r>
      <w:r>
        <w:t>nil.</w:t>
      </w:r>
    </w:p>
    <w:p w14:paraId="6590DAF0" w14:textId="77777777" w:rsidR="00A663F1" w:rsidRDefault="00E46EDB">
      <w:pPr>
        <w:pStyle w:val="ListParagraph"/>
        <w:numPr>
          <w:ilvl w:val="1"/>
          <w:numId w:val="9"/>
        </w:numPr>
        <w:tabs>
          <w:tab w:val="left" w:pos="972"/>
          <w:tab w:val="left" w:pos="973"/>
        </w:tabs>
        <w:spacing w:before="118"/>
        <w:ind w:left="684" w:right="127" w:hanging="433"/>
      </w:pPr>
      <w:r>
        <w:t>In the worst-case scenario, the marginal increase in the benefit of debt advice under Breathing Space would be nil and, as a result, no additional debtors would take up debt advice. In this extreme scenario, the Net Present Value of Breathing Space would be -£42m. The £1,802m residual benefit would be derived from debtors receiving mental health crisis treatment. This group will benefit from improved wellbeing and from economic transfers as a result of not being charged interest or fees and, for debtors who choose to alter their repayment behaviour, from retaining money that would otherwise have been paid to their creditors. This is considered to be the floor in the Net Present Value of Breathing Space, as there is a high degree of certainty that this group will enter the mental health crisis moratorium without altering their behaviour and that they will benefit to the same degree as debtors who receive debt advice in the counterfactual.</w:t>
      </w:r>
    </w:p>
    <w:p w14:paraId="012C24F9" w14:textId="77777777" w:rsidR="00A663F1" w:rsidRDefault="00E46EDB">
      <w:pPr>
        <w:pStyle w:val="ListParagraph"/>
        <w:numPr>
          <w:ilvl w:val="1"/>
          <w:numId w:val="9"/>
        </w:numPr>
        <w:tabs>
          <w:tab w:val="left" w:pos="972"/>
          <w:tab w:val="left" w:pos="973"/>
        </w:tabs>
        <w:spacing w:before="121"/>
        <w:ind w:left="684" w:right="177" w:hanging="433"/>
      </w:pPr>
      <w:r>
        <w:t>If the costs of Breathing Space materialise but the benefits for creditors do not, there is a risk</w:t>
      </w:r>
      <w:r>
        <w:rPr>
          <w:spacing w:val="-36"/>
        </w:rPr>
        <w:t xml:space="preserve"> </w:t>
      </w:r>
      <w:r>
        <w:t>that these costs are passed through to debtors in the form of higher interest rates and more limited access to</w:t>
      </w:r>
      <w:r>
        <w:rPr>
          <w:spacing w:val="-3"/>
        </w:rPr>
        <w:t xml:space="preserve"> </w:t>
      </w:r>
      <w:r>
        <w:t>credit.</w:t>
      </w:r>
    </w:p>
    <w:p w14:paraId="15931AA2" w14:textId="77777777" w:rsidR="00A663F1" w:rsidRDefault="00A663F1">
      <w:pPr>
        <w:pStyle w:val="BodyText"/>
        <w:spacing w:before="0"/>
        <w:ind w:left="0" w:firstLine="0"/>
        <w:rPr>
          <w:sz w:val="20"/>
        </w:rPr>
      </w:pPr>
    </w:p>
    <w:p w14:paraId="477178D7" w14:textId="77777777" w:rsidR="00A663F1" w:rsidRDefault="00A663F1">
      <w:pPr>
        <w:pStyle w:val="BodyText"/>
        <w:spacing w:before="0"/>
        <w:ind w:left="0" w:firstLine="0"/>
        <w:rPr>
          <w:sz w:val="20"/>
        </w:rPr>
      </w:pPr>
    </w:p>
    <w:p w14:paraId="6735BA17" w14:textId="41F33A4B" w:rsidR="00A663F1" w:rsidRDefault="00E46EDB">
      <w:pPr>
        <w:pStyle w:val="BodyText"/>
        <w:spacing w:before="2"/>
        <w:ind w:left="0" w:firstLine="0"/>
        <w:rPr>
          <w:sz w:val="19"/>
        </w:rPr>
      </w:pPr>
      <w:r>
        <w:rPr>
          <w:noProof/>
        </w:rPr>
        <mc:AlternateContent>
          <mc:Choice Requires="wps">
            <w:drawing>
              <wp:anchor distT="0" distB="0" distL="0" distR="0" simplePos="0" relativeHeight="487597568" behindDoc="1" locked="0" layoutInCell="1" allowOverlap="1" wp14:anchorId="43629D8F" wp14:editId="061A81D3">
                <wp:simplePos x="0" y="0"/>
                <wp:positionH relativeFrom="page">
                  <wp:posOffset>541020</wp:posOffset>
                </wp:positionH>
                <wp:positionV relativeFrom="paragraph">
                  <wp:posOffset>165100</wp:posOffset>
                </wp:positionV>
                <wp:extent cx="1829435" cy="7620"/>
                <wp:effectExtent l="0" t="0" r="0" b="0"/>
                <wp:wrapTopAndBottom/>
                <wp:docPr id="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943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49D72F" id="Rectangle 3" o:spid="_x0000_s1026" style="position:absolute;margin-left:42.6pt;margin-top:13pt;width:144.05pt;height:.6pt;z-index:-157189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" fillcolor="black" stroked="f">
                <w10:wrap type="topAndBottom" anchorx="page"/>
              </v:rect>
            </w:pict>
          </mc:Fallback>
        </mc:AlternateContent>
      </w:r>
    </w:p>
    <w:p w14:paraId="1330EEC2" w14:textId="77777777" w:rsidR="00A663F1" w:rsidRDefault="00E46EDB">
      <w:pPr>
        <w:pStyle w:val="ListParagraph"/>
        <w:numPr>
          <w:ilvl w:val="0"/>
          <w:numId w:val="1"/>
        </w:numPr>
        <w:tabs>
          <w:tab w:val="left" w:pos="452"/>
        </w:tabs>
        <w:spacing w:before="67" w:line="256" w:lineRule="auto"/>
        <w:ind w:left="252" w:right="490" w:firstLine="0"/>
        <w:rPr>
          <w:sz w:val="14"/>
        </w:rPr>
      </w:pPr>
      <w:r>
        <w:rPr>
          <w:sz w:val="16"/>
        </w:rPr>
        <w:t xml:space="preserve">The Children’s Society and StepChange (2014) </w:t>
      </w:r>
      <w:r>
        <w:rPr>
          <w:i/>
          <w:sz w:val="16"/>
        </w:rPr>
        <w:t xml:space="preserve">The Debt Trap: Exposing the impact of problem debt on children. </w:t>
      </w:r>
      <w:r>
        <w:rPr>
          <w:sz w:val="16"/>
        </w:rPr>
        <w:t>Available at:</w:t>
      </w:r>
      <w:hyperlink r:id="rId54">
        <w:r>
          <w:rPr>
            <w:sz w:val="16"/>
            <w:u w:val="single"/>
          </w:rPr>
          <w:t xml:space="preserve"> </w:t>
        </w:r>
        <w:r>
          <w:rPr>
            <w:spacing w:val="-1"/>
            <w:sz w:val="16"/>
            <w:u w:val="single"/>
          </w:rPr>
          <w:t>https://www.childrenssociety.org.uk/what-we-do/resources-and-publications/publications-library/debt-trap-exposing-impact-problem-debt-ch</w:t>
        </w:r>
      </w:hyperlink>
    </w:p>
    <w:p w14:paraId="57443941" w14:textId="77777777" w:rsidR="00A663F1" w:rsidRDefault="00A663F1">
      <w:pPr>
        <w:spacing w:line="256" w:lineRule="auto"/>
        <w:rPr>
          <w:sz w:val="14"/>
        </w:rPr>
        <w:sectPr w:rsidR="00A663F1">
          <w:pgSz w:w="11910" w:h="16850"/>
          <w:pgMar w:top="600" w:right="720" w:bottom="960" w:left="600" w:header="0" w:footer="761" w:gutter="0"/>
          <w:cols w:space="720"/>
        </w:sectPr>
      </w:pPr>
    </w:p>
    <w:p w14:paraId="6F5555F7" w14:textId="77777777" w:rsidR="00A663F1" w:rsidRDefault="00E46EDB">
      <w:pPr>
        <w:pStyle w:val="ListParagraph"/>
        <w:numPr>
          <w:ilvl w:val="1"/>
          <w:numId w:val="9"/>
        </w:numPr>
        <w:tabs>
          <w:tab w:val="left" w:pos="972"/>
          <w:tab w:val="left" w:pos="973"/>
        </w:tabs>
        <w:spacing w:before="78"/>
        <w:ind w:left="684" w:right="151" w:hanging="433"/>
      </w:pPr>
      <w:r>
        <w:lastRenderedPageBreak/>
        <w:t>There is consensus within the debt advice sector that Breathing Space will increase the value of debt advice and that it will increase the incentive for people in problem debt to take-up debt advice. There is a strong evidence base to support the assertion that more positive debt advice outcomes generate higher recoveries for creditors and reduce debt collection costs. The risk of pass through is therefore considered to be</w:t>
      </w:r>
      <w:r>
        <w:rPr>
          <w:spacing w:val="-7"/>
        </w:rPr>
        <w:t xml:space="preserve"> </w:t>
      </w:r>
      <w:r>
        <w:t>limited.</w:t>
      </w:r>
    </w:p>
    <w:p w14:paraId="37CFDF64" w14:textId="77777777" w:rsidR="00A663F1" w:rsidRDefault="00E46EDB">
      <w:pPr>
        <w:pStyle w:val="ListParagraph"/>
        <w:numPr>
          <w:ilvl w:val="1"/>
          <w:numId w:val="9"/>
        </w:numPr>
        <w:tabs>
          <w:tab w:val="left" w:pos="972"/>
          <w:tab w:val="left" w:pos="973"/>
        </w:tabs>
        <w:ind w:left="684" w:right="660" w:hanging="433"/>
      </w:pPr>
      <w:r>
        <w:t>Breathing Space may increase demand for the services of debt advice providers in the short term. In the long term, by supporting people in problem debt to enter debt solutions that are sustainable in the long term, Breathing Space should reduce demand for debt advice, all other variables remaining</w:t>
      </w:r>
      <w:r>
        <w:rPr>
          <w:spacing w:val="-1"/>
        </w:rPr>
        <w:t xml:space="preserve"> </w:t>
      </w:r>
      <w:r>
        <w:t>equal.</w:t>
      </w:r>
    </w:p>
    <w:p w14:paraId="3CB9C024" w14:textId="77777777" w:rsidR="00A663F1" w:rsidRDefault="00E46EDB">
      <w:pPr>
        <w:pStyle w:val="ListParagraph"/>
        <w:numPr>
          <w:ilvl w:val="1"/>
          <w:numId w:val="9"/>
        </w:numPr>
        <w:tabs>
          <w:tab w:val="left" w:pos="972"/>
          <w:tab w:val="left" w:pos="973"/>
        </w:tabs>
        <w:spacing w:before="121"/>
        <w:ind w:left="684" w:right="330" w:hanging="433"/>
      </w:pPr>
      <w:r>
        <w:t>The costs and benefits of a regulatory Breathing Space are expressed in present value terms in table 12 below.</w:t>
      </w:r>
    </w:p>
    <w:p w14:paraId="3D0D037D" w14:textId="77777777" w:rsidR="00A663F1" w:rsidRDefault="00A663F1">
      <w:pPr>
        <w:pStyle w:val="BodyText"/>
        <w:spacing w:before="6"/>
        <w:ind w:left="0" w:firstLine="0"/>
        <w:rPr>
          <w:sz w:val="10"/>
        </w:rPr>
      </w:pPr>
    </w:p>
    <w:tbl>
      <w:tblPr>
        <w:tblW w:w="0" w:type="auto"/>
        <w:tblInd w:w="9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31"/>
        <w:gridCol w:w="1116"/>
        <w:gridCol w:w="2083"/>
      </w:tblGrid>
      <w:tr w:rsidR="00A663F1" w14:paraId="21B44B24" w14:textId="77777777">
        <w:trPr>
          <w:trHeight w:val="230"/>
        </w:trPr>
        <w:tc>
          <w:tcPr>
            <w:tcW w:w="5631" w:type="dxa"/>
            <w:tcBorders>
              <w:top w:val="nil"/>
              <w:left w:val="nil"/>
              <w:bottom w:val="nil"/>
              <w:right w:val="nil"/>
            </w:tcBorders>
            <w:shd w:val="clear" w:color="auto" w:fill="000000"/>
          </w:tcPr>
          <w:p w14:paraId="374BA728" w14:textId="77777777" w:rsidR="00A663F1" w:rsidRDefault="00A663F1">
            <w:pPr>
              <w:pStyle w:val="TableParagraph"/>
              <w:spacing w:line="240" w:lineRule="auto"/>
              <w:rPr>
                <w:rFonts w:ascii="Times New Roman"/>
                <w:sz w:val="16"/>
              </w:rPr>
            </w:pPr>
          </w:p>
        </w:tc>
        <w:tc>
          <w:tcPr>
            <w:tcW w:w="1116" w:type="dxa"/>
          </w:tcPr>
          <w:p w14:paraId="6C586DB7" w14:textId="77777777" w:rsidR="00A663F1" w:rsidRDefault="00E46EDB">
            <w:pPr>
              <w:pStyle w:val="TableParagraph"/>
              <w:spacing w:line="210" w:lineRule="exact"/>
              <w:ind w:left="105"/>
              <w:rPr>
                <w:b/>
                <w:sz w:val="20"/>
              </w:rPr>
            </w:pPr>
            <w:r>
              <w:rPr>
                <w:b/>
                <w:sz w:val="20"/>
              </w:rPr>
              <w:t>Costs/£m</w:t>
            </w:r>
          </w:p>
        </w:tc>
        <w:tc>
          <w:tcPr>
            <w:tcW w:w="2083" w:type="dxa"/>
          </w:tcPr>
          <w:p w14:paraId="1775EA90" w14:textId="77777777" w:rsidR="00A663F1" w:rsidRDefault="00E46EDB">
            <w:pPr>
              <w:pStyle w:val="TableParagraph"/>
              <w:spacing w:line="210" w:lineRule="exact"/>
              <w:ind w:left="108"/>
              <w:rPr>
                <w:b/>
                <w:sz w:val="20"/>
              </w:rPr>
            </w:pPr>
            <w:r>
              <w:rPr>
                <w:b/>
                <w:sz w:val="20"/>
              </w:rPr>
              <w:t>Impact on business</w:t>
            </w:r>
          </w:p>
        </w:tc>
      </w:tr>
      <w:tr w:rsidR="00A663F1" w14:paraId="33C3F741" w14:textId="77777777">
        <w:trPr>
          <w:trHeight w:val="237"/>
        </w:trPr>
        <w:tc>
          <w:tcPr>
            <w:tcW w:w="5631" w:type="dxa"/>
            <w:tcBorders>
              <w:top w:val="nil"/>
            </w:tcBorders>
          </w:tcPr>
          <w:p w14:paraId="1CB359BB" w14:textId="77777777" w:rsidR="00A663F1" w:rsidRDefault="00E46EDB">
            <w:pPr>
              <w:pStyle w:val="TableParagraph"/>
              <w:spacing w:line="217" w:lineRule="exact"/>
              <w:ind w:left="107"/>
              <w:rPr>
                <w:b/>
                <w:sz w:val="20"/>
              </w:rPr>
            </w:pPr>
            <w:r>
              <w:rPr>
                <w:b/>
                <w:sz w:val="20"/>
              </w:rPr>
              <w:t>Business charges foregone</w:t>
            </w:r>
          </w:p>
        </w:tc>
        <w:tc>
          <w:tcPr>
            <w:tcW w:w="1116" w:type="dxa"/>
          </w:tcPr>
          <w:p w14:paraId="27861082" w14:textId="77777777" w:rsidR="00A663F1" w:rsidRDefault="00E46EDB">
            <w:pPr>
              <w:pStyle w:val="TableParagraph"/>
              <w:spacing w:line="217" w:lineRule="exact"/>
              <w:ind w:left="105"/>
              <w:rPr>
                <w:sz w:val="20"/>
              </w:rPr>
            </w:pPr>
            <w:r>
              <w:rPr>
                <w:sz w:val="20"/>
              </w:rPr>
              <w:t>186.2</w:t>
            </w:r>
          </w:p>
        </w:tc>
        <w:tc>
          <w:tcPr>
            <w:tcW w:w="2083" w:type="dxa"/>
          </w:tcPr>
          <w:p w14:paraId="5D342032" w14:textId="77777777" w:rsidR="00A663F1" w:rsidRDefault="00E46EDB">
            <w:pPr>
              <w:pStyle w:val="TableParagraph"/>
              <w:spacing w:line="217" w:lineRule="exact"/>
              <w:ind w:left="108"/>
              <w:rPr>
                <w:sz w:val="20"/>
              </w:rPr>
            </w:pPr>
            <w:r>
              <w:rPr>
                <w:sz w:val="20"/>
              </w:rPr>
              <w:t>Direct</w:t>
            </w:r>
          </w:p>
        </w:tc>
      </w:tr>
      <w:tr w:rsidR="00A663F1" w14:paraId="1274A4B3" w14:textId="77777777">
        <w:trPr>
          <w:trHeight w:val="241"/>
        </w:trPr>
        <w:tc>
          <w:tcPr>
            <w:tcW w:w="5631" w:type="dxa"/>
          </w:tcPr>
          <w:p w14:paraId="7FF15153" w14:textId="77777777" w:rsidR="00A663F1" w:rsidRDefault="00E46EDB">
            <w:pPr>
              <w:pStyle w:val="TableParagraph"/>
              <w:spacing w:line="222" w:lineRule="exact"/>
              <w:ind w:left="107"/>
              <w:rPr>
                <w:b/>
                <w:sz w:val="20"/>
              </w:rPr>
            </w:pPr>
            <w:r>
              <w:rPr>
                <w:b/>
                <w:sz w:val="20"/>
              </w:rPr>
              <w:t>Business charges foregone</w:t>
            </w:r>
          </w:p>
        </w:tc>
        <w:tc>
          <w:tcPr>
            <w:tcW w:w="1116" w:type="dxa"/>
          </w:tcPr>
          <w:p w14:paraId="67C9DFC0" w14:textId="77777777" w:rsidR="00A663F1" w:rsidRDefault="00E46EDB">
            <w:pPr>
              <w:pStyle w:val="TableParagraph"/>
              <w:spacing w:line="222" w:lineRule="exact"/>
              <w:ind w:left="105"/>
              <w:rPr>
                <w:sz w:val="20"/>
              </w:rPr>
            </w:pPr>
            <w:r>
              <w:rPr>
                <w:sz w:val="20"/>
              </w:rPr>
              <w:t>21.5</w:t>
            </w:r>
          </w:p>
        </w:tc>
        <w:tc>
          <w:tcPr>
            <w:tcW w:w="2083" w:type="dxa"/>
          </w:tcPr>
          <w:p w14:paraId="4699B9AB" w14:textId="77777777" w:rsidR="00A663F1" w:rsidRDefault="00E46EDB">
            <w:pPr>
              <w:pStyle w:val="TableParagraph"/>
              <w:spacing w:line="222" w:lineRule="exact"/>
              <w:ind w:left="108"/>
              <w:rPr>
                <w:sz w:val="20"/>
              </w:rPr>
            </w:pPr>
            <w:r>
              <w:rPr>
                <w:sz w:val="20"/>
              </w:rPr>
              <w:t>Indirect</w:t>
            </w:r>
          </w:p>
        </w:tc>
      </w:tr>
      <w:tr w:rsidR="00A663F1" w14:paraId="01A8DDFC" w14:textId="77777777">
        <w:trPr>
          <w:trHeight w:val="275"/>
        </w:trPr>
        <w:tc>
          <w:tcPr>
            <w:tcW w:w="5631" w:type="dxa"/>
          </w:tcPr>
          <w:p w14:paraId="1FDF16C2" w14:textId="77777777" w:rsidR="00A663F1" w:rsidRDefault="00E46EDB">
            <w:pPr>
              <w:pStyle w:val="TableParagraph"/>
              <w:ind w:left="107"/>
              <w:rPr>
                <w:b/>
                <w:sz w:val="20"/>
              </w:rPr>
            </w:pPr>
            <w:r>
              <w:rPr>
                <w:b/>
                <w:sz w:val="20"/>
              </w:rPr>
              <w:t>Business interest foregone</w:t>
            </w:r>
          </w:p>
        </w:tc>
        <w:tc>
          <w:tcPr>
            <w:tcW w:w="1116" w:type="dxa"/>
          </w:tcPr>
          <w:p w14:paraId="4C78DF00" w14:textId="77777777" w:rsidR="00A663F1" w:rsidRDefault="00E46EDB">
            <w:pPr>
              <w:pStyle w:val="TableParagraph"/>
              <w:ind w:left="105"/>
              <w:rPr>
                <w:sz w:val="20"/>
              </w:rPr>
            </w:pPr>
            <w:r>
              <w:rPr>
                <w:sz w:val="20"/>
              </w:rPr>
              <w:t>1296.8</w:t>
            </w:r>
          </w:p>
        </w:tc>
        <w:tc>
          <w:tcPr>
            <w:tcW w:w="2083" w:type="dxa"/>
          </w:tcPr>
          <w:p w14:paraId="540FEAA0" w14:textId="77777777" w:rsidR="00A663F1" w:rsidRDefault="00E46EDB">
            <w:pPr>
              <w:pStyle w:val="TableParagraph"/>
              <w:ind w:left="108"/>
              <w:rPr>
                <w:sz w:val="20"/>
              </w:rPr>
            </w:pPr>
            <w:r>
              <w:rPr>
                <w:sz w:val="20"/>
              </w:rPr>
              <w:t>Direct</w:t>
            </w:r>
          </w:p>
        </w:tc>
      </w:tr>
      <w:tr w:rsidR="00A663F1" w14:paraId="12932F0D" w14:textId="77777777">
        <w:trPr>
          <w:trHeight w:val="269"/>
        </w:trPr>
        <w:tc>
          <w:tcPr>
            <w:tcW w:w="5631" w:type="dxa"/>
          </w:tcPr>
          <w:p w14:paraId="4658C890" w14:textId="77777777" w:rsidR="00A663F1" w:rsidRDefault="00E46EDB">
            <w:pPr>
              <w:pStyle w:val="TableParagraph"/>
              <w:ind w:left="107"/>
              <w:rPr>
                <w:b/>
                <w:sz w:val="20"/>
              </w:rPr>
            </w:pPr>
            <w:r>
              <w:rPr>
                <w:b/>
                <w:sz w:val="20"/>
              </w:rPr>
              <w:t>Business interest foregone</w:t>
            </w:r>
          </w:p>
        </w:tc>
        <w:tc>
          <w:tcPr>
            <w:tcW w:w="1116" w:type="dxa"/>
          </w:tcPr>
          <w:p w14:paraId="5713291C" w14:textId="77777777" w:rsidR="00A663F1" w:rsidRDefault="00E46EDB">
            <w:pPr>
              <w:pStyle w:val="TableParagraph"/>
              <w:ind w:left="105"/>
              <w:rPr>
                <w:sz w:val="20"/>
              </w:rPr>
            </w:pPr>
            <w:r>
              <w:rPr>
                <w:sz w:val="20"/>
              </w:rPr>
              <w:t>164.0</w:t>
            </w:r>
          </w:p>
        </w:tc>
        <w:tc>
          <w:tcPr>
            <w:tcW w:w="2083" w:type="dxa"/>
          </w:tcPr>
          <w:p w14:paraId="151CF296" w14:textId="77777777" w:rsidR="00A663F1" w:rsidRDefault="00E46EDB">
            <w:pPr>
              <w:pStyle w:val="TableParagraph"/>
              <w:ind w:left="108"/>
              <w:rPr>
                <w:sz w:val="20"/>
              </w:rPr>
            </w:pPr>
            <w:r>
              <w:rPr>
                <w:sz w:val="20"/>
              </w:rPr>
              <w:t>Indirect</w:t>
            </w:r>
          </w:p>
        </w:tc>
      </w:tr>
      <w:tr w:rsidR="00A663F1" w14:paraId="2D92C5D2" w14:textId="77777777">
        <w:trPr>
          <w:trHeight w:val="253"/>
        </w:trPr>
        <w:tc>
          <w:tcPr>
            <w:tcW w:w="5631" w:type="dxa"/>
          </w:tcPr>
          <w:p w14:paraId="3380AEEF" w14:textId="77777777" w:rsidR="00A663F1" w:rsidRDefault="00E46EDB">
            <w:pPr>
              <w:pStyle w:val="TableParagraph"/>
              <w:ind w:left="107"/>
              <w:rPr>
                <w:b/>
                <w:sz w:val="20"/>
              </w:rPr>
            </w:pPr>
            <w:r>
              <w:rPr>
                <w:b/>
                <w:sz w:val="20"/>
              </w:rPr>
              <w:t>Govt interest and charges foregone and delayed revenue</w:t>
            </w:r>
          </w:p>
        </w:tc>
        <w:tc>
          <w:tcPr>
            <w:tcW w:w="1116" w:type="dxa"/>
          </w:tcPr>
          <w:p w14:paraId="6AC3DCEA" w14:textId="77777777" w:rsidR="00A663F1" w:rsidRDefault="00E46EDB">
            <w:pPr>
              <w:pStyle w:val="TableParagraph"/>
              <w:ind w:left="105"/>
              <w:rPr>
                <w:sz w:val="20"/>
              </w:rPr>
            </w:pPr>
            <w:r>
              <w:rPr>
                <w:sz w:val="20"/>
              </w:rPr>
              <w:t>3.7</w:t>
            </w:r>
          </w:p>
        </w:tc>
        <w:tc>
          <w:tcPr>
            <w:tcW w:w="2083" w:type="dxa"/>
          </w:tcPr>
          <w:p w14:paraId="76FEF1E5" w14:textId="77777777" w:rsidR="00A663F1" w:rsidRDefault="00E46EDB">
            <w:pPr>
              <w:pStyle w:val="TableParagraph"/>
              <w:ind w:left="108"/>
              <w:rPr>
                <w:sz w:val="20"/>
              </w:rPr>
            </w:pPr>
            <w:r>
              <w:rPr>
                <w:sz w:val="20"/>
              </w:rPr>
              <w:t>N/A</w:t>
            </w:r>
          </w:p>
        </w:tc>
      </w:tr>
      <w:tr w:rsidR="00A663F1" w14:paraId="6914A111" w14:textId="77777777">
        <w:trPr>
          <w:trHeight w:val="230"/>
        </w:trPr>
        <w:tc>
          <w:tcPr>
            <w:tcW w:w="5631" w:type="dxa"/>
          </w:tcPr>
          <w:p w14:paraId="72BBC4DB" w14:textId="77777777" w:rsidR="00A663F1" w:rsidRDefault="00E46EDB">
            <w:pPr>
              <w:pStyle w:val="TableParagraph"/>
              <w:spacing w:line="210" w:lineRule="exact"/>
              <w:ind w:left="107"/>
              <w:rPr>
                <w:b/>
                <w:sz w:val="20"/>
              </w:rPr>
            </w:pPr>
            <w:r>
              <w:rPr>
                <w:b/>
                <w:sz w:val="20"/>
              </w:rPr>
              <w:t>Business delayed revenue</w:t>
            </w:r>
          </w:p>
        </w:tc>
        <w:tc>
          <w:tcPr>
            <w:tcW w:w="1116" w:type="dxa"/>
          </w:tcPr>
          <w:p w14:paraId="287BEEE9" w14:textId="77777777" w:rsidR="00A663F1" w:rsidRDefault="00E46EDB">
            <w:pPr>
              <w:pStyle w:val="TableParagraph"/>
              <w:spacing w:line="210" w:lineRule="exact"/>
              <w:ind w:left="105"/>
              <w:rPr>
                <w:sz w:val="20"/>
              </w:rPr>
            </w:pPr>
            <w:r>
              <w:rPr>
                <w:sz w:val="20"/>
              </w:rPr>
              <w:t>1.4</w:t>
            </w:r>
          </w:p>
        </w:tc>
        <w:tc>
          <w:tcPr>
            <w:tcW w:w="2083" w:type="dxa"/>
          </w:tcPr>
          <w:p w14:paraId="3589231B" w14:textId="77777777" w:rsidR="00A663F1" w:rsidRDefault="00E46EDB">
            <w:pPr>
              <w:pStyle w:val="TableParagraph"/>
              <w:spacing w:line="210" w:lineRule="exact"/>
              <w:ind w:left="108"/>
              <w:rPr>
                <w:sz w:val="20"/>
              </w:rPr>
            </w:pPr>
            <w:r>
              <w:rPr>
                <w:sz w:val="20"/>
              </w:rPr>
              <w:t>Indirect</w:t>
            </w:r>
          </w:p>
        </w:tc>
      </w:tr>
      <w:tr w:rsidR="00A663F1" w14:paraId="34009EFE" w14:textId="77777777">
        <w:trPr>
          <w:trHeight w:val="230"/>
        </w:trPr>
        <w:tc>
          <w:tcPr>
            <w:tcW w:w="5631" w:type="dxa"/>
          </w:tcPr>
          <w:p w14:paraId="5773F658" w14:textId="77777777" w:rsidR="00A663F1" w:rsidRDefault="00E46EDB">
            <w:pPr>
              <w:pStyle w:val="TableParagraph"/>
              <w:spacing w:line="210" w:lineRule="exact"/>
              <w:ind w:left="107"/>
              <w:rPr>
                <w:b/>
                <w:sz w:val="20"/>
              </w:rPr>
            </w:pPr>
            <w:r>
              <w:rPr>
                <w:b/>
                <w:sz w:val="20"/>
              </w:rPr>
              <w:t>Business and debt advice provider administration</w:t>
            </w:r>
          </w:p>
        </w:tc>
        <w:tc>
          <w:tcPr>
            <w:tcW w:w="1116" w:type="dxa"/>
          </w:tcPr>
          <w:p w14:paraId="16BE80C3" w14:textId="77777777" w:rsidR="00A663F1" w:rsidRDefault="00E46EDB">
            <w:pPr>
              <w:pStyle w:val="TableParagraph"/>
              <w:spacing w:line="210" w:lineRule="exact"/>
              <w:ind w:left="105"/>
              <w:rPr>
                <w:sz w:val="20"/>
              </w:rPr>
            </w:pPr>
            <w:r>
              <w:rPr>
                <w:sz w:val="20"/>
              </w:rPr>
              <w:t>358.2</w:t>
            </w:r>
          </w:p>
        </w:tc>
        <w:tc>
          <w:tcPr>
            <w:tcW w:w="2083" w:type="dxa"/>
          </w:tcPr>
          <w:p w14:paraId="255E76CF" w14:textId="77777777" w:rsidR="00A663F1" w:rsidRDefault="00E46EDB">
            <w:pPr>
              <w:pStyle w:val="TableParagraph"/>
              <w:spacing w:line="210" w:lineRule="exact"/>
              <w:ind w:left="108"/>
              <w:rPr>
                <w:sz w:val="20"/>
              </w:rPr>
            </w:pPr>
            <w:r>
              <w:rPr>
                <w:sz w:val="20"/>
              </w:rPr>
              <w:t>Direct</w:t>
            </w:r>
          </w:p>
        </w:tc>
      </w:tr>
      <w:tr w:rsidR="00A663F1" w14:paraId="154C4EE6" w14:textId="77777777">
        <w:trPr>
          <w:trHeight w:val="230"/>
        </w:trPr>
        <w:tc>
          <w:tcPr>
            <w:tcW w:w="5631" w:type="dxa"/>
          </w:tcPr>
          <w:p w14:paraId="16E04E2B" w14:textId="77777777" w:rsidR="00A663F1" w:rsidRDefault="00E46EDB">
            <w:pPr>
              <w:pStyle w:val="TableParagraph"/>
              <w:spacing w:line="210" w:lineRule="exact"/>
              <w:ind w:left="107"/>
              <w:rPr>
                <w:b/>
                <w:sz w:val="20"/>
              </w:rPr>
            </w:pPr>
            <w:r>
              <w:rPr>
                <w:b/>
                <w:sz w:val="20"/>
              </w:rPr>
              <w:t>Approved Mental Health Professional administration</w:t>
            </w:r>
          </w:p>
        </w:tc>
        <w:tc>
          <w:tcPr>
            <w:tcW w:w="1116" w:type="dxa"/>
          </w:tcPr>
          <w:p w14:paraId="36237D92" w14:textId="77777777" w:rsidR="00A663F1" w:rsidRDefault="00E46EDB">
            <w:pPr>
              <w:pStyle w:val="TableParagraph"/>
              <w:spacing w:line="210" w:lineRule="exact"/>
              <w:ind w:left="105"/>
              <w:rPr>
                <w:sz w:val="20"/>
              </w:rPr>
            </w:pPr>
            <w:r>
              <w:rPr>
                <w:sz w:val="20"/>
              </w:rPr>
              <w:t>3.1</w:t>
            </w:r>
          </w:p>
        </w:tc>
        <w:tc>
          <w:tcPr>
            <w:tcW w:w="2083" w:type="dxa"/>
          </w:tcPr>
          <w:p w14:paraId="0A951B7D" w14:textId="77777777" w:rsidR="00A663F1" w:rsidRDefault="00E46EDB">
            <w:pPr>
              <w:pStyle w:val="TableParagraph"/>
              <w:spacing w:line="210" w:lineRule="exact"/>
              <w:ind w:left="108"/>
              <w:rPr>
                <w:sz w:val="20"/>
              </w:rPr>
            </w:pPr>
            <w:r>
              <w:rPr>
                <w:sz w:val="20"/>
              </w:rPr>
              <w:t>N/A</w:t>
            </w:r>
          </w:p>
        </w:tc>
      </w:tr>
      <w:tr w:rsidR="00A663F1" w14:paraId="06F822CA" w14:textId="77777777">
        <w:trPr>
          <w:trHeight w:val="230"/>
        </w:trPr>
        <w:tc>
          <w:tcPr>
            <w:tcW w:w="5631" w:type="dxa"/>
          </w:tcPr>
          <w:p w14:paraId="2B7B81C8" w14:textId="77777777" w:rsidR="00A663F1" w:rsidRDefault="00E46EDB">
            <w:pPr>
              <w:pStyle w:val="TableParagraph"/>
              <w:spacing w:line="210" w:lineRule="exact"/>
              <w:ind w:left="107"/>
              <w:rPr>
                <w:b/>
                <w:sz w:val="20"/>
              </w:rPr>
            </w:pPr>
            <w:r>
              <w:rPr>
                <w:b/>
                <w:sz w:val="20"/>
              </w:rPr>
              <w:t>Business and debt advice provider systems changes</w:t>
            </w:r>
          </w:p>
        </w:tc>
        <w:tc>
          <w:tcPr>
            <w:tcW w:w="1116" w:type="dxa"/>
          </w:tcPr>
          <w:p w14:paraId="3C2EA049" w14:textId="77777777" w:rsidR="00A663F1" w:rsidRDefault="00E46EDB">
            <w:pPr>
              <w:pStyle w:val="TableParagraph"/>
              <w:spacing w:line="210" w:lineRule="exact"/>
              <w:ind w:left="105"/>
              <w:rPr>
                <w:sz w:val="20"/>
              </w:rPr>
            </w:pPr>
            <w:r>
              <w:rPr>
                <w:sz w:val="20"/>
              </w:rPr>
              <w:t>29.1</w:t>
            </w:r>
          </w:p>
        </w:tc>
        <w:tc>
          <w:tcPr>
            <w:tcW w:w="2083" w:type="dxa"/>
          </w:tcPr>
          <w:p w14:paraId="63C7E70F" w14:textId="77777777" w:rsidR="00A663F1" w:rsidRDefault="00E46EDB">
            <w:pPr>
              <w:pStyle w:val="TableParagraph"/>
              <w:spacing w:line="210" w:lineRule="exact"/>
              <w:ind w:left="108"/>
              <w:rPr>
                <w:sz w:val="20"/>
              </w:rPr>
            </w:pPr>
            <w:r>
              <w:rPr>
                <w:sz w:val="20"/>
              </w:rPr>
              <w:t>Indirect</w:t>
            </w:r>
          </w:p>
        </w:tc>
      </w:tr>
      <w:tr w:rsidR="00A663F1" w14:paraId="427FFC4B" w14:textId="77777777">
        <w:trPr>
          <w:trHeight w:val="230"/>
        </w:trPr>
        <w:tc>
          <w:tcPr>
            <w:tcW w:w="5631" w:type="dxa"/>
          </w:tcPr>
          <w:p w14:paraId="785B47EA" w14:textId="77777777" w:rsidR="00A663F1" w:rsidRDefault="00E46EDB">
            <w:pPr>
              <w:pStyle w:val="TableParagraph"/>
              <w:spacing w:line="210" w:lineRule="exact"/>
              <w:ind w:left="107"/>
              <w:rPr>
                <w:b/>
                <w:sz w:val="20"/>
              </w:rPr>
            </w:pPr>
            <w:r>
              <w:rPr>
                <w:b/>
                <w:sz w:val="20"/>
              </w:rPr>
              <w:t>Government systems changes</w:t>
            </w:r>
          </w:p>
        </w:tc>
        <w:tc>
          <w:tcPr>
            <w:tcW w:w="1116" w:type="dxa"/>
          </w:tcPr>
          <w:p w14:paraId="60E2E679" w14:textId="77777777" w:rsidR="00A663F1" w:rsidRDefault="00E46EDB">
            <w:pPr>
              <w:pStyle w:val="TableParagraph"/>
              <w:spacing w:line="210" w:lineRule="exact"/>
              <w:ind w:left="105"/>
              <w:rPr>
                <w:sz w:val="20"/>
              </w:rPr>
            </w:pPr>
            <w:r>
              <w:rPr>
                <w:sz w:val="20"/>
              </w:rPr>
              <w:t>0.3</w:t>
            </w:r>
          </w:p>
        </w:tc>
        <w:tc>
          <w:tcPr>
            <w:tcW w:w="2083" w:type="dxa"/>
          </w:tcPr>
          <w:p w14:paraId="7BB0A391" w14:textId="77777777" w:rsidR="00A663F1" w:rsidRDefault="00E46EDB">
            <w:pPr>
              <w:pStyle w:val="TableParagraph"/>
              <w:spacing w:line="210" w:lineRule="exact"/>
              <w:ind w:left="108"/>
              <w:rPr>
                <w:sz w:val="20"/>
              </w:rPr>
            </w:pPr>
            <w:r>
              <w:rPr>
                <w:sz w:val="20"/>
              </w:rPr>
              <w:t>N/A</w:t>
            </w:r>
          </w:p>
        </w:tc>
      </w:tr>
      <w:tr w:rsidR="00A663F1" w14:paraId="49A7DF16" w14:textId="77777777">
        <w:trPr>
          <w:trHeight w:val="230"/>
        </w:trPr>
        <w:tc>
          <w:tcPr>
            <w:tcW w:w="5631" w:type="dxa"/>
          </w:tcPr>
          <w:p w14:paraId="42FEA495" w14:textId="77777777" w:rsidR="00A663F1" w:rsidRDefault="00E46EDB">
            <w:pPr>
              <w:pStyle w:val="TableParagraph"/>
              <w:spacing w:line="210" w:lineRule="exact"/>
              <w:ind w:left="107"/>
              <w:rPr>
                <w:b/>
                <w:sz w:val="20"/>
              </w:rPr>
            </w:pPr>
            <w:r>
              <w:rPr>
                <w:b/>
                <w:sz w:val="20"/>
              </w:rPr>
              <w:t>Familiarisation</w:t>
            </w:r>
          </w:p>
        </w:tc>
        <w:tc>
          <w:tcPr>
            <w:tcW w:w="1116" w:type="dxa"/>
          </w:tcPr>
          <w:p w14:paraId="3DFCD214" w14:textId="77777777" w:rsidR="00A663F1" w:rsidRDefault="00E46EDB">
            <w:pPr>
              <w:pStyle w:val="TableParagraph"/>
              <w:spacing w:line="210" w:lineRule="exact"/>
              <w:ind w:left="105"/>
              <w:rPr>
                <w:sz w:val="20"/>
              </w:rPr>
            </w:pPr>
            <w:r>
              <w:rPr>
                <w:sz w:val="20"/>
              </w:rPr>
              <w:t>0.4</w:t>
            </w:r>
          </w:p>
        </w:tc>
        <w:tc>
          <w:tcPr>
            <w:tcW w:w="2083" w:type="dxa"/>
          </w:tcPr>
          <w:p w14:paraId="27141CF6" w14:textId="77777777" w:rsidR="00A663F1" w:rsidRDefault="00E46EDB">
            <w:pPr>
              <w:pStyle w:val="TableParagraph"/>
              <w:spacing w:line="210" w:lineRule="exact"/>
              <w:ind w:left="108"/>
              <w:rPr>
                <w:sz w:val="20"/>
              </w:rPr>
            </w:pPr>
            <w:r>
              <w:rPr>
                <w:sz w:val="20"/>
              </w:rPr>
              <w:t>Direct</w:t>
            </w:r>
          </w:p>
        </w:tc>
      </w:tr>
      <w:tr w:rsidR="00A663F1" w14:paraId="5B60DABF" w14:textId="77777777">
        <w:trPr>
          <w:trHeight w:val="230"/>
        </w:trPr>
        <w:tc>
          <w:tcPr>
            <w:tcW w:w="5631" w:type="dxa"/>
          </w:tcPr>
          <w:p w14:paraId="4826210A" w14:textId="77777777" w:rsidR="00A663F1" w:rsidRDefault="00E46EDB">
            <w:pPr>
              <w:pStyle w:val="TableParagraph"/>
              <w:spacing w:line="210" w:lineRule="exact"/>
              <w:ind w:left="107"/>
              <w:rPr>
                <w:b/>
                <w:sz w:val="20"/>
              </w:rPr>
            </w:pPr>
            <w:r>
              <w:rPr>
                <w:b/>
                <w:sz w:val="20"/>
              </w:rPr>
              <w:t>Dissemination</w:t>
            </w:r>
          </w:p>
        </w:tc>
        <w:tc>
          <w:tcPr>
            <w:tcW w:w="1116" w:type="dxa"/>
          </w:tcPr>
          <w:p w14:paraId="79CE527F" w14:textId="77777777" w:rsidR="00A663F1" w:rsidRDefault="00E46EDB">
            <w:pPr>
              <w:pStyle w:val="TableParagraph"/>
              <w:spacing w:line="210" w:lineRule="exact"/>
              <w:ind w:left="105"/>
              <w:rPr>
                <w:sz w:val="20"/>
              </w:rPr>
            </w:pPr>
            <w:r>
              <w:rPr>
                <w:sz w:val="20"/>
              </w:rPr>
              <w:t>1.9</w:t>
            </w:r>
          </w:p>
        </w:tc>
        <w:tc>
          <w:tcPr>
            <w:tcW w:w="2083" w:type="dxa"/>
          </w:tcPr>
          <w:p w14:paraId="7B3FD87B" w14:textId="77777777" w:rsidR="00A663F1" w:rsidRDefault="00E46EDB">
            <w:pPr>
              <w:pStyle w:val="TableParagraph"/>
              <w:spacing w:line="210" w:lineRule="exact"/>
              <w:ind w:left="108"/>
              <w:rPr>
                <w:sz w:val="20"/>
              </w:rPr>
            </w:pPr>
            <w:r>
              <w:rPr>
                <w:sz w:val="20"/>
              </w:rPr>
              <w:t>Direct</w:t>
            </w:r>
          </w:p>
        </w:tc>
      </w:tr>
      <w:tr w:rsidR="00A663F1" w14:paraId="1EBA2973" w14:textId="77777777">
        <w:trPr>
          <w:trHeight w:val="234"/>
        </w:trPr>
        <w:tc>
          <w:tcPr>
            <w:tcW w:w="5631" w:type="dxa"/>
            <w:shd w:val="clear" w:color="auto" w:fill="D9D9D9"/>
          </w:tcPr>
          <w:p w14:paraId="2DB4B92A" w14:textId="77777777" w:rsidR="00A663F1" w:rsidRDefault="00E46EDB">
            <w:pPr>
              <w:pStyle w:val="TableParagraph"/>
              <w:spacing w:line="215" w:lineRule="exact"/>
              <w:ind w:left="107"/>
              <w:rPr>
                <w:b/>
                <w:sz w:val="20"/>
              </w:rPr>
            </w:pPr>
            <w:r>
              <w:rPr>
                <w:b/>
                <w:sz w:val="20"/>
              </w:rPr>
              <w:t>Total costs</w:t>
            </w:r>
          </w:p>
        </w:tc>
        <w:tc>
          <w:tcPr>
            <w:tcW w:w="1116" w:type="dxa"/>
            <w:shd w:val="clear" w:color="auto" w:fill="D9D9D9"/>
          </w:tcPr>
          <w:p w14:paraId="093049B1" w14:textId="77777777" w:rsidR="00A663F1" w:rsidRDefault="00E46EDB">
            <w:pPr>
              <w:pStyle w:val="TableParagraph"/>
              <w:spacing w:line="215" w:lineRule="exact"/>
              <w:ind w:left="105"/>
              <w:rPr>
                <w:sz w:val="20"/>
              </w:rPr>
            </w:pPr>
            <w:r>
              <w:rPr>
                <w:sz w:val="20"/>
              </w:rPr>
              <w:t>2066.8</w:t>
            </w:r>
          </w:p>
        </w:tc>
        <w:tc>
          <w:tcPr>
            <w:tcW w:w="2083" w:type="dxa"/>
            <w:shd w:val="clear" w:color="auto" w:fill="D9D9D9"/>
          </w:tcPr>
          <w:p w14:paraId="1C87BF14" w14:textId="77777777" w:rsidR="00A663F1" w:rsidRDefault="00E46EDB">
            <w:pPr>
              <w:pStyle w:val="TableParagraph"/>
              <w:spacing w:line="215" w:lineRule="exact"/>
              <w:ind w:left="108"/>
              <w:rPr>
                <w:sz w:val="20"/>
              </w:rPr>
            </w:pPr>
            <w:r>
              <w:rPr>
                <w:sz w:val="20"/>
              </w:rPr>
              <w:t>N/A</w:t>
            </w:r>
          </w:p>
        </w:tc>
      </w:tr>
      <w:tr w:rsidR="00A663F1" w14:paraId="4AFCC2DC" w14:textId="77777777">
        <w:trPr>
          <w:trHeight w:val="220"/>
        </w:trPr>
        <w:tc>
          <w:tcPr>
            <w:tcW w:w="5631" w:type="dxa"/>
            <w:tcBorders>
              <w:top w:val="nil"/>
              <w:left w:val="nil"/>
              <w:bottom w:val="nil"/>
              <w:right w:val="nil"/>
            </w:tcBorders>
            <w:shd w:val="clear" w:color="auto" w:fill="000000"/>
          </w:tcPr>
          <w:p w14:paraId="66D4E9AE" w14:textId="77777777" w:rsidR="00A663F1" w:rsidRDefault="00A663F1">
            <w:pPr>
              <w:pStyle w:val="TableParagraph"/>
              <w:spacing w:line="240" w:lineRule="auto"/>
              <w:rPr>
                <w:rFonts w:ascii="Times New Roman"/>
                <w:sz w:val="14"/>
              </w:rPr>
            </w:pPr>
          </w:p>
        </w:tc>
        <w:tc>
          <w:tcPr>
            <w:tcW w:w="1116" w:type="dxa"/>
            <w:tcBorders>
              <w:top w:val="nil"/>
              <w:left w:val="nil"/>
              <w:bottom w:val="nil"/>
              <w:right w:val="nil"/>
            </w:tcBorders>
            <w:shd w:val="clear" w:color="auto" w:fill="000000"/>
          </w:tcPr>
          <w:p w14:paraId="1115AE4D" w14:textId="77777777" w:rsidR="00A663F1" w:rsidRDefault="00A663F1">
            <w:pPr>
              <w:pStyle w:val="TableParagraph"/>
              <w:spacing w:line="240" w:lineRule="auto"/>
              <w:rPr>
                <w:rFonts w:ascii="Times New Roman"/>
                <w:sz w:val="14"/>
              </w:rPr>
            </w:pPr>
          </w:p>
        </w:tc>
        <w:tc>
          <w:tcPr>
            <w:tcW w:w="2083" w:type="dxa"/>
            <w:tcBorders>
              <w:top w:val="nil"/>
              <w:left w:val="nil"/>
              <w:bottom w:val="nil"/>
              <w:right w:val="nil"/>
            </w:tcBorders>
            <w:shd w:val="clear" w:color="auto" w:fill="000000"/>
          </w:tcPr>
          <w:p w14:paraId="07CC7DA4" w14:textId="77777777" w:rsidR="00A663F1" w:rsidRDefault="00A663F1">
            <w:pPr>
              <w:pStyle w:val="TableParagraph"/>
              <w:spacing w:line="240" w:lineRule="auto"/>
              <w:rPr>
                <w:rFonts w:ascii="Times New Roman"/>
                <w:sz w:val="14"/>
              </w:rPr>
            </w:pPr>
          </w:p>
        </w:tc>
      </w:tr>
      <w:tr w:rsidR="00A663F1" w14:paraId="5BE8D5BE" w14:textId="77777777">
        <w:trPr>
          <w:trHeight w:val="234"/>
        </w:trPr>
        <w:tc>
          <w:tcPr>
            <w:tcW w:w="5631" w:type="dxa"/>
          </w:tcPr>
          <w:p w14:paraId="5DCC5A4C" w14:textId="77777777" w:rsidR="00A663F1" w:rsidRDefault="00E46EDB">
            <w:pPr>
              <w:pStyle w:val="TableParagraph"/>
              <w:spacing w:before="4" w:line="211" w:lineRule="exact"/>
              <w:ind w:left="107"/>
              <w:rPr>
                <w:b/>
                <w:sz w:val="20"/>
              </w:rPr>
            </w:pPr>
            <w:r>
              <w:rPr>
                <w:b/>
                <w:sz w:val="20"/>
              </w:rPr>
              <w:t>Higher recoveries</w:t>
            </w:r>
          </w:p>
        </w:tc>
        <w:tc>
          <w:tcPr>
            <w:tcW w:w="1116" w:type="dxa"/>
          </w:tcPr>
          <w:p w14:paraId="03B0F06D" w14:textId="77777777" w:rsidR="00A663F1" w:rsidRDefault="00E46EDB">
            <w:pPr>
              <w:pStyle w:val="TableParagraph"/>
              <w:spacing w:before="4" w:line="211" w:lineRule="exact"/>
              <w:ind w:left="105"/>
              <w:rPr>
                <w:sz w:val="20"/>
              </w:rPr>
            </w:pPr>
            <w:r>
              <w:rPr>
                <w:sz w:val="20"/>
              </w:rPr>
              <w:t>6,108.9</w:t>
            </w:r>
          </w:p>
        </w:tc>
        <w:tc>
          <w:tcPr>
            <w:tcW w:w="2083" w:type="dxa"/>
          </w:tcPr>
          <w:p w14:paraId="36043EC5" w14:textId="77777777" w:rsidR="00A663F1" w:rsidRDefault="00E46EDB">
            <w:pPr>
              <w:pStyle w:val="TableParagraph"/>
              <w:spacing w:before="4" w:line="211" w:lineRule="exact"/>
              <w:ind w:left="108"/>
              <w:rPr>
                <w:sz w:val="20"/>
              </w:rPr>
            </w:pPr>
            <w:r>
              <w:rPr>
                <w:sz w:val="20"/>
              </w:rPr>
              <w:t>Indirect</w:t>
            </w:r>
          </w:p>
        </w:tc>
      </w:tr>
      <w:tr w:rsidR="00A663F1" w14:paraId="15749C7D" w14:textId="77777777">
        <w:trPr>
          <w:trHeight w:val="230"/>
        </w:trPr>
        <w:tc>
          <w:tcPr>
            <w:tcW w:w="5631" w:type="dxa"/>
          </w:tcPr>
          <w:p w14:paraId="0E5CD37C" w14:textId="77777777" w:rsidR="00A663F1" w:rsidRDefault="00E46EDB">
            <w:pPr>
              <w:pStyle w:val="TableParagraph"/>
              <w:spacing w:line="210" w:lineRule="exact"/>
              <w:ind w:left="107"/>
              <w:rPr>
                <w:b/>
                <w:sz w:val="20"/>
              </w:rPr>
            </w:pPr>
            <w:r>
              <w:rPr>
                <w:b/>
                <w:sz w:val="20"/>
              </w:rPr>
              <w:t>Higher employee productivity</w:t>
            </w:r>
          </w:p>
        </w:tc>
        <w:tc>
          <w:tcPr>
            <w:tcW w:w="1116" w:type="dxa"/>
          </w:tcPr>
          <w:p w14:paraId="1A2A0062" w14:textId="77777777" w:rsidR="00A663F1" w:rsidRDefault="00E46EDB">
            <w:pPr>
              <w:pStyle w:val="TableParagraph"/>
              <w:spacing w:line="210" w:lineRule="exact"/>
              <w:ind w:left="105"/>
              <w:rPr>
                <w:sz w:val="20"/>
              </w:rPr>
            </w:pPr>
            <w:r>
              <w:rPr>
                <w:sz w:val="20"/>
              </w:rPr>
              <w:t>3708.3</w:t>
            </w:r>
          </w:p>
        </w:tc>
        <w:tc>
          <w:tcPr>
            <w:tcW w:w="2083" w:type="dxa"/>
          </w:tcPr>
          <w:p w14:paraId="585D7C41" w14:textId="77777777" w:rsidR="00A663F1" w:rsidRDefault="00E46EDB">
            <w:pPr>
              <w:pStyle w:val="TableParagraph"/>
              <w:spacing w:line="210" w:lineRule="exact"/>
              <w:ind w:left="108"/>
              <w:rPr>
                <w:sz w:val="20"/>
              </w:rPr>
            </w:pPr>
            <w:r>
              <w:rPr>
                <w:sz w:val="20"/>
              </w:rPr>
              <w:t>Indirect</w:t>
            </w:r>
          </w:p>
        </w:tc>
      </w:tr>
      <w:tr w:rsidR="00A663F1" w14:paraId="32632F29" w14:textId="77777777">
        <w:trPr>
          <w:trHeight w:val="230"/>
        </w:trPr>
        <w:tc>
          <w:tcPr>
            <w:tcW w:w="5631" w:type="dxa"/>
          </w:tcPr>
          <w:p w14:paraId="35A416D7" w14:textId="77777777" w:rsidR="00A663F1" w:rsidRDefault="00E46EDB">
            <w:pPr>
              <w:pStyle w:val="TableParagraph"/>
              <w:spacing w:line="210" w:lineRule="exact"/>
              <w:ind w:left="107"/>
              <w:rPr>
                <w:b/>
                <w:sz w:val="20"/>
              </w:rPr>
            </w:pPr>
            <w:r>
              <w:rPr>
                <w:b/>
                <w:sz w:val="20"/>
              </w:rPr>
              <w:t>Higher debtor wellbeing</w:t>
            </w:r>
          </w:p>
        </w:tc>
        <w:tc>
          <w:tcPr>
            <w:tcW w:w="1116" w:type="dxa"/>
          </w:tcPr>
          <w:p w14:paraId="730D0F1E" w14:textId="77777777" w:rsidR="00A663F1" w:rsidRDefault="00E46EDB">
            <w:pPr>
              <w:pStyle w:val="TableParagraph"/>
              <w:spacing w:line="210" w:lineRule="exact"/>
              <w:ind w:left="105"/>
              <w:rPr>
                <w:sz w:val="20"/>
              </w:rPr>
            </w:pPr>
            <w:r>
              <w:rPr>
                <w:sz w:val="20"/>
              </w:rPr>
              <w:t>2153.4</w:t>
            </w:r>
          </w:p>
        </w:tc>
        <w:tc>
          <w:tcPr>
            <w:tcW w:w="2083" w:type="dxa"/>
          </w:tcPr>
          <w:p w14:paraId="5709EA02" w14:textId="77777777" w:rsidR="00A663F1" w:rsidRDefault="00E46EDB">
            <w:pPr>
              <w:pStyle w:val="TableParagraph"/>
              <w:spacing w:line="210" w:lineRule="exact"/>
              <w:ind w:left="108"/>
              <w:rPr>
                <w:sz w:val="20"/>
              </w:rPr>
            </w:pPr>
            <w:r>
              <w:rPr>
                <w:sz w:val="20"/>
              </w:rPr>
              <w:t>N/A</w:t>
            </w:r>
          </w:p>
        </w:tc>
      </w:tr>
      <w:tr w:rsidR="00A663F1" w14:paraId="6284CC8C" w14:textId="77777777">
        <w:trPr>
          <w:trHeight w:val="230"/>
        </w:trPr>
        <w:tc>
          <w:tcPr>
            <w:tcW w:w="5631" w:type="dxa"/>
          </w:tcPr>
          <w:p w14:paraId="221508F8" w14:textId="77777777" w:rsidR="00A663F1" w:rsidRDefault="00E46EDB">
            <w:pPr>
              <w:pStyle w:val="TableParagraph"/>
              <w:spacing w:line="210" w:lineRule="exact"/>
              <w:ind w:left="107"/>
              <w:rPr>
                <w:b/>
                <w:sz w:val="20"/>
              </w:rPr>
            </w:pPr>
            <w:r>
              <w:rPr>
                <w:b/>
                <w:sz w:val="20"/>
              </w:rPr>
              <w:t>Economic transfers</w:t>
            </w:r>
          </w:p>
        </w:tc>
        <w:tc>
          <w:tcPr>
            <w:tcW w:w="1116" w:type="dxa"/>
          </w:tcPr>
          <w:p w14:paraId="1C05DA1A" w14:textId="77777777" w:rsidR="00A663F1" w:rsidRDefault="00E46EDB">
            <w:pPr>
              <w:pStyle w:val="TableParagraph"/>
              <w:spacing w:line="210" w:lineRule="exact"/>
              <w:ind w:left="105"/>
              <w:rPr>
                <w:sz w:val="20"/>
              </w:rPr>
            </w:pPr>
            <w:r>
              <w:rPr>
                <w:sz w:val="20"/>
              </w:rPr>
              <w:t>1673.7</w:t>
            </w:r>
          </w:p>
        </w:tc>
        <w:tc>
          <w:tcPr>
            <w:tcW w:w="2083" w:type="dxa"/>
          </w:tcPr>
          <w:p w14:paraId="278CE047" w14:textId="77777777" w:rsidR="00A663F1" w:rsidRDefault="00E46EDB">
            <w:pPr>
              <w:pStyle w:val="TableParagraph"/>
              <w:spacing w:line="210" w:lineRule="exact"/>
              <w:ind w:left="108"/>
              <w:rPr>
                <w:sz w:val="20"/>
              </w:rPr>
            </w:pPr>
            <w:r>
              <w:rPr>
                <w:sz w:val="20"/>
              </w:rPr>
              <w:t>N/A</w:t>
            </w:r>
          </w:p>
        </w:tc>
      </w:tr>
      <w:tr w:rsidR="00A663F1" w14:paraId="51F99DD3" w14:textId="77777777">
        <w:trPr>
          <w:trHeight w:val="230"/>
        </w:trPr>
        <w:tc>
          <w:tcPr>
            <w:tcW w:w="5631" w:type="dxa"/>
            <w:shd w:val="clear" w:color="auto" w:fill="D9D9D9"/>
          </w:tcPr>
          <w:p w14:paraId="1BA7FF03" w14:textId="77777777" w:rsidR="00A663F1" w:rsidRDefault="00E46EDB">
            <w:pPr>
              <w:pStyle w:val="TableParagraph"/>
              <w:spacing w:line="210" w:lineRule="exact"/>
              <w:ind w:left="107"/>
              <w:rPr>
                <w:b/>
                <w:sz w:val="20"/>
              </w:rPr>
            </w:pPr>
            <w:r>
              <w:rPr>
                <w:b/>
                <w:sz w:val="20"/>
              </w:rPr>
              <w:t>Total benefits</w:t>
            </w:r>
          </w:p>
        </w:tc>
        <w:tc>
          <w:tcPr>
            <w:tcW w:w="1116" w:type="dxa"/>
            <w:shd w:val="clear" w:color="auto" w:fill="D9D9D9"/>
          </w:tcPr>
          <w:p w14:paraId="16EEDC00" w14:textId="77777777" w:rsidR="00A663F1" w:rsidRDefault="00E46EDB">
            <w:pPr>
              <w:pStyle w:val="TableParagraph"/>
              <w:spacing w:line="210" w:lineRule="exact"/>
              <w:ind w:left="105"/>
              <w:rPr>
                <w:sz w:val="20"/>
              </w:rPr>
            </w:pPr>
            <w:r>
              <w:rPr>
                <w:sz w:val="20"/>
              </w:rPr>
              <w:t>13644.4</w:t>
            </w:r>
          </w:p>
        </w:tc>
        <w:tc>
          <w:tcPr>
            <w:tcW w:w="2083" w:type="dxa"/>
            <w:shd w:val="clear" w:color="auto" w:fill="D9D9D9"/>
          </w:tcPr>
          <w:p w14:paraId="647AB188" w14:textId="77777777" w:rsidR="00A663F1" w:rsidRDefault="00E46EDB">
            <w:pPr>
              <w:pStyle w:val="TableParagraph"/>
              <w:spacing w:line="210" w:lineRule="exact"/>
              <w:ind w:left="108"/>
              <w:rPr>
                <w:sz w:val="20"/>
              </w:rPr>
            </w:pPr>
            <w:r>
              <w:rPr>
                <w:sz w:val="20"/>
              </w:rPr>
              <w:t>N/A</w:t>
            </w:r>
          </w:p>
        </w:tc>
      </w:tr>
      <w:tr w:rsidR="00A663F1" w14:paraId="77330D45" w14:textId="77777777">
        <w:trPr>
          <w:trHeight w:val="230"/>
        </w:trPr>
        <w:tc>
          <w:tcPr>
            <w:tcW w:w="5631" w:type="dxa"/>
            <w:shd w:val="clear" w:color="auto" w:fill="D9D9D9"/>
          </w:tcPr>
          <w:p w14:paraId="7028854F" w14:textId="77777777" w:rsidR="00A663F1" w:rsidRDefault="00E46EDB">
            <w:pPr>
              <w:pStyle w:val="TableParagraph"/>
              <w:spacing w:line="210" w:lineRule="exact"/>
              <w:ind w:left="107"/>
              <w:rPr>
                <w:b/>
                <w:sz w:val="20"/>
              </w:rPr>
            </w:pPr>
            <w:r>
              <w:rPr>
                <w:b/>
                <w:sz w:val="20"/>
              </w:rPr>
              <w:t>Net Present Value</w:t>
            </w:r>
          </w:p>
        </w:tc>
        <w:tc>
          <w:tcPr>
            <w:tcW w:w="1116" w:type="dxa"/>
            <w:shd w:val="clear" w:color="auto" w:fill="D9D9D9"/>
          </w:tcPr>
          <w:p w14:paraId="5D8F29D9" w14:textId="77777777" w:rsidR="00A663F1" w:rsidRDefault="00E46EDB">
            <w:pPr>
              <w:pStyle w:val="TableParagraph"/>
              <w:spacing w:line="210" w:lineRule="exact"/>
              <w:ind w:left="105"/>
              <w:rPr>
                <w:sz w:val="20"/>
              </w:rPr>
            </w:pPr>
            <w:r>
              <w:rPr>
                <w:sz w:val="20"/>
              </w:rPr>
              <w:t>11577.5</w:t>
            </w:r>
          </w:p>
        </w:tc>
        <w:tc>
          <w:tcPr>
            <w:tcW w:w="2083" w:type="dxa"/>
            <w:shd w:val="clear" w:color="auto" w:fill="D9D9D9"/>
          </w:tcPr>
          <w:p w14:paraId="5845574D" w14:textId="77777777" w:rsidR="00A663F1" w:rsidRDefault="00E46EDB">
            <w:pPr>
              <w:pStyle w:val="TableParagraph"/>
              <w:spacing w:line="210" w:lineRule="exact"/>
              <w:ind w:left="108"/>
              <w:rPr>
                <w:sz w:val="20"/>
              </w:rPr>
            </w:pPr>
            <w:r>
              <w:rPr>
                <w:sz w:val="20"/>
              </w:rPr>
              <w:t>N/A</w:t>
            </w:r>
          </w:p>
        </w:tc>
      </w:tr>
    </w:tbl>
    <w:p w14:paraId="7C910A45" w14:textId="77777777" w:rsidR="00A663F1" w:rsidRDefault="00E46EDB">
      <w:pPr>
        <w:ind w:left="1025"/>
        <w:rPr>
          <w:i/>
        </w:rPr>
      </w:pPr>
      <w:r>
        <w:rPr>
          <w:b/>
          <w:i/>
          <w:u w:val="single"/>
        </w:rPr>
        <w:t xml:space="preserve">Table 12: </w:t>
      </w:r>
      <w:r>
        <w:rPr>
          <w:i/>
          <w:u w:val="single"/>
        </w:rPr>
        <w:t>Summary of costs and benefits of Breathing Space expressed in present value</w:t>
      </w:r>
    </w:p>
    <w:p w14:paraId="63440328" w14:textId="77777777" w:rsidR="00A663F1" w:rsidRDefault="00E46EDB">
      <w:pPr>
        <w:pStyle w:val="Heading1"/>
        <w:numPr>
          <w:ilvl w:val="0"/>
          <w:numId w:val="9"/>
        </w:numPr>
        <w:tabs>
          <w:tab w:val="left" w:pos="613"/>
        </w:tabs>
        <w:spacing w:before="119"/>
      </w:pPr>
      <w:r>
        <w:t>Description of implementation</w:t>
      </w:r>
      <w:r>
        <w:rPr>
          <w:spacing w:val="-5"/>
        </w:rPr>
        <w:t xml:space="preserve"> </w:t>
      </w:r>
      <w:r>
        <w:t>plan</w:t>
      </w:r>
    </w:p>
    <w:p w14:paraId="433A0CBE" w14:textId="77777777" w:rsidR="00A663F1" w:rsidRDefault="00E46EDB">
      <w:pPr>
        <w:pStyle w:val="ListParagraph"/>
        <w:numPr>
          <w:ilvl w:val="1"/>
          <w:numId w:val="9"/>
        </w:numPr>
        <w:tabs>
          <w:tab w:val="left" w:pos="1692"/>
          <w:tab w:val="left" w:pos="1693"/>
        </w:tabs>
        <w:spacing w:before="121"/>
        <w:ind w:right="168"/>
      </w:pPr>
      <w:r>
        <w:t>This impact assessment demonstrates the significant benefit that Breathing Space will deliver. The government recognises the strong parliamentary interest in delivering the policy and its benefits as quickly as</w:t>
      </w:r>
      <w:r>
        <w:rPr>
          <w:spacing w:val="-7"/>
        </w:rPr>
        <w:t xml:space="preserve"> </w:t>
      </w:r>
      <w:r>
        <w:t>possible.</w:t>
      </w:r>
    </w:p>
    <w:p w14:paraId="2507AE7D" w14:textId="77777777" w:rsidR="00A663F1" w:rsidRDefault="00E46EDB">
      <w:pPr>
        <w:pStyle w:val="ListParagraph"/>
        <w:numPr>
          <w:ilvl w:val="1"/>
          <w:numId w:val="9"/>
        </w:numPr>
        <w:tabs>
          <w:tab w:val="left" w:pos="1692"/>
          <w:tab w:val="left" w:pos="1693"/>
        </w:tabs>
        <w:ind w:right="189"/>
      </w:pPr>
      <w:r>
        <w:t>The government will lay regulations on Breathing Space before the end of 2019, and then intends to implement the policy in early 2021. The intervening period is vital in ensuring that creditors and debt advisers are prepared to deliver breathing space from the outset. HM Treasury is working closely with expert external stakeholders including debt advisers, creditors, and trade bodies to help them to prepare to deliver Breathing Space in</w:t>
      </w:r>
      <w:r>
        <w:rPr>
          <w:spacing w:val="-12"/>
        </w:rPr>
        <w:t xml:space="preserve"> </w:t>
      </w:r>
      <w:r>
        <w:t>practice.</w:t>
      </w:r>
    </w:p>
    <w:p w14:paraId="32BDC69B" w14:textId="77777777" w:rsidR="00A663F1" w:rsidRDefault="00E46EDB">
      <w:pPr>
        <w:pStyle w:val="ListParagraph"/>
        <w:numPr>
          <w:ilvl w:val="1"/>
          <w:numId w:val="9"/>
        </w:numPr>
        <w:tabs>
          <w:tab w:val="left" w:pos="1692"/>
          <w:tab w:val="left" w:pos="1693"/>
        </w:tabs>
        <w:ind w:right="277"/>
      </w:pPr>
      <w:r>
        <w:t>As discussed in paragraph 14.3, creditors will be required to perform a variety of administrative tasks to comply with Breathing Space, including processing the notification of an entry into Breathing Space, supressing contact relating to repayment, notifying enforcement agents, and pausing interest, fees and charges. Creditors will need some time to prepare to perform these actions, for example by making systems changes as accounted for in section</w:t>
      </w:r>
      <w:r>
        <w:rPr>
          <w:spacing w:val="-18"/>
        </w:rPr>
        <w:t xml:space="preserve"> </w:t>
      </w:r>
      <w:r>
        <w:t>20.</w:t>
      </w:r>
    </w:p>
    <w:p w14:paraId="3578EFF1" w14:textId="77777777" w:rsidR="00A663F1" w:rsidRDefault="00E46EDB">
      <w:pPr>
        <w:pStyle w:val="ListParagraph"/>
        <w:numPr>
          <w:ilvl w:val="1"/>
          <w:numId w:val="9"/>
        </w:numPr>
        <w:tabs>
          <w:tab w:val="left" w:pos="1692"/>
          <w:tab w:val="left" w:pos="1693"/>
        </w:tabs>
        <w:ind w:right="298"/>
      </w:pPr>
      <w:r>
        <w:t>A key element in the success of breathing space will be the development of an IT portal that will record entries into Breathing Space, notifying creditors accordingly that they should initiate the protections of Breathing Space. The portal will be developed by the Insolvency Service and used by debt advisers. HM Treasury is working closely with the Insolvency Service to ensure that the portal meets the needs of creditors, and debt advisers, as well as recording some of the management information that will be required to evaluate the</w:t>
      </w:r>
      <w:r>
        <w:rPr>
          <w:spacing w:val="-16"/>
        </w:rPr>
        <w:t xml:space="preserve"> </w:t>
      </w:r>
      <w:r>
        <w:t>policy.</w:t>
      </w:r>
    </w:p>
    <w:p w14:paraId="7B99BCE6" w14:textId="77777777" w:rsidR="00A663F1" w:rsidRDefault="00A663F1">
      <w:pPr>
        <w:sectPr w:rsidR="00A663F1">
          <w:pgSz w:w="11910" w:h="16850"/>
          <w:pgMar w:top="600" w:right="720" w:bottom="1020" w:left="600" w:header="0" w:footer="761" w:gutter="0"/>
          <w:cols w:space="720"/>
        </w:sectPr>
      </w:pPr>
    </w:p>
    <w:p w14:paraId="53F0C747" w14:textId="77777777" w:rsidR="00A663F1" w:rsidRDefault="00E46EDB">
      <w:pPr>
        <w:pStyle w:val="ListParagraph"/>
        <w:numPr>
          <w:ilvl w:val="1"/>
          <w:numId w:val="9"/>
        </w:numPr>
        <w:tabs>
          <w:tab w:val="left" w:pos="1692"/>
          <w:tab w:val="left" w:pos="1693"/>
        </w:tabs>
        <w:spacing w:before="78"/>
        <w:ind w:right="552"/>
      </w:pPr>
      <w:r>
        <w:lastRenderedPageBreak/>
        <w:t>The government commissioned advice from MAPS on raising awareness of Breathing Space amongst both people in problem in debt and creditors in advance of the policy’s commencement.</w:t>
      </w:r>
      <w:r>
        <w:rPr>
          <w:vertAlign w:val="superscript"/>
        </w:rPr>
        <w:t>41</w:t>
      </w:r>
      <w:r>
        <w:t xml:space="preserve"> This will be central to the policy’s</w:t>
      </w:r>
      <w:r>
        <w:rPr>
          <w:spacing w:val="-10"/>
        </w:rPr>
        <w:t xml:space="preserve"> </w:t>
      </w:r>
      <w:r>
        <w:t>implementation.</w:t>
      </w:r>
    </w:p>
    <w:p w14:paraId="5719D538" w14:textId="77777777" w:rsidR="00A663F1" w:rsidRDefault="00E46EDB">
      <w:pPr>
        <w:pStyle w:val="ListParagraph"/>
        <w:numPr>
          <w:ilvl w:val="1"/>
          <w:numId w:val="9"/>
        </w:numPr>
        <w:tabs>
          <w:tab w:val="left" w:pos="1692"/>
          <w:tab w:val="left" w:pos="1693"/>
        </w:tabs>
        <w:spacing w:before="122"/>
        <w:ind w:right="708"/>
      </w:pPr>
      <w:r>
        <w:t>MAPS recommended that the government explore a one-off awareness-raising and marketing campaign. This would seek to de-stigmatise debt advice, so that people who are either unaware of their debt problem, see their problem debt as manageable, or who are ashamed to seek advice choose to come</w:t>
      </w:r>
      <w:r>
        <w:rPr>
          <w:spacing w:val="-8"/>
        </w:rPr>
        <w:t xml:space="preserve"> </w:t>
      </w:r>
      <w:r>
        <w:t>forward.</w:t>
      </w:r>
    </w:p>
    <w:p w14:paraId="1515AACD" w14:textId="77777777" w:rsidR="00A663F1" w:rsidRDefault="00E46EDB">
      <w:pPr>
        <w:pStyle w:val="ListParagraph"/>
        <w:numPr>
          <w:ilvl w:val="1"/>
          <w:numId w:val="9"/>
        </w:numPr>
        <w:tabs>
          <w:tab w:val="left" w:pos="1692"/>
          <w:tab w:val="left" w:pos="1693"/>
        </w:tabs>
        <w:spacing w:before="119"/>
        <w:ind w:right="515"/>
      </w:pPr>
      <w:r>
        <w:t>MAPS highlighted the specific need for the benefits of Breathing Space and of debt advice to be highlighted to potential beneficiaries of the scheme. This would encourage more people to seek advice and to do so sooner, before they reach crisis</w:t>
      </w:r>
      <w:r>
        <w:rPr>
          <w:spacing w:val="-12"/>
        </w:rPr>
        <w:t xml:space="preserve"> </w:t>
      </w:r>
      <w:r>
        <w:t>point.</w:t>
      </w:r>
    </w:p>
    <w:p w14:paraId="7B462BB2" w14:textId="77777777" w:rsidR="00A663F1" w:rsidRDefault="00E46EDB">
      <w:pPr>
        <w:pStyle w:val="ListParagraph"/>
        <w:numPr>
          <w:ilvl w:val="1"/>
          <w:numId w:val="9"/>
        </w:numPr>
        <w:tabs>
          <w:tab w:val="left" w:pos="1692"/>
          <w:tab w:val="left" w:pos="1693"/>
        </w:tabs>
        <w:spacing w:before="119"/>
        <w:ind w:right="797"/>
      </w:pPr>
      <w:r>
        <w:t>For people with multiple complex needs, MAPS recommended that the government ensures that Breathing Space is compatible with referral between specialist debt advice agencies so that people with specific needs receive the support that they</w:t>
      </w:r>
      <w:r>
        <w:rPr>
          <w:spacing w:val="-17"/>
        </w:rPr>
        <w:t xml:space="preserve"> </w:t>
      </w:r>
      <w:r>
        <w:t>need.</w:t>
      </w:r>
    </w:p>
    <w:p w14:paraId="4E0758D4" w14:textId="77777777" w:rsidR="00A663F1" w:rsidRDefault="00E46EDB">
      <w:pPr>
        <w:pStyle w:val="ListParagraph"/>
        <w:numPr>
          <w:ilvl w:val="1"/>
          <w:numId w:val="9"/>
        </w:numPr>
        <w:tabs>
          <w:tab w:val="left" w:pos="1692"/>
          <w:tab w:val="left" w:pos="1693"/>
        </w:tabs>
        <w:spacing w:before="122"/>
        <w:ind w:right="220"/>
      </w:pPr>
      <w:r>
        <w:t>MAPS also highlighted the need for the government to ensure that creditors are prepared to comply with Breathing Space. MAPS recommended that this work is pursued via existing avenues, such as trade bodies and sector-specific forums. The government is developing its implementation plans following receipt of MAPS’s</w:t>
      </w:r>
      <w:r>
        <w:rPr>
          <w:spacing w:val="1"/>
        </w:rPr>
        <w:t xml:space="preserve"> </w:t>
      </w:r>
      <w:r>
        <w:t>advice.</w:t>
      </w:r>
    </w:p>
    <w:p w14:paraId="0AE79EF3" w14:textId="77777777" w:rsidR="00A663F1" w:rsidRDefault="00E46EDB">
      <w:pPr>
        <w:pStyle w:val="Heading1"/>
        <w:numPr>
          <w:ilvl w:val="0"/>
          <w:numId w:val="9"/>
        </w:numPr>
        <w:tabs>
          <w:tab w:val="left" w:pos="613"/>
        </w:tabs>
        <w:spacing w:before="119"/>
      </w:pPr>
      <w:r>
        <w:t>Post-Implementation Review Plan</w:t>
      </w:r>
    </w:p>
    <w:p w14:paraId="72C99343" w14:textId="77777777" w:rsidR="00A663F1" w:rsidRDefault="00E46EDB">
      <w:pPr>
        <w:pStyle w:val="ListParagraph"/>
        <w:numPr>
          <w:ilvl w:val="1"/>
          <w:numId w:val="9"/>
        </w:numPr>
        <w:tabs>
          <w:tab w:val="left" w:pos="1692"/>
          <w:tab w:val="left" w:pos="1693"/>
        </w:tabs>
        <w:spacing w:before="122"/>
        <w:ind w:right="359"/>
      </w:pPr>
      <w:r>
        <w:t>The same advice from the MAPS also covered evaluation of Breathing Space.</w:t>
      </w:r>
      <w:r>
        <w:rPr>
          <w:vertAlign w:val="superscript"/>
        </w:rPr>
        <w:t>42</w:t>
      </w:r>
      <w:r>
        <w:t xml:space="preserve"> MAPS recommended that this work is advanced via three workstreams: one evaluating the policy’s operational processes, one evaluating the policy’s impact, and another monitoring the evolving counterfactual.</w:t>
      </w:r>
    </w:p>
    <w:p w14:paraId="3A235A04" w14:textId="77777777" w:rsidR="00A663F1" w:rsidRDefault="00E46EDB">
      <w:pPr>
        <w:pStyle w:val="ListParagraph"/>
        <w:numPr>
          <w:ilvl w:val="1"/>
          <w:numId w:val="9"/>
        </w:numPr>
        <w:tabs>
          <w:tab w:val="left" w:pos="1692"/>
          <w:tab w:val="left" w:pos="1693"/>
        </w:tabs>
        <w:spacing w:before="118"/>
        <w:ind w:right="148"/>
      </w:pPr>
      <w:r>
        <w:t>MAPS highlighted several specific areas where monitoring of the counterfactual could focus. These included: overall levels of over-indebtedness, creditor repayments, and debt advice take-up, as well as debtor’s mental wellbeing, the distribution of debt solutions that debtors choose to enter, the numbers of people entering those solutions, and the sustainability of those debt solutions.</w:t>
      </w:r>
    </w:p>
    <w:p w14:paraId="79411BD9" w14:textId="77777777" w:rsidR="00A663F1" w:rsidRDefault="00E46EDB">
      <w:pPr>
        <w:pStyle w:val="ListParagraph"/>
        <w:numPr>
          <w:ilvl w:val="1"/>
          <w:numId w:val="9"/>
        </w:numPr>
        <w:tabs>
          <w:tab w:val="left" w:pos="1692"/>
          <w:tab w:val="left" w:pos="1693"/>
        </w:tabs>
        <w:spacing w:before="121"/>
        <w:ind w:right="803"/>
      </w:pPr>
      <w:r>
        <w:t>MAPS recommended that the government establishes an advisory group of expert stakeholders to help inform the evaluation design. MAPS suggested that the group should include members drawn both from the debt advice and creditor</w:t>
      </w:r>
      <w:r>
        <w:rPr>
          <w:spacing w:val="-10"/>
        </w:rPr>
        <w:t xml:space="preserve"> </w:t>
      </w:r>
      <w:r>
        <w:t>sectors.</w:t>
      </w:r>
    </w:p>
    <w:p w14:paraId="51D65036" w14:textId="77777777" w:rsidR="00A663F1" w:rsidRDefault="00E46EDB">
      <w:pPr>
        <w:pStyle w:val="ListParagraph"/>
        <w:numPr>
          <w:ilvl w:val="1"/>
          <w:numId w:val="9"/>
        </w:numPr>
        <w:tabs>
          <w:tab w:val="left" w:pos="1692"/>
          <w:tab w:val="left" w:pos="1693"/>
        </w:tabs>
        <w:spacing w:before="121"/>
        <w:ind w:right="624"/>
      </w:pPr>
      <w:r>
        <w:t>The government is developing on a monitoring and evaluation strategy to ensure that appropriate management information is captured in order to facilitate an effective post- implementation</w:t>
      </w:r>
      <w:r>
        <w:rPr>
          <w:spacing w:val="-1"/>
        </w:rPr>
        <w:t xml:space="preserve"> </w:t>
      </w:r>
      <w:r>
        <w:t>review.</w:t>
      </w:r>
    </w:p>
    <w:p w14:paraId="25D0158A" w14:textId="77777777" w:rsidR="00A663F1" w:rsidRDefault="00E46EDB">
      <w:pPr>
        <w:pStyle w:val="ListParagraph"/>
        <w:numPr>
          <w:ilvl w:val="1"/>
          <w:numId w:val="9"/>
        </w:numPr>
        <w:tabs>
          <w:tab w:val="left" w:pos="1692"/>
          <w:tab w:val="left" w:pos="1693"/>
        </w:tabs>
        <w:ind w:right="184"/>
      </w:pPr>
      <w:r>
        <w:t>The Breathing Space scheme consists of two parts: Breathing Space, which has been assessed here, and the Statutory Debt Repayment Plan (SDRP). The government intends to implement Breathing Space in early 2021, with the SDRP developed to a slower timeline. The SDRP will extend the protections of Breathing Space to debtors who commit to fully repaying their debts to a manageable timeline. Each part of the scheme will be evaluated separately. This will require the impact of each part of the scheme to be isolated, as there will be some overlap between the two parts. The phased implementation of the two parts of the scheme will allow the government to evaluate the impacts of Breathing Space alone and then the two parts of the scheme</w:t>
      </w:r>
      <w:r>
        <w:rPr>
          <w:spacing w:val="-2"/>
        </w:rPr>
        <w:t xml:space="preserve"> </w:t>
      </w:r>
      <w:r>
        <w:t>combined.</w:t>
      </w:r>
    </w:p>
    <w:p w14:paraId="3AD71484" w14:textId="77777777" w:rsidR="00A663F1" w:rsidRDefault="00A663F1">
      <w:pPr>
        <w:pStyle w:val="BodyText"/>
        <w:spacing w:before="0"/>
        <w:ind w:left="0" w:firstLine="0"/>
        <w:rPr>
          <w:sz w:val="20"/>
        </w:rPr>
      </w:pPr>
    </w:p>
    <w:p w14:paraId="683AED6F" w14:textId="77777777" w:rsidR="00A663F1" w:rsidRDefault="00A663F1">
      <w:pPr>
        <w:pStyle w:val="BodyText"/>
        <w:spacing w:before="0"/>
        <w:ind w:left="0" w:firstLine="0"/>
        <w:rPr>
          <w:sz w:val="20"/>
        </w:rPr>
      </w:pPr>
    </w:p>
    <w:p w14:paraId="37B3A13A" w14:textId="77777777" w:rsidR="00A663F1" w:rsidRDefault="00A663F1">
      <w:pPr>
        <w:pStyle w:val="BodyText"/>
        <w:spacing w:before="0"/>
        <w:ind w:left="0" w:firstLine="0"/>
        <w:rPr>
          <w:sz w:val="20"/>
        </w:rPr>
      </w:pPr>
    </w:p>
    <w:p w14:paraId="013D091D" w14:textId="77777777" w:rsidR="00A663F1" w:rsidRDefault="00A663F1">
      <w:pPr>
        <w:pStyle w:val="BodyText"/>
        <w:spacing w:before="0"/>
        <w:ind w:left="0" w:firstLine="0"/>
        <w:rPr>
          <w:sz w:val="20"/>
        </w:rPr>
      </w:pPr>
    </w:p>
    <w:p w14:paraId="1D934540" w14:textId="77777777" w:rsidR="00A663F1" w:rsidRDefault="00A663F1">
      <w:pPr>
        <w:pStyle w:val="BodyText"/>
        <w:spacing w:before="0"/>
        <w:ind w:left="0" w:firstLine="0"/>
        <w:rPr>
          <w:sz w:val="20"/>
        </w:rPr>
      </w:pPr>
    </w:p>
    <w:p w14:paraId="35D46611" w14:textId="77777777" w:rsidR="00A663F1" w:rsidRDefault="00A663F1">
      <w:pPr>
        <w:pStyle w:val="BodyText"/>
        <w:spacing w:before="0"/>
        <w:ind w:left="0" w:firstLine="0"/>
        <w:rPr>
          <w:sz w:val="20"/>
        </w:rPr>
      </w:pPr>
    </w:p>
    <w:p w14:paraId="305C79E6" w14:textId="77777777" w:rsidR="00A663F1" w:rsidRDefault="00A663F1">
      <w:pPr>
        <w:pStyle w:val="BodyText"/>
        <w:spacing w:before="0"/>
        <w:ind w:left="0" w:firstLine="0"/>
        <w:rPr>
          <w:sz w:val="20"/>
        </w:rPr>
      </w:pPr>
    </w:p>
    <w:p w14:paraId="66BD34EF" w14:textId="77777777" w:rsidR="00A663F1" w:rsidRDefault="00A663F1">
      <w:pPr>
        <w:pStyle w:val="BodyText"/>
        <w:spacing w:before="0"/>
        <w:ind w:left="0" w:firstLine="0"/>
        <w:rPr>
          <w:sz w:val="20"/>
        </w:rPr>
      </w:pPr>
    </w:p>
    <w:p w14:paraId="03A4A080" w14:textId="77777777" w:rsidR="00A663F1" w:rsidRDefault="00A663F1">
      <w:pPr>
        <w:pStyle w:val="BodyText"/>
        <w:spacing w:before="0"/>
        <w:ind w:left="0" w:firstLine="0"/>
        <w:rPr>
          <w:sz w:val="20"/>
        </w:rPr>
      </w:pPr>
    </w:p>
    <w:p w14:paraId="5DAE02A6" w14:textId="77777777" w:rsidR="00A663F1" w:rsidRDefault="00A663F1">
      <w:pPr>
        <w:pStyle w:val="BodyText"/>
        <w:spacing w:before="0"/>
        <w:ind w:left="0" w:firstLine="0"/>
        <w:rPr>
          <w:sz w:val="20"/>
        </w:rPr>
      </w:pPr>
    </w:p>
    <w:p w14:paraId="77A88453" w14:textId="39F4D8D2" w:rsidR="00A663F1" w:rsidRDefault="00E46EDB">
      <w:pPr>
        <w:pStyle w:val="BodyText"/>
        <w:spacing w:before="1"/>
        <w:ind w:left="0" w:firstLine="0"/>
        <w:rPr>
          <w:sz w:val="13"/>
        </w:rPr>
      </w:pPr>
      <w:r>
        <w:rPr>
          <w:noProof/>
        </w:rPr>
        <mc:AlternateContent>
          <mc:Choice Requires="wps">
            <w:drawing>
              <wp:anchor distT="0" distB="0" distL="0" distR="0" simplePos="0" relativeHeight="487598080" behindDoc="1" locked="0" layoutInCell="1" allowOverlap="1" wp14:anchorId="39436099" wp14:editId="788FA689">
                <wp:simplePos x="0" y="0"/>
                <wp:positionH relativeFrom="page">
                  <wp:posOffset>541020</wp:posOffset>
                </wp:positionH>
                <wp:positionV relativeFrom="paragraph">
                  <wp:posOffset>120650</wp:posOffset>
                </wp:positionV>
                <wp:extent cx="1829435" cy="7620"/>
                <wp:effectExtent l="0" t="0" r="0" b="0"/>
                <wp:wrapTopAndBottom/>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943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71BABD" id="Rectangle 2" o:spid="_x0000_s1026" style="position:absolute;margin-left:42.6pt;margin-top:9.5pt;width:144.05pt;height:.6pt;z-index:-15718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" fillcolor="black" stroked="f">
                <w10:wrap type="topAndBottom" anchorx="page"/>
              </v:rect>
            </w:pict>
          </mc:Fallback>
        </mc:AlternateContent>
      </w:r>
    </w:p>
    <w:p w14:paraId="16E9652F" w14:textId="77777777" w:rsidR="00A663F1" w:rsidRDefault="00E46EDB">
      <w:pPr>
        <w:pStyle w:val="ListParagraph"/>
        <w:numPr>
          <w:ilvl w:val="0"/>
          <w:numId w:val="1"/>
        </w:numPr>
        <w:tabs>
          <w:tab w:val="left" w:pos="452"/>
        </w:tabs>
        <w:spacing w:before="67" w:line="256" w:lineRule="auto"/>
        <w:ind w:left="252" w:right="321" w:firstLine="0"/>
        <w:rPr>
          <w:sz w:val="14"/>
        </w:rPr>
      </w:pPr>
      <w:r>
        <w:rPr>
          <w:sz w:val="16"/>
        </w:rPr>
        <w:t xml:space="preserve">Money and Pensions Service (2019) </w:t>
      </w:r>
      <w:r>
        <w:rPr>
          <w:i/>
          <w:sz w:val="16"/>
        </w:rPr>
        <w:t xml:space="preserve">Response to Request for Advice. </w:t>
      </w:r>
      <w:r>
        <w:rPr>
          <w:sz w:val="16"/>
        </w:rPr>
        <w:t xml:space="preserve">Available at: </w:t>
      </w:r>
      <w:hyperlink r:id="rId55">
        <w:r>
          <w:rPr>
            <w:sz w:val="16"/>
            <w:u w:val="single"/>
          </w:rPr>
          <w:t>https://www.gov.uk/government/publications/breathing-</w:t>
        </w:r>
      </w:hyperlink>
      <w:hyperlink r:id="rId56">
        <w:r>
          <w:rPr>
            <w:sz w:val="16"/>
            <w:u w:val="single"/>
          </w:rPr>
          <w:t xml:space="preserve"> space-scheme-money-and-pensions-service-advice</w:t>
        </w:r>
      </w:hyperlink>
    </w:p>
    <w:p w14:paraId="12DB6776" w14:textId="77777777" w:rsidR="00A663F1" w:rsidRDefault="00E46EDB">
      <w:pPr>
        <w:pStyle w:val="ListParagraph"/>
        <w:numPr>
          <w:ilvl w:val="0"/>
          <w:numId w:val="1"/>
        </w:numPr>
        <w:tabs>
          <w:tab w:val="left" w:pos="452"/>
        </w:tabs>
        <w:spacing w:before="0" w:line="227" w:lineRule="exact"/>
        <w:rPr>
          <w:i/>
          <w:sz w:val="14"/>
        </w:rPr>
      </w:pPr>
      <w:r>
        <w:rPr>
          <w:i/>
          <w:sz w:val="16"/>
        </w:rPr>
        <w:t>Ibid.</w:t>
      </w:r>
    </w:p>
    <w:sectPr w:rsidR="00A663F1">
      <w:pgSz w:w="11910" w:h="16850"/>
      <w:pgMar w:top="600" w:right="720" w:bottom="960" w:left="600" w:header="0" w:footer="7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166C90" w14:textId="77777777" w:rsidR="0076511A" w:rsidRDefault="00E46EDB">
      <w:r>
        <w:separator/>
      </w:r>
    </w:p>
  </w:endnote>
  <w:endnote w:type="continuationSeparator" w:id="0">
    <w:p w14:paraId="5E566ACE" w14:textId="77777777" w:rsidR="0076511A" w:rsidRDefault="00E46E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747B9" w14:textId="0C9CC905" w:rsidR="00A663F1" w:rsidRDefault="00E46EDB">
    <w:pPr>
      <w:pStyle w:val="BodyText"/>
      <w:spacing w:before="0" w:line="14" w:lineRule="auto"/>
      <w:ind w:left="0" w:firstLine="0"/>
      <w:rPr>
        <w:sz w:val="20"/>
      </w:rPr>
    </w:pPr>
    <w:r>
      <w:rPr>
        <w:noProof/>
      </w:rPr>
      <mc:AlternateContent>
        <mc:Choice Requires="wps">
          <w:drawing>
            <wp:anchor distT="0" distB="0" distL="114300" distR="114300" simplePos="0" relativeHeight="485640192" behindDoc="1" locked="0" layoutInCell="1" allowOverlap="1" wp14:anchorId="6204E422" wp14:editId="1D818374">
              <wp:simplePos x="0" y="0"/>
              <wp:positionH relativeFrom="page">
                <wp:posOffset>3711575</wp:posOffset>
              </wp:positionH>
              <wp:positionV relativeFrom="page">
                <wp:posOffset>10373360</wp:posOffset>
              </wp:positionV>
              <wp:extent cx="140335" cy="153670"/>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E7094A" w14:textId="77777777" w:rsidR="00A663F1" w:rsidRDefault="00E46EDB">
                          <w:pPr>
                            <w:spacing w:before="14"/>
                            <w:ind w:left="60"/>
                            <w:rPr>
                              <w:sz w:val="18"/>
                            </w:rPr>
                          </w:pPr>
                          <w:r>
                            <w:fldChar w:fldCharType="begin"/>
                          </w:r>
                          <w:r>
                            <w:rPr>
                              <w:w w:val="99"/>
                              <w:sz w:val="18"/>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04E422" id="_x0000_t202" coordsize="21600,21600" o:spt="202" path="m,l,21600r21600,l21600,xe">
              <v:stroke joinstyle="miter"/>
              <v:path gradientshapeok="t" o:connecttype="rect"/>
            </v:shapetype>
            <v:shape id="Text Box 5" o:spid="_x0000_s1026" type="#_x0000_t202" style="position:absolute;margin-left:292.25pt;margin-top:816.8pt;width:11.05pt;height:12.1pt;z-index:-17676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" filled="f" stroked="f">
              <v:textbox inset="0,0,0,0">
                <w:txbxContent>
                  <w:p w14:paraId="3CE7094A" w14:textId="77777777" w:rsidR="00A663F1" w:rsidRDefault="00E46EDB">
                    <w:pPr>
                      <w:spacing w:before="14"/>
                      <w:ind w:left="60"/>
                      <w:rPr>
                        <w:sz w:val="18"/>
                      </w:rPr>
                    </w:pPr>
                    <w:r>
                      <w:fldChar w:fldCharType="begin"/>
                    </w:r>
                    <w:r>
                      <w:rPr>
                        <w:w w:val="99"/>
                        <w:sz w:val="18"/>
                      </w:rPr>
                      <w:instrText xml:space="preserve"> PAGE </w:instrText>
                    </w:r>
                    <w:r>
                      <w:fldChar w:fldCharType="separate"/>
                    </w:r>
                    <w: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5DD6D8" w14:textId="2CB58030" w:rsidR="00A663F1" w:rsidRDefault="00E46EDB">
    <w:pPr>
      <w:pStyle w:val="BodyText"/>
      <w:spacing w:before="0" w:line="14" w:lineRule="auto"/>
      <w:ind w:left="0" w:firstLine="0"/>
      <w:rPr>
        <w:sz w:val="13"/>
      </w:rPr>
    </w:pPr>
    <w:r>
      <w:rPr>
        <w:noProof/>
      </w:rPr>
      <mc:AlternateContent>
        <mc:Choice Requires="wps">
          <w:drawing>
            <wp:anchor distT="0" distB="0" distL="114300" distR="114300" simplePos="0" relativeHeight="485640704" behindDoc="1" locked="0" layoutInCell="1" allowOverlap="1" wp14:anchorId="70B0D4B9" wp14:editId="6743BCF9">
              <wp:simplePos x="0" y="0"/>
              <wp:positionH relativeFrom="page">
                <wp:posOffset>3711575</wp:posOffset>
              </wp:positionH>
              <wp:positionV relativeFrom="page">
                <wp:posOffset>10022840</wp:posOffset>
              </wp:positionV>
              <wp:extent cx="140335" cy="153670"/>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4CD100" w14:textId="77777777" w:rsidR="00A663F1" w:rsidRDefault="00E46EDB">
                          <w:pPr>
                            <w:spacing w:before="14"/>
                            <w:ind w:left="60"/>
                            <w:rPr>
                              <w:sz w:val="18"/>
                            </w:rPr>
                          </w:pPr>
                          <w:r>
                            <w:fldChar w:fldCharType="begin"/>
                          </w:r>
                          <w:r>
                            <w:rPr>
                              <w:w w:val="99"/>
                              <w:sz w:val="18"/>
                            </w:rPr>
                            <w:instrText xml:space="preserve"> PAGE </w:instrText>
                          </w:r>
                          <w:r>
                            <w:fldChar w:fldCharType="separate"/>
                          </w:r>
                          <w: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B0D4B9" id="_x0000_t202" coordsize="21600,21600" o:spt="202" path="m,l,21600r21600,l21600,xe">
              <v:stroke joinstyle="miter"/>
              <v:path gradientshapeok="t" o:connecttype="rect"/>
            </v:shapetype>
            <v:shape id="Text Box 4" o:spid="_x0000_s1027" type="#_x0000_t202" style="position:absolute;margin-left:292.25pt;margin-top:789.2pt;width:11.05pt;height:12.1pt;z-index:-17675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" filled="f" stroked="f">
              <v:textbox inset="0,0,0,0">
                <w:txbxContent>
                  <w:p w14:paraId="174CD100" w14:textId="77777777" w:rsidR="00A663F1" w:rsidRDefault="00E46EDB">
                    <w:pPr>
                      <w:spacing w:before="14"/>
                      <w:ind w:left="60"/>
                      <w:rPr>
                        <w:sz w:val="18"/>
                      </w:rPr>
                    </w:pPr>
                    <w:r>
                      <w:fldChar w:fldCharType="begin"/>
                    </w:r>
                    <w:r>
                      <w:rPr>
                        <w:w w:val="99"/>
                        <w:sz w:val="18"/>
                      </w:rPr>
                      <w:instrText xml:space="preserve"> PAGE </w:instrText>
                    </w:r>
                    <w:r>
                      <w:fldChar w:fldCharType="separate"/>
                    </w:r>
                    <w:r>
                      <w:t>8</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0B82B2" w14:textId="552A4D82" w:rsidR="00A663F1" w:rsidRDefault="00E46EDB">
    <w:pPr>
      <w:pStyle w:val="BodyText"/>
      <w:spacing w:before="0" w:line="14" w:lineRule="auto"/>
      <w:ind w:left="0" w:firstLine="0"/>
      <w:rPr>
        <w:sz w:val="20"/>
      </w:rPr>
    </w:pPr>
    <w:r>
      <w:rPr>
        <w:noProof/>
      </w:rPr>
      <mc:AlternateContent>
        <mc:Choice Requires="wps">
          <w:drawing>
            <wp:anchor distT="0" distB="0" distL="114300" distR="114300" simplePos="0" relativeHeight="485641216" behindDoc="1" locked="0" layoutInCell="1" allowOverlap="1" wp14:anchorId="4ADDBE62" wp14:editId="2DA60569">
              <wp:simplePos x="0" y="0"/>
              <wp:positionH relativeFrom="page">
                <wp:posOffset>541020</wp:posOffset>
              </wp:positionH>
              <wp:positionV relativeFrom="page">
                <wp:posOffset>9683750</wp:posOffset>
              </wp:positionV>
              <wp:extent cx="1829435" cy="7620"/>
              <wp:effectExtent l="0" t="0" r="0" b="0"/>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943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1FCA42" id="Rectangle 3" o:spid="_x0000_s1026" style="position:absolute;margin-left:42.6pt;margin-top:762.5pt;width:144.05pt;height:.6pt;z-index:-17675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" fillcolor="black" stroked="f">
              <w10:wrap anchorx="page" anchory="page"/>
            </v:rect>
          </w:pict>
        </mc:Fallback>
      </mc:AlternateContent>
    </w:r>
    <w:r>
      <w:rPr>
        <w:noProof/>
      </w:rPr>
      <mc:AlternateContent>
        <mc:Choice Requires="wps">
          <w:drawing>
            <wp:anchor distT="0" distB="0" distL="114300" distR="114300" simplePos="0" relativeHeight="485641728" behindDoc="1" locked="0" layoutInCell="1" allowOverlap="1" wp14:anchorId="37DD9523" wp14:editId="4A8C9F46">
              <wp:simplePos x="0" y="0"/>
              <wp:positionH relativeFrom="page">
                <wp:posOffset>3705225</wp:posOffset>
              </wp:positionH>
              <wp:positionV relativeFrom="page">
                <wp:posOffset>10022840</wp:posOffset>
              </wp:positionV>
              <wp:extent cx="153670" cy="15367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DFE605" w14:textId="77777777" w:rsidR="00A663F1" w:rsidRDefault="00E46EDB">
                          <w:pPr>
                            <w:spacing w:before="14"/>
                            <w:ind w:left="20"/>
                            <w:rPr>
                              <w:sz w:val="18"/>
                            </w:rPr>
                          </w:pPr>
                          <w:r>
                            <w:rPr>
                              <w:sz w:val="18"/>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DD9523" id="_x0000_t202" coordsize="21600,21600" o:spt="202" path="m,l,21600r21600,l21600,xe">
              <v:stroke joinstyle="miter"/>
              <v:path gradientshapeok="t" o:connecttype="rect"/>
            </v:shapetype>
            <v:shape id="Text Box 2" o:spid="_x0000_s1028" type="#_x0000_t202" style="position:absolute;margin-left:291.75pt;margin-top:789.2pt;width:12.1pt;height:12.1pt;z-index:-17674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" filled="f" stroked="f">
              <v:textbox inset="0,0,0,0">
                <w:txbxContent>
                  <w:p w14:paraId="40DFE605" w14:textId="77777777" w:rsidR="00A663F1" w:rsidRDefault="00E46EDB">
                    <w:pPr>
                      <w:spacing w:before="14"/>
                      <w:ind w:left="20"/>
                      <w:rPr>
                        <w:sz w:val="18"/>
                      </w:rPr>
                    </w:pPr>
                    <w:r>
                      <w:rPr>
                        <w:sz w:val="18"/>
                      </w:rPr>
                      <w:t>10</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726BD" w14:textId="0C080CFE" w:rsidR="00A663F1" w:rsidRDefault="00E46EDB">
    <w:pPr>
      <w:pStyle w:val="BodyText"/>
      <w:spacing w:before="0" w:line="14" w:lineRule="auto"/>
      <w:ind w:left="0" w:firstLine="0"/>
      <w:rPr>
        <w:sz w:val="19"/>
      </w:rPr>
    </w:pPr>
    <w:r>
      <w:rPr>
        <w:noProof/>
      </w:rPr>
      <mc:AlternateContent>
        <mc:Choice Requires="wps">
          <w:drawing>
            <wp:anchor distT="0" distB="0" distL="114300" distR="114300" simplePos="0" relativeHeight="485642240" behindDoc="1" locked="0" layoutInCell="1" allowOverlap="1" wp14:anchorId="4AAF29E5" wp14:editId="1493FAC5">
              <wp:simplePos x="0" y="0"/>
              <wp:positionH relativeFrom="page">
                <wp:posOffset>3679825</wp:posOffset>
              </wp:positionH>
              <wp:positionV relativeFrom="page">
                <wp:posOffset>10022840</wp:posOffset>
              </wp:positionV>
              <wp:extent cx="204470" cy="15367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496AFF" w14:textId="77777777" w:rsidR="00A663F1" w:rsidRDefault="00E46EDB">
                          <w:pPr>
                            <w:spacing w:before="14"/>
                            <w:ind w:left="60"/>
                            <w:rPr>
                              <w:sz w:val="18"/>
                            </w:rPr>
                          </w:pPr>
                          <w:r>
                            <w:fldChar w:fldCharType="begin"/>
                          </w:r>
                          <w:r>
                            <w:rPr>
                              <w:sz w:val="18"/>
                            </w:rPr>
                            <w:instrText xml:space="preserve"> PAGE </w:instrText>
                          </w:r>
                          <w:r>
                            <w:fldChar w:fldCharType="separate"/>
                          </w:r>
                          <w: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AF29E5" id="_x0000_t202" coordsize="21600,21600" o:spt="202" path="m,l,21600r21600,l21600,xe">
              <v:stroke joinstyle="miter"/>
              <v:path gradientshapeok="t" o:connecttype="rect"/>
            </v:shapetype>
            <v:shape id="Text Box 1" o:spid="_x0000_s1029" type="#_x0000_t202" style="position:absolute;margin-left:289.75pt;margin-top:789.2pt;width:16.1pt;height:12.1pt;z-index:-17674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" filled="f" stroked="f">
              <v:textbox inset="0,0,0,0">
                <w:txbxContent>
                  <w:p w14:paraId="4A496AFF" w14:textId="77777777" w:rsidR="00A663F1" w:rsidRDefault="00E46EDB">
                    <w:pPr>
                      <w:spacing w:before="14"/>
                      <w:ind w:left="60"/>
                      <w:rPr>
                        <w:sz w:val="18"/>
                      </w:rPr>
                    </w:pPr>
                    <w:r>
                      <w:fldChar w:fldCharType="begin"/>
                    </w:r>
                    <w:r>
                      <w:rPr>
                        <w:sz w:val="18"/>
                      </w:rPr>
                      <w:instrText xml:space="preserve"> PAGE </w:instrText>
                    </w:r>
                    <w:r>
                      <w:fldChar w:fldCharType="separate"/>
                    </w:r>
                    <w:r>
                      <w:t>13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136468" w14:textId="77777777" w:rsidR="0076511A" w:rsidRDefault="00E46EDB">
      <w:r>
        <w:separator/>
      </w:r>
    </w:p>
  </w:footnote>
  <w:footnote w:type="continuationSeparator" w:id="0">
    <w:p w14:paraId="5A9C0C78" w14:textId="77777777" w:rsidR="0076511A" w:rsidRDefault="00E46E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C67ED"/>
    <w:multiLevelType w:val="hybridMultilevel"/>
    <w:tmpl w:val="9D4E355A"/>
    <w:lvl w:ilvl="0" w:tplc="115AF430">
      <w:start w:val="1"/>
      <w:numFmt w:val="lowerLetter"/>
      <w:lvlText w:val="%1)"/>
      <w:lvlJc w:val="left"/>
      <w:pPr>
        <w:ind w:left="477" w:hanging="361"/>
        <w:jc w:val="left"/>
      </w:pPr>
      <w:rPr>
        <w:rFonts w:ascii="Arial" w:eastAsia="Arial" w:hAnsi="Arial" w:cs="Arial" w:hint="default"/>
        <w:spacing w:val="-6"/>
        <w:w w:val="100"/>
        <w:sz w:val="22"/>
        <w:szCs w:val="22"/>
        <w:lang w:val="en-US" w:eastAsia="en-US" w:bidi="ar-SA"/>
      </w:rPr>
    </w:lvl>
    <w:lvl w:ilvl="1" w:tplc="856C04D6">
      <w:numFmt w:val="bullet"/>
      <w:lvlText w:val="•"/>
      <w:lvlJc w:val="left"/>
      <w:pPr>
        <w:ind w:left="1464" w:hanging="361"/>
      </w:pPr>
      <w:rPr>
        <w:rFonts w:hint="default"/>
        <w:lang w:val="en-US" w:eastAsia="en-US" w:bidi="ar-SA"/>
      </w:rPr>
    </w:lvl>
    <w:lvl w:ilvl="2" w:tplc="CCB0F99A">
      <w:numFmt w:val="bullet"/>
      <w:lvlText w:val="•"/>
      <w:lvlJc w:val="left"/>
      <w:pPr>
        <w:ind w:left="2448" w:hanging="361"/>
      </w:pPr>
      <w:rPr>
        <w:rFonts w:hint="default"/>
        <w:lang w:val="en-US" w:eastAsia="en-US" w:bidi="ar-SA"/>
      </w:rPr>
    </w:lvl>
    <w:lvl w:ilvl="3" w:tplc="4F6E9224">
      <w:numFmt w:val="bullet"/>
      <w:lvlText w:val="•"/>
      <w:lvlJc w:val="left"/>
      <w:pPr>
        <w:ind w:left="3433" w:hanging="361"/>
      </w:pPr>
      <w:rPr>
        <w:rFonts w:hint="default"/>
        <w:lang w:val="en-US" w:eastAsia="en-US" w:bidi="ar-SA"/>
      </w:rPr>
    </w:lvl>
    <w:lvl w:ilvl="4" w:tplc="F05243EA">
      <w:numFmt w:val="bullet"/>
      <w:lvlText w:val="•"/>
      <w:lvlJc w:val="left"/>
      <w:pPr>
        <w:ind w:left="4417" w:hanging="361"/>
      </w:pPr>
      <w:rPr>
        <w:rFonts w:hint="default"/>
        <w:lang w:val="en-US" w:eastAsia="en-US" w:bidi="ar-SA"/>
      </w:rPr>
    </w:lvl>
    <w:lvl w:ilvl="5" w:tplc="B3F8D584">
      <w:numFmt w:val="bullet"/>
      <w:lvlText w:val="•"/>
      <w:lvlJc w:val="left"/>
      <w:pPr>
        <w:ind w:left="5402" w:hanging="361"/>
      </w:pPr>
      <w:rPr>
        <w:rFonts w:hint="default"/>
        <w:lang w:val="en-US" w:eastAsia="en-US" w:bidi="ar-SA"/>
      </w:rPr>
    </w:lvl>
    <w:lvl w:ilvl="6" w:tplc="AF500B66">
      <w:numFmt w:val="bullet"/>
      <w:lvlText w:val="•"/>
      <w:lvlJc w:val="left"/>
      <w:pPr>
        <w:ind w:left="6386" w:hanging="361"/>
      </w:pPr>
      <w:rPr>
        <w:rFonts w:hint="default"/>
        <w:lang w:val="en-US" w:eastAsia="en-US" w:bidi="ar-SA"/>
      </w:rPr>
    </w:lvl>
    <w:lvl w:ilvl="7" w:tplc="C39EFFE6">
      <w:numFmt w:val="bullet"/>
      <w:lvlText w:val="•"/>
      <w:lvlJc w:val="left"/>
      <w:pPr>
        <w:ind w:left="7370" w:hanging="361"/>
      </w:pPr>
      <w:rPr>
        <w:rFonts w:hint="default"/>
        <w:lang w:val="en-US" w:eastAsia="en-US" w:bidi="ar-SA"/>
      </w:rPr>
    </w:lvl>
    <w:lvl w:ilvl="8" w:tplc="E856D8F6">
      <w:numFmt w:val="bullet"/>
      <w:lvlText w:val="•"/>
      <w:lvlJc w:val="left"/>
      <w:pPr>
        <w:ind w:left="8355" w:hanging="361"/>
      </w:pPr>
      <w:rPr>
        <w:rFonts w:hint="default"/>
        <w:lang w:val="en-US" w:eastAsia="en-US" w:bidi="ar-SA"/>
      </w:rPr>
    </w:lvl>
  </w:abstractNum>
  <w:abstractNum w:abstractNumId="1" w15:restartNumberingAfterBreak="0">
    <w:nsid w:val="26443451"/>
    <w:multiLevelType w:val="hybridMultilevel"/>
    <w:tmpl w:val="6F9EA0BE"/>
    <w:lvl w:ilvl="0" w:tplc="03DC8778">
      <w:start w:val="19"/>
      <w:numFmt w:val="decimal"/>
      <w:lvlText w:val="%1"/>
      <w:lvlJc w:val="left"/>
      <w:pPr>
        <w:ind w:left="252" w:hanging="200"/>
        <w:jc w:val="left"/>
      </w:pPr>
      <w:rPr>
        <w:rFonts w:ascii="Arial" w:eastAsia="Arial" w:hAnsi="Arial" w:cs="Arial" w:hint="default"/>
        <w:spacing w:val="-1"/>
        <w:w w:val="99"/>
        <w:position w:val="8"/>
        <w:sz w:val="14"/>
        <w:szCs w:val="14"/>
        <w:lang w:val="en-US" w:eastAsia="en-US" w:bidi="ar-SA"/>
      </w:rPr>
    </w:lvl>
    <w:lvl w:ilvl="1" w:tplc="B1A81AE2">
      <w:numFmt w:val="bullet"/>
      <w:lvlText w:val="•"/>
      <w:lvlJc w:val="left"/>
      <w:pPr>
        <w:ind w:left="1292" w:hanging="200"/>
      </w:pPr>
      <w:rPr>
        <w:rFonts w:hint="default"/>
        <w:lang w:val="en-US" w:eastAsia="en-US" w:bidi="ar-SA"/>
      </w:rPr>
    </w:lvl>
    <w:lvl w:ilvl="2" w:tplc="D6C846E8">
      <w:numFmt w:val="bullet"/>
      <w:lvlText w:val="•"/>
      <w:lvlJc w:val="left"/>
      <w:pPr>
        <w:ind w:left="2325" w:hanging="200"/>
      </w:pPr>
      <w:rPr>
        <w:rFonts w:hint="default"/>
        <w:lang w:val="en-US" w:eastAsia="en-US" w:bidi="ar-SA"/>
      </w:rPr>
    </w:lvl>
    <w:lvl w:ilvl="3" w:tplc="C212D2B4">
      <w:numFmt w:val="bullet"/>
      <w:lvlText w:val="•"/>
      <w:lvlJc w:val="left"/>
      <w:pPr>
        <w:ind w:left="3357" w:hanging="200"/>
      </w:pPr>
      <w:rPr>
        <w:rFonts w:hint="default"/>
        <w:lang w:val="en-US" w:eastAsia="en-US" w:bidi="ar-SA"/>
      </w:rPr>
    </w:lvl>
    <w:lvl w:ilvl="4" w:tplc="F9445D32">
      <w:numFmt w:val="bullet"/>
      <w:lvlText w:val="•"/>
      <w:lvlJc w:val="left"/>
      <w:pPr>
        <w:ind w:left="4390" w:hanging="200"/>
      </w:pPr>
      <w:rPr>
        <w:rFonts w:hint="default"/>
        <w:lang w:val="en-US" w:eastAsia="en-US" w:bidi="ar-SA"/>
      </w:rPr>
    </w:lvl>
    <w:lvl w:ilvl="5" w:tplc="BA88AA04">
      <w:numFmt w:val="bullet"/>
      <w:lvlText w:val="•"/>
      <w:lvlJc w:val="left"/>
      <w:pPr>
        <w:ind w:left="5423" w:hanging="200"/>
      </w:pPr>
      <w:rPr>
        <w:rFonts w:hint="default"/>
        <w:lang w:val="en-US" w:eastAsia="en-US" w:bidi="ar-SA"/>
      </w:rPr>
    </w:lvl>
    <w:lvl w:ilvl="6" w:tplc="DBB6652E">
      <w:numFmt w:val="bullet"/>
      <w:lvlText w:val="•"/>
      <w:lvlJc w:val="left"/>
      <w:pPr>
        <w:ind w:left="6455" w:hanging="200"/>
      </w:pPr>
      <w:rPr>
        <w:rFonts w:hint="default"/>
        <w:lang w:val="en-US" w:eastAsia="en-US" w:bidi="ar-SA"/>
      </w:rPr>
    </w:lvl>
    <w:lvl w:ilvl="7" w:tplc="00DE9DE6">
      <w:numFmt w:val="bullet"/>
      <w:lvlText w:val="•"/>
      <w:lvlJc w:val="left"/>
      <w:pPr>
        <w:ind w:left="7488" w:hanging="200"/>
      </w:pPr>
      <w:rPr>
        <w:rFonts w:hint="default"/>
        <w:lang w:val="en-US" w:eastAsia="en-US" w:bidi="ar-SA"/>
      </w:rPr>
    </w:lvl>
    <w:lvl w:ilvl="8" w:tplc="307A012E">
      <w:numFmt w:val="bullet"/>
      <w:lvlText w:val="•"/>
      <w:lvlJc w:val="left"/>
      <w:pPr>
        <w:ind w:left="8521" w:hanging="200"/>
      </w:pPr>
      <w:rPr>
        <w:rFonts w:hint="default"/>
        <w:lang w:val="en-US" w:eastAsia="en-US" w:bidi="ar-SA"/>
      </w:rPr>
    </w:lvl>
  </w:abstractNum>
  <w:abstractNum w:abstractNumId="2" w15:restartNumberingAfterBreak="0">
    <w:nsid w:val="37B26DF0"/>
    <w:multiLevelType w:val="hybridMultilevel"/>
    <w:tmpl w:val="A5227F24"/>
    <w:lvl w:ilvl="0" w:tplc="134ED7B8">
      <w:start w:val="26"/>
      <w:numFmt w:val="decimal"/>
      <w:lvlText w:val="%1"/>
      <w:lvlJc w:val="left"/>
      <w:pPr>
        <w:ind w:left="252" w:hanging="200"/>
        <w:jc w:val="left"/>
      </w:pPr>
      <w:rPr>
        <w:rFonts w:ascii="Arial" w:eastAsia="Arial" w:hAnsi="Arial" w:cs="Arial" w:hint="default"/>
        <w:spacing w:val="-1"/>
        <w:w w:val="99"/>
        <w:position w:val="8"/>
        <w:sz w:val="14"/>
        <w:szCs w:val="14"/>
        <w:lang w:val="en-US" w:eastAsia="en-US" w:bidi="ar-SA"/>
      </w:rPr>
    </w:lvl>
    <w:lvl w:ilvl="1" w:tplc="48901422">
      <w:numFmt w:val="bullet"/>
      <w:lvlText w:val="•"/>
      <w:lvlJc w:val="left"/>
      <w:pPr>
        <w:ind w:left="1292" w:hanging="200"/>
      </w:pPr>
      <w:rPr>
        <w:rFonts w:hint="default"/>
        <w:lang w:val="en-US" w:eastAsia="en-US" w:bidi="ar-SA"/>
      </w:rPr>
    </w:lvl>
    <w:lvl w:ilvl="2" w:tplc="D66EF18A">
      <w:numFmt w:val="bullet"/>
      <w:lvlText w:val="•"/>
      <w:lvlJc w:val="left"/>
      <w:pPr>
        <w:ind w:left="2325" w:hanging="200"/>
      </w:pPr>
      <w:rPr>
        <w:rFonts w:hint="default"/>
        <w:lang w:val="en-US" w:eastAsia="en-US" w:bidi="ar-SA"/>
      </w:rPr>
    </w:lvl>
    <w:lvl w:ilvl="3" w:tplc="DFB22F40">
      <w:numFmt w:val="bullet"/>
      <w:lvlText w:val="•"/>
      <w:lvlJc w:val="left"/>
      <w:pPr>
        <w:ind w:left="3357" w:hanging="200"/>
      </w:pPr>
      <w:rPr>
        <w:rFonts w:hint="default"/>
        <w:lang w:val="en-US" w:eastAsia="en-US" w:bidi="ar-SA"/>
      </w:rPr>
    </w:lvl>
    <w:lvl w:ilvl="4" w:tplc="FC2475E4">
      <w:numFmt w:val="bullet"/>
      <w:lvlText w:val="•"/>
      <w:lvlJc w:val="left"/>
      <w:pPr>
        <w:ind w:left="4390" w:hanging="200"/>
      </w:pPr>
      <w:rPr>
        <w:rFonts w:hint="default"/>
        <w:lang w:val="en-US" w:eastAsia="en-US" w:bidi="ar-SA"/>
      </w:rPr>
    </w:lvl>
    <w:lvl w:ilvl="5" w:tplc="19B0EAC2">
      <w:numFmt w:val="bullet"/>
      <w:lvlText w:val="•"/>
      <w:lvlJc w:val="left"/>
      <w:pPr>
        <w:ind w:left="5423" w:hanging="200"/>
      </w:pPr>
      <w:rPr>
        <w:rFonts w:hint="default"/>
        <w:lang w:val="en-US" w:eastAsia="en-US" w:bidi="ar-SA"/>
      </w:rPr>
    </w:lvl>
    <w:lvl w:ilvl="6" w:tplc="D0E43D8A">
      <w:numFmt w:val="bullet"/>
      <w:lvlText w:val="•"/>
      <w:lvlJc w:val="left"/>
      <w:pPr>
        <w:ind w:left="6455" w:hanging="200"/>
      </w:pPr>
      <w:rPr>
        <w:rFonts w:hint="default"/>
        <w:lang w:val="en-US" w:eastAsia="en-US" w:bidi="ar-SA"/>
      </w:rPr>
    </w:lvl>
    <w:lvl w:ilvl="7" w:tplc="266C419E">
      <w:numFmt w:val="bullet"/>
      <w:lvlText w:val="•"/>
      <w:lvlJc w:val="left"/>
      <w:pPr>
        <w:ind w:left="7488" w:hanging="200"/>
      </w:pPr>
      <w:rPr>
        <w:rFonts w:hint="default"/>
        <w:lang w:val="en-US" w:eastAsia="en-US" w:bidi="ar-SA"/>
      </w:rPr>
    </w:lvl>
    <w:lvl w:ilvl="8" w:tplc="AB4647FE">
      <w:numFmt w:val="bullet"/>
      <w:lvlText w:val="•"/>
      <w:lvlJc w:val="left"/>
      <w:pPr>
        <w:ind w:left="8521" w:hanging="200"/>
      </w:pPr>
      <w:rPr>
        <w:rFonts w:hint="default"/>
        <w:lang w:val="en-US" w:eastAsia="en-US" w:bidi="ar-SA"/>
      </w:rPr>
    </w:lvl>
  </w:abstractNum>
  <w:abstractNum w:abstractNumId="3" w15:restartNumberingAfterBreak="0">
    <w:nsid w:val="46D17E98"/>
    <w:multiLevelType w:val="hybridMultilevel"/>
    <w:tmpl w:val="C708F310"/>
    <w:lvl w:ilvl="0" w:tplc="3B0E1440">
      <w:start w:val="9"/>
      <w:numFmt w:val="decimal"/>
      <w:lvlText w:val="%1"/>
      <w:lvlJc w:val="left"/>
      <w:pPr>
        <w:ind w:left="252" w:hanging="123"/>
        <w:jc w:val="left"/>
      </w:pPr>
      <w:rPr>
        <w:rFonts w:ascii="Arial" w:eastAsia="Arial" w:hAnsi="Arial" w:cs="Arial" w:hint="default"/>
        <w:w w:val="99"/>
        <w:position w:val="8"/>
        <w:sz w:val="14"/>
        <w:szCs w:val="14"/>
        <w:lang w:val="en-US" w:eastAsia="en-US" w:bidi="ar-SA"/>
      </w:rPr>
    </w:lvl>
    <w:lvl w:ilvl="1" w:tplc="412A42A2">
      <w:numFmt w:val="bullet"/>
      <w:lvlText w:val="•"/>
      <w:lvlJc w:val="left"/>
      <w:pPr>
        <w:ind w:left="1292" w:hanging="123"/>
      </w:pPr>
      <w:rPr>
        <w:rFonts w:hint="default"/>
        <w:lang w:val="en-US" w:eastAsia="en-US" w:bidi="ar-SA"/>
      </w:rPr>
    </w:lvl>
    <w:lvl w:ilvl="2" w:tplc="B6A8FE70">
      <w:numFmt w:val="bullet"/>
      <w:lvlText w:val="•"/>
      <w:lvlJc w:val="left"/>
      <w:pPr>
        <w:ind w:left="2325" w:hanging="123"/>
      </w:pPr>
      <w:rPr>
        <w:rFonts w:hint="default"/>
        <w:lang w:val="en-US" w:eastAsia="en-US" w:bidi="ar-SA"/>
      </w:rPr>
    </w:lvl>
    <w:lvl w:ilvl="3" w:tplc="D6CA8D12">
      <w:numFmt w:val="bullet"/>
      <w:lvlText w:val="•"/>
      <w:lvlJc w:val="left"/>
      <w:pPr>
        <w:ind w:left="3357" w:hanging="123"/>
      </w:pPr>
      <w:rPr>
        <w:rFonts w:hint="default"/>
        <w:lang w:val="en-US" w:eastAsia="en-US" w:bidi="ar-SA"/>
      </w:rPr>
    </w:lvl>
    <w:lvl w:ilvl="4" w:tplc="6B1A4A14">
      <w:numFmt w:val="bullet"/>
      <w:lvlText w:val="•"/>
      <w:lvlJc w:val="left"/>
      <w:pPr>
        <w:ind w:left="4390" w:hanging="123"/>
      </w:pPr>
      <w:rPr>
        <w:rFonts w:hint="default"/>
        <w:lang w:val="en-US" w:eastAsia="en-US" w:bidi="ar-SA"/>
      </w:rPr>
    </w:lvl>
    <w:lvl w:ilvl="5" w:tplc="2D98AB20">
      <w:numFmt w:val="bullet"/>
      <w:lvlText w:val="•"/>
      <w:lvlJc w:val="left"/>
      <w:pPr>
        <w:ind w:left="5423" w:hanging="123"/>
      </w:pPr>
      <w:rPr>
        <w:rFonts w:hint="default"/>
        <w:lang w:val="en-US" w:eastAsia="en-US" w:bidi="ar-SA"/>
      </w:rPr>
    </w:lvl>
    <w:lvl w:ilvl="6" w:tplc="6D5245D2">
      <w:numFmt w:val="bullet"/>
      <w:lvlText w:val="•"/>
      <w:lvlJc w:val="left"/>
      <w:pPr>
        <w:ind w:left="6455" w:hanging="123"/>
      </w:pPr>
      <w:rPr>
        <w:rFonts w:hint="default"/>
        <w:lang w:val="en-US" w:eastAsia="en-US" w:bidi="ar-SA"/>
      </w:rPr>
    </w:lvl>
    <w:lvl w:ilvl="7" w:tplc="E1729080">
      <w:numFmt w:val="bullet"/>
      <w:lvlText w:val="•"/>
      <w:lvlJc w:val="left"/>
      <w:pPr>
        <w:ind w:left="7488" w:hanging="123"/>
      </w:pPr>
      <w:rPr>
        <w:rFonts w:hint="default"/>
        <w:lang w:val="en-US" w:eastAsia="en-US" w:bidi="ar-SA"/>
      </w:rPr>
    </w:lvl>
    <w:lvl w:ilvl="8" w:tplc="0FE8A7A2">
      <w:numFmt w:val="bullet"/>
      <w:lvlText w:val="•"/>
      <w:lvlJc w:val="left"/>
      <w:pPr>
        <w:ind w:left="8521" w:hanging="123"/>
      </w:pPr>
      <w:rPr>
        <w:rFonts w:hint="default"/>
        <w:lang w:val="en-US" w:eastAsia="en-US" w:bidi="ar-SA"/>
      </w:rPr>
    </w:lvl>
  </w:abstractNum>
  <w:abstractNum w:abstractNumId="4" w15:restartNumberingAfterBreak="0">
    <w:nsid w:val="4B6A5441"/>
    <w:multiLevelType w:val="hybridMultilevel"/>
    <w:tmpl w:val="0E76FF94"/>
    <w:lvl w:ilvl="0" w:tplc="63EE323E">
      <w:start w:val="29"/>
      <w:numFmt w:val="decimal"/>
      <w:lvlText w:val="%1"/>
      <w:lvlJc w:val="left"/>
      <w:pPr>
        <w:ind w:left="252" w:hanging="200"/>
        <w:jc w:val="left"/>
      </w:pPr>
      <w:rPr>
        <w:rFonts w:ascii="Arial" w:eastAsia="Arial" w:hAnsi="Arial" w:cs="Arial" w:hint="default"/>
        <w:spacing w:val="-1"/>
        <w:w w:val="99"/>
        <w:position w:val="8"/>
        <w:sz w:val="14"/>
        <w:szCs w:val="14"/>
        <w:lang w:val="en-US" w:eastAsia="en-US" w:bidi="ar-SA"/>
      </w:rPr>
    </w:lvl>
    <w:lvl w:ilvl="1" w:tplc="0242FB7E">
      <w:numFmt w:val="bullet"/>
      <w:lvlText w:val="•"/>
      <w:lvlJc w:val="left"/>
      <w:pPr>
        <w:ind w:left="1292" w:hanging="200"/>
      </w:pPr>
      <w:rPr>
        <w:rFonts w:hint="default"/>
        <w:lang w:val="en-US" w:eastAsia="en-US" w:bidi="ar-SA"/>
      </w:rPr>
    </w:lvl>
    <w:lvl w:ilvl="2" w:tplc="AF56EED0">
      <w:numFmt w:val="bullet"/>
      <w:lvlText w:val="•"/>
      <w:lvlJc w:val="left"/>
      <w:pPr>
        <w:ind w:left="2325" w:hanging="200"/>
      </w:pPr>
      <w:rPr>
        <w:rFonts w:hint="default"/>
        <w:lang w:val="en-US" w:eastAsia="en-US" w:bidi="ar-SA"/>
      </w:rPr>
    </w:lvl>
    <w:lvl w:ilvl="3" w:tplc="5E3ED224">
      <w:numFmt w:val="bullet"/>
      <w:lvlText w:val="•"/>
      <w:lvlJc w:val="left"/>
      <w:pPr>
        <w:ind w:left="3357" w:hanging="200"/>
      </w:pPr>
      <w:rPr>
        <w:rFonts w:hint="default"/>
        <w:lang w:val="en-US" w:eastAsia="en-US" w:bidi="ar-SA"/>
      </w:rPr>
    </w:lvl>
    <w:lvl w:ilvl="4" w:tplc="32F082FE">
      <w:numFmt w:val="bullet"/>
      <w:lvlText w:val="•"/>
      <w:lvlJc w:val="left"/>
      <w:pPr>
        <w:ind w:left="4390" w:hanging="200"/>
      </w:pPr>
      <w:rPr>
        <w:rFonts w:hint="default"/>
        <w:lang w:val="en-US" w:eastAsia="en-US" w:bidi="ar-SA"/>
      </w:rPr>
    </w:lvl>
    <w:lvl w:ilvl="5" w:tplc="C7349CAC">
      <w:numFmt w:val="bullet"/>
      <w:lvlText w:val="•"/>
      <w:lvlJc w:val="left"/>
      <w:pPr>
        <w:ind w:left="5423" w:hanging="200"/>
      </w:pPr>
      <w:rPr>
        <w:rFonts w:hint="default"/>
        <w:lang w:val="en-US" w:eastAsia="en-US" w:bidi="ar-SA"/>
      </w:rPr>
    </w:lvl>
    <w:lvl w:ilvl="6" w:tplc="E5E66EDE">
      <w:numFmt w:val="bullet"/>
      <w:lvlText w:val="•"/>
      <w:lvlJc w:val="left"/>
      <w:pPr>
        <w:ind w:left="6455" w:hanging="200"/>
      </w:pPr>
      <w:rPr>
        <w:rFonts w:hint="default"/>
        <w:lang w:val="en-US" w:eastAsia="en-US" w:bidi="ar-SA"/>
      </w:rPr>
    </w:lvl>
    <w:lvl w:ilvl="7" w:tplc="DACC8698">
      <w:numFmt w:val="bullet"/>
      <w:lvlText w:val="•"/>
      <w:lvlJc w:val="left"/>
      <w:pPr>
        <w:ind w:left="7488" w:hanging="200"/>
      </w:pPr>
      <w:rPr>
        <w:rFonts w:hint="default"/>
        <w:lang w:val="en-US" w:eastAsia="en-US" w:bidi="ar-SA"/>
      </w:rPr>
    </w:lvl>
    <w:lvl w:ilvl="8" w:tplc="FB708FA6">
      <w:numFmt w:val="bullet"/>
      <w:lvlText w:val="•"/>
      <w:lvlJc w:val="left"/>
      <w:pPr>
        <w:ind w:left="8521" w:hanging="200"/>
      </w:pPr>
      <w:rPr>
        <w:rFonts w:hint="default"/>
        <w:lang w:val="en-US" w:eastAsia="en-US" w:bidi="ar-SA"/>
      </w:rPr>
    </w:lvl>
  </w:abstractNum>
  <w:abstractNum w:abstractNumId="5" w15:restartNumberingAfterBreak="0">
    <w:nsid w:val="4CB9155A"/>
    <w:multiLevelType w:val="hybridMultilevel"/>
    <w:tmpl w:val="9D400C34"/>
    <w:lvl w:ilvl="0" w:tplc="77F8C8DA">
      <w:start w:val="35"/>
      <w:numFmt w:val="decimal"/>
      <w:lvlText w:val="%1"/>
      <w:lvlJc w:val="left"/>
      <w:pPr>
        <w:ind w:left="451" w:hanging="200"/>
        <w:jc w:val="left"/>
      </w:pPr>
      <w:rPr>
        <w:rFonts w:ascii="Arial" w:eastAsia="Arial" w:hAnsi="Arial" w:cs="Arial" w:hint="default"/>
        <w:spacing w:val="-1"/>
        <w:w w:val="99"/>
        <w:position w:val="8"/>
        <w:sz w:val="14"/>
        <w:szCs w:val="14"/>
        <w:lang w:val="en-US" w:eastAsia="en-US" w:bidi="ar-SA"/>
      </w:rPr>
    </w:lvl>
    <w:lvl w:ilvl="1" w:tplc="0D8C13DC">
      <w:numFmt w:val="bullet"/>
      <w:lvlText w:val="•"/>
      <w:lvlJc w:val="left"/>
      <w:pPr>
        <w:ind w:left="1472" w:hanging="200"/>
      </w:pPr>
      <w:rPr>
        <w:rFonts w:hint="default"/>
        <w:lang w:val="en-US" w:eastAsia="en-US" w:bidi="ar-SA"/>
      </w:rPr>
    </w:lvl>
    <w:lvl w:ilvl="2" w:tplc="5036B570">
      <w:numFmt w:val="bullet"/>
      <w:lvlText w:val="•"/>
      <w:lvlJc w:val="left"/>
      <w:pPr>
        <w:ind w:left="2485" w:hanging="200"/>
      </w:pPr>
      <w:rPr>
        <w:rFonts w:hint="default"/>
        <w:lang w:val="en-US" w:eastAsia="en-US" w:bidi="ar-SA"/>
      </w:rPr>
    </w:lvl>
    <w:lvl w:ilvl="3" w:tplc="0C6E375C">
      <w:numFmt w:val="bullet"/>
      <w:lvlText w:val="•"/>
      <w:lvlJc w:val="left"/>
      <w:pPr>
        <w:ind w:left="3497" w:hanging="200"/>
      </w:pPr>
      <w:rPr>
        <w:rFonts w:hint="default"/>
        <w:lang w:val="en-US" w:eastAsia="en-US" w:bidi="ar-SA"/>
      </w:rPr>
    </w:lvl>
    <w:lvl w:ilvl="4" w:tplc="41163548">
      <w:numFmt w:val="bullet"/>
      <w:lvlText w:val="•"/>
      <w:lvlJc w:val="left"/>
      <w:pPr>
        <w:ind w:left="4510" w:hanging="200"/>
      </w:pPr>
      <w:rPr>
        <w:rFonts w:hint="default"/>
        <w:lang w:val="en-US" w:eastAsia="en-US" w:bidi="ar-SA"/>
      </w:rPr>
    </w:lvl>
    <w:lvl w:ilvl="5" w:tplc="882441D2">
      <w:numFmt w:val="bullet"/>
      <w:lvlText w:val="•"/>
      <w:lvlJc w:val="left"/>
      <w:pPr>
        <w:ind w:left="5523" w:hanging="200"/>
      </w:pPr>
      <w:rPr>
        <w:rFonts w:hint="default"/>
        <w:lang w:val="en-US" w:eastAsia="en-US" w:bidi="ar-SA"/>
      </w:rPr>
    </w:lvl>
    <w:lvl w:ilvl="6" w:tplc="97F64D34">
      <w:numFmt w:val="bullet"/>
      <w:lvlText w:val="•"/>
      <w:lvlJc w:val="left"/>
      <w:pPr>
        <w:ind w:left="6535" w:hanging="200"/>
      </w:pPr>
      <w:rPr>
        <w:rFonts w:hint="default"/>
        <w:lang w:val="en-US" w:eastAsia="en-US" w:bidi="ar-SA"/>
      </w:rPr>
    </w:lvl>
    <w:lvl w:ilvl="7" w:tplc="207A412A">
      <w:numFmt w:val="bullet"/>
      <w:lvlText w:val="•"/>
      <w:lvlJc w:val="left"/>
      <w:pPr>
        <w:ind w:left="7548" w:hanging="200"/>
      </w:pPr>
      <w:rPr>
        <w:rFonts w:hint="default"/>
        <w:lang w:val="en-US" w:eastAsia="en-US" w:bidi="ar-SA"/>
      </w:rPr>
    </w:lvl>
    <w:lvl w:ilvl="8" w:tplc="5DE8EE1E">
      <w:numFmt w:val="bullet"/>
      <w:lvlText w:val="•"/>
      <w:lvlJc w:val="left"/>
      <w:pPr>
        <w:ind w:left="8561" w:hanging="200"/>
      </w:pPr>
      <w:rPr>
        <w:rFonts w:hint="default"/>
        <w:lang w:val="en-US" w:eastAsia="en-US" w:bidi="ar-SA"/>
      </w:rPr>
    </w:lvl>
  </w:abstractNum>
  <w:abstractNum w:abstractNumId="6" w15:restartNumberingAfterBreak="0">
    <w:nsid w:val="50A50441"/>
    <w:multiLevelType w:val="hybridMultilevel"/>
    <w:tmpl w:val="D490294A"/>
    <w:lvl w:ilvl="0" w:tplc="5DDE8E66">
      <w:start w:val="15"/>
      <w:numFmt w:val="decimal"/>
      <w:lvlText w:val="%1"/>
      <w:lvlJc w:val="left"/>
      <w:pPr>
        <w:ind w:left="252" w:hanging="200"/>
        <w:jc w:val="left"/>
      </w:pPr>
      <w:rPr>
        <w:rFonts w:ascii="Arial" w:eastAsia="Arial" w:hAnsi="Arial" w:cs="Arial" w:hint="default"/>
        <w:spacing w:val="-1"/>
        <w:w w:val="99"/>
        <w:position w:val="8"/>
        <w:sz w:val="14"/>
        <w:szCs w:val="14"/>
        <w:lang w:val="en-US" w:eastAsia="en-US" w:bidi="ar-SA"/>
      </w:rPr>
    </w:lvl>
    <w:lvl w:ilvl="1" w:tplc="766A6322">
      <w:numFmt w:val="bullet"/>
      <w:lvlText w:val="•"/>
      <w:lvlJc w:val="left"/>
      <w:pPr>
        <w:ind w:left="1292" w:hanging="200"/>
      </w:pPr>
      <w:rPr>
        <w:rFonts w:hint="default"/>
        <w:lang w:val="en-US" w:eastAsia="en-US" w:bidi="ar-SA"/>
      </w:rPr>
    </w:lvl>
    <w:lvl w:ilvl="2" w:tplc="A5CACDE4">
      <w:numFmt w:val="bullet"/>
      <w:lvlText w:val="•"/>
      <w:lvlJc w:val="left"/>
      <w:pPr>
        <w:ind w:left="2325" w:hanging="200"/>
      </w:pPr>
      <w:rPr>
        <w:rFonts w:hint="default"/>
        <w:lang w:val="en-US" w:eastAsia="en-US" w:bidi="ar-SA"/>
      </w:rPr>
    </w:lvl>
    <w:lvl w:ilvl="3" w:tplc="20C469D4">
      <w:numFmt w:val="bullet"/>
      <w:lvlText w:val="•"/>
      <w:lvlJc w:val="left"/>
      <w:pPr>
        <w:ind w:left="3357" w:hanging="200"/>
      </w:pPr>
      <w:rPr>
        <w:rFonts w:hint="default"/>
        <w:lang w:val="en-US" w:eastAsia="en-US" w:bidi="ar-SA"/>
      </w:rPr>
    </w:lvl>
    <w:lvl w:ilvl="4" w:tplc="8648DA38">
      <w:numFmt w:val="bullet"/>
      <w:lvlText w:val="•"/>
      <w:lvlJc w:val="left"/>
      <w:pPr>
        <w:ind w:left="4390" w:hanging="200"/>
      </w:pPr>
      <w:rPr>
        <w:rFonts w:hint="default"/>
        <w:lang w:val="en-US" w:eastAsia="en-US" w:bidi="ar-SA"/>
      </w:rPr>
    </w:lvl>
    <w:lvl w:ilvl="5" w:tplc="1BB42718">
      <w:numFmt w:val="bullet"/>
      <w:lvlText w:val="•"/>
      <w:lvlJc w:val="left"/>
      <w:pPr>
        <w:ind w:left="5423" w:hanging="200"/>
      </w:pPr>
      <w:rPr>
        <w:rFonts w:hint="default"/>
        <w:lang w:val="en-US" w:eastAsia="en-US" w:bidi="ar-SA"/>
      </w:rPr>
    </w:lvl>
    <w:lvl w:ilvl="6" w:tplc="1E70FB24">
      <w:numFmt w:val="bullet"/>
      <w:lvlText w:val="•"/>
      <w:lvlJc w:val="left"/>
      <w:pPr>
        <w:ind w:left="6455" w:hanging="200"/>
      </w:pPr>
      <w:rPr>
        <w:rFonts w:hint="default"/>
        <w:lang w:val="en-US" w:eastAsia="en-US" w:bidi="ar-SA"/>
      </w:rPr>
    </w:lvl>
    <w:lvl w:ilvl="7" w:tplc="3CDC56E2">
      <w:numFmt w:val="bullet"/>
      <w:lvlText w:val="•"/>
      <w:lvlJc w:val="left"/>
      <w:pPr>
        <w:ind w:left="7488" w:hanging="200"/>
      </w:pPr>
      <w:rPr>
        <w:rFonts w:hint="default"/>
        <w:lang w:val="en-US" w:eastAsia="en-US" w:bidi="ar-SA"/>
      </w:rPr>
    </w:lvl>
    <w:lvl w:ilvl="8" w:tplc="799CB5A8">
      <w:numFmt w:val="bullet"/>
      <w:lvlText w:val="•"/>
      <w:lvlJc w:val="left"/>
      <w:pPr>
        <w:ind w:left="8521" w:hanging="200"/>
      </w:pPr>
      <w:rPr>
        <w:rFonts w:hint="default"/>
        <w:lang w:val="en-US" w:eastAsia="en-US" w:bidi="ar-SA"/>
      </w:rPr>
    </w:lvl>
  </w:abstractNum>
  <w:abstractNum w:abstractNumId="7" w15:restartNumberingAfterBreak="0">
    <w:nsid w:val="51296519"/>
    <w:multiLevelType w:val="hybridMultilevel"/>
    <w:tmpl w:val="8ED87E64"/>
    <w:lvl w:ilvl="0" w:tplc="55AE4BCA">
      <w:start w:val="1"/>
      <w:numFmt w:val="decimal"/>
      <w:lvlText w:val="%1"/>
      <w:lvlJc w:val="left"/>
      <w:pPr>
        <w:ind w:left="252" w:hanging="123"/>
        <w:jc w:val="left"/>
      </w:pPr>
      <w:rPr>
        <w:rFonts w:ascii="Arial" w:eastAsia="Arial" w:hAnsi="Arial" w:cs="Arial" w:hint="default"/>
        <w:w w:val="99"/>
        <w:position w:val="8"/>
        <w:sz w:val="14"/>
        <w:szCs w:val="14"/>
        <w:lang w:val="en-US" w:eastAsia="en-US" w:bidi="ar-SA"/>
      </w:rPr>
    </w:lvl>
    <w:lvl w:ilvl="1" w:tplc="EAC8A4B4">
      <w:numFmt w:val="bullet"/>
      <w:lvlText w:val="•"/>
      <w:lvlJc w:val="left"/>
      <w:pPr>
        <w:ind w:left="1292" w:hanging="123"/>
      </w:pPr>
      <w:rPr>
        <w:rFonts w:hint="default"/>
        <w:lang w:val="en-US" w:eastAsia="en-US" w:bidi="ar-SA"/>
      </w:rPr>
    </w:lvl>
    <w:lvl w:ilvl="2" w:tplc="08A85968">
      <w:numFmt w:val="bullet"/>
      <w:lvlText w:val="•"/>
      <w:lvlJc w:val="left"/>
      <w:pPr>
        <w:ind w:left="2325" w:hanging="123"/>
      </w:pPr>
      <w:rPr>
        <w:rFonts w:hint="default"/>
        <w:lang w:val="en-US" w:eastAsia="en-US" w:bidi="ar-SA"/>
      </w:rPr>
    </w:lvl>
    <w:lvl w:ilvl="3" w:tplc="4B7ADB0C">
      <w:numFmt w:val="bullet"/>
      <w:lvlText w:val="•"/>
      <w:lvlJc w:val="left"/>
      <w:pPr>
        <w:ind w:left="3357" w:hanging="123"/>
      </w:pPr>
      <w:rPr>
        <w:rFonts w:hint="default"/>
        <w:lang w:val="en-US" w:eastAsia="en-US" w:bidi="ar-SA"/>
      </w:rPr>
    </w:lvl>
    <w:lvl w:ilvl="4" w:tplc="E3888E6A">
      <w:numFmt w:val="bullet"/>
      <w:lvlText w:val="•"/>
      <w:lvlJc w:val="left"/>
      <w:pPr>
        <w:ind w:left="4390" w:hanging="123"/>
      </w:pPr>
      <w:rPr>
        <w:rFonts w:hint="default"/>
        <w:lang w:val="en-US" w:eastAsia="en-US" w:bidi="ar-SA"/>
      </w:rPr>
    </w:lvl>
    <w:lvl w:ilvl="5" w:tplc="07382EFE">
      <w:numFmt w:val="bullet"/>
      <w:lvlText w:val="•"/>
      <w:lvlJc w:val="left"/>
      <w:pPr>
        <w:ind w:left="5423" w:hanging="123"/>
      </w:pPr>
      <w:rPr>
        <w:rFonts w:hint="default"/>
        <w:lang w:val="en-US" w:eastAsia="en-US" w:bidi="ar-SA"/>
      </w:rPr>
    </w:lvl>
    <w:lvl w:ilvl="6" w:tplc="554CCCE2">
      <w:numFmt w:val="bullet"/>
      <w:lvlText w:val="•"/>
      <w:lvlJc w:val="left"/>
      <w:pPr>
        <w:ind w:left="6455" w:hanging="123"/>
      </w:pPr>
      <w:rPr>
        <w:rFonts w:hint="default"/>
        <w:lang w:val="en-US" w:eastAsia="en-US" w:bidi="ar-SA"/>
      </w:rPr>
    </w:lvl>
    <w:lvl w:ilvl="7" w:tplc="8EFE1C92">
      <w:numFmt w:val="bullet"/>
      <w:lvlText w:val="•"/>
      <w:lvlJc w:val="left"/>
      <w:pPr>
        <w:ind w:left="7488" w:hanging="123"/>
      </w:pPr>
      <w:rPr>
        <w:rFonts w:hint="default"/>
        <w:lang w:val="en-US" w:eastAsia="en-US" w:bidi="ar-SA"/>
      </w:rPr>
    </w:lvl>
    <w:lvl w:ilvl="8" w:tplc="4FFE41E2">
      <w:numFmt w:val="bullet"/>
      <w:lvlText w:val="•"/>
      <w:lvlJc w:val="left"/>
      <w:pPr>
        <w:ind w:left="8521" w:hanging="123"/>
      </w:pPr>
      <w:rPr>
        <w:rFonts w:hint="default"/>
        <w:lang w:val="en-US" w:eastAsia="en-US" w:bidi="ar-SA"/>
      </w:rPr>
    </w:lvl>
  </w:abstractNum>
  <w:abstractNum w:abstractNumId="8" w15:restartNumberingAfterBreak="0">
    <w:nsid w:val="6BF27636"/>
    <w:multiLevelType w:val="hybridMultilevel"/>
    <w:tmpl w:val="72FCD090"/>
    <w:lvl w:ilvl="0" w:tplc="D03E65E4">
      <w:start w:val="38"/>
      <w:numFmt w:val="decimal"/>
      <w:lvlText w:val="%1"/>
      <w:lvlJc w:val="left"/>
      <w:pPr>
        <w:ind w:left="451" w:hanging="200"/>
        <w:jc w:val="left"/>
      </w:pPr>
      <w:rPr>
        <w:rFonts w:hint="default"/>
        <w:i/>
        <w:spacing w:val="-1"/>
        <w:w w:val="99"/>
        <w:position w:val="9"/>
        <w:lang w:val="en-US" w:eastAsia="en-US" w:bidi="ar-SA"/>
      </w:rPr>
    </w:lvl>
    <w:lvl w:ilvl="1" w:tplc="66F42FD2">
      <w:numFmt w:val="bullet"/>
      <w:lvlText w:val="•"/>
      <w:lvlJc w:val="left"/>
      <w:pPr>
        <w:ind w:left="1472" w:hanging="200"/>
      </w:pPr>
      <w:rPr>
        <w:rFonts w:hint="default"/>
        <w:lang w:val="en-US" w:eastAsia="en-US" w:bidi="ar-SA"/>
      </w:rPr>
    </w:lvl>
    <w:lvl w:ilvl="2" w:tplc="1C10FB48">
      <w:numFmt w:val="bullet"/>
      <w:lvlText w:val="•"/>
      <w:lvlJc w:val="left"/>
      <w:pPr>
        <w:ind w:left="2485" w:hanging="200"/>
      </w:pPr>
      <w:rPr>
        <w:rFonts w:hint="default"/>
        <w:lang w:val="en-US" w:eastAsia="en-US" w:bidi="ar-SA"/>
      </w:rPr>
    </w:lvl>
    <w:lvl w:ilvl="3" w:tplc="C35C3F02">
      <w:numFmt w:val="bullet"/>
      <w:lvlText w:val="•"/>
      <w:lvlJc w:val="left"/>
      <w:pPr>
        <w:ind w:left="3497" w:hanging="200"/>
      </w:pPr>
      <w:rPr>
        <w:rFonts w:hint="default"/>
        <w:lang w:val="en-US" w:eastAsia="en-US" w:bidi="ar-SA"/>
      </w:rPr>
    </w:lvl>
    <w:lvl w:ilvl="4" w:tplc="9B2099CC">
      <w:numFmt w:val="bullet"/>
      <w:lvlText w:val="•"/>
      <w:lvlJc w:val="left"/>
      <w:pPr>
        <w:ind w:left="4510" w:hanging="200"/>
      </w:pPr>
      <w:rPr>
        <w:rFonts w:hint="default"/>
        <w:lang w:val="en-US" w:eastAsia="en-US" w:bidi="ar-SA"/>
      </w:rPr>
    </w:lvl>
    <w:lvl w:ilvl="5" w:tplc="9EBAADE6">
      <w:numFmt w:val="bullet"/>
      <w:lvlText w:val="•"/>
      <w:lvlJc w:val="left"/>
      <w:pPr>
        <w:ind w:left="5523" w:hanging="200"/>
      </w:pPr>
      <w:rPr>
        <w:rFonts w:hint="default"/>
        <w:lang w:val="en-US" w:eastAsia="en-US" w:bidi="ar-SA"/>
      </w:rPr>
    </w:lvl>
    <w:lvl w:ilvl="6" w:tplc="06183BE4">
      <w:numFmt w:val="bullet"/>
      <w:lvlText w:val="•"/>
      <w:lvlJc w:val="left"/>
      <w:pPr>
        <w:ind w:left="6535" w:hanging="200"/>
      </w:pPr>
      <w:rPr>
        <w:rFonts w:hint="default"/>
        <w:lang w:val="en-US" w:eastAsia="en-US" w:bidi="ar-SA"/>
      </w:rPr>
    </w:lvl>
    <w:lvl w:ilvl="7" w:tplc="13B4337E">
      <w:numFmt w:val="bullet"/>
      <w:lvlText w:val="•"/>
      <w:lvlJc w:val="left"/>
      <w:pPr>
        <w:ind w:left="7548" w:hanging="200"/>
      </w:pPr>
      <w:rPr>
        <w:rFonts w:hint="default"/>
        <w:lang w:val="en-US" w:eastAsia="en-US" w:bidi="ar-SA"/>
      </w:rPr>
    </w:lvl>
    <w:lvl w:ilvl="8" w:tplc="E52206AE">
      <w:numFmt w:val="bullet"/>
      <w:lvlText w:val="•"/>
      <w:lvlJc w:val="left"/>
      <w:pPr>
        <w:ind w:left="8561" w:hanging="200"/>
      </w:pPr>
      <w:rPr>
        <w:rFonts w:hint="default"/>
        <w:lang w:val="en-US" w:eastAsia="en-US" w:bidi="ar-SA"/>
      </w:rPr>
    </w:lvl>
  </w:abstractNum>
  <w:abstractNum w:abstractNumId="9" w15:restartNumberingAfterBreak="0">
    <w:nsid w:val="6CE5525A"/>
    <w:multiLevelType w:val="hybridMultilevel"/>
    <w:tmpl w:val="3170E1A6"/>
    <w:lvl w:ilvl="0" w:tplc="54FA5660">
      <w:start w:val="3"/>
      <w:numFmt w:val="decimal"/>
      <w:lvlText w:val="%1"/>
      <w:lvlJc w:val="left"/>
      <w:pPr>
        <w:ind w:left="252" w:hanging="123"/>
        <w:jc w:val="left"/>
      </w:pPr>
      <w:rPr>
        <w:rFonts w:ascii="Arial" w:eastAsia="Arial" w:hAnsi="Arial" w:cs="Arial" w:hint="default"/>
        <w:w w:val="99"/>
        <w:position w:val="8"/>
        <w:sz w:val="14"/>
        <w:szCs w:val="14"/>
        <w:lang w:val="en-US" w:eastAsia="en-US" w:bidi="ar-SA"/>
      </w:rPr>
    </w:lvl>
    <w:lvl w:ilvl="1" w:tplc="F4C24E1A">
      <w:numFmt w:val="bullet"/>
      <w:lvlText w:val="•"/>
      <w:lvlJc w:val="left"/>
      <w:pPr>
        <w:ind w:left="1292" w:hanging="123"/>
      </w:pPr>
      <w:rPr>
        <w:rFonts w:hint="default"/>
        <w:lang w:val="en-US" w:eastAsia="en-US" w:bidi="ar-SA"/>
      </w:rPr>
    </w:lvl>
    <w:lvl w:ilvl="2" w:tplc="D542DC8A">
      <w:numFmt w:val="bullet"/>
      <w:lvlText w:val="•"/>
      <w:lvlJc w:val="left"/>
      <w:pPr>
        <w:ind w:left="2325" w:hanging="123"/>
      </w:pPr>
      <w:rPr>
        <w:rFonts w:hint="default"/>
        <w:lang w:val="en-US" w:eastAsia="en-US" w:bidi="ar-SA"/>
      </w:rPr>
    </w:lvl>
    <w:lvl w:ilvl="3" w:tplc="468A8E72">
      <w:numFmt w:val="bullet"/>
      <w:lvlText w:val="•"/>
      <w:lvlJc w:val="left"/>
      <w:pPr>
        <w:ind w:left="3357" w:hanging="123"/>
      </w:pPr>
      <w:rPr>
        <w:rFonts w:hint="default"/>
        <w:lang w:val="en-US" w:eastAsia="en-US" w:bidi="ar-SA"/>
      </w:rPr>
    </w:lvl>
    <w:lvl w:ilvl="4" w:tplc="424CB572">
      <w:numFmt w:val="bullet"/>
      <w:lvlText w:val="•"/>
      <w:lvlJc w:val="left"/>
      <w:pPr>
        <w:ind w:left="4390" w:hanging="123"/>
      </w:pPr>
      <w:rPr>
        <w:rFonts w:hint="default"/>
        <w:lang w:val="en-US" w:eastAsia="en-US" w:bidi="ar-SA"/>
      </w:rPr>
    </w:lvl>
    <w:lvl w:ilvl="5" w:tplc="60D2D104">
      <w:numFmt w:val="bullet"/>
      <w:lvlText w:val="•"/>
      <w:lvlJc w:val="left"/>
      <w:pPr>
        <w:ind w:left="5423" w:hanging="123"/>
      </w:pPr>
      <w:rPr>
        <w:rFonts w:hint="default"/>
        <w:lang w:val="en-US" w:eastAsia="en-US" w:bidi="ar-SA"/>
      </w:rPr>
    </w:lvl>
    <w:lvl w:ilvl="6" w:tplc="3170EDF4">
      <w:numFmt w:val="bullet"/>
      <w:lvlText w:val="•"/>
      <w:lvlJc w:val="left"/>
      <w:pPr>
        <w:ind w:left="6455" w:hanging="123"/>
      </w:pPr>
      <w:rPr>
        <w:rFonts w:hint="default"/>
        <w:lang w:val="en-US" w:eastAsia="en-US" w:bidi="ar-SA"/>
      </w:rPr>
    </w:lvl>
    <w:lvl w:ilvl="7" w:tplc="5ABE8CBA">
      <w:numFmt w:val="bullet"/>
      <w:lvlText w:val="•"/>
      <w:lvlJc w:val="left"/>
      <w:pPr>
        <w:ind w:left="7488" w:hanging="123"/>
      </w:pPr>
      <w:rPr>
        <w:rFonts w:hint="default"/>
        <w:lang w:val="en-US" w:eastAsia="en-US" w:bidi="ar-SA"/>
      </w:rPr>
    </w:lvl>
    <w:lvl w:ilvl="8" w:tplc="26667EC6">
      <w:numFmt w:val="bullet"/>
      <w:lvlText w:val="•"/>
      <w:lvlJc w:val="left"/>
      <w:pPr>
        <w:ind w:left="8521" w:hanging="123"/>
      </w:pPr>
      <w:rPr>
        <w:rFonts w:hint="default"/>
        <w:lang w:val="en-US" w:eastAsia="en-US" w:bidi="ar-SA"/>
      </w:rPr>
    </w:lvl>
  </w:abstractNum>
  <w:abstractNum w:abstractNumId="10" w15:restartNumberingAfterBreak="0">
    <w:nsid w:val="7DC843C3"/>
    <w:multiLevelType w:val="multilevel"/>
    <w:tmpl w:val="F4202EDE"/>
    <w:lvl w:ilvl="0">
      <w:start w:val="1"/>
      <w:numFmt w:val="decimal"/>
      <w:lvlText w:val="%1."/>
      <w:lvlJc w:val="left"/>
      <w:pPr>
        <w:ind w:left="612" w:hanging="361"/>
        <w:jc w:val="left"/>
      </w:pPr>
      <w:rPr>
        <w:rFonts w:ascii="Arial" w:eastAsia="Arial" w:hAnsi="Arial" w:cs="Arial" w:hint="default"/>
        <w:b/>
        <w:bCs/>
        <w:spacing w:val="-1"/>
        <w:w w:val="100"/>
        <w:sz w:val="22"/>
        <w:szCs w:val="22"/>
        <w:lang w:val="en-US" w:eastAsia="en-US" w:bidi="ar-SA"/>
      </w:rPr>
    </w:lvl>
    <w:lvl w:ilvl="1">
      <w:start w:val="1"/>
      <w:numFmt w:val="decimal"/>
      <w:lvlText w:val="%1.%2."/>
      <w:lvlJc w:val="left"/>
      <w:pPr>
        <w:ind w:left="1044" w:hanging="432"/>
        <w:jc w:val="left"/>
      </w:pPr>
      <w:rPr>
        <w:rFonts w:ascii="Arial" w:eastAsia="Arial" w:hAnsi="Arial" w:cs="Arial" w:hint="default"/>
        <w:w w:val="100"/>
        <w:sz w:val="22"/>
        <w:szCs w:val="22"/>
        <w:lang w:val="en-US" w:eastAsia="en-US" w:bidi="ar-SA"/>
      </w:rPr>
    </w:lvl>
    <w:lvl w:ilvl="2">
      <w:start w:val="1"/>
      <w:numFmt w:val="decimal"/>
      <w:lvlText w:val="%1.%2.%3."/>
      <w:lvlJc w:val="left"/>
      <w:pPr>
        <w:ind w:left="1476" w:hanging="783"/>
        <w:jc w:val="left"/>
      </w:pPr>
      <w:rPr>
        <w:rFonts w:ascii="Arial" w:eastAsia="Arial" w:hAnsi="Arial" w:cs="Arial" w:hint="default"/>
        <w:spacing w:val="-3"/>
        <w:w w:val="100"/>
        <w:sz w:val="22"/>
        <w:szCs w:val="22"/>
        <w:lang w:val="en-US" w:eastAsia="en-US" w:bidi="ar-SA"/>
      </w:rPr>
    </w:lvl>
    <w:lvl w:ilvl="3">
      <w:numFmt w:val="bullet"/>
      <w:lvlText w:val="•"/>
      <w:lvlJc w:val="left"/>
      <w:pPr>
        <w:ind w:left="1480" w:hanging="783"/>
      </w:pPr>
      <w:rPr>
        <w:rFonts w:hint="default"/>
        <w:lang w:val="en-US" w:eastAsia="en-US" w:bidi="ar-SA"/>
      </w:rPr>
    </w:lvl>
    <w:lvl w:ilvl="4">
      <w:numFmt w:val="bullet"/>
      <w:lvlText w:val="•"/>
      <w:lvlJc w:val="left"/>
      <w:pPr>
        <w:ind w:left="1700" w:hanging="783"/>
      </w:pPr>
      <w:rPr>
        <w:rFonts w:hint="default"/>
        <w:lang w:val="en-US" w:eastAsia="en-US" w:bidi="ar-SA"/>
      </w:rPr>
    </w:lvl>
    <w:lvl w:ilvl="5">
      <w:numFmt w:val="bullet"/>
      <w:lvlText w:val="•"/>
      <w:lvlJc w:val="left"/>
      <w:pPr>
        <w:ind w:left="3181" w:hanging="783"/>
      </w:pPr>
      <w:rPr>
        <w:rFonts w:hint="default"/>
        <w:lang w:val="en-US" w:eastAsia="en-US" w:bidi="ar-SA"/>
      </w:rPr>
    </w:lvl>
    <w:lvl w:ilvl="6">
      <w:numFmt w:val="bullet"/>
      <w:lvlText w:val="•"/>
      <w:lvlJc w:val="left"/>
      <w:pPr>
        <w:ind w:left="4662" w:hanging="783"/>
      </w:pPr>
      <w:rPr>
        <w:rFonts w:hint="default"/>
        <w:lang w:val="en-US" w:eastAsia="en-US" w:bidi="ar-SA"/>
      </w:rPr>
    </w:lvl>
    <w:lvl w:ilvl="7">
      <w:numFmt w:val="bullet"/>
      <w:lvlText w:val="•"/>
      <w:lvlJc w:val="left"/>
      <w:pPr>
        <w:ind w:left="6143" w:hanging="783"/>
      </w:pPr>
      <w:rPr>
        <w:rFonts w:hint="default"/>
        <w:lang w:val="en-US" w:eastAsia="en-US" w:bidi="ar-SA"/>
      </w:rPr>
    </w:lvl>
    <w:lvl w:ilvl="8">
      <w:numFmt w:val="bullet"/>
      <w:lvlText w:val="•"/>
      <w:lvlJc w:val="left"/>
      <w:pPr>
        <w:ind w:left="7624" w:hanging="783"/>
      </w:pPr>
      <w:rPr>
        <w:rFonts w:hint="default"/>
        <w:lang w:val="en-US" w:eastAsia="en-US" w:bidi="ar-SA"/>
      </w:rPr>
    </w:lvl>
  </w:abstractNum>
  <w:num w:numId="1">
    <w:abstractNumId w:val="8"/>
  </w:num>
  <w:num w:numId="2">
    <w:abstractNumId w:val="5"/>
  </w:num>
  <w:num w:numId="3">
    <w:abstractNumId w:val="4"/>
  </w:num>
  <w:num w:numId="4">
    <w:abstractNumId w:val="2"/>
  </w:num>
  <w:num w:numId="5">
    <w:abstractNumId w:val="1"/>
  </w:num>
  <w:num w:numId="6">
    <w:abstractNumId w:val="6"/>
  </w:num>
  <w:num w:numId="7">
    <w:abstractNumId w:val="3"/>
  </w:num>
  <w:num w:numId="8">
    <w:abstractNumId w:val="7"/>
  </w:num>
  <w:num w:numId="9">
    <w:abstractNumId w:val="10"/>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3F1"/>
    <w:rsid w:val="00446697"/>
    <w:rsid w:val="005E7C86"/>
    <w:rsid w:val="0076511A"/>
    <w:rsid w:val="00A663F1"/>
    <w:rsid w:val="00E46E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8BF2E36"/>
  <w15:docId w15:val="{AC606CFE-2A00-4054-8851-B386D931C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121"/>
      <w:ind w:left="612" w:hanging="361"/>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20"/>
      <w:ind w:left="1044" w:hanging="432"/>
    </w:pPr>
  </w:style>
  <w:style w:type="paragraph" w:styleId="ListParagraph">
    <w:name w:val="List Paragraph"/>
    <w:basedOn w:val="Normal"/>
    <w:uiPriority w:val="1"/>
    <w:qFormat/>
    <w:pPr>
      <w:spacing w:before="120"/>
      <w:ind w:left="1044" w:hanging="432"/>
    </w:pPr>
  </w:style>
  <w:style w:type="paragraph" w:customStyle="1" w:styleId="TableParagraph">
    <w:name w:val="Table Paragraph"/>
    <w:basedOn w:val="Normal"/>
    <w:uiPriority w:val="1"/>
    <w:qFormat/>
    <w:pPr>
      <w:spacing w:line="229"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capuk.org/fileserver/downloads/general/cap-client-report-2019-dp.pdf" TargetMode="External"/><Relationship Id="rId18" Type="http://schemas.openxmlformats.org/officeDocument/2006/relationships/hyperlink" Target="https://www.moneyadviceservice.org.uk/en/corporate/economicimpactdebtadvice" TargetMode="External"/><Relationship Id="rId26" Type="http://schemas.openxmlformats.org/officeDocument/2006/relationships/hyperlink" Target="https://asauk.org.uk/wp-content/uploads/2018/03/MAS0032-MAS-BehaviouralChange_W.pdf" TargetMode="External"/><Relationship Id="rId39" Type="http://schemas.openxmlformats.org/officeDocument/2006/relationships/hyperlink" Target="https://www.bankofengland.co.uk/boeapps/database/fromshowcolumns.asp?Travel=NIxAZxSUx&amp;FromSeries=1&amp;ToSeries=50&amp;DAT=RNG&amp;FD=1&amp;FM=Jan&amp;FY=2010&amp;TD=11&amp;TM=May&amp;TY=2025&amp;FNY=Y&amp;CSVF=TT&amp;html.x=66&amp;html.y=26&amp;SeriesCodes=CFMZ6IR&amp;UsingCodes=Y&amp;Filter=N&amp;title=CFMZ6IR&amp;VPD=Y&amp;notes" TargetMode="External"/><Relationship Id="rId21" Type="http://schemas.openxmlformats.org/officeDocument/2006/relationships/hyperlink" Target="https://capuk.org/fileserver/downloads/general/cap-client-report-2019-dp.pdf" TargetMode="External"/><Relationship Id="rId34" Type="http://schemas.openxmlformats.org/officeDocument/2006/relationships/hyperlink" Target="https://www.moneyandmentalhealth.org/wp-content/uploads/2019/03/debt-and-mental-health-policy-note.pdf" TargetMode="External"/><Relationship Id="rId42" Type="http://schemas.openxmlformats.org/officeDocument/2006/relationships/hyperlink" Target="https://blogs.kcl.ac.uk/socialcareworkforce/wp-content/blogs.dir/7/files/2017/07/Form-A2-Section-2-appl-by-AMHP-for-admiss-for-assess-page-001-724x1024.jpg" TargetMode="External"/><Relationship Id="rId47" Type="http://schemas.openxmlformats.org/officeDocument/2006/relationships/hyperlink" Target="https://www.fsb.org.uk/docs/default-source/fsb-org-uk/fsb-sbi-q2-2019-final.pdf?sfvrsn=3d13ed21_0" TargetMode="External"/><Relationship Id="rId50" Type="http://schemas.openxmlformats.org/officeDocument/2006/relationships/hyperlink" Target="https://mascdn.azureedge.net/cms/cs-indebted-lives-the-complexities-of-life-in-debt_november-2013.pdf" TargetMode="External"/><Relationship Id="rId55" Type="http://schemas.openxmlformats.org/officeDocument/2006/relationships/hyperlink" Target="https://www.gov.uk/government/publications/breathing-space-scheme-money-and-pensions-service-advice" TargetMode="External"/><Relationship Id="rId7" Type="http://schemas.openxmlformats.org/officeDocument/2006/relationships/settings" Target="settings.xml"/><Relationship Id="rId12" Type="http://schemas.openxmlformats.org/officeDocument/2006/relationships/hyperlink" Target="https://masassets.blob.core.windows.net/cms/files/000/000/900/original/Peter_Wyman_Review_of_Debt_Advice_Funding_2018.pdf" TargetMode="External"/><Relationship Id="rId17" Type="http://schemas.openxmlformats.org/officeDocument/2006/relationships/footer" Target="footer2.xml"/><Relationship Id="rId25" Type="http://schemas.openxmlformats.org/officeDocument/2006/relationships/hyperlink" Target="https://asauk.org.uk/wp-content/uploads/2018/03/MAS0032-MAS-BehaviouralChange_W.pdf" TargetMode="External"/><Relationship Id="rId33" Type="http://schemas.openxmlformats.org/officeDocument/2006/relationships/footer" Target="footer4.xml"/><Relationship Id="rId38" Type="http://schemas.openxmlformats.org/officeDocument/2006/relationships/hyperlink" Target="https://www.bankofengland.co.uk/boeapps/database/fromshowcolumns.asp?Travel=NIxAZxSUx&amp;FromSeries=1&amp;ToSeries=50&amp;DAT=RNG&amp;FD=1&amp;FM=Jan&amp;FY=2010&amp;TD=11&amp;TM=May&amp;TY=2025&amp;FNY=Y&amp;CSVF=TT&amp;html.x=66&amp;html.y=26&amp;SeriesCodes=CFMZ6IR&amp;UsingCodes=Y&amp;Filter=N&amp;title=CFMZ6IR&amp;VPD=Y&amp;notes" TargetMode="External"/><Relationship Id="rId46" Type="http://schemas.openxmlformats.org/officeDocument/2006/relationships/hyperlink" Target="https://www.fsb.org.uk/docs/default-source/fsb-org-uk/fsb-sbi-q2-2019-final.pdf?sfvrsn=3d13ed21_0" TargetMode="Externa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hyperlink" Target="https://capuk.org/fileserver/downloads/general/cap-client-report-2019-dp.pdf" TargetMode="External"/><Relationship Id="rId29" Type="http://schemas.openxmlformats.org/officeDocument/2006/relationships/hyperlink" Target="https://www.conservatives.com/manifesto" TargetMode="External"/><Relationship Id="rId41" Type="http://schemas.openxmlformats.org/officeDocument/2006/relationships/hyperlink" Target="https://blogs.kcl.ac.uk/socialcareworkforce/wp-content/blogs.dir/7/files/2017/07/Form-A2-Section-2-appl-by-AMHP-for-admiss-for-assess-page-001-724x1024.jpg" TargetMode="External"/><Relationship Id="rId54" Type="http://schemas.openxmlformats.org/officeDocument/2006/relationships/hyperlink" Target="https://www.childrenssociety.org.uk/what-we-do/resources-and-publications/publications-library/debt-trap-exposing-impact-problem-debt-ch"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lfie.Shaw@HMTreasury.gov.uk" TargetMode="External"/><Relationship Id="rId24" Type="http://schemas.openxmlformats.org/officeDocument/2006/relationships/hyperlink" Target="https://www.fincap.org.uk/en/insights/better-debt-advice-from-a-moment-of-crisis-to-a-lifetime-of-resilience" TargetMode="External"/><Relationship Id="rId32" Type="http://schemas.openxmlformats.org/officeDocument/2006/relationships/footer" Target="footer3.xml"/><Relationship Id="rId37" Type="http://schemas.openxmlformats.org/officeDocument/2006/relationships/hyperlink" Target="https://www.fsb.org.uk/docs/default-source/fsb-org-uk/fsb-sbi-q2-2019-final.pdf?sfvrsn=3d13ed21_0" TargetMode="External"/><Relationship Id="rId40" Type="http://schemas.openxmlformats.org/officeDocument/2006/relationships/hyperlink" Target="https://www.bankofengland.co.uk/boeapps/database/fromshowcolumns.asp?Travel=NIxAZxSUx&amp;FromSeries=1&amp;ToSeries=50&amp;DAT=RNG&amp;FD=1&amp;FM=Jan&amp;FY=2010&amp;TD=11&amp;TM=May&amp;TY=2025&amp;FNY=Y&amp;CSVF=TT&amp;html.x=66&amp;html.y=26&amp;SeriesCodes=CFMZ6IR&amp;UsingCodes=Y&amp;Filter=N&amp;title=CFMZ6IR&amp;VPD=Y&amp;notes" TargetMode="External"/><Relationship Id="rId45" Type="http://schemas.openxmlformats.org/officeDocument/2006/relationships/hyperlink" Target="https://www.gov.uk/government/publications/english-private-landlord-survey-2018-main-report" TargetMode="External"/><Relationship Id="rId53" Type="http://schemas.openxmlformats.org/officeDocument/2006/relationships/hyperlink" Target="https://www.moneyandmentalhealth.org/wp-content/uploads/2019/07/Money-and-Mental-Health-Annual-Review-2018-19.pdf" TargetMode="External"/><Relationship Id="rId58"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yperlink" Target="https://www.gov.uk/government/publications/breathing-space-scheme-money-and-pensions-service-advice" TargetMode="External"/><Relationship Id="rId28" Type="http://schemas.openxmlformats.org/officeDocument/2006/relationships/hyperlink" Target="https://assets.publishing.service.gov.uk/government/uploads/system/uploads/attachment_data/file/810058/______17June_CLEAN_response.pdf" TargetMode="External"/><Relationship Id="rId36" Type="http://schemas.openxmlformats.org/officeDocument/2006/relationships/hyperlink" Target="https://www.fsb.org.uk/docs/default-source/fsb-org-uk/fsb-sbi-q2-2019-final.pdf?sfvrsn=3d13ed21_0" TargetMode="External"/><Relationship Id="rId49" Type="http://schemas.openxmlformats.org/officeDocument/2006/relationships/hyperlink" Target="https://mascdn.azureedge.net/cms/cs-indebted-lives-the-complexities-of-life-in-debt_november-2013.pdf" TargetMode="External"/><Relationship Id="rId57"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masassets.blob.core.windows.net/cms/files/000/000/900/original/Peter_Wyman_Review_of_Debt_Advice_Funding_2018.pdf" TargetMode="External"/><Relationship Id="rId31" Type="http://schemas.openxmlformats.org/officeDocument/2006/relationships/hyperlink" Target="https://www.stepchange.org/policy-and-research/breathing-space.aspx" TargetMode="External"/><Relationship Id="rId44" Type="http://schemas.openxmlformats.org/officeDocument/2006/relationships/hyperlink" Target="https://www.gov.uk/government/statistics/english-housing-survey-2017-to-2018-social-rented-sector" TargetMode="External"/><Relationship Id="rId52" Type="http://schemas.openxmlformats.org/officeDocument/2006/relationships/hyperlink" Target="https://www.moneyandmentalhealth.org/wp-content/uploads/2019/07/Money-and-Mental-Health-Annual-Review-2018-19.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apuk.org/fileserver/downloads/general/cap-client-report-2019-dp.pdf" TargetMode="External"/><Relationship Id="rId22" Type="http://schemas.openxmlformats.org/officeDocument/2006/relationships/hyperlink" Target="https://www.stepchange.org/Portals/0/documents/Reports/safe-harbours-report.pdf" TargetMode="External"/><Relationship Id="rId27" Type="http://schemas.openxmlformats.org/officeDocument/2006/relationships/hyperlink" Target="https://assets.publishing.service.gov.uk/government/uploads/system/uploads/attachment_data/file/810058/______17June_CLEAN_response.pdf" TargetMode="External"/><Relationship Id="rId30" Type="http://schemas.openxmlformats.org/officeDocument/2006/relationships/hyperlink" Target="https://masassets.blob.core.windows.net/cms/files/000/001/064/original/Mapping_the_unmet_demand_for_debt_advice_in_the_UK.pdf" TargetMode="External"/><Relationship Id="rId35" Type="http://schemas.openxmlformats.org/officeDocument/2006/relationships/hyperlink" Target="https://www.stepchange.org/Portals/0/documents/media/reports/Transforming_lives.pdf" TargetMode="External"/><Relationship Id="rId43" Type="http://schemas.openxmlformats.org/officeDocument/2006/relationships/hyperlink" Target="https://www.gov.uk/government/statistics/business-population-estimates-2019" TargetMode="External"/><Relationship Id="rId48" Type="http://schemas.openxmlformats.org/officeDocument/2006/relationships/hyperlink" Target="https://www.ons.gov.uk/employmentandlabourmarket/peopleinwork/earningsandworkinghours/datasets/industry2digitsicashetable4" TargetMode="External"/><Relationship Id="rId56" Type="http://schemas.openxmlformats.org/officeDocument/2006/relationships/hyperlink" Target="https://www.gov.uk/government/publications/breathing-space-scheme-money-and-pensions-service-advice" TargetMode="External"/><Relationship Id="rId8" Type="http://schemas.openxmlformats.org/officeDocument/2006/relationships/webSettings" Target="webSettings.xml"/><Relationship Id="rId51" Type="http://schemas.openxmlformats.org/officeDocument/2006/relationships/hyperlink" Target="https://www.ofcom.org.uk/__data/assets/pdf_file/0019/102772/section-5-digital-media.pdf" TargetMode="Externa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A649560F1D9E7409144135F9BF36FED" ma:contentTypeVersion="1724" ma:contentTypeDescription="Create a new document." ma:contentTypeScope="" ma:versionID="46114ce779de52607a9e5170dd01a25a">
  <xsd:schema xmlns:xsd="http://www.w3.org/2001/XMLSchema" xmlns:xs="http://www.w3.org/2001/XMLSchema" xmlns:p="http://schemas.microsoft.com/office/2006/metadata/properties" xmlns:ns1="http://schemas.microsoft.com/sharepoint/v3" xmlns:ns2="4207284b-2500-42ee-81a8-10727ad1b1ae" xmlns:ns3="20076bca-995b-4074-b2ff-b82bcf0d86e4" xmlns:ns4="http://schemas.microsoft.com/sharepoint/v4" targetNamespace="http://schemas.microsoft.com/office/2006/metadata/properties" ma:root="true" ma:fieldsID="52eab2fffab4d64d9feaab032631dab3" ns1:_="" ns2:_="" ns3:_="" ns4:_="">
    <xsd:import namespace="http://schemas.microsoft.com/sharepoint/v3"/>
    <xsd:import namespace="4207284b-2500-42ee-81a8-10727ad1b1ae"/>
    <xsd:import namespace="20076bca-995b-4074-b2ff-b82bcf0d86e4"/>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1:dlc_EmailSubject" minOccurs="0"/>
                <xsd:element ref="ns1:dlc_EmailMailbox" minOccurs="0"/>
                <xsd:element ref="ns1:dlc_EmailTo" minOccurs="0"/>
                <xsd:element ref="ns1:dlc_EmailFrom" minOccurs="0"/>
                <xsd:element ref="ns1:dlc_EmailCC" minOccurs="0"/>
                <xsd:element ref="ns1:dlc_EmailBCC" minOccurs="0"/>
                <xsd:element ref="ns1:dlc_EmailSentUTC" minOccurs="0"/>
                <xsd:element ref="ns1:dlc_EmailReceivedUTC" minOccurs="0"/>
                <xsd:element ref="ns2:HMT_DocumentTypeHTField0" minOccurs="0"/>
                <xsd:element ref="ns3:m4e205a008724e269aef64ca7bdb5848" minOccurs="0"/>
                <xsd:element ref="ns2:TaxCatchAll" minOccurs="0"/>
                <xsd:element ref="ns3:m4e205a008724e269aef64ca7bdb5848" minOccurs="0"/>
                <xsd:element ref="ns2:HMT_Record" minOccurs="0"/>
                <xsd:element ref="ns2:HMT_GroupHTField0" minOccurs="0"/>
                <xsd:element ref="ns3:g727aac2e2204289aa2b5b6dcdadae03" minOccurs="0"/>
                <xsd:element ref="ns3:g727aac2e2204289aa2b5b6dcdadae03" minOccurs="0"/>
                <xsd:element ref="ns2:HMT_TeamHTField0" minOccurs="0"/>
                <xsd:element ref="ns3:ieefa5c6211a4a5e9a507e1c1c1599ef" minOccurs="0"/>
                <xsd:element ref="ns3:ieefa5c6211a4a5e9a507e1c1c1599ef" minOccurs="0"/>
                <xsd:element ref="ns2:HMT_SubTeamHTField0" minOccurs="0"/>
                <xsd:element ref="ns3:hb8bc0391a2e4089a24d47de9e4a6672" minOccurs="0"/>
                <xsd:element ref="ns3:hb8bc0391a2e4089a24d47de9e4a6672" minOccurs="0"/>
                <xsd:element ref="ns2:HMT_CategoryHTField0" minOccurs="0"/>
                <xsd:element ref="ns3:g3bf77b0a02d47ea8bec4fb357d1f3ee" minOccurs="0"/>
                <xsd:element ref="ns3:g3bf77b0a02d47ea8bec4fb357d1f3ee" minOccurs="0"/>
                <xsd:element ref="ns3:b4fdd2ce4232490396aa344e31f74d8e" minOccurs="0"/>
                <xsd:element ref="ns3:jc76c0d69b0a44309f7bb16407c92353" minOccurs="0"/>
                <xsd:element ref="ns3:d3acaa1fb1fd45d69e6498ce1656c037" minOccurs="0"/>
                <xsd:element ref="ns2:b9c42a306c8b47fcbaf8a41a71352f3a" minOccurs="0"/>
                <xsd:element ref="ns3:b9c42a306c8b47fcbaf8a41a71352f3a" minOccurs="0"/>
                <xsd:element ref="ns3:b9c42a306c8b47fcbaf8a41a71352f3a" minOccurs="0"/>
                <xsd:element ref="ns2:HMT_ClosedOn" minOccurs="0"/>
                <xsd:element ref="ns2:HMT_DeletedOn" minOccurs="0"/>
                <xsd:element ref="ns2:HMT_ArchivedOn" minOccurs="0"/>
                <xsd:element ref="ns2:HMT_LegacyItemID" minOccurs="0"/>
                <xsd:element ref="ns2:HMT_LegacyCreatedBy" minOccurs="0"/>
                <xsd:element ref="ns2:HMT_LegacyModifiedBy" minOccurs="0"/>
                <xsd:element ref="ns2:HMT_LegacyOrigSource" minOccurs="0"/>
                <xsd:element ref="ns2:HMT_LegacyExtRef" minOccurs="0"/>
                <xsd:element ref="ns2:HMT_LegacySensitive" minOccurs="0"/>
                <xsd:element ref="ns2:HMT_LegacyRecord" minOccurs="0"/>
                <xsd:element ref="ns2:HMT_Audit" minOccurs="0"/>
                <xsd:element ref="ns2:HMT_ClosedBy" minOccurs="0"/>
                <xsd:element ref="ns2:HMT_ArchivedBy" minOccurs="0"/>
                <xsd:element ref="ns2:HMT_ClosedArchive"/>
                <xsd:element ref="ns2:HMT_ClosedOnOrig" minOccurs="0"/>
                <xsd:element ref="ns2:HMT_ClosedbyOrig" minOccurs="0"/>
                <xsd:element ref="ns1:URL" minOccurs="0"/>
                <xsd:element ref="ns2:HMT_Note" minOccurs="0"/>
                <xsd:element ref="ns2:HMT_Review" minOccurs="0"/>
                <xsd:element ref="ns2:HMT_Modified" minOccurs="0"/>
                <xsd:element ref="ns2:HMT_Comments" minOccurs="0"/>
                <xsd:element ref="ns2:HMT_Pending" minOccurs="0"/>
                <xsd:element ref="ns2:HMT_ArchiveReqBy" minOccurs="0"/>
                <xsd:element ref="ns2:HMT_ArchiveReqOn" minOccurs="0"/>
                <xsd:element ref="ns2:HMT_FolderOrderText" minOccurs="0"/>
                <xsd:element ref="ns1:_dlc_Exempt" minOccurs="0"/>
                <xsd:element ref="ns1:_dlc_ExpireDateSaved" minOccurs="0"/>
                <xsd:element ref="ns1:_dlc_ExpireDate" minOccurs="0"/>
                <xsd:element ref="ns4:IconOverlay"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lc_EmailSubject" ma:index="11" nillable="true" ma:displayName="Subject" ma:internalName="dlc_EmailSubject">
      <xsd:simpleType>
        <xsd:restriction base="dms:Text">
          <xsd:maxLength value="255"/>
        </xsd:restriction>
      </xsd:simpleType>
    </xsd:element>
    <xsd:element name="dlc_EmailMailbox" ma:index="12" nillable="true" ma:displayName="Submitter" ma:description="" ma:internalName="dlc_EmailMailbox">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lc_EmailTo" ma:index="13" nillable="true" ma:displayName="To" ma:internalName="dlc_EmailTo">
      <xsd:simpleType>
        <xsd:restriction base="dms:Text">
          <xsd:maxLength value="255"/>
        </xsd:restriction>
      </xsd:simpleType>
    </xsd:element>
    <xsd:element name="dlc_EmailFrom" ma:index="14" nillable="true" ma:displayName="From" ma:internalName="dlc_EmailFrom">
      <xsd:simpleType>
        <xsd:restriction base="dms:Text">
          <xsd:maxLength value="255"/>
        </xsd:restriction>
      </xsd:simpleType>
    </xsd:element>
    <xsd:element name="dlc_EmailCC" ma:index="15" nillable="true" ma:displayName="CC" ma:internalName="dlc_EmailCC">
      <xsd:simpleType>
        <xsd:restriction base="dms:Note">
          <xsd:maxLength value="1024"/>
        </xsd:restriction>
      </xsd:simpleType>
    </xsd:element>
    <xsd:element name="dlc_EmailBCC" ma:index="16" nillable="true" ma:displayName="BCC" ma:internalName="dlc_EmailBCC">
      <xsd:simpleType>
        <xsd:restriction base="dms:Note">
          <xsd:maxLength value="1024"/>
        </xsd:restriction>
      </xsd:simpleType>
    </xsd:element>
    <xsd:element name="dlc_EmailSentUTC" ma:index="17" nillable="true" ma:displayName="Date Sent" ma:internalName="dlc_EmailSentUTC">
      <xsd:simpleType>
        <xsd:restriction base="dms:DateTime"/>
      </xsd:simpleType>
    </xsd:element>
    <xsd:element name="dlc_EmailReceivedUTC" ma:index="18" nillable="true" ma:displayName="Date Received" ma:internalName="dlc_EmailReceivedUTC">
      <xsd:simpleType>
        <xsd:restriction base="dms:DateTime"/>
      </xsd:simpleType>
    </xsd:element>
    <xsd:element name="URL" ma:index="64" nillable="true" ma:displayName="URL" ma:internalName="URL">
      <xsd:complexType>
        <xsd:complexContent>
          <xsd:extension base="dms:URL">
            <xsd:sequence>
              <xsd:element name="Url" type="dms:ValidUrl" minOccurs="0" nillable="true"/>
              <xsd:element name="Description" type="xsd:string" nillable="true"/>
            </xsd:sequence>
          </xsd:extension>
        </xsd:complexContent>
      </xsd:complexType>
    </xsd:element>
    <xsd:element name="_dlc_Exempt" ma:index="73" nillable="true" ma:displayName="Exempt from Policy" ma:description="" ma:hidden="true" ma:internalName="_dlc_Exempt" ma:readOnly="true">
      <xsd:simpleType>
        <xsd:restriction base="dms:Unknown"/>
      </xsd:simpleType>
    </xsd:element>
    <xsd:element name="_dlc_ExpireDateSaved" ma:index="74" nillable="true" ma:displayName="Original Expiration Date" ma:description="" ma:hidden="true" ma:internalName="_dlc_ExpireDateSaved" ma:readOnly="true">
      <xsd:simpleType>
        <xsd:restriction base="dms:DateTime"/>
      </xsd:simpleType>
    </xsd:element>
    <xsd:element name="_dlc_ExpireDate" ma:index="75" nillable="true" ma:displayName="Expiration Date" ma:description="" ma:hidden="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4207284b-2500-42ee-81a8-10727ad1b1a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HMT_DocumentTypeHTField0" ma:index="20" nillable="true" ma:taxonomy="true" ma:internalName="HMT_DocumentTypeHTField0" ma:taxonomyFieldName="HMT_DocumentType" ma:displayName="Document Type" ma:indexed="true" ma:default="" ma:fieldId="{64e205a0-0872-4e26-9aef-64ca7bdb5848}" ma:sspId="9002b6cd-6bc3-456d-8dd0-19fe32dddaf9" ma:termSetId="b6f1e53f-947f-4b4b-98bb-41ceeb10f910" ma:anchorId="00000000-0000-0000-0000-000000000000" ma:open="false" ma:isKeyword="false">
      <xsd:complexType>
        <xsd:sequence>
          <xsd:element ref="pc:Terms" minOccurs="0" maxOccurs="1"/>
        </xsd:sequence>
      </xsd:complexType>
    </xsd:element>
    <xsd:element name="TaxCatchAll" ma:index="22" nillable="true" ma:displayName="Taxonomy Catch All Column" ma:hidden="true" ma:list="{96f412cb-771b-4feb-89a9-862447355f97}" ma:internalName="TaxCatchAll" ma:showField="CatchAllData" ma:web="4207284b-2500-42ee-81a8-10727ad1b1ae">
      <xsd:complexType>
        <xsd:complexContent>
          <xsd:extension base="dms:MultiChoiceLookup">
            <xsd:sequence>
              <xsd:element name="Value" type="dms:Lookup" maxOccurs="unbounded" minOccurs="0" nillable="true"/>
            </xsd:sequence>
          </xsd:extension>
        </xsd:complexContent>
      </xsd:complexType>
    </xsd:element>
    <xsd:element name="HMT_Record" ma:index="24" nillable="true" ma:displayName="Record" ma:description="Is this document a record?" ma:hidden="true" ma:internalName="HMT_Record">
      <xsd:simpleType>
        <xsd:restriction base="dms:Boolean"/>
      </xsd:simpleType>
    </xsd:element>
    <xsd:element name="HMT_GroupHTField0" ma:index="26" nillable="true" ma:taxonomy="true" ma:internalName="HMT_GroupHTField0" ma:taxonomyFieldName="HMT_Group" ma:displayName="Organisation unit" ma:indexed="true" ma:default="" ma:fieldId="{0727aac2-e220-4289-aa2b-5b6dcdadae03}" ma:sspId="9002b6cd-6bc3-456d-8dd0-19fe32dddaf9" ma:termSetId="bfb00256-4f71-4b34-808b-e2a5e274e13b" ma:anchorId="00000000-0000-0000-0000-000000000000" ma:open="false" ma:isKeyword="false">
      <xsd:complexType>
        <xsd:sequence>
          <xsd:element ref="pc:Terms" minOccurs="0" maxOccurs="1"/>
        </xsd:sequence>
      </xsd:complexType>
    </xsd:element>
    <xsd:element name="HMT_TeamHTField0" ma:index="30" nillable="true" ma:taxonomy="true" ma:internalName="HMT_TeamHTField0" ma:taxonomyFieldName="HMT_Team" ma:displayName="Team" ma:indexed="true" ma:default="" ma:fieldId="{2eefa5c6-211a-4a5e-9a50-7e1c1c1599ef}" ma:sspId="9002b6cd-6bc3-456d-8dd0-19fe32dddaf9" ma:termSetId="bfb00256-4f71-4b34-808b-e2a5e274e13b" ma:anchorId="00000000-0000-0000-0000-000000000000" ma:open="false" ma:isKeyword="false">
      <xsd:complexType>
        <xsd:sequence>
          <xsd:element ref="pc:Terms" minOccurs="0" maxOccurs="1"/>
        </xsd:sequence>
      </xsd:complexType>
    </xsd:element>
    <xsd:element name="HMT_SubTeamHTField0" ma:index="34" nillable="true" ma:taxonomy="true" ma:internalName="HMT_SubTeamHTField0" ma:taxonomyFieldName="HMT_SubTeam" ma:displayName="Sub Team" ma:indexed="true" ma:default="" ma:fieldId="{1b8bc039-1a2e-4089-a24d-47de9e4a6672}" ma:sspId="9002b6cd-6bc3-456d-8dd0-19fe32dddaf9" ma:termSetId="bfb00256-4f71-4b34-808b-e2a5e274e13b" ma:anchorId="00000000-0000-0000-0000-000000000000" ma:open="false" ma:isKeyword="false">
      <xsd:complexType>
        <xsd:sequence>
          <xsd:element ref="pc:Terms" minOccurs="0" maxOccurs="1"/>
        </xsd:sequence>
      </xsd:complexType>
    </xsd:element>
    <xsd:element name="HMT_CategoryHTField0" ma:index="38" nillable="true" ma:taxonomy="true" ma:internalName="HMT_CategoryHTField0" ma:taxonomyFieldName="HMT_Category" ma:displayName="Category" ma:indexed="true" ma:default="" ma:fieldId="{03bf77b0-a02d-47ea-8bec-4fb357d1f3ee}" ma:sspId="9002b6cd-6bc3-456d-8dd0-19fe32dddaf9" ma:termSetId="b6f1e53f-947f-4b4b-98bb-41ceeb10f910" ma:anchorId="00000000-0000-0000-0000-000000000000" ma:open="false" ma:isKeyword="false">
      <xsd:complexType>
        <xsd:sequence>
          <xsd:element ref="pc:Terms" minOccurs="0" maxOccurs="1"/>
        </xsd:sequence>
      </xsd:complexType>
    </xsd:element>
    <xsd:element name="b9c42a306c8b47fcbaf8a41a71352f3a" ma:index="45" nillable="true" ma:taxonomy="true" ma:internalName="b9c42a306c8b47fcbaf8a41a71352f3a" ma:taxonomyFieldName="HMT_Classification" ma:displayName="Classification" ma:indexed="true" ma:default="" ma:fieldId="{b9c42a30-6c8b-47fc-baf8-a41a71352f3a}" ma:sspId="9002b6cd-6bc3-456d-8dd0-19fe32dddaf9" ma:termSetId="7a69d7dc-39ad-4ce6-95e5-a2714f1574de" ma:anchorId="00000000-0000-0000-0000-000000000000" ma:open="false" ma:isKeyword="false">
      <xsd:complexType>
        <xsd:sequence>
          <xsd:element ref="pc:Terms" minOccurs="0" maxOccurs="1"/>
        </xsd:sequence>
      </xsd:complexType>
    </xsd:element>
    <xsd:element name="HMT_ClosedOn" ma:index="48" nillable="true" ma:displayName="Closed On" ma:description="The date this item was closed on" ma:format="DateTime" ma:hidden="true" ma:internalName="HMT_ClosedOn">
      <xsd:simpleType>
        <xsd:restriction base="dms:DateTime"/>
      </xsd:simpleType>
    </xsd:element>
    <xsd:element name="HMT_DeletedOn" ma:index="49" nillable="true" ma:displayName="Deleted On" ma:description="The date this item was deleted on" ma:format="DateTime" ma:hidden="true" ma:internalName="HMT_DeletedOn">
      <xsd:simpleType>
        <xsd:restriction base="dms:DateTime"/>
      </xsd:simpleType>
    </xsd:element>
    <xsd:element name="HMT_ArchivedOn" ma:index="50" nillable="true" ma:displayName="Archived On" ma:description="The date this item was archived on" ma:format="DateTime" ma:hidden="true" ma:internalName="HMT_ArchivedOn">
      <xsd:simpleType>
        <xsd:restriction base="dms:DateTime"/>
      </xsd:simpleType>
    </xsd:element>
    <xsd:element name="HMT_LegacyItemID" ma:index="51" nillable="true" ma:displayName="Legacy Item ID" ma:hidden="true" ma:internalName="HMT_LegacyItemID">
      <xsd:simpleType>
        <xsd:restriction base="dms:Text"/>
      </xsd:simpleType>
    </xsd:element>
    <xsd:element name="HMT_LegacyCreatedBy" ma:index="52" nillable="true" ma:displayName="Legacy Created By" ma:hidden="true" ma:internalName="HMT_LegacyCreatedBy">
      <xsd:simpleType>
        <xsd:restriction base="dms:Text"/>
      </xsd:simpleType>
    </xsd:element>
    <xsd:element name="HMT_LegacyModifiedBy" ma:index="53" nillable="true" ma:displayName="Legacy Modified By" ma:hidden="true" ma:internalName="HMT_LegacyModifiedBy">
      <xsd:simpleType>
        <xsd:restriction base="dms:Text"/>
      </xsd:simpleType>
    </xsd:element>
    <xsd:element name="HMT_LegacyOrigSource" ma:index="54" nillable="true" ma:displayName="Original Source" ma:hidden="true" ma:internalName="HMT_LegacyOrigSource">
      <xsd:simpleType>
        <xsd:restriction base="dms:Text"/>
      </xsd:simpleType>
    </xsd:element>
    <xsd:element name="HMT_LegacyExtRef" ma:index="55" nillable="true" ma:displayName="External Reference" ma:hidden="true" ma:internalName="HMT_LegacyExtRef">
      <xsd:simpleType>
        <xsd:restriction base="dms:Text"/>
      </xsd:simpleType>
    </xsd:element>
    <xsd:element name="HMT_LegacySensitive" ma:index="56" nillable="true" ma:displayName="Sensitive Item" ma:default="0" ma:hidden="true" ma:internalName="HMT_LegacySensitive">
      <xsd:simpleType>
        <xsd:restriction base="dms:Boolean"/>
      </xsd:simpleType>
    </xsd:element>
    <xsd:element name="HMT_LegacyRecord" ma:index="57" nillable="true" ma:displayName="Legacy Record" ma:default="0" ma:hidden="true" ma:internalName="HMT_LegacyRecord">
      <xsd:simpleType>
        <xsd:restriction base="dms:Boolean"/>
      </xsd:simpleType>
    </xsd:element>
    <xsd:element name="HMT_Audit" ma:index="58" nillable="true" ma:displayName="Audit Log" ma:description="Audit Log" ma:internalName="HMT_Audit">
      <xsd:simpleType>
        <xsd:restriction base="dms:Note">
          <xsd:maxLength value="255"/>
        </xsd:restriction>
      </xsd:simpleType>
    </xsd:element>
    <xsd:element name="HMT_ClosedBy" ma:index="59" nillable="true" ma:displayName="Closed By" ma:description="Who closed this item" ma:hidden="true" ma:list="UserInfo" ma:internalName="HMT_ClosedBy">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HMT_ArchivedBy" ma:index="60" nillable="true" ma:displayName="Archived By" ma:description="Who archived this item" ma:hidden="true" ma:list="UserInfo" ma:internalName="HMT_ArchivedBy">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HMT_ClosedArchive" ma:index="61" ma:displayName="Closed Archive" ma:default="0" ma:description="Item sent to closed archive" ma:hidden="true" ma:internalName="HMT_ClosedArchive">
      <xsd:simpleType>
        <xsd:restriction base="dms:Boolean"/>
      </xsd:simpleType>
    </xsd:element>
    <xsd:element name="HMT_ClosedOnOrig" ma:index="62" nillable="true" ma:displayName="Original Closed On" ma:description="The date this item was originally closed on" ma:format="DateTime" ma:hidden="true" ma:internalName="HMT_ClosedOnOrig">
      <xsd:simpleType>
        <xsd:restriction base="dms:DateTime"/>
      </xsd:simpleType>
    </xsd:element>
    <xsd:element name="HMT_ClosedbyOrig" ma:index="63" nillable="true" ma:displayName="Original Closed By" ma:description="Who originally closed this item" ma:hidden="true" ma:list="UserInfo" ma:internalName="HMT_ClosedbyOrig">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HMT_Note" ma:index="65" nillable="true" ma:displayName="Note" ma:description="Please provide a description for this item" ma:internalName="HMT_Note">
      <xsd:simpleType>
        <xsd:restriction base="dms:Note">
          <xsd:maxLength value="255"/>
        </xsd:restriction>
      </xsd:simpleType>
    </xsd:element>
    <xsd:element name="HMT_Review" ma:index="66" nillable="true" ma:displayName="Review" ma:default="0" ma:hidden="true" ma:internalName="HMT_Review">
      <xsd:simpleType>
        <xsd:restriction base="dms:Boolean"/>
      </xsd:simpleType>
    </xsd:element>
    <xsd:element name="HMT_Modified" ma:index="67" nillable="true" ma:displayName="Contents Last Modified On" ma:description="The date the contents of this item were last modified" ma:format="DateTime" ma:hidden="true" ma:internalName="HMT_Modified">
      <xsd:simpleType>
        <xsd:restriction base="dms:DateTime"/>
      </xsd:simpleType>
    </xsd:element>
    <xsd:element name="HMT_Comments" ma:index="68" nillable="true" ma:displayName="Comments" ma:hidden="true" ma:internalName="HMT_Comments">
      <xsd:simpleType>
        <xsd:restriction base="dms:Text"/>
      </xsd:simpleType>
    </xsd:element>
    <xsd:element name="HMT_Pending" ma:index="69" nillable="true" ma:displayName="Pending" ma:default="0" ma:hidden="true" ma:internalName="HMT_Pending">
      <xsd:simpleType>
        <xsd:restriction base="dms:Boolean"/>
      </xsd:simpleType>
    </xsd:element>
    <xsd:element name="HMT_ArchiveReqBy" ma:index="70" nillable="true" ma:displayName="Archive Requested By" ma:description="Who requested this item to be archived" ma:hidden="true" ma:list="UserInfo" ma:internalName="HMT_ArchiveReqBy">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HMT_ArchiveReqOn" ma:index="71" nillable="true" ma:displayName="Archive Requested On" ma:description="The date when this item was requested to be archived" ma:format="DateTime" ma:hidden="true" ma:internalName="HMT_ArchiveReqOn">
      <xsd:simpleType>
        <xsd:restriction base="dms:DateTime"/>
      </xsd:simpleType>
    </xsd:element>
    <xsd:element name="HMT_FolderOrderText" ma:index="72" nillable="true" ma:displayName="Folder Order" ma:description="Use this alpha numeric column for setting folder order in views" ma:internalName="HMT_FolderOrderText">
      <xsd:simpleType>
        <xsd:restriction base="dms:Text">
          <xsd:maxLength value="4"/>
        </xsd:restriction>
      </xsd:simpleType>
    </xsd:element>
  </xsd:schema>
  <xsd:schema xmlns:xsd="http://www.w3.org/2001/XMLSchema" xmlns:xs="http://www.w3.org/2001/XMLSchema" xmlns:dms="http://schemas.microsoft.com/office/2006/documentManagement/types" xmlns:pc="http://schemas.microsoft.com/office/infopath/2007/PartnerControls" targetNamespace="20076bca-995b-4074-b2ff-b82bcf0d86e4" elementFormDefault="qualified">
    <xsd:import namespace="http://schemas.microsoft.com/office/2006/documentManagement/types"/>
    <xsd:import namespace="http://schemas.microsoft.com/office/infopath/2007/PartnerControls"/>
    <xsd:element name="m4e205a008724e269aef64ca7bdb5848" ma:index="21" nillable="true" ma:displayName="HMT_DocumentType_0" ma:hidden="true" ma:internalName="m4e205a008724e269aef64ca7bdb5848">
      <xsd:simpleType>
        <xsd:restriction base="dms:Note"/>
      </xsd:simpleType>
    </xsd:element>
    <xsd:element name="m4e205a008724e269aef64ca7bdb5848" ma:index="23" nillable="true" ma:displayName="Document Type_0" ma:hidden="true" ma:internalName="m4e205a008724e269aef64ca7bdb58480">
      <xsd:simpleType>
        <xsd:restriction base="dms:Note"/>
      </xsd:simpleType>
    </xsd:element>
    <xsd:element name="g727aac2e2204289aa2b5b6dcdadae03" ma:index="27" nillable="true" ma:displayName="HMT_Group_0" ma:hidden="true" ma:internalName="g727aac2e2204289aa2b5b6dcdadae03">
      <xsd:simpleType>
        <xsd:restriction base="dms:Note"/>
      </xsd:simpleType>
    </xsd:element>
    <xsd:element name="g727aac2e2204289aa2b5b6dcdadae03" ma:index="28" nillable="true" ma:displayName="Group_0" ma:hidden="true" ma:internalName="g727aac2e2204289aa2b5b6dcdadae030">
      <xsd:simpleType>
        <xsd:restriction base="dms:Note"/>
      </xsd:simpleType>
    </xsd:element>
    <xsd:element name="ieefa5c6211a4a5e9a507e1c1c1599ef" ma:index="31" nillable="true" ma:displayName="HMT_Team_0" ma:hidden="true" ma:internalName="ieefa5c6211a4a5e9a507e1c1c1599ef">
      <xsd:simpleType>
        <xsd:restriction base="dms:Note"/>
      </xsd:simpleType>
    </xsd:element>
    <xsd:element name="ieefa5c6211a4a5e9a507e1c1c1599ef" ma:index="32" nillable="true" ma:displayName="Team_0" ma:hidden="true" ma:internalName="ieefa5c6211a4a5e9a507e1c1c1599ef0">
      <xsd:simpleType>
        <xsd:restriction base="dms:Note"/>
      </xsd:simpleType>
    </xsd:element>
    <xsd:element name="hb8bc0391a2e4089a24d47de9e4a6672" ma:index="35" nillable="true" ma:displayName="HMT_SubTeam_0" ma:hidden="true" ma:internalName="hb8bc0391a2e4089a24d47de9e4a6672">
      <xsd:simpleType>
        <xsd:restriction base="dms:Note"/>
      </xsd:simpleType>
    </xsd:element>
    <xsd:element name="hb8bc0391a2e4089a24d47de9e4a6672" ma:index="36" nillable="true" ma:displayName="Sub Team_0" ma:hidden="true" ma:internalName="hb8bc0391a2e4089a24d47de9e4a66720">
      <xsd:simpleType>
        <xsd:restriction base="dms:Note"/>
      </xsd:simpleType>
    </xsd:element>
    <xsd:element name="g3bf77b0a02d47ea8bec4fb357d1f3ee" ma:index="39" nillable="true" ma:displayName="HMT_Category_0" ma:hidden="true" ma:internalName="g3bf77b0a02d47ea8bec4fb357d1f3ee">
      <xsd:simpleType>
        <xsd:restriction base="dms:Note"/>
      </xsd:simpleType>
    </xsd:element>
    <xsd:element name="g3bf77b0a02d47ea8bec4fb357d1f3ee" ma:index="40" nillable="true" ma:displayName="Category_0" ma:hidden="true" ma:internalName="g3bf77b0a02d47ea8bec4fb357d1f3ee0">
      <xsd:simpleType>
        <xsd:restriction base="dms:Note"/>
      </xsd:simpleType>
    </xsd:element>
    <xsd:element name="b4fdd2ce4232490396aa344e31f74d8e" ma:index="41" nillable="true" ma:displayName="Library_0" ma:hidden="true" ma:internalName="b4fdd2ce4232490396aa344e31f74d8e">
      <xsd:simpleType>
        <xsd:restriction base="dms:Note"/>
      </xsd:simpleType>
    </xsd:element>
    <xsd:element name="jc76c0d69b0a44309f7bb16407c92353" ma:index="42" nillable="true" ma:displayName="Topic_0" ma:hidden="true" ma:internalName="jc76c0d69b0a44309f7bb16407c92353">
      <xsd:simpleType>
        <xsd:restriction base="dms:Note"/>
      </xsd:simpleType>
    </xsd:element>
    <xsd:element name="d3acaa1fb1fd45d69e6498ce1656c037" ma:index="43" nillable="true" ma:displayName="Sub Topic_0" ma:hidden="true" ma:internalName="d3acaa1fb1fd45d69e6498ce1656c037">
      <xsd:simpleType>
        <xsd:restriction base="dms:Note"/>
      </xsd:simpleType>
    </xsd:element>
    <xsd:element name="b9c42a306c8b47fcbaf8a41a71352f3a" ma:index="46" nillable="true" ma:displayName="HMT_Classification_0" ma:hidden="true" ma:internalName="b9c42a306c8b47fcbaf8a41a71352f3a0">
      <xsd:simpleType>
        <xsd:restriction base="dms:Note"/>
      </xsd:simpleType>
    </xsd:element>
    <xsd:element name="b9c42a306c8b47fcbaf8a41a71352f3a" ma:index="47" nillable="true" ma:displayName="Classification_0" ma:hidden="true" ma:internalName="b9c42a306c8b47fcbaf8a41a71352f3a1">
      <xsd:simpleType>
        <xsd:restriction base="dms:Note"/>
      </xsd:simpleType>
    </xsd:element>
    <xsd:element name="MediaServiceMetadata" ma:index="77" nillable="true" ma:displayName="MediaServiceMetadata" ma:hidden="true" ma:internalName="MediaServiceMetadata" ma:readOnly="true">
      <xsd:simpleType>
        <xsd:restriction base="dms:Note"/>
      </xsd:simpleType>
    </xsd:element>
    <xsd:element name="MediaServiceFastMetadata" ma:index="78"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76"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D660A4A0-41CA-4645-80A8-F838742ACA4E}">
  <ds:schemaRefs>
    <ds:schemaRef ds:uri="http://purl.org/dc/terms/"/>
    <ds:schemaRef ds:uri="http://schemas.openxmlformats.org/package/2006/metadata/core-properties"/>
    <ds:schemaRef ds:uri="be2f4ff7-9192-4716-a1f9-a31266b7c2ae"/>
    <ds:schemaRef ds:uri="http://schemas.microsoft.com/office/2006/documentManagement/types"/>
    <ds:schemaRef ds:uri="ec7414fb-287b-4659-a9fc-ef0dbd41dc8e"/>
    <ds:schemaRef ds:uri="http://purl.org/dc/elements/1.1/"/>
    <ds:schemaRef ds:uri="http://schemas.microsoft.com/office/2006/metadata/properti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401088A9-EA2C-413E-8342-BB2E2B479566}">
  <ds:schemaRefs>
    <ds:schemaRef ds:uri="http://schemas.microsoft.com/sharepoint/v3/contenttype/forms"/>
  </ds:schemaRefs>
</ds:datastoreItem>
</file>

<file path=customXml/itemProps3.xml><?xml version="1.0" encoding="utf-8"?>
<ds:datastoreItem xmlns:ds="http://schemas.openxmlformats.org/officeDocument/2006/customXml" ds:itemID="{0DB4B3B4-63C5-4601-8FB0-69313F3405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207284b-2500-42ee-81a8-10727ad1b1ae"/>
    <ds:schemaRef ds:uri="20076bca-995b-4074-b2ff-b82bcf0d86e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47EA1D6-F391-495F-A6B5-43F6E941DB61}">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33</Pages>
  <Words>19875</Words>
  <Characters>113289</Characters>
  <Application>Microsoft Office Word</Application>
  <DocSecurity>4</DocSecurity>
  <Lines>944</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 Alfie- HMT</dc:creator>
  <cp:lastModifiedBy>Hastick, Andrea - HMT</cp:lastModifiedBy>
  <cp:revision>2</cp:revision>
  <dcterms:created xsi:type="dcterms:W3CDTF">2020-07-15T13:33:00Z</dcterms:created>
  <dcterms:modified xsi:type="dcterms:W3CDTF">2020-07-15T13:33:00Z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2019-12-16T00:00:00Z</vt:filetime>
  </property>
  <property fmtid="{D5CDD505-2E9C-101B-9397-08002B2CF9AE}" pid="3" name="LastSaved">
    <vt:filetime>2020-07-14T00:00:00Z</vt:filetime>
  </property>
  <property fmtid="{D5CDD505-2E9C-101B-9397-08002B2CF9AE}" pid="4" name="ContentTypeId">
    <vt:lpwstr>0x010100AA649560F1D9E7409144135F9BF36FED</vt:lpwstr>
  </property>
</Properties>
</file>