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38" w:type="dxa"/>
        <w:tblInd w:w="-137"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60"/>
        <w:gridCol w:w="2238"/>
        <w:gridCol w:w="1976"/>
        <w:gridCol w:w="822"/>
        <w:gridCol w:w="3342"/>
      </w:tblGrid>
      <w:tr w:rsidR="00B50649" w14:paraId="21A66AB4" w14:textId="77777777" w:rsidTr="00D50448">
        <w:trPr>
          <w:trHeight w:hRule="exact" w:val="2420"/>
        </w:trPr>
        <w:tc>
          <w:tcPr>
            <w:tcW w:w="6174" w:type="dxa"/>
            <w:gridSpan w:val="3"/>
            <w:tcBorders>
              <w:top w:val="single" w:sz="4" w:space="0" w:color="auto"/>
              <w:bottom w:val="single" w:sz="4" w:space="0" w:color="auto"/>
            </w:tcBorders>
          </w:tcPr>
          <w:p w14:paraId="2A9EB2B7" w14:textId="0FD47D20" w:rsidR="007F0ED9" w:rsidRPr="00102870" w:rsidRDefault="00495404" w:rsidP="005F3D43">
            <w:pPr>
              <w:pStyle w:val="IATitle"/>
              <w:rPr>
                <w:rFonts w:eastAsia="Arial" w:cs="Arial"/>
                <w:b/>
                <w:szCs w:val="20"/>
              </w:rPr>
            </w:pPr>
            <w:r w:rsidRPr="00A90857">
              <w:rPr>
                <w:b/>
              </w:rPr>
              <w:t>Title</w:t>
            </w:r>
            <w:r w:rsidR="00B00194" w:rsidRPr="00A90857">
              <w:rPr>
                <w:b/>
              </w:rPr>
              <w:t>:</w:t>
            </w:r>
            <w:r w:rsidR="00B00194">
              <w:t xml:space="preserve"> </w:t>
            </w:r>
            <w:r w:rsidR="008A102D" w:rsidDel="0008077E">
              <w:t xml:space="preserve">Impact </w:t>
            </w:r>
            <w:r w:rsidR="0008077E">
              <w:t>Assessment</w:t>
            </w:r>
            <w:r w:rsidR="008A102D">
              <w:t xml:space="preserve"> for the sixth carbon budget</w:t>
            </w:r>
          </w:p>
          <w:p w14:paraId="253AF0C5" w14:textId="4A6EDB9E" w:rsidR="00E14792" w:rsidRPr="00B00194" w:rsidRDefault="00D50283" w:rsidP="00B00194">
            <w:pPr>
              <w:pStyle w:val="IAHeadTitle"/>
              <w:ind w:left="113"/>
              <w:rPr>
                <w:rStyle w:val="IANoChar"/>
                <w:b/>
                <w:color w:val="auto"/>
                <w:sz w:val="20"/>
                <w:szCs w:val="20"/>
                <w:lang w:eastAsia="zh-CN"/>
              </w:rPr>
            </w:pPr>
            <w:r w:rsidRPr="007E190E">
              <w:rPr>
                <w:sz w:val="20"/>
                <w:szCs w:val="20"/>
              </w:rPr>
              <w:t>IA No:</w:t>
            </w:r>
            <w:r w:rsidR="00B00194">
              <w:rPr>
                <w:sz w:val="20"/>
                <w:szCs w:val="20"/>
              </w:rPr>
              <w:t xml:space="preserve"> </w:t>
            </w:r>
            <w:r w:rsidRPr="00D76742">
              <w:rPr>
                <w:b w:val="0"/>
                <w:bCs/>
                <w:sz w:val="20"/>
                <w:szCs w:val="20"/>
              </w:rPr>
              <w:t xml:space="preserve"> </w:t>
            </w:r>
            <w:bookmarkStart w:id="0" w:name="IANo"/>
            <w:r w:rsidR="00D76742" w:rsidRPr="00D76742">
              <w:rPr>
                <w:b w:val="0"/>
                <w:bCs/>
                <w:sz w:val="20"/>
                <w:szCs w:val="20"/>
              </w:rPr>
              <w:t>BEIS012(F)-21-CG</w:t>
            </w:r>
            <w:r w:rsidR="00D76742" w:rsidRPr="00D76742">
              <w:rPr>
                <w:rStyle w:val="IANoChar"/>
                <w:b/>
                <w:bCs/>
                <w:sz w:val="20"/>
                <w:szCs w:val="20"/>
              </w:rPr>
              <w:t xml:space="preserve"> </w:t>
            </w:r>
            <w:r w:rsidR="00290335" w:rsidRPr="007E190E">
              <w:rPr>
                <w:rStyle w:val="IANoChar"/>
                <w:sz w:val="20"/>
                <w:szCs w:val="20"/>
              </w:rPr>
              <w:fldChar w:fldCharType="begin">
                <w:ffData>
                  <w:name w:val="IANo"/>
                  <w:enabled/>
                  <w:calcOnExit w:val="0"/>
                  <w:textInput>
                    <w:maxLength w:val="20"/>
                  </w:textInput>
                </w:ffData>
              </w:fldChar>
            </w:r>
            <w:r w:rsidR="00290335" w:rsidRPr="007E190E">
              <w:rPr>
                <w:rStyle w:val="IANoChar"/>
                <w:sz w:val="20"/>
                <w:szCs w:val="20"/>
              </w:rPr>
              <w:instrText xml:space="preserve"> FORMTEXT </w:instrText>
            </w:r>
            <w:r w:rsidR="00290335" w:rsidRPr="007E190E">
              <w:rPr>
                <w:rStyle w:val="IANoChar"/>
                <w:sz w:val="20"/>
                <w:szCs w:val="20"/>
              </w:rPr>
            </w:r>
            <w:r w:rsidR="00290335" w:rsidRPr="007E190E">
              <w:rPr>
                <w:rStyle w:val="IANoChar"/>
                <w:sz w:val="20"/>
                <w:szCs w:val="20"/>
              </w:rPr>
              <w:fldChar w:fldCharType="separate"/>
            </w:r>
            <w:r w:rsidR="00290335" w:rsidRPr="007E190E">
              <w:rPr>
                <w:rStyle w:val="IANoChar"/>
                <w:sz w:val="20"/>
                <w:szCs w:val="20"/>
              </w:rPr>
              <w:t> </w:t>
            </w:r>
            <w:r w:rsidR="00290335" w:rsidRPr="007E190E">
              <w:rPr>
                <w:rStyle w:val="IANoChar"/>
                <w:sz w:val="20"/>
                <w:szCs w:val="20"/>
              </w:rPr>
              <w:t> </w:t>
            </w:r>
            <w:r w:rsidR="00290335" w:rsidRPr="007E190E">
              <w:rPr>
                <w:rStyle w:val="IANoChar"/>
                <w:sz w:val="20"/>
                <w:szCs w:val="20"/>
              </w:rPr>
              <w:t> </w:t>
            </w:r>
            <w:r w:rsidR="00290335" w:rsidRPr="007E190E">
              <w:rPr>
                <w:rStyle w:val="IANoChar"/>
                <w:sz w:val="20"/>
                <w:szCs w:val="20"/>
              </w:rPr>
              <w:t> </w:t>
            </w:r>
            <w:r w:rsidR="00290335" w:rsidRPr="007E190E">
              <w:rPr>
                <w:rStyle w:val="IANoChar"/>
                <w:sz w:val="20"/>
                <w:szCs w:val="20"/>
              </w:rPr>
              <w:t> </w:t>
            </w:r>
            <w:r w:rsidR="00290335" w:rsidRPr="007E190E">
              <w:rPr>
                <w:rStyle w:val="IANoChar"/>
                <w:sz w:val="20"/>
                <w:szCs w:val="20"/>
              </w:rPr>
              <w:fldChar w:fldCharType="end"/>
            </w:r>
            <w:bookmarkEnd w:id="0"/>
          </w:p>
          <w:p w14:paraId="61338AAF" w14:textId="52935B31" w:rsidR="008C3539" w:rsidRDefault="008C3539" w:rsidP="008C3539">
            <w:pPr>
              <w:pStyle w:val="IAHeadLabel"/>
              <w:ind w:left="113"/>
            </w:pPr>
            <w:r>
              <w:t xml:space="preserve">RPC Reference No: </w:t>
            </w:r>
            <w:bookmarkStart w:id="1" w:name="IARPCReference"/>
            <w:r w:rsidR="001C7573" w:rsidRPr="001C7573">
              <w:rPr>
                <w:b w:val="0"/>
                <w:bCs/>
              </w:rPr>
              <w:t>N/A</w:t>
            </w:r>
            <w:r w:rsidR="00C60191">
              <w:fldChar w:fldCharType="begin">
                <w:ffData>
                  <w:name w:val="IARPCReference"/>
                  <w:enabled/>
                  <w:calcOnExit w:val="0"/>
                  <w:textInput/>
                </w:ffData>
              </w:fldChar>
            </w:r>
            <w:r w:rsidR="00C60191">
              <w:instrText xml:space="preserve"> FORMTEXT </w:instrText>
            </w:r>
            <w:r w:rsidR="00C60191">
              <w:fldChar w:fldCharType="separate"/>
            </w:r>
            <w:r w:rsidR="00C60191">
              <w:rPr>
                <w:noProof/>
              </w:rPr>
              <w:t> </w:t>
            </w:r>
            <w:r w:rsidR="00C60191">
              <w:rPr>
                <w:noProof/>
              </w:rPr>
              <w:t> </w:t>
            </w:r>
            <w:r w:rsidR="00C60191">
              <w:rPr>
                <w:noProof/>
              </w:rPr>
              <w:t> </w:t>
            </w:r>
            <w:r w:rsidR="00C60191">
              <w:rPr>
                <w:noProof/>
              </w:rPr>
              <w:t> </w:t>
            </w:r>
            <w:r w:rsidR="00C60191">
              <w:rPr>
                <w:noProof/>
              </w:rPr>
              <w:t> </w:t>
            </w:r>
            <w:r w:rsidR="00C60191">
              <w:fldChar w:fldCharType="end"/>
            </w:r>
            <w:bookmarkEnd w:id="1"/>
          </w:p>
          <w:p w14:paraId="115C429B" w14:textId="689C1B67" w:rsidR="001D5EC9" w:rsidRPr="005F32E7" w:rsidRDefault="00495404" w:rsidP="00A90857">
            <w:pPr>
              <w:pStyle w:val="IALeadDept"/>
            </w:pPr>
            <w:r w:rsidRPr="00A90857">
              <w:rPr>
                <w:b/>
              </w:rPr>
              <w:t>Lead department or agency:</w:t>
            </w:r>
            <w:r w:rsidR="00B00194">
              <w:t xml:space="preserve"> </w:t>
            </w:r>
            <w:r w:rsidR="00A702C9">
              <w:t>Department</w:t>
            </w:r>
            <w:r w:rsidR="00DB399D">
              <w:t xml:space="preserve"> for Business, Energy and Industrial Strategy</w:t>
            </w:r>
          </w:p>
          <w:p w14:paraId="1B73DE6C" w14:textId="4210FCA8" w:rsidR="00B93466" w:rsidRDefault="00495404" w:rsidP="00B00194">
            <w:pPr>
              <w:pStyle w:val="IATableLabel"/>
              <w:spacing w:after="0"/>
            </w:pPr>
            <w:r w:rsidRPr="003E0510">
              <w:t>Other dep</w:t>
            </w:r>
            <w:r w:rsidRPr="00E217A2">
              <w:t>a</w:t>
            </w:r>
            <w:r w:rsidRPr="003E0510">
              <w:t>rtments or agencies:</w:t>
            </w:r>
            <w:r w:rsidR="00B00194">
              <w:t xml:space="preserve"> </w:t>
            </w:r>
            <w:bookmarkStart w:id="2" w:name="IAOtherDepts"/>
            <w:r w:rsidR="000239A7">
              <w:fldChar w:fldCharType="begin">
                <w:ffData>
                  <w:name w:val="IAOtherDepts"/>
                  <w:enabled/>
                  <w:calcOnExit w:val="0"/>
                  <w:textInput>
                    <w:maxLength w:val="200"/>
                  </w:textInput>
                </w:ffData>
              </w:fldChar>
            </w:r>
            <w:r w:rsidR="000239A7">
              <w:instrText xml:space="preserve"> FORMTEXT </w:instrText>
            </w:r>
            <w:r w:rsidR="000239A7">
              <w:fldChar w:fldCharType="separate"/>
            </w:r>
            <w:r w:rsidR="000239A7">
              <w:rPr>
                <w:noProof/>
              </w:rPr>
              <w:t> </w:t>
            </w:r>
            <w:r w:rsidR="000239A7">
              <w:rPr>
                <w:noProof/>
              </w:rPr>
              <w:t> </w:t>
            </w:r>
            <w:r w:rsidR="000239A7">
              <w:rPr>
                <w:noProof/>
              </w:rPr>
              <w:t> </w:t>
            </w:r>
            <w:r w:rsidR="000239A7">
              <w:rPr>
                <w:noProof/>
              </w:rPr>
              <w:t> </w:t>
            </w:r>
            <w:r w:rsidR="000239A7">
              <w:rPr>
                <w:noProof/>
              </w:rPr>
              <w:t> </w:t>
            </w:r>
            <w:r w:rsidR="000239A7">
              <w:fldChar w:fldCharType="end"/>
            </w:r>
            <w:bookmarkEnd w:id="2"/>
          </w:p>
        </w:tc>
        <w:tc>
          <w:tcPr>
            <w:tcW w:w="4164" w:type="dxa"/>
            <w:gridSpan w:val="2"/>
            <w:tcBorders>
              <w:top w:val="single" w:sz="4" w:space="0" w:color="auto"/>
              <w:bottom w:val="single" w:sz="4" w:space="0" w:color="auto"/>
            </w:tcBorders>
          </w:tcPr>
          <w:tbl>
            <w:tblPr>
              <w:tblW w:w="4088" w:type="dxa"/>
              <w:tblInd w:w="5" w:type="dxa"/>
              <w:tblBorders>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4088"/>
            </w:tblGrid>
            <w:tr w:rsidR="00B50649" w:rsidRPr="00383295" w14:paraId="798A3A5B" w14:textId="77777777" w:rsidTr="007E190E">
              <w:trPr>
                <w:trHeight w:hRule="exact" w:val="539"/>
              </w:trPr>
              <w:tc>
                <w:tcPr>
                  <w:tcW w:w="4088" w:type="dxa"/>
                  <w:tcBorders>
                    <w:bottom w:val="single" w:sz="4" w:space="0" w:color="333333"/>
                  </w:tcBorders>
                  <w:shd w:val="clear" w:color="auto" w:fill="333333"/>
                  <w:vAlign w:val="center"/>
                </w:tcPr>
                <w:p w14:paraId="47288BDB" w14:textId="11EB97EE" w:rsidR="00B50649" w:rsidRPr="00383295" w:rsidRDefault="00B50649" w:rsidP="00E90731">
                  <w:pPr>
                    <w:pStyle w:val="Title"/>
                  </w:pPr>
                  <w:bookmarkStart w:id="3" w:name="_Toc67051826"/>
                  <w:r w:rsidRPr="00383295">
                    <w:t>Impact Assessment (IA)</w:t>
                  </w:r>
                  <w:bookmarkEnd w:id="3"/>
                </w:p>
              </w:tc>
            </w:tr>
            <w:tr w:rsidR="00B50649" w:rsidRPr="00966271" w14:paraId="254D3FBF" w14:textId="77777777" w:rsidTr="007E190E">
              <w:tc>
                <w:tcPr>
                  <w:tcW w:w="4088" w:type="dxa"/>
                  <w:tcBorders>
                    <w:top w:val="single" w:sz="4" w:space="0" w:color="333333"/>
                    <w:bottom w:val="single" w:sz="4" w:space="0" w:color="333333"/>
                  </w:tcBorders>
                </w:tcPr>
                <w:p w14:paraId="46EDA12E" w14:textId="3B3F7D02" w:rsidR="001F69E9" w:rsidRPr="00631B4C" w:rsidRDefault="00B50649" w:rsidP="00C46EA7">
                  <w:pPr>
                    <w:pStyle w:val="IATableLabel"/>
                  </w:pPr>
                  <w:r w:rsidRPr="00631B4C">
                    <w:t>Date:</w:t>
                  </w:r>
                  <w:r w:rsidR="00565484">
                    <w:t xml:space="preserve"> </w:t>
                  </w:r>
                  <w:r w:rsidR="00F302C7" w:rsidRPr="00F302C7">
                    <w:rPr>
                      <w:b w:val="0"/>
                      <w:bCs/>
                    </w:rPr>
                    <w:t>16/04/2021</w:t>
                  </w:r>
                </w:p>
              </w:tc>
            </w:tr>
            <w:tr w:rsidR="00B50649" w:rsidRPr="00966271" w14:paraId="73099175" w14:textId="77777777" w:rsidTr="007E190E">
              <w:tc>
                <w:tcPr>
                  <w:tcW w:w="4088" w:type="dxa"/>
                  <w:tcBorders>
                    <w:top w:val="single" w:sz="4" w:space="0" w:color="333333"/>
                    <w:bottom w:val="single" w:sz="4" w:space="0" w:color="333333"/>
                  </w:tcBorders>
                </w:tcPr>
                <w:p w14:paraId="1F935AA8" w14:textId="0E344B4A" w:rsidR="00B50649" w:rsidRPr="007F0ED9" w:rsidRDefault="00941D69" w:rsidP="00E90731">
                  <w:pPr>
                    <w:pStyle w:val="IATableLabel"/>
                  </w:pPr>
                  <w:bookmarkStart w:id="4" w:name="Stage"/>
                  <w:r w:rsidRPr="007F0ED9">
                    <w:t xml:space="preserve">Stage: </w:t>
                  </w:r>
                  <w:bookmarkEnd w:id="4"/>
                  <w:r w:rsidR="00A22B2F">
                    <w:rPr>
                      <w:rStyle w:val="IAStageChar"/>
                      <w:sz w:val="20"/>
                    </w:rPr>
                    <w:t>Final</w:t>
                  </w:r>
                </w:p>
              </w:tc>
            </w:tr>
            <w:tr w:rsidR="00B50649" w:rsidRPr="00966271" w14:paraId="0AA6C47A" w14:textId="77777777" w:rsidTr="007E190E">
              <w:tc>
                <w:tcPr>
                  <w:tcW w:w="4088" w:type="dxa"/>
                  <w:tcBorders>
                    <w:top w:val="single" w:sz="4" w:space="0" w:color="333333"/>
                    <w:bottom w:val="single" w:sz="4" w:space="0" w:color="333333"/>
                  </w:tcBorders>
                </w:tcPr>
                <w:p w14:paraId="511E18B5" w14:textId="77777777" w:rsidR="00B50649" w:rsidRPr="007F0ED9" w:rsidRDefault="0071686F" w:rsidP="00E90731">
                  <w:pPr>
                    <w:pStyle w:val="IATableLabel"/>
                  </w:pPr>
                  <w:r w:rsidRPr="007F0ED9">
                    <w:t xml:space="preserve">Source </w:t>
                  </w:r>
                  <w:r w:rsidR="006A56C1" w:rsidRPr="007F0ED9">
                    <w:t xml:space="preserve">of </w:t>
                  </w:r>
                  <w:r w:rsidRPr="007F0ED9">
                    <w:t>intervention:</w:t>
                  </w:r>
                  <w:r w:rsidR="00B50649" w:rsidRPr="007F0ED9">
                    <w:t xml:space="preserve"> </w:t>
                  </w:r>
                  <w:bookmarkStart w:id="5" w:name="IAInterSource"/>
                  <w:r w:rsidR="00290335" w:rsidRPr="007E190E">
                    <w:rPr>
                      <w:rStyle w:val="IASOIChar"/>
                      <w:sz w:val="20"/>
                    </w:rPr>
                    <w:fldChar w:fldCharType="begin">
                      <w:ffData>
                        <w:name w:val="IAInterSource"/>
                        <w:enabled/>
                        <w:calcOnExit w:val="0"/>
                        <w:ddList>
                          <w:listEntry w:val="Domestic"/>
                          <w:listEntry w:val="EU"/>
                          <w:listEntry w:val="International"/>
                        </w:ddList>
                      </w:ffData>
                    </w:fldChar>
                  </w:r>
                  <w:r w:rsidR="00290335" w:rsidRPr="007E190E">
                    <w:rPr>
                      <w:rStyle w:val="IASOIChar"/>
                      <w:sz w:val="20"/>
                    </w:rPr>
                    <w:instrText xml:space="preserve"> FORMDROPDOWN </w:instrText>
                  </w:r>
                  <w:r w:rsidR="0014392E">
                    <w:rPr>
                      <w:rStyle w:val="IASOIChar"/>
                      <w:sz w:val="20"/>
                    </w:rPr>
                  </w:r>
                  <w:r w:rsidR="0014392E">
                    <w:rPr>
                      <w:rStyle w:val="IASOIChar"/>
                      <w:sz w:val="20"/>
                    </w:rPr>
                    <w:fldChar w:fldCharType="separate"/>
                  </w:r>
                  <w:r w:rsidR="00290335" w:rsidRPr="007E190E">
                    <w:rPr>
                      <w:rStyle w:val="IASOIChar"/>
                      <w:sz w:val="20"/>
                    </w:rPr>
                    <w:fldChar w:fldCharType="end"/>
                  </w:r>
                  <w:bookmarkEnd w:id="5"/>
                </w:p>
              </w:tc>
            </w:tr>
            <w:tr w:rsidR="00052F44" w:rsidRPr="007E190E" w14:paraId="498B71AA" w14:textId="77777777" w:rsidTr="007E190E">
              <w:tc>
                <w:tcPr>
                  <w:tcW w:w="4088" w:type="dxa"/>
                  <w:tcBorders>
                    <w:top w:val="single" w:sz="4" w:space="0" w:color="333333"/>
                    <w:bottom w:val="single" w:sz="4" w:space="0" w:color="333333"/>
                  </w:tcBorders>
                </w:tcPr>
                <w:p w14:paraId="3ACC454D" w14:textId="1547CE4D" w:rsidR="00052F44" w:rsidRPr="007E190E" w:rsidRDefault="00052F44" w:rsidP="00E90731">
                  <w:pPr>
                    <w:pStyle w:val="IATableLabel"/>
                    <w:rPr>
                      <w:b w:val="0"/>
                    </w:rPr>
                  </w:pPr>
                  <w:r w:rsidRPr="007F0ED9">
                    <w:t xml:space="preserve">Type of measure: </w:t>
                  </w:r>
                  <w:r w:rsidR="0086446C">
                    <w:rPr>
                      <w:rStyle w:val="IATOMChar"/>
                      <w:sz w:val="20"/>
                    </w:rPr>
                    <w:fldChar w:fldCharType="begin">
                      <w:ffData>
                        <w:name w:val="IAMeasureType"/>
                        <w:enabled/>
                        <w:calcOnExit w:val="0"/>
                        <w:ddList>
                          <w:listEntry w:val="Secondary legislation"/>
                          <w:listEntry w:val="Primary legislation"/>
                          <w:listEntry w:val="Other"/>
                        </w:ddList>
                      </w:ffData>
                    </w:fldChar>
                  </w:r>
                  <w:bookmarkStart w:id="6" w:name="IAMeasureType"/>
                  <w:r w:rsidR="0086446C">
                    <w:rPr>
                      <w:rStyle w:val="IATOMChar"/>
                      <w:sz w:val="20"/>
                    </w:rPr>
                    <w:instrText xml:space="preserve"> FORMDROPDOWN </w:instrText>
                  </w:r>
                  <w:r w:rsidR="0014392E">
                    <w:rPr>
                      <w:rStyle w:val="IATOMChar"/>
                      <w:sz w:val="20"/>
                    </w:rPr>
                  </w:r>
                  <w:r w:rsidR="0014392E">
                    <w:rPr>
                      <w:rStyle w:val="IATOMChar"/>
                      <w:sz w:val="20"/>
                    </w:rPr>
                    <w:fldChar w:fldCharType="separate"/>
                  </w:r>
                  <w:r w:rsidR="0086446C">
                    <w:rPr>
                      <w:rStyle w:val="IATOMChar"/>
                      <w:sz w:val="20"/>
                    </w:rPr>
                    <w:fldChar w:fldCharType="end"/>
                  </w:r>
                  <w:bookmarkEnd w:id="6"/>
                </w:p>
              </w:tc>
            </w:tr>
            <w:tr w:rsidR="00B50649" w:rsidRPr="007E190E" w14:paraId="293374C8" w14:textId="77777777" w:rsidTr="007E190E">
              <w:trPr>
                <w:trHeight w:val="1115"/>
              </w:trPr>
              <w:tc>
                <w:tcPr>
                  <w:tcW w:w="4088" w:type="dxa"/>
                  <w:tcBorders>
                    <w:top w:val="single" w:sz="4" w:space="0" w:color="333333"/>
                    <w:bottom w:val="single" w:sz="4" w:space="0" w:color="333333"/>
                  </w:tcBorders>
                </w:tcPr>
                <w:p w14:paraId="247DDB40" w14:textId="77777777" w:rsidR="00023080" w:rsidRDefault="00773719" w:rsidP="007E190E">
                  <w:pPr>
                    <w:ind w:left="113" w:right="113"/>
                    <w:rPr>
                      <w:sz w:val="20"/>
                      <w:szCs w:val="20"/>
                    </w:rPr>
                  </w:pPr>
                  <w:r w:rsidRPr="007E190E">
                    <w:rPr>
                      <w:rStyle w:val="IATableLabelCharChar"/>
                      <w:sz w:val="20"/>
                      <w:szCs w:val="20"/>
                    </w:rPr>
                    <w:t>Contact for enquiries:</w:t>
                  </w:r>
                  <w:r w:rsidRPr="00D337D1">
                    <w:t xml:space="preserve"> </w:t>
                  </w:r>
                  <w:r w:rsidR="00B00E12">
                    <w:rPr>
                      <w:sz w:val="20"/>
                      <w:szCs w:val="20"/>
                    </w:rPr>
                    <w:t>Dennis Morgan</w:t>
                  </w:r>
                </w:p>
                <w:p w14:paraId="059466AB" w14:textId="0AB1FAA8" w:rsidR="00B00E12" w:rsidRPr="00B00E12" w:rsidRDefault="006A5238" w:rsidP="007E190E">
                  <w:pPr>
                    <w:ind w:left="113" w:right="113"/>
                    <w:rPr>
                      <w:sz w:val="20"/>
                      <w:szCs w:val="20"/>
                    </w:rPr>
                  </w:pPr>
                  <w:r>
                    <w:rPr>
                      <w:rStyle w:val="IATableLabelCharChar"/>
                      <w:b w:val="0"/>
                      <w:bCs/>
                      <w:sz w:val="20"/>
                      <w:szCs w:val="20"/>
                    </w:rPr>
                    <w:t>(</w:t>
                  </w:r>
                  <w:r w:rsidR="00B00E12" w:rsidRPr="00B00E12">
                    <w:rPr>
                      <w:rStyle w:val="IATableLabelCharChar"/>
                      <w:b w:val="0"/>
                      <w:bCs/>
                      <w:sz w:val="20"/>
                      <w:szCs w:val="20"/>
                    </w:rPr>
                    <w:t>Dennis.</w:t>
                  </w:r>
                  <w:r w:rsidR="00B00E12" w:rsidRPr="00B00E12">
                    <w:rPr>
                      <w:sz w:val="20"/>
                      <w:szCs w:val="20"/>
                    </w:rPr>
                    <w:t>Morgan@beis.gov.uk</w:t>
                  </w:r>
                  <w:r>
                    <w:rPr>
                      <w:sz w:val="20"/>
                      <w:szCs w:val="20"/>
                    </w:rPr>
                    <w:t>)</w:t>
                  </w:r>
                </w:p>
              </w:tc>
            </w:tr>
            <w:tr w:rsidR="000C1D45" w:rsidRPr="007E190E" w14:paraId="32CB0703" w14:textId="77777777" w:rsidTr="007E190E">
              <w:trPr>
                <w:trHeight w:val="1115"/>
              </w:trPr>
              <w:tc>
                <w:tcPr>
                  <w:tcW w:w="4088" w:type="dxa"/>
                  <w:tcBorders>
                    <w:top w:val="single" w:sz="4" w:space="0" w:color="333333"/>
                    <w:bottom w:val="single" w:sz="4" w:space="0" w:color="333333"/>
                  </w:tcBorders>
                </w:tcPr>
                <w:p w14:paraId="3613DB26" w14:textId="77777777" w:rsidR="000C1D45" w:rsidRPr="007E190E" w:rsidRDefault="000C1D45" w:rsidP="00A32793">
                  <w:pPr>
                    <w:pStyle w:val="IATableLines"/>
                    <w:rPr>
                      <w:b/>
                      <w:color w:val="000000"/>
                      <w:sz w:val="20"/>
                    </w:rPr>
                  </w:pPr>
                </w:p>
              </w:tc>
            </w:tr>
            <w:tr w:rsidR="000C1D45" w:rsidRPr="007E190E" w14:paraId="6802EA12" w14:textId="77777777" w:rsidTr="007E190E">
              <w:trPr>
                <w:trHeight w:val="1115"/>
              </w:trPr>
              <w:tc>
                <w:tcPr>
                  <w:tcW w:w="4088" w:type="dxa"/>
                  <w:tcBorders>
                    <w:top w:val="single" w:sz="4" w:space="0" w:color="333333"/>
                    <w:bottom w:val="single" w:sz="4" w:space="0" w:color="333333"/>
                  </w:tcBorders>
                </w:tcPr>
                <w:p w14:paraId="31D8DF7F" w14:textId="77777777" w:rsidR="000C1D45" w:rsidRPr="007E190E" w:rsidRDefault="000C1D45" w:rsidP="00A32793">
                  <w:pPr>
                    <w:pStyle w:val="IATableLines"/>
                    <w:rPr>
                      <w:b/>
                      <w:color w:val="000000"/>
                      <w:sz w:val="20"/>
                    </w:rPr>
                  </w:pPr>
                </w:p>
              </w:tc>
            </w:tr>
            <w:tr w:rsidR="000C1D45" w:rsidRPr="007E190E" w14:paraId="266107BB" w14:textId="77777777" w:rsidTr="007E190E">
              <w:trPr>
                <w:trHeight w:val="1115"/>
              </w:trPr>
              <w:tc>
                <w:tcPr>
                  <w:tcW w:w="4088" w:type="dxa"/>
                  <w:tcBorders>
                    <w:top w:val="single" w:sz="4" w:space="0" w:color="333333"/>
                    <w:bottom w:val="single" w:sz="4" w:space="0" w:color="333333"/>
                  </w:tcBorders>
                </w:tcPr>
                <w:p w14:paraId="52DA93B2" w14:textId="77777777" w:rsidR="000C1D45" w:rsidRPr="007E190E" w:rsidRDefault="000C1D45" w:rsidP="00A32793">
                  <w:pPr>
                    <w:pStyle w:val="IATableLines"/>
                    <w:rPr>
                      <w:b/>
                      <w:color w:val="000000"/>
                      <w:sz w:val="20"/>
                    </w:rPr>
                  </w:pPr>
                </w:p>
              </w:tc>
            </w:tr>
            <w:tr w:rsidR="000C1D45" w:rsidRPr="007E190E" w14:paraId="03CB09E5" w14:textId="77777777" w:rsidTr="007E190E">
              <w:trPr>
                <w:trHeight w:val="1115"/>
              </w:trPr>
              <w:tc>
                <w:tcPr>
                  <w:tcW w:w="4088" w:type="dxa"/>
                  <w:tcBorders>
                    <w:top w:val="single" w:sz="4" w:space="0" w:color="333333"/>
                    <w:bottom w:val="single" w:sz="4" w:space="0" w:color="333333"/>
                  </w:tcBorders>
                </w:tcPr>
                <w:p w14:paraId="73725245" w14:textId="77777777" w:rsidR="000C1D45" w:rsidRPr="007E190E" w:rsidRDefault="000C1D45" w:rsidP="00A32793">
                  <w:pPr>
                    <w:pStyle w:val="IATableLines"/>
                    <w:rPr>
                      <w:b/>
                      <w:color w:val="000000"/>
                      <w:sz w:val="20"/>
                    </w:rPr>
                  </w:pPr>
                </w:p>
              </w:tc>
            </w:tr>
            <w:tr w:rsidR="000C1D45" w:rsidRPr="007E190E" w14:paraId="0D8E6F09" w14:textId="77777777" w:rsidTr="007E190E">
              <w:trPr>
                <w:trHeight w:val="1115"/>
              </w:trPr>
              <w:tc>
                <w:tcPr>
                  <w:tcW w:w="4088" w:type="dxa"/>
                  <w:tcBorders>
                    <w:top w:val="single" w:sz="4" w:space="0" w:color="333333"/>
                    <w:bottom w:val="single" w:sz="4" w:space="0" w:color="333333"/>
                  </w:tcBorders>
                </w:tcPr>
                <w:p w14:paraId="1F474E2A" w14:textId="77777777" w:rsidR="000C1D45" w:rsidRPr="007E190E" w:rsidRDefault="000C1D45" w:rsidP="00A32793">
                  <w:pPr>
                    <w:pStyle w:val="IATableLines"/>
                    <w:rPr>
                      <w:b/>
                      <w:color w:val="000000"/>
                      <w:sz w:val="20"/>
                    </w:rPr>
                  </w:pPr>
                </w:p>
              </w:tc>
            </w:tr>
            <w:tr w:rsidR="000C1D45" w:rsidRPr="007E190E" w14:paraId="25F3101C" w14:textId="77777777" w:rsidTr="007E190E">
              <w:trPr>
                <w:trHeight w:val="1115"/>
              </w:trPr>
              <w:tc>
                <w:tcPr>
                  <w:tcW w:w="4088" w:type="dxa"/>
                  <w:tcBorders>
                    <w:top w:val="single" w:sz="4" w:space="0" w:color="333333"/>
                  </w:tcBorders>
                </w:tcPr>
                <w:p w14:paraId="2C467494" w14:textId="77777777" w:rsidR="000C1D45" w:rsidRPr="007E190E" w:rsidRDefault="000C1D45" w:rsidP="00A32793">
                  <w:pPr>
                    <w:pStyle w:val="IATableLines"/>
                    <w:rPr>
                      <w:b/>
                      <w:color w:val="000000"/>
                      <w:sz w:val="20"/>
                    </w:rPr>
                  </w:pPr>
                </w:p>
              </w:tc>
            </w:tr>
          </w:tbl>
          <w:p w14:paraId="78BDBA71" w14:textId="77777777" w:rsidR="00B50649" w:rsidRPr="007E190E" w:rsidRDefault="00B50649">
            <w:pPr>
              <w:rPr>
                <w:rFonts w:eastAsia="Helvetica"/>
              </w:rPr>
            </w:pPr>
          </w:p>
        </w:tc>
      </w:tr>
      <w:tr w:rsidR="000C1D45" w:rsidRPr="007E190E" w14:paraId="3360621A" w14:textId="77777777" w:rsidTr="006A0C4B">
        <w:trPr>
          <w:trHeight w:hRule="exact" w:val="410"/>
        </w:trPr>
        <w:tc>
          <w:tcPr>
            <w:tcW w:w="6174" w:type="dxa"/>
            <w:gridSpan w:val="3"/>
            <w:tcBorders>
              <w:top w:val="single" w:sz="4" w:space="0" w:color="auto"/>
              <w:left w:val="nil"/>
              <w:bottom w:val="single" w:sz="4" w:space="0" w:color="auto"/>
            </w:tcBorders>
          </w:tcPr>
          <w:p w14:paraId="0858335E" w14:textId="77777777" w:rsidR="000C1D45" w:rsidRPr="007E190E" w:rsidRDefault="000C1D45" w:rsidP="007E190E">
            <w:pPr>
              <w:pStyle w:val="Heading1"/>
              <w:spacing w:before="60"/>
              <w:rPr>
                <w:rFonts w:eastAsia="Helvetica"/>
                <w:sz w:val="28"/>
                <w:szCs w:val="28"/>
              </w:rPr>
            </w:pPr>
            <w:bookmarkStart w:id="7" w:name="_Toc67051827"/>
            <w:r w:rsidRPr="007E190E">
              <w:rPr>
                <w:rFonts w:eastAsia="Helvetica"/>
                <w:sz w:val="28"/>
                <w:szCs w:val="28"/>
              </w:rPr>
              <w:t>Summary: Intervention and Options</w:t>
            </w:r>
            <w:bookmarkEnd w:id="7"/>
            <w:r w:rsidRPr="007E190E">
              <w:rPr>
                <w:rFonts w:eastAsia="Helvetica"/>
                <w:sz w:val="28"/>
                <w:szCs w:val="28"/>
              </w:rPr>
              <w:t xml:space="preserve"> </w:t>
            </w:r>
          </w:p>
          <w:p w14:paraId="3AB74490" w14:textId="77777777" w:rsidR="000C1D45" w:rsidRPr="007E190E" w:rsidRDefault="000C1D45" w:rsidP="007E190E">
            <w:pPr>
              <w:pStyle w:val="IAHeadLabel0"/>
              <w:spacing w:before="50"/>
              <w:ind w:left="113"/>
              <w:rPr>
                <w:sz w:val="28"/>
                <w:szCs w:val="28"/>
              </w:rPr>
            </w:pPr>
          </w:p>
        </w:tc>
        <w:tc>
          <w:tcPr>
            <w:tcW w:w="4164" w:type="dxa"/>
            <w:gridSpan w:val="2"/>
            <w:tcBorders>
              <w:top w:val="single" w:sz="4" w:space="0" w:color="auto"/>
              <w:bottom w:val="single" w:sz="4" w:space="0" w:color="auto"/>
            </w:tcBorders>
            <w:shd w:val="clear" w:color="auto" w:fill="E0E0E0"/>
            <w:vAlign w:val="center"/>
          </w:tcPr>
          <w:p w14:paraId="23CE109F" w14:textId="57E5CC84" w:rsidR="000C1D45" w:rsidRPr="007E190E" w:rsidRDefault="000C1D45" w:rsidP="00307737">
            <w:pPr>
              <w:pStyle w:val="Title"/>
              <w:rPr>
                <w:rFonts w:eastAsia="Helvetica"/>
                <w:b/>
                <w:color w:val="auto"/>
                <w:sz w:val="24"/>
                <w:szCs w:val="24"/>
              </w:rPr>
            </w:pPr>
            <w:bookmarkStart w:id="8" w:name="_Toc67051828"/>
            <w:r w:rsidRPr="007E190E">
              <w:rPr>
                <w:rFonts w:eastAsia="Helvetica"/>
                <w:b/>
                <w:color w:val="auto"/>
                <w:sz w:val="24"/>
                <w:szCs w:val="24"/>
              </w:rPr>
              <w:t>RPC</w:t>
            </w:r>
            <w:r w:rsidR="00EC6B93" w:rsidRPr="007E190E">
              <w:rPr>
                <w:rFonts w:eastAsia="Helvetica"/>
                <w:b/>
                <w:color w:val="auto"/>
                <w:sz w:val="24"/>
                <w:szCs w:val="24"/>
              </w:rPr>
              <w:t xml:space="preserve"> Opinion</w:t>
            </w:r>
            <w:r w:rsidRPr="007E190E">
              <w:rPr>
                <w:rFonts w:eastAsia="Helvetica"/>
                <w:b/>
                <w:color w:val="auto"/>
                <w:sz w:val="24"/>
                <w:szCs w:val="24"/>
              </w:rPr>
              <w:t xml:space="preserve">: </w:t>
            </w:r>
            <w:r w:rsidR="00A15A36">
              <w:rPr>
                <w:rStyle w:val="IARPCChar"/>
                <w:szCs w:val="24"/>
              </w:rPr>
              <w:fldChar w:fldCharType="begin">
                <w:ffData>
                  <w:name w:val="IARPC"/>
                  <w:enabled/>
                  <w:calcOnExit w:val="0"/>
                  <w:ddList>
                    <w:listEntry w:val="Not Applicable"/>
                  </w:ddList>
                </w:ffData>
              </w:fldChar>
            </w:r>
            <w:bookmarkStart w:id="9" w:name="IARPC"/>
            <w:r w:rsidR="00A15A36">
              <w:rPr>
                <w:rStyle w:val="IARPCChar"/>
                <w:szCs w:val="24"/>
              </w:rPr>
              <w:instrText xml:space="preserve"> FORMDROPDOWN </w:instrText>
            </w:r>
            <w:r w:rsidR="0014392E">
              <w:rPr>
                <w:rStyle w:val="IARPCChar"/>
                <w:szCs w:val="24"/>
              </w:rPr>
            </w:r>
            <w:r w:rsidR="0014392E">
              <w:rPr>
                <w:rStyle w:val="IARPCChar"/>
                <w:szCs w:val="24"/>
              </w:rPr>
              <w:fldChar w:fldCharType="separate"/>
            </w:r>
            <w:r w:rsidR="00A15A36">
              <w:rPr>
                <w:rStyle w:val="IARPCChar"/>
                <w:szCs w:val="24"/>
              </w:rPr>
              <w:fldChar w:fldCharType="end"/>
            </w:r>
            <w:bookmarkEnd w:id="8"/>
            <w:bookmarkEnd w:id="9"/>
          </w:p>
        </w:tc>
      </w:tr>
      <w:tr w:rsidR="00372A69" w:rsidRPr="007E190E" w14:paraId="0A460EEB" w14:textId="77777777" w:rsidTr="006A0C4B">
        <w:trPr>
          <w:trHeight w:hRule="exact" w:val="90"/>
        </w:trPr>
        <w:tc>
          <w:tcPr>
            <w:tcW w:w="10338" w:type="dxa"/>
            <w:gridSpan w:val="5"/>
            <w:tcBorders>
              <w:top w:val="single" w:sz="4" w:space="0" w:color="auto"/>
              <w:left w:val="nil"/>
              <w:bottom w:val="nil"/>
            </w:tcBorders>
          </w:tcPr>
          <w:p w14:paraId="13A05E15" w14:textId="77777777" w:rsidR="00372A69" w:rsidRPr="007E190E" w:rsidRDefault="00372A69" w:rsidP="00372A69">
            <w:pPr>
              <w:rPr>
                <w:rFonts w:eastAsia="Helvetica"/>
              </w:rPr>
            </w:pPr>
          </w:p>
        </w:tc>
      </w:tr>
      <w:tr w:rsidR="00372A69" w:rsidRPr="000E02BE" w14:paraId="544F0F01" w14:textId="77777777" w:rsidTr="006A0C4B">
        <w:tblPrEx>
          <w:tblBorders>
            <w:insideV w:val="none" w:sz="0" w:space="0" w:color="auto"/>
          </w:tblBorders>
        </w:tblPrEx>
        <w:trPr>
          <w:trHeight w:hRule="exact" w:val="312"/>
        </w:trPr>
        <w:tc>
          <w:tcPr>
            <w:tcW w:w="10338" w:type="dxa"/>
            <w:gridSpan w:val="5"/>
            <w:tcBorders>
              <w:top w:val="single" w:sz="4" w:space="0" w:color="auto"/>
              <w:bottom w:val="nil"/>
            </w:tcBorders>
            <w:shd w:val="clear" w:color="auto" w:fill="E0E0E0"/>
          </w:tcPr>
          <w:p w14:paraId="3CB70531" w14:textId="42FD7A1B" w:rsidR="00372A69" w:rsidRPr="000E02BE" w:rsidRDefault="00372A69" w:rsidP="006A0557">
            <w:pPr>
              <w:pStyle w:val="IATableLabel"/>
              <w:ind w:left="0"/>
              <w:jc w:val="center"/>
            </w:pPr>
            <w:bookmarkStart w:id="10" w:name="CostText"/>
            <w:r>
              <w:t>Cost of Preferred (or more likely) Optio</w:t>
            </w:r>
            <w:r w:rsidR="00F06858">
              <w:t>n</w:t>
            </w:r>
            <w:bookmarkEnd w:id="10"/>
            <w:r w:rsidR="00310BBC">
              <w:t xml:space="preserve"> </w:t>
            </w:r>
            <w:r w:rsidR="00310BBC" w:rsidRPr="00310BBC">
              <w:rPr>
                <w:b w:val="0"/>
              </w:rPr>
              <w:t>(in 201</w:t>
            </w:r>
            <w:r w:rsidR="00437300">
              <w:rPr>
                <w:b w:val="0"/>
              </w:rPr>
              <w:t>9</w:t>
            </w:r>
            <w:r w:rsidR="00310BBC" w:rsidRPr="00310BBC">
              <w:rPr>
                <w:b w:val="0"/>
              </w:rPr>
              <w:t xml:space="preserve"> prices)</w:t>
            </w:r>
          </w:p>
        </w:tc>
      </w:tr>
      <w:tr w:rsidR="00DE39C4" w:rsidRPr="000E02BE" w14:paraId="03DC0428" w14:textId="77777777" w:rsidTr="006A0C4B">
        <w:tblPrEx>
          <w:tblBorders>
            <w:insideV w:val="none" w:sz="0" w:space="0" w:color="auto"/>
          </w:tblBorders>
        </w:tblPrEx>
        <w:trPr>
          <w:trHeight w:hRule="exact" w:val="571"/>
        </w:trPr>
        <w:tc>
          <w:tcPr>
            <w:tcW w:w="1960" w:type="dxa"/>
            <w:tcBorders>
              <w:top w:val="single" w:sz="4" w:space="0" w:color="auto"/>
              <w:bottom w:val="nil"/>
              <w:right w:val="single" w:sz="4" w:space="0" w:color="auto"/>
            </w:tcBorders>
            <w:shd w:val="clear" w:color="auto" w:fill="E0E0E0"/>
            <w:vAlign w:val="center"/>
          </w:tcPr>
          <w:p w14:paraId="77FF69E8" w14:textId="1630483A" w:rsidR="00DE39C4" w:rsidRPr="000E02BE" w:rsidRDefault="00DE39C4" w:rsidP="006A0557">
            <w:pPr>
              <w:pStyle w:val="IATableLabel"/>
              <w:spacing w:before="0" w:after="0"/>
            </w:pPr>
            <w:r>
              <w:t>Total Net Present Social Value</w:t>
            </w:r>
          </w:p>
        </w:tc>
        <w:tc>
          <w:tcPr>
            <w:tcW w:w="2238" w:type="dxa"/>
            <w:tcBorders>
              <w:top w:val="single" w:sz="4" w:space="0" w:color="auto"/>
              <w:bottom w:val="nil"/>
              <w:right w:val="single" w:sz="4" w:space="0" w:color="auto"/>
            </w:tcBorders>
            <w:shd w:val="clear" w:color="auto" w:fill="E0E0E0"/>
            <w:vAlign w:val="center"/>
          </w:tcPr>
          <w:p w14:paraId="1C8EF39A" w14:textId="554F867A" w:rsidR="00DE39C4" w:rsidRPr="000E02BE" w:rsidRDefault="00DE39C4" w:rsidP="006A0557">
            <w:pPr>
              <w:pStyle w:val="IATableLabel"/>
              <w:spacing w:before="0" w:after="0"/>
            </w:pPr>
            <w:r>
              <w:t>Business Net Present Value</w:t>
            </w:r>
          </w:p>
        </w:tc>
        <w:tc>
          <w:tcPr>
            <w:tcW w:w="2798" w:type="dxa"/>
            <w:gridSpan w:val="2"/>
            <w:tcBorders>
              <w:top w:val="single" w:sz="4" w:space="0" w:color="auto"/>
              <w:bottom w:val="nil"/>
              <w:right w:val="single" w:sz="4" w:space="0" w:color="auto"/>
            </w:tcBorders>
            <w:shd w:val="clear" w:color="auto" w:fill="E0E0E0"/>
            <w:vAlign w:val="center"/>
          </w:tcPr>
          <w:p w14:paraId="33241A69" w14:textId="178D4C49" w:rsidR="00DE39C4" w:rsidRPr="000E02BE" w:rsidRDefault="00DE39C4" w:rsidP="006C6483">
            <w:pPr>
              <w:pStyle w:val="IATableLabel"/>
              <w:spacing w:before="0" w:after="0"/>
            </w:pPr>
            <w:r>
              <w:t xml:space="preserve">Net cost to business per year </w:t>
            </w:r>
          </w:p>
        </w:tc>
        <w:tc>
          <w:tcPr>
            <w:tcW w:w="3342" w:type="dxa"/>
            <w:tcBorders>
              <w:top w:val="single" w:sz="4" w:space="0" w:color="auto"/>
              <w:left w:val="single" w:sz="4" w:space="0" w:color="auto"/>
            </w:tcBorders>
            <w:shd w:val="clear" w:color="auto" w:fill="E0E0E0"/>
            <w:vAlign w:val="center"/>
          </w:tcPr>
          <w:p w14:paraId="0B160238" w14:textId="77777777" w:rsidR="00DE39C4" w:rsidRDefault="00DE39C4" w:rsidP="00000766">
            <w:pPr>
              <w:pStyle w:val="IATableLabel"/>
              <w:spacing w:before="0" w:after="0"/>
            </w:pPr>
            <w:r>
              <w:t>Business Impact Target Status</w:t>
            </w:r>
          </w:p>
          <w:p w14:paraId="665FCA2D" w14:textId="29CC204E" w:rsidR="00DE39C4" w:rsidRPr="000E02BE" w:rsidRDefault="00441AFC" w:rsidP="008369A3">
            <w:pPr>
              <w:pStyle w:val="IAIOPrefMQ"/>
            </w:pPr>
            <w:r>
              <w:fldChar w:fldCharType="begin">
                <w:ffData>
                  <w:name w:val="IAPrefMQ"/>
                  <w:enabled/>
                  <w:calcOnExit w:val="0"/>
                  <w:ddList>
                    <w:listEntry w:val="Not a regulatory provision"/>
                    <w:listEntry w:val="Qualifying provision"/>
                    <w:listEntry w:val="Non qualifying provision"/>
                  </w:ddList>
                </w:ffData>
              </w:fldChar>
            </w:r>
            <w:bookmarkStart w:id="11" w:name="IAPrefMQ"/>
            <w:r>
              <w:instrText xml:space="preserve"> FORMDROPDOWN </w:instrText>
            </w:r>
            <w:r w:rsidR="0014392E">
              <w:fldChar w:fldCharType="separate"/>
            </w:r>
            <w:r>
              <w:fldChar w:fldCharType="end"/>
            </w:r>
            <w:bookmarkEnd w:id="11"/>
          </w:p>
        </w:tc>
      </w:tr>
      <w:tr w:rsidR="00DE39C4" w:rsidRPr="0061761A" w14:paraId="557E95FF" w14:textId="77777777" w:rsidTr="006A0C4B">
        <w:tblPrEx>
          <w:tblBorders>
            <w:insideV w:val="none" w:sz="0" w:space="0" w:color="auto"/>
          </w:tblBorders>
        </w:tblPrEx>
        <w:trPr>
          <w:trHeight w:hRule="exact" w:val="340"/>
        </w:trPr>
        <w:tc>
          <w:tcPr>
            <w:tcW w:w="1960" w:type="dxa"/>
            <w:tcBorders>
              <w:top w:val="nil"/>
              <w:bottom w:val="single" w:sz="4" w:space="0" w:color="auto"/>
              <w:right w:val="single" w:sz="4" w:space="0" w:color="auto"/>
            </w:tcBorders>
            <w:shd w:val="clear" w:color="auto" w:fill="E0E0E0"/>
            <w:vAlign w:val="center"/>
          </w:tcPr>
          <w:p w14:paraId="2A9823E9" w14:textId="604E8272" w:rsidR="00DE39C4" w:rsidRPr="000E02BE" w:rsidRDefault="00A769D7" w:rsidP="008369A3">
            <w:pPr>
              <w:pStyle w:val="IAIIOTNPV"/>
            </w:pPr>
            <w:r>
              <w:t>£</w:t>
            </w:r>
            <w:r w:rsidR="002E505C">
              <w:t>266bn</w:t>
            </w:r>
          </w:p>
        </w:tc>
        <w:bookmarkStart w:id="12" w:name="IABNPV"/>
        <w:tc>
          <w:tcPr>
            <w:tcW w:w="2238" w:type="dxa"/>
            <w:tcBorders>
              <w:top w:val="nil"/>
              <w:bottom w:val="single" w:sz="4" w:space="0" w:color="auto"/>
              <w:right w:val="single" w:sz="4" w:space="0" w:color="auto"/>
            </w:tcBorders>
            <w:shd w:val="clear" w:color="auto" w:fill="E0E0E0"/>
            <w:vAlign w:val="center"/>
          </w:tcPr>
          <w:p w14:paraId="29A67005" w14:textId="419DF826" w:rsidR="00DE39C4" w:rsidRPr="000E02BE" w:rsidRDefault="00DE39C4" w:rsidP="008369A3">
            <w:pPr>
              <w:pStyle w:val="IAIOBNPV"/>
            </w:pPr>
            <w:r>
              <w:fldChar w:fldCharType="begin">
                <w:ffData>
                  <w:name w:val="IABNPV"/>
                  <w:enabled/>
                  <w:calcOnExit w:val="0"/>
                  <w:textInput>
                    <w:default w:val="£m"/>
                    <w:maxLength w:val="9"/>
                  </w:textInput>
                </w:ffData>
              </w:fldChar>
            </w:r>
            <w:r>
              <w:instrText xml:space="preserve"> FORMTEXT </w:instrText>
            </w:r>
            <w:r>
              <w:fldChar w:fldCharType="separate"/>
            </w:r>
            <w:r>
              <w:rPr>
                <w:noProof/>
              </w:rPr>
              <w:t>£</w:t>
            </w:r>
            <w:r w:rsidR="003152BC">
              <w:rPr>
                <w:noProof/>
              </w:rPr>
              <w:t>0</w:t>
            </w:r>
            <w:r>
              <w:rPr>
                <w:noProof/>
              </w:rPr>
              <w:t>m</w:t>
            </w:r>
            <w:r>
              <w:fldChar w:fldCharType="end"/>
            </w:r>
            <w:bookmarkEnd w:id="12"/>
          </w:p>
        </w:tc>
        <w:bookmarkStart w:id="13" w:name="IANCTBPY"/>
        <w:tc>
          <w:tcPr>
            <w:tcW w:w="2798" w:type="dxa"/>
            <w:gridSpan w:val="2"/>
            <w:tcBorders>
              <w:top w:val="nil"/>
              <w:bottom w:val="single" w:sz="4" w:space="0" w:color="auto"/>
              <w:right w:val="single" w:sz="4" w:space="0" w:color="auto"/>
            </w:tcBorders>
            <w:shd w:val="clear" w:color="auto" w:fill="E0E0E0"/>
            <w:vAlign w:val="center"/>
          </w:tcPr>
          <w:p w14:paraId="71244981" w14:textId="6445B28D" w:rsidR="00DE39C4" w:rsidRPr="000E02BE" w:rsidRDefault="00DE39C4" w:rsidP="008369A3">
            <w:pPr>
              <w:pStyle w:val="IAIONCTBPY"/>
            </w:pPr>
            <w:r>
              <w:fldChar w:fldCharType="begin">
                <w:ffData>
                  <w:name w:val="IANCTBPY"/>
                  <w:enabled/>
                  <w:calcOnExit w:val="0"/>
                  <w:textInput>
                    <w:default w:val="£m"/>
                    <w:maxLength w:val="9"/>
                  </w:textInput>
                </w:ffData>
              </w:fldChar>
            </w:r>
            <w:r>
              <w:instrText xml:space="preserve"> FORMTEXT </w:instrText>
            </w:r>
            <w:r>
              <w:fldChar w:fldCharType="separate"/>
            </w:r>
            <w:r>
              <w:rPr>
                <w:noProof/>
              </w:rPr>
              <w:t>£</w:t>
            </w:r>
            <w:r w:rsidR="003152BC">
              <w:rPr>
                <w:noProof/>
              </w:rPr>
              <w:t>0</w:t>
            </w:r>
            <w:r>
              <w:rPr>
                <w:noProof/>
              </w:rPr>
              <w:t>m</w:t>
            </w:r>
            <w:r>
              <w:fldChar w:fldCharType="end"/>
            </w:r>
            <w:bookmarkEnd w:id="13"/>
          </w:p>
        </w:tc>
        <w:tc>
          <w:tcPr>
            <w:tcW w:w="3342" w:type="dxa"/>
            <w:vAlign w:val="center"/>
          </w:tcPr>
          <w:p w14:paraId="1824C3F7" w14:textId="77777777" w:rsidR="00DE39C4" w:rsidRPr="000E02BE" w:rsidRDefault="00DE39C4" w:rsidP="008369A3">
            <w:pPr>
              <w:pStyle w:val="IAIOPrefMQ"/>
            </w:pPr>
          </w:p>
        </w:tc>
      </w:tr>
      <w:tr w:rsidR="007208D9" w:rsidRPr="00826F71" w14:paraId="696EFFCC" w14:textId="77777777" w:rsidTr="006A0C4B">
        <w:trPr>
          <w:trHeight w:hRule="exact" w:val="2538"/>
        </w:trPr>
        <w:tc>
          <w:tcPr>
            <w:tcW w:w="10338" w:type="dxa"/>
            <w:gridSpan w:val="5"/>
            <w:tcBorders>
              <w:top w:val="single" w:sz="4" w:space="0" w:color="auto"/>
              <w:bottom w:val="single" w:sz="4" w:space="0" w:color="auto"/>
            </w:tcBorders>
          </w:tcPr>
          <w:p w14:paraId="744D4B79" w14:textId="2DBA2AB6" w:rsidR="007208D9" w:rsidRPr="00EA0B74" w:rsidRDefault="00686F5E" w:rsidP="008369A3">
            <w:pPr>
              <w:pStyle w:val="IAIOQ1"/>
            </w:pPr>
            <w:bookmarkStart w:id="14" w:name="Summary1"/>
            <w:r>
              <w:t xml:space="preserve">What is the problem under consideration? Why is </w:t>
            </w:r>
            <w:r w:rsidR="007C6560">
              <w:t>government</w:t>
            </w:r>
            <w:r>
              <w:t xml:space="preserve"> intervention necessary?</w:t>
            </w:r>
            <w:bookmarkEnd w:id="14"/>
          </w:p>
          <w:p w14:paraId="54555A1D" w14:textId="5EDA78C5" w:rsidR="00E75380" w:rsidRPr="00861D79" w:rsidRDefault="008502F8" w:rsidP="0007695E">
            <w:pPr>
              <w:pStyle w:val="IATableLines"/>
              <w:rPr>
                <w:rFonts w:cs="Arial"/>
                <w:sz w:val="20"/>
              </w:rPr>
            </w:pPr>
            <w:r w:rsidRPr="00861D79">
              <w:rPr>
                <w:rFonts w:cs="Arial"/>
                <w:szCs w:val="22"/>
                <w:lang w:eastAsia="en-GB"/>
              </w:rPr>
              <w:t xml:space="preserve">There is overwhelming scientific consensus that we are living with the effects of significant global climate change, driven predominantly by </w:t>
            </w:r>
            <w:r w:rsidR="007F5610">
              <w:rPr>
                <w:rFonts w:cs="Arial"/>
                <w:szCs w:val="22"/>
                <w:lang w:eastAsia="en-GB"/>
              </w:rPr>
              <w:t>anthropogenic</w:t>
            </w:r>
            <w:r w:rsidRPr="00861D79">
              <w:rPr>
                <w:rFonts w:cs="Arial"/>
                <w:szCs w:val="22"/>
                <w:lang w:eastAsia="en-GB"/>
              </w:rPr>
              <w:t xml:space="preserve"> greenhouse gas (GHG) emissions. </w:t>
            </w:r>
            <w:r w:rsidRPr="00861D79">
              <w:rPr>
                <w:rFonts w:cs="Arial"/>
                <w:szCs w:val="22"/>
              </w:rPr>
              <w:t xml:space="preserve">Global action is needed to </w:t>
            </w:r>
            <w:r w:rsidR="006B52FC" w:rsidRPr="00861D79">
              <w:rPr>
                <w:rFonts w:cs="Arial"/>
                <w:szCs w:val="22"/>
              </w:rPr>
              <w:t>mitigate</w:t>
            </w:r>
            <w:r w:rsidRPr="00861D79">
              <w:rPr>
                <w:rFonts w:cs="Arial"/>
                <w:szCs w:val="22"/>
              </w:rPr>
              <w:t xml:space="preserve"> the </w:t>
            </w:r>
            <w:r w:rsidR="00562CC8" w:rsidRPr="00861D79">
              <w:rPr>
                <w:rFonts w:cs="Arial"/>
                <w:szCs w:val="22"/>
              </w:rPr>
              <w:t>potentially</w:t>
            </w:r>
            <w:r w:rsidRPr="00861D79">
              <w:rPr>
                <w:rFonts w:cs="Arial"/>
                <w:szCs w:val="22"/>
              </w:rPr>
              <w:t xml:space="preserve"> catastrophic </w:t>
            </w:r>
            <w:r w:rsidR="00562CC8" w:rsidRPr="00861D79">
              <w:rPr>
                <w:rFonts w:cs="Arial"/>
                <w:szCs w:val="22"/>
              </w:rPr>
              <w:t>impact</w:t>
            </w:r>
            <w:r w:rsidRPr="00861D79">
              <w:rPr>
                <w:rFonts w:cs="Arial"/>
                <w:szCs w:val="22"/>
              </w:rPr>
              <w:t xml:space="preserve"> of climate change across the world, and to </w:t>
            </w:r>
            <w:r w:rsidRPr="00861D79">
              <w:rPr>
                <w:rFonts w:cs="Arial"/>
                <w:szCs w:val="22"/>
                <w:lang w:eastAsia="en-GB"/>
              </w:rPr>
              <w:t>help secure the UK’s long-term economic security.</w:t>
            </w:r>
            <w:r w:rsidR="00CA7748" w:rsidRPr="00861D79">
              <w:rPr>
                <w:rFonts w:cs="Arial"/>
                <w:szCs w:val="22"/>
                <w:lang w:eastAsia="en-GB"/>
              </w:rPr>
              <w:t xml:space="preserve"> Action to limit emissions would not happen at sufficient scale without </w:t>
            </w:r>
            <w:r w:rsidR="007C6560">
              <w:rPr>
                <w:rFonts w:cs="Arial"/>
                <w:szCs w:val="22"/>
                <w:lang w:eastAsia="en-GB"/>
              </w:rPr>
              <w:t>government</w:t>
            </w:r>
            <w:r w:rsidR="00CA7748" w:rsidRPr="00861D79">
              <w:rPr>
                <w:rFonts w:cs="Arial"/>
                <w:szCs w:val="22"/>
                <w:lang w:eastAsia="en-GB"/>
              </w:rPr>
              <w:t xml:space="preserve"> intervention, as </w:t>
            </w:r>
            <w:r w:rsidR="00CC7888">
              <w:rPr>
                <w:rFonts w:cs="Arial"/>
                <w:szCs w:val="22"/>
                <w:lang w:eastAsia="en-GB"/>
              </w:rPr>
              <w:t>the</w:t>
            </w:r>
            <w:r w:rsidR="00CA7748" w:rsidRPr="00861D79">
              <w:rPr>
                <w:rFonts w:cs="Arial"/>
                <w:szCs w:val="22"/>
                <w:lang w:eastAsia="en-GB"/>
              </w:rPr>
              <w:t xml:space="preserve"> costs are not fully factored into private decisions.</w:t>
            </w:r>
            <w:r w:rsidRPr="00861D79">
              <w:rPr>
                <w:rFonts w:cs="Arial"/>
                <w:szCs w:val="22"/>
                <w:lang w:eastAsia="en-GB"/>
              </w:rPr>
              <w:t xml:space="preserve"> </w:t>
            </w:r>
            <w:r w:rsidR="00082343" w:rsidRPr="00082343">
              <w:rPr>
                <w:rFonts w:cs="Arial"/>
                <w:szCs w:val="22"/>
                <w:lang w:eastAsia="en-GB"/>
              </w:rPr>
              <w:t xml:space="preserve">In 2019, the </w:t>
            </w:r>
            <w:r w:rsidR="004D4F9F">
              <w:rPr>
                <w:rFonts w:cs="Arial"/>
                <w:szCs w:val="22"/>
                <w:lang w:eastAsia="en-GB"/>
              </w:rPr>
              <w:t>g</w:t>
            </w:r>
            <w:r w:rsidR="007C6560">
              <w:rPr>
                <w:rFonts w:cs="Arial"/>
                <w:szCs w:val="22"/>
                <w:lang w:eastAsia="en-GB"/>
              </w:rPr>
              <w:t>overnment</w:t>
            </w:r>
            <w:r w:rsidR="00082343" w:rsidRPr="00082343">
              <w:rPr>
                <w:rFonts w:cs="Arial"/>
                <w:szCs w:val="22"/>
                <w:lang w:eastAsia="en-GB"/>
              </w:rPr>
              <w:t xml:space="preserve"> amended the </w:t>
            </w:r>
            <w:r w:rsidR="00DA2CB9">
              <w:rPr>
                <w:rFonts w:cs="Arial"/>
                <w:szCs w:val="22"/>
                <w:lang w:eastAsia="en-GB"/>
              </w:rPr>
              <w:t xml:space="preserve">Climate Change </w:t>
            </w:r>
            <w:r w:rsidR="00082343">
              <w:rPr>
                <w:rFonts w:cs="Arial"/>
                <w:szCs w:val="22"/>
                <w:lang w:eastAsia="en-GB"/>
              </w:rPr>
              <w:t>Act</w:t>
            </w:r>
            <w:r w:rsidR="00082343" w:rsidRPr="00082343">
              <w:rPr>
                <w:rFonts w:cs="Arial"/>
                <w:szCs w:val="22"/>
                <w:lang w:eastAsia="en-GB"/>
              </w:rPr>
              <w:t xml:space="preserve"> to set a net zero target in law, for 2050.</w:t>
            </w:r>
            <w:r w:rsidRPr="00861D79">
              <w:rPr>
                <w:rFonts w:cs="Arial"/>
                <w:szCs w:val="22"/>
                <w:lang w:eastAsia="en-GB"/>
              </w:rPr>
              <w:t xml:space="preserve"> The UK has also committed to the 2015 Paris Agreement</w:t>
            </w:r>
            <w:r w:rsidR="00F87FBE" w:rsidRPr="00861D79">
              <w:rPr>
                <w:rFonts w:cs="Arial"/>
                <w:szCs w:val="22"/>
                <w:lang w:eastAsia="en-GB"/>
              </w:rPr>
              <w:t>, which</w:t>
            </w:r>
            <w:r w:rsidRPr="00861D79">
              <w:rPr>
                <w:rFonts w:cs="Arial"/>
                <w:szCs w:val="22"/>
                <w:lang w:eastAsia="en-GB"/>
              </w:rPr>
              <w:t xml:space="preserve"> </w:t>
            </w:r>
            <w:r w:rsidR="00F87FBE" w:rsidRPr="00861D79">
              <w:rPr>
                <w:rFonts w:cs="Arial"/>
                <w:szCs w:val="22"/>
                <w:lang w:eastAsia="en-GB"/>
              </w:rPr>
              <w:t>affirms the global ambition</w:t>
            </w:r>
            <w:r w:rsidR="001C0A9F" w:rsidRPr="00861D79">
              <w:rPr>
                <w:rFonts w:cs="Arial"/>
                <w:szCs w:val="22"/>
                <w:lang w:eastAsia="en-GB"/>
              </w:rPr>
              <w:t xml:space="preserve"> to keep the increase in global average temperature to well below 2°C above pre-industrial levels, and to pursue efforts to limit the temperature increase to 1.5°C</w:t>
            </w:r>
            <w:r w:rsidRPr="00861D79">
              <w:rPr>
                <w:rFonts w:cs="Arial"/>
                <w:szCs w:val="22"/>
                <w:lang w:eastAsia="en-GB"/>
              </w:rPr>
              <w:t>.</w:t>
            </w:r>
          </w:p>
        </w:tc>
      </w:tr>
    </w:tbl>
    <w:p w14:paraId="62581936" w14:textId="77777777" w:rsidR="007208D9" w:rsidRDefault="007208D9" w:rsidP="007208D9">
      <w:pPr>
        <w:pStyle w:val="IASpacer"/>
      </w:pP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332"/>
      </w:tblGrid>
      <w:tr w:rsidR="007208D9" w:rsidRPr="00826F71" w14:paraId="07B34A21" w14:textId="77777777" w:rsidTr="00DD6CCA">
        <w:trPr>
          <w:trHeight w:hRule="exact" w:val="1614"/>
        </w:trPr>
        <w:tc>
          <w:tcPr>
            <w:tcW w:w="10352" w:type="dxa"/>
            <w:tcBorders>
              <w:top w:val="single" w:sz="4" w:space="0" w:color="auto"/>
              <w:bottom w:val="single" w:sz="4" w:space="0" w:color="auto"/>
            </w:tcBorders>
          </w:tcPr>
          <w:p w14:paraId="3591955F" w14:textId="77777777" w:rsidR="004E74E0" w:rsidRDefault="004E74E0" w:rsidP="004E74E0">
            <w:pPr>
              <w:pStyle w:val="IAIOQ2"/>
            </w:pPr>
            <w:bookmarkStart w:id="15" w:name="Summary2"/>
            <w:r>
              <w:t>What are the policy objectives of the action or intervention and the intended effects?</w:t>
            </w:r>
            <w:bookmarkEnd w:id="15"/>
          </w:p>
          <w:p w14:paraId="79FD5BAF" w14:textId="68AD7608" w:rsidR="00E75380" w:rsidRPr="00C120C0" w:rsidRDefault="00155DBF" w:rsidP="00E82A56">
            <w:pPr>
              <w:pStyle w:val="IATableLines"/>
            </w:pPr>
            <w:r>
              <w:t xml:space="preserve">The </w:t>
            </w:r>
            <w:r w:rsidR="00594D86">
              <w:t>Climate Change Act</w:t>
            </w:r>
            <w:r>
              <w:t xml:space="preserve"> requires the </w:t>
            </w:r>
            <w:r w:rsidR="004D4F9F">
              <w:t>g</w:t>
            </w:r>
            <w:r w:rsidR="007C6560">
              <w:t>overnment</w:t>
            </w:r>
            <w:r>
              <w:t xml:space="preserve"> to set the sixth carbon budget as a limit on </w:t>
            </w:r>
            <w:r w:rsidDel="00CC7888">
              <w:t xml:space="preserve">the </w:t>
            </w:r>
            <w:r>
              <w:t xml:space="preserve">net UK carbon account over 2033-37. The Act requires this level must be set with a view to reducing emissions </w:t>
            </w:r>
            <w:r w:rsidR="00337AAC">
              <w:t xml:space="preserve">to </w:t>
            </w:r>
            <w:r>
              <w:t xml:space="preserve">net zero </w:t>
            </w:r>
            <w:r w:rsidR="00337AAC">
              <w:t xml:space="preserve">by </w:t>
            </w:r>
            <w:r>
              <w:t>2050. The objective now is to set the level of the budget, w</w:t>
            </w:r>
            <w:r w:rsidR="000B673B">
              <w:t>ith</w:t>
            </w:r>
            <w:r>
              <w:t xml:space="preserve"> proposals on how the budget is met to be published as soon as reasonably practical thereafter.</w:t>
            </w:r>
          </w:p>
        </w:tc>
      </w:tr>
    </w:tbl>
    <w:p w14:paraId="042F89B7" w14:textId="77777777" w:rsidR="007208D9" w:rsidRPr="00826F71" w:rsidRDefault="007208D9" w:rsidP="007208D9">
      <w:pPr>
        <w:pStyle w:val="IASpacer"/>
      </w:pP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332"/>
      </w:tblGrid>
      <w:tr w:rsidR="00686F5E" w:rsidRPr="00826F71" w14:paraId="2AF63F02" w14:textId="77777777" w:rsidTr="682ED5A6">
        <w:trPr>
          <w:trHeight w:hRule="exact" w:val="2862"/>
        </w:trPr>
        <w:tc>
          <w:tcPr>
            <w:tcW w:w="10352" w:type="dxa"/>
            <w:tcBorders>
              <w:top w:val="single" w:sz="4" w:space="0" w:color="auto"/>
              <w:bottom w:val="single" w:sz="4" w:space="0" w:color="auto"/>
            </w:tcBorders>
          </w:tcPr>
          <w:p w14:paraId="2EC2EE06" w14:textId="77777777" w:rsidR="00686F5E" w:rsidRPr="00826F71" w:rsidRDefault="00686F5E" w:rsidP="008369A3">
            <w:pPr>
              <w:pStyle w:val="IAIOQ3"/>
            </w:pPr>
            <w:bookmarkStart w:id="16" w:name="IAIOQ3"/>
            <w:bookmarkStart w:id="17" w:name="Summary3"/>
            <w:r>
              <w:t>What policy options have been considered</w:t>
            </w:r>
            <w:r w:rsidR="005D6EA8">
              <w:t>, including any alternatives to regulation</w:t>
            </w:r>
            <w:r>
              <w:t>? Please justify preferred option (further details in Evidence Base)</w:t>
            </w:r>
            <w:bookmarkEnd w:id="16"/>
          </w:p>
          <w:p w14:paraId="4D730314" w14:textId="3A9FD8AC" w:rsidR="002C5C38" w:rsidRDefault="002C5C38" w:rsidP="002C5C38">
            <w:pPr>
              <w:pStyle w:val="IATableLines"/>
            </w:pPr>
            <w:r>
              <w:t xml:space="preserve">There is no alternative to </w:t>
            </w:r>
            <w:r w:rsidR="008732CA">
              <w:t xml:space="preserve">the legal requirement in the </w:t>
            </w:r>
            <w:r w:rsidR="00594D86">
              <w:t>Climate Change Act</w:t>
            </w:r>
            <w:r w:rsidR="008732CA">
              <w:t xml:space="preserve"> to set</w:t>
            </w:r>
            <w:r>
              <w:t xml:space="preserve"> a sixth carbon budget level with a view to reducing UK emissions to net zero by 2050. The following options for the level of the budget have been considered</w:t>
            </w:r>
            <w:r w:rsidR="00F5306E">
              <w:t>, including</w:t>
            </w:r>
            <w:r w:rsidR="00F056EE">
              <w:t xml:space="preserve"> </w:t>
            </w:r>
            <w:r w:rsidR="00F056EE">
              <w:rPr>
                <w:noProof/>
              </w:rPr>
              <w:t xml:space="preserve">a 'do nothing' option where no further emission reduction measures are pursued (for comparison purposes only) and </w:t>
            </w:r>
            <w:r w:rsidR="00D461B3">
              <w:rPr>
                <w:noProof/>
              </w:rPr>
              <w:t xml:space="preserve">also </w:t>
            </w:r>
            <w:r w:rsidR="00AF6126">
              <w:t xml:space="preserve">the level recommended by the </w:t>
            </w:r>
            <w:r w:rsidR="00A67EFE">
              <w:t xml:space="preserve">independent </w:t>
            </w:r>
            <w:r w:rsidR="00AF6126">
              <w:t>Climate Change Committee (</w:t>
            </w:r>
            <w:r w:rsidR="003B5780">
              <w:t>O</w:t>
            </w:r>
            <w:r w:rsidR="00AF6126">
              <w:t>ption 3)</w:t>
            </w:r>
            <w:r>
              <w:t>:</w:t>
            </w:r>
          </w:p>
          <w:p w14:paraId="5049E550" w14:textId="4437AC75" w:rsidR="002C5C38" w:rsidRDefault="1D47058E" w:rsidP="00F1525F">
            <w:pPr>
              <w:pStyle w:val="IATableLines"/>
              <w:numPr>
                <w:ilvl w:val="0"/>
                <w:numId w:val="11"/>
              </w:numPr>
            </w:pPr>
            <w:r>
              <w:t xml:space="preserve">Option 1 (Do </w:t>
            </w:r>
            <w:r w:rsidR="0010475F">
              <w:t>nothing</w:t>
            </w:r>
            <w:r>
              <w:t xml:space="preserve">): </w:t>
            </w:r>
            <w:r w:rsidR="002C5C38">
              <w:t>21</w:t>
            </w:r>
            <w:r w:rsidR="00456B0D">
              <w:t>0</w:t>
            </w:r>
            <w:r w:rsidR="002C5C38">
              <w:t>0</w:t>
            </w:r>
            <w:r>
              <w:t xml:space="preserve"> million tonnes of carbon dioxide equivalent (MtCO</w:t>
            </w:r>
            <w:r w:rsidRPr="006A0C4B">
              <w:rPr>
                <w:vertAlign w:val="subscript"/>
              </w:rPr>
              <w:t>2</w:t>
            </w:r>
            <w:r>
              <w:t xml:space="preserve">e) </w:t>
            </w:r>
          </w:p>
          <w:p w14:paraId="3DEF201B" w14:textId="7B724E99" w:rsidR="002C5C38" w:rsidRDefault="002C5C38" w:rsidP="00F1525F">
            <w:pPr>
              <w:pStyle w:val="IATableLines"/>
              <w:numPr>
                <w:ilvl w:val="0"/>
                <w:numId w:val="11"/>
              </w:numPr>
            </w:pPr>
            <w:r>
              <w:t xml:space="preserve">Option 2: </w:t>
            </w:r>
            <w:r w:rsidR="00961900">
              <w:t>1105</w:t>
            </w:r>
            <w:r>
              <w:t xml:space="preserve"> MtCO</w:t>
            </w:r>
            <w:r w:rsidRPr="006A0C4B">
              <w:rPr>
                <w:vertAlign w:val="subscript"/>
              </w:rPr>
              <w:t>2</w:t>
            </w:r>
            <w:r>
              <w:t>e</w:t>
            </w:r>
            <w:r w:rsidR="00961900">
              <w:t>;</w:t>
            </w:r>
            <w:r>
              <w:t xml:space="preserve"> </w:t>
            </w:r>
          </w:p>
          <w:p w14:paraId="19AF70D2" w14:textId="3784EA87" w:rsidR="008732CA" w:rsidRDefault="002C5C38" w:rsidP="00F1525F">
            <w:pPr>
              <w:pStyle w:val="IATableLines"/>
              <w:numPr>
                <w:ilvl w:val="0"/>
                <w:numId w:val="11"/>
              </w:numPr>
            </w:pPr>
            <w:r>
              <w:t xml:space="preserve">Option 3: </w:t>
            </w:r>
            <w:r w:rsidR="00961900">
              <w:t xml:space="preserve">  </w:t>
            </w:r>
            <w:r>
              <w:t>965 MtCO</w:t>
            </w:r>
            <w:r w:rsidRPr="006A0C4B">
              <w:rPr>
                <w:vertAlign w:val="subscript"/>
              </w:rPr>
              <w:t>2</w:t>
            </w:r>
            <w:r>
              <w:t xml:space="preserve">e; </w:t>
            </w:r>
          </w:p>
          <w:p w14:paraId="07322D08" w14:textId="1F6657FD" w:rsidR="00D50283" w:rsidRPr="00C120C0" w:rsidRDefault="1D47058E" w:rsidP="00F1525F">
            <w:pPr>
              <w:pStyle w:val="IATableLines"/>
              <w:numPr>
                <w:ilvl w:val="0"/>
                <w:numId w:val="11"/>
              </w:numPr>
            </w:pPr>
            <w:r>
              <w:t xml:space="preserve">Option 4: </w:t>
            </w:r>
            <w:r w:rsidR="00961900">
              <w:t xml:space="preserve">  </w:t>
            </w:r>
            <w:r>
              <w:t>885 MtCO</w:t>
            </w:r>
            <w:r w:rsidRPr="006A0C4B">
              <w:rPr>
                <w:vertAlign w:val="subscript"/>
              </w:rPr>
              <w:t>2</w:t>
            </w:r>
            <w:r>
              <w:t>e</w:t>
            </w:r>
            <w:r w:rsidR="002C5C38">
              <w:t>.</w:t>
            </w:r>
          </w:p>
        </w:tc>
      </w:tr>
    </w:tbl>
    <w:p w14:paraId="43DC04EC" w14:textId="77777777" w:rsidR="00686F5E" w:rsidRDefault="00686F5E">
      <w:pPr>
        <w:pStyle w:val="IASpacer2"/>
      </w:pP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332"/>
      </w:tblGrid>
      <w:tr w:rsidR="00720FFE" w14:paraId="53C97780" w14:textId="77777777" w:rsidTr="00950571">
        <w:tc>
          <w:tcPr>
            <w:tcW w:w="5000" w:type="pct"/>
          </w:tcPr>
          <w:p w14:paraId="6AB5995D" w14:textId="76D19715" w:rsidR="00720FFE" w:rsidRPr="007E190E" w:rsidRDefault="00720FFE" w:rsidP="00332B05">
            <w:pPr>
              <w:pStyle w:val="IATableLabel"/>
              <w:rPr>
                <w:b w:val="0"/>
                <w:sz w:val="22"/>
                <w:szCs w:val="22"/>
              </w:rPr>
            </w:pPr>
            <w:r w:rsidRPr="00D02C89">
              <w:t xml:space="preserve">Will the policy be reviewed?  </w:t>
            </w:r>
            <w:r w:rsidR="00C32721" w:rsidRPr="00C32721">
              <w:rPr>
                <w:b w:val="0"/>
                <w:bCs/>
              </w:rPr>
              <w:t xml:space="preserve">Evidence will be refreshed </w:t>
            </w:r>
            <w:r w:rsidR="00CD7CD5">
              <w:rPr>
                <w:b w:val="0"/>
                <w:bCs/>
              </w:rPr>
              <w:t xml:space="preserve">in 2026 </w:t>
            </w:r>
            <w:r w:rsidR="00C32721" w:rsidRPr="00C32721">
              <w:rPr>
                <w:b w:val="0"/>
                <w:bCs/>
              </w:rPr>
              <w:t xml:space="preserve">when setting the </w:t>
            </w:r>
            <w:r w:rsidR="00C32721">
              <w:rPr>
                <w:b w:val="0"/>
                <w:bCs/>
              </w:rPr>
              <w:t>seventh</w:t>
            </w:r>
            <w:r w:rsidR="00C32721" w:rsidRPr="00C32721">
              <w:rPr>
                <w:b w:val="0"/>
                <w:bCs/>
              </w:rPr>
              <w:t xml:space="preserve"> carbon </w:t>
            </w:r>
            <w:r w:rsidR="009B7446" w:rsidRPr="00C32721">
              <w:rPr>
                <w:b w:val="0"/>
                <w:bCs/>
              </w:rPr>
              <w:t>budget</w:t>
            </w:r>
            <w:r w:rsidR="00456B0D">
              <w:rPr>
                <w:b w:val="0"/>
                <w:bCs/>
              </w:rPr>
              <w:t>.</w:t>
            </w:r>
            <w:r w:rsidR="00456B0D">
              <w:rPr>
                <w:rStyle w:val="FootnoteReference"/>
                <w:b w:val="0"/>
                <w:bCs/>
              </w:rPr>
              <w:footnoteReference w:id="2"/>
            </w:r>
            <w:r w:rsidR="00456B0D">
              <w:rPr>
                <w:b w:val="0"/>
                <w:bCs/>
              </w:rPr>
              <w:t xml:space="preserve"> </w:t>
            </w:r>
          </w:p>
        </w:tc>
      </w:tr>
    </w:tbl>
    <w:p w14:paraId="72FA46DC" w14:textId="77777777" w:rsidR="007E190E" w:rsidRPr="007E190E" w:rsidRDefault="007E190E" w:rsidP="007E190E">
      <w:pPr>
        <w:rPr>
          <w:vanish/>
        </w:rPr>
      </w:pPr>
      <w:bookmarkStart w:id="18" w:name="Summary4"/>
      <w:bookmarkEnd w:id="17"/>
    </w:p>
    <w:tbl>
      <w:tblPr>
        <w:tblW w:w="507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
        <w:gridCol w:w="6079"/>
        <w:gridCol w:w="872"/>
        <w:gridCol w:w="1496"/>
        <w:gridCol w:w="991"/>
        <w:gridCol w:w="894"/>
      </w:tblGrid>
      <w:tr w:rsidR="002306B7" w:rsidRPr="00D50283" w14:paraId="4DE31000" w14:textId="77777777" w:rsidTr="006A0C4B">
        <w:trPr>
          <w:gridBefore w:val="1"/>
          <w:wBefore w:w="6" w:type="dxa"/>
          <w:trHeight w:hRule="exact" w:val="384"/>
        </w:trPr>
        <w:tc>
          <w:tcPr>
            <w:tcW w:w="6951" w:type="dxa"/>
            <w:gridSpan w:val="2"/>
            <w:shd w:val="clear" w:color="auto" w:fill="E0E0E0"/>
            <w:vAlign w:val="center"/>
          </w:tcPr>
          <w:p w14:paraId="28194195" w14:textId="2E59AAFB" w:rsidR="002306B7" w:rsidRPr="00D50283" w:rsidRDefault="0026604F" w:rsidP="002306B7">
            <w:pPr>
              <w:pStyle w:val="IATableText"/>
              <w:spacing w:before="0" w:after="0"/>
              <w:rPr>
                <w:iCs/>
                <w:sz w:val="20"/>
              </w:rPr>
            </w:pPr>
            <w:r>
              <w:rPr>
                <w:iCs/>
                <w:sz w:val="20"/>
              </w:rPr>
              <w:t xml:space="preserve">Is this measure likely to impact on </w:t>
            </w:r>
            <w:r w:rsidR="00430D68">
              <w:rPr>
                <w:iCs/>
                <w:sz w:val="20"/>
              </w:rPr>
              <w:t xml:space="preserve">international </w:t>
            </w:r>
            <w:r>
              <w:rPr>
                <w:iCs/>
                <w:sz w:val="20"/>
              </w:rPr>
              <w:t xml:space="preserve">trade </w:t>
            </w:r>
            <w:r w:rsidR="00F4080E">
              <w:rPr>
                <w:iCs/>
                <w:sz w:val="20"/>
              </w:rPr>
              <w:t>and</w:t>
            </w:r>
            <w:r w:rsidR="00A76ACC">
              <w:rPr>
                <w:iCs/>
                <w:sz w:val="20"/>
              </w:rPr>
              <w:t xml:space="preserve"> investment?</w:t>
            </w:r>
            <w:r w:rsidR="00FF160F">
              <w:rPr>
                <w:iCs/>
                <w:sz w:val="20"/>
              </w:rPr>
              <w:t xml:space="preserve"> </w:t>
            </w:r>
          </w:p>
        </w:tc>
        <w:tc>
          <w:tcPr>
            <w:tcW w:w="3381" w:type="dxa"/>
            <w:gridSpan w:val="3"/>
            <w:shd w:val="clear" w:color="auto" w:fill="E0E0E0"/>
            <w:vAlign w:val="center"/>
          </w:tcPr>
          <w:p w14:paraId="6BF5C067" w14:textId="37EDA997" w:rsidR="002306B7" w:rsidRDefault="00427F7F" w:rsidP="002306B7">
            <w:pPr>
              <w:pStyle w:val="IAIOCheckEU"/>
            </w:pPr>
            <w:r>
              <w:fldChar w:fldCharType="begin">
                <w:ffData>
                  <w:name w:val=""/>
                  <w:enabled/>
                  <w:calcOnExit w:val="0"/>
                  <w:ddList>
                    <w:listEntry w:val="No"/>
                    <w:listEntry w:val="Yes / No"/>
                    <w:listEntry w:val="Yes"/>
                  </w:ddList>
                </w:ffData>
              </w:fldChar>
            </w:r>
            <w:r>
              <w:instrText xml:space="preserve"> FORMDROPDOWN </w:instrText>
            </w:r>
            <w:r w:rsidR="0014392E">
              <w:fldChar w:fldCharType="separate"/>
            </w:r>
            <w:r>
              <w:fldChar w:fldCharType="end"/>
            </w:r>
          </w:p>
        </w:tc>
      </w:tr>
      <w:tr w:rsidR="00AD5620" w:rsidRPr="00D50283" w14:paraId="0FB4156D" w14:textId="77777777" w:rsidTr="006A0C4B">
        <w:trPr>
          <w:trHeight w:val="521"/>
        </w:trPr>
        <w:tc>
          <w:tcPr>
            <w:tcW w:w="6085" w:type="dxa"/>
            <w:gridSpan w:val="2"/>
            <w:shd w:val="clear" w:color="auto" w:fill="E0E0E0"/>
            <w:vAlign w:val="center"/>
          </w:tcPr>
          <w:p w14:paraId="13EB3DF6" w14:textId="66E6D301" w:rsidR="00AD5620" w:rsidRPr="00720FFE" w:rsidRDefault="00AD5620" w:rsidP="00AD5620">
            <w:pPr>
              <w:pStyle w:val="IATableLines"/>
              <w:rPr>
                <w:b/>
                <w:color w:val="000000"/>
                <w:sz w:val="20"/>
              </w:rPr>
            </w:pPr>
            <w:r w:rsidRPr="00D50283">
              <w:rPr>
                <w:sz w:val="20"/>
              </w:rPr>
              <w:t>Are a</w:t>
            </w:r>
            <w:r>
              <w:rPr>
                <w:sz w:val="20"/>
              </w:rPr>
              <w:t>ny of these organisations in scope</w:t>
            </w:r>
            <w:r w:rsidRPr="00D50283">
              <w:rPr>
                <w:sz w:val="20"/>
              </w:rPr>
              <w:t>?</w:t>
            </w:r>
          </w:p>
        </w:tc>
        <w:tc>
          <w:tcPr>
            <w:tcW w:w="872" w:type="dxa"/>
            <w:shd w:val="clear" w:color="auto" w:fill="E0E0E0"/>
            <w:vAlign w:val="center"/>
          </w:tcPr>
          <w:p w14:paraId="42B4C95A" w14:textId="2BB751F8" w:rsidR="00AD5620" w:rsidRPr="00720FFE" w:rsidRDefault="00AD5620" w:rsidP="00AD5620">
            <w:pPr>
              <w:pStyle w:val="IATableLines"/>
              <w:rPr>
                <w:b/>
                <w:color w:val="000000"/>
                <w:sz w:val="20"/>
              </w:rPr>
            </w:pPr>
            <w:r w:rsidRPr="00720FFE">
              <w:rPr>
                <w:b/>
                <w:color w:val="000000"/>
                <w:sz w:val="20"/>
              </w:rPr>
              <w:t>Micro</w:t>
            </w:r>
            <w:r w:rsidR="00B36397">
              <w:rPr>
                <w:rStyle w:val="IAIOCheckMicroChar"/>
                <w:b w:val="0"/>
                <w:sz w:val="20"/>
              </w:rPr>
              <w:fldChar w:fldCharType="begin">
                <w:ffData>
                  <w:name w:val="IACheckMicro"/>
                  <w:enabled/>
                  <w:calcOnExit w:val="0"/>
                  <w:ddList>
                    <w:listEntry w:val="Yes"/>
                    <w:listEntry w:val="No"/>
                    <w:listEntry w:val="Yes/No"/>
                  </w:ddList>
                </w:ffData>
              </w:fldChar>
            </w:r>
            <w:bookmarkStart w:id="19" w:name="IACheckMicro"/>
            <w:r w:rsidR="00B36397">
              <w:rPr>
                <w:rStyle w:val="IAIOCheckMicroChar"/>
                <w:b w:val="0"/>
                <w:sz w:val="20"/>
              </w:rPr>
              <w:instrText xml:space="preserve"> FORMDROPDOWN </w:instrText>
            </w:r>
            <w:r w:rsidR="0014392E">
              <w:rPr>
                <w:rStyle w:val="IAIOCheckMicroChar"/>
                <w:b w:val="0"/>
                <w:sz w:val="20"/>
              </w:rPr>
            </w:r>
            <w:r w:rsidR="0014392E">
              <w:rPr>
                <w:rStyle w:val="IAIOCheckMicroChar"/>
                <w:b w:val="0"/>
                <w:sz w:val="20"/>
              </w:rPr>
              <w:fldChar w:fldCharType="separate"/>
            </w:r>
            <w:r w:rsidR="00B36397">
              <w:rPr>
                <w:rStyle w:val="IAIOCheckMicroChar"/>
                <w:b w:val="0"/>
                <w:sz w:val="20"/>
              </w:rPr>
              <w:fldChar w:fldCharType="end"/>
            </w:r>
            <w:bookmarkEnd w:id="19"/>
          </w:p>
        </w:tc>
        <w:tc>
          <w:tcPr>
            <w:tcW w:w="1496" w:type="dxa"/>
            <w:shd w:val="clear" w:color="auto" w:fill="E0E0E0"/>
            <w:vAlign w:val="center"/>
          </w:tcPr>
          <w:p w14:paraId="061186DD" w14:textId="77777777" w:rsidR="00D50448" w:rsidRDefault="00AD5620" w:rsidP="00AD5620">
            <w:pPr>
              <w:pStyle w:val="IATableLines"/>
              <w:rPr>
                <w:b/>
                <w:color w:val="000000"/>
                <w:sz w:val="20"/>
              </w:rPr>
            </w:pPr>
            <w:r w:rsidRPr="00720FFE">
              <w:rPr>
                <w:b/>
                <w:color w:val="000000"/>
                <w:sz w:val="20"/>
              </w:rPr>
              <w:t>Small</w:t>
            </w:r>
          </w:p>
          <w:p w14:paraId="2C9D6A5F" w14:textId="5240412F" w:rsidR="00AD5620" w:rsidRPr="00720FFE" w:rsidRDefault="00D741CE" w:rsidP="00AD5620">
            <w:pPr>
              <w:pStyle w:val="IATableLines"/>
              <w:rPr>
                <w:b/>
                <w:color w:val="000000"/>
                <w:sz w:val="20"/>
              </w:rPr>
            </w:pPr>
            <w:r>
              <w:rPr>
                <w:rStyle w:val="IAIOCheckSmallChar"/>
                <w:b w:val="0"/>
                <w:sz w:val="20"/>
              </w:rPr>
              <w:fldChar w:fldCharType="begin">
                <w:ffData>
                  <w:name w:val="IACheckSmall"/>
                  <w:enabled/>
                  <w:calcOnExit w:val="0"/>
                  <w:ddList>
                    <w:listEntry w:val="Yes"/>
                    <w:listEntry w:val="Yes/No"/>
                    <w:listEntry w:val="No"/>
                  </w:ddList>
                </w:ffData>
              </w:fldChar>
            </w:r>
            <w:bookmarkStart w:id="20" w:name="IACheckSmall"/>
            <w:r>
              <w:rPr>
                <w:rStyle w:val="IAIOCheckSmallChar"/>
                <w:b w:val="0"/>
                <w:sz w:val="20"/>
              </w:rPr>
              <w:instrText xml:space="preserve"> FORMDROPDOWN </w:instrText>
            </w:r>
            <w:r w:rsidR="0014392E">
              <w:rPr>
                <w:rStyle w:val="IAIOCheckSmallChar"/>
                <w:b w:val="0"/>
                <w:sz w:val="20"/>
              </w:rPr>
            </w:r>
            <w:r w:rsidR="0014392E">
              <w:rPr>
                <w:rStyle w:val="IAIOCheckSmallChar"/>
                <w:b w:val="0"/>
                <w:sz w:val="20"/>
              </w:rPr>
              <w:fldChar w:fldCharType="separate"/>
            </w:r>
            <w:r>
              <w:rPr>
                <w:rStyle w:val="IAIOCheckSmallChar"/>
                <w:b w:val="0"/>
                <w:sz w:val="20"/>
              </w:rPr>
              <w:fldChar w:fldCharType="end"/>
            </w:r>
            <w:bookmarkEnd w:id="20"/>
          </w:p>
        </w:tc>
        <w:tc>
          <w:tcPr>
            <w:tcW w:w="991" w:type="dxa"/>
            <w:shd w:val="clear" w:color="auto" w:fill="E0E0E0"/>
            <w:vAlign w:val="center"/>
          </w:tcPr>
          <w:p w14:paraId="2E068ED6" w14:textId="0BD2110B" w:rsidR="00AD5620" w:rsidRPr="00720FFE" w:rsidRDefault="00AD5620" w:rsidP="00AD5620">
            <w:pPr>
              <w:pStyle w:val="IATableLines"/>
              <w:rPr>
                <w:b/>
                <w:color w:val="000000"/>
                <w:sz w:val="20"/>
              </w:rPr>
            </w:pPr>
            <w:r w:rsidRPr="00720FFE">
              <w:rPr>
                <w:b/>
                <w:color w:val="000000"/>
                <w:sz w:val="20"/>
              </w:rPr>
              <w:t>Medium</w:t>
            </w:r>
            <w:r w:rsidR="00D741CE">
              <w:rPr>
                <w:rStyle w:val="IAIOCheckMediumChar"/>
                <w:b w:val="0"/>
                <w:sz w:val="20"/>
              </w:rPr>
              <w:fldChar w:fldCharType="begin">
                <w:ffData>
                  <w:name w:val="IACheckMedium"/>
                  <w:enabled/>
                  <w:calcOnExit w:val="0"/>
                  <w:ddList>
                    <w:listEntry w:val="Yes"/>
                    <w:listEntry w:val="Yes/No"/>
                    <w:listEntry w:val="No"/>
                  </w:ddList>
                </w:ffData>
              </w:fldChar>
            </w:r>
            <w:bookmarkStart w:id="21" w:name="IACheckMedium"/>
            <w:r w:rsidR="00D741CE">
              <w:rPr>
                <w:rStyle w:val="IAIOCheckMediumChar"/>
                <w:b w:val="0"/>
                <w:sz w:val="20"/>
              </w:rPr>
              <w:instrText xml:space="preserve"> FORMDROPDOWN </w:instrText>
            </w:r>
            <w:r w:rsidR="0014392E">
              <w:rPr>
                <w:rStyle w:val="IAIOCheckMediumChar"/>
                <w:b w:val="0"/>
                <w:sz w:val="20"/>
              </w:rPr>
            </w:r>
            <w:r w:rsidR="0014392E">
              <w:rPr>
                <w:rStyle w:val="IAIOCheckMediumChar"/>
                <w:b w:val="0"/>
                <w:sz w:val="20"/>
              </w:rPr>
              <w:fldChar w:fldCharType="separate"/>
            </w:r>
            <w:r w:rsidR="00D741CE">
              <w:rPr>
                <w:rStyle w:val="IAIOCheckMediumChar"/>
                <w:b w:val="0"/>
                <w:sz w:val="20"/>
              </w:rPr>
              <w:fldChar w:fldCharType="end"/>
            </w:r>
            <w:bookmarkEnd w:id="21"/>
          </w:p>
        </w:tc>
        <w:tc>
          <w:tcPr>
            <w:tcW w:w="894" w:type="dxa"/>
            <w:shd w:val="clear" w:color="auto" w:fill="E0E0E0"/>
            <w:vAlign w:val="center"/>
          </w:tcPr>
          <w:p w14:paraId="4CA276CB" w14:textId="04DE2324" w:rsidR="00AD5620" w:rsidRPr="00720FFE" w:rsidRDefault="00AD5620" w:rsidP="00AD5620">
            <w:pPr>
              <w:pStyle w:val="IATableLines"/>
              <w:rPr>
                <w:b/>
                <w:color w:val="000000"/>
                <w:sz w:val="20"/>
              </w:rPr>
            </w:pPr>
            <w:r w:rsidRPr="00720FFE">
              <w:rPr>
                <w:b/>
                <w:color w:val="000000"/>
                <w:sz w:val="20"/>
              </w:rPr>
              <w:t>Large</w:t>
            </w:r>
            <w:r w:rsidR="00D741CE">
              <w:rPr>
                <w:rStyle w:val="IAIOCheckLargeChar"/>
                <w:b w:val="0"/>
                <w:sz w:val="20"/>
              </w:rPr>
              <w:fldChar w:fldCharType="begin">
                <w:ffData>
                  <w:name w:val="IACheckLarge"/>
                  <w:enabled/>
                  <w:calcOnExit w:val="0"/>
                  <w:ddList>
                    <w:listEntry w:val="Yes"/>
                    <w:listEntry w:val="Yes/No"/>
                    <w:listEntry w:val="No"/>
                  </w:ddList>
                </w:ffData>
              </w:fldChar>
            </w:r>
            <w:bookmarkStart w:id="22" w:name="IACheckLarge"/>
            <w:r w:rsidR="00D741CE">
              <w:rPr>
                <w:rStyle w:val="IAIOCheckLargeChar"/>
                <w:b w:val="0"/>
                <w:sz w:val="20"/>
              </w:rPr>
              <w:instrText xml:space="preserve"> FORMDROPDOWN </w:instrText>
            </w:r>
            <w:r w:rsidR="0014392E">
              <w:rPr>
                <w:rStyle w:val="IAIOCheckLargeChar"/>
                <w:b w:val="0"/>
                <w:sz w:val="20"/>
              </w:rPr>
            </w:r>
            <w:r w:rsidR="0014392E">
              <w:rPr>
                <w:rStyle w:val="IAIOCheckLargeChar"/>
                <w:b w:val="0"/>
                <w:sz w:val="20"/>
              </w:rPr>
              <w:fldChar w:fldCharType="separate"/>
            </w:r>
            <w:r w:rsidR="00D741CE">
              <w:rPr>
                <w:rStyle w:val="IAIOCheckLargeChar"/>
                <w:b w:val="0"/>
                <w:sz w:val="20"/>
              </w:rPr>
              <w:fldChar w:fldCharType="end"/>
            </w:r>
            <w:bookmarkEnd w:id="22"/>
          </w:p>
        </w:tc>
      </w:tr>
      <w:tr w:rsidR="00D94D5A" w14:paraId="55B7B56B" w14:textId="77777777" w:rsidTr="006A0C4B">
        <w:trPr>
          <w:gridBefore w:val="1"/>
          <w:wBefore w:w="6" w:type="dxa"/>
          <w:trHeight w:hRule="exact" w:val="643"/>
        </w:trPr>
        <w:tc>
          <w:tcPr>
            <w:tcW w:w="6951" w:type="dxa"/>
            <w:gridSpan w:val="2"/>
            <w:shd w:val="clear" w:color="auto" w:fill="E0E0E0"/>
            <w:vAlign w:val="center"/>
          </w:tcPr>
          <w:p w14:paraId="0AA6BB9C" w14:textId="4039C1A7" w:rsidR="00D94D5A" w:rsidRDefault="00D94D5A" w:rsidP="00AD5620">
            <w:pPr>
              <w:pStyle w:val="IATableText"/>
              <w:spacing w:before="0" w:after="0"/>
              <w:rPr>
                <w:rFonts w:eastAsia="Times New Roman"/>
                <w:sz w:val="16"/>
                <w:szCs w:val="16"/>
              </w:rPr>
            </w:pPr>
            <w:r>
              <w:rPr>
                <w:sz w:val="20"/>
              </w:rPr>
              <w:t>What is the CO</w:t>
            </w:r>
            <w:r w:rsidRPr="00FC07D5">
              <w:rPr>
                <w:sz w:val="20"/>
                <w:vertAlign w:val="subscript"/>
              </w:rPr>
              <w:t>2</w:t>
            </w:r>
            <w:r>
              <w:rPr>
                <w:sz w:val="20"/>
              </w:rPr>
              <w:t xml:space="preserve"> equivalent change in greenhouse gas emissions? </w:t>
            </w:r>
            <w:r>
              <w:rPr>
                <w:sz w:val="20"/>
              </w:rPr>
              <w:br/>
              <w:t>(Million tonnes CO</w:t>
            </w:r>
            <w:r w:rsidRPr="00FC07D5">
              <w:rPr>
                <w:sz w:val="20"/>
                <w:vertAlign w:val="subscript"/>
              </w:rPr>
              <w:t>2</w:t>
            </w:r>
            <w:r>
              <w:rPr>
                <w:sz w:val="20"/>
              </w:rPr>
              <w:t xml:space="preserve"> equivalent)</w:t>
            </w:r>
            <w:r>
              <w:rPr>
                <w:spacing w:val="0"/>
                <w:sz w:val="18"/>
              </w:rPr>
              <w:t xml:space="preserve">  </w:t>
            </w:r>
          </w:p>
        </w:tc>
        <w:tc>
          <w:tcPr>
            <w:tcW w:w="3381" w:type="dxa"/>
            <w:gridSpan w:val="3"/>
            <w:shd w:val="clear" w:color="auto" w:fill="E0E0E0"/>
          </w:tcPr>
          <w:p w14:paraId="4DC9E735" w14:textId="558461A2" w:rsidR="00D94D5A" w:rsidRDefault="00D94D5A" w:rsidP="00D94D5A">
            <w:pPr>
              <w:pStyle w:val="IATableLabel"/>
            </w:pPr>
            <w:r>
              <w:t xml:space="preserve">Total:   </w:t>
            </w:r>
            <w:r>
              <w:br/>
            </w:r>
            <w:r w:rsidR="00971E8E">
              <w:t>6434 MtCO</w:t>
            </w:r>
            <w:r w:rsidR="00971E8E" w:rsidRPr="006A0C4B">
              <w:rPr>
                <w:vertAlign w:val="subscript"/>
              </w:rPr>
              <w:t>2</w:t>
            </w:r>
            <w:r w:rsidR="00971E8E">
              <w:t>e</w:t>
            </w:r>
          </w:p>
        </w:tc>
      </w:tr>
    </w:tbl>
    <w:p w14:paraId="03B7A98F" w14:textId="77777777" w:rsidR="00452B35" w:rsidRPr="00DF2F4B" w:rsidRDefault="00452B35">
      <w:pPr>
        <w:pStyle w:val="IASign-off"/>
        <w:rPr>
          <w:sz w:val="20"/>
        </w:rPr>
      </w:pPr>
      <w:bookmarkStart w:id="23" w:name="SignOfftext"/>
      <w:bookmarkEnd w:id="18"/>
      <w:r w:rsidRPr="00DF2F4B">
        <w:rPr>
          <w:sz w:val="20"/>
        </w:rPr>
        <w:t>I have read the Impact Assessment and I am satisfied that, given the available evidence, it represents a reasonable view of the likely costs, benefits and impact of the leading options.</w:t>
      </w:r>
    </w:p>
    <w:tbl>
      <w:tblPr>
        <w:tblW w:w="5000" w:type="pct"/>
        <w:tblLayout w:type="fixed"/>
        <w:tblCellMar>
          <w:left w:w="0" w:type="dxa"/>
          <w:right w:w="0" w:type="dxa"/>
        </w:tblCellMar>
        <w:tblLook w:val="0000" w:firstRow="0" w:lastRow="0" w:firstColumn="0" w:lastColumn="0" w:noHBand="0" w:noVBand="0"/>
      </w:tblPr>
      <w:tblGrid>
        <w:gridCol w:w="4797"/>
        <w:gridCol w:w="2291"/>
        <w:gridCol w:w="1276"/>
        <w:gridCol w:w="1841"/>
      </w:tblGrid>
      <w:tr w:rsidR="00452B35" w14:paraId="35748F33" w14:textId="77777777" w:rsidTr="008B0B60">
        <w:trPr>
          <w:trHeight w:hRule="exact" w:val="767"/>
        </w:trPr>
        <w:tc>
          <w:tcPr>
            <w:tcW w:w="2350" w:type="pct"/>
            <w:vAlign w:val="bottom"/>
          </w:tcPr>
          <w:p w14:paraId="37F084B4" w14:textId="4C2D5941" w:rsidR="00452B35" w:rsidRDefault="00452B35" w:rsidP="00A94548">
            <w:pPr>
              <w:pStyle w:val="IASignature"/>
              <w:tabs>
                <w:tab w:val="clear" w:pos="6804"/>
                <w:tab w:val="left" w:leader="dot" w:pos="7380"/>
              </w:tabs>
            </w:pPr>
            <w:r w:rsidRPr="00455EAA">
              <w:t>Signed by the</w:t>
            </w:r>
            <w:r>
              <w:t xml:space="preserve"> responsible </w:t>
            </w:r>
            <w:r w:rsidR="0071483C" w:rsidRPr="00A34898">
              <w:t>Minister of State for Business, Energy and Clean Growth</w:t>
            </w:r>
          </w:p>
        </w:tc>
        <w:tc>
          <w:tcPr>
            <w:tcW w:w="1122" w:type="pct"/>
            <w:tcBorders>
              <w:bottom w:val="dashSmallGap" w:sz="4" w:space="0" w:color="auto"/>
            </w:tcBorders>
            <w:vAlign w:val="bottom"/>
          </w:tcPr>
          <w:p w14:paraId="211FB83F" w14:textId="45BC9E97" w:rsidR="00452B35" w:rsidRPr="00AB4A42" w:rsidRDefault="0014392E" w:rsidP="00C13EF0">
            <w:pPr>
              <w:pStyle w:val="IAIOtextSign"/>
            </w:pPr>
            <w:r w:rsidRPr="0014392E">
              <w:t>Anne-Marie Trevelyan</w:t>
            </w:r>
          </w:p>
        </w:tc>
        <w:tc>
          <w:tcPr>
            <w:tcW w:w="625" w:type="pct"/>
            <w:vAlign w:val="bottom"/>
          </w:tcPr>
          <w:p w14:paraId="58EC0DF8" w14:textId="266E3C1C" w:rsidR="00452B35" w:rsidRDefault="00452B35" w:rsidP="00C13EF0">
            <w:pPr>
              <w:pStyle w:val="IASignature"/>
              <w:tabs>
                <w:tab w:val="clear" w:pos="6804"/>
                <w:tab w:val="left" w:leader="dot" w:pos="7380"/>
              </w:tabs>
            </w:pPr>
            <w:r>
              <w:t> </w:t>
            </w:r>
            <w:r w:rsidRPr="00455EAA">
              <w:t>Date:</w:t>
            </w:r>
          </w:p>
        </w:tc>
        <w:bookmarkStart w:id="24" w:name="SigDate"/>
        <w:tc>
          <w:tcPr>
            <w:tcW w:w="902" w:type="pct"/>
            <w:tcBorders>
              <w:bottom w:val="dashSmallGap" w:sz="4" w:space="0" w:color="auto"/>
            </w:tcBorders>
            <w:vAlign w:val="bottom"/>
          </w:tcPr>
          <w:p w14:paraId="72E0CF10" w14:textId="41427150" w:rsidR="00452B35" w:rsidRPr="005D0BD1" w:rsidRDefault="00452B35" w:rsidP="00C13EF0">
            <w:pPr>
              <w:pStyle w:val="IAIOSigDate"/>
            </w:pPr>
            <w:r>
              <w:fldChar w:fldCharType="begin">
                <w:ffData>
                  <w:name w:val="SigDate"/>
                  <w:enabled/>
                  <w:calcOnExit w:val="0"/>
                  <w:textInput/>
                </w:ffData>
              </w:fldChar>
            </w:r>
            <w:r>
              <w:instrText xml:space="preserve"> FORMTEXT </w:instrText>
            </w:r>
            <w:r>
              <w:fldChar w:fldCharType="separate"/>
            </w:r>
            <w:r w:rsidR="00C03042">
              <w:t xml:space="preserve"> </w:t>
            </w:r>
            <w:r>
              <w:fldChar w:fldCharType="end"/>
            </w:r>
            <w:bookmarkEnd w:id="24"/>
            <w:r w:rsidR="0014392E">
              <w:t>19/04/2021</w:t>
            </w:r>
          </w:p>
        </w:tc>
      </w:tr>
      <w:bookmarkEnd w:id="23"/>
    </w:tbl>
    <w:p w14:paraId="53A67111" w14:textId="77777777" w:rsidR="00F1328C" w:rsidRDefault="00F1328C" w:rsidP="005A3880">
      <w:pPr>
        <w:pStyle w:val="Heading1"/>
        <w:spacing w:before="0"/>
        <w:sectPr w:rsidR="00F1328C" w:rsidSect="005A3880">
          <w:headerReference w:type="even" r:id="rId12"/>
          <w:headerReference w:type="default" r:id="rId13"/>
          <w:footerReference w:type="even" r:id="rId14"/>
          <w:footerReference w:type="default" r:id="rId15"/>
          <w:headerReference w:type="first" r:id="rId16"/>
          <w:footerReference w:type="first" r:id="rId17"/>
          <w:footnotePr>
            <w:numRestart w:val="eachSect"/>
          </w:footnotePr>
          <w:type w:val="continuous"/>
          <w:pgSz w:w="11907" w:h="16840" w:code="9"/>
          <w:pgMar w:top="680" w:right="851" w:bottom="680" w:left="851" w:header="284" w:footer="284" w:gutter="0"/>
          <w:cols w:space="708"/>
          <w:docGrid w:linePitch="360"/>
        </w:sectPr>
      </w:pPr>
    </w:p>
    <w:p w14:paraId="334C7557" w14:textId="77777777" w:rsidR="001844B6" w:rsidRDefault="001844B6" w:rsidP="005A3880">
      <w:pPr>
        <w:pStyle w:val="Heading1"/>
        <w:spacing w:before="0"/>
      </w:pPr>
      <w:bookmarkStart w:id="25" w:name="_Toc67051829"/>
      <w:r>
        <w:lastRenderedPageBreak/>
        <w:t>Summary: Analysis &amp; Evidence</w:t>
      </w:r>
      <w:r>
        <w:tab/>
      </w:r>
      <w:r w:rsidRPr="00E3545D">
        <w:rPr>
          <w:rFonts w:ascii="Arial Bold" w:hAnsi="Arial Bold"/>
          <w:b w:val="0"/>
        </w:rPr>
        <w:t xml:space="preserve">Policy Option </w:t>
      </w:r>
      <w:r>
        <w:rPr>
          <w:rFonts w:ascii="Arial Bold" w:hAnsi="Arial Bold"/>
          <w:b w:val="0"/>
        </w:rPr>
        <w:fldChar w:fldCharType="begin"/>
      </w:r>
      <w:r>
        <w:rPr>
          <w:rFonts w:ascii="Arial Bold" w:hAnsi="Arial Bold"/>
          <w:b w:val="0"/>
        </w:rPr>
        <w:instrText xml:space="preserve"> SEQ Policy </w:instrText>
      </w:r>
      <w:r>
        <w:rPr>
          <w:rFonts w:ascii="Arial Bold" w:hAnsi="Arial Bold"/>
          <w:b w:val="0"/>
        </w:rPr>
        <w:fldChar w:fldCharType="separate"/>
      </w:r>
      <w:r w:rsidR="00044FE7">
        <w:rPr>
          <w:rFonts w:ascii="Arial Bold" w:hAnsi="Arial Bold"/>
          <w:b w:val="0"/>
        </w:rPr>
        <w:t>1</w:t>
      </w:r>
      <w:bookmarkEnd w:id="25"/>
      <w:r>
        <w:rPr>
          <w:rFonts w:ascii="Arial Bold" w:hAnsi="Arial Bold"/>
          <w:b w:val="0"/>
        </w:rPr>
        <w:fldChar w:fldCharType="end"/>
      </w:r>
    </w:p>
    <w:p w14:paraId="173E4E1E" w14:textId="255F92B8" w:rsidR="001844B6" w:rsidRDefault="001844B6" w:rsidP="005A3880">
      <w:pPr>
        <w:pStyle w:val="IAHeadLabel"/>
        <w:spacing w:before="50"/>
      </w:pPr>
      <w:r w:rsidRPr="00892576">
        <w:t xml:space="preserve">Description: </w:t>
      </w:r>
      <w:r w:rsidR="001D42BB">
        <w:t>A ‘do-</w:t>
      </w:r>
      <w:r w:rsidR="005F7E84">
        <w:t xml:space="preserve">nothing’ </w:t>
      </w:r>
      <w:r w:rsidR="001D42BB">
        <w:t>budget</w:t>
      </w:r>
      <w:r w:rsidR="00F445A2">
        <w:t xml:space="preserve"> of 2100MtCO</w:t>
      </w:r>
      <w:r w:rsidR="00F445A2" w:rsidRPr="00FC54C4">
        <w:rPr>
          <w:vertAlign w:val="subscript"/>
        </w:rPr>
        <w:t>2</w:t>
      </w:r>
      <w:r w:rsidR="00F445A2">
        <w:t>e</w:t>
      </w:r>
      <w:r w:rsidR="001D42BB">
        <w:t>, which likely requires no new emission reductions</w:t>
      </w:r>
      <w:bookmarkStart w:id="26" w:name="Text70"/>
      <w:r w:rsidR="0071468E">
        <w:rPr>
          <w:rStyle w:val="IAPODescriptionCharChar"/>
        </w:rPr>
        <w:fldChar w:fldCharType="begin">
          <w:ffData>
            <w:name w:val="Text70"/>
            <w:enabled/>
            <w:calcOnExit w:val="0"/>
            <w:textInput>
              <w:maxLength w:val="230"/>
            </w:textInput>
          </w:ffData>
        </w:fldChar>
      </w:r>
      <w:r w:rsidR="0071468E">
        <w:rPr>
          <w:rStyle w:val="IAPODescriptionCharChar"/>
        </w:rPr>
        <w:instrText xml:space="preserve"> FORMTEXT </w:instrText>
      </w:r>
      <w:r w:rsidR="0071468E">
        <w:rPr>
          <w:rStyle w:val="IAPODescriptionCharChar"/>
        </w:rPr>
      </w:r>
      <w:r w:rsidR="0071468E">
        <w:rPr>
          <w:rStyle w:val="IAPODescriptionCharChar"/>
        </w:rPr>
        <w:fldChar w:fldCharType="separate"/>
      </w:r>
      <w:r w:rsidR="0071468E">
        <w:rPr>
          <w:rStyle w:val="IAPODescriptionCharChar"/>
          <w:noProof/>
        </w:rPr>
        <w:t> </w:t>
      </w:r>
      <w:r w:rsidR="0071468E">
        <w:rPr>
          <w:rStyle w:val="IAPODescriptionCharChar"/>
          <w:noProof/>
        </w:rPr>
        <w:t> </w:t>
      </w:r>
      <w:r w:rsidR="0071468E">
        <w:rPr>
          <w:rStyle w:val="IAPODescriptionCharChar"/>
          <w:noProof/>
        </w:rPr>
        <w:t> </w:t>
      </w:r>
      <w:r w:rsidR="0071468E">
        <w:rPr>
          <w:rStyle w:val="IAPODescriptionCharChar"/>
          <w:noProof/>
        </w:rPr>
        <w:t> </w:t>
      </w:r>
      <w:r w:rsidR="0071468E">
        <w:rPr>
          <w:rStyle w:val="IAPODescriptionCharChar"/>
          <w:noProof/>
        </w:rPr>
        <w:t> </w:t>
      </w:r>
      <w:r w:rsidR="0071468E">
        <w:rPr>
          <w:rStyle w:val="IAPODescriptionCharChar"/>
        </w:rPr>
        <w:fldChar w:fldCharType="end"/>
      </w:r>
      <w:bookmarkEnd w:id="26"/>
    </w:p>
    <w:p w14:paraId="4C47A1A0" w14:textId="77777777" w:rsidR="001844B6" w:rsidRDefault="001844B6" w:rsidP="005A3880">
      <w:pPr>
        <w:pStyle w:val="IAHeadLabel"/>
        <w:spacing w:before="50"/>
      </w:pPr>
      <w:r>
        <w:t>FULL ECONOMIC ASSESSMENT</w:t>
      </w: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96"/>
        <w:gridCol w:w="1255"/>
        <w:gridCol w:w="1434"/>
        <w:gridCol w:w="1793"/>
        <w:gridCol w:w="1820"/>
        <w:gridCol w:w="2623"/>
      </w:tblGrid>
      <w:tr w:rsidR="005E70E5" w:rsidRPr="007E190E" w14:paraId="40269D48" w14:textId="77777777" w:rsidTr="005E70E5">
        <w:trPr>
          <w:trHeight w:hRule="exact" w:val="312"/>
        </w:trPr>
        <w:tc>
          <w:tcPr>
            <w:tcW w:w="1396" w:type="dxa"/>
            <w:vMerge w:val="restart"/>
          </w:tcPr>
          <w:p w14:paraId="731050F6" w14:textId="6B73D9F3" w:rsidR="005E70E5" w:rsidRPr="00826F71" w:rsidRDefault="005E70E5" w:rsidP="005A3880">
            <w:pPr>
              <w:pStyle w:val="POPBY"/>
            </w:pPr>
            <w:r w:rsidRPr="00826F71">
              <w:t>Price Base Year</w:t>
            </w:r>
            <w:r>
              <w:t xml:space="preserve">  </w:t>
            </w:r>
            <w:r w:rsidR="006E1275">
              <w:rPr>
                <w:b w:val="0"/>
              </w:rPr>
              <w:fldChar w:fldCharType="begin">
                <w:ffData>
                  <w:name w:val="Text55"/>
                  <w:enabled/>
                  <w:calcOnExit w:val="0"/>
                  <w:textInput>
                    <w:default w:val="2019"/>
                    <w:maxLength w:val="4"/>
                  </w:textInput>
                </w:ffData>
              </w:fldChar>
            </w:r>
            <w:bookmarkStart w:id="27" w:name="Text55"/>
            <w:r w:rsidR="006E1275">
              <w:rPr>
                <w:b w:val="0"/>
              </w:rPr>
              <w:instrText xml:space="preserve"> FORMTEXT </w:instrText>
            </w:r>
            <w:r w:rsidR="006E1275">
              <w:rPr>
                <w:b w:val="0"/>
              </w:rPr>
            </w:r>
            <w:r w:rsidR="006E1275">
              <w:rPr>
                <w:b w:val="0"/>
              </w:rPr>
              <w:fldChar w:fldCharType="separate"/>
            </w:r>
            <w:r w:rsidR="006E1275">
              <w:rPr>
                <w:b w:val="0"/>
                <w:noProof/>
              </w:rPr>
              <w:t>2019</w:t>
            </w:r>
            <w:r w:rsidR="006E1275">
              <w:rPr>
                <w:b w:val="0"/>
              </w:rPr>
              <w:fldChar w:fldCharType="end"/>
            </w:r>
            <w:bookmarkEnd w:id="27"/>
          </w:p>
        </w:tc>
        <w:tc>
          <w:tcPr>
            <w:tcW w:w="1255" w:type="dxa"/>
            <w:vMerge w:val="restart"/>
          </w:tcPr>
          <w:p w14:paraId="53FEE567" w14:textId="35AA7D6E" w:rsidR="005E70E5" w:rsidRPr="00826F71" w:rsidRDefault="005E70E5" w:rsidP="005A3880">
            <w:pPr>
              <w:pStyle w:val="POPVBY"/>
            </w:pPr>
            <w:r w:rsidRPr="00826F71">
              <w:t>PV Base Year</w:t>
            </w:r>
            <w:r w:rsidR="00E60C57">
              <w:rPr>
                <w:b w:val="0"/>
              </w:rPr>
              <w:t xml:space="preserve"> </w:t>
            </w:r>
            <w:r w:rsidR="007A4E31">
              <w:rPr>
                <w:b w:val="0"/>
              </w:rPr>
              <w:t>20</w:t>
            </w:r>
            <w:r w:rsidR="00E64F13">
              <w:rPr>
                <w:b w:val="0"/>
              </w:rPr>
              <w:t>20</w:t>
            </w:r>
          </w:p>
        </w:tc>
        <w:tc>
          <w:tcPr>
            <w:tcW w:w="1434" w:type="dxa"/>
            <w:vMerge w:val="restart"/>
            <w:tcBorders>
              <w:right w:val="single" w:sz="12" w:space="0" w:color="auto"/>
            </w:tcBorders>
          </w:tcPr>
          <w:p w14:paraId="74B379F4" w14:textId="34C4F672" w:rsidR="005E70E5" w:rsidRPr="00826F71" w:rsidRDefault="005E70E5" w:rsidP="005A3880">
            <w:pPr>
              <w:pStyle w:val="POTPY"/>
            </w:pPr>
            <w:r w:rsidRPr="00826F71">
              <w:t>Time Period Years</w:t>
            </w:r>
            <w:r>
              <w:t xml:space="preserve"> </w:t>
            </w:r>
            <w:r w:rsidR="009A10D8">
              <w:rPr>
                <w:b w:val="0"/>
              </w:rPr>
              <w:t>3</w:t>
            </w:r>
            <w:r w:rsidR="00D1037B">
              <w:rPr>
                <w:b w:val="0"/>
              </w:rPr>
              <w:t>0</w:t>
            </w:r>
          </w:p>
        </w:tc>
        <w:tc>
          <w:tcPr>
            <w:tcW w:w="6236" w:type="dxa"/>
            <w:gridSpan w:val="3"/>
            <w:tcBorders>
              <w:top w:val="single" w:sz="12" w:space="0" w:color="auto"/>
              <w:left w:val="single" w:sz="12" w:space="0" w:color="auto"/>
              <w:right w:val="single" w:sz="12" w:space="0" w:color="auto"/>
            </w:tcBorders>
            <w:shd w:val="clear" w:color="auto" w:fill="FFFFFF"/>
          </w:tcPr>
          <w:p w14:paraId="245A882B" w14:textId="6E04B731" w:rsidR="005E70E5" w:rsidRPr="00826F71" w:rsidRDefault="005E70E5" w:rsidP="007E190E">
            <w:pPr>
              <w:pStyle w:val="IATableLabel"/>
              <w:jc w:val="center"/>
            </w:pPr>
            <w:r w:rsidRPr="00826F71">
              <w:t xml:space="preserve">Net </w:t>
            </w:r>
            <w:r w:rsidRPr="0075393B">
              <w:t>B</w:t>
            </w:r>
            <w:r w:rsidRPr="00826F71">
              <w:t>enefit (</w:t>
            </w:r>
            <w:r>
              <w:t>Present Value (</w:t>
            </w:r>
            <w:r w:rsidRPr="00826F71">
              <w:t>PV</w:t>
            </w:r>
            <w:r>
              <w:t>)</w:t>
            </w:r>
            <w:r w:rsidRPr="00826F71">
              <w:t>)</w:t>
            </w:r>
            <w:r>
              <w:t xml:space="preserve"> (£m)</w:t>
            </w:r>
          </w:p>
        </w:tc>
      </w:tr>
      <w:tr w:rsidR="005E70E5" w:rsidRPr="007E190E" w14:paraId="53A4C8BD" w14:textId="77777777" w:rsidTr="005E70E5">
        <w:trPr>
          <w:trHeight w:hRule="exact" w:val="340"/>
        </w:trPr>
        <w:tc>
          <w:tcPr>
            <w:tcW w:w="1396" w:type="dxa"/>
            <w:vMerge/>
          </w:tcPr>
          <w:p w14:paraId="246CADD2" w14:textId="77777777" w:rsidR="005E70E5" w:rsidRPr="007E190E" w:rsidRDefault="005E70E5" w:rsidP="007E190E">
            <w:pPr>
              <w:pStyle w:val="IATableNotes"/>
              <w:ind w:left="0"/>
              <w:rPr>
                <w:b/>
                <w:sz w:val="20"/>
              </w:rPr>
            </w:pPr>
          </w:p>
        </w:tc>
        <w:tc>
          <w:tcPr>
            <w:tcW w:w="1255" w:type="dxa"/>
            <w:vMerge/>
          </w:tcPr>
          <w:p w14:paraId="785522E2" w14:textId="77777777" w:rsidR="005E70E5" w:rsidRPr="007E190E" w:rsidRDefault="005E70E5" w:rsidP="007E190E">
            <w:pPr>
              <w:pStyle w:val="IATableNotes"/>
              <w:ind w:left="0"/>
              <w:rPr>
                <w:b/>
                <w:sz w:val="20"/>
              </w:rPr>
            </w:pPr>
          </w:p>
        </w:tc>
        <w:tc>
          <w:tcPr>
            <w:tcW w:w="1434" w:type="dxa"/>
            <w:vMerge/>
            <w:tcBorders>
              <w:right w:val="single" w:sz="12" w:space="0" w:color="auto"/>
            </w:tcBorders>
          </w:tcPr>
          <w:p w14:paraId="752830E2" w14:textId="77777777" w:rsidR="005E70E5" w:rsidRPr="007E190E" w:rsidRDefault="005E70E5" w:rsidP="007E190E">
            <w:pPr>
              <w:pStyle w:val="IATableNotes"/>
              <w:ind w:left="0"/>
              <w:rPr>
                <w:b/>
                <w:sz w:val="20"/>
              </w:rPr>
            </w:pPr>
          </w:p>
        </w:tc>
        <w:tc>
          <w:tcPr>
            <w:tcW w:w="1793" w:type="dxa"/>
            <w:tcBorders>
              <w:left w:val="single" w:sz="12" w:space="0" w:color="auto"/>
              <w:bottom w:val="single" w:sz="12" w:space="0" w:color="auto"/>
            </w:tcBorders>
          </w:tcPr>
          <w:p w14:paraId="21E846D0" w14:textId="77777777" w:rsidR="005E70E5" w:rsidRPr="007E190E" w:rsidRDefault="005E70E5" w:rsidP="005A3880">
            <w:pPr>
              <w:pStyle w:val="IATableLabel"/>
              <w:rPr>
                <w:bCs/>
              </w:rPr>
            </w:pPr>
            <w:r w:rsidRPr="00304C1D">
              <w:t>Low:</w:t>
            </w:r>
            <w:r w:rsidRPr="00826F71">
              <w:t xml:space="preserve"> </w:t>
            </w:r>
            <w:r w:rsidRPr="007E190E">
              <w:rPr>
                <w:rStyle w:val="PONBLowCharChar"/>
                <w:sz w:val="20"/>
                <w:szCs w:val="22"/>
              </w:rPr>
              <w:fldChar w:fldCharType="begin">
                <w:ffData>
                  <w:name w:val="Text58"/>
                  <w:enabled/>
                  <w:calcOnExit w:val="0"/>
                  <w:textInput>
                    <w:default w:val="Optional"/>
                    <w:maxLength w:val="8"/>
                  </w:textInput>
                </w:ffData>
              </w:fldChar>
            </w:r>
            <w:r w:rsidRPr="007E190E">
              <w:rPr>
                <w:rStyle w:val="PONBLowCharChar"/>
                <w:sz w:val="20"/>
                <w:szCs w:val="22"/>
              </w:rPr>
              <w:instrText xml:space="preserve"> FORMTEXT </w:instrText>
            </w:r>
            <w:r w:rsidRPr="007E190E">
              <w:rPr>
                <w:rStyle w:val="PONBLowCharChar"/>
                <w:sz w:val="20"/>
                <w:szCs w:val="22"/>
              </w:rPr>
            </w:r>
            <w:r w:rsidRPr="007E190E">
              <w:rPr>
                <w:rStyle w:val="PONBLowCharChar"/>
                <w:sz w:val="20"/>
                <w:szCs w:val="22"/>
              </w:rPr>
              <w:fldChar w:fldCharType="separate"/>
            </w:r>
            <w:r w:rsidRPr="007E190E">
              <w:rPr>
                <w:rStyle w:val="PONBLowCharChar"/>
                <w:noProof/>
                <w:sz w:val="20"/>
                <w:szCs w:val="22"/>
              </w:rPr>
              <w:t>Optional</w:t>
            </w:r>
            <w:r w:rsidRPr="007E190E">
              <w:rPr>
                <w:rStyle w:val="PONBLowCharChar"/>
                <w:sz w:val="20"/>
                <w:szCs w:val="22"/>
              </w:rPr>
              <w:fldChar w:fldCharType="end"/>
            </w:r>
          </w:p>
        </w:tc>
        <w:tc>
          <w:tcPr>
            <w:tcW w:w="1820" w:type="dxa"/>
            <w:tcBorders>
              <w:bottom w:val="single" w:sz="12" w:space="0" w:color="auto"/>
              <w:right w:val="single" w:sz="12" w:space="0" w:color="auto"/>
            </w:tcBorders>
          </w:tcPr>
          <w:p w14:paraId="66F16503" w14:textId="77777777" w:rsidR="005E70E5" w:rsidRPr="007E190E" w:rsidRDefault="005E70E5" w:rsidP="005A3880">
            <w:pPr>
              <w:pStyle w:val="IATableLabel"/>
              <w:rPr>
                <w:szCs w:val="18"/>
              </w:rPr>
            </w:pPr>
            <w:r w:rsidRPr="00304C1D">
              <w:t>High:</w:t>
            </w:r>
            <w:r w:rsidRPr="00826F71">
              <w:t xml:space="preserve"> </w:t>
            </w:r>
            <w:r w:rsidRPr="007E190E">
              <w:rPr>
                <w:rStyle w:val="PONBHighChar"/>
                <w:sz w:val="20"/>
                <w:szCs w:val="22"/>
              </w:rPr>
              <w:fldChar w:fldCharType="begin">
                <w:ffData>
                  <w:name w:val="Text59"/>
                  <w:enabled/>
                  <w:calcOnExit w:val="0"/>
                  <w:textInput>
                    <w:default w:val="Optional"/>
                    <w:maxLength w:val="8"/>
                  </w:textInput>
                </w:ffData>
              </w:fldChar>
            </w:r>
            <w:r w:rsidRPr="007E190E">
              <w:rPr>
                <w:rStyle w:val="PONBHighChar"/>
                <w:sz w:val="20"/>
                <w:szCs w:val="22"/>
              </w:rPr>
              <w:instrText xml:space="preserve"> FORMTEXT </w:instrText>
            </w:r>
            <w:r w:rsidRPr="007E190E">
              <w:rPr>
                <w:rStyle w:val="PONBHighChar"/>
                <w:sz w:val="20"/>
                <w:szCs w:val="22"/>
              </w:rPr>
            </w:r>
            <w:r w:rsidRPr="007E190E">
              <w:rPr>
                <w:rStyle w:val="PONBHighChar"/>
                <w:sz w:val="20"/>
                <w:szCs w:val="22"/>
              </w:rPr>
              <w:fldChar w:fldCharType="separate"/>
            </w:r>
            <w:r w:rsidRPr="007E190E">
              <w:rPr>
                <w:rStyle w:val="PONBHighChar"/>
                <w:noProof/>
                <w:sz w:val="20"/>
                <w:szCs w:val="22"/>
              </w:rPr>
              <w:t>Optional</w:t>
            </w:r>
            <w:r w:rsidRPr="007E190E">
              <w:rPr>
                <w:rStyle w:val="PONBHighChar"/>
                <w:sz w:val="20"/>
                <w:szCs w:val="22"/>
              </w:rPr>
              <w:fldChar w:fldCharType="end"/>
            </w:r>
          </w:p>
        </w:tc>
        <w:tc>
          <w:tcPr>
            <w:tcW w:w="2623" w:type="dxa"/>
            <w:tcBorders>
              <w:top w:val="single" w:sz="12" w:space="0" w:color="auto"/>
              <w:left w:val="single" w:sz="12" w:space="0" w:color="auto"/>
              <w:bottom w:val="single" w:sz="12" w:space="0" w:color="auto"/>
              <w:right w:val="single" w:sz="12" w:space="0" w:color="auto"/>
            </w:tcBorders>
            <w:shd w:val="clear" w:color="auto" w:fill="FFFFFF"/>
          </w:tcPr>
          <w:p w14:paraId="55BD20EB" w14:textId="1F627A1D" w:rsidR="005E70E5" w:rsidRPr="007E190E" w:rsidRDefault="005E70E5" w:rsidP="005A3880">
            <w:pPr>
              <w:pStyle w:val="IATableLabel"/>
              <w:rPr>
                <w:szCs w:val="18"/>
              </w:rPr>
            </w:pPr>
            <w:r w:rsidRPr="00304C1D">
              <w:t xml:space="preserve">Best </w:t>
            </w:r>
            <w:r>
              <w:t>E</w:t>
            </w:r>
            <w:r w:rsidRPr="00304C1D">
              <w:t>stimate:</w:t>
            </w:r>
            <w:r w:rsidRPr="00826F71">
              <w:t xml:space="preserve"> </w:t>
            </w:r>
            <w:r w:rsidR="00E64F13">
              <w:t>£0m</w:t>
            </w:r>
          </w:p>
        </w:tc>
      </w:tr>
    </w:tbl>
    <w:p w14:paraId="73B5CDAE" w14:textId="77777777" w:rsidR="001844B6" w:rsidRDefault="001844B6" w:rsidP="005A3880">
      <w:pPr>
        <w:pStyle w:val="IASpacer"/>
      </w:pPr>
    </w:p>
    <w:tbl>
      <w:tblPr>
        <w:tblW w:w="5070"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2082"/>
        <w:gridCol w:w="1914"/>
        <w:gridCol w:w="776"/>
        <w:gridCol w:w="2813"/>
        <w:gridCol w:w="1744"/>
        <w:gridCol w:w="970"/>
        <w:gridCol w:w="18"/>
      </w:tblGrid>
      <w:tr w:rsidR="001844B6" w:rsidRPr="007E190E" w14:paraId="61FD520F" w14:textId="77777777" w:rsidTr="00C16CDC">
        <w:trPr>
          <w:trHeight w:hRule="exact" w:val="567"/>
        </w:trPr>
        <w:tc>
          <w:tcPr>
            <w:tcW w:w="2083" w:type="dxa"/>
            <w:tcBorders>
              <w:top w:val="single" w:sz="12" w:space="0" w:color="auto"/>
            </w:tcBorders>
            <w:shd w:val="clear" w:color="auto" w:fill="FFFFFF"/>
          </w:tcPr>
          <w:p w14:paraId="20A06FF1" w14:textId="45F4CC69" w:rsidR="001844B6" w:rsidRPr="007E190E" w:rsidRDefault="001844B6" w:rsidP="005A3880">
            <w:pPr>
              <w:pStyle w:val="IATableLabel"/>
              <w:rPr>
                <w:sz w:val="24"/>
                <w:szCs w:val="24"/>
              </w:rPr>
            </w:pPr>
            <w:r w:rsidRPr="007E190E">
              <w:rPr>
                <w:sz w:val="24"/>
                <w:szCs w:val="24"/>
              </w:rPr>
              <w:t>COSTS (£m)</w:t>
            </w:r>
          </w:p>
        </w:tc>
        <w:tc>
          <w:tcPr>
            <w:tcW w:w="2690" w:type="dxa"/>
            <w:gridSpan w:val="2"/>
            <w:tcBorders>
              <w:top w:val="single" w:sz="12" w:space="0" w:color="auto"/>
            </w:tcBorders>
          </w:tcPr>
          <w:p w14:paraId="45F34166" w14:textId="77777777" w:rsidR="001844B6" w:rsidRPr="00826F71" w:rsidRDefault="001844B6" w:rsidP="007E190E">
            <w:pPr>
              <w:pStyle w:val="IATableLabel"/>
              <w:tabs>
                <w:tab w:val="right" w:pos="1800"/>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2020BF85" w14:textId="77777777" w:rsidR="001844B6" w:rsidRPr="00826F71" w:rsidRDefault="001844B6" w:rsidP="007E190E">
            <w:pPr>
              <w:pStyle w:val="IATableLabel"/>
              <w:jc w:val="right"/>
            </w:pPr>
            <w:r>
              <w:br/>
            </w:r>
          </w:p>
        </w:tc>
        <w:tc>
          <w:tcPr>
            <w:tcW w:w="2813" w:type="dxa"/>
            <w:tcBorders>
              <w:top w:val="single" w:sz="12" w:space="0" w:color="auto"/>
              <w:right w:val="single" w:sz="12" w:space="0" w:color="auto"/>
            </w:tcBorders>
          </w:tcPr>
          <w:p w14:paraId="23602683" w14:textId="5B52AA7D" w:rsidR="001844B6" w:rsidRPr="007E190E" w:rsidRDefault="001844B6" w:rsidP="007E190E">
            <w:pPr>
              <w:pStyle w:val="IATableLabel"/>
              <w:jc w:val="right"/>
            </w:pPr>
            <w:r w:rsidRPr="00826F71">
              <w:t>Average Annual</w:t>
            </w:r>
            <w:r w:rsidRPr="000C031E">
              <w:t xml:space="preserve"> </w:t>
            </w:r>
            <w:r>
              <w:br/>
            </w:r>
            <w:r w:rsidRPr="007E190E">
              <w:rPr>
                <w:b w:val="0"/>
                <w:sz w:val="18"/>
                <w:szCs w:val="18"/>
              </w:rPr>
              <w:t>(excl. Transition) (Constant Price)</w:t>
            </w:r>
          </w:p>
        </w:tc>
        <w:tc>
          <w:tcPr>
            <w:tcW w:w="2731" w:type="dxa"/>
            <w:gridSpan w:val="3"/>
            <w:tcBorders>
              <w:top w:val="single" w:sz="12" w:space="0" w:color="auto"/>
              <w:left w:val="single" w:sz="12" w:space="0" w:color="auto"/>
            </w:tcBorders>
          </w:tcPr>
          <w:p w14:paraId="3AB23739" w14:textId="0D636F28" w:rsidR="001844B6" w:rsidRPr="00826F71" w:rsidRDefault="001844B6" w:rsidP="007E190E">
            <w:pPr>
              <w:pStyle w:val="IATableLabel"/>
              <w:jc w:val="right"/>
            </w:pPr>
            <w:r w:rsidRPr="00826F71">
              <w:t>Total Cost</w:t>
            </w:r>
            <w:r w:rsidRPr="007E190E">
              <w:rPr>
                <w:b w:val="0"/>
                <w:sz w:val="18"/>
                <w:szCs w:val="18"/>
              </w:rPr>
              <w:t xml:space="preserve"> </w:t>
            </w:r>
            <w:r w:rsidRPr="007E190E">
              <w:rPr>
                <w:b w:val="0"/>
                <w:sz w:val="18"/>
                <w:szCs w:val="18"/>
              </w:rPr>
              <w:br/>
              <w:t>(Present Value)</w:t>
            </w:r>
          </w:p>
        </w:tc>
      </w:tr>
      <w:tr w:rsidR="001844B6" w:rsidRPr="007E190E" w14:paraId="4458011D" w14:textId="77777777" w:rsidTr="00C16CDC">
        <w:trPr>
          <w:trHeight w:hRule="exact" w:val="348"/>
        </w:trPr>
        <w:tc>
          <w:tcPr>
            <w:tcW w:w="2083" w:type="dxa"/>
            <w:vAlign w:val="center"/>
          </w:tcPr>
          <w:p w14:paraId="4E41E6CF" w14:textId="3AABFAAB" w:rsidR="001844B6" w:rsidRPr="00F63895" w:rsidRDefault="001844B6" w:rsidP="005A3880">
            <w:pPr>
              <w:pStyle w:val="IATableLabel"/>
            </w:pPr>
            <w:r w:rsidRPr="00F63895">
              <w:t xml:space="preserve">Low </w:t>
            </w:r>
          </w:p>
        </w:tc>
        <w:tc>
          <w:tcPr>
            <w:tcW w:w="1914" w:type="dxa"/>
            <w:vAlign w:val="center"/>
          </w:tcPr>
          <w:p w14:paraId="5140797A" w14:textId="77777777" w:rsidR="001844B6" w:rsidRPr="007E190E" w:rsidRDefault="001844B6" w:rsidP="005A3880">
            <w:pPr>
              <w:pStyle w:val="POTTCostsLow"/>
              <w:rPr>
                <w:sz w:val="20"/>
              </w:rPr>
            </w:pPr>
            <w:r w:rsidRPr="007E190E">
              <w:rPr>
                <w:sz w:val="20"/>
              </w:rPr>
              <w:fldChar w:fldCharType="begin">
                <w:ffData>
                  <w:name w:val="Text45"/>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76" w:type="dxa"/>
            <w:vMerge w:val="restart"/>
            <w:vAlign w:val="center"/>
          </w:tcPr>
          <w:p w14:paraId="318114D6" w14:textId="77777777" w:rsidR="001844B6" w:rsidRPr="007E190E" w:rsidRDefault="001844B6" w:rsidP="005A3880">
            <w:pPr>
              <w:pStyle w:val="POTTCostsYear"/>
              <w:rPr>
                <w:sz w:val="20"/>
                <w:szCs w:val="20"/>
              </w:rPr>
            </w:pPr>
            <w:r w:rsidRPr="007E190E">
              <w:rPr>
                <w:sz w:val="20"/>
                <w:szCs w:val="20"/>
              </w:rPr>
              <w:fldChar w:fldCharType="begin">
                <w:ffData>
                  <w:name w:val="Text48"/>
                  <w:enabled/>
                  <w:calcOnExit w:val="0"/>
                  <w:textInput>
                    <w:maxLength w:val="3"/>
                  </w:textInput>
                </w:ffData>
              </w:fldChar>
            </w:r>
            <w:r w:rsidRPr="007E190E">
              <w:rPr>
                <w:sz w:val="20"/>
                <w:szCs w:val="20"/>
              </w:rPr>
              <w:instrText xml:space="preserve"> FORMTEXT </w:instrText>
            </w:r>
            <w:r w:rsidRPr="007E190E">
              <w:rPr>
                <w:sz w:val="20"/>
                <w:szCs w:val="20"/>
              </w:rPr>
            </w:r>
            <w:r w:rsidRPr="007E190E">
              <w:rPr>
                <w:sz w:val="20"/>
                <w:szCs w:val="20"/>
              </w:rPr>
              <w:fldChar w:fldCharType="separate"/>
            </w:r>
            <w:r w:rsidRPr="007E190E">
              <w:rPr>
                <w:noProof/>
                <w:sz w:val="20"/>
                <w:szCs w:val="20"/>
              </w:rPr>
              <w:t> </w:t>
            </w:r>
            <w:r w:rsidRPr="007E190E">
              <w:rPr>
                <w:noProof/>
                <w:sz w:val="20"/>
                <w:szCs w:val="20"/>
              </w:rPr>
              <w:t> </w:t>
            </w:r>
            <w:r w:rsidRPr="007E190E">
              <w:rPr>
                <w:noProof/>
                <w:sz w:val="20"/>
                <w:szCs w:val="20"/>
              </w:rPr>
              <w:t> </w:t>
            </w:r>
            <w:r w:rsidRPr="007E190E">
              <w:rPr>
                <w:sz w:val="20"/>
                <w:szCs w:val="20"/>
              </w:rPr>
              <w:fldChar w:fldCharType="end"/>
            </w:r>
          </w:p>
        </w:tc>
        <w:tc>
          <w:tcPr>
            <w:tcW w:w="2813" w:type="dxa"/>
            <w:tcBorders>
              <w:right w:val="single" w:sz="12" w:space="0" w:color="auto"/>
            </w:tcBorders>
            <w:vAlign w:val="center"/>
          </w:tcPr>
          <w:p w14:paraId="40093593" w14:textId="77777777" w:rsidR="001844B6" w:rsidRPr="007E190E" w:rsidRDefault="001844B6" w:rsidP="005A3880">
            <w:pPr>
              <w:pStyle w:val="POAACostsLow"/>
              <w:rPr>
                <w:sz w:val="20"/>
              </w:rPr>
            </w:pPr>
            <w:r w:rsidRPr="007E190E">
              <w:rPr>
                <w:sz w:val="20"/>
              </w:rPr>
              <w:fldChar w:fldCharType="begin">
                <w:ffData>
                  <w:name w:val="Text49"/>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732" w:type="dxa"/>
            <w:gridSpan w:val="3"/>
            <w:tcBorders>
              <w:left w:val="single" w:sz="12" w:space="0" w:color="auto"/>
            </w:tcBorders>
            <w:vAlign w:val="center"/>
          </w:tcPr>
          <w:p w14:paraId="3C592E75" w14:textId="77777777" w:rsidR="001844B6" w:rsidRPr="007E190E" w:rsidRDefault="001844B6" w:rsidP="005A3880">
            <w:pPr>
              <w:pStyle w:val="POTCCostsLow"/>
              <w:rPr>
                <w:sz w:val="20"/>
              </w:rPr>
            </w:pPr>
            <w:r w:rsidRPr="007E190E">
              <w:rPr>
                <w:sz w:val="20"/>
              </w:rPr>
              <w:fldChar w:fldCharType="begin">
                <w:ffData>
                  <w:name w:val="Text52"/>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844B6" w:rsidRPr="007E190E" w14:paraId="2A188929" w14:textId="77777777" w:rsidTr="00C16CDC">
        <w:trPr>
          <w:trHeight w:hRule="exact" w:val="348"/>
        </w:trPr>
        <w:tc>
          <w:tcPr>
            <w:tcW w:w="2083" w:type="dxa"/>
            <w:tcBorders>
              <w:bottom w:val="single" w:sz="12" w:space="0" w:color="auto"/>
            </w:tcBorders>
            <w:vAlign w:val="center"/>
          </w:tcPr>
          <w:p w14:paraId="7F2FA1BA" w14:textId="72BC413E" w:rsidR="001844B6" w:rsidRPr="00F63895" w:rsidRDefault="001844B6" w:rsidP="005A3880">
            <w:pPr>
              <w:pStyle w:val="IATableLabel"/>
            </w:pPr>
            <w:r w:rsidRPr="00F63895">
              <w:t xml:space="preserve">High </w:t>
            </w:r>
          </w:p>
        </w:tc>
        <w:tc>
          <w:tcPr>
            <w:tcW w:w="1914" w:type="dxa"/>
            <w:tcBorders>
              <w:bottom w:val="single" w:sz="12" w:space="0" w:color="auto"/>
            </w:tcBorders>
            <w:vAlign w:val="center"/>
          </w:tcPr>
          <w:p w14:paraId="615C67DC" w14:textId="77777777" w:rsidR="001844B6" w:rsidRPr="007E190E" w:rsidRDefault="001844B6" w:rsidP="005A3880">
            <w:pPr>
              <w:pStyle w:val="POTTCostsHigh"/>
              <w:rPr>
                <w:sz w:val="20"/>
              </w:rPr>
            </w:pPr>
            <w:r w:rsidRPr="007E190E">
              <w:rPr>
                <w:sz w:val="20"/>
              </w:rPr>
              <w:fldChar w:fldCharType="begin">
                <w:ffData>
                  <w:name w:val="Text46"/>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76" w:type="dxa"/>
            <w:vMerge/>
            <w:shd w:val="clear" w:color="auto" w:fill="FFFFFF"/>
            <w:vAlign w:val="center"/>
          </w:tcPr>
          <w:p w14:paraId="3109568A" w14:textId="77777777" w:rsidR="001844B6" w:rsidRPr="007E190E" w:rsidRDefault="001844B6" w:rsidP="007E190E">
            <w:pPr>
              <w:pStyle w:val="IATableText"/>
              <w:jc w:val="right"/>
              <w:rPr>
                <w:sz w:val="20"/>
              </w:rPr>
            </w:pPr>
          </w:p>
        </w:tc>
        <w:tc>
          <w:tcPr>
            <w:tcW w:w="2813" w:type="dxa"/>
            <w:tcBorders>
              <w:bottom w:val="single" w:sz="12" w:space="0" w:color="auto"/>
              <w:right w:val="single" w:sz="12" w:space="0" w:color="auto"/>
            </w:tcBorders>
            <w:vAlign w:val="center"/>
          </w:tcPr>
          <w:p w14:paraId="4E49AA06" w14:textId="77777777" w:rsidR="001844B6" w:rsidRPr="007E190E" w:rsidRDefault="001844B6" w:rsidP="005A3880">
            <w:pPr>
              <w:pStyle w:val="POAACostsHigh"/>
              <w:rPr>
                <w:sz w:val="20"/>
              </w:rPr>
            </w:pPr>
            <w:r w:rsidRPr="007E190E">
              <w:rPr>
                <w:sz w:val="20"/>
              </w:rPr>
              <w:fldChar w:fldCharType="begin">
                <w:ffData>
                  <w:name w:val="Text50"/>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732" w:type="dxa"/>
            <w:gridSpan w:val="3"/>
            <w:tcBorders>
              <w:left w:val="single" w:sz="12" w:space="0" w:color="auto"/>
              <w:bottom w:val="single" w:sz="12" w:space="0" w:color="auto"/>
            </w:tcBorders>
            <w:vAlign w:val="center"/>
          </w:tcPr>
          <w:p w14:paraId="7B0C835D" w14:textId="77777777" w:rsidR="001844B6" w:rsidRPr="007E190E" w:rsidRDefault="001844B6" w:rsidP="005A3880">
            <w:pPr>
              <w:pStyle w:val="POTCCostsHigh"/>
              <w:rPr>
                <w:sz w:val="20"/>
              </w:rPr>
            </w:pPr>
            <w:r w:rsidRPr="007E190E">
              <w:rPr>
                <w:sz w:val="20"/>
              </w:rPr>
              <w:fldChar w:fldCharType="begin">
                <w:ffData>
                  <w:name w:val="Text53"/>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844B6" w:rsidRPr="007E190E" w14:paraId="63E1E9EE" w14:textId="77777777" w:rsidTr="00C16CDC">
        <w:trPr>
          <w:trHeight w:hRule="exact" w:val="348"/>
        </w:trPr>
        <w:tc>
          <w:tcPr>
            <w:tcW w:w="2083" w:type="dxa"/>
            <w:tcBorders>
              <w:top w:val="single" w:sz="12" w:space="0" w:color="auto"/>
              <w:bottom w:val="single" w:sz="12" w:space="0" w:color="auto"/>
              <w:right w:val="single" w:sz="12" w:space="0" w:color="auto"/>
            </w:tcBorders>
            <w:shd w:val="clear" w:color="auto" w:fill="FFFFFF"/>
            <w:vAlign w:val="center"/>
          </w:tcPr>
          <w:p w14:paraId="0A52C5D6" w14:textId="77777777" w:rsidR="001844B6" w:rsidRPr="00F63895" w:rsidRDefault="001844B6" w:rsidP="005A3880">
            <w:pPr>
              <w:pStyle w:val="IATableLabel"/>
            </w:pPr>
            <w:r w:rsidRPr="00F63895">
              <w:t>Best Estimate</w:t>
            </w:r>
          </w:p>
          <w:p w14:paraId="247C5159" w14:textId="77777777" w:rsidR="001844B6" w:rsidRPr="007E190E" w:rsidRDefault="001844B6" w:rsidP="007E190E">
            <w:pPr>
              <w:pStyle w:val="IATableNotes"/>
              <w:spacing w:beforeLines="40" w:before="96"/>
              <w:ind w:left="0" w:right="-22"/>
              <w:jc w:val="center"/>
              <w:rPr>
                <w:b/>
                <w:sz w:val="20"/>
              </w:rPr>
            </w:pPr>
          </w:p>
        </w:tc>
        <w:tc>
          <w:tcPr>
            <w:tcW w:w="19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0499C6C" w14:textId="2B76EC92" w:rsidR="001844B6" w:rsidRPr="007E190E" w:rsidRDefault="00363AF4" w:rsidP="00697736">
            <w:pPr>
              <w:pStyle w:val="POTTCostsBest"/>
              <w:rPr>
                <w:sz w:val="20"/>
              </w:rPr>
            </w:pPr>
            <w:r>
              <w:rPr>
                <w:sz w:val="20"/>
              </w:rPr>
              <w:t>£0</w:t>
            </w:r>
          </w:p>
        </w:tc>
        <w:tc>
          <w:tcPr>
            <w:tcW w:w="776" w:type="dxa"/>
            <w:vMerge/>
            <w:tcBorders>
              <w:left w:val="single" w:sz="12" w:space="0" w:color="auto"/>
              <w:right w:val="single" w:sz="12" w:space="0" w:color="auto"/>
            </w:tcBorders>
            <w:shd w:val="clear" w:color="auto" w:fill="FFFFFF"/>
            <w:vAlign w:val="center"/>
          </w:tcPr>
          <w:p w14:paraId="3302B3F3" w14:textId="77777777" w:rsidR="001844B6" w:rsidRPr="007E190E" w:rsidRDefault="001844B6" w:rsidP="00697736">
            <w:pPr>
              <w:pStyle w:val="IATableText"/>
              <w:jc w:val="right"/>
              <w:rPr>
                <w:sz w:val="20"/>
              </w:rPr>
            </w:pPr>
          </w:p>
        </w:tc>
        <w:tc>
          <w:tcPr>
            <w:tcW w:w="2813" w:type="dxa"/>
            <w:tcBorders>
              <w:top w:val="single" w:sz="12" w:space="0" w:color="auto"/>
              <w:left w:val="single" w:sz="12" w:space="0" w:color="auto"/>
              <w:bottom w:val="single" w:sz="12" w:space="0" w:color="auto"/>
              <w:right w:val="single" w:sz="12" w:space="0" w:color="auto"/>
            </w:tcBorders>
            <w:shd w:val="clear" w:color="auto" w:fill="FFFFFF"/>
            <w:vAlign w:val="center"/>
          </w:tcPr>
          <w:p w14:paraId="09BE4D85" w14:textId="1FF36A4D" w:rsidR="001844B6" w:rsidRPr="007E190E" w:rsidRDefault="00363AF4" w:rsidP="00697736">
            <w:pPr>
              <w:pStyle w:val="POAACostsBest"/>
              <w:rPr>
                <w:sz w:val="20"/>
              </w:rPr>
            </w:pPr>
            <w:r>
              <w:rPr>
                <w:sz w:val="20"/>
              </w:rPr>
              <w:t>£0</w:t>
            </w:r>
          </w:p>
        </w:tc>
        <w:tc>
          <w:tcPr>
            <w:tcW w:w="2732" w:type="dxa"/>
            <w:gridSpan w:val="3"/>
            <w:tcBorders>
              <w:top w:val="single" w:sz="12" w:space="0" w:color="auto"/>
              <w:left w:val="single" w:sz="12" w:space="0" w:color="auto"/>
              <w:bottom w:val="single" w:sz="12" w:space="0" w:color="auto"/>
            </w:tcBorders>
            <w:shd w:val="clear" w:color="auto" w:fill="FFFFFF"/>
            <w:vAlign w:val="center"/>
          </w:tcPr>
          <w:p w14:paraId="64B08B6E" w14:textId="18E53034" w:rsidR="001844B6" w:rsidRPr="007E190E" w:rsidRDefault="00363AF4" w:rsidP="00697736">
            <w:pPr>
              <w:pStyle w:val="POTCCostsBest"/>
              <w:rPr>
                <w:sz w:val="20"/>
              </w:rPr>
            </w:pPr>
            <w:r>
              <w:rPr>
                <w:sz w:val="20"/>
              </w:rPr>
              <w:t>£0</w:t>
            </w:r>
          </w:p>
        </w:tc>
      </w:tr>
      <w:tr w:rsidR="001844B6" w:rsidRPr="00826F71" w14:paraId="5ADDE4DC" w14:textId="77777777" w:rsidTr="00C16CDC">
        <w:trPr>
          <w:gridAfter w:val="1"/>
          <w:wAfter w:w="18" w:type="dxa"/>
          <w:trHeight w:hRule="exact" w:val="1344"/>
        </w:trPr>
        <w:tc>
          <w:tcPr>
            <w:tcW w:w="10300" w:type="dxa"/>
            <w:gridSpan w:val="6"/>
          </w:tcPr>
          <w:p w14:paraId="6CD829AC" w14:textId="77777777" w:rsidR="001844B6" w:rsidRPr="007E190E" w:rsidRDefault="001844B6" w:rsidP="005A3880">
            <w:pPr>
              <w:pStyle w:val="IAPOQ1"/>
              <w:rPr>
                <w:szCs w:val="22"/>
              </w:rPr>
            </w:pPr>
            <w:r w:rsidRPr="00544292">
              <w:t xml:space="preserve">Description and scale of </w:t>
            </w:r>
            <w:r w:rsidRPr="00826F71">
              <w:t>key monetised costs</w:t>
            </w:r>
            <w:r w:rsidRPr="00544292">
              <w:t xml:space="preserve"> by ‘main affected groups’ </w:t>
            </w:r>
          </w:p>
          <w:p w14:paraId="58DA567B" w14:textId="01319333" w:rsidR="00095F6D" w:rsidRPr="00095F6D" w:rsidRDefault="00095F6D" w:rsidP="00095F6D">
            <w:pPr>
              <w:pStyle w:val="IAPOQ1"/>
              <w:rPr>
                <w:b w:val="0"/>
                <w:color w:val="auto"/>
                <w:sz w:val="22"/>
              </w:rPr>
            </w:pPr>
            <w:r w:rsidRPr="00095F6D">
              <w:rPr>
                <w:b w:val="0"/>
                <w:color w:val="auto"/>
                <w:sz w:val="22"/>
              </w:rPr>
              <w:t>There are no abatement costs associated with this option as it is estimated under most reasonable</w:t>
            </w:r>
          </w:p>
          <w:p w14:paraId="3BC3A000" w14:textId="2E2ACD12" w:rsidR="001844B6" w:rsidRPr="00826F71" w:rsidRDefault="00EB417B" w:rsidP="005A3880">
            <w:pPr>
              <w:pStyle w:val="IAPOA1"/>
            </w:pPr>
            <w:r>
              <w:t xml:space="preserve">“business as usual” </w:t>
            </w:r>
            <w:r w:rsidR="00095F6D" w:rsidRPr="00095F6D">
              <w:t>emissions scenarios</w:t>
            </w:r>
            <w:r>
              <w:t xml:space="preserve"> that</w:t>
            </w:r>
            <w:r w:rsidR="00095F6D" w:rsidRPr="00095F6D">
              <w:t xml:space="preserve"> the UK net carbon account will remain within this budget level.</w:t>
            </w:r>
            <w:r w:rsidR="00FA3655">
              <w:rPr>
                <w:b/>
                <w:szCs w:val="22"/>
              </w:rPr>
              <w:t xml:space="preserve"> </w:t>
            </w:r>
            <w:r w:rsidR="00FA3655" w:rsidRPr="000A2DDF">
              <w:rPr>
                <w:szCs w:val="22"/>
              </w:rPr>
              <w:t>However, this level is not consistent with meeting the UK’s net zero 2050 target.</w:t>
            </w:r>
          </w:p>
        </w:tc>
      </w:tr>
      <w:tr w:rsidR="001844B6" w:rsidRPr="00826F71" w14:paraId="6C705C06" w14:textId="77777777" w:rsidTr="00C16CDC">
        <w:trPr>
          <w:trHeight w:hRule="exact" w:val="1701"/>
        </w:trPr>
        <w:tc>
          <w:tcPr>
            <w:tcW w:w="10318" w:type="dxa"/>
            <w:gridSpan w:val="7"/>
            <w:tcBorders>
              <w:bottom w:val="single" w:sz="12" w:space="0" w:color="auto"/>
            </w:tcBorders>
          </w:tcPr>
          <w:p w14:paraId="0DA1A2FE" w14:textId="77777777" w:rsidR="001844B6" w:rsidRPr="007E190E" w:rsidRDefault="001844B6" w:rsidP="005A3880">
            <w:pPr>
              <w:pStyle w:val="IAPOQ2"/>
              <w:rPr>
                <w:szCs w:val="22"/>
              </w:rPr>
            </w:pPr>
            <w:r w:rsidRPr="00544292">
              <w:t>Other</w:t>
            </w:r>
            <w:r w:rsidRPr="00826F71">
              <w:t xml:space="preserve"> key non-monetised costs</w:t>
            </w:r>
            <w:r w:rsidRPr="00544292">
              <w:t xml:space="preserve"> by ‘main affected groups’ </w:t>
            </w:r>
          </w:p>
          <w:p w14:paraId="0CF6A04D" w14:textId="2AC6A663" w:rsidR="001844B6" w:rsidRPr="007E190E" w:rsidRDefault="008C3664" w:rsidP="005A3880">
            <w:pPr>
              <w:pStyle w:val="IAPOA2"/>
              <w:rPr>
                <w:szCs w:val="22"/>
              </w:rPr>
            </w:pPr>
            <w:r>
              <w:rPr>
                <w:szCs w:val="22"/>
              </w:rPr>
              <w:t>N/A</w:t>
            </w:r>
          </w:p>
        </w:tc>
      </w:tr>
      <w:tr w:rsidR="001844B6" w:rsidRPr="007E190E" w14:paraId="238F2CEA" w14:textId="77777777" w:rsidTr="00C16CDC">
        <w:trPr>
          <w:trHeight w:hRule="exact" w:val="567"/>
        </w:trPr>
        <w:tc>
          <w:tcPr>
            <w:tcW w:w="2083" w:type="dxa"/>
            <w:shd w:val="clear" w:color="auto" w:fill="FFFFFF"/>
          </w:tcPr>
          <w:p w14:paraId="2D8738E8" w14:textId="703ABBAA" w:rsidR="001844B6" w:rsidRPr="007E190E" w:rsidRDefault="001844B6" w:rsidP="005A3880">
            <w:pPr>
              <w:pStyle w:val="IATableLabel"/>
              <w:rPr>
                <w:sz w:val="24"/>
                <w:szCs w:val="24"/>
              </w:rPr>
            </w:pPr>
            <w:r w:rsidRPr="007E190E">
              <w:rPr>
                <w:sz w:val="24"/>
                <w:szCs w:val="24"/>
              </w:rPr>
              <w:t xml:space="preserve">BENEFITS </w:t>
            </w:r>
            <w:r w:rsidR="00B21702">
              <w:rPr>
                <w:sz w:val="24"/>
                <w:szCs w:val="24"/>
              </w:rPr>
              <w:t>(</w:t>
            </w:r>
            <w:r w:rsidRPr="007E190E">
              <w:rPr>
                <w:sz w:val="24"/>
                <w:szCs w:val="24"/>
              </w:rPr>
              <w:t>£m)</w:t>
            </w:r>
          </w:p>
        </w:tc>
        <w:tc>
          <w:tcPr>
            <w:tcW w:w="2690" w:type="dxa"/>
            <w:gridSpan w:val="2"/>
            <w:tcBorders>
              <w:top w:val="single" w:sz="12" w:space="0" w:color="auto"/>
            </w:tcBorders>
          </w:tcPr>
          <w:p w14:paraId="379EF752" w14:textId="77777777" w:rsidR="001844B6" w:rsidRPr="00826F71" w:rsidRDefault="001844B6" w:rsidP="007E190E">
            <w:pPr>
              <w:pStyle w:val="IATableLabel"/>
              <w:tabs>
                <w:tab w:val="right" w:pos="1797"/>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6882D2DD" w14:textId="77777777" w:rsidR="001844B6" w:rsidRPr="00826F71" w:rsidRDefault="001844B6" w:rsidP="007E190E">
            <w:pPr>
              <w:pStyle w:val="IATableLabel"/>
              <w:jc w:val="right"/>
            </w:pPr>
            <w:r>
              <w:br/>
            </w:r>
          </w:p>
        </w:tc>
        <w:tc>
          <w:tcPr>
            <w:tcW w:w="2813" w:type="dxa"/>
            <w:tcBorders>
              <w:right w:val="single" w:sz="12" w:space="0" w:color="auto"/>
            </w:tcBorders>
          </w:tcPr>
          <w:p w14:paraId="7DE04C76" w14:textId="3B1FE089" w:rsidR="001844B6" w:rsidRPr="007E190E" w:rsidRDefault="001844B6" w:rsidP="007E190E">
            <w:pPr>
              <w:pStyle w:val="IATableLabel"/>
              <w:jc w:val="right"/>
            </w:pPr>
            <w:r w:rsidRPr="00826F71">
              <w:t>Average Annual</w:t>
            </w:r>
            <w:r w:rsidRPr="000C031E">
              <w:t xml:space="preserve"> </w:t>
            </w:r>
            <w:r>
              <w:br/>
            </w:r>
            <w:r w:rsidRPr="007E190E">
              <w:rPr>
                <w:b w:val="0"/>
                <w:sz w:val="18"/>
                <w:szCs w:val="18"/>
              </w:rPr>
              <w:t>(excl. Transition) (Constant Price)</w:t>
            </w:r>
          </w:p>
        </w:tc>
        <w:tc>
          <w:tcPr>
            <w:tcW w:w="2732" w:type="dxa"/>
            <w:gridSpan w:val="3"/>
            <w:tcBorders>
              <w:top w:val="single" w:sz="12" w:space="0" w:color="auto"/>
              <w:left w:val="single" w:sz="12" w:space="0" w:color="auto"/>
            </w:tcBorders>
          </w:tcPr>
          <w:p w14:paraId="20E24574" w14:textId="50F5A8BB" w:rsidR="001844B6" w:rsidRPr="00826F71" w:rsidRDefault="001844B6" w:rsidP="007E190E">
            <w:pPr>
              <w:pStyle w:val="IATableLabel"/>
              <w:jc w:val="right"/>
            </w:pPr>
            <w:r w:rsidRPr="00826F71">
              <w:t xml:space="preserve">Total </w:t>
            </w:r>
            <w:r>
              <w:t>Benefit</w:t>
            </w:r>
            <w:r w:rsidRPr="007E190E">
              <w:rPr>
                <w:b w:val="0"/>
                <w:sz w:val="18"/>
                <w:szCs w:val="18"/>
              </w:rPr>
              <w:t xml:space="preserve"> </w:t>
            </w:r>
            <w:r w:rsidRPr="007E190E">
              <w:rPr>
                <w:b w:val="0"/>
                <w:sz w:val="18"/>
                <w:szCs w:val="18"/>
              </w:rPr>
              <w:br/>
              <w:t>(Present Value)</w:t>
            </w:r>
          </w:p>
        </w:tc>
      </w:tr>
      <w:tr w:rsidR="001844B6" w:rsidRPr="007E190E" w14:paraId="4F133AA6" w14:textId="77777777" w:rsidTr="00C16CDC">
        <w:trPr>
          <w:trHeight w:hRule="exact" w:val="348"/>
        </w:trPr>
        <w:tc>
          <w:tcPr>
            <w:tcW w:w="2083" w:type="dxa"/>
            <w:vAlign w:val="center"/>
          </w:tcPr>
          <w:p w14:paraId="46BAC235" w14:textId="7B56FA47" w:rsidR="001844B6" w:rsidRPr="00826F71" w:rsidRDefault="001844B6" w:rsidP="005A3880">
            <w:pPr>
              <w:pStyle w:val="IATableLabel"/>
            </w:pPr>
            <w:r w:rsidRPr="00826F71">
              <w:t xml:space="preserve">Low </w:t>
            </w:r>
          </w:p>
        </w:tc>
        <w:tc>
          <w:tcPr>
            <w:tcW w:w="1914" w:type="dxa"/>
            <w:vAlign w:val="center"/>
          </w:tcPr>
          <w:p w14:paraId="05B943C0" w14:textId="77777777" w:rsidR="001844B6" w:rsidRPr="007E190E" w:rsidRDefault="001844B6" w:rsidP="005A3880">
            <w:pPr>
              <w:pStyle w:val="POTT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76" w:type="dxa"/>
            <w:vMerge w:val="restart"/>
            <w:vAlign w:val="center"/>
          </w:tcPr>
          <w:p w14:paraId="2F68BDB8" w14:textId="77777777" w:rsidR="001844B6" w:rsidRPr="007E190E" w:rsidRDefault="001844B6" w:rsidP="007E190E">
            <w:pPr>
              <w:pStyle w:val="IATableText"/>
              <w:jc w:val="center"/>
              <w:rPr>
                <w:sz w:val="20"/>
              </w:rPr>
            </w:pPr>
            <w:r w:rsidRPr="007E190E">
              <w:rPr>
                <w:sz w:val="20"/>
              </w:rPr>
              <w:fldChar w:fldCharType="begin">
                <w:ffData>
                  <w:name w:val="Text48"/>
                  <w:enabled/>
                  <w:calcOnExit w:val="0"/>
                  <w:textInput>
                    <w:maxLength w:val="3"/>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 </w:t>
            </w:r>
            <w:r w:rsidRPr="007E190E">
              <w:rPr>
                <w:noProof/>
                <w:sz w:val="20"/>
              </w:rPr>
              <w:t> </w:t>
            </w:r>
            <w:r w:rsidRPr="007E190E">
              <w:rPr>
                <w:noProof/>
                <w:sz w:val="20"/>
              </w:rPr>
              <w:t> </w:t>
            </w:r>
            <w:r w:rsidRPr="007E190E">
              <w:rPr>
                <w:sz w:val="20"/>
              </w:rPr>
              <w:fldChar w:fldCharType="end"/>
            </w:r>
          </w:p>
        </w:tc>
        <w:tc>
          <w:tcPr>
            <w:tcW w:w="2813" w:type="dxa"/>
            <w:tcBorders>
              <w:right w:val="single" w:sz="12" w:space="0" w:color="auto"/>
            </w:tcBorders>
            <w:vAlign w:val="center"/>
          </w:tcPr>
          <w:p w14:paraId="604312AF" w14:textId="77777777" w:rsidR="001844B6" w:rsidRPr="007E190E" w:rsidRDefault="001844B6" w:rsidP="005A3880">
            <w:pPr>
              <w:pStyle w:val="POAA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732" w:type="dxa"/>
            <w:gridSpan w:val="3"/>
            <w:tcBorders>
              <w:left w:val="single" w:sz="12" w:space="0" w:color="auto"/>
            </w:tcBorders>
            <w:vAlign w:val="center"/>
          </w:tcPr>
          <w:p w14:paraId="0830B16C" w14:textId="77777777" w:rsidR="001844B6" w:rsidRPr="007E190E" w:rsidRDefault="001844B6" w:rsidP="005A3880">
            <w:pPr>
              <w:pStyle w:val="POTB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844B6" w:rsidRPr="007E190E" w14:paraId="7EDA2791" w14:textId="77777777" w:rsidTr="00C16CDC">
        <w:trPr>
          <w:trHeight w:hRule="exact" w:val="348"/>
        </w:trPr>
        <w:tc>
          <w:tcPr>
            <w:tcW w:w="2083" w:type="dxa"/>
            <w:tcBorders>
              <w:bottom w:val="single" w:sz="12" w:space="0" w:color="auto"/>
            </w:tcBorders>
            <w:vAlign w:val="center"/>
          </w:tcPr>
          <w:p w14:paraId="2FBDD7E9" w14:textId="52CC68A8" w:rsidR="001844B6" w:rsidRPr="00826F71" w:rsidRDefault="001844B6" w:rsidP="005A3880">
            <w:pPr>
              <w:pStyle w:val="IATableLabel"/>
            </w:pPr>
            <w:r w:rsidRPr="00826F71">
              <w:t xml:space="preserve">High </w:t>
            </w:r>
          </w:p>
        </w:tc>
        <w:tc>
          <w:tcPr>
            <w:tcW w:w="1914" w:type="dxa"/>
            <w:tcBorders>
              <w:bottom w:val="single" w:sz="12" w:space="0" w:color="auto"/>
            </w:tcBorders>
            <w:vAlign w:val="center"/>
          </w:tcPr>
          <w:p w14:paraId="2110C4D0" w14:textId="77777777" w:rsidR="001844B6" w:rsidRPr="007E190E" w:rsidRDefault="001844B6" w:rsidP="005A3880">
            <w:pPr>
              <w:pStyle w:val="POTT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76" w:type="dxa"/>
            <w:vMerge/>
            <w:shd w:val="clear" w:color="auto" w:fill="FFFFFF"/>
            <w:vAlign w:val="center"/>
          </w:tcPr>
          <w:p w14:paraId="1B5B17C3" w14:textId="77777777" w:rsidR="001844B6" w:rsidRPr="007E190E" w:rsidRDefault="001844B6" w:rsidP="007E190E">
            <w:pPr>
              <w:pStyle w:val="IATableText"/>
              <w:jc w:val="right"/>
              <w:rPr>
                <w:sz w:val="20"/>
              </w:rPr>
            </w:pPr>
          </w:p>
        </w:tc>
        <w:tc>
          <w:tcPr>
            <w:tcW w:w="2813" w:type="dxa"/>
            <w:tcBorders>
              <w:bottom w:val="single" w:sz="12" w:space="0" w:color="auto"/>
              <w:right w:val="single" w:sz="12" w:space="0" w:color="auto"/>
            </w:tcBorders>
            <w:vAlign w:val="center"/>
          </w:tcPr>
          <w:p w14:paraId="10AB5029" w14:textId="77777777" w:rsidR="001844B6" w:rsidRPr="007E190E" w:rsidRDefault="001844B6" w:rsidP="005A3880">
            <w:pPr>
              <w:pStyle w:val="POAA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732" w:type="dxa"/>
            <w:gridSpan w:val="3"/>
            <w:tcBorders>
              <w:left w:val="single" w:sz="12" w:space="0" w:color="auto"/>
              <w:bottom w:val="single" w:sz="12" w:space="0" w:color="auto"/>
            </w:tcBorders>
            <w:vAlign w:val="center"/>
          </w:tcPr>
          <w:p w14:paraId="172EF0D7" w14:textId="77777777" w:rsidR="001844B6" w:rsidRPr="007E190E" w:rsidRDefault="001844B6" w:rsidP="005A3880">
            <w:pPr>
              <w:pStyle w:val="POTB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844B6" w:rsidRPr="007E190E" w14:paraId="20B66F08" w14:textId="77777777" w:rsidTr="00C16CDC">
        <w:trPr>
          <w:trHeight w:hRule="exact" w:val="348"/>
        </w:trPr>
        <w:tc>
          <w:tcPr>
            <w:tcW w:w="2083" w:type="dxa"/>
            <w:tcBorders>
              <w:top w:val="single" w:sz="12" w:space="0" w:color="auto"/>
              <w:bottom w:val="single" w:sz="12" w:space="0" w:color="auto"/>
              <w:right w:val="single" w:sz="12" w:space="0" w:color="auto"/>
            </w:tcBorders>
            <w:shd w:val="clear" w:color="auto" w:fill="FFFFFF"/>
            <w:vAlign w:val="center"/>
          </w:tcPr>
          <w:p w14:paraId="122CE01D" w14:textId="77777777" w:rsidR="001844B6" w:rsidRPr="00826F71" w:rsidRDefault="001844B6" w:rsidP="005A3880">
            <w:pPr>
              <w:pStyle w:val="IATableLabel"/>
            </w:pPr>
            <w:r w:rsidRPr="00826F71">
              <w:t xml:space="preserve">Best </w:t>
            </w:r>
            <w:r>
              <w:t>E</w:t>
            </w:r>
            <w:r w:rsidRPr="00826F71">
              <w:t>stimate</w:t>
            </w:r>
          </w:p>
          <w:p w14:paraId="5E9E6484" w14:textId="77777777" w:rsidR="001844B6" w:rsidRPr="007E190E" w:rsidRDefault="001844B6" w:rsidP="007E190E">
            <w:pPr>
              <w:pStyle w:val="IATableNotes"/>
              <w:spacing w:beforeLines="40" w:before="96"/>
              <w:ind w:left="0" w:right="-22"/>
              <w:jc w:val="center"/>
              <w:rPr>
                <w:b/>
                <w:sz w:val="20"/>
              </w:rPr>
            </w:pPr>
          </w:p>
        </w:tc>
        <w:tc>
          <w:tcPr>
            <w:tcW w:w="1914" w:type="dxa"/>
            <w:tcBorders>
              <w:top w:val="single" w:sz="12" w:space="0" w:color="auto"/>
              <w:left w:val="single" w:sz="12" w:space="0" w:color="auto"/>
              <w:bottom w:val="single" w:sz="12" w:space="0" w:color="auto"/>
              <w:right w:val="single" w:sz="12" w:space="0" w:color="auto"/>
            </w:tcBorders>
            <w:shd w:val="clear" w:color="auto" w:fill="FFFFFF"/>
            <w:vAlign w:val="center"/>
          </w:tcPr>
          <w:p w14:paraId="7D830DB1" w14:textId="2A0BCE92" w:rsidR="001844B6" w:rsidRPr="007E190E" w:rsidRDefault="00363AF4" w:rsidP="005A3880">
            <w:pPr>
              <w:pStyle w:val="POTTBenBest"/>
              <w:rPr>
                <w:sz w:val="20"/>
              </w:rPr>
            </w:pPr>
            <w:r>
              <w:rPr>
                <w:sz w:val="20"/>
              </w:rPr>
              <w:t>£0</w:t>
            </w:r>
          </w:p>
        </w:tc>
        <w:tc>
          <w:tcPr>
            <w:tcW w:w="776" w:type="dxa"/>
            <w:vMerge/>
            <w:tcBorders>
              <w:left w:val="single" w:sz="12" w:space="0" w:color="auto"/>
              <w:right w:val="single" w:sz="12" w:space="0" w:color="auto"/>
            </w:tcBorders>
            <w:shd w:val="clear" w:color="auto" w:fill="FFFFFF"/>
            <w:vAlign w:val="center"/>
          </w:tcPr>
          <w:p w14:paraId="27B1352A" w14:textId="77777777" w:rsidR="001844B6" w:rsidRPr="007E190E" w:rsidRDefault="001844B6" w:rsidP="007E190E">
            <w:pPr>
              <w:pStyle w:val="IATableText"/>
              <w:jc w:val="right"/>
              <w:rPr>
                <w:sz w:val="20"/>
              </w:rPr>
            </w:pPr>
          </w:p>
        </w:tc>
        <w:tc>
          <w:tcPr>
            <w:tcW w:w="2813"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15B75" w14:textId="09D16447" w:rsidR="001844B6" w:rsidRPr="007E190E" w:rsidRDefault="00363AF4" w:rsidP="005A3880">
            <w:pPr>
              <w:pStyle w:val="POAABenBest"/>
              <w:rPr>
                <w:sz w:val="20"/>
              </w:rPr>
            </w:pPr>
            <w:r>
              <w:rPr>
                <w:sz w:val="20"/>
              </w:rPr>
              <w:t>£0</w:t>
            </w:r>
          </w:p>
        </w:tc>
        <w:tc>
          <w:tcPr>
            <w:tcW w:w="2732" w:type="dxa"/>
            <w:gridSpan w:val="3"/>
            <w:tcBorders>
              <w:top w:val="single" w:sz="12" w:space="0" w:color="auto"/>
              <w:left w:val="single" w:sz="12" w:space="0" w:color="auto"/>
              <w:bottom w:val="single" w:sz="12" w:space="0" w:color="auto"/>
            </w:tcBorders>
            <w:shd w:val="clear" w:color="auto" w:fill="FFFFFF"/>
            <w:vAlign w:val="center"/>
          </w:tcPr>
          <w:p w14:paraId="502E711E" w14:textId="22008A96" w:rsidR="001844B6" w:rsidRPr="007E190E" w:rsidRDefault="00363AF4" w:rsidP="004B310D">
            <w:pPr>
              <w:pStyle w:val="POTBBenBest"/>
              <w:ind w:left="720"/>
              <w:rPr>
                <w:sz w:val="20"/>
              </w:rPr>
            </w:pPr>
            <w:r>
              <w:rPr>
                <w:sz w:val="20"/>
              </w:rPr>
              <w:t>£0</w:t>
            </w:r>
          </w:p>
        </w:tc>
      </w:tr>
      <w:tr w:rsidR="001844B6" w:rsidRPr="00826F71" w14:paraId="48F6B96F" w14:textId="77777777" w:rsidTr="00C16CDC">
        <w:trPr>
          <w:gridAfter w:val="1"/>
          <w:wAfter w:w="18" w:type="dxa"/>
          <w:trHeight w:hRule="exact" w:val="1226"/>
        </w:trPr>
        <w:tc>
          <w:tcPr>
            <w:tcW w:w="10300" w:type="dxa"/>
            <w:gridSpan w:val="6"/>
          </w:tcPr>
          <w:p w14:paraId="11CE454C" w14:textId="77777777" w:rsidR="001844B6" w:rsidRPr="007E190E" w:rsidRDefault="001844B6" w:rsidP="005A3880">
            <w:pPr>
              <w:pStyle w:val="IPPOQ3"/>
              <w:rPr>
                <w:szCs w:val="22"/>
              </w:rPr>
            </w:pPr>
            <w:r w:rsidRPr="00544292">
              <w:t xml:space="preserve">Description and scale of </w:t>
            </w:r>
            <w:r w:rsidRPr="00826F71">
              <w:t xml:space="preserve">key monetised </w:t>
            </w:r>
            <w:r>
              <w:t>benefits</w:t>
            </w:r>
            <w:r w:rsidRPr="00544292">
              <w:t xml:space="preserve"> by ‘main affected groups’ </w:t>
            </w:r>
          </w:p>
          <w:p w14:paraId="36F712C8" w14:textId="77777777" w:rsidR="00095F6D" w:rsidRPr="00095F6D" w:rsidRDefault="00095F6D" w:rsidP="00095F6D">
            <w:pPr>
              <w:pStyle w:val="IPPOQ3"/>
              <w:rPr>
                <w:b w:val="0"/>
                <w:color w:val="auto"/>
                <w:sz w:val="22"/>
              </w:rPr>
            </w:pPr>
            <w:r w:rsidRPr="00095F6D">
              <w:rPr>
                <w:b w:val="0"/>
                <w:color w:val="auto"/>
                <w:sz w:val="22"/>
              </w:rPr>
              <w:t>There are no benefits associated with this option as it is estimated under most reasonable emissions</w:t>
            </w:r>
          </w:p>
          <w:p w14:paraId="314541B6" w14:textId="5BEF3A86" w:rsidR="001844B6" w:rsidRPr="00826F71" w:rsidRDefault="00B37CC6" w:rsidP="005A3880">
            <w:pPr>
              <w:pStyle w:val="IAPOA3"/>
            </w:pPr>
            <w:r>
              <w:t>s</w:t>
            </w:r>
            <w:r w:rsidR="00095F6D" w:rsidRPr="00095F6D">
              <w:t>cenarios</w:t>
            </w:r>
            <w:r w:rsidR="008C3664">
              <w:t xml:space="preserve"> that</w:t>
            </w:r>
            <w:r w:rsidR="00095F6D" w:rsidRPr="00095F6D">
              <w:t xml:space="preserve"> the UK net carbon account will remain within this budget level.</w:t>
            </w:r>
          </w:p>
        </w:tc>
      </w:tr>
      <w:tr w:rsidR="001844B6" w:rsidRPr="00826F71" w14:paraId="258A9ADB" w14:textId="77777777" w:rsidTr="00C16CDC">
        <w:trPr>
          <w:trHeight w:hRule="exact" w:val="1701"/>
        </w:trPr>
        <w:tc>
          <w:tcPr>
            <w:tcW w:w="10318" w:type="dxa"/>
            <w:gridSpan w:val="7"/>
          </w:tcPr>
          <w:p w14:paraId="3C34BAC1" w14:textId="77777777" w:rsidR="001844B6" w:rsidRPr="007E190E" w:rsidRDefault="001844B6" w:rsidP="005A3880">
            <w:pPr>
              <w:pStyle w:val="IAPOQ4"/>
              <w:rPr>
                <w:szCs w:val="22"/>
              </w:rPr>
            </w:pPr>
            <w:r w:rsidRPr="00544292">
              <w:t>Other</w:t>
            </w:r>
            <w:r w:rsidRPr="00826F71">
              <w:t xml:space="preserve"> key non-monetised </w:t>
            </w:r>
            <w:r>
              <w:t>benefits</w:t>
            </w:r>
            <w:r w:rsidRPr="00544292">
              <w:t xml:space="preserve"> by ‘main affected groups’ </w:t>
            </w:r>
          </w:p>
          <w:p w14:paraId="4DED5960" w14:textId="51F1D269" w:rsidR="001844B6" w:rsidRPr="00826F71" w:rsidRDefault="00095F6D" w:rsidP="005A3880">
            <w:pPr>
              <w:pStyle w:val="IAPOA4"/>
            </w:pPr>
            <w:r>
              <w:t>N/A</w:t>
            </w:r>
            <w:r w:rsidR="004856E9">
              <w:t xml:space="preserve"> </w:t>
            </w:r>
          </w:p>
        </w:tc>
      </w:tr>
      <w:tr w:rsidR="001844B6" w:rsidRPr="00826F71" w14:paraId="6A1C8944" w14:textId="77777777" w:rsidTr="00C16CDC">
        <w:trPr>
          <w:trHeight w:hRule="exact" w:val="346"/>
        </w:trPr>
        <w:tc>
          <w:tcPr>
            <w:tcW w:w="9330" w:type="dxa"/>
            <w:gridSpan w:val="5"/>
            <w:tcBorders>
              <w:bottom w:val="nil"/>
            </w:tcBorders>
          </w:tcPr>
          <w:p w14:paraId="51639B60" w14:textId="77777777" w:rsidR="001844B6" w:rsidRDefault="001844B6" w:rsidP="007E190E">
            <w:pPr>
              <w:pStyle w:val="IATableLabel"/>
              <w:tabs>
                <w:tab w:val="left" w:pos="7655"/>
              </w:tabs>
            </w:pPr>
            <w:r w:rsidRPr="00F1653E">
              <w:rPr>
                <w:rStyle w:val="IAPOQ5Char"/>
                <w:b/>
              </w:rPr>
              <w:t>Key assumptions/sensitivities/risks</w:t>
            </w:r>
            <w:r>
              <w:tab/>
              <w:t>Discount rate (%)</w:t>
            </w:r>
          </w:p>
          <w:p w14:paraId="754C8737" w14:textId="77777777" w:rsidR="001844B6" w:rsidRPr="00455895" w:rsidRDefault="001844B6" w:rsidP="005A3880">
            <w:pPr>
              <w:pStyle w:val="IATableLabel"/>
            </w:pPr>
          </w:p>
        </w:tc>
        <w:tc>
          <w:tcPr>
            <w:tcW w:w="988" w:type="dxa"/>
            <w:gridSpan w:val="2"/>
            <w:tcBorders>
              <w:bottom w:val="single" w:sz="4" w:space="0" w:color="auto"/>
            </w:tcBorders>
          </w:tcPr>
          <w:p w14:paraId="13EC44EA" w14:textId="4521E54E" w:rsidR="001844B6" w:rsidRPr="007E6CF8" w:rsidRDefault="009735F9" w:rsidP="005A3880">
            <w:pPr>
              <w:pStyle w:val="IAPODisRate"/>
            </w:pPr>
            <w:r>
              <w:t>3.5</w:t>
            </w:r>
          </w:p>
        </w:tc>
      </w:tr>
      <w:tr w:rsidR="001844B6" w:rsidRPr="007E190E" w14:paraId="794359BD" w14:textId="77777777" w:rsidTr="00C16CDC">
        <w:trPr>
          <w:trHeight w:hRule="exact" w:val="1375"/>
        </w:trPr>
        <w:tc>
          <w:tcPr>
            <w:tcW w:w="10318" w:type="dxa"/>
            <w:gridSpan w:val="7"/>
            <w:tcBorders>
              <w:top w:val="nil"/>
              <w:bottom w:val="single" w:sz="12" w:space="0" w:color="auto"/>
            </w:tcBorders>
          </w:tcPr>
          <w:p w14:paraId="63CAE1BF" w14:textId="5BDD325E" w:rsidR="001844B6" w:rsidRPr="00544292" w:rsidRDefault="008C3664" w:rsidP="000A2DDF">
            <w:pPr>
              <w:pStyle w:val="IPPOQ3"/>
            </w:pPr>
            <w:r w:rsidRPr="008C3664">
              <w:rPr>
                <w:b w:val="0"/>
                <w:color w:val="auto"/>
                <w:sz w:val="22"/>
              </w:rPr>
              <w:t xml:space="preserve">This would </w:t>
            </w:r>
            <w:r w:rsidR="00095F6D" w:rsidRPr="008C3664">
              <w:rPr>
                <w:b w:val="0"/>
                <w:color w:val="auto"/>
                <w:sz w:val="22"/>
              </w:rPr>
              <w:t>undermin</w:t>
            </w:r>
            <w:r w:rsidRPr="008C3664">
              <w:rPr>
                <w:b w:val="0"/>
                <w:color w:val="auto"/>
                <w:sz w:val="22"/>
              </w:rPr>
              <w:t>e</w:t>
            </w:r>
            <w:r w:rsidR="00095F6D" w:rsidRPr="008C3664">
              <w:rPr>
                <w:b w:val="0"/>
                <w:color w:val="auto"/>
                <w:sz w:val="22"/>
              </w:rPr>
              <w:t xml:space="preserve"> the credibility of UK action on climate change and sen</w:t>
            </w:r>
            <w:r w:rsidR="00B37CC6">
              <w:rPr>
                <w:b w:val="0"/>
                <w:color w:val="auto"/>
                <w:sz w:val="22"/>
              </w:rPr>
              <w:t>d</w:t>
            </w:r>
            <w:r w:rsidR="00095F6D" w:rsidRPr="008C3664">
              <w:rPr>
                <w:b w:val="0"/>
                <w:color w:val="auto"/>
                <w:sz w:val="22"/>
              </w:rPr>
              <w:t xml:space="preserve"> negative signals to investors</w:t>
            </w:r>
            <w:r>
              <w:rPr>
                <w:b w:val="0"/>
                <w:color w:val="auto"/>
                <w:sz w:val="22"/>
              </w:rPr>
              <w:t xml:space="preserve"> </w:t>
            </w:r>
            <w:r w:rsidR="00095F6D" w:rsidRPr="008C3664">
              <w:rPr>
                <w:b w:val="0"/>
                <w:color w:val="auto"/>
                <w:sz w:val="22"/>
              </w:rPr>
              <w:t>in low carbon technologies.</w:t>
            </w:r>
          </w:p>
        </w:tc>
      </w:tr>
    </w:tbl>
    <w:p w14:paraId="27D6A372" w14:textId="77777777" w:rsidR="001844B6" w:rsidRDefault="001844B6" w:rsidP="005A3880">
      <w:pPr>
        <w:pStyle w:val="IASpacer"/>
      </w:pPr>
    </w:p>
    <w:p w14:paraId="2A963596" w14:textId="0C738676" w:rsidR="0005543F" w:rsidRDefault="0005543F" w:rsidP="005A3880">
      <w:pPr>
        <w:pStyle w:val="IAHeadLabel"/>
        <w:spacing w:before="50"/>
      </w:pPr>
    </w:p>
    <w:p w14:paraId="70490296" w14:textId="136F2975" w:rsidR="001844B6" w:rsidRDefault="00F63895" w:rsidP="005A3880">
      <w:pPr>
        <w:pStyle w:val="IAHeadLabel"/>
        <w:spacing w:before="50"/>
      </w:pPr>
      <w:r>
        <w:t xml:space="preserve">BUSINESS </w:t>
      </w:r>
      <w:r w:rsidR="001844B6">
        <w:t xml:space="preserve">ASSESSMENT (Option </w:t>
      </w:r>
      <w:r w:rsidR="001E69A2">
        <w:rPr>
          <w:noProof/>
        </w:rPr>
        <w:fldChar w:fldCharType="begin"/>
      </w:r>
      <w:r w:rsidR="001E69A2">
        <w:rPr>
          <w:noProof/>
        </w:rPr>
        <w:instrText xml:space="preserve"> SEQ BA </w:instrText>
      </w:r>
      <w:r w:rsidR="001E69A2">
        <w:rPr>
          <w:noProof/>
        </w:rPr>
        <w:fldChar w:fldCharType="separate"/>
      </w:r>
      <w:r w:rsidR="00044FE7">
        <w:rPr>
          <w:noProof/>
        </w:rPr>
        <w:t>1</w:t>
      </w:r>
      <w:r w:rsidR="001E69A2">
        <w:rPr>
          <w:noProof/>
        </w:rPr>
        <w:fldChar w:fldCharType="end"/>
      </w:r>
      <w:r w:rsidR="001844B6">
        <w:t>)</w:t>
      </w: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81"/>
        <w:gridCol w:w="1839"/>
        <w:gridCol w:w="1698"/>
        <w:gridCol w:w="4814"/>
      </w:tblGrid>
      <w:tr w:rsidR="00FD4195" w:rsidRPr="000E02BE" w14:paraId="1F316219" w14:textId="77777777" w:rsidTr="00950571">
        <w:trPr>
          <w:trHeight w:hRule="exact" w:val="384"/>
        </w:trPr>
        <w:tc>
          <w:tcPr>
            <w:tcW w:w="5529" w:type="dxa"/>
            <w:gridSpan w:val="3"/>
            <w:tcBorders>
              <w:top w:val="single" w:sz="4" w:space="0" w:color="auto"/>
              <w:bottom w:val="nil"/>
              <w:right w:val="single" w:sz="4" w:space="0" w:color="auto"/>
            </w:tcBorders>
          </w:tcPr>
          <w:p w14:paraId="3BF51AD8" w14:textId="06D7E068" w:rsidR="00FD4195" w:rsidRPr="000E02BE" w:rsidRDefault="00FD4195" w:rsidP="005A3880">
            <w:pPr>
              <w:pStyle w:val="IATableLabel"/>
            </w:pPr>
            <w:r w:rsidRPr="000E02BE">
              <w:t xml:space="preserve">Direct impact on </w:t>
            </w:r>
            <w:r>
              <w:t>business (Equivalent Annual) £m</w:t>
            </w:r>
            <w:r w:rsidRPr="000E02BE">
              <w:t xml:space="preserve">: </w:t>
            </w:r>
          </w:p>
        </w:tc>
        <w:tc>
          <w:tcPr>
            <w:tcW w:w="4823" w:type="dxa"/>
            <w:vMerge w:val="restart"/>
            <w:tcBorders>
              <w:top w:val="single" w:sz="4" w:space="0" w:color="auto"/>
              <w:left w:val="single" w:sz="4" w:space="0" w:color="auto"/>
            </w:tcBorders>
          </w:tcPr>
          <w:p w14:paraId="4513AF1A" w14:textId="22C8B46C" w:rsidR="00FD4195" w:rsidRPr="000E02BE" w:rsidRDefault="00FD4195" w:rsidP="00C96388">
            <w:pPr>
              <w:pStyle w:val="IATableLabel"/>
            </w:pPr>
            <w:r>
              <w:t>Score for Business Impact Target (qualifying provisions only)</w:t>
            </w:r>
            <w:r w:rsidR="00C96388">
              <w:t xml:space="preserve"> £m:</w:t>
            </w:r>
          </w:p>
        </w:tc>
      </w:tr>
      <w:tr w:rsidR="00FD4195" w:rsidRPr="00E75380" w14:paraId="195CC3CB" w14:textId="77777777" w:rsidTr="00950571">
        <w:trPr>
          <w:trHeight w:hRule="exact" w:val="340"/>
        </w:trPr>
        <w:tc>
          <w:tcPr>
            <w:tcW w:w="1985" w:type="dxa"/>
            <w:vMerge w:val="restart"/>
            <w:tcBorders>
              <w:top w:val="nil"/>
              <w:right w:val="single" w:sz="4" w:space="0" w:color="auto"/>
            </w:tcBorders>
            <w:shd w:val="clear" w:color="auto" w:fill="FFFFFF"/>
          </w:tcPr>
          <w:p w14:paraId="448D10E7" w14:textId="568E9E42" w:rsidR="00FD4195" w:rsidRPr="00F63895" w:rsidRDefault="00FD4195" w:rsidP="005A3880">
            <w:pPr>
              <w:pStyle w:val="IATableLabel"/>
            </w:pPr>
            <w:r w:rsidRPr="00F63895">
              <w:t xml:space="preserve">Costs: </w:t>
            </w:r>
            <w:r w:rsidR="00B834CA">
              <w:rPr>
                <w:rStyle w:val="IAPODICostChar"/>
                <w:b/>
                <w:sz w:val="20"/>
              </w:rPr>
              <w:t>£0</w:t>
            </w:r>
          </w:p>
        </w:tc>
        <w:tc>
          <w:tcPr>
            <w:tcW w:w="1843" w:type="dxa"/>
            <w:vMerge w:val="restart"/>
            <w:tcBorders>
              <w:top w:val="nil"/>
              <w:right w:val="single" w:sz="4" w:space="0" w:color="auto"/>
            </w:tcBorders>
            <w:shd w:val="clear" w:color="auto" w:fill="FFFFFF"/>
          </w:tcPr>
          <w:p w14:paraId="72CE541E" w14:textId="2ACAF335" w:rsidR="00FD4195" w:rsidRPr="00F63895" w:rsidRDefault="00FD4195" w:rsidP="005A3880">
            <w:pPr>
              <w:pStyle w:val="IATableLabel"/>
            </w:pPr>
            <w:r w:rsidRPr="00F63895">
              <w:t xml:space="preserve">Benefits: </w:t>
            </w:r>
            <w:r w:rsidR="00B834CA">
              <w:rPr>
                <w:rStyle w:val="IAPODIBenChar"/>
                <w:sz w:val="20"/>
              </w:rPr>
              <w:t>£0</w:t>
            </w:r>
          </w:p>
        </w:tc>
        <w:tc>
          <w:tcPr>
            <w:tcW w:w="1701" w:type="dxa"/>
            <w:vMerge w:val="restart"/>
            <w:tcBorders>
              <w:top w:val="nil"/>
              <w:right w:val="single" w:sz="4" w:space="0" w:color="auto"/>
            </w:tcBorders>
            <w:shd w:val="clear" w:color="auto" w:fill="FFFFFF"/>
          </w:tcPr>
          <w:p w14:paraId="707DF9CF" w14:textId="36914BD9" w:rsidR="00FD4195" w:rsidRPr="00F63895" w:rsidRDefault="00FD4195" w:rsidP="005A3880">
            <w:pPr>
              <w:pStyle w:val="IATableLabel"/>
            </w:pPr>
            <w:r w:rsidRPr="00F63895">
              <w:t xml:space="preserve">Net: </w:t>
            </w:r>
            <w:r w:rsidR="00B834CA">
              <w:rPr>
                <w:rStyle w:val="IAPODINetChar"/>
                <w:sz w:val="20"/>
              </w:rPr>
              <w:t>£0</w:t>
            </w:r>
          </w:p>
        </w:tc>
        <w:tc>
          <w:tcPr>
            <w:tcW w:w="4823" w:type="dxa"/>
            <w:vMerge/>
            <w:tcBorders>
              <w:left w:val="single" w:sz="4" w:space="0" w:color="auto"/>
              <w:bottom w:val="single" w:sz="4" w:space="0" w:color="auto"/>
            </w:tcBorders>
            <w:shd w:val="clear" w:color="auto" w:fill="FFFFFF"/>
          </w:tcPr>
          <w:p w14:paraId="2BE55E3B" w14:textId="77777777" w:rsidR="00FD4195" w:rsidRPr="00F63895" w:rsidRDefault="00FD4195" w:rsidP="005A3880">
            <w:pPr>
              <w:pStyle w:val="IAPODIMQ"/>
            </w:pPr>
          </w:p>
        </w:tc>
      </w:tr>
      <w:tr w:rsidR="00FD4195" w:rsidRPr="00E75380" w14:paraId="161EB523" w14:textId="77777777" w:rsidTr="00950571">
        <w:trPr>
          <w:trHeight w:hRule="exact" w:val="340"/>
        </w:trPr>
        <w:tc>
          <w:tcPr>
            <w:tcW w:w="1985" w:type="dxa"/>
            <w:vMerge/>
            <w:tcBorders>
              <w:bottom w:val="single" w:sz="4" w:space="0" w:color="auto"/>
              <w:right w:val="single" w:sz="4" w:space="0" w:color="auto"/>
            </w:tcBorders>
            <w:shd w:val="clear" w:color="auto" w:fill="FFFFFF"/>
          </w:tcPr>
          <w:p w14:paraId="16D00BBB" w14:textId="77777777" w:rsidR="00FD4195" w:rsidRPr="00F63895" w:rsidRDefault="00FD4195" w:rsidP="005A3880">
            <w:pPr>
              <w:pStyle w:val="IATableLabel"/>
            </w:pPr>
          </w:p>
        </w:tc>
        <w:tc>
          <w:tcPr>
            <w:tcW w:w="1843" w:type="dxa"/>
            <w:vMerge/>
            <w:tcBorders>
              <w:bottom w:val="single" w:sz="4" w:space="0" w:color="auto"/>
              <w:right w:val="single" w:sz="4" w:space="0" w:color="auto"/>
            </w:tcBorders>
            <w:shd w:val="clear" w:color="auto" w:fill="FFFFFF"/>
          </w:tcPr>
          <w:p w14:paraId="465EB543" w14:textId="77777777" w:rsidR="00FD4195" w:rsidRPr="00F63895" w:rsidRDefault="00FD4195" w:rsidP="005A3880">
            <w:pPr>
              <w:pStyle w:val="IATableLabel"/>
            </w:pPr>
          </w:p>
        </w:tc>
        <w:tc>
          <w:tcPr>
            <w:tcW w:w="1701" w:type="dxa"/>
            <w:vMerge/>
            <w:tcBorders>
              <w:bottom w:val="single" w:sz="4" w:space="0" w:color="auto"/>
              <w:right w:val="single" w:sz="4" w:space="0" w:color="auto"/>
            </w:tcBorders>
            <w:shd w:val="clear" w:color="auto" w:fill="FFFFFF"/>
          </w:tcPr>
          <w:p w14:paraId="3A5CAB40" w14:textId="77777777" w:rsidR="00FD4195" w:rsidRPr="00F63895" w:rsidRDefault="00FD4195" w:rsidP="005A3880">
            <w:pPr>
              <w:pStyle w:val="IATableLabel"/>
            </w:pPr>
          </w:p>
        </w:tc>
        <w:bookmarkStart w:id="28" w:name="Text71"/>
        <w:tc>
          <w:tcPr>
            <w:tcW w:w="4823" w:type="dxa"/>
            <w:tcBorders>
              <w:top w:val="nil"/>
              <w:left w:val="single" w:sz="4" w:space="0" w:color="auto"/>
              <w:bottom w:val="single" w:sz="4" w:space="0" w:color="auto"/>
            </w:tcBorders>
            <w:shd w:val="clear" w:color="auto" w:fill="FFFFFF"/>
          </w:tcPr>
          <w:p w14:paraId="10227CE9" w14:textId="37A05D26" w:rsidR="00FD4195" w:rsidRPr="00F63895" w:rsidRDefault="00D41FA2" w:rsidP="005A3880">
            <w:pPr>
              <w:pStyle w:val="IAPODIMQ"/>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r w:rsidR="00B834CA">
              <w:t>£0</w:t>
            </w:r>
          </w:p>
        </w:tc>
      </w:tr>
    </w:tbl>
    <w:p w14:paraId="3317C5EC" w14:textId="77777777" w:rsidR="00854B58" w:rsidRDefault="00854B58" w:rsidP="005A3880">
      <w:pPr>
        <w:sectPr w:rsidR="00854B58" w:rsidSect="00F1328C">
          <w:footnotePr>
            <w:numRestart w:val="eachSect"/>
          </w:footnotePr>
          <w:pgSz w:w="11907" w:h="16840" w:code="9"/>
          <w:pgMar w:top="680" w:right="851" w:bottom="680" w:left="851" w:header="284" w:footer="284" w:gutter="0"/>
          <w:cols w:space="708"/>
          <w:docGrid w:linePitch="360"/>
        </w:sectPr>
      </w:pPr>
    </w:p>
    <w:p w14:paraId="32DAC796" w14:textId="6F852345" w:rsidR="001D42BB" w:rsidRDefault="001D42BB" w:rsidP="001D42BB">
      <w:pPr>
        <w:pStyle w:val="Heading1"/>
        <w:spacing w:before="0"/>
      </w:pPr>
      <w:bookmarkStart w:id="29" w:name="_Toc67051830"/>
      <w:r>
        <w:lastRenderedPageBreak/>
        <w:t>Summary: Analysis &amp; Evidence</w:t>
      </w:r>
      <w:r>
        <w:tab/>
      </w:r>
      <w:r w:rsidRPr="00E3545D">
        <w:rPr>
          <w:rFonts w:ascii="Arial Bold" w:hAnsi="Arial Bold"/>
          <w:b w:val="0"/>
        </w:rPr>
        <w:t xml:space="preserve">Policy Option </w:t>
      </w:r>
      <w:r w:rsidR="00271FAD">
        <w:rPr>
          <w:rFonts w:ascii="Arial Bold" w:hAnsi="Arial Bold"/>
          <w:b w:val="0"/>
        </w:rPr>
        <w:t>2</w:t>
      </w:r>
      <w:bookmarkEnd w:id="29"/>
    </w:p>
    <w:p w14:paraId="0E2799A4" w14:textId="68DED066" w:rsidR="001D42BB" w:rsidRPr="00BA0995" w:rsidRDefault="001D42BB" w:rsidP="001D42BB">
      <w:pPr>
        <w:pStyle w:val="IAHeadLabel"/>
        <w:spacing w:before="50"/>
        <w:rPr>
          <w:b w:val="0"/>
        </w:rPr>
      </w:pPr>
      <w:r w:rsidRPr="00892576">
        <w:t xml:space="preserve">Description: </w:t>
      </w:r>
      <w:r w:rsidRPr="006B70AF">
        <w:t xml:space="preserve"> </w:t>
      </w:r>
      <w:r w:rsidR="00271FAD">
        <w:rPr>
          <w:rStyle w:val="IAPODescriptionCharChar"/>
          <w:i/>
          <w:iCs/>
        </w:rPr>
        <w:t xml:space="preserve"> </w:t>
      </w:r>
      <w:r w:rsidR="00BA0995" w:rsidRPr="00BA0995">
        <w:rPr>
          <w:rStyle w:val="IAPODescriptionCharChar"/>
          <w:b/>
          <w:bCs/>
        </w:rPr>
        <w:t>Looser budget option</w:t>
      </w:r>
      <w:r w:rsidR="00BA0995">
        <w:rPr>
          <w:rStyle w:val="IAPODescriptionCharChar"/>
          <w:b/>
          <w:bCs/>
        </w:rPr>
        <w:t xml:space="preserve"> of 1105MtCO</w:t>
      </w:r>
      <w:r w:rsidR="00BA0995" w:rsidRPr="006A0C4B">
        <w:rPr>
          <w:rStyle w:val="IAPODescriptionCharChar"/>
          <w:b/>
          <w:vertAlign w:val="subscript"/>
        </w:rPr>
        <w:t>2</w:t>
      </w:r>
      <w:r w:rsidR="00BA0995">
        <w:rPr>
          <w:rStyle w:val="IAPODescriptionCharChar"/>
          <w:b/>
          <w:bCs/>
        </w:rPr>
        <w:t>e</w:t>
      </w:r>
      <w:r w:rsidR="00BA0995" w:rsidRPr="00BA0995">
        <w:rPr>
          <w:rStyle w:val="IAPODescriptionCharChar"/>
          <w:b/>
          <w:bCs/>
        </w:rPr>
        <w:t>, in line with CCC’s Headwinds scenario</w:t>
      </w:r>
    </w:p>
    <w:p w14:paraId="203DDB62" w14:textId="77777777" w:rsidR="001D42BB" w:rsidRDefault="001D42BB" w:rsidP="001D42BB">
      <w:pPr>
        <w:pStyle w:val="IAHeadLabel"/>
        <w:spacing w:before="50"/>
      </w:pPr>
      <w:r>
        <w:t>FULL ECONOMIC ASSESSMENT</w:t>
      </w:r>
    </w:p>
    <w:tbl>
      <w:tblPr>
        <w:tblW w:w="5011"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81"/>
        <w:gridCol w:w="1417"/>
        <w:gridCol w:w="1400"/>
        <w:gridCol w:w="1792"/>
        <w:gridCol w:w="1819"/>
        <w:gridCol w:w="2498"/>
      </w:tblGrid>
      <w:tr w:rsidR="00AC700B" w:rsidRPr="007E190E" w14:paraId="3A31C445" w14:textId="77777777" w:rsidTr="00017AEB">
        <w:trPr>
          <w:trHeight w:hRule="exact" w:val="318"/>
        </w:trPr>
        <w:tc>
          <w:tcPr>
            <w:tcW w:w="1281" w:type="dxa"/>
            <w:vMerge w:val="restart"/>
          </w:tcPr>
          <w:p w14:paraId="0015F7ED" w14:textId="1CD783C3" w:rsidR="001D42BB" w:rsidRPr="00826F71" w:rsidRDefault="001D42BB" w:rsidP="00E8485E">
            <w:pPr>
              <w:pStyle w:val="POPBY"/>
            </w:pPr>
            <w:r w:rsidRPr="00826F71">
              <w:t>Price Base Year</w:t>
            </w:r>
            <w:r>
              <w:t xml:space="preserve"> </w:t>
            </w:r>
            <w:r w:rsidR="00A45810">
              <w:rPr>
                <w:b w:val="0"/>
              </w:rPr>
              <w:t>2019</w:t>
            </w:r>
          </w:p>
        </w:tc>
        <w:tc>
          <w:tcPr>
            <w:tcW w:w="1417" w:type="dxa"/>
            <w:vMerge w:val="restart"/>
          </w:tcPr>
          <w:p w14:paraId="65D4F0D9" w14:textId="00E45894" w:rsidR="001D42BB" w:rsidRPr="00826F71" w:rsidRDefault="001D42BB" w:rsidP="00212660">
            <w:pPr>
              <w:pStyle w:val="POPVBY"/>
            </w:pPr>
            <w:r w:rsidRPr="00826F71">
              <w:t>PV Base Year</w:t>
            </w:r>
            <w:r w:rsidR="00A45810">
              <w:rPr>
                <w:b w:val="0"/>
                <w:bCs/>
              </w:rPr>
              <w:t>2020</w:t>
            </w:r>
            <w:r w:rsidRPr="007E190E">
              <w:rPr>
                <w:b w:val="0"/>
              </w:rPr>
              <w:fldChar w:fldCharType="begin">
                <w:ffData>
                  <w:name w:val="Text56"/>
                  <w:enabled/>
                  <w:calcOnExit w:val="0"/>
                  <w:textInput>
                    <w:maxLength w:val="4"/>
                  </w:textInput>
                </w:ffData>
              </w:fldChar>
            </w:r>
            <w:r w:rsidRPr="007E190E">
              <w:rPr>
                <w:b w:val="0"/>
              </w:rPr>
              <w:instrText xml:space="preserve"> FORMTEXT </w:instrText>
            </w:r>
            <w:r w:rsidRPr="007E190E">
              <w:rPr>
                <w:b w:val="0"/>
              </w:rPr>
            </w:r>
            <w:r w:rsidRPr="007E190E">
              <w:rPr>
                <w:b w:val="0"/>
              </w:rPr>
              <w:fldChar w:fldCharType="separate"/>
            </w:r>
            <w:r w:rsidRPr="007E190E">
              <w:rPr>
                <w:b w:val="0"/>
                <w:noProof/>
              </w:rPr>
              <w:t> </w:t>
            </w:r>
            <w:r w:rsidRPr="007E190E">
              <w:rPr>
                <w:b w:val="0"/>
                <w:noProof/>
              </w:rPr>
              <w:t> </w:t>
            </w:r>
            <w:r w:rsidRPr="007E190E">
              <w:rPr>
                <w:b w:val="0"/>
                <w:noProof/>
              </w:rPr>
              <w:t> </w:t>
            </w:r>
            <w:r w:rsidRPr="007E190E">
              <w:rPr>
                <w:b w:val="0"/>
                <w:noProof/>
              </w:rPr>
              <w:t> </w:t>
            </w:r>
            <w:r w:rsidRPr="007E190E">
              <w:rPr>
                <w:b w:val="0"/>
              </w:rPr>
              <w:fldChar w:fldCharType="end"/>
            </w:r>
          </w:p>
        </w:tc>
        <w:tc>
          <w:tcPr>
            <w:tcW w:w="1400" w:type="dxa"/>
            <w:vMerge w:val="restart"/>
            <w:tcBorders>
              <w:right w:val="single" w:sz="12" w:space="0" w:color="auto"/>
            </w:tcBorders>
          </w:tcPr>
          <w:p w14:paraId="3528A60D" w14:textId="753AA54C" w:rsidR="001D42BB" w:rsidRPr="00826F71" w:rsidRDefault="001D42BB" w:rsidP="00E8485E">
            <w:pPr>
              <w:pStyle w:val="POTPY"/>
            </w:pPr>
            <w:r w:rsidRPr="00826F71">
              <w:t>Time Period Years</w:t>
            </w:r>
            <w:r>
              <w:t xml:space="preserve"> </w:t>
            </w:r>
            <w:r w:rsidR="00017AEB">
              <w:rPr>
                <w:b w:val="0"/>
                <w:bCs/>
              </w:rPr>
              <w:t>30</w:t>
            </w:r>
            <w:r w:rsidR="00017AEB">
              <w:t xml:space="preserve">  </w:t>
            </w:r>
            <w:r w:rsidRPr="007E190E">
              <w:rPr>
                <w:b w:val="0"/>
              </w:rPr>
              <w:fldChar w:fldCharType="begin">
                <w:ffData>
                  <w:name w:val="Text57"/>
                  <w:enabled/>
                  <w:calcOnExit w:val="0"/>
                  <w:textInput>
                    <w:maxLength w:val="4"/>
                  </w:textInput>
                </w:ffData>
              </w:fldChar>
            </w:r>
            <w:r w:rsidRPr="007E190E">
              <w:rPr>
                <w:b w:val="0"/>
              </w:rPr>
              <w:instrText xml:space="preserve"> FORMTEXT </w:instrText>
            </w:r>
            <w:r w:rsidRPr="007E190E">
              <w:rPr>
                <w:b w:val="0"/>
              </w:rPr>
            </w:r>
            <w:r w:rsidRPr="007E190E">
              <w:rPr>
                <w:b w:val="0"/>
              </w:rPr>
              <w:fldChar w:fldCharType="separate"/>
            </w:r>
            <w:r w:rsidRPr="007E190E">
              <w:rPr>
                <w:b w:val="0"/>
                <w:noProof/>
              </w:rPr>
              <w:t> </w:t>
            </w:r>
            <w:r w:rsidRPr="007E190E">
              <w:rPr>
                <w:b w:val="0"/>
                <w:noProof/>
              </w:rPr>
              <w:t> </w:t>
            </w:r>
            <w:r w:rsidRPr="007E190E">
              <w:rPr>
                <w:b w:val="0"/>
                <w:noProof/>
              </w:rPr>
              <w:t> </w:t>
            </w:r>
            <w:r w:rsidRPr="007E190E">
              <w:rPr>
                <w:b w:val="0"/>
                <w:noProof/>
              </w:rPr>
              <w:t> </w:t>
            </w:r>
            <w:r w:rsidRPr="007E190E">
              <w:rPr>
                <w:b w:val="0"/>
              </w:rPr>
              <w:fldChar w:fldCharType="end"/>
            </w:r>
          </w:p>
        </w:tc>
        <w:tc>
          <w:tcPr>
            <w:tcW w:w="6109" w:type="dxa"/>
            <w:gridSpan w:val="3"/>
            <w:tcBorders>
              <w:top w:val="single" w:sz="12" w:space="0" w:color="auto"/>
              <w:left w:val="single" w:sz="12" w:space="0" w:color="auto"/>
              <w:right w:val="single" w:sz="12" w:space="0" w:color="auto"/>
            </w:tcBorders>
            <w:shd w:val="clear" w:color="auto" w:fill="FFFFFF" w:themeFill="background1"/>
          </w:tcPr>
          <w:p w14:paraId="73771371" w14:textId="08BE6762" w:rsidR="001D42BB" w:rsidRPr="00826F71" w:rsidRDefault="001D42BB" w:rsidP="00E8485E">
            <w:pPr>
              <w:pStyle w:val="IATableLabel"/>
              <w:jc w:val="center"/>
            </w:pPr>
            <w:r w:rsidRPr="00826F71">
              <w:t xml:space="preserve">Net </w:t>
            </w:r>
            <w:r w:rsidRPr="0075393B">
              <w:t>B</w:t>
            </w:r>
            <w:r w:rsidRPr="00826F71">
              <w:t>enefit (</w:t>
            </w:r>
            <w:r>
              <w:t>Present Value (</w:t>
            </w:r>
            <w:r w:rsidRPr="00826F71">
              <w:t>PV</w:t>
            </w:r>
            <w:r>
              <w:t>)</w:t>
            </w:r>
            <w:r w:rsidRPr="00826F71">
              <w:t>)</w:t>
            </w:r>
            <w:r>
              <w:t xml:space="preserve"> (£m)</w:t>
            </w:r>
          </w:p>
        </w:tc>
      </w:tr>
      <w:tr w:rsidR="00BB0A17" w:rsidRPr="007E190E" w14:paraId="270A5238" w14:textId="77777777" w:rsidTr="009918F9">
        <w:trPr>
          <w:trHeight w:hRule="exact" w:val="437"/>
        </w:trPr>
        <w:tc>
          <w:tcPr>
            <w:tcW w:w="1281" w:type="dxa"/>
            <w:vMerge/>
          </w:tcPr>
          <w:p w14:paraId="22436C67" w14:textId="77777777" w:rsidR="001D42BB" w:rsidRPr="007E190E" w:rsidRDefault="001D42BB" w:rsidP="00E8485E">
            <w:pPr>
              <w:pStyle w:val="IATableNotes"/>
              <w:ind w:left="0"/>
              <w:rPr>
                <w:b/>
                <w:sz w:val="20"/>
              </w:rPr>
            </w:pPr>
          </w:p>
        </w:tc>
        <w:tc>
          <w:tcPr>
            <w:tcW w:w="1417" w:type="dxa"/>
            <w:vMerge/>
          </w:tcPr>
          <w:p w14:paraId="0FA25D06" w14:textId="77777777" w:rsidR="001D42BB" w:rsidRPr="007E190E" w:rsidRDefault="001D42BB" w:rsidP="00E8485E">
            <w:pPr>
              <w:pStyle w:val="IATableNotes"/>
              <w:ind w:left="0"/>
              <w:rPr>
                <w:b/>
                <w:sz w:val="20"/>
              </w:rPr>
            </w:pPr>
          </w:p>
        </w:tc>
        <w:tc>
          <w:tcPr>
            <w:tcW w:w="1400" w:type="dxa"/>
            <w:vMerge/>
            <w:tcBorders>
              <w:right w:val="single" w:sz="12" w:space="0" w:color="auto"/>
            </w:tcBorders>
          </w:tcPr>
          <w:p w14:paraId="62D76C18" w14:textId="77777777" w:rsidR="001D42BB" w:rsidRPr="007E190E" w:rsidRDefault="001D42BB" w:rsidP="00E8485E">
            <w:pPr>
              <w:pStyle w:val="IATableNotes"/>
              <w:ind w:left="0"/>
              <w:rPr>
                <w:b/>
                <w:sz w:val="20"/>
              </w:rPr>
            </w:pPr>
          </w:p>
        </w:tc>
        <w:tc>
          <w:tcPr>
            <w:tcW w:w="1792" w:type="dxa"/>
            <w:tcBorders>
              <w:left w:val="single" w:sz="12" w:space="0" w:color="auto"/>
              <w:bottom w:val="single" w:sz="12" w:space="0" w:color="auto"/>
            </w:tcBorders>
          </w:tcPr>
          <w:p w14:paraId="7D5AC868" w14:textId="77777777" w:rsidR="001D42BB" w:rsidRPr="007E190E" w:rsidRDefault="001D42BB" w:rsidP="00E8485E">
            <w:pPr>
              <w:pStyle w:val="IATableLabel"/>
              <w:rPr>
                <w:bCs/>
              </w:rPr>
            </w:pPr>
            <w:r w:rsidRPr="00304C1D">
              <w:t>Low:</w:t>
            </w:r>
            <w:r w:rsidRPr="00826F71">
              <w:t xml:space="preserve"> </w:t>
            </w:r>
            <w:r w:rsidRPr="007E190E">
              <w:rPr>
                <w:rStyle w:val="PONBLowCharChar"/>
                <w:sz w:val="20"/>
                <w:szCs w:val="22"/>
              </w:rPr>
              <w:fldChar w:fldCharType="begin">
                <w:ffData>
                  <w:name w:val="Text58"/>
                  <w:enabled/>
                  <w:calcOnExit w:val="0"/>
                  <w:textInput>
                    <w:default w:val="Optional"/>
                    <w:maxLength w:val="8"/>
                  </w:textInput>
                </w:ffData>
              </w:fldChar>
            </w:r>
            <w:r w:rsidRPr="007E190E">
              <w:rPr>
                <w:rStyle w:val="PONBLowCharChar"/>
                <w:sz w:val="20"/>
                <w:szCs w:val="22"/>
              </w:rPr>
              <w:instrText xml:space="preserve"> FORMTEXT </w:instrText>
            </w:r>
            <w:r w:rsidRPr="007E190E">
              <w:rPr>
                <w:rStyle w:val="PONBLowCharChar"/>
                <w:sz w:val="20"/>
                <w:szCs w:val="22"/>
              </w:rPr>
            </w:r>
            <w:r w:rsidRPr="007E190E">
              <w:rPr>
                <w:rStyle w:val="PONBLowCharChar"/>
                <w:sz w:val="20"/>
                <w:szCs w:val="22"/>
              </w:rPr>
              <w:fldChar w:fldCharType="separate"/>
            </w:r>
            <w:r w:rsidRPr="007E190E">
              <w:rPr>
                <w:rStyle w:val="PONBLowCharChar"/>
                <w:noProof/>
                <w:sz w:val="20"/>
                <w:szCs w:val="22"/>
              </w:rPr>
              <w:t>Optional</w:t>
            </w:r>
            <w:r w:rsidRPr="007E190E">
              <w:rPr>
                <w:rStyle w:val="PONBLowCharChar"/>
                <w:sz w:val="20"/>
                <w:szCs w:val="22"/>
              </w:rPr>
              <w:fldChar w:fldCharType="end"/>
            </w:r>
          </w:p>
        </w:tc>
        <w:tc>
          <w:tcPr>
            <w:tcW w:w="1819" w:type="dxa"/>
            <w:tcBorders>
              <w:bottom w:val="single" w:sz="12" w:space="0" w:color="auto"/>
              <w:right w:val="single" w:sz="12" w:space="0" w:color="auto"/>
            </w:tcBorders>
          </w:tcPr>
          <w:p w14:paraId="1EC72902" w14:textId="77777777" w:rsidR="001D42BB" w:rsidRPr="007E190E" w:rsidRDefault="001D42BB" w:rsidP="00E8485E">
            <w:pPr>
              <w:pStyle w:val="IATableLabel"/>
              <w:rPr>
                <w:szCs w:val="18"/>
              </w:rPr>
            </w:pPr>
            <w:r w:rsidRPr="00304C1D">
              <w:t>High:</w:t>
            </w:r>
            <w:r w:rsidRPr="00826F71">
              <w:t xml:space="preserve"> </w:t>
            </w:r>
            <w:r w:rsidRPr="007E190E">
              <w:rPr>
                <w:rStyle w:val="PONBHighChar"/>
                <w:sz w:val="20"/>
                <w:szCs w:val="22"/>
              </w:rPr>
              <w:fldChar w:fldCharType="begin">
                <w:ffData>
                  <w:name w:val="Text59"/>
                  <w:enabled/>
                  <w:calcOnExit w:val="0"/>
                  <w:textInput>
                    <w:default w:val="Optional"/>
                    <w:maxLength w:val="8"/>
                  </w:textInput>
                </w:ffData>
              </w:fldChar>
            </w:r>
            <w:r w:rsidRPr="007E190E">
              <w:rPr>
                <w:rStyle w:val="PONBHighChar"/>
                <w:sz w:val="20"/>
                <w:szCs w:val="22"/>
              </w:rPr>
              <w:instrText xml:space="preserve"> FORMTEXT </w:instrText>
            </w:r>
            <w:r w:rsidRPr="007E190E">
              <w:rPr>
                <w:rStyle w:val="PONBHighChar"/>
                <w:sz w:val="20"/>
                <w:szCs w:val="22"/>
              </w:rPr>
            </w:r>
            <w:r w:rsidRPr="007E190E">
              <w:rPr>
                <w:rStyle w:val="PONBHighChar"/>
                <w:sz w:val="20"/>
                <w:szCs w:val="22"/>
              </w:rPr>
              <w:fldChar w:fldCharType="separate"/>
            </w:r>
            <w:r w:rsidRPr="007E190E">
              <w:rPr>
                <w:rStyle w:val="PONBHighChar"/>
                <w:noProof/>
                <w:sz w:val="20"/>
                <w:szCs w:val="22"/>
              </w:rPr>
              <w:t>Optional</w:t>
            </w:r>
            <w:r w:rsidRPr="007E190E">
              <w:rPr>
                <w:rStyle w:val="PONBHighChar"/>
                <w:sz w:val="20"/>
                <w:szCs w:val="22"/>
              </w:rPr>
              <w:fldChar w:fldCharType="end"/>
            </w:r>
          </w:p>
        </w:tc>
        <w:tc>
          <w:tcPr>
            <w:tcW w:w="2498"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97CE281" w14:textId="74BBA7E7" w:rsidR="001D42BB" w:rsidRPr="007E190E" w:rsidRDefault="00017AEB" w:rsidP="00E8485E">
            <w:pPr>
              <w:pStyle w:val="IATableLabel"/>
              <w:rPr>
                <w:szCs w:val="18"/>
              </w:rPr>
            </w:pPr>
            <w:r>
              <w:t xml:space="preserve">Best estimate: </w:t>
            </w:r>
            <w:r w:rsidRPr="00FE5222">
              <w:rPr>
                <w:rStyle w:val="PONBBestEstChar"/>
                <w:rFonts w:cs="Arial"/>
                <w:sz w:val="20"/>
                <w:szCs w:val="22"/>
              </w:rPr>
              <w:t>£2</w:t>
            </w:r>
            <w:r>
              <w:rPr>
                <w:rStyle w:val="PONBBestEstChar"/>
                <w:rFonts w:cs="Arial"/>
                <w:sz w:val="20"/>
                <w:szCs w:val="22"/>
              </w:rPr>
              <w:t>89,000</w:t>
            </w:r>
          </w:p>
        </w:tc>
      </w:tr>
    </w:tbl>
    <w:p w14:paraId="520102A3" w14:textId="77777777" w:rsidR="001D42BB" w:rsidRDefault="001D42BB" w:rsidP="001D42BB">
      <w:pPr>
        <w:pStyle w:val="IASpacer"/>
      </w:pPr>
    </w:p>
    <w:tbl>
      <w:tblPr>
        <w:tblW w:w="5001"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8"/>
        <w:gridCol w:w="1885"/>
        <w:gridCol w:w="6"/>
        <w:gridCol w:w="1727"/>
        <w:gridCol w:w="6"/>
        <w:gridCol w:w="699"/>
        <w:gridCol w:w="6"/>
        <w:gridCol w:w="2539"/>
        <w:gridCol w:w="6"/>
        <w:gridCol w:w="1569"/>
        <w:gridCol w:w="1726"/>
      </w:tblGrid>
      <w:tr w:rsidR="001D42BB" w:rsidRPr="007E190E" w14:paraId="24FE7968" w14:textId="77777777" w:rsidTr="00C16CDC">
        <w:trPr>
          <w:gridBefore w:val="1"/>
          <w:wBefore w:w="8" w:type="dxa"/>
          <w:trHeight w:hRule="exact" w:val="567"/>
        </w:trPr>
        <w:tc>
          <w:tcPr>
            <w:tcW w:w="1891" w:type="dxa"/>
            <w:gridSpan w:val="2"/>
            <w:tcBorders>
              <w:top w:val="single" w:sz="12" w:space="0" w:color="auto"/>
            </w:tcBorders>
            <w:shd w:val="clear" w:color="auto" w:fill="FFFFFF"/>
          </w:tcPr>
          <w:p w14:paraId="0BCF0E52" w14:textId="0B90CD68" w:rsidR="001D42BB" w:rsidRPr="007E190E" w:rsidRDefault="001D42BB" w:rsidP="00E8485E">
            <w:pPr>
              <w:pStyle w:val="IATableLabel"/>
              <w:rPr>
                <w:sz w:val="24"/>
                <w:szCs w:val="24"/>
              </w:rPr>
            </w:pPr>
            <w:r w:rsidRPr="007E190E">
              <w:rPr>
                <w:sz w:val="24"/>
                <w:szCs w:val="24"/>
              </w:rPr>
              <w:t>COSTS (£m)</w:t>
            </w:r>
          </w:p>
        </w:tc>
        <w:tc>
          <w:tcPr>
            <w:tcW w:w="2438" w:type="dxa"/>
            <w:gridSpan w:val="4"/>
            <w:tcBorders>
              <w:top w:val="single" w:sz="12" w:space="0" w:color="auto"/>
            </w:tcBorders>
          </w:tcPr>
          <w:p w14:paraId="216510DF" w14:textId="77777777" w:rsidR="001D42BB" w:rsidRPr="00826F71" w:rsidRDefault="001D42BB" w:rsidP="00E8485E">
            <w:pPr>
              <w:pStyle w:val="IATableLabel"/>
              <w:tabs>
                <w:tab w:val="right" w:pos="1800"/>
                <w:tab w:val="center" w:pos="2340"/>
              </w:tabs>
              <w:jc w:val="right"/>
            </w:pPr>
            <w:r w:rsidRPr="00826F71">
              <w:t xml:space="preserve">Total Transition </w:t>
            </w:r>
            <w:r>
              <w:br/>
            </w:r>
            <w:r>
              <w:tab/>
            </w:r>
            <w:r w:rsidRPr="00F248FC">
              <w:rPr>
                <w:b w:val="0"/>
              </w:rPr>
              <w:t>(Constant Price)</w:t>
            </w:r>
            <w:r>
              <w:tab/>
            </w:r>
            <w:r w:rsidRPr="00F248FC">
              <w:rPr>
                <w:b w:val="0"/>
              </w:rPr>
              <w:t>Years</w:t>
            </w:r>
          </w:p>
          <w:p w14:paraId="3D44ED84" w14:textId="77777777" w:rsidR="001D42BB" w:rsidRPr="00826F71" w:rsidRDefault="001D42BB" w:rsidP="00E8485E">
            <w:pPr>
              <w:pStyle w:val="IATableLabel"/>
              <w:jc w:val="right"/>
            </w:pPr>
            <w:r>
              <w:br/>
            </w:r>
          </w:p>
        </w:tc>
        <w:tc>
          <w:tcPr>
            <w:tcW w:w="2545" w:type="dxa"/>
            <w:gridSpan w:val="2"/>
            <w:tcBorders>
              <w:top w:val="single" w:sz="12" w:space="0" w:color="auto"/>
              <w:right w:val="single" w:sz="12" w:space="0" w:color="auto"/>
            </w:tcBorders>
          </w:tcPr>
          <w:p w14:paraId="1858A4C4" w14:textId="4D24C81A" w:rsidR="001D42BB" w:rsidRPr="007E190E" w:rsidRDefault="001D42BB" w:rsidP="00E8485E">
            <w:pPr>
              <w:pStyle w:val="IATableLabel"/>
              <w:jc w:val="right"/>
            </w:pPr>
            <w:r w:rsidRPr="00826F71">
              <w:t>Average Annual</w:t>
            </w:r>
            <w:r w:rsidRPr="000C031E">
              <w:t xml:space="preserve"> </w:t>
            </w:r>
            <w:r>
              <w:br/>
            </w:r>
            <w:r w:rsidRPr="00F248FC">
              <w:rPr>
                <w:b w:val="0"/>
              </w:rPr>
              <w:t>(excl. Transition) (Constant Price)</w:t>
            </w:r>
          </w:p>
        </w:tc>
        <w:tc>
          <w:tcPr>
            <w:tcW w:w="3295" w:type="dxa"/>
            <w:gridSpan w:val="2"/>
            <w:tcBorders>
              <w:top w:val="single" w:sz="12" w:space="0" w:color="auto"/>
              <w:left w:val="single" w:sz="12" w:space="0" w:color="auto"/>
            </w:tcBorders>
          </w:tcPr>
          <w:p w14:paraId="1BB5B571" w14:textId="171D6590" w:rsidR="001D42BB" w:rsidRPr="00826F71" w:rsidRDefault="001D42BB" w:rsidP="00E8485E">
            <w:pPr>
              <w:pStyle w:val="IATableLabel"/>
              <w:jc w:val="right"/>
            </w:pPr>
            <w:r w:rsidRPr="00826F71">
              <w:t>Total Cost</w:t>
            </w:r>
            <w:r w:rsidRPr="00F248FC">
              <w:rPr>
                <w:b w:val="0"/>
              </w:rPr>
              <w:t xml:space="preserve"> </w:t>
            </w:r>
            <w:r w:rsidRPr="00F248FC">
              <w:rPr>
                <w:b w:val="0"/>
              </w:rPr>
              <w:br/>
              <w:t>(Present Value)</w:t>
            </w:r>
          </w:p>
        </w:tc>
      </w:tr>
      <w:tr w:rsidR="001D42BB" w:rsidRPr="007E190E" w14:paraId="26597D67" w14:textId="77777777" w:rsidTr="00C16CDC">
        <w:trPr>
          <w:gridBefore w:val="1"/>
          <w:wBefore w:w="8" w:type="dxa"/>
          <w:trHeight w:hRule="exact" w:val="348"/>
        </w:trPr>
        <w:tc>
          <w:tcPr>
            <w:tcW w:w="1891" w:type="dxa"/>
            <w:gridSpan w:val="2"/>
            <w:vAlign w:val="center"/>
          </w:tcPr>
          <w:p w14:paraId="51845DF3" w14:textId="5DCE102A" w:rsidR="001D42BB" w:rsidRPr="00F248FC" w:rsidRDefault="001D42BB" w:rsidP="00E8485E">
            <w:pPr>
              <w:pStyle w:val="IATableLabel"/>
              <w:rPr>
                <w:sz w:val="22"/>
                <w:szCs w:val="22"/>
              </w:rPr>
            </w:pPr>
            <w:r w:rsidRPr="00F248FC">
              <w:rPr>
                <w:sz w:val="22"/>
                <w:szCs w:val="22"/>
              </w:rPr>
              <w:t xml:space="preserve">Low </w:t>
            </w:r>
          </w:p>
        </w:tc>
        <w:tc>
          <w:tcPr>
            <w:tcW w:w="1733" w:type="dxa"/>
            <w:gridSpan w:val="2"/>
            <w:vAlign w:val="center"/>
          </w:tcPr>
          <w:p w14:paraId="5E1524F1" w14:textId="77777777" w:rsidR="001D42BB" w:rsidRPr="003A2C6D" w:rsidRDefault="001D42BB" w:rsidP="00E8485E">
            <w:pPr>
              <w:pStyle w:val="POTTCostsLow"/>
              <w:rPr>
                <w:sz w:val="20"/>
              </w:rPr>
            </w:pPr>
            <w:r w:rsidRPr="003A2C6D">
              <w:rPr>
                <w:sz w:val="20"/>
              </w:rPr>
              <w:fldChar w:fldCharType="begin">
                <w:ffData>
                  <w:name w:val="Text45"/>
                  <w:enabled/>
                  <w:calcOnExit w:val="0"/>
                  <w:textInput>
                    <w:default w:val="Optional"/>
                    <w:maxLength w:val="14"/>
                  </w:textInput>
                </w:ffData>
              </w:fldChar>
            </w:r>
            <w:r w:rsidRPr="003A2C6D">
              <w:rPr>
                <w:sz w:val="20"/>
              </w:rPr>
              <w:instrText xml:space="preserve"> FORMTEXT </w:instrText>
            </w:r>
            <w:r w:rsidRPr="003A2C6D">
              <w:rPr>
                <w:sz w:val="20"/>
              </w:rPr>
            </w:r>
            <w:r w:rsidRPr="003A2C6D">
              <w:rPr>
                <w:sz w:val="20"/>
              </w:rPr>
              <w:fldChar w:fldCharType="separate"/>
            </w:r>
            <w:r w:rsidRPr="003A2C6D">
              <w:rPr>
                <w:noProof/>
                <w:sz w:val="20"/>
              </w:rPr>
              <w:t>Optional</w:t>
            </w:r>
            <w:r w:rsidRPr="003A2C6D">
              <w:rPr>
                <w:sz w:val="20"/>
              </w:rPr>
              <w:fldChar w:fldCharType="end"/>
            </w:r>
          </w:p>
        </w:tc>
        <w:tc>
          <w:tcPr>
            <w:tcW w:w="705" w:type="dxa"/>
            <w:gridSpan w:val="2"/>
            <w:vAlign w:val="center"/>
          </w:tcPr>
          <w:p w14:paraId="6C372071" w14:textId="77777777" w:rsidR="001D42BB" w:rsidRPr="003A2C6D" w:rsidRDefault="001D42BB" w:rsidP="00E8485E">
            <w:pPr>
              <w:pStyle w:val="POTTCostsYear"/>
              <w:rPr>
                <w:sz w:val="20"/>
                <w:szCs w:val="20"/>
              </w:rPr>
            </w:pPr>
            <w:r w:rsidRPr="003A2C6D">
              <w:rPr>
                <w:sz w:val="20"/>
                <w:szCs w:val="20"/>
              </w:rPr>
              <w:fldChar w:fldCharType="begin">
                <w:ffData>
                  <w:name w:val="Text48"/>
                  <w:enabled/>
                  <w:calcOnExit w:val="0"/>
                  <w:textInput>
                    <w:maxLength w:val="3"/>
                  </w:textInput>
                </w:ffData>
              </w:fldChar>
            </w:r>
            <w:r w:rsidRPr="003A2C6D">
              <w:rPr>
                <w:sz w:val="20"/>
                <w:szCs w:val="20"/>
              </w:rPr>
              <w:instrText xml:space="preserve"> FORMTEXT </w:instrText>
            </w:r>
            <w:r w:rsidRPr="003A2C6D">
              <w:rPr>
                <w:sz w:val="20"/>
                <w:szCs w:val="20"/>
              </w:rPr>
            </w:r>
            <w:r w:rsidRPr="003A2C6D">
              <w:rPr>
                <w:sz w:val="20"/>
                <w:szCs w:val="20"/>
              </w:rPr>
              <w:fldChar w:fldCharType="separate"/>
            </w:r>
            <w:r w:rsidRPr="003A2C6D">
              <w:rPr>
                <w:noProof/>
                <w:sz w:val="20"/>
                <w:szCs w:val="20"/>
              </w:rPr>
              <w:t> </w:t>
            </w:r>
            <w:r w:rsidRPr="003A2C6D">
              <w:rPr>
                <w:noProof/>
                <w:sz w:val="20"/>
                <w:szCs w:val="20"/>
              </w:rPr>
              <w:t> </w:t>
            </w:r>
            <w:r w:rsidRPr="003A2C6D">
              <w:rPr>
                <w:noProof/>
                <w:sz w:val="20"/>
                <w:szCs w:val="20"/>
              </w:rPr>
              <w:t> </w:t>
            </w:r>
            <w:r w:rsidRPr="003A2C6D">
              <w:rPr>
                <w:sz w:val="20"/>
                <w:szCs w:val="20"/>
              </w:rPr>
              <w:fldChar w:fldCharType="end"/>
            </w:r>
          </w:p>
        </w:tc>
        <w:tc>
          <w:tcPr>
            <w:tcW w:w="2545" w:type="dxa"/>
            <w:gridSpan w:val="2"/>
            <w:tcBorders>
              <w:right w:val="single" w:sz="12" w:space="0" w:color="auto"/>
            </w:tcBorders>
            <w:vAlign w:val="center"/>
          </w:tcPr>
          <w:p w14:paraId="19E488A9" w14:textId="77777777" w:rsidR="001D42BB" w:rsidRPr="003A2C6D" w:rsidRDefault="001D42BB" w:rsidP="00E8485E">
            <w:pPr>
              <w:pStyle w:val="POAACostsLow"/>
              <w:rPr>
                <w:sz w:val="20"/>
              </w:rPr>
            </w:pPr>
            <w:r w:rsidRPr="003A2C6D">
              <w:rPr>
                <w:sz w:val="20"/>
              </w:rPr>
              <w:fldChar w:fldCharType="begin">
                <w:ffData>
                  <w:name w:val="Text49"/>
                  <w:enabled/>
                  <w:calcOnExit w:val="0"/>
                  <w:textInput>
                    <w:default w:val="Optional"/>
                    <w:maxLength w:val="14"/>
                  </w:textInput>
                </w:ffData>
              </w:fldChar>
            </w:r>
            <w:r w:rsidRPr="003A2C6D">
              <w:rPr>
                <w:sz w:val="20"/>
              </w:rPr>
              <w:instrText xml:space="preserve"> FORMTEXT </w:instrText>
            </w:r>
            <w:r w:rsidRPr="003A2C6D">
              <w:rPr>
                <w:sz w:val="20"/>
              </w:rPr>
            </w:r>
            <w:r w:rsidRPr="003A2C6D">
              <w:rPr>
                <w:sz w:val="20"/>
              </w:rPr>
              <w:fldChar w:fldCharType="separate"/>
            </w:r>
            <w:r w:rsidRPr="003A2C6D">
              <w:rPr>
                <w:noProof/>
                <w:sz w:val="20"/>
              </w:rPr>
              <w:t>Optional</w:t>
            </w:r>
            <w:r w:rsidRPr="003A2C6D">
              <w:rPr>
                <w:sz w:val="20"/>
              </w:rPr>
              <w:fldChar w:fldCharType="end"/>
            </w:r>
          </w:p>
        </w:tc>
        <w:tc>
          <w:tcPr>
            <w:tcW w:w="3295" w:type="dxa"/>
            <w:gridSpan w:val="2"/>
            <w:tcBorders>
              <w:left w:val="single" w:sz="12" w:space="0" w:color="auto"/>
            </w:tcBorders>
            <w:vAlign w:val="center"/>
          </w:tcPr>
          <w:p w14:paraId="6F5B8DBD" w14:textId="77777777" w:rsidR="001D42BB" w:rsidRPr="003A2C6D" w:rsidRDefault="001D42BB" w:rsidP="00E8485E">
            <w:pPr>
              <w:pStyle w:val="POTCCostsLow"/>
              <w:rPr>
                <w:sz w:val="20"/>
              </w:rPr>
            </w:pPr>
            <w:r w:rsidRPr="003A2C6D">
              <w:rPr>
                <w:sz w:val="20"/>
              </w:rPr>
              <w:fldChar w:fldCharType="begin">
                <w:ffData>
                  <w:name w:val="Text52"/>
                  <w:enabled/>
                  <w:calcOnExit w:val="0"/>
                  <w:textInput>
                    <w:default w:val="Optional"/>
                    <w:maxLength w:val="14"/>
                  </w:textInput>
                </w:ffData>
              </w:fldChar>
            </w:r>
            <w:r w:rsidRPr="003A2C6D">
              <w:rPr>
                <w:sz w:val="20"/>
              </w:rPr>
              <w:instrText xml:space="preserve"> FORMTEXT </w:instrText>
            </w:r>
            <w:r w:rsidRPr="003A2C6D">
              <w:rPr>
                <w:sz w:val="20"/>
              </w:rPr>
            </w:r>
            <w:r w:rsidRPr="003A2C6D">
              <w:rPr>
                <w:sz w:val="20"/>
              </w:rPr>
              <w:fldChar w:fldCharType="separate"/>
            </w:r>
            <w:r w:rsidRPr="003A2C6D">
              <w:rPr>
                <w:noProof/>
                <w:sz w:val="20"/>
              </w:rPr>
              <w:t>Optional</w:t>
            </w:r>
            <w:r w:rsidRPr="003A2C6D">
              <w:rPr>
                <w:sz w:val="20"/>
              </w:rPr>
              <w:fldChar w:fldCharType="end"/>
            </w:r>
          </w:p>
        </w:tc>
      </w:tr>
      <w:tr w:rsidR="00C75D01" w:rsidRPr="007E190E" w14:paraId="382DE8D5" w14:textId="77777777" w:rsidTr="00C16CDC">
        <w:trPr>
          <w:gridBefore w:val="1"/>
          <w:wBefore w:w="8" w:type="dxa"/>
          <w:trHeight w:hRule="exact" w:val="348"/>
        </w:trPr>
        <w:tc>
          <w:tcPr>
            <w:tcW w:w="1891" w:type="dxa"/>
            <w:gridSpan w:val="2"/>
            <w:tcBorders>
              <w:bottom w:val="single" w:sz="12" w:space="0" w:color="auto"/>
            </w:tcBorders>
            <w:vAlign w:val="center"/>
          </w:tcPr>
          <w:p w14:paraId="522CA811" w14:textId="454F06B4" w:rsidR="001D42BB" w:rsidRPr="00F248FC" w:rsidRDefault="001D42BB" w:rsidP="00E8485E">
            <w:pPr>
              <w:pStyle w:val="IATableLabel"/>
              <w:rPr>
                <w:sz w:val="22"/>
                <w:szCs w:val="22"/>
              </w:rPr>
            </w:pPr>
            <w:r w:rsidRPr="00F248FC">
              <w:rPr>
                <w:sz w:val="22"/>
                <w:szCs w:val="22"/>
              </w:rPr>
              <w:t xml:space="preserve">High </w:t>
            </w:r>
          </w:p>
        </w:tc>
        <w:tc>
          <w:tcPr>
            <w:tcW w:w="1733" w:type="dxa"/>
            <w:gridSpan w:val="2"/>
            <w:tcBorders>
              <w:bottom w:val="single" w:sz="12" w:space="0" w:color="auto"/>
            </w:tcBorders>
            <w:vAlign w:val="center"/>
          </w:tcPr>
          <w:p w14:paraId="1638713D" w14:textId="77777777" w:rsidR="001D42BB" w:rsidRPr="003A2C6D" w:rsidRDefault="001D42BB" w:rsidP="00E8485E">
            <w:pPr>
              <w:pStyle w:val="POTTCostsHigh"/>
              <w:rPr>
                <w:sz w:val="20"/>
              </w:rPr>
            </w:pPr>
            <w:r w:rsidRPr="003A2C6D">
              <w:rPr>
                <w:sz w:val="20"/>
              </w:rPr>
              <w:fldChar w:fldCharType="begin">
                <w:ffData>
                  <w:name w:val="Text46"/>
                  <w:enabled/>
                  <w:calcOnExit w:val="0"/>
                  <w:textInput>
                    <w:default w:val="Optional"/>
                    <w:maxLength w:val="14"/>
                  </w:textInput>
                </w:ffData>
              </w:fldChar>
            </w:r>
            <w:r w:rsidRPr="003A2C6D">
              <w:rPr>
                <w:sz w:val="20"/>
              </w:rPr>
              <w:instrText xml:space="preserve"> FORMTEXT </w:instrText>
            </w:r>
            <w:r w:rsidRPr="003A2C6D">
              <w:rPr>
                <w:sz w:val="20"/>
              </w:rPr>
            </w:r>
            <w:r w:rsidRPr="003A2C6D">
              <w:rPr>
                <w:sz w:val="20"/>
              </w:rPr>
              <w:fldChar w:fldCharType="separate"/>
            </w:r>
            <w:r w:rsidRPr="003A2C6D">
              <w:rPr>
                <w:sz w:val="20"/>
              </w:rPr>
              <w:t>Optional</w:t>
            </w:r>
            <w:r w:rsidRPr="003A2C6D">
              <w:rPr>
                <w:sz w:val="20"/>
              </w:rPr>
              <w:fldChar w:fldCharType="end"/>
            </w:r>
          </w:p>
        </w:tc>
        <w:tc>
          <w:tcPr>
            <w:tcW w:w="705" w:type="dxa"/>
            <w:gridSpan w:val="2"/>
            <w:shd w:val="clear" w:color="auto" w:fill="FFFFFF"/>
            <w:vAlign w:val="center"/>
          </w:tcPr>
          <w:p w14:paraId="0E5CFB91" w14:textId="77777777" w:rsidR="001D42BB" w:rsidRPr="003A2C6D" w:rsidRDefault="001D42BB" w:rsidP="00E8485E">
            <w:pPr>
              <w:pStyle w:val="IATableText"/>
              <w:jc w:val="right"/>
              <w:rPr>
                <w:sz w:val="20"/>
              </w:rPr>
            </w:pPr>
          </w:p>
        </w:tc>
        <w:tc>
          <w:tcPr>
            <w:tcW w:w="2545" w:type="dxa"/>
            <w:gridSpan w:val="2"/>
            <w:tcBorders>
              <w:bottom w:val="single" w:sz="12" w:space="0" w:color="auto"/>
              <w:right w:val="single" w:sz="12" w:space="0" w:color="auto"/>
            </w:tcBorders>
            <w:vAlign w:val="center"/>
          </w:tcPr>
          <w:p w14:paraId="202BAB51" w14:textId="77777777" w:rsidR="001D42BB" w:rsidRPr="003A2C6D" w:rsidRDefault="001D42BB" w:rsidP="00E8485E">
            <w:pPr>
              <w:pStyle w:val="POAACostsHigh"/>
              <w:rPr>
                <w:sz w:val="20"/>
              </w:rPr>
            </w:pPr>
            <w:r w:rsidRPr="003A2C6D">
              <w:rPr>
                <w:sz w:val="20"/>
              </w:rPr>
              <w:fldChar w:fldCharType="begin">
                <w:ffData>
                  <w:name w:val="Text50"/>
                  <w:enabled/>
                  <w:calcOnExit w:val="0"/>
                  <w:textInput>
                    <w:default w:val="Optional"/>
                    <w:maxLength w:val="14"/>
                  </w:textInput>
                </w:ffData>
              </w:fldChar>
            </w:r>
            <w:r w:rsidRPr="003A2C6D">
              <w:rPr>
                <w:sz w:val="20"/>
              </w:rPr>
              <w:instrText xml:space="preserve"> FORMTEXT </w:instrText>
            </w:r>
            <w:r w:rsidRPr="003A2C6D">
              <w:rPr>
                <w:sz w:val="20"/>
              </w:rPr>
            </w:r>
            <w:r w:rsidRPr="003A2C6D">
              <w:rPr>
                <w:sz w:val="20"/>
              </w:rPr>
              <w:fldChar w:fldCharType="separate"/>
            </w:r>
            <w:r w:rsidRPr="003A2C6D">
              <w:rPr>
                <w:sz w:val="20"/>
              </w:rPr>
              <w:t>Optional</w:t>
            </w:r>
            <w:r w:rsidRPr="003A2C6D">
              <w:rPr>
                <w:sz w:val="20"/>
              </w:rPr>
              <w:fldChar w:fldCharType="end"/>
            </w:r>
          </w:p>
        </w:tc>
        <w:tc>
          <w:tcPr>
            <w:tcW w:w="3295" w:type="dxa"/>
            <w:gridSpan w:val="2"/>
            <w:tcBorders>
              <w:left w:val="single" w:sz="12" w:space="0" w:color="auto"/>
              <w:bottom w:val="single" w:sz="12" w:space="0" w:color="auto"/>
            </w:tcBorders>
            <w:vAlign w:val="center"/>
          </w:tcPr>
          <w:p w14:paraId="4657FA66" w14:textId="77777777" w:rsidR="001D42BB" w:rsidRPr="003A2C6D" w:rsidRDefault="001D42BB" w:rsidP="00E8485E">
            <w:pPr>
              <w:pStyle w:val="POTCCostsHigh"/>
              <w:rPr>
                <w:sz w:val="20"/>
              </w:rPr>
            </w:pPr>
            <w:r w:rsidRPr="003A2C6D">
              <w:rPr>
                <w:sz w:val="20"/>
              </w:rPr>
              <w:fldChar w:fldCharType="begin">
                <w:ffData>
                  <w:name w:val="Text53"/>
                  <w:enabled/>
                  <w:calcOnExit w:val="0"/>
                  <w:textInput>
                    <w:default w:val="Optional"/>
                    <w:maxLength w:val="14"/>
                  </w:textInput>
                </w:ffData>
              </w:fldChar>
            </w:r>
            <w:r w:rsidRPr="003A2C6D">
              <w:rPr>
                <w:sz w:val="20"/>
              </w:rPr>
              <w:instrText xml:space="preserve"> FORMTEXT </w:instrText>
            </w:r>
            <w:r w:rsidRPr="003A2C6D">
              <w:rPr>
                <w:sz w:val="20"/>
              </w:rPr>
            </w:r>
            <w:r w:rsidRPr="003A2C6D">
              <w:rPr>
                <w:sz w:val="20"/>
              </w:rPr>
              <w:fldChar w:fldCharType="separate"/>
            </w:r>
            <w:r w:rsidRPr="003A2C6D">
              <w:rPr>
                <w:sz w:val="20"/>
              </w:rPr>
              <w:t>Optional</w:t>
            </w:r>
            <w:r w:rsidRPr="003A2C6D">
              <w:rPr>
                <w:sz w:val="20"/>
              </w:rPr>
              <w:fldChar w:fldCharType="end"/>
            </w:r>
          </w:p>
        </w:tc>
      </w:tr>
      <w:tr w:rsidR="00C75D01" w:rsidRPr="007E190E" w14:paraId="0EEC2E93" w14:textId="77777777" w:rsidTr="00C16CDC">
        <w:trPr>
          <w:trHeight w:hRule="exact" w:val="348"/>
        </w:trPr>
        <w:tc>
          <w:tcPr>
            <w:tcW w:w="1893" w:type="dxa"/>
            <w:gridSpan w:val="2"/>
            <w:tcBorders>
              <w:top w:val="single" w:sz="12" w:space="0" w:color="auto"/>
              <w:bottom w:val="single" w:sz="12" w:space="0" w:color="auto"/>
              <w:right w:val="single" w:sz="12" w:space="0" w:color="auto"/>
            </w:tcBorders>
            <w:shd w:val="clear" w:color="auto" w:fill="FFFFFF"/>
            <w:vAlign w:val="center"/>
          </w:tcPr>
          <w:p w14:paraId="5449FBAF" w14:textId="77777777" w:rsidR="001D42BB" w:rsidRPr="00F248FC" w:rsidRDefault="001D42BB" w:rsidP="00E8485E">
            <w:pPr>
              <w:pStyle w:val="IATableLabel"/>
              <w:rPr>
                <w:sz w:val="22"/>
                <w:szCs w:val="22"/>
              </w:rPr>
            </w:pPr>
            <w:r w:rsidRPr="00F248FC">
              <w:rPr>
                <w:sz w:val="22"/>
                <w:szCs w:val="22"/>
              </w:rPr>
              <w:t>Best Estimate</w:t>
            </w:r>
          </w:p>
          <w:p w14:paraId="35494D47" w14:textId="77777777" w:rsidR="001D42BB" w:rsidRPr="00F248FC" w:rsidRDefault="001D42BB" w:rsidP="00E8485E">
            <w:pPr>
              <w:pStyle w:val="IATableNotes"/>
              <w:spacing w:beforeLines="40" w:before="96"/>
              <w:ind w:left="0" w:right="-22"/>
              <w:jc w:val="center"/>
              <w:rPr>
                <w:b/>
                <w:sz w:val="22"/>
                <w:szCs w:val="22"/>
              </w:rPr>
            </w:pPr>
          </w:p>
        </w:tc>
        <w:tc>
          <w:tcPr>
            <w:tcW w:w="1733" w:type="dxa"/>
            <w:gridSpan w:val="2"/>
            <w:tcBorders>
              <w:top w:val="single" w:sz="12" w:space="0" w:color="auto"/>
              <w:left w:val="single" w:sz="12" w:space="0" w:color="auto"/>
              <w:bottom w:val="single" w:sz="12" w:space="0" w:color="auto"/>
              <w:right w:val="single" w:sz="12" w:space="0" w:color="auto"/>
            </w:tcBorders>
            <w:shd w:val="clear" w:color="auto" w:fill="FFFFFF"/>
            <w:vAlign w:val="center"/>
          </w:tcPr>
          <w:p w14:paraId="58267B6D" w14:textId="0051C6F2" w:rsidR="001D42BB" w:rsidRPr="0006159E" w:rsidRDefault="007E214F" w:rsidP="00E8485E">
            <w:pPr>
              <w:pStyle w:val="POTTCostsBest"/>
              <w:rPr>
                <w:sz w:val="20"/>
              </w:rPr>
            </w:pPr>
            <w:r w:rsidRPr="0006159E">
              <w:rPr>
                <w:sz w:val="20"/>
              </w:rPr>
              <w:t>£0</w:t>
            </w:r>
          </w:p>
        </w:tc>
        <w:tc>
          <w:tcPr>
            <w:tcW w:w="705" w:type="dxa"/>
            <w:gridSpan w:val="2"/>
            <w:tcBorders>
              <w:left w:val="single" w:sz="12" w:space="0" w:color="auto"/>
              <w:right w:val="single" w:sz="12" w:space="0" w:color="auto"/>
            </w:tcBorders>
            <w:shd w:val="clear" w:color="auto" w:fill="FFFFFF"/>
            <w:vAlign w:val="center"/>
          </w:tcPr>
          <w:p w14:paraId="5759EE3F" w14:textId="77777777" w:rsidR="001D42BB" w:rsidRPr="0006159E" w:rsidRDefault="001D42BB" w:rsidP="00E8485E">
            <w:pPr>
              <w:pStyle w:val="IATableText"/>
              <w:jc w:val="right"/>
              <w:rPr>
                <w:sz w:val="20"/>
              </w:rPr>
            </w:pPr>
          </w:p>
        </w:tc>
        <w:tc>
          <w:tcPr>
            <w:tcW w:w="2545" w:type="dxa"/>
            <w:gridSpan w:val="2"/>
            <w:tcBorders>
              <w:top w:val="single" w:sz="12" w:space="0" w:color="auto"/>
              <w:left w:val="single" w:sz="12" w:space="0" w:color="auto"/>
              <w:bottom w:val="single" w:sz="12" w:space="0" w:color="auto"/>
              <w:right w:val="single" w:sz="12" w:space="0" w:color="auto"/>
            </w:tcBorders>
            <w:shd w:val="clear" w:color="auto" w:fill="FFFFFF"/>
            <w:vAlign w:val="center"/>
          </w:tcPr>
          <w:p w14:paraId="3015C513" w14:textId="2545C2E0" w:rsidR="001D42BB" w:rsidRPr="0006159E" w:rsidRDefault="008D39CE" w:rsidP="00E8485E">
            <w:pPr>
              <w:pStyle w:val="POAACostsBest"/>
              <w:rPr>
                <w:sz w:val="20"/>
              </w:rPr>
            </w:pPr>
            <w:r w:rsidRPr="0006159E">
              <w:rPr>
                <w:sz w:val="20"/>
              </w:rPr>
              <w:t>£</w:t>
            </w:r>
            <w:r w:rsidR="0083760A">
              <w:rPr>
                <w:sz w:val="20"/>
              </w:rPr>
              <w:t>37</w:t>
            </w:r>
            <w:r w:rsidR="00BC0FA2" w:rsidRPr="0006159E">
              <w:rPr>
                <w:sz w:val="20"/>
              </w:rPr>
              <w:t>,</w:t>
            </w:r>
            <w:r w:rsidR="00F715C5">
              <w:rPr>
                <w:sz w:val="20"/>
              </w:rPr>
              <w:t>4</w:t>
            </w:r>
            <w:r w:rsidR="00BC0FA2" w:rsidRPr="0006159E">
              <w:rPr>
                <w:sz w:val="20"/>
              </w:rPr>
              <w:t>00</w:t>
            </w:r>
          </w:p>
        </w:tc>
        <w:tc>
          <w:tcPr>
            <w:tcW w:w="3301" w:type="dxa"/>
            <w:gridSpan w:val="3"/>
            <w:tcBorders>
              <w:top w:val="single" w:sz="12" w:space="0" w:color="auto"/>
              <w:left w:val="single" w:sz="12" w:space="0" w:color="auto"/>
              <w:bottom w:val="single" w:sz="12" w:space="0" w:color="auto"/>
            </w:tcBorders>
            <w:shd w:val="clear" w:color="auto" w:fill="FFFFFF"/>
            <w:vAlign w:val="center"/>
          </w:tcPr>
          <w:p w14:paraId="4E3629BE" w14:textId="7D0E364A" w:rsidR="001D42BB" w:rsidRPr="0006159E" w:rsidRDefault="000D5D59" w:rsidP="00E8485E">
            <w:pPr>
              <w:pStyle w:val="POTCCostsBest"/>
              <w:rPr>
                <w:sz w:val="20"/>
              </w:rPr>
            </w:pPr>
            <w:r w:rsidRPr="0006159E" w:rsidDel="00711FF5">
              <w:rPr>
                <w:rFonts w:cs="Arial"/>
                <w:sz w:val="20"/>
              </w:rPr>
              <w:fldChar w:fldCharType="begin">
                <w:ffData>
                  <w:name w:val="Text54"/>
                  <w:enabled/>
                  <w:calcOnExit w:val="0"/>
                  <w:textInput>
                    <w:maxLength w:val="14"/>
                  </w:textInput>
                </w:ffData>
              </w:fldChar>
            </w:r>
            <w:r w:rsidRPr="0006159E" w:rsidDel="00711FF5">
              <w:rPr>
                <w:rFonts w:cs="Arial"/>
                <w:sz w:val="20"/>
              </w:rPr>
              <w:instrText xml:space="preserve"> FORMTEXT </w:instrText>
            </w:r>
            <w:r w:rsidRPr="0006159E" w:rsidDel="00711FF5">
              <w:rPr>
                <w:rFonts w:cs="Arial"/>
                <w:sz w:val="20"/>
              </w:rPr>
            </w:r>
            <w:r w:rsidRPr="0006159E" w:rsidDel="00711FF5">
              <w:rPr>
                <w:rFonts w:cs="Arial"/>
                <w:sz w:val="20"/>
              </w:rPr>
              <w:fldChar w:fldCharType="separate"/>
            </w:r>
            <w:r w:rsidRPr="0006159E" w:rsidDel="00711FF5">
              <w:rPr>
                <w:rFonts w:cs="Arial"/>
                <w:sz w:val="20"/>
              </w:rPr>
              <w:t> </w:t>
            </w:r>
            <w:r w:rsidRPr="0006159E" w:rsidDel="00711FF5">
              <w:rPr>
                <w:rFonts w:cs="Arial"/>
                <w:sz w:val="20"/>
              </w:rPr>
              <w:t> </w:t>
            </w:r>
            <w:r w:rsidRPr="0006159E" w:rsidDel="00711FF5">
              <w:rPr>
                <w:rFonts w:cs="Arial"/>
                <w:sz w:val="20"/>
              </w:rPr>
              <w:t> </w:t>
            </w:r>
            <w:r w:rsidRPr="0006159E" w:rsidDel="00711FF5">
              <w:rPr>
                <w:rFonts w:cs="Arial"/>
                <w:sz w:val="20"/>
              </w:rPr>
              <w:t> </w:t>
            </w:r>
            <w:r w:rsidRPr="0006159E" w:rsidDel="00711FF5">
              <w:rPr>
                <w:rFonts w:cs="Arial"/>
                <w:sz w:val="20"/>
              </w:rPr>
              <w:t> </w:t>
            </w:r>
            <w:r w:rsidRPr="0006159E" w:rsidDel="00711FF5">
              <w:rPr>
                <w:rFonts w:cs="Arial"/>
                <w:sz w:val="20"/>
              </w:rPr>
              <w:fldChar w:fldCharType="end"/>
            </w:r>
            <w:r w:rsidRPr="0006159E">
              <w:rPr>
                <w:rFonts w:cs="Arial"/>
                <w:sz w:val="20"/>
              </w:rPr>
              <w:t>£</w:t>
            </w:r>
            <w:r w:rsidR="006435BF" w:rsidRPr="0006159E">
              <w:rPr>
                <w:rFonts w:cs="Arial"/>
                <w:sz w:val="20"/>
              </w:rPr>
              <w:t>589,000</w:t>
            </w:r>
          </w:p>
        </w:tc>
      </w:tr>
      <w:tr w:rsidR="001D42BB" w:rsidRPr="00826F71" w14:paraId="7A9F21C5" w14:textId="77777777" w:rsidTr="00C16CDC">
        <w:trPr>
          <w:gridBefore w:val="1"/>
          <w:wBefore w:w="8" w:type="dxa"/>
          <w:trHeight w:hRule="exact" w:val="2097"/>
        </w:trPr>
        <w:tc>
          <w:tcPr>
            <w:tcW w:w="10169" w:type="dxa"/>
            <w:gridSpan w:val="10"/>
          </w:tcPr>
          <w:p w14:paraId="15C37AFF" w14:textId="77777777" w:rsidR="001D42BB" w:rsidRPr="007E190E" w:rsidRDefault="001D42BB" w:rsidP="00E8485E">
            <w:pPr>
              <w:pStyle w:val="IAPOQ1"/>
              <w:rPr>
                <w:szCs w:val="22"/>
              </w:rPr>
            </w:pPr>
            <w:r w:rsidRPr="00544292">
              <w:t xml:space="preserve">Description and scale of </w:t>
            </w:r>
            <w:r w:rsidRPr="00826F71">
              <w:t>key monetised costs</w:t>
            </w:r>
            <w:r w:rsidRPr="00544292">
              <w:t xml:space="preserve"> by ‘main affected groups’ </w:t>
            </w:r>
          </w:p>
          <w:p w14:paraId="075247F4" w14:textId="5A37008A" w:rsidR="001D42BB" w:rsidRPr="00826F71" w:rsidRDefault="00307BD5" w:rsidP="00E8485E">
            <w:pPr>
              <w:pStyle w:val="IAPOA1"/>
            </w:pPr>
            <w:r>
              <w:t>The main costs considered are</w:t>
            </w:r>
            <w:r w:rsidDel="00CA6A86">
              <w:t xml:space="preserve"> </w:t>
            </w:r>
            <w:r w:rsidR="00750570">
              <w:t>for</w:t>
            </w:r>
            <w:r>
              <w:t xml:space="preserve"> deploying </w:t>
            </w:r>
            <w:r w:rsidR="00CA6A86">
              <w:t xml:space="preserve">additional </w:t>
            </w:r>
            <w:r w:rsidR="00E55E6E">
              <w:t xml:space="preserve">emissions </w:t>
            </w:r>
            <w:r w:rsidRPr="00A072D1">
              <w:rPr>
                <w:szCs w:val="22"/>
              </w:rPr>
              <w:t>abatement</w:t>
            </w:r>
            <w:r>
              <w:t xml:space="preserve"> technologies</w:t>
            </w:r>
            <w:r w:rsidR="00C172F2">
              <w:t xml:space="preserve"> relative to option 1</w:t>
            </w:r>
            <w:r>
              <w:t>. These include</w:t>
            </w:r>
            <w:r w:rsidR="00423240">
              <w:t>,</w:t>
            </w:r>
            <w:r>
              <w:t xml:space="preserve"> but are not limited to</w:t>
            </w:r>
            <w:r w:rsidR="00423240">
              <w:t>,</w:t>
            </w:r>
            <w:r>
              <w:t xml:space="preserve"> costs of </w:t>
            </w:r>
            <w:r w:rsidR="00E56DE3">
              <w:t xml:space="preserve">low carbon technologies, supporting </w:t>
            </w:r>
            <w:r>
              <w:t xml:space="preserve">infrastructure, </w:t>
            </w:r>
            <w:r w:rsidR="00423240">
              <w:t>finance</w:t>
            </w:r>
            <w:r>
              <w:t xml:space="preserve">, </w:t>
            </w:r>
            <w:r w:rsidR="00B36961">
              <w:t xml:space="preserve">and </w:t>
            </w:r>
            <w:r>
              <w:t>fuel</w:t>
            </w:r>
            <w:r w:rsidR="008768DD">
              <w:t xml:space="preserve"> (including bioenergy)</w:t>
            </w:r>
            <w:r>
              <w:t>. Some costs of increased air quality pollutants are also monetised.</w:t>
            </w:r>
            <w:r w:rsidR="006E5010">
              <w:t xml:space="preserve"> An illustrative breakdown by sectors of the economy shows th</w:t>
            </w:r>
            <w:r w:rsidR="00C44254">
              <w:t xml:space="preserve">at the majority of costs are associated with reducing emissions from surface </w:t>
            </w:r>
            <w:r w:rsidR="006E5010">
              <w:t>transport, buildings and power</w:t>
            </w:r>
            <w:r w:rsidR="000770A0">
              <w:t>. The</w:t>
            </w:r>
            <w:r w:rsidR="006E5010">
              <w:t xml:space="preserve"> distribut</w:t>
            </w:r>
            <w:r w:rsidR="000770A0">
              <w:t>ion</w:t>
            </w:r>
            <w:r w:rsidR="006E5010">
              <w:t xml:space="preserve"> </w:t>
            </w:r>
            <w:r w:rsidR="000770A0">
              <w:t xml:space="preserve">of costs between </w:t>
            </w:r>
            <w:r w:rsidR="006E5010">
              <w:t>affected groups will depend on future policy decisions.</w:t>
            </w:r>
          </w:p>
        </w:tc>
      </w:tr>
      <w:tr w:rsidR="001D42BB" w:rsidRPr="00826F71" w14:paraId="120ED98C" w14:textId="77777777" w:rsidTr="00C16CDC">
        <w:trPr>
          <w:gridBefore w:val="1"/>
          <w:wBefore w:w="8" w:type="dxa"/>
          <w:trHeight w:hRule="exact" w:val="836"/>
        </w:trPr>
        <w:tc>
          <w:tcPr>
            <w:tcW w:w="10169" w:type="dxa"/>
            <w:gridSpan w:val="10"/>
            <w:tcBorders>
              <w:bottom w:val="single" w:sz="12" w:space="0" w:color="auto"/>
            </w:tcBorders>
          </w:tcPr>
          <w:p w14:paraId="45DF835E" w14:textId="77777777" w:rsidR="001D42BB" w:rsidRPr="007E190E" w:rsidRDefault="001D42BB" w:rsidP="00E8485E">
            <w:pPr>
              <w:pStyle w:val="IAPOQ2"/>
              <w:rPr>
                <w:szCs w:val="22"/>
              </w:rPr>
            </w:pPr>
            <w:r w:rsidRPr="00544292">
              <w:t>Other</w:t>
            </w:r>
            <w:r w:rsidRPr="00826F71">
              <w:t xml:space="preserve"> key non-monetised costs</w:t>
            </w:r>
            <w:r w:rsidRPr="00544292">
              <w:t xml:space="preserve"> by ‘main affected groups’ </w:t>
            </w:r>
          </w:p>
          <w:p w14:paraId="2ABF9048" w14:textId="48A434E4" w:rsidR="001D42BB" w:rsidRPr="00C45C87" w:rsidRDefault="00C45C87" w:rsidP="00E8485E">
            <w:pPr>
              <w:pStyle w:val="IAPOA2"/>
              <w:rPr>
                <w:szCs w:val="22"/>
              </w:rPr>
            </w:pPr>
            <w:r w:rsidRPr="00C45C87">
              <w:rPr>
                <w:szCs w:val="22"/>
              </w:rPr>
              <w:t>Some risks to natural capital, social and wider economic circumstances are considered qualitatively.</w:t>
            </w:r>
          </w:p>
        </w:tc>
      </w:tr>
      <w:tr w:rsidR="001D42BB" w:rsidRPr="007E190E" w14:paraId="556615A0" w14:textId="77777777" w:rsidTr="00C16CDC">
        <w:trPr>
          <w:gridBefore w:val="1"/>
          <w:wBefore w:w="8" w:type="dxa"/>
          <w:trHeight w:hRule="exact" w:val="722"/>
        </w:trPr>
        <w:tc>
          <w:tcPr>
            <w:tcW w:w="1891" w:type="dxa"/>
            <w:gridSpan w:val="2"/>
            <w:shd w:val="clear" w:color="auto" w:fill="FFFFFF"/>
          </w:tcPr>
          <w:p w14:paraId="5EBC9CF6" w14:textId="551439DC" w:rsidR="001D42BB" w:rsidRPr="007E190E" w:rsidRDefault="001D42BB" w:rsidP="00E8485E">
            <w:pPr>
              <w:pStyle w:val="IATableLabel"/>
              <w:rPr>
                <w:sz w:val="24"/>
                <w:szCs w:val="24"/>
              </w:rPr>
            </w:pPr>
            <w:r w:rsidRPr="007E190E">
              <w:rPr>
                <w:sz w:val="24"/>
                <w:szCs w:val="24"/>
              </w:rPr>
              <w:t>BENEFITS</w:t>
            </w:r>
            <w:r>
              <w:rPr>
                <w:sz w:val="24"/>
                <w:szCs w:val="24"/>
              </w:rPr>
              <w:t>(</w:t>
            </w:r>
            <w:r w:rsidRPr="007E190E">
              <w:rPr>
                <w:sz w:val="24"/>
                <w:szCs w:val="24"/>
              </w:rPr>
              <w:t>£m)</w:t>
            </w:r>
          </w:p>
        </w:tc>
        <w:tc>
          <w:tcPr>
            <w:tcW w:w="2438" w:type="dxa"/>
            <w:gridSpan w:val="4"/>
            <w:tcBorders>
              <w:top w:val="single" w:sz="12" w:space="0" w:color="auto"/>
            </w:tcBorders>
          </w:tcPr>
          <w:p w14:paraId="04DE5FB0" w14:textId="77777777" w:rsidR="001D42BB" w:rsidRPr="00826F71" w:rsidRDefault="001D42BB" w:rsidP="00E8485E">
            <w:pPr>
              <w:pStyle w:val="IATableLabel"/>
              <w:tabs>
                <w:tab w:val="right" w:pos="1797"/>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6209A001" w14:textId="77777777" w:rsidR="001D42BB" w:rsidRPr="00826F71" w:rsidRDefault="001D42BB" w:rsidP="00E8485E">
            <w:pPr>
              <w:pStyle w:val="IATableLabel"/>
              <w:jc w:val="right"/>
            </w:pPr>
            <w:r>
              <w:br/>
            </w:r>
          </w:p>
        </w:tc>
        <w:tc>
          <w:tcPr>
            <w:tcW w:w="2545" w:type="dxa"/>
            <w:gridSpan w:val="2"/>
            <w:tcBorders>
              <w:right w:val="single" w:sz="12" w:space="0" w:color="auto"/>
            </w:tcBorders>
          </w:tcPr>
          <w:p w14:paraId="264C21A1" w14:textId="2110A6D0" w:rsidR="001D42BB" w:rsidRPr="007E190E" w:rsidRDefault="001D42BB" w:rsidP="00E8485E">
            <w:pPr>
              <w:pStyle w:val="IATableLabel"/>
              <w:jc w:val="right"/>
            </w:pPr>
            <w:r w:rsidRPr="00826F71">
              <w:t>Average Annual</w:t>
            </w:r>
            <w:r w:rsidRPr="000C031E">
              <w:t xml:space="preserve"> </w:t>
            </w:r>
            <w:r>
              <w:br/>
            </w:r>
            <w:r w:rsidRPr="007E190E">
              <w:rPr>
                <w:b w:val="0"/>
                <w:sz w:val="18"/>
                <w:szCs w:val="18"/>
              </w:rPr>
              <w:t>(excl. Transition) (Constant Price)</w:t>
            </w:r>
          </w:p>
        </w:tc>
        <w:tc>
          <w:tcPr>
            <w:tcW w:w="3295" w:type="dxa"/>
            <w:gridSpan w:val="2"/>
            <w:tcBorders>
              <w:top w:val="single" w:sz="12" w:space="0" w:color="auto"/>
              <w:left w:val="single" w:sz="12" w:space="0" w:color="auto"/>
            </w:tcBorders>
          </w:tcPr>
          <w:p w14:paraId="51B2DA1B" w14:textId="16DC2CBE" w:rsidR="001D42BB" w:rsidRPr="00826F71" w:rsidRDefault="001D42BB" w:rsidP="00E8485E">
            <w:pPr>
              <w:pStyle w:val="IATableLabel"/>
              <w:jc w:val="right"/>
            </w:pPr>
            <w:r w:rsidRPr="00826F71">
              <w:t xml:space="preserve">Total </w:t>
            </w:r>
            <w:r>
              <w:t>Benefit</w:t>
            </w:r>
            <w:r w:rsidRPr="007E190E">
              <w:rPr>
                <w:b w:val="0"/>
                <w:sz w:val="18"/>
                <w:szCs w:val="18"/>
              </w:rPr>
              <w:t xml:space="preserve"> </w:t>
            </w:r>
            <w:r w:rsidRPr="007E190E">
              <w:rPr>
                <w:b w:val="0"/>
                <w:sz w:val="18"/>
                <w:szCs w:val="18"/>
              </w:rPr>
              <w:br/>
              <w:t>(Present Value)</w:t>
            </w:r>
          </w:p>
        </w:tc>
      </w:tr>
      <w:tr w:rsidR="001D42BB" w:rsidRPr="007E190E" w14:paraId="0C0FF34A" w14:textId="77777777" w:rsidTr="00C16CDC">
        <w:trPr>
          <w:gridBefore w:val="1"/>
          <w:wBefore w:w="8" w:type="dxa"/>
          <w:trHeight w:hRule="exact" w:val="348"/>
        </w:trPr>
        <w:tc>
          <w:tcPr>
            <w:tcW w:w="1891" w:type="dxa"/>
            <w:gridSpan w:val="2"/>
            <w:vAlign w:val="center"/>
          </w:tcPr>
          <w:p w14:paraId="48587078" w14:textId="17AD2AD3" w:rsidR="001D42BB" w:rsidRPr="00826F71" w:rsidRDefault="001D42BB" w:rsidP="00E8485E">
            <w:pPr>
              <w:pStyle w:val="IATableLabel"/>
            </w:pPr>
            <w:r w:rsidRPr="00826F71">
              <w:t xml:space="preserve">Low </w:t>
            </w:r>
          </w:p>
        </w:tc>
        <w:tc>
          <w:tcPr>
            <w:tcW w:w="1733" w:type="dxa"/>
            <w:gridSpan w:val="2"/>
            <w:vAlign w:val="center"/>
          </w:tcPr>
          <w:p w14:paraId="03DF812A" w14:textId="77777777" w:rsidR="001D42BB" w:rsidRPr="007E190E" w:rsidRDefault="001D42BB" w:rsidP="00E8485E">
            <w:pPr>
              <w:pStyle w:val="POTT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05" w:type="dxa"/>
            <w:gridSpan w:val="2"/>
            <w:vAlign w:val="center"/>
          </w:tcPr>
          <w:p w14:paraId="306AEC5E" w14:textId="77777777" w:rsidR="001D42BB" w:rsidRPr="007E190E" w:rsidRDefault="001D42BB" w:rsidP="00E8485E">
            <w:pPr>
              <w:pStyle w:val="IATableText"/>
              <w:jc w:val="center"/>
              <w:rPr>
                <w:sz w:val="20"/>
              </w:rPr>
            </w:pPr>
            <w:r w:rsidRPr="007E190E">
              <w:rPr>
                <w:sz w:val="20"/>
              </w:rPr>
              <w:fldChar w:fldCharType="begin">
                <w:ffData>
                  <w:name w:val="Text48"/>
                  <w:enabled/>
                  <w:calcOnExit w:val="0"/>
                  <w:textInput>
                    <w:maxLength w:val="3"/>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 </w:t>
            </w:r>
            <w:r w:rsidRPr="007E190E">
              <w:rPr>
                <w:noProof/>
                <w:sz w:val="20"/>
              </w:rPr>
              <w:t> </w:t>
            </w:r>
            <w:r w:rsidRPr="007E190E">
              <w:rPr>
                <w:noProof/>
                <w:sz w:val="20"/>
              </w:rPr>
              <w:t> </w:t>
            </w:r>
            <w:r w:rsidRPr="007E190E">
              <w:rPr>
                <w:sz w:val="20"/>
              </w:rPr>
              <w:fldChar w:fldCharType="end"/>
            </w:r>
          </w:p>
        </w:tc>
        <w:tc>
          <w:tcPr>
            <w:tcW w:w="2545" w:type="dxa"/>
            <w:gridSpan w:val="2"/>
            <w:tcBorders>
              <w:right w:val="single" w:sz="12" w:space="0" w:color="auto"/>
            </w:tcBorders>
            <w:vAlign w:val="center"/>
          </w:tcPr>
          <w:p w14:paraId="10FAB043" w14:textId="77777777" w:rsidR="001D42BB" w:rsidRPr="007E190E" w:rsidRDefault="001D42BB" w:rsidP="00E8485E">
            <w:pPr>
              <w:pStyle w:val="POAA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3295" w:type="dxa"/>
            <w:gridSpan w:val="2"/>
            <w:tcBorders>
              <w:left w:val="single" w:sz="12" w:space="0" w:color="auto"/>
            </w:tcBorders>
            <w:vAlign w:val="center"/>
          </w:tcPr>
          <w:p w14:paraId="7C48B335" w14:textId="77777777" w:rsidR="001D42BB" w:rsidRPr="007E190E" w:rsidRDefault="001D42BB" w:rsidP="00E8485E">
            <w:pPr>
              <w:pStyle w:val="POTB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C75D01" w:rsidRPr="007E190E" w14:paraId="083F16D5" w14:textId="77777777" w:rsidTr="00C16CDC">
        <w:trPr>
          <w:gridBefore w:val="1"/>
          <w:wBefore w:w="8" w:type="dxa"/>
          <w:trHeight w:hRule="exact" w:val="495"/>
        </w:trPr>
        <w:tc>
          <w:tcPr>
            <w:tcW w:w="1891" w:type="dxa"/>
            <w:gridSpan w:val="2"/>
            <w:tcBorders>
              <w:bottom w:val="single" w:sz="12" w:space="0" w:color="auto"/>
            </w:tcBorders>
            <w:vAlign w:val="center"/>
          </w:tcPr>
          <w:p w14:paraId="5AF51B3F" w14:textId="6950A429" w:rsidR="001D42BB" w:rsidRPr="00826F71" w:rsidRDefault="001D42BB" w:rsidP="00E8485E">
            <w:pPr>
              <w:pStyle w:val="IATableLabel"/>
            </w:pPr>
            <w:r w:rsidRPr="00826F71">
              <w:t xml:space="preserve">High </w:t>
            </w:r>
          </w:p>
        </w:tc>
        <w:tc>
          <w:tcPr>
            <w:tcW w:w="1733" w:type="dxa"/>
            <w:gridSpan w:val="2"/>
            <w:tcBorders>
              <w:bottom w:val="single" w:sz="12" w:space="0" w:color="auto"/>
            </w:tcBorders>
            <w:vAlign w:val="center"/>
          </w:tcPr>
          <w:p w14:paraId="08233707" w14:textId="77777777" w:rsidR="001D42BB" w:rsidRPr="007E190E" w:rsidRDefault="001D42BB" w:rsidP="00E8485E">
            <w:pPr>
              <w:pStyle w:val="POTT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05" w:type="dxa"/>
            <w:gridSpan w:val="2"/>
            <w:shd w:val="clear" w:color="auto" w:fill="FFFFFF"/>
            <w:vAlign w:val="center"/>
          </w:tcPr>
          <w:p w14:paraId="4A02B3AD" w14:textId="77777777" w:rsidR="001D42BB" w:rsidRPr="007E190E" w:rsidRDefault="001D42BB" w:rsidP="00E8485E">
            <w:pPr>
              <w:pStyle w:val="IATableText"/>
              <w:jc w:val="right"/>
              <w:rPr>
                <w:sz w:val="20"/>
              </w:rPr>
            </w:pPr>
          </w:p>
        </w:tc>
        <w:tc>
          <w:tcPr>
            <w:tcW w:w="2545" w:type="dxa"/>
            <w:gridSpan w:val="2"/>
            <w:tcBorders>
              <w:bottom w:val="single" w:sz="12" w:space="0" w:color="auto"/>
              <w:right w:val="single" w:sz="12" w:space="0" w:color="auto"/>
            </w:tcBorders>
            <w:vAlign w:val="center"/>
          </w:tcPr>
          <w:p w14:paraId="64B3CD29" w14:textId="77777777" w:rsidR="001D42BB" w:rsidRPr="007E190E" w:rsidRDefault="001D42BB" w:rsidP="00E8485E">
            <w:pPr>
              <w:pStyle w:val="POAA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3295" w:type="dxa"/>
            <w:gridSpan w:val="2"/>
            <w:tcBorders>
              <w:left w:val="single" w:sz="12" w:space="0" w:color="auto"/>
              <w:bottom w:val="single" w:sz="12" w:space="0" w:color="auto"/>
            </w:tcBorders>
            <w:vAlign w:val="center"/>
          </w:tcPr>
          <w:p w14:paraId="60D28B83" w14:textId="77777777" w:rsidR="001D42BB" w:rsidRPr="007E190E" w:rsidRDefault="001D42BB" w:rsidP="00E8485E">
            <w:pPr>
              <w:pStyle w:val="POTB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C75D01" w:rsidRPr="007E190E" w14:paraId="6B97AC48" w14:textId="77777777" w:rsidTr="00C16CDC">
        <w:trPr>
          <w:trHeight w:hRule="exact" w:val="348"/>
        </w:trPr>
        <w:tc>
          <w:tcPr>
            <w:tcW w:w="1893" w:type="dxa"/>
            <w:gridSpan w:val="2"/>
            <w:tcBorders>
              <w:top w:val="single" w:sz="12" w:space="0" w:color="auto"/>
              <w:bottom w:val="single" w:sz="12" w:space="0" w:color="auto"/>
              <w:right w:val="single" w:sz="12" w:space="0" w:color="auto"/>
            </w:tcBorders>
            <w:shd w:val="clear" w:color="auto" w:fill="FFFFFF"/>
            <w:vAlign w:val="center"/>
          </w:tcPr>
          <w:p w14:paraId="775B8E9D" w14:textId="77777777" w:rsidR="001D42BB" w:rsidRPr="00826F71" w:rsidRDefault="001D42BB" w:rsidP="00E8485E">
            <w:pPr>
              <w:pStyle w:val="IATableLabel"/>
            </w:pPr>
            <w:r w:rsidRPr="00826F71">
              <w:t xml:space="preserve">Best </w:t>
            </w:r>
            <w:r>
              <w:t>E</w:t>
            </w:r>
            <w:r w:rsidRPr="00826F71">
              <w:t>stimate</w:t>
            </w:r>
          </w:p>
          <w:p w14:paraId="0E7B27CE" w14:textId="77777777" w:rsidR="001D42BB" w:rsidRPr="007E190E" w:rsidRDefault="001D42BB" w:rsidP="00E8485E">
            <w:pPr>
              <w:pStyle w:val="IATableNotes"/>
              <w:spacing w:beforeLines="40" w:before="96"/>
              <w:ind w:left="0" w:right="-22"/>
              <w:jc w:val="center"/>
              <w:rPr>
                <w:b/>
                <w:sz w:val="20"/>
              </w:rPr>
            </w:pPr>
          </w:p>
        </w:tc>
        <w:tc>
          <w:tcPr>
            <w:tcW w:w="1733" w:type="dxa"/>
            <w:gridSpan w:val="2"/>
            <w:tcBorders>
              <w:top w:val="single" w:sz="12" w:space="0" w:color="auto"/>
              <w:left w:val="single" w:sz="12" w:space="0" w:color="auto"/>
              <w:bottom w:val="single" w:sz="12" w:space="0" w:color="auto"/>
              <w:right w:val="single" w:sz="12" w:space="0" w:color="auto"/>
            </w:tcBorders>
            <w:shd w:val="clear" w:color="auto" w:fill="FFFFFF"/>
            <w:vAlign w:val="center"/>
          </w:tcPr>
          <w:p w14:paraId="25B2CC99" w14:textId="1B0ABB95" w:rsidR="001D42BB" w:rsidRPr="007E190E" w:rsidRDefault="00AA080F" w:rsidP="00E8485E">
            <w:pPr>
              <w:pStyle w:val="POTTBenBest"/>
              <w:rPr>
                <w:sz w:val="20"/>
              </w:rPr>
            </w:pPr>
            <w:r>
              <w:rPr>
                <w:sz w:val="20"/>
              </w:rPr>
              <w:t>£0</w:t>
            </w:r>
          </w:p>
        </w:tc>
        <w:tc>
          <w:tcPr>
            <w:tcW w:w="705" w:type="dxa"/>
            <w:gridSpan w:val="2"/>
            <w:tcBorders>
              <w:left w:val="single" w:sz="12" w:space="0" w:color="auto"/>
              <w:right w:val="single" w:sz="12" w:space="0" w:color="auto"/>
            </w:tcBorders>
            <w:shd w:val="clear" w:color="auto" w:fill="FFFFFF"/>
            <w:vAlign w:val="center"/>
          </w:tcPr>
          <w:p w14:paraId="575FDD5A" w14:textId="77777777" w:rsidR="001D42BB" w:rsidRPr="007E190E" w:rsidRDefault="001D42BB" w:rsidP="00E8485E">
            <w:pPr>
              <w:pStyle w:val="IATableText"/>
              <w:jc w:val="right"/>
              <w:rPr>
                <w:sz w:val="20"/>
              </w:rPr>
            </w:pPr>
          </w:p>
        </w:tc>
        <w:tc>
          <w:tcPr>
            <w:tcW w:w="2545" w:type="dxa"/>
            <w:gridSpan w:val="2"/>
            <w:tcBorders>
              <w:top w:val="single" w:sz="12" w:space="0" w:color="auto"/>
              <w:left w:val="single" w:sz="12" w:space="0" w:color="auto"/>
              <w:bottom w:val="single" w:sz="12" w:space="0" w:color="auto"/>
              <w:right w:val="single" w:sz="12" w:space="0" w:color="auto"/>
            </w:tcBorders>
            <w:shd w:val="clear" w:color="auto" w:fill="FFFFFF"/>
            <w:vAlign w:val="center"/>
          </w:tcPr>
          <w:p w14:paraId="13BBA262" w14:textId="5C49F4E6" w:rsidR="001D42BB" w:rsidRPr="007E190E" w:rsidRDefault="00AA080F" w:rsidP="00E8485E">
            <w:pPr>
              <w:pStyle w:val="POAABenBest"/>
              <w:rPr>
                <w:sz w:val="20"/>
              </w:rPr>
            </w:pPr>
            <w:r>
              <w:rPr>
                <w:sz w:val="20"/>
              </w:rPr>
              <w:t>£</w:t>
            </w:r>
            <w:r w:rsidR="00BC0FA2">
              <w:rPr>
                <w:sz w:val="20"/>
              </w:rPr>
              <w:t>61,</w:t>
            </w:r>
            <w:r w:rsidR="00F715C5">
              <w:rPr>
                <w:sz w:val="20"/>
              </w:rPr>
              <w:t>1</w:t>
            </w:r>
            <w:r w:rsidR="00BC0FA2" w:rsidRPr="0006159E">
              <w:rPr>
                <w:sz w:val="20"/>
              </w:rPr>
              <w:t>00</w:t>
            </w:r>
          </w:p>
        </w:tc>
        <w:tc>
          <w:tcPr>
            <w:tcW w:w="3301" w:type="dxa"/>
            <w:gridSpan w:val="3"/>
            <w:tcBorders>
              <w:top w:val="single" w:sz="12" w:space="0" w:color="auto"/>
              <w:left w:val="single" w:sz="12" w:space="0" w:color="auto"/>
              <w:bottom w:val="single" w:sz="12" w:space="0" w:color="auto"/>
            </w:tcBorders>
            <w:shd w:val="clear" w:color="auto" w:fill="FFFFFF"/>
            <w:vAlign w:val="center"/>
          </w:tcPr>
          <w:p w14:paraId="20515787" w14:textId="1EC02A25" w:rsidR="001D42BB" w:rsidRPr="007E190E" w:rsidRDefault="000F66EE" w:rsidP="00E8485E">
            <w:pPr>
              <w:pStyle w:val="POTBBenBest"/>
              <w:rPr>
                <w:sz w:val="20"/>
              </w:rPr>
            </w:pPr>
            <w:r w:rsidRPr="00FE5222">
              <w:rPr>
                <w:rFonts w:cs="Arial"/>
                <w:sz w:val="20"/>
              </w:rPr>
              <w:t>£</w:t>
            </w:r>
            <w:r w:rsidR="00D345BE">
              <w:rPr>
                <w:rFonts w:cs="Arial"/>
                <w:sz w:val="20"/>
              </w:rPr>
              <w:t>879,000</w:t>
            </w:r>
          </w:p>
        </w:tc>
      </w:tr>
      <w:tr w:rsidR="001D42BB" w:rsidRPr="00826F71" w14:paraId="6288F105" w14:textId="77777777" w:rsidTr="00C16CDC">
        <w:trPr>
          <w:gridBefore w:val="1"/>
          <w:wBefore w:w="8" w:type="dxa"/>
          <w:trHeight w:hRule="exact" w:val="1474"/>
        </w:trPr>
        <w:tc>
          <w:tcPr>
            <w:tcW w:w="10169" w:type="dxa"/>
            <w:gridSpan w:val="10"/>
          </w:tcPr>
          <w:p w14:paraId="34B948FB" w14:textId="77777777" w:rsidR="001D42BB" w:rsidRPr="007E190E" w:rsidRDefault="001D42BB" w:rsidP="00E8485E">
            <w:pPr>
              <w:pStyle w:val="IPPOQ3"/>
              <w:rPr>
                <w:szCs w:val="22"/>
              </w:rPr>
            </w:pPr>
            <w:r w:rsidRPr="00544292">
              <w:t xml:space="preserve">Description and scale of </w:t>
            </w:r>
            <w:r w:rsidRPr="00826F71">
              <w:t xml:space="preserve">key monetised </w:t>
            </w:r>
            <w:r>
              <w:t>benefits</w:t>
            </w:r>
            <w:r w:rsidRPr="00544292">
              <w:t xml:space="preserve"> by ‘main affected groups’ </w:t>
            </w:r>
          </w:p>
          <w:p w14:paraId="4331A4B8" w14:textId="310A8EB4" w:rsidR="001D42BB" w:rsidRPr="00826F71" w:rsidRDefault="00C172F2" w:rsidP="00E8485E">
            <w:pPr>
              <w:pStyle w:val="IAPOA3"/>
            </w:pPr>
            <w:r>
              <w:t>C</w:t>
            </w:r>
            <w:r w:rsidR="00EA38E7" w:rsidRPr="00EA38E7">
              <w:t xml:space="preserve">arbon savings, monetised </w:t>
            </w:r>
            <w:r w:rsidR="006D40FE">
              <w:t>using</w:t>
            </w:r>
            <w:r>
              <w:t xml:space="preserve"> </w:t>
            </w:r>
            <w:r w:rsidR="007C6560">
              <w:t>government</w:t>
            </w:r>
            <w:r w:rsidR="006D40FE">
              <w:t xml:space="preserve"> </w:t>
            </w:r>
            <w:r w:rsidR="00EA38E7" w:rsidRPr="00EA38E7">
              <w:t xml:space="preserve">carbon values, are the main benefit. Also included are reduced damage costs of air quality pollutants, some natural capital benefits and operational savings where fuel costs are </w:t>
            </w:r>
            <w:r w:rsidR="00C83F54">
              <w:t>reduced</w:t>
            </w:r>
            <w:r w:rsidR="00EA38E7" w:rsidRPr="00EA38E7">
              <w:t xml:space="preserve">. </w:t>
            </w:r>
            <w:r w:rsidR="009B10E9">
              <w:t>B</w:t>
            </w:r>
            <w:r w:rsidR="00C83F54">
              <w:t>enefits</w:t>
            </w:r>
            <w:r w:rsidR="00EA38E7" w:rsidRPr="00EA38E7">
              <w:t xml:space="preserve"> are only considered at a societal level and a distributional breakdown is not considered.</w:t>
            </w:r>
          </w:p>
        </w:tc>
      </w:tr>
      <w:tr w:rsidR="001D42BB" w:rsidRPr="00826F71" w14:paraId="5E527CA3" w14:textId="77777777" w:rsidTr="00C16CDC">
        <w:trPr>
          <w:gridBefore w:val="1"/>
          <w:wBefore w:w="8" w:type="dxa"/>
          <w:trHeight w:hRule="exact" w:val="1254"/>
        </w:trPr>
        <w:tc>
          <w:tcPr>
            <w:tcW w:w="10169" w:type="dxa"/>
            <w:gridSpan w:val="10"/>
          </w:tcPr>
          <w:p w14:paraId="3A934647" w14:textId="77777777" w:rsidR="001D42BB" w:rsidRPr="007E190E" w:rsidRDefault="001D42BB" w:rsidP="00E8485E">
            <w:pPr>
              <w:pStyle w:val="IAPOQ4"/>
              <w:rPr>
                <w:szCs w:val="22"/>
              </w:rPr>
            </w:pPr>
            <w:r w:rsidRPr="00544292">
              <w:t>Other</w:t>
            </w:r>
            <w:r w:rsidRPr="00826F71">
              <w:t xml:space="preserve"> key non-monetised </w:t>
            </w:r>
            <w:r>
              <w:t>benefits</w:t>
            </w:r>
            <w:r w:rsidRPr="00544292">
              <w:t xml:space="preserve"> by ‘main affected groups’ </w:t>
            </w:r>
          </w:p>
          <w:p w14:paraId="3EFBD621" w14:textId="1A857C5E" w:rsidR="001D42BB" w:rsidRPr="00826F71" w:rsidRDefault="00EA38E7" w:rsidP="00E8485E">
            <w:pPr>
              <w:pStyle w:val="IAPOA4"/>
            </w:pPr>
            <w:r w:rsidRPr="00EA38E7">
              <w:t>Some natural capital benefits have been considered qualitatively</w:t>
            </w:r>
            <w:r w:rsidR="00C42AF0">
              <w:t>, such as benefits to biodiversity</w:t>
            </w:r>
            <w:r w:rsidRPr="00EA38E7">
              <w:t>. Potential wider economic impacts of decarbonisation are also considered</w:t>
            </w:r>
            <w:r w:rsidR="00841392">
              <w:t>, such as</w:t>
            </w:r>
            <w:r w:rsidR="00E260DD">
              <w:t xml:space="preserve"> </w:t>
            </w:r>
            <w:r w:rsidR="00FB4BF6">
              <w:t xml:space="preserve">improvements to </w:t>
            </w:r>
            <w:r w:rsidR="00EC32FF">
              <w:t xml:space="preserve">innovation, </w:t>
            </w:r>
            <w:r w:rsidR="00EB328C">
              <w:t>competitiveness,</w:t>
            </w:r>
            <w:r w:rsidR="00D962BE">
              <w:t xml:space="preserve"> and </w:t>
            </w:r>
            <w:r w:rsidR="00E260DD">
              <w:t xml:space="preserve">export opportunities. </w:t>
            </w:r>
          </w:p>
        </w:tc>
      </w:tr>
      <w:tr w:rsidR="001D42BB" w:rsidRPr="00826F71" w14:paraId="4D170FD5" w14:textId="77777777" w:rsidTr="00AE0883">
        <w:trPr>
          <w:trHeight w:hRule="exact" w:val="319"/>
        </w:trPr>
        <w:tc>
          <w:tcPr>
            <w:tcW w:w="8451" w:type="dxa"/>
            <w:gridSpan w:val="10"/>
            <w:tcBorders>
              <w:bottom w:val="nil"/>
            </w:tcBorders>
          </w:tcPr>
          <w:p w14:paraId="7D277B91" w14:textId="73FA9BD2" w:rsidR="001D42BB" w:rsidRPr="00455895" w:rsidRDefault="001D42BB" w:rsidP="00AE0883">
            <w:pPr>
              <w:pStyle w:val="IATableLabel"/>
              <w:tabs>
                <w:tab w:val="left" w:pos="7655"/>
              </w:tabs>
            </w:pPr>
            <w:r w:rsidRPr="00F1653E">
              <w:rPr>
                <w:rStyle w:val="IAPOQ5Char"/>
                <w:b/>
              </w:rPr>
              <w:t>Key assumptions/sensitivities/risks</w:t>
            </w:r>
          </w:p>
        </w:tc>
        <w:tc>
          <w:tcPr>
            <w:tcW w:w="1726" w:type="dxa"/>
            <w:tcBorders>
              <w:bottom w:val="single" w:sz="4" w:space="0" w:color="auto"/>
            </w:tcBorders>
          </w:tcPr>
          <w:p w14:paraId="6EBC690D" w14:textId="1A6A3B33" w:rsidR="001D42BB" w:rsidRPr="007E6CF8" w:rsidRDefault="00EA38E7" w:rsidP="00E8485E">
            <w:pPr>
              <w:pStyle w:val="IAPODisRate"/>
            </w:pPr>
            <w:r>
              <w:t>3.5</w:t>
            </w:r>
          </w:p>
        </w:tc>
      </w:tr>
      <w:tr w:rsidR="001D42BB" w:rsidRPr="007E190E" w14:paraId="5EC182A2" w14:textId="77777777" w:rsidTr="00C16CDC">
        <w:trPr>
          <w:gridBefore w:val="1"/>
          <w:wBefore w:w="8" w:type="dxa"/>
          <w:trHeight w:hRule="exact" w:val="2049"/>
        </w:trPr>
        <w:tc>
          <w:tcPr>
            <w:tcW w:w="10169" w:type="dxa"/>
            <w:gridSpan w:val="10"/>
            <w:tcBorders>
              <w:top w:val="nil"/>
              <w:bottom w:val="single" w:sz="12" w:space="0" w:color="auto"/>
            </w:tcBorders>
          </w:tcPr>
          <w:p w14:paraId="08C73ED1" w14:textId="6F410D9A" w:rsidR="001D42BB" w:rsidRPr="003B1630" w:rsidRDefault="00F10A0F">
            <w:pPr>
              <w:pStyle w:val="IAPOA5"/>
              <w:rPr>
                <w:i/>
              </w:rPr>
            </w:pPr>
            <w:r>
              <w:t>The portfolio of policies to deliver the budget level i</w:t>
            </w:r>
            <w:r w:rsidR="00A90B6A">
              <w:t>s</w:t>
            </w:r>
            <w:r>
              <w:t xml:space="preserve"> un</w:t>
            </w:r>
            <w:r w:rsidR="00176FAB">
              <w:t>confirmed</w:t>
            </w:r>
            <w:r>
              <w:t xml:space="preserve"> at this stag</w:t>
            </w:r>
            <w:r w:rsidR="00895CE3">
              <w:t>e,</w:t>
            </w:r>
            <w:r>
              <w:t xml:space="preserve"> though the analysis presented gives a sense of the challenges.</w:t>
            </w:r>
            <w:r w:rsidR="001B2AAD">
              <w:t xml:space="preserve"> The monetisation of</w:t>
            </w:r>
            <w:r>
              <w:t xml:space="preserve"> </w:t>
            </w:r>
            <w:r w:rsidR="001B2AAD">
              <w:t>emissions reduction measures is provided as an illustration only, and is based on knowledge of</w:t>
            </w:r>
            <w:r>
              <w:t xml:space="preserve"> </w:t>
            </w:r>
            <w:r w:rsidR="001B2AAD">
              <w:t>theoretically achievable options, which are assumed to be deliverable from a technical perspective.</w:t>
            </w:r>
            <w:r w:rsidR="0066046F">
              <w:t xml:space="preserve"> </w:t>
            </w:r>
            <w:r w:rsidR="00631950">
              <w:t>Emissions</w:t>
            </w:r>
            <w:r w:rsidR="00EA38E7" w:rsidRPr="00EA38E7">
              <w:t xml:space="preserve"> savings are valued </w:t>
            </w:r>
            <w:r w:rsidR="00631950">
              <w:t>using</w:t>
            </w:r>
            <w:r w:rsidR="00EA38E7" w:rsidRPr="00EA38E7">
              <w:t xml:space="preserve"> the High </w:t>
            </w:r>
            <w:r w:rsidR="00631950">
              <w:t>Carbon Values</w:t>
            </w:r>
            <w:r w:rsidR="00EA38E7" w:rsidRPr="00EA38E7">
              <w:t xml:space="preserve"> series, with the Central series tested as a sensitivity. High and low fuel costs and GDP projections are also tested as sensitivities. National damage costs are used to value air quality impacts. As a sensitivity, the impact of removing the wealth element of the </w:t>
            </w:r>
            <w:r w:rsidR="00B064EF">
              <w:t xml:space="preserve">social </w:t>
            </w:r>
            <w:r w:rsidR="00EA38E7" w:rsidRPr="00EA38E7">
              <w:t xml:space="preserve">discount rate for </w:t>
            </w:r>
            <w:r w:rsidR="00900363">
              <w:t>emissions</w:t>
            </w:r>
            <w:r w:rsidR="00EA38E7" w:rsidRPr="00EA38E7">
              <w:t xml:space="preserve"> savings is tested.</w:t>
            </w:r>
            <w:r w:rsidR="0066046F">
              <w:t xml:space="preserve"> </w:t>
            </w:r>
          </w:p>
        </w:tc>
      </w:tr>
    </w:tbl>
    <w:p w14:paraId="40BD6F39" w14:textId="77777777" w:rsidR="001D42BB" w:rsidRDefault="001D42BB" w:rsidP="001D42BB">
      <w:pPr>
        <w:pStyle w:val="IASpacer"/>
      </w:pPr>
    </w:p>
    <w:p w14:paraId="3E60A68A" w14:textId="77777777" w:rsidR="001D42BB" w:rsidRDefault="001D42BB" w:rsidP="001D42BB">
      <w:pPr>
        <w:pStyle w:val="IAHeadLabel"/>
        <w:spacing w:before="50"/>
      </w:pPr>
    </w:p>
    <w:p w14:paraId="1CE1C4E4" w14:textId="2604AEF8" w:rsidR="001D42BB" w:rsidRDefault="001D42BB" w:rsidP="001D42BB">
      <w:pPr>
        <w:pStyle w:val="IAHeadLabel"/>
        <w:spacing w:before="50"/>
      </w:pPr>
      <w:r>
        <w:t xml:space="preserve">BUSINESS ASSESSMENT (Option </w:t>
      </w:r>
      <w:r w:rsidR="006D15C4">
        <w:rPr>
          <w:noProof/>
        </w:rPr>
        <w:t>2</w:t>
      </w:r>
      <w:r>
        <w:t>)</w:t>
      </w:r>
    </w:p>
    <w:tbl>
      <w:tblPr>
        <w:tblW w:w="5001"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81"/>
        <w:gridCol w:w="1839"/>
        <w:gridCol w:w="1698"/>
        <w:gridCol w:w="4679"/>
      </w:tblGrid>
      <w:tr w:rsidR="001D42BB" w:rsidRPr="000E02BE" w14:paraId="6E04833B" w14:textId="77777777" w:rsidTr="006A0C4B">
        <w:trPr>
          <w:trHeight w:hRule="exact" w:val="384"/>
        </w:trPr>
        <w:tc>
          <w:tcPr>
            <w:tcW w:w="5518" w:type="dxa"/>
            <w:gridSpan w:val="3"/>
            <w:tcBorders>
              <w:top w:val="single" w:sz="4" w:space="0" w:color="auto"/>
              <w:bottom w:val="nil"/>
              <w:right w:val="single" w:sz="4" w:space="0" w:color="auto"/>
            </w:tcBorders>
          </w:tcPr>
          <w:p w14:paraId="1C4B209E" w14:textId="55B6ABFC" w:rsidR="001D42BB" w:rsidRPr="000E02BE" w:rsidRDefault="001D42BB" w:rsidP="00E8485E">
            <w:pPr>
              <w:pStyle w:val="IATableLabel"/>
            </w:pPr>
            <w:r w:rsidRPr="000E02BE">
              <w:t xml:space="preserve">Direct impact on </w:t>
            </w:r>
            <w:r>
              <w:t>business (Equivalent Annual) £m</w:t>
            </w:r>
            <w:r w:rsidRPr="000E02BE">
              <w:t xml:space="preserve">: </w:t>
            </w:r>
          </w:p>
        </w:tc>
        <w:tc>
          <w:tcPr>
            <w:tcW w:w="4679" w:type="dxa"/>
            <w:vMerge w:val="restart"/>
            <w:tcBorders>
              <w:top w:val="single" w:sz="4" w:space="0" w:color="auto"/>
              <w:left w:val="single" w:sz="4" w:space="0" w:color="auto"/>
            </w:tcBorders>
          </w:tcPr>
          <w:p w14:paraId="092F134F" w14:textId="5BF0BC62" w:rsidR="001D42BB" w:rsidRPr="000E02BE" w:rsidRDefault="001D42BB" w:rsidP="00E8485E">
            <w:pPr>
              <w:pStyle w:val="IATableLabel"/>
            </w:pPr>
            <w:r>
              <w:t>Score for Business Impact Target (qualifying provisions only) £m:</w:t>
            </w:r>
          </w:p>
        </w:tc>
      </w:tr>
      <w:tr w:rsidR="001D42BB" w:rsidRPr="00E75380" w14:paraId="7FBD1464" w14:textId="77777777" w:rsidTr="006A0C4B">
        <w:trPr>
          <w:trHeight w:hRule="exact" w:val="340"/>
        </w:trPr>
        <w:tc>
          <w:tcPr>
            <w:tcW w:w="1981" w:type="dxa"/>
            <w:vMerge w:val="restart"/>
            <w:tcBorders>
              <w:top w:val="nil"/>
              <w:right w:val="single" w:sz="4" w:space="0" w:color="auto"/>
            </w:tcBorders>
            <w:shd w:val="clear" w:color="auto" w:fill="FFFFFF"/>
          </w:tcPr>
          <w:p w14:paraId="3E2B5DDA" w14:textId="01945F5B" w:rsidR="001D42BB" w:rsidRPr="00F63895" w:rsidRDefault="001D42BB" w:rsidP="00E8485E">
            <w:pPr>
              <w:pStyle w:val="IATableLabel"/>
            </w:pPr>
            <w:r w:rsidRPr="00F63895">
              <w:t xml:space="preserve">Costs: </w:t>
            </w:r>
            <w:r w:rsidRPr="00F63895">
              <w:rPr>
                <w:rStyle w:val="IAPODICostChar"/>
                <w:b/>
                <w:sz w:val="20"/>
              </w:rPr>
              <w:fldChar w:fldCharType="begin">
                <w:ffData>
                  <w:name w:val="Text67"/>
                  <w:enabled/>
                  <w:calcOnExit w:val="0"/>
                  <w:textInput>
                    <w:maxLength w:val="9"/>
                  </w:textInput>
                </w:ffData>
              </w:fldChar>
            </w:r>
            <w:r w:rsidRPr="00F63895">
              <w:rPr>
                <w:rStyle w:val="IAPODICostChar"/>
                <w:b/>
                <w:sz w:val="20"/>
              </w:rPr>
              <w:instrText xml:space="preserve"> FORMTEXT </w:instrText>
            </w:r>
            <w:r w:rsidRPr="00F63895">
              <w:rPr>
                <w:rStyle w:val="IAPODICostChar"/>
                <w:b/>
                <w:sz w:val="20"/>
              </w:rPr>
            </w:r>
            <w:r w:rsidRPr="00F63895">
              <w:rPr>
                <w:rStyle w:val="IAPODICostChar"/>
                <w:b/>
                <w:sz w:val="20"/>
              </w:rPr>
              <w:fldChar w:fldCharType="separate"/>
            </w:r>
            <w:r w:rsidRPr="00F63895">
              <w:rPr>
                <w:rStyle w:val="IAPODICostChar"/>
                <w:noProof/>
                <w:sz w:val="20"/>
              </w:rPr>
              <w:t> </w:t>
            </w:r>
            <w:r w:rsidRPr="00F63895">
              <w:rPr>
                <w:rStyle w:val="IAPODICostChar"/>
                <w:noProof/>
                <w:sz w:val="20"/>
              </w:rPr>
              <w:t> </w:t>
            </w:r>
            <w:r w:rsidRPr="00F63895">
              <w:rPr>
                <w:rStyle w:val="IAPODICostChar"/>
                <w:noProof/>
                <w:sz w:val="20"/>
              </w:rPr>
              <w:t> </w:t>
            </w:r>
            <w:r w:rsidRPr="00F63895">
              <w:rPr>
                <w:rStyle w:val="IAPODICostChar"/>
                <w:noProof/>
                <w:sz w:val="20"/>
              </w:rPr>
              <w:t> </w:t>
            </w:r>
            <w:r w:rsidRPr="00F63895">
              <w:rPr>
                <w:rStyle w:val="IAPODICostChar"/>
                <w:noProof/>
                <w:sz w:val="20"/>
              </w:rPr>
              <w:t> </w:t>
            </w:r>
            <w:r w:rsidRPr="00F63895">
              <w:rPr>
                <w:rStyle w:val="IAPODICostChar"/>
                <w:b/>
                <w:sz w:val="20"/>
              </w:rPr>
              <w:fldChar w:fldCharType="end"/>
            </w:r>
            <w:r w:rsidR="00AA080F">
              <w:rPr>
                <w:rStyle w:val="IAPODICostChar"/>
                <w:b/>
                <w:sz w:val="20"/>
              </w:rPr>
              <w:t>£</w:t>
            </w:r>
            <w:r w:rsidR="00AA080F">
              <w:rPr>
                <w:rStyle w:val="IAPODICostChar"/>
                <w:b/>
              </w:rPr>
              <w:t>0</w:t>
            </w:r>
          </w:p>
        </w:tc>
        <w:tc>
          <w:tcPr>
            <w:tcW w:w="1839" w:type="dxa"/>
            <w:vMerge w:val="restart"/>
            <w:tcBorders>
              <w:top w:val="nil"/>
              <w:right w:val="single" w:sz="4" w:space="0" w:color="auto"/>
            </w:tcBorders>
            <w:shd w:val="clear" w:color="auto" w:fill="FFFFFF"/>
          </w:tcPr>
          <w:p w14:paraId="20BC51EF" w14:textId="5841D58D" w:rsidR="001D42BB" w:rsidRPr="00F63895" w:rsidRDefault="001D42BB" w:rsidP="00E8485E">
            <w:pPr>
              <w:pStyle w:val="IATableLabel"/>
            </w:pPr>
            <w:r w:rsidRPr="00F63895">
              <w:t xml:space="preserve">Benefits: </w:t>
            </w:r>
            <w:r w:rsidR="00AA080F">
              <w:rPr>
                <w:rStyle w:val="IAPODIBenChar"/>
                <w:sz w:val="20"/>
              </w:rPr>
              <w:t>£0</w:t>
            </w:r>
          </w:p>
        </w:tc>
        <w:tc>
          <w:tcPr>
            <w:tcW w:w="1698" w:type="dxa"/>
            <w:vMerge w:val="restart"/>
            <w:tcBorders>
              <w:top w:val="nil"/>
              <w:right w:val="single" w:sz="4" w:space="0" w:color="auto"/>
            </w:tcBorders>
            <w:shd w:val="clear" w:color="auto" w:fill="FFFFFF"/>
          </w:tcPr>
          <w:p w14:paraId="739FFA37" w14:textId="70AA6A4C" w:rsidR="001D42BB" w:rsidRPr="00F63895" w:rsidRDefault="001D42BB" w:rsidP="00E8485E">
            <w:pPr>
              <w:pStyle w:val="IATableLabel"/>
            </w:pPr>
            <w:r w:rsidRPr="00F63895">
              <w:t xml:space="preserve">Net: </w:t>
            </w:r>
            <w:r w:rsidR="00AA080F">
              <w:rPr>
                <w:rStyle w:val="IAPODINetChar"/>
                <w:sz w:val="20"/>
              </w:rPr>
              <w:t>£0</w:t>
            </w:r>
          </w:p>
        </w:tc>
        <w:tc>
          <w:tcPr>
            <w:tcW w:w="4679" w:type="dxa"/>
            <w:vMerge/>
            <w:tcBorders>
              <w:left w:val="single" w:sz="4" w:space="0" w:color="auto"/>
              <w:bottom w:val="single" w:sz="4" w:space="0" w:color="auto"/>
            </w:tcBorders>
            <w:shd w:val="clear" w:color="auto" w:fill="FFFFFF"/>
          </w:tcPr>
          <w:p w14:paraId="5B4EF941" w14:textId="77777777" w:rsidR="001D42BB" w:rsidRPr="00F63895" w:rsidRDefault="001D42BB" w:rsidP="00E8485E">
            <w:pPr>
              <w:pStyle w:val="IAPODIMQ"/>
            </w:pPr>
          </w:p>
        </w:tc>
      </w:tr>
      <w:tr w:rsidR="001D42BB" w:rsidRPr="00E75380" w14:paraId="59BB2038" w14:textId="77777777" w:rsidTr="006A0C4B">
        <w:trPr>
          <w:trHeight w:hRule="exact" w:val="340"/>
        </w:trPr>
        <w:tc>
          <w:tcPr>
            <w:tcW w:w="1981" w:type="dxa"/>
            <w:vMerge/>
            <w:tcBorders>
              <w:bottom w:val="single" w:sz="4" w:space="0" w:color="auto"/>
              <w:right w:val="single" w:sz="4" w:space="0" w:color="auto"/>
            </w:tcBorders>
            <w:shd w:val="clear" w:color="auto" w:fill="FFFFFF"/>
          </w:tcPr>
          <w:p w14:paraId="13C4421B" w14:textId="77777777" w:rsidR="001D42BB" w:rsidRPr="00F63895" w:rsidRDefault="001D42BB" w:rsidP="00E8485E">
            <w:pPr>
              <w:pStyle w:val="IATableLabel"/>
            </w:pPr>
          </w:p>
        </w:tc>
        <w:tc>
          <w:tcPr>
            <w:tcW w:w="1839" w:type="dxa"/>
            <w:vMerge/>
            <w:tcBorders>
              <w:bottom w:val="single" w:sz="4" w:space="0" w:color="auto"/>
              <w:right w:val="single" w:sz="4" w:space="0" w:color="auto"/>
            </w:tcBorders>
            <w:shd w:val="clear" w:color="auto" w:fill="FFFFFF"/>
          </w:tcPr>
          <w:p w14:paraId="6B28D05C" w14:textId="77777777" w:rsidR="001D42BB" w:rsidRPr="00F63895" w:rsidRDefault="001D42BB" w:rsidP="00E8485E">
            <w:pPr>
              <w:pStyle w:val="IATableLabel"/>
            </w:pPr>
          </w:p>
        </w:tc>
        <w:tc>
          <w:tcPr>
            <w:tcW w:w="1698" w:type="dxa"/>
            <w:vMerge/>
            <w:tcBorders>
              <w:bottom w:val="single" w:sz="4" w:space="0" w:color="auto"/>
              <w:right w:val="single" w:sz="4" w:space="0" w:color="auto"/>
            </w:tcBorders>
            <w:shd w:val="clear" w:color="auto" w:fill="FFFFFF"/>
          </w:tcPr>
          <w:p w14:paraId="17CE4F5D" w14:textId="77777777" w:rsidR="001D42BB" w:rsidRPr="00F63895" w:rsidRDefault="001D42BB" w:rsidP="00E8485E">
            <w:pPr>
              <w:pStyle w:val="IATableLabel"/>
            </w:pPr>
          </w:p>
        </w:tc>
        <w:tc>
          <w:tcPr>
            <w:tcW w:w="4679" w:type="dxa"/>
            <w:tcBorders>
              <w:top w:val="nil"/>
              <w:left w:val="single" w:sz="4" w:space="0" w:color="auto"/>
              <w:bottom w:val="single" w:sz="4" w:space="0" w:color="auto"/>
            </w:tcBorders>
            <w:shd w:val="clear" w:color="auto" w:fill="FFFFFF"/>
          </w:tcPr>
          <w:p w14:paraId="60C752AA" w14:textId="3495A2F3" w:rsidR="001D42BB" w:rsidRPr="00F63895" w:rsidRDefault="001D42BB" w:rsidP="00E8485E">
            <w:pPr>
              <w:pStyle w:val="IAPODIMQ"/>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AA080F">
              <w:t>£0</w:t>
            </w:r>
          </w:p>
        </w:tc>
      </w:tr>
    </w:tbl>
    <w:p w14:paraId="7ACFE3B9" w14:textId="77777777" w:rsidR="001D42BB" w:rsidRDefault="001D42BB" w:rsidP="001D42BB">
      <w:pPr>
        <w:sectPr w:rsidR="001D42BB" w:rsidSect="00F1328C">
          <w:footnotePr>
            <w:numRestart w:val="eachSect"/>
          </w:footnotePr>
          <w:pgSz w:w="11907" w:h="16840" w:code="9"/>
          <w:pgMar w:top="680" w:right="851" w:bottom="680" w:left="851" w:header="284" w:footer="284" w:gutter="0"/>
          <w:cols w:space="708"/>
          <w:docGrid w:linePitch="360"/>
        </w:sectPr>
      </w:pPr>
    </w:p>
    <w:p w14:paraId="464058E3" w14:textId="3D639274" w:rsidR="001D42BB" w:rsidRDefault="001D42BB" w:rsidP="001D42BB">
      <w:pPr>
        <w:pStyle w:val="Heading1"/>
        <w:spacing w:before="0"/>
      </w:pPr>
      <w:bookmarkStart w:id="30" w:name="_Toc67051831"/>
      <w:r>
        <w:lastRenderedPageBreak/>
        <w:t>Summary: Analysis &amp; Evidence</w:t>
      </w:r>
      <w:r>
        <w:tab/>
      </w:r>
      <w:r w:rsidRPr="00E3545D">
        <w:rPr>
          <w:rFonts w:ascii="Arial Bold" w:hAnsi="Arial Bold"/>
          <w:b w:val="0"/>
        </w:rPr>
        <w:t xml:space="preserve">Policy Option </w:t>
      </w:r>
      <w:r w:rsidR="00271FAD">
        <w:rPr>
          <w:rFonts w:ascii="Arial Bold" w:hAnsi="Arial Bold"/>
          <w:b w:val="0"/>
        </w:rPr>
        <w:t>3</w:t>
      </w:r>
      <w:bookmarkEnd w:id="30"/>
    </w:p>
    <w:p w14:paraId="2D9ECF90" w14:textId="49374855" w:rsidR="001D42BB" w:rsidRDefault="001D42BB" w:rsidP="001D42BB">
      <w:pPr>
        <w:pStyle w:val="IAHeadLabel"/>
        <w:spacing w:before="50"/>
      </w:pPr>
      <w:r w:rsidRPr="00892576">
        <w:t xml:space="preserve">Description: </w:t>
      </w:r>
      <w:r w:rsidRPr="006B70AF">
        <w:t xml:space="preserve"> </w:t>
      </w:r>
      <w:r w:rsidR="00BA0995" w:rsidRPr="001C7573">
        <w:t>The CCC’s</w:t>
      </w:r>
      <w:r w:rsidR="00271FAD" w:rsidRPr="001C7573">
        <w:t xml:space="preserve"> recommended</w:t>
      </w:r>
      <w:r w:rsidR="008D493B" w:rsidRPr="001C7573">
        <w:t xml:space="preserve"> budget level at 965MtCO</w:t>
      </w:r>
      <w:r w:rsidR="008D493B" w:rsidRPr="001C7573">
        <w:rPr>
          <w:vertAlign w:val="subscript"/>
        </w:rPr>
        <w:t>2</w:t>
      </w:r>
      <w:r w:rsidR="008D493B" w:rsidRPr="001C7573">
        <w:t>e</w:t>
      </w:r>
      <w:r>
        <w:rPr>
          <w:rStyle w:val="IAPODescriptionCharChar"/>
        </w:rPr>
        <w:fldChar w:fldCharType="begin">
          <w:ffData>
            <w:name w:val="Text70"/>
            <w:enabled/>
            <w:calcOnExit w:val="0"/>
            <w:textInput>
              <w:maxLength w:val="230"/>
            </w:textInput>
          </w:ffData>
        </w:fldChar>
      </w:r>
      <w:r>
        <w:rPr>
          <w:rStyle w:val="IAPODescriptionCharChar"/>
        </w:rPr>
        <w:instrText xml:space="preserve"> FORMTEXT </w:instrText>
      </w:r>
      <w:r>
        <w:rPr>
          <w:rStyle w:val="IAPODescriptionCharChar"/>
        </w:rPr>
      </w:r>
      <w:r>
        <w:rPr>
          <w:rStyle w:val="IAPODescriptionCharChar"/>
        </w:rPr>
        <w:fldChar w:fldCharType="separate"/>
      </w:r>
      <w:r>
        <w:rPr>
          <w:rStyle w:val="IAPODescriptionCharChar"/>
          <w:noProof/>
        </w:rPr>
        <w:t> </w:t>
      </w:r>
      <w:r>
        <w:rPr>
          <w:rStyle w:val="IAPODescriptionCharChar"/>
          <w:noProof/>
        </w:rPr>
        <w:t> </w:t>
      </w:r>
      <w:r>
        <w:rPr>
          <w:rStyle w:val="IAPODescriptionCharChar"/>
          <w:noProof/>
        </w:rPr>
        <w:t> </w:t>
      </w:r>
      <w:r>
        <w:rPr>
          <w:rStyle w:val="IAPODescriptionCharChar"/>
          <w:noProof/>
        </w:rPr>
        <w:t> </w:t>
      </w:r>
      <w:r>
        <w:rPr>
          <w:rStyle w:val="IAPODescriptionCharChar"/>
          <w:noProof/>
        </w:rPr>
        <w:t> </w:t>
      </w:r>
      <w:r>
        <w:rPr>
          <w:rStyle w:val="IAPODescriptionCharChar"/>
        </w:rPr>
        <w:fldChar w:fldCharType="end"/>
      </w:r>
    </w:p>
    <w:p w14:paraId="408D8BA6" w14:textId="77777777" w:rsidR="001D42BB" w:rsidRDefault="001D42BB" w:rsidP="001D42BB">
      <w:pPr>
        <w:pStyle w:val="IAHeadLabel"/>
        <w:spacing w:before="50"/>
      </w:pPr>
      <w:r>
        <w:t>FULL ECONOMIC ASSESSMENT</w:t>
      </w:r>
    </w:p>
    <w:tbl>
      <w:tblPr>
        <w:tblW w:w="5150"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412"/>
        <w:gridCol w:w="1254"/>
        <w:gridCol w:w="1433"/>
        <w:gridCol w:w="1792"/>
        <w:gridCol w:w="1819"/>
        <w:gridCol w:w="2781"/>
      </w:tblGrid>
      <w:tr w:rsidR="00A9676A" w:rsidRPr="007E190E" w14:paraId="67B2A7D5" w14:textId="77777777" w:rsidTr="00F248FC">
        <w:trPr>
          <w:trHeight w:hRule="exact" w:val="312"/>
        </w:trPr>
        <w:tc>
          <w:tcPr>
            <w:tcW w:w="1411" w:type="dxa"/>
            <w:vMerge w:val="restart"/>
          </w:tcPr>
          <w:p w14:paraId="501ED9C0" w14:textId="77777777" w:rsidR="00F248FC" w:rsidRPr="00826F71" w:rsidRDefault="001D42BB" w:rsidP="00E8485E">
            <w:pPr>
              <w:pStyle w:val="POPBY"/>
            </w:pPr>
            <w:r w:rsidRPr="00826F71">
              <w:t>Price Base Year</w:t>
            </w:r>
            <w:r>
              <w:t xml:space="preserve">  </w:t>
            </w:r>
            <w:r w:rsidR="006971B8">
              <w:rPr>
                <w:b w:val="0"/>
              </w:rPr>
              <w:t>2019</w:t>
            </w:r>
          </w:p>
          <w:p w14:paraId="11332BF6" w14:textId="4A946DFF" w:rsidR="001D42BB" w:rsidRPr="00826F71" w:rsidRDefault="00F248FC" w:rsidP="00E8485E">
            <w:pPr>
              <w:pStyle w:val="IATableNotes"/>
              <w:ind w:left="0"/>
            </w:pPr>
            <w:r>
              <w:rPr>
                <w:b/>
                <w:sz w:val="20"/>
              </w:rPr>
              <w:t>2019</w:t>
            </w:r>
          </w:p>
        </w:tc>
        <w:tc>
          <w:tcPr>
            <w:tcW w:w="1254" w:type="dxa"/>
            <w:vMerge w:val="restart"/>
          </w:tcPr>
          <w:p w14:paraId="73540053" w14:textId="77777777" w:rsidR="00F248FC" w:rsidRPr="00826F71" w:rsidRDefault="001D42BB" w:rsidP="00E8485E">
            <w:pPr>
              <w:pStyle w:val="POPVBY"/>
            </w:pPr>
            <w:r w:rsidRPr="00826F71">
              <w:t>PV Base Year</w:t>
            </w:r>
            <w:r>
              <w:t xml:space="preserve">  </w:t>
            </w:r>
            <w:r w:rsidR="006971B8">
              <w:rPr>
                <w:b w:val="0"/>
              </w:rPr>
              <w:t>2020</w:t>
            </w:r>
          </w:p>
          <w:p w14:paraId="732A28DF" w14:textId="789D6CAE" w:rsidR="001D42BB" w:rsidRPr="00826F71" w:rsidRDefault="00F248FC" w:rsidP="00E8485E">
            <w:pPr>
              <w:pStyle w:val="IATableNotes"/>
              <w:ind w:left="0"/>
            </w:pPr>
            <w:r>
              <w:rPr>
                <w:b/>
                <w:sz w:val="20"/>
              </w:rPr>
              <w:t>2020</w:t>
            </w:r>
          </w:p>
        </w:tc>
        <w:tc>
          <w:tcPr>
            <w:tcW w:w="1433" w:type="dxa"/>
            <w:vMerge w:val="restart"/>
            <w:tcBorders>
              <w:right w:val="single" w:sz="12" w:space="0" w:color="auto"/>
            </w:tcBorders>
          </w:tcPr>
          <w:p w14:paraId="1F267692" w14:textId="2A5E0D8D" w:rsidR="00F248FC" w:rsidRPr="00826F71" w:rsidRDefault="001D42BB" w:rsidP="00E8485E">
            <w:pPr>
              <w:pStyle w:val="POTPY"/>
            </w:pPr>
            <w:r w:rsidRPr="00826F71">
              <w:t>Time Period Years</w:t>
            </w:r>
            <w:r>
              <w:t xml:space="preserve"> </w:t>
            </w:r>
            <w:r w:rsidR="00F248FC">
              <w:t xml:space="preserve"> </w:t>
            </w:r>
            <w:r w:rsidR="00F248FC">
              <w:rPr>
                <w:b w:val="0"/>
              </w:rPr>
              <w:t>30</w:t>
            </w:r>
          </w:p>
          <w:p w14:paraId="336EEF2B" w14:textId="219F7477" w:rsidR="001D42BB" w:rsidRPr="00826F71" w:rsidRDefault="00F248FC" w:rsidP="00E8485E">
            <w:pPr>
              <w:pStyle w:val="IATableNotes"/>
              <w:ind w:left="0"/>
            </w:pPr>
            <w:r>
              <w:rPr>
                <w:b/>
                <w:sz w:val="20"/>
              </w:rPr>
              <w:t>30</w:t>
            </w:r>
          </w:p>
        </w:tc>
        <w:tc>
          <w:tcPr>
            <w:tcW w:w="6392" w:type="dxa"/>
            <w:gridSpan w:val="3"/>
            <w:tcBorders>
              <w:top w:val="single" w:sz="12" w:space="0" w:color="auto"/>
              <w:left w:val="single" w:sz="12" w:space="0" w:color="auto"/>
              <w:right w:val="single" w:sz="12" w:space="0" w:color="auto"/>
            </w:tcBorders>
            <w:shd w:val="clear" w:color="auto" w:fill="FFFFFF"/>
          </w:tcPr>
          <w:p w14:paraId="41DA1DB6" w14:textId="3D77F3A3" w:rsidR="001D42BB" w:rsidRPr="00826F71" w:rsidRDefault="001D42BB" w:rsidP="00E8485E">
            <w:pPr>
              <w:pStyle w:val="IATableLabel"/>
              <w:jc w:val="center"/>
            </w:pPr>
            <w:r w:rsidRPr="00826F71">
              <w:t xml:space="preserve">Net </w:t>
            </w:r>
            <w:r w:rsidRPr="0075393B">
              <w:t>B</w:t>
            </w:r>
            <w:r w:rsidRPr="00826F71">
              <w:t>enefit (</w:t>
            </w:r>
            <w:r>
              <w:t>Present Value (</w:t>
            </w:r>
            <w:r w:rsidRPr="00826F71">
              <w:t>PV</w:t>
            </w:r>
            <w:r>
              <w:t>)</w:t>
            </w:r>
            <w:r w:rsidRPr="00826F71">
              <w:t>)</w:t>
            </w:r>
            <w:r>
              <w:t xml:space="preserve"> (£m)</w:t>
            </w:r>
          </w:p>
        </w:tc>
      </w:tr>
      <w:tr w:rsidR="00DD7847" w:rsidRPr="007E190E" w14:paraId="4F5082A8" w14:textId="77777777" w:rsidTr="00F248FC">
        <w:trPr>
          <w:trHeight w:hRule="exact" w:val="340"/>
        </w:trPr>
        <w:tc>
          <w:tcPr>
            <w:tcW w:w="1411" w:type="dxa"/>
            <w:vMerge/>
          </w:tcPr>
          <w:p w14:paraId="4BDD729E" w14:textId="243B94DE" w:rsidR="001D42BB" w:rsidRPr="007E190E" w:rsidRDefault="001D42BB" w:rsidP="00E8485E">
            <w:pPr>
              <w:pStyle w:val="IATableNotes"/>
              <w:ind w:left="0"/>
              <w:rPr>
                <w:b/>
                <w:sz w:val="20"/>
              </w:rPr>
            </w:pPr>
          </w:p>
        </w:tc>
        <w:tc>
          <w:tcPr>
            <w:tcW w:w="1254" w:type="dxa"/>
            <w:vMerge/>
          </w:tcPr>
          <w:p w14:paraId="0982E1E1" w14:textId="322FCBE0" w:rsidR="001D42BB" w:rsidRPr="007E190E" w:rsidRDefault="001D42BB" w:rsidP="00E8485E">
            <w:pPr>
              <w:pStyle w:val="IATableNotes"/>
              <w:ind w:left="0"/>
              <w:rPr>
                <w:b/>
                <w:sz w:val="20"/>
              </w:rPr>
            </w:pPr>
          </w:p>
        </w:tc>
        <w:tc>
          <w:tcPr>
            <w:tcW w:w="1433" w:type="dxa"/>
            <w:vMerge/>
            <w:tcBorders>
              <w:right w:val="single" w:sz="12" w:space="0" w:color="auto"/>
            </w:tcBorders>
          </w:tcPr>
          <w:p w14:paraId="7D203D57" w14:textId="7C2BEF2E" w:rsidR="001D42BB" w:rsidRPr="007E190E" w:rsidRDefault="001D42BB" w:rsidP="00E8485E">
            <w:pPr>
              <w:pStyle w:val="IATableNotes"/>
              <w:ind w:left="0"/>
              <w:rPr>
                <w:b/>
                <w:sz w:val="20"/>
              </w:rPr>
            </w:pPr>
          </w:p>
        </w:tc>
        <w:tc>
          <w:tcPr>
            <w:tcW w:w="1792" w:type="dxa"/>
            <w:tcBorders>
              <w:left w:val="single" w:sz="12" w:space="0" w:color="auto"/>
              <w:bottom w:val="single" w:sz="12" w:space="0" w:color="auto"/>
            </w:tcBorders>
          </w:tcPr>
          <w:p w14:paraId="58DE332E" w14:textId="77777777" w:rsidR="001D42BB" w:rsidRPr="007E190E" w:rsidRDefault="001D42BB" w:rsidP="00E8485E">
            <w:pPr>
              <w:pStyle w:val="IATableLabel"/>
              <w:rPr>
                <w:bCs/>
              </w:rPr>
            </w:pPr>
            <w:r w:rsidRPr="00304C1D">
              <w:t>Low:</w:t>
            </w:r>
            <w:r w:rsidRPr="00826F71">
              <w:t xml:space="preserve"> </w:t>
            </w:r>
            <w:r w:rsidRPr="007E190E">
              <w:rPr>
                <w:rStyle w:val="PONBLowCharChar"/>
                <w:sz w:val="20"/>
                <w:szCs w:val="22"/>
              </w:rPr>
              <w:fldChar w:fldCharType="begin">
                <w:ffData>
                  <w:name w:val="Text58"/>
                  <w:enabled/>
                  <w:calcOnExit w:val="0"/>
                  <w:textInput>
                    <w:default w:val="Optional"/>
                    <w:maxLength w:val="8"/>
                  </w:textInput>
                </w:ffData>
              </w:fldChar>
            </w:r>
            <w:r w:rsidRPr="007E190E">
              <w:rPr>
                <w:rStyle w:val="PONBLowCharChar"/>
                <w:sz w:val="20"/>
                <w:szCs w:val="22"/>
              </w:rPr>
              <w:instrText xml:space="preserve"> FORMTEXT </w:instrText>
            </w:r>
            <w:r w:rsidRPr="007E190E">
              <w:rPr>
                <w:rStyle w:val="PONBLowCharChar"/>
                <w:sz w:val="20"/>
                <w:szCs w:val="22"/>
              </w:rPr>
            </w:r>
            <w:r w:rsidRPr="007E190E">
              <w:rPr>
                <w:rStyle w:val="PONBLowCharChar"/>
                <w:sz w:val="20"/>
                <w:szCs w:val="22"/>
              </w:rPr>
              <w:fldChar w:fldCharType="separate"/>
            </w:r>
            <w:r w:rsidRPr="007E190E">
              <w:rPr>
                <w:rStyle w:val="PONBLowCharChar"/>
                <w:noProof/>
                <w:sz w:val="20"/>
                <w:szCs w:val="22"/>
              </w:rPr>
              <w:t>Optional</w:t>
            </w:r>
            <w:r w:rsidRPr="007E190E">
              <w:rPr>
                <w:rStyle w:val="PONBLowCharChar"/>
                <w:sz w:val="20"/>
                <w:szCs w:val="22"/>
              </w:rPr>
              <w:fldChar w:fldCharType="end"/>
            </w:r>
          </w:p>
        </w:tc>
        <w:tc>
          <w:tcPr>
            <w:tcW w:w="1819" w:type="dxa"/>
            <w:tcBorders>
              <w:bottom w:val="single" w:sz="12" w:space="0" w:color="auto"/>
              <w:right w:val="single" w:sz="12" w:space="0" w:color="auto"/>
            </w:tcBorders>
          </w:tcPr>
          <w:p w14:paraId="5F5E6039" w14:textId="77777777" w:rsidR="001D42BB" w:rsidRPr="007E190E" w:rsidRDefault="001D42BB" w:rsidP="00E8485E">
            <w:pPr>
              <w:pStyle w:val="IATableLabel"/>
              <w:rPr>
                <w:szCs w:val="18"/>
              </w:rPr>
            </w:pPr>
            <w:r w:rsidRPr="00304C1D">
              <w:t>High:</w:t>
            </w:r>
            <w:r w:rsidRPr="00826F71">
              <w:t xml:space="preserve"> </w:t>
            </w:r>
            <w:r w:rsidRPr="007E190E">
              <w:rPr>
                <w:rStyle w:val="PONBHighChar"/>
                <w:sz w:val="20"/>
                <w:szCs w:val="22"/>
              </w:rPr>
              <w:fldChar w:fldCharType="begin">
                <w:ffData>
                  <w:name w:val="Text59"/>
                  <w:enabled/>
                  <w:calcOnExit w:val="0"/>
                  <w:textInput>
                    <w:default w:val="Optional"/>
                    <w:maxLength w:val="8"/>
                  </w:textInput>
                </w:ffData>
              </w:fldChar>
            </w:r>
            <w:r w:rsidRPr="007E190E">
              <w:rPr>
                <w:rStyle w:val="PONBHighChar"/>
                <w:sz w:val="20"/>
                <w:szCs w:val="22"/>
              </w:rPr>
              <w:instrText xml:space="preserve"> FORMTEXT </w:instrText>
            </w:r>
            <w:r w:rsidRPr="007E190E">
              <w:rPr>
                <w:rStyle w:val="PONBHighChar"/>
                <w:sz w:val="20"/>
                <w:szCs w:val="22"/>
              </w:rPr>
            </w:r>
            <w:r w:rsidRPr="007E190E">
              <w:rPr>
                <w:rStyle w:val="PONBHighChar"/>
                <w:sz w:val="20"/>
                <w:szCs w:val="22"/>
              </w:rPr>
              <w:fldChar w:fldCharType="separate"/>
            </w:r>
            <w:r w:rsidRPr="007E190E">
              <w:rPr>
                <w:rStyle w:val="PONBHighChar"/>
                <w:noProof/>
                <w:sz w:val="20"/>
                <w:szCs w:val="22"/>
              </w:rPr>
              <w:t>Optional</w:t>
            </w:r>
            <w:r w:rsidRPr="007E190E">
              <w:rPr>
                <w:rStyle w:val="PONBHighChar"/>
                <w:sz w:val="20"/>
                <w:szCs w:val="22"/>
              </w:rPr>
              <w:fldChar w:fldCharType="end"/>
            </w:r>
          </w:p>
        </w:tc>
        <w:tc>
          <w:tcPr>
            <w:tcW w:w="2781" w:type="dxa"/>
            <w:tcBorders>
              <w:top w:val="single" w:sz="12" w:space="0" w:color="auto"/>
              <w:left w:val="single" w:sz="12" w:space="0" w:color="auto"/>
              <w:bottom w:val="single" w:sz="12" w:space="0" w:color="auto"/>
              <w:right w:val="single" w:sz="12" w:space="0" w:color="auto"/>
            </w:tcBorders>
            <w:shd w:val="clear" w:color="auto" w:fill="FFFFFF"/>
          </w:tcPr>
          <w:p w14:paraId="429E55DB" w14:textId="57571607" w:rsidR="001D42BB" w:rsidRPr="007E190E" w:rsidRDefault="0056669B" w:rsidP="00861D79">
            <w:pPr>
              <w:pStyle w:val="IATableLabel"/>
              <w:ind w:left="0"/>
              <w:rPr>
                <w:szCs w:val="18"/>
              </w:rPr>
            </w:pPr>
            <w:r>
              <w:rPr>
                <w:rStyle w:val="PONBBestEstChar"/>
                <w:sz w:val="20"/>
                <w:szCs w:val="22"/>
              </w:rPr>
              <w:t>Best estimate: £</w:t>
            </w:r>
            <w:r w:rsidR="00F248FC">
              <w:rPr>
                <w:rStyle w:val="PONBBestEstChar"/>
                <w:sz w:val="20"/>
                <w:szCs w:val="22"/>
              </w:rPr>
              <w:t>266</w:t>
            </w:r>
            <w:r w:rsidR="00D345BE">
              <w:rPr>
                <w:rStyle w:val="PONBBestEstChar"/>
                <w:sz w:val="20"/>
                <w:szCs w:val="22"/>
              </w:rPr>
              <w:t>,000</w:t>
            </w:r>
          </w:p>
        </w:tc>
      </w:tr>
    </w:tbl>
    <w:p w14:paraId="5EB1478A" w14:textId="77777777" w:rsidR="001D42BB" w:rsidRDefault="001D42BB" w:rsidP="001D42BB">
      <w:pPr>
        <w:pStyle w:val="IASpacer"/>
      </w:pPr>
    </w:p>
    <w:tbl>
      <w:tblPr>
        <w:tblW w:w="5140"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6"/>
        <w:gridCol w:w="1959"/>
        <w:gridCol w:w="7"/>
        <w:gridCol w:w="1794"/>
        <w:gridCol w:w="7"/>
        <w:gridCol w:w="724"/>
        <w:gridCol w:w="7"/>
        <w:gridCol w:w="2638"/>
        <w:gridCol w:w="7"/>
        <w:gridCol w:w="1639"/>
        <w:gridCol w:w="1672"/>
      </w:tblGrid>
      <w:tr w:rsidR="001D42BB" w:rsidRPr="007E190E" w14:paraId="21E95BC6" w14:textId="77777777" w:rsidTr="00C16CDC">
        <w:trPr>
          <w:trHeight w:hRule="exact" w:val="567"/>
        </w:trPr>
        <w:tc>
          <w:tcPr>
            <w:tcW w:w="1965" w:type="dxa"/>
            <w:gridSpan w:val="2"/>
            <w:tcBorders>
              <w:top w:val="single" w:sz="12" w:space="0" w:color="auto"/>
            </w:tcBorders>
            <w:shd w:val="clear" w:color="auto" w:fill="FFFFFF" w:themeFill="background1"/>
          </w:tcPr>
          <w:p w14:paraId="5212512C" w14:textId="3DCA8D9B" w:rsidR="001D42BB" w:rsidRPr="007E190E" w:rsidRDefault="001D42BB" w:rsidP="00E8485E">
            <w:pPr>
              <w:pStyle w:val="IATableLabel"/>
              <w:rPr>
                <w:sz w:val="24"/>
                <w:szCs w:val="24"/>
              </w:rPr>
            </w:pPr>
            <w:r w:rsidRPr="007E190E">
              <w:rPr>
                <w:sz w:val="24"/>
                <w:szCs w:val="24"/>
              </w:rPr>
              <w:t>COSTS (£m)</w:t>
            </w:r>
          </w:p>
        </w:tc>
        <w:tc>
          <w:tcPr>
            <w:tcW w:w="2532" w:type="dxa"/>
            <w:gridSpan w:val="4"/>
            <w:tcBorders>
              <w:top w:val="single" w:sz="12" w:space="0" w:color="auto"/>
            </w:tcBorders>
          </w:tcPr>
          <w:p w14:paraId="23C0EF3C" w14:textId="77777777" w:rsidR="001D42BB" w:rsidRPr="00826F71" w:rsidRDefault="001D42BB" w:rsidP="00E8485E">
            <w:pPr>
              <w:pStyle w:val="IATableLabel"/>
              <w:tabs>
                <w:tab w:val="right" w:pos="1800"/>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3BA69A01" w14:textId="77777777" w:rsidR="001D42BB" w:rsidRPr="00826F71" w:rsidRDefault="001D42BB" w:rsidP="00E8485E">
            <w:pPr>
              <w:pStyle w:val="IATableLabel"/>
              <w:jc w:val="right"/>
            </w:pPr>
            <w:r>
              <w:br/>
            </w:r>
          </w:p>
        </w:tc>
        <w:tc>
          <w:tcPr>
            <w:tcW w:w="2645" w:type="dxa"/>
            <w:gridSpan w:val="2"/>
            <w:tcBorders>
              <w:top w:val="single" w:sz="12" w:space="0" w:color="auto"/>
              <w:right w:val="single" w:sz="12" w:space="0" w:color="auto"/>
            </w:tcBorders>
          </w:tcPr>
          <w:p w14:paraId="016EDD9A" w14:textId="1EA74189" w:rsidR="001D42BB" w:rsidRPr="007E190E" w:rsidRDefault="001D42BB" w:rsidP="00E8485E">
            <w:pPr>
              <w:pStyle w:val="IATableLabel"/>
              <w:jc w:val="right"/>
            </w:pPr>
            <w:r w:rsidRPr="00826F71">
              <w:t>Average Annual</w:t>
            </w:r>
            <w:r w:rsidRPr="000C031E">
              <w:t xml:space="preserve"> </w:t>
            </w:r>
            <w:r>
              <w:br/>
            </w:r>
            <w:r w:rsidRPr="007E190E">
              <w:rPr>
                <w:b w:val="0"/>
                <w:sz w:val="18"/>
                <w:szCs w:val="18"/>
              </w:rPr>
              <w:t>(excl. Transition) (Constant Price)</w:t>
            </w:r>
          </w:p>
        </w:tc>
        <w:tc>
          <w:tcPr>
            <w:tcW w:w="3318" w:type="dxa"/>
            <w:gridSpan w:val="3"/>
            <w:tcBorders>
              <w:top w:val="single" w:sz="12" w:space="0" w:color="auto"/>
              <w:left w:val="single" w:sz="12" w:space="0" w:color="auto"/>
            </w:tcBorders>
          </w:tcPr>
          <w:p w14:paraId="15380A21" w14:textId="1189F086" w:rsidR="001D42BB" w:rsidRPr="00826F71" w:rsidRDefault="001D42BB" w:rsidP="00E8485E">
            <w:pPr>
              <w:pStyle w:val="IATableLabel"/>
              <w:jc w:val="right"/>
            </w:pPr>
            <w:r w:rsidRPr="00826F71">
              <w:t>Total Cost</w:t>
            </w:r>
            <w:r w:rsidRPr="007E190E">
              <w:rPr>
                <w:b w:val="0"/>
                <w:sz w:val="18"/>
                <w:szCs w:val="18"/>
              </w:rPr>
              <w:t xml:space="preserve"> </w:t>
            </w:r>
            <w:r w:rsidRPr="007E190E">
              <w:rPr>
                <w:b w:val="0"/>
                <w:sz w:val="18"/>
                <w:szCs w:val="18"/>
              </w:rPr>
              <w:br/>
              <w:t>(Present Value)</w:t>
            </w:r>
          </w:p>
        </w:tc>
      </w:tr>
      <w:tr w:rsidR="001D42BB" w:rsidRPr="007E190E" w14:paraId="2EC5CAEE" w14:textId="77777777" w:rsidTr="00C16CDC">
        <w:trPr>
          <w:trHeight w:hRule="exact" w:val="348"/>
        </w:trPr>
        <w:tc>
          <w:tcPr>
            <w:tcW w:w="1965" w:type="dxa"/>
            <w:gridSpan w:val="2"/>
            <w:vAlign w:val="center"/>
          </w:tcPr>
          <w:p w14:paraId="10727A5C" w14:textId="73DD10A7" w:rsidR="001D42BB" w:rsidRPr="00F63895" w:rsidRDefault="001D42BB" w:rsidP="00E8485E">
            <w:pPr>
              <w:pStyle w:val="IATableLabel"/>
            </w:pPr>
            <w:r w:rsidRPr="00F63895">
              <w:t xml:space="preserve">Low </w:t>
            </w:r>
          </w:p>
        </w:tc>
        <w:tc>
          <w:tcPr>
            <w:tcW w:w="1801" w:type="dxa"/>
            <w:gridSpan w:val="2"/>
            <w:vAlign w:val="center"/>
          </w:tcPr>
          <w:p w14:paraId="12CCD8D4" w14:textId="77777777" w:rsidR="001D42BB" w:rsidRPr="007E190E" w:rsidRDefault="001D42BB" w:rsidP="00E8485E">
            <w:pPr>
              <w:pStyle w:val="POTTCostsLow"/>
              <w:rPr>
                <w:sz w:val="20"/>
              </w:rPr>
            </w:pPr>
            <w:r w:rsidRPr="007E190E">
              <w:rPr>
                <w:sz w:val="20"/>
              </w:rPr>
              <w:fldChar w:fldCharType="begin">
                <w:ffData>
                  <w:name w:val="Text45"/>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31" w:type="dxa"/>
            <w:gridSpan w:val="2"/>
            <w:vAlign w:val="center"/>
          </w:tcPr>
          <w:p w14:paraId="57A6FE17" w14:textId="77777777" w:rsidR="001D42BB" w:rsidRPr="007E190E" w:rsidRDefault="001D42BB" w:rsidP="00E8485E">
            <w:pPr>
              <w:pStyle w:val="POTTCostsYear"/>
              <w:rPr>
                <w:sz w:val="20"/>
                <w:szCs w:val="20"/>
              </w:rPr>
            </w:pPr>
            <w:r w:rsidRPr="007E190E">
              <w:rPr>
                <w:sz w:val="20"/>
                <w:szCs w:val="20"/>
              </w:rPr>
              <w:fldChar w:fldCharType="begin">
                <w:ffData>
                  <w:name w:val="Text48"/>
                  <w:enabled/>
                  <w:calcOnExit w:val="0"/>
                  <w:textInput>
                    <w:maxLength w:val="3"/>
                  </w:textInput>
                </w:ffData>
              </w:fldChar>
            </w:r>
            <w:r w:rsidRPr="007E190E">
              <w:rPr>
                <w:sz w:val="20"/>
                <w:szCs w:val="20"/>
              </w:rPr>
              <w:instrText xml:space="preserve"> FORMTEXT </w:instrText>
            </w:r>
            <w:r w:rsidRPr="007E190E">
              <w:rPr>
                <w:sz w:val="20"/>
                <w:szCs w:val="20"/>
              </w:rPr>
            </w:r>
            <w:r w:rsidRPr="007E190E">
              <w:rPr>
                <w:sz w:val="20"/>
                <w:szCs w:val="20"/>
              </w:rPr>
              <w:fldChar w:fldCharType="separate"/>
            </w:r>
            <w:r w:rsidRPr="007E190E">
              <w:rPr>
                <w:noProof/>
                <w:sz w:val="20"/>
                <w:szCs w:val="20"/>
              </w:rPr>
              <w:t> </w:t>
            </w:r>
            <w:r w:rsidRPr="007E190E">
              <w:rPr>
                <w:noProof/>
                <w:sz w:val="20"/>
                <w:szCs w:val="20"/>
              </w:rPr>
              <w:t> </w:t>
            </w:r>
            <w:r w:rsidRPr="007E190E">
              <w:rPr>
                <w:noProof/>
                <w:sz w:val="20"/>
                <w:szCs w:val="20"/>
              </w:rPr>
              <w:t> </w:t>
            </w:r>
            <w:r w:rsidRPr="007E190E">
              <w:rPr>
                <w:sz w:val="20"/>
                <w:szCs w:val="20"/>
              </w:rPr>
              <w:fldChar w:fldCharType="end"/>
            </w:r>
          </w:p>
        </w:tc>
        <w:tc>
          <w:tcPr>
            <w:tcW w:w="2645" w:type="dxa"/>
            <w:gridSpan w:val="2"/>
            <w:tcBorders>
              <w:right w:val="single" w:sz="12" w:space="0" w:color="auto"/>
            </w:tcBorders>
            <w:vAlign w:val="center"/>
          </w:tcPr>
          <w:p w14:paraId="3C6E9BF9" w14:textId="77777777" w:rsidR="001D42BB" w:rsidRPr="007E190E" w:rsidRDefault="001D42BB" w:rsidP="00E8485E">
            <w:pPr>
              <w:pStyle w:val="POAACostsLow"/>
              <w:rPr>
                <w:sz w:val="20"/>
              </w:rPr>
            </w:pPr>
            <w:r w:rsidRPr="007E190E">
              <w:rPr>
                <w:sz w:val="20"/>
              </w:rPr>
              <w:fldChar w:fldCharType="begin">
                <w:ffData>
                  <w:name w:val="Text49"/>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3318" w:type="dxa"/>
            <w:gridSpan w:val="3"/>
            <w:tcBorders>
              <w:left w:val="single" w:sz="12" w:space="0" w:color="auto"/>
            </w:tcBorders>
            <w:vAlign w:val="center"/>
          </w:tcPr>
          <w:p w14:paraId="7A6278EB" w14:textId="77777777" w:rsidR="001D42BB" w:rsidRPr="007E190E" w:rsidRDefault="001D42BB" w:rsidP="00E8485E">
            <w:pPr>
              <w:pStyle w:val="POTCCostsLow"/>
              <w:rPr>
                <w:sz w:val="20"/>
              </w:rPr>
            </w:pPr>
            <w:r w:rsidRPr="007E190E">
              <w:rPr>
                <w:sz w:val="20"/>
              </w:rPr>
              <w:fldChar w:fldCharType="begin">
                <w:ffData>
                  <w:name w:val="Text52"/>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A70067" w:rsidRPr="007E190E" w14:paraId="6A8A76EE" w14:textId="77777777" w:rsidTr="00C16CDC">
        <w:trPr>
          <w:gridBefore w:val="1"/>
          <w:wBefore w:w="6" w:type="dxa"/>
          <w:trHeight w:hRule="exact" w:val="348"/>
        </w:trPr>
        <w:tc>
          <w:tcPr>
            <w:tcW w:w="1966" w:type="dxa"/>
            <w:gridSpan w:val="2"/>
            <w:tcBorders>
              <w:bottom w:val="single" w:sz="12" w:space="0" w:color="auto"/>
            </w:tcBorders>
            <w:vAlign w:val="center"/>
          </w:tcPr>
          <w:p w14:paraId="7506D42A" w14:textId="02D4DDEB" w:rsidR="001D42BB" w:rsidRPr="00F63895" w:rsidRDefault="001D42BB" w:rsidP="00E8485E">
            <w:pPr>
              <w:pStyle w:val="IATableLabel"/>
            </w:pPr>
            <w:r w:rsidRPr="00F63895">
              <w:t xml:space="preserve">High </w:t>
            </w:r>
          </w:p>
        </w:tc>
        <w:tc>
          <w:tcPr>
            <w:tcW w:w="1801" w:type="dxa"/>
            <w:gridSpan w:val="2"/>
            <w:tcBorders>
              <w:bottom w:val="single" w:sz="12" w:space="0" w:color="auto"/>
            </w:tcBorders>
            <w:vAlign w:val="center"/>
          </w:tcPr>
          <w:p w14:paraId="220648F2" w14:textId="77777777" w:rsidR="001D42BB" w:rsidRPr="007E190E" w:rsidRDefault="001D42BB" w:rsidP="00E8485E">
            <w:pPr>
              <w:pStyle w:val="POTTCostsHigh"/>
              <w:rPr>
                <w:sz w:val="20"/>
              </w:rPr>
            </w:pPr>
            <w:r w:rsidRPr="007E190E">
              <w:rPr>
                <w:sz w:val="20"/>
              </w:rPr>
              <w:fldChar w:fldCharType="begin">
                <w:ffData>
                  <w:name w:val="Text46"/>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31" w:type="dxa"/>
            <w:gridSpan w:val="2"/>
            <w:shd w:val="clear" w:color="auto" w:fill="FFFFFF"/>
            <w:vAlign w:val="center"/>
          </w:tcPr>
          <w:p w14:paraId="66291ECA" w14:textId="77777777" w:rsidR="001D42BB" w:rsidRPr="007E190E" w:rsidRDefault="001D42BB" w:rsidP="00E8485E">
            <w:pPr>
              <w:pStyle w:val="IATableText"/>
              <w:jc w:val="right"/>
              <w:rPr>
                <w:sz w:val="20"/>
              </w:rPr>
            </w:pPr>
          </w:p>
        </w:tc>
        <w:tc>
          <w:tcPr>
            <w:tcW w:w="2645" w:type="dxa"/>
            <w:gridSpan w:val="2"/>
            <w:tcBorders>
              <w:bottom w:val="single" w:sz="12" w:space="0" w:color="auto"/>
              <w:right w:val="single" w:sz="12" w:space="0" w:color="auto"/>
            </w:tcBorders>
            <w:vAlign w:val="center"/>
          </w:tcPr>
          <w:p w14:paraId="528F1209" w14:textId="77777777" w:rsidR="001D42BB" w:rsidRPr="007E190E" w:rsidRDefault="001D42BB" w:rsidP="00E8485E">
            <w:pPr>
              <w:pStyle w:val="POAACostsHigh"/>
              <w:rPr>
                <w:sz w:val="20"/>
              </w:rPr>
            </w:pPr>
            <w:r w:rsidRPr="007E190E">
              <w:rPr>
                <w:sz w:val="20"/>
              </w:rPr>
              <w:fldChar w:fldCharType="begin">
                <w:ffData>
                  <w:name w:val="Text50"/>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3311" w:type="dxa"/>
            <w:gridSpan w:val="2"/>
            <w:tcBorders>
              <w:left w:val="single" w:sz="12" w:space="0" w:color="auto"/>
              <w:bottom w:val="single" w:sz="12" w:space="0" w:color="auto"/>
            </w:tcBorders>
            <w:vAlign w:val="center"/>
          </w:tcPr>
          <w:p w14:paraId="55B3B743" w14:textId="77777777" w:rsidR="001D42BB" w:rsidRPr="007E190E" w:rsidRDefault="001D42BB" w:rsidP="00E8485E">
            <w:pPr>
              <w:pStyle w:val="POTCCostsHigh"/>
              <w:rPr>
                <w:sz w:val="20"/>
              </w:rPr>
            </w:pPr>
            <w:r w:rsidRPr="007E190E">
              <w:rPr>
                <w:sz w:val="20"/>
              </w:rPr>
              <w:fldChar w:fldCharType="begin">
                <w:ffData>
                  <w:name w:val="Text53"/>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C75D01" w:rsidRPr="007E190E" w14:paraId="32124ECE" w14:textId="77777777" w:rsidTr="00C16CDC">
        <w:trPr>
          <w:gridBefore w:val="1"/>
          <w:wBefore w:w="6" w:type="dxa"/>
          <w:trHeight w:hRule="exact" w:val="348"/>
        </w:trPr>
        <w:tc>
          <w:tcPr>
            <w:tcW w:w="1966" w:type="dxa"/>
            <w:gridSpan w:val="2"/>
            <w:tcBorders>
              <w:top w:val="single" w:sz="12" w:space="0" w:color="auto"/>
              <w:bottom w:val="single" w:sz="12" w:space="0" w:color="auto"/>
              <w:right w:val="single" w:sz="12" w:space="0" w:color="auto"/>
            </w:tcBorders>
            <w:shd w:val="clear" w:color="auto" w:fill="FFFFFF" w:themeFill="background1"/>
            <w:vAlign w:val="center"/>
          </w:tcPr>
          <w:p w14:paraId="5D017063" w14:textId="77777777" w:rsidR="001D42BB" w:rsidRPr="00F63895" w:rsidRDefault="001D42BB" w:rsidP="00E8485E">
            <w:pPr>
              <w:pStyle w:val="IATableLabel"/>
            </w:pPr>
            <w:r w:rsidRPr="00F63895">
              <w:t>Best Estimate</w:t>
            </w:r>
          </w:p>
          <w:p w14:paraId="1B415D55" w14:textId="77777777" w:rsidR="001D42BB" w:rsidRPr="007E190E" w:rsidRDefault="001D42BB" w:rsidP="00E8485E">
            <w:pPr>
              <w:pStyle w:val="IATableNotes"/>
              <w:spacing w:beforeLines="40" w:before="96"/>
              <w:ind w:left="0" w:right="-22"/>
              <w:jc w:val="center"/>
              <w:rPr>
                <w:b/>
                <w:sz w:val="20"/>
              </w:rPr>
            </w:pPr>
          </w:p>
        </w:tc>
        <w:tc>
          <w:tcPr>
            <w:tcW w:w="1801"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5A657C7" w14:textId="05CB072B" w:rsidR="001D42BB" w:rsidRPr="007E190E" w:rsidRDefault="00363AF4" w:rsidP="00E8485E">
            <w:pPr>
              <w:pStyle w:val="POTTCostsBest"/>
              <w:rPr>
                <w:sz w:val="20"/>
              </w:rPr>
            </w:pPr>
            <w:r>
              <w:rPr>
                <w:sz w:val="20"/>
              </w:rPr>
              <w:t>£</w:t>
            </w:r>
            <w:r w:rsidR="00AA080F">
              <w:rPr>
                <w:sz w:val="20"/>
              </w:rPr>
              <w:t>0</w:t>
            </w:r>
          </w:p>
        </w:tc>
        <w:tc>
          <w:tcPr>
            <w:tcW w:w="731" w:type="dxa"/>
            <w:gridSpan w:val="2"/>
            <w:shd w:val="clear" w:color="auto" w:fill="FFFFFF"/>
            <w:vAlign w:val="center"/>
          </w:tcPr>
          <w:p w14:paraId="49823539" w14:textId="77777777" w:rsidR="001D42BB" w:rsidRPr="007E190E" w:rsidRDefault="001D42BB" w:rsidP="00E8485E">
            <w:pPr>
              <w:pStyle w:val="IATableText"/>
              <w:jc w:val="right"/>
              <w:rPr>
                <w:sz w:val="20"/>
              </w:rPr>
            </w:pPr>
          </w:p>
        </w:tc>
        <w:tc>
          <w:tcPr>
            <w:tcW w:w="2645"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340B3EF" w14:textId="4D1D97B2" w:rsidR="001D42BB" w:rsidRPr="007E190E" w:rsidRDefault="00363AF4" w:rsidP="00E8485E">
            <w:pPr>
              <w:pStyle w:val="POAACostsBest"/>
              <w:rPr>
                <w:sz w:val="20"/>
              </w:rPr>
            </w:pPr>
            <w:r>
              <w:rPr>
                <w:sz w:val="20"/>
              </w:rPr>
              <w:t>£</w:t>
            </w:r>
            <w:r w:rsidR="00BC0FA2" w:rsidRPr="0006159E">
              <w:rPr>
                <w:sz w:val="20"/>
              </w:rPr>
              <w:t>4</w:t>
            </w:r>
            <w:r w:rsidR="00C975B6">
              <w:rPr>
                <w:sz w:val="20"/>
              </w:rPr>
              <w:t>1</w:t>
            </w:r>
            <w:r w:rsidR="00CD59DB">
              <w:rPr>
                <w:sz w:val="20"/>
              </w:rPr>
              <w:t>,2</w:t>
            </w:r>
            <w:r w:rsidR="00BC0FA2" w:rsidRPr="0006159E">
              <w:rPr>
                <w:sz w:val="20"/>
              </w:rPr>
              <w:t>00</w:t>
            </w:r>
          </w:p>
        </w:tc>
        <w:tc>
          <w:tcPr>
            <w:tcW w:w="3311" w:type="dxa"/>
            <w:gridSpan w:val="2"/>
            <w:tcBorders>
              <w:top w:val="single" w:sz="12" w:space="0" w:color="auto"/>
              <w:left w:val="single" w:sz="12" w:space="0" w:color="auto"/>
              <w:bottom w:val="single" w:sz="12" w:space="0" w:color="auto"/>
            </w:tcBorders>
            <w:shd w:val="clear" w:color="auto" w:fill="FFFFFF" w:themeFill="background1"/>
            <w:vAlign w:val="center"/>
          </w:tcPr>
          <w:p w14:paraId="0443A4B4" w14:textId="035161BB" w:rsidR="001D42BB" w:rsidRPr="007E190E" w:rsidRDefault="00563F04" w:rsidP="00E8485E">
            <w:pPr>
              <w:pStyle w:val="POTCCostsBest"/>
              <w:rPr>
                <w:sz w:val="20"/>
              </w:rPr>
            </w:pPr>
            <w:r>
              <w:rPr>
                <w:sz w:val="20"/>
              </w:rPr>
              <w:t>£</w:t>
            </w:r>
            <w:r w:rsidR="00D345BE">
              <w:rPr>
                <w:sz w:val="20"/>
              </w:rPr>
              <w:t>651,000</w:t>
            </w:r>
          </w:p>
        </w:tc>
      </w:tr>
      <w:tr w:rsidR="001D42BB" w:rsidRPr="00826F71" w14:paraId="57A235A6" w14:textId="77777777" w:rsidTr="00C16CDC">
        <w:trPr>
          <w:gridBefore w:val="1"/>
          <w:wBefore w:w="6" w:type="dxa"/>
          <w:trHeight w:hRule="exact" w:val="2067"/>
        </w:trPr>
        <w:tc>
          <w:tcPr>
            <w:tcW w:w="10454" w:type="dxa"/>
            <w:gridSpan w:val="10"/>
          </w:tcPr>
          <w:p w14:paraId="0365FE45" w14:textId="77777777" w:rsidR="001D42BB" w:rsidRPr="007E190E" w:rsidRDefault="001D42BB" w:rsidP="00E8485E">
            <w:pPr>
              <w:pStyle w:val="IAPOQ1"/>
              <w:rPr>
                <w:szCs w:val="22"/>
              </w:rPr>
            </w:pPr>
            <w:r w:rsidRPr="00544292">
              <w:t xml:space="preserve">Description and scale of </w:t>
            </w:r>
            <w:r w:rsidRPr="00826F71">
              <w:t>key monetised costs</w:t>
            </w:r>
            <w:r w:rsidRPr="00544292">
              <w:t xml:space="preserve"> by ‘main affected groups’ </w:t>
            </w:r>
          </w:p>
          <w:p w14:paraId="7AD850D7" w14:textId="44F12B36" w:rsidR="001D42BB" w:rsidRPr="00826F71" w:rsidRDefault="00A8379A" w:rsidP="00E8485E">
            <w:pPr>
              <w:pStyle w:val="IAPOA1"/>
            </w:pPr>
            <w:r>
              <w:t>The main costs considered are</w:t>
            </w:r>
            <w:r w:rsidDel="00356A7D">
              <w:t xml:space="preserve"> </w:t>
            </w:r>
            <w:r w:rsidR="009A0F7C">
              <w:t>for</w:t>
            </w:r>
            <w:r>
              <w:t xml:space="preserve"> deploying </w:t>
            </w:r>
            <w:r w:rsidR="00356A7D">
              <w:t xml:space="preserve">additional </w:t>
            </w:r>
            <w:r w:rsidR="009A0F7C">
              <w:t xml:space="preserve">emissions </w:t>
            </w:r>
            <w:r>
              <w:t>abatement technologies</w:t>
            </w:r>
            <w:r w:rsidR="009A0F7C">
              <w:t xml:space="preserve"> relative to option 1.</w:t>
            </w:r>
            <w:r>
              <w:t xml:space="preserve"> These include</w:t>
            </w:r>
            <w:r w:rsidR="009A0F7C">
              <w:t>,</w:t>
            </w:r>
            <w:r>
              <w:t xml:space="preserve"> but are not limited to</w:t>
            </w:r>
            <w:r w:rsidR="009A0F7C">
              <w:t xml:space="preserve">, costs of </w:t>
            </w:r>
            <w:r>
              <w:t>low carbon technologies</w:t>
            </w:r>
            <w:r w:rsidR="009A0F7C">
              <w:t>, supporting infrastructure, finance, and fuel (including bioenergy).</w:t>
            </w:r>
            <w:r>
              <w:t xml:space="preserve"> Some costs of increased air quality pollutants are also monetised.</w:t>
            </w:r>
            <w:r w:rsidR="009A0F7C">
              <w:t xml:space="preserve"> An illustrative breakdown by sectors of the economy shows that the majority of costs are associated with reducing emissions from surface transport, buildings and power. The distribution of costs between affected groups will depend on future policy decisions.</w:t>
            </w:r>
          </w:p>
        </w:tc>
      </w:tr>
      <w:tr w:rsidR="001D42BB" w:rsidRPr="00826F71" w14:paraId="49462E6F" w14:textId="77777777" w:rsidTr="00C16CDC">
        <w:trPr>
          <w:gridBefore w:val="1"/>
          <w:wBefore w:w="6" w:type="dxa"/>
          <w:trHeight w:hRule="exact" w:val="900"/>
        </w:trPr>
        <w:tc>
          <w:tcPr>
            <w:tcW w:w="10454" w:type="dxa"/>
            <w:gridSpan w:val="10"/>
            <w:tcBorders>
              <w:bottom w:val="single" w:sz="12" w:space="0" w:color="auto"/>
            </w:tcBorders>
          </w:tcPr>
          <w:p w14:paraId="04F110BA" w14:textId="77777777" w:rsidR="001D42BB" w:rsidRPr="007E190E" w:rsidRDefault="001D42BB" w:rsidP="00E8485E">
            <w:pPr>
              <w:pStyle w:val="IAPOQ2"/>
              <w:rPr>
                <w:szCs w:val="22"/>
              </w:rPr>
            </w:pPr>
            <w:r w:rsidRPr="00544292">
              <w:t>Other</w:t>
            </w:r>
            <w:r w:rsidRPr="00826F71">
              <w:t xml:space="preserve"> key non-monetised costs</w:t>
            </w:r>
            <w:r w:rsidRPr="00544292">
              <w:t xml:space="preserve"> by ‘main affected groups’ </w:t>
            </w:r>
          </w:p>
          <w:p w14:paraId="2F1B66DE" w14:textId="71AF0568" w:rsidR="001D42BB" w:rsidRPr="007E190E" w:rsidRDefault="00A8379A" w:rsidP="00E8485E">
            <w:pPr>
              <w:pStyle w:val="IAPOA2"/>
              <w:rPr>
                <w:szCs w:val="22"/>
              </w:rPr>
            </w:pPr>
            <w:r w:rsidRPr="00C45C87">
              <w:rPr>
                <w:szCs w:val="22"/>
              </w:rPr>
              <w:t>Some risks to natural capital, social and wider economic circumstances are considered qualitatively.</w:t>
            </w:r>
          </w:p>
        </w:tc>
      </w:tr>
      <w:tr w:rsidR="001D42BB" w:rsidRPr="007E190E" w14:paraId="1451ECC5" w14:textId="77777777" w:rsidTr="00C16CDC">
        <w:trPr>
          <w:trHeight w:hRule="exact" w:val="567"/>
        </w:trPr>
        <w:tc>
          <w:tcPr>
            <w:tcW w:w="1965" w:type="dxa"/>
            <w:gridSpan w:val="2"/>
            <w:shd w:val="clear" w:color="auto" w:fill="FFFFFF" w:themeFill="background1"/>
          </w:tcPr>
          <w:p w14:paraId="247045B9" w14:textId="3B522E9A" w:rsidR="001D42BB" w:rsidRPr="007E190E" w:rsidRDefault="001D42BB" w:rsidP="00E8485E">
            <w:pPr>
              <w:pStyle w:val="IATableLabel"/>
              <w:rPr>
                <w:sz w:val="24"/>
                <w:szCs w:val="24"/>
              </w:rPr>
            </w:pPr>
            <w:r w:rsidRPr="007E190E">
              <w:rPr>
                <w:sz w:val="24"/>
                <w:szCs w:val="24"/>
              </w:rPr>
              <w:t xml:space="preserve">BENEFITS </w:t>
            </w:r>
            <w:r>
              <w:rPr>
                <w:sz w:val="24"/>
                <w:szCs w:val="24"/>
              </w:rPr>
              <w:t>(</w:t>
            </w:r>
            <w:r w:rsidRPr="007E190E">
              <w:rPr>
                <w:sz w:val="24"/>
                <w:szCs w:val="24"/>
              </w:rPr>
              <w:t>£m)</w:t>
            </w:r>
          </w:p>
        </w:tc>
        <w:tc>
          <w:tcPr>
            <w:tcW w:w="2532" w:type="dxa"/>
            <w:gridSpan w:val="4"/>
            <w:tcBorders>
              <w:top w:val="single" w:sz="12" w:space="0" w:color="auto"/>
            </w:tcBorders>
          </w:tcPr>
          <w:p w14:paraId="022F852E" w14:textId="77777777" w:rsidR="001D42BB" w:rsidRPr="00826F71" w:rsidRDefault="001D42BB" w:rsidP="00E8485E">
            <w:pPr>
              <w:pStyle w:val="IATableLabel"/>
              <w:tabs>
                <w:tab w:val="right" w:pos="1797"/>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7414E750" w14:textId="77777777" w:rsidR="001D42BB" w:rsidRPr="00826F71" w:rsidRDefault="001D42BB" w:rsidP="00E8485E">
            <w:pPr>
              <w:pStyle w:val="IATableLabel"/>
              <w:jc w:val="right"/>
            </w:pPr>
            <w:r>
              <w:br/>
            </w:r>
          </w:p>
        </w:tc>
        <w:tc>
          <w:tcPr>
            <w:tcW w:w="2645" w:type="dxa"/>
            <w:gridSpan w:val="2"/>
            <w:tcBorders>
              <w:right w:val="single" w:sz="12" w:space="0" w:color="auto"/>
            </w:tcBorders>
          </w:tcPr>
          <w:p w14:paraId="60FACB58" w14:textId="5AD2A68F" w:rsidR="001D42BB" w:rsidRPr="007E190E" w:rsidRDefault="001D42BB" w:rsidP="00E8485E">
            <w:pPr>
              <w:pStyle w:val="IATableLabel"/>
              <w:jc w:val="right"/>
            </w:pPr>
            <w:r w:rsidRPr="00826F71">
              <w:t>Average Annual</w:t>
            </w:r>
            <w:r w:rsidRPr="000C031E">
              <w:t xml:space="preserve"> </w:t>
            </w:r>
            <w:r>
              <w:br/>
            </w:r>
            <w:r w:rsidRPr="007E190E">
              <w:rPr>
                <w:b w:val="0"/>
                <w:sz w:val="18"/>
                <w:szCs w:val="18"/>
              </w:rPr>
              <w:t>(excl. Transition) (Constant Price)</w:t>
            </w:r>
          </w:p>
        </w:tc>
        <w:tc>
          <w:tcPr>
            <w:tcW w:w="3318" w:type="dxa"/>
            <w:gridSpan w:val="3"/>
            <w:tcBorders>
              <w:top w:val="single" w:sz="12" w:space="0" w:color="auto"/>
              <w:left w:val="single" w:sz="12" w:space="0" w:color="auto"/>
            </w:tcBorders>
          </w:tcPr>
          <w:p w14:paraId="1057D34D" w14:textId="5E4C99E8" w:rsidR="001D42BB" w:rsidRPr="00826F71" w:rsidRDefault="001D42BB" w:rsidP="00E8485E">
            <w:pPr>
              <w:pStyle w:val="IATableLabel"/>
              <w:jc w:val="right"/>
            </w:pPr>
            <w:r w:rsidRPr="00826F71">
              <w:t xml:space="preserve">Total </w:t>
            </w:r>
            <w:r>
              <w:t>Benefit</w:t>
            </w:r>
            <w:r w:rsidRPr="007E190E">
              <w:rPr>
                <w:b w:val="0"/>
                <w:sz w:val="18"/>
                <w:szCs w:val="18"/>
              </w:rPr>
              <w:t xml:space="preserve"> </w:t>
            </w:r>
            <w:r w:rsidRPr="007E190E">
              <w:rPr>
                <w:b w:val="0"/>
                <w:sz w:val="18"/>
                <w:szCs w:val="18"/>
              </w:rPr>
              <w:br/>
              <w:t>(Present Value)</w:t>
            </w:r>
          </w:p>
        </w:tc>
      </w:tr>
      <w:tr w:rsidR="001D42BB" w:rsidRPr="007E190E" w14:paraId="632E189E" w14:textId="77777777" w:rsidTr="00C16CDC">
        <w:trPr>
          <w:trHeight w:hRule="exact" w:val="348"/>
        </w:trPr>
        <w:tc>
          <w:tcPr>
            <w:tcW w:w="1965" w:type="dxa"/>
            <w:gridSpan w:val="2"/>
            <w:vAlign w:val="center"/>
          </w:tcPr>
          <w:p w14:paraId="25F4F319" w14:textId="3BB950F1" w:rsidR="001D42BB" w:rsidRPr="00826F71" w:rsidRDefault="001D42BB" w:rsidP="00E8485E">
            <w:pPr>
              <w:pStyle w:val="IATableLabel"/>
            </w:pPr>
            <w:r w:rsidRPr="00826F71">
              <w:t xml:space="preserve">Low </w:t>
            </w:r>
          </w:p>
        </w:tc>
        <w:tc>
          <w:tcPr>
            <w:tcW w:w="1801" w:type="dxa"/>
            <w:gridSpan w:val="2"/>
            <w:vAlign w:val="center"/>
          </w:tcPr>
          <w:p w14:paraId="411EBC08" w14:textId="77777777" w:rsidR="001D42BB" w:rsidRPr="007E190E" w:rsidRDefault="001D42BB" w:rsidP="00E8485E">
            <w:pPr>
              <w:pStyle w:val="POTT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31" w:type="dxa"/>
            <w:gridSpan w:val="2"/>
            <w:vAlign w:val="center"/>
          </w:tcPr>
          <w:p w14:paraId="5320505A" w14:textId="77777777" w:rsidR="001D42BB" w:rsidRPr="007E190E" w:rsidRDefault="001D42BB" w:rsidP="00E8485E">
            <w:pPr>
              <w:pStyle w:val="IATableText"/>
              <w:jc w:val="center"/>
              <w:rPr>
                <w:sz w:val="20"/>
              </w:rPr>
            </w:pPr>
            <w:r w:rsidRPr="007E190E">
              <w:rPr>
                <w:sz w:val="20"/>
              </w:rPr>
              <w:fldChar w:fldCharType="begin">
                <w:ffData>
                  <w:name w:val="Text48"/>
                  <w:enabled/>
                  <w:calcOnExit w:val="0"/>
                  <w:textInput>
                    <w:maxLength w:val="3"/>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 </w:t>
            </w:r>
            <w:r w:rsidRPr="007E190E">
              <w:rPr>
                <w:noProof/>
                <w:sz w:val="20"/>
              </w:rPr>
              <w:t> </w:t>
            </w:r>
            <w:r w:rsidRPr="007E190E">
              <w:rPr>
                <w:noProof/>
                <w:sz w:val="20"/>
              </w:rPr>
              <w:t> </w:t>
            </w:r>
            <w:r w:rsidRPr="007E190E">
              <w:rPr>
                <w:sz w:val="20"/>
              </w:rPr>
              <w:fldChar w:fldCharType="end"/>
            </w:r>
          </w:p>
        </w:tc>
        <w:tc>
          <w:tcPr>
            <w:tcW w:w="2645" w:type="dxa"/>
            <w:gridSpan w:val="2"/>
            <w:tcBorders>
              <w:right w:val="single" w:sz="12" w:space="0" w:color="auto"/>
            </w:tcBorders>
            <w:vAlign w:val="center"/>
          </w:tcPr>
          <w:p w14:paraId="19B7778C" w14:textId="77777777" w:rsidR="001D42BB" w:rsidRPr="007E190E" w:rsidRDefault="001D42BB" w:rsidP="00E8485E">
            <w:pPr>
              <w:pStyle w:val="POAA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3318" w:type="dxa"/>
            <w:gridSpan w:val="3"/>
            <w:tcBorders>
              <w:left w:val="single" w:sz="12" w:space="0" w:color="auto"/>
            </w:tcBorders>
            <w:vAlign w:val="center"/>
          </w:tcPr>
          <w:p w14:paraId="2E71EA16" w14:textId="77777777" w:rsidR="001D42BB" w:rsidRPr="007E190E" w:rsidRDefault="001D42BB" w:rsidP="00E8485E">
            <w:pPr>
              <w:pStyle w:val="POTB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A70067" w:rsidRPr="007E190E" w14:paraId="367F3D19" w14:textId="77777777" w:rsidTr="00C16CDC">
        <w:trPr>
          <w:gridBefore w:val="1"/>
          <w:wBefore w:w="6" w:type="dxa"/>
          <w:trHeight w:hRule="exact" w:val="348"/>
        </w:trPr>
        <w:tc>
          <w:tcPr>
            <w:tcW w:w="1966" w:type="dxa"/>
            <w:gridSpan w:val="2"/>
            <w:tcBorders>
              <w:bottom w:val="single" w:sz="12" w:space="0" w:color="auto"/>
            </w:tcBorders>
            <w:vAlign w:val="center"/>
          </w:tcPr>
          <w:p w14:paraId="7A73624D" w14:textId="4F630A76" w:rsidR="001D42BB" w:rsidRPr="00826F71" w:rsidRDefault="001D42BB" w:rsidP="00E8485E">
            <w:pPr>
              <w:pStyle w:val="IATableLabel"/>
            </w:pPr>
            <w:r w:rsidRPr="00826F71">
              <w:t xml:space="preserve">High </w:t>
            </w:r>
          </w:p>
        </w:tc>
        <w:tc>
          <w:tcPr>
            <w:tcW w:w="1801" w:type="dxa"/>
            <w:gridSpan w:val="2"/>
            <w:tcBorders>
              <w:bottom w:val="single" w:sz="12" w:space="0" w:color="auto"/>
            </w:tcBorders>
            <w:vAlign w:val="center"/>
          </w:tcPr>
          <w:p w14:paraId="378F1C4F" w14:textId="77777777" w:rsidR="001D42BB" w:rsidRPr="007E190E" w:rsidRDefault="001D42BB" w:rsidP="00E8485E">
            <w:pPr>
              <w:pStyle w:val="POTT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31" w:type="dxa"/>
            <w:gridSpan w:val="2"/>
            <w:shd w:val="clear" w:color="auto" w:fill="FFFFFF"/>
            <w:vAlign w:val="center"/>
          </w:tcPr>
          <w:p w14:paraId="083DD1C1" w14:textId="77777777" w:rsidR="001D42BB" w:rsidRPr="007E190E" w:rsidRDefault="001D42BB" w:rsidP="00E8485E">
            <w:pPr>
              <w:pStyle w:val="IATableText"/>
              <w:jc w:val="right"/>
              <w:rPr>
                <w:sz w:val="20"/>
              </w:rPr>
            </w:pPr>
          </w:p>
        </w:tc>
        <w:tc>
          <w:tcPr>
            <w:tcW w:w="2645" w:type="dxa"/>
            <w:gridSpan w:val="2"/>
            <w:tcBorders>
              <w:bottom w:val="single" w:sz="12" w:space="0" w:color="auto"/>
              <w:right w:val="single" w:sz="12" w:space="0" w:color="auto"/>
            </w:tcBorders>
            <w:vAlign w:val="center"/>
          </w:tcPr>
          <w:p w14:paraId="46A47E6D" w14:textId="77777777" w:rsidR="001D42BB" w:rsidRPr="007E190E" w:rsidRDefault="001D42BB" w:rsidP="00E8485E">
            <w:pPr>
              <w:pStyle w:val="POAA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3311" w:type="dxa"/>
            <w:gridSpan w:val="2"/>
            <w:tcBorders>
              <w:left w:val="single" w:sz="12" w:space="0" w:color="auto"/>
              <w:bottom w:val="single" w:sz="12" w:space="0" w:color="auto"/>
            </w:tcBorders>
            <w:vAlign w:val="center"/>
          </w:tcPr>
          <w:p w14:paraId="2F9306F9" w14:textId="77777777" w:rsidR="001D42BB" w:rsidRPr="007E190E" w:rsidRDefault="001D42BB" w:rsidP="00E8485E">
            <w:pPr>
              <w:pStyle w:val="POTB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C75D01" w:rsidRPr="007E190E" w14:paraId="0167ACB5" w14:textId="77777777" w:rsidTr="00C16CDC">
        <w:trPr>
          <w:gridBefore w:val="1"/>
          <w:wBefore w:w="6" w:type="dxa"/>
          <w:trHeight w:hRule="exact" w:val="348"/>
        </w:trPr>
        <w:tc>
          <w:tcPr>
            <w:tcW w:w="1966" w:type="dxa"/>
            <w:gridSpan w:val="2"/>
            <w:tcBorders>
              <w:top w:val="single" w:sz="12" w:space="0" w:color="auto"/>
              <w:bottom w:val="single" w:sz="12" w:space="0" w:color="auto"/>
              <w:right w:val="single" w:sz="12" w:space="0" w:color="auto"/>
            </w:tcBorders>
            <w:shd w:val="clear" w:color="auto" w:fill="FFFFFF" w:themeFill="background1"/>
            <w:vAlign w:val="center"/>
          </w:tcPr>
          <w:p w14:paraId="4A57BC3A" w14:textId="77777777" w:rsidR="001D42BB" w:rsidRPr="00826F71" w:rsidRDefault="001D42BB" w:rsidP="00E8485E">
            <w:pPr>
              <w:pStyle w:val="IATableLabel"/>
            </w:pPr>
            <w:r w:rsidRPr="00826F71">
              <w:t xml:space="preserve">Best </w:t>
            </w:r>
            <w:r>
              <w:t>E</w:t>
            </w:r>
            <w:r w:rsidRPr="00826F71">
              <w:t>stimate</w:t>
            </w:r>
          </w:p>
          <w:p w14:paraId="22DCD63D" w14:textId="77777777" w:rsidR="001D42BB" w:rsidRPr="007E190E" w:rsidRDefault="001D42BB" w:rsidP="00E8485E">
            <w:pPr>
              <w:pStyle w:val="IATableNotes"/>
              <w:spacing w:beforeLines="40" w:before="96"/>
              <w:ind w:left="0" w:right="-22"/>
              <w:jc w:val="center"/>
              <w:rPr>
                <w:b/>
                <w:sz w:val="20"/>
              </w:rPr>
            </w:pPr>
          </w:p>
        </w:tc>
        <w:tc>
          <w:tcPr>
            <w:tcW w:w="1801"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D139B7C" w14:textId="626F6170" w:rsidR="001D42BB" w:rsidRPr="007E190E" w:rsidRDefault="00563F04" w:rsidP="00E8485E">
            <w:pPr>
              <w:pStyle w:val="POTTBenBest"/>
              <w:rPr>
                <w:sz w:val="20"/>
              </w:rPr>
            </w:pPr>
            <w:r>
              <w:rPr>
                <w:sz w:val="20"/>
              </w:rPr>
              <w:t>£</w:t>
            </w:r>
            <w:r w:rsidR="00AA080F">
              <w:rPr>
                <w:sz w:val="20"/>
              </w:rPr>
              <w:t>0</w:t>
            </w:r>
          </w:p>
        </w:tc>
        <w:tc>
          <w:tcPr>
            <w:tcW w:w="731" w:type="dxa"/>
            <w:gridSpan w:val="2"/>
            <w:shd w:val="clear" w:color="auto" w:fill="FFFFFF"/>
            <w:vAlign w:val="center"/>
          </w:tcPr>
          <w:p w14:paraId="444095CD" w14:textId="77777777" w:rsidR="001D42BB" w:rsidRPr="007E190E" w:rsidRDefault="001D42BB" w:rsidP="00E8485E">
            <w:pPr>
              <w:pStyle w:val="IATableText"/>
              <w:jc w:val="right"/>
              <w:rPr>
                <w:sz w:val="20"/>
              </w:rPr>
            </w:pPr>
          </w:p>
        </w:tc>
        <w:tc>
          <w:tcPr>
            <w:tcW w:w="2645"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CBFA453" w14:textId="13CAE739" w:rsidR="001D42BB" w:rsidRPr="007E190E" w:rsidRDefault="007E13AE" w:rsidP="00E8485E">
            <w:pPr>
              <w:pStyle w:val="POAABenBest"/>
              <w:rPr>
                <w:sz w:val="20"/>
              </w:rPr>
            </w:pPr>
            <w:r>
              <w:rPr>
                <w:sz w:val="20"/>
              </w:rPr>
              <w:t>£</w:t>
            </w:r>
            <w:r w:rsidR="00BC0FA2">
              <w:rPr>
                <w:sz w:val="20"/>
              </w:rPr>
              <w:t>6</w:t>
            </w:r>
            <w:r w:rsidR="00CD59DB">
              <w:rPr>
                <w:sz w:val="20"/>
              </w:rPr>
              <w:t>3</w:t>
            </w:r>
            <w:r w:rsidR="00BC0FA2">
              <w:rPr>
                <w:sz w:val="20"/>
              </w:rPr>
              <w:t>,</w:t>
            </w:r>
            <w:r w:rsidR="00D73A8B">
              <w:rPr>
                <w:sz w:val="20"/>
              </w:rPr>
              <w:t>7</w:t>
            </w:r>
            <w:r w:rsidR="00BC0FA2">
              <w:rPr>
                <w:sz w:val="20"/>
              </w:rPr>
              <w:t>00</w:t>
            </w:r>
          </w:p>
        </w:tc>
        <w:tc>
          <w:tcPr>
            <w:tcW w:w="3311" w:type="dxa"/>
            <w:gridSpan w:val="2"/>
            <w:tcBorders>
              <w:top w:val="single" w:sz="12" w:space="0" w:color="auto"/>
              <w:left w:val="single" w:sz="12" w:space="0" w:color="auto"/>
              <w:bottom w:val="single" w:sz="12" w:space="0" w:color="auto"/>
            </w:tcBorders>
            <w:shd w:val="clear" w:color="auto" w:fill="FFFFFF" w:themeFill="background1"/>
            <w:vAlign w:val="center"/>
          </w:tcPr>
          <w:p w14:paraId="5F0FEF99" w14:textId="76666B1B" w:rsidR="001D42BB" w:rsidRPr="007E190E" w:rsidRDefault="00455018" w:rsidP="00E8485E">
            <w:pPr>
              <w:pStyle w:val="POTBBenBest"/>
              <w:rPr>
                <w:sz w:val="20"/>
              </w:rPr>
            </w:pPr>
            <w:r>
              <w:rPr>
                <w:sz w:val="20"/>
              </w:rPr>
              <w:t>£</w:t>
            </w:r>
            <w:r w:rsidR="00D345BE">
              <w:rPr>
                <w:sz w:val="20"/>
              </w:rPr>
              <w:t>918,000</w:t>
            </w:r>
          </w:p>
        </w:tc>
      </w:tr>
      <w:tr w:rsidR="001D42BB" w:rsidRPr="00826F71" w14:paraId="49981CAF" w14:textId="77777777" w:rsidTr="007B4DAD">
        <w:trPr>
          <w:gridBefore w:val="1"/>
          <w:wBefore w:w="6" w:type="dxa"/>
          <w:trHeight w:hRule="exact" w:val="1586"/>
        </w:trPr>
        <w:tc>
          <w:tcPr>
            <w:tcW w:w="10454" w:type="dxa"/>
            <w:gridSpan w:val="10"/>
          </w:tcPr>
          <w:p w14:paraId="0159535B" w14:textId="77777777" w:rsidR="001D42BB" w:rsidRPr="007E190E" w:rsidRDefault="001D42BB" w:rsidP="00E8485E">
            <w:pPr>
              <w:pStyle w:val="IPPOQ3"/>
              <w:rPr>
                <w:szCs w:val="22"/>
              </w:rPr>
            </w:pPr>
            <w:r w:rsidRPr="00544292">
              <w:t xml:space="preserve">Description and scale of </w:t>
            </w:r>
            <w:r w:rsidRPr="00826F71">
              <w:t xml:space="preserve">key monetised </w:t>
            </w:r>
            <w:r>
              <w:t>benefits</w:t>
            </w:r>
            <w:r w:rsidRPr="00544292">
              <w:t xml:space="preserve"> by ‘main affected groups’ </w:t>
            </w:r>
          </w:p>
          <w:p w14:paraId="5ADF74FE" w14:textId="5F57691F" w:rsidR="001D42BB" w:rsidRPr="00826F71" w:rsidRDefault="00900363" w:rsidP="00E8485E">
            <w:pPr>
              <w:pStyle w:val="IAPOA3"/>
            </w:pPr>
            <w:r>
              <w:t>C</w:t>
            </w:r>
            <w:r w:rsidR="00A8379A" w:rsidRPr="00EA38E7">
              <w:t xml:space="preserve">arbon savings, monetised </w:t>
            </w:r>
            <w:r>
              <w:t xml:space="preserve">using </w:t>
            </w:r>
            <w:r w:rsidR="007C6560">
              <w:t>government</w:t>
            </w:r>
            <w:r>
              <w:t xml:space="preserve"> </w:t>
            </w:r>
            <w:r w:rsidR="00A8379A" w:rsidRPr="00EA38E7">
              <w:t>carbon values, are the main benefit. Also included are reduced damage costs of air quality pollutants, some natural capital benefits and operational savings where fuel costs are r</w:t>
            </w:r>
            <w:r>
              <w:t>educed</w:t>
            </w:r>
            <w:r w:rsidR="00A8379A" w:rsidRPr="00EA38E7">
              <w:t xml:space="preserve">. </w:t>
            </w:r>
            <w:r>
              <w:t>Benefits</w:t>
            </w:r>
            <w:r w:rsidR="00A8379A" w:rsidRPr="00EA38E7">
              <w:t xml:space="preserve"> are only considered at a societal level and a distributional breakdown is not considered.</w:t>
            </w:r>
          </w:p>
        </w:tc>
      </w:tr>
      <w:tr w:rsidR="001D42BB" w:rsidRPr="00826F71" w14:paraId="49405231" w14:textId="77777777" w:rsidTr="007B4DAD">
        <w:trPr>
          <w:gridBefore w:val="1"/>
          <w:wBefore w:w="6" w:type="dxa"/>
          <w:trHeight w:hRule="exact" w:val="1269"/>
        </w:trPr>
        <w:tc>
          <w:tcPr>
            <w:tcW w:w="10454" w:type="dxa"/>
            <w:gridSpan w:val="10"/>
            <w:tcBorders>
              <w:top w:val="single" w:sz="12" w:space="0" w:color="auto"/>
              <w:left w:val="single" w:sz="12" w:space="0" w:color="auto"/>
              <w:bottom w:val="single" w:sz="12" w:space="0" w:color="auto"/>
              <w:right w:val="single" w:sz="12" w:space="0" w:color="auto"/>
            </w:tcBorders>
          </w:tcPr>
          <w:p w14:paraId="6B914016" w14:textId="77777777" w:rsidR="001D42BB" w:rsidRPr="007E190E" w:rsidRDefault="001D42BB" w:rsidP="00E8485E">
            <w:pPr>
              <w:pStyle w:val="IAPOQ4"/>
              <w:rPr>
                <w:szCs w:val="22"/>
              </w:rPr>
            </w:pPr>
            <w:r w:rsidRPr="00544292">
              <w:t>Other</w:t>
            </w:r>
            <w:r w:rsidRPr="00826F71">
              <w:t xml:space="preserve"> key non-monetised </w:t>
            </w:r>
            <w:r>
              <w:t>benefits</w:t>
            </w:r>
            <w:r w:rsidRPr="00544292">
              <w:t xml:space="preserve"> by ‘main affected groups’ </w:t>
            </w:r>
          </w:p>
          <w:p w14:paraId="3E547604" w14:textId="53E11642" w:rsidR="001D42BB" w:rsidRPr="00826F71" w:rsidRDefault="00B0525A" w:rsidP="00E8485E">
            <w:pPr>
              <w:pStyle w:val="IAPOA4"/>
            </w:pPr>
            <w:r w:rsidRPr="00EA38E7">
              <w:t>Some natural capital benefits have been considered qualitatively</w:t>
            </w:r>
            <w:r w:rsidR="00B84E50">
              <w:t>,</w:t>
            </w:r>
            <w:r w:rsidR="008B2202">
              <w:t xml:space="preserve"> such as benefits to biodiversity</w:t>
            </w:r>
            <w:r w:rsidR="00742AA8" w:rsidRPr="00EA38E7">
              <w:t>.</w:t>
            </w:r>
            <w:r w:rsidRPr="00EA38E7">
              <w:t xml:space="preserve"> Potential wider economic impacts of decarbonisation are also considered</w:t>
            </w:r>
            <w:r w:rsidR="00742AA8">
              <w:t>, such as improvements to innovation, competitiveness, and export opportunities.</w:t>
            </w:r>
          </w:p>
        </w:tc>
      </w:tr>
      <w:tr w:rsidR="001D42BB" w:rsidRPr="00826F71" w14:paraId="74F5F25A" w14:textId="77777777" w:rsidTr="007B4DAD">
        <w:trPr>
          <w:gridBefore w:val="1"/>
          <w:wBefore w:w="6" w:type="dxa"/>
          <w:trHeight w:hRule="exact" w:val="346"/>
        </w:trPr>
        <w:tc>
          <w:tcPr>
            <w:tcW w:w="8782" w:type="dxa"/>
            <w:gridSpan w:val="9"/>
            <w:tcBorders>
              <w:bottom w:val="nil"/>
            </w:tcBorders>
          </w:tcPr>
          <w:p w14:paraId="439DFA5E" w14:textId="77777777" w:rsidR="001D42BB" w:rsidRDefault="001D42BB" w:rsidP="00E8485E">
            <w:pPr>
              <w:pStyle w:val="IATableLabel"/>
              <w:tabs>
                <w:tab w:val="left" w:pos="7655"/>
              </w:tabs>
            </w:pPr>
            <w:r w:rsidRPr="00F1653E">
              <w:rPr>
                <w:rStyle w:val="IAPOQ5Char"/>
                <w:b/>
              </w:rPr>
              <w:t>Key assumptions/sensitivities/risks</w:t>
            </w:r>
            <w:r>
              <w:tab/>
              <w:t>Discount rate (%)</w:t>
            </w:r>
          </w:p>
          <w:p w14:paraId="1E9AB673" w14:textId="77777777" w:rsidR="001D42BB" w:rsidRPr="00455895" w:rsidRDefault="001D42BB" w:rsidP="00E8485E">
            <w:pPr>
              <w:pStyle w:val="IATableLabel"/>
            </w:pPr>
          </w:p>
        </w:tc>
        <w:tc>
          <w:tcPr>
            <w:tcW w:w="1672" w:type="dxa"/>
            <w:tcBorders>
              <w:bottom w:val="single" w:sz="4" w:space="0" w:color="auto"/>
            </w:tcBorders>
          </w:tcPr>
          <w:p w14:paraId="30562C80" w14:textId="6604D554" w:rsidR="001D42BB" w:rsidRPr="007E6CF8" w:rsidRDefault="00592A39" w:rsidP="00E8485E">
            <w:pPr>
              <w:pStyle w:val="IAPODisRate"/>
            </w:pPr>
            <w:r>
              <w:t>3.5</w:t>
            </w:r>
          </w:p>
        </w:tc>
      </w:tr>
      <w:tr w:rsidR="001D42BB" w:rsidRPr="007E190E" w14:paraId="5A17EA92" w14:textId="77777777" w:rsidTr="007B4DAD">
        <w:trPr>
          <w:gridBefore w:val="1"/>
          <w:wBefore w:w="6" w:type="dxa"/>
          <w:trHeight w:hRule="exact" w:val="2049"/>
        </w:trPr>
        <w:tc>
          <w:tcPr>
            <w:tcW w:w="10454" w:type="dxa"/>
            <w:gridSpan w:val="10"/>
            <w:tcBorders>
              <w:top w:val="nil"/>
              <w:left w:val="single" w:sz="12" w:space="0" w:color="auto"/>
              <w:bottom w:val="single" w:sz="12" w:space="0" w:color="auto"/>
              <w:right w:val="single" w:sz="12" w:space="0" w:color="auto"/>
            </w:tcBorders>
          </w:tcPr>
          <w:p w14:paraId="1A5F6E51" w14:textId="6B1381ED" w:rsidR="001D42BB" w:rsidRPr="00544292" w:rsidRDefault="00F10A0F" w:rsidP="00E8485E">
            <w:pPr>
              <w:pStyle w:val="IAPOA5"/>
            </w:pPr>
            <w:r>
              <w:t xml:space="preserve">The portfolio of policies to deliver the budget level is </w:t>
            </w:r>
            <w:r w:rsidR="00176FAB">
              <w:t xml:space="preserve">unconfirmed </w:t>
            </w:r>
            <w:r>
              <w:t xml:space="preserve">at this stage, though the analysis presented gives a sense of the challenges. </w:t>
            </w:r>
            <w:r w:rsidR="00D037FA">
              <w:t>The monetisation of</w:t>
            </w:r>
            <w:r w:rsidR="0002119A">
              <w:t xml:space="preserve"> </w:t>
            </w:r>
            <w:r w:rsidR="00D037FA">
              <w:t>emissions reduction measures is provided as an illustration only, and is based on knowledge of</w:t>
            </w:r>
            <w:r w:rsidR="0002119A">
              <w:t xml:space="preserve"> </w:t>
            </w:r>
            <w:r w:rsidR="00D037FA">
              <w:t xml:space="preserve">theoretically achievable options, which are assumed to be deliverable from a technical perspective. </w:t>
            </w:r>
            <w:r w:rsidR="00900363">
              <w:t xml:space="preserve">Emissions </w:t>
            </w:r>
            <w:r w:rsidR="00005E2E" w:rsidRPr="00EA38E7">
              <w:t xml:space="preserve">savings are valued </w:t>
            </w:r>
            <w:r w:rsidR="00900363">
              <w:t xml:space="preserve">using </w:t>
            </w:r>
            <w:r w:rsidR="00005E2E" w:rsidRPr="00EA38E7">
              <w:t xml:space="preserve">the High </w:t>
            </w:r>
            <w:r w:rsidR="00900363">
              <w:t xml:space="preserve">Carbon Values </w:t>
            </w:r>
            <w:r w:rsidR="00005E2E" w:rsidRPr="00EA38E7">
              <w:t xml:space="preserve">series, with the Central series tested as a sensitivity. High and low fuel costs and GDP projections are also tested as sensitivities. National damage costs are used to value air quality impacts. As a sensitivity, the impact of removing the wealth element of the </w:t>
            </w:r>
            <w:r w:rsidR="00900363">
              <w:t xml:space="preserve">social </w:t>
            </w:r>
            <w:r w:rsidR="00005E2E" w:rsidRPr="00EA38E7">
              <w:t xml:space="preserve">discount rate for </w:t>
            </w:r>
            <w:r w:rsidR="00900363">
              <w:t>emissions</w:t>
            </w:r>
            <w:r w:rsidR="00900363" w:rsidRPr="00EA38E7">
              <w:t xml:space="preserve"> </w:t>
            </w:r>
            <w:r w:rsidR="00005E2E" w:rsidRPr="00EA38E7">
              <w:t>savings is tested.</w:t>
            </w:r>
            <w:r w:rsidR="00D037FA">
              <w:t xml:space="preserve"> </w:t>
            </w:r>
          </w:p>
        </w:tc>
      </w:tr>
    </w:tbl>
    <w:p w14:paraId="628ED860" w14:textId="77777777" w:rsidR="001D42BB" w:rsidRDefault="001D42BB" w:rsidP="001D42BB">
      <w:pPr>
        <w:pStyle w:val="IASpacer"/>
      </w:pPr>
    </w:p>
    <w:p w14:paraId="1D0FC5F3" w14:textId="77777777" w:rsidR="001D42BB" w:rsidRDefault="001D42BB" w:rsidP="001D42BB">
      <w:pPr>
        <w:pStyle w:val="IAHeadLabel"/>
        <w:spacing w:before="50"/>
      </w:pPr>
    </w:p>
    <w:p w14:paraId="0129C469" w14:textId="51F3B72C" w:rsidR="001D42BB" w:rsidRDefault="001D42BB" w:rsidP="001D42BB">
      <w:pPr>
        <w:pStyle w:val="IAHeadLabel"/>
        <w:spacing w:before="50"/>
      </w:pPr>
      <w:r>
        <w:t xml:space="preserve">BUSINESS ASSESSMENT (Option </w:t>
      </w:r>
      <w:r w:rsidR="006D15C4">
        <w:rPr>
          <w:noProof/>
        </w:rPr>
        <w:t>3</w:t>
      </w:r>
      <w:r>
        <w:t>)</w:t>
      </w:r>
    </w:p>
    <w:tbl>
      <w:tblPr>
        <w:tblW w:w="5140"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81"/>
        <w:gridCol w:w="1839"/>
        <w:gridCol w:w="1698"/>
        <w:gridCol w:w="4962"/>
      </w:tblGrid>
      <w:tr w:rsidR="001D42BB" w:rsidRPr="000E02BE" w14:paraId="3ABE036F" w14:textId="77777777" w:rsidTr="006A0C4B">
        <w:trPr>
          <w:trHeight w:hRule="exact" w:val="384"/>
        </w:trPr>
        <w:tc>
          <w:tcPr>
            <w:tcW w:w="5518" w:type="dxa"/>
            <w:gridSpan w:val="3"/>
            <w:tcBorders>
              <w:top w:val="single" w:sz="4" w:space="0" w:color="auto"/>
              <w:bottom w:val="nil"/>
              <w:right w:val="single" w:sz="4" w:space="0" w:color="auto"/>
            </w:tcBorders>
          </w:tcPr>
          <w:p w14:paraId="3A60AE69" w14:textId="259533B3" w:rsidR="001D42BB" w:rsidRPr="000E02BE" w:rsidRDefault="001D42BB" w:rsidP="00E8485E">
            <w:pPr>
              <w:pStyle w:val="IATableLabel"/>
            </w:pPr>
            <w:r w:rsidRPr="000E02BE">
              <w:t xml:space="preserve">Direct impact on </w:t>
            </w:r>
            <w:r>
              <w:t>business (Equivalent Annual) £m</w:t>
            </w:r>
            <w:r w:rsidRPr="000E02BE">
              <w:t xml:space="preserve">: </w:t>
            </w:r>
          </w:p>
        </w:tc>
        <w:tc>
          <w:tcPr>
            <w:tcW w:w="4962" w:type="dxa"/>
            <w:vMerge w:val="restart"/>
            <w:tcBorders>
              <w:top w:val="single" w:sz="4" w:space="0" w:color="auto"/>
              <w:left w:val="single" w:sz="4" w:space="0" w:color="auto"/>
            </w:tcBorders>
          </w:tcPr>
          <w:p w14:paraId="2A0FC9D0" w14:textId="67ED23E8" w:rsidR="001D42BB" w:rsidRPr="000E02BE" w:rsidRDefault="001D42BB" w:rsidP="00E8485E">
            <w:pPr>
              <w:pStyle w:val="IATableLabel"/>
            </w:pPr>
            <w:r>
              <w:t>Score for Business Impact Target (qualifying provisions only) £m:</w:t>
            </w:r>
          </w:p>
        </w:tc>
      </w:tr>
      <w:tr w:rsidR="001D42BB" w:rsidRPr="00E75380" w14:paraId="3ACDCBEF" w14:textId="77777777" w:rsidTr="006A0C4B">
        <w:trPr>
          <w:trHeight w:hRule="exact" w:val="340"/>
        </w:trPr>
        <w:tc>
          <w:tcPr>
            <w:tcW w:w="1981" w:type="dxa"/>
            <w:vMerge w:val="restart"/>
            <w:tcBorders>
              <w:top w:val="nil"/>
              <w:right w:val="single" w:sz="4" w:space="0" w:color="auto"/>
            </w:tcBorders>
            <w:shd w:val="clear" w:color="auto" w:fill="FFFFFF"/>
          </w:tcPr>
          <w:p w14:paraId="26968F1E" w14:textId="4AC45AD4" w:rsidR="001D42BB" w:rsidRPr="00F63895" w:rsidRDefault="001D42BB" w:rsidP="00E8485E">
            <w:pPr>
              <w:pStyle w:val="IATableLabel"/>
            </w:pPr>
            <w:r w:rsidRPr="00F63895">
              <w:t xml:space="preserve">Costs: </w:t>
            </w:r>
            <w:r w:rsidRPr="00F63895">
              <w:rPr>
                <w:rStyle w:val="IAPODICostChar"/>
                <w:b/>
                <w:sz w:val="20"/>
              </w:rPr>
              <w:fldChar w:fldCharType="begin">
                <w:ffData>
                  <w:name w:val="Text67"/>
                  <w:enabled/>
                  <w:calcOnExit w:val="0"/>
                  <w:textInput>
                    <w:maxLength w:val="9"/>
                  </w:textInput>
                </w:ffData>
              </w:fldChar>
            </w:r>
            <w:r w:rsidRPr="00F63895">
              <w:rPr>
                <w:rStyle w:val="IAPODICostChar"/>
                <w:b/>
                <w:sz w:val="20"/>
              </w:rPr>
              <w:instrText xml:space="preserve"> FORMTEXT </w:instrText>
            </w:r>
            <w:r w:rsidRPr="00F63895">
              <w:rPr>
                <w:rStyle w:val="IAPODICostChar"/>
                <w:b/>
                <w:sz w:val="20"/>
              </w:rPr>
            </w:r>
            <w:r w:rsidRPr="00F63895">
              <w:rPr>
                <w:rStyle w:val="IAPODICostChar"/>
                <w:b/>
                <w:sz w:val="20"/>
              </w:rPr>
              <w:fldChar w:fldCharType="separate"/>
            </w:r>
            <w:r w:rsidRPr="00F63895">
              <w:rPr>
                <w:rStyle w:val="IAPODICostChar"/>
                <w:noProof/>
                <w:sz w:val="20"/>
              </w:rPr>
              <w:t> </w:t>
            </w:r>
            <w:r w:rsidRPr="00F63895">
              <w:rPr>
                <w:rStyle w:val="IAPODICostChar"/>
                <w:noProof/>
                <w:sz w:val="20"/>
              </w:rPr>
              <w:t> </w:t>
            </w:r>
            <w:r w:rsidRPr="00F63895">
              <w:rPr>
                <w:rStyle w:val="IAPODICostChar"/>
                <w:noProof/>
                <w:sz w:val="20"/>
              </w:rPr>
              <w:t> </w:t>
            </w:r>
            <w:r w:rsidRPr="00F63895">
              <w:rPr>
                <w:rStyle w:val="IAPODICostChar"/>
                <w:noProof/>
                <w:sz w:val="20"/>
              </w:rPr>
              <w:t> </w:t>
            </w:r>
            <w:r w:rsidRPr="00F63895">
              <w:rPr>
                <w:rStyle w:val="IAPODICostChar"/>
                <w:noProof/>
                <w:sz w:val="20"/>
              </w:rPr>
              <w:t> </w:t>
            </w:r>
            <w:r w:rsidRPr="00F63895">
              <w:rPr>
                <w:rStyle w:val="IAPODICostChar"/>
                <w:b/>
                <w:sz w:val="20"/>
              </w:rPr>
              <w:fldChar w:fldCharType="end"/>
            </w:r>
            <w:r w:rsidR="0014088C">
              <w:rPr>
                <w:rStyle w:val="IAPODICostChar"/>
                <w:b/>
                <w:sz w:val="20"/>
              </w:rPr>
              <w:t>£0</w:t>
            </w:r>
          </w:p>
        </w:tc>
        <w:tc>
          <w:tcPr>
            <w:tcW w:w="1839" w:type="dxa"/>
            <w:vMerge w:val="restart"/>
            <w:tcBorders>
              <w:top w:val="nil"/>
              <w:right w:val="single" w:sz="4" w:space="0" w:color="auto"/>
            </w:tcBorders>
            <w:shd w:val="clear" w:color="auto" w:fill="FFFFFF"/>
          </w:tcPr>
          <w:p w14:paraId="78FD4AE9" w14:textId="05C88AE5" w:rsidR="001D42BB" w:rsidRPr="00F63895" w:rsidRDefault="001D42BB" w:rsidP="00E8485E">
            <w:pPr>
              <w:pStyle w:val="IATableLabel"/>
            </w:pPr>
            <w:r w:rsidRPr="00F63895">
              <w:t xml:space="preserve">Benefits: </w:t>
            </w:r>
            <w:r w:rsidR="0014088C">
              <w:rPr>
                <w:rStyle w:val="IAPODIBenChar"/>
                <w:sz w:val="20"/>
              </w:rPr>
              <w:t>£0</w:t>
            </w:r>
          </w:p>
        </w:tc>
        <w:tc>
          <w:tcPr>
            <w:tcW w:w="1698" w:type="dxa"/>
            <w:vMerge w:val="restart"/>
            <w:tcBorders>
              <w:top w:val="nil"/>
              <w:right w:val="single" w:sz="4" w:space="0" w:color="auto"/>
            </w:tcBorders>
            <w:shd w:val="clear" w:color="auto" w:fill="FFFFFF"/>
          </w:tcPr>
          <w:p w14:paraId="282FC4C2" w14:textId="79852C6F" w:rsidR="001D42BB" w:rsidRPr="00F63895" w:rsidRDefault="001D42BB" w:rsidP="00E8485E">
            <w:pPr>
              <w:pStyle w:val="IATableLabel"/>
            </w:pPr>
            <w:r w:rsidRPr="00F63895">
              <w:t xml:space="preserve">Net: </w:t>
            </w:r>
            <w:r w:rsidR="0014088C">
              <w:rPr>
                <w:rStyle w:val="IAPODINetChar"/>
                <w:sz w:val="20"/>
              </w:rPr>
              <w:t>£0</w:t>
            </w:r>
          </w:p>
        </w:tc>
        <w:tc>
          <w:tcPr>
            <w:tcW w:w="4962" w:type="dxa"/>
            <w:vMerge/>
            <w:tcBorders>
              <w:left w:val="single" w:sz="4" w:space="0" w:color="auto"/>
              <w:bottom w:val="single" w:sz="4" w:space="0" w:color="auto"/>
            </w:tcBorders>
            <w:shd w:val="clear" w:color="auto" w:fill="FFFFFF"/>
          </w:tcPr>
          <w:p w14:paraId="4B9C008C" w14:textId="77777777" w:rsidR="001D42BB" w:rsidRPr="00F63895" w:rsidRDefault="001D42BB" w:rsidP="00E8485E">
            <w:pPr>
              <w:pStyle w:val="IAPODIMQ"/>
            </w:pPr>
          </w:p>
        </w:tc>
      </w:tr>
      <w:tr w:rsidR="001D42BB" w:rsidRPr="00E75380" w14:paraId="640ABED0" w14:textId="77777777" w:rsidTr="006A0C4B">
        <w:trPr>
          <w:trHeight w:hRule="exact" w:val="340"/>
        </w:trPr>
        <w:tc>
          <w:tcPr>
            <w:tcW w:w="1981" w:type="dxa"/>
            <w:vMerge/>
            <w:tcBorders>
              <w:bottom w:val="single" w:sz="4" w:space="0" w:color="auto"/>
              <w:right w:val="single" w:sz="4" w:space="0" w:color="auto"/>
            </w:tcBorders>
            <w:shd w:val="clear" w:color="auto" w:fill="FFFFFF"/>
          </w:tcPr>
          <w:p w14:paraId="041557D6" w14:textId="77777777" w:rsidR="001D42BB" w:rsidRPr="00F63895" w:rsidRDefault="001D42BB" w:rsidP="00E8485E">
            <w:pPr>
              <w:pStyle w:val="IATableLabel"/>
            </w:pPr>
          </w:p>
        </w:tc>
        <w:tc>
          <w:tcPr>
            <w:tcW w:w="1839" w:type="dxa"/>
            <w:vMerge/>
            <w:tcBorders>
              <w:bottom w:val="single" w:sz="4" w:space="0" w:color="auto"/>
              <w:right w:val="single" w:sz="4" w:space="0" w:color="auto"/>
            </w:tcBorders>
            <w:shd w:val="clear" w:color="auto" w:fill="FFFFFF"/>
          </w:tcPr>
          <w:p w14:paraId="41D74F36" w14:textId="77777777" w:rsidR="001D42BB" w:rsidRPr="00F63895" w:rsidRDefault="001D42BB" w:rsidP="00E8485E">
            <w:pPr>
              <w:pStyle w:val="IATableLabel"/>
            </w:pPr>
          </w:p>
        </w:tc>
        <w:tc>
          <w:tcPr>
            <w:tcW w:w="1698" w:type="dxa"/>
            <w:vMerge/>
            <w:tcBorders>
              <w:bottom w:val="single" w:sz="4" w:space="0" w:color="auto"/>
              <w:right w:val="single" w:sz="4" w:space="0" w:color="auto"/>
            </w:tcBorders>
            <w:shd w:val="clear" w:color="auto" w:fill="FFFFFF"/>
          </w:tcPr>
          <w:p w14:paraId="7C06935F" w14:textId="77777777" w:rsidR="001D42BB" w:rsidRPr="00F63895" w:rsidRDefault="001D42BB" w:rsidP="00E8485E">
            <w:pPr>
              <w:pStyle w:val="IATableLabel"/>
            </w:pPr>
          </w:p>
        </w:tc>
        <w:tc>
          <w:tcPr>
            <w:tcW w:w="4962" w:type="dxa"/>
            <w:tcBorders>
              <w:top w:val="nil"/>
              <w:left w:val="single" w:sz="4" w:space="0" w:color="auto"/>
              <w:bottom w:val="single" w:sz="4" w:space="0" w:color="auto"/>
            </w:tcBorders>
            <w:shd w:val="clear" w:color="auto" w:fill="FFFFFF"/>
          </w:tcPr>
          <w:p w14:paraId="23508BAA" w14:textId="0B3748EF" w:rsidR="001D42BB" w:rsidRPr="00F63895" w:rsidRDefault="001D42BB" w:rsidP="00E8485E">
            <w:pPr>
              <w:pStyle w:val="IAPODIMQ"/>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14088C">
              <w:t>£0</w:t>
            </w:r>
          </w:p>
        </w:tc>
      </w:tr>
    </w:tbl>
    <w:p w14:paraId="0B472B66" w14:textId="77777777" w:rsidR="001D42BB" w:rsidRDefault="001D42BB" w:rsidP="001D42BB">
      <w:pPr>
        <w:sectPr w:rsidR="001D42BB" w:rsidSect="00F1328C">
          <w:footnotePr>
            <w:numRestart w:val="eachSect"/>
          </w:footnotePr>
          <w:pgSz w:w="11907" w:h="16840" w:code="9"/>
          <w:pgMar w:top="680" w:right="851" w:bottom="680" w:left="851" w:header="284" w:footer="284" w:gutter="0"/>
          <w:cols w:space="708"/>
          <w:docGrid w:linePitch="360"/>
        </w:sectPr>
      </w:pPr>
    </w:p>
    <w:p w14:paraId="4458A8DE" w14:textId="1B55126D" w:rsidR="001D42BB" w:rsidRDefault="001D42BB" w:rsidP="001D42BB">
      <w:pPr>
        <w:pStyle w:val="Heading1"/>
        <w:spacing w:before="0"/>
      </w:pPr>
      <w:bookmarkStart w:id="31" w:name="_Toc67051832"/>
      <w:r>
        <w:lastRenderedPageBreak/>
        <w:t>Summary: Analysis &amp; Evidence</w:t>
      </w:r>
      <w:r>
        <w:tab/>
      </w:r>
      <w:r w:rsidRPr="00E3545D">
        <w:rPr>
          <w:rFonts w:ascii="Arial Bold" w:hAnsi="Arial Bold"/>
          <w:b w:val="0"/>
        </w:rPr>
        <w:t xml:space="preserve">Policy Option </w:t>
      </w:r>
      <w:r w:rsidR="00271FAD">
        <w:rPr>
          <w:rFonts w:ascii="Arial Bold" w:hAnsi="Arial Bold"/>
          <w:b w:val="0"/>
        </w:rPr>
        <w:t>4</w:t>
      </w:r>
      <w:bookmarkEnd w:id="31"/>
    </w:p>
    <w:p w14:paraId="18532B10" w14:textId="008C1080" w:rsidR="001D42BB" w:rsidRDefault="001D42BB" w:rsidP="001D42BB">
      <w:pPr>
        <w:pStyle w:val="IAHeadLabel"/>
        <w:spacing w:before="50"/>
      </w:pPr>
      <w:r w:rsidRPr="00892576">
        <w:t xml:space="preserve">Description: </w:t>
      </w:r>
      <w:r w:rsidR="00DA4197" w:rsidRPr="00DA4197">
        <w:t>Tighter budget option</w:t>
      </w:r>
      <w:r w:rsidR="00DA4197">
        <w:t xml:space="preserve"> at 885MtCO</w:t>
      </w:r>
      <w:r w:rsidR="00DA4197" w:rsidRPr="006A0C4B">
        <w:rPr>
          <w:vertAlign w:val="subscript"/>
        </w:rPr>
        <w:t>2</w:t>
      </w:r>
      <w:r w:rsidR="00DA4197">
        <w:t>e</w:t>
      </w:r>
      <w:r w:rsidR="00DA4197" w:rsidRPr="00DA4197">
        <w:t>, in line with CCC’s widespread innovation scenario</w:t>
      </w:r>
      <w:r>
        <w:rPr>
          <w:rStyle w:val="IAPODescriptionCharChar"/>
        </w:rPr>
        <w:fldChar w:fldCharType="begin">
          <w:ffData>
            <w:name w:val="Text70"/>
            <w:enabled/>
            <w:calcOnExit w:val="0"/>
            <w:textInput>
              <w:maxLength w:val="230"/>
            </w:textInput>
          </w:ffData>
        </w:fldChar>
      </w:r>
      <w:r>
        <w:rPr>
          <w:rStyle w:val="IAPODescriptionCharChar"/>
        </w:rPr>
        <w:instrText xml:space="preserve"> FORMTEXT </w:instrText>
      </w:r>
      <w:r>
        <w:rPr>
          <w:rStyle w:val="IAPODescriptionCharChar"/>
        </w:rPr>
      </w:r>
      <w:r>
        <w:rPr>
          <w:rStyle w:val="IAPODescriptionCharChar"/>
        </w:rPr>
        <w:fldChar w:fldCharType="separate"/>
      </w:r>
      <w:r>
        <w:rPr>
          <w:rStyle w:val="IAPODescriptionCharChar"/>
          <w:noProof/>
        </w:rPr>
        <w:t> </w:t>
      </w:r>
      <w:r>
        <w:rPr>
          <w:rStyle w:val="IAPODescriptionCharChar"/>
          <w:noProof/>
        </w:rPr>
        <w:t> </w:t>
      </w:r>
      <w:r>
        <w:rPr>
          <w:rStyle w:val="IAPODescriptionCharChar"/>
          <w:noProof/>
        </w:rPr>
        <w:t> </w:t>
      </w:r>
      <w:r>
        <w:rPr>
          <w:rStyle w:val="IAPODescriptionCharChar"/>
          <w:noProof/>
        </w:rPr>
        <w:t> </w:t>
      </w:r>
      <w:r>
        <w:rPr>
          <w:rStyle w:val="IAPODescriptionCharChar"/>
          <w:noProof/>
        </w:rPr>
        <w:t> </w:t>
      </w:r>
      <w:r>
        <w:rPr>
          <w:rStyle w:val="IAPODescriptionCharChar"/>
        </w:rPr>
        <w:fldChar w:fldCharType="end"/>
      </w:r>
    </w:p>
    <w:p w14:paraId="49A7B331" w14:textId="77777777" w:rsidR="001D42BB" w:rsidRDefault="001D42BB" w:rsidP="001D42BB">
      <w:pPr>
        <w:pStyle w:val="IAHeadLabel"/>
        <w:spacing w:before="50"/>
      </w:pPr>
      <w:r>
        <w:t>FULL ECONOMIC ASSESSMENT</w:t>
      </w: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96"/>
        <w:gridCol w:w="1255"/>
        <w:gridCol w:w="1434"/>
        <w:gridCol w:w="1793"/>
        <w:gridCol w:w="1820"/>
        <w:gridCol w:w="2623"/>
      </w:tblGrid>
      <w:tr w:rsidR="001D42BB" w:rsidRPr="007E190E" w14:paraId="0A1A23E1" w14:textId="77777777" w:rsidTr="00E8485E">
        <w:trPr>
          <w:trHeight w:hRule="exact" w:val="312"/>
        </w:trPr>
        <w:tc>
          <w:tcPr>
            <w:tcW w:w="1402" w:type="dxa"/>
            <w:vMerge w:val="restart"/>
          </w:tcPr>
          <w:p w14:paraId="41924959" w14:textId="050695D7" w:rsidR="001D42BB" w:rsidRPr="00826F71" w:rsidRDefault="001D42BB" w:rsidP="00E8485E">
            <w:pPr>
              <w:pStyle w:val="POPBY"/>
            </w:pPr>
            <w:r w:rsidRPr="00826F71">
              <w:t>Price Base Year</w:t>
            </w:r>
            <w:r>
              <w:t xml:space="preserve">  </w:t>
            </w:r>
            <w:r w:rsidR="007E13AE">
              <w:rPr>
                <w:b w:val="0"/>
              </w:rPr>
              <w:t>2019</w:t>
            </w:r>
          </w:p>
        </w:tc>
        <w:tc>
          <w:tcPr>
            <w:tcW w:w="1260" w:type="dxa"/>
            <w:vMerge w:val="restart"/>
          </w:tcPr>
          <w:p w14:paraId="2414C06A" w14:textId="68AF01CA" w:rsidR="001D42BB" w:rsidRPr="00826F71" w:rsidRDefault="001D42BB" w:rsidP="00E8485E">
            <w:pPr>
              <w:pStyle w:val="POPVBY"/>
            </w:pPr>
            <w:r w:rsidRPr="00826F71">
              <w:t>PV Base Year</w:t>
            </w:r>
            <w:r>
              <w:t xml:space="preserve">  </w:t>
            </w:r>
            <w:r w:rsidR="007E13AE">
              <w:rPr>
                <w:b w:val="0"/>
              </w:rPr>
              <w:t>2020</w:t>
            </w:r>
          </w:p>
        </w:tc>
        <w:tc>
          <w:tcPr>
            <w:tcW w:w="1440" w:type="dxa"/>
            <w:vMerge w:val="restart"/>
            <w:tcBorders>
              <w:right w:val="single" w:sz="12" w:space="0" w:color="auto"/>
            </w:tcBorders>
          </w:tcPr>
          <w:p w14:paraId="4B265742" w14:textId="1861A8EA" w:rsidR="001D42BB" w:rsidRPr="00826F71" w:rsidRDefault="001D42BB" w:rsidP="00E8485E">
            <w:pPr>
              <w:pStyle w:val="POTPY"/>
            </w:pPr>
            <w:r w:rsidRPr="00826F71">
              <w:t>Time Period Years</w:t>
            </w:r>
            <w:r>
              <w:t xml:space="preserve">  </w:t>
            </w:r>
            <w:r w:rsidR="007E13AE">
              <w:rPr>
                <w:b w:val="0"/>
              </w:rPr>
              <w:t>3</w:t>
            </w:r>
            <w:r w:rsidR="00D1037B">
              <w:rPr>
                <w:b w:val="0"/>
              </w:rPr>
              <w:t>0</w:t>
            </w:r>
          </w:p>
        </w:tc>
        <w:tc>
          <w:tcPr>
            <w:tcW w:w="6260" w:type="dxa"/>
            <w:gridSpan w:val="3"/>
            <w:tcBorders>
              <w:top w:val="single" w:sz="12" w:space="0" w:color="auto"/>
              <w:left w:val="single" w:sz="12" w:space="0" w:color="auto"/>
              <w:right w:val="single" w:sz="12" w:space="0" w:color="auto"/>
            </w:tcBorders>
            <w:shd w:val="clear" w:color="auto" w:fill="FFFFFF"/>
          </w:tcPr>
          <w:p w14:paraId="18EE5406" w14:textId="0F8758DF" w:rsidR="001D42BB" w:rsidRPr="00826F71" w:rsidRDefault="001D42BB" w:rsidP="00E8485E">
            <w:pPr>
              <w:pStyle w:val="IATableLabel"/>
              <w:jc w:val="center"/>
            </w:pPr>
            <w:r w:rsidRPr="00826F71">
              <w:t xml:space="preserve">Net </w:t>
            </w:r>
            <w:r w:rsidRPr="0075393B">
              <w:t>B</w:t>
            </w:r>
            <w:r w:rsidRPr="00826F71">
              <w:t>enefit (</w:t>
            </w:r>
            <w:r>
              <w:t>Present Value (</w:t>
            </w:r>
            <w:r w:rsidRPr="00826F71">
              <w:t>PV</w:t>
            </w:r>
            <w:r>
              <w:t>)</w:t>
            </w:r>
            <w:r w:rsidRPr="00826F71">
              <w:t>)</w:t>
            </w:r>
            <w:r>
              <w:t xml:space="preserve"> (£m)</w:t>
            </w:r>
          </w:p>
        </w:tc>
      </w:tr>
      <w:tr w:rsidR="001D42BB" w:rsidRPr="007E190E" w14:paraId="4F5084CE" w14:textId="77777777" w:rsidTr="00E8485E">
        <w:trPr>
          <w:trHeight w:hRule="exact" w:val="340"/>
        </w:trPr>
        <w:tc>
          <w:tcPr>
            <w:tcW w:w="1402" w:type="dxa"/>
            <w:vMerge/>
          </w:tcPr>
          <w:p w14:paraId="27DF1CF9" w14:textId="77777777" w:rsidR="001D42BB" w:rsidRPr="007E190E" w:rsidRDefault="001D42BB" w:rsidP="00E8485E">
            <w:pPr>
              <w:pStyle w:val="IATableNotes"/>
              <w:ind w:left="0"/>
              <w:rPr>
                <w:b/>
                <w:sz w:val="20"/>
              </w:rPr>
            </w:pPr>
          </w:p>
        </w:tc>
        <w:tc>
          <w:tcPr>
            <w:tcW w:w="1260" w:type="dxa"/>
            <w:vMerge/>
          </w:tcPr>
          <w:p w14:paraId="356732B5" w14:textId="77777777" w:rsidR="001D42BB" w:rsidRPr="007E190E" w:rsidRDefault="001D42BB" w:rsidP="00E8485E">
            <w:pPr>
              <w:pStyle w:val="IATableNotes"/>
              <w:ind w:left="0"/>
              <w:rPr>
                <w:b/>
                <w:sz w:val="20"/>
              </w:rPr>
            </w:pPr>
          </w:p>
        </w:tc>
        <w:tc>
          <w:tcPr>
            <w:tcW w:w="1440" w:type="dxa"/>
            <w:vMerge/>
            <w:tcBorders>
              <w:right w:val="single" w:sz="12" w:space="0" w:color="auto"/>
            </w:tcBorders>
          </w:tcPr>
          <w:p w14:paraId="531110B6" w14:textId="77777777" w:rsidR="001D42BB" w:rsidRPr="007E190E" w:rsidRDefault="001D42BB" w:rsidP="00E8485E">
            <w:pPr>
              <w:pStyle w:val="IATableNotes"/>
              <w:ind w:left="0"/>
              <w:rPr>
                <w:b/>
                <w:sz w:val="20"/>
              </w:rPr>
            </w:pPr>
          </w:p>
        </w:tc>
        <w:tc>
          <w:tcPr>
            <w:tcW w:w="1800" w:type="dxa"/>
            <w:tcBorders>
              <w:left w:val="single" w:sz="12" w:space="0" w:color="auto"/>
              <w:bottom w:val="single" w:sz="12" w:space="0" w:color="auto"/>
            </w:tcBorders>
          </w:tcPr>
          <w:p w14:paraId="50BAF07B" w14:textId="77777777" w:rsidR="001D42BB" w:rsidRPr="007E190E" w:rsidRDefault="001D42BB" w:rsidP="00E8485E">
            <w:pPr>
              <w:pStyle w:val="IATableLabel"/>
              <w:rPr>
                <w:bCs/>
              </w:rPr>
            </w:pPr>
            <w:r w:rsidRPr="00304C1D">
              <w:t>Low:</w:t>
            </w:r>
            <w:r w:rsidRPr="00826F71">
              <w:t xml:space="preserve"> </w:t>
            </w:r>
            <w:r w:rsidRPr="007E190E">
              <w:rPr>
                <w:rStyle w:val="PONBLowCharChar"/>
                <w:sz w:val="20"/>
                <w:szCs w:val="22"/>
              </w:rPr>
              <w:fldChar w:fldCharType="begin">
                <w:ffData>
                  <w:name w:val="Text58"/>
                  <w:enabled/>
                  <w:calcOnExit w:val="0"/>
                  <w:textInput>
                    <w:default w:val="Optional"/>
                    <w:maxLength w:val="8"/>
                  </w:textInput>
                </w:ffData>
              </w:fldChar>
            </w:r>
            <w:r w:rsidRPr="007E190E">
              <w:rPr>
                <w:rStyle w:val="PONBLowCharChar"/>
                <w:sz w:val="20"/>
                <w:szCs w:val="22"/>
              </w:rPr>
              <w:instrText xml:space="preserve"> FORMTEXT </w:instrText>
            </w:r>
            <w:r w:rsidRPr="007E190E">
              <w:rPr>
                <w:rStyle w:val="PONBLowCharChar"/>
                <w:sz w:val="20"/>
                <w:szCs w:val="22"/>
              </w:rPr>
            </w:r>
            <w:r w:rsidRPr="007E190E">
              <w:rPr>
                <w:rStyle w:val="PONBLowCharChar"/>
                <w:sz w:val="20"/>
                <w:szCs w:val="22"/>
              </w:rPr>
              <w:fldChar w:fldCharType="separate"/>
            </w:r>
            <w:r w:rsidRPr="007E190E">
              <w:rPr>
                <w:rStyle w:val="PONBLowCharChar"/>
                <w:noProof/>
                <w:sz w:val="20"/>
                <w:szCs w:val="22"/>
              </w:rPr>
              <w:t>Optional</w:t>
            </w:r>
            <w:r w:rsidRPr="007E190E">
              <w:rPr>
                <w:rStyle w:val="PONBLowCharChar"/>
                <w:sz w:val="20"/>
                <w:szCs w:val="22"/>
              </w:rPr>
              <w:fldChar w:fldCharType="end"/>
            </w:r>
          </w:p>
        </w:tc>
        <w:tc>
          <w:tcPr>
            <w:tcW w:w="1827" w:type="dxa"/>
            <w:tcBorders>
              <w:bottom w:val="single" w:sz="12" w:space="0" w:color="auto"/>
              <w:right w:val="single" w:sz="12" w:space="0" w:color="auto"/>
            </w:tcBorders>
          </w:tcPr>
          <w:p w14:paraId="2EA87AC6" w14:textId="77777777" w:rsidR="001D42BB" w:rsidRPr="007E190E" w:rsidRDefault="001D42BB" w:rsidP="00E8485E">
            <w:pPr>
              <w:pStyle w:val="IATableLabel"/>
              <w:rPr>
                <w:szCs w:val="18"/>
              </w:rPr>
            </w:pPr>
            <w:r w:rsidRPr="00304C1D">
              <w:t>High:</w:t>
            </w:r>
            <w:r w:rsidRPr="00826F71">
              <w:t xml:space="preserve"> </w:t>
            </w:r>
            <w:r w:rsidRPr="007E190E">
              <w:rPr>
                <w:rStyle w:val="PONBHighChar"/>
                <w:sz w:val="20"/>
                <w:szCs w:val="22"/>
              </w:rPr>
              <w:fldChar w:fldCharType="begin">
                <w:ffData>
                  <w:name w:val="Text59"/>
                  <w:enabled/>
                  <w:calcOnExit w:val="0"/>
                  <w:textInput>
                    <w:default w:val="Optional"/>
                    <w:maxLength w:val="8"/>
                  </w:textInput>
                </w:ffData>
              </w:fldChar>
            </w:r>
            <w:r w:rsidRPr="007E190E">
              <w:rPr>
                <w:rStyle w:val="PONBHighChar"/>
                <w:sz w:val="20"/>
                <w:szCs w:val="22"/>
              </w:rPr>
              <w:instrText xml:space="preserve"> FORMTEXT </w:instrText>
            </w:r>
            <w:r w:rsidRPr="007E190E">
              <w:rPr>
                <w:rStyle w:val="PONBHighChar"/>
                <w:sz w:val="20"/>
                <w:szCs w:val="22"/>
              </w:rPr>
            </w:r>
            <w:r w:rsidRPr="007E190E">
              <w:rPr>
                <w:rStyle w:val="PONBHighChar"/>
                <w:sz w:val="20"/>
                <w:szCs w:val="22"/>
              </w:rPr>
              <w:fldChar w:fldCharType="separate"/>
            </w:r>
            <w:r w:rsidRPr="007E190E">
              <w:rPr>
                <w:rStyle w:val="PONBHighChar"/>
                <w:noProof/>
                <w:sz w:val="20"/>
                <w:szCs w:val="22"/>
              </w:rPr>
              <w:t>Optional</w:t>
            </w:r>
            <w:r w:rsidRPr="007E190E">
              <w:rPr>
                <w:rStyle w:val="PONBHighChar"/>
                <w:sz w:val="20"/>
                <w:szCs w:val="22"/>
              </w:rPr>
              <w:fldChar w:fldCharType="end"/>
            </w:r>
          </w:p>
        </w:tc>
        <w:tc>
          <w:tcPr>
            <w:tcW w:w="2633" w:type="dxa"/>
            <w:tcBorders>
              <w:top w:val="single" w:sz="12" w:space="0" w:color="auto"/>
              <w:left w:val="single" w:sz="12" w:space="0" w:color="auto"/>
              <w:bottom w:val="single" w:sz="12" w:space="0" w:color="auto"/>
              <w:right w:val="single" w:sz="12" w:space="0" w:color="auto"/>
            </w:tcBorders>
            <w:shd w:val="clear" w:color="auto" w:fill="FFFFFF"/>
          </w:tcPr>
          <w:p w14:paraId="107ABA7A" w14:textId="7599C524" w:rsidR="001D42BB" w:rsidRPr="007E190E" w:rsidRDefault="00D0496E" w:rsidP="00E8485E">
            <w:pPr>
              <w:pStyle w:val="IATableLabel"/>
              <w:rPr>
                <w:szCs w:val="18"/>
              </w:rPr>
            </w:pPr>
            <w:r>
              <w:t>Best Estimate</w:t>
            </w:r>
            <w:r w:rsidR="001D42BB" w:rsidRPr="00304C1D">
              <w:t>:</w:t>
            </w:r>
            <w:r w:rsidR="001D42BB" w:rsidRPr="00826F71">
              <w:t xml:space="preserve"> </w:t>
            </w:r>
            <w:r w:rsidR="008F271C">
              <w:rPr>
                <w:rStyle w:val="PONBBestEstChar"/>
                <w:sz w:val="20"/>
                <w:szCs w:val="22"/>
              </w:rPr>
              <w:t>£</w:t>
            </w:r>
            <w:r w:rsidR="00D345BE">
              <w:rPr>
                <w:rStyle w:val="PONBBestEstChar"/>
                <w:sz w:val="20"/>
                <w:szCs w:val="22"/>
              </w:rPr>
              <w:t>211,000</w:t>
            </w:r>
          </w:p>
        </w:tc>
      </w:tr>
    </w:tbl>
    <w:p w14:paraId="5F03AC4C" w14:textId="77777777" w:rsidR="001D42BB" w:rsidRDefault="001D42BB" w:rsidP="001D42BB">
      <w:pPr>
        <w:pStyle w:val="IASpacer"/>
      </w:pPr>
    </w:p>
    <w:tbl>
      <w:tblPr>
        <w:tblW w:w="5070"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2057"/>
        <w:gridCol w:w="1891"/>
        <w:gridCol w:w="767"/>
        <w:gridCol w:w="2778"/>
        <w:gridCol w:w="1722"/>
        <w:gridCol w:w="1102"/>
      </w:tblGrid>
      <w:tr w:rsidR="001D42BB" w:rsidRPr="007E190E" w14:paraId="19FA741D" w14:textId="77777777" w:rsidTr="00C16CDC">
        <w:trPr>
          <w:trHeight w:hRule="exact" w:val="567"/>
        </w:trPr>
        <w:tc>
          <w:tcPr>
            <w:tcW w:w="2058" w:type="dxa"/>
            <w:tcBorders>
              <w:top w:val="single" w:sz="12" w:space="0" w:color="auto"/>
            </w:tcBorders>
            <w:shd w:val="clear" w:color="auto" w:fill="FFFFFF"/>
          </w:tcPr>
          <w:p w14:paraId="2AF5DB2B" w14:textId="56691177" w:rsidR="001D42BB" w:rsidRPr="007E190E" w:rsidRDefault="001D42BB" w:rsidP="00E8485E">
            <w:pPr>
              <w:pStyle w:val="IATableLabel"/>
              <w:rPr>
                <w:sz w:val="24"/>
                <w:szCs w:val="24"/>
              </w:rPr>
            </w:pPr>
            <w:r w:rsidRPr="007E190E">
              <w:rPr>
                <w:sz w:val="24"/>
                <w:szCs w:val="24"/>
              </w:rPr>
              <w:t>COSTS (£m)</w:t>
            </w:r>
          </w:p>
        </w:tc>
        <w:tc>
          <w:tcPr>
            <w:tcW w:w="2658" w:type="dxa"/>
            <w:gridSpan w:val="2"/>
            <w:tcBorders>
              <w:top w:val="single" w:sz="12" w:space="0" w:color="auto"/>
            </w:tcBorders>
          </w:tcPr>
          <w:p w14:paraId="34E5C841" w14:textId="77777777" w:rsidR="001D42BB" w:rsidRPr="00826F71" w:rsidRDefault="001D42BB" w:rsidP="00E8485E">
            <w:pPr>
              <w:pStyle w:val="IATableLabel"/>
              <w:tabs>
                <w:tab w:val="right" w:pos="1800"/>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6E4031F6" w14:textId="77777777" w:rsidR="001D42BB" w:rsidRPr="00826F71" w:rsidRDefault="001D42BB" w:rsidP="00E8485E">
            <w:pPr>
              <w:pStyle w:val="IATableLabel"/>
              <w:jc w:val="right"/>
            </w:pPr>
            <w:r>
              <w:br/>
            </w:r>
          </w:p>
        </w:tc>
        <w:tc>
          <w:tcPr>
            <w:tcW w:w="2778" w:type="dxa"/>
            <w:tcBorders>
              <w:top w:val="single" w:sz="12" w:space="0" w:color="auto"/>
              <w:right w:val="single" w:sz="12" w:space="0" w:color="auto"/>
            </w:tcBorders>
          </w:tcPr>
          <w:p w14:paraId="2FC9AE18" w14:textId="17CFF3C0" w:rsidR="001D42BB" w:rsidRPr="007E190E" w:rsidRDefault="001D42BB" w:rsidP="00E8485E">
            <w:pPr>
              <w:pStyle w:val="IATableLabel"/>
              <w:jc w:val="right"/>
            </w:pPr>
            <w:r w:rsidRPr="00826F71">
              <w:t>Average Annual</w:t>
            </w:r>
            <w:r w:rsidRPr="000C031E">
              <w:t xml:space="preserve"> </w:t>
            </w:r>
            <w:r>
              <w:br/>
            </w:r>
            <w:r w:rsidRPr="007E190E">
              <w:rPr>
                <w:b w:val="0"/>
                <w:sz w:val="18"/>
                <w:szCs w:val="18"/>
              </w:rPr>
              <w:t>(excl. Transition) (Constant Price)</w:t>
            </w:r>
          </w:p>
        </w:tc>
        <w:tc>
          <w:tcPr>
            <w:tcW w:w="2824" w:type="dxa"/>
            <w:gridSpan w:val="2"/>
            <w:tcBorders>
              <w:top w:val="single" w:sz="12" w:space="0" w:color="auto"/>
              <w:left w:val="single" w:sz="12" w:space="0" w:color="auto"/>
            </w:tcBorders>
          </w:tcPr>
          <w:p w14:paraId="67288EC8" w14:textId="1FC6C759" w:rsidR="001D42BB" w:rsidRPr="00826F71" w:rsidRDefault="001D42BB" w:rsidP="00E8485E">
            <w:pPr>
              <w:pStyle w:val="IATableLabel"/>
              <w:jc w:val="right"/>
            </w:pPr>
            <w:r w:rsidRPr="00826F71">
              <w:t>Total Cost</w:t>
            </w:r>
            <w:r w:rsidRPr="007E190E">
              <w:rPr>
                <w:b w:val="0"/>
                <w:sz w:val="18"/>
                <w:szCs w:val="18"/>
              </w:rPr>
              <w:t xml:space="preserve"> </w:t>
            </w:r>
            <w:r w:rsidRPr="007E190E">
              <w:rPr>
                <w:b w:val="0"/>
                <w:sz w:val="18"/>
                <w:szCs w:val="18"/>
              </w:rPr>
              <w:br/>
              <w:t>(Present Value)</w:t>
            </w:r>
          </w:p>
        </w:tc>
      </w:tr>
      <w:tr w:rsidR="001D42BB" w:rsidRPr="007E190E" w14:paraId="2DB9C497" w14:textId="77777777" w:rsidTr="00C16CDC">
        <w:trPr>
          <w:trHeight w:hRule="exact" w:val="348"/>
        </w:trPr>
        <w:tc>
          <w:tcPr>
            <w:tcW w:w="2058" w:type="dxa"/>
            <w:vAlign w:val="center"/>
          </w:tcPr>
          <w:p w14:paraId="38452DC4" w14:textId="27DA5675" w:rsidR="001D42BB" w:rsidRPr="00F63895" w:rsidRDefault="001D42BB" w:rsidP="00E8485E">
            <w:pPr>
              <w:pStyle w:val="IATableLabel"/>
            </w:pPr>
            <w:r w:rsidRPr="00F63895">
              <w:t xml:space="preserve">Low </w:t>
            </w:r>
          </w:p>
        </w:tc>
        <w:tc>
          <w:tcPr>
            <w:tcW w:w="1891" w:type="dxa"/>
            <w:vAlign w:val="center"/>
          </w:tcPr>
          <w:p w14:paraId="50F978A4" w14:textId="77777777" w:rsidR="001D42BB" w:rsidRPr="007E190E" w:rsidRDefault="001D42BB" w:rsidP="00E8485E">
            <w:pPr>
              <w:pStyle w:val="POTTCostsLow"/>
              <w:rPr>
                <w:sz w:val="20"/>
              </w:rPr>
            </w:pPr>
            <w:r w:rsidRPr="007E190E">
              <w:rPr>
                <w:sz w:val="20"/>
              </w:rPr>
              <w:fldChar w:fldCharType="begin">
                <w:ffData>
                  <w:name w:val="Text45"/>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67" w:type="dxa"/>
            <w:vAlign w:val="center"/>
          </w:tcPr>
          <w:p w14:paraId="0D960D83" w14:textId="793F4368" w:rsidR="001D42BB" w:rsidRPr="007E190E" w:rsidRDefault="001D42BB" w:rsidP="00E8485E">
            <w:pPr>
              <w:pStyle w:val="POTTCostsYear"/>
              <w:rPr>
                <w:sz w:val="20"/>
                <w:szCs w:val="20"/>
              </w:rPr>
            </w:pPr>
          </w:p>
        </w:tc>
        <w:tc>
          <w:tcPr>
            <w:tcW w:w="2778" w:type="dxa"/>
            <w:tcBorders>
              <w:right w:val="single" w:sz="12" w:space="0" w:color="auto"/>
            </w:tcBorders>
            <w:vAlign w:val="center"/>
          </w:tcPr>
          <w:p w14:paraId="50911D93" w14:textId="77777777" w:rsidR="001D42BB" w:rsidRPr="007E190E" w:rsidRDefault="001D42BB" w:rsidP="00E8485E">
            <w:pPr>
              <w:pStyle w:val="POAACostsLow"/>
              <w:rPr>
                <w:sz w:val="20"/>
              </w:rPr>
            </w:pPr>
            <w:r w:rsidRPr="007E190E">
              <w:rPr>
                <w:sz w:val="20"/>
              </w:rPr>
              <w:fldChar w:fldCharType="begin">
                <w:ffData>
                  <w:name w:val="Text49"/>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824" w:type="dxa"/>
            <w:gridSpan w:val="2"/>
            <w:tcBorders>
              <w:left w:val="single" w:sz="12" w:space="0" w:color="auto"/>
            </w:tcBorders>
            <w:vAlign w:val="center"/>
          </w:tcPr>
          <w:p w14:paraId="6A287913" w14:textId="77777777" w:rsidR="001D42BB" w:rsidRPr="007E190E" w:rsidRDefault="001D42BB" w:rsidP="00E8485E">
            <w:pPr>
              <w:pStyle w:val="POTCCostsLow"/>
              <w:rPr>
                <w:sz w:val="20"/>
              </w:rPr>
            </w:pPr>
            <w:r w:rsidRPr="007E190E">
              <w:rPr>
                <w:sz w:val="20"/>
              </w:rPr>
              <w:fldChar w:fldCharType="begin">
                <w:ffData>
                  <w:name w:val="Text52"/>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D42BB" w:rsidRPr="007E190E" w14:paraId="269C3D91" w14:textId="77777777" w:rsidTr="00C16CDC">
        <w:trPr>
          <w:trHeight w:val="348"/>
        </w:trPr>
        <w:tc>
          <w:tcPr>
            <w:tcW w:w="2058" w:type="dxa"/>
            <w:tcBorders>
              <w:bottom w:val="single" w:sz="12" w:space="0" w:color="auto"/>
            </w:tcBorders>
            <w:vAlign w:val="center"/>
          </w:tcPr>
          <w:p w14:paraId="4AB7A3E8" w14:textId="7E339806" w:rsidR="001D42BB" w:rsidRPr="00F63895" w:rsidRDefault="001D42BB" w:rsidP="00E8485E">
            <w:pPr>
              <w:pStyle w:val="IATableLabel"/>
            </w:pPr>
            <w:r w:rsidRPr="00F63895">
              <w:t xml:space="preserve">High </w:t>
            </w:r>
          </w:p>
        </w:tc>
        <w:tc>
          <w:tcPr>
            <w:tcW w:w="1891" w:type="dxa"/>
            <w:tcBorders>
              <w:bottom w:val="single" w:sz="12" w:space="0" w:color="auto"/>
            </w:tcBorders>
            <w:vAlign w:val="center"/>
          </w:tcPr>
          <w:p w14:paraId="0217C6F7" w14:textId="77777777" w:rsidR="001D42BB" w:rsidRPr="007E190E" w:rsidRDefault="001D42BB" w:rsidP="00E8485E">
            <w:pPr>
              <w:pStyle w:val="POTTCostsHigh"/>
              <w:rPr>
                <w:sz w:val="20"/>
              </w:rPr>
            </w:pPr>
            <w:r w:rsidRPr="007E190E">
              <w:rPr>
                <w:sz w:val="20"/>
              </w:rPr>
              <w:fldChar w:fldCharType="begin">
                <w:ffData>
                  <w:name w:val="Text46"/>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67" w:type="dxa"/>
            <w:shd w:val="clear" w:color="auto" w:fill="FFFFFF"/>
            <w:vAlign w:val="center"/>
          </w:tcPr>
          <w:p w14:paraId="65389060" w14:textId="77777777" w:rsidR="001D42BB" w:rsidRPr="007E190E" w:rsidRDefault="001D42BB" w:rsidP="00E8485E">
            <w:pPr>
              <w:pStyle w:val="IATableText"/>
              <w:jc w:val="right"/>
              <w:rPr>
                <w:sz w:val="20"/>
              </w:rPr>
            </w:pPr>
          </w:p>
        </w:tc>
        <w:tc>
          <w:tcPr>
            <w:tcW w:w="2778" w:type="dxa"/>
            <w:tcBorders>
              <w:bottom w:val="single" w:sz="12" w:space="0" w:color="auto"/>
              <w:right w:val="single" w:sz="12" w:space="0" w:color="auto"/>
            </w:tcBorders>
            <w:vAlign w:val="center"/>
          </w:tcPr>
          <w:p w14:paraId="460797E1" w14:textId="77777777" w:rsidR="001D42BB" w:rsidRPr="007E190E" w:rsidRDefault="001D42BB" w:rsidP="00E8485E">
            <w:pPr>
              <w:pStyle w:val="POAACostsHigh"/>
              <w:rPr>
                <w:sz w:val="20"/>
              </w:rPr>
            </w:pPr>
            <w:r w:rsidRPr="007E190E">
              <w:rPr>
                <w:sz w:val="20"/>
              </w:rPr>
              <w:fldChar w:fldCharType="begin">
                <w:ffData>
                  <w:name w:val="Text50"/>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824" w:type="dxa"/>
            <w:gridSpan w:val="2"/>
            <w:tcBorders>
              <w:left w:val="single" w:sz="12" w:space="0" w:color="auto"/>
              <w:bottom w:val="single" w:sz="12" w:space="0" w:color="auto"/>
            </w:tcBorders>
            <w:vAlign w:val="center"/>
          </w:tcPr>
          <w:p w14:paraId="2C5A7DE3" w14:textId="77777777" w:rsidR="001D42BB" w:rsidRPr="007E190E" w:rsidRDefault="001D42BB" w:rsidP="00E8485E">
            <w:pPr>
              <w:pStyle w:val="POTCCostsHigh"/>
              <w:rPr>
                <w:sz w:val="20"/>
              </w:rPr>
            </w:pPr>
            <w:r w:rsidRPr="007E190E">
              <w:rPr>
                <w:sz w:val="20"/>
              </w:rPr>
              <w:fldChar w:fldCharType="begin">
                <w:ffData>
                  <w:name w:val="Text53"/>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D42BB" w:rsidRPr="007E190E" w14:paraId="3413B2B1" w14:textId="77777777" w:rsidTr="00C16CDC">
        <w:trPr>
          <w:trHeight w:hRule="exact" w:val="348"/>
        </w:trPr>
        <w:tc>
          <w:tcPr>
            <w:tcW w:w="2058" w:type="dxa"/>
            <w:tcBorders>
              <w:top w:val="single" w:sz="12" w:space="0" w:color="auto"/>
              <w:bottom w:val="single" w:sz="12" w:space="0" w:color="auto"/>
              <w:right w:val="single" w:sz="12" w:space="0" w:color="auto"/>
            </w:tcBorders>
            <w:shd w:val="clear" w:color="auto" w:fill="FFFFFF"/>
            <w:vAlign w:val="center"/>
          </w:tcPr>
          <w:p w14:paraId="52F29DD2" w14:textId="77777777" w:rsidR="001D42BB" w:rsidRPr="00F63895" w:rsidRDefault="001D42BB" w:rsidP="00E8485E">
            <w:pPr>
              <w:pStyle w:val="IATableLabel"/>
            </w:pPr>
            <w:r w:rsidRPr="00F63895">
              <w:t>Best Estimate</w:t>
            </w:r>
          </w:p>
          <w:p w14:paraId="409D5955" w14:textId="77777777" w:rsidR="001D42BB" w:rsidRPr="007E190E" w:rsidRDefault="001D42BB" w:rsidP="00E8485E">
            <w:pPr>
              <w:pStyle w:val="IATableNotes"/>
              <w:spacing w:beforeLines="40" w:before="96"/>
              <w:ind w:left="0" w:right="-22"/>
              <w:jc w:val="center"/>
              <w:rPr>
                <w:b/>
                <w:sz w:val="20"/>
              </w:rPr>
            </w:pPr>
          </w:p>
        </w:tc>
        <w:tc>
          <w:tcPr>
            <w:tcW w:w="1891" w:type="dxa"/>
            <w:tcBorders>
              <w:top w:val="single" w:sz="12" w:space="0" w:color="auto"/>
              <w:left w:val="single" w:sz="12" w:space="0" w:color="auto"/>
              <w:bottom w:val="single" w:sz="12" w:space="0" w:color="auto"/>
              <w:right w:val="single" w:sz="12" w:space="0" w:color="auto"/>
            </w:tcBorders>
            <w:shd w:val="clear" w:color="auto" w:fill="FFFFFF"/>
            <w:vAlign w:val="center"/>
          </w:tcPr>
          <w:p w14:paraId="6F78D5C3" w14:textId="51B94E12" w:rsidR="001D42BB" w:rsidRPr="007E190E" w:rsidRDefault="007E13AE" w:rsidP="00E8485E">
            <w:pPr>
              <w:pStyle w:val="POTTCostsBest"/>
              <w:rPr>
                <w:sz w:val="20"/>
              </w:rPr>
            </w:pPr>
            <w:r>
              <w:rPr>
                <w:sz w:val="20"/>
              </w:rPr>
              <w:t>£0</w:t>
            </w:r>
          </w:p>
        </w:tc>
        <w:tc>
          <w:tcPr>
            <w:tcW w:w="767" w:type="dxa"/>
            <w:tcBorders>
              <w:left w:val="single" w:sz="12" w:space="0" w:color="auto"/>
              <w:right w:val="single" w:sz="12" w:space="0" w:color="auto"/>
            </w:tcBorders>
            <w:shd w:val="clear" w:color="auto" w:fill="FFFFFF"/>
            <w:vAlign w:val="center"/>
          </w:tcPr>
          <w:p w14:paraId="09AD8969" w14:textId="77777777" w:rsidR="001D42BB" w:rsidRPr="007E190E" w:rsidRDefault="001D42BB" w:rsidP="00E8485E">
            <w:pPr>
              <w:pStyle w:val="IATableText"/>
              <w:jc w:val="right"/>
              <w:rPr>
                <w:sz w:val="20"/>
              </w:rPr>
            </w:pPr>
          </w:p>
        </w:tc>
        <w:tc>
          <w:tcPr>
            <w:tcW w:w="2778" w:type="dxa"/>
            <w:tcBorders>
              <w:top w:val="single" w:sz="12" w:space="0" w:color="auto"/>
              <w:left w:val="single" w:sz="12" w:space="0" w:color="auto"/>
              <w:bottom w:val="single" w:sz="12" w:space="0" w:color="auto"/>
              <w:right w:val="single" w:sz="12" w:space="0" w:color="auto"/>
            </w:tcBorders>
            <w:shd w:val="clear" w:color="auto" w:fill="FFFFFF"/>
            <w:vAlign w:val="center"/>
          </w:tcPr>
          <w:p w14:paraId="617D4674" w14:textId="5518EEDB" w:rsidR="001D42BB" w:rsidRPr="007E190E" w:rsidRDefault="007E13AE" w:rsidP="00E8485E">
            <w:pPr>
              <w:pStyle w:val="POAACostsBest"/>
              <w:rPr>
                <w:sz w:val="20"/>
              </w:rPr>
            </w:pPr>
            <w:r>
              <w:rPr>
                <w:sz w:val="20"/>
              </w:rPr>
              <w:t>£</w:t>
            </w:r>
            <w:r w:rsidR="00AC54F4">
              <w:rPr>
                <w:sz w:val="20"/>
              </w:rPr>
              <w:t>4</w:t>
            </w:r>
            <w:r w:rsidR="00727EF8">
              <w:rPr>
                <w:sz w:val="20"/>
              </w:rPr>
              <w:t>5</w:t>
            </w:r>
            <w:r w:rsidR="00AC54F4">
              <w:rPr>
                <w:sz w:val="20"/>
              </w:rPr>
              <w:t>,</w:t>
            </w:r>
            <w:r w:rsidR="00727EF8">
              <w:rPr>
                <w:sz w:val="20"/>
              </w:rPr>
              <w:t>0</w:t>
            </w:r>
            <w:r w:rsidR="00AC54F4">
              <w:rPr>
                <w:sz w:val="20"/>
              </w:rPr>
              <w:t>00</w:t>
            </w:r>
          </w:p>
        </w:tc>
        <w:tc>
          <w:tcPr>
            <w:tcW w:w="2824" w:type="dxa"/>
            <w:gridSpan w:val="2"/>
            <w:tcBorders>
              <w:top w:val="single" w:sz="12" w:space="0" w:color="auto"/>
              <w:left w:val="single" w:sz="12" w:space="0" w:color="auto"/>
              <w:bottom w:val="single" w:sz="12" w:space="0" w:color="auto"/>
            </w:tcBorders>
            <w:shd w:val="clear" w:color="auto" w:fill="FFFFFF"/>
            <w:vAlign w:val="center"/>
          </w:tcPr>
          <w:p w14:paraId="1E04AAA8" w14:textId="7ED65921" w:rsidR="001D42BB" w:rsidRPr="007E190E" w:rsidRDefault="008F271C" w:rsidP="00E8485E">
            <w:pPr>
              <w:pStyle w:val="POTCCostsBest"/>
              <w:rPr>
                <w:sz w:val="20"/>
              </w:rPr>
            </w:pPr>
            <w:r>
              <w:rPr>
                <w:sz w:val="20"/>
              </w:rPr>
              <w:t>£</w:t>
            </w:r>
            <w:r w:rsidR="00D345BE">
              <w:rPr>
                <w:sz w:val="20"/>
              </w:rPr>
              <w:t>725,000</w:t>
            </w:r>
          </w:p>
        </w:tc>
      </w:tr>
      <w:tr w:rsidR="001D42BB" w:rsidRPr="00826F71" w14:paraId="030EA404" w14:textId="77777777" w:rsidTr="00C16CDC">
        <w:trPr>
          <w:trHeight w:hRule="exact" w:val="2209"/>
        </w:trPr>
        <w:tc>
          <w:tcPr>
            <w:tcW w:w="10318" w:type="dxa"/>
            <w:gridSpan w:val="6"/>
          </w:tcPr>
          <w:p w14:paraId="72BB0AF6" w14:textId="77777777" w:rsidR="001D42BB" w:rsidRPr="007E190E" w:rsidRDefault="001D42BB" w:rsidP="00E8485E">
            <w:pPr>
              <w:pStyle w:val="IAPOQ1"/>
              <w:rPr>
                <w:szCs w:val="22"/>
              </w:rPr>
            </w:pPr>
            <w:r w:rsidRPr="00544292">
              <w:t xml:space="preserve">Description and scale of </w:t>
            </w:r>
            <w:r w:rsidRPr="00826F71">
              <w:t>key monetised costs</w:t>
            </w:r>
            <w:r w:rsidRPr="00544292">
              <w:t xml:space="preserve"> by ‘main affected groups’ </w:t>
            </w:r>
          </w:p>
          <w:p w14:paraId="0CA07755" w14:textId="0C69B6DD" w:rsidR="001D42BB" w:rsidRPr="00826F71" w:rsidRDefault="00A8379A" w:rsidP="00E8485E">
            <w:pPr>
              <w:pStyle w:val="IAPOA1"/>
            </w:pPr>
            <w:r>
              <w:t>The main costs considered are</w:t>
            </w:r>
            <w:r w:rsidDel="00DD2C4D">
              <w:t xml:space="preserve"> </w:t>
            </w:r>
            <w:r w:rsidR="00C116D9" w:rsidRPr="00C116D9">
              <w:t>for</w:t>
            </w:r>
            <w:r>
              <w:t xml:space="preserve"> deploying </w:t>
            </w:r>
            <w:r w:rsidR="00DD2C4D">
              <w:t xml:space="preserve">additional </w:t>
            </w:r>
            <w:r w:rsidR="00C116D9" w:rsidRPr="00C116D9">
              <w:t xml:space="preserve">emissions </w:t>
            </w:r>
            <w:r>
              <w:t>abatement technologies</w:t>
            </w:r>
            <w:r w:rsidR="00C116D9" w:rsidRPr="00C116D9">
              <w:t xml:space="preserve"> relative to option 1.</w:t>
            </w:r>
            <w:r>
              <w:t xml:space="preserve"> These include</w:t>
            </w:r>
            <w:r w:rsidR="00C116D9" w:rsidRPr="00C116D9">
              <w:t>,</w:t>
            </w:r>
            <w:r>
              <w:t xml:space="preserve"> but are not limited to</w:t>
            </w:r>
            <w:r w:rsidR="00C116D9" w:rsidRPr="00C116D9">
              <w:t xml:space="preserve">, costs of </w:t>
            </w:r>
            <w:r>
              <w:t>low carbon technologies</w:t>
            </w:r>
            <w:r w:rsidR="00C116D9" w:rsidRPr="00C116D9">
              <w:t>, supporting infrastructure, finance, and fuel (including bioenergy).</w:t>
            </w:r>
            <w:r>
              <w:t xml:space="preserve"> Some costs of increased air quality pollutants are also monetised.</w:t>
            </w:r>
            <w:r w:rsidR="00C116D9" w:rsidRPr="00C116D9">
              <w:t xml:space="preserve"> An illustrative breakdown by sectors of the economy shows that the majority of costs are associated with reducing emissions from surface transport, buildings and power. The distribution of costs between affected groups will depend on future policy decisions.</w:t>
            </w:r>
          </w:p>
        </w:tc>
      </w:tr>
      <w:tr w:rsidR="001D42BB" w:rsidRPr="00826F71" w14:paraId="18200F83" w14:textId="77777777" w:rsidTr="00C16CDC">
        <w:trPr>
          <w:trHeight w:hRule="exact" w:val="900"/>
        </w:trPr>
        <w:tc>
          <w:tcPr>
            <w:tcW w:w="10318" w:type="dxa"/>
            <w:gridSpan w:val="6"/>
            <w:tcBorders>
              <w:bottom w:val="single" w:sz="12" w:space="0" w:color="auto"/>
            </w:tcBorders>
          </w:tcPr>
          <w:p w14:paraId="63B6E067" w14:textId="77777777" w:rsidR="001D42BB" w:rsidRPr="007E190E" w:rsidRDefault="001D42BB" w:rsidP="00E8485E">
            <w:pPr>
              <w:pStyle w:val="IAPOQ2"/>
              <w:rPr>
                <w:szCs w:val="22"/>
              </w:rPr>
            </w:pPr>
            <w:r w:rsidRPr="00544292">
              <w:t>Other</w:t>
            </w:r>
            <w:r w:rsidRPr="00826F71">
              <w:t xml:space="preserve"> key non-monetised costs</w:t>
            </w:r>
            <w:r w:rsidRPr="00544292">
              <w:t xml:space="preserve"> by ‘main affected groups’ </w:t>
            </w:r>
          </w:p>
          <w:p w14:paraId="79CBBD0A" w14:textId="7192B713" w:rsidR="001D42BB" w:rsidRPr="007E190E" w:rsidRDefault="00A8379A" w:rsidP="00E8485E">
            <w:pPr>
              <w:pStyle w:val="IAPOA2"/>
              <w:rPr>
                <w:szCs w:val="22"/>
              </w:rPr>
            </w:pPr>
            <w:r w:rsidRPr="00C45C87">
              <w:rPr>
                <w:szCs w:val="22"/>
              </w:rPr>
              <w:t>Some risks to natural capital, social and wider economic circumstances are considered qualitatively.</w:t>
            </w:r>
          </w:p>
        </w:tc>
      </w:tr>
      <w:tr w:rsidR="001D42BB" w:rsidRPr="007E190E" w14:paraId="2E5373D8" w14:textId="77777777" w:rsidTr="00C16CDC">
        <w:trPr>
          <w:trHeight w:hRule="exact" w:val="567"/>
        </w:trPr>
        <w:tc>
          <w:tcPr>
            <w:tcW w:w="2058" w:type="dxa"/>
            <w:shd w:val="clear" w:color="auto" w:fill="FFFFFF"/>
          </w:tcPr>
          <w:p w14:paraId="20FFD734" w14:textId="1C5C1000" w:rsidR="001D42BB" w:rsidRPr="007E190E" w:rsidRDefault="001D42BB" w:rsidP="00E8485E">
            <w:pPr>
              <w:pStyle w:val="IATableLabel"/>
              <w:rPr>
                <w:sz w:val="24"/>
                <w:szCs w:val="24"/>
              </w:rPr>
            </w:pPr>
            <w:r w:rsidRPr="007E190E">
              <w:rPr>
                <w:sz w:val="24"/>
                <w:szCs w:val="24"/>
              </w:rPr>
              <w:t xml:space="preserve">BENEFITS </w:t>
            </w:r>
            <w:r>
              <w:rPr>
                <w:sz w:val="24"/>
                <w:szCs w:val="24"/>
              </w:rPr>
              <w:t>(</w:t>
            </w:r>
            <w:r w:rsidRPr="007E190E">
              <w:rPr>
                <w:sz w:val="24"/>
                <w:szCs w:val="24"/>
              </w:rPr>
              <w:t>£m)</w:t>
            </w:r>
          </w:p>
        </w:tc>
        <w:tc>
          <w:tcPr>
            <w:tcW w:w="2658" w:type="dxa"/>
            <w:gridSpan w:val="2"/>
            <w:tcBorders>
              <w:top w:val="single" w:sz="12" w:space="0" w:color="auto"/>
            </w:tcBorders>
          </w:tcPr>
          <w:p w14:paraId="11EFABBA" w14:textId="77777777" w:rsidR="001D42BB" w:rsidRPr="00826F71" w:rsidRDefault="001D42BB" w:rsidP="00E8485E">
            <w:pPr>
              <w:pStyle w:val="IATableLabel"/>
              <w:tabs>
                <w:tab w:val="right" w:pos="1797"/>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329BBD23" w14:textId="77777777" w:rsidR="001D42BB" w:rsidRPr="00826F71" w:rsidRDefault="001D42BB" w:rsidP="00E8485E">
            <w:pPr>
              <w:pStyle w:val="IATableLabel"/>
              <w:jc w:val="right"/>
            </w:pPr>
            <w:r>
              <w:br/>
            </w:r>
          </w:p>
        </w:tc>
        <w:tc>
          <w:tcPr>
            <w:tcW w:w="2778" w:type="dxa"/>
            <w:tcBorders>
              <w:right w:val="single" w:sz="12" w:space="0" w:color="auto"/>
            </w:tcBorders>
          </w:tcPr>
          <w:p w14:paraId="1BB3B4E5" w14:textId="12DE802F" w:rsidR="001D42BB" w:rsidRPr="007E190E" w:rsidRDefault="001D42BB" w:rsidP="00E8485E">
            <w:pPr>
              <w:pStyle w:val="IATableLabel"/>
              <w:jc w:val="right"/>
            </w:pPr>
            <w:r w:rsidRPr="00826F71">
              <w:t>Average Annual</w:t>
            </w:r>
            <w:r w:rsidRPr="000C031E">
              <w:t xml:space="preserve"> </w:t>
            </w:r>
            <w:r>
              <w:br/>
            </w:r>
            <w:r w:rsidRPr="007E190E">
              <w:rPr>
                <w:b w:val="0"/>
                <w:sz w:val="18"/>
                <w:szCs w:val="18"/>
              </w:rPr>
              <w:t>(excl. Transition) (Constant Price)</w:t>
            </w:r>
          </w:p>
        </w:tc>
        <w:tc>
          <w:tcPr>
            <w:tcW w:w="2824" w:type="dxa"/>
            <w:gridSpan w:val="2"/>
            <w:tcBorders>
              <w:top w:val="single" w:sz="12" w:space="0" w:color="auto"/>
              <w:left w:val="single" w:sz="12" w:space="0" w:color="auto"/>
            </w:tcBorders>
          </w:tcPr>
          <w:p w14:paraId="582F6C1D" w14:textId="7CE836AE" w:rsidR="001D42BB" w:rsidRPr="00826F71" w:rsidRDefault="001D42BB" w:rsidP="00E8485E">
            <w:pPr>
              <w:pStyle w:val="IATableLabel"/>
              <w:jc w:val="right"/>
            </w:pPr>
            <w:r w:rsidRPr="00826F71">
              <w:t xml:space="preserve">Total </w:t>
            </w:r>
            <w:r>
              <w:t>Benefit</w:t>
            </w:r>
            <w:r w:rsidRPr="007E190E">
              <w:rPr>
                <w:b w:val="0"/>
                <w:sz w:val="18"/>
                <w:szCs w:val="18"/>
              </w:rPr>
              <w:t xml:space="preserve"> </w:t>
            </w:r>
            <w:r w:rsidRPr="007E190E">
              <w:rPr>
                <w:b w:val="0"/>
                <w:sz w:val="18"/>
                <w:szCs w:val="18"/>
              </w:rPr>
              <w:br/>
              <w:t>(Present Value)</w:t>
            </w:r>
          </w:p>
        </w:tc>
      </w:tr>
      <w:tr w:rsidR="001D42BB" w:rsidRPr="007E190E" w14:paraId="5AB804C9" w14:textId="77777777" w:rsidTr="00C16CDC">
        <w:trPr>
          <w:trHeight w:hRule="exact" w:val="348"/>
        </w:trPr>
        <w:tc>
          <w:tcPr>
            <w:tcW w:w="2058" w:type="dxa"/>
            <w:vAlign w:val="center"/>
          </w:tcPr>
          <w:p w14:paraId="5290011B" w14:textId="7386A679" w:rsidR="001D42BB" w:rsidRPr="00826F71" w:rsidRDefault="001D42BB" w:rsidP="00E8485E">
            <w:pPr>
              <w:pStyle w:val="IATableLabel"/>
            </w:pPr>
            <w:r w:rsidRPr="00826F71">
              <w:t xml:space="preserve">Low </w:t>
            </w:r>
          </w:p>
        </w:tc>
        <w:tc>
          <w:tcPr>
            <w:tcW w:w="1891" w:type="dxa"/>
            <w:vAlign w:val="center"/>
          </w:tcPr>
          <w:p w14:paraId="79874844" w14:textId="77777777" w:rsidR="001D42BB" w:rsidRPr="007E190E" w:rsidRDefault="001D42BB" w:rsidP="00E8485E">
            <w:pPr>
              <w:pStyle w:val="POTT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67" w:type="dxa"/>
            <w:vMerge w:val="restart"/>
            <w:vAlign w:val="center"/>
          </w:tcPr>
          <w:p w14:paraId="55EC4247" w14:textId="0B09DC34" w:rsidR="001D42BB" w:rsidRPr="007E190E" w:rsidRDefault="001D42BB" w:rsidP="00E8485E">
            <w:pPr>
              <w:pStyle w:val="IATableText"/>
              <w:jc w:val="center"/>
              <w:rPr>
                <w:sz w:val="20"/>
              </w:rPr>
            </w:pPr>
          </w:p>
        </w:tc>
        <w:tc>
          <w:tcPr>
            <w:tcW w:w="2778" w:type="dxa"/>
            <w:tcBorders>
              <w:right w:val="single" w:sz="12" w:space="0" w:color="auto"/>
            </w:tcBorders>
            <w:vAlign w:val="center"/>
          </w:tcPr>
          <w:p w14:paraId="63B77515" w14:textId="77777777" w:rsidR="001D42BB" w:rsidRPr="007E190E" w:rsidRDefault="001D42BB" w:rsidP="00E8485E">
            <w:pPr>
              <w:pStyle w:val="POAA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824" w:type="dxa"/>
            <w:gridSpan w:val="2"/>
            <w:tcBorders>
              <w:left w:val="single" w:sz="12" w:space="0" w:color="auto"/>
            </w:tcBorders>
            <w:vAlign w:val="center"/>
          </w:tcPr>
          <w:p w14:paraId="101397EC" w14:textId="77777777" w:rsidR="001D42BB" w:rsidRPr="007E190E" w:rsidRDefault="001D42BB" w:rsidP="00E8485E">
            <w:pPr>
              <w:pStyle w:val="POTBBenLow"/>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D42BB" w:rsidRPr="007E190E" w14:paraId="6A592C2E" w14:textId="77777777" w:rsidTr="00C16CDC">
        <w:trPr>
          <w:trHeight w:hRule="exact" w:val="348"/>
        </w:trPr>
        <w:tc>
          <w:tcPr>
            <w:tcW w:w="2058" w:type="dxa"/>
            <w:tcBorders>
              <w:bottom w:val="single" w:sz="12" w:space="0" w:color="auto"/>
            </w:tcBorders>
            <w:vAlign w:val="center"/>
          </w:tcPr>
          <w:p w14:paraId="609C7ADE" w14:textId="0FAD5424" w:rsidR="001D42BB" w:rsidRPr="00826F71" w:rsidRDefault="001D42BB" w:rsidP="00E8485E">
            <w:pPr>
              <w:pStyle w:val="IATableLabel"/>
            </w:pPr>
            <w:r w:rsidRPr="00826F71">
              <w:t xml:space="preserve">High </w:t>
            </w:r>
          </w:p>
        </w:tc>
        <w:tc>
          <w:tcPr>
            <w:tcW w:w="1891" w:type="dxa"/>
            <w:tcBorders>
              <w:bottom w:val="single" w:sz="12" w:space="0" w:color="auto"/>
            </w:tcBorders>
            <w:vAlign w:val="center"/>
          </w:tcPr>
          <w:p w14:paraId="6E228D68" w14:textId="77777777" w:rsidR="001D42BB" w:rsidRPr="007E190E" w:rsidRDefault="001D42BB" w:rsidP="00E8485E">
            <w:pPr>
              <w:pStyle w:val="POTT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767" w:type="dxa"/>
            <w:vMerge/>
            <w:shd w:val="clear" w:color="auto" w:fill="FFFFFF"/>
            <w:vAlign w:val="center"/>
          </w:tcPr>
          <w:p w14:paraId="3E97CB2A" w14:textId="77777777" w:rsidR="001D42BB" w:rsidRPr="007E190E" w:rsidRDefault="001D42BB" w:rsidP="00E8485E">
            <w:pPr>
              <w:pStyle w:val="IATableText"/>
              <w:jc w:val="right"/>
              <w:rPr>
                <w:sz w:val="20"/>
              </w:rPr>
            </w:pPr>
          </w:p>
        </w:tc>
        <w:tc>
          <w:tcPr>
            <w:tcW w:w="2778" w:type="dxa"/>
            <w:tcBorders>
              <w:bottom w:val="single" w:sz="12" w:space="0" w:color="auto"/>
              <w:right w:val="single" w:sz="12" w:space="0" w:color="auto"/>
            </w:tcBorders>
            <w:vAlign w:val="center"/>
          </w:tcPr>
          <w:p w14:paraId="6059D1D0" w14:textId="77777777" w:rsidR="001D42BB" w:rsidRPr="007E190E" w:rsidRDefault="001D42BB" w:rsidP="00E8485E">
            <w:pPr>
              <w:pStyle w:val="POAA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c>
          <w:tcPr>
            <w:tcW w:w="2824" w:type="dxa"/>
            <w:gridSpan w:val="2"/>
            <w:tcBorders>
              <w:left w:val="single" w:sz="12" w:space="0" w:color="auto"/>
              <w:bottom w:val="single" w:sz="12" w:space="0" w:color="auto"/>
            </w:tcBorders>
            <w:vAlign w:val="center"/>
          </w:tcPr>
          <w:p w14:paraId="70D3044F" w14:textId="77777777" w:rsidR="001D42BB" w:rsidRPr="007E190E" w:rsidRDefault="001D42BB" w:rsidP="00E8485E">
            <w:pPr>
              <w:pStyle w:val="POTBBenHigh"/>
              <w:rPr>
                <w:sz w:val="20"/>
              </w:rPr>
            </w:pPr>
            <w:r w:rsidRPr="007E190E">
              <w:rPr>
                <w:sz w:val="20"/>
              </w:rPr>
              <w:fldChar w:fldCharType="begin">
                <w:ffData>
                  <w:name w:val=""/>
                  <w:enabled/>
                  <w:calcOnExit w:val="0"/>
                  <w:textInput>
                    <w:default w:val="Optional"/>
                    <w:maxLength w:val="14"/>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Optional</w:t>
            </w:r>
            <w:r w:rsidRPr="007E190E">
              <w:rPr>
                <w:sz w:val="20"/>
              </w:rPr>
              <w:fldChar w:fldCharType="end"/>
            </w:r>
          </w:p>
        </w:tc>
      </w:tr>
      <w:tr w:rsidR="001D42BB" w:rsidRPr="007E190E" w14:paraId="57DA6909" w14:textId="77777777" w:rsidTr="00C16CDC">
        <w:trPr>
          <w:trHeight w:hRule="exact" w:val="348"/>
        </w:trPr>
        <w:tc>
          <w:tcPr>
            <w:tcW w:w="2058" w:type="dxa"/>
            <w:tcBorders>
              <w:top w:val="single" w:sz="12" w:space="0" w:color="auto"/>
              <w:bottom w:val="single" w:sz="12" w:space="0" w:color="auto"/>
              <w:right w:val="single" w:sz="12" w:space="0" w:color="auto"/>
            </w:tcBorders>
            <w:shd w:val="clear" w:color="auto" w:fill="FFFFFF"/>
            <w:vAlign w:val="center"/>
          </w:tcPr>
          <w:p w14:paraId="7A00C6AF" w14:textId="77777777" w:rsidR="001D42BB" w:rsidRPr="00826F71" w:rsidRDefault="001D42BB" w:rsidP="00E8485E">
            <w:pPr>
              <w:pStyle w:val="IATableLabel"/>
            </w:pPr>
            <w:r w:rsidRPr="00826F71">
              <w:t xml:space="preserve">Best </w:t>
            </w:r>
            <w:r>
              <w:t>E</w:t>
            </w:r>
            <w:r w:rsidRPr="00826F71">
              <w:t>stimate</w:t>
            </w:r>
          </w:p>
          <w:p w14:paraId="0AD32FF3" w14:textId="77777777" w:rsidR="001D42BB" w:rsidRPr="007E190E" w:rsidRDefault="001D42BB" w:rsidP="00E8485E">
            <w:pPr>
              <w:pStyle w:val="IATableNotes"/>
              <w:spacing w:beforeLines="40" w:before="96"/>
              <w:ind w:left="0" w:right="-22"/>
              <w:jc w:val="center"/>
              <w:rPr>
                <w:b/>
                <w:sz w:val="20"/>
              </w:rPr>
            </w:pPr>
          </w:p>
        </w:tc>
        <w:tc>
          <w:tcPr>
            <w:tcW w:w="1891" w:type="dxa"/>
            <w:tcBorders>
              <w:top w:val="single" w:sz="12" w:space="0" w:color="auto"/>
              <w:left w:val="single" w:sz="12" w:space="0" w:color="auto"/>
              <w:bottom w:val="single" w:sz="12" w:space="0" w:color="auto"/>
              <w:right w:val="single" w:sz="12" w:space="0" w:color="auto"/>
            </w:tcBorders>
            <w:shd w:val="clear" w:color="auto" w:fill="FFFFFF"/>
            <w:vAlign w:val="center"/>
          </w:tcPr>
          <w:p w14:paraId="62E320DE" w14:textId="21072BBB" w:rsidR="001D42BB" w:rsidRPr="007E190E" w:rsidRDefault="007E13AE" w:rsidP="00E8485E">
            <w:pPr>
              <w:pStyle w:val="POTTBenBest"/>
              <w:rPr>
                <w:sz w:val="20"/>
              </w:rPr>
            </w:pPr>
            <w:r>
              <w:rPr>
                <w:sz w:val="20"/>
              </w:rPr>
              <w:t>£0</w:t>
            </w:r>
          </w:p>
        </w:tc>
        <w:tc>
          <w:tcPr>
            <w:tcW w:w="767" w:type="dxa"/>
            <w:tcBorders>
              <w:left w:val="single" w:sz="12" w:space="0" w:color="auto"/>
              <w:right w:val="single" w:sz="12" w:space="0" w:color="auto"/>
            </w:tcBorders>
            <w:shd w:val="clear" w:color="auto" w:fill="FFFFFF"/>
            <w:vAlign w:val="center"/>
          </w:tcPr>
          <w:p w14:paraId="3E70C934" w14:textId="77777777" w:rsidR="001D42BB" w:rsidRPr="007E190E" w:rsidRDefault="001D42BB" w:rsidP="00E8485E">
            <w:pPr>
              <w:pStyle w:val="IATableText"/>
              <w:jc w:val="right"/>
              <w:rPr>
                <w:sz w:val="20"/>
              </w:rPr>
            </w:pPr>
          </w:p>
        </w:tc>
        <w:tc>
          <w:tcPr>
            <w:tcW w:w="2778" w:type="dxa"/>
            <w:tcBorders>
              <w:top w:val="single" w:sz="12" w:space="0" w:color="auto"/>
              <w:left w:val="single" w:sz="12" w:space="0" w:color="auto"/>
              <w:bottom w:val="single" w:sz="12" w:space="0" w:color="auto"/>
              <w:right w:val="single" w:sz="12" w:space="0" w:color="auto"/>
            </w:tcBorders>
            <w:shd w:val="clear" w:color="auto" w:fill="FFFFFF"/>
            <w:vAlign w:val="center"/>
          </w:tcPr>
          <w:p w14:paraId="07E3A098" w14:textId="7231633A" w:rsidR="001D42BB" w:rsidRPr="007E190E" w:rsidRDefault="00AC54F4" w:rsidP="00E8485E">
            <w:pPr>
              <w:pStyle w:val="POAABenBest"/>
              <w:rPr>
                <w:sz w:val="20"/>
              </w:rPr>
            </w:pPr>
            <w:r>
              <w:rPr>
                <w:sz w:val="20"/>
              </w:rPr>
              <w:t>£64,</w:t>
            </w:r>
            <w:r w:rsidR="00727EF8">
              <w:rPr>
                <w:sz w:val="20"/>
              </w:rPr>
              <w:t>3</w:t>
            </w:r>
            <w:r>
              <w:rPr>
                <w:sz w:val="20"/>
              </w:rPr>
              <w:t>00</w:t>
            </w:r>
          </w:p>
        </w:tc>
        <w:tc>
          <w:tcPr>
            <w:tcW w:w="2824" w:type="dxa"/>
            <w:gridSpan w:val="2"/>
            <w:tcBorders>
              <w:top w:val="single" w:sz="12" w:space="0" w:color="auto"/>
              <w:left w:val="single" w:sz="12" w:space="0" w:color="auto"/>
              <w:bottom w:val="single" w:sz="12" w:space="0" w:color="auto"/>
            </w:tcBorders>
            <w:shd w:val="clear" w:color="auto" w:fill="FFFFFF"/>
            <w:vAlign w:val="center"/>
          </w:tcPr>
          <w:p w14:paraId="42948C62" w14:textId="6BB896F6" w:rsidR="001D42BB" w:rsidRPr="007E190E" w:rsidRDefault="00896965" w:rsidP="00E8485E">
            <w:pPr>
              <w:pStyle w:val="POTBBenBest"/>
              <w:rPr>
                <w:sz w:val="20"/>
              </w:rPr>
            </w:pPr>
            <w:r>
              <w:rPr>
                <w:sz w:val="20"/>
              </w:rPr>
              <w:t>£</w:t>
            </w:r>
            <w:r w:rsidR="00D345BE">
              <w:rPr>
                <w:sz w:val="20"/>
              </w:rPr>
              <w:t>936,000</w:t>
            </w:r>
          </w:p>
        </w:tc>
      </w:tr>
      <w:tr w:rsidR="001D42BB" w:rsidRPr="00826F71" w14:paraId="3323889E" w14:textId="77777777" w:rsidTr="00C16CDC">
        <w:trPr>
          <w:trHeight w:hRule="exact" w:val="1586"/>
        </w:trPr>
        <w:tc>
          <w:tcPr>
            <w:tcW w:w="10318" w:type="dxa"/>
            <w:gridSpan w:val="6"/>
          </w:tcPr>
          <w:p w14:paraId="70FC6B83" w14:textId="77777777" w:rsidR="001D42BB" w:rsidRPr="007E190E" w:rsidRDefault="001D42BB" w:rsidP="00E8485E">
            <w:pPr>
              <w:pStyle w:val="IPPOQ3"/>
              <w:rPr>
                <w:szCs w:val="22"/>
              </w:rPr>
            </w:pPr>
            <w:r w:rsidRPr="00544292">
              <w:t xml:space="preserve">Description and scale of </w:t>
            </w:r>
            <w:r w:rsidRPr="00826F71">
              <w:t xml:space="preserve">key monetised </w:t>
            </w:r>
            <w:r>
              <w:t>benefits</w:t>
            </w:r>
            <w:r w:rsidRPr="00544292">
              <w:t xml:space="preserve"> by ‘main affected groups’ </w:t>
            </w:r>
          </w:p>
          <w:p w14:paraId="1EB57A5A" w14:textId="3D8840BA" w:rsidR="001D42BB" w:rsidRPr="00826F71" w:rsidRDefault="00900363" w:rsidP="00E8485E">
            <w:pPr>
              <w:pStyle w:val="IAPOA3"/>
            </w:pPr>
            <w:r>
              <w:t>C</w:t>
            </w:r>
            <w:r w:rsidR="00B0525A" w:rsidRPr="00EA38E7">
              <w:t xml:space="preserve">arbon savings, monetised </w:t>
            </w:r>
            <w:r w:rsidR="00E94245">
              <w:t xml:space="preserve">using </w:t>
            </w:r>
            <w:r w:rsidR="007C6560">
              <w:t>government</w:t>
            </w:r>
            <w:r w:rsidR="00B0525A" w:rsidRPr="00EA38E7">
              <w:t xml:space="preserve"> carbon values, are the main benefit. Also included are reduced damage costs of air quality pollutants, some natural capital benefits and operational savings where fuel costs are r</w:t>
            </w:r>
            <w:r w:rsidR="00E94245">
              <w:t>educed</w:t>
            </w:r>
            <w:r w:rsidR="00B0525A" w:rsidRPr="00EA38E7">
              <w:t xml:space="preserve">. </w:t>
            </w:r>
            <w:r w:rsidR="00E94245">
              <w:t>Benefits</w:t>
            </w:r>
            <w:r w:rsidR="00B0525A" w:rsidRPr="00EA38E7">
              <w:t xml:space="preserve"> are only considered at a societal level and a distributional breakdown is not considered.</w:t>
            </w:r>
          </w:p>
        </w:tc>
      </w:tr>
      <w:tr w:rsidR="001D42BB" w:rsidRPr="00826F71" w14:paraId="097817FA" w14:textId="77777777" w:rsidTr="00C16CDC">
        <w:trPr>
          <w:trHeight w:hRule="exact" w:val="1112"/>
        </w:trPr>
        <w:tc>
          <w:tcPr>
            <w:tcW w:w="10318" w:type="dxa"/>
            <w:gridSpan w:val="6"/>
          </w:tcPr>
          <w:p w14:paraId="753CD888" w14:textId="77777777" w:rsidR="001D42BB" w:rsidRPr="007E190E" w:rsidRDefault="001D42BB" w:rsidP="00E8485E">
            <w:pPr>
              <w:pStyle w:val="IAPOQ4"/>
              <w:rPr>
                <w:szCs w:val="22"/>
              </w:rPr>
            </w:pPr>
            <w:r w:rsidRPr="00544292">
              <w:t>Other</w:t>
            </w:r>
            <w:r w:rsidRPr="00826F71">
              <w:t xml:space="preserve"> key non-monetised </w:t>
            </w:r>
            <w:r>
              <w:t>benefits</w:t>
            </w:r>
            <w:r w:rsidRPr="00544292">
              <w:t xml:space="preserve"> by ‘main affected groups’ </w:t>
            </w:r>
          </w:p>
          <w:p w14:paraId="3A4BD005" w14:textId="294C65E2" w:rsidR="001D42BB" w:rsidRPr="00826F71" w:rsidRDefault="00B0525A" w:rsidP="00E8485E">
            <w:pPr>
              <w:pStyle w:val="IAPOA4"/>
            </w:pPr>
            <w:r w:rsidRPr="00EA38E7">
              <w:t>Some natural capital benefits have been considered qualitatively</w:t>
            </w:r>
            <w:r w:rsidR="00587B29">
              <w:t>, such as benefits to biodiversity</w:t>
            </w:r>
            <w:r w:rsidR="00742AA8" w:rsidRPr="00EA38E7">
              <w:t>.</w:t>
            </w:r>
            <w:r w:rsidRPr="00EA38E7">
              <w:t xml:space="preserve"> Potential wider economic impacts of decarbonisation are also considered</w:t>
            </w:r>
            <w:r w:rsidR="00742AA8">
              <w:t>, such as improvements to innovation, competitiveness, and export opportunities.</w:t>
            </w:r>
          </w:p>
        </w:tc>
      </w:tr>
      <w:tr w:rsidR="001D42BB" w:rsidRPr="00826F71" w14:paraId="60EA5DC5" w14:textId="77777777" w:rsidTr="00C16CDC">
        <w:trPr>
          <w:trHeight w:hRule="exact" w:val="346"/>
        </w:trPr>
        <w:tc>
          <w:tcPr>
            <w:tcW w:w="9216" w:type="dxa"/>
            <w:gridSpan w:val="5"/>
            <w:tcBorders>
              <w:bottom w:val="nil"/>
            </w:tcBorders>
          </w:tcPr>
          <w:p w14:paraId="5F3C8239" w14:textId="77777777" w:rsidR="001D42BB" w:rsidRDefault="001D42BB" w:rsidP="00E8485E">
            <w:pPr>
              <w:pStyle w:val="IATableLabel"/>
              <w:tabs>
                <w:tab w:val="left" w:pos="7655"/>
              </w:tabs>
            </w:pPr>
            <w:r w:rsidRPr="00F1653E">
              <w:rPr>
                <w:rStyle w:val="IAPOQ5Char"/>
                <w:b/>
              </w:rPr>
              <w:t>Key assumptions/sensitivities/risks</w:t>
            </w:r>
            <w:r>
              <w:tab/>
              <w:t>Discount rate (%)</w:t>
            </w:r>
          </w:p>
          <w:p w14:paraId="2F5CAB96" w14:textId="77777777" w:rsidR="001D42BB" w:rsidRPr="00455895" w:rsidRDefault="001D42BB" w:rsidP="00E8485E">
            <w:pPr>
              <w:pStyle w:val="IATableLabel"/>
            </w:pPr>
          </w:p>
        </w:tc>
        <w:tc>
          <w:tcPr>
            <w:tcW w:w="1102" w:type="dxa"/>
            <w:tcBorders>
              <w:bottom w:val="single" w:sz="4" w:space="0" w:color="auto"/>
            </w:tcBorders>
          </w:tcPr>
          <w:p w14:paraId="112F5C08" w14:textId="03096206" w:rsidR="001D42BB" w:rsidRPr="007E6CF8" w:rsidRDefault="00592A39" w:rsidP="00E8485E">
            <w:pPr>
              <w:pStyle w:val="IAPODisRate"/>
            </w:pPr>
            <w:r>
              <w:t>3.5</w:t>
            </w:r>
          </w:p>
        </w:tc>
      </w:tr>
      <w:tr w:rsidR="001D42BB" w:rsidRPr="007E190E" w14:paraId="478E7533" w14:textId="77777777" w:rsidTr="00C16CDC">
        <w:trPr>
          <w:trHeight w:hRule="exact" w:val="2203"/>
        </w:trPr>
        <w:tc>
          <w:tcPr>
            <w:tcW w:w="10318" w:type="dxa"/>
            <w:gridSpan w:val="6"/>
            <w:tcBorders>
              <w:top w:val="nil"/>
              <w:bottom w:val="single" w:sz="12" w:space="0" w:color="auto"/>
            </w:tcBorders>
          </w:tcPr>
          <w:p w14:paraId="1A1C379E" w14:textId="666C456D" w:rsidR="001D42BB" w:rsidRPr="00544292" w:rsidRDefault="00D037FA" w:rsidP="00D405A3">
            <w:pPr>
              <w:pStyle w:val="IAPOA5"/>
            </w:pPr>
            <w:r>
              <w:t>The portfolio of policies to deliver the budget level is un</w:t>
            </w:r>
            <w:r w:rsidR="001D7124">
              <w:t>confirmed</w:t>
            </w:r>
            <w:r>
              <w:t xml:space="preserve"> at this stage</w:t>
            </w:r>
            <w:r w:rsidR="008D2E43">
              <w:t>, though the analysis presented gives a sense</w:t>
            </w:r>
            <w:r w:rsidR="00F10A0F">
              <w:t xml:space="preserve"> of the challenges</w:t>
            </w:r>
            <w:r>
              <w:t>. The monetisation of</w:t>
            </w:r>
            <w:r w:rsidR="00F10A0F">
              <w:t xml:space="preserve"> </w:t>
            </w:r>
            <w:r>
              <w:t>emissions reduction measures is provided as an illustration only, and is based on knowledge of</w:t>
            </w:r>
            <w:r w:rsidR="00F10A0F">
              <w:t xml:space="preserve"> </w:t>
            </w:r>
            <w:r>
              <w:t xml:space="preserve">theoretically achievable options, which are assumed to be deliverable from a technical perspective. </w:t>
            </w:r>
            <w:r w:rsidR="00E94245">
              <w:t>Emissions</w:t>
            </w:r>
            <w:r w:rsidR="00E94245" w:rsidRPr="00EA38E7">
              <w:t xml:space="preserve"> </w:t>
            </w:r>
            <w:r w:rsidR="00005E2E" w:rsidRPr="00EA38E7">
              <w:t xml:space="preserve">savings are valued </w:t>
            </w:r>
            <w:r w:rsidR="00E94245">
              <w:t>using</w:t>
            </w:r>
            <w:r w:rsidR="00005E2E" w:rsidRPr="00EA38E7">
              <w:t xml:space="preserve"> the High</w:t>
            </w:r>
            <w:r w:rsidR="00E94245">
              <w:t xml:space="preserve"> Carbon Value</w:t>
            </w:r>
            <w:r w:rsidR="00005E2E" w:rsidRPr="00EA38E7">
              <w:t xml:space="preserve"> series, with the Central series tested as a sensitivity. High and low fuel costs and GDP projections are also tested as sensitivities. National damage costs are used to value air quality impacts. As a sensitivity, the impact of removing the wealth element of the </w:t>
            </w:r>
            <w:r w:rsidR="00E94245">
              <w:t xml:space="preserve">social </w:t>
            </w:r>
            <w:r w:rsidR="00005E2E" w:rsidRPr="00EA38E7">
              <w:t>discount rate for</w:t>
            </w:r>
            <w:r w:rsidR="00005E2E" w:rsidRPr="00EA38E7" w:rsidDel="00E94245">
              <w:t xml:space="preserve"> </w:t>
            </w:r>
            <w:r w:rsidR="00E94245">
              <w:t>emissions</w:t>
            </w:r>
            <w:r w:rsidR="00005E2E" w:rsidRPr="00EA38E7">
              <w:t xml:space="preserve"> savings is tested.</w:t>
            </w:r>
            <w:r>
              <w:t xml:space="preserve"> </w:t>
            </w:r>
          </w:p>
        </w:tc>
      </w:tr>
    </w:tbl>
    <w:p w14:paraId="3F330656" w14:textId="77777777" w:rsidR="001D42BB" w:rsidRDefault="001D42BB" w:rsidP="001D42BB">
      <w:pPr>
        <w:pStyle w:val="IASpacer"/>
      </w:pPr>
    </w:p>
    <w:p w14:paraId="2386DECC" w14:textId="77777777" w:rsidR="001D42BB" w:rsidRDefault="001D42BB" w:rsidP="001D42BB">
      <w:pPr>
        <w:pStyle w:val="IAHeadLabel"/>
        <w:spacing w:before="50"/>
      </w:pPr>
    </w:p>
    <w:p w14:paraId="081DEB84" w14:textId="29FE245A" w:rsidR="001D42BB" w:rsidRDefault="001D42BB" w:rsidP="001D42BB">
      <w:pPr>
        <w:pStyle w:val="IAHeadLabel"/>
        <w:spacing w:before="50"/>
      </w:pPr>
      <w:r>
        <w:t xml:space="preserve">BUSINESS ASSESSMENT (Option </w:t>
      </w:r>
      <w:r w:rsidR="006D15C4">
        <w:rPr>
          <w:noProof/>
        </w:rPr>
        <w:t>4</w:t>
      </w:r>
      <w:r>
        <w:t>)</w:t>
      </w: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81"/>
        <w:gridCol w:w="1839"/>
        <w:gridCol w:w="1698"/>
        <w:gridCol w:w="4814"/>
      </w:tblGrid>
      <w:tr w:rsidR="001D42BB" w:rsidRPr="000E02BE" w14:paraId="1025B555" w14:textId="77777777" w:rsidTr="00E8485E">
        <w:trPr>
          <w:trHeight w:hRule="exact" w:val="384"/>
        </w:trPr>
        <w:tc>
          <w:tcPr>
            <w:tcW w:w="5529" w:type="dxa"/>
            <w:gridSpan w:val="3"/>
            <w:tcBorders>
              <w:top w:val="single" w:sz="4" w:space="0" w:color="auto"/>
              <w:bottom w:val="nil"/>
              <w:right w:val="single" w:sz="4" w:space="0" w:color="auto"/>
            </w:tcBorders>
          </w:tcPr>
          <w:p w14:paraId="7EE0CB4A" w14:textId="07819703" w:rsidR="001D42BB" w:rsidRPr="000E02BE" w:rsidRDefault="001D42BB" w:rsidP="00E8485E">
            <w:pPr>
              <w:pStyle w:val="IATableLabel"/>
            </w:pPr>
            <w:r w:rsidRPr="000E02BE">
              <w:t xml:space="preserve">Direct impact on </w:t>
            </w:r>
            <w:r>
              <w:t>business (Equivalent Annual) £m</w:t>
            </w:r>
            <w:r w:rsidRPr="000E02BE">
              <w:t xml:space="preserve">: </w:t>
            </w:r>
          </w:p>
        </w:tc>
        <w:tc>
          <w:tcPr>
            <w:tcW w:w="4823" w:type="dxa"/>
            <w:vMerge w:val="restart"/>
            <w:tcBorders>
              <w:top w:val="single" w:sz="4" w:space="0" w:color="auto"/>
              <w:left w:val="single" w:sz="4" w:space="0" w:color="auto"/>
            </w:tcBorders>
          </w:tcPr>
          <w:p w14:paraId="10E3D9C3" w14:textId="118B0ED5" w:rsidR="001D42BB" w:rsidRPr="000E02BE" w:rsidRDefault="001D42BB" w:rsidP="00E8485E">
            <w:pPr>
              <w:pStyle w:val="IATableLabel"/>
            </w:pPr>
            <w:r>
              <w:t>Score for Business Impact Target (qualifying provisions only) £m:</w:t>
            </w:r>
          </w:p>
        </w:tc>
      </w:tr>
      <w:tr w:rsidR="001D42BB" w:rsidRPr="00E75380" w14:paraId="406B97F6" w14:textId="77777777" w:rsidTr="00E8485E">
        <w:trPr>
          <w:trHeight w:hRule="exact" w:val="340"/>
        </w:trPr>
        <w:tc>
          <w:tcPr>
            <w:tcW w:w="1985" w:type="dxa"/>
            <w:vMerge w:val="restart"/>
            <w:tcBorders>
              <w:top w:val="nil"/>
              <w:right w:val="single" w:sz="4" w:space="0" w:color="auto"/>
            </w:tcBorders>
            <w:shd w:val="clear" w:color="auto" w:fill="FFFFFF"/>
          </w:tcPr>
          <w:p w14:paraId="11AA26CB" w14:textId="5F795D3E" w:rsidR="001D42BB" w:rsidRPr="00F63895" w:rsidRDefault="001D42BB" w:rsidP="00E8485E">
            <w:pPr>
              <w:pStyle w:val="IATableLabel"/>
            </w:pPr>
            <w:r w:rsidRPr="00F63895">
              <w:t xml:space="preserve">Costs: </w:t>
            </w:r>
            <w:r w:rsidR="001F5A70">
              <w:rPr>
                <w:rStyle w:val="IAPODICostChar"/>
                <w:b/>
                <w:sz w:val="20"/>
              </w:rPr>
              <w:t>£0</w:t>
            </w:r>
          </w:p>
        </w:tc>
        <w:tc>
          <w:tcPr>
            <w:tcW w:w="1843" w:type="dxa"/>
            <w:vMerge w:val="restart"/>
            <w:tcBorders>
              <w:top w:val="nil"/>
              <w:right w:val="single" w:sz="4" w:space="0" w:color="auto"/>
            </w:tcBorders>
            <w:shd w:val="clear" w:color="auto" w:fill="FFFFFF"/>
          </w:tcPr>
          <w:p w14:paraId="479EF3F7" w14:textId="4DFAF2AF" w:rsidR="001D42BB" w:rsidRPr="00F63895" w:rsidRDefault="001D42BB" w:rsidP="00E8485E">
            <w:pPr>
              <w:pStyle w:val="IATableLabel"/>
            </w:pPr>
            <w:r w:rsidRPr="00F63895">
              <w:t xml:space="preserve">Benefits: </w:t>
            </w:r>
            <w:r w:rsidR="001F5A70">
              <w:rPr>
                <w:rStyle w:val="IAPODIBenChar"/>
                <w:sz w:val="20"/>
              </w:rPr>
              <w:t>£0</w:t>
            </w:r>
          </w:p>
        </w:tc>
        <w:tc>
          <w:tcPr>
            <w:tcW w:w="1701" w:type="dxa"/>
            <w:vMerge w:val="restart"/>
            <w:tcBorders>
              <w:top w:val="nil"/>
              <w:right w:val="single" w:sz="4" w:space="0" w:color="auto"/>
            </w:tcBorders>
            <w:shd w:val="clear" w:color="auto" w:fill="FFFFFF"/>
          </w:tcPr>
          <w:p w14:paraId="380229BE" w14:textId="2F3CF147" w:rsidR="001D42BB" w:rsidRPr="00F63895" w:rsidRDefault="001D42BB" w:rsidP="00E8485E">
            <w:pPr>
              <w:pStyle w:val="IATableLabel"/>
            </w:pPr>
            <w:r w:rsidRPr="00F63895">
              <w:t xml:space="preserve">Net: </w:t>
            </w:r>
            <w:r w:rsidR="001F5A70">
              <w:rPr>
                <w:rStyle w:val="IAPODINetChar"/>
                <w:sz w:val="20"/>
              </w:rPr>
              <w:t>£0</w:t>
            </w:r>
          </w:p>
        </w:tc>
        <w:tc>
          <w:tcPr>
            <w:tcW w:w="4823" w:type="dxa"/>
            <w:vMerge/>
            <w:tcBorders>
              <w:left w:val="single" w:sz="4" w:space="0" w:color="auto"/>
              <w:bottom w:val="single" w:sz="4" w:space="0" w:color="auto"/>
            </w:tcBorders>
            <w:shd w:val="clear" w:color="auto" w:fill="FFFFFF"/>
          </w:tcPr>
          <w:p w14:paraId="46081DCA" w14:textId="77777777" w:rsidR="001D42BB" w:rsidRPr="00F63895" w:rsidRDefault="001D42BB" w:rsidP="00E8485E">
            <w:pPr>
              <w:pStyle w:val="IAPODIMQ"/>
            </w:pPr>
          </w:p>
        </w:tc>
      </w:tr>
      <w:tr w:rsidR="001D42BB" w:rsidRPr="00E75380" w14:paraId="019FD715" w14:textId="77777777" w:rsidTr="00E8485E">
        <w:trPr>
          <w:trHeight w:hRule="exact" w:val="340"/>
        </w:trPr>
        <w:tc>
          <w:tcPr>
            <w:tcW w:w="1985" w:type="dxa"/>
            <w:vMerge/>
            <w:tcBorders>
              <w:bottom w:val="single" w:sz="4" w:space="0" w:color="auto"/>
              <w:right w:val="single" w:sz="4" w:space="0" w:color="auto"/>
            </w:tcBorders>
            <w:shd w:val="clear" w:color="auto" w:fill="FFFFFF"/>
          </w:tcPr>
          <w:p w14:paraId="7AB1A070" w14:textId="77777777" w:rsidR="001D42BB" w:rsidRPr="00F63895" w:rsidRDefault="001D42BB" w:rsidP="00E8485E">
            <w:pPr>
              <w:pStyle w:val="IATableLabel"/>
            </w:pPr>
          </w:p>
        </w:tc>
        <w:tc>
          <w:tcPr>
            <w:tcW w:w="1843" w:type="dxa"/>
            <w:vMerge/>
            <w:tcBorders>
              <w:bottom w:val="single" w:sz="4" w:space="0" w:color="auto"/>
              <w:right w:val="single" w:sz="4" w:space="0" w:color="auto"/>
            </w:tcBorders>
            <w:shd w:val="clear" w:color="auto" w:fill="FFFFFF"/>
          </w:tcPr>
          <w:p w14:paraId="0B64F45B" w14:textId="77777777" w:rsidR="001D42BB" w:rsidRPr="00F63895" w:rsidRDefault="001D42BB" w:rsidP="00E8485E">
            <w:pPr>
              <w:pStyle w:val="IATableLabel"/>
            </w:pPr>
          </w:p>
        </w:tc>
        <w:tc>
          <w:tcPr>
            <w:tcW w:w="1701" w:type="dxa"/>
            <w:vMerge/>
            <w:tcBorders>
              <w:bottom w:val="single" w:sz="4" w:space="0" w:color="auto"/>
              <w:right w:val="single" w:sz="4" w:space="0" w:color="auto"/>
            </w:tcBorders>
            <w:shd w:val="clear" w:color="auto" w:fill="FFFFFF"/>
          </w:tcPr>
          <w:p w14:paraId="3AFF10B7" w14:textId="77777777" w:rsidR="001D42BB" w:rsidRPr="00F63895" w:rsidRDefault="001D42BB" w:rsidP="00E8485E">
            <w:pPr>
              <w:pStyle w:val="IATableLabel"/>
            </w:pPr>
          </w:p>
        </w:tc>
        <w:tc>
          <w:tcPr>
            <w:tcW w:w="4823" w:type="dxa"/>
            <w:tcBorders>
              <w:top w:val="nil"/>
              <w:left w:val="single" w:sz="4" w:space="0" w:color="auto"/>
              <w:bottom w:val="single" w:sz="4" w:space="0" w:color="auto"/>
            </w:tcBorders>
            <w:shd w:val="clear" w:color="auto" w:fill="FFFFFF"/>
          </w:tcPr>
          <w:p w14:paraId="66310529" w14:textId="5D21CD8E" w:rsidR="001D42BB" w:rsidRPr="00F63895" w:rsidRDefault="001D42BB" w:rsidP="00E8485E">
            <w:pPr>
              <w:pStyle w:val="IAPODIMQ"/>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sidR="001F5A70">
              <w:t>£0</w:t>
            </w:r>
          </w:p>
        </w:tc>
      </w:tr>
    </w:tbl>
    <w:p w14:paraId="6C0AE44B" w14:textId="77777777" w:rsidR="001D42BB" w:rsidRDefault="001D42BB" w:rsidP="001D42BB">
      <w:pPr>
        <w:sectPr w:rsidR="001D42BB" w:rsidSect="00F1328C">
          <w:footnotePr>
            <w:numRestart w:val="eachSect"/>
          </w:footnotePr>
          <w:pgSz w:w="11907" w:h="16840" w:code="9"/>
          <w:pgMar w:top="680" w:right="851" w:bottom="680" w:left="851" w:header="284" w:footer="284" w:gutter="0"/>
          <w:cols w:space="708"/>
          <w:docGrid w:linePitch="360"/>
        </w:sectPr>
      </w:pPr>
    </w:p>
    <w:sdt>
      <w:sdtPr>
        <w:rPr>
          <w:rFonts w:ascii="Arial" w:eastAsia="SegoeUI" w:hAnsi="Arial" w:cs="Tahoma"/>
          <w:color w:val="auto"/>
          <w:sz w:val="24"/>
          <w:szCs w:val="24"/>
          <w:lang w:val="en-GB" w:eastAsia="en-GB"/>
        </w:rPr>
        <w:id w:val="1298565050"/>
        <w:docPartObj>
          <w:docPartGallery w:val="Table of Contents"/>
          <w:docPartUnique/>
        </w:docPartObj>
      </w:sdtPr>
      <w:sdtEndPr>
        <w:rPr>
          <w:b/>
          <w:bCs/>
          <w:noProof/>
        </w:rPr>
      </w:sdtEndPr>
      <w:sdtContent>
        <w:p w14:paraId="4116640E" w14:textId="64E6968D" w:rsidR="00E32EA5" w:rsidRPr="005F1B94" w:rsidRDefault="005F1B94" w:rsidP="00E905A6">
          <w:pPr>
            <w:pStyle w:val="TOCHeading"/>
            <w:spacing w:after="120"/>
            <w:rPr>
              <w:rFonts w:ascii="Arial" w:hAnsi="Arial" w:cs="Arial"/>
            </w:rPr>
          </w:pPr>
          <w:r w:rsidRPr="005F1B94">
            <w:rPr>
              <w:rFonts w:ascii="Arial" w:hAnsi="Arial" w:cs="Arial"/>
              <w:color w:val="auto"/>
            </w:rPr>
            <w:t xml:space="preserve">Table of </w:t>
          </w:r>
          <w:r w:rsidR="00E32EA5" w:rsidRPr="005F1B94">
            <w:rPr>
              <w:rFonts w:ascii="Arial" w:hAnsi="Arial" w:cs="Arial"/>
              <w:color w:val="auto"/>
            </w:rPr>
            <w:t>Contents</w:t>
          </w:r>
        </w:p>
        <w:p w14:paraId="3A752471" w14:textId="5B6A02D8" w:rsidR="00E32EA5" w:rsidRDefault="00E32EA5">
          <w:pPr>
            <w:pStyle w:val="TOC1"/>
            <w:tabs>
              <w:tab w:val="right" w:leader="dot" w:pos="10195"/>
            </w:tabs>
            <w:rPr>
              <w:noProof/>
            </w:rPr>
          </w:pPr>
          <w:r>
            <w:fldChar w:fldCharType="begin"/>
          </w:r>
          <w:r>
            <w:instrText xml:space="preserve"> TOC \o "1-3" \h \z \u </w:instrText>
          </w:r>
          <w:r>
            <w:fldChar w:fldCharType="separate"/>
          </w:r>
          <w:hyperlink w:anchor="_Toc67051833" w:history="1">
            <w:r w:rsidRPr="00CF1D46">
              <w:rPr>
                <w:rStyle w:val="Hyperlink"/>
                <w:noProof/>
              </w:rPr>
              <w:t>Executive Summary</w:t>
            </w:r>
            <w:r>
              <w:rPr>
                <w:noProof/>
                <w:webHidden/>
              </w:rPr>
              <w:tab/>
            </w:r>
            <w:r>
              <w:rPr>
                <w:noProof/>
                <w:webHidden/>
              </w:rPr>
              <w:fldChar w:fldCharType="begin"/>
            </w:r>
            <w:r>
              <w:rPr>
                <w:noProof/>
                <w:webHidden/>
              </w:rPr>
              <w:instrText xml:space="preserve"> PAGEREF _Toc67051833 \h </w:instrText>
            </w:r>
            <w:r>
              <w:rPr>
                <w:noProof/>
                <w:webHidden/>
              </w:rPr>
            </w:r>
            <w:r>
              <w:rPr>
                <w:noProof/>
                <w:webHidden/>
              </w:rPr>
              <w:fldChar w:fldCharType="separate"/>
            </w:r>
            <w:r w:rsidR="00DE3AD4">
              <w:rPr>
                <w:noProof/>
                <w:webHidden/>
              </w:rPr>
              <w:t>7</w:t>
            </w:r>
            <w:r>
              <w:rPr>
                <w:noProof/>
                <w:webHidden/>
              </w:rPr>
              <w:fldChar w:fldCharType="end"/>
            </w:r>
          </w:hyperlink>
        </w:p>
        <w:p w14:paraId="3B03DED7" w14:textId="634EE933" w:rsidR="00E32EA5" w:rsidRDefault="0014392E">
          <w:pPr>
            <w:pStyle w:val="TOC1"/>
            <w:tabs>
              <w:tab w:val="right" w:leader="dot" w:pos="10195"/>
            </w:tabs>
            <w:rPr>
              <w:noProof/>
            </w:rPr>
          </w:pPr>
          <w:hyperlink w:anchor="_Toc67051834" w:history="1">
            <w:r w:rsidR="00E32EA5" w:rsidRPr="00CF1D46">
              <w:rPr>
                <w:rStyle w:val="Hyperlink"/>
                <w:noProof/>
              </w:rPr>
              <w:t>1 Introduction and framework</w:t>
            </w:r>
            <w:r w:rsidR="00E32EA5">
              <w:rPr>
                <w:noProof/>
                <w:webHidden/>
              </w:rPr>
              <w:tab/>
            </w:r>
            <w:r w:rsidR="00E32EA5">
              <w:rPr>
                <w:noProof/>
                <w:webHidden/>
              </w:rPr>
              <w:fldChar w:fldCharType="begin"/>
            </w:r>
            <w:r w:rsidR="00E32EA5">
              <w:rPr>
                <w:noProof/>
                <w:webHidden/>
              </w:rPr>
              <w:instrText xml:space="preserve"> PAGEREF _Toc67051834 \h </w:instrText>
            </w:r>
            <w:r w:rsidR="00E32EA5">
              <w:rPr>
                <w:noProof/>
                <w:webHidden/>
              </w:rPr>
            </w:r>
            <w:r w:rsidR="00E32EA5">
              <w:rPr>
                <w:noProof/>
                <w:webHidden/>
              </w:rPr>
              <w:fldChar w:fldCharType="separate"/>
            </w:r>
            <w:r w:rsidR="00DE3AD4">
              <w:rPr>
                <w:noProof/>
                <w:webHidden/>
              </w:rPr>
              <w:t>15</w:t>
            </w:r>
            <w:r w:rsidR="00E32EA5">
              <w:rPr>
                <w:noProof/>
                <w:webHidden/>
              </w:rPr>
              <w:fldChar w:fldCharType="end"/>
            </w:r>
          </w:hyperlink>
        </w:p>
        <w:p w14:paraId="1E88A524" w14:textId="526C891E" w:rsidR="00E32EA5" w:rsidRDefault="0014392E" w:rsidP="00E905A6">
          <w:pPr>
            <w:pStyle w:val="TOC3"/>
            <w:rPr>
              <w:noProof/>
            </w:rPr>
          </w:pPr>
          <w:hyperlink w:anchor="_Toc67051835" w:history="1">
            <w:r w:rsidR="00E32EA5" w:rsidRPr="00CF1D46">
              <w:rPr>
                <w:rStyle w:val="Hyperlink"/>
                <w:noProof/>
              </w:rPr>
              <w:t>1.1 Context</w:t>
            </w:r>
            <w:r w:rsidR="00E32EA5">
              <w:rPr>
                <w:noProof/>
                <w:webHidden/>
              </w:rPr>
              <w:tab/>
            </w:r>
            <w:r w:rsidR="00E32EA5">
              <w:rPr>
                <w:noProof/>
                <w:webHidden/>
              </w:rPr>
              <w:fldChar w:fldCharType="begin"/>
            </w:r>
            <w:r w:rsidR="00E32EA5">
              <w:rPr>
                <w:noProof/>
                <w:webHidden/>
              </w:rPr>
              <w:instrText xml:space="preserve"> PAGEREF _Toc67051835 \h </w:instrText>
            </w:r>
            <w:r w:rsidR="00E32EA5">
              <w:rPr>
                <w:noProof/>
                <w:webHidden/>
              </w:rPr>
            </w:r>
            <w:r w:rsidR="00E32EA5">
              <w:rPr>
                <w:noProof/>
                <w:webHidden/>
              </w:rPr>
              <w:fldChar w:fldCharType="separate"/>
            </w:r>
            <w:r w:rsidR="00DE3AD4">
              <w:rPr>
                <w:noProof/>
                <w:webHidden/>
              </w:rPr>
              <w:t>15</w:t>
            </w:r>
            <w:r w:rsidR="00E32EA5">
              <w:rPr>
                <w:noProof/>
                <w:webHidden/>
              </w:rPr>
              <w:fldChar w:fldCharType="end"/>
            </w:r>
          </w:hyperlink>
        </w:p>
        <w:p w14:paraId="7B34110B" w14:textId="1302696B" w:rsidR="00E32EA5" w:rsidRDefault="0014392E" w:rsidP="00E905A6">
          <w:pPr>
            <w:pStyle w:val="TOC3"/>
            <w:rPr>
              <w:noProof/>
            </w:rPr>
          </w:pPr>
          <w:hyperlink w:anchor="_Toc67051836" w:history="1">
            <w:r w:rsidR="00E32EA5" w:rsidRPr="00CF1D46">
              <w:rPr>
                <w:rStyle w:val="Hyperlink"/>
                <w:noProof/>
              </w:rPr>
              <w:t>1.2 Framework for decision</w:t>
            </w:r>
            <w:r w:rsidR="00E32EA5">
              <w:rPr>
                <w:noProof/>
                <w:webHidden/>
              </w:rPr>
              <w:tab/>
            </w:r>
            <w:r w:rsidR="00E32EA5">
              <w:rPr>
                <w:noProof/>
                <w:webHidden/>
              </w:rPr>
              <w:fldChar w:fldCharType="begin"/>
            </w:r>
            <w:r w:rsidR="00E32EA5">
              <w:rPr>
                <w:noProof/>
                <w:webHidden/>
              </w:rPr>
              <w:instrText xml:space="preserve"> PAGEREF _Toc67051836 \h </w:instrText>
            </w:r>
            <w:r w:rsidR="00E32EA5">
              <w:rPr>
                <w:noProof/>
                <w:webHidden/>
              </w:rPr>
            </w:r>
            <w:r w:rsidR="00E32EA5">
              <w:rPr>
                <w:noProof/>
                <w:webHidden/>
              </w:rPr>
              <w:fldChar w:fldCharType="separate"/>
            </w:r>
            <w:r w:rsidR="00DE3AD4">
              <w:rPr>
                <w:noProof/>
                <w:webHidden/>
              </w:rPr>
              <w:t>17</w:t>
            </w:r>
            <w:r w:rsidR="00E32EA5">
              <w:rPr>
                <w:noProof/>
                <w:webHidden/>
              </w:rPr>
              <w:fldChar w:fldCharType="end"/>
            </w:r>
          </w:hyperlink>
        </w:p>
        <w:p w14:paraId="177ED154" w14:textId="61E12E69" w:rsidR="00E32EA5" w:rsidRDefault="0014392E" w:rsidP="00E905A6">
          <w:pPr>
            <w:pStyle w:val="TOC3"/>
            <w:rPr>
              <w:noProof/>
            </w:rPr>
          </w:pPr>
          <w:hyperlink w:anchor="_Toc67051837" w:history="1">
            <w:r w:rsidR="00E32EA5" w:rsidRPr="00CF1D46">
              <w:rPr>
                <w:rStyle w:val="Hyperlink"/>
                <w:noProof/>
              </w:rPr>
              <w:t>1.3</w:t>
            </w:r>
            <w:r w:rsidR="005F1B94">
              <w:rPr>
                <w:noProof/>
              </w:rPr>
              <w:t xml:space="preserve"> </w:t>
            </w:r>
            <w:r w:rsidR="00E32EA5" w:rsidRPr="00CF1D46">
              <w:rPr>
                <w:rStyle w:val="Hyperlink"/>
                <w:noProof/>
              </w:rPr>
              <w:t>Uncertainties and risks</w:t>
            </w:r>
            <w:r w:rsidR="00E32EA5">
              <w:rPr>
                <w:noProof/>
                <w:webHidden/>
              </w:rPr>
              <w:tab/>
            </w:r>
            <w:r w:rsidR="00E32EA5">
              <w:rPr>
                <w:noProof/>
                <w:webHidden/>
              </w:rPr>
              <w:fldChar w:fldCharType="begin"/>
            </w:r>
            <w:r w:rsidR="00E32EA5">
              <w:rPr>
                <w:noProof/>
                <w:webHidden/>
              </w:rPr>
              <w:instrText xml:space="preserve"> PAGEREF _Toc67051837 \h </w:instrText>
            </w:r>
            <w:r w:rsidR="00E32EA5">
              <w:rPr>
                <w:noProof/>
                <w:webHidden/>
              </w:rPr>
            </w:r>
            <w:r w:rsidR="00E32EA5">
              <w:rPr>
                <w:noProof/>
                <w:webHidden/>
              </w:rPr>
              <w:fldChar w:fldCharType="separate"/>
            </w:r>
            <w:r w:rsidR="00DE3AD4">
              <w:rPr>
                <w:noProof/>
                <w:webHidden/>
              </w:rPr>
              <w:t>19</w:t>
            </w:r>
            <w:r w:rsidR="00E32EA5">
              <w:rPr>
                <w:noProof/>
                <w:webHidden/>
              </w:rPr>
              <w:fldChar w:fldCharType="end"/>
            </w:r>
          </w:hyperlink>
        </w:p>
        <w:p w14:paraId="77314094" w14:textId="737D18F8" w:rsidR="00E32EA5" w:rsidRDefault="0014392E" w:rsidP="00E905A6">
          <w:pPr>
            <w:pStyle w:val="TOC3"/>
            <w:rPr>
              <w:noProof/>
            </w:rPr>
          </w:pPr>
          <w:hyperlink w:anchor="_Toc67051838" w:history="1">
            <w:r w:rsidR="00E32EA5" w:rsidRPr="00CF1D46">
              <w:rPr>
                <w:rStyle w:val="Hyperlink"/>
                <w:noProof/>
              </w:rPr>
              <w:t>1.4 Accounting and scope</w:t>
            </w:r>
            <w:r w:rsidR="00E32EA5">
              <w:rPr>
                <w:noProof/>
                <w:webHidden/>
              </w:rPr>
              <w:tab/>
            </w:r>
            <w:r w:rsidR="00E32EA5">
              <w:rPr>
                <w:noProof/>
                <w:webHidden/>
              </w:rPr>
              <w:fldChar w:fldCharType="begin"/>
            </w:r>
            <w:r w:rsidR="00E32EA5">
              <w:rPr>
                <w:noProof/>
                <w:webHidden/>
              </w:rPr>
              <w:instrText xml:space="preserve"> PAGEREF _Toc67051838 \h </w:instrText>
            </w:r>
            <w:r w:rsidR="00E32EA5">
              <w:rPr>
                <w:noProof/>
                <w:webHidden/>
              </w:rPr>
            </w:r>
            <w:r w:rsidR="00E32EA5">
              <w:rPr>
                <w:noProof/>
                <w:webHidden/>
              </w:rPr>
              <w:fldChar w:fldCharType="separate"/>
            </w:r>
            <w:r w:rsidR="00DE3AD4">
              <w:rPr>
                <w:noProof/>
                <w:webHidden/>
              </w:rPr>
              <w:t>20</w:t>
            </w:r>
            <w:r w:rsidR="00E32EA5">
              <w:rPr>
                <w:noProof/>
                <w:webHidden/>
              </w:rPr>
              <w:fldChar w:fldCharType="end"/>
            </w:r>
          </w:hyperlink>
        </w:p>
        <w:p w14:paraId="37876F64" w14:textId="7A8D858A" w:rsidR="00E32EA5" w:rsidRDefault="0014392E" w:rsidP="00E905A6">
          <w:pPr>
            <w:pStyle w:val="TOC3"/>
            <w:rPr>
              <w:noProof/>
            </w:rPr>
          </w:pPr>
          <w:hyperlink w:anchor="_Toc67051839" w:history="1">
            <w:r w:rsidR="00E32EA5" w:rsidRPr="00CF1D46">
              <w:rPr>
                <w:rStyle w:val="Hyperlink"/>
                <w:noProof/>
              </w:rPr>
              <w:t>1.5 International Aviation and Shipping (IAS)</w:t>
            </w:r>
            <w:r w:rsidR="00E32EA5">
              <w:rPr>
                <w:noProof/>
                <w:webHidden/>
              </w:rPr>
              <w:tab/>
            </w:r>
            <w:r w:rsidR="00E32EA5">
              <w:rPr>
                <w:noProof/>
                <w:webHidden/>
              </w:rPr>
              <w:fldChar w:fldCharType="begin"/>
            </w:r>
            <w:r w:rsidR="00E32EA5">
              <w:rPr>
                <w:noProof/>
                <w:webHidden/>
              </w:rPr>
              <w:instrText xml:space="preserve"> PAGEREF _Toc67051839 \h </w:instrText>
            </w:r>
            <w:r w:rsidR="00E32EA5">
              <w:rPr>
                <w:noProof/>
                <w:webHidden/>
              </w:rPr>
            </w:r>
            <w:r w:rsidR="00E32EA5">
              <w:rPr>
                <w:noProof/>
                <w:webHidden/>
              </w:rPr>
              <w:fldChar w:fldCharType="separate"/>
            </w:r>
            <w:r w:rsidR="00DE3AD4">
              <w:rPr>
                <w:noProof/>
                <w:webHidden/>
              </w:rPr>
              <w:t>22</w:t>
            </w:r>
            <w:r w:rsidR="00E32EA5">
              <w:rPr>
                <w:noProof/>
                <w:webHidden/>
              </w:rPr>
              <w:fldChar w:fldCharType="end"/>
            </w:r>
          </w:hyperlink>
        </w:p>
        <w:p w14:paraId="61C93275" w14:textId="1A1213DC" w:rsidR="00E32EA5" w:rsidRDefault="0014392E" w:rsidP="00E905A6">
          <w:pPr>
            <w:pStyle w:val="TOC3"/>
            <w:rPr>
              <w:noProof/>
            </w:rPr>
          </w:pPr>
          <w:hyperlink w:anchor="_Toc67051840" w:history="1">
            <w:r w:rsidR="00E32EA5" w:rsidRPr="00CF1D46">
              <w:rPr>
                <w:rStyle w:val="Hyperlink"/>
                <w:noProof/>
              </w:rPr>
              <w:t>1.6 Counterfactual and baseline – “do nothing” option</w:t>
            </w:r>
            <w:r w:rsidR="00E32EA5">
              <w:rPr>
                <w:noProof/>
                <w:webHidden/>
              </w:rPr>
              <w:tab/>
            </w:r>
            <w:r w:rsidR="00E32EA5">
              <w:rPr>
                <w:noProof/>
                <w:webHidden/>
              </w:rPr>
              <w:fldChar w:fldCharType="begin"/>
            </w:r>
            <w:r w:rsidR="00E32EA5">
              <w:rPr>
                <w:noProof/>
                <w:webHidden/>
              </w:rPr>
              <w:instrText xml:space="preserve"> PAGEREF _Toc67051840 \h </w:instrText>
            </w:r>
            <w:r w:rsidR="00E32EA5">
              <w:rPr>
                <w:noProof/>
                <w:webHidden/>
              </w:rPr>
            </w:r>
            <w:r w:rsidR="00E32EA5">
              <w:rPr>
                <w:noProof/>
                <w:webHidden/>
              </w:rPr>
              <w:fldChar w:fldCharType="separate"/>
            </w:r>
            <w:r w:rsidR="00DE3AD4">
              <w:rPr>
                <w:noProof/>
                <w:webHidden/>
              </w:rPr>
              <w:t>22</w:t>
            </w:r>
            <w:r w:rsidR="00E32EA5">
              <w:rPr>
                <w:noProof/>
                <w:webHidden/>
              </w:rPr>
              <w:fldChar w:fldCharType="end"/>
            </w:r>
          </w:hyperlink>
        </w:p>
        <w:p w14:paraId="7EA19841" w14:textId="0B9FE8E6" w:rsidR="00E32EA5" w:rsidRDefault="0014392E" w:rsidP="00E905A6">
          <w:pPr>
            <w:pStyle w:val="TOC3"/>
            <w:rPr>
              <w:noProof/>
            </w:rPr>
          </w:pPr>
          <w:hyperlink w:anchor="_Toc67051841" w:history="1">
            <w:r w:rsidR="00E32EA5" w:rsidRPr="00CF1D46">
              <w:rPr>
                <w:rStyle w:val="Hyperlink"/>
                <w:noProof/>
              </w:rPr>
              <w:t>1.7 The sixth carbon budget levels and pathways to 2050</w:t>
            </w:r>
            <w:r w:rsidR="00E32EA5">
              <w:rPr>
                <w:noProof/>
                <w:webHidden/>
              </w:rPr>
              <w:tab/>
            </w:r>
            <w:r w:rsidR="00E32EA5">
              <w:rPr>
                <w:noProof/>
                <w:webHidden/>
              </w:rPr>
              <w:fldChar w:fldCharType="begin"/>
            </w:r>
            <w:r w:rsidR="00E32EA5">
              <w:rPr>
                <w:noProof/>
                <w:webHidden/>
              </w:rPr>
              <w:instrText xml:space="preserve"> PAGEREF _Toc67051841 \h </w:instrText>
            </w:r>
            <w:r w:rsidR="00E32EA5">
              <w:rPr>
                <w:noProof/>
                <w:webHidden/>
              </w:rPr>
            </w:r>
            <w:r w:rsidR="00E32EA5">
              <w:rPr>
                <w:noProof/>
                <w:webHidden/>
              </w:rPr>
              <w:fldChar w:fldCharType="separate"/>
            </w:r>
            <w:r w:rsidR="00DE3AD4">
              <w:rPr>
                <w:noProof/>
                <w:webHidden/>
              </w:rPr>
              <w:t>23</w:t>
            </w:r>
            <w:r w:rsidR="00E32EA5">
              <w:rPr>
                <w:noProof/>
                <w:webHidden/>
              </w:rPr>
              <w:fldChar w:fldCharType="end"/>
            </w:r>
          </w:hyperlink>
        </w:p>
        <w:p w14:paraId="185AE915" w14:textId="61A8FCCD" w:rsidR="00E32EA5" w:rsidRDefault="0014392E" w:rsidP="00E905A6">
          <w:pPr>
            <w:pStyle w:val="TOC3"/>
            <w:spacing w:after="240"/>
            <w:rPr>
              <w:noProof/>
            </w:rPr>
          </w:pPr>
          <w:hyperlink w:anchor="_Toc67051842" w:history="1">
            <w:r w:rsidR="00E32EA5" w:rsidRPr="00CF1D46">
              <w:rPr>
                <w:rStyle w:val="Hyperlink"/>
                <w:noProof/>
              </w:rPr>
              <w:t>1.8 Public sector equality duty</w:t>
            </w:r>
            <w:r w:rsidR="00E32EA5">
              <w:rPr>
                <w:noProof/>
                <w:webHidden/>
              </w:rPr>
              <w:tab/>
            </w:r>
            <w:r w:rsidR="00E32EA5">
              <w:rPr>
                <w:noProof/>
                <w:webHidden/>
              </w:rPr>
              <w:fldChar w:fldCharType="begin"/>
            </w:r>
            <w:r w:rsidR="00E32EA5">
              <w:rPr>
                <w:noProof/>
                <w:webHidden/>
              </w:rPr>
              <w:instrText xml:space="preserve"> PAGEREF _Toc67051842 \h </w:instrText>
            </w:r>
            <w:r w:rsidR="00E32EA5">
              <w:rPr>
                <w:noProof/>
                <w:webHidden/>
              </w:rPr>
            </w:r>
            <w:r w:rsidR="00E32EA5">
              <w:rPr>
                <w:noProof/>
                <w:webHidden/>
              </w:rPr>
              <w:fldChar w:fldCharType="separate"/>
            </w:r>
            <w:r w:rsidR="00DE3AD4">
              <w:rPr>
                <w:noProof/>
                <w:webHidden/>
              </w:rPr>
              <w:t>24</w:t>
            </w:r>
            <w:r w:rsidR="00E32EA5">
              <w:rPr>
                <w:noProof/>
                <w:webHidden/>
              </w:rPr>
              <w:fldChar w:fldCharType="end"/>
            </w:r>
          </w:hyperlink>
        </w:p>
        <w:p w14:paraId="72AC7AA8" w14:textId="18E295DB" w:rsidR="00E32EA5" w:rsidRDefault="0014392E">
          <w:pPr>
            <w:pStyle w:val="TOC1"/>
            <w:tabs>
              <w:tab w:val="right" w:leader="dot" w:pos="10195"/>
            </w:tabs>
            <w:rPr>
              <w:noProof/>
            </w:rPr>
          </w:pPr>
          <w:hyperlink w:anchor="_Toc67051843" w:history="1">
            <w:r w:rsidR="00E32EA5" w:rsidRPr="00CF1D46">
              <w:rPr>
                <w:rStyle w:val="Hyperlink"/>
                <w:noProof/>
              </w:rPr>
              <w:t>2 Analysis</w:t>
            </w:r>
            <w:r w:rsidR="00E32EA5">
              <w:rPr>
                <w:noProof/>
                <w:webHidden/>
              </w:rPr>
              <w:tab/>
            </w:r>
            <w:r w:rsidR="00E32EA5">
              <w:rPr>
                <w:noProof/>
                <w:webHidden/>
              </w:rPr>
              <w:fldChar w:fldCharType="begin"/>
            </w:r>
            <w:r w:rsidR="00E32EA5">
              <w:rPr>
                <w:noProof/>
                <w:webHidden/>
              </w:rPr>
              <w:instrText xml:space="preserve"> PAGEREF _Toc67051843 \h </w:instrText>
            </w:r>
            <w:r w:rsidR="00E32EA5">
              <w:rPr>
                <w:noProof/>
                <w:webHidden/>
              </w:rPr>
            </w:r>
            <w:r w:rsidR="00E32EA5">
              <w:rPr>
                <w:noProof/>
                <w:webHidden/>
              </w:rPr>
              <w:fldChar w:fldCharType="separate"/>
            </w:r>
            <w:r w:rsidR="00DE3AD4">
              <w:rPr>
                <w:noProof/>
                <w:webHidden/>
              </w:rPr>
              <w:t>26</w:t>
            </w:r>
            <w:r w:rsidR="00E32EA5">
              <w:rPr>
                <w:noProof/>
                <w:webHidden/>
              </w:rPr>
              <w:fldChar w:fldCharType="end"/>
            </w:r>
          </w:hyperlink>
        </w:p>
        <w:p w14:paraId="5DEA696E" w14:textId="2FDABEAC" w:rsidR="00E32EA5" w:rsidRDefault="0014392E" w:rsidP="00E905A6">
          <w:pPr>
            <w:pStyle w:val="TOC3"/>
            <w:rPr>
              <w:noProof/>
            </w:rPr>
          </w:pPr>
          <w:hyperlink w:anchor="_Toc67051844" w:history="1">
            <w:r w:rsidR="00E32EA5" w:rsidRPr="00CF1D46">
              <w:rPr>
                <w:rStyle w:val="Hyperlink"/>
                <w:noProof/>
              </w:rPr>
              <w:t>2.1 Evidence base</w:t>
            </w:r>
            <w:r w:rsidR="00E32EA5">
              <w:rPr>
                <w:noProof/>
                <w:webHidden/>
              </w:rPr>
              <w:tab/>
            </w:r>
            <w:r w:rsidR="00E32EA5">
              <w:rPr>
                <w:noProof/>
                <w:webHidden/>
              </w:rPr>
              <w:fldChar w:fldCharType="begin"/>
            </w:r>
            <w:r w:rsidR="00E32EA5">
              <w:rPr>
                <w:noProof/>
                <w:webHidden/>
              </w:rPr>
              <w:instrText xml:space="preserve"> PAGEREF _Toc67051844 \h </w:instrText>
            </w:r>
            <w:r w:rsidR="00E32EA5">
              <w:rPr>
                <w:noProof/>
                <w:webHidden/>
              </w:rPr>
            </w:r>
            <w:r w:rsidR="00E32EA5">
              <w:rPr>
                <w:noProof/>
                <w:webHidden/>
              </w:rPr>
              <w:fldChar w:fldCharType="separate"/>
            </w:r>
            <w:r w:rsidR="00DE3AD4">
              <w:rPr>
                <w:noProof/>
                <w:webHidden/>
              </w:rPr>
              <w:t>26</w:t>
            </w:r>
            <w:r w:rsidR="00E32EA5">
              <w:rPr>
                <w:noProof/>
                <w:webHidden/>
              </w:rPr>
              <w:fldChar w:fldCharType="end"/>
            </w:r>
          </w:hyperlink>
        </w:p>
        <w:p w14:paraId="04DB781B" w14:textId="6DF404D0" w:rsidR="00E32EA5" w:rsidRDefault="0014392E" w:rsidP="00E905A6">
          <w:pPr>
            <w:pStyle w:val="TOC3"/>
            <w:rPr>
              <w:noProof/>
            </w:rPr>
          </w:pPr>
          <w:hyperlink w:anchor="_Toc67051845" w:history="1">
            <w:r w:rsidR="00E32EA5" w:rsidRPr="00CF1D46">
              <w:rPr>
                <w:rStyle w:val="Hyperlink"/>
                <w:noProof/>
              </w:rPr>
              <w:t>2.2 Technical feasibility of sixth carbon budget levels</w:t>
            </w:r>
            <w:r w:rsidR="00E32EA5">
              <w:rPr>
                <w:noProof/>
                <w:webHidden/>
              </w:rPr>
              <w:tab/>
            </w:r>
            <w:r w:rsidR="00E32EA5">
              <w:rPr>
                <w:noProof/>
                <w:webHidden/>
              </w:rPr>
              <w:fldChar w:fldCharType="begin"/>
            </w:r>
            <w:r w:rsidR="00E32EA5">
              <w:rPr>
                <w:noProof/>
                <w:webHidden/>
              </w:rPr>
              <w:instrText xml:space="preserve"> PAGEREF _Toc67051845 \h </w:instrText>
            </w:r>
            <w:r w:rsidR="00E32EA5">
              <w:rPr>
                <w:noProof/>
                <w:webHidden/>
              </w:rPr>
            </w:r>
            <w:r w:rsidR="00E32EA5">
              <w:rPr>
                <w:noProof/>
                <w:webHidden/>
              </w:rPr>
              <w:fldChar w:fldCharType="separate"/>
            </w:r>
            <w:r w:rsidR="00DE3AD4">
              <w:rPr>
                <w:noProof/>
                <w:webHidden/>
              </w:rPr>
              <w:t>27</w:t>
            </w:r>
            <w:r w:rsidR="00E32EA5">
              <w:rPr>
                <w:noProof/>
                <w:webHidden/>
              </w:rPr>
              <w:fldChar w:fldCharType="end"/>
            </w:r>
          </w:hyperlink>
        </w:p>
        <w:p w14:paraId="729B60CC" w14:textId="2979443A" w:rsidR="00E32EA5" w:rsidRDefault="0014392E" w:rsidP="00E905A6">
          <w:pPr>
            <w:pStyle w:val="TOC3"/>
            <w:rPr>
              <w:noProof/>
            </w:rPr>
          </w:pPr>
          <w:hyperlink w:anchor="_Toc67051846" w:history="1">
            <w:r w:rsidR="00E32EA5" w:rsidRPr="00CF1D46">
              <w:rPr>
                <w:rStyle w:val="Hyperlink"/>
                <w:noProof/>
              </w:rPr>
              <w:t>2.3 Delivery Implications</w:t>
            </w:r>
            <w:r w:rsidR="00E32EA5">
              <w:rPr>
                <w:noProof/>
                <w:webHidden/>
              </w:rPr>
              <w:tab/>
            </w:r>
            <w:r w:rsidR="00E32EA5">
              <w:rPr>
                <w:noProof/>
                <w:webHidden/>
              </w:rPr>
              <w:fldChar w:fldCharType="begin"/>
            </w:r>
            <w:r w:rsidR="00E32EA5">
              <w:rPr>
                <w:noProof/>
                <w:webHidden/>
              </w:rPr>
              <w:instrText xml:space="preserve"> PAGEREF _Toc67051846 \h </w:instrText>
            </w:r>
            <w:r w:rsidR="00E32EA5">
              <w:rPr>
                <w:noProof/>
                <w:webHidden/>
              </w:rPr>
            </w:r>
            <w:r w:rsidR="00E32EA5">
              <w:rPr>
                <w:noProof/>
                <w:webHidden/>
              </w:rPr>
              <w:fldChar w:fldCharType="separate"/>
            </w:r>
            <w:r w:rsidR="00DE3AD4">
              <w:rPr>
                <w:noProof/>
                <w:webHidden/>
              </w:rPr>
              <w:t>35</w:t>
            </w:r>
            <w:r w:rsidR="00E32EA5">
              <w:rPr>
                <w:noProof/>
                <w:webHidden/>
              </w:rPr>
              <w:fldChar w:fldCharType="end"/>
            </w:r>
          </w:hyperlink>
        </w:p>
        <w:p w14:paraId="4DDD6CC4" w14:textId="4B1E6B3E" w:rsidR="00E32EA5" w:rsidRDefault="0014392E" w:rsidP="00E905A6">
          <w:pPr>
            <w:pStyle w:val="TOC3"/>
            <w:rPr>
              <w:noProof/>
            </w:rPr>
          </w:pPr>
          <w:hyperlink w:anchor="_Toc67051847" w:history="1">
            <w:r w:rsidR="00E32EA5" w:rsidRPr="00CF1D46">
              <w:rPr>
                <w:rStyle w:val="Hyperlink"/>
                <w:noProof/>
              </w:rPr>
              <w:t>2.4 International circumstances</w:t>
            </w:r>
            <w:r w:rsidR="00E32EA5">
              <w:rPr>
                <w:noProof/>
                <w:webHidden/>
              </w:rPr>
              <w:tab/>
            </w:r>
            <w:r w:rsidR="00E32EA5">
              <w:rPr>
                <w:noProof/>
                <w:webHidden/>
              </w:rPr>
              <w:fldChar w:fldCharType="begin"/>
            </w:r>
            <w:r w:rsidR="00E32EA5">
              <w:rPr>
                <w:noProof/>
                <w:webHidden/>
              </w:rPr>
              <w:instrText xml:space="preserve"> PAGEREF _Toc67051847 \h </w:instrText>
            </w:r>
            <w:r w:rsidR="00E32EA5">
              <w:rPr>
                <w:noProof/>
                <w:webHidden/>
              </w:rPr>
            </w:r>
            <w:r w:rsidR="00E32EA5">
              <w:rPr>
                <w:noProof/>
                <w:webHidden/>
              </w:rPr>
              <w:fldChar w:fldCharType="separate"/>
            </w:r>
            <w:r w:rsidR="00DE3AD4">
              <w:rPr>
                <w:noProof/>
                <w:webHidden/>
              </w:rPr>
              <w:t>38</w:t>
            </w:r>
            <w:r w:rsidR="00E32EA5">
              <w:rPr>
                <w:noProof/>
                <w:webHidden/>
              </w:rPr>
              <w:fldChar w:fldCharType="end"/>
            </w:r>
          </w:hyperlink>
        </w:p>
        <w:p w14:paraId="42A28261" w14:textId="2430C4EE" w:rsidR="00E32EA5" w:rsidRDefault="0014392E" w:rsidP="00E905A6">
          <w:pPr>
            <w:pStyle w:val="TOC3"/>
            <w:rPr>
              <w:noProof/>
            </w:rPr>
          </w:pPr>
          <w:hyperlink w:anchor="_Toc67051848" w:history="1">
            <w:r w:rsidR="00E32EA5" w:rsidRPr="00CF1D46">
              <w:rPr>
                <w:rStyle w:val="Hyperlink"/>
                <w:noProof/>
              </w:rPr>
              <w:t>2.5 Quantified cost and benefits</w:t>
            </w:r>
            <w:r w:rsidR="00E32EA5">
              <w:rPr>
                <w:noProof/>
                <w:webHidden/>
              </w:rPr>
              <w:tab/>
            </w:r>
            <w:r w:rsidR="00E32EA5">
              <w:rPr>
                <w:noProof/>
                <w:webHidden/>
              </w:rPr>
              <w:fldChar w:fldCharType="begin"/>
            </w:r>
            <w:r w:rsidR="00E32EA5">
              <w:rPr>
                <w:noProof/>
                <w:webHidden/>
              </w:rPr>
              <w:instrText xml:space="preserve"> PAGEREF _Toc67051848 \h </w:instrText>
            </w:r>
            <w:r w:rsidR="00E32EA5">
              <w:rPr>
                <w:noProof/>
                <w:webHidden/>
              </w:rPr>
            </w:r>
            <w:r w:rsidR="00E32EA5">
              <w:rPr>
                <w:noProof/>
                <w:webHidden/>
              </w:rPr>
              <w:fldChar w:fldCharType="separate"/>
            </w:r>
            <w:r w:rsidR="00DE3AD4">
              <w:rPr>
                <w:noProof/>
                <w:webHidden/>
              </w:rPr>
              <w:t>45</w:t>
            </w:r>
            <w:r w:rsidR="00E32EA5">
              <w:rPr>
                <w:noProof/>
                <w:webHidden/>
              </w:rPr>
              <w:fldChar w:fldCharType="end"/>
            </w:r>
          </w:hyperlink>
        </w:p>
        <w:p w14:paraId="6F70A1A5" w14:textId="5E2908B1" w:rsidR="00E32EA5" w:rsidRDefault="0014392E" w:rsidP="00E905A6">
          <w:pPr>
            <w:pStyle w:val="TOC3"/>
            <w:rPr>
              <w:noProof/>
            </w:rPr>
          </w:pPr>
          <w:hyperlink w:anchor="_Toc67051849" w:history="1">
            <w:r w:rsidR="00E32EA5" w:rsidRPr="00CF1D46">
              <w:rPr>
                <w:rStyle w:val="Hyperlink"/>
                <w:noProof/>
              </w:rPr>
              <w:t>2.6</w:t>
            </w:r>
            <w:r w:rsidR="005F1B94">
              <w:rPr>
                <w:noProof/>
              </w:rPr>
              <w:t xml:space="preserve"> </w:t>
            </w:r>
            <w:r w:rsidR="00E32EA5" w:rsidRPr="00CF1D46">
              <w:rPr>
                <w:rStyle w:val="Hyperlink"/>
                <w:noProof/>
              </w:rPr>
              <w:t>Unquantified cost and benefits - Section 10 and 13 impacts</w:t>
            </w:r>
            <w:r w:rsidR="00E32EA5">
              <w:rPr>
                <w:noProof/>
                <w:webHidden/>
              </w:rPr>
              <w:tab/>
            </w:r>
            <w:r w:rsidR="00E32EA5">
              <w:rPr>
                <w:noProof/>
                <w:webHidden/>
              </w:rPr>
              <w:fldChar w:fldCharType="begin"/>
            </w:r>
            <w:r w:rsidR="00E32EA5">
              <w:rPr>
                <w:noProof/>
                <w:webHidden/>
              </w:rPr>
              <w:instrText xml:space="preserve"> PAGEREF _Toc67051849 \h </w:instrText>
            </w:r>
            <w:r w:rsidR="00E32EA5">
              <w:rPr>
                <w:noProof/>
                <w:webHidden/>
              </w:rPr>
            </w:r>
            <w:r w:rsidR="00E32EA5">
              <w:rPr>
                <w:noProof/>
                <w:webHidden/>
              </w:rPr>
              <w:fldChar w:fldCharType="separate"/>
            </w:r>
            <w:r w:rsidR="00DE3AD4">
              <w:rPr>
                <w:noProof/>
                <w:webHidden/>
              </w:rPr>
              <w:t>48</w:t>
            </w:r>
            <w:r w:rsidR="00E32EA5">
              <w:rPr>
                <w:noProof/>
                <w:webHidden/>
              </w:rPr>
              <w:fldChar w:fldCharType="end"/>
            </w:r>
          </w:hyperlink>
        </w:p>
        <w:p w14:paraId="4EF6320C" w14:textId="2F8290C8" w:rsidR="00E32EA5" w:rsidRDefault="0014392E">
          <w:pPr>
            <w:pStyle w:val="TOC1"/>
            <w:tabs>
              <w:tab w:val="right" w:leader="dot" w:pos="10195"/>
            </w:tabs>
            <w:rPr>
              <w:noProof/>
            </w:rPr>
          </w:pPr>
          <w:hyperlink w:anchor="_Toc67051850" w:history="1">
            <w:r w:rsidR="00E32EA5" w:rsidRPr="00CF1D46">
              <w:rPr>
                <w:rStyle w:val="Hyperlink"/>
                <w:noProof/>
              </w:rPr>
              <w:t>3 Conclusion</w:t>
            </w:r>
            <w:r w:rsidR="00E32EA5">
              <w:rPr>
                <w:noProof/>
                <w:webHidden/>
              </w:rPr>
              <w:tab/>
            </w:r>
            <w:r w:rsidR="00E32EA5">
              <w:rPr>
                <w:noProof/>
                <w:webHidden/>
              </w:rPr>
              <w:fldChar w:fldCharType="begin"/>
            </w:r>
            <w:r w:rsidR="00E32EA5">
              <w:rPr>
                <w:noProof/>
                <w:webHidden/>
              </w:rPr>
              <w:instrText xml:space="preserve"> PAGEREF _Toc67051850 \h </w:instrText>
            </w:r>
            <w:r w:rsidR="00E32EA5">
              <w:rPr>
                <w:noProof/>
                <w:webHidden/>
              </w:rPr>
            </w:r>
            <w:r w:rsidR="00E32EA5">
              <w:rPr>
                <w:noProof/>
                <w:webHidden/>
              </w:rPr>
              <w:fldChar w:fldCharType="separate"/>
            </w:r>
            <w:r w:rsidR="00DE3AD4">
              <w:rPr>
                <w:noProof/>
                <w:webHidden/>
              </w:rPr>
              <w:t>58</w:t>
            </w:r>
            <w:r w:rsidR="00E32EA5">
              <w:rPr>
                <w:noProof/>
                <w:webHidden/>
              </w:rPr>
              <w:fldChar w:fldCharType="end"/>
            </w:r>
          </w:hyperlink>
        </w:p>
        <w:p w14:paraId="55EAE0FB" w14:textId="5C1F7ED9" w:rsidR="00E32EA5" w:rsidRDefault="0014392E">
          <w:pPr>
            <w:pStyle w:val="TOC1"/>
            <w:tabs>
              <w:tab w:val="right" w:leader="dot" w:pos="10195"/>
            </w:tabs>
            <w:rPr>
              <w:noProof/>
            </w:rPr>
          </w:pPr>
          <w:hyperlink w:anchor="_Toc67051851" w:history="1">
            <w:r w:rsidR="00E32EA5" w:rsidRPr="00CF1D46">
              <w:rPr>
                <w:rStyle w:val="Hyperlink"/>
                <w:noProof/>
              </w:rPr>
              <w:t>Annexes</w:t>
            </w:r>
            <w:r w:rsidR="00E32EA5">
              <w:rPr>
                <w:noProof/>
                <w:webHidden/>
              </w:rPr>
              <w:tab/>
            </w:r>
            <w:r w:rsidR="00E32EA5">
              <w:rPr>
                <w:noProof/>
                <w:webHidden/>
              </w:rPr>
              <w:fldChar w:fldCharType="begin"/>
            </w:r>
            <w:r w:rsidR="00E32EA5">
              <w:rPr>
                <w:noProof/>
                <w:webHidden/>
              </w:rPr>
              <w:instrText xml:space="preserve"> PAGEREF _Toc67051851 \h </w:instrText>
            </w:r>
            <w:r w:rsidR="00E32EA5">
              <w:rPr>
                <w:noProof/>
                <w:webHidden/>
              </w:rPr>
            </w:r>
            <w:r w:rsidR="00E32EA5">
              <w:rPr>
                <w:noProof/>
                <w:webHidden/>
              </w:rPr>
              <w:fldChar w:fldCharType="separate"/>
            </w:r>
            <w:r w:rsidR="00DE3AD4">
              <w:rPr>
                <w:noProof/>
                <w:webHidden/>
              </w:rPr>
              <w:t>61</w:t>
            </w:r>
            <w:r w:rsidR="00E32EA5">
              <w:rPr>
                <w:noProof/>
                <w:webHidden/>
              </w:rPr>
              <w:fldChar w:fldCharType="end"/>
            </w:r>
          </w:hyperlink>
        </w:p>
        <w:p w14:paraId="2EC5E93B" w14:textId="591FDAEB" w:rsidR="00E32EA5" w:rsidRDefault="0014392E" w:rsidP="00E905A6">
          <w:pPr>
            <w:pStyle w:val="TOC3"/>
            <w:rPr>
              <w:noProof/>
            </w:rPr>
          </w:pPr>
          <w:hyperlink w:anchor="_Toc67051852" w:history="1">
            <w:r w:rsidR="00E32EA5" w:rsidRPr="00CF1D46">
              <w:rPr>
                <w:rStyle w:val="Hyperlink"/>
                <w:noProof/>
              </w:rPr>
              <w:t>A.1 Assumptions</w:t>
            </w:r>
            <w:r w:rsidR="00E32EA5">
              <w:rPr>
                <w:noProof/>
                <w:webHidden/>
              </w:rPr>
              <w:tab/>
            </w:r>
            <w:r w:rsidR="00E32EA5">
              <w:rPr>
                <w:noProof/>
                <w:webHidden/>
              </w:rPr>
              <w:fldChar w:fldCharType="begin"/>
            </w:r>
            <w:r w:rsidR="00E32EA5">
              <w:rPr>
                <w:noProof/>
                <w:webHidden/>
              </w:rPr>
              <w:instrText xml:space="preserve"> PAGEREF _Toc67051852 \h </w:instrText>
            </w:r>
            <w:r w:rsidR="00E32EA5">
              <w:rPr>
                <w:noProof/>
                <w:webHidden/>
              </w:rPr>
            </w:r>
            <w:r w:rsidR="00E32EA5">
              <w:rPr>
                <w:noProof/>
                <w:webHidden/>
              </w:rPr>
              <w:fldChar w:fldCharType="separate"/>
            </w:r>
            <w:r w:rsidR="00DE3AD4">
              <w:rPr>
                <w:noProof/>
                <w:webHidden/>
              </w:rPr>
              <w:t>61</w:t>
            </w:r>
            <w:r w:rsidR="00E32EA5">
              <w:rPr>
                <w:noProof/>
                <w:webHidden/>
              </w:rPr>
              <w:fldChar w:fldCharType="end"/>
            </w:r>
          </w:hyperlink>
        </w:p>
        <w:p w14:paraId="7991536C" w14:textId="4EAD7E3A" w:rsidR="00E32EA5" w:rsidRDefault="0014392E" w:rsidP="00E905A6">
          <w:pPr>
            <w:pStyle w:val="TOC3"/>
            <w:rPr>
              <w:noProof/>
            </w:rPr>
          </w:pPr>
          <w:hyperlink w:anchor="_Toc67051853" w:history="1">
            <w:r w:rsidR="00E32EA5" w:rsidRPr="00CF1D46">
              <w:rPr>
                <w:rStyle w:val="Hyperlink"/>
                <w:noProof/>
              </w:rPr>
              <w:t xml:space="preserve">A.2 UK TIMES model </w:t>
            </w:r>
            <w:r w:rsidR="00E32EA5">
              <w:rPr>
                <w:noProof/>
                <w:webHidden/>
              </w:rPr>
              <w:tab/>
            </w:r>
            <w:r w:rsidR="00E32EA5">
              <w:rPr>
                <w:noProof/>
                <w:webHidden/>
              </w:rPr>
              <w:fldChar w:fldCharType="begin"/>
            </w:r>
            <w:r w:rsidR="00E32EA5">
              <w:rPr>
                <w:noProof/>
                <w:webHidden/>
              </w:rPr>
              <w:instrText xml:space="preserve"> PAGEREF _Toc67051853 \h </w:instrText>
            </w:r>
            <w:r w:rsidR="00E32EA5">
              <w:rPr>
                <w:noProof/>
                <w:webHidden/>
              </w:rPr>
            </w:r>
            <w:r w:rsidR="00E32EA5">
              <w:rPr>
                <w:noProof/>
                <w:webHidden/>
              </w:rPr>
              <w:fldChar w:fldCharType="separate"/>
            </w:r>
            <w:r w:rsidR="00DE3AD4">
              <w:rPr>
                <w:noProof/>
                <w:webHidden/>
              </w:rPr>
              <w:t>62</w:t>
            </w:r>
            <w:r w:rsidR="00E32EA5">
              <w:rPr>
                <w:noProof/>
                <w:webHidden/>
              </w:rPr>
              <w:fldChar w:fldCharType="end"/>
            </w:r>
          </w:hyperlink>
        </w:p>
        <w:p w14:paraId="573A5204" w14:textId="0C37818A" w:rsidR="00E32EA5" w:rsidRDefault="0014392E" w:rsidP="00E905A6">
          <w:pPr>
            <w:pStyle w:val="TOC3"/>
            <w:rPr>
              <w:noProof/>
            </w:rPr>
          </w:pPr>
          <w:hyperlink w:anchor="_Toc67051854" w:history="1">
            <w:r w:rsidR="00E32EA5" w:rsidRPr="00CF1D46">
              <w:rPr>
                <w:rStyle w:val="Hyperlink"/>
                <w:noProof/>
              </w:rPr>
              <w:t>A.3 GLOCAF model and fair-share pathway methodology</w:t>
            </w:r>
            <w:r w:rsidR="00E32EA5">
              <w:rPr>
                <w:noProof/>
                <w:webHidden/>
              </w:rPr>
              <w:tab/>
            </w:r>
            <w:r w:rsidR="00E32EA5">
              <w:rPr>
                <w:noProof/>
                <w:webHidden/>
              </w:rPr>
              <w:fldChar w:fldCharType="begin"/>
            </w:r>
            <w:r w:rsidR="00E32EA5">
              <w:rPr>
                <w:noProof/>
                <w:webHidden/>
              </w:rPr>
              <w:instrText xml:space="preserve"> PAGEREF _Toc67051854 \h </w:instrText>
            </w:r>
            <w:r w:rsidR="00E32EA5">
              <w:rPr>
                <w:noProof/>
                <w:webHidden/>
              </w:rPr>
            </w:r>
            <w:r w:rsidR="00E32EA5">
              <w:rPr>
                <w:noProof/>
                <w:webHidden/>
              </w:rPr>
              <w:fldChar w:fldCharType="separate"/>
            </w:r>
            <w:r w:rsidR="00DE3AD4">
              <w:rPr>
                <w:noProof/>
                <w:webHidden/>
              </w:rPr>
              <w:t>67</w:t>
            </w:r>
            <w:r w:rsidR="00E32EA5">
              <w:rPr>
                <w:noProof/>
                <w:webHidden/>
              </w:rPr>
              <w:fldChar w:fldCharType="end"/>
            </w:r>
          </w:hyperlink>
        </w:p>
        <w:p w14:paraId="73693FFD" w14:textId="706DEC30" w:rsidR="00E32EA5" w:rsidRDefault="0014392E" w:rsidP="00E905A6">
          <w:pPr>
            <w:pStyle w:val="TOC3"/>
            <w:rPr>
              <w:noProof/>
            </w:rPr>
          </w:pPr>
          <w:hyperlink w:anchor="_Toc67051855" w:history="1">
            <w:r w:rsidR="00E32EA5" w:rsidRPr="00CF1D46">
              <w:rPr>
                <w:rStyle w:val="Hyperlink"/>
                <w:noProof/>
              </w:rPr>
              <w:t>A.4 Supplementary evidence base</w:t>
            </w:r>
            <w:r w:rsidR="00E32EA5">
              <w:rPr>
                <w:noProof/>
                <w:webHidden/>
              </w:rPr>
              <w:tab/>
            </w:r>
            <w:r w:rsidR="00E32EA5">
              <w:rPr>
                <w:noProof/>
                <w:webHidden/>
              </w:rPr>
              <w:fldChar w:fldCharType="begin"/>
            </w:r>
            <w:r w:rsidR="00E32EA5">
              <w:rPr>
                <w:noProof/>
                <w:webHidden/>
              </w:rPr>
              <w:instrText xml:space="preserve"> PAGEREF _Toc67051855 \h </w:instrText>
            </w:r>
            <w:r w:rsidR="00E32EA5">
              <w:rPr>
                <w:noProof/>
                <w:webHidden/>
              </w:rPr>
            </w:r>
            <w:r w:rsidR="00E32EA5">
              <w:rPr>
                <w:noProof/>
                <w:webHidden/>
              </w:rPr>
              <w:fldChar w:fldCharType="separate"/>
            </w:r>
            <w:r w:rsidR="00DE3AD4">
              <w:rPr>
                <w:noProof/>
                <w:webHidden/>
              </w:rPr>
              <w:t>69</w:t>
            </w:r>
            <w:r w:rsidR="00E32EA5">
              <w:rPr>
                <w:noProof/>
                <w:webHidden/>
              </w:rPr>
              <w:fldChar w:fldCharType="end"/>
            </w:r>
          </w:hyperlink>
        </w:p>
        <w:p w14:paraId="27C8B344" w14:textId="790D79EB" w:rsidR="00E32EA5" w:rsidRDefault="0014392E" w:rsidP="00E905A6">
          <w:pPr>
            <w:pStyle w:val="TOC3"/>
            <w:rPr>
              <w:noProof/>
            </w:rPr>
          </w:pPr>
          <w:hyperlink w:anchor="_Toc67051856" w:history="1">
            <w:r w:rsidR="00E32EA5" w:rsidRPr="00CF1D46">
              <w:rPr>
                <w:rStyle w:val="Hyperlink"/>
                <w:noProof/>
              </w:rPr>
              <w:t>A.5 Natural capital</w:t>
            </w:r>
            <w:r w:rsidR="00E32EA5">
              <w:rPr>
                <w:noProof/>
                <w:webHidden/>
              </w:rPr>
              <w:tab/>
            </w:r>
            <w:r w:rsidR="00E32EA5">
              <w:rPr>
                <w:noProof/>
                <w:webHidden/>
              </w:rPr>
              <w:fldChar w:fldCharType="begin"/>
            </w:r>
            <w:r w:rsidR="00E32EA5">
              <w:rPr>
                <w:noProof/>
                <w:webHidden/>
              </w:rPr>
              <w:instrText xml:space="preserve"> PAGEREF _Toc67051856 \h </w:instrText>
            </w:r>
            <w:r w:rsidR="00E32EA5">
              <w:rPr>
                <w:noProof/>
                <w:webHidden/>
              </w:rPr>
            </w:r>
            <w:r w:rsidR="00E32EA5">
              <w:rPr>
                <w:noProof/>
                <w:webHidden/>
              </w:rPr>
              <w:fldChar w:fldCharType="separate"/>
            </w:r>
            <w:r w:rsidR="00DE3AD4">
              <w:rPr>
                <w:noProof/>
                <w:webHidden/>
              </w:rPr>
              <w:t>71</w:t>
            </w:r>
            <w:r w:rsidR="00E32EA5">
              <w:rPr>
                <w:noProof/>
                <w:webHidden/>
              </w:rPr>
              <w:fldChar w:fldCharType="end"/>
            </w:r>
          </w:hyperlink>
        </w:p>
        <w:p w14:paraId="5991EFF9" w14:textId="3E964BA8" w:rsidR="00E32EA5" w:rsidRDefault="0014392E" w:rsidP="00E905A6">
          <w:pPr>
            <w:pStyle w:val="TOC3"/>
            <w:rPr>
              <w:noProof/>
            </w:rPr>
          </w:pPr>
          <w:hyperlink w:anchor="_Toc67051857" w:history="1">
            <w:r w:rsidR="00E32EA5" w:rsidRPr="00CF1D46">
              <w:rPr>
                <w:rStyle w:val="Hyperlink"/>
                <w:noProof/>
              </w:rPr>
              <w:t>A.6 Accounting for Devolved Administrations’ views and characteristics</w:t>
            </w:r>
            <w:r w:rsidR="00E32EA5">
              <w:rPr>
                <w:noProof/>
                <w:webHidden/>
              </w:rPr>
              <w:tab/>
            </w:r>
            <w:r w:rsidR="00E32EA5">
              <w:rPr>
                <w:noProof/>
                <w:webHidden/>
              </w:rPr>
              <w:fldChar w:fldCharType="begin"/>
            </w:r>
            <w:r w:rsidR="00E32EA5">
              <w:rPr>
                <w:noProof/>
                <w:webHidden/>
              </w:rPr>
              <w:instrText xml:space="preserve"> PAGEREF _Toc67051857 \h </w:instrText>
            </w:r>
            <w:r w:rsidR="00E32EA5">
              <w:rPr>
                <w:noProof/>
                <w:webHidden/>
              </w:rPr>
            </w:r>
            <w:r w:rsidR="00E32EA5">
              <w:rPr>
                <w:noProof/>
                <w:webHidden/>
              </w:rPr>
              <w:fldChar w:fldCharType="separate"/>
            </w:r>
            <w:r w:rsidR="00DE3AD4">
              <w:rPr>
                <w:noProof/>
                <w:webHidden/>
              </w:rPr>
              <w:t>75</w:t>
            </w:r>
            <w:r w:rsidR="00E32EA5">
              <w:rPr>
                <w:noProof/>
                <w:webHidden/>
              </w:rPr>
              <w:fldChar w:fldCharType="end"/>
            </w:r>
          </w:hyperlink>
        </w:p>
        <w:p w14:paraId="13094EA5" w14:textId="19DFB34A" w:rsidR="00E32EA5" w:rsidRDefault="00E32EA5">
          <w:r>
            <w:rPr>
              <w:b/>
              <w:bCs/>
              <w:noProof/>
            </w:rPr>
            <w:fldChar w:fldCharType="end"/>
          </w:r>
        </w:p>
      </w:sdtContent>
    </w:sdt>
    <w:p w14:paraId="5E105756" w14:textId="77777777" w:rsidR="00E32EA5" w:rsidRDefault="00E32EA5">
      <w:pPr>
        <w:rPr>
          <w:b/>
          <w:bCs/>
          <w:spacing w:val="-4"/>
          <w:kern w:val="32"/>
          <w:sz w:val="32"/>
          <w:szCs w:val="32"/>
        </w:rPr>
      </w:pPr>
      <w:r>
        <w:br w:type="page"/>
      </w:r>
    </w:p>
    <w:p w14:paraId="35C5E5BE" w14:textId="268237D1" w:rsidR="00D77D2E" w:rsidRPr="004708DF" w:rsidRDefault="00D77D2E" w:rsidP="00B701D1">
      <w:pPr>
        <w:pStyle w:val="Heading1"/>
        <w:spacing w:after="200"/>
      </w:pPr>
      <w:bookmarkStart w:id="32" w:name="_Toc67051833"/>
      <w:r w:rsidRPr="004708DF">
        <w:lastRenderedPageBreak/>
        <w:t>Executive Summary</w:t>
      </w:r>
      <w:bookmarkEnd w:id="32"/>
    </w:p>
    <w:p w14:paraId="30E01806" w14:textId="77777777" w:rsidR="00822E64" w:rsidRPr="00FD3C44" w:rsidRDefault="00822E64" w:rsidP="00822E64">
      <w:pPr>
        <w:autoSpaceDE w:val="0"/>
        <w:autoSpaceDN w:val="0"/>
        <w:adjustRightInd w:val="0"/>
        <w:spacing w:after="200"/>
        <w:rPr>
          <w:rFonts w:eastAsia="Calibri" w:cs="Arial"/>
          <w:b/>
          <w:color w:val="000000"/>
          <w:sz w:val="28"/>
          <w:szCs w:val="28"/>
          <w:lang w:eastAsia="en-US"/>
        </w:rPr>
      </w:pPr>
      <w:r w:rsidRPr="00FD3C44">
        <w:rPr>
          <w:rFonts w:eastAsia="Calibri" w:cs="Arial"/>
          <w:b/>
          <w:color w:val="000000"/>
          <w:sz w:val="28"/>
          <w:szCs w:val="28"/>
          <w:lang w:eastAsia="en-US"/>
        </w:rPr>
        <w:t>Introduction</w:t>
      </w:r>
    </w:p>
    <w:p w14:paraId="0DCDD8DE" w14:textId="725D5A86" w:rsidR="001C4454" w:rsidRPr="001C4454" w:rsidRDefault="001C4454" w:rsidP="000C4AE9">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The Climate Change Act requires Parliament to set the level of the sixth carbon budget, covering </w:t>
      </w:r>
      <w:r w:rsidR="002B29FF">
        <w:rPr>
          <w:rFonts w:eastAsia="Calibri" w:cs="Arial"/>
          <w:color w:val="000000"/>
          <w:lang w:eastAsia="en-US"/>
        </w:rPr>
        <w:t xml:space="preserve">the five year period </w:t>
      </w:r>
      <w:r w:rsidRPr="001C4454">
        <w:rPr>
          <w:rFonts w:eastAsia="Calibri" w:cs="Arial"/>
          <w:color w:val="000000"/>
          <w:lang w:eastAsia="en-US"/>
        </w:rPr>
        <w:t xml:space="preserve">2033 to 2037, </w:t>
      </w:r>
      <w:r w:rsidR="00895CE3">
        <w:rPr>
          <w:rFonts w:eastAsia="Calibri" w:cs="Arial"/>
          <w:color w:val="000000"/>
          <w:lang w:eastAsia="en-US"/>
        </w:rPr>
        <w:t>with a vi</w:t>
      </w:r>
      <w:r w:rsidR="000E49C3">
        <w:rPr>
          <w:rFonts w:eastAsia="Calibri" w:cs="Arial"/>
          <w:color w:val="000000"/>
          <w:lang w:eastAsia="en-US"/>
        </w:rPr>
        <w:t>ew to</w:t>
      </w:r>
      <w:r w:rsidRPr="001C4454">
        <w:rPr>
          <w:rFonts w:eastAsia="Calibri" w:cs="Arial"/>
          <w:color w:val="000000"/>
          <w:lang w:eastAsia="en-US"/>
        </w:rPr>
        <w:t xml:space="preserve"> meeting the target of reducing </w:t>
      </w:r>
      <w:r w:rsidR="005F28F5">
        <w:rPr>
          <w:rFonts w:eastAsia="Calibri" w:cs="Arial"/>
          <w:color w:val="000000"/>
          <w:lang w:eastAsia="en-US"/>
        </w:rPr>
        <w:t>the</w:t>
      </w:r>
      <w:r w:rsidRPr="001C4454">
        <w:rPr>
          <w:rFonts w:eastAsia="Calibri" w:cs="Arial"/>
          <w:color w:val="000000"/>
          <w:lang w:eastAsia="en-US"/>
        </w:rPr>
        <w:t xml:space="preserve"> UK</w:t>
      </w:r>
      <w:r w:rsidR="00DD5635">
        <w:rPr>
          <w:rFonts w:eastAsia="Calibri" w:cs="Arial"/>
          <w:color w:val="000000"/>
          <w:lang w:eastAsia="en-US"/>
        </w:rPr>
        <w:t xml:space="preserve">’s </w:t>
      </w:r>
      <w:r w:rsidR="005F28F5">
        <w:rPr>
          <w:rFonts w:eastAsia="Calibri" w:cs="Arial"/>
          <w:color w:val="000000"/>
          <w:lang w:eastAsia="en-US"/>
        </w:rPr>
        <w:t>net</w:t>
      </w:r>
      <w:r w:rsidR="00DD5635">
        <w:rPr>
          <w:rFonts w:eastAsia="Calibri" w:cs="Arial"/>
          <w:color w:val="000000"/>
          <w:lang w:eastAsia="en-US"/>
        </w:rPr>
        <w:t xml:space="preserve"> greenhouse gas (GHG)</w:t>
      </w:r>
      <w:r w:rsidRPr="001C4454">
        <w:rPr>
          <w:rFonts w:eastAsia="Calibri" w:cs="Arial"/>
          <w:color w:val="000000"/>
          <w:lang w:eastAsia="en-US"/>
        </w:rPr>
        <w:t xml:space="preserve"> emissions by</w:t>
      </w:r>
      <w:r w:rsidR="001E3C4C">
        <w:rPr>
          <w:rFonts w:eastAsia="Calibri" w:cs="Arial"/>
          <w:color w:val="000000"/>
          <w:lang w:eastAsia="en-US"/>
        </w:rPr>
        <w:t xml:space="preserve"> at least</w:t>
      </w:r>
      <w:r w:rsidRPr="001C4454">
        <w:rPr>
          <w:rFonts w:eastAsia="Calibri" w:cs="Arial"/>
          <w:color w:val="000000"/>
          <w:lang w:eastAsia="en-US"/>
        </w:rPr>
        <w:t xml:space="preserve"> 100% (“net zero”) by 2050. </w:t>
      </w:r>
    </w:p>
    <w:p w14:paraId="3134A0A4" w14:textId="75124DAB" w:rsidR="00822E64" w:rsidRPr="00822E64" w:rsidRDefault="00822E64" w:rsidP="00DD5635">
      <w:pPr>
        <w:numPr>
          <w:ilvl w:val="0"/>
          <w:numId w:val="489"/>
        </w:numPr>
        <w:spacing w:after="200" w:line="259" w:lineRule="auto"/>
        <w:rPr>
          <w:rFonts w:eastAsia="Calibri" w:cs="Arial"/>
          <w:color w:val="000000"/>
          <w:lang w:eastAsia="en-US"/>
        </w:rPr>
      </w:pPr>
      <w:r w:rsidRPr="00822E64">
        <w:rPr>
          <w:rFonts w:eastAsia="Calibri" w:cs="Arial"/>
          <w:color w:val="000000"/>
          <w:lang w:eastAsia="en-US"/>
        </w:rPr>
        <w:t xml:space="preserve">There is overwhelming scientific consensus that we are living with the effects of significant global climate change, driven </w:t>
      </w:r>
      <w:r w:rsidR="0084769E" w:rsidRPr="00822E64">
        <w:rPr>
          <w:rFonts w:eastAsia="Calibri" w:cs="Arial"/>
          <w:color w:val="000000"/>
          <w:lang w:eastAsia="en-US"/>
        </w:rPr>
        <w:t>primarily</w:t>
      </w:r>
      <w:r w:rsidR="00A2149C">
        <w:rPr>
          <w:rFonts w:eastAsia="Calibri" w:cs="Arial"/>
          <w:color w:val="000000"/>
          <w:lang w:eastAsia="en-US"/>
        </w:rPr>
        <w:t xml:space="preserve"> by</w:t>
      </w:r>
      <w:r w:rsidRPr="00822E64">
        <w:rPr>
          <w:rFonts w:eastAsia="Calibri" w:cs="Arial"/>
          <w:color w:val="000000"/>
          <w:lang w:eastAsia="en-US"/>
        </w:rPr>
        <w:t xml:space="preserve"> </w:t>
      </w:r>
      <w:r w:rsidR="00B701D1">
        <w:rPr>
          <w:rFonts w:eastAsia="Calibri" w:cs="Arial"/>
          <w:color w:val="000000"/>
          <w:lang w:eastAsia="en-US"/>
        </w:rPr>
        <w:t>anthropogenic</w:t>
      </w:r>
      <w:r w:rsidRPr="00822E64">
        <w:rPr>
          <w:rFonts w:eastAsia="Calibri" w:cs="Arial"/>
          <w:color w:val="000000"/>
          <w:lang w:eastAsia="en-US"/>
        </w:rPr>
        <w:t xml:space="preserve"> GHG emissions. Unchecked this </w:t>
      </w:r>
      <w:r w:rsidR="008E6914">
        <w:rPr>
          <w:rFonts w:eastAsia="Calibri" w:cs="Arial"/>
          <w:color w:val="000000"/>
          <w:lang w:eastAsia="en-US"/>
        </w:rPr>
        <w:t>will</w:t>
      </w:r>
      <w:r w:rsidRPr="00822E64">
        <w:rPr>
          <w:rFonts w:eastAsia="Calibri" w:cs="Arial"/>
          <w:color w:val="000000"/>
          <w:lang w:eastAsia="en-US"/>
        </w:rPr>
        <w:t xml:space="preserve"> </w:t>
      </w:r>
      <w:r w:rsidR="001C4454" w:rsidRPr="001C4454">
        <w:rPr>
          <w:rFonts w:eastAsia="Calibri" w:cs="Arial"/>
          <w:color w:val="000000"/>
          <w:lang w:eastAsia="en-US"/>
        </w:rPr>
        <w:t>lead to</w:t>
      </w:r>
      <w:r w:rsidRPr="00822E64">
        <w:rPr>
          <w:rFonts w:eastAsia="Calibri" w:cs="Arial"/>
          <w:color w:val="000000"/>
          <w:lang w:eastAsia="en-US"/>
        </w:rPr>
        <w:t xml:space="preserve"> rising temperatures and sea levels, extreme weather, damaged ecosystems, and reduced productivity of crops. Coordinated global action is needed to substantially reduce GHG emissions and mitigate the potentially catastrophic effects of climate change on the environment and economies across the world. </w:t>
      </w:r>
    </w:p>
    <w:p w14:paraId="4B036F5F" w14:textId="19613438" w:rsidR="00822E64" w:rsidRPr="00822E64" w:rsidRDefault="00822E64" w:rsidP="00DD5635">
      <w:pPr>
        <w:numPr>
          <w:ilvl w:val="0"/>
          <w:numId w:val="489"/>
        </w:numPr>
        <w:spacing w:after="200" w:line="259" w:lineRule="auto"/>
        <w:rPr>
          <w:rFonts w:eastAsia="Calibri" w:cs="Arial"/>
          <w:color w:val="000000"/>
          <w:lang w:eastAsia="en-US"/>
        </w:rPr>
      </w:pPr>
      <w:r w:rsidRPr="00822E64">
        <w:rPr>
          <w:rFonts w:eastAsia="Calibri" w:cs="Arial"/>
          <w:color w:val="000000"/>
          <w:lang w:eastAsia="en-US"/>
        </w:rPr>
        <w:t xml:space="preserve">Setting long-term targets to reduce GHG emissions will also help to secure long-term economic security and prosperity, globally and in the UK. While there is inherent uncertainty around estimates of the long-term impact of climate change, at global level it </w:t>
      </w:r>
      <w:r w:rsidR="009A4FAA">
        <w:rPr>
          <w:rFonts w:eastAsia="Calibri" w:cs="Arial"/>
          <w:color w:val="000000"/>
          <w:lang w:eastAsia="en-US"/>
        </w:rPr>
        <w:t xml:space="preserve">is </w:t>
      </w:r>
      <w:r w:rsidRPr="00822E64">
        <w:rPr>
          <w:rFonts w:eastAsia="Calibri" w:cs="Arial"/>
          <w:color w:val="000000"/>
          <w:lang w:eastAsia="en-US"/>
        </w:rPr>
        <w:t xml:space="preserve">clear that the cost of inaction is much higher than the cost of action. </w:t>
      </w:r>
      <w:r w:rsidR="005B1A63">
        <w:rPr>
          <w:rFonts w:eastAsia="Calibri" w:cs="Arial"/>
          <w:color w:val="000000"/>
          <w:lang w:eastAsia="en-US"/>
        </w:rPr>
        <w:t>W</w:t>
      </w:r>
      <w:r w:rsidRPr="00822E64">
        <w:rPr>
          <w:rFonts w:eastAsia="Calibri" w:cs="Arial"/>
          <w:color w:val="000000"/>
          <w:lang w:eastAsia="en-US"/>
        </w:rPr>
        <w:t xml:space="preserve">ithout </w:t>
      </w:r>
      <w:r w:rsidR="00F817F9">
        <w:rPr>
          <w:rFonts w:eastAsia="Calibri" w:cs="Arial"/>
          <w:color w:val="000000"/>
          <w:lang w:eastAsia="en-US"/>
        </w:rPr>
        <w:t>g</w:t>
      </w:r>
      <w:r w:rsidR="007C6560">
        <w:rPr>
          <w:rFonts w:eastAsia="Calibri" w:cs="Arial"/>
          <w:color w:val="000000"/>
          <w:lang w:eastAsia="en-US"/>
        </w:rPr>
        <w:t>overnment</w:t>
      </w:r>
      <w:r w:rsidRPr="00822E64">
        <w:rPr>
          <w:rFonts w:eastAsia="Calibri" w:cs="Arial"/>
          <w:color w:val="000000"/>
          <w:lang w:eastAsia="en-US"/>
        </w:rPr>
        <w:t xml:space="preserve"> intervention individual efforts to mitigate climate change are unlikely to </w:t>
      </w:r>
      <w:r w:rsidR="0084769E">
        <w:rPr>
          <w:rFonts w:eastAsia="Calibri" w:cs="Arial"/>
          <w:color w:val="000000"/>
          <w:lang w:eastAsia="en-US"/>
        </w:rPr>
        <w:t>be</w:t>
      </w:r>
      <w:r w:rsidRPr="00822E64">
        <w:rPr>
          <w:rFonts w:eastAsia="Calibri" w:cs="Arial"/>
          <w:color w:val="000000"/>
          <w:lang w:eastAsia="en-US"/>
        </w:rPr>
        <w:t xml:space="preserve"> sufficient.</w:t>
      </w:r>
    </w:p>
    <w:p w14:paraId="6BC6752A" w14:textId="7F1F0F12" w:rsidR="008C1392" w:rsidRDefault="00822E64" w:rsidP="008C1392">
      <w:pPr>
        <w:numPr>
          <w:ilvl w:val="0"/>
          <w:numId w:val="489"/>
        </w:numPr>
        <w:spacing w:after="200" w:line="259" w:lineRule="auto"/>
        <w:rPr>
          <w:rFonts w:eastAsia="Calibri" w:cs="Arial"/>
          <w:color w:val="000000"/>
          <w:lang w:eastAsia="en-US"/>
        </w:rPr>
      </w:pPr>
      <w:r w:rsidRPr="00822E64">
        <w:rPr>
          <w:rFonts w:eastAsia="Calibri" w:cs="Arial"/>
          <w:color w:val="000000"/>
          <w:lang w:eastAsia="en-US"/>
        </w:rPr>
        <w:t xml:space="preserve">When setting carbon budgets, the </w:t>
      </w:r>
      <w:r w:rsidR="00F817F9">
        <w:rPr>
          <w:rFonts w:eastAsia="Calibri" w:cs="Arial"/>
          <w:color w:val="000000"/>
          <w:lang w:eastAsia="en-US"/>
        </w:rPr>
        <w:t>g</w:t>
      </w:r>
      <w:r w:rsidR="007C6560">
        <w:rPr>
          <w:rFonts w:eastAsia="Calibri" w:cs="Arial"/>
          <w:color w:val="000000"/>
          <w:lang w:eastAsia="en-US"/>
        </w:rPr>
        <w:t>overnment</w:t>
      </w:r>
      <w:r w:rsidRPr="00822E64">
        <w:rPr>
          <w:rFonts w:eastAsia="Calibri" w:cs="Arial"/>
          <w:color w:val="000000"/>
          <w:lang w:eastAsia="en-US"/>
        </w:rPr>
        <w:t xml:space="preserve"> must take account of the advice of the Climate Change Committee (CCC). </w:t>
      </w:r>
      <w:r w:rsidR="001C4454" w:rsidRPr="001C4454">
        <w:rPr>
          <w:rFonts w:eastAsia="Calibri" w:cs="Arial"/>
          <w:color w:val="000000"/>
          <w:lang w:eastAsia="en-US"/>
        </w:rPr>
        <w:t>The</w:t>
      </w:r>
      <w:r w:rsidR="00FD3C64">
        <w:rPr>
          <w:rFonts w:eastAsia="Calibri" w:cs="Arial"/>
          <w:color w:val="000000"/>
          <w:lang w:eastAsia="en-US"/>
        </w:rPr>
        <w:t xml:space="preserve"> C</w:t>
      </w:r>
      <w:r w:rsidR="00AD64CD">
        <w:rPr>
          <w:rFonts w:eastAsia="Calibri" w:cs="Arial"/>
          <w:color w:val="000000"/>
          <w:lang w:eastAsia="en-US"/>
        </w:rPr>
        <w:t>CC</w:t>
      </w:r>
      <w:r w:rsidR="001C4454" w:rsidRPr="001C4454">
        <w:rPr>
          <w:rFonts w:eastAsia="Calibri" w:cs="Arial"/>
          <w:color w:val="000000"/>
          <w:lang w:eastAsia="en-US"/>
        </w:rPr>
        <w:t xml:space="preserve"> recommend</w:t>
      </w:r>
      <w:r w:rsidR="00FD3C64">
        <w:rPr>
          <w:rFonts w:eastAsia="Calibri" w:cs="Arial"/>
          <w:color w:val="000000"/>
          <w:lang w:eastAsia="en-US"/>
        </w:rPr>
        <w:t>s</w:t>
      </w:r>
      <w:r w:rsidRPr="00822E64">
        <w:rPr>
          <w:rFonts w:eastAsia="Calibri" w:cs="Arial"/>
          <w:color w:val="000000"/>
          <w:lang w:eastAsia="en-US"/>
        </w:rPr>
        <w:t xml:space="preserve"> the sixth carbon budget </w:t>
      </w:r>
      <w:r w:rsidR="001C4454" w:rsidRPr="001C4454">
        <w:rPr>
          <w:rFonts w:eastAsia="Calibri" w:cs="Arial"/>
          <w:color w:val="000000"/>
          <w:lang w:eastAsia="en-US"/>
        </w:rPr>
        <w:t>is</w:t>
      </w:r>
      <w:r w:rsidRPr="00822E64">
        <w:rPr>
          <w:rFonts w:eastAsia="Calibri" w:cs="Arial"/>
          <w:color w:val="000000"/>
          <w:lang w:eastAsia="en-US"/>
        </w:rPr>
        <w:t xml:space="preserve"> set at 965MtCO</w:t>
      </w:r>
      <w:r w:rsidRPr="006A0C4B">
        <w:rPr>
          <w:rFonts w:eastAsia="Calibri" w:cs="Arial"/>
          <w:color w:val="000000"/>
          <w:vertAlign w:val="subscript"/>
          <w:lang w:eastAsia="en-US"/>
        </w:rPr>
        <w:t>2</w:t>
      </w:r>
      <w:r w:rsidRPr="00822E64">
        <w:rPr>
          <w:rFonts w:eastAsia="Calibri" w:cs="Arial"/>
          <w:color w:val="000000"/>
          <w:lang w:eastAsia="en-US"/>
        </w:rPr>
        <w:t xml:space="preserve">e, implying a 78% reduction in emissions from 1990 to 2035. </w:t>
      </w:r>
      <w:r w:rsidR="00EC1BB3" w:rsidRPr="00EC34D0">
        <w:rPr>
          <w:rFonts w:eastAsia="Calibri" w:cs="Arial"/>
          <w:lang w:eastAsia="en-US"/>
        </w:rPr>
        <w:t xml:space="preserve">The </w:t>
      </w:r>
      <w:r w:rsidR="00461E9A">
        <w:rPr>
          <w:rFonts w:eastAsia="Calibri" w:cs="Arial"/>
          <w:lang w:eastAsia="en-US"/>
        </w:rPr>
        <w:t>g</w:t>
      </w:r>
      <w:r w:rsidR="007C6560">
        <w:rPr>
          <w:rFonts w:eastAsia="Calibri" w:cs="Arial"/>
          <w:lang w:eastAsia="en-US"/>
        </w:rPr>
        <w:t>overnment</w:t>
      </w:r>
      <w:r w:rsidR="00217F58">
        <w:rPr>
          <w:rFonts w:eastAsia="Calibri" w:cs="Arial"/>
          <w:lang w:eastAsia="en-US"/>
        </w:rPr>
        <w:t xml:space="preserve"> has conducted its own </w:t>
      </w:r>
      <w:r w:rsidR="00EC1BB3" w:rsidRPr="00EC34D0">
        <w:rPr>
          <w:rFonts w:eastAsia="Calibri" w:cs="Arial"/>
          <w:lang w:eastAsia="en-US"/>
        </w:rPr>
        <w:t>analysis</w:t>
      </w:r>
      <w:r w:rsidR="00217F58">
        <w:rPr>
          <w:rFonts w:eastAsia="Calibri" w:cs="Arial"/>
          <w:lang w:eastAsia="en-US"/>
        </w:rPr>
        <w:t>,</w:t>
      </w:r>
      <w:r w:rsidR="00246F3D" w:rsidRPr="00EC34D0">
        <w:rPr>
          <w:rFonts w:eastAsia="Calibri" w:cs="Arial"/>
          <w:lang w:eastAsia="en-US"/>
        </w:rPr>
        <w:t xml:space="preserve"> </w:t>
      </w:r>
      <w:r w:rsidR="00EC1BB3" w:rsidRPr="00EC34D0">
        <w:rPr>
          <w:rFonts w:eastAsia="Calibri" w:cs="Arial"/>
          <w:lang w:eastAsia="en-US"/>
        </w:rPr>
        <w:t xml:space="preserve">based on </w:t>
      </w:r>
      <w:r w:rsidR="00C82AB9">
        <w:rPr>
          <w:rFonts w:eastAsia="Calibri" w:cs="Arial"/>
          <w:lang w:eastAsia="en-US"/>
        </w:rPr>
        <w:t>our</w:t>
      </w:r>
      <w:r w:rsidR="00EC1BB3" w:rsidRPr="00EC34D0">
        <w:rPr>
          <w:rFonts w:eastAsia="Calibri" w:cs="Arial"/>
          <w:lang w:eastAsia="en-US"/>
        </w:rPr>
        <w:t xml:space="preserve"> own analytical assumptions</w:t>
      </w:r>
      <w:r w:rsidR="00217F58">
        <w:rPr>
          <w:rFonts w:eastAsia="Calibri" w:cs="Arial"/>
          <w:lang w:eastAsia="en-US"/>
        </w:rPr>
        <w:t>, which includes</w:t>
      </w:r>
      <w:r w:rsidR="00217F58" w:rsidRPr="00EC34D0">
        <w:rPr>
          <w:rFonts w:eastAsia="Calibri" w:cs="Arial"/>
          <w:lang w:eastAsia="en-US"/>
        </w:rPr>
        <w:t xml:space="preserve"> consider</w:t>
      </w:r>
      <w:r w:rsidR="00217F58">
        <w:rPr>
          <w:rFonts w:eastAsia="Calibri" w:cs="Arial"/>
          <w:lang w:eastAsia="en-US"/>
        </w:rPr>
        <w:t>ation of</w:t>
      </w:r>
      <w:r w:rsidR="00217F58" w:rsidRPr="00EC34D0">
        <w:rPr>
          <w:rFonts w:eastAsia="Calibri" w:cs="Arial"/>
          <w:lang w:eastAsia="en-US"/>
        </w:rPr>
        <w:t xml:space="preserve"> t</w:t>
      </w:r>
      <w:r w:rsidR="00217F58">
        <w:rPr>
          <w:rFonts w:eastAsia="Calibri" w:cs="Arial"/>
          <w:lang w:eastAsia="en-US"/>
        </w:rPr>
        <w:t xml:space="preserve">his </w:t>
      </w:r>
      <w:r w:rsidR="00217F58" w:rsidRPr="00EC34D0">
        <w:rPr>
          <w:rFonts w:eastAsia="Calibri" w:cs="Arial"/>
          <w:lang w:eastAsia="en-US"/>
        </w:rPr>
        <w:t>recommended budget level</w:t>
      </w:r>
      <w:r w:rsidR="00EC1BB3" w:rsidRPr="00EC34D0">
        <w:rPr>
          <w:rFonts w:eastAsia="Calibri" w:cs="Arial"/>
          <w:lang w:eastAsia="en-US"/>
        </w:rPr>
        <w:t xml:space="preserve">. Our </w:t>
      </w:r>
      <w:r w:rsidR="00307E8C">
        <w:rPr>
          <w:rFonts w:eastAsia="Calibri" w:cs="Arial"/>
          <w:lang w:eastAsia="en-US"/>
        </w:rPr>
        <w:t>assessment</w:t>
      </w:r>
      <w:r w:rsidR="00EC1BB3" w:rsidRPr="00EC34D0">
        <w:rPr>
          <w:rFonts w:eastAsia="Calibri" w:cs="Arial"/>
          <w:lang w:eastAsia="en-US"/>
        </w:rPr>
        <w:t xml:space="preserve"> of th</w:t>
      </w:r>
      <w:r w:rsidR="00EF7CA3">
        <w:rPr>
          <w:rFonts w:eastAsia="Calibri" w:cs="Arial"/>
          <w:lang w:eastAsia="en-US"/>
        </w:rPr>
        <w:t>is</w:t>
      </w:r>
      <w:r w:rsidR="00EC1BB3" w:rsidRPr="00EC34D0">
        <w:rPr>
          <w:rFonts w:eastAsia="Calibri" w:cs="Arial"/>
          <w:lang w:eastAsia="en-US"/>
        </w:rPr>
        <w:t xml:space="preserve"> overall budget level is separate from</w:t>
      </w:r>
      <w:r w:rsidR="00EC1BB3">
        <w:rPr>
          <w:rFonts w:eastAsia="Calibri" w:cs="Arial"/>
          <w:lang w:eastAsia="en-US"/>
        </w:rPr>
        <w:t xml:space="preserve"> </w:t>
      </w:r>
      <w:r w:rsidR="00EC34D0">
        <w:rPr>
          <w:rFonts w:eastAsia="Calibri" w:cs="Arial"/>
          <w:lang w:eastAsia="en-US"/>
        </w:rPr>
        <w:t>our consider</w:t>
      </w:r>
      <w:r w:rsidR="00307E8C">
        <w:rPr>
          <w:rFonts w:eastAsia="Calibri" w:cs="Arial"/>
          <w:lang w:eastAsia="en-US"/>
        </w:rPr>
        <w:t>ation</w:t>
      </w:r>
      <w:r w:rsidR="00EC34D0">
        <w:rPr>
          <w:rFonts w:eastAsia="Calibri" w:cs="Arial"/>
          <w:lang w:eastAsia="en-US"/>
        </w:rPr>
        <w:t xml:space="preserve"> of</w:t>
      </w:r>
      <w:r w:rsidR="00EC1BB3" w:rsidRPr="00EC34D0">
        <w:rPr>
          <w:rFonts w:eastAsia="Calibri" w:cs="Arial"/>
          <w:lang w:eastAsia="en-US"/>
        </w:rPr>
        <w:t xml:space="preserve"> the CCC’s</w:t>
      </w:r>
      <w:r w:rsidR="00EC1BB3">
        <w:rPr>
          <w:rFonts w:eastAsia="Calibri" w:cs="Arial"/>
          <w:lang w:eastAsia="en-US"/>
        </w:rPr>
        <w:t xml:space="preserve"> </w:t>
      </w:r>
      <w:r w:rsidR="00EC1BB3" w:rsidRPr="00EC34D0">
        <w:rPr>
          <w:rFonts w:eastAsia="Calibri" w:cs="Arial"/>
          <w:lang w:eastAsia="en-US"/>
        </w:rPr>
        <w:t>policy recommendations</w:t>
      </w:r>
      <w:r w:rsidR="00246F3D" w:rsidRPr="00EC34D0">
        <w:rPr>
          <w:rFonts w:eastAsia="Calibri" w:cs="Arial"/>
          <w:lang w:eastAsia="en-US"/>
        </w:rPr>
        <w:t xml:space="preserve"> to</w:t>
      </w:r>
      <w:r w:rsidR="00246F3D">
        <w:rPr>
          <w:rFonts w:eastAsia="Calibri" w:cs="Arial"/>
          <w:lang w:eastAsia="en-US"/>
        </w:rPr>
        <w:t xml:space="preserve"> </w:t>
      </w:r>
      <w:r w:rsidR="00CC6EAB">
        <w:rPr>
          <w:rFonts w:eastAsia="Calibri" w:cs="Arial"/>
          <w:lang w:eastAsia="en-US"/>
        </w:rPr>
        <w:t>achieve the</w:t>
      </w:r>
      <w:r w:rsidR="004A2E65">
        <w:rPr>
          <w:rFonts w:eastAsia="Calibri" w:cs="Arial"/>
          <w:lang w:eastAsia="en-US"/>
        </w:rPr>
        <w:t xml:space="preserve"> </w:t>
      </w:r>
      <w:r w:rsidR="00EB61E9" w:rsidRPr="004A2E65">
        <w:rPr>
          <w:rFonts w:eastAsia="Calibri" w:cs="Arial"/>
          <w:lang w:eastAsia="en-US"/>
        </w:rPr>
        <w:t>emissions</w:t>
      </w:r>
      <w:r w:rsidR="00CC6EAB" w:rsidRPr="004A2E65">
        <w:rPr>
          <w:rFonts w:eastAsia="Calibri" w:cs="Arial"/>
          <w:lang w:eastAsia="en-US"/>
        </w:rPr>
        <w:t xml:space="preserve"> </w:t>
      </w:r>
      <w:r w:rsidR="008C1392">
        <w:rPr>
          <w:rFonts w:eastAsia="Calibri" w:cs="Arial"/>
          <w:lang w:eastAsia="en-US"/>
        </w:rPr>
        <w:t xml:space="preserve">abatement needed </w:t>
      </w:r>
      <w:r w:rsidR="00CC6EAB" w:rsidRPr="004A2E65">
        <w:rPr>
          <w:rFonts w:eastAsia="Calibri" w:cs="Arial"/>
          <w:lang w:eastAsia="en-US"/>
        </w:rPr>
        <w:t>to</w:t>
      </w:r>
      <w:r w:rsidR="00EB61E9" w:rsidRPr="004A2E65">
        <w:rPr>
          <w:rFonts w:eastAsia="Calibri" w:cs="Arial"/>
          <w:lang w:eastAsia="en-US"/>
        </w:rPr>
        <w:t xml:space="preserve"> </w:t>
      </w:r>
      <w:r w:rsidR="00EC1BB3" w:rsidRPr="004A2E65">
        <w:rPr>
          <w:rFonts w:eastAsia="Calibri" w:cs="Arial"/>
          <w:lang w:eastAsia="en-US"/>
        </w:rPr>
        <w:t xml:space="preserve">meet the budget. </w:t>
      </w:r>
      <w:r w:rsidR="001C4454" w:rsidRPr="001C4454">
        <w:rPr>
          <w:rFonts w:eastAsia="Calibri" w:cs="Arial"/>
          <w:color w:val="000000"/>
          <w:lang w:eastAsia="en-US"/>
        </w:rPr>
        <w:t>The</w:t>
      </w:r>
      <w:r w:rsidRPr="00822E64">
        <w:rPr>
          <w:rFonts w:eastAsia="Calibri" w:cs="Arial"/>
          <w:color w:val="000000"/>
          <w:lang w:eastAsia="en-US"/>
        </w:rPr>
        <w:t xml:space="preserve"> budget must also be set with a view </w:t>
      </w:r>
      <w:r w:rsidR="001C4454" w:rsidRPr="001C4454">
        <w:rPr>
          <w:rFonts w:eastAsia="Calibri" w:cs="Arial"/>
          <w:color w:val="000000"/>
          <w:lang w:eastAsia="en-US"/>
        </w:rPr>
        <w:t>to</w:t>
      </w:r>
      <w:r w:rsidRPr="00822E64">
        <w:rPr>
          <w:rFonts w:eastAsia="Calibri" w:cs="Arial"/>
          <w:color w:val="000000"/>
          <w:lang w:eastAsia="en-US"/>
        </w:rPr>
        <w:t xml:space="preserve"> complying with the UK’s wider </w:t>
      </w:r>
      <w:r w:rsidR="006B17A3">
        <w:rPr>
          <w:rFonts w:eastAsia="Calibri" w:cs="Arial"/>
          <w:color w:val="000000"/>
          <w:lang w:eastAsia="en-US"/>
        </w:rPr>
        <w:t>international</w:t>
      </w:r>
      <w:r w:rsidRPr="00822E64">
        <w:rPr>
          <w:rFonts w:eastAsia="Calibri" w:cs="Arial"/>
          <w:color w:val="000000"/>
          <w:lang w:eastAsia="en-US"/>
        </w:rPr>
        <w:t xml:space="preserve"> obligations</w:t>
      </w:r>
      <w:r w:rsidR="007F6E0F" w:rsidRPr="004A2E65">
        <w:rPr>
          <w:rFonts w:eastAsia="Calibri" w:cs="Arial"/>
          <w:color w:val="000000"/>
          <w:lang w:eastAsia="en-US"/>
        </w:rPr>
        <w:t xml:space="preserve">, and </w:t>
      </w:r>
      <w:r w:rsidR="008C1392">
        <w:rPr>
          <w:rFonts w:eastAsia="Calibri" w:cs="Arial"/>
          <w:color w:val="000000"/>
          <w:lang w:eastAsia="en-US"/>
        </w:rPr>
        <w:t>accounting for</w:t>
      </w:r>
      <w:r w:rsidRPr="00822E64">
        <w:rPr>
          <w:rFonts w:eastAsia="Calibri" w:cs="Arial"/>
          <w:color w:val="000000"/>
          <w:lang w:eastAsia="en-US"/>
        </w:rPr>
        <w:t xml:space="preserve"> any representations of the Devolved Administrations.</w:t>
      </w:r>
    </w:p>
    <w:p w14:paraId="64C7BC51" w14:textId="2F71A1CB" w:rsidR="001C4454" w:rsidRPr="008C1392" w:rsidRDefault="00614011" w:rsidP="008C1392">
      <w:pPr>
        <w:numPr>
          <w:ilvl w:val="0"/>
          <w:numId w:val="489"/>
        </w:numPr>
        <w:spacing w:after="200" w:line="259" w:lineRule="auto"/>
        <w:rPr>
          <w:rFonts w:eastAsia="Calibri" w:cs="Arial"/>
          <w:color w:val="000000"/>
          <w:lang w:eastAsia="en-US"/>
        </w:rPr>
      </w:pPr>
      <w:r w:rsidRPr="008C1392">
        <w:rPr>
          <w:rFonts w:eastAsia="Calibri" w:cs="Arial"/>
          <w:color w:val="000000"/>
          <w:lang w:eastAsia="en-US"/>
        </w:rPr>
        <w:t xml:space="preserve">The Impact Assessment concludes that </w:t>
      </w:r>
      <w:r w:rsidRPr="008C1392">
        <w:rPr>
          <w:rFonts w:eastAsia="Calibri" w:cs="Arial"/>
          <w:b/>
          <w:color w:val="000000"/>
          <w:lang w:eastAsia="en-US"/>
        </w:rPr>
        <w:t xml:space="preserve">the CCC’s recommended option for the sixth carbon budget level is the </w:t>
      </w:r>
      <w:r w:rsidR="00C349E7" w:rsidRPr="008C1392">
        <w:rPr>
          <w:rFonts w:eastAsia="Calibri" w:cs="Arial"/>
          <w:b/>
          <w:color w:val="000000"/>
          <w:lang w:eastAsia="en-US"/>
        </w:rPr>
        <w:t xml:space="preserve">preferred </w:t>
      </w:r>
      <w:r w:rsidRPr="008C1392">
        <w:rPr>
          <w:rFonts w:eastAsia="Calibri" w:cs="Arial"/>
          <w:b/>
          <w:color w:val="000000"/>
          <w:lang w:eastAsia="en-US"/>
        </w:rPr>
        <w:t>option</w:t>
      </w:r>
      <w:r w:rsidR="00C349E7" w:rsidRPr="008C1392">
        <w:rPr>
          <w:rFonts w:eastAsia="Calibri" w:cs="Arial"/>
          <w:color w:val="000000"/>
          <w:lang w:eastAsia="en-US"/>
        </w:rPr>
        <w:t>, which</w:t>
      </w:r>
      <w:r w:rsidRPr="008C1392">
        <w:rPr>
          <w:rFonts w:eastAsia="Calibri" w:cs="Arial"/>
          <w:color w:val="000000"/>
          <w:lang w:eastAsia="en-US"/>
        </w:rPr>
        <w:t xml:space="preserve"> best supports</w:t>
      </w:r>
      <w:r w:rsidR="00B81834">
        <w:rPr>
          <w:rFonts w:eastAsia="Calibri" w:cs="Arial"/>
          <w:color w:val="000000"/>
          <w:lang w:eastAsia="en-US"/>
        </w:rPr>
        <w:t xml:space="preserve"> </w:t>
      </w:r>
      <w:r w:rsidR="004B7509">
        <w:rPr>
          <w:rFonts w:eastAsia="Calibri" w:cs="Arial"/>
          <w:color w:val="000000"/>
          <w:lang w:eastAsia="en-US"/>
        </w:rPr>
        <w:t xml:space="preserve">the UK’s </w:t>
      </w:r>
      <w:r w:rsidRPr="008C1392">
        <w:rPr>
          <w:rFonts w:eastAsia="Calibri" w:cs="Arial"/>
          <w:color w:val="000000"/>
          <w:lang w:eastAsia="en-US"/>
        </w:rPr>
        <w:t xml:space="preserve">policy objective </w:t>
      </w:r>
      <w:r w:rsidR="00B81834">
        <w:rPr>
          <w:rFonts w:eastAsia="Calibri" w:cs="Arial"/>
          <w:color w:val="000000"/>
          <w:lang w:eastAsia="en-US"/>
        </w:rPr>
        <w:t>to substantially reduce GHG emissions and</w:t>
      </w:r>
      <w:r w:rsidR="00C349E7" w:rsidRPr="008C1392">
        <w:rPr>
          <w:rFonts w:eastAsia="Calibri" w:cs="Arial"/>
          <w:color w:val="000000"/>
          <w:lang w:eastAsia="en-US"/>
        </w:rPr>
        <w:t xml:space="preserve"> </w:t>
      </w:r>
      <w:r w:rsidR="00191911" w:rsidRPr="008C1392">
        <w:rPr>
          <w:rFonts w:eastAsia="Calibri" w:cs="Arial"/>
          <w:color w:val="000000"/>
          <w:lang w:eastAsia="en-US"/>
        </w:rPr>
        <w:t>bring</w:t>
      </w:r>
      <w:r w:rsidR="00B81834">
        <w:rPr>
          <w:rFonts w:eastAsia="Calibri" w:cs="Arial"/>
          <w:color w:val="000000"/>
          <w:lang w:eastAsia="en-US"/>
        </w:rPr>
        <w:t>s</w:t>
      </w:r>
      <w:r w:rsidR="00191911" w:rsidRPr="008C1392">
        <w:rPr>
          <w:rFonts w:eastAsia="Calibri" w:cs="Arial"/>
          <w:color w:val="000000"/>
          <w:lang w:eastAsia="en-US"/>
        </w:rPr>
        <w:t xml:space="preserve"> significant benefits for </w:t>
      </w:r>
      <w:r w:rsidR="00093B04" w:rsidRPr="008C1392">
        <w:rPr>
          <w:rFonts w:eastAsia="Calibri" w:cs="Arial"/>
          <w:color w:val="000000"/>
          <w:lang w:eastAsia="en-US"/>
        </w:rPr>
        <w:t xml:space="preserve">society. </w:t>
      </w:r>
      <w:r w:rsidR="007F456E">
        <w:rPr>
          <w:rFonts w:eastAsia="Calibri" w:cs="Arial"/>
          <w:color w:val="000000"/>
          <w:lang w:eastAsia="en-US"/>
        </w:rPr>
        <w:t>This Impact Assessment</w:t>
      </w:r>
      <w:r w:rsidR="00B81834">
        <w:rPr>
          <w:rFonts w:eastAsia="Calibri" w:cs="Arial"/>
          <w:color w:val="000000"/>
          <w:lang w:eastAsia="en-US"/>
        </w:rPr>
        <w:t xml:space="preserve"> </w:t>
      </w:r>
      <w:r w:rsidR="001C4454" w:rsidRPr="008C1392">
        <w:rPr>
          <w:rFonts w:eastAsia="Calibri" w:cs="Arial"/>
          <w:color w:val="000000"/>
          <w:lang w:eastAsia="en-US"/>
        </w:rPr>
        <w:t xml:space="preserve">does not </w:t>
      </w:r>
      <w:r w:rsidR="00C73A01" w:rsidRPr="008C1392">
        <w:rPr>
          <w:rFonts w:eastAsia="Calibri" w:cs="Arial"/>
          <w:color w:val="000000"/>
          <w:lang w:eastAsia="en-US"/>
        </w:rPr>
        <w:t xml:space="preserve">put forward the </w:t>
      </w:r>
      <w:r w:rsidR="00757ED0">
        <w:rPr>
          <w:rFonts w:eastAsia="Calibri" w:cs="Arial"/>
          <w:color w:val="000000"/>
          <w:lang w:eastAsia="en-US"/>
        </w:rPr>
        <w:t>g</w:t>
      </w:r>
      <w:r w:rsidR="007C6560">
        <w:rPr>
          <w:rFonts w:eastAsia="Calibri" w:cs="Arial"/>
          <w:color w:val="000000"/>
          <w:lang w:eastAsia="en-US"/>
        </w:rPr>
        <w:t>overnment</w:t>
      </w:r>
      <w:r w:rsidR="001C4454" w:rsidRPr="008C1392">
        <w:rPr>
          <w:rFonts w:eastAsia="Calibri" w:cs="Arial"/>
          <w:color w:val="000000"/>
          <w:lang w:eastAsia="en-US"/>
        </w:rPr>
        <w:t xml:space="preserve"> policies </w:t>
      </w:r>
      <w:r w:rsidR="00757ED0">
        <w:rPr>
          <w:rFonts w:eastAsia="Calibri" w:cs="Arial"/>
          <w:color w:val="000000"/>
          <w:lang w:eastAsia="en-US"/>
        </w:rPr>
        <w:t xml:space="preserve">needed </w:t>
      </w:r>
      <w:r w:rsidR="00B81834">
        <w:rPr>
          <w:rFonts w:eastAsia="Calibri" w:cs="Arial"/>
          <w:color w:val="000000"/>
          <w:lang w:eastAsia="en-US"/>
        </w:rPr>
        <w:t>to</w:t>
      </w:r>
      <w:r w:rsidR="001C4454" w:rsidRPr="008C1392">
        <w:rPr>
          <w:rFonts w:eastAsia="Calibri" w:cs="Arial"/>
          <w:color w:val="000000"/>
          <w:lang w:eastAsia="en-US"/>
        </w:rPr>
        <w:t xml:space="preserve"> meet the different sixth carbon budget options. It presents an illustrative assessment of possible pathways </w:t>
      </w:r>
      <w:r w:rsidR="000E6066">
        <w:rPr>
          <w:rFonts w:eastAsia="Calibri" w:cs="Arial"/>
          <w:color w:val="000000"/>
          <w:lang w:eastAsia="en-US"/>
        </w:rPr>
        <w:t xml:space="preserve">through the </w:t>
      </w:r>
      <w:r w:rsidR="00F60CC9">
        <w:rPr>
          <w:rFonts w:eastAsia="Calibri" w:cs="Arial"/>
          <w:color w:val="000000"/>
          <w:lang w:eastAsia="en-US"/>
        </w:rPr>
        <w:t xml:space="preserve">sixth carbon budget </w:t>
      </w:r>
      <w:r w:rsidR="000E6066">
        <w:rPr>
          <w:rFonts w:eastAsia="Calibri" w:cs="Arial"/>
          <w:color w:val="000000"/>
          <w:lang w:eastAsia="en-US"/>
        </w:rPr>
        <w:t xml:space="preserve">period </w:t>
      </w:r>
      <w:r w:rsidR="001C4454" w:rsidRPr="008C1392">
        <w:rPr>
          <w:rFonts w:eastAsia="Calibri" w:cs="Arial"/>
          <w:color w:val="000000"/>
          <w:lang w:eastAsia="en-US"/>
        </w:rPr>
        <w:t xml:space="preserve">to 2050, recognising the uncertainty whilst still allowing an assessment of the key costs, benefits, risks and opportunities of different budget levels. </w:t>
      </w:r>
    </w:p>
    <w:p w14:paraId="5D905D32" w14:textId="0266AE03" w:rsidR="001C4454" w:rsidRPr="001C4454" w:rsidRDefault="001C4454" w:rsidP="0071483C">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The </w:t>
      </w:r>
      <w:r w:rsidR="007C6560">
        <w:rPr>
          <w:rFonts w:eastAsia="Calibri" w:cs="Arial"/>
          <w:color w:val="000000"/>
          <w:lang w:eastAsia="en-US"/>
        </w:rPr>
        <w:t>government</w:t>
      </w:r>
      <w:r w:rsidRPr="001C4454">
        <w:rPr>
          <w:rFonts w:eastAsia="Calibri" w:cs="Arial"/>
          <w:color w:val="000000"/>
          <w:lang w:eastAsia="en-US"/>
        </w:rPr>
        <w:t xml:space="preserve"> will publish the Net Zero Strategy later this year</w:t>
      </w:r>
      <w:r w:rsidR="00782097" w:rsidRPr="00782097">
        <w:rPr>
          <w:rFonts w:eastAsia="Calibri" w:cs="Arial"/>
          <w:color w:val="000000"/>
          <w:lang w:eastAsia="en-US"/>
        </w:rPr>
        <w:t>, setting out</w:t>
      </w:r>
      <w:r w:rsidR="00C01204">
        <w:rPr>
          <w:rFonts w:eastAsia="Calibri" w:cs="Arial"/>
          <w:color w:val="000000"/>
          <w:lang w:eastAsia="en-US"/>
        </w:rPr>
        <w:t xml:space="preserve"> its</w:t>
      </w:r>
      <w:r w:rsidR="00782097" w:rsidRPr="00782097" w:rsidDel="00C01204">
        <w:rPr>
          <w:rFonts w:eastAsia="Calibri" w:cs="Arial"/>
          <w:color w:val="000000"/>
          <w:lang w:eastAsia="en-US"/>
        </w:rPr>
        <w:t xml:space="preserve"> </w:t>
      </w:r>
      <w:r w:rsidR="00782097" w:rsidRPr="00782097">
        <w:rPr>
          <w:rFonts w:eastAsia="Calibri" w:cs="Arial"/>
          <w:color w:val="000000"/>
          <w:lang w:eastAsia="en-US"/>
        </w:rPr>
        <w:t>vision for transitioning to a net zero economy.</w:t>
      </w:r>
      <w:r w:rsidRPr="001C4454">
        <w:rPr>
          <w:rFonts w:eastAsia="Calibri" w:cs="Arial"/>
          <w:color w:val="000000"/>
          <w:lang w:eastAsia="en-US"/>
        </w:rPr>
        <w:t xml:space="preserve"> This will build on the </w:t>
      </w:r>
      <w:r w:rsidR="001E3C4C">
        <w:rPr>
          <w:rFonts w:eastAsia="Calibri" w:cs="Arial"/>
          <w:color w:val="000000"/>
          <w:lang w:eastAsia="en-US"/>
        </w:rPr>
        <w:t>Prime Minister’s</w:t>
      </w:r>
      <w:r w:rsidR="008C329A">
        <w:rPr>
          <w:rFonts w:eastAsia="Calibri" w:cs="Arial"/>
          <w:color w:val="000000"/>
          <w:lang w:eastAsia="en-US"/>
        </w:rPr>
        <w:t xml:space="preserve"> </w:t>
      </w:r>
      <w:r w:rsidRPr="001C4454">
        <w:rPr>
          <w:rFonts w:eastAsia="Calibri" w:cs="Arial"/>
          <w:color w:val="000000"/>
          <w:lang w:eastAsia="en-US"/>
        </w:rPr>
        <w:t xml:space="preserve">Ten Point Plan for a </w:t>
      </w:r>
      <w:r w:rsidR="008C329A">
        <w:rPr>
          <w:rFonts w:eastAsia="Calibri" w:cs="Arial"/>
          <w:color w:val="000000"/>
          <w:lang w:eastAsia="en-US"/>
        </w:rPr>
        <w:t>G</w:t>
      </w:r>
      <w:r w:rsidRPr="001C4454">
        <w:rPr>
          <w:rFonts w:eastAsia="Calibri" w:cs="Arial"/>
          <w:color w:val="000000"/>
          <w:lang w:eastAsia="en-US"/>
        </w:rPr>
        <w:t xml:space="preserve">reen </w:t>
      </w:r>
      <w:r w:rsidR="008C329A">
        <w:rPr>
          <w:rFonts w:eastAsia="Calibri" w:cs="Arial"/>
          <w:color w:val="000000"/>
          <w:lang w:eastAsia="en-US"/>
        </w:rPr>
        <w:t>I</w:t>
      </w:r>
      <w:r w:rsidRPr="001C4454">
        <w:rPr>
          <w:rFonts w:eastAsia="Calibri" w:cs="Arial"/>
          <w:color w:val="000000"/>
          <w:lang w:eastAsia="en-US"/>
        </w:rPr>
        <w:t xml:space="preserve">ndustrial </w:t>
      </w:r>
      <w:r w:rsidR="008C329A">
        <w:rPr>
          <w:rFonts w:eastAsia="Calibri" w:cs="Arial"/>
          <w:color w:val="000000"/>
          <w:lang w:eastAsia="en-US"/>
        </w:rPr>
        <w:t>R</w:t>
      </w:r>
      <w:r w:rsidRPr="001C4454">
        <w:rPr>
          <w:rFonts w:eastAsia="Calibri" w:cs="Arial"/>
          <w:color w:val="000000"/>
          <w:lang w:eastAsia="en-US"/>
        </w:rPr>
        <w:t>evolution and ambitious plans across key sectors of the economy. These sectoral plans include the Energy White Paper published last December, the Industrial Decarbonisation Strategy</w:t>
      </w:r>
      <w:r w:rsidR="003E4FB7">
        <w:rPr>
          <w:rFonts w:eastAsia="Calibri" w:cs="Arial"/>
          <w:color w:val="000000"/>
          <w:lang w:eastAsia="en-US"/>
        </w:rPr>
        <w:t xml:space="preserve"> published in March</w:t>
      </w:r>
      <w:r w:rsidR="00641C21">
        <w:rPr>
          <w:rFonts w:eastAsia="Calibri" w:cs="Arial"/>
          <w:color w:val="000000"/>
          <w:lang w:eastAsia="en-US"/>
        </w:rPr>
        <w:t xml:space="preserve">, </w:t>
      </w:r>
      <w:r w:rsidRPr="001C4454">
        <w:rPr>
          <w:rFonts w:eastAsia="Calibri" w:cs="Arial"/>
          <w:color w:val="000000"/>
          <w:lang w:eastAsia="en-US"/>
        </w:rPr>
        <w:t>as well as the Transport Decarbonisation Plan</w:t>
      </w:r>
      <w:r w:rsidR="0092718D">
        <w:rPr>
          <w:rFonts w:eastAsia="Calibri" w:cs="Arial"/>
          <w:color w:val="000000"/>
          <w:lang w:eastAsia="en-US"/>
        </w:rPr>
        <w:t>, Hydrogen Strategy</w:t>
      </w:r>
      <w:r w:rsidR="004B7509">
        <w:rPr>
          <w:rFonts w:eastAsia="Calibri" w:cs="Arial"/>
          <w:color w:val="000000"/>
          <w:lang w:eastAsia="en-US"/>
        </w:rPr>
        <w:t xml:space="preserve"> </w:t>
      </w:r>
      <w:r w:rsidRPr="001C4454">
        <w:rPr>
          <w:rFonts w:eastAsia="Calibri" w:cs="Arial"/>
          <w:color w:val="000000"/>
          <w:lang w:eastAsia="en-US"/>
        </w:rPr>
        <w:t>and Heat and Building</w:t>
      </w:r>
      <w:r w:rsidR="00033950">
        <w:rPr>
          <w:rFonts w:eastAsia="Calibri" w:cs="Arial"/>
          <w:color w:val="000000"/>
          <w:lang w:eastAsia="en-US"/>
        </w:rPr>
        <w:t>s</w:t>
      </w:r>
      <w:r w:rsidRPr="001C4454">
        <w:rPr>
          <w:rFonts w:eastAsia="Calibri" w:cs="Arial"/>
          <w:color w:val="000000"/>
          <w:lang w:eastAsia="en-US"/>
        </w:rPr>
        <w:t xml:space="preserve"> Strategy </w:t>
      </w:r>
      <w:r w:rsidR="00804971">
        <w:rPr>
          <w:rFonts w:eastAsia="Calibri" w:cs="Arial"/>
          <w:color w:val="000000"/>
          <w:lang w:eastAsia="en-US"/>
        </w:rPr>
        <w:t>to</w:t>
      </w:r>
      <w:r w:rsidRPr="001C4454">
        <w:rPr>
          <w:rFonts w:eastAsia="Calibri" w:cs="Arial"/>
          <w:color w:val="000000"/>
          <w:lang w:eastAsia="en-US"/>
        </w:rPr>
        <w:t xml:space="preserve"> be published shortly.</w:t>
      </w:r>
      <w:r w:rsidR="00D60CB8">
        <w:rPr>
          <w:rFonts w:eastAsia="Calibri" w:cs="Arial"/>
          <w:color w:val="000000"/>
          <w:lang w:eastAsia="en-US"/>
        </w:rPr>
        <w:br/>
      </w:r>
    </w:p>
    <w:p w14:paraId="6AD69E21" w14:textId="77777777" w:rsidR="00B22E41" w:rsidRPr="001C4454" w:rsidRDefault="00B22E41" w:rsidP="0002119A">
      <w:pPr>
        <w:spacing w:after="240" w:line="259" w:lineRule="auto"/>
        <w:ind w:left="720"/>
        <w:rPr>
          <w:rFonts w:eastAsia="Calibri" w:cs="Arial"/>
          <w:color w:val="000000"/>
          <w:lang w:eastAsia="en-US"/>
        </w:rPr>
      </w:pPr>
    </w:p>
    <w:p w14:paraId="06543BFB" w14:textId="1A75C997" w:rsidR="001C4454" w:rsidRPr="00FD3C44" w:rsidRDefault="001C4454" w:rsidP="0071483C">
      <w:pPr>
        <w:pStyle w:val="Heading4"/>
        <w:spacing w:after="0"/>
        <w:rPr>
          <w:sz w:val="28"/>
          <w:szCs w:val="28"/>
          <w:lang w:eastAsia="en-US"/>
        </w:rPr>
      </w:pPr>
      <w:r w:rsidRPr="00FD3C44">
        <w:rPr>
          <w:sz w:val="28"/>
          <w:szCs w:val="28"/>
          <w:lang w:eastAsia="en-US"/>
        </w:rPr>
        <w:lastRenderedPageBreak/>
        <w:t>Analytical approach</w:t>
      </w:r>
      <w:r w:rsidR="00C16CDC">
        <w:rPr>
          <w:sz w:val="28"/>
          <w:szCs w:val="28"/>
          <w:lang w:eastAsia="en-US"/>
        </w:rPr>
        <w:br/>
      </w:r>
    </w:p>
    <w:p w14:paraId="688DC67A" w14:textId="77777777" w:rsidR="001C4454" w:rsidRPr="001C4454" w:rsidRDefault="001C4454" w:rsidP="00AE0883">
      <w:pPr>
        <w:numPr>
          <w:ilvl w:val="0"/>
          <w:numId w:val="489"/>
        </w:numPr>
        <w:spacing w:after="120" w:line="259" w:lineRule="auto"/>
        <w:rPr>
          <w:rFonts w:eastAsia="Calibri" w:cs="Arial"/>
          <w:color w:val="000000"/>
          <w:lang w:eastAsia="en-US"/>
        </w:rPr>
      </w:pPr>
      <w:r w:rsidRPr="001C4454">
        <w:rPr>
          <w:rFonts w:eastAsia="Calibri" w:cs="Arial"/>
          <w:color w:val="000000"/>
          <w:lang w:eastAsia="en-US"/>
        </w:rPr>
        <w:t>The analysis presents illustrative pathways to 2050, rather than forecasts or predictions. There is a great deal of uncertainty inherent in such analysis. In particular:</w:t>
      </w:r>
    </w:p>
    <w:p w14:paraId="3B5DC1CD" w14:textId="5239EE64" w:rsidR="00822E64" w:rsidRPr="00822E64" w:rsidRDefault="00BE7651" w:rsidP="006A0C4B">
      <w:pPr>
        <w:pStyle w:val="Bullets"/>
        <w:rPr>
          <w:rFonts w:eastAsia="Calibri" w:cs="Arial"/>
          <w:lang w:eastAsia="en-US"/>
        </w:rPr>
      </w:pPr>
      <w:r>
        <w:rPr>
          <w:rFonts w:eastAsia="Calibri" w:cs="Arial"/>
          <w:lang w:eastAsia="en-US"/>
        </w:rPr>
        <w:t>w</w:t>
      </w:r>
      <w:r w:rsidR="00822E64" w:rsidRPr="00822E64">
        <w:rPr>
          <w:rFonts w:eastAsia="Calibri" w:cs="Arial"/>
          <w:lang w:eastAsia="en-US"/>
        </w:rPr>
        <w:t xml:space="preserve">e are not able to account for </w:t>
      </w:r>
      <w:r w:rsidR="00A93CF9">
        <w:rPr>
          <w:rFonts w:eastAsia="Calibri" w:cs="Arial"/>
          <w:lang w:eastAsia="en-US"/>
        </w:rPr>
        <w:t xml:space="preserve">potential or as yet unknown future </w:t>
      </w:r>
      <w:r w:rsidR="00822E64" w:rsidRPr="00822E64">
        <w:rPr>
          <w:rFonts w:eastAsia="Calibri" w:cs="Arial"/>
          <w:lang w:eastAsia="en-US"/>
        </w:rPr>
        <w:t>structural changes to the economy, such as shifts in behavioural patterns after the COVID-19 pandemic, future macro-economic developments, or substantial changes in consumer preferences;</w:t>
      </w:r>
    </w:p>
    <w:p w14:paraId="12BE719E" w14:textId="7CD25788" w:rsidR="001C4454" w:rsidRPr="001C4454" w:rsidRDefault="00BE7651" w:rsidP="006A5238">
      <w:pPr>
        <w:pStyle w:val="Bullets"/>
        <w:spacing w:after="200"/>
        <w:rPr>
          <w:rFonts w:eastAsia="Calibri" w:cs="Arial"/>
          <w:lang w:eastAsia="en-US"/>
        </w:rPr>
      </w:pPr>
      <w:r w:rsidRPr="006A0C4B">
        <w:t>t</w:t>
      </w:r>
      <w:r w:rsidR="001C4454" w:rsidRPr="006A0C4B">
        <w:t xml:space="preserve">here is considerable uncertainty around </w:t>
      </w:r>
      <w:r w:rsidR="007F1786" w:rsidRPr="006A0C4B">
        <w:t xml:space="preserve">the </w:t>
      </w:r>
      <w:r w:rsidR="001C4454" w:rsidRPr="006A0C4B">
        <w:t xml:space="preserve">future of technologies, both </w:t>
      </w:r>
      <w:r w:rsidR="00AA2B0A">
        <w:t>in terms of</w:t>
      </w:r>
      <w:r w:rsidR="001C4454" w:rsidRPr="006A0C4B">
        <w:t xml:space="preserve"> the development and costs of existing known technologies and </w:t>
      </w:r>
      <w:r w:rsidR="00AA2B0A">
        <w:t xml:space="preserve">also </w:t>
      </w:r>
      <w:r w:rsidR="001C4454" w:rsidRPr="006A0C4B">
        <w:t xml:space="preserve">the impact of </w:t>
      </w:r>
      <w:r w:rsidR="001C4454" w:rsidRPr="001C4454">
        <w:rPr>
          <w:rFonts w:eastAsia="Calibri" w:cs="Arial"/>
          <w:lang w:eastAsia="en-US"/>
        </w:rPr>
        <w:t>unknown technological innovations.</w:t>
      </w:r>
    </w:p>
    <w:p w14:paraId="2F19845B" w14:textId="622299C2" w:rsidR="001C4454" w:rsidRPr="001C4454" w:rsidRDefault="001C4454" w:rsidP="006A5238">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These uncertainties </w:t>
      </w:r>
      <w:r w:rsidR="00A33614">
        <w:rPr>
          <w:rFonts w:eastAsia="Calibri" w:cs="Arial"/>
          <w:color w:val="000000"/>
          <w:lang w:eastAsia="en-US"/>
        </w:rPr>
        <w:t xml:space="preserve">will likely </w:t>
      </w:r>
      <w:r w:rsidRPr="001C4454">
        <w:rPr>
          <w:rFonts w:eastAsia="Calibri" w:cs="Arial"/>
          <w:color w:val="000000"/>
          <w:lang w:eastAsia="en-US"/>
        </w:rPr>
        <w:t xml:space="preserve">lead to different outcomes than </w:t>
      </w:r>
      <w:r w:rsidR="00A33614">
        <w:rPr>
          <w:rFonts w:eastAsia="Calibri" w:cs="Arial"/>
          <w:color w:val="000000"/>
          <w:lang w:eastAsia="en-US"/>
        </w:rPr>
        <w:t>the illustrative analysis</w:t>
      </w:r>
      <w:r w:rsidRPr="001C4454">
        <w:rPr>
          <w:rFonts w:eastAsia="Calibri" w:cs="Arial"/>
          <w:color w:val="000000"/>
          <w:lang w:eastAsia="en-US"/>
        </w:rPr>
        <w:t xml:space="preserve"> presented in this Impact Assessment</w:t>
      </w:r>
      <w:r w:rsidR="00A33614">
        <w:rPr>
          <w:rFonts w:eastAsia="Calibri" w:cs="Arial"/>
          <w:color w:val="000000"/>
          <w:lang w:eastAsia="en-US"/>
        </w:rPr>
        <w:t>. However,</w:t>
      </w:r>
      <w:r w:rsidRPr="001C4454">
        <w:rPr>
          <w:rFonts w:eastAsia="Calibri" w:cs="Arial"/>
          <w:color w:val="000000"/>
          <w:lang w:eastAsia="en-US"/>
        </w:rPr>
        <w:t xml:space="preserve"> the sensitivity analysis and range of factors considered provide a solid evidence base for making a decision on the level of the sixth carbon budget.</w:t>
      </w:r>
    </w:p>
    <w:p w14:paraId="53D18F4C" w14:textId="2B935738" w:rsidR="00C51A81" w:rsidRPr="00C51A81" w:rsidRDefault="00C51A81" w:rsidP="006A5238">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The CCC advise that the budget should be set on the basis of territorial UK emissions</w:t>
      </w:r>
      <w:r>
        <w:rPr>
          <w:rFonts w:eastAsia="Calibri" w:cs="Arial"/>
          <w:color w:val="000000"/>
          <w:lang w:eastAsia="en-US"/>
        </w:rPr>
        <w:t xml:space="preserve">; </w:t>
      </w:r>
      <w:r w:rsidRPr="001C4454">
        <w:rPr>
          <w:rFonts w:eastAsia="Calibri" w:cs="Arial"/>
          <w:color w:val="000000"/>
          <w:lang w:eastAsia="en-US"/>
        </w:rPr>
        <w:t>inclusive of emissions from international aviation and shipping (IAS)</w:t>
      </w:r>
      <w:r>
        <w:rPr>
          <w:rFonts w:eastAsia="Calibri" w:cs="Arial"/>
          <w:color w:val="000000"/>
          <w:lang w:eastAsia="en-US"/>
        </w:rPr>
        <w:t xml:space="preserve"> and</w:t>
      </w:r>
      <w:r w:rsidRPr="001C4454">
        <w:rPr>
          <w:rFonts w:eastAsia="Calibri" w:cs="Arial"/>
          <w:color w:val="000000"/>
          <w:lang w:eastAsia="en-US"/>
        </w:rPr>
        <w:t xml:space="preserve"> </w:t>
      </w:r>
      <w:r>
        <w:rPr>
          <w:rFonts w:eastAsia="Calibri" w:cs="Arial"/>
          <w:color w:val="000000"/>
          <w:lang w:eastAsia="en-US"/>
        </w:rPr>
        <w:t>wetlands;</w:t>
      </w:r>
      <w:r w:rsidRPr="001C4454">
        <w:rPr>
          <w:rFonts w:eastAsia="Calibri" w:cs="Arial"/>
          <w:color w:val="000000"/>
          <w:lang w:eastAsia="en-US"/>
        </w:rPr>
        <w:t xml:space="preserve"> and </w:t>
      </w:r>
      <w:r>
        <w:rPr>
          <w:rFonts w:eastAsia="Calibri" w:cs="Arial"/>
          <w:color w:val="000000"/>
          <w:lang w:eastAsia="en-US"/>
        </w:rPr>
        <w:t xml:space="preserve">using evidence on global warming potentials </w:t>
      </w:r>
      <w:r w:rsidR="007A3E0A">
        <w:rPr>
          <w:rFonts w:eastAsia="Calibri" w:cs="Arial"/>
          <w:color w:val="000000"/>
          <w:lang w:eastAsia="en-US"/>
        </w:rPr>
        <w:t xml:space="preserve">of </w:t>
      </w:r>
      <w:r w:rsidR="001E3C4C">
        <w:rPr>
          <w:rFonts w:eastAsia="Calibri" w:cs="Arial"/>
          <w:color w:val="000000"/>
          <w:lang w:eastAsia="en-US"/>
        </w:rPr>
        <w:t>GHG</w:t>
      </w:r>
      <w:r w:rsidR="00623C6D">
        <w:rPr>
          <w:rFonts w:eastAsia="Calibri" w:cs="Arial"/>
          <w:color w:val="000000"/>
          <w:lang w:eastAsia="en-US"/>
        </w:rPr>
        <w:t>s</w:t>
      </w:r>
      <w:r w:rsidR="007A3E0A">
        <w:rPr>
          <w:rFonts w:eastAsia="Calibri" w:cs="Arial"/>
          <w:color w:val="000000"/>
          <w:lang w:eastAsia="en-US"/>
        </w:rPr>
        <w:t xml:space="preserve"> </w:t>
      </w:r>
      <w:r>
        <w:rPr>
          <w:rFonts w:eastAsia="Calibri" w:cs="Arial"/>
          <w:color w:val="000000"/>
          <w:lang w:eastAsia="en-US"/>
        </w:rPr>
        <w:t xml:space="preserve">from </w:t>
      </w:r>
      <w:r w:rsidRPr="001C4454">
        <w:rPr>
          <w:rFonts w:eastAsia="Calibri" w:cs="Arial"/>
          <w:color w:val="000000"/>
          <w:lang w:eastAsia="en-US"/>
        </w:rPr>
        <w:t>the Inter</w:t>
      </w:r>
      <w:r w:rsidR="007C6560">
        <w:rPr>
          <w:rFonts w:eastAsia="Calibri" w:cs="Arial"/>
          <w:color w:val="000000"/>
          <w:lang w:eastAsia="en-US"/>
        </w:rPr>
        <w:t>government</w:t>
      </w:r>
      <w:r w:rsidRPr="001C4454">
        <w:rPr>
          <w:rFonts w:eastAsia="Calibri" w:cs="Arial"/>
          <w:color w:val="000000"/>
          <w:lang w:eastAsia="en-US"/>
        </w:rPr>
        <w:t>al Panel on Climate Change’s (IPCC) Fifth Assessment Report</w:t>
      </w:r>
      <w:r>
        <w:rPr>
          <w:rFonts w:eastAsia="Calibri" w:cs="Arial"/>
          <w:color w:val="000000"/>
          <w:lang w:eastAsia="en-US"/>
        </w:rPr>
        <w:t xml:space="preserve">. </w:t>
      </w:r>
      <w:r w:rsidRPr="002664F4">
        <w:rPr>
          <w:rFonts w:eastAsia="Calibri" w:cs="Arial"/>
          <w:color w:val="000000"/>
          <w:lang w:eastAsia="en-US"/>
        </w:rPr>
        <w:t>We have accepted this advice and all options for the sixth carbon budget considered are presented on this basis</w:t>
      </w:r>
      <w:r w:rsidRPr="00457BB6">
        <w:rPr>
          <w:rFonts w:eastAsia="Calibri" w:cs="Arial"/>
          <w:color w:val="000000"/>
          <w:lang w:eastAsia="en-US"/>
        </w:rPr>
        <w:t>.</w:t>
      </w:r>
    </w:p>
    <w:p w14:paraId="2B8E48F3" w14:textId="62864A0C" w:rsidR="001C4454" w:rsidRPr="001C4454" w:rsidRDefault="00416D9D" w:rsidP="006A5238">
      <w:pPr>
        <w:numPr>
          <w:ilvl w:val="0"/>
          <w:numId w:val="489"/>
        </w:numPr>
        <w:spacing w:after="200" w:line="259" w:lineRule="auto"/>
        <w:rPr>
          <w:rFonts w:eastAsia="Calibri" w:cs="Arial"/>
          <w:color w:val="000000"/>
          <w:lang w:eastAsia="en-US"/>
        </w:rPr>
      </w:pPr>
      <w:r>
        <w:rPr>
          <w:rFonts w:eastAsia="Calibri" w:cs="Arial"/>
          <w:color w:val="000000"/>
          <w:lang w:eastAsia="en-US"/>
        </w:rPr>
        <w:t>Apart from the “do nothing” option, t</w:t>
      </w:r>
      <w:r w:rsidR="001C4454" w:rsidRPr="001C4454">
        <w:rPr>
          <w:rFonts w:eastAsia="Calibri" w:cs="Arial"/>
          <w:color w:val="000000"/>
          <w:lang w:eastAsia="en-US"/>
        </w:rPr>
        <w:t>he analysis assumes that all emissions pathways to 2050 meet existing UK commitments. This includes the UK’s N</w:t>
      </w:r>
      <w:r w:rsidR="00E72B42">
        <w:rPr>
          <w:rFonts w:eastAsia="Calibri" w:cs="Arial"/>
          <w:color w:val="000000"/>
          <w:lang w:eastAsia="en-US"/>
        </w:rPr>
        <w:t xml:space="preserve">ationally </w:t>
      </w:r>
      <w:r w:rsidR="001C4454" w:rsidRPr="001C4454">
        <w:rPr>
          <w:rFonts w:eastAsia="Calibri" w:cs="Arial"/>
          <w:color w:val="000000"/>
          <w:lang w:eastAsia="en-US"/>
        </w:rPr>
        <w:t>D</w:t>
      </w:r>
      <w:r w:rsidR="00E72B42">
        <w:rPr>
          <w:rFonts w:eastAsia="Calibri" w:cs="Arial"/>
          <w:color w:val="000000"/>
          <w:lang w:eastAsia="en-US"/>
        </w:rPr>
        <w:t xml:space="preserve">etermined </w:t>
      </w:r>
      <w:r w:rsidR="001C4454" w:rsidRPr="001C4454">
        <w:rPr>
          <w:rFonts w:eastAsia="Calibri" w:cs="Arial"/>
          <w:color w:val="000000"/>
          <w:lang w:eastAsia="en-US"/>
        </w:rPr>
        <w:t>C</w:t>
      </w:r>
      <w:r w:rsidR="00E72B42">
        <w:rPr>
          <w:rFonts w:eastAsia="Calibri" w:cs="Arial"/>
          <w:color w:val="000000"/>
          <w:lang w:eastAsia="en-US"/>
        </w:rPr>
        <w:t>ontribution (</w:t>
      </w:r>
      <w:r w:rsidR="001C4454" w:rsidRPr="001C4454">
        <w:rPr>
          <w:rFonts w:eastAsia="Calibri" w:cs="Arial"/>
          <w:color w:val="000000"/>
          <w:lang w:eastAsia="en-US"/>
        </w:rPr>
        <w:t>NDC</w:t>
      </w:r>
      <w:r w:rsidR="00E72B42">
        <w:rPr>
          <w:rFonts w:eastAsia="Calibri" w:cs="Arial"/>
          <w:color w:val="000000"/>
          <w:lang w:eastAsia="en-US"/>
        </w:rPr>
        <w:t>)</w:t>
      </w:r>
      <w:r w:rsidR="001C4454" w:rsidRPr="001C4454">
        <w:rPr>
          <w:rFonts w:eastAsia="Calibri" w:cs="Arial"/>
          <w:color w:val="000000"/>
          <w:lang w:eastAsia="en-US"/>
        </w:rPr>
        <w:t xml:space="preserve"> </w:t>
      </w:r>
      <w:r w:rsidR="002F135A">
        <w:rPr>
          <w:rFonts w:eastAsia="Calibri" w:cs="Arial"/>
          <w:color w:val="000000"/>
          <w:lang w:eastAsia="en-US"/>
        </w:rPr>
        <w:t>to reduce</w:t>
      </w:r>
      <w:r w:rsidR="001C4454" w:rsidRPr="001C4454">
        <w:rPr>
          <w:rFonts w:eastAsia="Calibri" w:cs="Arial"/>
          <w:color w:val="000000"/>
          <w:lang w:eastAsia="en-US"/>
        </w:rPr>
        <w:t xml:space="preserve"> emissions </w:t>
      </w:r>
      <w:r w:rsidR="002F135A">
        <w:rPr>
          <w:rFonts w:eastAsia="Calibri" w:cs="Arial"/>
          <w:color w:val="000000"/>
          <w:lang w:eastAsia="en-US"/>
        </w:rPr>
        <w:t>by</w:t>
      </w:r>
      <w:r w:rsidR="001C4454" w:rsidRPr="001C4454">
        <w:rPr>
          <w:rFonts w:eastAsia="Calibri" w:cs="Arial"/>
          <w:color w:val="000000"/>
          <w:lang w:eastAsia="en-US"/>
        </w:rPr>
        <w:t xml:space="preserve"> at least 68% by 2030 compared to 1990 (excluding IAS emissions), which is more ambitious than the fifth carbon budget covering 2028-32. </w:t>
      </w:r>
      <w:r w:rsidR="00F100CE">
        <w:rPr>
          <w:rFonts w:eastAsia="Calibri" w:cs="Arial"/>
          <w:color w:val="000000"/>
          <w:lang w:eastAsia="en-US"/>
        </w:rPr>
        <w:t>The analysis</w:t>
      </w:r>
      <w:r w:rsidR="001C4454" w:rsidRPr="001C4454">
        <w:rPr>
          <w:rFonts w:eastAsia="Calibri" w:cs="Arial"/>
          <w:color w:val="000000"/>
          <w:lang w:eastAsia="en-US"/>
        </w:rPr>
        <w:t xml:space="preserve"> also assume</w:t>
      </w:r>
      <w:r w:rsidR="00F100CE">
        <w:rPr>
          <w:rFonts w:eastAsia="Calibri" w:cs="Arial"/>
          <w:color w:val="000000"/>
          <w:lang w:eastAsia="en-US"/>
        </w:rPr>
        <w:t>s</w:t>
      </w:r>
      <w:r w:rsidR="001C4454" w:rsidRPr="001C4454">
        <w:rPr>
          <w:rFonts w:eastAsia="Calibri" w:cs="Arial"/>
          <w:color w:val="000000"/>
          <w:lang w:eastAsia="en-US"/>
        </w:rPr>
        <w:t xml:space="preserve"> </w:t>
      </w:r>
      <w:r w:rsidR="00F100CE">
        <w:rPr>
          <w:rFonts w:eastAsia="Calibri" w:cs="Arial"/>
          <w:color w:val="000000"/>
          <w:lang w:eastAsia="en-US"/>
        </w:rPr>
        <w:t>emissions</w:t>
      </w:r>
      <w:r w:rsidR="001C4454" w:rsidRPr="001C4454">
        <w:rPr>
          <w:rFonts w:eastAsia="Calibri" w:cs="Arial"/>
          <w:color w:val="000000"/>
          <w:lang w:eastAsia="en-US"/>
        </w:rPr>
        <w:t xml:space="preserve"> decline linearly from the end of the sixth carbon budget to reach the legislated target of net zero emissions by 2050. Not all cost</w:t>
      </w:r>
      <w:r w:rsidR="000855CE">
        <w:rPr>
          <w:rFonts w:eastAsia="Calibri" w:cs="Arial"/>
          <w:color w:val="000000"/>
          <w:lang w:eastAsia="en-US"/>
        </w:rPr>
        <w:t>s</w:t>
      </w:r>
      <w:r w:rsidR="001C4454" w:rsidRPr="001C4454">
        <w:rPr>
          <w:rFonts w:eastAsia="Calibri" w:cs="Arial"/>
          <w:color w:val="000000"/>
          <w:lang w:eastAsia="en-US"/>
        </w:rPr>
        <w:t xml:space="preserve"> and benefits presented are additional to current </w:t>
      </w:r>
      <w:r w:rsidR="007C6560">
        <w:rPr>
          <w:rFonts w:eastAsia="Calibri" w:cs="Arial"/>
          <w:color w:val="000000"/>
          <w:lang w:eastAsia="en-US"/>
        </w:rPr>
        <w:t>government</w:t>
      </w:r>
      <w:r w:rsidR="001C4454" w:rsidRPr="001C4454">
        <w:rPr>
          <w:rFonts w:eastAsia="Calibri" w:cs="Arial"/>
          <w:color w:val="000000"/>
          <w:lang w:eastAsia="en-US"/>
        </w:rPr>
        <w:t xml:space="preserve"> ambition or policy plans, but this does not impact the</w:t>
      </w:r>
      <w:r w:rsidR="001C4454" w:rsidRPr="001C4454">
        <w:rPr>
          <w:rFonts w:eastAsia="Calibri" w:cs="Arial"/>
          <w:i/>
          <w:color w:val="000000"/>
          <w:lang w:eastAsia="en-US"/>
        </w:rPr>
        <w:t xml:space="preserve"> relative</w:t>
      </w:r>
      <w:r w:rsidR="001C4454" w:rsidRPr="001C4454">
        <w:rPr>
          <w:rFonts w:eastAsia="Calibri" w:cs="Arial"/>
          <w:color w:val="000000"/>
          <w:lang w:eastAsia="en-US"/>
        </w:rPr>
        <w:t xml:space="preserve"> difference in cost</w:t>
      </w:r>
      <w:r w:rsidR="000855CE">
        <w:rPr>
          <w:rFonts w:eastAsia="Calibri" w:cs="Arial"/>
          <w:color w:val="000000"/>
          <w:lang w:eastAsia="en-US"/>
        </w:rPr>
        <w:t>s</w:t>
      </w:r>
      <w:r w:rsidR="001C4454" w:rsidRPr="001C4454">
        <w:rPr>
          <w:rFonts w:eastAsia="Calibri" w:cs="Arial"/>
          <w:color w:val="000000"/>
          <w:lang w:eastAsia="en-US"/>
        </w:rPr>
        <w:t xml:space="preserve"> and benefits between options for the sixth carbon budget</w:t>
      </w:r>
      <w:r w:rsidR="00E72B42">
        <w:rPr>
          <w:rFonts w:eastAsia="Calibri" w:cs="Arial"/>
          <w:color w:val="000000"/>
          <w:lang w:eastAsia="en-US"/>
        </w:rPr>
        <w:t>.</w:t>
      </w:r>
    </w:p>
    <w:p w14:paraId="45EAA036" w14:textId="09A5A4F5" w:rsidR="00684143" w:rsidRPr="00A34898" w:rsidRDefault="001C4454" w:rsidP="00684143">
      <w:pPr>
        <w:numPr>
          <w:ilvl w:val="0"/>
          <w:numId w:val="489"/>
        </w:numPr>
        <w:spacing w:after="160" w:line="259" w:lineRule="auto"/>
        <w:rPr>
          <w:rFonts w:eastAsia="Calibri" w:cs="Arial"/>
          <w:color w:val="000000"/>
          <w:lang w:eastAsia="en-US"/>
        </w:rPr>
      </w:pPr>
      <w:r w:rsidRPr="001C4454">
        <w:rPr>
          <w:rFonts w:eastAsia="Calibri" w:cs="Arial"/>
          <w:color w:val="000000"/>
          <w:lang w:eastAsia="en-US"/>
        </w:rPr>
        <w:t>Four options are considered, including a ‘do nothing’ baseline:</w:t>
      </w:r>
    </w:p>
    <w:p w14:paraId="08C69EFA" w14:textId="0F66E93E" w:rsidR="00684143" w:rsidRPr="00684143" w:rsidRDefault="00684143" w:rsidP="00684143">
      <w:pPr>
        <w:spacing w:after="160" w:line="259" w:lineRule="auto"/>
        <w:rPr>
          <w:rFonts w:eastAsia="Calibri" w:cs="Arial"/>
          <w:i/>
          <w:iCs/>
          <w:color w:val="000000"/>
          <w:lang w:eastAsia="en-US"/>
        </w:rPr>
      </w:pPr>
      <w:r>
        <w:rPr>
          <w:rFonts w:eastAsia="Calibri" w:cs="Arial"/>
          <w:i/>
          <w:iCs/>
          <w:color w:val="000000"/>
          <w:lang w:eastAsia="en-US"/>
        </w:rPr>
        <w:t xml:space="preserve">Table 1: </w:t>
      </w:r>
      <w:r w:rsidR="00280CCA">
        <w:rPr>
          <w:rFonts w:eastAsia="Calibri" w:cs="Arial"/>
          <w:i/>
          <w:iCs/>
          <w:color w:val="000000"/>
          <w:lang w:eastAsia="en-US"/>
        </w:rPr>
        <w:t>Shortlisted sixth carbon budget level options</w:t>
      </w:r>
    </w:p>
    <w:tbl>
      <w:tblPr>
        <w:tblStyle w:val="TableGrid"/>
        <w:tblW w:w="9927" w:type="dxa"/>
        <w:tblInd w:w="416" w:type="dxa"/>
        <w:tblLook w:val="04A0" w:firstRow="1" w:lastRow="0" w:firstColumn="1" w:lastColumn="0" w:noHBand="0" w:noVBand="1"/>
      </w:tblPr>
      <w:tblGrid>
        <w:gridCol w:w="1139"/>
        <w:gridCol w:w="4394"/>
        <w:gridCol w:w="2410"/>
        <w:gridCol w:w="1984"/>
      </w:tblGrid>
      <w:tr w:rsidR="001C4454" w:rsidRPr="001C4454" w14:paraId="682A1594" w14:textId="77777777" w:rsidTr="00AE0883">
        <w:trPr>
          <w:trHeight w:val="523"/>
        </w:trPr>
        <w:tc>
          <w:tcPr>
            <w:tcW w:w="1139" w:type="dxa"/>
          </w:tcPr>
          <w:p w14:paraId="5F7E6FA3" w14:textId="77777777" w:rsidR="001C4454" w:rsidRPr="006A0C4B" w:rsidRDefault="001C4454" w:rsidP="002664F4">
            <w:pPr>
              <w:spacing w:after="160"/>
              <w:rPr>
                <w:rFonts w:eastAsia="Calibri" w:cs="Arial"/>
                <w:color w:val="000000"/>
                <w:sz w:val="22"/>
                <w:szCs w:val="22"/>
                <w:lang w:eastAsia="en-US"/>
              </w:rPr>
            </w:pPr>
          </w:p>
        </w:tc>
        <w:tc>
          <w:tcPr>
            <w:tcW w:w="4394" w:type="dxa"/>
          </w:tcPr>
          <w:p w14:paraId="108D9CE8" w14:textId="77777777" w:rsidR="001C4454" w:rsidRPr="006A0C4B" w:rsidRDefault="001C4454" w:rsidP="002664F4">
            <w:pPr>
              <w:spacing w:before="60" w:after="60"/>
              <w:rPr>
                <w:rFonts w:eastAsia="Calibri" w:cs="Arial"/>
                <w:b/>
                <w:color w:val="000000"/>
                <w:sz w:val="22"/>
                <w:szCs w:val="22"/>
                <w:lang w:eastAsia="en-US"/>
              </w:rPr>
            </w:pPr>
            <w:r w:rsidRPr="006A0C4B">
              <w:rPr>
                <w:rFonts w:eastAsia="Calibri" w:cs="Arial"/>
                <w:b/>
                <w:color w:val="000000"/>
                <w:sz w:val="22"/>
                <w:szCs w:val="22"/>
                <w:lang w:eastAsia="en-US"/>
              </w:rPr>
              <w:t>Description</w:t>
            </w:r>
          </w:p>
        </w:tc>
        <w:tc>
          <w:tcPr>
            <w:tcW w:w="2410" w:type="dxa"/>
          </w:tcPr>
          <w:p w14:paraId="23C917D8" w14:textId="77777777" w:rsidR="001C4454" w:rsidRPr="006A0C4B" w:rsidRDefault="001C4454" w:rsidP="002664F4">
            <w:pPr>
              <w:spacing w:before="60" w:after="60"/>
              <w:rPr>
                <w:rFonts w:eastAsia="Calibri" w:cs="Arial"/>
                <w:b/>
                <w:color w:val="000000"/>
                <w:sz w:val="22"/>
                <w:szCs w:val="22"/>
                <w:lang w:eastAsia="en-US"/>
              </w:rPr>
            </w:pPr>
            <w:r w:rsidRPr="006A0C4B">
              <w:rPr>
                <w:rFonts w:eastAsia="Calibri" w:cs="Arial"/>
                <w:b/>
                <w:color w:val="000000"/>
                <w:sz w:val="22"/>
                <w:szCs w:val="22"/>
                <w:lang w:eastAsia="en-US"/>
              </w:rPr>
              <w:t>Sixth carbon budget level (MtCO</w:t>
            </w:r>
            <w:r w:rsidRPr="006A0C4B">
              <w:rPr>
                <w:rFonts w:eastAsia="Calibri" w:cs="Arial"/>
                <w:b/>
                <w:color w:val="000000"/>
                <w:sz w:val="22"/>
                <w:szCs w:val="22"/>
                <w:vertAlign w:val="subscript"/>
                <w:lang w:eastAsia="en-US"/>
              </w:rPr>
              <w:t>2</w:t>
            </w:r>
            <w:r w:rsidRPr="006A0C4B">
              <w:rPr>
                <w:rFonts w:eastAsia="Calibri" w:cs="Arial"/>
                <w:b/>
                <w:color w:val="000000"/>
                <w:sz w:val="22"/>
                <w:szCs w:val="22"/>
                <w:lang w:eastAsia="en-US"/>
              </w:rPr>
              <w:t>e)</w:t>
            </w:r>
          </w:p>
        </w:tc>
        <w:tc>
          <w:tcPr>
            <w:tcW w:w="1984" w:type="dxa"/>
          </w:tcPr>
          <w:p w14:paraId="74A48FB5" w14:textId="77777777" w:rsidR="001C4454" w:rsidRPr="006A0C4B" w:rsidRDefault="001C4454" w:rsidP="002664F4">
            <w:pPr>
              <w:spacing w:before="60" w:after="60"/>
              <w:rPr>
                <w:rFonts w:eastAsia="Calibri" w:cs="Arial"/>
                <w:b/>
                <w:color w:val="000000"/>
                <w:sz w:val="22"/>
                <w:szCs w:val="22"/>
                <w:lang w:eastAsia="en-US"/>
              </w:rPr>
            </w:pPr>
            <w:r w:rsidRPr="006A0C4B">
              <w:rPr>
                <w:rFonts w:eastAsia="Calibri" w:cs="Arial"/>
                <w:b/>
                <w:color w:val="000000"/>
                <w:sz w:val="22"/>
                <w:szCs w:val="22"/>
                <w:lang w:eastAsia="en-US"/>
              </w:rPr>
              <w:t>Reduction in 2035 from 1990</w:t>
            </w:r>
            <w:r w:rsidRPr="006A0C4B">
              <w:rPr>
                <w:rFonts w:eastAsia="Calibri" w:cs="Arial"/>
                <w:b/>
                <w:color w:val="000000"/>
                <w:sz w:val="22"/>
                <w:szCs w:val="22"/>
                <w:vertAlign w:val="superscript"/>
                <w:lang w:eastAsia="en-US"/>
              </w:rPr>
              <w:footnoteReference w:id="3"/>
            </w:r>
          </w:p>
        </w:tc>
      </w:tr>
      <w:tr w:rsidR="001C4454" w:rsidRPr="001C4454" w14:paraId="3CFE4249" w14:textId="77777777" w:rsidTr="00AE0883">
        <w:trPr>
          <w:trHeight w:val="516"/>
        </w:trPr>
        <w:tc>
          <w:tcPr>
            <w:tcW w:w="1139" w:type="dxa"/>
          </w:tcPr>
          <w:p w14:paraId="318AAE4D" w14:textId="77777777" w:rsidR="001C4454" w:rsidRPr="006A0C4B" w:rsidRDefault="001C4454" w:rsidP="002664F4">
            <w:pPr>
              <w:spacing w:before="80" w:after="80"/>
              <w:rPr>
                <w:rFonts w:eastAsia="Calibri" w:cs="Arial"/>
                <w:b/>
                <w:color w:val="000000"/>
                <w:sz w:val="22"/>
                <w:szCs w:val="22"/>
                <w:lang w:eastAsia="en-US"/>
              </w:rPr>
            </w:pPr>
            <w:r w:rsidRPr="006A0C4B">
              <w:rPr>
                <w:rFonts w:eastAsia="Calibri" w:cs="Arial"/>
                <w:b/>
                <w:color w:val="000000"/>
                <w:sz w:val="22"/>
                <w:szCs w:val="22"/>
                <w:lang w:eastAsia="en-US"/>
              </w:rPr>
              <w:t>Option 1</w:t>
            </w:r>
          </w:p>
        </w:tc>
        <w:tc>
          <w:tcPr>
            <w:tcW w:w="4394" w:type="dxa"/>
          </w:tcPr>
          <w:p w14:paraId="304D8A27"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Do Nothing Baseline (non-binding sixth carbon budget)</w:t>
            </w:r>
          </w:p>
        </w:tc>
        <w:tc>
          <w:tcPr>
            <w:tcW w:w="2410" w:type="dxa"/>
          </w:tcPr>
          <w:p w14:paraId="29B9CD44" w14:textId="63C8C468"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2100</w:t>
            </w:r>
          </w:p>
        </w:tc>
        <w:tc>
          <w:tcPr>
            <w:tcW w:w="1984" w:type="dxa"/>
          </w:tcPr>
          <w:p w14:paraId="58046E09"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53%</w:t>
            </w:r>
          </w:p>
        </w:tc>
      </w:tr>
      <w:tr w:rsidR="001C4454" w:rsidRPr="001C4454" w14:paraId="0FD030B5" w14:textId="77777777" w:rsidTr="00AE0883">
        <w:trPr>
          <w:trHeight w:val="532"/>
        </w:trPr>
        <w:tc>
          <w:tcPr>
            <w:tcW w:w="1139" w:type="dxa"/>
          </w:tcPr>
          <w:p w14:paraId="0141BD65" w14:textId="77777777" w:rsidR="001C4454" w:rsidRPr="006A0C4B" w:rsidRDefault="001C4454" w:rsidP="002664F4">
            <w:pPr>
              <w:spacing w:before="80" w:after="80"/>
              <w:rPr>
                <w:rFonts w:eastAsia="Calibri" w:cs="Arial"/>
                <w:b/>
                <w:color w:val="000000"/>
                <w:sz w:val="22"/>
                <w:szCs w:val="22"/>
                <w:lang w:eastAsia="en-US"/>
              </w:rPr>
            </w:pPr>
            <w:r w:rsidRPr="006A0C4B">
              <w:rPr>
                <w:rFonts w:eastAsia="Calibri" w:cs="Arial"/>
                <w:b/>
                <w:color w:val="000000"/>
                <w:sz w:val="22"/>
                <w:szCs w:val="22"/>
                <w:lang w:eastAsia="en-US"/>
              </w:rPr>
              <w:t>Option 2</w:t>
            </w:r>
          </w:p>
        </w:tc>
        <w:tc>
          <w:tcPr>
            <w:tcW w:w="4394" w:type="dxa"/>
          </w:tcPr>
          <w:p w14:paraId="520B7B1F" w14:textId="665C6F43"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Looser budget option</w:t>
            </w:r>
            <w:r w:rsidR="001224EC">
              <w:rPr>
                <w:rFonts w:eastAsia="Calibri" w:cs="Arial"/>
                <w:color w:val="000000"/>
                <w:sz w:val="22"/>
                <w:szCs w:val="22"/>
                <w:lang w:eastAsia="en-US"/>
              </w:rPr>
              <w:t xml:space="preserve"> (</w:t>
            </w:r>
            <w:r w:rsidRPr="006A0C4B">
              <w:rPr>
                <w:rFonts w:eastAsia="Calibri" w:cs="Arial"/>
                <w:color w:val="000000"/>
                <w:sz w:val="22"/>
                <w:szCs w:val="22"/>
                <w:lang w:eastAsia="en-US"/>
              </w:rPr>
              <w:t>in line with CCC’s ‘headwinds’ scenario</w:t>
            </w:r>
            <w:r w:rsidR="001224EC">
              <w:rPr>
                <w:rFonts w:eastAsia="Calibri" w:cs="Arial"/>
                <w:color w:val="000000"/>
                <w:sz w:val="22"/>
                <w:szCs w:val="22"/>
                <w:lang w:eastAsia="en-US"/>
              </w:rPr>
              <w:t>)</w:t>
            </w:r>
          </w:p>
        </w:tc>
        <w:tc>
          <w:tcPr>
            <w:tcW w:w="2410" w:type="dxa"/>
          </w:tcPr>
          <w:p w14:paraId="1D7F2D48"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1105</w:t>
            </w:r>
          </w:p>
        </w:tc>
        <w:tc>
          <w:tcPr>
            <w:tcW w:w="1984" w:type="dxa"/>
          </w:tcPr>
          <w:p w14:paraId="32F8DA01"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75%</w:t>
            </w:r>
          </w:p>
        </w:tc>
      </w:tr>
      <w:tr w:rsidR="001C4454" w:rsidRPr="001C4454" w14:paraId="11536505" w14:textId="77777777" w:rsidTr="00AE0883">
        <w:trPr>
          <w:trHeight w:val="348"/>
        </w:trPr>
        <w:tc>
          <w:tcPr>
            <w:tcW w:w="1139" w:type="dxa"/>
          </w:tcPr>
          <w:p w14:paraId="40E94926" w14:textId="77777777" w:rsidR="001C4454" w:rsidRPr="006A0C4B" w:rsidRDefault="001C4454" w:rsidP="002664F4">
            <w:pPr>
              <w:spacing w:before="80" w:after="80"/>
              <w:rPr>
                <w:rFonts w:eastAsia="Calibri" w:cs="Arial"/>
                <w:b/>
                <w:color w:val="000000"/>
                <w:sz w:val="22"/>
                <w:szCs w:val="22"/>
                <w:lang w:eastAsia="en-US"/>
              </w:rPr>
            </w:pPr>
            <w:r w:rsidRPr="006A0C4B">
              <w:rPr>
                <w:rFonts w:eastAsia="Calibri" w:cs="Arial"/>
                <w:b/>
                <w:color w:val="000000"/>
                <w:sz w:val="22"/>
                <w:szCs w:val="22"/>
                <w:lang w:eastAsia="en-US"/>
              </w:rPr>
              <w:t>Option 3</w:t>
            </w:r>
          </w:p>
        </w:tc>
        <w:tc>
          <w:tcPr>
            <w:tcW w:w="4394" w:type="dxa"/>
          </w:tcPr>
          <w:p w14:paraId="50A815E3" w14:textId="4F3BFA8D"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 xml:space="preserve">CCC’s recommend budget </w:t>
            </w:r>
          </w:p>
        </w:tc>
        <w:tc>
          <w:tcPr>
            <w:tcW w:w="2410" w:type="dxa"/>
          </w:tcPr>
          <w:p w14:paraId="5B5C928F"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965</w:t>
            </w:r>
          </w:p>
        </w:tc>
        <w:tc>
          <w:tcPr>
            <w:tcW w:w="1984" w:type="dxa"/>
          </w:tcPr>
          <w:p w14:paraId="096F63C6"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78%</w:t>
            </w:r>
          </w:p>
        </w:tc>
      </w:tr>
      <w:tr w:rsidR="001C4454" w:rsidRPr="001C4454" w14:paraId="638F29E9" w14:textId="77777777" w:rsidTr="00AE0883">
        <w:trPr>
          <w:trHeight w:val="690"/>
        </w:trPr>
        <w:tc>
          <w:tcPr>
            <w:tcW w:w="1139" w:type="dxa"/>
          </w:tcPr>
          <w:p w14:paraId="47572C3C" w14:textId="77777777" w:rsidR="001C4454" w:rsidRPr="006A0C4B" w:rsidRDefault="001C4454" w:rsidP="002664F4">
            <w:pPr>
              <w:spacing w:before="80" w:after="80"/>
              <w:rPr>
                <w:rFonts w:eastAsia="Calibri" w:cs="Arial"/>
                <w:b/>
                <w:color w:val="000000"/>
                <w:sz w:val="22"/>
                <w:szCs w:val="22"/>
                <w:lang w:eastAsia="en-US"/>
              </w:rPr>
            </w:pPr>
            <w:r w:rsidRPr="006A0C4B">
              <w:rPr>
                <w:rFonts w:eastAsia="Calibri" w:cs="Arial"/>
                <w:b/>
                <w:color w:val="000000"/>
                <w:sz w:val="22"/>
                <w:szCs w:val="22"/>
                <w:lang w:eastAsia="en-US"/>
              </w:rPr>
              <w:t>Option 4</w:t>
            </w:r>
          </w:p>
        </w:tc>
        <w:tc>
          <w:tcPr>
            <w:tcW w:w="4394" w:type="dxa"/>
          </w:tcPr>
          <w:p w14:paraId="7648D535" w14:textId="032550E2"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Tighter budget option</w:t>
            </w:r>
            <w:r w:rsidR="001224EC">
              <w:rPr>
                <w:rFonts w:eastAsia="Calibri" w:cs="Arial"/>
                <w:color w:val="000000"/>
                <w:sz w:val="22"/>
                <w:szCs w:val="22"/>
                <w:lang w:eastAsia="en-US"/>
              </w:rPr>
              <w:t xml:space="preserve"> (</w:t>
            </w:r>
            <w:r w:rsidRPr="006A0C4B">
              <w:rPr>
                <w:rFonts w:eastAsia="Calibri" w:cs="Arial"/>
                <w:color w:val="000000"/>
                <w:sz w:val="22"/>
                <w:szCs w:val="22"/>
                <w:lang w:eastAsia="en-US"/>
              </w:rPr>
              <w:t>in line with CCC’s ‘widespread innovation’ scenario</w:t>
            </w:r>
            <w:r w:rsidR="001224EC">
              <w:rPr>
                <w:rFonts w:eastAsia="Calibri" w:cs="Arial"/>
                <w:color w:val="000000"/>
                <w:sz w:val="22"/>
                <w:szCs w:val="22"/>
                <w:lang w:eastAsia="en-US"/>
              </w:rPr>
              <w:t>)</w:t>
            </w:r>
          </w:p>
        </w:tc>
        <w:tc>
          <w:tcPr>
            <w:tcW w:w="2410" w:type="dxa"/>
          </w:tcPr>
          <w:p w14:paraId="6328432B"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885</w:t>
            </w:r>
          </w:p>
        </w:tc>
        <w:tc>
          <w:tcPr>
            <w:tcW w:w="1984" w:type="dxa"/>
          </w:tcPr>
          <w:p w14:paraId="1AA5BEA3" w14:textId="77777777" w:rsidR="001C4454" w:rsidRPr="006A0C4B" w:rsidRDefault="001C4454" w:rsidP="002664F4">
            <w:pPr>
              <w:spacing w:before="80" w:after="80"/>
              <w:rPr>
                <w:rFonts w:eastAsia="Calibri" w:cs="Arial"/>
                <w:color w:val="000000"/>
                <w:sz w:val="22"/>
                <w:szCs w:val="22"/>
                <w:lang w:eastAsia="en-US"/>
              </w:rPr>
            </w:pPr>
            <w:r w:rsidRPr="006A0C4B">
              <w:rPr>
                <w:rFonts w:eastAsia="Calibri" w:cs="Arial"/>
                <w:color w:val="000000"/>
                <w:sz w:val="22"/>
                <w:szCs w:val="22"/>
                <w:lang w:eastAsia="en-US"/>
              </w:rPr>
              <w:t>80%</w:t>
            </w:r>
          </w:p>
        </w:tc>
      </w:tr>
    </w:tbl>
    <w:p w14:paraId="6D0CA0DD" w14:textId="771AA552" w:rsidR="00822E64" w:rsidRPr="00FD3C44" w:rsidRDefault="00822E64" w:rsidP="0071483C">
      <w:pPr>
        <w:pStyle w:val="Heading4"/>
        <w:spacing w:after="200"/>
        <w:rPr>
          <w:rFonts w:eastAsia="Calibri" w:cs="Arial"/>
          <w:b w:val="0"/>
          <w:szCs w:val="24"/>
          <w:lang w:eastAsia="en-US"/>
        </w:rPr>
      </w:pPr>
      <w:r w:rsidRPr="00FD3C44">
        <w:rPr>
          <w:szCs w:val="24"/>
          <w:lang w:eastAsia="en-US"/>
        </w:rPr>
        <w:lastRenderedPageBreak/>
        <w:t xml:space="preserve">Assessment </w:t>
      </w:r>
      <w:r w:rsidR="00E22895" w:rsidRPr="00FD3C44">
        <w:rPr>
          <w:szCs w:val="24"/>
          <w:lang w:eastAsia="en-US"/>
        </w:rPr>
        <w:t>of options</w:t>
      </w:r>
    </w:p>
    <w:p w14:paraId="64684911" w14:textId="07A0F71F" w:rsidR="001C4454" w:rsidRPr="001C4454" w:rsidRDefault="001C4454" w:rsidP="009C339C">
      <w:pPr>
        <w:numPr>
          <w:ilvl w:val="0"/>
          <w:numId w:val="489"/>
        </w:numPr>
        <w:spacing w:after="240" w:line="259" w:lineRule="auto"/>
        <w:rPr>
          <w:rFonts w:eastAsia="Calibri" w:cs="Arial"/>
          <w:color w:val="000000"/>
          <w:lang w:eastAsia="en-US"/>
        </w:rPr>
      </w:pPr>
      <w:r w:rsidRPr="001C4454">
        <w:rPr>
          <w:rFonts w:eastAsia="Calibri" w:cs="Arial"/>
          <w:color w:val="000000"/>
          <w:lang w:eastAsia="en-US"/>
        </w:rPr>
        <w:t xml:space="preserve">The Impact Assessment analyses the different options </w:t>
      </w:r>
      <w:r w:rsidR="009C339C">
        <w:rPr>
          <w:rFonts w:eastAsia="Calibri" w:cs="Arial"/>
          <w:color w:val="000000"/>
          <w:lang w:eastAsia="en-US"/>
        </w:rPr>
        <w:t>based on</w:t>
      </w:r>
      <w:r w:rsidRPr="001C4454">
        <w:rPr>
          <w:rFonts w:eastAsia="Calibri" w:cs="Arial"/>
          <w:color w:val="000000"/>
          <w:lang w:eastAsia="en-US"/>
        </w:rPr>
        <w:t xml:space="preserve"> a holistic framework fulfilling the requirements of the Climate Change Act across five criteria. The findings are summarised below.</w:t>
      </w:r>
    </w:p>
    <w:p w14:paraId="0FC7FFD9" w14:textId="77777777" w:rsidR="001C4454" w:rsidRPr="001C4454" w:rsidRDefault="001C4454" w:rsidP="0071483C">
      <w:pPr>
        <w:spacing w:after="200" w:line="259" w:lineRule="auto"/>
        <w:rPr>
          <w:rFonts w:eastAsia="Calibri" w:cs="Arial"/>
          <w:b/>
          <w:bCs/>
          <w:i/>
          <w:iCs/>
          <w:color w:val="000000"/>
          <w:lang w:eastAsia="en-US"/>
        </w:rPr>
      </w:pPr>
      <w:r w:rsidRPr="001C4454">
        <w:rPr>
          <w:rFonts w:eastAsia="Calibri" w:cs="Arial"/>
          <w:b/>
          <w:i/>
          <w:color w:val="000000"/>
          <w:lang w:eastAsia="en-US"/>
        </w:rPr>
        <w:t>1) Long-term pathways and technological feasibility</w:t>
      </w:r>
    </w:p>
    <w:p w14:paraId="06AEE62D" w14:textId="4312EE97" w:rsidR="001C4454" w:rsidRPr="001C4454" w:rsidRDefault="001C4454" w:rsidP="00F2009F">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This criterion focuses on the extent to which the different options are consistent with least-cost technology mixes in 2050, including </w:t>
      </w:r>
      <w:r w:rsidR="00431275">
        <w:rPr>
          <w:rFonts w:eastAsia="Calibri" w:cs="Arial"/>
          <w:color w:val="000000"/>
          <w:lang w:eastAsia="en-US"/>
        </w:rPr>
        <w:t xml:space="preserve">what they imply for </w:t>
      </w:r>
      <w:r w:rsidRPr="001C4454">
        <w:rPr>
          <w:rFonts w:eastAsia="Calibri" w:cs="Arial"/>
          <w:color w:val="000000"/>
          <w:lang w:eastAsia="en-US"/>
        </w:rPr>
        <w:t>reliance on uncertain technologies or maximum feasible build rates. It should be noted</w:t>
      </w:r>
      <w:r w:rsidR="00BE2454">
        <w:rPr>
          <w:rFonts w:eastAsia="Calibri" w:cs="Arial"/>
          <w:color w:val="000000"/>
          <w:lang w:eastAsia="en-US"/>
        </w:rPr>
        <w:t>, however, that t</w:t>
      </w:r>
      <w:r w:rsidR="00BE2454" w:rsidRPr="00BE2454">
        <w:rPr>
          <w:rFonts w:eastAsia="Calibri" w:cs="Arial"/>
          <w:color w:val="000000"/>
          <w:lang w:eastAsia="en-US"/>
        </w:rPr>
        <w:t xml:space="preserve">he cost-optimal technology and energy mix is more affected by the uncertainty arising from technology and resource </w:t>
      </w:r>
      <w:r w:rsidR="00514C58">
        <w:rPr>
          <w:rFonts w:eastAsia="Calibri" w:cs="Arial"/>
          <w:color w:val="000000"/>
          <w:lang w:eastAsia="en-US"/>
        </w:rPr>
        <w:t>availability</w:t>
      </w:r>
      <w:r w:rsidR="00BE2454" w:rsidRPr="00BE2454">
        <w:rPr>
          <w:rFonts w:eastAsia="Calibri" w:cs="Arial"/>
          <w:color w:val="000000"/>
          <w:lang w:eastAsia="en-US"/>
        </w:rPr>
        <w:t xml:space="preserve"> than by the choice of the </w:t>
      </w:r>
      <w:r w:rsidR="00BE2454">
        <w:rPr>
          <w:rFonts w:eastAsia="Calibri" w:cs="Arial"/>
          <w:color w:val="000000"/>
          <w:lang w:eastAsia="en-US"/>
        </w:rPr>
        <w:t>sixth carbon budget</w:t>
      </w:r>
      <w:r w:rsidR="00BE2454" w:rsidRPr="00BE2454">
        <w:rPr>
          <w:rFonts w:eastAsia="Calibri" w:cs="Arial"/>
          <w:color w:val="000000"/>
          <w:lang w:eastAsia="en-US"/>
        </w:rPr>
        <w:t xml:space="preserve"> level.</w:t>
      </w:r>
    </w:p>
    <w:p w14:paraId="7EC1049E" w14:textId="4C8D27F8" w:rsidR="001C4454" w:rsidRPr="001C4454" w:rsidRDefault="001C4454" w:rsidP="00F2009F">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The analysis indicates that all options </w:t>
      </w:r>
      <w:r w:rsidR="00425C54">
        <w:rPr>
          <w:rFonts w:eastAsia="Calibri" w:cs="Arial"/>
          <w:color w:val="000000"/>
          <w:lang w:eastAsia="en-US"/>
        </w:rPr>
        <w:t>apart from</w:t>
      </w:r>
      <w:r w:rsidR="00641C21">
        <w:rPr>
          <w:rFonts w:eastAsia="Calibri" w:cs="Arial"/>
          <w:color w:val="000000"/>
          <w:lang w:eastAsia="en-US"/>
        </w:rPr>
        <w:t xml:space="preserve"> ‘do nothing’</w:t>
      </w:r>
      <w:r w:rsidRPr="001C4454">
        <w:rPr>
          <w:rFonts w:eastAsia="Calibri" w:cs="Arial"/>
          <w:color w:val="000000"/>
          <w:lang w:eastAsia="en-US"/>
        </w:rPr>
        <w:t xml:space="preserve"> can be </w:t>
      </w:r>
      <w:r w:rsidR="00425C54">
        <w:rPr>
          <w:rFonts w:eastAsia="Calibri" w:cs="Arial"/>
          <w:color w:val="000000"/>
          <w:lang w:eastAsia="en-US"/>
        </w:rPr>
        <w:t xml:space="preserve">considered </w:t>
      </w:r>
      <w:r w:rsidRPr="001C4454">
        <w:rPr>
          <w:rFonts w:eastAsia="Calibri" w:cs="Arial"/>
          <w:color w:val="000000"/>
          <w:lang w:eastAsia="en-US"/>
        </w:rPr>
        <w:t xml:space="preserve">consistent with net zero in 2050 and are technically feasible, even without some of the changes in </w:t>
      </w:r>
      <w:r w:rsidR="00BD7E6A">
        <w:rPr>
          <w:rFonts w:eastAsia="Calibri" w:cs="Arial"/>
          <w:color w:val="000000"/>
          <w:lang w:eastAsia="en-US"/>
        </w:rPr>
        <w:t xml:space="preserve">consumer </w:t>
      </w:r>
      <w:r w:rsidRPr="001C4454">
        <w:rPr>
          <w:rFonts w:eastAsia="Calibri" w:cs="Arial"/>
          <w:color w:val="000000"/>
          <w:lang w:eastAsia="en-US"/>
        </w:rPr>
        <w:t>demand included in the CCC's analysis (e.g</w:t>
      </w:r>
      <w:r w:rsidR="002F4A00" w:rsidRPr="001C4454">
        <w:rPr>
          <w:rFonts w:eastAsia="Calibri" w:cs="Arial"/>
          <w:color w:val="000000"/>
          <w:lang w:eastAsia="en-US"/>
        </w:rPr>
        <w:t>.,</w:t>
      </w:r>
      <w:r w:rsidRPr="001C4454">
        <w:rPr>
          <w:rFonts w:eastAsia="Calibri" w:cs="Arial"/>
          <w:color w:val="000000"/>
          <w:lang w:eastAsia="en-US"/>
        </w:rPr>
        <w:t xml:space="preserve"> changing diets</w:t>
      </w:r>
      <w:r w:rsidR="0087732D">
        <w:rPr>
          <w:rFonts w:eastAsia="Calibri" w:cs="Arial"/>
          <w:color w:val="000000"/>
          <w:lang w:eastAsia="en-US"/>
        </w:rPr>
        <w:t xml:space="preserve"> to reduce demand for meat and dairy</w:t>
      </w:r>
      <w:r w:rsidRPr="001C4454">
        <w:rPr>
          <w:rFonts w:eastAsia="Calibri" w:cs="Arial"/>
          <w:color w:val="000000"/>
          <w:lang w:eastAsia="en-US"/>
        </w:rPr>
        <w:t>).</w:t>
      </w:r>
    </w:p>
    <w:p w14:paraId="4DDB0B0C" w14:textId="729C989B" w:rsidR="001C4454" w:rsidRPr="001C4454" w:rsidRDefault="00BD7E6A" w:rsidP="002961DF">
      <w:pPr>
        <w:numPr>
          <w:ilvl w:val="0"/>
          <w:numId w:val="489"/>
        </w:numPr>
        <w:spacing w:after="120" w:line="259" w:lineRule="auto"/>
        <w:rPr>
          <w:rFonts w:eastAsia="Calibri" w:cs="Arial"/>
          <w:color w:val="000000"/>
          <w:lang w:eastAsia="en-US"/>
        </w:rPr>
      </w:pPr>
      <w:r>
        <w:rPr>
          <w:rFonts w:eastAsia="Calibri" w:cs="Arial"/>
          <w:color w:val="000000"/>
          <w:lang w:eastAsia="en-US"/>
        </w:rPr>
        <w:t>O</w:t>
      </w:r>
      <w:r w:rsidR="001C4454" w:rsidRPr="001C4454">
        <w:rPr>
          <w:rFonts w:eastAsia="Calibri" w:cs="Arial"/>
          <w:color w:val="000000"/>
          <w:lang w:eastAsia="en-US"/>
        </w:rPr>
        <w:t xml:space="preserve">ptions </w:t>
      </w:r>
      <w:r>
        <w:rPr>
          <w:rFonts w:eastAsia="Calibri" w:cs="Arial"/>
          <w:color w:val="000000"/>
          <w:lang w:eastAsia="en-US"/>
        </w:rPr>
        <w:t>2-4</w:t>
      </w:r>
      <w:r w:rsidR="001C4454" w:rsidRPr="001C4454">
        <w:rPr>
          <w:rFonts w:eastAsia="Calibri" w:cs="Arial"/>
          <w:color w:val="000000"/>
          <w:lang w:eastAsia="en-US"/>
        </w:rPr>
        <w:t xml:space="preserve"> are challenging and technically stretching</w:t>
      </w:r>
      <w:r w:rsidR="00C84334">
        <w:rPr>
          <w:rFonts w:eastAsia="Calibri" w:cs="Arial"/>
          <w:color w:val="000000"/>
          <w:lang w:eastAsia="en-US"/>
        </w:rPr>
        <w:t>. They require</w:t>
      </w:r>
      <w:r w:rsidR="001C4454" w:rsidRPr="001C4454">
        <w:rPr>
          <w:rFonts w:eastAsia="Calibri" w:cs="Arial"/>
          <w:color w:val="000000"/>
          <w:lang w:eastAsia="en-US"/>
        </w:rPr>
        <w:t xml:space="preserve"> at least doubling current electricity generation by 2050 and rely on substantial hydrogen production and biomass use, although the final energy mix is highly sensitive to modelling assumptions. If the UK were to keep options open on the path to net zero by 2050, then by 2035 any option for the sixth carbon budget will entail:</w:t>
      </w:r>
    </w:p>
    <w:p w14:paraId="36053C72" w14:textId="77777777" w:rsidR="00042783" w:rsidRPr="00042783" w:rsidRDefault="00822E64" w:rsidP="006A0C4B">
      <w:pPr>
        <w:pStyle w:val="Bullets"/>
        <w:numPr>
          <w:ilvl w:val="0"/>
          <w:numId w:val="781"/>
        </w:numPr>
        <w:rPr>
          <w:rFonts w:cs="Arial"/>
        </w:rPr>
      </w:pPr>
      <w:r w:rsidRPr="00822E64">
        <w:t>significant electrification of sectors su</w:t>
      </w:r>
      <w:r w:rsidRPr="00822E64">
        <w:rPr>
          <w:rFonts w:cs="Arial"/>
          <w:bCs w:val="0"/>
        </w:rPr>
        <w:t>ch as transport, heating and industry, and continued decarbonisation of the power grid;</w:t>
      </w:r>
    </w:p>
    <w:p w14:paraId="5FBB9A69" w14:textId="77777777" w:rsidR="00042783" w:rsidRPr="00822E64" w:rsidRDefault="00822E64" w:rsidP="006A0C4B">
      <w:pPr>
        <w:pStyle w:val="Bullets"/>
        <w:rPr>
          <w:szCs w:val="22"/>
        </w:rPr>
      </w:pPr>
      <w:r w:rsidRPr="00822E64">
        <w:t>substantially improved energy</w:t>
      </w:r>
      <w:r w:rsidRPr="00042783">
        <w:rPr>
          <w:bCs w:val="0"/>
          <w:szCs w:val="22"/>
        </w:rPr>
        <w:t xml:space="preserve"> efficiency in all sectors;</w:t>
      </w:r>
    </w:p>
    <w:p w14:paraId="6FE1E77E" w14:textId="77777777" w:rsidR="00042783" w:rsidRPr="00822E64" w:rsidRDefault="00822E64" w:rsidP="006A0C4B">
      <w:pPr>
        <w:pStyle w:val="Bullets"/>
        <w:rPr>
          <w:szCs w:val="22"/>
        </w:rPr>
      </w:pPr>
      <w:r w:rsidRPr="00042783">
        <w:rPr>
          <w:szCs w:val="22"/>
        </w:rPr>
        <w:t>deployment of low</w:t>
      </w:r>
      <w:r w:rsidR="00104863" w:rsidRPr="00042783">
        <w:rPr>
          <w:szCs w:val="22"/>
        </w:rPr>
        <w:t>-</w:t>
      </w:r>
      <w:r w:rsidRPr="00042783">
        <w:rPr>
          <w:bCs w:val="0"/>
          <w:szCs w:val="22"/>
        </w:rPr>
        <w:t>carbon hydrogen</w:t>
      </w:r>
      <w:r w:rsidR="001227AC" w:rsidRPr="00042783">
        <w:rPr>
          <w:bCs w:val="0"/>
          <w:szCs w:val="22"/>
        </w:rPr>
        <w:t>,</w:t>
      </w:r>
      <w:r w:rsidRPr="00042783">
        <w:rPr>
          <w:bCs w:val="0"/>
          <w:szCs w:val="22"/>
        </w:rPr>
        <w:t xml:space="preserve"> C</w:t>
      </w:r>
      <w:r w:rsidR="001227AC" w:rsidRPr="00042783">
        <w:rPr>
          <w:bCs w:val="0"/>
          <w:szCs w:val="22"/>
        </w:rPr>
        <w:t xml:space="preserve">arbon </w:t>
      </w:r>
      <w:r w:rsidRPr="00042783">
        <w:rPr>
          <w:bCs w:val="0"/>
          <w:szCs w:val="22"/>
        </w:rPr>
        <w:t>C</w:t>
      </w:r>
      <w:r w:rsidR="001227AC" w:rsidRPr="00042783">
        <w:rPr>
          <w:bCs w:val="0"/>
          <w:szCs w:val="22"/>
        </w:rPr>
        <w:t xml:space="preserve">apture and </w:t>
      </w:r>
      <w:r w:rsidRPr="00042783">
        <w:rPr>
          <w:bCs w:val="0"/>
          <w:szCs w:val="22"/>
        </w:rPr>
        <w:t>S</w:t>
      </w:r>
      <w:r w:rsidR="001227AC" w:rsidRPr="00042783">
        <w:rPr>
          <w:bCs w:val="0"/>
          <w:szCs w:val="22"/>
        </w:rPr>
        <w:t>torage (</w:t>
      </w:r>
      <w:r w:rsidRPr="00042783">
        <w:rPr>
          <w:bCs w:val="0"/>
          <w:szCs w:val="22"/>
        </w:rPr>
        <w:t>CCS</w:t>
      </w:r>
      <w:r w:rsidR="001227AC" w:rsidRPr="00042783">
        <w:rPr>
          <w:bCs w:val="0"/>
          <w:szCs w:val="22"/>
        </w:rPr>
        <w:t>)</w:t>
      </w:r>
      <w:r w:rsidRPr="00042783">
        <w:rPr>
          <w:bCs w:val="0"/>
          <w:szCs w:val="22"/>
        </w:rPr>
        <w:t xml:space="preserve"> and </w:t>
      </w:r>
      <w:r w:rsidR="00C84334" w:rsidRPr="00042783">
        <w:rPr>
          <w:szCs w:val="22"/>
        </w:rPr>
        <w:t>GHG</w:t>
      </w:r>
      <w:r w:rsidRPr="00042783">
        <w:rPr>
          <w:bCs w:val="0"/>
          <w:szCs w:val="22"/>
        </w:rPr>
        <w:t xml:space="preserve"> removal technologies at scale; </w:t>
      </w:r>
    </w:p>
    <w:p w14:paraId="763A4DF9" w14:textId="2E5DA375" w:rsidR="00042783" w:rsidRPr="00822E64" w:rsidRDefault="00822E64" w:rsidP="006A0C4B">
      <w:pPr>
        <w:pStyle w:val="Bullets"/>
        <w:rPr>
          <w:szCs w:val="22"/>
        </w:rPr>
      </w:pPr>
      <w:r w:rsidRPr="00042783">
        <w:rPr>
          <w:szCs w:val="22"/>
        </w:rPr>
        <w:t>inc</w:t>
      </w:r>
      <w:r w:rsidRPr="00042783">
        <w:rPr>
          <w:bCs w:val="0"/>
          <w:szCs w:val="22"/>
        </w:rPr>
        <w:t>reased switching to low-carbon fuels (e.g</w:t>
      </w:r>
      <w:r w:rsidR="002F4A00" w:rsidRPr="00042783">
        <w:rPr>
          <w:bCs w:val="0"/>
          <w:szCs w:val="22"/>
        </w:rPr>
        <w:t>.</w:t>
      </w:r>
      <w:r w:rsidR="00214F8E">
        <w:rPr>
          <w:bCs w:val="0"/>
          <w:szCs w:val="22"/>
        </w:rPr>
        <w:t>,</w:t>
      </w:r>
      <w:r w:rsidRPr="00042783">
        <w:rPr>
          <w:bCs w:val="0"/>
          <w:szCs w:val="22"/>
        </w:rPr>
        <w:t xml:space="preserve"> hydrogen, biomass) in hard to electrify areas such as industry, heavy transport, aviation and shipping;</w:t>
      </w:r>
    </w:p>
    <w:p w14:paraId="438205EA" w14:textId="604FF36C" w:rsidR="00822E64" w:rsidRPr="00822E64" w:rsidRDefault="00822E64" w:rsidP="0071483C">
      <w:pPr>
        <w:pStyle w:val="Bullets"/>
        <w:spacing w:after="200"/>
        <w:rPr>
          <w:szCs w:val="22"/>
        </w:rPr>
      </w:pPr>
      <w:r w:rsidRPr="00042783">
        <w:rPr>
          <w:szCs w:val="22"/>
        </w:rPr>
        <w:t>implementation of available abatement options across a</w:t>
      </w:r>
      <w:r w:rsidRPr="00042783">
        <w:rPr>
          <w:bCs w:val="0"/>
          <w:szCs w:val="22"/>
        </w:rPr>
        <w:t xml:space="preserve">ll natural resources sectors (e.g. afforestation, low carbon farming practices). </w:t>
      </w:r>
    </w:p>
    <w:p w14:paraId="7E24CADF" w14:textId="0BBAEF1B" w:rsidR="007B4DAD" w:rsidRPr="007B4DAD" w:rsidRDefault="001C4454" w:rsidP="007B4DAD">
      <w:pPr>
        <w:numPr>
          <w:ilvl w:val="0"/>
          <w:numId w:val="489"/>
        </w:numPr>
        <w:spacing w:after="240" w:line="259" w:lineRule="auto"/>
        <w:rPr>
          <w:rFonts w:eastAsia="Calibri" w:cs="Arial"/>
          <w:color w:val="000000"/>
          <w:lang w:eastAsia="en-US"/>
        </w:rPr>
      </w:pPr>
      <w:r w:rsidRPr="001C4454">
        <w:rPr>
          <w:rFonts w:eastAsia="Calibri" w:cs="Arial"/>
          <w:color w:val="000000"/>
          <w:lang w:eastAsia="en-US"/>
        </w:rPr>
        <w:t xml:space="preserve">Increasing ambition from Option 2 to 3 </w:t>
      </w:r>
      <w:r w:rsidR="009D30F5">
        <w:rPr>
          <w:rFonts w:eastAsia="Calibri" w:cs="Arial"/>
          <w:color w:val="000000"/>
          <w:lang w:eastAsia="en-US"/>
        </w:rPr>
        <w:t xml:space="preserve">(CCC </w:t>
      </w:r>
      <w:r w:rsidR="00194E4C">
        <w:rPr>
          <w:rFonts w:eastAsia="Calibri" w:cs="Arial"/>
          <w:color w:val="000000"/>
          <w:lang w:eastAsia="en-US"/>
        </w:rPr>
        <w:t>recommended</w:t>
      </w:r>
      <w:r w:rsidR="009D30F5">
        <w:rPr>
          <w:rFonts w:eastAsia="Calibri" w:cs="Arial"/>
          <w:color w:val="000000"/>
          <w:lang w:eastAsia="en-US"/>
        </w:rPr>
        <w:t xml:space="preserve"> level) </w:t>
      </w:r>
      <w:r w:rsidRPr="001C4454">
        <w:rPr>
          <w:rFonts w:eastAsia="Calibri" w:cs="Arial"/>
          <w:color w:val="000000"/>
          <w:lang w:eastAsia="en-US"/>
        </w:rPr>
        <w:t xml:space="preserve">has limited effect on land-use, agriculture, and engineered removals of emissions as feasible cost-effective abatement is already exhausted in these sectors in Option 2. Electrification over the sixth carbon budget period increases by around 13% in Option 3 </w:t>
      </w:r>
      <w:r w:rsidR="00463CDA">
        <w:rPr>
          <w:rFonts w:eastAsia="Calibri" w:cs="Arial"/>
          <w:color w:val="000000"/>
          <w:lang w:eastAsia="en-US"/>
        </w:rPr>
        <w:t>compare</w:t>
      </w:r>
      <w:r w:rsidR="00635E16">
        <w:rPr>
          <w:rFonts w:eastAsia="Calibri" w:cs="Arial"/>
          <w:color w:val="000000"/>
          <w:lang w:eastAsia="en-US"/>
        </w:rPr>
        <w:t>d</w:t>
      </w:r>
      <w:r w:rsidR="00463CDA">
        <w:rPr>
          <w:rFonts w:eastAsia="Calibri" w:cs="Arial"/>
          <w:color w:val="000000"/>
          <w:lang w:eastAsia="en-US"/>
        </w:rPr>
        <w:t xml:space="preserve"> to </w:t>
      </w:r>
      <w:r w:rsidR="001216E3">
        <w:rPr>
          <w:rFonts w:eastAsia="Calibri" w:cs="Arial"/>
          <w:color w:val="000000"/>
          <w:lang w:eastAsia="en-US"/>
        </w:rPr>
        <w:t>O</w:t>
      </w:r>
      <w:r w:rsidR="00463CDA">
        <w:rPr>
          <w:rFonts w:eastAsia="Calibri" w:cs="Arial"/>
          <w:color w:val="000000"/>
          <w:lang w:eastAsia="en-US"/>
        </w:rPr>
        <w:t>ption 2</w:t>
      </w:r>
      <w:r w:rsidRPr="001C4454">
        <w:rPr>
          <w:rFonts w:eastAsia="Calibri" w:cs="Arial"/>
          <w:color w:val="000000"/>
          <w:lang w:eastAsia="en-US"/>
        </w:rPr>
        <w:t xml:space="preserve">. However, high </w:t>
      </w:r>
      <w:r w:rsidR="00104863">
        <w:rPr>
          <w:rFonts w:eastAsia="Calibri" w:cs="Arial"/>
          <w:color w:val="000000"/>
          <w:lang w:eastAsia="en-US"/>
        </w:rPr>
        <w:t>use of</w:t>
      </w:r>
      <w:r w:rsidRPr="001C4454">
        <w:rPr>
          <w:rFonts w:eastAsia="Calibri" w:cs="Arial"/>
          <w:color w:val="000000"/>
          <w:lang w:eastAsia="en-US"/>
        </w:rPr>
        <w:t xml:space="preserve"> hydrogen for heating </w:t>
      </w:r>
      <w:r w:rsidR="00761345">
        <w:rPr>
          <w:rFonts w:eastAsia="Calibri" w:cs="Arial"/>
          <w:color w:val="000000"/>
          <w:lang w:eastAsia="en-US"/>
        </w:rPr>
        <w:t xml:space="preserve">by 2050 still </w:t>
      </w:r>
      <w:r w:rsidR="001D4B0E">
        <w:rPr>
          <w:rFonts w:eastAsia="Calibri" w:cs="Arial"/>
          <w:color w:val="000000"/>
          <w:lang w:eastAsia="en-US"/>
        </w:rPr>
        <w:t>remains</w:t>
      </w:r>
      <w:r w:rsidRPr="001C4454">
        <w:rPr>
          <w:rFonts w:eastAsia="Calibri" w:cs="Arial"/>
          <w:color w:val="000000"/>
          <w:lang w:eastAsia="en-US"/>
        </w:rPr>
        <w:t xml:space="preserve"> feasible with additional effort in other sectors (e.g</w:t>
      </w:r>
      <w:r w:rsidR="002F4A00" w:rsidRPr="007C3EFA">
        <w:rPr>
          <w:rFonts w:eastAsia="Calibri" w:cs="Arial"/>
          <w:color w:val="000000"/>
          <w:lang w:eastAsia="en-US"/>
        </w:rPr>
        <w:t>.,</w:t>
      </w:r>
      <w:r w:rsidRPr="001C4454">
        <w:rPr>
          <w:rFonts w:eastAsia="Calibri" w:cs="Arial"/>
          <w:color w:val="000000"/>
          <w:lang w:eastAsia="en-US"/>
        </w:rPr>
        <w:t xml:space="preserve"> land use and transport) to offset slower decarbonisation </w:t>
      </w:r>
      <w:r w:rsidR="00585B40">
        <w:rPr>
          <w:rFonts w:eastAsia="Calibri" w:cs="Arial"/>
          <w:color w:val="000000"/>
          <w:lang w:eastAsia="en-US"/>
        </w:rPr>
        <w:t>in</w:t>
      </w:r>
      <w:r w:rsidRPr="001C4454">
        <w:rPr>
          <w:rFonts w:eastAsia="Calibri" w:cs="Arial"/>
          <w:color w:val="000000"/>
          <w:lang w:eastAsia="en-US"/>
        </w:rPr>
        <w:t xml:space="preserve"> buildings (as widescale hydrogen heating is unlikely </w:t>
      </w:r>
      <w:r w:rsidR="00104863">
        <w:rPr>
          <w:rFonts w:eastAsia="Calibri" w:cs="Arial"/>
          <w:color w:val="000000"/>
          <w:lang w:eastAsia="en-US"/>
        </w:rPr>
        <w:t>to be available</w:t>
      </w:r>
      <w:r w:rsidRPr="001C4454">
        <w:rPr>
          <w:rFonts w:eastAsia="Calibri" w:cs="Arial"/>
          <w:color w:val="000000"/>
          <w:lang w:eastAsia="en-US"/>
        </w:rPr>
        <w:t xml:space="preserve"> by the mid-2030s). Sectors pushed further in Option 3, indicating higher marginal cost</w:t>
      </w:r>
      <w:r w:rsidR="00585B40">
        <w:rPr>
          <w:rFonts w:eastAsia="Calibri" w:cs="Arial"/>
          <w:color w:val="000000"/>
          <w:lang w:eastAsia="en-US"/>
        </w:rPr>
        <w:t>s</w:t>
      </w:r>
      <w:r w:rsidRPr="001C4454">
        <w:rPr>
          <w:rFonts w:eastAsia="Calibri" w:cs="Arial"/>
          <w:color w:val="000000"/>
          <w:lang w:eastAsia="en-US"/>
        </w:rPr>
        <w:t>, include surface transport, fuel supply, industry, and buildings.</w:t>
      </w:r>
      <w:r w:rsidR="00463CDA">
        <w:rPr>
          <w:rFonts w:eastAsia="Calibri" w:cs="Arial"/>
          <w:color w:val="000000"/>
          <w:lang w:eastAsia="en-US"/>
        </w:rPr>
        <w:t xml:space="preserve"> </w:t>
      </w:r>
      <w:r w:rsidR="00495FD8">
        <w:t>The tightest budget level considered, Option 4, involves going even further in the transport, industry, fuel supply and buildings sectors, stretching technical feasibility</w:t>
      </w:r>
      <w:r w:rsidR="006C42E3">
        <w:t xml:space="preserve"> and potentially leading to non-economical outcomes in transport</w:t>
      </w:r>
      <w:r w:rsidR="00495FD8">
        <w:t>.</w:t>
      </w:r>
    </w:p>
    <w:p w14:paraId="45B0CD25" w14:textId="77777777" w:rsidR="007B4DAD" w:rsidRDefault="007B4DAD" w:rsidP="007B4DAD">
      <w:pPr>
        <w:spacing w:after="240" w:line="259" w:lineRule="auto"/>
      </w:pPr>
    </w:p>
    <w:p w14:paraId="3C52D474" w14:textId="6487B828" w:rsidR="007B4DAD" w:rsidRPr="007B4DAD" w:rsidRDefault="00495FD8" w:rsidP="007B4DAD">
      <w:pPr>
        <w:spacing w:after="240" w:line="259" w:lineRule="auto"/>
        <w:rPr>
          <w:rFonts w:eastAsia="Calibri" w:cs="Arial"/>
          <w:color w:val="000000"/>
          <w:lang w:eastAsia="en-US"/>
        </w:rPr>
      </w:pPr>
      <w:r>
        <w:t xml:space="preserve"> </w:t>
      </w:r>
    </w:p>
    <w:p w14:paraId="0803A37F" w14:textId="2E4C3325" w:rsidR="001C4454" w:rsidRPr="007B4DAD" w:rsidRDefault="001C4454" w:rsidP="006A5238">
      <w:pPr>
        <w:spacing w:after="160" w:line="259" w:lineRule="auto"/>
        <w:rPr>
          <w:rFonts w:eastAsia="Calibri" w:cs="Arial"/>
          <w:color w:val="000000"/>
          <w:lang w:eastAsia="en-US"/>
        </w:rPr>
      </w:pPr>
      <w:r w:rsidRPr="007B4DAD">
        <w:rPr>
          <w:rFonts w:eastAsia="Calibri" w:cs="Arial"/>
          <w:b/>
          <w:i/>
          <w:color w:val="000000"/>
          <w:lang w:eastAsia="en-US"/>
        </w:rPr>
        <w:lastRenderedPageBreak/>
        <w:t>2) Delivery implications</w:t>
      </w:r>
    </w:p>
    <w:p w14:paraId="0EA3FEFB" w14:textId="65E6EAEF" w:rsidR="001C4454" w:rsidRPr="001C4454" w:rsidRDefault="001C4454" w:rsidP="00585B40">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This criterion focuses on the delivery barriers and challenges that apply to a range of possible pathways. It does not consider the specific policy mix for each option, given the </w:t>
      </w:r>
      <w:r w:rsidR="00FA5B2C">
        <w:rPr>
          <w:rFonts w:eastAsia="Calibri" w:cs="Arial"/>
          <w:color w:val="000000"/>
          <w:lang w:eastAsia="en-US"/>
        </w:rPr>
        <w:t>g</w:t>
      </w:r>
      <w:r w:rsidR="007C6560">
        <w:rPr>
          <w:rFonts w:eastAsia="Calibri" w:cs="Arial"/>
          <w:color w:val="000000"/>
          <w:lang w:eastAsia="en-US"/>
        </w:rPr>
        <w:t>overnment</w:t>
      </w:r>
      <w:r w:rsidR="00585B40">
        <w:rPr>
          <w:rFonts w:eastAsia="Calibri" w:cs="Arial"/>
          <w:color w:val="000000"/>
          <w:lang w:eastAsia="en-US"/>
        </w:rPr>
        <w:t xml:space="preserve">’s </w:t>
      </w:r>
      <w:r w:rsidRPr="001C4454">
        <w:rPr>
          <w:rFonts w:eastAsia="Calibri" w:cs="Arial"/>
          <w:color w:val="000000"/>
          <w:lang w:eastAsia="en-US"/>
        </w:rPr>
        <w:t>poli</w:t>
      </w:r>
      <w:r w:rsidR="0037062F">
        <w:rPr>
          <w:rFonts w:eastAsia="Calibri" w:cs="Arial"/>
          <w:color w:val="000000"/>
          <w:lang w:eastAsia="en-US"/>
        </w:rPr>
        <w:t xml:space="preserve">cies to meet the </w:t>
      </w:r>
      <w:r w:rsidR="009539D3">
        <w:rPr>
          <w:rFonts w:eastAsia="Calibri" w:cs="Arial"/>
          <w:color w:val="000000"/>
          <w:lang w:eastAsia="en-US"/>
        </w:rPr>
        <w:t>sixth carbon</w:t>
      </w:r>
      <w:r w:rsidR="0037062F">
        <w:rPr>
          <w:rFonts w:eastAsia="Calibri" w:cs="Arial"/>
          <w:color w:val="000000"/>
          <w:lang w:eastAsia="en-US"/>
        </w:rPr>
        <w:t xml:space="preserve"> budget</w:t>
      </w:r>
      <w:r w:rsidRPr="001C4454">
        <w:rPr>
          <w:rFonts w:eastAsia="Calibri" w:cs="Arial"/>
          <w:color w:val="000000"/>
          <w:lang w:eastAsia="en-US"/>
        </w:rPr>
        <w:t xml:space="preserve"> ha</w:t>
      </w:r>
      <w:r w:rsidR="0037062F">
        <w:rPr>
          <w:rFonts w:eastAsia="Calibri" w:cs="Arial"/>
          <w:color w:val="000000"/>
          <w:lang w:eastAsia="en-US"/>
        </w:rPr>
        <w:t>ve</w:t>
      </w:r>
      <w:r w:rsidRPr="001C4454">
        <w:rPr>
          <w:rFonts w:eastAsia="Calibri" w:cs="Arial"/>
          <w:color w:val="000000"/>
          <w:lang w:eastAsia="en-US"/>
        </w:rPr>
        <w:t xml:space="preserve"> not yet been </w:t>
      </w:r>
      <w:r w:rsidR="00585B40">
        <w:rPr>
          <w:rFonts w:eastAsia="Calibri" w:cs="Arial"/>
          <w:color w:val="000000"/>
          <w:lang w:eastAsia="en-US"/>
        </w:rPr>
        <w:t>determined</w:t>
      </w:r>
      <w:r w:rsidRPr="001C4454">
        <w:rPr>
          <w:rFonts w:eastAsia="Calibri" w:cs="Arial"/>
          <w:color w:val="000000"/>
          <w:lang w:eastAsia="en-US"/>
        </w:rPr>
        <w:t xml:space="preserve">. </w:t>
      </w:r>
    </w:p>
    <w:p w14:paraId="44798D5E" w14:textId="41B257FD" w:rsidR="001C4454" w:rsidRPr="001C4454" w:rsidRDefault="001C4454" w:rsidP="00585B40">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All options but ‘do nothing’ would require </w:t>
      </w:r>
      <w:r w:rsidR="00AE23BF">
        <w:rPr>
          <w:rFonts w:eastAsia="Calibri" w:cs="Arial"/>
          <w:color w:val="000000"/>
          <w:lang w:eastAsia="en-US"/>
        </w:rPr>
        <w:t xml:space="preserve">substantial </w:t>
      </w:r>
      <w:r w:rsidRPr="001C4454">
        <w:rPr>
          <w:rFonts w:eastAsia="Calibri" w:cs="Arial"/>
          <w:color w:val="000000"/>
          <w:lang w:eastAsia="en-US"/>
        </w:rPr>
        <w:t xml:space="preserve">additional effort across each sector </w:t>
      </w:r>
      <w:r w:rsidR="008D10DE">
        <w:rPr>
          <w:rFonts w:eastAsia="Calibri" w:cs="Arial"/>
          <w:color w:val="000000"/>
          <w:lang w:eastAsia="en-US"/>
        </w:rPr>
        <w:t xml:space="preserve">of the economy, </w:t>
      </w:r>
      <w:r w:rsidRPr="001C4454">
        <w:rPr>
          <w:rFonts w:eastAsia="Calibri" w:cs="Arial"/>
          <w:color w:val="000000"/>
          <w:lang w:eastAsia="en-US"/>
        </w:rPr>
        <w:t xml:space="preserve">beyond existing </w:t>
      </w:r>
      <w:r w:rsidR="00FA5B2C">
        <w:rPr>
          <w:rFonts w:eastAsia="Calibri" w:cs="Arial"/>
          <w:color w:val="000000"/>
          <w:lang w:eastAsia="en-US"/>
        </w:rPr>
        <w:t>g</w:t>
      </w:r>
      <w:r w:rsidR="007C6560">
        <w:rPr>
          <w:rFonts w:eastAsia="Calibri" w:cs="Arial"/>
          <w:color w:val="000000"/>
          <w:lang w:eastAsia="en-US"/>
        </w:rPr>
        <w:t>overnment</w:t>
      </w:r>
      <w:r w:rsidRPr="001C4454">
        <w:rPr>
          <w:rFonts w:eastAsia="Calibri" w:cs="Arial"/>
          <w:color w:val="000000"/>
          <w:lang w:eastAsia="en-US"/>
        </w:rPr>
        <w:t xml:space="preserve"> plans. </w:t>
      </w:r>
      <w:bookmarkStart w:id="33" w:name="_Hlk66442387"/>
      <w:r w:rsidRPr="001C4454">
        <w:rPr>
          <w:rFonts w:eastAsia="Calibri" w:cs="Arial"/>
          <w:color w:val="000000"/>
          <w:lang w:eastAsia="en-US"/>
        </w:rPr>
        <w:t>Consumers and producers will need to change the technologies they use, and in many cases the up-front costs of low carbon technologies</w:t>
      </w:r>
      <w:r w:rsidR="00BE63CE" w:rsidRPr="00BE63CE">
        <w:rPr>
          <w:rFonts w:eastAsia="Calibri" w:cs="Arial"/>
          <w:color w:val="000000"/>
          <w:lang w:eastAsia="en-US"/>
        </w:rPr>
        <w:t>, such as heat pumps,</w:t>
      </w:r>
      <w:r w:rsidRPr="001C4454">
        <w:rPr>
          <w:rFonts w:eastAsia="Calibri" w:cs="Arial"/>
          <w:color w:val="000000"/>
          <w:lang w:eastAsia="en-US"/>
        </w:rPr>
        <w:t xml:space="preserve"> are </w:t>
      </w:r>
      <w:r w:rsidR="00BE63CE" w:rsidRPr="00BE63CE">
        <w:rPr>
          <w:rFonts w:eastAsia="Calibri" w:cs="Arial"/>
          <w:color w:val="000000"/>
          <w:lang w:eastAsia="en-US"/>
        </w:rPr>
        <w:t>currently higher</w:t>
      </w:r>
      <w:r w:rsidRPr="001C4454">
        <w:rPr>
          <w:rFonts w:eastAsia="Calibri" w:cs="Arial"/>
          <w:color w:val="000000"/>
          <w:lang w:eastAsia="en-US"/>
        </w:rPr>
        <w:t xml:space="preserve"> than </w:t>
      </w:r>
      <w:r w:rsidR="00BE63CE" w:rsidRPr="00BE63CE">
        <w:rPr>
          <w:rFonts w:eastAsia="Calibri" w:cs="Arial"/>
          <w:color w:val="000000"/>
          <w:lang w:eastAsia="en-US"/>
        </w:rPr>
        <w:t>the technologies</w:t>
      </w:r>
      <w:r w:rsidRPr="001C4454">
        <w:rPr>
          <w:rFonts w:eastAsia="Calibri" w:cs="Arial"/>
          <w:color w:val="000000"/>
          <w:lang w:eastAsia="en-US"/>
        </w:rPr>
        <w:t xml:space="preserve"> they replace. </w:t>
      </w:r>
      <w:bookmarkEnd w:id="33"/>
      <w:r w:rsidRPr="001C4454">
        <w:rPr>
          <w:rFonts w:eastAsia="Calibri" w:cs="Arial"/>
          <w:color w:val="000000"/>
          <w:lang w:eastAsia="en-US"/>
        </w:rPr>
        <w:t xml:space="preserve">Supply chains for low carbon technologies will need to be significantly scaled up and, in some cases, need to be demonstrated </w:t>
      </w:r>
      <w:r w:rsidR="00773C70">
        <w:rPr>
          <w:rFonts w:eastAsia="Calibri" w:cs="Arial"/>
          <w:color w:val="000000"/>
          <w:lang w:eastAsia="en-US"/>
        </w:rPr>
        <w:t>before they can move to</w:t>
      </w:r>
      <w:r w:rsidRPr="001C4454">
        <w:rPr>
          <w:rFonts w:eastAsia="Calibri" w:cs="Arial"/>
          <w:color w:val="000000"/>
          <w:lang w:eastAsia="en-US"/>
        </w:rPr>
        <w:t xml:space="preserve"> wider-scale deployment. </w:t>
      </w:r>
      <w:r w:rsidR="004D4F9F">
        <w:rPr>
          <w:rFonts w:eastAsia="Calibri" w:cs="Arial"/>
          <w:color w:val="000000"/>
          <w:lang w:eastAsia="en-US"/>
        </w:rPr>
        <w:t>G</w:t>
      </w:r>
      <w:r w:rsidR="007C6560">
        <w:rPr>
          <w:rFonts w:eastAsia="Calibri" w:cs="Arial"/>
          <w:color w:val="000000"/>
          <w:lang w:eastAsia="en-US"/>
        </w:rPr>
        <w:t>overnment</w:t>
      </w:r>
      <w:r w:rsidRPr="001C4454">
        <w:rPr>
          <w:rFonts w:eastAsia="Calibri" w:cs="Arial"/>
          <w:color w:val="000000"/>
          <w:lang w:eastAsia="en-US"/>
        </w:rPr>
        <w:t xml:space="preserve"> intervention will be needed to overcome </w:t>
      </w:r>
      <w:r w:rsidR="001B132C">
        <w:rPr>
          <w:rFonts w:eastAsia="Calibri" w:cs="Arial"/>
          <w:color w:val="000000"/>
          <w:lang w:eastAsia="en-US"/>
        </w:rPr>
        <w:t>a broad range of</w:t>
      </w:r>
      <w:r w:rsidRPr="001C4454">
        <w:rPr>
          <w:rFonts w:eastAsia="Calibri" w:cs="Arial"/>
          <w:color w:val="000000"/>
          <w:lang w:eastAsia="en-US"/>
        </w:rPr>
        <w:t xml:space="preserve"> barriers, </w:t>
      </w:r>
      <w:r w:rsidR="001B132C">
        <w:rPr>
          <w:rFonts w:eastAsia="Calibri" w:cs="Arial"/>
          <w:color w:val="000000"/>
          <w:lang w:eastAsia="en-US"/>
        </w:rPr>
        <w:t>including</w:t>
      </w:r>
      <w:r w:rsidRPr="001C4454">
        <w:rPr>
          <w:rFonts w:eastAsia="Calibri" w:cs="Arial"/>
          <w:color w:val="000000"/>
          <w:lang w:eastAsia="en-US"/>
        </w:rPr>
        <w:t xml:space="preserve"> technical, market, behavioural and soci</w:t>
      </w:r>
      <w:r w:rsidR="007426E0">
        <w:rPr>
          <w:rFonts w:eastAsia="Calibri" w:cs="Arial"/>
          <w:color w:val="000000"/>
          <w:lang w:eastAsia="en-US"/>
        </w:rPr>
        <w:t>o</w:t>
      </w:r>
      <w:r w:rsidRPr="001C4454">
        <w:rPr>
          <w:rFonts w:eastAsia="Calibri" w:cs="Arial"/>
          <w:color w:val="000000"/>
          <w:lang w:eastAsia="en-US"/>
        </w:rPr>
        <w:t>-political.</w:t>
      </w:r>
      <w:r w:rsidR="0059482A">
        <w:rPr>
          <w:rFonts w:eastAsia="Calibri" w:cs="Arial"/>
          <w:color w:val="000000"/>
          <w:lang w:eastAsia="en-US"/>
        </w:rPr>
        <w:t xml:space="preserve"> </w:t>
      </w:r>
      <w:r w:rsidR="00E209EA">
        <w:rPr>
          <w:rFonts w:eastAsia="Calibri" w:cs="Arial"/>
          <w:color w:val="000000"/>
          <w:lang w:eastAsia="en-US"/>
        </w:rPr>
        <w:t xml:space="preserve">In addition to maximising market-led </w:t>
      </w:r>
      <w:r w:rsidR="006F22E7">
        <w:rPr>
          <w:rFonts w:eastAsia="Calibri" w:cs="Arial"/>
          <w:color w:val="000000"/>
          <w:lang w:eastAsia="en-US"/>
        </w:rPr>
        <w:t>decarbonisation</w:t>
      </w:r>
      <w:r w:rsidR="00E209EA">
        <w:rPr>
          <w:rFonts w:eastAsia="Calibri" w:cs="Arial"/>
          <w:color w:val="000000"/>
          <w:lang w:eastAsia="en-US"/>
        </w:rPr>
        <w:t>, s</w:t>
      </w:r>
      <w:r w:rsidR="00E209EA" w:rsidRPr="0059482A">
        <w:rPr>
          <w:rFonts w:eastAsia="Calibri" w:cs="Arial"/>
          <w:color w:val="000000"/>
          <w:lang w:eastAsia="en-US"/>
        </w:rPr>
        <w:t>trengthening regulation is likely to be necessary</w:t>
      </w:r>
      <w:r w:rsidR="00E209EA">
        <w:rPr>
          <w:rFonts w:eastAsia="Calibri" w:cs="Arial"/>
          <w:color w:val="000000"/>
          <w:lang w:eastAsia="en-US"/>
        </w:rPr>
        <w:t xml:space="preserve"> in some cases.</w:t>
      </w:r>
      <w:r w:rsidR="00E209EA" w:rsidRPr="0059482A">
        <w:rPr>
          <w:rFonts w:eastAsia="Calibri" w:cs="Arial"/>
          <w:color w:val="000000"/>
          <w:lang w:eastAsia="en-US"/>
        </w:rPr>
        <w:t xml:space="preserve"> </w:t>
      </w:r>
      <w:r w:rsidR="00E209EA">
        <w:rPr>
          <w:rFonts w:eastAsia="Calibri" w:cs="Arial"/>
          <w:color w:val="000000"/>
          <w:lang w:eastAsia="en-US"/>
        </w:rPr>
        <w:t xml:space="preserve"> </w:t>
      </w:r>
    </w:p>
    <w:p w14:paraId="0631331B" w14:textId="7B20DEC1" w:rsidR="001C4454" w:rsidRPr="001C4454" w:rsidRDefault="00F82C03" w:rsidP="00F82C03">
      <w:pPr>
        <w:numPr>
          <w:ilvl w:val="0"/>
          <w:numId w:val="489"/>
        </w:numPr>
        <w:spacing w:after="240" w:line="259" w:lineRule="auto"/>
        <w:rPr>
          <w:rFonts w:eastAsia="Calibri" w:cs="Arial"/>
          <w:color w:val="000000"/>
          <w:lang w:eastAsia="en-US"/>
        </w:rPr>
      </w:pPr>
      <w:r>
        <w:rPr>
          <w:rFonts w:eastAsia="Calibri" w:cs="Arial"/>
          <w:color w:val="000000"/>
          <w:lang w:eastAsia="en-US"/>
        </w:rPr>
        <w:t>As</w:t>
      </w:r>
      <w:r w:rsidR="001C4454" w:rsidRPr="001C4454">
        <w:rPr>
          <w:rFonts w:eastAsia="Calibri" w:cs="Arial"/>
          <w:color w:val="000000"/>
          <w:lang w:eastAsia="en-US"/>
        </w:rPr>
        <w:t xml:space="preserve"> the policies required to meet the sixth carbon budget levels </w:t>
      </w:r>
      <w:r>
        <w:rPr>
          <w:rFonts w:eastAsia="Calibri" w:cs="Arial"/>
          <w:color w:val="000000"/>
          <w:lang w:eastAsia="en-US"/>
        </w:rPr>
        <w:t>have</w:t>
      </w:r>
      <w:r w:rsidR="001C4454" w:rsidRPr="001C4454">
        <w:rPr>
          <w:rFonts w:eastAsia="Calibri" w:cs="Arial"/>
          <w:color w:val="000000"/>
          <w:lang w:eastAsia="en-US"/>
        </w:rPr>
        <w:t xml:space="preserve"> not yet </w:t>
      </w:r>
      <w:r>
        <w:rPr>
          <w:rFonts w:eastAsia="Calibri" w:cs="Arial"/>
          <w:color w:val="000000"/>
          <w:lang w:eastAsia="en-US"/>
        </w:rPr>
        <w:t>been determined</w:t>
      </w:r>
      <w:r w:rsidR="001C4454" w:rsidRPr="001C4454">
        <w:rPr>
          <w:rFonts w:eastAsia="Calibri" w:cs="Arial"/>
          <w:color w:val="000000"/>
          <w:lang w:eastAsia="en-US"/>
        </w:rPr>
        <w:t>, it is not possible to analyse the precise difference in the level of barriers of the different options. However, it is expected that the marginal policies required to meet more ambitious budget options will be more challenging.</w:t>
      </w:r>
    </w:p>
    <w:p w14:paraId="28825220" w14:textId="77777777" w:rsidR="001C4454" w:rsidRPr="001C4454" w:rsidRDefault="001C4454" w:rsidP="001C4454">
      <w:pPr>
        <w:spacing w:after="160" w:line="259" w:lineRule="auto"/>
        <w:rPr>
          <w:rFonts w:eastAsia="Calibri" w:cs="Arial"/>
          <w:i/>
          <w:iCs/>
          <w:color w:val="000000"/>
          <w:lang w:eastAsia="en-US"/>
        </w:rPr>
      </w:pPr>
      <w:r w:rsidRPr="001C4454">
        <w:rPr>
          <w:rFonts w:eastAsia="Calibri" w:cs="Arial"/>
          <w:b/>
          <w:i/>
          <w:color w:val="000000"/>
          <w:lang w:eastAsia="en-US"/>
        </w:rPr>
        <w:t>3) International circumstances</w:t>
      </w:r>
    </w:p>
    <w:p w14:paraId="1676B208" w14:textId="3A5D2540" w:rsidR="00822E64" w:rsidRPr="00822E64" w:rsidRDefault="00822E64" w:rsidP="00F82C03">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This criterion considers UK action in the context of global efforts to reduce emissions and </w:t>
      </w:r>
      <w:r w:rsidR="00F82C03">
        <w:rPr>
          <w:rFonts w:eastAsia="Calibri" w:cs="Arial"/>
          <w:color w:val="000000"/>
          <w:lang w:eastAsia="en-US"/>
        </w:rPr>
        <w:t>honour</w:t>
      </w:r>
      <w:r w:rsidR="00906CF9">
        <w:rPr>
          <w:rFonts w:eastAsia="Calibri" w:cs="Arial"/>
          <w:color w:val="000000"/>
          <w:lang w:eastAsia="en-US"/>
        </w:rPr>
        <w:t>ing</w:t>
      </w:r>
      <w:r w:rsidR="00F82C03">
        <w:rPr>
          <w:rFonts w:eastAsia="Calibri" w:cs="Arial"/>
          <w:color w:val="000000"/>
          <w:lang w:eastAsia="en-US"/>
        </w:rPr>
        <w:t xml:space="preserve"> </w:t>
      </w:r>
      <w:r w:rsidRPr="001C4454">
        <w:rPr>
          <w:rFonts w:eastAsia="Calibri" w:cs="Arial"/>
          <w:color w:val="000000"/>
          <w:lang w:eastAsia="en-US"/>
        </w:rPr>
        <w:t xml:space="preserve">the UK’s international commitments. The UK will host COP26 later in 2021, which aims to accelerate global action towards achieving Paris Agreement </w:t>
      </w:r>
      <w:r w:rsidR="007B40B4" w:rsidRPr="001C4454">
        <w:rPr>
          <w:rFonts w:eastAsia="Calibri" w:cs="Arial"/>
          <w:color w:val="000000"/>
          <w:lang w:eastAsia="en-US"/>
        </w:rPr>
        <w:t xml:space="preserve">temperature </w:t>
      </w:r>
      <w:r w:rsidRPr="001C4454">
        <w:rPr>
          <w:rFonts w:eastAsia="Calibri" w:cs="Arial"/>
          <w:color w:val="000000"/>
          <w:lang w:eastAsia="en-US"/>
        </w:rPr>
        <w:t>goal</w:t>
      </w:r>
      <w:r w:rsidR="00F82C03">
        <w:rPr>
          <w:rFonts w:eastAsia="Calibri" w:cs="Arial"/>
          <w:color w:val="000000"/>
          <w:lang w:eastAsia="en-US"/>
        </w:rPr>
        <w:t>s</w:t>
      </w:r>
      <w:r w:rsidRPr="001C4454">
        <w:rPr>
          <w:rFonts w:eastAsia="Calibri" w:cs="Arial"/>
          <w:color w:val="000000"/>
          <w:lang w:eastAsia="en-US"/>
        </w:rPr>
        <w:t>.</w:t>
      </w:r>
    </w:p>
    <w:p w14:paraId="629891F4" w14:textId="4BA4FDAC" w:rsidR="00822E64" w:rsidRPr="00822E64" w:rsidRDefault="00822E64" w:rsidP="00F82C03">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 xml:space="preserve">The budget options are compared against benchmark emissions under different interpretations of global mitigation effort shares in </w:t>
      </w:r>
      <w:r w:rsidR="00D442B7">
        <w:rPr>
          <w:rFonts w:eastAsia="Calibri" w:cs="Arial"/>
          <w:color w:val="000000"/>
          <w:lang w:eastAsia="en-US"/>
        </w:rPr>
        <w:t>‘</w:t>
      </w:r>
      <w:r w:rsidRPr="001C4454">
        <w:rPr>
          <w:rFonts w:eastAsia="Calibri" w:cs="Arial"/>
          <w:color w:val="000000"/>
          <w:lang w:eastAsia="en-US"/>
        </w:rPr>
        <w:t>1.5</w:t>
      </w:r>
      <w:r w:rsidR="00F31190">
        <w:rPr>
          <w:rFonts w:eastAsia="Calibri" w:cs="Arial"/>
          <w:color w:val="000000"/>
          <w:lang w:eastAsia="en-US"/>
        </w:rPr>
        <w:t>°C</w:t>
      </w:r>
      <w:r w:rsidR="00D442B7">
        <w:rPr>
          <w:rFonts w:eastAsia="Calibri" w:cs="Arial"/>
          <w:color w:val="000000"/>
          <w:lang w:eastAsia="en-US"/>
        </w:rPr>
        <w:t>’</w:t>
      </w:r>
      <w:r w:rsidRPr="001C4454">
        <w:rPr>
          <w:rFonts w:eastAsia="Calibri" w:cs="Arial"/>
          <w:color w:val="000000"/>
          <w:lang w:eastAsia="en-US"/>
        </w:rPr>
        <w:t xml:space="preserve"> and </w:t>
      </w:r>
      <w:r w:rsidR="00D442B7">
        <w:rPr>
          <w:rFonts w:eastAsia="Calibri" w:cs="Arial"/>
          <w:color w:val="000000"/>
          <w:lang w:eastAsia="en-US"/>
        </w:rPr>
        <w:t>‘</w:t>
      </w:r>
      <w:r w:rsidRPr="001C4454">
        <w:rPr>
          <w:rFonts w:eastAsia="Calibri" w:cs="Arial"/>
          <w:color w:val="000000"/>
          <w:lang w:eastAsia="en-US"/>
        </w:rPr>
        <w:t>well below 2</w:t>
      </w:r>
      <w:r w:rsidR="00F31190">
        <w:rPr>
          <w:rFonts w:eastAsia="Calibri" w:cs="Arial"/>
          <w:color w:val="000000"/>
          <w:lang w:eastAsia="en-US"/>
        </w:rPr>
        <w:t>°C</w:t>
      </w:r>
      <w:r w:rsidR="00D442B7">
        <w:rPr>
          <w:rFonts w:eastAsia="Calibri" w:cs="Arial"/>
          <w:color w:val="000000"/>
          <w:lang w:eastAsia="en-US"/>
        </w:rPr>
        <w:t>’</w:t>
      </w:r>
      <w:r w:rsidRPr="001C4454">
        <w:rPr>
          <w:rFonts w:eastAsia="Calibri" w:cs="Arial"/>
          <w:color w:val="000000"/>
          <w:lang w:eastAsia="en-US"/>
        </w:rPr>
        <w:t xml:space="preserve"> scenarios. </w:t>
      </w:r>
      <w:r w:rsidR="00C12533">
        <w:rPr>
          <w:rFonts w:eastAsia="Calibri" w:cs="Arial"/>
          <w:color w:val="000000"/>
          <w:lang w:eastAsia="en-US"/>
        </w:rPr>
        <w:t>All</w:t>
      </w:r>
      <w:r w:rsidR="007B40B4" w:rsidRPr="001C4454">
        <w:rPr>
          <w:rFonts w:eastAsia="Calibri" w:cs="Arial"/>
          <w:color w:val="000000"/>
          <w:lang w:eastAsia="en-US"/>
        </w:rPr>
        <w:t xml:space="preserve"> o</w:t>
      </w:r>
      <w:r w:rsidR="0080168E" w:rsidRPr="001C4454">
        <w:rPr>
          <w:rFonts w:eastAsia="Calibri" w:cs="Arial"/>
          <w:color w:val="000000"/>
          <w:lang w:eastAsia="en-US"/>
        </w:rPr>
        <w:t>ptions</w:t>
      </w:r>
      <w:r w:rsidRPr="001C4454">
        <w:rPr>
          <w:rFonts w:eastAsia="Calibri" w:cs="Arial"/>
          <w:color w:val="000000"/>
          <w:lang w:eastAsia="en-US"/>
        </w:rPr>
        <w:t xml:space="preserve"> </w:t>
      </w:r>
      <w:r w:rsidR="0082627D">
        <w:rPr>
          <w:rFonts w:eastAsia="Calibri" w:cs="Arial"/>
          <w:color w:val="000000"/>
          <w:lang w:eastAsia="en-US"/>
        </w:rPr>
        <w:t>apart from</w:t>
      </w:r>
      <w:r w:rsidR="00C12533">
        <w:rPr>
          <w:rFonts w:eastAsia="Calibri" w:cs="Arial"/>
          <w:color w:val="000000"/>
          <w:lang w:eastAsia="en-US"/>
        </w:rPr>
        <w:t xml:space="preserve"> ‘do nothing’ </w:t>
      </w:r>
      <w:r w:rsidRPr="001C4454">
        <w:rPr>
          <w:rFonts w:eastAsia="Calibri" w:cs="Arial"/>
          <w:color w:val="000000"/>
          <w:lang w:eastAsia="en-US"/>
        </w:rPr>
        <w:t xml:space="preserve">are more ambitious than if global mitigation efforts were shared across countries or regions </w:t>
      </w:r>
      <w:r w:rsidR="00221B97" w:rsidRPr="001C4454">
        <w:rPr>
          <w:rFonts w:eastAsia="Calibri" w:cs="Arial"/>
          <w:color w:val="000000"/>
          <w:lang w:eastAsia="en-US"/>
        </w:rPr>
        <w:t>on the basis of</w:t>
      </w:r>
      <w:r w:rsidRPr="001C4454">
        <w:rPr>
          <w:rFonts w:eastAsia="Calibri" w:cs="Arial"/>
          <w:color w:val="000000"/>
          <w:lang w:eastAsia="en-US"/>
        </w:rPr>
        <w:t xml:space="preserve"> </w:t>
      </w:r>
      <w:r w:rsidR="0047010F" w:rsidRPr="001C4454">
        <w:rPr>
          <w:rFonts w:eastAsia="Calibri" w:cs="Arial"/>
          <w:color w:val="000000"/>
          <w:lang w:eastAsia="en-US"/>
        </w:rPr>
        <w:t>estimates of</w:t>
      </w:r>
      <w:r w:rsidRPr="001C4454">
        <w:rPr>
          <w:rFonts w:eastAsia="Calibri" w:cs="Arial"/>
          <w:color w:val="000000"/>
          <w:lang w:eastAsia="en-US"/>
        </w:rPr>
        <w:t xml:space="preserve"> cost-effective </w:t>
      </w:r>
      <w:r w:rsidR="00221B97" w:rsidRPr="001C4454">
        <w:rPr>
          <w:rFonts w:eastAsia="Calibri" w:cs="Arial"/>
          <w:color w:val="000000"/>
          <w:lang w:eastAsia="en-US"/>
        </w:rPr>
        <w:t>technical abatement potential</w:t>
      </w:r>
      <w:r w:rsidRPr="001C4454">
        <w:rPr>
          <w:rFonts w:eastAsia="Calibri" w:cs="Arial"/>
          <w:color w:val="000000"/>
          <w:lang w:eastAsia="en-US"/>
        </w:rPr>
        <w:t xml:space="preserve">. </w:t>
      </w:r>
      <w:r w:rsidR="0047010F" w:rsidRPr="001C4454">
        <w:rPr>
          <w:rFonts w:eastAsia="Calibri" w:cs="Arial"/>
          <w:color w:val="000000"/>
          <w:lang w:eastAsia="en-US"/>
        </w:rPr>
        <w:t>However, t</w:t>
      </w:r>
      <w:r w:rsidRPr="001C4454">
        <w:rPr>
          <w:rFonts w:eastAsia="Calibri" w:cs="Arial"/>
          <w:color w:val="000000"/>
          <w:lang w:eastAsia="en-US"/>
        </w:rPr>
        <w:t>hey are less ambitious than if efforts were shared with historical contributions to emissions taken into account.</w:t>
      </w:r>
    </w:p>
    <w:p w14:paraId="12242E90" w14:textId="015E403A" w:rsidR="0066105F" w:rsidRPr="001C4454" w:rsidRDefault="005F3332" w:rsidP="00F82C03">
      <w:pPr>
        <w:numPr>
          <w:ilvl w:val="0"/>
          <w:numId w:val="489"/>
        </w:numPr>
        <w:spacing w:after="240" w:line="259" w:lineRule="auto"/>
        <w:rPr>
          <w:rFonts w:eastAsia="Calibri" w:cs="Arial"/>
          <w:color w:val="000000"/>
          <w:lang w:eastAsia="en-US"/>
        </w:rPr>
      </w:pPr>
      <w:r w:rsidRPr="7F9134FF">
        <w:rPr>
          <w:rFonts w:eastAsia="Calibri" w:cs="Arial"/>
          <w:color w:val="000000" w:themeColor="text1"/>
          <w:lang w:eastAsia="en-US"/>
        </w:rPr>
        <w:t xml:space="preserve">The budget options are also compared against global average emissions </w:t>
      </w:r>
      <w:r w:rsidR="002927A7" w:rsidRPr="7F9134FF">
        <w:rPr>
          <w:rFonts w:eastAsia="Calibri" w:cs="Arial"/>
          <w:color w:val="000000" w:themeColor="text1"/>
          <w:lang w:eastAsia="en-US"/>
        </w:rPr>
        <w:t xml:space="preserve">in pathways that are aligned with the Paris Agreement’s climate change mitigation ambition. </w:t>
      </w:r>
      <w:r w:rsidR="00A71E24" w:rsidRPr="7F9134FF">
        <w:rPr>
          <w:rFonts w:eastAsia="Calibri" w:cs="Arial"/>
          <w:color w:val="000000" w:themeColor="text1"/>
          <w:lang w:eastAsia="en-US"/>
        </w:rPr>
        <w:t xml:space="preserve">All options </w:t>
      </w:r>
      <w:r w:rsidR="006047E4">
        <w:rPr>
          <w:rFonts w:eastAsia="Calibri" w:cs="Arial"/>
          <w:color w:val="000000" w:themeColor="text1"/>
          <w:lang w:eastAsia="en-US"/>
        </w:rPr>
        <w:t>apart from</w:t>
      </w:r>
      <w:r w:rsidR="00A71E24" w:rsidRPr="7F9134FF">
        <w:rPr>
          <w:rFonts w:eastAsia="Calibri" w:cs="Arial"/>
          <w:color w:val="000000" w:themeColor="text1"/>
          <w:lang w:eastAsia="en-US"/>
        </w:rPr>
        <w:t xml:space="preserve"> ‘do nothing’ deliver emission reductions on a per capita basis that</w:t>
      </w:r>
      <w:r w:rsidR="008B3E71" w:rsidRPr="7F9134FF">
        <w:rPr>
          <w:rFonts w:eastAsia="Calibri" w:cs="Arial"/>
          <w:color w:val="000000" w:themeColor="text1"/>
          <w:lang w:eastAsia="en-US"/>
        </w:rPr>
        <w:t xml:space="preserve">, if followed globally, would be consistent with </w:t>
      </w:r>
      <w:r w:rsidR="00265ADF" w:rsidRPr="7F9134FF">
        <w:rPr>
          <w:rFonts w:eastAsia="Calibri" w:cs="Arial"/>
          <w:color w:val="000000" w:themeColor="text1"/>
          <w:lang w:eastAsia="en-US"/>
        </w:rPr>
        <w:t xml:space="preserve">the global ambition to keep the increase in global average temperature </w:t>
      </w:r>
      <w:r w:rsidR="00495F9F">
        <w:rPr>
          <w:rFonts w:eastAsia="Calibri" w:cs="Arial"/>
          <w:color w:val="000000" w:themeColor="text1"/>
          <w:lang w:eastAsia="en-US"/>
        </w:rPr>
        <w:t xml:space="preserve">in line </w:t>
      </w:r>
      <w:r w:rsidR="00282A48">
        <w:rPr>
          <w:rFonts w:eastAsia="Calibri" w:cs="Arial"/>
          <w:color w:val="000000" w:themeColor="text1"/>
          <w:lang w:eastAsia="en-US"/>
        </w:rPr>
        <w:t>with the Paris Agreement’s temperature goal</w:t>
      </w:r>
      <w:r w:rsidR="00265ADF" w:rsidRPr="7F9134FF">
        <w:rPr>
          <w:rFonts w:eastAsia="Calibri" w:cs="Arial"/>
          <w:color w:val="000000" w:themeColor="text1"/>
          <w:lang w:eastAsia="en-US"/>
        </w:rPr>
        <w:t>.</w:t>
      </w:r>
      <w:r w:rsidR="00427CAB" w:rsidRPr="7F9134FF">
        <w:rPr>
          <w:rFonts w:eastAsia="Calibri" w:cs="Arial"/>
          <w:color w:val="000000" w:themeColor="text1"/>
          <w:lang w:eastAsia="en-US"/>
        </w:rPr>
        <w:t xml:space="preserve"> </w:t>
      </w:r>
      <w:r w:rsidR="00503042" w:rsidRPr="7F9134FF">
        <w:rPr>
          <w:rFonts w:eastAsia="Calibri" w:cs="Arial"/>
          <w:color w:val="000000" w:themeColor="text1"/>
          <w:lang w:eastAsia="en-US"/>
        </w:rPr>
        <w:t xml:space="preserve">Relative to </w:t>
      </w:r>
      <w:r w:rsidR="004B1773">
        <w:rPr>
          <w:rFonts w:eastAsia="Calibri" w:cs="Arial"/>
          <w:color w:val="000000" w:themeColor="text1"/>
          <w:lang w:eastAsia="en-US"/>
        </w:rPr>
        <w:t>O</w:t>
      </w:r>
      <w:r w:rsidR="00503042" w:rsidRPr="7F9134FF">
        <w:rPr>
          <w:rFonts w:eastAsia="Calibri" w:cs="Arial"/>
          <w:color w:val="000000" w:themeColor="text1"/>
          <w:lang w:eastAsia="en-US"/>
        </w:rPr>
        <w:t xml:space="preserve">ption 2, </w:t>
      </w:r>
      <w:r w:rsidR="004B1773">
        <w:rPr>
          <w:rFonts w:eastAsia="Calibri" w:cs="Arial"/>
          <w:color w:val="000000" w:themeColor="text1"/>
          <w:lang w:eastAsia="en-US"/>
        </w:rPr>
        <w:t>O</w:t>
      </w:r>
      <w:r w:rsidR="00822E64" w:rsidRPr="7F9134FF">
        <w:rPr>
          <w:rFonts w:eastAsia="Calibri" w:cs="Arial"/>
          <w:color w:val="000000" w:themeColor="text1"/>
          <w:lang w:eastAsia="en-US"/>
        </w:rPr>
        <w:t>ptions</w:t>
      </w:r>
      <w:r w:rsidR="00E454B2" w:rsidRPr="7F9134FF">
        <w:rPr>
          <w:rFonts w:eastAsia="Calibri" w:cs="Arial"/>
          <w:color w:val="000000" w:themeColor="text1"/>
          <w:lang w:eastAsia="en-US"/>
        </w:rPr>
        <w:t xml:space="preserve"> </w:t>
      </w:r>
      <w:r w:rsidR="00822E64" w:rsidRPr="7F9134FF">
        <w:rPr>
          <w:rFonts w:eastAsia="Calibri" w:cs="Arial"/>
          <w:color w:val="000000" w:themeColor="text1"/>
          <w:lang w:eastAsia="en-US"/>
        </w:rPr>
        <w:t>3</w:t>
      </w:r>
      <w:r w:rsidR="00E454B2" w:rsidRPr="7F9134FF">
        <w:rPr>
          <w:rFonts w:eastAsia="Calibri" w:cs="Arial"/>
          <w:color w:val="000000" w:themeColor="text1"/>
          <w:lang w:eastAsia="en-US"/>
        </w:rPr>
        <w:t xml:space="preserve"> and </w:t>
      </w:r>
      <w:r w:rsidR="00AF4C86">
        <w:rPr>
          <w:rFonts w:eastAsia="Calibri" w:cs="Arial"/>
          <w:color w:val="000000" w:themeColor="text1"/>
          <w:lang w:eastAsia="en-US"/>
        </w:rPr>
        <w:t xml:space="preserve">Option </w:t>
      </w:r>
      <w:r w:rsidR="00E454B2" w:rsidRPr="7F9134FF">
        <w:rPr>
          <w:rFonts w:eastAsia="Calibri" w:cs="Arial"/>
          <w:color w:val="000000" w:themeColor="text1"/>
          <w:lang w:eastAsia="en-US"/>
        </w:rPr>
        <w:t>4</w:t>
      </w:r>
      <w:r w:rsidR="004552FC" w:rsidRPr="7F9134FF">
        <w:rPr>
          <w:rFonts w:eastAsia="Calibri" w:cs="Arial"/>
          <w:color w:val="000000" w:themeColor="text1"/>
          <w:lang w:eastAsia="en-US"/>
        </w:rPr>
        <w:t xml:space="preserve"> </w:t>
      </w:r>
      <w:r w:rsidR="007E2F26" w:rsidRPr="7F9134FF">
        <w:rPr>
          <w:rFonts w:eastAsia="Calibri" w:cs="Arial"/>
          <w:color w:val="000000" w:themeColor="text1"/>
          <w:lang w:eastAsia="en-US"/>
        </w:rPr>
        <w:t xml:space="preserve">would </w:t>
      </w:r>
      <w:r w:rsidR="00633DE9" w:rsidRPr="7F9134FF">
        <w:rPr>
          <w:rFonts w:eastAsia="Calibri" w:cs="Arial"/>
          <w:color w:val="000000" w:themeColor="text1"/>
          <w:lang w:eastAsia="en-US"/>
        </w:rPr>
        <w:t>fare more favourabl</w:t>
      </w:r>
      <w:r w:rsidR="00202674" w:rsidRPr="7F9134FF">
        <w:rPr>
          <w:rFonts w:eastAsia="Calibri" w:cs="Arial"/>
          <w:color w:val="000000" w:themeColor="text1"/>
          <w:lang w:eastAsia="en-US"/>
        </w:rPr>
        <w:t>y</w:t>
      </w:r>
      <w:r w:rsidR="00633DE9" w:rsidRPr="7F9134FF">
        <w:rPr>
          <w:rFonts w:eastAsia="Calibri" w:cs="Arial"/>
          <w:color w:val="000000" w:themeColor="text1"/>
          <w:lang w:eastAsia="en-US"/>
        </w:rPr>
        <w:t xml:space="preserve"> from a global climate leadership perspective </w:t>
      </w:r>
      <w:r w:rsidR="00202674" w:rsidRPr="7F9134FF">
        <w:rPr>
          <w:rFonts w:eastAsia="Calibri" w:cs="Arial"/>
          <w:color w:val="000000" w:themeColor="text1"/>
          <w:lang w:eastAsia="en-US"/>
        </w:rPr>
        <w:t>by delivering</w:t>
      </w:r>
      <w:r w:rsidR="004552FC" w:rsidRPr="7F9134FF">
        <w:rPr>
          <w:rFonts w:eastAsia="Calibri" w:cs="Arial"/>
          <w:color w:val="000000" w:themeColor="text1"/>
          <w:lang w:eastAsia="en-US"/>
        </w:rPr>
        <w:t xml:space="preserve"> </w:t>
      </w:r>
      <w:r w:rsidR="00F26C06" w:rsidRPr="7F9134FF">
        <w:rPr>
          <w:rFonts w:eastAsia="Calibri" w:cs="Arial"/>
          <w:color w:val="000000" w:themeColor="text1"/>
          <w:lang w:eastAsia="en-US"/>
        </w:rPr>
        <w:t xml:space="preserve">faster </w:t>
      </w:r>
      <w:r w:rsidR="00202674" w:rsidRPr="7F9134FF">
        <w:rPr>
          <w:rFonts w:eastAsia="Calibri" w:cs="Arial"/>
          <w:color w:val="000000" w:themeColor="text1"/>
          <w:lang w:eastAsia="en-US"/>
        </w:rPr>
        <w:t>emission reductio</w:t>
      </w:r>
      <w:r w:rsidR="00F26C06" w:rsidRPr="7F9134FF">
        <w:rPr>
          <w:rFonts w:eastAsia="Calibri" w:cs="Arial"/>
          <w:color w:val="000000" w:themeColor="text1"/>
          <w:lang w:eastAsia="en-US"/>
        </w:rPr>
        <w:t>ns</w:t>
      </w:r>
      <w:r w:rsidR="0060159F" w:rsidRPr="7F9134FF">
        <w:rPr>
          <w:rFonts w:eastAsia="Calibri" w:cs="Arial"/>
          <w:color w:val="000000" w:themeColor="text1"/>
          <w:lang w:eastAsia="en-US"/>
        </w:rPr>
        <w:t xml:space="preserve"> and</w:t>
      </w:r>
      <w:r w:rsidR="00C16A3F" w:rsidRPr="7F9134FF">
        <w:rPr>
          <w:rFonts w:eastAsia="Calibri" w:cs="Arial"/>
          <w:color w:val="000000" w:themeColor="text1"/>
          <w:lang w:eastAsia="en-US"/>
        </w:rPr>
        <w:t xml:space="preserve"> </w:t>
      </w:r>
      <w:r w:rsidR="003240E2" w:rsidRPr="7F9134FF">
        <w:rPr>
          <w:rFonts w:eastAsia="Calibri" w:cs="Arial"/>
          <w:color w:val="000000" w:themeColor="text1"/>
          <w:lang w:eastAsia="en-US"/>
        </w:rPr>
        <w:t xml:space="preserve">resulting in lower cumulative emissions </w:t>
      </w:r>
      <w:r w:rsidR="00633DE9" w:rsidRPr="7F9134FF">
        <w:rPr>
          <w:rFonts w:eastAsia="Calibri" w:cs="Arial"/>
          <w:color w:val="000000" w:themeColor="text1"/>
          <w:lang w:eastAsia="en-US"/>
        </w:rPr>
        <w:t xml:space="preserve">to </w:t>
      </w:r>
      <w:r w:rsidR="003240E2" w:rsidRPr="7F9134FF">
        <w:rPr>
          <w:rFonts w:eastAsia="Calibri" w:cs="Arial"/>
          <w:color w:val="000000" w:themeColor="text1"/>
          <w:lang w:eastAsia="en-US"/>
        </w:rPr>
        <w:t>2050</w:t>
      </w:r>
      <w:r w:rsidR="0060159F" w:rsidRPr="7F9134FF">
        <w:rPr>
          <w:rFonts w:eastAsia="Calibri" w:cs="Arial"/>
          <w:color w:val="000000" w:themeColor="text1"/>
          <w:lang w:eastAsia="en-US"/>
        </w:rPr>
        <w:t>.</w:t>
      </w:r>
      <w:r w:rsidR="003240E2" w:rsidRPr="7F9134FF">
        <w:rPr>
          <w:rFonts w:eastAsia="Calibri" w:cs="Arial"/>
          <w:color w:val="000000" w:themeColor="text1"/>
          <w:lang w:eastAsia="en-US"/>
        </w:rPr>
        <w:t xml:space="preserve"> </w:t>
      </w:r>
      <w:r w:rsidR="008D0EB4" w:rsidRPr="008D0EB4">
        <w:rPr>
          <w:rFonts w:eastAsia="Calibri" w:cs="Arial"/>
          <w:color w:val="000000" w:themeColor="text1"/>
          <w:lang w:eastAsia="en-US"/>
        </w:rPr>
        <w:t>Although there is uncertainty, the different trajectories lead to different outcomes, and looser pathway</w:t>
      </w:r>
      <w:r w:rsidR="001D0FE7">
        <w:rPr>
          <w:rFonts w:eastAsia="Calibri" w:cs="Arial"/>
          <w:color w:val="000000" w:themeColor="text1"/>
          <w:lang w:eastAsia="en-US"/>
        </w:rPr>
        <w:t>s</w:t>
      </w:r>
      <w:r w:rsidR="008D0EB4" w:rsidRPr="008D0EB4">
        <w:rPr>
          <w:rFonts w:eastAsia="Calibri" w:cs="Arial"/>
          <w:color w:val="000000" w:themeColor="text1"/>
          <w:lang w:eastAsia="en-US"/>
        </w:rPr>
        <w:t xml:space="preserve">, all else being equal, will lead to higher global temperature, </w:t>
      </w:r>
      <w:r w:rsidR="0012246B">
        <w:rPr>
          <w:rFonts w:eastAsia="Calibri" w:cs="Arial"/>
          <w:color w:val="000000" w:themeColor="text1"/>
          <w:lang w:eastAsia="en-US"/>
        </w:rPr>
        <w:t xml:space="preserve">higher </w:t>
      </w:r>
      <w:r w:rsidR="008D0EB4" w:rsidRPr="008D0EB4">
        <w:rPr>
          <w:rFonts w:eastAsia="Calibri" w:cs="Arial"/>
          <w:color w:val="000000" w:themeColor="text1"/>
          <w:lang w:eastAsia="en-US"/>
        </w:rPr>
        <w:t xml:space="preserve">risks of extreme events or require </w:t>
      </w:r>
      <w:r w:rsidR="00282A48">
        <w:rPr>
          <w:rFonts w:eastAsia="Calibri" w:cs="Arial"/>
          <w:color w:val="000000" w:themeColor="text1"/>
          <w:lang w:eastAsia="en-US"/>
        </w:rPr>
        <w:t>greater reliance</w:t>
      </w:r>
      <w:r w:rsidR="00282A48" w:rsidRPr="008D0EB4">
        <w:rPr>
          <w:rFonts w:eastAsia="Calibri" w:cs="Arial"/>
          <w:color w:val="000000" w:themeColor="text1"/>
          <w:lang w:eastAsia="en-US"/>
        </w:rPr>
        <w:t xml:space="preserve"> </w:t>
      </w:r>
      <w:r w:rsidR="000D38F7">
        <w:rPr>
          <w:rFonts w:eastAsia="Calibri" w:cs="Arial"/>
          <w:color w:val="000000" w:themeColor="text1"/>
          <w:lang w:eastAsia="en-US"/>
        </w:rPr>
        <w:t xml:space="preserve">on </w:t>
      </w:r>
      <w:r w:rsidR="0012246B">
        <w:rPr>
          <w:rFonts w:eastAsia="Calibri" w:cs="Arial"/>
          <w:color w:val="000000" w:themeColor="text1"/>
          <w:lang w:eastAsia="en-US"/>
        </w:rPr>
        <w:t>GHG removal technologies</w:t>
      </w:r>
      <w:r w:rsidR="008D0EB4" w:rsidRPr="008D0EB4">
        <w:rPr>
          <w:rFonts w:eastAsia="Calibri" w:cs="Arial"/>
          <w:color w:val="000000" w:themeColor="text1"/>
          <w:lang w:eastAsia="en-US"/>
        </w:rPr>
        <w:t xml:space="preserve"> in the long-term to meet the </w:t>
      </w:r>
      <w:r w:rsidR="001D0FE7">
        <w:rPr>
          <w:rFonts w:eastAsia="Calibri" w:cs="Arial"/>
          <w:color w:val="000000" w:themeColor="text1"/>
          <w:lang w:eastAsia="en-US"/>
        </w:rPr>
        <w:t>Paris Agreement’s temperature goal.</w:t>
      </w:r>
    </w:p>
    <w:p w14:paraId="79DBFB98" w14:textId="65D7AC04" w:rsidR="001C4454" w:rsidRPr="001C4454" w:rsidRDefault="001C4454" w:rsidP="0071483C">
      <w:pPr>
        <w:spacing w:after="200" w:line="259" w:lineRule="auto"/>
        <w:rPr>
          <w:rFonts w:eastAsia="Calibri" w:cs="Arial"/>
          <w:i/>
          <w:iCs/>
          <w:color w:val="000000"/>
          <w:lang w:eastAsia="en-US"/>
        </w:rPr>
      </w:pPr>
      <w:r w:rsidRPr="001C4454">
        <w:rPr>
          <w:rFonts w:eastAsia="Calibri" w:cs="Arial"/>
          <w:b/>
          <w:i/>
          <w:color w:val="000000"/>
          <w:lang w:eastAsia="en-US"/>
        </w:rPr>
        <w:t xml:space="preserve"> 4) Quantified costs and benefits</w:t>
      </w:r>
    </w:p>
    <w:p w14:paraId="074FEDCF" w14:textId="3DDC16C1" w:rsidR="001C4454" w:rsidRPr="001C4454" w:rsidRDefault="001C4454" w:rsidP="0048544D">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This criterion quantifies as many costs and benefits as possible</w:t>
      </w:r>
      <w:r w:rsidR="00C92622">
        <w:rPr>
          <w:rFonts w:eastAsia="Calibri" w:cs="Arial"/>
          <w:color w:val="000000"/>
          <w:lang w:eastAsia="en-US"/>
        </w:rPr>
        <w:t xml:space="preserve"> related to the</w:t>
      </w:r>
      <w:r w:rsidR="006C1132">
        <w:rPr>
          <w:rFonts w:eastAsia="Calibri" w:cs="Arial"/>
          <w:color w:val="000000"/>
          <w:lang w:eastAsia="en-US"/>
        </w:rPr>
        <w:t xml:space="preserve"> level</w:t>
      </w:r>
      <w:r w:rsidRPr="001C4454">
        <w:rPr>
          <w:rFonts w:eastAsia="Calibri" w:cs="Arial"/>
          <w:color w:val="000000"/>
          <w:lang w:eastAsia="en-US"/>
        </w:rPr>
        <w:t xml:space="preserve"> of </w:t>
      </w:r>
      <w:r w:rsidR="006C1132">
        <w:rPr>
          <w:rFonts w:eastAsia="Calibri" w:cs="Arial"/>
          <w:color w:val="000000"/>
          <w:lang w:eastAsia="en-US"/>
        </w:rPr>
        <w:t>the sixth carbon budget</w:t>
      </w:r>
      <w:r w:rsidR="006D303D">
        <w:rPr>
          <w:rFonts w:eastAsia="Calibri" w:cs="Arial"/>
          <w:color w:val="000000"/>
          <w:lang w:eastAsia="en-US"/>
        </w:rPr>
        <w:t xml:space="preserve">. </w:t>
      </w:r>
      <w:r w:rsidRPr="001C4454">
        <w:rPr>
          <w:rFonts w:eastAsia="Calibri" w:cs="Arial"/>
          <w:color w:val="000000"/>
          <w:lang w:eastAsia="en-US"/>
        </w:rPr>
        <w:t xml:space="preserve"> </w:t>
      </w:r>
      <w:r w:rsidR="00555C3F">
        <w:rPr>
          <w:rFonts w:eastAsia="Calibri" w:cs="Arial"/>
          <w:color w:val="000000"/>
          <w:lang w:eastAsia="en-US"/>
        </w:rPr>
        <w:t xml:space="preserve">The long-lived nature of technologies means </w:t>
      </w:r>
      <w:r w:rsidRPr="001C4454" w:rsidDel="006D303D">
        <w:rPr>
          <w:rFonts w:eastAsia="Calibri" w:cs="Arial"/>
          <w:color w:val="000000"/>
          <w:lang w:eastAsia="en-US"/>
        </w:rPr>
        <w:t>m</w:t>
      </w:r>
      <w:r w:rsidRPr="001C4454">
        <w:rPr>
          <w:rFonts w:eastAsia="Calibri" w:cs="Arial"/>
          <w:color w:val="000000"/>
          <w:lang w:eastAsia="en-US"/>
        </w:rPr>
        <w:t xml:space="preserve">any of </w:t>
      </w:r>
      <w:r w:rsidR="006D303D">
        <w:rPr>
          <w:rFonts w:eastAsia="Calibri" w:cs="Arial"/>
          <w:color w:val="000000"/>
          <w:lang w:eastAsia="en-US"/>
        </w:rPr>
        <w:t>these</w:t>
      </w:r>
      <w:r w:rsidR="006C1132">
        <w:rPr>
          <w:rFonts w:eastAsia="Calibri" w:cs="Arial"/>
          <w:color w:val="000000"/>
          <w:lang w:eastAsia="en-US"/>
        </w:rPr>
        <w:t xml:space="preserve"> costs and benefits</w:t>
      </w:r>
      <w:r w:rsidRPr="001C4454">
        <w:rPr>
          <w:rFonts w:eastAsia="Calibri" w:cs="Arial"/>
          <w:color w:val="000000"/>
          <w:lang w:eastAsia="en-US"/>
        </w:rPr>
        <w:t xml:space="preserve"> occur before the </w:t>
      </w:r>
      <w:r w:rsidR="006D303D">
        <w:rPr>
          <w:rFonts w:eastAsia="Calibri" w:cs="Arial"/>
          <w:color w:val="000000"/>
          <w:lang w:eastAsia="en-US"/>
        </w:rPr>
        <w:t xml:space="preserve">sixth carbon </w:t>
      </w:r>
      <w:r w:rsidRPr="001C4454">
        <w:rPr>
          <w:rFonts w:eastAsia="Calibri" w:cs="Arial"/>
          <w:color w:val="000000"/>
          <w:lang w:eastAsia="en-US"/>
        </w:rPr>
        <w:t xml:space="preserve">budget period begins and endure after it has </w:t>
      </w:r>
      <w:r w:rsidRPr="001C4454">
        <w:rPr>
          <w:rFonts w:eastAsia="Calibri" w:cs="Arial"/>
          <w:color w:val="000000"/>
          <w:lang w:eastAsia="en-US"/>
        </w:rPr>
        <w:lastRenderedPageBreak/>
        <w:t xml:space="preserve">ended. </w:t>
      </w:r>
      <w:r w:rsidR="00C7644A">
        <w:rPr>
          <w:rFonts w:eastAsia="Calibri" w:cs="Arial"/>
          <w:color w:val="000000"/>
          <w:lang w:eastAsia="en-US"/>
        </w:rPr>
        <w:t xml:space="preserve">Moreover, the level of the sixth carbon budget will have a large bearing on the overall pathway to net zero in 2050. </w:t>
      </w:r>
      <w:r w:rsidR="008F43C5">
        <w:rPr>
          <w:rFonts w:eastAsia="Calibri" w:cs="Arial"/>
          <w:color w:val="000000"/>
          <w:lang w:eastAsia="en-US"/>
        </w:rPr>
        <w:t xml:space="preserve">The appraisal therefore considers costs and benefits over the period </w:t>
      </w:r>
      <w:r w:rsidR="00C92622">
        <w:rPr>
          <w:rFonts w:eastAsia="Calibri" w:cs="Arial"/>
          <w:color w:val="000000"/>
          <w:lang w:eastAsia="en-US"/>
        </w:rPr>
        <w:t xml:space="preserve">from </w:t>
      </w:r>
      <w:r w:rsidR="008F43C5">
        <w:rPr>
          <w:rFonts w:eastAsia="Calibri" w:cs="Arial"/>
          <w:color w:val="000000"/>
          <w:lang w:eastAsia="en-US"/>
        </w:rPr>
        <w:t xml:space="preserve">2020 to 2050. </w:t>
      </w:r>
      <w:r w:rsidRPr="001C4454">
        <w:rPr>
          <w:rFonts w:eastAsia="Calibri" w:cs="Arial"/>
          <w:color w:val="000000"/>
          <w:lang w:eastAsia="en-US"/>
        </w:rPr>
        <w:t xml:space="preserve">However, the cost-benefit analysis should not be seen as a full appraisal of the UK’s decision to achieve net zero by 2050. It is not exhaustive: it does not, for example, </w:t>
      </w:r>
      <w:r w:rsidR="00665859">
        <w:rPr>
          <w:rFonts w:eastAsia="Calibri" w:cs="Arial"/>
          <w:color w:val="000000"/>
          <w:lang w:eastAsia="en-US"/>
        </w:rPr>
        <w:t>quantify</w:t>
      </w:r>
      <w:r w:rsidRPr="001C4454">
        <w:rPr>
          <w:rFonts w:eastAsia="Calibri" w:cs="Arial"/>
          <w:color w:val="000000"/>
          <w:lang w:eastAsia="en-US"/>
        </w:rPr>
        <w:t xml:space="preserve"> potential industrial opportunities or transition risks, which will depend on how the budget is delivered, and wider co-benefits such as health outcomes.</w:t>
      </w:r>
    </w:p>
    <w:p w14:paraId="2062CDC8" w14:textId="2AE9C15C" w:rsidR="001C4454" w:rsidRPr="001C4454" w:rsidRDefault="001C4454" w:rsidP="0048544D">
      <w:pPr>
        <w:numPr>
          <w:ilvl w:val="0"/>
          <w:numId w:val="489"/>
        </w:numPr>
        <w:spacing w:after="200" w:line="259" w:lineRule="auto"/>
        <w:rPr>
          <w:rFonts w:eastAsia="Calibri" w:cs="Arial"/>
          <w:color w:val="000000"/>
          <w:lang w:eastAsia="en-US"/>
        </w:rPr>
      </w:pPr>
      <w:r w:rsidRPr="1EAAFEFF">
        <w:rPr>
          <w:rFonts w:eastAsia="Calibri" w:cs="Arial"/>
          <w:color w:val="000000" w:themeColor="text1"/>
          <w:lang w:eastAsia="en-US"/>
        </w:rPr>
        <w:t xml:space="preserve">The majority of </w:t>
      </w:r>
      <w:r w:rsidR="00C7644A" w:rsidRPr="1EAAFEFF">
        <w:rPr>
          <w:rFonts w:eastAsia="Calibri" w:cs="Arial"/>
          <w:color w:val="000000" w:themeColor="text1"/>
          <w:lang w:eastAsia="en-US"/>
        </w:rPr>
        <w:t xml:space="preserve">quantified </w:t>
      </w:r>
      <w:r w:rsidRPr="1EAAFEFF">
        <w:rPr>
          <w:rFonts w:eastAsia="Calibri" w:cs="Arial"/>
          <w:color w:val="000000" w:themeColor="text1"/>
          <w:lang w:eastAsia="en-US"/>
        </w:rPr>
        <w:t xml:space="preserve">benefits are </w:t>
      </w:r>
      <w:r w:rsidR="00C7644A" w:rsidRPr="1EAAFEFF">
        <w:rPr>
          <w:rFonts w:eastAsia="Calibri" w:cs="Arial"/>
          <w:color w:val="000000" w:themeColor="text1"/>
          <w:lang w:eastAsia="en-US"/>
        </w:rPr>
        <w:t>emissions</w:t>
      </w:r>
      <w:r w:rsidRPr="1EAAFEFF">
        <w:rPr>
          <w:rFonts w:eastAsia="Calibri" w:cs="Arial"/>
          <w:color w:val="000000" w:themeColor="text1"/>
          <w:lang w:eastAsia="en-US"/>
        </w:rPr>
        <w:t xml:space="preserve"> savings, with </w:t>
      </w:r>
      <w:r w:rsidR="00A34032" w:rsidRPr="1EAAFEFF">
        <w:rPr>
          <w:rFonts w:eastAsia="Calibri" w:cs="Arial"/>
          <w:color w:val="000000" w:themeColor="text1"/>
          <w:lang w:eastAsia="en-US"/>
        </w:rPr>
        <w:t>fossil</w:t>
      </w:r>
      <w:r w:rsidRPr="1EAAFEFF">
        <w:rPr>
          <w:rFonts w:eastAsia="Calibri" w:cs="Arial"/>
          <w:color w:val="000000" w:themeColor="text1"/>
          <w:lang w:eastAsia="en-US"/>
        </w:rPr>
        <w:t xml:space="preserve"> fuel savings, air quality improvements and other natural capital impacts constituting the remaining benefits. Non-carbon benefits do not differ</w:t>
      </w:r>
      <w:r w:rsidR="00047AEC" w:rsidRPr="1EAAFEFF">
        <w:rPr>
          <w:rFonts w:eastAsia="Calibri" w:cs="Arial"/>
          <w:color w:val="000000" w:themeColor="text1"/>
          <w:lang w:eastAsia="en-US"/>
        </w:rPr>
        <w:t xml:space="preserve"> </w:t>
      </w:r>
      <w:r w:rsidRPr="1EAAFEFF">
        <w:rPr>
          <w:rFonts w:eastAsia="Calibri" w:cs="Arial"/>
          <w:color w:val="000000" w:themeColor="text1"/>
          <w:lang w:eastAsia="en-US"/>
        </w:rPr>
        <w:t>significantly between options. The large majority of costs are the additional capital costs (and associated financing) of low carbon technologies. Significant fuel savings are expected, offsetting 20% of additional capital costs.</w:t>
      </w:r>
      <w:r w:rsidR="00370F9F" w:rsidRPr="1EAAFEFF">
        <w:rPr>
          <w:rFonts w:eastAsia="Calibri" w:cs="Arial"/>
          <w:color w:val="000000" w:themeColor="text1"/>
          <w:lang w:eastAsia="en-US"/>
        </w:rPr>
        <w:t xml:space="preserve"> </w:t>
      </w:r>
      <w:r w:rsidR="00F937D5" w:rsidRPr="007B4DAD">
        <w:rPr>
          <w:rFonts w:eastAsia="Calibri" w:cs="Arial"/>
          <w:color w:val="000000" w:themeColor="text1"/>
          <w:lang w:eastAsia="en-US"/>
        </w:rPr>
        <w:t xml:space="preserve">It is </w:t>
      </w:r>
      <w:r w:rsidR="00370F9F" w:rsidRPr="007B4DAD">
        <w:rPr>
          <w:rFonts w:eastAsia="Calibri" w:cs="Arial"/>
          <w:color w:val="000000" w:themeColor="text1"/>
          <w:lang w:eastAsia="en-US"/>
        </w:rPr>
        <w:t>estimate</w:t>
      </w:r>
      <w:r w:rsidR="00F937D5" w:rsidRPr="007B4DAD">
        <w:rPr>
          <w:rFonts w:eastAsia="Calibri" w:cs="Arial"/>
          <w:color w:val="000000" w:themeColor="text1"/>
          <w:lang w:eastAsia="en-US"/>
        </w:rPr>
        <w:t>d</w:t>
      </w:r>
      <w:r w:rsidR="00370F9F" w:rsidRPr="007B4DAD">
        <w:rPr>
          <w:rFonts w:eastAsia="Calibri" w:cs="Arial"/>
          <w:color w:val="000000" w:themeColor="text1"/>
          <w:lang w:eastAsia="en-US"/>
        </w:rPr>
        <w:t xml:space="preserve"> that </w:t>
      </w:r>
      <w:r w:rsidR="000454CB" w:rsidRPr="007B4DAD">
        <w:rPr>
          <w:rFonts w:eastAsia="Calibri" w:cs="Arial"/>
          <w:color w:val="000000" w:themeColor="text1"/>
          <w:lang w:eastAsia="en-US"/>
        </w:rPr>
        <w:t>the net</w:t>
      </w:r>
      <w:r w:rsidR="00F937D5" w:rsidRPr="007B4DAD">
        <w:rPr>
          <w:rFonts w:eastAsia="Calibri" w:cs="Arial"/>
          <w:color w:val="000000" w:themeColor="text1"/>
          <w:lang w:eastAsia="en-US"/>
        </w:rPr>
        <w:t xml:space="preserve"> </w:t>
      </w:r>
      <w:r w:rsidR="000454CB" w:rsidRPr="007B4DAD">
        <w:rPr>
          <w:rFonts w:eastAsia="Calibri" w:cs="Arial"/>
          <w:color w:val="000000" w:themeColor="text1"/>
          <w:lang w:eastAsia="en-US"/>
        </w:rPr>
        <w:t xml:space="preserve">cost </w:t>
      </w:r>
      <w:r w:rsidR="00C474B4" w:rsidRPr="007B4DAD">
        <w:rPr>
          <w:rFonts w:eastAsia="Calibri" w:cs="Arial"/>
          <w:color w:val="000000" w:themeColor="text1"/>
          <w:lang w:eastAsia="en-US"/>
        </w:rPr>
        <w:t>(excluding air</w:t>
      </w:r>
      <w:r w:rsidR="001D0945" w:rsidRPr="007B4DAD">
        <w:rPr>
          <w:rFonts w:eastAsia="Calibri" w:cs="Arial"/>
          <w:color w:val="000000" w:themeColor="text1"/>
          <w:lang w:eastAsia="en-US"/>
        </w:rPr>
        <w:t xml:space="preserve"> quality and</w:t>
      </w:r>
      <w:r w:rsidR="000A0A7E" w:rsidRPr="007B4DAD">
        <w:rPr>
          <w:rFonts w:eastAsia="Calibri" w:cs="Arial"/>
          <w:color w:val="000000" w:themeColor="text1"/>
          <w:lang w:eastAsia="en-US"/>
        </w:rPr>
        <w:t xml:space="preserve"> emissions savings benefits)</w:t>
      </w:r>
      <w:r w:rsidR="001D0945" w:rsidRPr="007B4DAD">
        <w:rPr>
          <w:rFonts w:eastAsia="Calibri" w:cs="Arial"/>
          <w:color w:val="000000" w:themeColor="text1"/>
          <w:lang w:eastAsia="en-US"/>
        </w:rPr>
        <w:t xml:space="preserve"> </w:t>
      </w:r>
      <w:r w:rsidR="000454CB" w:rsidRPr="007B4DAD">
        <w:rPr>
          <w:rFonts w:eastAsia="Calibri" w:cs="Arial"/>
          <w:color w:val="000000" w:themeColor="text1"/>
          <w:lang w:eastAsia="en-US"/>
        </w:rPr>
        <w:t xml:space="preserve">of meeting the </w:t>
      </w:r>
      <w:r w:rsidR="00F937D5" w:rsidRPr="007B4DAD">
        <w:rPr>
          <w:rFonts w:eastAsia="Calibri" w:cs="Arial"/>
          <w:color w:val="000000" w:themeColor="text1"/>
          <w:lang w:eastAsia="en-US"/>
        </w:rPr>
        <w:t xml:space="preserve">CCC’s recommend </w:t>
      </w:r>
      <w:r w:rsidR="000454CB" w:rsidRPr="007B4DAD">
        <w:rPr>
          <w:rFonts w:eastAsia="Calibri" w:cs="Arial"/>
          <w:color w:val="000000" w:themeColor="text1"/>
          <w:lang w:eastAsia="en-US"/>
        </w:rPr>
        <w:t xml:space="preserve">sixth carbon budget </w:t>
      </w:r>
      <w:r w:rsidR="00F937D5" w:rsidRPr="007B4DAD">
        <w:rPr>
          <w:rFonts w:eastAsia="Calibri" w:cs="Arial"/>
          <w:color w:val="000000" w:themeColor="text1"/>
          <w:lang w:eastAsia="en-US"/>
        </w:rPr>
        <w:t xml:space="preserve">level </w:t>
      </w:r>
      <w:r w:rsidR="00FC75D0" w:rsidRPr="007B4DAD">
        <w:rPr>
          <w:rFonts w:eastAsia="Calibri" w:cs="Arial"/>
          <w:color w:val="000000" w:themeColor="text1"/>
          <w:lang w:eastAsia="en-US"/>
        </w:rPr>
        <w:t xml:space="preserve">will be equivalent to </w:t>
      </w:r>
      <w:r w:rsidR="000454CB" w:rsidRPr="007B4DAD">
        <w:rPr>
          <w:rFonts w:eastAsia="Calibri" w:cs="Arial"/>
          <w:color w:val="000000" w:themeColor="text1"/>
          <w:lang w:eastAsia="en-US"/>
        </w:rPr>
        <w:t>1.6% of GDP in</w:t>
      </w:r>
      <w:r w:rsidR="000B2E5C" w:rsidRPr="007B4DAD">
        <w:rPr>
          <w:rFonts w:eastAsia="Calibri" w:cs="Arial"/>
          <w:color w:val="000000" w:themeColor="text1"/>
          <w:lang w:eastAsia="en-US"/>
        </w:rPr>
        <w:t xml:space="preserve"> 2035.</w:t>
      </w:r>
    </w:p>
    <w:p w14:paraId="097D3240" w14:textId="64ABC14F" w:rsidR="001C4454" w:rsidRPr="001C4454" w:rsidRDefault="001C4454" w:rsidP="0048544D">
      <w:pPr>
        <w:numPr>
          <w:ilvl w:val="0"/>
          <w:numId w:val="489"/>
        </w:numPr>
        <w:spacing w:after="200" w:line="259" w:lineRule="auto"/>
        <w:rPr>
          <w:rFonts w:eastAsia="Calibri" w:cs="Arial"/>
          <w:color w:val="000000"/>
          <w:lang w:eastAsia="en-US"/>
        </w:rPr>
      </w:pPr>
      <w:r w:rsidRPr="001C4454">
        <w:rPr>
          <w:rFonts w:eastAsia="Calibri" w:cs="Arial"/>
          <w:color w:val="000000"/>
          <w:lang w:eastAsia="en-US"/>
        </w:rPr>
        <w:t>Options 2</w:t>
      </w:r>
      <w:r w:rsidR="0048544D">
        <w:rPr>
          <w:rFonts w:eastAsia="Calibri" w:cs="Arial"/>
          <w:color w:val="000000"/>
          <w:lang w:eastAsia="en-US"/>
        </w:rPr>
        <w:t xml:space="preserve"> to </w:t>
      </w:r>
      <w:r w:rsidRPr="001C4454">
        <w:rPr>
          <w:rFonts w:eastAsia="Calibri" w:cs="Arial"/>
          <w:color w:val="000000"/>
          <w:lang w:eastAsia="en-US"/>
        </w:rPr>
        <w:t>4 have significantly positive net present values (NPVs), with quantified benefits more than offsetting the costs. Results are sensitive to modelling assumptions – most notably, the NPVs increase in a high C</w:t>
      </w:r>
      <w:r w:rsidR="0049285E">
        <w:rPr>
          <w:rFonts w:eastAsia="Calibri" w:cs="Arial"/>
          <w:color w:val="000000"/>
          <w:lang w:eastAsia="en-US"/>
        </w:rPr>
        <w:t>arbon Capture and Storage (</w:t>
      </w:r>
      <w:r w:rsidRPr="001C4454">
        <w:rPr>
          <w:rFonts w:eastAsia="Calibri" w:cs="Arial"/>
          <w:color w:val="000000"/>
          <w:lang w:eastAsia="en-US"/>
        </w:rPr>
        <w:t>CCS</w:t>
      </w:r>
      <w:r w:rsidR="0049285E">
        <w:rPr>
          <w:rFonts w:eastAsia="Calibri" w:cs="Arial"/>
          <w:color w:val="000000"/>
          <w:lang w:eastAsia="en-US"/>
        </w:rPr>
        <w:t>)</w:t>
      </w:r>
      <w:r w:rsidRPr="001C4454">
        <w:rPr>
          <w:rFonts w:eastAsia="Calibri" w:cs="Arial"/>
          <w:color w:val="000000"/>
          <w:lang w:eastAsia="en-US"/>
        </w:rPr>
        <w:t xml:space="preserve"> scenario and decrease if CCS were delayed. Less ambitious options have marginally higher NPVs than more ambitious levels, indicating that the marginal cost of abatement is higher than </w:t>
      </w:r>
      <w:r w:rsidR="0049285E">
        <w:rPr>
          <w:rFonts w:eastAsia="Calibri" w:cs="Arial"/>
          <w:color w:val="000000"/>
          <w:lang w:eastAsia="en-US"/>
        </w:rPr>
        <w:t>g</w:t>
      </w:r>
      <w:r w:rsidR="007C6560">
        <w:rPr>
          <w:rFonts w:eastAsia="Calibri" w:cs="Arial"/>
          <w:color w:val="000000"/>
          <w:lang w:eastAsia="en-US"/>
        </w:rPr>
        <w:t>overnment</w:t>
      </w:r>
      <w:r w:rsidRPr="001C4454">
        <w:rPr>
          <w:rFonts w:eastAsia="Calibri" w:cs="Arial"/>
          <w:color w:val="000000"/>
          <w:lang w:eastAsia="en-US"/>
        </w:rPr>
        <w:t xml:space="preserve">’s current </w:t>
      </w:r>
      <w:r w:rsidR="0049285E">
        <w:rPr>
          <w:rFonts w:eastAsia="Calibri" w:cs="Arial"/>
          <w:color w:val="000000"/>
          <w:lang w:eastAsia="en-US"/>
        </w:rPr>
        <w:t xml:space="preserve">high </w:t>
      </w:r>
      <w:r w:rsidRPr="001C4454">
        <w:rPr>
          <w:rFonts w:eastAsia="Calibri" w:cs="Arial"/>
          <w:color w:val="000000"/>
          <w:lang w:eastAsia="en-US"/>
        </w:rPr>
        <w:t xml:space="preserve">carbon values. However, differences between options are small in </w:t>
      </w:r>
      <w:r w:rsidR="00486E9C">
        <w:rPr>
          <w:rFonts w:eastAsia="Calibri" w:cs="Arial"/>
          <w:color w:val="000000"/>
          <w:lang w:eastAsia="en-US"/>
        </w:rPr>
        <w:t>percentage</w:t>
      </w:r>
      <w:r w:rsidRPr="001C4454">
        <w:rPr>
          <w:rFonts w:eastAsia="Calibri" w:cs="Arial"/>
          <w:color w:val="000000"/>
          <w:lang w:eastAsia="en-US"/>
        </w:rPr>
        <w:t xml:space="preserve"> terms: for example, the NPV for Option 2 is £2</w:t>
      </w:r>
      <w:r w:rsidR="004B1773">
        <w:rPr>
          <w:rFonts w:eastAsia="Calibri" w:cs="Arial"/>
          <w:color w:val="000000"/>
          <w:lang w:eastAsia="en-US"/>
        </w:rPr>
        <w:t>3</w:t>
      </w:r>
      <w:r w:rsidRPr="001C4454">
        <w:rPr>
          <w:rFonts w:eastAsia="Calibri" w:cs="Arial"/>
          <w:color w:val="000000"/>
          <w:lang w:eastAsia="en-US"/>
        </w:rPr>
        <w:t>bn higher than Option 3 in the core pathway</w:t>
      </w:r>
      <w:r w:rsidR="00111AE8">
        <w:rPr>
          <w:rFonts w:eastAsia="Calibri" w:cs="Arial"/>
          <w:color w:val="000000"/>
          <w:lang w:eastAsia="en-US"/>
        </w:rPr>
        <w:t xml:space="preserve">, </w:t>
      </w:r>
      <w:r w:rsidRPr="001C4454">
        <w:rPr>
          <w:rFonts w:eastAsia="Calibri" w:cs="Arial"/>
          <w:color w:val="000000"/>
          <w:lang w:eastAsia="en-US"/>
        </w:rPr>
        <w:t xml:space="preserve">a difference of </w:t>
      </w:r>
      <w:r w:rsidR="004B1773">
        <w:rPr>
          <w:rFonts w:eastAsia="Calibri" w:cs="Arial"/>
          <w:color w:val="000000"/>
          <w:lang w:eastAsia="en-US"/>
        </w:rPr>
        <w:t>9</w:t>
      </w:r>
      <w:r w:rsidRPr="001C4454">
        <w:rPr>
          <w:rFonts w:eastAsia="Calibri" w:cs="Arial"/>
          <w:color w:val="000000"/>
          <w:lang w:eastAsia="en-US"/>
        </w:rPr>
        <w:t>%.</w:t>
      </w:r>
    </w:p>
    <w:p w14:paraId="22FD6465" w14:textId="3715B1DC" w:rsidR="001C4454" w:rsidRPr="001C4454" w:rsidRDefault="001C4454" w:rsidP="0071483C">
      <w:pPr>
        <w:numPr>
          <w:ilvl w:val="0"/>
          <w:numId w:val="489"/>
        </w:numPr>
        <w:spacing w:after="200" w:line="259" w:lineRule="auto"/>
        <w:rPr>
          <w:rFonts w:eastAsia="Calibri" w:cs="Arial"/>
          <w:color w:val="000000"/>
          <w:lang w:eastAsia="en-US"/>
        </w:rPr>
      </w:pPr>
      <w:r w:rsidRPr="007B4DAD">
        <w:rPr>
          <w:rFonts w:eastAsia="Calibri" w:cs="Arial"/>
          <w:lang w:eastAsia="en-US"/>
        </w:rPr>
        <w:t xml:space="preserve">There is considerable uncertainty around NPV estimates, especially while the policies to meet the budget are </w:t>
      </w:r>
      <w:r w:rsidR="001D7124" w:rsidRPr="007B4DAD">
        <w:rPr>
          <w:rFonts w:eastAsia="Calibri" w:cs="Arial"/>
          <w:lang w:eastAsia="en-US"/>
        </w:rPr>
        <w:t>not confirmed</w:t>
      </w:r>
      <w:r w:rsidRPr="007B4DAD">
        <w:rPr>
          <w:rFonts w:eastAsia="Calibri" w:cs="Arial"/>
          <w:lang w:eastAsia="en-US"/>
        </w:rPr>
        <w:t>. For example, tighter budget levels could have the potential to increase the rate of technology cost reductions</w:t>
      </w:r>
      <w:r w:rsidR="00B53B5A" w:rsidRPr="007B4DAD">
        <w:rPr>
          <w:rFonts w:eastAsia="Calibri" w:cs="Arial"/>
          <w:lang w:eastAsia="en-US"/>
        </w:rPr>
        <w:t xml:space="preserve"> (particularly those where cost reduction is driven by UK rather than global deployment)</w:t>
      </w:r>
      <w:r w:rsidRPr="007B4DAD">
        <w:rPr>
          <w:rFonts w:eastAsia="Calibri" w:cs="Arial"/>
          <w:lang w:eastAsia="en-US"/>
        </w:rPr>
        <w:t>, and also increase the value of additional exports of UK low carbon technologies.</w:t>
      </w:r>
      <w:r w:rsidR="00E32FA7" w:rsidRPr="007B4DAD">
        <w:rPr>
          <w:rFonts w:eastAsia="Calibri" w:cs="Arial"/>
          <w:lang w:eastAsia="en-US"/>
        </w:rPr>
        <w:t xml:space="preserve"> </w:t>
      </w:r>
      <w:r w:rsidR="00DA490C" w:rsidRPr="00826770">
        <w:t xml:space="preserve">There is also, however, a possibility that the UK </w:t>
      </w:r>
      <w:r w:rsidR="001728AE">
        <w:t>c</w:t>
      </w:r>
      <w:r w:rsidR="006E35A3">
        <w:t xml:space="preserve">ould benefit from </w:t>
      </w:r>
      <w:r w:rsidR="00DA490C" w:rsidRPr="00826770">
        <w:t>cost reductions driven by technological deployment in other countries which choose to decarbonise faster</w:t>
      </w:r>
      <w:r w:rsidR="749D086B">
        <w:t>, balanced aga</w:t>
      </w:r>
      <w:r w:rsidR="6540377C">
        <w:t xml:space="preserve">inst the risk that less action from the UK </w:t>
      </w:r>
      <w:r w:rsidR="549A3187">
        <w:t>would slow global efforts and so resu</w:t>
      </w:r>
      <w:r w:rsidR="23070112">
        <w:t>lt</w:t>
      </w:r>
      <w:r w:rsidR="549A3187">
        <w:t xml:space="preserve"> in higher costs for all.</w:t>
      </w:r>
      <w:r w:rsidR="00DA490C" w:rsidRPr="00826770">
        <w:t xml:space="preserve"> </w:t>
      </w:r>
    </w:p>
    <w:p w14:paraId="7C722938" w14:textId="0AE0B4B6" w:rsidR="000A0A7E" w:rsidRPr="007B4DAD" w:rsidRDefault="0070662E" w:rsidP="007B4DAD">
      <w:pPr>
        <w:numPr>
          <w:ilvl w:val="0"/>
          <w:numId w:val="489"/>
        </w:numPr>
        <w:spacing w:after="240" w:line="259" w:lineRule="auto"/>
        <w:rPr>
          <w:rFonts w:eastAsia="Calibri" w:cs="Arial"/>
          <w:color w:val="000000"/>
          <w:lang w:eastAsia="en-US"/>
        </w:rPr>
      </w:pPr>
      <w:r w:rsidRPr="434235AB">
        <w:rPr>
          <w:rFonts w:eastAsia="Calibri" w:cs="Arial"/>
          <w:color w:val="000000" w:themeColor="text1"/>
          <w:lang w:eastAsia="en-US"/>
        </w:rPr>
        <w:t>Increased climate ambition can foster innovation that increases domestic competitiveness and provides potential export opportunities for some sectors. But there will also be risks to competitiveness, particularly for sectors that are trade-exposed or carbon intensive, and these risks are greater if the UK's climate ambition continues to exceed that of trading partners.</w:t>
      </w:r>
      <w:r w:rsidR="004B3034">
        <w:rPr>
          <w:rFonts w:eastAsia="Calibri" w:cs="Arial"/>
          <w:color w:val="000000" w:themeColor="text1"/>
          <w:lang w:eastAsia="en-US"/>
        </w:rPr>
        <w:t xml:space="preserve"> </w:t>
      </w:r>
      <w:r w:rsidR="004B3034">
        <w:rPr>
          <w:rFonts w:eastAsia="Calibri" w:cs="Arial"/>
          <w:lang w:eastAsia="en-US"/>
        </w:rPr>
        <w:t>Other countries could also benefit from earlier UK investment and cost reduction in key technologies, which could help support global decarbonisation but presents potential risk</w:t>
      </w:r>
      <w:r w:rsidR="000B2B22">
        <w:rPr>
          <w:rFonts w:eastAsia="Calibri" w:cs="Arial"/>
          <w:lang w:eastAsia="en-US"/>
        </w:rPr>
        <w:t>s</w:t>
      </w:r>
      <w:r w:rsidR="004B3034">
        <w:rPr>
          <w:rFonts w:eastAsia="Calibri" w:cs="Arial"/>
          <w:lang w:eastAsia="en-US"/>
        </w:rPr>
        <w:t xml:space="preserve"> to UK competitiveness that would have to be managed.  </w:t>
      </w:r>
    </w:p>
    <w:p w14:paraId="6E01316F" w14:textId="3D54CBB4" w:rsidR="001C4454" w:rsidRPr="001C4454" w:rsidRDefault="001C4454" w:rsidP="0071483C">
      <w:pPr>
        <w:spacing w:after="200" w:line="259" w:lineRule="auto"/>
        <w:rPr>
          <w:rFonts w:eastAsia="Calibri" w:cs="Arial"/>
          <w:i/>
          <w:iCs/>
          <w:color w:val="000000"/>
          <w:lang w:eastAsia="en-US"/>
        </w:rPr>
      </w:pPr>
      <w:r w:rsidRPr="59423A27">
        <w:rPr>
          <w:rFonts w:eastAsia="Calibri" w:cs="Arial"/>
          <w:b/>
          <w:i/>
          <w:color w:val="000000" w:themeColor="text1"/>
          <w:lang w:eastAsia="en-US"/>
        </w:rPr>
        <w:t>5) Unquantified costs and benefits and wider impacts</w:t>
      </w:r>
    </w:p>
    <w:p w14:paraId="104E52B4" w14:textId="7DB54C71" w:rsidR="00822E64" w:rsidRPr="001C4454" w:rsidRDefault="00822E64" w:rsidP="001C4454">
      <w:pPr>
        <w:numPr>
          <w:ilvl w:val="0"/>
          <w:numId w:val="489"/>
        </w:numPr>
        <w:spacing w:after="160" w:line="259" w:lineRule="auto"/>
        <w:rPr>
          <w:rFonts w:eastAsia="Calibri" w:cs="Arial"/>
          <w:color w:val="000000"/>
          <w:lang w:eastAsia="en-US"/>
        </w:rPr>
      </w:pPr>
      <w:r w:rsidRPr="434235AB">
        <w:rPr>
          <w:rFonts w:eastAsia="Calibri" w:cs="Arial"/>
          <w:color w:val="000000" w:themeColor="text1"/>
          <w:lang w:eastAsia="en-US"/>
        </w:rPr>
        <w:t>As it is not possible to quantify all costs and benefits, this criterion considers wider impacts,</w:t>
      </w:r>
      <w:r w:rsidR="00E22956">
        <w:rPr>
          <w:rFonts w:eastAsia="Calibri" w:cs="Arial"/>
          <w:color w:val="000000" w:themeColor="text1"/>
          <w:lang w:eastAsia="en-US"/>
        </w:rPr>
        <w:t xml:space="preserve"> and e</w:t>
      </w:r>
      <w:r w:rsidR="00F757D9">
        <w:rPr>
          <w:rFonts w:eastAsia="Calibri" w:cs="Arial"/>
          <w:color w:val="000000" w:themeColor="text1"/>
          <w:lang w:eastAsia="en-US"/>
        </w:rPr>
        <w:t xml:space="preserve">nsures full consideration of the factors required by </w:t>
      </w:r>
      <w:r w:rsidR="008108C5">
        <w:rPr>
          <w:rFonts w:eastAsia="Calibri" w:cs="Arial"/>
          <w:color w:val="000000" w:themeColor="text1"/>
          <w:lang w:eastAsia="en-US"/>
        </w:rPr>
        <w:t>S</w:t>
      </w:r>
      <w:r w:rsidRPr="434235AB">
        <w:rPr>
          <w:rFonts w:eastAsia="Calibri" w:cs="Arial"/>
          <w:color w:val="000000" w:themeColor="text1"/>
          <w:lang w:eastAsia="en-US"/>
        </w:rPr>
        <w:t xml:space="preserve">ection 10 of the Climate Change Act. </w:t>
      </w:r>
      <w:r w:rsidR="00F757D9">
        <w:rPr>
          <w:rFonts w:eastAsia="Calibri" w:cs="Arial"/>
          <w:color w:val="000000" w:themeColor="text1"/>
          <w:lang w:eastAsia="en-US"/>
        </w:rPr>
        <w:t xml:space="preserve">Factors considered here in additional detail </w:t>
      </w:r>
      <w:r w:rsidRPr="434235AB">
        <w:rPr>
          <w:rFonts w:eastAsia="Calibri" w:cs="Arial"/>
          <w:color w:val="000000" w:themeColor="text1"/>
          <w:lang w:eastAsia="en-US"/>
        </w:rPr>
        <w:t>include scientific knowledge; economic</w:t>
      </w:r>
      <w:r w:rsidR="002C4E1C">
        <w:rPr>
          <w:rFonts w:eastAsia="Calibri" w:cs="Arial"/>
          <w:color w:val="000000" w:themeColor="text1"/>
          <w:lang w:eastAsia="en-US"/>
        </w:rPr>
        <w:t xml:space="preserve"> </w:t>
      </w:r>
      <w:r w:rsidR="002C4E1C" w:rsidRPr="52B559F3">
        <w:rPr>
          <w:rFonts w:eastAsia="Calibri" w:cs="Arial"/>
          <w:color w:val="000000" w:themeColor="text1"/>
          <w:lang w:eastAsia="en-US"/>
        </w:rPr>
        <w:t>(in particular</w:t>
      </w:r>
      <w:r w:rsidR="00143B68">
        <w:rPr>
          <w:rFonts w:eastAsia="Calibri" w:cs="Arial"/>
          <w:color w:val="000000" w:themeColor="text1"/>
          <w:lang w:eastAsia="en-US"/>
        </w:rPr>
        <w:t>,</w:t>
      </w:r>
      <w:r w:rsidR="002C4E1C" w:rsidRPr="52B559F3">
        <w:rPr>
          <w:rFonts w:eastAsia="Calibri" w:cs="Arial"/>
          <w:color w:val="000000" w:themeColor="text1"/>
          <w:lang w:eastAsia="en-US"/>
        </w:rPr>
        <w:t xml:space="preserve"> the likely impact of the decision on the economy and the competitiveness of </w:t>
      </w:r>
      <w:r w:rsidR="00143B68">
        <w:rPr>
          <w:rFonts w:eastAsia="Calibri" w:cs="Arial"/>
          <w:color w:val="000000" w:themeColor="text1"/>
          <w:lang w:eastAsia="en-US"/>
        </w:rPr>
        <w:t xml:space="preserve">certain </w:t>
      </w:r>
      <w:r w:rsidR="002C4E1C" w:rsidRPr="52B559F3">
        <w:rPr>
          <w:rFonts w:eastAsia="Calibri" w:cs="Arial"/>
          <w:color w:val="000000" w:themeColor="text1"/>
          <w:lang w:eastAsia="en-US"/>
        </w:rPr>
        <w:t>sectors of the economy)</w:t>
      </w:r>
      <w:r w:rsidRPr="434235AB">
        <w:rPr>
          <w:rFonts w:eastAsia="Calibri" w:cs="Arial"/>
          <w:color w:val="000000" w:themeColor="text1"/>
          <w:lang w:eastAsia="en-US"/>
        </w:rPr>
        <w:t xml:space="preserve">, fiscal and social circumstances; </w:t>
      </w:r>
      <w:r w:rsidRPr="434235AB">
        <w:rPr>
          <w:rFonts w:eastAsia="Calibri" w:cs="Arial"/>
          <w:color w:val="000000" w:themeColor="text1"/>
          <w:lang w:eastAsia="en-US"/>
        </w:rPr>
        <w:lastRenderedPageBreak/>
        <w:t xml:space="preserve">energy policy; the views of </w:t>
      </w:r>
      <w:r w:rsidR="00DA549F" w:rsidRPr="434235AB">
        <w:rPr>
          <w:rFonts w:eastAsia="Calibri" w:cs="Arial"/>
          <w:color w:val="000000" w:themeColor="text1"/>
          <w:lang w:eastAsia="en-US"/>
        </w:rPr>
        <w:t>D</w:t>
      </w:r>
      <w:r w:rsidRPr="434235AB">
        <w:rPr>
          <w:rFonts w:eastAsia="Calibri" w:cs="Arial"/>
          <w:color w:val="000000" w:themeColor="text1"/>
          <w:lang w:eastAsia="en-US"/>
        </w:rPr>
        <w:t xml:space="preserve">evolved </w:t>
      </w:r>
      <w:r w:rsidR="00DA549F" w:rsidRPr="434235AB">
        <w:rPr>
          <w:rFonts w:eastAsia="Calibri" w:cs="Arial"/>
          <w:color w:val="000000" w:themeColor="text1"/>
          <w:lang w:eastAsia="en-US"/>
        </w:rPr>
        <w:t>A</w:t>
      </w:r>
      <w:r w:rsidRPr="434235AB">
        <w:rPr>
          <w:rFonts w:eastAsia="Calibri" w:cs="Arial"/>
          <w:color w:val="000000" w:themeColor="text1"/>
          <w:lang w:eastAsia="en-US"/>
        </w:rPr>
        <w:t>dministrations; and environmental impacts such as natural capital. M</w:t>
      </w:r>
      <w:r w:rsidR="002C4E1C">
        <w:rPr>
          <w:rFonts w:eastAsia="Calibri" w:cs="Arial"/>
          <w:color w:val="000000" w:themeColor="text1"/>
          <w:lang w:eastAsia="en-US"/>
        </w:rPr>
        <w:t>any</w:t>
      </w:r>
      <w:r w:rsidRPr="434235AB">
        <w:rPr>
          <w:rFonts w:eastAsia="Calibri" w:cs="Arial"/>
          <w:color w:val="000000" w:themeColor="text1"/>
          <w:lang w:eastAsia="en-US"/>
        </w:rPr>
        <w:t xml:space="preserve"> of the wider</w:t>
      </w:r>
      <w:r w:rsidR="002C4E1C">
        <w:rPr>
          <w:rFonts w:eastAsia="Calibri" w:cs="Arial"/>
          <w:color w:val="000000" w:themeColor="text1"/>
          <w:lang w:eastAsia="en-US"/>
        </w:rPr>
        <w:t>, non-quantifiable</w:t>
      </w:r>
      <w:r w:rsidRPr="434235AB">
        <w:rPr>
          <w:rFonts w:eastAsia="Calibri" w:cs="Arial"/>
          <w:color w:val="000000" w:themeColor="text1"/>
          <w:lang w:eastAsia="en-US"/>
        </w:rPr>
        <w:t xml:space="preserve"> impacts </w:t>
      </w:r>
      <w:r w:rsidR="001C4454" w:rsidRPr="434235AB">
        <w:rPr>
          <w:rFonts w:eastAsia="Calibri" w:cs="Arial"/>
          <w:color w:val="000000" w:themeColor="text1"/>
          <w:lang w:eastAsia="en-US"/>
        </w:rPr>
        <w:t>do</w:t>
      </w:r>
      <w:r w:rsidR="00CD23BC" w:rsidRPr="434235AB">
        <w:rPr>
          <w:rFonts w:eastAsia="Calibri" w:cs="Arial"/>
          <w:color w:val="000000" w:themeColor="text1"/>
          <w:lang w:eastAsia="en-US"/>
        </w:rPr>
        <w:t xml:space="preserve"> </w:t>
      </w:r>
      <w:r w:rsidR="001C4454" w:rsidRPr="434235AB">
        <w:rPr>
          <w:rFonts w:eastAsia="Calibri" w:cs="Arial"/>
          <w:color w:val="000000" w:themeColor="text1"/>
          <w:lang w:eastAsia="en-US"/>
        </w:rPr>
        <w:t>not</w:t>
      </w:r>
      <w:r w:rsidRPr="434235AB">
        <w:rPr>
          <w:rFonts w:eastAsia="Calibri" w:cs="Arial"/>
          <w:color w:val="000000" w:themeColor="text1"/>
          <w:lang w:eastAsia="en-US"/>
        </w:rPr>
        <w:t xml:space="preserve"> change significantly under different options and depend heavily on how </w:t>
      </w:r>
      <w:r w:rsidR="0063265B">
        <w:rPr>
          <w:rFonts w:eastAsia="Calibri" w:cs="Arial"/>
          <w:color w:val="000000" w:themeColor="text1"/>
          <w:lang w:eastAsia="en-US"/>
        </w:rPr>
        <w:t>g</w:t>
      </w:r>
      <w:r w:rsidR="007C6560">
        <w:rPr>
          <w:rFonts w:eastAsia="Calibri" w:cs="Arial"/>
          <w:color w:val="000000" w:themeColor="text1"/>
          <w:lang w:eastAsia="en-US"/>
        </w:rPr>
        <w:t>overnment</w:t>
      </w:r>
      <w:r w:rsidRPr="434235AB">
        <w:rPr>
          <w:rFonts w:eastAsia="Calibri" w:cs="Arial"/>
          <w:color w:val="000000" w:themeColor="text1"/>
          <w:lang w:eastAsia="en-US"/>
        </w:rPr>
        <w:t xml:space="preserve"> chooses to deliver the budget</w:t>
      </w:r>
      <w:r w:rsidRPr="2B0CE880">
        <w:rPr>
          <w:rFonts w:eastAsia="Calibri" w:cs="Arial"/>
          <w:color w:val="000000" w:themeColor="text1"/>
          <w:lang w:eastAsia="en-US"/>
        </w:rPr>
        <w:t>.</w:t>
      </w:r>
    </w:p>
    <w:p w14:paraId="27C785DB" w14:textId="6E623209" w:rsidR="00822E64" w:rsidRPr="001C4454" w:rsidRDefault="00822E64" w:rsidP="0071483C">
      <w:pPr>
        <w:numPr>
          <w:ilvl w:val="0"/>
          <w:numId w:val="489"/>
        </w:numPr>
        <w:spacing w:after="200" w:line="259" w:lineRule="auto"/>
        <w:rPr>
          <w:rFonts w:eastAsia="Calibri" w:cs="Arial"/>
          <w:color w:val="000000"/>
          <w:lang w:eastAsia="en-US"/>
        </w:rPr>
      </w:pPr>
      <w:r w:rsidRPr="434235AB">
        <w:rPr>
          <w:rFonts w:eastAsia="Calibri" w:cs="Arial"/>
          <w:color w:val="000000" w:themeColor="text1"/>
          <w:lang w:eastAsia="en-US"/>
        </w:rPr>
        <w:t xml:space="preserve">Climate science highlights huge risks to people and the environment if global temperatures exceed 1.5°C, and uncertainties around projections make worst-case scenarios real and dangerous possibilities. </w:t>
      </w:r>
      <w:r w:rsidR="004A3121">
        <w:rPr>
          <w:rFonts w:eastAsia="Calibri" w:cs="Arial"/>
          <w:color w:val="000000" w:themeColor="text1"/>
          <w:lang w:eastAsia="en-US"/>
        </w:rPr>
        <w:t>T</w:t>
      </w:r>
      <w:r w:rsidRPr="434235AB">
        <w:rPr>
          <w:rFonts w:eastAsia="Calibri" w:cs="Arial"/>
          <w:color w:val="000000" w:themeColor="text1"/>
          <w:lang w:eastAsia="en-US"/>
        </w:rPr>
        <w:t xml:space="preserve">he options imply only minor differences in future UK cumulative emissions </w:t>
      </w:r>
      <w:r w:rsidR="00FE1123">
        <w:rPr>
          <w:rFonts w:eastAsia="Calibri" w:cs="Arial"/>
          <w:color w:val="000000" w:themeColor="text1"/>
          <w:lang w:eastAsia="en-US"/>
        </w:rPr>
        <w:t>which represents a</w:t>
      </w:r>
      <w:r w:rsidR="00CE3503">
        <w:rPr>
          <w:rFonts w:eastAsia="Calibri" w:cs="Arial"/>
          <w:color w:val="000000" w:themeColor="text1"/>
          <w:lang w:eastAsia="en-US"/>
        </w:rPr>
        <w:t xml:space="preserve"> </w:t>
      </w:r>
      <w:r w:rsidRPr="434235AB">
        <w:rPr>
          <w:rFonts w:eastAsia="Calibri" w:cs="Arial"/>
          <w:color w:val="000000" w:themeColor="text1"/>
          <w:lang w:eastAsia="en-US"/>
        </w:rPr>
        <w:t>very small fraction of global emissions</w:t>
      </w:r>
      <w:r w:rsidR="00FE1123">
        <w:rPr>
          <w:rFonts w:eastAsia="Calibri" w:cs="Arial"/>
          <w:color w:val="000000" w:themeColor="text1"/>
          <w:lang w:eastAsia="en-US"/>
        </w:rPr>
        <w:t>. However</w:t>
      </w:r>
      <w:r w:rsidRPr="434235AB">
        <w:rPr>
          <w:rFonts w:eastAsia="Calibri" w:cs="Arial"/>
          <w:color w:val="000000" w:themeColor="text1"/>
          <w:lang w:eastAsia="en-US"/>
        </w:rPr>
        <w:t>, if the UK can influence more ambitious targets from other countries this could meaningfully contribute to global efforts towards net zero</w:t>
      </w:r>
      <w:r w:rsidR="00A24456" w:rsidRPr="52B559F3">
        <w:rPr>
          <w:rFonts w:eastAsia="Calibri" w:cs="Arial"/>
          <w:color w:val="000000" w:themeColor="text1"/>
          <w:lang w:eastAsia="en-US"/>
        </w:rPr>
        <w:t xml:space="preserve">. </w:t>
      </w:r>
      <w:r w:rsidR="008D1ECB" w:rsidRPr="434235AB">
        <w:rPr>
          <w:rFonts w:eastAsia="Calibri" w:cs="Arial"/>
          <w:color w:val="000000" w:themeColor="text1"/>
          <w:lang w:eastAsia="en-US"/>
        </w:rPr>
        <w:t xml:space="preserve"> </w:t>
      </w:r>
    </w:p>
    <w:p w14:paraId="6A82E9FA" w14:textId="3190E972" w:rsidR="001C4454" w:rsidRPr="001C4454" w:rsidRDefault="001C4454" w:rsidP="0071483C">
      <w:pPr>
        <w:numPr>
          <w:ilvl w:val="0"/>
          <w:numId w:val="489"/>
        </w:numPr>
        <w:spacing w:after="200" w:line="259" w:lineRule="auto"/>
        <w:rPr>
          <w:rFonts w:eastAsia="Calibri" w:cs="Arial"/>
          <w:color w:val="000000"/>
          <w:lang w:eastAsia="en-US"/>
        </w:rPr>
      </w:pPr>
      <w:r w:rsidRPr="434235AB">
        <w:rPr>
          <w:rFonts w:eastAsia="Calibri" w:cs="Arial"/>
          <w:color w:val="000000" w:themeColor="text1"/>
          <w:lang w:eastAsia="en-US"/>
        </w:rPr>
        <w:t>When delivering the sixth carbon budget, the wider environmental impacts of the policy mix will need to be taken into account to ensure trade-offs are managed and impacts mitigated. For example, meeting the sixth carbon budget will require significant and competing demands for land, resulting in large changes to its use and management.</w:t>
      </w:r>
    </w:p>
    <w:p w14:paraId="65A06B0B" w14:textId="644B90F0" w:rsidR="001C4454" w:rsidRPr="001C4454" w:rsidRDefault="001C4454" w:rsidP="0071483C">
      <w:pPr>
        <w:numPr>
          <w:ilvl w:val="0"/>
          <w:numId w:val="489"/>
        </w:numPr>
        <w:spacing w:after="240" w:line="259" w:lineRule="auto"/>
        <w:rPr>
          <w:rFonts w:eastAsia="Calibri" w:cs="Arial"/>
          <w:color w:val="000000"/>
          <w:lang w:eastAsia="en-US"/>
        </w:rPr>
      </w:pPr>
      <w:r w:rsidRPr="434235AB">
        <w:rPr>
          <w:rFonts w:eastAsia="Calibri" w:cs="Arial"/>
          <w:color w:val="000000" w:themeColor="text1"/>
          <w:lang w:eastAsia="en-US"/>
        </w:rPr>
        <w:t xml:space="preserve">The views of the </w:t>
      </w:r>
      <w:r w:rsidR="00143B68">
        <w:rPr>
          <w:rFonts w:eastAsia="Calibri" w:cs="Arial"/>
          <w:color w:val="000000" w:themeColor="text1"/>
          <w:lang w:eastAsia="en-US"/>
        </w:rPr>
        <w:t>D</w:t>
      </w:r>
      <w:r w:rsidRPr="434235AB">
        <w:rPr>
          <w:rFonts w:eastAsia="Calibri" w:cs="Arial"/>
          <w:color w:val="000000" w:themeColor="text1"/>
          <w:lang w:eastAsia="en-US"/>
        </w:rPr>
        <w:t xml:space="preserve">evolved </w:t>
      </w:r>
      <w:r w:rsidR="00143B68">
        <w:rPr>
          <w:rFonts w:eastAsia="Calibri" w:cs="Arial"/>
          <w:color w:val="000000" w:themeColor="text1"/>
          <w:lang w:eastAsia="en-US"/>
        </w:rPr>
        <w:t>A</w:t>
      </w:r>
      <w:r w:rsidRPr="434235AB">
        <w:rPr>
          <w:rFonts w:eastAsia="Calibri" w:cs="Arial"/>
          <w:color w:val="000000" w:themeColor="text1"/>
          <w:lang w:eastAsia="en-US"/>
        </w:rPr>
        <w:t>dministrations have also been taken into account, all of which are supportive of the CCC’s recommended level (Option 3).</w:t>
      </w:r>
    </w:p>
    <w:p w14:paraId="306A6919" w14:textId="411CF68A" w:rsidR="00A24001" w:rsidRPr="00A24001" w:rsidRDefault="00A24001" w:rsidP="00A24001">
      <w:pPr>
        <w:spacing w:after="160" w:line="259" w:lineRule="auto"/>
        <w:rPr>
          <w:rFonts w:eastAsia="Calibri" w:cs="Arial"/>
          <w:b/>
          <w:bCs/>
          <w:color w:val="000000"/>
          <w:lang w:eastAsia="en-US"/>
        </w:rPr>
      </w:pPr>
      <w:r w:rsidRPr="00A24001">
        <w:rPr>
          <w:b/>
          <w:bCs/>
        </w:rPr>
        <w:t>Conclusion</w:t>
      </w:r>
    </w:p>
    <w:p w14:paraId="1E1FF9BE" w14:textId="16BD95DC" w:rsidR="00A24001" w:rsidRDefault="00842A4C" w:rsidP="0071483C">
      <w:pPr>
        <w:numPr>
          <w:ilvl w:val="0"/>
          <w:numId w:val="489"/>
        </w:numPr>
        <w:spacing w:after="200" w:line="259" w:lineRule="auto"/>
        <w:rPr>
          <w:rFonts w:eastAsia="Calibri" w:cs="Arial"/>
          <w:color w:val="000000"/>
          <w:lang w:eastAsia="en-US"/>
        </w:rPr>
      </w:pPr>
      <w:r>
        <w:t xml:space="preserve">Considering all </w:t>
      </w:r>
      <w:r w:rsidRPr="00DE7042">
        <w:t>assessment criteria in the round</w:t>
      </w:r>
      <w:r w:rsidR="00A24456">
        <w:t xml:space="preserve">, </w:t>
      </w:r>
      <w:r w:rsidR="008108C5">
        <w:t>including</w:t>
      </w:r>
      <w:r w:rsidRPr="00DE7042" w:rsidDel="00A24456">
        <w:t xml:space="preserve"> </w:t>
      </w:r>
      <w:r w:rsidRPr="00DE7042">
        <w:t>specific factors set out in the Climate Change Act</w:t>
      </w:r>
      <w:r w:rsidR="00A24001" w:rsidRPr="00DE7042">
        <w:t xml:space="preserve">, </w:t>
      </w:r>
      <w:r w:rsidR="00A24001" w:rsidRPr="0071483C">
        <w:rPr>
          <w:b/>
        </w:rPr>
        <w:t xml:space="preserve">the </w:t>
      </w:r>
      <w:r w:rsidRPr="0071483C">
        <w:rPr>
          <w:b/>
        </w:rPr>
        <w:t>proposed</w:t>
      </w:r>
      <w:r w:rsidR="00A24001" w:rsidRPr="0071483C">
        <w:rPr>
          <w:b/>
        </w:rPr>
        <w:t xml:space="preserve"> option for the sixth carbon budget level is 965Mt</w:t>
      </w:r>
      <w:r w:rsidR="00F823FD" w:rsidRPr="0071483C">
        <w:rPr>
          <w:b/>
        </w:rPr>
        <w:t>CO</w:t>
      </w:r>
      <w:r w:rsidR="00F823FD" w:rsidRPr="0071483C">
        <w:rPr>
          <w:b/>
          <w:vertAlign w:val="subscript"/>
        </w:rPr>
        <w:t>2</w:t>
      </w:r>
      <w:r w:rsidR="00F823FD" w:rsidRPr="0071483C">
        <w:rPr>
          <w:b/>
        </w:rPr>
        <w:t>e</w:t>
      </w:r>
      <w:r w:rsidR="00A24001" w:rsidRPr="0071483C">
        <w:rPr>
          <w:b/>
        </w:rPr>
        <w:t>, Option 3</w:t>
      </w:r>
      <w:r w:rsidR="00A24001" w:rsidRPr="00DE7042">
        <w:t xml:space="preserve">. This option is the recommended level by the </w:t>
      </w:r>
      <w:r w:rsidR="00A24001">
        <w:t xml:space="preserve">CCC </w:t>
      </w:r>
      <w:r w:rsidR="00A24001" w:rsidRPr="00DE7042">
        <w:t>and the preferred option of the Devolved Administrations</w:t>
      </w:r>
      <w:r w:rsidR="00A24001">
        <w:t xml:space="preserve">. </w:t>
      </w:r>
      <w:r w:rsidR="00E96DA4">
        <w:t>The high level of ambition</w:t>
      </w:r>
      <w:r w:rsidR="00A24001">
        <w:t xml:space="preserve"> supports the overall policy objective of mitigat</w:t>
      </w:r>
      <w:r w:rsidR="00574D65">
        <w:t>ing</w:t>
      </w:r>
      <w:r w:rsidR="00A24001">
        <w:t xml:space="preserve"> the potentially catastrophic effects of climate change, while the more ambitious Option 4 could lead to non-economical outcomes. </w:t>
      </w:r>
      <w:r w:rsidR="00C47030">
        <w:t>Option 3 is</w:t>
      </w:r>
      <w:r w:rsidR="00A24001">
        <w:t xml:space="preserve"> more challenging </w:t>
      </w:r>
      <w:r w:rsidR="00C47030">
        <w:t xml:space="preserve">than Option 2 </w:t>
      </w:r>
      <w:r w:rsidR="00A24001">
        <w:t xml:space="preserve">from a technical feasibility and delivery perspective, </w:t>
      </w:r>
      <w:r w:rsidR="00597F0D">
        <w:t xml:space="preserve">but </w:t>
      </w:r>
      <w:r w:rsidR="009E3104">
        <w:t>the</w:t>
      </w:r>
      <w:r w:rsidR="00A24001">
        <w:t xml:space="preserve"> analysis</w:t>
      </w:r>
      <w:r w:rsidR="00A24001" w:rsidRPr="00DE7042">
        <w:t xml:space="preserve"> </w:t>
      </w:r>
      <w:r w:rsidR="00A24001">
        <w:t>show</w:t>
      </w:r>
      <w:r w:rsidR="009E3104">
        <w:t>s</w:t>
      </w:r>
      <w:r w:rsidR="00A24001">
        <w:t xml:space="preserve"> </w:t>
      </w:r>
      <w:r w:rsidR="004550B5">
        <w:t>it is</w:t>
      </w:r>
      <w:r w:rsidR="00A24001">
        <w:t xml:space="preserve"> technical</w:t>
      </w:r>
      <w:r w:rsidR="61065D33">
        <w:t>ly</w:t>
      </w:r>
      <w:r w:rsidR="00A24001">
        <w:t xml:space="preserve"> feasible to achieve and has</w:t>
      </w:r>
      <w:r w:rsidR="00A24001" w:rsidRPr="00DE7042">
        <w:t xml:space="preserve"> a strongly positive N</w:t>
      </w:r>
      <w:r w:rsidR="00442A15">
        <w:t>PV</w:t>
      </w:r>
      <w:r w:rsidR="00A24001">
        <w:t xml:space="preserve">. Option 3 </w:t>
      </w:r>
      <w:r w:rsidR="00A24001" w:rsidRPr="00DE7042">
        <w:t xml:space="preserve">is </w:t>
      </w:r>
      <w:r w:rsidR="009E3104">
        <w:t>also</w:t>
      </w:r>
      <w:r w:rsidR="00A24001" w:rsidRPr="00DE7042">
        <w:t xml:space="preserve"> in line with </w:t>
      </w:r>
      <w:r w:rsidR="0000549D">
        <w:t xml:space="preserve">an ambitious contribution </w:t>
      </w:r>
      <w:r w:rsidR="0050484B">
        <w:t xml:space="preserve">to global efforts </w:t>
      </w:r>
      <w:r w:rsidR="00D1049D">
        <w:t>t</w:t>
      </w:r>
      <w:r w:rsidR="0050484B">
        <w:t>owards meeting the Paris Agreement temperature goal</w:t>
      </w:r>
      <w:r w:rsidR="00A24001">
        <w:t xml:space="preserve"> </w:t>
      </w:r>
      <w:r w:rsidR="0050484B">
        <w:t>and</w:t>
      </w:r>
      <w:r w:rsidR="00A24001" w:rsidRPr="00030A9C">
        <w:t xml:space="preserve"> strengthens the UK position in pushing for higher ambition from other countries</w:t>
      </w:r>
      <w:r w:rsidR="00A24001" w:rsidRPr="00DE7042">
        <w:t>.</w:t>
      </w:r>
      <w:r w:rsidR="00A24001">
        <w:t xml:space="preserve"> Whilst </w:t>
      </w:r>
      <w:r w:rsidR="00A60E33">
        <w:t>the</w:t>
      </w:r>
      <w:r w:rsidR="00A24001">
        <w:t xml:space="preserve"> costs of this option are higher and the NPV is smaller than those of Option 2, these relative differences are within the uncertainty ranges and in the whole outweigh</w:t>
      </w:r>
      <w:r w:rsidR="00FB12A9">
        <w:t>ed</w:t>
      </w:r>
      <w:r w:rsidR="00A24001">
        <w:t xml:space="preserve"> by the other assessment criteria.  </w:t>
      </w:r>
    </w:p>
    <w:p w14:paraId="5215ADCE" w14:textId="1E854AFB" w:rsidR="007B4DAD" w:rsidRPr="007B4DAD" w:rsidRDefault="00A24001" w:rsidP="007A459A">
      <w:pPr>
        <w:numPr>
          <w:ilvl w:val="0"/>
          <w:numId w:val="489"/>
        </w:numPr>
        <w:spacing w:after="200" w:line="259" w:lineRule="auto"/>
        <w:rPr>
          <w:rFonts w:eastAsia="Calibri" w:cs="Arial"/>
          <w:color w:val="000000"/>
          <w:lang w:eastAsia="en-US"/>
        </w:rPr>
      </w:pPr>
      <w:r w:rsidRPr="434235AB">
        <w:rPr>
          <w:rFonts w:eastAsia="Calibri" w:cs="Arial"/>
          <w:color w:val="000000" w:themeColor="text1"/>
          <w:lang w:eastAsia="en-US"/>
        </w:rPr>
        <w:t>The following sections present the full evidence base supporting these conclusions. The table below provides a summary of the criteria considered for each budget level option</w:t>
      </w:r>
      <w:r w:rsidR="00253356">
        <w:rPr>
          <w:rFonts w:eastAsia="Calibri" w:cs="Arial"/>
          <w:color w:val="000000" w:themeColor="text1"/>
          <w:lang w:eastAsia="en-US"/>
        </w:rPr>
        <w:t>.</w:t>
      </w:r>
    </w:p>
    <w:p w14:paraId="40F086A8" w14:textId="77777777" w:rsidR="00253356" w:rsidRDefault="00253356">
      <w:pPr>
        <w:rPr>
          <w:rFonts w:eastAsia="Calibri" w:cs="Arial"/>
          <w:i/>
          <w:lang w:eastAsia="en-US"/>
        </w:rPr>
      </w:pPr>
      <w:r>
        <w:rPr>
          <w:rFonts w:eastAsia="Calibri" w:cs="Arial"/>
          <w:i/>
          <w:lang w:eastAsia="en-US"/>
        </w:rPr>
        <w:br w:type="page"/>
      </w:r>
    </w:p>
    <w:p w14:paraId="7225EF07" w14:textId="7DFF29B8" w:rsidR="00822E64" w:rsidRPr="007B4DAD" w:rsidRDefault="00822E64" w:rsidP="007B4DAD">
      <w:pPr>
        <w:spacing w:after="240" w:line="259" w:lineRule="auto"/>
        <w:rPr>
          <w:rFonts w:eastAsia="Calibri" w:cs="Arial"/>
          <w:color w:val="000000"/>
          <w:lang w:eastAsia="en-US"/>
        </w:rPr>
      </w:pPr>
      <w:r w:rsidRPr="007B4DAD">
        <w:rPr>
          <w:rFonts w:eastAsia="Calibri" w:cs="Arial"/>
          <w:i/>
          <w:lang w:eastAsia="en-US"/>
        </w:rPr>
        <w:lastRenderedPageBreak/>
        <w:t xml:space="preserve">Table </w:t>
      </w:r>
      <w:r w:rsidR="00280CCA" w:rsidRPr="007B4DAD">
        <w:rPr>
          <w:rFonts w:eastAsia="Calibri" w:cs="Arial"/>
          <w:i/>
          <w:lang w:eastAsia="en-US"/>
        </w:rPr>
        <w:t>2</w:t>
      </w:r>
      <w:r w:rsidRPr="007B4DAD">
        <w:rPr>
          <w:rFonts w:eastAsia="Calibri" w:cs="Arial"/>
          <w:i/>
          <w:lang w:eastAsia="en-US"/>
        </w:rPr>
        <w:t xml:space="preserve">: Summary of the </w:t>
      </w:r>
      <w:r w:rsidR="00711E46" w:rsidRPr="007B4DAD">
        <w:rPr>
          <w:rFonts w:eastAsia="Calibri" w:cs="Arial"/>
          <w:i/>
          <w:lang w:eastAsia="en-US"/>
        </w:rPr>
        <w:t>a</w:t>
      </w:r>
      <w:r w:rsidRPr="007B4DAD">
        <w:rPr>
          <w:rFonts w:eastAsia="Calibri" w:cs="Arial"/>
          <w:i/>
          <w:lang w:eastAsia="en-US"/>
        </w:rPr>
        <w:t>ssessment criteria across the different options</w:t>
      </w:r>
    </w:p>
    <w:tbl>
      <w:tblPr>
        <w:tblStyle w:val="TableGrid"/>
        <w:tblW w:w="9634" w:type="dxa"/>
        <w:tblLayout w:type="fixed"/>
        <w:tblLook w:val="04A0" w:firstRow="1" w:lastRow="0" w:firstColumn="1" w:lastColumn="0" w:noHBand="0" w:noVBand="1"/>
      </w:tblPr>
      <w:tblGrid>
        <w:gridCol w:w="1696"/>
        <w:gridCol w:w="1701"/>
        <w:gridCol w:w="1701"/>
        <w:gridCol w:w="2127"/>
        <w:gridCol w:w="2409"/>
      </w:tblGrid>
      <w:tr w:rsidR="00822E64" w:rsidRPr="00822E64" w14:paraId="32FC857C" w14:textId="77777777" w:rsidTr="00253356">
        <w:trPr>
          <w:trHeight w:val="228"/>
          <w:tblHeader/>
        </w:trPr>
        <w:tc>
          <w:tcPr>
            <w:tcW w:w="1696" w:type="dxa"/>
            <w:vMerge w:val="restart"/>
          </w:tcPr>
          <w:p w14:paraId="344FD183" w14:textId="48A0FD69" w:rsidR="00822E64" w:rsidRPr="006A0C4B" w:rsidRDefault="00822E64" w:rsidP="00822E64">
            <w:pPr>
              <w:rPr>
                <w:rFonts w:cs="Arial"/>
                <w:b/>
                <w:sz w:val="22"/>
                <w:szCs w:val="22"/>
              </w:rPr>
            </w:pPr>
            <w:r w:rsidRPr="006A0C4B">
              <w:rPr>
                <w:rFonts w:cs="Arial"/>
                <w:b/>
                <w:sz w:val="22"/>
                <w:szCs w:val="22"/>
              </w:rPr>
              <w:t>Consideration</w:t>
            </w:r>
          </w:p>
        </w:tc>
        <w:tc>
          <w:tcPr>
            <w:tcW w:w="7938" w:type="dxa"/>
            <w:gridSpan w:val="4"/>
          </w:tcPr>
          <w:p w14:paraId="75254CB4" w14:textId="6326814E" w:rsidR="00822E64" w:rsidRPr="006A0C4B" w:rsidRDefault="00822E64" w:rsidP="00822E64">
            <w:pPr>
              <w:jc w:val="center"/>
              <w:rPr>
                <w:rFonts w:cs="Arial"/>
                <w:b/>
                <w:sz w:val="22"/>
                <w:szCs w:val="22"/>
              </w:rPr>
            </w:pPr>
            <w:r w:rsidRPr="006A0C4B">
              <w:rPr>
                <w:rFonts w:cs="Arial"/>
                <w:b/>
                <w:sz w:val="22"/>
                <w:szCs w:val="22"/>
              </w:rPr>
              <w:t>Budget level option</w:t>
            </w:r>
          </w:p>
        </w:tc>
      </w:tr>
      <w:tr w:rsidR="00822E64" w:rsidRPr="00822E64" w14:paraId="5993C2E1" w14:textId="77777777" w:rsidTr="008D618E">
        <w:trPr>
          <w:trHeight w:val="228"/>
          <w:tblHeader/>
        </w:trPr>
        <w:tc>
          <w:tcPr>
            <w:tcW w:w="1696" w:type="dxa"/>
            <w:vMerge/>
          </w:tcPr>
          <w:p w14:paraId="1C99B5B3" w14:textId="77777777" w:rsidR="00822E64" w:rsidRPr="006A0C4B" w:rsidRDefault="00822E64" w:rsidP="00822E64">
            <w:pPr>
              <w:rPr>
                <w:rFonts w:cs="Arial"/>
                <w:sz w:val="22"/>
                <w:szCs w:val="22"/>
              </w:rPr>
            </w:pPr>
          </w:p>
        </w:tc>
        <w:tc>
          <w:tcPr>
            <w:tcW w:w="1701" w:type="dxa"/>
          </w:tcPr>
          <w:p w14:paraId="4FDC4AB9" w14:textId="573B7735" w:rsidR="00822E64" w:rsidRPr="006A0C4B" w:rsidRDefault="00822E64" w:rsidP="00822E64">
            <w:pPr>
              <w:rPr>
                <w:rFonts w:cs="Arial"/>
                <w:b/>
                <w:sz w:val="22"/>
                <w:szCs w:val="22"/>
              </w:rPr>
            </w:pPr>
            <w:r w:rsidRPr="006A0C4B">
              <w:rPr>
                <w:rFonts w:cs="Arial"/>
                <w:b/>
                <w:sz w:val="22"/>
                <w:szCs w:val="22"/>
              </w:rPr>
              <w:t>Option 1</w:t>
            </w:r>
          </w:p>
        </w:tc>
        <w:tc>
          <w:tcPr>
            <w:tcW w:w="1701" w:type="dxa"/>
          </w:tcPr>
          <w:p w14:paraId="512B8BF9" w14:textId="1F591F59" w:rsidR="00822E64" w:rsidRPr="006A0C4B" w:rsidRDefault="00822E64" w:rsidP="00822E64">
            <w:pPr>
              <w:rPr>
                <w:rFonts w:cs="Arial"/>
                <w:b/>
                <w:sz w:val="22"/>
                <w:szCs w:val="22"/>
              </w:rPr>
            </w:pPr>
            <w:r w:rsidRPr="006A0C4B">
              <w:rPr>
                <w:rFonts w:cs="Arial"/>
                <w:b/>
                <w:sz w:val="22"/>
                <w:szCs w:val="22"/>
              </w:rPr>
              <w:t>Option 2</w:t>
            </w:r>
          </w:p>
        </w:tc>
        <w:tc>
          <w:tcPr>
            <w:tcW w:w="2127" w:type="dxa"/>
          </w:tcPr>
          <w:p w14:paraId="0EA5B776" w14:textId="39144CCF" w:rsidR="00822E64" w:rsidRPr="006A0C4B" w:rsidRDefault="00822E64" w:rsidP="00822E64">
            <w:pPr>
              <w:rPr>
                <w:rFonts w:cs="Arial"/>
                <w:b/>
                <w:sz w:val="22"/>
                <w:szCs w:val="22"/>
              </w:rPr>
            </w:pPr>
            <w:r w:rsidRPr="006A0C4B">
              <w:rPr>
                <w:rFonts w:cs="Arial"/>
                <w:b/>
                <w:sz w:val="22"/>
                <w:szCs w:val="22"/>
              </w:rPr>
              <w:t>Option 3</w:t>
            </w:r>
          </w:p>
        </w:tc>
        <w:tc>
          <w:tcPr>
            <w:tcW w:w="2409" w:type="dxa"/>
          </w:tcPr>
          <w:p w14:paraId="067BE1D8" w14:textId="5AD372DF" w:rsidR="00822E64" w:rsidRPr="006A0C4B" w:rsidRDefault="00822E64" w:rsidP="00822E64">
            <w:pPr>
              <w:rPr>
                <w:rFonts w:cs="Arial"/>
                <w:b/>
                <w:sz w:val="22"/>
                <w:szCs w:val="22"/>
              </w:rPr>
            </w:pPr>
            <w:r w:rsidRPr="006A0C4B">
              <w:rPr>
                <w:rFonts w:cs="Arial"/>
                <w:b/>
                <w:sz w:val="22"/>
                <w:szCs w:val="22"/>
              </w:rPr>
              <w:t>Option 4</w:t>
            </w:r>
          </w:p>
        </w:tc>
      </w:tr>
      <w:tr w:rsidR="00822E64" w:rsidRPr="00822E64" w14:paraId="77140502" w14:textId="77777777" w:rsidTr="008D618E">
        <w:trPr>
          <w:trHeight w:val="228"/>
          <w:tblHeader/>
        </w:trPr>
        <w:tc>
          <w:tcPr>
            <w:tcW w:w="1696" w:type="dxa"/>
          </w:tcPr>
          <w:p w14:paraId="14A82069" w14:textId="700F71B6" w:rsidR="00822E64" w:rsidRPr="006A0C4B" w:rsidRDefault="00822E64" w:rsidP="00822E64">
            <w:pPr>
              <w:rPr>
                <w:rFonts w:cs="Arial"/>
                <w:b/>
                <w:sz w:val="22"/>
                <w:szCs w:val="22"/>
              </w:rPr>
            </w:pPr>
            <w:r w:rsidRPr="006A0C4B">
              <w:rPr>
                <w:rFonts w:cs="Arial"/>
                <w:b/>
                <w:sz w:val="22"/>
                <w:szCs w:val="22"/>
              </w:rPr>
              <w:t>Budget level</w:t>
            </w:r>
            <w:r w:rsidR="00A67571">
              <w:rPr>
                <w:rFonts w:cs="Arial"/>
                <w:b/>
                <w:sz w:val="22"/>
                <w:szCs w:val="22"/>
              </w:rPr>
              <w:t xml:space="preserve"> </w:t>
            </w:r>
            <w:r w:rsidR="00A67571" w:rsidRPr="006A0C4B">
              <w:rPr>
                <w:rFonts w:cs="Arial"/>
                <w:bCs/>
                <w:sz w:val="22"/>
                <w:szCs w:val="22"/>
              </w:rPr>
              <w:t>(in</w:t>
            </w:r>
            <w:r w:rsidR="00A67571">
              <w:rPr>
                <w:rFonts w:cs="Arial"/>
                <w:b/>
                <w:sz w:val="22"/>
                <w:szCs w:val="22"/>
              </w:rPr>
              <w:t xml:space="preserve"> </w:t>
            </w:r>
            <w:r w:rsidR="00A67571" w:rsidRPr="006F015A">
              <w:rPr>
                <w:sz w:val="22"/>
                <w:szCs w:val="22"/>
              </w:rPr>
              <w:t>MtCO</w:t>
            </w:r>
            <w:r w:rsidR="00A67571" w:rsidRPr="006F015A">
              <w:rPr>
                <w:sz w:val="22"/>
                <w:szCs w:val="22"/>
                <w:vertAlign w:val="subscript"/>
              </w:rPr>
              <w:t>2</w:t>
            </w:r>
            <w:r w:rsidR="00A67571" w:rsidRPr="006F015A">
              <w:rPr>
                <w:sz w:val="22"/>
                <w:szCs w:val="22"/>
              </w:rPr>
              <w:t>e)</w:t>
            </w:r>
          </w:p>
        </w:tc>
        <w:tc>
          <w:tcPr>
            <w:tcW w:w="1701" w:type="dxa"/>
          </w:tcPr>
          <w:p w14:paraId="10F01A7D" w14:textId="386EDB25" w:rsidR="00822E64" w:rsidRPr="006A0C4B" w:rsidRDefault="00822E64" w:rsidP="00822E64">
            <w:pPr>
              <w:rPr>
                <w:rFonts w:cs="Arial"/>
                <w:b/>
                <w:sz w:val="22"/>
                <w:szCs w:val="22"/>
              </w:rPr>
            </w:pPr>
            <w:r w:rsidRPr="006A0C4B">
              <w:rPr>
                <w:rFonts w:cs="Arial"/>
                <w:b/>
                <w:sz w:val="22"/>
                <w:szCs w:val="22"/>
              </w:rPr>
              <w:t>2100</w:t>
            </w:r>
          </w:p>
        </w:tc>
        <w:tc>
          <w:tcPr>
            <w:tcW w:w="1701" w:type="dxa"/>
          </w:tcPr>
          <w:p w14:paraId="6634E5AE" w14:textId="0FD9E287" w:rsidR="00822E64" w:rsidRPr="006A0C4B" w:rsidRDefault="00822E64" w:rsidP="00822E64">
            <w:pPr>
              <w:rPr>
                <w:rFonts w:cs="Arial"/>
                <w:b/>
                <w:sz w:val="22"/>
                <w:szCs w:val="22"/>
              </w:rPr>
            </w:pPr>
            <w:r w:rsidRPr="006A0C4B">
              <w:rPr>
                <w:rFonts w:cs="Arial"/>
                <w:b/>
                <w:sz w:val="22"/>
                <w:szCs w:val="22"/>
              </w:rPr>
              <w:t>1105</w:t>
            </w:r>
          </w:p>
        </w:tc>
        <w:tc>
          <w:tcPr>
            <w:tcW w:w="2127" w:type="dxa"/>
          </w:tcPr>
          <w:p w14:paraId="165C2DDD" w14:textId="34D3FE7B" w:rsidR="00822E64" w:rsidRPr="006A0C4B" w:rsidRDefault="00822E64" w:rsidP="00822E64">
            <w:pPr>
              <w:rPr>
                <w:rFonts w:cs="Arial"/>
                <w:b/>
                <w:sz w:val="22"/>
                <w:szCs w:val="22"/>
              </w:rPr>
            </w:pPr>
            <w:r w:rsidRPr="006A0C4B">
              <w:rPr>
                <w:rFonts w:cs="Arial"/>
                <w:b/>
                <w:sz w:val="22"/>
                <w:szCs w:val="22"/>
              </w:rPr>
              <w:t>965</w:t>
            </w:r>
          </w:p>
        </w:tc>
        <w:tc>
          <w:tcPr>
            <w:tcW w:w="2409" w:type="dxa"/>
          </w:tcPr>
          <w:p w14:paraId="69582F1B" w14:textId="43D67951" w:rsidR="00822E64" w:rsidRPr="006A0C4B" w:rsidRDefault="00822E64" w:rsidP="00822E64">
            <w:pPr>
              <w:rPr>
                <w:rFonts w:cs="Arial"/>
                <w:b/>
                <w:sz w:val="22"/>
                <w:szCs w:val="22"/>
              </w:rPr>
            </w:pPr>
            <w:r w:rsidRPr="006A0C4B">
              <w:rPr>
                <w:rFonts w:cs="Arial"/>
                <w:b/>
                <w:sz w:val="22"/>
                <w:szCs w:val="22"/>
              </w:rPr>
              <w:t>885</w:t>
            </w:r>
          </w:p>
        </w:tc>
      </w:tr>
      <w:tr w:rsidR="00822E64" w:rsidRPr="00822E64" w14:paraId="580BE14F" w14:textId="77777777" w:rsidTr="008D618E">
        <w:trPr>
          <w:trHeight w:val="228"/>
        </w:trPr>
        <w:tc>
          <w:tcPr>
            <w:tcW w:w="1696" w:type="dxa"/>
          </w:tcPr>
          <w:p w14:paraId="561114A3" w14:textId="18C1B877" w:rsidR="00822E64" w:rsidRPr="006A0C4B" w:rsidRDefault="00822E64" w:rsidP="00822E64">
            <w:pPr>
              <w:rPr>
                <w:rFonts w:cs="Arial"/>
                <w:sz w:val="22"/>
                <w:szCs w:val="22"/>
              </w:rPr>
            </w:pPr>
            <w:r w:rsidRPr="006A0C4B">
              <w:rPr>
                <w:rFonts w:cs="Arial"/>
                <w:sz w:val="22"/>
                <w:szCs w:val="22"/>
              </w:rPr>
              <w:t>CCC advice</w:t>
            </w:r>
          </w:p>
        </w:tc>
        <w:tc>
          <w:tcPr>
            <w:tcW w:w="1701" w:type="dxa"/>
          </w:tcPr>
          <w:p w14:paraId="6851953E" w14:textId="5ACE5B63" w:rsidR="00822E64" w:rsidRPr="006A0C4B" w:rsidRDefault="00822E64" w:rsidP="00822E64">
            <w:pPr>
              <w:rPr>
                <w:rFonts w:cs="Arial"/>
                <w:sz w:val="22"/>
                <w:szCs w:val="22"/>
              </w:rPr>
            </w:pPr>
            <w:r w:rsidRPr="006A0C4B">
              <w:rPr>
                <w:rFonts w:cs="Arial"/>
                <w:b/>
                <w:sz w:val="22"/>
                <w:szCs w:val="22"/>
              </w:rPr>
              <w:t>Highly insufficient</w:t>
            </w:r>
            <w:r w:rsidRPr="006A0C4B">
              <w:rPr>
                <w:rFonts w:cs="Arial"/>
                <w:sz w:val="22"/>
                <w:szCs w:val="22"/>
              </w:rPr>
              <w:t xml:space="preserve"> to meet the CCC’s balanced pathway to Net Zero. </w:t>
            </w:r>
          </w:p>
        </w:tc>
        <w:tc>
          <w:tcPr>
            <w:tcW w:w="1701" w:type="dxa"/>
          </w:tcPr>
          <w:p w14:paraId="7BAFB033" w14:textId="77777777" w:rsidR="00822E64" w:rsidRDefault="00822E64" w:rsidP="00822E64">
            <w:pPr>
              <w:rPr>
                <w:rFonts w:cs="Arial"/>
                <w:sz w:val="22"/>
                <w:szCs w:val="22"/>
              </w:rPr>
            </w:pPr>
            <w:r w:rsidRPr="006A0C4B">
              <w:rPr>
                <w:rFonts w:cs="Arial"/>
                <w:sz w:val="22"/>
                <w:szCs w:val="22"/>
              </w:rPr>
              <w:t xml:space="preserve">In line with CCC’s </w:t>
            </w:r>
            <w:r w:rsidR="006D1F28">
              <w:rPr>
                <w:rFonts w:cs="Arial"/>
                <w:i/>
                <w:sz w:val="22"/>
                <w:szCs w:val="22"/>
              </w:rPr>
              <w:t>h</w:t>
            </w:r>
            <w:r w:rsidRPr="006A0C4B">
              <w:rPr>
                <w:rFonts w:cs="Arial"/>
                <w:i/>
                <w:sz w:val="22"/>
                <w:szCs w:val="22"/>
              </w:rPr>
              <w:t>eadwinds</w:t>
            </w:r>
            <w:r w:rsidRPr="006A0C4B">
              <w:rPr>
                <w:rFonts w:cs="Arial"/>
                <w:sz w:val="22"/>
                <w:szCs w:val="22"/>
              </w:rPr>
              <w:t xml:space="preserve"> </w:t>
            </w:r>
            <w:r w:rsidRPr="006D1F28">
              <w:rPr>
                <w:rFonts w:cs="Arial"/>
                <w:i/>
                <w:sz w:val="22"/>
                <w:szCs w:val="22"/>
              </w:rPr>
              <w:t>scenario</w:t>
            </w:r>
            <w:r w:rsidRPr="006A0C4B">
              <w:rPr>
                <w:rFonts w:cs="Arial"/>
                <w:sz w:val="22"/>
                <w:szCs w:val="22"/>
              </w:rPr>
              <w:t xml:space="preserve"> and </w:t>
            </w:r>
            <w:r w:rsidRPr="006A0C4B">
              <w:rPr>
                <w:rFonts w:cs="Arial"/>
                <w:b/>
                <w:sz w:val="22"/>
                <w:szCs w:val="22"/>
              </w:rPr>
              <w:t xml:space="preserve">less ambitious </w:t>
            </w:r>
            <w:r w:rsidRPr="006A0C4B">
              <w:rPr>
                <w:rFonts w:cs="Arial"/>
                <w:sz w:val="22"/>
                <w:szCs w:val="22"/>
              </w:rPr>
              <w:t xml:space="preserve">than the recommended balanced pathway. </w:t>
            </w:r>
          </w:p>
          <w:p w14:paraId="1CD7582C" w14:textId="53263442" w:rsidR="00822E64" w:rsidRPr="006A0C4B" w:rsidRDefault="00822E64" w:rsidP="00822E64">
            <w:pPr>
              <w:rPr>
                <w:rFonts w:cs="Arial"/>
                <w:sz w:val="22"/>
                <w:szCs w:val="22"/>
              </w:rPr>
            </w:pPr>
          </w:p>
        </w:tc>
        <w:tc>
          <w:tcPr>
            <w:tcW w:w="2127" w:type="dxa"/>
          </w:tcPr>
          <w:p w14:paraId="0C5E5200" w14:textId="7734A452" w:rsidR="00822E64" w:rsidRPr="006A0C4B" w:rsidRDefault="00822E64" w:rsidP="00822E64">
            <w:pPr>
              <w:rPr>
                <w:rFonts w:cs="Arial"/>
                <w:b/>
                <w:sz w:val="22"/>
                <w:szCs w:val="22"/>
              </w:rPr>
            </w:pPr>
            <w:r w:rsidRPr="006A0C4B">
              <w:rPr>
                <w:rFonts w:cs="Arial"/>
                <w:b/>
                <w:sz w:val="22"/>
                <w:szCs w:val="22"/>
              </w:rPr>
              <w:t>CCC recommended level</w:t>
            </w:r>
            <w:r w:rsidR="006E06DD">
              <w:rPr>
                <w:rFonts w:cs="Arial"/>
                <w:b/>
                <w:sz w:val="22"/>
                <w:szCs w:val="22"/>
              </w:rPr>
              <w:t>.</w:t>
            </w:r>
          </w:p>
        </w:tc>
        <w:tc>
          <w:tcPr>
            <w:tcW w:w="2409" w:type="dxa"/>
          </w:tcPr>
          <w:p w14:paraId="197C7E74" w14:textId="28130862" w:rsidR="00822E64" w:rsidRPr="006A0C4B" w:rsidRDefault="00822E64" w:rsidP="00822E64">
            <w:pPr>
              <w:rPr>
                <w:rFonts w:cs="Arial"/>
                <w:i/>
                <w:sz w:val="22"/>
                <w:szCs w:val="22"/>
              </w:rPr>
            </w:pPr>
            <w:r w:rsidRPr="006A0C4B">
              <w:rPr>
                <w:rFonts w:cs="Arial"/>
                <w:sz w:val="22"/>
                <w:szCs w:val="22"/>
              </w:rPr>
              <w:t xml:space="preserve">In line with CCC’s </w:t>
            </w:r>
            <w:r w:rsidRPr="006A0C4B">
              <w:rPr>
                <w:rFonts w:cs="Arial"/>
                <w:i/>
                <w:sz w:val="22"/>
                <w:szCs w:val="22"/>
              </w:rPr>
              <w:t xml:space="preserve">widespread innovation scenario </w:t>
            </w:r>
            <w:r w:rsidRPr="006A0C4B">
              <w:rPr>
                <w:rFonts w:cs="Arial"/>
                <w:sz w:val="22"/>
                <w:szCs w:val="22"/>
              </w:rPr>
              <w:t xml:space="preserve">and </w:t>
            </w:r>
            <w:r w:rsidRPr="006A0C4B">
              <w:rPr>
                <w:rFonts w:cs="Arial"/>
                <w:b/>
                <w:sz w:val="22"/>
                <w:szCs w:val="22"/>
              </w:rPr>
              <w:t>more ambitious</w:t>
            </w:r>
            <w:r w:rsidRPr="006A0C4B">
              <w:rPr>
                <w:rFonts w:cs="Arial"/>
                <w:sz w:val="22"/>
                <w:szCs w:val="22"/>
              </w:rPr>
              <w:t xml:space="preserve"> than </w:t>
            </w:r>
            <w:r w:rsidR="009A3EB5" w:rsidRPr="006A0C4B">
              <w:rPr>
                <w:rFonts w:cs="Arial"/>
                <w:sz w:val="22"/>
                <w:szCs w:val="22"/>
              </w:rPr>
              <w:t>the</w:t>
            </w:r>
            <w:r w:rsidRPr="006A0C4B">
              <w:rPr>
                <w:rFonts w:cs="Arial"/>
                <w:sz w:val="22"/>
                <w:szCs w:val="22"/>
              </w:rPr>
              <w:t xml:space="preserve"> recommended level. </w:t>
            </w:r>
          </w:p>
        </w:tc>
      </w:tr>
      <w:tr w:rsidR="00822E64" w:rsidRPr="00822E64" w14:paraId="72AAE669" w14:textId="77777777" w:rsidTr="008D618E">
        <w:trPr>
          <w:trHeight w:val="222"/>
        </w:trPr>
        <w:tc>
          <w:tcPr>
            <w:tcW w:w="1696" w:type="dxa"/>
          </w:tcPr>
          <w:p w14:paraId="5ACF843D" w14:textId="210C6797" w:rsidR="00822E64" w:rsidRPr="006A0C4B" w:rsidRDefault="00822E64" w:rsidP="00822E64">
            <w:pPr>
              <w:rPr>
                <w:rFonts w:cs="Arial"/>
                <w:sz w:val="22"/>
                <w:szCs w:val="22"/>
              </w:rPr>
            </w:pPr>
            <w:r w:rsidRPr="006A0C4B">
              <w:rPr>
                <w:rFonts w:cs="Arial"/>
                <w:sz w:val="22"/>
                <w:szCs w:val="22"/>
              </w:rPr>
              <w:t>D</w:t>
            </w:r>
            <w:r w:rsidR="00C728E4">
              <w:rPr>
                <w:rFonts w:cs="Arial"/>
                <w:sz w:val="22"/>
                <w:szCs w:val="22"/>
              </w:rPr>
              <w:t>evolved Administration</w:t>
            </w:r>
            <w:r w:rsidRPr="006A0C4B">
              <w:rPr>
                <w:rFonts w:cs="Arial"/>
                <w:sz w:val="22"/>
                <w:szCs w:val="22"/>
              </w:rPr>
              <w:t xml:space="preserve"> views</w:t>
            </w:r>
          </w:p>
        </w:tc>
        <w:tc>
          <w:tcPr>
            <w:tcW w:w="1701" w:type="dxa"/>
          </w:tcPr>
          <w:p w14:paraId="6611119E" w14:textId="1919DA37" w:rsidR="00822E64" w:rsidRPr="006A0C4B" w:rsidRDefault="00822E64" w:rsidP="00822E64">
            <w:pPr>
              <w:rPr>
                <w:rFonts w:cs="Arial"/>
                <w:sz w:val="22"/>
                <w:szCs w:val="22"/>
              </w:rPr>
            </w:pPr>
            <w:r w:rsidRPr="006A0C4B">
              <w:rPr>
                <w:rFonts w:cs="Arial"/>
                <w:sz w:val="22"/>
                <w:szCs w:val="22"/>
              </w:rPr>
              <w:t>Not consistent with DA views</w:t>
            </w:r>
          </w:p>
        </w:tc>
        <w:tc>
          <w:tcPr>
            <w:tcW w:w="1701" w:type="dxa"/>
          </w:tcPr>
          <w:p w14:paraId="37DDC519" w14:textId="3575F7DB" w:rsidR="00822E64" w:rsidRPr="006A0C4B" w:rsidRDefault="00822E64" w:rsidP="00390325">
            <w:pPr>
              <w:spacing w:after="240"/>
              <w:jc w:val="both"/>
              <w:rPr>
                <w:rFonts w:cs="Arial"/>
                <w:sz w:val="22"/>
                <w:szCs w:val="22"/>
              </w:rPr>
            </w:pPr>
            <w:r w:rsidRPr="006A0C4B">
              <w:rPr>
                <w:rFonts w:cs="Arial"/>
                <w:sz w:val="22"/>
                <w:szCs w:val="22"/>
              </w:rPr>
              <w:t>Not</w:t>
            </w:r>
            <w:r w:rsidR="00C728E4">
              <w:rPr>
                <w:rFonts w:cs="Arial"/>
                <w:sz w:val="22"/>
                <w:szCs w:val="22"/>
              </w:rPr>
              <w:t xml:space="preserve"> </w:t>
            </w:r>
            <w:r w:rsidRPr="006A0C4B">
              <w:rPr>
                <w:rFonts w:cs="Arial"/>
                <w:sz w:val="22"/>
                <w:szCs w:val="22"/>
              </w:rPr>
              <w:t>consistent with</w:t>
            </w:r>
            <w:r w:rsidR="00316333">
              <w:rPr>
                <w:rFonts w:cs="Arial"/>
                <w:sz w:val="22"/>
                <w:szCs w:val="22"/>
              </w:rPr>
              <w:t xml:space="preserve"> </w:t>
            </w:r>
            <w:r w:rsidRPr="006A0C4B">
              <w:rPr>
                <w:rFonts w:cs="Arial"/>
                <w:sz w:val="22"/>
                <w:szCs w:val="22"/>
              </w:rPr>
              <w:t>DA views</w:t>
            </w:r>
            <w:r w:rsidRPr="006A0C4B" w:rsidDel="00F50A84">
              <w:rPr>
                <w:rFonts w:cs="Arial"/>
                <w:sz w:val="22"/>
                <w:szCs w:val="22"/>
              </w:rPr>
              <w:t xml:space="preserve"> </w:t>
            </w:r>
          </w:p>
        </w:tc>
        <w:tc>
          <w:tcPr>
            <w:tcW w:w="2127" w:type="dxa"/>
          </w:tcPr>
          <w:p w14:paraId="51DF1CBC" w14:textId="61BADC3E" w:rsidR="00822E64" w:rsidRPr="006A0C4B" w:rsidRDefault="00822E64" w:rsidP="00822E64">
            <w:pPr>
              <w:rPr>
                <w:rFonts w:cs="Arial"/>
                <w:sz w:val="22"/>
                <w:szCs w:val="22"/>
              </w:rPr>
            </w:pPr>
            <w:r w:rsidRPr="006A0C4B">
              <w:rPr>
                <w:rFonts w:cs="Arial"/>
                <w:sz w:val="22"/>
                <w:szCs w:val="22"/>
              </w:rPr>
              <w:t xml:space="preserve">Budget level endorsed by </w:t>
            </w:r>
            <w:r w:rsidR="009A3EB5" w:rsidRPr="006A0C4B">
              <w:rPr>
                <w:rFonts w:cs="Arial"/>
                <w:sz w:val="22"/>
                <w:szCs w:val="22"/>
              </w:rPr>
              <w:t xml:space="preserve">all </w:t>
            </w:r>
            <w:r w:rsidRPr="006A0C4B">
              <w:rPr>
                <w:rFonts w:cs="Arial"/>
                <w:sz w:val="22"/>
                <w:szCs w:val="22"/>
              </w:rPr>
              <w:t>DAs</w:t>
            </w:r>
          </w:p>
        </w:tc>
        <w:tc>
          <w:tcPr>
            <w:tcW w:w="2409" w:type="dxa"/>
          </w:tcPr>
          <w:p w14:paraId="775E2B2A" w14:textId="72CC33E0" w:rsidR="00822E64" w:rsidRPr="006A0C4B" w:rsidRDefault="00822E64" w:rsidP="00822E64">
            <w:pPr>
              <w:rPr>
                <w:rFonts w:cs="Arial"/>
                <w:sz w:val="22"/>
                <w:szCs w:val="22"/>
              </w:rPr>
            </w:pPr>
            <w:r w:rsidRPr="006A0C4B">
              <w:rPr>
                <w:rFonts w:cs="Arial"/>
                <w:sz w:val="22"/>
                <w:szCs w:val="22"/>
              </w:rPr>
              <w:t xml:space="preserve">Scottish </w:t>
            </w:r>
            <w:r w:rsidR="007C6560">
              <w:rPr>
                <w:rFonts w:cs="Arial"/>
                <w:sz w:val="22"/>
                <w:szCs w:val="22"/>
              </w:rPr>
              <w:t>Government</w:t>
            </w:r>
            <w:r w:rsidRPr="006A0C4B">
              <w:rPr>
                <w:rFonts w:cs="Arial"/>
                <w:sz w:val="22"/>
                <w:szCs w:val="22"/>
              </w:rPr>
              <w:t xml:space="preserve"> view Option 3 as minimum</w:t>
            </w:r>
            <w:r w:rsidR="00C728E4">
              <w:rPr>
                <w:rFonts w:cs="Arial"/>
                <w:sz w:val="22"/>
                <w:szCs w:val="22"/>
              </w:rPr>
              <w:t xml:space="preserve"> appropriate ambition</w:t>
            </w:r>
          </w:p>
        </w:tc>
      </w:tr>
      <w:tr w:rsidR="00822E64" w:rsidRPr="00822E64" w14:paraId="06524B60" w14:textId="77777777" w:rsidTr="00253356">
        <w:trPr>
          <w:trHeight w:val="228"/>
        </w:trPr>
        <w:tc>
          <w:tcPr>
            <w:tcW w:w="9634" w:type="dxa"/>
            <w:gridSpan w:val="5"/>
          </w:tcPr>
          <w:p w14:paraId="2156499A" w14:textId="0F929E5E" w:rsidR="00822E64" w:rsidRPr="006A0C4B" w:rsidRDefault="00822E64" w:rsidP="00390325">
            <w:pPr>
              <w:spacing w:before="60" w:after="60"/>
              <w:jc w:val="both"/>
              <w:rPr>
                <w:rFonts w:cs="Arial"/>
                <w:b/>
                <w:sz w:val="22"/>
                <w:szCs w:val="22"/>
              </w:rPr>
            </w:pPr>
            <w:r w:rsidRPr="006A0C4B">
              <w:rPr>
                <w:rFonts w:cs="Arial"/>
                <w:b/>
                <w:sz w:val="22"/>
                <w:szCs w:val="22"/>
              </w:rPr>
              <w:t>Assessment criteria</w:t>
            </w:r>
          </w:p>
        </w:tc>
      </w:tr>
      <w:tr w:rsidR="00822E64" w:rsidRPr="00822E64" w14:paraId="30EDBCA2" w14:textId="77777777" w:rsidTr="008D618E">
        <w:trPr>
          <w:trHeight w:val="1852"/>
        </w:trPr>
        <w:tc>
          <w:tcPr>
            <w:tcW w:w="1696" w:type="dxa"/>
          </w:tcPr>
          <w:p w14:paraId="1E225EB8" w14:textId="704F2BA4" w:rsidR="00822E64" w:rsidRPr="006A0C4B" w:rsidRDefault="00822E64" w:rsidP="00822E64">
            <w:pPr>
              <w:rPr>
                <w:rFonts w:cs="Arial"/>
                <w:sz w:val="22"/>
                <w:szCs w:val="22"/>
              </w:rPr>
            </w:pPr>
            <w:r w:rsidRPr="006A0C4B">
              <w:rPr>
                <w:rFonts w:cs="Arial"/>
                <w:sz w:val="22"/>
                <w:szCs w:val="22"/>
              </w:rPr>
              <w:t>1) Long-term pathways and technological feasibility</w:t>
            </w:r>
          </w:p>
        </w:tc>
        <w:tc>
          <w:tcPr>
            <w:tcW w:w="1701" w:type="dxa"/>
          </w:tcPr>
          <w:p w14:paraId="27987F34" w14:textId="59C45D0F" w:rsidR="00822E64" w:rsidRPr="006A0C4B" w:rsidRDefault="00822E64" w:rsidP="00822E64">
            <w:pPr>
              <w:rPr>
                <w:rFonts w:cs="Arial"/>
                <w:sz w:val="22"/>
                <w:szCs w:val="22"/>
              </w:rPr>
            </w:pPr>
            <w:r w:rsidRPr="006A0C4B">
              <w:rPr>
                <w:rFonts w:cs="Arial"/>
                <w:sz w:val="22"/>
                <w:szCs w:val="22"/>
              </w:rPr>
              <w:t xml:space="preserve">Budget is technically feasible, but the pathway does </w:t>
            </w:r>
            <w:r w:rsidRPr="006A0C4B">
              <w:rPr>
                <w:rFonts w:cs="Arial"/>
                <w:b/>
                <w:sz w:val="22"/>
                <w:szCs w:val="22"/>
              </w:rPr>
              <w:t>not meet the UK’s 2050</w:t>
            </w:r>
            <w:r w:rsidRPr="006A0C4B">
              <w:rPr>
                <w:rFonts w:cs="Arial"/>
                <w:sz w:val="22"/>
                <w:szCs w:val="22"/>
              </w:rPr>
              <w:t xml:space="preserve"> target and is inconsistent with the </w:t>
            </w:r>
            <w:r w:rsidR="004727F1">
              <w:rPr>
                <w:rFonts w:cs="Arial"/>
                <w:sz w:val="22"/>
                <w:szCs w:val="22"/>
              </w:rPr>
              <w:t xml:space="preserve">2030 </w:t>
            </w:r>
            <w:r w:rsidRPr="006A0C4B">
              <w:rPr>
                <w:rFonts w:cs="Arial"/>
                <w:sz w:val="22"/>
                <w:szCs w:val="22"/>
              </w:rPr>
              <w:t xml:space="preserve">NDC.  </w:t>
            </w:r>
          </w:p>
        </w:tc>
        <w:tc>
          <w:tcPr>
            <w:tcW w:w="1701" w:type="dxa"/>
          </w:tcPr>
          <w:p w14:paraId="2054B6DF" w14:textId="63CC0AD5" w:rsidR="00822E64" w:rsidRPr="006A0C4B" w:rsidRDefault="00902BA1" w:rsidP="00822E64">
            <w:pPr>
              <w:rPr>
                <w:rFonts w:cs="Arial"/>
                <w:sz w:val="22"/>
                <w:szCs w:val="22"/>
              </w:rPr>
            </w:pPr>
            <w:r>
              <w:rPr>
                <w:rFonts w:cs="Arial"/>
                <w:sz w:val="22"/>
                <w:szCs w:val="22"/>
              </w:rPr>
              <w:t xml:space="preserve">Budget is </w:t>
            </w:r>
            <w:r w:rsidRPr="006A0C4B">
              <w:rPr>
                <w:rFonts w:cs="Arial"/>
                <w:b/>
                <w:sz w:val="22"/>
                <w:szCs w:val="22"/>
              </w:rPr>
              <w:t>challenging and technically stretching</w:t>
            </w:r>
            <w:r>
              <w:rPr>
                <w:rFonts w:cs="Arial"/>
                <w:sz w:val="22"/>
                <w:szCs w:val="22"/>
              </w:rPr>
              <w:t xml:space="preserve"> but feasible and in</w:t>
            </w:r>
            <w:r w:rsidR="00807D9D">
              <w:rPr>
                <w:rFonts w:cs="Arial"/>
                <w:sz w:val="22"/>
                <w:szCs w:val="22"/>
              </w:rPr>
              <w:t xml:space="preserve"> </w:t>
            </w:r>
            <w:r>
              <w:rPr>
                <w:rFonts w:cs="Arial"/>
                <w:sz w:val="22"/>
                <w:szCs w:val="22"/>
              </w:rPr>
              <w:t>line with the 2050 target.</w:t>
            </w:r>
          </w:p>
        </w:tc>
        <w:tc>
          <w:tcPr>
            <w:tcW w:w="2127" w:type="dxa"/>
          </w:tcPr>
          <w:p w14:paraId="6CF85FB4" w14:textId="42759AA7" w:rsidR="00822E64" w:rsidRPr="006A0C4B" w:rsidRDefault="00822E64" w:rsidP="00822E64">
            <w:pPr>
              <w:rPr>
                <w:rFonts w:cs="Arial"/>
                <w:sz w:val="22"/>
                <w:szCs w:val="22"/>
              </w:rPr>
            </w:pPr>
            <w:r w:rsidRPr="006A0C4B">
              <w:rPr>
                <w:rFonts w:cs="Arial"/>
                <w:sz w:val="22"/>
                <w:szCs w:val="22"/>
              </w:rPr>
              <w:t>Budget is technically feasible</w:t>
            </w:r>
            <w:r w:rsidR="301B52A9" w:rsidRPr="174A11B4">
              <w:rPr>
                <w:rFonts w:cs="Arial"/>
                <w:sz w:val="22"/>
                <w:szCs w:val="22"/>
              </w:rPr>
              <w:t xml:space="preserve"> and in line with </w:t>
            </w:r>
            <w:r w:rsidR="002374B2">
              <w:rPr>
                <w:rFonts w:cs="Arial"/>
                <w:sz w:val="22"/>
                <w:szCs w:val="22"/>
              </w:rPr>
              <w:t>the</w:t>
            </w:r>
            <w:r w:rsidR="301B52A9" w:rsidRPr="174A11B4">
              <w:rPr>
                <w:rFonts w:cs="Arial"/>
                <w:sz w:val="22"/>
                <w:szCs w:val="22"/>
              </w:rPr>
              <w:t xml:space="preserve"> 2050 target</w:t>
            </w:r>
            <w:r w:rsidRPr="006A0C4B">
              <w:rPr>
                <w:rFonts w:cs="Arial"/>
                <w:sz w:val="22"/>
                <w:szCs w:val="22"/>
              </w:rPr>
              <w:t xml:space="preserve">, but </w:t>
            </w:r>
            <w:r w:rsidR="000F123B" w:rsidRPr="006A0C4B">
              <w:rPr>
                <w:rFonts w:cs="Arial"/>
                <w:b/>
                <w:bCs/>
                <w:sz w:val="22"/>
                <w:szCs w:val="22"/>
              </w:rPr>
              <w:t xml:space="preserve">more </w:t>
            </w:r>
            <w:r w:rsidRPr="006A0C4B">
              <w:rPr>
                <w:rFonts w:cs="Arial"/>
                <w:b/>
                <w:sz w:val="22"/>
                <w:szCs w:val="22"/>
              </w:rPr>
              <w:t>stretching</w:t>
            </w:r>
            <w:r w:rsidR="000F123B">
              <w:rPr>
                <w:rFonts w:cs="Arial"/>
                <w:b/>
                <w:sz w:val="22"/>
                <w:szCs w:val="22"/>
              </w:rPr>
              <w:t xml:space="preserve"> and more technical</w:t>
            </w:r>
            <w:r w:rsidR="00BE3FA0">
              <w:rPr>
                <w:rFonts w:cs="Arial"/>
                <w:b/>
                <w:sz w:val="22"/>
                <w:szCs w:val="22"/>
              </w:rPr>
              <w:t>ly</w:t>
            </w:r>
            <w:r w:rsidR="000F123B">
              <w:rPr>
                <w:rFonts w:cs="Arial"/>
                <w:b/>
                <w:sz w:val="22"/>
                <w:szCs w:val="22"/>
              </w:rPr>
              <w:t xml:space="preserve"> challenging than Option 2</w:t>
            </w:r>
            <w:r>
              <w:rPr>
                <w:rFonts w:cs="Arial"/>
                <w:b/>
                <w:sz w:val="22"/>
                <w:szCs w:val="22"/>
              </w:rPr>
              <w:t>.</w:t>
            </w:r>
          </w:p>
        </w:tc>
        <w:tc>
          <w:tcPr>
            <w:tcW w:w="2409" w:type="dxa"/>
          </w:tcPr>
          <w:p w14:paraId="0F7C5C4D" w14:textId="34BADD99" w:rsidR="00822E64" w:rsidRPr="006A0C4B" w:rsidRDefault="000F123B" w:rsidP="00822E64">
            <w:pPr>
              <w:rPr>
                <w:rFonts w:cs="Arial"/>
                <w:sz w:val="22"/>
                <w:szCs w:val="22"/>
              </w:rPr>
            </w:pPr>
            <w:r w:rsidRPr="00A85DC4">
              <w:rPr>
                <w:rFonts w:cs="Arial"/>
                <w:sz w:val="22"/>
                <w:szCs w:val="22"/>
              </w:rPr>
              <w:t xml:space="preserve">Budget is technically feasible, but </w:t>
            </w:r>
            <w:r>
              <w:rPr>
                <w:rFonts w:cs="Arial"/>
                <w:b/>
                <w:sz w:val="22"/>
                <w:szCs w:val="22"/>
              </w:rPr>
              <w:t>more technical</w:t>
            </w:r>
            <w:r w:rsidR="00BE3FA0">
              <w:rPr>
                <w:rFonts w:cs="Arial"/>
                <w:b/>
                <w:sz w:val="22"/>
                <w:szCs w:val="22"/>
              </w:rPr>
              <w:t>ly</w:t>
            </w:r>
            <w:r>
              <w:rPr>
                <w:rFonts w:cs="Arial"/>
                <w:b/>
                <w:sz w:val="22"/>
                <w:szCs w:val="22"/>
              </w:rPr>
              <w:t xml:space="preserve"> challenging than Option 3 a</w:t>
            </w:r>
            <w:r w:rsidR="00E859B3">
              <w:rPr>
                <w:rFonts w:cs="Arial"/>
                <w:b/>
                <w:sz w:val="22"/>
                <w:szCs w:val="22"/>
              </w:rPr>
              <w:t>n</w:t>
            </w:r>
            <w:r>
              <w:rPr>
                <w:rFonts w:cs="Arial"/>
                <w:b/>
                <w:sz w:val="22"/>
                <w:szCs w:val="22"/>
              </w:rPr>
              <w:t>d might lead to non-economical outcomes</w:t>
            </w:r>
            <w:r w:rsidR="00E859B3">
              <w:rPr>
                <w:rFonts w:cs="Arial"/>
                <w:b/>
                <w:sz w:val="22"/>
                <w:szCs w:val="22"/>
              </w:rPr>
              <w:t>.</w:t>
            </w:r>
          </w:p>
        </w:tc>
      </w:tr>
      <w:tr w:rsidR="00822E64" w:rsidRPr="00822E64" w14:paraId="4E352C05" w14:textId="77777777" w:rsidTr="008D618E">
        <w:trPr>
          <w:trHeight w:val="687"/>
        </w:trPr>
        <w:tc>
          <w:tcPr>
            <w:tcW w:w="1696" w:type="dxa"/>
          </w:tcPr>
          <w:p w14:paraId="2B6A5158" w14:textId="5BC17BA2" w:rsidR="00822E64" w:rsidRPr="006A0C4B" w:rsidRDefault="00822E64" w:rsidP="00822E64">
            <w:pPr>
              <w:rPr>
                <w:rFonts w:cs="Arial"/>
                <w:sz w:val="22"/>
                <w:szCs w:val="22"/>
              </w:rPr>
            </w:pPr>
            <w:r w:rsidRPr="006A0C4B">
              <w:rPr>
                <w:rFonts w:cs="Arial"/>
                <w:sz w:val="22"/>
                <w:szCs w:val="22"/>
              </w:rPr>
              <w:t>2) Delivery implications</w:t>
            </w:r>
          </w:p>
        </w:tc>
        <w:tc>
          <w:tcPr>
            <w:tcW w:w="1701" w:type="dxa"/>
          </w:tcPr>
          <w:p w14:paraId="28BF632E" w14:textId="256839CE" w:rsidR="00822E64" w:rsidRPr="006A0C4B" w:rsidRDefault="00822E64" w:rsidP="00822E64">
            <w:pPr>
              <w:rPr>
                <w:rFonts w:cs="Arial"/>
                <w:sz w:val="22"/>
                <w:szCs w:val="22"/>
              </w:rPr>
            </w:pPr>
            <w:r w:rsidRPr="006A0C4B">
              <w:rPr>
                <w:rFonts w:cs="Arial"/>
                <w:b/>
                <w:sz w:val="22"/>
                <w:szCs w:val="22"/>
              </w:rPr>
              <w:t>No delivery implications</w:t>
            </w:r>
            <w:r w:rsidRPr="006A0C4B">
              <w:rPr>
                <w:rFonts w:cs="Arial"/>
                <w:sz w:val="22"/>
                <w:szCs w:val="22"/>
              </w:rPr>
              <w:t>, as no additional abatement action beyond current policies necessary</w:t>
            </w:r>
            <w:r>
              <w:rPr>
                <w:rFonts w:cs="Arial"/>
                <w:sz w:val="22"/>
                <w:szCs w:val="22"/>
              </w:rPr>
              <w:t>.</w:t>
            </w:r>
            <w:r w:rsidRPr="006A0C4B">
              <w:rPr>
                <w:rFonts w:cs="Arial"/>
                <w:sz w:val="22"/>
                <w:szCs w:val="22"/>
              </w:rPr>
              <w:t xml:space="preserve"> </w:t>
            </w:r>
          </w:p>
        </w:tc>
        <w:tc>
          <w:tcPr>
            <w:tcW w:w="1701" w:type="dxa"/>
          </w:tcPr>
          <w:p w14:paraId="514C96C1" w14:textId="35923A90" w:rsidR="00822E64" w:rsidRPr="006A0C4B" w:rsidRDefault="00822E64" w:rsidP="00822E64">
            <w:pPr>
              <w:rPr>
                <w:rFonts w:cs="Arial"/>
                <w:sz w:val="22"/>
                <w:szCs w:val="22"/>
              </w:rPr>
            </w:pPr>
            <w:r w:rsidRPr="006A0C4B">
              <w:rPr>
                <w:rFonts w:cs="Arial"/>
                <w:sz w:val="22"/>
                <w:szCs w:val="22"/>
              </w:rPr>
              <w:t xml:space="preserve">Budget is </w:t>
            </w:r>
            <w:r w:rsidRPr="006A0C4B">
              <w:rPr>
                <w:rFonts w:cs="Arial"/>
                <w:b/>
                <w:sz w:val="22"/>
                <w:szCs w:val="22"/>
              </w:rPr>
              <w:t>stretching</w:t>
            </w:r>
            <w:r w:rsidRPr="006A0C4B">
              <w:rPr>
                <w:rFonts w:cs="Arial"/>
                <w:sz w:val="22"/>
                <w:szCs w:val="22"/>
              </w:rPr>
              <w:t xml:space="preserve"> to deliver with </w:t>
            </w:r>
            <w:r w:rsidRPr="006A0C4B">
              <w:rPr>
                <w:rFonts w:cs="Arial"/>
                <w:b/>
                <w:sz w:val="22"/>
                <w:szCs w:val="22"/>
              </w:rPr>
              <w:t>barriers</w:t>
            </w:r>
            <w:r w:rsidRPr="006A0C4B">
              <w:rPr>
                <w:rFonts w:cs="Arial"/>
                <w:sz w:val="22"/>
                <w:szCs w:val="22"/>
              </w:rPr>
              <w:t xml:space="preserve"> of all types to overcome. </w:t>
            </w:r>
          </w:p>
        </w:tc>
        <w:tc>
          <w:tcPr>
            <w:tcW w:w="2127" w:type="dxa"/>
          </w:tcPr>
          <w:p w14:paraId="0240490D" w14:textId="0C6C6603" w:rsidR="00822E64" w:rsidRPr="006A0C4B" w:rsidRDefault="00822E64" w:rsidP="00822E64">
            <w:pPr>
              <w:rPr>
                <w:rFonts w:cs="Arial"/>
                <w:sz w:val="22"/>
                <w:szCs w:val="22"/>
              </w:rPr>
            </w:pPr>
            <w:r w:rsidRPr="006A0C4B">
              <w:rPr>
                <w:rFonts w:cs="Arial"/>
                <w:sz w:val="22"/>
                <w:szCs w:val="22"/>
              </w:rPr>
              <w:t xml:space="preserve">Budget is </w:t>
            </w:r>
            <w:r w:rsidR="00E859B3">
              <w:rPr>
                <w:rFonts w:cs="Arial"/>
                <w:b/>
                <w:sz w:val="22"/>
                <w:szCs w:val="22"/>
              </w:rPr>
              <w:t xml:space="preserve">more challenging to deliver than Options 2 and </w:t>
            </w:r>
            <w:r w:rsidR="00016C46">
              <w:rPr>
                <w:rFonts w:cs="Arial"/>
                <w:b/>
                <w:sz w:val="22"/>
                <w:szCs w:val="22"/>
              </w:rPr>
              <w:t xml:space="preserve">more reliant on overcoming barriers. </w:t>
            </w:r>
            <w:r w:rsidRPr="006A0C4B">
              <w:rPr>
                <w:rFonts w:cs="Arial"/>
                <w:sz w:val="22"/>
                <w:szCs w:val="22"/>
              </w:rPr>
              <w:t xml:space="preserve"> </w:t>
            </w:r>
          </w:p>
        </w:tc>
        <w:tc>
          <w:tcPr>
            <w:tcW w:w="2409" w:type="dxa"/>
          </w:tcPr>
          <w:p w14:paraId="773F3084" w14:textId="15342497" w:rsidR="00822E64" w:rsidRPr="006A0C4B" w:rsidRDefault="00016C46" w:rsidP="00822E64">
            <w:pPr>
              <w:rPr>
                <w:rFonts w:cs="Arial"/>
                <w:sz w:val="22"/>
                <w:szCs w:val="22"/>
              </w:rPr>
            </w:pPr>
            <w:r w:rsidRPr="00A85DC4">
              <w:rPr>
                <w:rFonts w:cs="Arial"/>
                <w:sz w:val="22"/>
                <w:szCs w:val="22"/>
              </w:rPr>
              <w:t xml:space="preserve">Budget is </w:t>
            </w:r>
            <w:r>
              <w:rPr>
                <w:rFonts w:cs="Arial"/>
                <w:b/>
                <w:sz w:val="22"/>
                <w:szCs w:val="22"/>
              </w:rPr>
              <w:t xml:space="preserve">more challenging to deliver than Option 3 and more reliant on overcoming barriers. </w:t>
            </w:r>
            <w:r w:rsidRPr="00A85DC4">
              <w:rPr>
                <w:rFonts w:cs="Arial"/>
                <w:sz w:val="22"/>
                <w:szCs w:val="22"/>
              </w:rPr>
              <w:t xml:space="preserve"> </w:t>
            </w:r>
          </w:p>
        </w:tc>
      </w:tr>
      <w:tr w:rsidR="00822E64" w:rsidRPr="00822E64" w14:paraId="7735114B" w14:textId="77777777" w:rsidTr="008D618E">
        <w:trPr>
          <w:trHeight w:val="468"/>
        </w:trPr>
        <w:tc>
          <w:tcPr>
            <w:tcW w:w="1696" w:type="dxa"/>
          </w:tcPr>
          <w:p w14:paraId="68E69428" w14:textId="156400C4" w:rsidR="00822E64" w:rsidRPr="006A0C4B" w:rsidRDefault="00822E64" w:rsidP="00822E64">
            <w:pPr>
              <w:rPr>
                <w:rFonts w:cs="Arial"/>
                <w:sz w:val="22"/>
                <w:szCs w:val="22"/>
              </w:rPr>
            </w:pPr>
            <w:r w:rsidRPr="006A0C4B">
              <w:rPr>
                <w:rFonts w:cs="Arial"/>
                <w:sz w:val="22"/>
                <w:szCs w:val="22"/>
              </w:rPr>
              <w:t>3) International circumstances</w:t>
            </w:r>
          </w:p>
        </w:tc>
        <w:tc>
          <w:tcPr>
            <w:tcW w:w="1701" w:type="dxa"/>
          </w:tcPr>
          <w:p w14:paraId="70CEA249" w14:textId="559E0A37" w:rsidR="00822E64" w:rsidRPr="006A0C4B" w:rsidRDefault="00822E64" w:rsidP="00822E64">
            <w:pPr>
              <w:rPr>
                <w:rFonts w:cs="Arial"/>
                <w:sz w:val="22"/>
                <w:szCs w:val="22"/>
              </w:rPr>
            </w:pPr>
            <w:r w:rsidRPr="006A0C4B">
              <w:rPr>
                <w:rFonts w:cs="Arial"/>
                <w:b/>
                <w:sz w:val="22"/>
                <w:szCs w:val="22"/>
              </w:rPr>
              <w:t>Insufficient</w:t>
            </w:r>
            <w:r w:rsidRPr="006A0C4B">
              <w:rPr>
                <w:rFonts w:cs="Arial"/>
                <w:sz w:val="22"/>
                <w:szCs w:val="22"/>
              </w:rPr>
              <w:t xml:space="preserve"> to deliver the UK’s international ambition. </w:t>
            </w:r>
          </w:p>
        </w:tc>
        <w:tc>
          <w:tcPr>
            <w:tcW w:w="1701" w:type="dxa"/>
          </w:tcPr>
          <w:p w14:paraId="4234CFF8" w14:textId="2CD4C507" w:rsidR="00822E64" w:rsidRPr="006A0C4B" w:rsidRDefault="00D63DF5" w:rsidP="00822E64">
            <w:pPr>
              <w:rPr>
                <w:rFonts w:cs="Arial"/>
                <w:sz w:val="22"/>
                <w:szCs w:val="22"/>
              </w:rPr>
            </w:pPr>
            <w:r w:rsidRPr="006A0C4B">
              <w:rPr>
                <w:rFonts w:cs="Arial"/>
                <w:sz w:val="22"/>
                <w:szCs w:val="22"/>
              </w:rPr>
              <w:t xml:space="preserve">Budget </w:t>
            </w:r>
            <w:r w:rsidR="00580FDE" w:rsidRPr="006A0C4B">
              <w:rPr>
                <w:rFonts w:cs="Arial"/>
                <w:sz w:val="22"/>
                <w:szCs w:val="22"/>
              </w:rPr>
              <w:t xml:space="preserve">is </w:t>
            </w:r>
            <w:r w:rsidRPr="006A0C4B">
              <w:rPr>
                <w:rFonts w:cs="Arial"/>
                <w:sz w:val="22"/>
                <w:szCs w:val="22"/>
              </w:rPr>
              <w:t xml:space="preserve">consistent with </w:t>
            </w:r>
            <w:r w:rsidR="00346356">
              <w:rPr>
                <w:rFonts w:cs="Arial"/>
                <w:sz w:val="22"/>
                <w:szCs w:val="22"/>
              </w:rPr>
              <w:t xml:space="preserve">Paris Agreement </w:t>
            </w:r>
            <w:r w:rsidR="00B32B74">
              <w:rPr>
                <w:rFonts w:cs="Arial"/>
                <w:sz w:val="22"/>
                <w:szCs w:val="22"/>
              </w:rPr>
              <w:t>temperature goal</w:t>
            </w:r>
            <w:r w:rsidR="00807D9D">
              <w:rPr>
                <w:rFonts w:cs="Arial"/>
                <w:sz w:val="22"/>
                <w:szCs w:val="22"/>
              </w:rPr>
              <w:t>.</w:t>
            </w:r>
          </w:p>
        </w:tc>
        <w:tc>
          <w:tcPr>
            <w:tcW w:w="2127" w:type="dxa"/>
          </w:tcPr>
          <w:p w14:paraId="4A22696C" w14:textId="77777777" w:rsidR="00253356" w:rsidRDefault="00DC4A9C" w:rsidP="00822E64">
            <w:pPr>
              <w:rPr>
                <w:rFonts w:cs="Arial"/>
                <w:sz w:val="22"/>
                <w:szCs w:val="22"/>
              </w:rPr>
            </w:pPr>
            <w:r w:rsidRPr="006A0C4B">
              <w:rPr>
                <w:rFonts w:cs="Arial"/>
                <w:sz w:val="22"/>
                <w:szCs w:val="22"/>
              </w:rPr>
              <w:t>Budget is consistent with</w:t>
            </w:r>
            <w:r w:rsidR="00CA71B2">
              <w:rPr>
                <w:rFonts w:cs="Arial"/>
                <w:sz w:val="22"/>
                <w:szCs w:val="22"/>
              </w:rPr>
              <w:t xml:space="preserve"> </w:t>
            </w:r>
            <w:r w:rsidR="00061AE0">
              <w:rPr>
                <w:rFonts w:cs="Arial"/>
                <w:sz w:val="22"/>
                <w:szCs w:val="22"/>
              </w:rPr>
              <w:t xml:space="preserve">Paris </w:t>
            </w:r>
            <w:r w:rsidR="00346356">
              <w:rPr>
                <w:rFonts w:cs="Arial"/>
                <w:sz w:val="22"/>
                <w:szCs w:val="22"/>
              </w:rPr>
              <w:t xml:space="preserve">Agreement </w:t>
            </w:r>
            <w:r w:rsidR="00B32B74">
              <w:rPr>
                <w:rFonts w:cs="Arial"/>
                <w:sz w:val="22"/>
                <w:szCs w:val="22"/>
              </w:rPr>
              <w:t>temperature goa</w:t>
            </w:r>
            <w:r w:rsidR="00807D9D">
              <w:rPr>
                <w:rFonts w:cs="Arial"/>
                <w:sz w:val="22"/>
                <w:szCs w:val="22"/>
              </w:rPr>
              <w:t>l</w:t>
            </w:r>
            <w:r w:rsidR="001D0FE7">
              <w:rPr>
                <w:rFonts w:cs="Arial"/>
                <w:sz w:val="22"/>
                <w:szCs w:val="22"/>
              </w:rPr>
              <w:t>;</w:t>
            </w:r>
            <w:r w:rsidR="001C66E4">
              <w:rPr>
                <w:rFonts w:cs="Arial"/>
                <w:sz w:val="22"/>
                <w:szCs w:val="22"/>
              </w:rPr>
              <w:t xml:space="preserve"> </w:t>
            </w:r>
            <w:r w:rsidR="00752849">
              <w:rPr>
                <w:rFonts w:cs="Arial"/>
                <w:sz w:val="22"/>
                <w:szCs w:val="22"/>
              </w:rPr>
              <w:t xml:space="preserve">likely to be perceived as internationally ambitious </w:t>
            </w:r>
            <w:r w:rsidR="001D0FE7" w:rsidRPr="001D0FE7">
              <w:rPr>
                <w:rFonts w:cs="Arial"/>
                <w:sz w:val="22"/>
                <w:szCs w:val="22"/>
              </w:rPr>
              <w:t>by delivering faster emission reductions and resulting in lower cumulative emissions</w:t>
            </w:r>
            <w:r w:rsidR="00FE22B2">
              <w:rPr>
                <w:rFonts w:cs="Arial"/>
                <w:sz w:val="22"/>
                <w:szCs w:val="22"/>
              </w:rPr>
              <w:t xml:space="preserve"> than Option 2</w:t>
            </w:r>
            <w:r w:rsidR="001D0FE7">
              <w:rPr>
                <w:rFonts w:cs="Arial"/>
                <w:sz w:val="22"/>
                <w:szCs w:val="22"/>
              </w:rPr>
              <w:t>.</w:t>
            </w:r>
          </w:p>
          <w:p w14:paraId="7F1B23E6" w14:textId="6CE93851" w:rsidR="00C728E4" w:rsidRPr="006A0C4B" w:rsidRDefault="00C728E4" w:rsidP="00822E64">
            <w:pPr>
              <w:rPr>
                <w:rFonts w:cs="Arial"/>
                <w:sz w:val="22"/>
                <w:szCs w:val="22"/>
              </w:rPr>
            </w:pPr>
          </w:p>
        </w:tc>
        <w:tc>
          <w:tcPr>
            <w:tcW w:w="2409" w:type="dxa"/>
          </w:tcPr>
          <w:p w14:paraId="4F3D2158" w14:textId="5B7BC2DE" w:rsidR="00822E64" w:rsidRPr="006A0C4B" w:rsidRDefault="00346356" w:rsidP="00822E64">
            <w:pPr>
              <w:rPr>
                <w:rFonts w:cs="Arial"/>
                <w:sz w:val="22"/>
                <w:szCs w:val="22"/>
              </w:rPr>
            </w:pPr>
            <w:r w:rsidRPr="00FA7140">
              <w:rPr>
                <w:rFonts w:cs="Arial"/>
                <w:sz w:val="22"/>
                <w:szCs w:val="22"/>
              </w:rPr>
              <w:t>Budget is consistent with</w:t>
            </w:r>
            <w:r>
              <w:rPr>
                <w:rFonts w:cs="Arial"/>
                <w:sz w:val="22"/>
                <w:szCs w:val="22"/>
              </w:rPr>
              <w:t xml:space="preserve"> Paris Agreement</w:t>
            </w:r>
            <w:r w:rsidR="00143B06">
              <w:rPr>
                <w:rFonts w:cs="Arial"/>
                <w:sz w:val="22"/>
                <w:szCs w:val="22"/>
              </w:rPr>
              <w:t xml:space="preserve"> temperature goal</w:t>
            </w:r>
            <w:r w:rsidR="00FE22B2">
              <w:rPr>
                <w:rFonts w:cs="Arial"/>
                <w:sz w:val="22"/>
                <w:szCs w:val="22"/>
              </w:rPr>
              <w:t xml:space="preserve">; </w:t>
            </w:r>
            <w:r>
              <w:rPr>
                <w:rFonts w:cs="Arial"/>
                <w:sz w:val="22"/>
                <w:szCs w:val="22"/>
              </w:rPr>
              <w:t>likely to be perceived as very internationally ambitious</w:t>
            </w:r>
            <w:r w:rsidR="00FE22B2">
              <w:rPr>
                <w:rFonts w:cs="Arial"/>
                <w:sz w:val="22"/>
                <w:szCs w:val="22"/>
              </w:rPr>
              <w:t xml:space="preserve"> </w:t>
            </w:r>
            <w:r w:rsidR="00FE22B2" w:rsidRPr="001D0FE7">
              <w:rPr>
                <w:rFonts w:cs="Arial"/>
                <w:sz w:val="22"/>
                <w:szCs w:val="22"/>
              </w:rPr>
              <w:t>by delivering faster emission reductions and resulting in lower cumulative emissions</w:t>
            </w:r>
            <w:r w:rsidR="00FE22B2">
              <w:rPr>
                <w:rFonts w:cs="Arial"/>
                <w:sz w:val="22"/>
                <w:szCs w:val="22"/>
              </w:rPr>
              <w:t xml:space="preserve"> than Option 3.</w:t>
            </w:r>
          </w:p>
        </w:tc>
      </w:tr>
      <w:tr w:rsidR="00822E64" w:rsidRPr="00822E64" w14:paraId="35E6B1C6" w14:textId="77777777" w:rsidTr="00253356">
        <w:trPr>
          <w:trHeight w:val="528"/>
        </w:trPr>
        <w:tc>
          <w:tcPr>
            <w:tcW w:w="1696" w:type="dxa"/>
          </w:tcPr>
          <w:p w14:paraId="49E572C4" w14:textId="4A82135D" w:rsidR="00822E64" w:rsidRPr="006A0C4B" w:rsidRDefault="00822E64" w:rsidP="00822E64">
            <w:pPr>
              <w:rPr>
                <w:rFonts w:cs="Arial"/>
                <w:sz w:val="22"/>
                <w:szCs w:val="22"/>
              </w:rPr>
            </w:pPr>
            <w:r w:rsidRPr="006A0C4B">
              <w:rPr>
                <w:rFonts w:cs="Arial"/>
                <w:sz w:val="22"/>
                <w:szCs w:val="22"/>
              </w:rPr>
              <w:lastRenderedPageBreak/>
              <w:t>4) Quantified cost &amp; benefits</w:t>
            </w:r>
          </w:p>
        </w:tc>
        <w:tc>
          <w:tcPr>
            <w:tcW w:w="7938" w:type="dxa"/>
            <w:gridSpan w:val="4"/>
          </w:tcPr>
          <w:p w14:paraId="0270A13F" w14:textId="77777777" w:rsidR="00822E64" w:rsidRPr="006A0C4B" w:rsidRDefault="00822E64" w:rsidP="00822E64">
            <w:pPr>
              <w:rPr>
                <w:rFonts w:cs="Arial"/>
                <w:sz w:val="22"/>
                <w:szCs w:val="22"/>
              </w:rPr>
            </w:pPr>
          </w:p>
        </w:tc>
      </w:tr>
      <w:tr w:rsidR="00822E64" w:rsidRPr="00822E64" w14:paraId="0D98A5A8" w14:textId="77777777" w:rsidTr="008D618E">
        <w:trPr>
          <w:trHeight w:val="687"/>
        </w:trPr>
        <w:tc>
          <w:tcPr>
            <w:tcW w:w="1696" w:type="dxa"/>
          </w:tcPr>
          <w:p w14:paraId="6E3EC222" w14:textId="0F314474" w:rsidR="00822E64" w:rsidRPr="006A0C4B" w:rsidRDefault="00822E64" w:rsidP="00822E64">
            <w:pPr>
              <w:rPr>
                <w:rFonts w:cs="Arial"/>
                <w:sz w:val="22"/>
                <w:szCs w:val="22"/>
              </w:rPr>
            </w:pPr>
            <w:r w:rsidRPr="006A0C4B">
              <w:rPr>
                <w:rFonts w:cs="Arial"/>
                <w:sz w:val="22"/>
                <w:szCs w:val="22"/>
              </w:rPr>
              <w:t xml:space="preserve">Indicative NPV of core scenario </w:t>
            </w:r>
            <w:r w:rsidR="004064FF">
              <w:rPr>
                <w:rFonts w:cs="Arial"/>
                <w:sz w:val="22"/>
                <w:szCs w:val="22"/>
              </w:rPr>
              <w:t>2020-2050</w:t>
            </w:r>
            <w:r w:rsidRPr="006A0C4B">
              <w:rPr>
                <w:rFonts w:cs="Arial"/>
                <w:sz w:val="22"/>
                <w:szCs w:val="22"/>
              </w:rPr>
              <w:t xml:space="preserve"> (£bn, 2019), range </w:t>
            </w:r>
            <w:r w:rsidR="00B61144">
              <w:rPr>
                <w:rFonts w:cs="Arial"/>
                <w:sz w:val="22"/>
                <w:szCs w:val="22"/>
              </w:rPr>
              <w:t>shown in brackets</w:t>
            </w:r>
          </w:p>
        </w:tc>
        <w:tc>
          <w:tcPr>
            <w:tcW w:w="1701" w:type="dxa"/>
          </w:tcPr>
          <w:p w14:paraId="78AA94F3" w14:textId="5D4E4372" w:rsidR="00822E64" w:rsidRPr="006A0C4B" w:rsidRDefault="00822E64" w:rsidP="00822E64">
            <w:pPr>
              <w:jc w:val="right"/>
              <w:rPr>
                <w:rFonts w:cs="Arial"/>
                <w:sz w:val="22"/>
                <w:szCs w:val="22"/>
              </w:rPr>
            </w:pPr>
            <w:r w:rsidRPr="006A0C4B">
              <w:rPr>
                <w:rFonts w:cs="Arial"/>
                <w:sz w:val="22"/>
                <w:szCs w:val="22"/>
              </w:rPr>
              <w:t>0</w:t>
            </w:r>
          </w:p>
        </w:tc>
        <w:tc>
          <w:tcPr>
            <w:tcW w:w="1701" w:type="dxa"/>
          </w:tcPr>
          <w:p w14:paraId="0743863D" w14:textId="77777777" w:rsidR="00A06275" w:rsidRPr="006A0C4B" w:rsidRDefault="00A06275" w:rsidP="00A06275">
            <w:pPr>
              <w:jc w:val="right"/>
              <w:rPr>
                <w:rFonts w:cs="Arial"/>
                <w:sz w:val="22"/>
                <w:szCs w:val="22"/>
              </w:rPr>
            </w:pPr>
            <w:r w:rsidRPr="006A0C4B">
              <w:rPr>
                <w:rFonts w:cs="Arial"/>
                <w:sz w:val="22"/>
                <w:szCs w:val="22"/>
              </w:rPr>
              <w:t>289</w:t>
            </w:r>
          </w:p>
          <w:p w14:paraId="68B690D0" w14:textId="151FD6C3" w:rsidR="00822E64" w:rsidRPr="006A0C4B" w:rsidRDefault="00A06275" w:rsidP="00822E64">
            <w:pPr>
              <w:jc w:val="right"/>
              <w:rPr>
                <w:rFonts w:cs="Arial"/>
                <w:sz w:val="22"/>
                <w:szCs w:val="22"/>
              </w:rPr>
            </w:pPr>
            <w:r w:rsidRPr="006A0C4B">
              <w:rPr>
                <w:rFonts w:cs="Arial"/>
                <w:sz w:val="22"/>
                <w:szCs w:val="22"/>
              </w:rPr>
              <w:t>(176-330)</w:t>
            </w:r>
          </w:p>
        </w:tc>
        <w:tc>
          <w:tcPr>
            <w:tcW w:w="2127" w:type="dxa"/>
          </w:tcPr>
          <w:p w14:paraId="7CD705BF" w14:textId="77777777" w:rsidR="00A06275" w:rsidRPr="006A0C4B" w:rsidRDefault="00A06275" w:rsidP="00A06275">
            <w:pPr>
              <w:jc w:val="right"/>
              <w:rPr>
                <w:rFonts w:cs="Arial"/>
                <w:sz w:val="22"/>
                <w:szCs w:val="22"/>
              </w:rPr>
            </w:pPr>
            <w:r w:rsidRPr="006A0C4B">
              <w:rPr>
                <w:rFonts w:cs="Arial"/>
                <w:sz w:val="22"/>
                <w:szCs w:val="22"/>
              </w:rPr>
              <w:t>266</w:t>
            </w:r>
          </w:p>
          <w:p w14:paraId="72FABC87" w14:textId="2EDAD2DD" w:rsidR="00822E64" w:rsidRPr="006A0C4B" w:rsidRDefault="00A06275" w:rsidP="00822E64">
            <w:pPr>
              <w:jc w:val="right"/>
              <w:rPr>
                <w:rFonts w:cs="Arial"/>
                <w:sz w:val="22"/>
                <w:szCs w:val="22"/>
              </w:rPr>
            </w:pPr>
            <w:r w:rsidRPr="006A0C4B">
              <w:rPr>
                <w:rFonts w:cs="Arial"/>
                <w:sz w:val="22"/>
                <w:szCs w:val="22"/>
              </w:rPr>
              <w:t>(127-292)</w:t>
            </w:r>
          </w:p>
        </w:tc>
        <w:tc>
          <w:tcPr>
            <w:tcW w:w="2409" w:type="dxa"/>
          </w:tcPr>
          <w:p w14:paraId="25772F08" w14:textId="77777777" w:rsidR="00DD7E48" w:rsidRPr="006A0C4B" w:rsidRDefault="00DD7E48" w:rsidP="00DD7E48">
            <w:pPr>
              <w:jc w:val="right"/>
              <w:rPr>
                <w:rFonts w:cs="Arial"/>
                <w:sz w:val="22"/>
                <w:szCs w:val="22"/>
              </w:rPr>
            </w:pPr>
            <w:r w:rsidRPr="006A0C4B">
              <w:rPr>
                <w:rFonts w:cs="Arial"/>
                <w:sz w:val="22"/>
                <w:szCs w:val="22"/>
              </w:rPr>
              <w:t>211</w:t>
            </w:r>
          </w:p>
          <w:p w14:paraId="08F3D756" w14:textId="3F2A1924" w:rsidR="00822E64" w:rsidRPr="006A0C4B" w:rsidRDefault="00A06275" w:rsidP="00822E64">
            <w:pPr>
              <w:jc w:val="right"/>
              <w:rPr>
                <w:rFonts w:cs="Arial"/>
                <w:sz w:val="22"/>
                <w:szCs w:val="22"/>
              </w:rPr>
            </w:pPr>
            <w:r w:rsidRPr="006A0C4B">
              <w:rPr>
                <w:rFonts w:cs="Arial"/>
                <w:sz w:val="22"/>
                <w:szCs w:val="22"/>
              </w:rPr>
              <w:t>(67-249)</w:t>
            </w:r>
          </w:p>
        </w:tc>
      </w:tr>
      <w:tr w:rsidR="00B5116B" w:rsidRPr="00822E64" w14:paraId="137D0594" w14:textId="77777777" w:rsidTr="00253356">
        <w:trPr>
          <w:trHeight w:val="324"/>
        </w:trPr>
        <w:tc>
          <w:tcPr>
            <w:tcW w:w="1696" w:type="dxa"/>
          </w:tcPr>
          <w:p w14:paraId="31AD3D54" w14:textId="5D348EA3" w:rsidR="00B5116B" w:rsidRPr="00971C44" w:rsidRDefault="00B5116B" w:rsidP="00822E64">
            <w:pPr>
              <w:rPr>
                <w:rFonts w:cs="Arial"/>
                <w:sz w:val="22"/>
                <w:szCs w:val="22"/>
              </w:rPr>
            </w:pPr>
            <w:r>
              <w:rPr>
                <w:rFonts w:cs="Arial"/>
                <w:sz w:val="22"/>
                <w:szCs w:val="22"/>
              </w:rPr>
              <w:t>Composition of NPV:</w:t>
            </w:r>
          </w:p>
        </w:tc>
        <w:tc>
          <w:tcPr>
            <w:tcW w:w="7938" w:type="dxa"/>
            <w:gridSpan w:val="4"/>
          </w:tcPr>
          <w:p w14:paraId="17BB9CDA" w14:textId="77777777" w:rsidR="00B5116B" w:rsidRPr="00971C44" w:rsidRDefault="00B5116B" w:rsidP="00A06275">
            <w:pPr>
              <w:jc w:val="right"/>
              <w:rPr>
                <w:rFonts w:cs="Arial"/>
                <w:sz w:val="22"/>
                <w:szCs w:val="22"/>
              </w:rPr>
            </w:pPr>
          </w:p>
        </w:tc>
      </w:tr>
      <w:tr w:rsidR="00822E64" w:rsidRPr="00822E64" w14:paraId="602071B7" w14:textId="77777777" w:rsidTr="008D618E">
        <w:trPr>
          <w:trHeight w:val="324"/>
        </w:trPr>
        <w:tc>
          <w:tcPr>
            <w:tcW w:w="1696" w:type="dxa"/>
          </w:tcPr>
          <w:p w14:paraId="3417E657" w14:textId="0BFCBFCA" w:rsidR="00822E64" w:rsidRPr="006A0C4B" w:rsidRDefault="00822E64" w:rsidP="00253356">
            <w:pPr>
              <w:rPr>
                <w:rFonts w:cs="Arial"/>
                <w:sz w:val="22"/>
                <w:szCs w:val="22"/>
              </w:rPr>
            </w:pPr>
            <w:r w:rsidRPr="00381C07">
              <w:rPr>
                <w:rFonts w:cs="Arial"/>
                <w:b/>
                <w:sz w:val="22"/>
                <w:szCs w:val="22"/>
              </w:rPr>
              <w:t>Costs</w:t>
            </w:r>
            <w:r w:rsidR="00E94774">
              <w:rPr>
                <w:rFonts w:cs="Arial"/>
                <w:sz w:val="22"/>
                <w:szCs w:val="22"/>
              </w:rPr>
              <w:t xml:space="preserve"> </w:t>
            </w:r>
            <w:r w:rsidR="00100E2E">
              <w:rPr>
                <w:rFonts w:cs="Arial"/>
                <w:sz w:val="22"/>
                <w:szCs w:val="22"/>
              </w:rPr>
              <w:t xml:space="preserve">of core </w:t>
            </w:r>
            <w:r w:rsidR="004064FF">
              <w:rPr>
                <w:rFonts w:cs="Arial"/>
                <w:sz w:val="22"/>
                <w:szCs w:val="22"/>
              </w:rPr>
              <w:t>scenario</w:t>
            </w:r>
            <w:r w:rsidR="00100E2E">
              <w:rPr>
                <w:rFonts w:cs="Arial"/>
                <w:sz w:val="22"/>
                <w:szCs w:val="22"/>
              </w:rPr>
              <w:t xml:space="preserve"> </w:t>
            </w:r>
            <w:r w:rsidR="004064FF">
              <w:rPr>
                <w:rFonts w:cs="Arial"/>
                <w:sz w:val="22"/>
                <w:szCs w:val="22"/>
              </w:rPr>
              <w:t xml:space="preserve">2020-2050 </w:t>
            </w:r>
            <w:r w:rsidR="00100E2E">
              <w:rPr>
                <w:rFonts w:cs="Arial"/>
                <w:sz w:val="22"/>
                <w:szCs w:val="22"/>
              </w:rPr>
              <w:t>(Present Value, £bn, 2019</w:t>
            </w:r>
            <w:r w:rsidR="00100E2E" w:rsidRPr="006F015A">
              <w:rPr>
                <w:rFonts w:cs="Arial"/>
                <w:sz w:val="22"/>
                <w:szCs w:val="22"/>
              </w:rPr>
              <w:t>)</w:t>
            </w:r>
            <w:r w:rsidR="00100E2E">
              <w:rPr>
                <w:rFonts w:cs="Arial"/>
                <w:sz w:val="22"/>
                <w:szCs w:val="22"/>
              </w:rPr>
              <w:t xml:space="preserve"> </w:t>
            </w:r>
          </w:p>
        </w:tc>
        <w:tc>
          <w:tcPr>
            <w:tcW w:w="1701" w:type="dxa"/>
          </w:tcPr>
          <w:p w14:paraId="13EC55F3" w14:textId="4D1347C7" w:rsidR="00822E64" w:rsidRPr="006A0C4B" w:rsidRDefault="00822E64" w:rsidP="00822E64">
            <w:pPr>
              <w:jc w:val="right"/>
              <w:rPr>
                <w:rFonts w:cs="Arial"/>
                <w:sz w:val="22"/>
                <w:szCs w:val="22"/>
              </w:rPr>
            </w:pPr>
            <w:r w:rsidRPr="006A0C4B">
              <w:rPr>
                <w:rFonts w:cs="Arial"/>
                <w:sz w:val="22"/>
                <w:szCs w:val="22"/>
              </w:rPr>
              <w:t>0</w:t>
            </w:r>
          </w:p>
        </w:tc>
        <w:tc>
          <w:tcPr>
            <w:tcW w:w="1701" w:type="dxa"/>
          </w:tcPr>
          <w:p w14:paraId="44657996" w14:textId="77777777" w:rsidR="00A06275" w:rsidRPr="006A0C4B" w:rsidRDefault="00A06275" w:rsidP="00A06275">
            <w:pPr>
              <w:jc w:val="right"/>
              <w:rPr>
                <w:rFonts w:cs="Arial"/>
                <w:sz w:val="22"/>
                <w:szCs w:val="22"/>
              </w:rPr>
            </w:pPr>
            <w:r w:rsidRPr="006A0C4B">
              <w:rPr>
                <w:rFonts w:cs="Arial"/>
                <w:sz w:val="22"/>
                <w:szCs w:val="22"/>
              </w:rPr>
              <w:t>589</w:t>
            </w:r>
          </w:p>
          <w:p w14:paraId="5156FB82" w14:textId="3C2B4C9C" w:rsidR="00822E64" w:rsidRPr="006A0C4B" w:rsidRDefault="00A06275" w:rsidP="00822E64">
            <w:pPr>
              <w:jc w:val="right"/>
              <w:rPr>
                <w:rFonts w:cs="Arial"/>
                <w:sz w:val="22"/>
                <w:szCs w:val="22"/>
              </w:rPr>
            </w:pPr>
            <w:r w:rsidRPr="006A0C4B">
              <w:rPr>
                <w:rFonts w:cs="Arial"/>
                <w:sz w:val="22"/>
                <w:szCs w:val="22"/>
              </w:rPr>
              <w:t>(554-710)</w:t>
            </w:r>
          </w:p>
        </w:tc>
        <w:tc>
          <w:tcPr>
            <w:tcW w:w="2127" w:type="dxa"/>
          </w:tcPr>
          <w:p w14:paraId="6C0ADD7B" w14:textId="77777777" w:rsidR="00A06275" w:rsidRPr="006A0C4B" w:rsidRDefault="00A06275" w:rsidP="00A06275">
            <w:pPr>
              <w:jc w:val="right"/>
              <w:rPr>
                <w:rFonts w:cs="Arial"/>
                <w:sz w:val="22"/>
                <w:szCs w:val="22"/>
              </w:rPr>
            </w:pPr>
            <w:r w:rsidRPr="006A0C4B">
              <w:rPr>
                <w:rFonts w:cs="Arial"/>
                <w:sz w:val="22"/>
                <w:szCs w:val="22"/>
              </w:rPr>
              <w:t>651</w:t>
            </w:r>
          </w:p>
          <w:p w14:paraId="1CB2CA17" w14:textId="1F522127" w:rsidR="00822E64" w:rsidRPr="006A0C4B" w:rsidRDefault="00A06275" w:rsidP="00822E64">
            <w:pPr>
              <w:jc w:val="right"/>
              <w:rPr>
                <w:rFonts w:cs="Arial"/>
                <w:sz w:val="22"/>
                <w:szCs w:val="22"/>
              </w:rPr>
            </w:pPr>
            <w:r w:rsidRPr="006A0C4B">
              <w:rPr>
                <w:rFonts w:cs="Arial"/>
                <w:sz w:val="22"/>
                <w:szCs w:val="22"/>
              </w:rPr>
              <w:t>(622-775)</w:t>
            </w:r>
          </w:p>
        </w:tc>
        <w:tc>
          <w:tcPr>
            <w:tcW w:w="2409" w:type="dxa"/>
          </w:tcPr>
          <w:p w14:paraId="789997BA" w14:textId="77777777" w:rsidR="00A06275" w:rsidRPr="006A0C4B" w:rsidRDefault="00A06275" w:rsidP="00A06275">
            <w:pPr>
              <w:jc w:val="right"/>
              <w:rPr>
                <w:rFonts w:cs="Arial"/>
                <w:sz w:val="22"/>
                <w:szCs w:val="22"/>
              </w:rPr>
            </w:pPr>
            <w:r w:rsidRPr="006A0C4B">
              <w:rPr>
                <w:rFonts w:cs="Arial"/>
                <w:sz w:val="22"/>
                <w:szCs w:val="22"/>
              </w:rPr>
              <w:t>725</w:t>
            </w:r>
          </w:p>
          <w:p w14:paraId="1629E41A" w14:textId="52DD1605" w:rsidR="00822E64" w:rsidRPr="006A0C4B" w:rsidRDefault="00DD7E48" w:rsidP="00822E64">
            <w:pPr>
              <w:jc w:val="right"/>
              <w:rPr>
                <w:rFonts w:cs="Arial"/>
                <w:sz w:val="22"/>
                <w:szCs w:val="22"/>
              </w:rPr>
            </w:pPr>
            <w:r w:rsidRPr="7E68ECA6">
              <w:rPr>
                <w:rFonts w:cs="Arial"/>
                <w:sz w:val="22"/>
                <w:szCs w:val="22"/>
              </w:rPr>
              <w:t>(</w:t>
            </w:r>
            <w:r w:rsidR="008D5950" w:rsidRPr="008D5950">
              <w:rPr>
                <w:rFonts w:cs="Arial"/>
                <w:sz w:val="22"/>
                <w:szCs w:val="22"/>
              </w:rPr>
              <w:t>693-865)</w:t>
            </w:r>
          </w:p>
        </w:tc>
      </w:tr>
      <w:tr w:rsidR="00665E94" w:rsidRPr="00822E64" w14:paraId="7F37D6AB" w14:textId="77777777" w:rsidTr="008D618E">
        <w:trPr>
          <w:trHeight w:val="324"/>
        </w:trPr>
        <w:tc>
          <w:tcPr>
            <w:tcW w:w="1696" w:type="dxa"/>
          </w:tcPr>
          <w:p w14:paraId="6628DC08" w14:textId="175FA7CD" w:rsidR="00665E94" w:rsidRPr="006A0C4B" w:rsidRDefault="00665E94" w:rsidP="00253356">
            <w:pPr>
              <w:rPr>
                <w:rFonts w:cs="Arial"/>
                <w:sz w:val="22"/>
                <w:szCs w:val="22"/>
              </w:rPr>
            </w:pPr>
            <w:r w:rsidRPr="00381C07">
              <w:rPr>
                <w:rFonts w:cs="Arial"/>
                <w:b/>
                <w:sz w:val="22"/>
                <w:szCs w:val="22"/>
              </w:rPr>
              <w:t>Benefits</w:t>
            </w:r>
            <w:r w:rsidR="00E94774">
              <w:rPr>
                <w:rFonts w:cs="Arial"/>
                <w:sz w:val="22"/>
                <w:szCs w:val="22"/>
              </w:rPr>
              <w:t xml:space="preserve"> </w:t>
            </w:r>
            <w:r w:rsidR="00100E2E">
              <w:rPr>
                <w:rFonts w:cs="Arial"/>
                <w:sz w:val="22"/>
                <w:szCs w:val="22"/>
              </w:rPr>
              <w:t>of core</w:t>
            </w:r>
            <w:r w:rsidR="00E94774">
              <w:rPr>
                <w:rFonts w:cs="Arial"/>
                <w:sz w:val="22"/>
                <w:szCs w:val="22"/>
              </w:rPr>
              <w:t xml:space="preserve"> </w:t>
            </w:r>
            <w:r w:rsidR="00817924">
              <w:rPr>
                <w:rFonts w:cs="Arial"/>
                <w:sz w:val="22"/>
                <w:szCs w:val="22"/>
              </w:rPr>
              <w:t>scenario 2020-</w:t>
            </w:r>
            <w:r w:rsidR="00A8660C">
              <w:rPr>
                <w:rFonts w:cs="Arial"/>
                <w:sz w:val="22"/>
                <w:szCs w:val="22"/>
              </w:rPr>
              <w:t xml:space="preserve">2050 </w:t>
            </w:r>
            <w:r w:rsidR="00E94774">
              <w:rPr>
                <w:rFonts w:cs="Arial"/>
                <w:sz w:val="22"/>
                <w:szCs w:val="22"/>
              </w:rPr>
              <w:t>(Present Value, £bn, 2019)</w:t>
            </w:r>
          </w:p>
        </w:tc>
        <w:tc>
          <w:tcPr>
            <w:tcW w:w="1701" w:type="dxa"/>
          </w:tcPr>
          <w:p w14:paraId="488E04BC" w14:textId="064CA18E" w:rsidR="00665E94" w:rsidRPr="006A0C4B" w:rsidRDefault="00665E94" w:rsidP="00665E94">
            <w:pPr>
              <w:jc w:val="right"/>
              <w:rPr>
                <w:rFonts w:cs="Arial"/>
                <w:sz w:val="22"/>
                <w:szCs w:val="22"/>
              </w:rPr>
            </w:pPr>
            <w:r w:rsidRPr="006A0C4B">
              <w:rPr>
                <w:rFonts w:cs="Arial"/>
                <w:sz w:val="22"/>
                <w:szCs w:val="22"/>
              </w:rPr>
              <w:t>0</w:t>
            </w:r>
          </w:p>
        </w:tc>
        <w:tc>
          <w:tcPr>
            <w:tcW w:w="1701" w:type="dxa"/>
          </w:tcPr>
          <w:p w14:paraId="44DE66D4" w14:textId="77777777" w:rsidR="00665E94" w:rsidRPr="006A0C4B" w:rsidRDefault="00665E94" w:rsidP="00665E94">
            <w:pPr>
              <w:jc w:val="right"/>
              <w:rPr>
                <w:rFonts w:cs="Arial"/>
                <w:sz w:val="22"/>
                <w:szCs w:val="22"/>
              </w:rPr>
            </w:pPr>
            <w:r w:rsidRPr="006A0C4B">
              <w:rPr>
                <w:rFonts w:cs="Arial"/>
                <w:sz w:val="22"/>
                <w:szCs w:val="22"/>
              </w:rPr>
              <w:t>879</w:t>
            </w:r>
          </w:p>
          <w:p w14:paraId="0B58745F" w14:textId="231BAD3B" w:rsidR="00665E94" w:rsidRPr="006A0C4B" w:rsidRDefault="00665E94" w:rsidP="00665E94">
            <w:pPr>
              <w:jc w:val="right"/>
              <w:rPr>
                <w:rFonts w:cs="Arial"/>
                <w:sz w:val="22"/>
                <w:szCs w:val="22"/>
              </w:rPr>
            </w:pPr>
            <w:r w:rsidRPr="006A0C4B">
              <w:rPr>
                <w:rFonts w:cs="Arial"/>
                <w:sz w:val="22"/>
                <w:szCs w:val="22"/>
              </w:rPr>
              <w:t>(873-886)</w:t>
            </w:r>
          </w:p>
        </w:tc>
        <w:tc>
          <w:tcPr>
            <w:tcW w:w="2127" w:type="dxa"/>
          </w:tcPr>
          <w:p w14:paraId="77D17E95" w14:textId="77777777" w:rsidR="00665E94" w:rsidRPr="006A0C4B" w:rsidRDefault="00665E94" w:rsidP="00665E94">
            <w:pPr>
              <w:jc w:val="right"/>
              <w:rPr>
                <w:rFonts w:cs="Arial"/>
                <w:sz w:val="22"/>
                <w:szCs w:val="22"/>
              </w:rPr>
            </w:pPr>
            <w:r w:rsidRPr="006A0C4B">
              <w:rPr>
                <w:rFonts w:cs="Arial"/>
                <w:sz w:val="22"/>
                <w:szCs w:val="22"/>
              </w:rPr>
              <w:t>918</w:t>
            </w:r>
          </w:p>
          <w:p w14:paraId="5B750C58" w14:textId="3AF20547" w:rsidR="00665E94" w:rsidRPr="006A0C4B" w:rsidRDefault="00665E94" w:rsidP="00665E94">
            <w:pPr>
              <w:jc w:val="right"/>
              <w:rPr>
                <w:rFonts w:cs="Arial"/>
                <w:sz w:val="22"/>
                <w:szCs w:val="22"/>
              </w:rPr>
            </w:pPr>
            <w:r w:rsidRPr="006A0C4B">
              <w:rPr>
                <w:rFonts w:cs="Arial"/>
                <w:sz w:val="22"/>
                <w:szCs w:val="22"/>
              </w:rPr>
              <w:t>(896-918)</w:t>
            </w:r>
          </w:p>
        </w:tc>
        <w:tc>
          <w:tcPr>
            <w:tcW w:w="2409" w:type="dxa"/>
          </w:tcPr>
          <w:p w14:paraId="71C1450A" w14:textId="77777777" w:rsidR="00665E94" w:rsidRPr="006A0C4B" w:rsidRDefault="00665E94" w:rsidP="00665E94">
            <w:pPr>
              <w:jc w:val="right"/>
              <w:rPr>
                <w:rFonts w:cs="Arial"/>
                <w:sz w:val="22"/>
                <w:szCs w:val="22"/>
              </w:rPr>
            </w:pPr>
            <w:r w:rsidRPr="006A0C4B">
              <w:rPr>
                <w:rFonts w:cs="Arial"/>
                <w:sz w:val="22"/>
                <w:szCs w:val="22"/>
              </w:rPr>
              <w:t>936</w:t>
            </w:r>
          </w:p>
          <w:p w14:paraId="34676FC6" w14:textId="1E827F14" w:rsidR="00665E94" w:rsidRPr="006A0C4B" w:rsidRDefault="00665E94" w:rsidP="00665E94">
            <w:pPr>
              <w:jc w:val="right"/>
              <w:rPr>
                <w:rFonts w:cs="Arial"/>
                <w:sz w:val="22"/>
                <w:szCs w:val="22"/>
              </w:rPr>
            </w:pPr>
            <w:r w:rsidRPr="006A0C4B">
              <w:rPr>
                <w:rFonts w:cs="Arial"/>
                <w:sz w:val="22"/>
                <w:szCs w:val="22"/>
              </w:rPr>
              <w:t>(927-941)</w:t>
            </w:r>
          </w:p>
        </w:tc>
      </w:tr>
      <w:tr w:rsidR="00822E64" w:rsidRPr="00822E64" w14:paraId="357FC930" w14:textId="77777777" w:rsidTr="00253356">
        <w:trPr>
          <w:trHeight w:val="570"/>
        </w:trPr>
        <w:tc>
          <w:tcPr>
            <w:tcW w:w="1696" w:type="dxa"/>
          </w:tcPr>
          <w:p w14:paraId="57B76321" w14:textId="5CD6D8A0" w:rsidR="00822E64" w:rsidRPr="006A0C4B" w:rsidRDefault="00822E64" w:rsidP="00253356">
            <w:pPr>
              <w:rPr>
                <w:rFonts w:cs="Arial"/>
                <w:sz w:val="22"/>
                <w:szCs w:val="22"/>
              </w:rPr>
            </w:pPr>
            <w:r w:rsidRPr="006A0C4B">
              <w:rPr>
                <w:rFonts w:cs="Arial"/>
                <w:sz w:val="22"/>
                <w:szCs w:val="22"/>
              </w:rPr>
              <w:t>5) Unquantified costs and benefits and wider impacts</w:t>
            </w:r>
          </w:p>
        </w:tc>
        <w:tc>
          <w:tcPr>
            <w:tcW w:w="7938" w:type="dxa"/>
            <w:gridSpan w:val="4"/>
          </w:tcPr>
          <w:p w14:paraId="03BD2D83" w14:textId="080BF372" w:rsidR="008C6627" w:rsidRDefault="008C6627" w:rsidP="006D15C4">
            <w:pPr>
              <w:spacing w:after="160"/>
              <w:rPr>
                <w:rFonts w:cs="Arial"/>
                <w:sz w:val="22"/>
                <w:szCs w:val="22"/>
              </w:rPr>
            </w:pPr>
            <w:r>
              <w:rPr>
                <w:rFonts w:cs="Arial"/>
                <w:iCs/>
                <w:sz w:val="22"/>
                <w:szCs w:val="22"/>
              </w:rPr>
              <w:t>With the right policies</w:t>
            </w:r>
            <w:r w:rsidR="0067650E">
              <w:rPr>
                <w:rFonts w:cs="Arial"/>
                <w:iCs/>
                <w:sz w:val="22"/>
                <w:szCs w:val="22"/>
              </w:rPr>
              <w:t>,</w:t>
            </w:r>
            <w:r>
              <w:rPr>
                <w:rFonts w:cs="Arial"/>
                <w:iCs/>
                <w:sz w:val="22"/>
                <w:szCs w:val="22"/>
              </w:rPr>
              <w:t xml:space="preserve"> there is potential for greater</w:t>
            </w:r>
            <w:r w:rsidR="00DF6700">
              <w:rPr>
                <w:rFonts w:cs="Arial"/>
                <w:iCs/>
                <w:sz w:val="22"/>
                <w:szCs w:val="22"/>
              </w:rPr>
              <w:t xml:space="preserve"> </w:t>
            </w:r>
            <w:r>
              <w:rPr>
                <w:rFonts w:cs="Arial"/>
                <w:iCs/>
                <w:sz w:val="22"/>
                <w:szCs w:val="22"/>
              </w:rPr>
              <w:t>economic benefits for the tighter budget options</w:t>
            </w:r>
            <w:r w:rsidR="00DF6700">
              <w:rPr>
                <w:rFonts w:cs="Arial"/>
                <w:iCs/>
                <w:sz w:val="22"/>
                <w:szCs w:val="22"/>
              </w:rPr>
              <w:t>, such as innovation and export opportunities.</w:t>
            </w:r>
          </w:p>
          <w:p w14:paraId="3162C72D" w14:textId="4B7C98FC" w:rsidR="0068163E" w:rsidRPr="006A0C4B" w:rsidRDefault="000614A8" w:rsidP="00390325">
            <w:pPr>
              <w:spacing w:after="120"/>
              <w:rPr>
                <w:rFonts w:cs="Arial"/>
                <w:sz w:val="22"/>
                <w:szCs w:val="22"/>
              </w:rPr>
            </w:pPr>
            <w:r>
              <w:rPr>
                <w:rFonts w:cs="Arial"/>
                <w:sz w:val="22"/>
                <w:szCs w:val="22"/>
              </w:rPr>
              <w:t>Those factors</w:t>
            </w:r>
            <w:r w:rsidR="0068163E">
              <w:rPr>
                <w:rFonts w:cs="Arial"/>
                <w:sz w:val="22"/>
                <w:szCs w:val="22"/>
              </w:rPr>
              <w:t xml:space="preserve"> that </w:t>
            </w:r>
            <w:r>
              <w:rPr>
                <w:rFonts w:cs="Arial"/>
                <w:sz w:val="22"/>
                <w:szCs w:val="22"/>
              </w:rPr>
              <w:t>must be considered under the</w:t>
            </w:r>
            <w:r w:rsidR="00822E64" w:rsidRPr="006A0C4B">
              <w:rPr>
                <w:rFonts w:cs="Arial"/>
                <w:sz w:val="22"/>
                <w:szCs w:val="22"/>
              </w:rPr>
              <w:t xml:space="preserve"> Climate Change Act </w:t>
            </w:r>
            <w:r>
              <w:rPr>
                <w:rFonts w:cs="Arial"/>
                <w:iCs/>
                <w:sz w:val="22"/>
                <w:szCs w:val="22"/>
              </w:rPr>
              <w:t>that are not covered above</w:t>
            </w:r>
            <w:r w:rsidR="00A54933">
              <w:rPr>
                <w:rFonts w:cs="Arial"/>
                <w:iCs/>
                <w:sz w:val="22"/>
                <w:szCs w:val="22"/>
              </w:rPr>
              <w:t xml:space="preserve"> </w:t>
            </w:r>
            <w:r w:rsidR="00A54933">
              <w:rPr>
                <w:rFonts w:cs="Arial"/>
                <w:sz w:val="22"/>
                <w:szCs w:val="22"/>
              </w:rPr>
              <w:t>(climate change science, economic, social and fiscal circumstances, energy policy)</w:t>
            </w:r>
            <w:r w:rsidR="00A54933">
              <w:rPr>
                <w:rFonts w:cs="Arial"/>
                <w:iCs/>
                <w:sz w:val="22"/>
                <w:szCs w:val="22"/>
              </w:rPr>
              <w:t xml:space="preserve"> </w:t>
            </w:r>
            <w:r>
              <w:rPr>
                <w:rFonts w:cs="Arial"/>
                <w:iCs/>
                <w:sz w:val="22"/>
                <w:szCs w:val="22"/>
              </w:rPr>
              <w:t xml:space="preserve">are summarised </w:t>
            </w:r>
            <w:r w:rsidR="00B1682F">
              <w:rPr>
                <w:rFonts w:cs="Arial"/>
                <w:iCs/>
                <w:sz w:val="22"/>
                <w:szCs w:val="22"/>
              </w:rPr>
              <w:t xml:space="preserve">in table </w:t>
            </w:r>
            <w:r w:rsidR="008967C7">
              <w:rPr>
                <w:rFonts w:cs="Arial"/>
                <w:iCs/>
                <w:sz w:val="22"/>
                <w:szCs w:val="22"/>
              </w:rPr>
              <w:t>2</w:t>
            </w:r>
            <w:r w:rsidR="00644E6A">
              <w:rPr>
                <w:rFonts w:cs="Arial"/>
                <w:iCs/>
                <w:sz w:val="22"/>
                <w:szCs w:val="22"/>
              </w:rPr>
              <w:t>1</w:t>
            </w:r>
            <w:r w:rsidR="00B1682F">
              <w:rPr>
                <w:rFonts w:cs="Arial"/>
                <w:iCs/>
                <w:sz w:val="22"/>
                <w:szCs w:val="22"/>
              </w:rPr>
              <w:t xml:space="preserve">. </w:t>
            </w:r>
          </w:p>
        </w:tc>
      </w:tr>
    </w:tbl>
    <w:p w14:paraId="28E751AC" w14:textId="77777777" w:rsidR="00253356" w:rsidRDefault="00253356" w:rsidP="00FE4255">
      <w:pPr>
        <w:pStyle w:val="Heading1"/>
        <w:spacing w:after="240"/>
      </w:pPr>
      <w:bookmarkStart w:id="34" w:name="_Toc67051834"/>
    </w:p>
    <w:p w14:paraId="05F12A7A" w14:textId="77777777" w:rsidR="00253356" w:rsidRDefault="00253356">
      <w:pPr>
        <w:rPr>
          <w:b/>
          <w:bCs/>
          <w:spacing w:val="-4"/>
          <w:kern w:val="32"/>
          <w:sz w:val="32"/>
          <w:szCs w:val="32"/>
        </w:rPr>
      </w:pPr>
      <w:r>
        <w:br w:type="page"/>
      </w:r>
    </w:p>
    <w:p w14:paraId="6061275D" w14:textId="5FDEF894" w:rsidR="0012241A" w:rsidRPr="00431197" w:rsidRDefault="00E66C3F" w:rsidP="00FE4255">
      <w:pPr>
        <w:pStyle w:val="Heading1"/>
        <w:spacing w:after="240"/>
      </w:pPr>
      <w:r>
        <w:lastRenderedPageBreak/>
        <w:t>1</w:t>
      </w:r>
      <w:r w:rsidR="0012241A" w:rsidRPr="00431197">
        <w:t xml:space="preserve"> Introduction</w:t>
      </w:r>
      <w:r w:rsidR="008F5E8C">
        <w:t xml:space="preserve"> and framework</w:t>
      </w:r>
      <w:bookmarkEnd w:id="34"/>
    </w:p>
    <w:p w14:paraId="6F3CA5A7" w14:textId="3430C334" w:rsidR="009222DD" w:rsidRPr="00430C6A" w:rsidRDefault="00853AD6" w:rsidP="009229B3">
      <w:pPr>
        <w:pStyle w:val="Numberedparagraphs"/>
      </w:pPr>
      <w:r w:rsidRPr="00430C6A">
        <w:t xml:space="preserve">This Impact Assessment supports the </w:t>
      </w:r>
      <w:r w:rsidR="00B838E4" w:rsidRPr="00430C6A">
        <w:t>g</w:t>
      </w:r>
      <w:r w:rsidR="007C6560" w:rsidRPr="00430C6A">
        <w:t>overnment</w:t>
      </w:r>
      <w:r w:rsidR="00562CC8" w:rsidRPr="00430C6A">
        <w:t xml:space="preserve">’s </w:t>
      </w:r>
      <w:r w:rsidRPr="00430C6A">
        <w:t>decision on the level of the UK’s sixth carbon budget, a limit on the amount of</w:t>
      </w:r>
      <w:r w:rsidR="009222DD" w:rsidRPr="00430C6A">
        <w:t xml:space="preserve"> UK</w:t>
      </w:r>
      <w:r w:rsidRPr="00430C6A">
        <w:t xml:space="preserve"> greenhouse gas emissions (GHGs) </w:t>
      </w:r>
      <w:r w:rsidR="009222DD" w:rsidRPr="00430C6A">
        <w:t>over the period</w:t>
      </w:r>
      <w:r w:rsidRPr="00430C6A">
        <w:t xml:space="preserve"> 20</w:t>
      </w:r>
      <w:r w:rsidR="009222DD" w:rsidRPr="00430C6A">
        <w:t>33</w:t>
      </w:r>
      <w:r w:rsidRPr="00430C6A">
        <w:t>-203</w:t>
      </w:r>
      <w:r w:rsidR="009222DD" w:rsidRPr="00430C6A">
        <w:t>7</w:t>
      </w:r>
      <w:r w:rsidRPr="00430C6A">
        <w:t>. This introductory section provides background</w:t>
      </w:r>
      <w:r w:rsidR="00912D41" w:rsidRPr="00430C6A">
        <w:t>,</w:t>
      </w:r>
      <w:r w:rsidRPr="00430C6A">
        <w:t xml:space="preserve"> including details on the </w:t>
      </w:r>
      <w:r w:rsidR="00594D86" w:rsidRPr="00430C6A">
        <w:t>Climate Change Act</w:t>
      </w:r>
      <w:r w:rsidRPr="00430C6A">
        <w:t xml:space="preserve"> </w:t>
      </w:r>
      <w:r w:rsidR="00CB4F1B" w:rsidRPr="00430C6A">
        <w:t xml:space="preserve">(“the Act”) </w:t>
      </w:r>
      <w:r w:rsidRPr="00430C6A">
        <w:t xml:space="preserve">and the UK’s role in tackling the global challenge of </w:t>
      </w:r>
      <w:r w:rsidR="00514AE3" w:rsidRPr="00430C6A">
        <w:t>anthropogenic</w:t>
      </w:r>
      <w:r w:rsidR="008E3606" w:rsidRPr="00430C6A">
        <w:t xml:space="preserve"> </w:t>
      </w:r>
      <w:r w:rsidRPr="00430C6A">
        <w:t>climate change</w:t>
      </w:r>
      <w:r w:rsidR="00A15DD5" w:rsidRPr="00430C6A">
        <w:t>, as well as introducing the decision framew</w:t>
      </w:r>
      <w:r w:rsidR="00E0690F" w:rsidRPr="00430C6A">
        <w:t>ork</w:t>
      </w:r>
      <w:r w:rsidR="008678D0" w:rsidRPr="00430C6A">
        <w:t>,</w:t>
      </w:r>
      <w:r w:rsidR="005A4F9F" w:rsidRPr="00430C6A">
        <w:t xml:space="preserve"> the </w:t>
      </w:r>
      <w:r w:rsidR="00E0690F" w:rsidRPr="00430C6A">
        <w:t xml:space="preserve">scope of the considered </w:t>
      </w:r>
      <w:r w:rsidR="005A4F9F" w:rsidRPr="00430C6A">
        <w:t>budget</w:t>
      </w:r>
      <w:r w:rsidR="008678D0" w:rsidRPr="00430C6A">
        <w:t xml:space="preserve"> and </w:t>
      </w:r>
      <w:r w:rsidR="000A390C" w:rsidRPr="00430C6A">
        <w:t xml:space="preserve">the </w:t>
      </w:r>
      <w:r w:rsidR="008001E3" w:rsidRPr="00430C6A">
        <w:t>Cli</w:t>
      </w:r>
      <w:r w:rsidR="00AA3796" w:rsidRPr="00430C6A">
        <w:t>mate Change Committee</w:t>
      </w:r>
      <w:r w:rsidR="00053A3A" w:rsidRPr="00430C6A">
        <w:t>’s (CCC)</w:t>
      </w:r>
      <w:r w:rsidR="00861D79" w:rsidRPr="00430C6A">
        <w:t xml:space="preserve"> </w:t>
      </w:r>
      <w:r w:rsidR="00AC295B" w:rsidRPr="00430C6A">
        <w:t xml:space="preserve">advice on the level of the sixth </w:t>
      </w:r>
      <w:r w:rsidR="000A390C" w:rsidRPr="00430C6A">
        <w:t>c</w:t>
      </w:r>
      <w:r w:rsidR="00AC295B" w:rsidRPr="00430C6A">
        <w:t>arbon budget</w:t>
      </w:r>
      <w:r w:rsidR="009B4191" w:rsidRPr="00430C6A">
        <w:t>.</w:t>
      </w:r>
      <w:r w:rsidR="00C321E4" w:rsidRPr="00430C6A">
        <w:rPr>
          <w:rStyle w:val="FootnoteReference"/>
        </w:rPr>
        <w:footnoteReference w:id="4"/>
      </w:r>
    </w:p>
    <w:p w14:paraId="5EA789F9" w14:textId="3298943A" w:rsidR="00351E1B" w:rsidRPr="00430C6A" w:rsidRDefault="00654899" w:rsidP="00390325">
      <w:pPr>
        <w:pStyle w:val="Heading3"/>
        <w:spacing w:before="240" w:after="200"/>
        <w:rPr>
          <w:iCs/>
          <w:sz w:val="28"/>
          <w:szCs w:val="28"/>
        </w:rPr>
      </w:pPr>
      <w:bookmarkStart w:id="35" w:name="_Toc67051835"/>
      <w:r w:rsidRPr="00430C6A">
        <w:rPr>
          <w:iCs/>
          <w:sz w:val="28"/>
          <w:szCs w:val="28"/>
        </w:rPr>
        <w:t>1.</w:t>
      </w:r>
      <w:r w:rsidR="007E6F08" w:rsidRPr="00430C6A">
        <w:rPr>
          <w:iCs/>
          <w:sz w:val="28"/>
          <w:szCs w:val="28"/>
        </w:rPr>
        <w:t xml:space="preserve">1 </w:t>
      </w:r>
      <w:r w:rsidR="00D6166B" w:rsidRPr="00430C6A">
        <w:rPr>
          <w:iCs/>
          <w:sz w:val="28"/>
          <w:szCs w:val="28"/>
        </w:rPr>
        <w:t>Context</w:t>
      </w:r>
      <w:bookmarkEnd w:id="35"/>
    </w:p>
    <w:p w14:paraId="646A16CE" w14:textId="39687CE2" w:rsidR="00F55C41" w:rsidRPr="00430C6A" w:rsidRDefault="0034699D" w:rsidP="009229B3">
      <w:pPr>
        <w:pStyle w:val="Numberedparagraphs"/>
      </w:pPr>
      <w:r w:rsidRPr="00430C6A">
        <w:t xml:space="preserve">The </w:t>
      </w:r>
      <w:r w:rsidR="00C23651" w:rsidRPr="00430C6A">
        <w:t>g</w:t>
      </w:r>
      <w:r w:rsidR="007C6560" w:rsidRPr="00430C6A">
        <w:t>overnment</w:t>
      </w:r>
      <w:r w:rsidRPr="00430C6A">
        <w:t xml:space="preserve"> introduced the </w:t>
      </w:r>
      <w:r w:rsidR="00594D86" w:rsidRPr="00430C6A">
        <w:t>Climate Change Act</w:t>
      </w:r>
      <w:r w:rsidRPr="00430C6A">
        <w:t xml:space="preserve"> in 2008</w:t>
      </w:r>
      <w:r w:rsidR="003136B6" w:rsidRPr="00430C6A">
        <w:t>, including a 2050 target and supporting framework of carbon budgets,</w:t>
      </w:r>
      <w:r w:rsidR="00EC6E49" w:rsidRPr="00430C6A">
        <w:t xml:space="preserve"> to ensure the UK makes an appropriate contribution to </w:t>
      </w:r>
      <w:r w:rsidRPr="00430C6A">
        <w:t>limit</w:t>
      </w:r>
      <w:r w:rsidR="00DF78AB" w:rsidRPr="00430C6A">
        <w:t>ing</w:t>
      </w:r>
      <w:r w:rsidRPr="00430C6A">
        <w:t xml:space="preserve"> </w:t>
      </w:r>
      <w:r w:rsidR="00EC6E49" w:rsidRPr="00430C6A">
        <w:t xml:space="preserve">global </w:t>
      </w:r>
      <w:r w:rsidRPr="00430C6A">
        <w:t xml:space="preserve">warming. </w:t>
      </w:r>
      <w:r w:rsidR="00855F15" w:rsidRPr="00430C6A">
        <w:t xml:space="preserve">A carbon budget places a legally binding restriction on the </w:t>
      </w:r>
      <w:r w:rsidR="007D585B" w:rsidRPr="00430C6A">
        <w:t>net UK carbon account</w:t>
      </w:r>
      <w:r w:rsidR="00855F15" w:rsidRPr="00430C6A">
        <w:t xml:space="preserve"> over a </w:t>
      </w:r>
      <w:r w:rsidR="008351F0" w:rsidRPr="00430C6A">
        <w:t>five</w:t>
      </w:r>
      <w:r w:rsidR="00855F15" w:rsidRPr="00430C6A">
        <w:t xml:space="preserve">-year period. </w:t>
      </w:r>
    </w:p>
    <w:p w14:paraId="233F0017" w14:textId="1A4DEF30" w:rsidR="006E12AF" w:rsidRPr="00430C6A" w:rsidRDefault="002439E2" w:rsidP="009229B3">
      <w:pPr>
        <w:pStyle w:val="Numberedparagraphs"/>
      </w:pPr>
      <w:r w:rsidRPr="00430C6A">
        <w:t>The fi</w:t>
      </w:r>
      <w:r w:rsidR="00626F30" w:rsidRPr="00430C6A">
        <w:t>r</w:t>
      </w:r>
      <w:r w:rsidRPr="00430C6A">
        <w:t xml:space="preserve">st five carbon budgets covering the period </w:t>
      </w:r>
      <w:r w:rsidR="00626F30" w:rsidRPr="00430C6A">
        <w:t xml:space="preserve">2008 to </w:t>
      </w:r>
      <w:r w:rsidR="00A34CB2" w:rsidRPr="00430C6A">
        <w:t xml:space="preserve">2032 have already been set in law. </w:t>
      </w:r>
      <w:r w:rsidR="003D35A4" w:rsidRPr="00430C6A">
        <w:t xml:space="preserve">The </w:t>
      </w:r>
      <w:r w:rsidR="00594D86" w:rsidRPr="00430C6A">
        <w:t>Climate Change Act</w:t>
      </w:r>
      <w:r w:rsidR="003D35A4" w:rsidRPr="00430C6A">
        <w:t xml:space="preserve"> requires Parliament to set the level of the </w:t>
      </w:r>
      <w:r w:rsidR="00DF6196" w:rsidRPr="00430C6A">
        <w:t>sixth</w:t>
      </w:r>
      <w:r w:rsidR="003D35A4" w:rsidRPr="00430C6A">
        <w:t xml:space="preserve"> carbon budget</w:t>
      </w:r>
      <w:r w:rsidR="0041281A" w:rsidRPr="00430C6A">
        <w:t>, covering 2033 to 2037,</w:t>
      </w:r>
      <w:r w:rsidR="006F34BF" w:rsidRPr="00430C6A">
        <w:t xml:space="preserve"> by </w:t>
      </w:r>
      <w:r w:rsidR="0041281A" w:rsidRPr="00430C6A">
        <w:t>30</w:t>
      </w:r>
      <w:r w:rsidR="00A97C68" w:rsidRPr="00430C6A">
        <w:t>th</w:t>
      </w:r>
      <w:r w:rsidR="0041281A" w:rsidRPr="00430C6A">
        <w:t xml:space="preserve"> June 2021</w:t>
      </w:r>
      <w:r w:rsidR="003D35A4" w:rsidRPr="00430C6A">
        <w:t xml:space="preserve">. This </w:t>
      </w:r>
      <w:r w:rsidR="00A01488" w:rsidRPr="00430C6A">
        <w:t>limits the amount of</w:t>
      </w:r>
      <w:r w:rsidR="00393937" w:rsidRPr="00430C6A">
        <w:t xml:space="preserve"> net</w:t>
      </w:r>
      <w:r w:rsidR="00A01488" w:rsidRPr="00430C6A">
        <w:t xml:space="preserve"> </w:t>
      </w:r>
      <w:r w:rsidR="00731217" w:rsidRPr="00430C6A">
        <w:t>UK</w:t>
      </w:r>
      <w:r w:rsidR="000945CC" w:rsidRPr="00430C6A">
        <w:t xml:space="preserve"> </w:t>
      </w:r>
      <w:r w:rsidR="003D35A4" w:rsidRPr="00430C6A">
        <w:t>GHG</w:t>
      </w:r>
      <w:r w:rsidR="00731217" w:rsidRPr="00430C6A">
        <w:t xml:space="preserve"> emissions,</w:t>
      </w:r>
      <w:r w:rsidR="003D35A4" w:rsidRPr="00430C6A">
        <w:t xml:space="preserve"> </w:t>
      </w:r>
      <w:r w:rsidR="00023088" w:rsidRPr="00430C6A">
        <w:t xml:space="preserve">adjusted for any credits/debits </w:t>
      </w:r>
      <w:r w:rsidR="003D35A4" w:rsidRPr="00430C6A" w:rsidDel="00023088">
        <w:t>of</w:t>
      </w:r>
      <w:r w:rsidR="003D35A4" w:rsidRPr="00430C6A">
        <w:t xml:space="preserve"> international emissions credits.</w:t>
      </w:r>
    </w:p>
    <w:p w14:paraId="4A4D497B" w14:textId="788BB241" w:rsidR="003D35A4" w:rsidRPr="00430C6A" w:rsidRDefault="003D35A4" w:rsidP="009229B3">
      <w:pPr>
        <w:pStyle w:val="Numberedparagraphs"/>
      </w:pPr>
      <w:r w:rsidRPr="00430C6A">
        <w:t xml:space="preserve">The </w:t>
      </w:r>
      <w:r w:rsidR="00594D86" w:rsidRPr="00430C6A">
        <w:t>Climate Change Act</w:t>
      </w:r>
      <w:r w:rsidRPr="00430C6A">
        <w:t xml:space="preserve"> specifies that the level of the </w:t>
      </w:r>
      <w:r w:rsidR="00855F15" w:rsidRPr="00430C6A">
        <w:t xml:space="preserve">sixth carbon </w:t>
      </w:r>
      <w:r w:rsidRPr="00430C6A">
        <w:t xml:space="preserve">budget must be set with a view </w:t>
      </w:r>
      <w:r w:rsidR="000945CC" w:rsidRPr="00430C6A">
        <w:t xml:space="preserve">to </w:t>
      </w:r>
      <w:r w:rsidRPr="00430C6A">
        <w:t xml:space="preserve">meeting the target of reducing net UK emissions </w:t>
      </w:r>
      <w:r w:rsidR="001A5834" w:rsidRPr="00430C6A">
        <w:t xml:space="preserve">by </w:t>
      </w:r>
      <w:r w:rsidR="00BE2768" w:rsidRPr="00430C6A">
        <w:t xml:space="preserve">at least </w:t>
      </w:r>
      <w:r w:rsidR="001A5834" w:rsidRPr="00430C6A">
        <w:t xml:space="preserve">100% </w:t>
      </w:r>
      <w:r w:rsidR="0099399F" w:rsidRPr="00430C6A">
        <w:t xml:space="preserve">(“net zero”) </w:t>
      </w:r>
      <w:r w:rsidR="001A5834" w:rsidRPr="00430C6A">
        <w:t xml:space="preserve">by </w:t>
      </w:r>
      <w:r w:rsidRPr="00430C6A">
        <w:t xml:space="preserve">2050.The budget must also be set with a view to complying with the UK’s wider </w:t>
      </w:r>
      <w:r w:rsidR="005C5EE4" w:rsidRPr="00430C6A">
        <w:t xml:space="preserve">international </w:t>
      </w:r>
      <w:r w:rsidRPr="00430C6A">
        <w:t>obligation</w:t>
      </w:r>
      <w:r w:rsidR="00DF6196" w:rsidRPr="00430C6A">
        <w:t>s</w:t>
      </w:r>
      <w:r w:rsidR="005C5EE4" w:rsidRPr="00430C6A">
        <w:t xml:space="preserve">. </w:t>
      </w:r>
      <w:r w:rsidR="00855F15" w:rsidRPr="00430C6A">
        <w:t>The UK has also committed to the 2015 Paris Agreement</w:t>
      </w:r>
      <w:r w:rsidR="005D7AB1" w:rsidRPr="00430C6A">
        <w:t>, which</w:t>
      </w:r>
      <w:r w:rsidR="00855F15" w:rsidRPr="00430C6A">
        <w:t xml:space="preserve"> </w:t>
      </w:r>
      <w:r w:rsidR="00F87FBE" w:rsidRPr="00430C6A">
        <w:t>affirms the global ambition to keep the increase in global average temperature to well below 2°C above pre-industrial levels, and to pursue efforts to limit the temperature increase to 1.5°C</w:t>
      </w:r>
      <w:r w:rsidR="00855F15" w:rsidRPr="00430C6A">
        <w:t>.</w:t>
      </w:r>
      <w:r w:rsidR="009750B0" w:rsidRPr="00430C6A">
        <w:t xml:space="preserve"> </w:t>
      </w:r>
      <w:r w:rsidRPr="00430C6A">
        <w:t xml:space="preserve">In setting the level of the </w:t>
      </w:r>
      <w:r w:rsidR="00DF6196" w:rsidRPr="00430C6A">
        <w:t>six</w:t>
      </w:r>
      <w:r w:rsidRPr="00430C6A">
        <w:t xml:space="preserve">th carbon budget the </w:t>
      </w:r>
      <w:r w:rsidR="0002256B" w:rsidRPr="00430C6A">
        <w:t>g</w:t>
      </w:r>
      <w:r w:rsidR="007C6560" w:rsidRPr="00430C6A">
        <w:t>overnment</w:t>
      </w:r>
      <w:r w:rsidRPr="00430C6A">
        <w:t xml:space="preserve"> </w:t>
      </w:r>
      <w:r w:rsidR="009750B0" w:rsidRPr="00430C6A">
        <w:t>must</w:t>
      </w:r>
      <w:r w:rsidRPr="00430C6A" w:rsidDel="00832E97">
        <w:t xml:space="preserve"> </w:t>
      </w:r>
      <w:r w:rsidR="00832E97" w:rsidRPr="00430C6A">
        <w:t>take into account</w:t>
      </w:r>
      <w:r w:rsidRPr="00430C6A">
        <w:t xml:space="preserve"> the advice of the CCC and </w:t>
      </w:r>
      <w:r w:rsidR="00DF6196" w:rsidRPr="00430C6A">
        <w:t>any</w:t>
      </w:r>
      <w:r w:rsidRPr="00430C6A">
        <w:t xml:space="preserve"> representations of the Devolved Administrations. </w:t>
      </w:r>
    </w:p>
    <w:p w14:paraId="5BABF714" w14:textId="08887643" w:rsidR="00351E1B" w:rsidRPr="00430C6A" w:rsidRDefault="003D35A4" w:rsidP="009229B3">
      <w:pPr>
        <w:pStyle w:val="Numberedparagraphs"/>
      </w:pPr>
      <w:r w:rsidRPr="00430C6A">
        <w:t xml:space="preserve">Once the </w:t>
      </w:r>
      <w:r w:rsidR="00DF6196" w:rsidRPr="00430C6A">
        <w:t>sixth carbon</w:t>
      </w:r>
      <w:r w:rsidRPr="00430C6A">
        <w:t xml:space="preserve"> budget is set in legislation, the Act requires the </w:t>
      </w:r>
      <w:r w:rsidR="00C60FAD" w:rsidRPr="00430C6A">
        <w:t>g</w:t>
      </w:r>
      <w:r w:rsidR="007C6560" w:rsidRPr="00430C6A">
        <w:t>overnment</w:t>
      </w:r>
      <w:r w:rsidRPr="00430C6A">
        <w:t xml:space="preserve"> to publish a report on the policies and proposals to deliver the </w:t>
      </w:r>
      <w:r w:rsidR="00DF6196" w:rsidRPr="00430C6A">
        <w:t>budget</w:t>
      </w:r>
      <w:r w:rsidRPr="00430C6A">
        <w:t xml:space="preserve"> (and those carbon budgets up to this point) ‘as soon as is reasonably practicable’ thereafter. </w:t>
      </w:r>
      <w:r w:rsidR="001B3990" w:rsidRPr="00430C6A">
        <w:t xml:space="preserve">As details of policies and proposals to meet the </w:t>
      </w:r>
      <w:r w:rsidR="00B62CA3" w:rsidRPr="00430C6A">
        <w:t>sixth carbon budget</w:t>
      </w:r>
      <w:r w:rsidR="001B3990" w:rsidRPr="00430C6A">
        <w:t xml:space="preserve"> are still being finalised</w:t>
      </w:r>
      <w:r w:rsidRPr="00430C6A">
        <w:t>, this Impact Assessment considers, at a high level, the illustrative impacts of meeting different budget levels.</w:t>
      </w:r>
      <w:r w:rsidR="00F46B4F" w:rsidRPr="00430C6A">
        <w:t xml:space="preserve"> It does </w:t>
      </w:r>
      <w:r w:rsidR="00C96AC2" w:rsidRPr="00430C6A">
        <w:t>not make specific assumptions on how the sixth carbon budget will be delivered</w:t>
      </w:r>
      <w:r w:rsidR="009046F3" w:rsidRPr="00430C6A">
        <w:t xml:space="preserve">, including the policy recommendations put forward by the CCC in their </w:t>
      </w:r>
      <w:r w:rsidR="00912D41" w:rsidRPr="00430C6A">
        <w:t>sixth carbon budget</w:t>
      </w:r>
      <w:r w:rsidR="009046F3" w:rsidRPr="00430C6A">
        <w:t xml:space="preserve"> advice</w:t>
      </w:r>
      <w:r w:rsidR="00C96AC2" w:rsidRPr="00430C6A">
        <w:t>.</w:t>
      </w:r>
    </w:p>
    <w:p w14:paraId="5EC13BA5" w14:textId="1F0AA741" w:rsidR="009750B0" w:rsidRPr="00430C6A" w:rsidRDefault="00B62CA3" w:rsidP="00390325">
      <w:pPr>
        <w:pStyle w:val="Heading4"/>
        <w:spacing w:after="200"/>
        <w:rPr>
          <w:rFonts w:ascii="Arial Bold" w:hAnsi="Arial Bold" w:cs="Arial Bold"/>
          <w:iCs/>
          <w:szCs w:val="24"/>
        </w:rPr>
      </w:pPr>
      <w:r w:rsidRPr="00430C6A">
        <w:rPr>
          <w:iCs/>
          <w:szCs w:val="24"/>
        </w:rPr>
        <w:t xml:space="preserve">The </w:t>
      </w:r>
      <w:r w:rsidR="009750B0" w:rsidRPr="00430C6A">
        <w:rPr>
          <w:iCs/>
          <w:szCs w:val="24"/>
        </w:rPr>
        <w:t>Climate Change Committee’s advice on the sixth carbon budget</w:t>
      </w:r>
    </w:p>
    <w:p w14:paraId="1EBE6645" w14:textId="3679A4F9" w:rsidR="009750B0" w:rsidRPr="00430C6A" w:rsidRDefault="000C1E20" w:rsidP="009229B3">
      <w:pPr>
        <w:pStyle w:val="Numberedparagraphs"/>
      </w:pPr>
      <w:r w:rsidRPr="00430C6A">
        <w:t xml:space="preserve">The CCC is an independent statutory body that advises the UK and devolved administration </w:t>
      </w:r>
      <w:r w:rsidR="007C6560" w:rsidRPr="00430C6A">
        <w:t>government</w:t>
      </w:r>
      <w:r w:rsidRPr="00430C6A">
        <w:t xml:space="preserve">s on setting and meeting carbon budgets and preparing for climate change. Under section 34 of the Act the CCC must advise on: the level of each carbon budget; the extent to which the carbon budget should be met </w:t>
      </w:r>
      <w:r w:rsidR="003B5334" w:rsidRPr="00430C6A">
        <w:t xml:space="preserve">through </w:t>
      </w:r>
      <w:r w:rsidRPr="00430C6A">
        <w:t>reducing net UK emissions or through the purchase of carbon units from overseas; and the respective contributions that different sectors should make; and in doing so it must take into account certain matters specified under the Act (section 10).</w:t>
      </w:r>
    </w:p>
    <w:p w14:paraId="0A5BC0C8" w14:textId="36E57F44" w:rsidR="003D15A4" w:rsidRPr="00430C6A" w:rsidRDefault="009750B0" w:rsidP="009229B3">
      <w:pPr>
        <w:pStyle w:val="Numberedparagraphs"/>
      </w:pPr>
      <w:r w:rsidRPr="00430C6A">
        <w:t>The CCC published its advice on the sixth carbon budget on 9</w:t>
      </w:r>
      <w:r w:rsidRPr="00430C6A">
        <w:rPr>
          <w:vertAlign w:val="superscript"/>
        </w:rPr>
        <w:t>th</w:t>
      </w:r>
      <w:r w:rsidRPr="00430C6A">
        <w:t xml:space="preserve"> December 2020. It recommends that the sixth carbon budget be set at 965MtCO</w:t>
      </w:r>
      <w:r w:rsidRPr="00430C6A">
        <w:rPr>
          <w:vertAlign w:val="subscript"/>
        </w:rPr>
        <w:t>2</w:t>
      </w:r>
      <w:r w:rsidRPr="00430C6A">
        <w:t xml:space="preserve">e, implying a 78% </w:t>
      </w:r>
      <w:r w:rsidRPr="00430C6A">
        <w:lastRenderedPageBreak/>
        <w:t xml:space="preserve">reduction </w:t>
      </w:r>
      <w:r w:rsidR="00B44BFB" w:rsidRPr="00430C6A">
        <w:t xml:space="preserve">in emissions </w:t>
      </w:r>
      <w:r w:rsidRPr="00430C6A">
        <w:t>from 1990 to 2035. The C</w:t>
      </w:r>
      <w:r w:rsidR="00B44BFB" w:rsidRPr="00430C6A">
        <w:t>CC</w:t>
      </w:r>
      <w:r w:rsidRPr="00430C6A">
        <w:t xml:space="preserve"> recognise that this target would achieve well over half of the required emissions reductions required from 2020 to 2050 in the next 15 years</w:t>
      </w:r>
      <w:r w:rsidR="002A2385" w:rsidRPr="00430C6A">
        <w:t xml:space="preserve"> – implying </w:t>
      </w:r>
      <w:r w:rsidRPr="00430C6A">
        <w:t>an average annual reduction of 21MtCO</w:t>
      </w:r>
      <w:r w:rsidRPr="00430C6A">
        <w:rPr>
          <w:vertAlign w:val="subscript"/>
        </w:rPr>
        <w:t>2</w:t>
      </w:r>
      <w:r w:rsidRPr="00430C6A">
        <w:t>e between 2019 and 2035, compared to 13MtCO</w:t>
      </w:r>
      <w:r w:rsidRPr="00430C6A">
        <w:rPr>
          <w:vertAlign w:val="subscript"/>
        </w:rPr>
        <w:t>2</w:t>
      </w:r>
      <w:r w:rsidRPr="00430C6A">
        <w:t xml:space="preserve">e between 2035 and 2050. </w:t>
      </w:r>
      <w:r w:rsidR="008A4DDC" w:rsidRPr="00430C6A">
        <w:t xml:space="preserve">The CCC </w:t>
      </w:r>
      <w:r w:rsidR="007F6ECA" w:rsidRPr="00430C6A">
        <w:t>advise</w:t>
      </w:r>
      <w:r w:rsidR="008A4DDC" w:rsidRPr="00430C6A">
        <w:t xml:space="preserve"> that the budget should </w:t>
      </w:r>
      <w:r w:rsidR="008938E9" w:rsidRPr="00430C6A">
        <w:t xml:space="preserve">be </w:t>
      </w:r>
      <w:r w:rsidR="00BC79DC" w:rsidRPr="00430C6A">
        <w:t>set</w:t>
      </w:r>
      <w:r w:rsidR="008938E9" w:rsidRPr="00430C6A">
        <w:t xml:space="preserve"> on </w:t>
      </w:r>
      <w:r w:rsidRPr="00430C6A">
        <w:t>the basis of territorial UK emissions</w:t>
      </w:r>
      <w:r w:rsidR="003B5334" w:rsidRPr="00430C6A">
        <w:t>;</w:t>
      </w:r>
      <w:r w:rsidRPr="00430C6A">
        <w:t xml:space="preserve"> inclusive of emissions from international aviation and shipping (IAS)</w:t>
      </w:r>
      <w:r w:rsidR="003B5334" w:rsidRPr="00430C6A">
        <w:t xml:space="preserve"> and</w:t>
      </w:r>
      <w:r w:rsidRPr="00430C6A">
        <w:t xml:space="preserve"> </w:t>
      </w:r>
      <w:r w:rsidR="00982783" w:rsidRPr="00430C6A">
        <w:t>wetlands</w:t>
      </w:r>
      <w:r w:rsidR="003B5334" w:rsidRPr="00430C6A">
        <w:t>;</w:t>
      </w:r>
      <w:r w:rsidRPr="00430C6A">
        <w:t xml:space="preserve"> and </w:t>
      </w:r>
      <w:r w:rsidR="003E25D4" w:rsidRPr="00430C6A">
        <w:t>using</w:t>
      </w:r>
      <w:r w:rsidRPr="00430C6A">
        <w:t xml:space="preserve"> </w:t>
      </w:r>
      <w:r w:rsidR="00C30B41" w:rsidRPr="00430C6A">
        <w:t>the I</w:t>
      </w:r>
      <w:r w:rsidR="00F929FA" w:rsidRPr="00430C6A">
        <w:t>nter</w:t>
      </w:r>
      <w:r w:rsidR="007C6560" w:rsidRPr="00430C6A">
        <w:t>government</w:t>
      </w:r>
      <w:r w:rsidR="0077364C" w:rsidRPr="00430C6A">
        <w:t>al</w:t>
      </w:r>
      <w:r w:rsidR="00F929FA" w:rsidRPr="00430C6A">
        <w:t xml:space="preserve"> Panel on Climate Change’s</w:t>
      </w:r>
      <w:r w:rsidR="0077364C" w:rsidRPr="00430C6A">
        <w:t xml:space="preserve"> (IPCC)</w:t>
      </w:r>
      <w:r w:rsidR="00C30B41" w:rsidRPr="00430C6A">
        <w:t xml:space="preserve"> </w:t>
      </w:r>
      <w:r w:rsidR="00863DD3" w:rsidRPr="00430C6A">
        <w:t xml:space="preserve">Fifth Assessment Report </w:t>
      </w:r>
      <w:r w:rsidR="000E6B1C" w:rsidRPr="00430C6A">
        <w:t xml:space="preserve">Global Warming Potentials </w:t>
      </w:r>
      <w:r w:rsidRPr="00430C6A">
        <w:t>(see section 1.4 on accounting and scope)</w:t>
      </w:r>
      <w:r w:rsidR="00047A47" w:rsidRPr="00430C6A">
        <w:t>.</w:t>
      </w:r>
      <w:r w:rsidR="00893240" w:rsidRPr="00430C6A">
        <w:t xml:space="preserve"> The CCC also advise that the budget should be met without purchase of international credits.</w:t>
      </w:r>
    </w:p>
    <w:p w14:paraId="3389BEBF" w14:textId="1E40866E" w:rsidR="009750B0" w:rsidRPr="00551E51" w:rsidRDefault="00694E6C" w:rsidP="009229B3">
      <w:pPr>
        <w:pStyle w:val="Numberedparagraphs"/>
      </w:pPr>
      <w:r w:rsidRPr="00430C6A">
        <w:t>While the CCC’s advice also make</w:t>
      </w:r>
      <w:r w:rsidR="00D27CC5" w:rsidRPr="00430C6A">
        <w:t>s</w:t>
      </w:r>
      <w:r w:rsidRPr="00430C6A">
        <w:t xml:space="preserve"> recommendations on how </w:t>
      </w:r>
      <w:r w:rsidR="00D27CC5" w:rsidRPr="00430C6A">
        <w:t>to meet</w:t>
      </w:r>
      <w:r w:rsidRPr="00430C6A">
        <w:t xml:space="preserve"> the sixth carbon budget level, </w:t>
      </w:r>
      <w:r w:rsidR="0057693F" w:rsidRPr="00430C6A">
        <w:t xml:space="preserve">this Impact Assessment does not </w:t>
      </w:r>
      <w:r w:rsidR="00302D8F" w:rsidRPr="00430C6A">
        <w:t xml:space="preserve">set out </w:t>
      </w:r>
      <w:r w:rsidR="0057693F" w:rsidRPr="00430C6A">
        <w:t>how the sixth carbon budget will be delivered</w:t>
      </w:r>
      <w:r w:rsidR="001542EF" w:rsidRPr="00430C6A">
        <w:t xml:space="preserve">. </w:t>
      </w:r>
      <w:r w:rsidR="0057693F" w:rsidRPr="00430C6A">
        <w:t>The</w:t>
      </w:r>
      <w:r w:rsidRPr="00430C6A">
        <w:t xml:space="preserve"> </w:t>
      </w:r>
      <w:r w:rsidR="007C6560" w:rsidRPr="00430C6A">
        <w:t>government</w:t>
      </w:r>
      <w:r w:rsidRPr="00430C6A">
        <w:t xml:space="preserve"> will set out its own delivery</w:t>
      </w:r>
      <w:r w:rsidR="00D27CC5" w:rsidRPr="00430C6A">
        <w:t xml:space="preserve"> plan with policies in line with its own priorities and assumptions. </w:t>
      </w:r>
      <w:r w:rsidR="00A76CB4" w:rsidRPr="00430C6A">
        <w:t xml:space="preserve">In modelling options, </w:t>
      </w:r>
      <w:r w:rsidR="00C73011" w:rsidRPr="00430C6A">
        <w:t>this analysis</w:t>
      </w:r>
      <w:r w:rsidR="00A76CB4" w:rsidRPr="00430C6A">
        <w:t xml:space="preserve"> also make</w:t>
      </w:r>
      <w:r w:rsidR="00C73011" w:rsidRPr="00430C6A">
        <w:t>s</w:t>
      </w:r>
      <w:r w:rsidR="00A76CB4" w:rsidRPr="00430C6A">
        <w:t xml:space="preserve"> different assumption</w:t>
      </w:r>
      <w:r w:rsidR="00BB2281" w:rsidRPr="00430C6A">
        <w:t xml:space="preserve">s </w:t>
      </w:r>
      <w:r w:rsidR="001542EF" w:rsidRPr="00430C6A">
        <w:t>in some areas</w:t>
      </w:r>
      <w:r w:rsidR="00BB2281" w:rsidRPr="00430C6A">
        <w:t xml:space="preserve"> </w:t>
      </w:r>
      <w:r w:rsidR="00C73011" w:rsidRPr="00430C6A">
        <w:t>to the CCC</w:t>
      </w:r>
      <w:r w:rsidR="007F2663" w:rsidRPr="00430C6A">
        <w:t xml:space="preserve"> </w:t>
      </w:r>
      <w:r w:rsidR="00BB2281" w:rsidRPr="00430C6A">
        <w:t xml:space="preserve">– </w:t>
      </w:r>
      <w:r w:rsidR="00A556B4" w:rsidRPr="00430C6A">
        <w:t>notably</w:t>
      </w:r>
      <w:r w:rsidR="00BB2281" w:rsidRPr="00430C6A">
        <w:t xml:space="preserve">, the CCC’s analysis </w:t>
      </w:r>
      <w:r w:rsidR="00DB7469" w:rsidRPr="00430C6A">
        <w:t>includes some changes in consumption patterns</w:t>
      </w:r>
      <w:r w:rsidR="001F624B" w:rsidRPr="00430C6A">
        <w:t xml:space="preserve"> </w:t>
      </w:r>
      <w:r w:rsidR="007B6959" w:rsidRPr="00430C6A">
        <w:t>that are not modelled here</w:t>
      </w:r>
      <w:r w:rsidR="004D4F9F" w:rsidRPr="00430C6A">
        <w:t xml:space="preserve">. </w:t>
      </w:r>
      <w:bookmarkStart w:id="36" w:name="_Hlk66440667"/>
      <w:r w:rsidR="00FE1FA4" w:rsidRPr="00430C6A">
        <w:t xml:space="preserve">For example, </w:t>
      </w:r>
      <w:r w:rsidR="006436C4" w:rsidRPr="00430C6A">
        <w:t>this analysis does not assume a</w:t>
      </w:r>
      <w:r w:rsidR="006436C4" w:rsidRPr="00551E51">
        <w:t xml:space="preserve"> </w:t>
      </w:r>
      <w:r w:rsidR="007B6959" w:rsidRPr="00551E51">
        <w:t>shift</w:t>
      </w:r>
      <w:r w:rsidR="006436C4" w:rsidRPr="00551E51">
        <w:t xml:space="preserve"> in people’s </w:t>
      </w:r>
      <w:bookmarkEnd w:id="36"/>
      <w:r w:rsidR="006436C4" w:rsidRPr="00551E51">
        <w:t>diet</w:t>
      </w:r>
      <w:r w:rsidR="003F4FDD" w:rsidRPr="00551E51">
        <w:t>ary patterns</w:t>
      </w:r>
      <w:r w:rsidR="006436C4" w:rsidRPr="00551E51">
        <w:t>.</w:t>
      </w:r>
      <w:r w:rsidR="00FE1FA4" w:rsidRPr="00551E51">
        <w:t xml:space="preserve"> </w:t>
      </w:r>
      <w:r w:rsidR="00F46B4F" w:rsidRPr="00551E51">
        <w:t xml:space="preserve">The </w:t>
      </w:r>
      <w:r w:rsidR="001542EF" w:rsidRPr="00551E51">
        <w:t>full</w:t>
      </w:r>
      <w:r w:rsidR="00F46B4F" w:rsidRPr="00551E51">
        <w:t xml:space="preserve"> portfolio of policies to deliver the budget level is not decided at this stage, though the analysis does give a sense of the challenge.</w:t>
      </w:r>
    </w:p>
    <w:p w14:paraId="107FBC53" w14:textId="4EB3F31D" w:rsidR="00796009" w:rsidRPr="00861D79" w:rsidRDefault="00201473" w:rsidP="00390325">
      <w:pPr>
        <w:pStyle w:val="Heading4"/>
        <w:spacing w:after="200"/>
        <w:rPr>
          <w:szCs w:val="24"/>
        </w:rPr>
      </w:pPr>
      <w:r w:rsidRPr="006A50A8">
        <w:rPr>
          <w:szCs w:val="24"/>
        </w:rPr>
        <w:t>Existing carbon budgets</w:t>
      </w:r>
    </w:p>
    <w:p w14:paraId="25A30AB0" w14:textId="7BF3E14A" w:rsidR="00296F77" w:rsidRPr="00551E51" w:rsidRDefault="002F7C17" w:rsidP="009229B3">
      <w:pPr>
        <w:pStyle w:val="Numberedparagraphs"/>
      </w:pPr>
      <w:r w:rsidRPr="00551E51">
        <w:t>The fifth carbon budget was set in 2016</w:t>
      </w:r>
      <w:r w:rsidR="00406A52" w:rsidRPr="00551E51">
        <w:t>,</w:t>
      </w:r>
      <w:r w:rsidRPr="00551E51">
        <w:t xml:space="preserve"> </w:t>
      </w:r>
      <w:r w:rsidR="00BE247F" w:rsidRPr="00551E51">
        <w:t xml:space="preserve">before the 2050 target was changed to net zero in 2019. </w:t>
      </w:r>
      <w:r w:rsidRPr="00551E51">
        <w:t xml:space="preserve">The CCC </w:t>
      </w:r>
      <w:r w:rsidR="009750B0" w:rsidRPr="00551E51">
        <w:t>have</w:t>
      </w:r>
      <w:r w:rsidRPr="00551E51">
        <w:t xml:space="preserve"> advised</w:t>
      </w:r>
      <w:r w:rsidR="00A66781" w:rsidRPr="00551E51">
        <w:t xml:space="preserve"> that, while their recommended trajectory to net zero </w:t>
      </w:r>
      <w:r w:rsidR="009F0FA8" w:rsidRPr="00551E51">
        <w:t xml:space="preserve">in 2050 </w:t>
      </w:r>
      <w:r w:rsidR="00A66781" w:rsidRPr="00551E51">
        <w:t>implies emissions will have to fall more quickly than required by the existing carbon budgets (i.e. the fourth and fifth, covering 2023-27 and 2028-32</w:t>
      </w:r>
      <w:r w:rsidR="009F0FA8" w:rsidRPr="00551E51">
        <w:t>)</w:t>
      </w:r>
      <w:r w:rsidR="00796009" w:rsidRPr="00551E51">
        <w:t xml:space="preserve">, it is not necessary to amend the </w:t>
      </w:r>
      <w:r w:rsidR="00EE6B32" w:rsidRPr="00551E51">
        <w:t>existing</w:t>
      </w:r>
      <w:r w:rsidR="00796009" w:rsidRPr="00551E51">
        <w:t xml:space="preserve"> </w:t>
      </w:r>
      <w:r w:rsidR="009F0FA8" w:rsidRPr="00551E51">
        <w:t>budget level</w:t>
      </w:r>
      <w:r w:rsidR="00960FBE" w:rsidRPr="00551E51">
        <w:t>s</w:t>
      </w:r>
      <w:r w:rsidR="009F0FA8" w:rsidRPr="00551E51">
        <w:t xml:space="preserve"> in legislation.</w:t>
      </w:r>
      <w:r w:rsidR="00A66781" w:rsidRPr="00551E51">
        <w:t xml:space="preserve"> </w:t>
      </w:r>
      <w:r w:rsidR="007F252C" w:rsidRPr="00551E51">
        <w:t xml:space="preserve">The </w:t>
      </w:r>
      <w:r w:rsidR="00675B59" w:rsidRPr="00551E51">
        <w:t xml:space="preserve">CCC consider </w:t>
      </w:r>
      <w:r w:rsidR="00DD252C" w:rsidRPr="00551E51">
        <w:t xml:space="preserve">that the </w:t>
      </w:r>
      <w:r w:rsidR="007F252C" w:rsidRPr="00551E51">
        <w:t xml:space="preserve">advised sixth carbon budget </w:t>
      </w:r>
      <w:r w:rsidR="00710849" w:rsidRPr="00551E51">
        <w:t>level</w:t>
      </w:r>
      <w:r w:rsidR="00DF2652" w:rsidRPr="00551E51">
        <w:t>,</w:t>
      </w:r>
      <w:r w:rsidR="00710849" w:rsidRPr="00551E51">
        <w:t xml:space="preserve"> </w:t>
      </w:r>
      <w:r w:rsidR="00C71839" w:rsidRPr="00551E51">
        <w:t xml:space="preserve">combined with the UK’s </w:t>
      </w:r>
      <w:r w:rsidR="00E10330" w:rsidRPr="00551E51">
        <w:t>NDC</w:t>
      </w:r>
      <w:r w:rsidR="00C71839" w:rsidRPr="00551E51">
        <w:t xml:space="preserve"> (which commit</w:t>
      </w:r>
      <w:r w:rsidR="000E19DE" w:rsidRPr="00551E51">
        <w:t>s</w:t>
      </w:r>
      <w:r w:rsidR="00C71839" w:rsidRPr="00551E51">
        <w:t xml:space="preserve"> the UK to redu</w:t>
      </w:r>
      <w:r w:rsidR="00BF2806" w:rsidRPr="00551E51">
        <w:t>c</w:t>
      </w:r>
      <w:r w:rsidR="00C71839" w:rsidRPr="00551E51">
        <w:t xml:space="preserve">ing </w:t>
      </w:r>
      <w:r w:rsidR="00BF2806" w:rsidRPr="00551E51">
        <w:t xml:space="preserve">emissions </w:t>
      </w:r>
      <w:r w:rsidR="00C71839" w:rsidRPr="00551E51">
        <w:t xml:space="preserve">by </w:t>
      </w:r>
      <w:r w:rsidR="00BF2806" w:rsidRPr="00551E51">
        <w:t xml:space="preserve">at least </w:t>
      </w:r>
      <w:r w:rsidR="00C71839" w:rsidRPr="00551E51">
        <w:t xml:space="preserve">68% </w:t>
      </w:r>
      <w:r w:rsidR="00DF2652" w:rsidRPr="00551E51">
        <w:t>by 2030</w:t>
      </w:r>
      <w:r w:rsidR="00DC24AE" w:rsidRPr="00551E51">
        <w:t xml:space="preserve">, compared to </w:t>
      </w:r>
      <w:r w:rsidR="00DF2652" w:rsidRPr="00551E51">
        <w:t>1990 levels</w:t>
      </w:r>
      <w:r w:rsidR="00DC24AE" w:rsidRPr="00551E51">
        <w:rPr>
          <w:rStyle w:val="FootnoteReference"/>
          <w:i/>
          <w:iCs w:val="0"/>
        </w:rPr>
        <w:footnoteReference w:id="5"/>
      </w:r>
      <w:r w:rsidR="00DF2652" w:rsidRPr="00551E51">
        <w:t xml:space="preserve">) </w:t>
      </w:r>
      <w:r w:rsidR="007F252C" w:rsidRPr="00551E51">
        <w:t xml:space="preserve">would set </w:t>
      </w:r>
      <w:r w:rsidR="009750B0" w:rsidRPr="00551E51">
        <w:t xml:space="preserve">the UK </w:t>
      </w:r>
      <w:r w:rsidR="007F252C" w:rsidRPr="00551E51">
        <w:t>on the path to</w:t>
      </w:r>
      <w:r w:rsidR="009750B0" w:rsidRPr="00551E51">
        <w:t xml:space="preserve"> </w:t>
      </w:r>
      <w:r w:rsidR="007F252C" w:rsidRPr="00551E51">
        <w:t>net zero, but it</w:t>
      </w:r>
      <w:r w:rsidR="00A66781" w:rsidRPr="00551E51">
        <w:t xml:space="preserve"> </w:t>
      </w:r>
      <w:r w:rsidR="00DD252C" w:rsidRPr="00551E51">
        <w:t>is</w:t>
      </w:r>
      <w:r w:rsidR="00A66781" w:rsidRPr="00551E51">
        <w:t xml:space="preserve"> for the </w:t>
      </w:r>
      <w:r w:rsidR="00D1339B" w:rsidRPr="00551E51">
        <w:t>g</w:t>
      </w:r>
      <w:r w:rsidR="007C6560" w:rsidRPr="00551E51">
        <w:t>overnment</w:t>
      </w:r>
      <w:r w:rsidR="00A66781" w:rsidRPr="00551E51">
        <w:t xml:space="preserve"> to decide whether the existing budgets should be amended. </w:t>
      </w:r>
    </w:p>
    <w:p w14:paraId="779C0B3D" w14:textId="6669833A" w:rsidR="00D50448" w:rsidRPr="00A34898" w:rsidRDefault="06F0B797" w:rsidP="009229B3">
      <w:pPr>
        <w:pStyle w:val="Numberedparagraphs"/>
      </w:pPr>
      <w:r w:rsidRPr="00551E51">
        <w:t xml:space="preserve">The </w:t>
      </w:r>
      <w:r w:rsidR="5405C12B" w:rsidRPr="00551E51">
        <w:t>g</w:t>
      </w:r>
      <w:r w:rsidR="007C6560" w:rsidRPr="00551E51">
        <w:t>overnment</w:t>
      </w:r>
      <w:r w:rsidR="113FB956" w:rsidRPr="00551E51">
        <w:t xml:space="preserve"> </w:t>
      </w:r>
      <w:r w:rsidRPr="00551E51">
        <w:t>does not</w:t>
      </w:r>
      <w:r w:rsidR="15575241" w:rsidRPr="00551E51">
        <w:t xml:space="preserve"> </w:t>
      </w:r>
      <w:r w:rsidRPr="00551E51">
        <w:t xml:space="preserve">consider it </w:t>
      </w:r>
      <w:r w:rsidR="15575241" w:rsidRPr="00551E51">
        <w:t xml:space="preserve">necessary </w:t>
      </w:r>
      <w:r w:rsidR="098D9195" w:rsidRPr="00551E51">
        <w:t>to amend the</w:t>
      </w:r>
      <w:r w:rsidR="15575241" w:rsidRPr="00551E51">
        <w:t xml:space="preserve"> level of any existing carbon budgets</w:t>
      </w:r>
      <w:r w:rsidR="098D9195" w:rsidRPr="00551E51">
        <w:t xml:space="preserve"> in legislation</w:t>
      </w:r>
      <w:r w:rsidR="175BCBA9" w:rsidRPr="00551E51">
        <w:t>.</w:t>
      </w:r>
      <w:r w:rsidR="216B6EB5" w:rsidRPr="00551E51">
        <w:t xml:space="preserve"> </w:t>
      </w:r>
      <w:r w:rsidR="3271823C" w:rsidRPr="00551E51">
        <w:t>T</w:t>
      </w:r>
      <w:r w:rsidR="216B6EB5" w:rsidRPr="00551E51">
        <w:t xml:space="preserve">he 2030 NDC and the </w:t>
      </w:r>
      <w:r w:rsidR="285AA52F" w:rsidRPr="00551E51">
        <w:t>proposed</w:t>
      </w:r>
      <w:r w:rsidR="216B6EB5" w:rsidRPr="00551E51">
        <w:t xml:space="preserve"> sixth carbon budget put the UK on track for net zero by 2050</w:t>
      </w:r>
      <w:r w:rsidR="4A28A9F4" w:rsidRPr="00551E51">
        <w:t xml:space="preserve"> and will necessarily entail overachieving on </w:t>
      </w:r>
      <w:r w:rsidR="0024134C" w:rsidRPr="00551E51">
        <w:t>the 5</w:t>
      </w:r>
      <w:r w:rsidR="0024134C" w:rsidRPr="00551E51">
        <w:rPr>
          <w:vertAlign w:val="superscript"/>
        </w:rPr>
        <w:t>th</w:t>
      </w:r>
      <w:r w:rsidR="0024134C" w:rsidRPr="00551E51">
        <w:t xml:space="preserve"> carbon budget</w:t>
      </w:r>
      <w:r w:rsidR="15575241" w:rsidRPr="00551E51">
        <w:t xml:space="preserve">. </w:t>
      </w:r>
      <w:r w:rsidR="098D9195" w:rsidRPr="00551E51">
        <w:t>This</w:t>
      </w:r>
      <w:r w:rsidR="5405C12B" w:rsidRPr="00551E51">
        <w:t xml:space="preserve"> analysis assumes that the </w:t>
      </w:r>
      <w:r w:rsidR="33E130C2" w:rsidRPr="00551E51">
        <w:t>UK</w:t>
      </w:r>
      <w:r w:rsidR="049242A9" w:rsidRPr="00551E51">
        <w:t xml:space="preserve"> </w:t>
      </w:r>
      <w:r w:rsidR="6DC91D36" w:rsidRPr="00551E51">
        <w:t xml:space="preserve">will </w:t>
      </w:r>
      <w:r w:rsidR="049242A9" w:rsidRPr="00551E51">
        <w:t xml:space="preserve">achieve the reduction in emissions needed to meet its </w:t>
      </w:r>
      <w:r w:rsidR="33E130C2" w:rsidRPr="00551E51">
        <w:t xml:space="preserve">2030 </w:t>
      </w:r>
      <w:r w:rsidR="0EC1B1C3" w:rsidRPr="00551E51">
        <w:t>ND</w:t>
      </w:r>
      <w:r w:rsidR="34D159A8" w:rsidRPr="00551E51">
        <w:t>C</w:t>
      </w:r>
      <w:r w:rsidR="113FB956" w:rsidRPr="00551E51">
        <w:t>.</w:t>
      </w:r>
      <w:r w:rsidR="598293E6" w:rsidRPr="00551E51">
        <w:t xml:space="preserve"> The level of each </w:t>
      </w:r>
      <w:r w:rsidR="00FD4EB3" w:rsidRPr="00551E51">
        <w:t xml:space="preserve">of the first five </w:t>
      </w:r>
      <w:r w:rsidR="598293E6" w:rsidRPr="00551E51">
        <w:t>carbon budget</w:t>
      </w:r>
      <w:r w:rsidR="00FD4EB3" w:rsidRPr="00551E51">
        <w:t>s</w:t>
      </w:r>
      <w:r w:rsidR="598293E6" w:rsidRPr="00551E51">
        <w:t xml:space="preserve"> </w:t>
      </w:r>
      <w:r w:rsidR="00FD4EB3" w:rsidRPr="00551E51">
        <w:t>are</w:t>
      </w:r>
      <w:r w:rsidR="598293E6" w:rsidRPr="00551E51">
        <w:t xml:space="preserve"> shown in the table below.</w:t>
      </w:r>
    </w:p>
    <w:p w14:paraId="61C508D8" w14:textId="295682F3" w:rsidR="007F252C" w:rsidRPr="005A7000" w:rsidRDefault="006474A1" w:rsidP="009229B3">
      <w:pPr>
        <w:pStyle w:val="Numberedparagraphs"/>
        <w:numPr>
          <w:ilvl w:val="0"/>
          <w:numId w:val="0"/>
        </w:numPr>
        <w:rPr>
          <w:i/>
          <w:iCs w:val="0"/>
        </w:rPr>
      </w:pPr>
      <w:r w:rsidRPr="005A7000">
        <w:rPr>
          <w:i/>
          <w:iCs w:val="0"/>
        </w:rPr>
        <w:t xml:space="preserve">Table </w:t>
      </w:r>
      <w:r w:rsidR="00644E6A" w:rsidRPr="005A7000">
        <w:rPr>
          <w:i/>
          <w:iCs w:val="0"/>
        </w:rPr>
        <w:t>3</w:t>
      </w:r>
      <w:r w:rsidR="00971C44" w:rsidRPr="005A7000">
        <w:rPr>
          <w:i/>
          <w:iCs w:val="0"/>
        </w:rPr>
        <w:t xml:space="preserve">: </w:t>
      </w:r>
      <w:r w:rsidRPr="005A7000">
        <w:rPr>
          <w:i/>
          <w:iCs w:val="0"/>
        </w:rPr>
        <w:t xml:space="preserve"> Level of existing carbon budgets</w:t>
      </w:r>
    </w:p>
    <w:tbl>
      <w:tblPr>
        <w:tblStyle w:val="TableGrid"/>
        <w:tblW w:w="9923" w:type="dxa"/>
        <w:tblInd w:w="137" w:type="dxa"/>
        <w:tblLayout w:type="fixed"/>
        <w:tblLook w:val="04A0" w:firstRow="1" w:lastRow="0" w:firstColumn="1" w:lastColumn="0" w:noHBand="0" w:noVBand="1"/>
      </w:tblPr>
      <w:tblGrid>
        <w:gridCol w:w="2126"/>
        <w:gridCol w:w="1701"/>
        <w:gridCol w:w="1418"/>
        <w:gridCol w:w="1559"/>
        <w:gridCol w:w="1418"/>
        <w:gridCol w:w="1701"/>
      </w:tblGrid>
      <w:tr w:rsidR="00DE4C4B" w14:paraId="7616F4E1" w14:textId="77777777" w:rsidTr="00390325">
        <w:tc>
          <w:tcPr>
            <w:tcW w:w="2126" w:type="dxa"/>
          </w:tcPr>
          <w:p w14:paraId="66917C70" w14:textId="77777777" w:rsidR="00DE4C4B" w:rsidRPr="006A0C4B" w:rsidRDefault="00DE4C4B" w:rsidP="00053196">
            <w:pPr>
              <w:rPr>
                <w:rFonts w:cs="Arial"/>
                <w:sz w:val="22"/>
                <w:szCs w:val="22"/>
              </w:rPr>
            </w:pPr>
          </w:p>
        </w:tc>
        <w:tc>
          <w:tcPr>
            <w:tcW w:w="1701" w:type="dxa"/>
          </w:tcPr>
          <w:p w14:paraId="3F9E64B4" w14:textId="77777777" w:rsidR="00390325" w:rsidRDefault="00DE4C4B" w:rsidP="0071483C">
            <w:pPr>
              <w:jc w:val="right"/>
              <w:rPr>
                <w:rFonts w:cs="Arial"/>
                <w:b/>
                <w:sz w:val="22"/>
                <w:szCs w:val="22"/>
              </w:rPr>
            </w:pPr>
            <w:r w:rsidRPr="006A0C4B">
              <w:rPr>
                <w:rFonts w:cs="Arial"/>
                <w:b/>
                <w:sz w:val="22"/>
                <w:szCs w:val="22"/>
              </w:rPr>
              <w:t>First</w:t>
            </w:r>
          </w:p>
          <w:p w14:paraId="29A5A309" w14:textId="77777777" w:rsidR="00390325" w:rsidRDefault="00652A59" w:rsidP="0071483C">
            <w:pPr>
              <w:jc w:val="right"/>
              <w:rPr>
                <w:rFonts w:cs="Arial"/>
                <w:b/>
                <w:sz w:val="22"/>
                <w:szCs w:val="22"/>
              </w:rPr>
            </w:pPr>
            <w:r w:rsidRPr="006A0C4B">
              <w:rPr>
                <w:rFonts w:cs="Arial"/>
                <w:b/>
                <w:sz w:val="22"/>
                <w:szCs w:val="22"/>
              </w:rPr>
              <w:t>carbon budget</w:t>
            </w:r>
          </w:p>
          <w:p w14:paraId="765FB6D8" w14:textId="37C55DA0" w:rsidR="00DE4C4B" w:rsidRPr="006A0C4B" w:rsidRDefault="00DE4C4B" w:rsidP="0071483C">
            <w:pPr>
              <w:jc w:val="right"/>
              <w:rPr>
                <w:rFonts w:cs="Arial"/>
                <w:b/>
                <w:sz w:val="22"/>
                <w:szCs w:val="22"/>
              </w:rPr>
            </w:pPr>
            <w:r w:rsidRPr="006A0C4B">
              <w:rPr>
                <w:rFonts w:cs="Arial"/>
                <w:b/>
                <w:sz w:val="22"/>
                <w:szCs w:val="22"/>
              </w:rPr>
              <w:t>(2008-2012)</w:t>
            </w:r>
          </w:p>
        </w:tc>
        <w:tc>
          <w:tcPr>
            <w:tcW w:w="1418" w:type="dxa"/>
          </w:tcPr>
          <w:p w14:paraId="50F66B5D" w14:textId="0E36E621" w:rsidR="00DE4C4B" w:rsidRPr="006A0C4B" w:rsidRDefault="00DE4C4B" w:rsidP="0071483C">
            <w:pPr>
              <w:jc w:val="right"/>
              <w:rPr>
                <w:rFonts w:cs="Arial"/>
                <w:b/>
                <w:sz w:val="22"/>
                <w:szCs w:val="22"/>
              </w:rPr>
            </w:pPr>
            <w:r w:rsidRPr="006A0C4B">
              <w:rPr>
                <w:rFonts w:cs="Arial"/>
                <w:b/>
                <w:sz w:val="22"/>
                <w:szCs w:val="22"/>
              </w:rPr>
              <w:t xml:space="preserve">Second </w:t>
            </w:r>
            <w:r w:rsidR="00652A59" w:rsidRPr="006A0C4B">
              <w:rPr>
                <w:rFonts w:cs="Arial"/>
                <w:b/>
                <w:sz w:val="22"/>
                <w:szCs w:val="22"/>
              </w:rPr>
              <w:t>carbon budget</w:t>
            </w:r>
            <w:r w:rsidRPr="006A0C4B">
              <w:rPr>
                <w:rFonts w:cs="Arial"/>
                <w:b/>
                <w:sz w:val="22"/>
                <w:szCs w:val="22"/>
              </w:rPr>
              <w:t xml:space="preserve"> (2013-2017)</w:t>
            </w:r>
          </w:p>
        </w:tc>
        <w:tc>
          <w:tcPr>
            <w:tcW w:w="1559" w:type="dxa"/>
          </w:tcPr>
          <w:p w14:paraId="1881A209" w14:textId="6B273436" w:rsidR="00DE4C4B" w:rsidRPr="006A0C4B" w:rsidRDefault="00DE4C4B" w:rsidP="0071483C">
            <w:pPr>
              <w:jc w:val="right"/>
              <w:rPr>
                <w:rFonts w:cs="Arial"/>
                <w:b/>
                <w:sz w:val="22"/>
                <w:szCs w:val="22"/>
              </w:rPr>
            </w:pPr>
            <w:r w:rsidRPr="006A0C4B">
              <w:rPr>
                <w:rFonts w:cs="Arial"/>
                <w:b/>
                <w:sz w:val="22"/>
                <w:szCs w:val="22"/>
              </w:rPr>
              <w:t xml:space="preserve">Third </w:t>
            </w:r>
            <w:r w:rsidR="00652A59" w:rsidRPr="006A0C4B">
              <w:rPr>
                <w:rFonts w:cs="Arial"/>
                <w:b/>
                <w:sz w:val="22"/>
                <w:szCs w:val="22"/>
              </w:rPr>
              <w:t>carbon budget</w:t>
            </w:r>
            <w:r w:rsidRPr="006A0C4B">
              <w:rPr>
                <w:rFonts w:cs="Arial"/>
                <w:b/>
                <w:sz w:val="22"/>
                <w:szCs w:val="22"/>
              </w:rPr>
              <w:t xml:space="preserve"> (2018-2022)</w:t>
            </w:r>
          </w:p>
        </w:tc>
        <w:tc>
          <w:tcPr>
            <w:tcW w:w="1418" w:type="dxa"/>
          </w:tcPr>
          <w:p w14:paraId="4031DF2E" w14:textId="5A0AEC9C" w:rsidR="00DE4C4B" w:rsidRPr="006A0C4B" w:rsidRDefault="00DE4C4B" w:rsidP="0071483C">
            <w:pPr>
              <w:jc w:val="right"/>
              <w:rPr>
                <w:rFonts w:cs="Arial"/>
                <w:b/>
                <w:sz w:val="22"/>
                <w:szCs w:val="22"/>
              </w:rPr>
            </w:pPr>
            <w:r w:rsidRPr="006A0C4B">
              <w:rPr>
                <w:rFonts w:cs="Arial"/>
                <w:b/>
                <w:sz w:val="22"/>
                <w:szCs w:val="22"/>
              </w:rPr>
              <w:t xml:space="preserve">Fourth </w:t>
            </w:r>
            <w:r w:rsidR="00652A59" w:rsidRPr="006A0C4B">
              <w:rPr>
                <w:rFonts w:cs="Arial"/>
                <w:b/>
                <w:sz w:val="22"/>
                <w:szCs w:val="22"/>
              </w:rPr>
              <w:t>carbon budget</w:t>
            </w:r>
            <w:r w:rsidRPr="006A0C4B">
              <w:rPr>
                <w:rFonts w:cs="Arial"/>
                <w:b/>
                <w:sz w:val="22"/>
                <w:szCs w:val="22"/>
              </w:rPr>
              <w:t xml:space="preserve"> (2023-2027)</w:t>
            </w:r>
          </w:p>
        </w:tc>
        <w:tc>
          <w:tcPr>
            <w:tcW w:w="1701" w:type="dxa"/>
          </w:tcPr>
          <w:p w14:paraId="214FA6F4" w14:textId="77777777" w:rsidR="00390325" w:rsidRDefault="00DE4C4B" w:rsidP="0071483C">
            <w:pPr>
              <w:jc w:val="right"/>
              <w:rPr>
                <w:rFonts w:cs="Arial"/>
                <w:b/>
                <w:sz w:val="22"/>
                <w:szCs w:val="22"/>
              </w:rPr>
            </w:pPr>
            <w:r w:rsidRPr="006A0C4B">
              <w:rPr>
                <w:rFonts w:cs="Arial"/>
                <w:b/>
                <w:sz w:val="22"/>
                <w:szCs w:val="22"/>
              </w:rPr>
              <w:t xml:space="preserve">Fifth </w:t>
            </w:r>
          </w:p>
          <w:p w14:paraId="5A30D518" w14:textId="77777777" w:rsidR="00390325" w:rsidRDefault="00652A59" w:rsidP="0071483C">
            <w:pPr>
              <w:jc w:val="right"/>
              <w:rPr>
                <w:rFonts w:cs="Arial"/>
                <w:b/>
                <w:sz w:val="22"/>
                <w:szCs w:val="22"/>
              </w:rPr>
            </w:pPr>
            <w:r w:rsidRPr="006A0C4B">
              <w:rPr>
                <w:rFonts w:cs="Arial"/>
                <w:b/>
                <w:sz w:val="22"/>
                <w:szCs w:val="22"/>
              </w:rPr>
              <w:t>carbon budget</w:t>
            </w:r>
          </w:p>
          <w:p w14:paraId="544BAC1F" w14:textId="1DF4FA3E" w:rsidR="00DE4C4B" w:rsidRPr="006A0C4B" w:rsidRDefault="00DE4C4B" w:rsidP="0071483C">
            <w:pPr>
              <w:jc w:val="right"/>
              <w:rPr>
                <w:rFonts w:cs="Arial"/>
                <w:b/>
                <w:sz w:val="22"/>
                <w:szCs w:val="22"/>
              </w:rPr>
            </w:pPr>
            <w:r w:rsidRPr="006A0C4B">
              <w:rPr>
                <w:rFonts w:cs="Arial"/>
                <w:b/>
                <w:sz w:val="22"/>
                <w:szCs w:val="22"/>
              </w:rPr>
              <w:t>(2028-2032)</w:t>
            </w:r>
          </w:p>
        </w:tc>
      </w:tr>
      <w:tr w:rsidR="00DE4C4B" w14:paraId="1D5CDEB7" w14:textId="77777777" w:rsidTr="00390325">
        <w:tc>
          <w:tcPr>
            <w:tcW w:w="2126" w:type="dxa"/>
          </w:tcPr>
          <w:p w14:paraId="69BD50D9" w14:textId="2E3656F4" w:rsidR="00DE4C4B" w:rsidRPr="006A0C4B" w:rsidRDefault="00DE4C4B" w:rsidP="00053196">
            <w:pPr>
              <w:autoSpaceDE w:val="0"/>
              <w:autoSpaceDN w:val="0"/>
              <w:adjustRightInd w:val="0"/>
              <w:rPr>
                <w:rFonts w:cs="Arial"/>
                <w:b/>
                <w:sz w:val="22"/>
                <w:szCs w:val="22"/>
              </w:rPr>
            </w:pPr>
            <w:r w:rsidRPr="006A0C4B">
              <w:rPr>
                <w:rFonts w:cs="Arial"/>
                <w:b/>
                <w:sz w:val="22"/>
                <w:szCs w:val="22"/>
              </w:rPr>
              <w:t xml:space="preserve">Legislated </w:t>
            </w:r>
            <w:r w:rsidR="00652A59" w:rsidRPr="006A0C4B">
              <w:rPr>
                <w:rFonts w:cs="Arial"/>
                <w:b/>
                <w:sz w:val="22"/>
                <w:szCs w:val="22"/>
              </w:rPr>
              <w:t>carbon</w:t>
            </w:r>
          </w:p>
          <w:p w14:paraId="1ED39171" w14:textId="75B29DB0" w:rsidR="00DE4C4B" w:rsidRPr="006A0C4B" w:rsidRDefault="00652A59" w:rsidP="00053196">
            <w:pPr>
              <w:rPr>
                <w:rFonts w:cs="Arial"/>
                <w:sz w:val="22"/>
                <w:szCs w:val="22"/>
              </w:rPr>
            </w:pPr>
            <w:r w:rsidRPr="006A0C4B">
              <w:rPr>
                <w:rFonts w:cs="Arial"/>
                <w:b/>
                <w:sz w:val="22"/>
                <w:szCs w:val="22"/>
              </w:rPr>
              <w:t xml:space="preserve">budgets </w:t>
            </w:r>
            <w:r w:rsidR="00DE4C4B" w:rsidRPr="006A0C4B">
              <w:rPr>
                <w:rFonts w:cs="Arial"/>
                <w:b/>
                <w:sz w:val="22"/>
                <w:szCs w:val="22"/>
              </w:rPr>
              <w:t>(MtCO</w:t>
            </w:r>
            <w:r w:rsidR="00DE4C4B" w:rsidRPr="006A0C4B">
              <w:rPr>
                <w:rFonts w:cs="Arial"/>
                <w:b/>
                <w:sz w:val="22"/>
                <w:szCs w:val="22"/>
                <w:vertAlign w:val="subscript"/>
              </w:rPr>
              <w:t>2</w:t>
            </w:r>
            <w:r w:rsidR="00DE4C4B" w:rsidRPr="006A0C4B">
              <w:rPr>
                <w:rFonts w:cs="Arial"/>
                <w:b/>
                <w:sz w:val="22"/>
                <w:szCs w:val="22"/>
              </w:rPr>
              <w:t>e)</w:t>
            </w:r>
          </w:p>
        </w:tc>
        <w:tc>
          <w:tcPr>
            <w:tcW w:w="1701" w:type="dxa"/>
          </w:tcPr>
          <w:p w14:paraId="357F5226" w14:textId="7B2D5040" w:rsidR="00DE4C4B" w:rsidRPr="006A0C4B" w:rsidRDefault="00DE4C4B" w:rsidP="00BC0BDB">
            <w:pPr>
              <w:ind w:right="113"/>
              <w:jc w:val="right"/>
              <w:rPr>
                <w:rFonts w:cs="Arial"/>
                <w:sz w:val="22"/>
                <w:szCs w:val="22"/>
              </w:rPr>
            </w:pPr>
            <w:r w:rsidRPr="006A0C4B">
              <w:rPr>
                <w:rFonts w:cs="Arial"/>
                <w:sz w:val="22"/>
                <w:szCs w:val="22"/>
              </w:rPr>
              <w:t>3,018</w:t>
            </w:r>
          </w:p>
        </w:tc>
        <w:tc>
          <w:tcPr>
            <w:tcW w:w="1418" w:type="dxa"/>
          </w:tcPr>
          <w:p w14:paraId="707F5B30" w14:textId="146C958C" w:rsidR="00DE4C4B" w:rsidRPr="006A0C4B" w:rsidRDefault="00DE4C4B" w:rsidP="00BC0BDB">
            <w:pPr>
              <w:ind w:right="113"/>
              <w:jc w:val="right"/>
              <w:rPr>
                <w:rFonts w:cs="Arial"/>
                <w:sz w:val="22"/>
                <w:szCs w:val="22"/>
              </w:rPr>
            </w:pPr>
            <w:r w:rsidRPr="006A0C4B">
              <w:rPr>
                <w:rFonts w:cs="Arial"/>
                <w:sz w:val="22"/>
                <w:szCs w:val="22"/>
              </w:rPr>
              <w:t>2,782</w:t>
            </w:r>
          </w:p>
        </w:tc>
        <w:tc>
          <w:tcPr>
            <w:tcW w:w="1559" w:type="dxa"/>
          </w:tcPr>
          <w:p w14:paraId="60DA230B" w14:textId="24B1DDB9" w:rsidR="00DE4C4B" w:rsidRPr="006A0C4B" w:rsidRDefault="00DE4C4B" w:rsidP="00BC0BDB">
            <w:pPr>
              <w:ind w:right="113"/>
              <w:jc w:val="right"/>
              <w:rPr>
                <w:rFonts w:cs="Arial"/>
                <w:sz w:val="22"/>
                <w:szCs w:val="22"/>
              </w:rPr>
            </w:pPr>
            <w:r w:rsidRPr="006A0C4B">
              <w:rPr>
                <w:rFonts w:cs="Arial"/>
                <w:sz w:val="22"/>
                <w:szCs w:val="22"/>
              </w:rPr>
              <w:t>2,544</w:t>
            </w:r>
          </w:p>
        </w:tc>
        <w:tc>
          <w:tcPr>
            <w:tcW w:w="1418" w:type="dxa"/>
          </w:tcPr>
          <w:p w14:paraId="2B7F3856" w14:textId="5693CF15" w:rsidR="00DE4C4B" w:rsidRPr="006A0C4B" w:rsidRDefault="00DE4C4B" w:rsidP="00BC0BDB">
            <w:pPr>
              <w:ind w:right="113"/>
              <w:jc w:val="right"/>
              <w:rPr>
                <w:rFonts w:cs="Arial"/>
                <w:sz w:val="22"/>
                <w:szCs w:val="22"/>
              </w:rPr>
            </w:pPr>
            <w:r w:rsidRPr="006A0C4B">
              <w:rPr>
                <w:rFonts w:cs="Arial"/>
                <w:sz w:val="22"/>
                <w:szCs w:val="22"/>
              </w:rPr>
              <w:t>1,950</w:t>
            </w:r>
          </w:p>
        </w:tc>
        <w:tc>
          <w:tcPr>
            <w:tcW w:w="1701" w:type="dxa"/>
          </w:tcPr>
          <w:p w14:paraId="4AA0FED4" w14:textId="7F7C4067" w:rsidR="00DE4C4B" w:rsidRPr="006A0C4B" w:rsidRDefault="00DE4C4B" w:rsidP="00BC0BDB">
            <w:pPr>
              <w:ind w:right="113"/>
              <w:jc w:val="right"/>
              <w:rPr>
                <w:rFonts w:cs="Arial"/>
                <w:sz w:val="22"/>
                <w:szCs w:val="22"/>
              </w:rPr>
            </w:pPr>
            <w:r w:rsidRPr="006A0C4B">
              <w:rPr>
                <w:rFonts w:cs="Arial"/>
                <w:sz w:val="22"/>
                <w:szCs w:val="22"/>
              </w:rPr>
              <w:t>1,725</w:t>
            </w:r>
          </w:p>
        </w:tc>
      </w:tr>
      <w:tr w:rsidR="00DE4C4B" w14:paraId="0DF0DEBD" w14:textId="77777777" w:rsidTr="00390325">
        <w:tc>
          <w:tcPr>
            <w:tcW w:w="2126" w:type="dxa"/>
          </w:tcPr>
          <w:p w14:paraId="0ED8C1D7" w14:textId="77777777" w:rsidR="00DE4C4B" w:rsidRPr="006A0C4B" w:rsidRDefault="00DE4C4B" w:rsidP="00053196">
            <w:pPr>
              <w:autoSpaceDE w:val="0"/>
              <w:autoSpaceDN w:val="0"/>
              <w:adjustRightInd w:val="0"/>
              <w:rPr>
                <w:rFonts w:cs="Arial"/>
                <w:b/>
                <w:sz w:val="22"/>
                <w:szCs w:val="22"/>
              </w:rPr>
            </w:pPr>
            <w:r w:rsidRPr="006A0C4B">
              <w:rPr>
                <w:rFonts w:cs="Arial"/>
                <w:b/>
                <w:sz w:val="22"/>
                <w:szCs w:val="22"/>
              </w:rPr>
              <w:t>Equivalent percentage</w:t>
            </w:r>
          </w:p>
          <w:p w14:paraId="2C9100CA" w14:textId="1397817D" w:rsidR="00DE4C4B" w:rsidRPr="006A0C4B" w:rsidRDefault="288C0819" w:rsidP="00053196">
            <w:pPr>
              <w:autoSpaceDE w:val="0"/>
              <w:autoSpaceDN w:val="0"/>
              <w:adjustRightInd w:val="0"/>
              <w:rPr>
                <w:rFonts w:cs="Arial"/>
                <w:sz w:val="22"/>
                <w:szCs w:val="22"/>
              </w:rPr>
            </w:pPr>
            <w:r w:rsidRPr="006A0C4B">
              <w:rPr>
                <w:rFonts w:cs="Arial"/>
                <w:b/>
                <w:sz w:val="22"/>
                <w:szCs w:val="22"/>
              </w:rPr>
              <w:t>reduction from 1990</w:t>
            </w:r>
            <w:r w:rsidR="46BC8667" w:rsidRPr="006A0C4B">
              <w:rPr>
                <w:rFonts w:cs="Arial"/>
                <w:b/>
                <w:sz w:val="22"/>
                <w:szCs w:val="22"/>
              </w:rPr>
              <w:t xml:space="preserve"> levels</w:t>
            </w:r>
            <w:r w:rsidR="00F05AEA" w:rsidRPr="00BB0A17">
              <w:rPr>
                <w:rStyle w:val="FootnoteReference"/>
                <w:rFonts w:cs="Arial"/>
                <w:b/>
                <w:szCs w:val="22"/>
              </w:rPr>
              <w:footnoteReference w:id="6"/>
            </w:r>
          </w:p>
        </w:tc>
        <w:tc>
          <w:tcPr>
            <w:tcW w:w="1701" w:type="dxa"/>
          </w:tcPr>
          <w:p w14:paraId="51D81B40" w14:textId="60585AFA" w:rsidR="00DE4C4B" w:rsidRPr="006A0C4B" w:rsidRDefault="288C0819" w:rsidP="00861D79">
            <w:pPr>
              <w:ind w:right="113"/>
              <w:jc w:val="right"/>
              <w:rPr>
                <w:rFonts w:cs="Arial"/>
                <w:sz w:val="22"/>
                <w:szCs w:val="22"/>
              </w:rPr>
            </w:pPr>
            <w:r w:rsidRPr="006A0C4B">
              <w:rPr>
                <w:rFonts w:cs="Arial"/>
                <w:sz w:val="22"/>
                <w:szCs w:val="22"/>
              </w:rPr>
              <w:t>2</w:t>
            </w:r>
            <w:r w:rsidR="24A9A2E1" w:rsidRPr="006A0C4B">
              <w:rPr>
                <w:rFonts w:cs="Arial"/>
                <w:sz w:val="22"/>
                <w:szCs w:val="22"/>
              </w:rPr>
              <w:t>6</w:t>
            </w:r>
            <w:r w:rsidRPr="006A0C4B">
              <w:rPr>
                <w:rFonts w:cs="Arial"/>
                <w:sz w:val="22"/>
                <w:szCs w:val="22"/>
              </w:rPr>
              <w:t>%</w:t>
            </w:r>
          </w:p>
        </w:tc>
        <w:tc>
          <w:tcPr>
            <w:tcW w:w="1418" w:type="dxa"/>
          </w:tcPr>
          <w:p w14:paraId="6A9A463B" w14:textId="38A71458" w:rsidR="00DE4C4B" w:rsidRPr="006A0C4B" w:rsidRDefault="288C0819" w:rsidP="00861D79">
            <w:pPr>
              <w:ind w:right="113"/>
              <w:jc w:val="right"/>
              <w:rPr>
                <w:rFonts w:cs="Arial"/>
                <w:sz w:val="22"/>
                <w:szCs w:val="22"/>
              </w:rPr>
            </w:pPr>
            <w:r w:rsidRPr="006A0C4B">
              <w:rPr>
                <w:rFonts w:cs="Arial"/>
                <w:sz w:val="22"/>
                <w:szCs w:val="22"/>
              </w:rPr>
              <w:t>3</w:t>
            </w:r>
            <w:r w:rsidR="4060A4BF" w:rsidRPr="006A0C4B">
              <w:rPr>
                <w:rFonts w:cs="Arial"/>
                <w:sz w:val="22"/>
                <w:szCs w:val="22"/>
              </w:rPr>
              <w:t>1</w:t>
            </w:r>
            <w:r w:rsidRPr="006A0C4B">
              <w:rPr>
                <w:rFonts w:cs="Arial"/>
                <w:sz w:val="22"/>
                <w:szCs w:val="22"/>
              </w:rPr>
              <w:t>%</w:t>
            </w:r>
          </w:p>
        </w:tc>
        <w:tc>
          <w:tcPr>
            <w:tcW w:w="1559" w:type="dxa"/>
          </w:tcPr>
          <w:p w14:paraId="3B85396C" w14:textId="7CC4408B" w:rsidR="00DE4C4B" w:rsidRPr="006A0C4B" w:rsidRDefault="288C0819" w:rsidP="00861D79">
            <w:pPr>
              <w:ind w:right="113"/>
              <w:jc w:val="right"/>
              <w:rPr>
                <w:rFonts w:cs="Arial"/>
                <w:sz w:val="22"/>
                <w:szCs w:val="22"/>
              </w:rPr>
            </w:pPr>
            <w:r w:rsidRPr="006A0C4B">
              <w:rPr>
                <w:rFonts w:cs="Arial"/>
                <w:sz w:val="22"/>
                <w:szCs w:val="22"/>
              </w:rPr>
              <w:t>3</w:t>
            </w:r>
            <w:r w:rsidR="4E257A98" w:rsidRPr="006A0C4B">
              <w:rPr>
                <w:rFonts w:cs="Arial"/>
                <w:sz w:val="22"/>
                <w:szCs w:val="22"/>
              </w:rPr>
              <w:t>7</w:t>
            </w:r>
            <w:r w:rsidRPr="006A0C4B">
              <w:rPr>
                <w:rFonts w:cs="Arial"/>
                <w:sz w:val="22"/>
                <w:szCs w:val="22"/>
              </w:rPr>
              <w:t>%</w:t>
            </w:r>
          </w:p>
        </w:tc>
        <w:tc>
          <w:tcPr>
            <w:tcW w:w="1418" w:type="dxa"/>
          </w:tcPr>
          <w:p w14:paraId="00F8C4F9" w14:textId="0FED06C4" w:rsidR="00DE4C4B" w:rsidRPr="006A0C4B" w:rsidRDefault="288C0819" w:rsidP="00861D79">
            <w:pPr>
              <w:ind w:right="113"/>
              <w:jc w:val="right"/>
              <w:rPr>
                <w:rFonts w:cs="Arial"/>
                <w:sz w:val="22"/>
                <w:szCs w:val="22"/>
              </w:rPr>
            </w:pPr>
            <w:r w:rsidRPr="006A0C4B">
              <w:rPr>
                <w:rFonts w:cs="Arial"/>
                <w:sz w:val="22"/>
                <w:szCs w:val="22"/>
              </w:rPr>
              <w:t>5</w:t>
            </w:r>
            <w:r w:rsidR="180DB08D" w:rsidRPr="006A0C4B">
              <w:rPr>
                <w:rFonts w:cs="Arial"/>
                <w:sz w:val="22"/>
                <w:szCs w:val="22"/>
              </w:rPr>
              <w:t>2</w:t>
            </w:r>
            <w:r w:rsidRPr="006A0C4B">
              <w:rPr>
                <w:rFonts w:cs="Arial"/>
                <w:sz w:val="22"/>
                <w:szCs w:val="22"/>
              </w:rPr>
              <w:t>%</w:t>
            </w:r>
          </w:p>
        </w:tc>
        <w:tc>
          <w:tcPr>
            <w:tcW w:w="1701" w:type="dxa"/>
          </w:tcPr>
          <w:p w14:paraId="62A924AD" w14:textId="132940D5" w:rsidR="00DE4C4B" w:rsidRPr="006A0C4B" w:rsidRDefault="312E6EE9" w:rsidP="00861D79">
            <w:pPr>
              <w:ind w:right="113"/>
              <w:jc w:val="right"/>
              <w:rPr>
                <w:rFonts w:cs="Arial"/>
                <w:sz w:val="22"/>
                <w:szCs w:val="22"/>
              </w:rPr>
            </w:pPr>
            <w:r w:rsidRPr="006A0C4B">
              <w:rPr>
                <w:rFonts w:cs="Arial"/>
                <w:sz w:val="22"/>
                <w:szCs w:val="22"/>
              </w:rPr>
              <w:t>5</w:t>
            </w:r>
            <w:r w:rsidR="5A6D7D96" w:rsidRPr="006A0C4B">
              <w:rPr>
                <w:rFonts w:cs="Arial"/>
                <w:sz w:val="22"/>
                <w:szCs w:val="22"/>
              </w:rPr>
              <w:t>8</w:t>
            </w:r>
            <w:r w:rsidRPr="006A0C4B">
              <w:rPr>
                <w:rFonts w:cs="Arial"/>
                <w:sz w:val="22"/>
                <w:szCs w:val="22"/>
              </w:rPr>
              <w:t>%</w:t>
            </w:r>
          </w:p>
        </w:tc>
      </w:tr>
    </w:tbl>
    <w:p w14:paraId="3A548729" w14:textId="696F7724" w:rsidR="00EC0822" w:rsidRPr="006A50A8" w:rsidRDefault="00EC0822" w:rsidP="00390325">
      <w:pPr>
        <w:pStyle w:val="Heading4"/>
        <w:spacing w:after="200"/>
        <w:rPr>
          <w:szCs w:val="24"/>
        </w:rPr>
      </w:pPr>
      <w:r w:rsidRPr="006A50A8">
        <w:rPr>
          <w:szCs w:val="24"/>
        </w:rPr>
        <w:lastRenderedPageBreak/>
        <w:t>Policy objective</w:t>
      </w:r>
    </w:p>
    <w:p w14:paraId="1EE175C3" w14:textId="315191C8" w:rsidR="00602A67" w:rsidRPr="00551E51" w:rsidRDefault="00EC0822" w:rsidP="009229B3">
      <w:pPr>
        <w:pStyle w:val="Numberedparagraphs"/>
      </w:pPr>
      <w:r w:rsidRPr="00551E51">
        <w:t xml:space="preserve">There is overwhelming scientific consensus that we are living with the effects of significant global climate change, driven predominantly by </w:t>
      </w:r>
      <w:r w:rsidR="007F5610" w:rsidRPr="00551E51">
        <w:t>anthropogenic</w:t>
      </w:r>
      <w:r w:rsidRPr="00551E51">
        <w:t xml:space="preserve"> GHG emissions</w:t>
      </w:r>
      <w:r w:rsidR="00C66D1B" w:rsidRPr="00551E51">
        <w:t xml:space="preserve">. Unchecked this leads to </w:t>
      </w:r>
      <w:r w:rsidRPr="00551E51">
        <w:t xml:space="preserve">rising temperatures and sea levels, extreme weather, damaged ecosystems, and reduced productivity of crops. Coordinated global action is needed to </w:t>
      </w:r>
      <w:r w:rsidR="00F5583C" w:rsidRPr="00551E51">
        <w:t xml:space="preserve">rapidly </w:t>
      </w:r>
      <w:r w:rsidRPr="00551E51">
        <w:t>reduce GHG</w:t>
      </w:r>
      <w:r w:rsidR="00736F1C" w:rsidRPr="00551E51">
        <w:t xml:space="preserve"> emission</w:t>
      </w:r>
      <w:r w:rsidRPr="00551E51">
        <w:t xml:space="preserve">s and </w:t>
      </w:r>
      <w:r w:rsidR="00F5583C" w:rsidRPr="00551E51">
        <w:t xml:space="preserve">reach net zero, </w:t>
      </w:r>
      <w:r w:rsidRPr="00551E51">
        <w:t>and</w:t>
      </w:r>
      <w:r w:rsidR="00251280" w:rsidRPr="00551E51">
        <w:t xml:space="preserve"> </w:t>
      </w:r>
      <w:r w:rsidR="000304D4" w:rsidRPr="00551E51">
        <w:t xml:space="preserve">so </w:t>
      </w:r>
      <w:r w:rsidRPr="00551E51">
        <w:t>mitigate the potentially catastrophic effects of climate change on the environment and economies across the world</w:t>
      </w:r>
      <w:r w:rsidR="00545A15" w:rsidRPr="00551E51">
        <w:t xml:space="preserve">, while </w:t>
      </w:r>
      <w:r w:rsidR="00C21824" w:rsidRPr="00551E51">
        <w:t>ensuring</w:t>
      </w:r>
      <w:r w:rsidR="00A77841" w:rsidRPr="00551E51">
        <w:t xml:space="preserve"> that action</w:t>
      </w:r>
      <w:r w:rsidR="00ED3A8F" w:rsidRPr="00551E51">
        <w:t xml:space="preserve"> also</w:t>
      </w:r>
      <w:r w:rsidR="00A77841" w:rsidRPr="00551E51">
        <w:t xml:space="preserve"> supports wider</w:t>
      </w:r>
      <w:r w:rsidR="00545A15" w:rsidRPr="00551E51">
        <w:t> </w:t>
      </w:r>
      <w:r w:rsidR="00ED3A8F" w:rsidRPr="00551E51">
        <w:t>e</w:t>
      </w:r>
      <w:r w:rsidR="00C21824" w:rsidRPr="00551E51">
        <w:t>nviron</w:t>
      </w:r>
      <w:r w:rsidR="00ED3A8F" w:rsidRPr="00551E51">
        <w:t>mental sustainability, such as water quality and availability of raw materials</w:t>
      </w:r>
      <w:r w:rsidR="00545A15" w:rsidRPr="00551E51">
        <w:t xml:space="preserve">. </w:t>
      </w:r>
    </w:p>
    <w:p w14:paraId="53F2AC04" w14:textId="073C3F3B" w:rsidR="00EC0822" w:rsidRPr="00D34EC5" w:rsidRDefault="00EC0822" w:rsidP="009229B3">
      <w:pPr>
        <w:pStyle w:val="Numberedparagraphs"/>
      </w:pPr>
      <w:r w:rsidRPr="00551E51">
        <w:t xml:space="preserve">Setting long-term targets to reduce </w:t>
      </w:r>
      <w:r w:rsidR="00736F1C" w:rsidRPr="00551E51">
        <w:t xml:space="preserve">GHG </w:t>
      </w:r>
      <w:r w:rsidRPr="00551E51">
        <w:t>emissions will also help secure long-term economic security and prosperity</w:t>
      </w:r>
      <w:r w:rsidR="006F0399" w:rsidRPr="00551E51">
        <w:t>, globally and in the UK</w:t>
      </w:r>
      <w:r w:rsidRPr="00551E51">
        <w:t xml:space="preserve">. While there is inherent uncertainty </w:t>
      </w:r>
      <w:r w:rsidR="00030A71" w:rsidRPr="00551E51">
        <w:t>around</w:t>
      </w:r>
      <w:r w:rsidRPr="00551E51">
        <w:t xml:space="preserve"> estimates of the long-term impact of climate change, it is clear that </w:t>
      </w:r>
      <w:r w:rsidR="00E827BC" w:rsidRPr="00551E51">
        <w:t xml:space="preserve">at </w:t>
      </w:r>
      <w:r w:rsidRPr="00551E51">
        <w:t xml:space="preserve">the </w:t>
      </w:r>
      <w:r w:rsidR="00E827BC" w:rsidRPr="00551E51">
        <w:t>global level</w:t>
      </w:r>
      <w:r w:rsidRPr="00551E51">
        <w:t xml:space="preserve"> the cost of inaction is much higher than the cost of action</w:t>
      </w:r>
      <w:r w:rsidR="00602A67" w:rsidRPr="00551E51">
        <w:t>,</w:t>
      </w:r>
      <w:r w:rsidR="00644F37" w:rsidRPr="00551E51">
        <w:t xml:space="preserve"> a</w:t>
      </w:r>
      <w:r w:rsidRPr="00551E51">
        <w:t>s set out in the Stern Review</w:t>
      </w:r>
      <w:r w:rsidR="00BC14F8" w:rsidRPr="00551E51">
        <w:rPr>
          <w:rStyle w:val="FootnoteReference"/>
          <w:i/>
          <w:iCs w:val="0"/>
        </w:rPr>
        <w:footnoteReference w:id="7"/>
      </w:r>
      <w:r w:rsidRPr="00551E51">
        <w:t xml:space="preserve"> and the Impact Assessment for the </w:t>
      </w:r>
      <w:r w:rsidR="00594D86" w:rsidRPr="00551E51">
        <w:t>Climate Change Act</w:t>
      </w:r>
      <w:r w:rsidR="00644F37" w:rsidRPr="00551E51">
        <w:rPr>
          <w:szCs w:val="24"/>
        </w:rPr>
        <w:t xml:space="preserve">. </w:t>
      </w:r>
      <w:r w:rsidRPr="00551E51">
        <w:t xml:space="preserve">GHG emissions </w:t>
      </w:r>
      <w:r w:rsidR="00BC14F8" w:rsidRPr="00551E51">
        <w:t>are a global externality and emitters</w:t>
      </w:r>
      <w:r w:rsidRPr="00551E51">
        <w:t xml:space="preserve"> do not directly face the consequences of their actions or take these consequences</w:t>
      </w:r>
      <w:r w:rsidR="00847328" w:rsidRPr="00551E51">
        <w:t xml:space="preserve"> </w:t>
      </w:r>
      <w:r w:rsidR="00717EF0" w:rsidRPr="00551E51">
        <w:t xml:space="preserve">fully </w:t>
      </w:r>
      <w:r w:rsidRPr="00551E51">
        <w:t xml:space="preserve">into account when taking decisions. This is because climate change is global in both its causes and consequences; its impacts are long-term and persistent; </w:t>
      </w:r>
      <w:r w:rsidR="00BE692B" w:rsidRPr="00551E51">
        <w:t xml:space="preserve">there are </w:t>
      </w:r>
      <w:r w:rsidR="005D7E9E" w:rsidRPr="00551E51">
        <w:t>few</w:t>
      </w:r>
      <w:r w:rsidR="00BE692B" w:rsidRPr="00551E51">
        <w:t xml:space="preserve"> markets for GHG emissions </w:t>
      </w:r>
      <w:r w:rsidRPr="00551E51">
        <w:t xml:space="preserve">and there are substantial uncertainties and risks </w:t>
      </w:r>
      <w:r w:rsidR="00847328" w:rsidRPr="00551E51">
        <w:t>over</w:t>
      </w:r>
      <w:r w:rsidRPr="00551E51">
        <w:t xml:space="preserve"> the</w:t>
      </w:r>
      <w:r w:rsidR="00BE692B" w:rsidRPr="00551E51">
        <w:t>ir</w:t>
      </w:r>
      <w:r w:rsidRPr="00551E51">
        <w:t xml:space="preserve"> economic impacts. As a result, without </w:t>
      </w:r>
      <w:r w:rsidR="00AF1751" w:rsidRPr="00551E51">
        <w:t>g</w:t>
      </w:r>
      <w:r w:rsidR="007C6560" w:rsidRPr="00551E51">
        <w:t>overnment</w:t>
      </w:r>
      <w:r w:rsidRPr="00551E51">
        <w:t xml:space="preserve"> intervention individual efforts to mitigate climate change are unlikely to reduce emissions on a sufficient scale.</w:t>
      </w:r>
      <w:r w:rsidR="00971C44" w:rsidRPr="00551E51">
        <w:br/>
      </w:r>
    </w:p>
    <w:p w14:paraId="66A4C6B9" w14:textId="3C12C23A" w:rsidR="0072671F" w:rsidRPr="006A50A8" w:rsidRDefault="001A2617" w:rsidP="00390325">
      <w:pPr>
        <w:pStyle w:val="Heading3"/>
        <w:spacing w:before="0" w:after="200"/>
        <w:rPr>
          <w:sz w:val="28"/>
          <w:szCs w:val="28"/>
        </w:rPr>
      </w:pPr>
      <w:bookmarkStart w:id="37" w:name="_Toc67051836"/>
      <w:r w:rsidRPr="006A50A8">
        <w:rPr>
          <w:sz w:val="28"/>
          <w:szCs w:val="28"/>
        </w:rPr>
        <w:t>1.</w:t>
      </w:r>
      <w:r w:rsidR="007E6F08" w:rsidRPr="006A50A8">
        <w:rPr>
          <w:sz w:val="28"/>
          <w:szCs w:val="28"/>
        </w:rPr>
        <w:t xml:space="preserve">2 </w:t>
      </w:r>
      <w:r w:rsidR="00C017F7" w:rsidRPr="006A50A8">
        <w:rPr>
          <w:sz w:val="28"/>
          <w:szCs w:val="28"/>
        </w:rPr>
        <w:t>Framework for decision</w:t>
      </w:r>
      <w:bookmarkEnd w:id="37"/>
    </w:p>
    <w:p w14:paraId="4DDDC241" w14:textId="65497BE7" w:rsidR="006474A1" w:rsidRDefault="0072671F" w:rsidP="005A7000">
      <w:pPr>
        <w:pStyle w:val="Numberedparagraphs"/>
      </w:pPr>
      <w:r w:rsidRPr="00551E51">
        <w:t>This Impact Assessment consider</w:t>
      </w:r>
      <w:r w:rsidR="00424DCC" w:rsidRPr="00551E51">
        <w:t>s</w:t>
      </w:r>
      <w:r w:rsidRPr="00551E51">
        <w:t xml:space="preserve"> four</w:t>
      </w:r>
      <w:r w:rsidR="00527359" w:rsidRPr="00551E51">
        <w:t xml:space="preserve"> levels for the sixth carbon budge</w:t>
      </w:r>
      <w:r w:rsidR="0043161C" w:rsidRPr="00551E51">
        <w:t xml:space="preserve">t, as shown in </w:t>
      </w:r>
      <w:r w:rsidR="00197095" w:rsidRPr="00551E51">
        <w:t xml:space="preserve">table </w:t>
      </w:r>
      <w:r w:rsidR="00644E6A" w:rsidRPr="00551E51">
        <w:t>4</w:t>
      </w:r>
      <w:r w:rsidR="0043161C" w:rsidRPr="00551E51">
        <w:t xml:space="preserve">. </w:t>
      </w:r>
      <w:r w:rsidR="001711DD" w:rsidRPr="00551E51">
        <w:t>Three</w:t>
      </w:r>
      <w:r w:rsidR="0082425A" w:rsidRPr="00551E51">
        <w:t xml:space="preserve"> opti</w:t>
      </w:r>
      <w:r w:rsidR="00A16987" w:rsidRPr="00551E51">
        <w:t xml:space="preserve">ons have been selected </w:t>
      </w:r>
      <w:r w:rsidR="00BC0BDB" w:rsidRPr="00551E51">
        <w:t>to re</w:t>
      </w:r>
      <w:r w:rsidR="00766FB7" w:rsidRPr="00551E51">
        <w:t xml:space="preserve">flect an appropriate range of budget </w:t>
      </w:r>
      <w:r w:rsidR="00856592" w:rsidRPr="00551E51">
        <w:t>levels</w:t>
      </w:r>
      <w:r w:rsidR="00766FB7" w:rsidRPr="00551E51">
        <w:t xml:space="preserve"> that</w:t>
      </w:r>
      <w:r w:rsidR="00CC3D4F" w:rsidRPr="00551E51">
        <w:t xml:space="preserve"> are consistent with the 2030 NDC target and the 2050 Net Zero target. </w:t>
      </w:r>
      <w:r w:rsidR="00D1267B" w:rsidRPr="00551E51">
        <w:t xml:space="preserve">They include </w:t>
      </w:r>
      <w:r w:rsidR="009304A5" w:rsidRPr="00551E51">
        <w:t>the CCC recommended budget level (</w:t>
      </w:r>
      <w:r w:rsidR="00861F58" w:rsidRPr="00551E51">
        <w:t xml:space="preserve">Option </w:t>
      </w:r>
      <w:r w:rsidR="002D6B41" w:rsidRPr="00551E51">
        <w:t>3</w:t>
      </w:r>
      <w:r w:rsidR="00861F58" w:rsidRPr="00551E51">
        <w:t>),</w:t>
      </w:r>
      <w:r w:rsidR="00C2497C" w:rsidRPr="00551E51">
        <w:t xml:space="preserve"> a</w:t>
      </w:r>
      <w:r w:rsidR="00861F58" w:rsidRPr="00551E51">
        <w:t xml:space="preserve"> higher budget </w:t>
      </w:r>
      <w:r w:rsidR="006D161E" w:rsidRPr="00551E51">
        <w:t>level</w:t>
      </w:r>
      <w:r w:rsidR="003347B8" w:rsidRPr="00551E51">
        <w:t xml:space="preserve"> (Option </w:t>
      </w:r>
      <w:r w:rsidR="002D6B41" w:rsidRPr="00551E51">
        <w:t>2)</w:t>
      </w:r>
      <w:r w:rsidR="00861F58" w:rsidRPr="00551E51">
        <w:t xml:space="preserve"> that</w:t>
      </w:r>
      <w:r w:rsidR="002B3E14" w:rsidRPr="00551E51">
        <w:t xml:space="preserve"> is in line with</w:t>
      </w:r>
      <w:r w:rsidR="00861F58" w:rsidRPr="00551E51">
        <w:t xml:space="preserve"> </w:t>
      </w:r>
      <w:r w:rsidR="00B01ACF" w:rsidRPr="00551E51">
        <w:t>the CCC</w:t>
      </w:r>
      <w:r w:rsidR="00C5676E" w:rsidRPr="00551E51">
        <w:t>’s</w:t>
      </w:r>
      <w:r w:rsidR="00B01ACF" w:rsidRPr="00551E51">
        <w:t xml:space="preserve"> </w:t>
      </w:r>
      <w:r w:rsidR="004B1329" w:rsidRPr="00551E51">
        <w:t>‘h</w:t>
      </w:r>
      <w:r w:rsidR="00B01ACF" w:rsidRPr="00551E51">
        <w:t>eadwinds</w:t>
      </w:r>
      <w:r w:rsidR="004B1329" w:rsidRPr="00551E51">
        <w:t>’</w:t>
      </w:r>
      <w:r w:rsidR="00C2497C" w:rsidRPr="00551E51">
        <w:t xml:space="preserve"> </w:t>
      </w:r>
      <w:r w:rsidR="00C5676E" w:rsidRPr="00551E51">
        <w:t xml:space="preserve">scenario </w:t>
      </w:r>
      <w:r w:rsidR="00C2497C" w:rsidRPr="00551E51">
        <w:t>and</w:t>
      </w:r>
      <w:r w:rsidR="000C484D" w:rsidRPr="00551E51">
        <w:t xml:space="preserve"> a lower budget </w:t>
      </w:r>
      <w:r w:rsidR="00274726" w:rsidRPr="00551E51">
        <w:t>level</w:t>
      </w:r>
      <w:r w:rsidR="000C484D" w:rsidRPr="00551E51">
        <w:t xml:space="preserve"> that is in line with the CCC’s </w:t>
      </w:r>
      <w:r w:rsidR="004B1329" w:rsidRPr="00551E51">
        <w:t>‘</w:t>
      </w:r>
      <w:r w:rsidR="00841968" w:rsidRPr="00551E51">
        <w:t>widespread innovation</w:t>
      </w:r>
      <w:r w:rsidR="004B1329" w:rsidRPr="00551E51">
        <w:t>’</w:t>
      </w:r>
      <w:r w:rsidR="00841968" w:rsidRPr="00551E51">
        <w:t xml:space="preserve"> scenario (Option </w:t>
      </w:r>
      <w:r w:rsidR="003347B8" w:rsidRPr="00551E51">
        <w:t>4). A</w:t>
      </w:r>
      <w:r w:rsidR="00274726" w:rsidRPr="00551E51">
        <w:t>ll three options are compared to a</w:t>
      </w:r>
      <w:r w:rsidR="008B197E" w:rsidRPr="00551E51">
        <w:t xml:space="preserve"> ‘do-nothing</w:t>
      </w:r>
      <w:r w:rsidR="009304A5" w:rsidRPr="00551E51">
        <w:t xml:space="preserve">’ </w:t>
      </w:r>
      <w:r w:rsidR="009F7F07" w:rsidRPr="00551E51">
        <w:t xml:space="preserve">baseline </w:t>
      </w:r>
      <w:r w:rsidR="00274726" w:rsidRPr="00551E51">
        <w:t>scenario</w:t>
      </w:r>
      <w:r w:rsidR="007F4EE0" w:rsidRPr="00551E51">
        <w:t xml:space="preserve"> based on the latest BEIS</w:t>
      </w:r>
      <w:r w:rsidR="00896EF4" w:rsidRPr="00551E51">
        <w:t xml:space="preserve"> </w:t>
      </w:r>
      <w:r w:rsidR="00BC7CC0" w:rsidRPr="00551E51">
        <w:t xml:space="preserve">energy and </w:t>
      </w:r>
      <w:r w:rsidR="00896EF4" w:rsidRPr="00551E51">
        <w:t xml:space="preserve">emissions projections (see paragraph </w:t>
      </w:r>
      <w:r w:rsidR="00B1682F" w:rsidRPr="00551E51">
        <w:t>33)</w:t>
      </w:r>
      <w:r w:rsidR="009304A5" w:rsidRPr="00551E51">
        <w:t xml:space="preserve"> </w:t>
      </w:r>
      <w:r w:rsidR="003347B8" w:rsidRPr="00551E51">
        <w:t>(Option 1)</w:t>
      </w:r>
      <w:r w:rsidR="00C2497C" w:rsidRPr="00551E51">
        <w:t>.</w:t>
      </w:r>
    </w:p>
    <w:p w14:paraId="54F05C97" w14:textId="4A1B96B6" w:rsidR="005C5B25" w:rsidRPr="00390325" w:rsidRDefault="006E045D" w:rsidP="00E96DA4">
      <w:pPr>
        <w:pStyle w:val="Caption"/>
        <w:keepNext/>
        <w:spacing w:after="160"/>
        <w:rPr>
          <w:color w:val="auto"/>
          <w:sz w:val="24"/>
          <w:szCs w:val="24"/>
        </w:rPr>
      </w:pPr>
      <w:bookmarkStart w:id="38" w:name="_Ref60906978"/>
      <w:bookmarkStart w:id="39" w:name="_Ref60906972"/>
      <w:r w:rsidRPr="007B2C0A">
        <w:rPr>
          <w:color w:val="auto"/>
          <w:sz w:val="24"/>
          <w:szCs w:val="24"/>
        </w:rPr>
        <w:t xml:space="preserve">Table </w:t>
      </w:r>
      <w:bookmarkEnd w:id="38"/>
      <w:r w:rsidR="00644E6A">
        <w:rPr>
          <w:color w:val="auto"/>
          <w:sz w:val="24"/>
          <w:szCs w:val="24"/>
        </w:rPr>
        <w:t>4</w:t>
      </w:r>
      <w:r w:rsidR="00971C44">
        <w:rPr>
          <w:color w:val="auto"/>
          <w:sz w:val="24"/>
          <w:szCs w:val="24"/>
        </w:rPr>
        <w:t>:</w:t>
      </w:r>
      <w:r w:rsidR="00971C44" w:rsidRPr="007B2C0A">
        <w:rPr>
          <w:color w:val="auto"/>
          <w:sz w:val="24"/>
          <w:szCs w:val="24"/>
        </w:rPr>
        <w:t xml:space="preserve"> </w:t>
      </w:r>
      <w:r w:rsidRPr="007B2C0A">
        <w:rPr>
          <w:color w:val="auto"/>
          <w:sz w:val="24"/>
          <w:szCs w:val="24"/>
        </w:rPr>
        <w:t xml:space="preserve">Shortlisted </w:t>
      </w:r>
      <w:r w:rsidR="00BF7C0A" w:rsidRPr="007B2C0A">
        <w:rPr>
          <w:color w:val="auto"/>
          <w:sz w:val="24"/>
          <w:szCs w:val="24"/>
        </w:rPr>
        <w:t>sixth carbon budget</w:t>
      </w:r>
      <w:r w:rsidRPr="007B2C0A">
        <w:rPr>
          <w:color w:val="auto"/>
          <w:sz w:val="24"/>
          <w:szCs w:val="24"/>
        </w:rPr>
        <w:t xml:space="preserve"> level options</w:t>
      </w:r>
      <w:bookmarkEnd w:id="39"/>
    </w:p>
    <w:tbl>
      <w:tblPr>
        <w:tblStyle w:val="TableGrid"/>
        <w:tblW w:w="9781" w:type="dxa"/>
        <w:tblInd w:w="137" w:type="dxa"/>
        <w:tblLook w:val="04A0" w:firstRow="1" w:lastRow="0" w:firstColumn="1" w:lastColumn="0" w:noHBand="0" w:noVBand="1"/>
      </w:tblPr>
      <w:tblGrid>
        <w:gridCol w:w="1134"/>
        <w:gridCol w:w="4111"/>
        <w:gridCol w:w="2410"/>
        <w:gridCol w:w="2126"/>
      </w:tblGrid>
      <w:tr w:rsidR="00B5116B" w:rsidRPr="001C4454" w14:paraId="780731F7" w14:textId="77777777" w:rsidTr="008A1039">
        <w:trPr>
          <w:trHeight w:val="606"/>
        </w:trPr>
        <w:tc>
          <w:tcPr>
            <w:tcW w:w="1134" w:type="dxa"/>
          </w:tcPr>
          <w:p w14:paraId="673BD167" w14:textId="77777777" w:rsidR="00B5116B" w:rsidRPr="00A85DC4" w:rsidRDefault="00B5116B" w:rsidP="00E96DA4">
            <w:pPr>
              <w:spacing w:before="20" w:after="20" w:line="259" w:lineRule="auto"/>
              <w:rPr>
                <w:rFonts w:eastAsia="Calibri" w:cs="Arial"/>
                <w:color w:val="000000"/>
                <w:sz w:val="22"/>
                <w:szCs w:val="22"/>
                <w:lang w:eastAsia="en-US"/>
              </w:rPr>
            </w:pPr>
          </w:p>
        </w:tc>
        <w:tc>
          <w:tcPr>
            <w:tcW w:w="4111" w:type="dxa"/>
          </w:tcPr>
          <w:p w14:paraId="7CDD5C64" w14:textId="77777777" w:rsidR="00B5116B" w:rsidRPr="00A85DC4" w:rsidRDefault="00B5116B" w:rsidP="003D37DD">
            <w:pPr>
              <w:spacing w:line="259" w:lineRule="auto"/>
              <w:rPr>
                <w:rFonts w:eastAsia="Calibri" w:cs="Arial"/>
                <w:b/>
                <w:color w:val="000000"/>
                <w:sz w:val="22"/>
                <w:szCs w:val="22"/>
                <w:lang w:eastAsia="en-US"/>
              </w:rPr>
            </w:pPr>
            <w:r w:rsidRPr="00A85DC4">
              <w:rPr>
                <w:rFonts w:eastAsia="Calibri" w:cs="Arial"/>
                <w:b/>
                <w:color w:val="000000"/>
                <w:sz w:val="22"/>
                <w:szCs w:val="22"/>
                <w:lang w:eastAsia="en-US"/>
              </w:rPr>
              <w:t>Description</w:t>
            </w:r>
          </w:p>
        </w:tc>
        <w:tc>
          <w:tcPr>
            <w:tcW w:w="2410" w:type="dxa"/>
          </w:tcPr>
          <w:p w14:paraId="532E71D2" w14:textId="77777777" w:rsidR="00B5116B" w:rsidRPr="00A85DC4" w:rsidRDefault="00B5116B" w:rsidP="003D37DD">
            <w:pPr>
              <w:spacing w:line="259" w:lineRule="auto"/>
              <w:rPr>
                <w:rFonts w:eastAsia="Calibri" w:cs="Arial"/>
                <w:b/>
                <w:color w:val="000000"/>
                <w:sz w:val="22"/>
                <w:szCs w:val="22"/>
                <w:lang w:eastAsia="en-US"/>
              </w:rPr>
            </w:pPr>
            <w:r w:rsidRPr="00A85DC4">
              <w:rPr>
                <w:rFonts w:eastAsia="Calibri" w:cs="Arial"/>
                <w:b/>
                <w:color w:val="000000"/>
                <w:sz w:val="22"/>
                <w:szCs w:val="22"/>
                <w:lang w:eastAsia="en-US"/>
              </w:rPr>
              <w:t>Sixth carbon budget level (MtCO</w:t>
            </w:r>
            <w:r w:rsidRPr="006A0C4B">
              <w:rPr>
                <w:rFonts w:eastAsia="Calibri" w:cs="Arial"/>
                <w:b/>
                <w:color w:val="000000"/>
                <w:sz w:val="22"/>
                <w:szCs w:val="22"/>
                <w:vertAlign w:val="subscript"/>
                <w:lang w:eastAsia="en-US"/>
              </w:rPr>
              <w:t>2</w:t>
            </w:r>
            <w:r w:rsidRPr="00A85DC4">
              <w:rPr>
                <w:rFonts w:eastAsia="Calibri" w:cs="Arial"/>
                <w:b/>
                <w:color w:val="000000"/>
                <w:sz w:val="22"/>
                <w:szCs w:val="22"/>
                <w:lang w:eastAsia="en-US"/>
              </w:rPr>
              <w:t>e)</w:t>
            </w:r>
          </w:p>
        </w:tc>
        <w:tc>
          <w:tcPr>
            <w:tcW w:w="2126" w:type="dxa"/>
          </w:tcPr>
          <w:p w14:paraId="37D16B1E" w14:textId="05FB5AC9" w:rsidR="00B5116B" w:rsidRPr="00A85DC4" w:rsidRDefault="00B5116B" w:rsidP="003D37DD">
            <w:pPr>
              <w:spacing w:line="259" w:lineRule="auto"/>
              <w:rPr>
                <w:rFonts w:eastAsia="Calibri" w:cs="Arial"/>
                <w:b/>
                <w:color w:val="000000"/>
                <w:sz w:val="22"/>
                <w:szCs w:val="22"/>
                <w:lang w:eastAsia="en-US"/>
              </w:rPr>
            </w:pPr>
            <w:r w:rsidRPr="00A85DC4">
              <w:rPr>
                <w:rFonts w:eastAsia="Calibri" w:cs="Arial"/>
                <w:b/>
                <w:color w:val="000000"/>
                <w:sz w:val="22"/>
                <w:szCs w:val="22"/>
                <w:lang w:eastAsia="en-US"/>
              </w:rPr>
              <w:t>Reduction in 2035 from 1990</w:t>
            </w:r>
            <w:r w:rsidRPr="00A85DC4">
              <w:rPr>
                <w:rFonts w:eastAsia="Calibri" w:cs="Arial"/>
                <w:b/>
                <w:color w:val="000000"/>
                <w:sz w:val="22"/>
                <w:szCs w:val="22"/>
                <w:vertAlign w:val="superscript"/>
                <w:lang w:eastAsia="en-US"/>
              </w:rPr>
              <w:footnoteReference w:id="8"/>
            </w:r>
          </w:p>
        </w:tc>
      </w:tr>
      <w:tr w:rsidR="00B5116B" w:rsidRPr="001C4454" w14:paraId="64F98B62" w14:textId="77777777" w:rsidTr="008A1039">
        <w:trPr>
          <w:trHeight w:val="598"/>
        </w:trPr>
        <w:tc>
          <w:tcPr>
            <w:tcW w:w="1134" w:type="dxa"/>
          </w:tcPr>
          <w:p w14:paraId="4714C94A" w14:textId="77777777" w:rsidR="00B5116B" w:rsidRPr="00A85DC4" w:rsidRDefault="00B5116B" w:rsidP="00E96DA4">
            <w:pPr>
              <w:spacing w:before="20" w:after="20" w:line="259" w:lineRule="auto"/>
              <w:rPr>
                <w:rFonts w:eastAsia="Calibri" w:cs="Arial"/>
                <w:b/>
                <w:color w:val="000000"/>
                <w:sz w:val="22"/>
                <w:szCs w:val="22"/>
                <w:lang w:eastAsia="en-US"/>
              </w:rPr>
            </w:pPr>
            <w:r w:rsidRPr="00A85DC4">
              <w:rPr>
                <w:rFonts w:eastAsia="Calibri" w:cs="Arial"/>
                <w:b/>
                <w:color w:val="000000"/>
                <w:sz w:val="22"/>
                <w:szCs w:val="22"/>
                <w:lang w:eastAsia="en-US"/>
              </w:rPr>
              <w:t>Option 1</w:t>
            </w:r>
          </w:p>
        </w:tc>
        <w:tc>
          <w:tcPr>
            <w:tcW w:w="4111" w:type="dxa"/>
          </w:tcPr>
          <w:p w14:paraId="037AFFC4"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Do Nothing Baseline (non-binding sixth carbon budget)</w:t>
            </w:r>
          </w:p>
        </w:tc>
        <w:tc>
          <w:tcPr>
            <w:tcW w:w="2410" w:type="dxa"/>
          </w:tcPr>
          <w:p w14:paraId="20B2BA8D"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2100</w:t>
            </w:r>
          </w:p>
        </w:tc>
        <w:tc>
          <w:tcPr>
            <w:tcW w:w="2126" w:type="dxa"/>
          </w:tcPr>
          <w:p w14:paraId="03AB7D7B"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53%</w:t>
            </w:r>
          </w:p>
        </w:tc>
      </w:tr>
      <w:tr w:rsidR="00B5116B" w:rsidRPr="001C4454" w14:paraId="72A4AED4" w14:textId="77777777" w:rsidTr="005A7000">
        <w:trPr>
          <w:trHeight w:val="496"/>
        </w:trPr>
        <w:tc>
          <w:tcPr>
            <w:tcW w:w="1134" w:type="dxa"/>
          </w:tcPr>
          <w:p w14:paraId="5465152D" w14:textId="77777777" w:rsidR="00B5116B" w:rsidRPr="00A85DC4" w:rsidRDefault="00B5116B" w:rsidP="00E96DA4">
            <w:pPr>
              <w:spacing w:before="20" w:after="20" w:line="259" w:lineRule="auto"/>
              <w:rPr>
                <w:rFonts w:eastAsia="Calibri" w:cs="Arial"/>
                <w:b/>
                <w:color w:val="000000"/>
                <w:sz w:val="22"/>
                <w:szCs w:val="22"/>
                <w:lang w:eastAsia="en-US"/>
              </w:rPr>
            </w:pPr>
            <w:r w:rsidRPr="00A85DC4">
              <w:rPr>
                <w:rFonts w:eastAsia="Calibri" w:cs="Arial"/>
                <w:b/>
                <w:color w:val="000000"/>
                <w:sz w:val="22"/>
                <w:szCs w:val="22"/>
                <w:lang w:eastAsia="en-US"/>
              </w:rPr>
              <w:t>Option 2</w:t>
            </w:r>
          </w:p>
        </w:tc>
        <w:tc>
          <w:tcPr>
            <w:tcW w:w="4111" w:type="dxa"/>
          </w:tcPr>
          <w:p w14:paraId="44EA52BD" w14:textId="4CF54484"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Looser budget option</w:t>
            </w:r>
            <w:r w:rsidR="00DC303C">
              <w:rPr>
                <w:rFonts w:eastAsia="Calibri" w:cs="Arial"/>
                <w:color w:val="000000"/>
                <w:sz w:val="22"/>
                <w:szCs w:val="22"/>
                <w:lang w:eastAsia="en-US"/>
              </w:rPr>
              <w:t xml:space="preserve"> (</w:t>
            </w:r>
            <w:r w:rsidRPr="00A85DC4">
              <w:rPr>
                <w:rFonts w:eastAsia="Calibri" w:cs="Arial"/>
                <w:color w:val="000000"/>
                <w:sz w:val="22"/>
                <w:szCs w:val="22"/>
                <w:lang w:eastAsia="en-US"/>
              </w:rPr>
              <w:t>in line with CCC’s ‘headwinds’ scenario</w:t>
            </w:r>
            <w:r w:rsidR="00DC303C">
              <w:rPr>
                <w:rFonts w:eastAsia="Calibri" w:cs="Arial"/>
                <w:color w:val="000000"/>
                <w:sz w:val="22"/>
                <w:szCs w:val="22"/>
                <w:lang w:eastAsia="en-US"/>
              </w:rPr>
              <w:t>)</w:t>
            </w:r>
          </w:p>
        </w:tc>
        <w:tc>
          <w:tcPr>
            <w:tcW w:w="2410" w:type="dxa"/>
          </w:tcPr>
          <w:p w14:paraId="6C74EC02"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1105</w:t>
            </w:r>
          </w:p>
        </w:tc>
        <w:tc>
          <w:tcPr>
            <w:tcW w:w="2126" w:type="dxa"/>
          </w:tcPr>
          <w:p w14:paraId="5C8EF047"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75%</w:t>
            </w:r>
          </w:p>
        </w:tc>
      </w:tr>
      <w:tr w:rsidR="00B5116B" w:rsidRPr="001C4454" w14:paraId="226C7AE4" w14:textId="77777777" w:rsidTr="008A1039">
        <w:trPr>
          <w:trHeight w:val="404"/>
        </w:trPr>
        <w:tc>
          <w:tcPr>
            <w:tcW w:w="1134" w:type="dxa"/>
          </w:tcPr>
          <w:p w14:paraId="32D3EF75" w14:textId="77777777" w:rsidR="00B5116B" w:rsidRPr="00A85DC4" w:rsidRDefault="00B5116B" w:rsidP="00E96DA4">
            <w:pPr>
              <w:spacing w:before="20" w:after="20" w:line="259" w:lineRule="auto"/>
              <w:rPr>
                <w:rFonts w:eastAsia="Calibri" w:cs="Arial"/>
                <w:b/>
                <w:color w:val="000000"/>
                <w:sz w:val="22"/>
                <w:szCs w:val="22"/>
                <w:lang w:eastAsia="en-US"/>
              </w:rPr>
            </w:pPr>
            <w:r w:rsidRPr="00A85DC4">
              <w:rPr>
                <w:rFonts w:eastAsia="Calibri" w:cs="Arial"/>
                <w:b/>
                <w:color w:val="000000"/>
                <w:sz w:val="22"/>
                <w:szCs w:val="22"/>
                <w:lang w:eastAsia="en-US"/>
              </w:rPr>
              <w:t>Option 3</w:t>
            </w:r>
          </w:p>
        </w:tc>
        <w:tc>
          <w:tcPr>
            <w:tcW w:w="4111" w:type="dxa"/>
          </w:tcPr>
          <w:p w14:paraId="07961979"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 xml:space="preserve">CCC’s recommend budget </w:t>
            </w:r>
          </w:p>
        </w:tc>
        <w:tc>
          <w:tcPr>
            <w:tcW w:w="2410" w:type="dxa"/>
          </w:tcPr>
          <w:p w14:paraId="245BF2C0"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965</w:t>
            </w:r>
          </w:p>
        </w:tc>
        <w:tc>
          <w:tcPr>
            <w:tcW w:w="2126" w:type="dxa"/>
          </w:tcPr>
          <w:p w14:paraId="767C87A3"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78%</w:t>
            </w:r>
          </w:p>
        </w:tc>
      </w:tr>
      <w:tr w:rsidR="00B5116B" w:rsidRPr="001C4454" w14:paraId="3D1EA3FA" w14:textId="77777777" w:rsidTr="005A7000">
        <w:trPr>
          <w:trHeight w:val="699"/>
        </w:trPr>
        <w:tc>
          <w:tcPr>
            <w:tcW w:w="1134" w:type="dxa"/>
          </w:tcPr>
          <w:p w14:paraId="36B34E47" w14:textId="77777777" w:rsidR="00B5116B" w:rsidRPr="00A85DC4" w:rsidRDefault="00B5116B" w:rsidP="00E96DA4">
            <w:pPr>
              <w:spacing w:before="20" w:after="20" w:line="259" w:lineRule="auto"/>
              <w:rPr>
                <w:rFonts w:eastAsia="Calibri" w:cs="Arial"/>
                <w:b/>
                <w:color w:val="000000"/>
                <w:sz w:val="22"/>
                <w:szCs w:val="22"/>
                <w:lang w:eastAsia="en-US"/>
              </w:rPr>
            </w:pPr>
            <w:r w:rsidRPr="00A85DC4">
              <w:rPr>
                <w:rFonts w:eastAsia="Calibri" w:cs="Arial"/>
                <w:b/>
                <w:color w:val="000000"/>
                <w:sz w:val="22"/>
                <w:szCs w:val="22"/>
                <w:lang w:eastAsia="en-US"/>
              </w:rPr>
              <w:t>Option 4</w:t>
            </w:r>
          </w:p>
        </w:tc>
        <w:tc>
          <w:tcPr>
            <w:tcW w:w="4111" w:type="dxa"/>
          </w:tcPr>
          <w:p w14:paraId="17CEBE48" w14:textId="2CE93AFB"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 xml:space="preserve">Tighter budget option </w:t>
            </w:r>
            <w:r w:rsidR="00DC303C">
              <w:rPr>
                <w:rFonts w:eastAsia="Calibri" w:cs="Arial"/>
                <w:color w:val="000000"/>
                <w:sz w:val="22"/>
                <w:szCs w:val="22"/>
                <w:lang w:eastAsia="en-US"/>
              </w:rPr>
              <w:t>(</w:t>
            </w:r>
            <w:r w:rsidRPr="00A85DC4">
              <w:rPr>
                <w:rFonts w:eastAsia="Calibri" w:cs="Arial"/>
                <w:color w:val="000000"/>
                <w:sz w:val="22"/>
                <w:szCs w:val="22"/>
                <w:lang w:eastAsia="en-US"/>
              </w:rPr>
              <w:t>in line with CCC’s ‘widespread innovation’ scenario</w:t>
            </w:r>
            <w:r w:rsidR="00DC303C">
              <w:rPr>
                <w:rFonts w:eastAsia="Calibri" w:cs="Arial"/>
                <w:color w:val="000000"/>
                <w:sz w:val="22"/>
                <w:szCs w:val="22"/>
                <w:lang w:eastAsia="en-US"/>
              </w:rPr>
              <w:t>)</w:t>
            </w:r>
          </w:p>
        </w:tc>
        <w:tc>
          <w:tcPr>
            <w:tcW w:w="2410" w:type="dxa"/>
          </w:tcPr>
          <w:p w14:paraId="71668461"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885</w:t>
            </w:r>
          </w:p>
        </w:tc>
        <w:tc>
          <w:tcPr>
            <w:tcW w:w="2126" w:type="dxa"/>
          </w:tcPr>
          <w:p w14:paraId="04F16E3C" w14:textId="77777777" w:rsidR="00B5116B" w:rsidRPr="00A85DC4" w:rsidRDefault="00B5116B" w:rsidP="003D37DD">
            <w:pPr>
              <w:spacing w:line="259" w:lineRule="auto"/>
              <w:rPr>
                <w:rFonts w:eastAsia="Calibri" w:cs="Arial"/>
                <w:color w:val="000000"/>
                <w:sz w:val="22"/>
                <w:szCs w:val="22"/>
                <w:lang w:eastAsia="en-US"/>
              </w:rPr>
            </w:pPr>
            <w:r w:rsidRPr="00A85DC4">
              <w:rPr>
                <w:rFonts w:eastAsia="Calibri" w:cs="Arial"/>
                <w:color w:val="000000"/>
                <w:sz w:val="22"/>
                <w:szCs w:val="22"/>
                <w:lang w:eastAsia="en-US"/>
              </w:rPr>
              <w:t>80%</w:t>
            </w:r>
          </w:p>
        </w:tc>
      </w:tr>
    </w:tbl>
    <w:p w14:paraId="4D5FE41C" w14:textId="77777777" w:rsidR="00B5116B" w:rsidRDefault="00B5116B" w:rsidP="0072671F">
      <w:pPr>
        <w:rPr>
          <w:rFonts w:cs="Arial"/>
          <w:sz w:val="22"/>
          <w:szCs w:val="22"/>
        </w:rPr>
      </w:pPr>
    </w:p>
    <w:p w14:paraId="7D644B27" w14:textId="4A561563" w:rsidR="00C87A99" w:rsidRPr="006A50A8" w:rsidRDefault="00FD6181" w:rsidP="009229B3">
      <w:pPr>
        <w:pStyle w:val="Numberedparagraphs"/>
      </w:pPr>
      <w:r w:rsidRPr="006474A1">
        <w:t>This Impact Assessment assess</w:t>
      </w:r>
      <w:r w:rsidR="00B136E7">
        <w:t>es</w:t>
      </w:r>
      <w:r w:rsidRPr="006474A1">
        <w:t xml:space="preserve"> options using a </w:t>
      </w:r>
      <w:r w:rsidR="0086594E" w:rsidRPr="00C87A99">
        <w:t>holistic</w:t>
      </w:r>
      <w:r w:rsidRPr="00C87A99">
        <w:t xml:space="preserve"> assessment </w:t>
      </w:r>
      <w:r w:rsidR="003405F6" w:rsidRPr="00C87A99">
        <w:t>framework</w:t>
      </w:r>
      <w:r w:rsidRPr="00C87A99">
        <w:t xml:space="preserve"> that fulfils the requirements of the </w:t>
      </w:r>
      <w:r w:rsidR="00594D86">
        <w:t>Climate Change Act</w:t>
      </w:r>
      <w:r w:rsidRPr="00C87A99">
        <w:t xml:space="preserve"> across five</w:t>
      </w:r>
      <w:r w:rsidR="00B417A6" w:rsidRPr="00C87A99">
        <w:t xml:space="preserve"> </w:t>
      </w:r>
      <w:r w:rsidR="003405F6" w:rsidRPr="00C87A99">
        <w:t>assessment criteri</w:t>
      </w:r>
      <w:r w:rsidR="00FB576D">
        <w:t>a.</w:t>
      </w:r>
      <w:r w:rsidR="003405F6" w:rsidRPr="00C87A99" w:rsidDel="00FB576D">
        <w:t xml:space="preserve"> </w:t>
      </w:r>
      <w:r w:rsidR="00FB576D">
        <w:rPr>
          <w:rFonts w:eastAsia="Calibri" w:cs="Arial"/>
          <w:lang w:eastAsia="en-US"/>
        </w:rPr>
        <w:t>Section 10(2) of the Act requires the Secretary of State to take into account a non-exhaustive list of relevant matters when coming to a decision on setting a carbon budget. Of these matters, several can be quantified in detail, and are taken into account as part of consideration of criteri</w:t>
      </w:r>
      <w:r w:rsidR="002454B2">
        <w:rPr>
          <w:rFonts w:eastAsia="Calibri" w:cs="Arial"/>
          <w:lang w:eastAsia="en-US"/>
        </w:rPr>
        <w:t>a</w:t>
      </w:r>
      <w:r w:rsidR="00FB576D">
        <w:rPr>
          <w:rFonts w:eastAsia="Calibri" w:cs="Arial"/>
          <w:lang w:eastAsia="en-US"/>
        </w:rPr>
        <w:t xml:space="preserve"> (1) – (4) below. Other matters are harder to quantify, and so are considered as ‘wider impacts’ in criterion (5). For completeness and to ensure compliance with the statutory framework, criterion (5) works through all of the section 10(2) factors, even where some have </w:t>
      </w:r>
      <w:r w:rsidR="0011229E">
        <w:rPr>
          <w:rFonts w:eastAsia="Calibri" w:cs="Arial"/>
          <w:lang w:eastAsia="en-US"/>
        </w:rPr>
        <w:t xml:space="preserve">also </w:t>
      </w:r>
      <w:r w:rsidR="00FB576D">
        <w:rPr>
          <w:rFonts w:eastAsia="Calibri" w:cs="Arial"/>
          <w:lang w:eastAsia="en-US"/>
        </w:rPr>
        <w:t>been considered under earlier criteri</w:t>
      </w:r>
      <w:r w:rsidR="002454B2">
        <w:rPr>
          <w:rFonts w:eastAsia="Calibri" w:cs="Arial"/>
          <w:lang w:eastAsia="en-US"/>
        </w:rPr>
        <w:t>a</w:t>
      </w:r>
      <w:r w:rsidR="00FB576D">
        <w:rPr>
          <w:rFonts w:eastAsia="Calibri" w:cs="Arial"/>
          <w:lang w:eastAsia="en-US"/>
        </w:rPr>
        <w:t xml:space="preserve">. </w:t>
      </w:r>
    </w:p>
    <w:p w14:paraId="1562DE87" w14:textId="326BCA73" w:rsidR="00C87A99" w:rsidRPr="00FE00A4" w:rsidRDefault="002757EA" w:rsidP="00D77AED">
      <w:pPr>
        <w:pStyle w:val="Bullets"/>
        <w:numPr>
          <w:ilvl w:val="0"/>
          <w:numId w:val="0"/>
        </w:numPr>
        <w:spacing w:after="160"/>
        <w:rPr>
          <w:b/>
          <w:i/>
          <w:szCs w:val="24"/>
          <w:u w:val="single"/>
        </w:rPr>
      </w:pPr>
      <w:r w:rsidRPr="00FE00A4">
        <w:rPr>
          <w:b/>
          <w:i/>
          <w:szCs w:val="24"/>
        </w:rPr>
        <w:t xml:space="preserve">1) </w:t>
      </w:r>
      <w:r w:rsidR="00934225" w:rsidRPr="00FE00A4">
        <w:rPr>
          <w:b/>
          <w:i/>
          <w:szCs w:val="24"/>
        </w:rPr>
        <w:t xml:space="preserve">Long-term pathways and </w:t>
      </w:r>
      <w:r w:rsidR="00472336" w:rsidRPr="00FE00A4">
        <w:rPr>
          <w:b/>
          <w:i/>
          <w:szCs w:val="24"/>
        </w:rPr>
        <w:t>technological feasibility</w:t>
      </w:r>
    </w:p>
    <w:p w14:paraId="5B1B8703" w14:textId="54BE5B62" w:rsidR="006474A1" w:rsidRPr="00E45210" w:rsidRDefault="008C4362" w:rsidP="009229B3">
      <w:pPr>
        <w:pStyle w:val="Numberedparagraphs"/>
      </w:pPr>
      <w:r w:rsidRPr="006474A1">
        <w:t>This criterion</w:t>
      </w:r>
      <w:r w:rsidR="00280950" w:rsidRPr="00C87A99">
        <w:t xml:space="preserve"> draws on both whole</w:t>
      </w:r>
      <w:r w:rsidR="00D77AED">
        <w:t>-</w:t>
      </w:r>
      <w:r w:rsidR="00280950" w:rsidRPr="00C87A99">
        <w:t>system modelling and sector</w:t>
      </w:r>
      <w:r w:rsidR="00D77AED">
        <w:t>-</w:t>
      </w:r>
      <w:r w:rsidR="00280950" w:rsidRPr="00C87A99">
        <w:t xml:space="preserve">specific evidence to identity </w:t>
      </w:r>
      <w:r w:rsidR="00EE0284" w:rsidRPr="00C87A99">
        <w:t xml:space="preserve">different pathways that meet the UK’s 2050 Net Zero target. This ensures that </w:t>
      </w:r>
      <w:r w:rsidR="00374F70" w:rsidRPr="00C87A99">
        <w:t xml:space="preserve">the decision on the </w:t>
      </w:r>
      <w:r w:rsidR="00BF7C0A">
        <w:t>sixth carbon budget</w:t>
      </w:r>
      <w:r w:rsidR="00374F70" w:rsidRPr="00C87A99">
        <w:t xml:space="preserve"> is not taken in isolation but </w:t>
      </w:r>
      <w:r w:rsidR="00D02074" w:rsidRPr="00C87A99">
        <w:t xml:space="preserve">in context of the </w:t>
      </w:r>
      <w:r w:rsidR="0074042D" w:rsidRPr="00C87A99">
        <w:t xml:space="preserve">UK’s long-term climate change target. </w:t>
      </w:r>
      <w:r w:rsidR="004C3BA4" w:rsidRPr="00C87A99">
        <w:t xml:space="preserve">Using </w:t>
      </w:r>
      <w:r w:rsidR="004A5BA6" w:rsidRPr="00C87A99">
        <w:t xml:space="preserve">the results of the </w:t>
      </w:r>
      <w:r w:rsidR="00934225" w:rsidRPr="00C87A99">
        <w:t xml:space="preserve">long-term pathways </w:t>
      </w:r>
      <w:r w:rsidR="004A5BA6" w:rsidRPr="00C87A99">
        <w:t>and additional evidence o</w:t>
      </w:r>
      <w:r w:rsidR="00943755" w:rsidRPr="00C87A99">
        <w:t>n delivery</w:t>
      </w:r>
      <w:r w:rsidR="00B712F4" w:rsidRPr="00C87A99">
        <w:t xml:space="preserve"> challenges, this criterion assesses</w:t>
      </w:r>
      <w:r w:rsidR="00943A50" w:rsidRPr="00C87A99">
        <w:t xml:space="preserve"> the </w:t>
      </w:r>
      <w:r w:rsidR="003D0CB3" w:rsidRPr="00C87A99">
        <w:t xml:space="preserve">extent to which least-cost technology mixes </w:t>
      </w:r>
      <w:r w:rsidR="005E7277" w:rsidRPr="00C87A99">
        <w:t xml:space="preserve">under the </w:t>
      </w:r>
      <w:r w:rsidR="00DD0FB2" w:rsidRPr="00C87A99">
        <w:t xml:space="preserve">different </w:t>
      </w:r>
      <w:r w:rsidR="00F22D14" w:rsidRPr="00C87A99">
        <w:t>carbon budget levels are consistent with least-cost mixes in 2050</w:t>
      </w:r>
      <w:r w:rsidR="00F22D14">
        <w:t xml:space="preserve">. </w:t>
      </w:r>
      <w:r w:rsidR="002E7FD3" w:rsidDel="00F22D14">
        <w:t>I</w:t>
      </w:r>
      <w:r w:rsidR="002E7FD3">
        <w:t xml:space="preserve">t also considers </w:t>
      </w:r>
      <w:r w:rsidR="0045277A" w:rsidRPr="00C87A99">
        <w:t xml:space="preserve">the extent to which </w:t>
      </w:r>
      <w:r w:rsidR="00E42813" w:rsidRPr="00C87A99">
        <w:t xml:space="preserve">different </w:t>
      </w:r>
      <w:r w:rsidR="006A50A8">
        <w:t>options</w:t>
      </w:r>
      <w:r w:rsidR="00D77AED">
        <w:t xml:space="preserve"> </w:t>
      </w:r>
      <w:r w:rsidR="00E42813" w:rsidRPr="00C87A99">
        <w:t>imply reliance on uncertain</w:t>
      </w:r>
      <w:r w:rsidR="00B531CF" w:rsidRPr="00C87A99">
        <w:t xml:space="preserve"> </w:t>
      </w:r>
      <w:r w:rsidR="00E42813" w:rsidRPr="00C87A99">
        <w:t xml:space="preserve">technologies or maximum feasible </w:t>
      </w:r>
      <w:r w:rsidR="00722D73">
        <w:t xml:space="preserve">technology </w:t>
      </w:r>
      <w:r w:rsidR="00E42813" w:rsidRPr="00C87A99">
        <w:t>build rates</w:t>
      </w:r>
      <w:r w:rsidR="00A4687E">
        <w:t>.</w:t>
      </w:r>
    </w:p>
    <w:p w14:paraId="3776712A" w14:textId="536E141A" w:rsidR="00C87A99" w:rsidRPr="00FE00A4" w:rsidRDefault="002757EA" w:rsidP="00D77AED">
      <w:pPr>
        <w:spacing w:after="160"/>
        <w:rPr>
          <w:b/>
          <w:i/>
        </w:rPr>
      </w:pPr>
      <w:r w:rsidRPr="00FE00A4">
        <w:rPr>
          <w:b/>
          <w:i/>
        </w:rPr>
        <w:t xml:space="preserve">2) </w:t>
      </w:r>
      <w:r w:rsidR="00EA082E" w:rsidRPr="00FE00A4">
        <w:rPr>
          <w:b/>
          <w:i/>
        </w:rPr>
        <w:t>Delivery implications</w:t>
      </w:r>
    </w:p>
    <w:p w14:paraId="6D317512" w14:textId="6A4558C6" w:rsidR="0086594E" w:rsidRPr="004C3BA4" w:rsidRDefault="007F66EF" w:rsidP="009229B3">
      <w:pPr>
        <w:pStyle w:val="Numberedparagraphs"/>
      </w:pPr>
      <w:r w:rsidRPr="006474A1">
        <w:t>F</w:t>
      </w:r>
      <w:r w:rsidR="009225CE" w:rsidRPr="00C87A99">
        <w:t>easibility of delivery is assessed at a high-level: this Impact Assessment does n</w:t>
      </w:r>
      <w:r w:rsidR="00543E05" w:rsidRPr="00C87A99">
        <w:t>ot</w:t>
      </w:r>
      <w:r w:rsidR="009225CE" w:rsidRPr="00C87A99">
        <w:t xml:space="preserve"> </w:t>
      </w:r>
      <w:r w:rsidR="00E81FBE">
        <w:t>consider</w:t>
      </w:r>
      <w:r w:rsidR="009225CE" w:rsidRPr="00C87A99">
        <w:t xml:space="preserve"> specific</w:t>
      </w:r>
      <w:r w:rsidR="0086594E" w:rsidRPr="00C87A99">
        <w:t xml:space="preserve"> pathway</w:t>
      </w:r>
      <w:r w:rsidR="001005D4">
        <w:t>s</w:t>
      </w:r>
      <w:r w:rsidR="0086594E" w:rsidRPr="00C87A99">
        <w:t xml:space="preserve"> to meeting </w:t>
      </w:r>
      <w:r w:rsidR="00BF7C0A">
        <w:t>the sixth carbon budget</w:t>
      </w:r>
      <w:r w:rsidR="001005D4">
        <w:t xml:space="preserve"> levels</w:t>
      </w:r>
      <w:r w:rsidR="0086594E" w:rsidRPr="00C87A99">
        <w:t>, no</w:t>
      </w:r>
      <w:r w:rsidR="00543E05" w:rsidRPr="00C87A99">
        <w:t>r</w:t>
      </w:r>
      <w:r w:rsidR="0086594E" w:rsidRPr="00C87A99">
        <w:t xml:space="preserve"> a specific</w:t>
      </w:r>
      <w:r w:rsidR="009225CE" w:rsidRPr="00C87A99">
        <w:t xml:space="preserve"> set of policies</w:t>
      </w:r>
      <w:r w:rsidR="00543E05" w:rsidRPr="00C87A99">
        <w:t xml:space="preserve">. </w:t>
      </w:r>
      <w:r w:rsidR="003838EF" w:rsidRPr="00C87A99">
        <w:t>Instead,</w:t>
      </w:r>
      <w:r w:rsidR="00543E05" w:rsidRPr="00C87A99">
        <w:t xml:space="preserve"> </w:t>
      </w:r>
      <w:r w:rsidR="000F45FC" w:rsidRPr="00C87A99">
        <w:t xml:space="preserve">the delivery challenge is discussed </w:t>
      </w:r>
      <w:r w:rsidR="00C421F5" w:rsidRPr="00C87A99">
        <w:t>by exploring</w:t>
      </w:r>
      <w:r w:rsidR="00CE2DEA" w:rsidRPr="00C87A99">
        <w:t xml:space="preserve"> barriers and challenges that </w:t>
      </w:r>
      <w:r w:rsidR="00F72283" w:rsidRPr="00C87A99">
        <w:t xml:space="preserve">apply to a range of possible </w:t>
      </w:r>
      <w:r w:rsidR="0006504B" w:rsidRPr="00C87A99">
        <w:t>policies and pathways</w:t>
      </w:r>
      <w:r w:rsidR="00EB5C72" w:rsidRPr="00C87A99">
        <w:t xml:space="preserve">. </w:t>
      </w:r>
    </w:p>
    <w:p w14:paraId="1C798260" w14:textId="31A8FE8A" w:rsidR="00C87A99" w:rsidRPr="00FE00A4" w:rsidRDefault="006D75A9" w:rsidP="00D77AED">
      <w:pPr>
        <w:spacing w:after="160"/>
        <w:rPr>
          <w:b/>
          <w:i/>
          <w:sz w:val="32"/>
          <w:u w:val="single"/>
        </w:rPr>
      </w:pPr>
      <w:r w:rsidRPr="00FE00A4">
        <w:rPr>
          <w:b/>
          <w:i/>
        </w:rPr>
        <w:t xml:space="preserve">3) </w:t>
      </w:r>
      <w:r w:rsidR="00CA23CF" w:rsidRPr="00FE00A4">
        <w:rPr>
          <w:b/>
          <w:i/>
        </w:rPr>
        <w:t>International circumstances</w:t>
      </w:r>
    </w:p>
    <w:p w14:paraId="433B5901" w14:textId="0AC39092" w:rsidR="00C87A99" w:rsidRPr="006A50A8" w:rsidRDefault="00EB5C72" w:rsidP="009229B3">
      <w:pPr>
        <w:pStyle w:val="Numberedparagraphs"/>
      </w:pPr>
      <w:r w:rsidRPr="006474A1">
        <w:t>Th</w:t>
      </w:r>
      <w:r w:rsidR="007164DA" w:rsidRPr="00C87A99">
        <w:t xml:space="preserve">is </w:t>
      </w:r>
      <w:r w:rsidR="00AB280C" w:rsidRPr="00C87A99">
        <w:t xml:space="preserve">considers </w:t>
      </w:r>
      <w:r w:rsidR="009C5F86" w:rsidRPr="00C87A99">
        <w:t>the</w:t>
      </w:r>
      <w:r w:rsidR="00BF7C0A">
        <w:t xml:space="preserve"> sixth carbon budget</w:t>
      </w:r>
      <w:r w:rsidR="009C5F86" w:rsidRPr="00C87A99">
        <w:t xml:space="preserve"> level options in the</w:t>
      </w:r>
      <w:r w:rsidR="00AB280C" w:rsidRPr="00C87A99">
        <w:t xml:space="preserve"> context of </w:t>
      </w:r>
      <w:r w:rsidR="007F7D8C" w:rsidRPr="00C87A99">
        <w:t xml:space="preserve">global efforts to reduce GHG emissions and </w:t>
      </w:r>
      <w:r w:rsidR="00AB280C" w:rsidRPr="00C87A99">
        <w:t xml:space="preserve">the </w:t>
      </w:r>
      <w:r w:rsidR="005E763A" w:rsidRPr="00C87A99">
        <w:t xml:space="preserve">commitments taken by the </w:t>
      </w:r>
      <w:r w:rsidR="00AB280C" w:rsidRPr="00C87A99">
        <w:t>UK</w:t>
      </w:r>
      <w:r w:rsidR="005E763A" w:rsidRPr="00C87A99">
        <w:t xml:space="preserve"> at an international level</w:t>
      </w:r>
      <w:r w:rsidR="006519F2" w:rsidRPr="00C87A99">
        <w:t>, including the Paris Agreement an</w:t>
      </w:r>
      <w:r w:rsidR="00253809" w:rsidRPr="00C87A99">
        <w:t>d</w:t>
      </w:r>
      <w:r w:rsidR="006519F2" w:rsidRPr="00C87A99">
        <w:t xml:space="preserve"> the Unite</w:t>
      </w:r>
      <w:r w:rsidR="004914D9" w:rsidRPr="00C87A99">
        <w:t>d Nations Framework Convention on Climate Change (UNFCCC)</w:t>
      </w:r>
      <w:r w:rsidR="00AB280C" w:rsidRPr="00C87A99">
        <w:t xml:space="preserve">. </w:t>
      </w:r>
      <w:r w:rsidR="008F5057" w:rsidRPr="00C87A99">
        <w:t>As part of the UNFCC</w:t>
      </w:r>
      <w:r w:rsidR="00035B91" w:rsidRPr="00C87A99">
        <w:t>C process</w:t>
      </w:r>
      <w:r w:rsidR="00572B5D" w:rsidRPr="00C87A99">
        <w:t>, the UK successfully bid to assume the Presidency</w:t>
      </w:r>
      <w:r w:rsidR="00F85E0F" w:rsidRPr="00C87A99">
        <w:t xml:space="preserve"> in 2021</w:t>
      </w:r>
      <w:r w:rsidR="00572B5D" w:rsidRPr="00C87A99">
        <w:t xml:space="preserve"> of the </w:t>
      </w:r>
      <w:r w:rsidR="00CA544E" w:rsidRPr="00C87A99">
        <w:t>26</w:t>
      </w:r>
      <w:r w:rsidR="00CA544E" w:rsidRPr="00C87A99">
        <w:rPr>
          <w:vertAlign w:val="superscript"/>
        </w:rPr>
        <w:t>th</w:t>
      </w:r>
      <w:r w:rsidR="00CA544E" w:rsidRPr="00C87A99">
        <w:t xml:space="preserve"> Conference of the Parties (COP26)</w:t>
      </w:r>
      <w:r w:rsidR="00A018FA" w:rsidRPr="00C87A99">
        <w:t xml:space="preserve">, which </w:t>
      </w:r>
      <w:r w:rsidR="00CA544E" w:rsidRPr="00C87A99">
        <w:t>a</w:t>
      </w:r>
      <w:r w:rsidR="00F85E0F" w:rsidRPr="00C87A99">
        <w:t>im</w:t>
      </w:r>
      <w:r w:rsidR="00F257B9" w:rsidRPr="00C87A99">
        <w:t>s</w:t>
      </w:r>
      <w:r w:rsidR="00F85E0F" w:rsidRPr="00C87A99">
        <w:t xml:space="preserve"> to </w:t>
      </w:r>
      <w:r w:rsidR="00F257B9" w:rsidRPr="00C87A99">
        <w:t>accelerate</w:t>
      </w:r>
      <w:r w:rsidR="00CA544E" w:rsidRPr="00C87A99">
        <w:t xml:space="preserve"> global action </w:t>
      </w:r>
      <w:r w:rsidR="006C28AE" w:rsidRPr="00C87A99">
        <w:t xml:space="preserve">towards </w:t>
      </w:r>
      <w:r w:rsidR="00F46D6C" w:rsidRPr="00C87A99">
        <w:t>achieving the Paris</w:t>
      </w:r>
      <w:r w:rsidR="00434A44">
        <w:t xml:space="preserve"> Agreement</w:t>
      </w:r>
      <w:r w:rsidR="00F46D6C" w:rsidRPr="00C87A99">
        <w:t xml:space="preserve"> temperature goals</w:t>
      </w:r>
      <w:r w:rsidR="0079660D" w:rsidRPr="00C87A99">
        <w:t>.</w:t>
      </w:r>
      <w:r w:rsidR="00463593" w:rsidRPr="00C87A99">
        <w:t xml:space="preserve"> </w:t>
      </w:r>
      <w:r w:rsidR="006010AE" w:rsidRPr="00C87A99">
        <w:t>T</w:t>
      </w:r>
      <w:r w:rsidR="00463593" w:rsidRPr="00C87A99">
        <w:t xml:space="preserve">his section includes an </w:t>
      </w:r>
      <w:r w:rsidR="00C9697F" w:rsidRPr="00C87A99">
        <w:t xml:space="preserve">assessment of </w:t>
      </w:r>
      <w:r w:rsidR="00A139C9" w:rsidRPr="00C87A99">
        <w:t xml:space="preserve">what </w:t>
      </w:r>
      <w:r w:rsidR="00C9697F" w:rsidRPr="00C87A99">
        <w:t>UK</w:t>
      </w:r>
      <w:r w:rsidR="00A139C9" w:rsidRPr="00C87A99">
        <w:t xml:space="preserve"> action could be </w:t>
      </w:r>
      <w:r w:rsidR="0055149C" w:rsidRPr="00C87A99">
        <w:t xml:space="preserve">considered </w:t>
      </w:r>
      <w:r w:rsidR="00C1629B" w:rsidRPr="00C87A99">
        <w:t>cost-effective</w:t>
      </w:r>
      <w:r w:rsidR="0055149C" w:rsidRPr="00C87A99">
        <w:t xml:space="preserve">, fair and equitable under different global warming scenarios and </w:t>
      </w:r>
      <w:r w:rsidR="008932A9">
        <w:t xml:space="preserve">different </w:t>
      </w:r>
      <w:r w:rsidR="0055149C" w:rsidRPr="00C87A99">
        <w:t xml:space="preserve">interpretations of </w:t>
      </w:r>
      <w:r w:rsidR="00416CEF" w:rsidRPr="00C87A99">
        <w:t>how to allocate</w:t>
      </w:r>
      <w:r w:rsidR="006010AE" w:rsidRPr="00C87A99">
        <w:t xml:space="preserve"> effort shares in global emissions reductions</w:t>
      </w:r>
      <w:r w:rsidR="00463593" w:rsidRPr="00C87A99">
        <w:t xml:space="preserve">. </w:t>
      </w:r>
    </w:p>
    <w:p w14:paraId="25F0F694" w14:textId="04CA7104" w:rsidR="00C87A99" w:rsidRPr="00FE00A4" w:rsidRDefault="007F345F" w:rsidP="00D77AED">
      <w:pPr>
        <w:spacing w:after="160"/>
        <w:rPr>
          <w:b/>
          <w:i/>
          <w:sz w:val="32"/>
          <w:u w:val="single"/>
        </w:rPr>
      </w:pPr>
      <w:r w:rsidRPr="00FE00A4">
        <w:rPr>
          <w:b/>
          <w:i/>
        </w:rPr>
        <w:t xml:space="preserve">4) </w:t>
      </w:r>
      <w:r w:rsidR="00CA23CF" w:rsidRPr="00FE00A4">
        <w:rPr>
          <w:b/>
          <w:i/>
        </w:rPr>
        <w:t xml:space="preserve">Quantified costs and </w:t>
      </w:r>
      <w:r w:rsidR="0086594E" w:rsidRPr="00FE00A4">
        <w:rPr>
          <w:b/>
          <w:i/>
        </w:rPr>
        <w:t>benefits</w:t>
      </w:r>
      <w:r w:rsidR="008F7F5C" w:rsidRPr="00FE00A4">
        <w:rPr>
          <w:b/>
          <w:i/>
        </w:rPr>
        <w:t xml:space="preserve"> </w:t>
      </w:r>
    </w:p>
    <w:p w14:paraId="271BD433" w14:textId="0D0A0B26" w:rsidR="006A250C" w:rsidRPr="00976D4E" w:rsidRDefault="00976D4E" w:rsidP="009229B3">
      <w:pPr>
        <w:pStyle w:val="Numberedparagraphs"/>
      </w:pPr>
      <w:r w:rsidRPr="006474A1">
        <w:t xml:space="preserve">This Impact Assessment </w:t>
      </w:r>
      <w:r w:rsidR="000F5802">
        <w:t>quantifies</w:t>
      </w:r>
      <w:r w:rsidRPr="006474A1">
        <w:t xml:space="preserve"> as many of the </w:t>
      </w:r>
      <w:r w:rsidR="006A250C" w:rsidRPr="00C87A99">
        <w:t xml:space="preserve">significant </w:t>
      </w:r>
      <w:r w:rsidRPr="00C87A99">
        <w:t xml:space="preserve">cost and benefits of the </w:t>
      </w:r>
      <w:r w:rsidR="006A250C" w:rsidRPr="00C87A99">
        <w:t xml:space="preserve">decision on the </w:t>
      </w:r>
      <w:r w:rsidR="00434A44">
        <w:t>sixth</w:t>
      </w:r>
      <w:r w:rsidR="006A250C" w:rsidRPr="00C87A99">
        <w:t xml:space="preserve"> carbon budget</w:t>
      </w:r>
      <w:r w:rsidR="007E1605" w:rsidRPr="00C87A99">
        <w:t xml:space="preserve"> </w:t>
      </w:r>
      <w:r w:rsidR="00545B73">
        <w:t xml:space="preserve">level </w:t>
      </w:r>
      <w:r w:rsidR="007E1605" w:rsidRPr="00C87A99">
        <w:t>as possible.</w:t>
      </w:r>
      <w:r w:rsidR="00041D2B" w:rsidRPr="00C87A99">
        <w:t xml:space="preserve"> Many of these costs and benefits </w:t>
      </w:r>
      <w:r w:rsidR="00975A04" w:rsidRPr="00C87A99">
        <w:t xml:space="preserve">occur before </w:t>
      </w:r>
      <w:r w:rsidR="00CA0BF3" w:rsidRPr="00C87A99">
        <w:t xml:space="preserve">the </w:t>
      </w:r>
      <w:r w:rsidR="00434A44">
        <w:t>sixth</w:t>
      </w:r>
      <w:r w:rsidR="00994FD6" w:rsidRPr="00C87A99">
        <w:t xml:space="preserve"> carbon budget </w:t>
      </w:r>
      <w:r w:rsidR="0064477F">
        <w:t>begins and endure after it has ended.  Therefore</w:t>
      </w:r>
      <w:r w:rsidR="00EB6F17">
        <w:t xml:space="preserve">, </w:t>
      </w:r>
      <w:r w:rsidR="009563C9">
        <w:t>in</w:t>
      </w:r>
      <w:r w:rsidR="00223B7C" w:rsidRPr="00C87A99">
        <w:t xml:space="preserve"> order to </w:t>
      </w:r>
      <w:r w:rsidR="00EB6F17">
        <w:t>provide</w:t>
      </w:r>
      <w:r w:rsidR="00223B7C" w:rsidRPr="00C87A99">
        <w:t xml:space="preserve"> a </w:t>
      </w:r>
      <w:r w:rsidR="000F5802">
        <w:t>complete view</w:t>
      </w:r>
      <w:r w:rsidR="00AF40B6" w:rsidRPr="00C87A99">
        <w:t xml:space="preserve">, all impacts </w:t>
      </w:r>
      <w:r w:rsidR="00EB6F17">
        <w:t xml:space="preserve">to </w:t>
      </w:r>
      <w:r w:rsidR="007308C3" w:rsidRPr="00C87A99">
        <w:t xml:space="preserve">2050 are considered. </w:t>
      </w:r>
    </w:p>
    <w:p w14:paraId="2AC89878" w14:textId="183D5752" w:rsidR="00C87A99" w:rsidRPr="00FE00A4" w:rsidRDefault="00545B73" w:rsidP="00D77AED">
      <w:pPr>
        <w:spacing w:after="160"/>
        <w:rPr>
          <w:b/>
          <w:i/>
          <w:sz w:val="32"/>
          <w:u w:val="single"/>
        </w:rPr>
      </w:pPr>
      <w:r w:rsidRPr="00FE00A4">
        <w:rPr>
          <w:b/>
          <w:i/>
        </w:rPr>
        <w:t xml:space="preserve">5) </w:t>
      </w:r>
      <w:r w:rsidR="00CA23CF" w:rsidRPr="00FE00A4">
        <w:rPr>
          <w:b/>
          <w:i/>
        </w:rPr>
        <w:t>Unquantified costs and benefits and w</w:t>
      </w:r>
      <w:r w:rsidR="008F7F5C" w:rsidRPr="00FE00A4">
        <w:rPr>
          <w:b/>
          <w:i/>
        </w:rPr>
        <w:t xml:space="preserve">ider impacts </w:t>
      </w:r>
    </w:p>
    <w:p w14:paraId="41DCBAA6" w14:textId="75F6BF4E" w:rsidR="00FD231E" w:rsidRDefault="00953415" w:rsidP="009229B3">
      <w:pPr>
        <w:pStyle w:val="Numberedparagraphs"/>
      </w:pPr>
      <w:r w:rsidRPr="006474A1">
        <w:t xml:space="preserve">It </w:t>
      </w:r>
      <w:r w:rsidR="006C382F">
        <w:t>is</w:t>
      </w:r>
      <w:r w:rsidRPr="006474A1">
        <w:t xml:space="preserve"> not possible to quantify all costs and benefits</w:t>
      </w:r>
      <w:r w:rsidR="00445766">
        <w:t>,</w:t>
      </w:r>
      <w:r w:rsidRPr="006474A1">
        <w:t xml:space="preserve"> </w:t>
      </w:r>
      <w:r w:rsidR="00445766">
        <w:t>as well as</w:t>
      </w:r>
      <w:r w:rsidRPr="006474A1">
        <w:t xml:space="preserve"> wider impacts</w:t>
      </w:r>
      <w:r w:rsidRPr="00C87A99">
        <w:t xml:space="preserve">. Therefore, this criterion assesses these </w:t>
      </w:r>
      <w:r w:rsidR="006A1A15" w:rsidRPr="00C87A99">
        <w:t>i</w:t>
      </w:r>
      <w:r w:rsidRPr="00C87A99">
        <w:t>n a qualitative manner.</w:t>
      </w:r>
      <w:r w:rsidR="003B2FEE">
        <w:t xml:space="preserve"> </w:t>
      </w:r>
      <w:r w:rsidR="00445766">
        <w:t>This</w:t>
      </w:r>
      <w:r w:rsidR="00445766" w:rsidRPr="00445766">
        <w:t xml:space="preserve"> ensures full consideration of the factors required by section 10 of the Climate Change Act. Factors considered here in additional detail include scientific knowledge; economic (in particular the likely impact of the decision on the economy and the competitiveness of particular sectors of the economy)</w:t>
      </w:r>
      <w:r w:rsidR="009563C9">
        <w:t xml:space="preserve"> and </w:t>
      </w:r>
      <w:r w:rsidR="00445766" w:rsidRPr="00445766">
        <w:t>fiscal</w:t>
      </w:r>
      <w:r w:rsidR="00445766">
        <w:t xml:space="preserve"> </w:t>
      </w:r>
      <w:r w:rsidR="009563C9">
        <w:t xml:space="preserve">circumstances; </w:t>
      </w:r>
      <w:r w:rsidR="00445766" w:rsidRPr="00445766">
        <w:t xml:space="preserve">social circumstances; energy policy; the views of </w:t>
      </w:r>
      <w:r w:rsidR="00143B68">
        <w:t>D</w:t>
      </w:r>
      <w:r w:rsidR="00445766" w:rsidRPr="00445766">
        <w:t xml:space="preserve">evolved </w:t>
      </w:r>
      <w:r w:rsidR="00143B68">
        <w:t>A</w:t>
      </w:r>
      <w:r w:rsidR="00445766" w:rsidRPr="00445766">
        <w:t>dministrations; and environmental impacts such as natural capital</w:t>
      </w:r>
      <w:r w:rsidR="00445766">
        <w:t>.</w:t>
      </w:r>
    </w:p>
    <w:p w14:paraId="31C7F910" w14:textId="2E4D8BFE" w:rsidR="0021506B" w:rsidRPr="00D77AED" w:rsidRDefault="00FE00A4" w:rsidP="00FE00A4">
      <w:pPr>
        <w:pStyle w:val="Heading3"/>
        <w:spacing w:after="200"/>
        <w:rPr>
          <w:sz w:val="28"/>
          <w:szCs w:val="28"/>
        </w:rPr>
      </w:pPr>
      <w:r>
        <w:rPr>
          <w:sz w:val="28"/>
          <w:szCs w:val="28"/>
        </w:rPr>
        <w:lastRenderedPageBreak/>
        <w:t>1.3</w:t>
      </w:r>
      <w:r w:rsidR="00195317" w:rsidRPr="006474A1">
        <w:t xml:space="preserve"> </w:t>
      </w:r>
      <w:bookmarkStart w:id="40" w:name="_Toc67051837"/>
      <w:r w:rsidR="0021506B" w:rsidRPr="00D77AED">
        <w:rPr>
          <w:sz w:val="28"/>
          <w:szCs w:val="28"/>
        </w:rPr>
        <w:t>Uncertainties and risks</w:t>
      </w:r>
      <w:bookmarkEnd w:id="40"/>
    </w:p>
    <w:p w14:paraId="5FAA9973" w14:textId="2F167286" w:rsidR="0021506B" w:rsidRPr="00C6669D" w:rsidRDefault="0021506B" w:rsidP="009229B3">
      <w:pPr>
        <w:pStyle w:val="Numberedparagraphs"/>
        <w:rPr>
          <w:rFonts w:ascii="Segoe UI" w:hAnsi="Segoe UI" w:cs="Segoe UI"/>
          <w:sz w:val="18"/>
          <w:szCs w:val="18"/>
        </w:rPr>
      </w:pPr>
      <w:r w:rsidRPr="00C6669D">
        <w:t xml:space="preserve">There are a large number of uncertainties and risks in forecasting the UK’s transition to </w:t>
      </w:r>
      <w:r w:rsidR="004C275A">
        <w:t>n</w:t>
      </w:r>
      <w:r w:rsidRPr="00C6669D">
        <w:t xml:space="preserve">et </w:t>
      </w:r>
      <w:r w:rsidR="004C275A">
        <w:t>z</w:t>
      </w:r>
      <w:r w:rsidRPr="00C6669D">
        <w:t>ero. Many of these have been considered and quantified throughout the analysis. These include: </w:t>
      </w:r>
    </w:p>
    <w:p w14:paraId="2ECDCB49" w14:textId="10228667" w:rsidR="0021506B" w:rsidRPr="00C6669D" w:rsidRDefault="0021506B" w:rsidP="00D77AED">
      <w:pPr>
        <w:pStyle w:val="Bullets"/>
        <w:ind w:left="1494"/>
      </w:pPr>
      <w:r w:rsidRPr="00C6669D">
        <w:t>Risks that technologies and resources will not be available as they are currently expected to be. This has been considered through four pathways, which reflect differing assumptions about technology availability and performance</w:t>
      </w:r>
      <w:r w:rsidR="00980989">
        <w:t xml:space="preserve"> for particularly uncertain technologies</w:t>
      </w:r>
      <w:r w:rsidRPr="00C6669D">
        <w:t>. </w:t>
      </w:r>
      <w:r w:rsidR="00C82AE7">
        <w:t>It is not possible to fully quantify the technological and resource uncertainty inherent</w:t>
      </w:r>
      <w:r w:rsidRPr="00C6669D">
        <w:t> </w:t>
      </w:r>
      <w:r w:rsidR="00C82AE7">
        <w:t>to the net zero transition.</w:t>
      </w:r>
    </w:p>
    <w:p w14:paraId="27FC88B0" w14:textId="77F6CC6E" w:rsidR="0021506B" w:rsidRPr="00B41C37" w:rsidRDefault="0021506B" w:rsidP="00D77AED">
      <w:pPr>
        <w:pStyle w:val="Bullets"/>
        <w:ind w:left="1494"/>
      </w:pPr>
      <w:r w:rsidRPr="00B41C37">
        <w:t>Uncertainty over future GDP growth, which impacts emissions and thus changes the level of abatement technology deployment required to reach net zero. This has been considered through testing low and high GDP growth as a sensitivity in the cost benefit analysis. </w:t>
      </w:r>
    </w:p>
    <w:p w14:paraId="1E148143" w14:textId="5C0BA0B3" w:rsidR="0021506B" w:rsidRPr="00B41C37" w:rsidRDefault="0021506B" w:rsidP="00D77AED">
      <w:pPr>
        <w:pStyle w:val="Bullets"/>
        <w:ind w:left="1494"/>
      </w:pPr>
      <w:r w:rsidRPr="00B41C37">
        <w:t>Uncertainty over future fuel prices, which impact</w:t>
      </w:r>
      <w:r w:rsidR="000A1657">
        <w:t>s</w:t>
      </w:r>
      <w:r w:rsidRPr="00B41C37">
        <w:t xml:space="preserve"> the relative cost of switching to low carbon alternative fuels. This has been considered through testing low and high fuel price </w:t>
      </w:r>
      <w:r w:rsidR="000C11E5">
        <w:t>assumption</w:t>
      </w:r>
      <w:r w:rsidRPr="00B41C37">
        <w:t>s as a sensitivity in the cost benefit analysis. </w:t>
      </w:r>
    </w:p>
    <w:p w14:paraId="5290F892" w14:textId="165367CA" w:rsidR="0021506B" w:rsidRPr="00B41C37" w:rsidRDefault="0021506B" w:rsidP="00D77AED">
      <w:pPr>
        <w:pStyle w:val="Bullets"/>
        <w:ind w:left="1494"/>
      </w:pPr>
      <w:r w:rsidRPr="00B41C37">
        <w:t>Uncertainty over the social rate of time preference with respect to environmental benefits. This is considered by removing the wealth effect from the standard 3.5% discount rate as a sensitivity in the cost benefit analysis, reflecting the possibility that the value placed by society on the environment is not sensitive to levels of wealth. </w:t>
      </w:r>
    </w:p>
    <w:p w14:paraId="1E9CE47D" w14:textId="52429100" w:rsidR="0021506B" w:rsidRPr="00B41C37" w:rsidRDefault="0021506B" w:rsidP="00D77AED">
      <w:pPr>
        <w:pStyle w:val="Bullets"/>
        <w:ind w:left="1494"/>
      </w:pPr>
      <w:r w:rsidRPr="00B41C37">
        <w:t>Uncertainty over baseline emissions projections and accounting standards, such as the global warming potential standard</w:t>
      </w:r>
      <w:r w:rsidR="00E77AB8">
        <w:t>. This</w:t>
      </w:r>
      <w:r w:rsidRPr="00B41C37">
        <w:t xml:space="preserve"> has been considered by using </w:t>
      </w:r>
      <w:r w:rsidR="331282B1">
        <w:t xml:space="preserve">high </w:t>
      </w:r>
      <w:r w:rsidRPr="00B41C37">
        <w:t xml:space="preserve">assumptions </w:t>
      </w:r>
      <w:r w:rsidR="3A88508D">
        <w:t xml:space="preserve">based on information available at the time </w:t>
      </w:r>
      <w:r w:rsidRPr="00B41C37">
        <w:t>which result in the highest projected emissions</w:t>
      </w:r>
      <w:r w:rsidR="002169D2">
        <w:t xml:space="preserve"> </w:t>
      </w:r>
      <w:r w:rsidR="147D7196">
        <w:t>as currently estimated</w:t>
      </w:r>
      <w:r w:rsidR="2F4F23E9">
        <w:t xml:space="preserve"> </w:t>
      </w:r>
      <w:r w:rsidR="00340154">
        <w:t xml:space="preserve">and which therefore </w:t>
      </w:r>
      <w:r w:rsidR="0BF38065">
        <w:t>define</w:t>
      </w:r>
      <w:r w:rsidR="00340154">
        <w:t xml:space="preserve"> the highest level of abatement that may be required</w:t>
      </w:r>
      <w:r w:rsidR="147D7196">
        <w:t xml:space="preserve"> </w:t>
      </w:r>
      <w:r w:rsidR="00CC19D7">
        <w:t>given</w:t>
      </w:r>
      <w:r w:rsidR="147D7196">
        <w:t xml:space="preserve"> current available information</w:t>
      </w:r>
      <w:r w:rsidR="57AB6F3B">
        <w:t>. </w:t>
      </w:r>
    </w:p>
    <w:p w14:paraId="03F65506" w14:textId="0B787641" w:rsidR="0021506B" w:rsidRPr="00B41C37" w:rsidRDefault="0021506B" w:rsidP="00D77AED">
      <w:pPr>
        <w:pStyle w:val="Bullets"/>
        <w:spacing w:after="240"/>
        <w:ind w:left="1494"/>
      </w:pPr>
      <w:r w:rsidRPr="00B41C37">
        <w:t>Uncertainty over the emissions reductions required to meet global temperature targets. These have been considered by providing confidence intervals to global emissions pathways where appropriate. </w:t>
      </w:r>
    </w:p>
    <w:p w14:paraId="1C2870D8" w14:textId="43FF5984" w:rsidR="0021506B" w:rsidRPr="00C6669D" w:rsidRDefault="0021506B" w:rsidP="009229B3">
      <w:pPr>
        <w:pStyle w:val="Numberedparagraphs"/>
        <w:rPr>
          <w:rFonts w:ascii="Segoe UI" w:hAnsi="Segoe UI" w:cs="Segoe UI"/>
          <w:sz w:val="18"/>
          <w:szCs w:val="18"/>
        </w:rPr>
      </w:pPr>
      <w:r w:rsidRPr="00C6669D">
        <w:t xml:space="preserve">Not all identifiable uncertainties and risks </w:t>
      </w:r>
      <w:r w:rsidR="003E34A6">
        <w:t>have been quantified</w:t>
      </w:r>
      <w:r w:rsidRPr="00C6669D">
        <w:t>, but these have been acknowledged where appropriate. These include: </w:t>
      </w:r>
    </w:p>
    <w:p w14:paraId="567DC1A5" w14:textId="0572C82C" w:rsidR="0021506B" w:rsidRPr="00C6669D" w:rsidRDefault="0021506B" w:rsidP="00D77AED">
      <w:pPr>
        <w:pStyle w:val="Bullets"/>
        <w:ind w:left="1494"/>
      </w:pPr>
      <w:r w:rsidRPr="00C6669D">
        <w:t>Uncertainty over the future development and cost profiles of existing technologies, and the impacts of possible technological innovations that do not currently exist</w:t>
      </w:r>
      <w:r w:rsidR="005B744A">
        <w:t>,</w:t>
      </w:r>
      <w:r w:rsidR="005B13F1">
        <w:t xml:space="preserve"> which are not possible </w:t>
      </w:r>
      <w:r w:rsidR="00834E0E">
        <w:t>to quantify</w:t>
      </w:r>
      <w:r w:rsidRPr="00C6669D">
        <w:t>. </w:t>
      </w:r>
    </w:p>
    <w:p w14:paraId="317AB31B" w14:textId="76D7F0ED" w:rsidR="0021506B" w:rsidRPr="00C6669D" w:rsidRDefault="0021506B" w:rsidP="00D77AED">
      <w:pPr>
        <w:pStyle w:val="Bullets"/>
        <w:ind w:left="1494"/>
      </w:pPr>
      <w:r w:rsidRPr="00C6669D">
        <w:t>The risks to delivery associated with policies that will likely be needed to meet the sixth carbon budget. Since this impact assessment is policy neutral, only technical feasibility has been accounted for in quantified analysis, but likely delivery challenges for each sector ha</w:t>
      </w:r>
      <w:r w:rsidR="006F4D1C">
        <w:t>ve</w:t>
      </w:r>
      <w:r w:rsidRPr="00C6669D">
        <w:t xml:space="preserve"> been considered. </w:t>
      </w:r>
    </w:p>
    <w:p w14:paraId="4B35D652" w14:textId="7A07CE10" w:rsidR="0021506B" w:rsidRPr="00C6669D" w:rsidRDefault="0021506B" w:rsidP="00D77AED">
      <w:pPr>
        <w:pStyle w:val="Bullets"/>
        <w:ind w:left="1494"/>
      </w:pPr>
      <w:r w:rsidRPr="00C6669D">
        <w:t>Uncertainties over the future structure of the economy. Structural changes to the economy may include</w:t>
      </w:r>
      <w:r w:rsidR="00751F82">
        <w:t>,</w:t>
      </w:r>
      <w:r w:rsidRPr="00C6669D">
        <w:t> but are not limited</w:t>
      </w:r>
      <w:r w:rsidR="00751F82">
        <w:t>,</w:t>
      </w:r>
      <w:r w:rsidRPr="00C6669D">
        <w:t xml:space="preserve"> to changing behaviour, consumption or trade patterns.  </w:t>
      </w:r>
    </w:p>
    <w:p w14:paraId="6B6BD483" w14:textId="77777777" w:rsidR="0021506B" w:rsidRPr="00C6669D" w:rsidRDefault="0021506B" w:rsidP="00D77AED">
      <w:pPr>
        <w:pStyle w:val="Bullets"/>
        <w:ind w:left="1494"/>
      </w:pPr>
      <w:r w:rsidRPr="00C6669D">
        <w:t>Uncertainties over global developments in technology, macroeconomy and climate ambition. </w:t>
      </w:r>
    </w:p>
    <w:p w14:paraId="22C4A5CB" w14:textId="41EC5450" w:rsidR="0021506B" w:rsidRPr="00C6669D" w:rsidRDefault="0021506B" w:rsidP="00D77AED">
      <w:pPr>
        <w:pStyle w:val="Bullets"/>
        <w:spacing w:after="240"/>
        <w:ind w:left="1494"/>
      </w:pPr>
      <w:r w:rsidRPr="00C6669D">
        <w:t>Uncertainty over the long-term impacts of climate change.</w:t>
      </w:r>
    </w:p>
    <w:p w14:paraId="6D192E7E" w14:textId="77777777" w:rsidR="0021506B" w:rsidRPr="00C6669D" w:rsidRDefault="0021506B" w:rsidP="009229B3">
      <w:pPr>
        <w:pStyle w:val="Numberedparagraphs"/>
        <w:rPr>
          <w:rFonts w:ascii="Segoe UI" w:hAnsi="Segoe UI" w:cs="Segoe UI"/>
          <w:sz w:val="18"/>
          <w:szCs w:val="18"/>
        </w:rPr>
      </w:pPr>
      <w:r w:rsidRPr="00C6669D">
        <w:lastRenderedPageBreak/>
        <w:t>This does not represent an exhaustive list of the risks and uncertainties over the UK’s transition to net zero. </w:t>
      </w:r>
    </w:p>
    <w:p w14:paraId="0E8CA4CB" w14:textId="555C1EB7" w:rsidR="002172D6" w:rsidRPr="00D77AED" w:rsidRDefault="6B007E25" w:rsidP="006A0C4B">
      <w:pPr>
        <w:pStyle w:val="Heading3"/>
        <w:rPr>
          <w:sz w:val="28"/>
          <w:szCs w:val="28"/>
        </w:rPr>
      </w:pPr>
      <w:bookmarkStart w:id="41" w:name="_Toc67051838"/>
      <w:r w:rsidRPr="00D77AED">
        <w:rPr>
          <w:sz w:val="28"/>
          <w:szCs w:val="28"/>
        </w:rPr>
        <w:t>1.</w:t>
      </w:r>
      <w:r w:rsidR="002A26D2" w:rsidRPr="00D77AED">
        <w:rPr>
          <w:sz w:val="28"/>
          <w:szCs w:val="28"/>
        </w:rPr>
        <w:t xml:space="preserve">4 </w:t>
      </w:r>
      <w:r w:rsidR="3BEBFD5E" w:rsidRPr="00D77AED">
        <w:rPr>
          <w:sz w:val="28"/>
          <w:szCs w:val="28"/>
        </w:rPr>
        <w:t>Accounting and scope</w:t>
      </w:r>
      <w:bookmarkEnd w:id="41"/>
    </w:p>
    <w:p w14:paraId="761939F8" w14:textId="77777777" w:rsidR="00CA23C1" w:rsidRDefault="00B9174F" w:rsidP="009229B3">
      <w:pPr>
        <w:pStyle w:val="Numberedparagraphs"/>
      </w:pPr>
      <w:r>
        <w:t>The accounting basis for the sixth carbon budget does not need to be finalised in law until 203</w:t>
      </w:r>
      <w:r w:rsidR="6284D30B">
        <w:t>9</w:t>
      </w:r>
      <w:r>
        <w:t>, when the 203</w:t>
      </w:r>
      <w:r w:rsidR="5C4BDD55">
        <w:t>7</w:t>
      </w:r>
      <w:r>
        <w:t xml:space="preserve"> annual statement of emission</w:t>
      </w:r>
      <w:r w:rsidR="2522798B">
        <w:t>s</w:t>
      </w:r>
      <w:r>
        <w:t xml:space="preserve"> will be published. Depending on future accounting decisions, carbon accounting regulations may be required to establish the applicable accounting framework. </w:t>
      </w:r>
      <w:r w:rsidR="008E0107">
        <w:t xml:space="preserve">When assessing the different options for the </w:t>
      </w:r>
      <w:r w:rsidR="00434A44">
        <w:t>sixth</w:t>
      </w:r>
      <w:r w:rsidR="008E0107">
        <w:t xml:space="preserve"> carbon budget level, this Impact Assessment </w:t>
      </w:r>
      <w:r w:rsidR="00E26378">
        <w:t xml:space="preserve">has made </w:t>
      </w:r>
      <w:r w:rsidR="008E0107">
        <w:t>assum</w:t>
      </w:r>
      <w:r w:rsidR="00E26378">
        <w:t>ptions</w:t>
      </w:r>
      <w:r w:rsidR="00EA11BD">
        <w:t xml:space="preserve"> about</w:t>
      </w:r>
      <w:r w:rsidR="008E0107">
        <w:t xml:space="preserve"> </w:t>
      </w:r>
      <w:r w:rsidR="00EA11BD">
        <w:t>the</w:t>
      </w:r>
      <w:r w:rsidR="008E0107">
        <w:t xml:space="preserve"> specific scope and accounting framework</w:t>
      </w:r>
      <w:r w:rsidR="00547911">
        <w:t xml:space="preserve"> for emissions</w:t>
      </w:r>
      <w:r w:rsidR="00EB19FD">
        <w:t xml:space="preserve"> </w:t>
      </w:r>
      <w:r w:rsidR="00671F1F">
        <w:t xml:space="preserve">as </w:t>
      </w:r>
      <w:r w:rsidR="00EB19FD">
        <w:t>set out in the sections below</w:t>
      </w:r>
      <w:r w:rsidR="008E0107">
        <w:t>.</w:t>
      </w:r>
    </w:p>
    <w:p w14:paraId="0D433189" w14:textId="6EC1418F" w:rsidR="008E0107" w:rsidRPr="00CA23C1" w:rsidRDefault="004E49CF" w:rsidP="009229B3">
      <w:pPr>
        <w:pStyle w:val="Numberedparagraphs"/>
      </w:pPr>
      <w:r>
        <w:t>However, t</w:t>
      </w:r>
      <w:r w:rsidR="00CC3819">
        <w:t>he international science behind measuring emissions is continually evolving</w:t>
      </w:r>
      <w:r w:rsidR="00671F1F">
        <w:t xml:space="preserve"> and t</w:t>
      </w:r>
      <w:r w:rsidR="008E0107">
        <w:t>h</w:t>
      </w:r>
      <w:r w:rsidR="00671F1F">
        <w:t>e</w:t>
      </w:r>
      <w:r w:rsidR="008E0107">
        <w:t xml:space="preserve"> </w:t>
      </w:r>
      <w:r w:rsidR="00996B39">
        <w:t>assumption</w:t>
      </w:r>
      <w:r w:rsidR="00671F1F">
        <w:t>s made here</w:t>
      </w:r>
      <w:r w:rsidR="00996B39">
        <w:t xml:space="preserve"> </w:t>
      </w:r>
      <w:r w:rsidR="008E0107">
        <w:t xml:space="preserve">do not </w:t>
      </w:r>
      <w:r>
        <w:t xml:space="preserve">therefore </w:t>
      </w:r>
      <w:r w:rsidR="008E0107">
        <w:t xml:space="preserve">preclude </w:t>
      </w:r>
      <w:r w:rsidR="00C354A0">
        <w:t>futu</w:t>
      </w:r>
      <w:r w:rsidR="006C5506">
        <w:t xml:space="preserve">re </w:t>
      </w:r>
      <w:r w:rsidR="008E0107">
        <w:t>decision</w:t>
      </w:r>
      <w:r w:rsidR="006939F2">
        <w:t>s that are</w:t>
      </w:r>
      <w:r w:rsidR="008E0107">
        <w:t xml:space="preserve"> still to be made </w:t>
      </w:r>
      <w:r w:rsidR="00AB31B1">
        <w:t xml:space="preserve">on emissions accounting </w:t>
      </w:r>
      <w:r w:rsidR="008E0107">
        <w:t>at both domestic and international level. If future accounting decisions turn out to differ from the assumptions made in this Impact Assessment, this would not automatically lead to a change in the budget level</w:t>
      </w:r>
      <w:r w:rsidR="00C374E8">
        <w:t>.  However,</w:t>
      </w:r>
      <w:r w:rsidR="008E0107">
        <w:t xml:space="preserve"> t</w:t>
      </w:r>
      <w:r w:rsidR="008E0107" w:rsidRPr="008D3714">
        <w:t xml:space="preserve">he </w:t>
      </w:r>
      <w:r w:rsidR="00594D86">
        <w:t>Climate Change Act</w:t>
      </w:r>
      <w:r w:rsidR="008E0107" w:rsidRPr="008D3714">
        <w:t xml:space="preserve"> allows for legislated carbon budget levels to be amended if the </w:t>
      </w:r>
      <w:r w:rsidR="00E63D0E">
        <w:t>g</w:t>
      </w:r>
      <w:r w:rsidR="007C6560">
        <w:t>overnment</w:t>
      </w:r>
      <w:r w:rsidR="008E0107" w:rsidRPr="008D3714">
        <w:t xml:space="preserve"> believes that,</w:t>
      </w:r>
      <w:r w:rsidR="008E0107">
        <w:t xml:space="preserve"> </w:t>
      </w:r>
      <w:r w:rsidR="008E0107" w:rsidRPr="008D3714">
        <w:t>since the budget level was originally set, there have been significant changes affecting the basis</w:t>
      </w:r>
      <w:r w:rsidR="00FC7937">
        <w:t xml:space="preserve"> </w:t>
      </w:r>
      <w:r w:rsidR="008E0107" w:rsidRPr="008D3714">
        <w:t xml:space="preserve">on which the previous decision was made (Section 21 of the </w:t>
      </w:r>
      <w:r w:rsidR="00594D86">
        <w:t>Climate Change Act</w:t>
      </w:r>
      <w:r w:rsidR="008E0107" w:rsidRPr="008D3714">
        <w:t>).</w:t>
      </w:r>
    </w:p>
    <w:p w14:paraId="65D01BE0" w14:textId="06FD01F0" w:rsidR="008E0107" w:rsidRPr="00CA23C1" w:rsidRDefault="008E0107" w:rsidP="00CA23C1">
      <w:pPr>
        <w:pStyle w:val="Heading4"/>
        <w:spacing w:after="200"/>
        <w:rPr>
          <w:szCs w:val="24"/>
          <w:u w:val="single"/>
        </w:rPr>
      </w:pPr>
      <w:r w:rsidRPr="00CA23C1">
        <w:rPr>
          <w:szCs w:val="24"/>
        </w:rPr>
        <w:t xml:space="preserve">Territorial accounting </w:t>
      </w:r>
    </w:p>
    <w:p w14:paraId="6A4D9EE7" w14:textId="0CAB8717" w:rsidR="004553A1" w:rsidRDefault="00F26AE7" w:rsidP="009229B3">
      <w:pPr>
        <w:pStyle w:val="Numberedparagraphs"/>
        <w:rPr>
          <w:rFonts w:eastAsia="Arial" w:cs="Arial"/>
          <w:color w:val="000000" w:themeColor="text1"/>
        </w:rPr>
      </w:pPr>
      <w:r w:rsidRPr="00797C48">
        <w:t xml:space="preserve">When setting </w:t>
      </w:r>
      <w:r>
        <w:t xml:space="preserve">previous carbon budgets, Impact Assessments </w:t>
      </w:r>
      <w:r w:rsidRPr="00797C48">
        <w:t>follow</w:t>
      </w:r>
      <w:r>
        <w:t xml:space="preserve">ed </w:t>
      </w:r>
      <w:r w:rsidR="007041AF">
        <w:t>a net accounting framework that</w:t>
      </w:r>
      <w:r w:rsidRPr="00797C48">
        <w:t xml:space="preserve"> construct</w:t>
      </w:r>
      <w:r>
        <w:t>ed</w:t>
      </w:r>
      <w:r w:rsidRPr="00797C48">
        <w:t xml:space="preserve"> the total carbon budget as a sum of </w:t>
      </w:r>
      <w:r w:rsidR="0051107D">
        <w:t xml:space="preserve">two </w:t>
      </w:r>
      <w:r w:rsidRPr="00797C48">
        <w:t>individual components</w:t>
      </w:r>
      <w:r w:rsidR="0024461B">
        <w:t xml:space="preserve">: </w:t>
      </w:r>
      <w:r w:rsidR="0071054D">
        <w:t xml:space="preserve">i) </w:t>
      </w:r>
      <w:r w:rsidR="003D7840">
        <w:t>emissions covered b</w:t>
      </w:r>
      <w:r w:rsidR="0071054D">
        <w:t>y the EU Emissions Trading System (ETS), known as “traded sector” emissions</w:t>
      </w:r>
      <w:r w:rsidR="0294093B">
        <w:t xml:space="preserve"> (around one third of all UK emissions)</w:t>
      </w:r>
      <w:r w:rsidR="6B49A35E">
        <w:t>;</w:t>
      </w:r>
      <w:r w:rsidR="004553A1">
        <w:t xml:space="preserve"> and </w:t>
      </w:r>
      <w:r w:rsidR="0067031D">
        <w:t>ii</w:t>
      </w:r>
      <w:r w:rsidR="004553A1">
        <w:t xml:space="preserve">) emissions outside the EU ETS known as “non-traded sector” emissions. </w:t>
      </w:r>
      <w:r w:rsidR="43164207">
        <w:t xml:space="preserve">When the UK was part of the EU ETS, </w:t>
      </w:r>
      <w:r w:rsidR="00437171">
        <w:t>t</w:t>
      </w:r>
      <w:r w:rsidR="00437171" w:rsidRPr="0EDB8CFC">
        <w:rPr>
          <w:color w:val="000000" w:themeColor="text1"/>
        </w:rPr>
        <w:t>he</w:t>
      </w:r>
      <w:r w:rsidR="29E0452E" w:rsidRPr="0EDB8CFC">
        <w:rPr>
          <w:color w:val="000000" w:themeColor="text1"/>
        </w:rPr>
        <w:t xml:space="preserve"> UK share of EU ETS allowances was used to calculate “traded sector”</w:t>
      </w:r>
      <w:r w:rsidR="29E0452E" w:rsidRPr="79E2B575">
        <w:rPr>
          <w:color w:val="000000" w:themeColor="text1"/>
        </w:rPr>
        <w:t xml:space="preserve"> emissions</w:t>
      </w:r>
      <w:r w:rsidR="336F1896" w:rsidRPr="0871276F">
        <w:rPr>
          <w:color w:val="000000" w:themeColor="text1"/>
        </w:rPr>
        <w:t>,</w:t>
      </w:r>
      <w:r w:rsidR="336F1896" w:rsidRPr="0EDB8CFC">
        <w:rPr>
          <w:rFonts w:eastAsia="Arial" w:cs="Arial"/>
          <w:color w:val="000000" w:themeColor="text1"/>
        </w:rPr>
        <w:t xml:space="preserve"> and emissions in the </w:t>
      </w:r>
      <w:r w:rsidR="6C270726" w:rsidRPr="0871276F">
        <w:rPr>
          <w:rFonts w:eastAsia="Arial" w:cs="Arial"/>
          <w:color w:val="000000" w:themeColor="text1"/>
        </w:rPr>
        <w:t>“</w:t>
      </w:r>
      <w:r w:rsidR="336F1896" w:rsidRPr="0EDB8CFC">
        <w:rPr>
          <w:rFonts w:eastAsia="Arial" w:cs="Arial"/>
          <w:color w:val="000000" w:themeColor="text1"/>
        </w:rPr>
        <w:t>non-traded sector</w:t>
      </w:r>
      <w:r w:rsidR="3302E653" w:rsidRPr="0871276F">
        <w:rPr>
          <w:rFonts w:eastAsia="Arial" w:cs="Arial"/>
          <w:color w:val="000000" w:themeColor="text1"/>
        </w:rPr>
        <w:t>”</w:t>
      </w:r>
      <w:r w:rsidR="336F1896" w:rsidRPr="0EDB8CFC">
        <w:rPr>
          <w:rFonts w:eastAsia="Arial" w:cs="Arial"/>
          <w:color w:val="000000" w:themeColor="text1"/>
        </w:rPr>
        <w:t xml:space="preserve"> we</w:t>
      </w:r>
      <w:r w:rsidR="336F1896" w:rsidRPr="0871276F">
        <w:rPr>
          <w:rFonts w:eastAsia="Arial" w:cs="Arial"/>
          <w:color w:val="000000" w:themeColor="text1"/>
        </w:rPr>
        <w:t>re</w:t>
      </w:r>
      <w:r w:rsidR="336F1896" w:rsidRPr="0EDB8CFC">
        <w:rPr>
          <w:rFonts w:eastAsia="Arial" w:cs="Arial"/>
          <w:color w:val="000000" w:themeColor="text1"/>
        </w:rPr>
        <w:t xml:space="preserve"> measured as actually emitted.</w:t>
      </w:r>
    </w:p>
    <w:p w14:paraId="4A7BADAE" w14:textId="334018BF" w:rsidR="008E0107" w:rsidRPr="00797C48" w:rsidRDefault="005D5C4F" w:rsidP="009229B3">
      <w:pPr>
        <w:pStyle w:val="Numberedparagraphs"/>
      </w:pPr>
      <w:r>
        <w:t>T</w:t>
      </w:r>
      <w:r w:rsidR="008E0107">
        <w:t xml:space="preserve">he UK has </w:t>
      </w:r>
      <w:r w:rsidR="00FB5F9B">
        <w:t xml:space="preserve">now </w:t>
      </w:r>
      <w:r w:rsidR="008E0107">
        <w:t>left the European Union</w:t>
      </w:r>
      <w:r>
        <w:t xml:space="preserve"> and is</w:t>
      </w:r>
      <w:r w:rsidR="2DD46B8B" w:rsidRPr="123A0C3B">
        <w:t xml:space="preserve"> no longer a part of the EU</w:t>
      </w:r>
      <w:r w:rsidR="008E0107">
        <w:t xml:space="preserve"> </w:t>
      </w:r>
      <w:r w:rsidR="210B6A03" w:rsidRPr="07DF8598">
        <w:t>ETS</w:t>
      </w:r>
      <w:r>
        <w:t>. A</w:t>
      </w:r>
      <w:r w:rsidR="008E0107">
        <w:t xml:space="preserve"> UK E</w:t>
      </w:r>
      <w:r>
        <w:t>missions Trading Scheme</w:t>
      </w:r>
      <w:r w:rsidR="001A53AB">
        <w:t>,</w:t>
      </w:r>
      <w:r w:rsidR="44BEA687">
        <w:t xml:space="preserve"> </w:t>
      </w:r>
      <w:r w:rsidR="00B079B5">
        <w:t>which is currently standalone</w:t>
      </w:r>
      <w:r w:rsidR="001A53AB">
        <w:t>,</w:t>
      </w:r>
      <w:r w:rsidR="008E0107">
        <w:t xml:space="preserve"> has </w:t>
      </w:r>
      <w:r w:rsidR="1BC8F166" w:rsidRPr="07DF8598">
        <w:t>been established in its place</w:t>
      </w:r>
      <w:r w:rsidR="00BA0866">
        <w:t xml:space="preserve"> (although electricity generators in Northern Ireland continue to participate in the EU ETS)</w:t>
      </w:r>
      <w:r w:rsidR="00BA0866" w:rsidRPr="07DF8598">
        <w:t xml:space="preserve">. </w:t>
      </w:r>
      <w:r w:rsidR="264001A3">
        <w:t>T</w:t>
      </w:r>
      <w:r w:rsidR="15ADA835" w:rsidRPr="07DF8598">
        <w:t>he</w:t>
      </w:r>
      <w:r w:rsidR="008E0107">
        <w:t xml:space="preserve"> CCC have made their recommendation to </w:t>
      </w:r>
      <w:r w:rsidR="72FB8AD7" w:rsidRPr="03993EA0">
        <w:t>set</w:t>
      </w:r>
      <w:r w:rsidR="008E0107">
        <w:t xml:space="preserve"> the </w:t>
      </w:r>
      <w:r w:rsidR="00434A44">
        <w:t>sixth</w:t>
      </w:r>
      <w:r w:rsidR="008E0107">
        <w:t xml:space="preserve"> carbon budget level on a territorial </w:t>
      </w:r>
      <w:r w:rsidR="008E0107" w:rsidRPr="77CAF78A">
        <w:t>bas</w:t>
      </w:r>
      <w:r w:rsidR="491BE69A" w:rsidRPr="77CAF78A">
        <w:t>i</w:t>
      </w:r>
      <w:r w:rsidR="008E0107" w:rsidRPr="77CAF78A">
        <w:t>s</w:t>
      </w:r>
      <w:r w:rsidR="008E0107">
        <w:t>, i.e</w:t>
      </w:r>
      <w:r w:rsidR="00437171">
        <w:t>.,</w:t>
      </w:r>
      <w:r w:rsidR="008E0107">
        <w:t xml:space="preserve"> accounting for all actual emissions</w:t>
      </w:r>
      <w:r w:rsidR="2E7CF0E1" w:rsidRPr="6BE264D2">
        <w:t xml:space="preserve"> occurring within the UK</w:t>
      </w:r>
      <w:r w:rsidR="52EE32CB" w:rsidRPr="6BE264D2">
        <w:t>.</w:t>
      </w:r>
      <w:r w:rsidR="008E0107">
        <w:t xml:space="preserve"> This Impact Assessment </w:t>
      </w:r>
      <w:r w:rsidR="72FB8AD7" w:rsidRPr="03993EA0">
        <w:t>assesses</w:t>
      </w:r>
      <w:r w:rsidR="008E0107">
        <w:t xml:space="preserve"> the carbon budget options on the same basis. This does not preclude any future decisions on the UK ETS or future carbon accounting regulations.</w:t>
      </w:r>
    </w:p>
    <w:p w14:paraId="7F9BC405" w14:textId="3D0238F2" w:rsidR="008E0107" w:rsidRPr="00CA23C1" w:rsidRDefault="008E0107" w:rsidP="00CA23C1">
      <w:pPr>
        <w:pStyle w:val="Heading4"/>
        <w:spacing w:after="200"/>
        <w:rPr>
          <w:szCs w:val="24"/>
          <w:u w:val="single"/>
        </w:rPr>
      </w:pPr>
      <w:r w:rsidRPr="00CA23C1">
        <w:rPr>
          <w:szCs w:val="24"/>
        </w:rPr>
        <w:t>Global Warming potential</w:t>
      </w:r>
    </w:p>
    <w:p w14:paraId="5C2FC69E" w14:textId="77777777" w:rsidR="00CA23C1" w:rsidRDefault="008E0107" w:rsidP="009229B3">
      <w:pPr>
        <w:pStyle w:val="Numberedparagraphs"/>
      </w:pPr>
      <w:r>
        <w:t>The UK’s performance against its climate change targets is measured in terms of tonnes of carbon dioxide equivalents (tCO</w:t>
      </w:r>
      <w:r w:rsidRPr="008A2654">
        <w:rPr>
          <w:vertAlign w:val="subscript"/>
        </w:rPr>
        <w:t>2</w:t>
      </w:r>
      <w:r>
        <w:t xml:space="preserve">e). Emissions of each greenhouse gas covered by the </w:t>
      </w:r>
      <w:r w:rsidR="00594D86">
        <w:t>Climate Change Act</w:t>
      </w:r>
      <w:r>
        <w:t xml:space="preserve"> are expressed in CO</w:t>
      </w:r>
      <w:r w:rsidRPr="008A2654">
        <w:rPr>
          <w:vertAlign w:val="subscript"/>
        </w:rPr>
        <w:t>2</w:t>
      </w:r>
      <w:r>
        <w:t xml:space="preserve">e, recognising the different global warming potentials (GWP) of the different gases. The IPCC have proposed an updated set of GWPs in their </w:t>
      </w:r>
      <w:r w:rsidRPr="00D34FF9">
        <w:t>Fifth Assessment Report (AR5</w:t>
      </w:r>
      <w:r>
        <w:t>)</w:t>
      </w:r>
      <w:r w:rsidR="001840A4">
        <w:rPr>
          <w:rStyle w:val="FootnoteReference"/>
        </w:rPr>
        <w:footnoteReference w:id="9"/>
      </w:r>
      <w:r w:rsidR="00685FA3">
        <w:t>, affecting the GWP</w:t>
      </w:r>
      <w:r w:rsidR="00871F0A">
        <w:t xml:space="preserve"> of </w:t>
      </w:r>
      <w:r w:rsidR="00F854B4">
        <w:t xml:space="preserve">methane, nitrous oxide, and some F-gases. </w:t>
      </w:r>
      <w:r w:rsidR="00FE1BEF">
        <w:t xml:space="preserve">This update </w:t>
      </w:r>
      <w:r w:rsidR="00F854B4">
        <w:t>changes</w:t>
      </w:r>
      <w:r w:rsidR="00FE1BEF">
        <w:t xml:space="preserve"> the CO</w:t>
      </w:r>
      <w:r w:rsidR="00FE1BEF" w:rsidRPr="006A0C4B">
        <w:rPr>
          <w:vertAlign w:val="subscript"/>
        </w:rPr>
        <w:t>2</w:t>
      </w:r>
      <w:r w:rsidR="00FE1BEF">
        <w:t>e of these gases</w:t>
      </w:r>
      <w:r w:rsidR="00A41516">
        <w:t>,</w:t>
      </w:r>
      <w:r w:rsidR="00D9203E">
        <w:t xml:space="preserve"> </w:t>
      </w:r>
      <w:r w:rsidR="00CB2809">
        <w:t>b</w:t>
      </w:r>
      <w:r>
        <w:t>ut there is still uncertainty around whether those values will be adopted</w:t>
      </w:r>
      <w:r w:rsidR="00340C95">
        <w:t xml:space="preserve"> internationally</w:t>
      </w:r>
      <w:r>
        <w:t xml:space="preserve"> with or without carbon-cycle feedbacks</w:t>
      </w:r>
      <w:r w:rsidR="00B37A74">
        <w:t>. In e</w:t>
      </w:r>
      <w:r>
        <w:t>ither case, the values are different from the GWP</w:t>
      </w:r>
      <w:r w:rsidR="000951F4">
        <w:t>s</w:t>
      </w:r>
      <w:r>
        <w:t xml:space="preserve"> used in </w:t>
      </w:r>
      <w:r>
        <w:lastRenderedPageBreak/>
        <w:t xml:space="preserve">the current UK </w:t>
      </w:r>
      <w:r w:rsidR="00CD754D">
        <w:t xml:space="preserve">GHG </w:t>
      </w:r>
      <w:r>
        <w:t>inventor</w:t>
      </w:r>
      <w:r w:rsidR="00B37A74">
        <w:t xml:space="preserve">y </w:t>
      </w:r>
      <w:r w:rsidR="00FD25BA">
        <w:t>and i</w:t>
      </w:r>
      <w:r w:rsidR="00B37A74">
        <w:t xml:space="preserve">t is expected that the updated values or even a </w:t>
      </w:r>
      <w:r w:rsidR="00A51413">
        <w:t>subsequent</w:t>
      </w:r>
      <w:r w:rsidR="00B37A74">
        <w:t xml:space="preserve"> update will be in place b</w:t>
      </w:r>
      <w:r>
        <w:t xml:space="preserve">y the time of the </w:t>
      </w:r>
      <w:r w:rsidR="00434A44">
        <w:t>sixth</w:t>
      </w:r>
      <w:r>
        <w:t xml:space="preserve"> </w:t>
      </w:r>
      <w:r w:rsidR="00652A59">
        <w:t>carbon budget</w:t>
      </w:r>
      <w:r>
        <w:t xml:space="preserve"> period</w:t>
      </w:r>
      <w:r w:rsidR="002F1749">
        <w:t>.</w:t>
      </w:r>
    </w:p>
    <w:p w14:paraId="63A796ED" w14:textId="2FE37C0F" w:rsidR="008E0107" w:rsidRPr="00D33F17" w:rsidRDefault="00CE533C" w:rsidP="009229B3">
      <w:pPr>
        <w:pStyle w:val="Numberedparagraphs"/>
      </w:pPr>
      <w:r>
        <w:t>To</w:t>
      </w:r>
      <w:r w:rsidR="00436F81">
        <w:t xml:space="preserve"> reflect this and ensure that</w:t>
      </w:r>
      <w:r w:rsidR="00D730C6">
        <w:t xml:space="preserve"> </w:t>
      </w:r>
      <w:r w:rsidR="008E0107">
        <w:t xml:space="preserve">the </w:t>
      </w:r>
      <w:r w:rsidR="00434A44">
        <w:t>sixth</w:t>
      </w:r>
      <w:r w:rsidR="008E0107">
        <w:t xml:space="preserve"> carbon budget can </w:t>
      </w:r>
      <w:r w:rsidR="00B819E2">
        <w:t xml:space="preserve">still </w:t>
      </w:r>
      <w:r w:rsidR="008E0107">
        <w:t xml:space="preserve">be met </w:t>
      </w:r>
      <w:r w:rsidR="00B819E2">
        <w:t xml:space="preserve">after </w:t>
      </w:r>
      <w:r w:rsidR="00D730C6">
        <w:t>these</w:t>
      </w:r>
      <w:r w:rsidR="00B819E2">
        <w:t xml:space="preserve"> potential changes</w:t>
      </w:r>
      <w:r w:rsidR="009E0B37">
        <w:t>,</w:t>
      </w:r>
      <w:r w:rsidR="00D730C6">
        <w:t xml:space="preserve"> </w:t>
      </w:r>
      <w:r w:rsidR="00EF34DE">
        <w:t xml:space="preserve">the Impact Assessment uses the </w:t>
      </w:r>
      <w:r w:rsidR="00C10B90">
        <w:t xml:space="preserve">higher </w:t>
      </w:r>
      <w:r w:rsidR="00EF34DE">
        <w:t>AR5 GWP values</w:t>
      </w:r>
      <w:r w:rsidR="00C10B90">
        <w:t>, i.e</w:t>
      </w:r>
      <w:r w:rsidR="00437171">
        <w:t>.,</w:t>
      </w:r>
      <w:r w:rsidR="00C10B90">
        <w:t xml:space="preserve"> those </w:t>
      </w:r>
      <w:r w:rsidR="00EF34DE">
        <w:t>with carbon-cycle feedback</w:t>
      </w:r>
      <w:r w:rsidR="008E0107">
        <w:t xml:space="preserve">. </w:t>
      </w:r>
      <w:r w:rsidR="00F854B4">
        <w:t>Compared to the GWP used in the current UK inventory, this affects the GWP of methane.</w:t>
      </w:r>
      <w:r w:rsidR="008E0107">
        <w:t xml:space="preserve"> This does not preclude a decision on which AR5 GWP values will be adopted internationally. The CCC</w:t>
      </w:r>
      <w:r w:rsidR="0093492F">
        <w:t>’s</w:t>
      </w:r>
      <w:r w:rsidR="008E0107">
        <w:t xml:space="preserve"> advice on the </w:t>
      </w:r>
      <w:r w:rsidR="00434A44">
        <w:t>sixth</w:t>
      </w:r>
      <w:r w:rsidR="008E0107">
        <w:t xml:space="preserve"> carbon budget follows the same approach. </w:t>
      </w:r>
    </w:p>
    <w:p w14:paraId="2F55FDE1" w14:textId="451B0B10" w:rsidR="008E0107" w:rsidRPr="00CA23C1" w:rsidRDefault="008E0107" w:rsidP="00CA23C1">
      <w:pPr>
        <w:pStyle w:val="Heading4"/>
        <w:spacing w:after="200"/>
        <w:rPr>
          <w:szCs w:val="24"/>
          <w:u w:val="single"/>
        </w:rPr>
      </w:pPr>
      <w:bookmarkStart w:id="42" w:name="_Hlk64563517"/>
      <w:r w:rsidRPr="00CA23C1">
        <w:rPr>
          <w:szCs w:val="24"/>
        </w:rPr>
        <w:t>Emissions from peatlands</w:t>
      </w:r>
    </w:p>
    <w:p w14:paraId="7B8542A9" w14:textId="14C07B25" w:rsidR="001B5860" w:rsidRDefault="001B5860" w:rsidP="009229B3">
      <w:pPr>
        <w:pStyle w:val="Numberedparagraphs"/>
      </w:pPr>
      <w:r>
        <w:t>Emissions from peatlands were only</w:t>
      </w:r>
      <w:r w:rsidR="002A5B81">
        <w:t xml:space="preserve"> partially</w:t>
      </w:r>
      <w:r>
        <w:t xml:space="preserve"> captured in the UK GHG inventory when </w:t>
      </w:r>
      <w:r w:rsidR="00CB2809">
        <w:t xml:space="preserve">the first five </w:t>
      </w:r>
      <w:r w:rsidR="00652A59">
        <w:t>carbon budget</w:t>
      </w:r>
      <w:r>
        <w:t xml:space="preserve">s were set. A major revision in the inventory was implemented in </w:t>
      </w:r>
      <w:r w:rsidR="00241C9F">
        <w:t>February 2021 for</w:t>
      </w:r>
      <w:r>
        <w:t xml:space="preserve"> the 1990-2019 inventory</w:t>
      </w:r>
      <w:r w:rsidR="006641A9">
        <w:rPr>
          <w:rStyle w:val="FootnoteReference"/>
        </w:rPr>
        <w:footnoteReference w:id="10"/>
      </w:r>
      <w:r w:rsidR="00A9212D" w:rsidRPr="001046F7">
        <w:rPr>
          <w:vertAlign w:val="superscript"/>
        </w:rPr>
        <w:t>,</w:t>
      </w:r>
      <w:r w:rsidR="006641A9">
        <w:rPr>
          <w:rStyle w:val="FootnoteReference"/>
        </w:rPr>
        <w:footnoteReference w:id="11"/>
      </w:r>
      <w:r>
        <w:t xml:space="preserve"> to represent </w:t>
      </w:r>
      <w:r w:rsidR="0014597A">
        <w:t xml:space="preserve">these </w:t>
      </w:r>
      <w:r>
        <w:t>emissions with methodologies consistent with the IPCC Wetlands Supplement</w:t>
      </w:r>
      <w:r w:rsidR="009B4191">
        <w:t>.</w:t>
      </w:r>
      <w:r w:rsidR="00424B9B">
        <w:rPr>
          <w:rStyle w:val="FootnoteReference"/>
        </w:rPr>
        <w:footnoteReference w:id="12"/>
      </w:r>
      <w:r>
        <w:t xml:space="preserve"> </w:t>
      </w:r>
      <w:r w:rsidR="0093279E">
        <w:t xml:space="preserve">These </w:t>
      </w:r>
      <w:r>
        <w:t>emissions remain subject to very large uncertainties. This Impact Assessment is based on the assumptions of the Evans. et al. report (2017)</w:t>
      </w:r>
      <w:r w:rsidR="00A9212D">
        <w:t>.</w:t>
      </w:r>
      <w:r w:rsidR="00A9212D" w:rsidRPr="0061396A">
        <w:rPr>
          <w:rStyle w:val="FootnoteReference"/>
        </w:rPr>
        <w:footnoteReference w:id="13"/>
      </w:r>
      <w:r>
        <w:t xml:space="preserve"> </w:t>
      </w:r>
    </w:p>
    <w:p w14:paraId="4E47CCC8" w14:textId="4B1719A6" w:rsidR="008E0107" w:rsidRPr="00861D79" w:rsidRDefault="001B5860" w:rsidP="009229B3">
      <w:pPr>
        <w:pStyle w:val="Numberedparagraphs"/>
      </w:pPr>
      <w:r>
        <w:t xml:space="preserve">Overall, assumptions </w:t>
      </w:r>
      <w:r w:rsidR="00403DD5">
        <w:t>used in</w:t>
      </w:r>
      <w:r>
        <w:t xml:space="preserve"> this </w:t>
      </w:r>
      <w:r w:rsidR="007646C3">
        <w:t>I</w:t>
      </w:r>
      <w:r>
        <w:t xml:space="preserve">mpact </w:t>
      </w:r>
      <w:r w:rsidR="007646C3">
        <w:t>A</w:t>
      </w:r>
      <w:r>
        <w:t xml:space="preserve">ssessment </w:t>
      </w:r>
      <w:r w:rsidR="006520B4">
        <w:t xml:space="preserve">for </w:t>
      </w:r>
      <w:r w:rsidR="007A2233">
        <w:t xml:space="preserve">peatlands emissions </w:t>
      </w:r>
      <w:r>
        <w:t>are about 4-5 MtCO</w:t>
      </w:r>
      <w:r w:rsidRPr="006A0C4B">
        <w:rPr>
          <w:vertAlign w:val="subscript"/>
        </w:rPr>
        <w:t>2</w:t>
      </w:r>
      <w:r>
        <w:t>e</w:t>
      </w:r>
      <w:r w:rsidR="002A5B81">
        <w:t xml:space="preserve"> per year</w:t>
      </w:r>
      <w:r>
        <w:t xml:space="preserve"> </w:t>
      </w:r>
      <w:r w:rsidR="009B24AE">
        <w:t>higher</w:t>
      </w:r>
      <w:r w:rsidR="000557C5">
        <w:t xml:space="preserve"> </w:t>
      </w:r>
      <w:r>
        <w:t xml:space="preserve">than the estimates included in the GHG inventory 1990-2019 (the main differences being a different set of assumptions for forest soils). </w:t>
      </w:r>
      <w:r w:rsidR="000557C5">
        <w:t>T</w:t>
      </w:r>
      <w:r>
        <w:t>ak</w:t>
      </w:r>
      <w:r w:rsidR="0021575E">
        <w:t>ing</w:t>
      </w:r>
      <w:r>
        <w:t xml:space="preserve"> a higher estimate in this analysis ensures that the </w:t>
      </w:r>
      <w:r w:rsidR="00434A44">
        <w:t>sixth</w:t>
      </w:r>
      <w:r>
        <w:t xml:space="preserve"> carbon budget can be met even in a scenario where peatland emissions are slightly higher than the assumptions currently considered as the most accurate. A similar approach was taken by the CCC in its analysis.</w:t>
      </w:r>
      <w:bookmarkEnd w:id="42"/>
    </w:p>
    <w:p w14:paraId="3387F324" w14:textId="229DB03F" w:rsidR="008E0107" w:rsidRPr="00CA23C1" w:rsidRDefault="12514CD3" w:rsidP="00CA23C1">
      <w:pPr>
        <w:pStyle w:val="Heading4"/>
        <w:spacing w:after="200"/>
        <w:rPr>
          <w:rFonts w:cs="Arial"/>
          <w:szCs w:val="24"/>
          <w:u w:val="single"/>
        </w:rPr>
      </w:pPr>
      <w:r w:rsidRPr="00CA23C1">
        <w:rPr>
          <w:szCs w:val="24"/>
        </w:rPr>
        <w:t>International Carbon Units</w:t>
      </w:r>
    </w:p>
    <w:p w14:paraId="018787CB" w14:textId="2D527361" w:rsidR="008E0107" w:rsidRPr="00782C78" w:rsidRDefault="235C93B6" w:rsidP="009229B3">
      <w:pPr>
        <w:pStyle w:val="Numberedparagraphs"/>
        <w:rPr>
          <w:rFonts w:eastAsia="Arial" w:cs="Arial"/>
          <w:color w:val="000000" w:themeColor="text1"/>
        </w:rPr>
      </w:pPr>
      <w:r w:rsidRPr="682ED5A6">
        <w:t>T</w:t>
      </w:r>
      <w:r w:rsidR="7D803D1A" w:rsidRPr="682ED5A6">
        <w:t xml:space="preserve">he </w:t>
      </w:r>
      <w:r w:rsidR="00594D86">
        <w:t>Climate Change Act</w:t>
      </w:r>
      <w:r w:rsidR="7D803D1A" w:rsidRPr="682ED5A6">
        <w:t xml:space="preserve"> allow</w:t>
      </w:r>
      <w:r w:rsidR="00EB2E59" w:rsidRPr="682ED5A6">
        <w:t>s</w:t>
      </w:r>
      <w:r w:rsidR="7D803D1A" w:rsidRPr="682ED5A6">
        <w:t xml:space="preserve"> the </w:t>
      </w:r>
      <w:r w:rsidR="00D139C0">
        <w:t xml:space="preserve">potential </w:t>
      </w:r>
      <w:r w:rsidR="00C8207D">
        <w:t>f</w:t>
      </w:r>
      <w:r w:rsidR="00D139C0">
        <w:t>or</w:t>
      </w:r>
      <w:r w:rsidR="00C8207D">
        <w:t xml:space="preserve"> </w:t>
      </w:r>
      <w:r w:rsidR="7D803D1A" w:rsidRPr="682ED5A6">
        <w:t xml:space="preserve">the purchase of </w:t>
      </w:r>
      <w:r w:rsidR="33F57D0B" w:rsidRPr="682ED5A6">
        <w:t>International Carbon Units (</w:t>
      </w:r>
      <w:r w:rsidR="7D803D1A" w:rsidRPr="682ED5A6">
        <w:t>ICUs</w:t>
      </w:r>
      <w:r w:rsidR="55F9FB23" w:rsidRPr="682ED5A6">
        <w:t>)</w:t>
      </w:r>
      <w:r w:rsidR="00C8207D">
        <w:t xml:space="preserve"> to count against meeting carbon budgets.</w:t>
      </w:r>
      <w:r w:rsidR="00D84B39">
        <w:t xml:space="preserve"> </w:t>
      </w:r>
      <w:r w:rsidR="7D1068A6" w:rsidRPr="0C3B1BF1">
        <w:rPr>
          <w:rFonts w:eastAsia="Arial" w:cs="Arial"/>
          <w:color w:val="000000" w:themeColor="text1"/>
        </w:rPr>
        <w:t xml:space="preserve">The Act places a statutory duty upon </w:t>
      </w:r>
      <w:r w:rsidR="007C6560" w:rsidRPr="0C3B1BF1">
        <w:rPr>
          <w:rFonts w:eastAsia="Arial" w:cs="Arial"/>
          <w:color w:val="000000" w:themeColor="text1"/>
        </w:rPr>
        <w:t>government</w:t>
      </w:r>
      <w:r w:rsidR="7D1068A6" w:rsidRPr="0C3B1BF1">
        <w:rPr>
          <w:rFonts w:eastAsia="Arial" w:cs="Arial"/>
          <w:color w:val="000000" w:themeColor="text1"/>
        </w:rPr>
        <w:t xml:space="preserve"> to set a limit on the quantity of ICUs that can be used to meet a carbon budget. This ICU credit limit</w:t>
      </w:r>
      <w:r w:rsidR="00A755B3" w:rsidRPr="0C3B1BF1">
        <w:rPr>
          <w:rFonts w:eastAsia="Arial" w:cs="Arial"/>
          <w:color w:val="000000" w:themeColor="text1"/>
        </w:rPr>
        <w:t>, which caps the net amount of ICUs that can be credited to the net UK carbon account for that budgetary period,</w:t>
      </w:r>
      <w:r w:rsidR="7D1068A6" w:rsidRPr="0C3B1BF1">
        <w:rPr>
          <w:rFonts w:eastAsia="Arial" w:cs="Arial"/>
          <w:color w:val="000000" w:themeColor="text1"/>
        </w:rPr>
        <w:t xml:space="preserve"> </w:t>
      </w:r>
      <w:r w:rsidR="00C3681C" w:rsidRPr="0C3B1BF1">
        <w:rPr>
          <w:rFonts w:eastAsia="Arial" w:cs="Arial"/>
          <w:color w:val="000000" w:themeColor="text1"/>
        </w:rPr>
        <w:t>must be set</w:t>
      </w:r>
      <w:r w:rsidR="00C3681C">
        <w:t xml:space="preserve"> </w:t>
      </w:r>
      <w:r w:rsidR="00C3681C" w:rsidRPr="0C3B1BF1">
        <w:rPr>
          <w:rFonts w:eastAsia="Arial" w:cs="Arial"/>
          <w:color w:val="000000" w:themeColor="text1"/>
        </w:rPr>
        <w:t xml:space="preserve">in legislation </w:t>
      </w:r>
      <w:r w:rsidR="7D1068A6" w:rsidRPr="0C3B1BF1">
        <w:rPr>
          <w:rFonts w:eastAsia="Arial" w:cs="Arial"/>
          <w:color w:val="000000" w:themeColor="text1"/>
        </w:rPr>
        <w:t>18 months</w:t>
      </w:r>
      <w:r w:rsidR="7D1068A6">
        <w:t xml:space="preserve"> ahead of the start of each budget. </w:t>
      </w:r>
      <w:r w:rsidR="00CF382B">
        <w:t>The</w:t>
      </w:r>
      <w:r w:rsidR="7D1068A6">
        <w:t xml:space="preserve"> level of the</w:t>
      </w:r>
      <w:r w:rsidR="7D1068A6" w:rsidRPr="27029F05">
        <w:t xml:space="preserve"> credit limit provides the extent to which abatement in other countries can be procured in place of abatement in the UK where more cost effective or otherwise beneficial.</w:t>
      </w:r>
      <w:r w:rsidR="00D84B39">
        <w:t xml:space="preserve"> </w:t>
      </w:r>
      <w:r w:rsidR="00AA6220">
        <w:t>T</w:t>
      </w:r>
      <w:r w:rsidR="00AA6220" w:rsidRPr="682ED5A6">
        <w:t xml:space="preserve">he CCC </w:t>
      </w:r>
      <w:r w:rsidR="00AA6220">
        <w:t xml:space="preserve">recommends </w:t>
      </w:r>
      <w:r w:rsidR="005918D2">
        <w:t>“</w:t>
      </w:r>
      <w:r w:rsidR="00AA6220">
        <w:t>that ICUs should not be used to meet the sixth carbon budget, though they may be useful policy tools or appropriate ways to go beyond the carbon budgets to support global decarbonisation efforts</w:t>
      </w:r>
      <w:r w:rsidR="005918D2">
        <w:t>”</w:t>
      </w:r>
      <w:r w:rsidR="00AA6220">
        <w:t xml:space="preserve">. </w:t>
      </w:r>
      <w:r w:rsidR="00B04BED">
        <w:t>Noting that</w:t>
      </w:r>
      <w:r w:rsidR="004630E4">
        <w:t xml:space="preserve"> </w:t>
      </w:r>
      <w:r w:rsidR="004F652F">
        <w:t>any</w:t>
      </w:r>
      <w:r w:rsidR="004630E4">
        <w:t xml:space="preserve"> purchase of ICUs is a decision</w:t>
      </w:r>
      <w:r w:rsidR="00834440">
        <w:t xml:space="preserve"> for the future</w:t>
      </w:r>
      <w:r w:rsidR="004630E4">
        <w:t xml:space="preserve">, </w:t>
      </w:r>
      <w:r w:rsidR="00CA23C1">
        <w:t xml:space="preserve">this </w:t>
      </w:r>
      <w:r w:rsidR="00D139C0">
        <w:t xml:space="preserve">analysis </w:t>
      </w:r>
      <w:r w:rsidR="7D803D1A" w:rsidRPr="682ED5A6">
        <w:t>only consider</w:t>
      </w:r>
      <w:r w:rsidR="00D139C0">
        <w:t>s</w:t>
      </w:r>
      <w:r w:rsidR="7D803D1A" w:rsidRPr="682ED5A6">
        <w:t xml:space="preserve"> domestic action to meet </w:t>
      </w:r>
      <w:r w:rsidR="00BF7C0A">
        <w:t>the sixth carbon budget</w:t>
      </w:r>
      <w:r w:rsidR="00AB686B">
        <w:t>.</w:t>
      </w:r>
      <w:r w:rsidR="000624DE">
        <w:t xml:space="preserve"> </w:t>
      </w:r>
      <w:r w:rsidR="07966EB8">
        <w:t>This does not preclude any future decisions on the use of ICUs.</w:t>
      </w:r>
    </w:p>
    <w:p w14:paraId="4B732796" w14:textId="502A0482" w:rsidR="00FD1FB5" w:rsidRPr="00CA23C1" w:rsidRDefault="00FD1FB5" w:rsidP="00CA23C1">
      <w:pPr>
        <w:pStyle w:val="Heading3"/>
        <w:spacing w:before="240"/>
        <w:rPr>
          <w:sz w:val="28"/>
          <w:szCs w:val="28"/>
        </w:rPr>
      </w:pPr>
      <w:bookmarkStart w:id="43" w:name="_Toc67051839"/>
      <w:r w:rsidRPr="1155D75C">
        <w:rPr>
          <w:sz w:val="28"/>
          <w:szCs w:val="28"/>
        </w:rPr>
        <w:t>1.</w:t>
      </w:r>
      <w:r w:rsidR="002A26D2" w:rsidRPr="1155D75C">
        <w:rPr>
          <w:sz w:val="28"/>
          <w:szCs w:val="28"/>
        </w:rPr>
        <w:t>5</w:t>
      </w:r>
      <w:r w:rsidRPr="1155D75C">
        <w:rPr>
          <w:sz w:val="28"/>
          <w:szCs w:val="28"/>
        </w:rPr>
        <w:t xml:space="preserve"> International Aviation and Shipping (IAS)</w:t>
      </w:r>
      <w:bookmarkEnd w:id="43"/>
    </w:p>
    <w:p w14:paraId="23FD675D" w14:textId="641FD5BE" w:rsidR="00FD1FB5" w:rsidRPr="00CA23C1" w:rsidRDefault="00FD1FB5" w:rsidP="009229B3">
      <w:pPr>
        <w:pStyle w:val="Numberedparagraphs"/>
      </w:pPr>
      <w:r w:rsidRPr="7E39BB39">
        <w:t xml:space="preserve">To date, </w:t>
      </w:r>
      <w:r w:rsidRPr="4BD6E3D9">
        <w:t xml:space="preserve">international aviation and shipping </w:t>
      </w:r>
      <w:r w:rsidRPr="784BF358">
        <w:t xml:space="preserve">(IAS) </w:t>
      </w:r>
      <w:r w:rsidRPr="7E39BB39">
        <w:t xml:space="preserve">emissions have </w:t>
      </w:r>
      <w:r w:rsidRPr="5CFFDF47">
        <w:t xml:space="preserve">not </w:t>
      </w:r>
      <w:r w:rsidRPr="7E39BB39">
        <w:t xml:space="preserve">been </w:t>
      </w:r>
      <w:r w:rsidR="009E5C63">
        <w:t>legally</w:t>
      </w:r>
      <w:r w:rsidR="009E5C63" w:rsidRPr="5CFFDF47">
        <w:t xml:space="preserve"> </w:t>
      </w:r>
      <w:r w:rsidRPr="5CFFDF47">
        <w:t xml:space="preserve">included in </w:t>
      </w:r>
      <w:r>
        <w:t>the UK’s</w:t>
      </w:r>
      <w:r w:rsidRPr="6CE1B07C">
        <w:t xml:space="preserve"> </w:t>
      </w:r>
      <w:r w:rsidRPr="7E39BB39">
        <w:t>carbon budgets</w:t>
      </w:r>
      <w:r w:rsidR="00A34898">
        <w:t>, instead leaving</w:t>
      </w:r>
      <w:r w:rsidR="0077190A">
        <w:t xml:space="preserve"> ‘headroom’ for these emissions</w:t>
      </w:r>
      <w:r w:rsidR="00BB0093">
        <w:t>.</w:t>
      </w:r>
      <w:r w:rsidR="00884205">
        <w:t xml:space="preserve"> </w:t>
      </w:r>
      <w:r w:rsidR="0077190A">
        <w:t xml:space="preserve">The CCC’s </w:t>
      </w:r>
      <w:r w:rsidR="0077190A" w:rsidRPr="00BB0093">
        <w:t>recommended budget includes emissions from the UK’s share of IAS,</w:t>
      </w:r>
      <w:r w:rsidR="00BB0093" w:rsidRPr="00BB0093">
        <w:t xml:space="preserve"> </w:t>
      </w:r>
      <w:r w:rsidR="0077190A" w:rsidRPr="00BB0093">
        <w:t>which</w:t>
      </w:r>
      <w:r w:rsidR="00BB0093" w:rsidRPr="00BB0093">
        <w:t xml:space="preserve"> </w:t>
      </w:r>
      <w:r w:rsidR="00BB0093" w:rsidRPr="00BB0093">
        <w:lastRenderedPageBreak/>
        <w:t xml:space="preserve">allows for them to be accounted for consistently with other emissions. </w:t>
      </w:r>
      <w:r w:rsidR="0077190A">
        <w:t xml:space="preserve">We intend </w:t>
      </w:r>
      <w:r w:rsidR="000F5D90">
        <w:t xml:space="preserve">to follow this approach and </w:t>
      </w:r>
      <w:r w:rsidR="009E5C63">
        <w:t xml:space="preserve">legally </w:t>
      </w:r>
      <w:r w:rsidR="0077190A">
        <w:t>include IAS emissions</w:t>
      </w:r>
      <w:r w:rsidR="000F5D90">
        <w:t xml:space="preserve"> in the sixth carbon budget</w:t>
      </w:r>
      <w:r w:rsidRPr="4045D118">
        <w:t>.</w:t>
      </w:r>
    </w:p>
    <w:p w14:paraId="7BF101B3" w14:textId="253CCFAC" w:rsidR="009F3BA4" w:rsidRPr="00CA23C1" w:rsidRDefault="00D64DFA" w:rsidP="009229B3">
      <w:pPr>
        <w:pStyle w:val="Numberedparagraphs"/>
      </w:pPr>
      <w:r>
        <w:t>The CCC has recommended that the method of including IAS emissions in the sixth carbon budget should be ‘bunker fuel sales’. Under this method, IAS emissions are estimated from refuelling from ‘bunkers’</w:t>
      </w:r>
      <w:r>
        <w:rPr>
          <w:rStyle w:val="FootnoteReference"/>
        </w:rPr>
        <w:footnoteReference w:id="14"/>
      </w:r>
      <w:r>
        <w:t xml:space="preserve"> at UK airports and ports, whether by UK or non-UK operators</w:t>
      </w:r>
      <w:r>
        <w:rPr>
          <w:rStyle w:val="FootnoteReference"/>
        </w:rPr>
        <w:footnoteReference w:id="15"/>
      </w:r>
      <w:r>
        <w:t>. For the purposes of this Impact Assessment, the estimates of IAS emissions presented below have been aligned with the CCC’s recommended method.</w:t>
      </w:r>
    </w:p>
    <w:p w14:paraId="0280A935" w14:textId="533389A1" w:rsidR="00803A40" w:rsidRPr="00CD2B30" w:rsidRDefault="00803A40" w:rsidP="00CD2B30">
      <w:pPr>
        <w:pStyle w:val="Heading3"/>
        <w:spacing w:before="240"/>
        <w:rPr>
          <w:sz w:val="28"/>
          <w:szCs w:val="24"/>
        </w:rPr>
      </w:pPr>
      <w:bookmarkStart w:id="44" w:name="_Toc67051840"/>
      <w:r w:rsidRPr="00CD2B30">
        <w:rPr>
          <w:sz w:val="28"/>
          <w:szCs w:val="24"/>
        </w:rPr>
        <w:t>1.</w:t>
      </w:r>
      <w:r w:rsidR="002A26D2" w:rsidRPr="00CD2B30">
        <w:rPr>
          <w:sz w:val="28"/>
          <w:szCs w:val="24"/>
        </w:rPr>
        <w:t>6</w:t>
      </w:r>
      <w:r w:rsidR="007E6F08" w:rsidRPr="00CD2B30">
        <w:rPr>
          <w:sz w:val="28"/>
          <w:szCs w:val="24"/>
        </w:rPr>
        <w:t xml:space="preserve"> </w:t>
      </w:r>
      <w:r w:rsidRPr="00CD2B30">
        <w:rPr>
          <w:sz w:val="28"/>
          <w:szCs w:val="24"/>
        </w:rPr>
        <w:t>Counterfactual and baseline</w:t>
      </w:r>
      <w:r w:rsidR="000E7661" w:rsidRPr="00CD2B30">
        <w:rPr>
          <w:sz w:val="28"/>
          <w:szCs w:val="24"/>
        </w:rPr>
        <w:t xml:space="preserve"> – “do nothing”</w:t>
      </w:r>
      <w:r w:rsidR="002B41C4" w:rsidRPr="00CD2B30">
        <w:rPr>
          <w:sz w:val="28"/>
          <w:szCs w:val="24"/>
        </w:rPr>
        <w:t xml:space="preserve"> option</w:t>
      </w:r>
      <w:bookmarkEnd w:id="44"/>
    </w:p>
    <w:p w14:paraId="5F7CEBB1" w14:textId="06ED421E" w:rsidR="00CB7561" w:rsidRDefault="000917C1" w:rsidP="009229B3">
      <w:pPr>
        <w:pStyle w:val="Numberedparagraphs"/>
      </w:pPr>
      <w:r w:rsidRPr="000917C1">
        <w:t xml:space="preserve">To frame the appraisal of the options for the level of the </w:t>
      </w:r>
      <w:r>
        <w:t xml:space="preserve">sixth </w:t>
      </w:r>
      <w:r w:rsidRPr="000917C1">
        <w:t xml:space="preserve">carbon budget, </w:t>
      </w:r>
      <w:r w:rsidR="003F607D">
        <w:t>th</w:t>
      </w:r>
      <w:r w:rsidR="00D56D30">
        <w:t>e Impact Assessment</w:t>
      </w:r>
      <w:r w:rsidR="004F0F5C">
        <w:t xml:space="preserve"> </w:t>
      </w:r>
      <w:r w:rsidRPr="000917C1">
        <w:t>consider</w:t>
      </w:r>
      <w:r w:rsidR="00D56D30">
        <w:t>s</w:t>
      </w:r>
      <w:r w:rsidRPr="000917C1">
        <w:t xml:space="preserve"> how UK emissions are likely to evolve from now in the absence of any new (and as yet</w:t>
      </w:r>
      <w:r w:rsidR="003868F6">
        <w:t xml:space="preserve"> </w:t>
      </w:r>
      <w:r w:rsidRPr="000917C1">
        <w:t xml:space="preserve">unannounced) policy action to reduce emissions. </w:t>
      </w:r>
    </w:p>
    <w:p w14:paraId="631D955C" w14:textId="172FD22E" w:rsidR="000B7BBA" w:rsidRPr="004652EF" w:rsidRDefault="00EC0E54" w:rsidP="009229B3">
      <w:pPr>
        <w:pStyle w:val="Numberedparagraphs"/>
      </w:pPr>
      <w:r w:rsidRPr="004652EF">
        <w:t xml:space="preserve">BEIS publishes projections of emissions and energy demand for the UK </w:t>
      </w:r>
      <w:r w:rsidR="00BB5CDC">
        <w:t>on an annual basis</w:t>
      </w:r>
      <w:r w:rsidR="0067784F">
        <w:t>.</w:t>
      </w:r>
      <w:r w:rsidRPr="004652EF">
        <w:t xml:space="preserve"> </w:t>
      </w:r>
      <w:r w:rsidR="00CB7561" w:rsidRPr="004652EF">
        <w:t xml:space="preserve">For the purposes of this </w:t>
      </w:r>
      <w:r w:rsidR="0008077E">
        <w:t>Impact Assessment</w:t>
      </w:r>
      <w:r w:rsidR="004F3BC5">
        <w:t xml:space="preserve"> the </w:t>
      </w:r>
      <w:r w:rsidR="001D7A20" w:rsidRPr="004652EF">
        <w:t xml:space="preserve">reference scenario </w:t>
      </w:r>
      <w:r w:rsidR="00621AAB" w:rsidRPr="004652EF">
        <w:t>from BEIS’s latest emission projection</w:t>
      </w:r>
      <w:r w:rsidR="002351E7">
        <w:t>s</w:t>
      </w:r>
      <w:r w:rsidR="00621AAB" w:rsidRPr="004652EF">
        <w:t xml:space="preserve"> </w:t>
      </w:r>
      <w:r w:rsidR="00BD7F5B">
        <w:t xml:space="preserve">(EEP 2019) </w:t>
      </w:r>
      <w:r w:rsidR="00621AAB" w:rsidRPr="004652EF">
        <w:t xml:space="preserve">published in </w:t>
      </w:r>
      <w:r w:rsidR="00E72803">
        <w:t xml:space="preserve">December </w:t>
      </w:r>
      <w:r w:rsidR="00621AAB" w:rsidRPr="004652EF">
        <w:t>2020</w:t>
      </w:r>
      <w:r w:rsidR="009A03ED">
        <w:rPr>
          <w:rStyle w:val="FootnoteReference"/>
        </w:rPr>
        <w:footnoteReference w:id="16"/>
      </w:r>
      <w:r w:rsidR="00EB31A5">
        <w:t xml:space="preserve"> has been adjusted for:</w:t>
      </w:r>
      <w:r w:rsidR="00621AAB" w:rsidRPr="004652EF">
        <w:t xml:space="preserve"> </w:t>
      </w:r>
    </w:p>
    <w:p w14:paraId="79002F3A" w14:textId="7465706F" w:rsidR="000B7BBA" w:rsidRPr="00861D79" w:rsidRDefault="00D05FA5" w:rsidP="00CD2B30">
      <w:pPr>
        <w:pStyle w:val="Bullets"/>
        <w:numPr>
          <w:ilvl w:val="0"/>
          <w:numId w:val="784"/>
        </w:numPr>
        <w:ind w:left="1494"/>
      </w:pPr>
      <w:r w:rsidRPr="00861D79">
        <w:t xml:space="preserve">Updated </w:t>
      </w:r>
      <w:r w:rsidR="00621AAB" w:rsidRPr="00861D79">
        <w:t>macroeconomic growth assumptions</w:t>
      </w:r>
      <w:r w:rsidR="005B6AC8" w:rsidRPr="00861D79">
        <w:t>.</w:t>
      </w:r>
      <w:r w:rsidR="00621AAB" w:rsidRPr="00861D79">
        <w:t xml:space="preserve"> </w:t>
      </w:r>
      <w:r w:rsidR="005B6AC8" w:rsidRPr="00861D79">
        <w:t xml:space="preserve">These </w:t>
      </w:r>
      <w:r w:rsidR="00621AAB" w:rsidRPr="00861D79">
        <w:t>have been aligned to the OBR long-term forecasts published in March 2020</w:t>
      </w:r>
      <w:r w:rsidR="006B1106">
        <w:rPr>
          <w:rStyle w:val="FootnoteReference"/>
        </w:rPr>
        <w:footnoteReference w:id="17"/>
      </w:r>
      <w:r w:rsidR="00621AAB" w:rsidRPr="00861D79">
        <w:t xml:space="preserve"> and the short-term central forecast published in July 2020</w:t>
      </w:r>
      <w:r w:rsidR="009B4191">
        <w:t>.</w:t>
      </w:r>
      <w:r w:rsidR="006B1106">
        <w:rPr>
          <w:rStyle w:val="FootnoteReference"/>
        </w:rPr>
        <w:footnoteReference w:id="18"/>
      </w:r>
      <w:r w:rsidR="005A38F0" w:rsidRPr="00861D79">
        <w:t xml:space="preserve"> The </w:t>
      </w:r>
      <w:r w:rsidR="00506CCB" w:rsidRPr="00861D79">
        <w:t xml:space="preserve">published </w:t>
      </w:r>
      <w:r w:rsidR="005A38F0" w:rsidRPr="00861D79">
        <w:t xml:space="preserve">emissions projections </w:t>
      </w:r>
      <w:r w:rsidR="00506CCB" w:rsidRPr="00861D79">
        <w:t xml:space="preserve">were aligned to </w:t>
      </w:r>
      <w:r w:rsidR="00D8120C">
        <w:t xml:space="preserve">March 2019 </w:t>
      </w:r>
      <w:r w:rsidR="006B1106">
        <w:t>OBR forecasts.</w:t>
      </w:r>
      <w:r w:rsidR="006B1106">
        <w:rPr>
          <w:rStyle w:val="FootnoteReference"/>
        </w:rPr>
        <w:footnoteReference w:id="19"/>
      </w:r>
    </w:p>
    <w:p w14:paraId="5453C329" w14:textId="098BBB92" w:rsidR="00690E29" w:rsidRPr="00861D79" w:rsidRDefault="00506CCB" w:rsidP="00CD2B30">
      <w:pPr>
        <w:pStyle w:val="Bullets"/>
        <w:ind w:left="1494"/>
      </w:pPr>
      <w:r>
        <w:t xml:space="preserve">Emissions </w:t>
      </w:r>
      <w:r w:rsidR="000B7BBA" w:rsidRPr="00861D79">
        <w:t>accounting changes</w:t>
      </w:r>
      <w:r w:rsidR="005B6AC8" w:rsidRPr="00861D79">
        <w:t>. These include</w:t>
      </w:r>
      <w:r w:rsidR="004652EF" w:rsidRPr="00861D79">
        <w:t xml:space="preserve"> </w:t>
      </w:r>
      <w:r w:rsidR="005B6AC8" w:rsidRPr="00861D79">
        <w:t>AR5</w:t>
      </w:r>
      <w:r w:rsidR="004652EF" w:rsidRPr="00861D79">
        <w:t xml:space="preserve"> Global Warming Potentials</w:t>
      </w:r>
      <w:r w:rsidR="005B6AC8" w:rsidRPr="00861D79">
        <w:t xml:space="preserve"> </w:t>
      </w:r>
      <w:r w:rsidR="004652EF" w:rsidRPr="00861D79">
        <w:t xml:space="preserve">and </w:t>
      </w:r>
      <w:r w:rsidR="005B6AC8" w:rsidRPr="00861D79">
        <w:t xml:space="preserve">additional emissions from IAS and </w:t>
      </w:r>
      <w:r w:rsidR="004652EF" w:rsidRPr="00861D79">
        <w:t xml:space="preserve">wetlands </w:t>
      </w:r>
      <w:r w:rsidR="005B6AC8" w:rsidRPr="00861D79">
        <w:t xml:space="preserve">in line with the scope </w:t>
      </w:r>
      <w:r w:rsidR="008C572B" w:rsidRPr="00861D79">
        <w:t>used</w:t>
      </w:r>
      <w:r w:rsidR="005B6AC8" w:rsidRPr="00861D79">
        <w:t xml:space="preserve"> for </w:t>
      </w:r>
      <w:r w:rsidR="00BF7C0A" w:rsidRPr="00861D79">
        <w:t>the sixth carbon budget</w:t>
      </w:r>
      <w:r w:rsidR="008C572B" w:rsidRPr="00861D79">
        <w:t xml:space="preserve"> in this </w:t>
      </w:r>
      <w:r w:rsidR="0008077E" w:rsidRPr="00861D79">
        <w:t>Impact Assessment</w:t>
      </w:r>
      <w:r w:rsidR="005B6AC8" w:rsidRPr="00861D79">
        <w:t xml:space="preserve">. </w:t>
      </w:r>
    </w:p>
    <w:p w14:paraId="25EE600C" w14:textId="50A7974C" w:rsidR="000B7183" w:rsidRPr="00861D79" w:rsidRDefault="000B7183" w:rsidP="00CD2B30">
      <w:pPr>
        <w:pStyle w:val="Bullets"/>
        <w:spacing w:after="200"/>
        <w:ind w:left="1494"/>
        <w:rPr>
          <w:rFonts w:eastAsia="Segoe UI"/>
        </w:rPr>
      </w:pPr>
      <w:r>
        <w:t xml:space="preserve">The emissions projections </w:t>
      </w:r>
      <w:r>
        <w:rPr>
          <w:rFonts w:eastAsia="Segoe UI"/>
        </w:rPr>
        <w:t>only extend to 2040</w:t>
      </w:r>
      <w:r w:rsidR="00DB7E82">
        <w:rPr>
          <w:rFonts w:eastAsia="Segoe UI"/>
        </w:rPr>
        <w:t>. B</w:t>
      </w:r>
      <w:r w:rsidRPr="00861D79">
        <w:rPr>
          <w:rFonts w:eastAsia="Segoe UI"/>
        </w:rPr>
        <w:t>eyond</w:t>
      </w:r>
      <w:r>
        <w:rPr>
          <w:rFonts w:eastAsia="Segoe UI"/>
        </w:rPr>
        <w:t xml:space="preserve"> this period</w:t>
      </w:r>
      <w:r w:rsidRPr="00861D79">
        <w:rPr>
          <w:rFonts w:eastAsia="Segoe UI"/>
        </w:rPr>
        <w:t xml:space="preserve"> </w:t>
      </w:r>
      <w:r w:rsidR="00DB7E82">
        <w:rPr>
          <w:rFonts w:eastAsia="Segoe UI"/>
        </w:rPr>
        <w:t>they are</w:t>
      </w:r>
      <w:r w:rsidR="00C9006B" w:rsidRPr="00861D79">
        <w:rPr>
          <w:rFonts w:eastAsia="Segoe UI"/>
        </w:rPr>
        <w:t xml:space="preserve"> assume</w:t>
      </w:r>
      <w:r w:rsidR="00DB7E82">
        <w:rPr>
          <w:rFonts w:eastAsia="Segoe UI"/>
        </w:rPr>
        <w:t>d</w:t>
      </w:r>
      <w:r w:rsidR="00C9006B" w:rsidRPr="00861D79">
        <w:rPr>
          <w:rFonts w:eastAsia="Segoe UI"/>
        </w:rPr>
        <w:t xml:space="preserve"> </w:t>
      </w:r>
      <w:r w:rsidR="00DB7E82">
        <w:rPr>
          <w:rFonts w:eastAsia="Segoe UI"/>
        </w:rPr>
        <w:t>to</w:t>
      </w:r>
      <w:r w:rsidRPr="00861D79">
        <w:rPr>
          <w:rFonts w:eastAsia="Segoe UI"/>
        </w:rPr>
        <w:t xml:space="preserve"> grow in line with underlying demand drivers</w:t>
      </w:r>
      <w:r w:rsidR="00CD2B30">
        <w:rPr>
          <w:rFonts w:eastAsia="Segoe UI"/>
        </w:rPr>
        <w:t>.</w:t>
      </w:r>
    </w:p>
    <w:p w14:paraId="54D7E569" w14:textId="2A6BF2DB" w:rsidR="00412218" w:rsidRDefault="00824EE5" w:rsidP="009229B3">
      <w:pPr>
        <w:pStyle w:val="Numberedparagraphs"/>
      </w:pPr>
      <w:r>
        <w:t>In terms of policies, the</w:t>
      </w:r>
      <w:r w:rsidR="00492B73">
        <w:t xml:space="preserve"> baseline</w:t>
      </w:r>
      <w:r w:rsidR="006078F5">
        <w:t xml:space="preserve"> </w:t>
      </w:r>
      <w:r w:rsidR="002F1C56">
        <w:t xml:space="preserve">only </w:t>
      </w:r>
      <w:r w:rsidR="0073553E">
        <w:t>includes</w:t>
      </w:r>
      <w:r w:rsidR="002F1C56">
        <w:t xml:space="preserve"> </w:t>
      </w:r>
      <w:r w:rsidR="007C6560">
        <w:t>government</w:t>
      </w:r>
      <w:r w:rsidR="00492B73">
        <w:t xml:space="preserve"> policies which ha</w:t>
      </w:r>
      <w:r w:rsidR="00EB63C4">
        <w:t>d</w:t>
      </w:r>
      <w:r w:rsidR="00492B73">
        <w:t xml:space="preserve"> been implemented, adopte</w:t>
      </w:r>
      <w:r w:rsidR="0093734E">
        <w:t>d</w:t>
      </w:r>
      <w:r w:rsidR="00492B73">
        <w:t xml:space="preserve"> </w:t>
      </w:r>
      <w:r w:rsidR="004B7237">
        <w:t xml:space="preserve">or planned </w:t>
      </w:r>
      <w:r w:rsidR="0093734E" w:rsidDel="004B7237">
        <w:t xml:space="preserve">as </w:t>
      </w:r>
      <w:r w:rsidR="00CD2B30">
        <w:t>of</w:t>
      </w:r>
      <w:r w:rsidR="0093734E" w:rsidDel="004B7237">
        <w:t xml:space="preserve"> </w:t>
      </w:r>
      <w:r w:rsidR="00107316">
        <w:t>August 2019.</w:t>
      </w:r>
      <w:r w:rsidR="00107316">
        <w:rPr>
          <w:rStyle w:val="FootnoteReference"/>
        </w:rPr>
        <w:footnoteReference w:id="20"/>
      </w:r>
      <w:r w:rsidR="00107316">
        <w:t xml:space="preserve">  </w:t>
      </w:r>
      <w:r w:rsidR="00F31F02">
        <w:t xml:space="preserve">These policies are </w:t>
      </w:r>
      <w:r w:rsidR="00EB63C4">
        <w:t xml:space="preserve">all </w:t>
      </w:r>
      <w:r w:rsidR="00F31F02">
        <w:t xml:space="preserve">assumed to be implemented as planned. The baseline </w:t>
      </w:r>
      <w:r w:rsidR="0073553E">
        <w:t>does not</w:t>
      </w:r>
      <w:r w:rsidR="00E51616">
        <w:t xml:space="preserve"> include more recently </w:t>
      </w:r>
      <w:r w:rsidR="0073553E">
        <w:t xml:space="preserve">announced </w:t>
      </w:r>
      <w:r w:rsidR="007C6560">
        <w:t>government</w:t>
      </w:r>
      <w:r w:rsidR="0073553E">
        <w:t xml:space="preserve"> </w:t>
      </w:r>
      <w:r w:rsidR="00E51616">
        <w:t xml:space="preserve">policies and </w:t>
      </w:r>
      <w:r w:rsidR="0073553E">
        <w:t>ambition</w:t>
      </w:r>
      <w:r w:rsidR="00E1326D">
        <w:t>s which are yet to be factored into projections</w:t>
      </w:r>
      <w:r w:rsidR="0073553E">
        <w:t>,</w:t>
      </w:r>
      <w:r w:rsidR="00E51616">
        <w:t xml:space="preserve"> including those </w:t>
      </w:r>
      <w:r w:rsidR="00FA4C58">
        <w:t xml:space="preserve">policies </w:t>
      </w:r>
      <w:r w:rsidR="00E51616">
        <w:t>set out in the PM’s</w:t>
      </w:r>
      <w:r w:rsidR="00412218">
        <w:t xml:space="preserve"> 10 Point Plan for a Green Industrial Revolution</w:t>
      </w:r>
      <w:r w:rsidR="009F0153">
        <w:rPr>
          <w:rStyle w:val="FootnoteReference"/>
        </w:rPr>
        <w:footnoteReference w:id="21"/>
      </w:r>
      <w:r w:rsidR="00412218">
        <w:t xml:space="preserve"> and the Energy White Paper</w:t>
      </w:r>
      <w:r w:rsidR="009B4191">
        <w:t>.</w:t>
      </w:r>
      <w:r w:rsidR="00C40DF8">
        <w:rPr>
          <w:rStyle w:val="FootnoteReference"/>
        </w:rPr>
        <w:footnoteReference w:id="22"/>
      </w:r>
      <w:r w:rsidR="005301E5">
        <w:t xml:space="preserve"> </w:t>
      </w:r>
    </w:p>
    <w:p w14:paraId="65FC2212" w14:textId="38E1126A" w:rsidR="00A11898" w:rsidRDefault="00AC37F2" w:rsidP="009229B3">
      <w:pPr>
        <w:pStyle w:val="Numberedparagraphs"/>
      </w:pPr>
      <w:r>
        <w:t>These adjusted b</w:t>
      </w:r>
      <w:r w:rsidR="00FA4C58">
        <w:t>aseline</w:t>
      </w:r>
      <w:r w:rsidR="005E7572">
        <w:t xml:space="preserve"> emission projections are </w:t>
      </w:r>
      <w:r>
        <w:t xml:space="preserve">compared to </w:t>
      </w:r>
      <w:r w:rsidR="00EC1816">
        <w:t xml:space="preserve">the published projections </w:t>
      </w:r>
      <w:r w:rsidR="005E7572">
        <w:t xml:space="preserve">in </w:t>
      </w:r>
      <w:r w:rsidR="00C466B6">
        <w:t>f</w:t>
      </w:r>
      <w:r w:rsidR="005E7572">
        <w:t xml:space="preserve">igure </w:t>
      </w:r>
      <w:r w:rsidR="00C466B6">
        <w:t>1</w:t>
      </w:r>
      <w:r w:rsidR="00C517C5">
        <w:t>.</w:t>
      </w:r>
      <w:r w:rsidR="00363C1E">
        <w:t xml:space="preserve"> </w:t>
      </w:r>
      <w:r w:rsidR="002B41C4">
        <w:t>The resulting emissions over the sixth carbon budget period are 2100MtC</w:t>
      </w:r>
      <w:r w:rsidR="00FE61C5">
        <w:t>O</w:t>
      </w:r>
      <w:r w:rsidR="00FE61C5" w:rsidRPr="006A0C4B">
        <w:rPr>
          <w:vertAlign w:val="subscript"/>
        </w:rPr>
        <w:t>2</w:t>
      </w:r>
      <w:r w:rsidR="00FE61C5">
        <w:t>e</w:t>
      </w:r>
      <w:r w:rsidR="004819EC">
        <w:t>, compared with 1725MtCO</w:t>
      </w:r>
      <w:r w:rsidR="004819EC" w:rsidRPr="006A0C4B">
        <w:rPr>
          <w:vertAlign w:val="subscript"/>
        </w:rPr>
        <w:t>2</w:t>
      </w:r>
      <w:r w:rsidR="004819EC">
        <w:t>e in the published EEP 2019 reference case</w:t>
      </w:r>
      <w:r w:rsidR="00FE61C5">
        <w:t xml:space="preserve">. </w:t>
      </w:r>
      <w:r w:rsidR="00A66087">
        <w:br/>
      </w:r>
    </w:p>
    <w:p w14:paraId="26DEAD5E" w14:textId="7CCBA561" w:rsidR="004819EC" w:rsidRDefault="00184100" w:rsidP="003D37DD">
      <w:pPr>
        <w:spacing w:after="120"/>
        <w:rPr>
          <w:i/>
          <w:iCs/>
        </w:rPr>
      </w:pPr>
      <w:r w:rsidRPr="00861D79">
        <w:rPr>
          <w:i/>
          <w:iCs/>
        </w:rPr>
        <w:lastRenderedPageBreak/>
        <w:t xml:space="preserve">Figure </w:t>
      </w:r>
      <w:r w:rsidR="002E6F6C">
        <w:rPr>
          <w:i/>
          <w:iCs/>
        </w:rPr>
        <w:t xml:space="preserve">1: </w:t>
      </w:r>
      <w:r w:rsidRPr="00861D79">
        <w:rPr>
          <w:i/>
          <w:iCs/>
        </w:rPr>
        <w:t xml:space="preserve"> Project</w:t>
      </w:r>
      <w:r w:rsidR="00AC37F2">
        <w:rPr>
          <w:i/>
          <w:iCs/>
        </w:rPr>
        <w:t>ed</w:t>
      </w:r>
      <w:r w:rsidRPr="00861D79">
        <w:rPr>
          <w:i/>
          <w:iCs/>
        </w:rPr>
        <w:t xml:space="preserve"> UK territorial emission</w:t>
      </w:r>
      <w:r w:rsidR="00A1776A">
        <w:rPr>
          <w:i/>
          <w:iCs/>
        </w:rPr>
        <w:t>s</w:t>
      </w:r>
      <w:r w:rsidRPr="00861D79">
        <w:rPr>
          <w:i/>
          <w:iCs/>
        </w:rPr>
        <w:t xml:space="preserve"> incl</w:t>
      </w:r>
      <w:r w:rsidR="00F716DD">
        <w:rPr>
          <w:i/>
          <w:iCs/>
        </w:rPr>
        <w:t>uding</w:t>
      </w:r>
      <w:r w:rsidRPr="00861D79">
        <w:rPr>
          <w:i/>
          <w:iCs/>
        </w:rPr>
        <w:t xml:space="preserve"> accounting changes </w:t>
      </w:r>
      <w:r w:rsidR="00C517C5">
        <w:rPr>
          <w:i/>
          <w:iCs/>
        </w:rPr>
        <w:t xml:space="preserve">compared to published </w:t>
      </w:r>
      <w:r w:rsidR="00AD30B7">
        <w:rPr>
          <w:i/>
          <w:iCs/>
        </w:rPr>
        <w:t>projections</w:t>
      </w:r>
      <w:r w:rsidR="00AC37F2">
        <w:rPr>
          <w:i/>
          <w:iCs/>
        </w:rPr>
        <w:t xml:space="preserve"> of territorial emission</w:t>
      </w:r>
      <w:r w:rsidR="00250E19">
        <w:rPr>
          <w:i/>
          <w:iCs/>
        </w:rPr>
        <w:t>s, MtCO</w:t>
      </w:r>
      <w:r w:rsidR="00250E19" w:rsidRPr="006A0C4B">
        <w:rPr>
          <w:i/>
          <w:vertAlign w:val="subscript"/>
        </w:rPr>
        <w:t>2</w:t>
      </w:r>
      <w:r w:rsidR="00250E19">
        <w:rPr>
          <w:i/>
          <w:iCs/>
        </w:rPr>
        <w:t>e</w:t>
      </w:r>
      <w:r w:rsidR="00AC37F2">
        <w:rPr>
          <w:i/>
          <w:iCs/>
        </w:rPr>
        <w:t xml:space="preserve"> </w:t>
      </w:r>
    </w:p>
    <w:p w14:paraId="6B8C2696" w14:textId="047FE533" w:rsidR="004819EC" w:rsidRDefault="002E6F6C" w:rsidP="00184100">
      <w:pPr>
        <w:rPr>
          <w:i/>
          <w:iCs/>
        </w:rPr>
      </w:pPr>
      <w:r>
        <w:rPr>
          <w:noProof/>
        </w:rPr>
        <w:drawing>
          <wp:inline distT="0" distB="0" distL="0" distR="0" wp14:anchorId="7793938A" wp14:editId="52583830">
            <wp:extent cx="6555179" cy="3728852"/>
            <wp:effectExtent l="0" t="0" r="17145" b="5080"/>
            <wp:docPr id="6" name="Chart 6">
              <a:extLst xmlns:a="http://schemas.openxmlformats.org/drawingml/2006/main">
                <a:ext uri="{FF2B5EF4-FFF2-40B4-BE49-F238E27FC236}">
                  <a16:creationId xmlns:a16="http://schemas.microsoft.com/office/drawing/2014/main" id="{BB654F75-DDA2-402B-BA7A-C259BCB1B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88293A6" w14:textId="179482FC" w:rsidR="005E7572" w:rsidRDefault="005E7572" w:rsidP="006A0C4B">
      <w:pPr>
        <w:pStyle w:val="Heading3"/>
      </w:pPr>
      <w:bookmarkStart w:id="45" w:name="_Toc67051841"/>
      <w:r>
        <w:t>1.</w:t>
      </w:r>
      <w:r w:rsidR="002A26D2">
        <w:t>7</w:t>
      </w:r>
      <w:r w:rsidR="00184100">
        <w:t xml:space="preserve"> The sixth carbon budget </w:t>
      </w:r>
      <w:r w:rsidR="00DE4EE8">
        <w:t xml:space="preserve">levels and </w:t>
      </w:r>
      <w:r w:rsidR="00184100">
        <w:t>pathways</w:t>
      </w:r>
      <w:r w:rsidR="00DE4EE8">
        <w:t xml:space="preserve"> to 2050</w:t>
      </w:r>
      <w:bookmarkEnd w:id="45"/>
    </w:p>
    <w:p w14:paraId="749A3038" w14:textId="1E68E810" w:rsidR="00C3431A" w:rsidRDefault="009760F0" w:rsidP="009229B3">
      <w:pPr>
        <w:pStyle w:val="Numberedparagraphs"/>
      </w:pPr>
      <w:r>
        <w:t xml:space="preserve">To fully assess the </w:t>
      </w:r>
      <w:r w:rsidR="002B41C4">
        <w:t>options for the</w:t>
      </w:r>
      <w:r>
        <w:t xml:space="preserve"> </w:t>
      </w:r>
      <w:r w:rsidR="002B41C4">
        <w:t>sixth carbon budget level</w:t>
      </w:r>
      <w:r w:rsidR="000C6306">
        <w:t xml:space="preserve"> it is necessary to consider their implications for the pathway of emissions out to 2050.</w:t>
      </w:r>
      <w:r w:rsidR="002B41C4">
        <w:t xml:space="preserve"> </w:t>
      </w:r>
      <w:r w:rsidR="009E2157">
        <w:t>Given existing targets and commitments</w:t>
      </w:r>
      <w:r w:rsidR="00242B0F">
        <w:t>,</w:t>
      </w:r>
      <w:r w:rsidR="009E2157">
        <w:t xml:space="preserve"> the </w:t>
      </w:r>
      <w:r w:rsidR="00C3431A">
        <w:t xml:space="preserve">analysis assumes that all </w:t>
      </w:r>
      <w:r w:rsidR="009C45DE">
        <w:t xml:space="preserve">emissions </w:t>
      </w:r>
      <w:r w:rsidR="00C3431A">
        <w:t>pathways to 2050:</w:t>
      </w:r>
    </w:p>
    <w:p w14:paraId="1312D3BA" w14:textId="57290E3D" w:rsidR="007B3BA0" w:rsidRDefault="00C3431A" w:rsidP="00CD2B30">
      <w:pPr>
        <w:pStyle w:val="Bullets"/>
        <w:numPr>
          <w:ilvl w:val="0"/>
          <w:numId w:val="785"/>
        </w:numPr>
        <w:ind w:left="1494"/>
      </w:pPr>
      <w:r>
        <w:t>Meet the fourth carbon budget level</w:t>
      </w:r>
      <w:r w:rsidR="007B3BA0">
        <w:t xml:space="preserve"> (which exclude</w:t>
      </w:r>
      <w:r w:rsidR="001560BF">
        <w:t>s</w:t>
      </w:r>
      <w:r w:rsidR="007B3BA0">
        <w:t xml:space="preserve"> IAS emissions);</w:t>
      </w:r>
    </w:p>
    <w:p w14:paraId="2C55D17D" w14:textId="1183F11F" w:rsidR="007B3BA0" w:rsidRDefault="000236A4" w:rsidP="00CD2B30">
      <w:pPr>
        <w:pStyle w:val="Bullets"/>
        <w:ind w:left="1494"/>
      </w:pPr>
      <w:r>
        <w:t xml:space="preserve">Meet the UK’s NDC of an at least 68% reduction in </w:t>
      </w:r>
      <w:r w:rsidR="001560BF">
        <w:t>GHG emissions by 2030 compared to 1990 levels (excluding IAS</w:t>
      </w:r>
      <w:r w:rsidR="00295F79">
        <w:t>)</w:t>
      </w:r>
      <w:r w:rsidR="001560BF">
        <w:t xml:space="preserve">. </w:t>
      </w:r>
      <w:r w:rsidR="000333EE">
        <w:t>This is a more ambitious commitment than the fifth carbon budget</w:t>
      </w:r>
      <w:r w:rsidR="00B11552">
        <w:t xml:space="preserve"> and hence assumes</w:t>
      </w:r>
      <w:r w:rsidR="00BE6FBE">
        <w:t xml:space="preserve"> </w:t>
      </w:r>
      <w:r w:rsidR="004F1CE2">
        <w:t xml:space="preserve">a </w:t>
      </w:r>
      <w:r w:rsidR="00BE6FBE">
        <w:t>higher level of decarbonisation over the period 2028-2032 than when the fifth carbon budget was set</w:t>
      </w:r>
      <w:r w:rsidR="00A016C3">
        <w:t>;</w:t>
      </w:r>
    </w:p>
    <w:p w14:paraId="4DD8D140" w14:textId="15C684EE" w:rsidR="007B3BA0" w:rsidRDefault="00991658" w:rsidP="00DE0EFD">
      <w:pPr>
        <w:pStyle w:val="Bullets"/>
        <w:spacing w:after="200"/>
        <w:ind w:left="1494"/>
      </w:pPr>
      <w:r>
        <w:t xml:space="preserve">Decline linearly from the end of the sixth carbon budget to reach </w:t>
      </w:r>
      <w:r w:rsidR="00E12914">
        <w:t xml:space="preserve">the </w:t>
      </w:r>
      <w:r w:rsidR="00C34EC6">
        <w:t xml:space="preserve">legislated target of </w:t>
      </w:r>
      <w:r>
        <w:t>net zero emissions by 2050 (including IAS emissions)</w:t>
      </w:r>
      <w:r w:rsidR="003F701B">
        <w:t>.</w:t>
      </w:r>
      <w:r w:rsidR="00B8607C">
        <w:t xml:space="preserve"> </w:t>
      </w:r>
    </w:p>
    <w:p w14:paraId="712E46CC" w14:textId="42415558" w:rsidR="0037072A" w:rsidRDefault="00734534" w:rsidP="009229B3">
      <w:pPr>
        <w:pStyle w:val="Numberedparagraphs"/>
      </w:pPr>
      <w:r w:rsidRPr="00A9676A">
        <w:t xml:space="preserve">Figure </w:t>
      </w:r>
      <w:r w:rsidR="000279BF">
        <w:t>2</w:t>
      </w:r>
      <w:r w:rsidRPr="00A9676A">
        <w:t xml:space="preserve"> below plots </w:t>
      </w:r>
      <w:r w:rsidR="009C45DE" w:rsidRPr="00C9673C">
        <w:t xml:space="preserve">the emissions pathways </w:t>
      </w:r>
      <w:r w:rsidR="005033FC" w:rsidRPr="00C9673C">
        <w:t>for</w:t>
      </w:r>
      <w:r w:rsidR="002D2C3A" w:rsidRPr="00C9673C">
        <w:t xml:space="preserve"> the three carbon budget levels compared to the baseline</w:t>
      </w:r>
      <w:r w:rsidR="005033FC" w:rsidRPr="00C9673C">
        <w:t xml:space="preserve"> “do nothing” scenario.</w:t>
      </w:r>
      <w:r w:rsidR="005033FC" w:rsidRPr="00B8607C">
        <w:rPr>
          <w:rStyle w:val="FootnoteReference"/>
        </w:rPr>
        <w:t xml:space="preserve"> </w:t>
      </w:r>
    </w:p>
    <w:p w14:paraId="64FA13F7" w14:textId="2D8C2CCC" w:rsidR="00CD2B30" w:rsidRDefault="0037072A" w:rsidP="009229B3">
      <w:pPr>
        <w:pStyle w:val="Numberedparagraphs"/>
      </w:pPr>
      <w:r>
        <w:t xml:space="preserve">For the purpose of this analysis, base year </w:t>
      </w:r>
      <w:r w:rsidR="00C66903">
        <w:t xml:space="preserve">(1990) </w:t>
      </w:r>
      <w:r>
        <w:t>emissions of 88</w:t>
      </w:r>
      <w:r w:rsidR="006165F5">
        <w:t>7</w:t>
      </w:r>
      <w:r>
        <w:t>Mt</w:t>
      </w:r>
      <w:r w:rsidR="002172D6">
        <w:t>CO</w:t>
      </w:r>
      <w:r w:rsidR="002172D6" w:rsidRPr="006A0C4B">
        <w:rPr>
          <w:vertAlign w:val="subscript"/>
        </w:rPr>
        <w:t>2</w:t>
      </w:r>
      <w:r w:rsidR="002172D6">
        <w:t>e</w:t>
      </w:r>
      <w:r>
        <w:t xml:space="preserve"> are assumed. This is on the </w:t>
      </w:r>
      <w:r w:rsidR="002172D6">
        <w:t>accounting basis</w:t>
      </w:r>
      <w:r>
        <w:t xml:space="preserve"> set out in section 1.</w:t>
      </w:r>
      <w:r w:rsidR="002172D6">
        <w:t>4</w:t>
      </w:r>
      <w:r>
        <w:t>. This is an analytical assumption for the purpose of the analysis on the sixth carbon budget, not a projection or prediction of what base year emissions will be.</w:t>
      </w:r>
    </w:p>
    <w:p w14:paraId="7E837108" w14:textId="77777777" w:rsidR="00D337EE" w:rsidRDefault="00D337EE" w:rsidP="009229B3">
      <w:pPr>
        <w:pStyle w:val="Numberedparagraphs"/>
        <w:numPr>
          <w:ilvl w:val="0"/>
          <w:numId w:val="0"/>
        </w:numPr>
      </w:pPr>
    </w:p>
    <w:p w14:paraId="29B18F1C" w14:textId="7C77F211" w:rsidR="00CA1410" w:rsidRPr="005A7000" w:rsidRDefault="003D37DD" w:rsidP="005A7000">
      <w:pPr>
        <w:spacing w:after="120"/>
        <w:rPr>
          <w:i/>
        </w:rPr>
      </w:pPr>
      <w:r>
        <w:br w:type="page"/>
      </w:r>
      <w:r w:rsidR="00ED6040" w:rsidRPr="005A7000">
        <w:rPr>
          <w:i/>
        </w:rPr>
        <w:lastRenderedPageBreak/>
        <w:t xml:space="preserve">Figure </w:t>
      </w:r>
      <w:r w:rsidR="000279BF" w:rsidRPr="005A7000">
        <w:rPr>
          <w:i/>
        </w:rPr>
        <w:t>2:</w:t>
      </w:r>
      <w:r w:rsidR="00ED6040" w:rsidRPr="005A7000">
        <w:rPr>
          <w:i/>
        </w:rPr>
        <w:t xml:space="preserve"> Modelled </w:t>
      </w:r>
      <w:r w:rsidR="00CF445B" w:rsidRPr="005A7000">
        <w:rPr>
          <w:i/>
        </w:rPr>
        <w:t>sixth carbon budget</w:t>
      </w:r>
      <w:r w:rsidR="00ED6040" w:rsidRPr="005A7000">
        <w:rPr>
          <w:i/>
        </w:rPr>
        <w:t xml:space="preserve"> option</w:t>
      </w:r>
      <w:r w:rsidR="002A092B" w:rsidRPr="005A7000">
        <w:rPr>
          <w:i/>
        </w:rPr>
        <w:t xml:space="preserve">s in terms of </w:t>
      </w:r>
      <w:r w:rsidR="004D2D65" w:rsidRPr="005A7000">
        <w:rPr>
          <w:i/>
        </w:rPr>
        <w:t xml:space="preserve">five-year </w:t>
      </w:r>
      <w:r w:rsidR="00CF445B" w:rsidRPr="005A7000">
        <w:rPr>
          <w:i/>
        </w:rPr>
        <w:t>b</w:t>
      </w:r>
      <w:r w:rsidR="002A092B" w:rsidRPr="005A7000">
        <w:rPr>
          <w:i/>
        </w:rPr>
        <w:t>udget level (right axis) and per annum emission</w:t>
      </w:r>
      <w:r w:rsidR="00CF445B" w:rsidRPr="005A7000">
        <w:rPr>
          <w:i/>
        </w:rPr>
        <w:t>s</w:t>
      </w:r>
      <w:r w:rsidR="002A092B" w:rsidRPr="005A7000">
        <w:rPr>
          <w:i/>
        </w:rPr>
        <w:t xml:space="preserve"> (left axis</w:t>
      </w:r>
      <w:r w:rsidR="00CA1410" w:rsidRPr="005A7000">
        <w:rPr>
          <w:i/>
        </w:rPr>
        <w:t>)</w:t>
      </w:r>
      <w:r w:rsidR="00430A6C" w:rsidRPr="005A7000">
        <w:rPr>
          <w:i/>
        </w:rPr>
        <w:t xml:space="preserve"> against the baseline “do-nothing scenario”</w:t>
      </w:r>
      <w:r w:rsidR="00CA1410" w:rsidRPr="005A7000">
        <w:rPr>
          <w:i/>
        </w:rPr>
        <w:t>, MtCO</w:t>
      </w:r>
      <w:r w:rsidR="00CA1410" w:rsidRPr="005A7000">
        <w:rPr>
          <w:i/>
          <w:vertAlign w:val="subscript"/>
        </w:rPr>
        <w:t>2</w:t>
      </w:r>
      <w:r w:rsidR="00CA1410" w:rsidRPr="005A7000">
        <w:rPr>
          <w:i/>
        </w:rPr>
        <w:t>e</w:t>
      </w:r>
    </w:p>
    <w:p w14:paraId="791E0755" w14:textId="6BD32DCC" w:rsidR="00ED6040" w:rsidRPr="00CD2B30" w:rsidRDefault="000279BF" w:rsidP="00ED6040">
      <w:pPr>
        <w:rPr>
          <w:i/>
        </w:rPr>
      </w:pPr>
      <w:r>
        <w:rPr>
          <w:noProof/>
        </w:rPr>
        <w:drawing>
          <wp:inline distT="0" distB="0" distL="0" distR="0" wp14:anchorId="4A27B098" wp14:editId="00BBE9DC">
            <wp:extent cx="6480175" cy="3660484"/>
            <wp:effectExtent l="0" t="0" r="15875" b="16510"/>
            <wp:docPr id="2" name="Chart 2">
              <a:extLst xmlns:a="http://schemas.openxmlformats.org/drawingml/2006/main">
                <a:ext uri="{FF2B5EF4-FFF2-40B4-BE49-F238E27FC236}">
                  <a16:creationId xmlns:a16="http://schemas.microsoft.com/office/drawing/2014/main" id="{00F52CD8-C380-48E8-83F8-EBBC827908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6F8861" w14:textId="6ACCDADA" w:rsidR="0056650A" w:rsidRDefault="0056650A" w:rsidP="00934114">
      <w:pPr>
        <w:pStyle w:val="Heading3"/>
      </w:pPr>
      <w:bookmarkStart w:id="46" w:name="_Toc67051842"/>
      <w:r w:rsidRPr="0056650A">
        <w:t>1.</w:t>
      </w:r>
      <w:r w:rsidR="000279BF">
        <w:t>8</w:t>
      </w:r>
      <w:r w:rsidR="00FD1FB5" w:rsidRPr="0056650A">
        <w:t xml:space="preserve"> </w:t>
      </w:r>
      <w:r w:rsidRPr="0056650A">
        <w:t>Public sector equality duty</w:t>
      </w:r>
      <w:bookmarkEnd w:id="46"/>
    </w:p>
    <w:p w14:paraId="43B63219" w14:textId="7D7E4ADE" w:rsidR="0056650A" w:rsidRPr="00500F37" w:rsidRDefault="0056650A" w:rsidP="009229B3">
      <w:pPr>
        <w:pStyle w:val="Numberedparagraphs"/>
        <w:rPr>
          <w:color w:val="000000" w:themeColor="text1"/>
        </w:rPr>
      </w:pPr>
      <w:r w:rsidRPr="00500F37">
        <w:t>Under Section 149 of the Equality Act 2010, public authorities have a duty to</w:t>
      </w:r>
      <w:r w:rsidRPr="00500F37">
        <w:rPr>
          <w:color w:val="000000" w:themeColor="text1"/>
        </w:rPr>
        <w:t xml:space="preserve"> consider how their policies and decisions affect individuals who are protected under the Equality Act (2010).</w:t>
      </w:r>
      <w:r w:rsidRPr="00500F37">
        <w:rPr>
          <w:rStyle w:val="FootnoteReference"/>
          <w:rFonts w:cs="Arial"/>
          <w:color w:val="000000" w:themeColor="text1"/>
          <w:sz w:val="24"/>
        </w:rPr>
        <w:footnoteReference w:id="23"/>
      </w:r>
      <w:r w:rsidRPr="00500F37">
        <w:rPr>
          <w:color w:val="000000" w:themeColor="text1"/>
        </w:rPr>
        <w:t xml:space="preserve"> The Act 2010 </w:t>
      </w:r>
      <w:r w:rsidRPr="00500F37">
        <w:t xml:space="preserve">identifies the following as protected characteristics for the duty: </w:t>
      </w:r>
    </w:p>
    <w:p w14:paraId="3FACB848" w14:textId="7FECBE1A" w:rsidR="0056650A" w:rsidRPr="00500F37" w:rsidRDefault="0056650A" w:rsidP="00CD2B30">
      <w:pPr>
        <w:pStyle w:val="Bullets"/>
        <w:ind w:left="1494"/>
        <w:rPr>
          <w:rFonts w:cs="Arial"/>
        </w:rPr>
      </w:pPr>
      <w:r w:rsidRPr="00500F37">
        <w:t xml:space="preserve">Age </w:t>
      </w:r>
    </w:p>
    <w:p w14:paraId="60267BC5" w14:textId="77777777" w:rsidR="0056650A" w:rsidRPr="00500F37" w:rsidRDefault="0056650A" w:rsidP="00CD2B30">
      <w:pPr>
        <w:pStyle w:val="Bullets"/>
        <w:ind w:left="1494"/>
        <w:rPr>
          <w:rFonts w:cs="Arial"/>
        </w:rPr>
      </w:pPr>
      <w:r w:rsidRPr="00500F37">
        <w:t xml:space="preserve">Disability </w:t>
      </w:r>
    </w:p>
    <w:p w14:paraId="425C05B0" w14:textId="3A8CB3B7" w:rsidR="00F8521C" w:rsidRDefault="0056650A" w:rsidP="00CD2B30">
      <w:pPr>
        <w:pStyle w:val="Bullets"/>
        <w:ind w:left="1494"/>
      </w:pPr>
      <w:r w:rsidRPr="00500F37">
        <w:t xml:space="preserve">Gender </w:t>
      </w:r>
      <w:r w:rsidR="00F8521C">
        <w:t>r</w:t>
      </w:r>
      <w:r w:rsidRPr="00500F37">
        <w:t xml:space="preserve">eassignment </w:t>
      </w:r>
    </w:p>
    <w:p w14:paraId="1D6DBC7B" w14:textId="2F324894" w:rsidR="00F8521C" w:rsidRPr="00905D5A" w:rsidRDefault="00F8521C" w:rsidP="00CD2B30">
      <w:pPr>
        <w:pStyle w:val="Bullets"/>
        <w:ind w:left="1494"/>
      </w:pPr>
      <w:r>
        <w:t>Marriage and civil partnership</w:t>
      </w:r>
    </w:p>
    <w:p w14:paraId="7104ED6A" w14:textId="42D747DA" w:rsidR="0056650A" w:rsidRPr="00500F37" w:rsidRDefault="0056650A" w:rsidP="00CD2B30">
      <w:pPr>
        <w:pStyle w:val="Bullets"/>
        <w:ind w:left="1494"/>
        <w:rPr>
          <w:rFonts w:cs="Arial"/>
        </w:rPr>
      </w:pPr>
      <w:r w:rsidRPr="00500F37">
        <w:t xml:space="preserve">Pregnancy and </w:t>
      </w:r>
      <w:r w:rsidR="00F8521C">
        <w:t>m</w:t>
      </w:r>
      <w:r w:rsidR="00F8521C" w:rsidRPr="00500F37">
        <w:t xml:space="preserve">aternity </w:t>
      </w:r>
    </w:p>
    <w:p w14:paraId="6514EEF8" w14:textId="77777777" w:rsidR="0056650A" w:rsidRPr="00500F37" w:rsidRDefault="0056650A" w:rsidP="00CD2B30">
      <w:pPr>
        <w:pStyle w:val="Bullets"/>
        <w:ind w:left="1494"/>
        <w:rPr>
          <w:rFonts w:cs="Arial"/>
        </w:rPr>
      </w:pPr>
      <w:r w:rsidRPr="00500F37">
        <w:t xml:space="preserve">Race (including ethnicity) </w:t>
      </w:r>
    </w:p>
    <w:p w14:paraId="61163938" w14:textId="77777777" w:rsidR="00F8521C" w:rsidRDefault="0056650A" w:rsidP="00CD2B30">
      <w:pPr>
        <w:pStyle w:val="Bullets"/>
        <w:ind w:left="1494"/>
      </w:pPr>
      <w:r w:rsidRPr="00500F37">
        <w:t xml:space="preserve">Religion or belief </w:t>
      </w:r>
    </w:p>
    <w:p w14:paraId="6F209CD9" w14:textId="4EF67C95" w:rsidR="0056650A" w:rsidRPr="00500F37" w:rsidRDefault="0056650A" w:rsidP="00CD2B30">
      <w:pPr>
        <w:pStyle w:val="Bullets"/>
        <w:ind w:left="1494"/>
        <w:rPr>
          <w:rFonts w:cs="Arial"/>
        </w:rPr>
      </w:pPr>
      <w:r w:rsidRPr="00500F37">
        <w:t xml:space="preserve">Sex </w:t>
      </w:r>
    </w:p>
    <w:p w14:paraId="512E1B3B" w14:textId="77777777" w:rsidR="0056650A" w:rsidRPr="00500F37" w:rsidRDefault="0056650A" w:rsidP="007C7E19">
      <w:pPr>
        <w:pStyle w:val="Bullets"/>
        <w:spacing w:after="0"/>
        <w:ind w:left="1494"/>
        <w:rPr>
          <w:rFonts w:cs="Arial"/>
        </w:rPr>
      </w:pPr>
      <w:r w:rsidRPr="00500F37">
        <w:t xml:space="preserve">Sexual orientation </w:t>
      </w:r>
    </w:p>
    <w:p w14:paraId="70D77D93" w14:textId="77777777" w:rsidR="0056650A" w:rsidRPr="00500F37" w:rsidRDefault="0056650A" w:rsidP="00CD5685">
      <w:pPr>
        <w:pStyle w:val="Default"/>
        <w:rPr>
          <w:rFonts w:ascii="Arial" w:hAnsi="Arial" w:cs="Arial"/>
        </w:rPr>
      </w:pPr>
    </w:p>
    <w:p w14:paraId="15F953C3" w14:textId="31819CAE" w:rsidR="0056650A" w:rsidRPr="00500F37" w:rsidRDefault="0056650A" w:rsidP="009229B3">
      <w:pPr>
        <w:pStyle w:val="Numberedparagraphs"/>
      </w:pPr>
      <w:r w:rsidRPr="434235AB">
        <w:t xml:space="preserve">As this Impact Assessment concerns only the decision on the overall level of the sixth carbon budget, rather than the </w:t>
      </w:r>
      <w:r w:rsidRPr="006A0C4B">
        <w:rPr>
          <w:shd w:val="clear" w:color="auto" w:fill="FFFFFF" w:themeFill="background1"/>
        </w:rPr>
        <w:t xml:space="preserve">policies </w:t>
      </w:r>
      <w:r w:rsidR="00187B67" w:rsidRPr="006A0C4B">
        <w:rPr>
          <w:shd w:val="clear" w:color="auto" w:fill="FFFFFF" w:themeFill="background1"/>
        </w:rPr>
        <w:t>needed</w:t>
      </w:r>
      <w:r w:rsidRPr="006A0C4B">
        <w:rPr>
          <w:shd w:val="clear" w:color="auto" w:fill="FFFFFF" w:themeFill="background1"/>
        </w:rPr>
        <w:t xml:space="preserve"> to meet it, it is not yet possible to identify specific equalities impacts. </w:t>
      </w:r>
      <w:r w:rsidR="00571EFA">
        <w:rPr>
          <w:shd w:val="clear" w:color="auto" w:fill="FFFFFF" w:themeFill="background1"/>
        </w:rPr>
        <w:t xml:space="preserve">Where appropriate, </w:t>
      </w:r>
      <w:r>
        <w:rPr>
          <w:shd w:val="clear" w:color="auto" w:fill="FFFFFF" w:themeFill="background1"/>
        </w:rPr>
        <w:t xml:space="preserve">the </w:t>
      </w:r>
      <w:r w:rsidR="00184A75">
        <w:rPr>
          <w:shd w:val="clear" w:color="auto" w:fill="FFFFFF" w:themeFill="background1"/>
        </w:rPr>
        <w:t>g</w:t>
      </w:r>
      <w:r w:rsidR="007C6560">
        <w:rPr>
          <w:shd w:val="clear" w:color="auto" w:fill="FFFFFF" w:themeFill="background1"/>
        </w:rPr>
        <w:t>overnment</w:t>
      </w:r>
      <w:r>
        <w:rPr>
          <w:shd w:val="clear" w:color="auto" w:fill="FFFFFF" w:themeFill="background1"/>
        </w:rPr>
        <w:t xml:space="preserve"> will consider equalities impacts further</w:t>
      </w:r>
      <w:r w:rsidR="00CF445B">
        <w:rPr>
          <w:shd w:val="clear" w:color="auto" w:fill="FFFFFF" w:themeFill="background1"/>
        </w:rPr>
        <w:t xml:space="preserve"> </w:t>
      </w:r>
      <w:r w:rsidRPr="006A0C4B">
        <w:rPr>
          <w:shd w:val="clear" w:color="auto" w:fill="FFFFFF" w:themeFill="background1"/>
        </w:rPr>
        <w:t xml:space="preserve">as policies </w:t>
      </w:r>
      <w:r w:rsidR="008D0429" w:rsidRPr="006A0C4B">
        <w:rPr>
          <w:shd w:val="clear" w:color="auto" w:fill="FFFFFF" w:themeFill="background1"/>
        </w:rPr>
        <w:t xml:space="preserve">and proposals </w:t>
      </w:r>
      <w:r w:rsidR="005C55C8" w:rsidDel="008D0429">
        <w:rPr>
          <w:shd w:val="clear" w:color="auto" w:fill="FFFFFF" w:themeFill="background1"/>
        </w:rPr>
        <w:t xml:space="preserve">are </w:t>
      </w:r>
      <w:r w:rsidR="00CF445B">
        <w:rPr>
          <w:shd w:val="clear" w:color="auto" w:fill="FFFFFF" w:themeFill="background1"/>
        </w:rPr>
        <w:t>developed</w:t>
      </w:r>
      <w:r w:rsidDel="008D0429">
        <w:rPr>
          <w:shd w:val="clear" w:color="auto" w:fill="FFFFFF" w:themeFill="background1"/>
        </w:rPr>
        <w:t xml:space="preserve"> </w:t>
      </w:r>
      <w:r w:rsidRPr="006A0C4B">
        <w:rPr>
          <w:shd w:val="clear" w:color="auto" w:fill="FFFFFF" w:themeFill="background1"/>
        </w:rPr>
        <w:t xml:space="preserve">to meet </w:t>
      </w:r>
      <w:r w:rsidR="005C55C8" w:rsidRPr="006A0C4B">
        <w:rPr>
          <w:shd w:val="clear" w:color="auto" w:fill="FFFFFF" w:themeFill="background1"/>
        </w:rPr>
        <w:t xml:space="preserve">the </w:t>
      </w:r>
      <w:r w:rsidR="00645FF6" w:rsidRPr="006A0C4B">
        <w:rPr>
          <w:shd w:val="clear" w:color="auto" w:fill="FFFFFF" w:themeFill="background1"/>
        </w:rPr>
        <w:t>s</w:t>
      </w:r>
      <w:r w:rsidR="005C55C8" w:rsidRPr="006A0C4B">
        <w:rPr>
          <w:shd w:val="clear" w:color="auto" w:fill="FFFFFF" w:themeFill="background1"/>
        </w:rPr>
        <w:t>ixth carbon budget</w:t>
      </w:r>
      <w:r w:rsidR="00CE0B2F" w:rsidRPr="006A0C4B">
        <w:rPr>
          <w:shd w:val="clear" w:color="auto" w:fill="FFFFFF" w:themeFill="background1"/>
        </w:rPr>
        <w:t>, preceding carbon budgets, and the</w:t>
      </w:r>
      <w:r w:rsidR="00CE0B2F">
        <w:t xml:space="preserve"> UK’s NDC</w:t>
      </w:r>
      <w:r w:rsidRPr="434235AB">
        <w:t xml:space="preserve">. </w:t>
      </w:r>
    </w:p>
    <w:p w14:paraId="190F0DEC" w14:textId="5E10DE2C" w:rsidR="0056650A" w:rsidRPr="00500F37" w:rsidRDefault="0056650A" w:rsidP="009229B3">
      <w:pPr>
        <w:pStyle w:val="Numberedparagraphs"/>
      </w:pPr>
      <w:r w:rsidRPr="434235AB">
        <w:lastRenderedPageBreak/>
        <w:t xml:space="preserve">In principle, however, </w:t>
      </w:r>
      <w:r w:rsidR="00571EFA">
        <w:t xml:space="preserve">climate change exacerbates inequalities on a global scale and </w:t>
      </w:r>
      <w:r w:rsidRPr="434235AB">
        <w:t>efforts to tackle climate change contribute towards addressing the</w:t>
      </w:r>
      <w:r w:rsidR="00571EFA">
        <w:t>se.</w:t>
      </w:r>
      <w:r w:rsidRPr="434235AB">
        <w:t xml:space="preserve"> The impacts of climate change are not equally distributed across people or communities</w:t>
      </w:r>
      <w:r w:rsidRPr="00500F37">
        <w:rPr>
          <w:rStyle w:val="FootnoteReference"/>
          <w:rFonts w:cs="Arial"/>
          <w:sz w:val="24"/>
          <w:szCs w:val="24"/>
        </w:rPr>
        <w:footnoteReference w:id="24"/>
      </w:r>
      <w:r w:rsidRPr="434235AB">
        <w:t xml:space="preserve"> and </w:t>
      </w:r>
      <w:r w:rsidRPr="434235AB">
        <w:rPr>
          <w:rFonts w:eastAsia="Calibri"/>
        </w:rPr>
        <w:t xml:space="preserve">it is well-established </w:t>
      </w:r>
      <w:r w:rsidRPr="434235AB">
        <w:t xml:space="preserve">that existing social inequalities result in </w:t>
      </w:r>
      <w:r w:rsidR="008D0429">
        <w:t xml:space="preserve">a </w:t>
      </w:r>
      <w:r w:rsidRPr="434235AB">
        <w:t>disproportionate</w:t>
      </w:r>
      <w:r w:rsidR="008D0429">
        <w:t xml:space="preserve"> negative impact</w:t>
      </w:r>
      <w:r w:rsidRPr="434235AB">
        <w:t xml:space="preserve"> among disadvantaged groups.</w:t>
      </w:r>
      <w:r w:rsidRPr="00500F37">
        <w:rPr>
          <w:rStyle w:val="FootnoteReference"/>
          <w:rFonts w:eastAsia="Calibri" w:cs="Arial"/>
          <w:sz w:val="24"/>
          <w:szCs w:val="24"/>
        </w:rPr>
        <w:footnoteReference w:id="25"/>
      </w:r>
      <w:r w:rsidRPr="434235AB">
        <w:t xml:space="preserve"> While the impact of mitigation policies is complex, it can both compound and reduce inequalities.</w:t>
      </w:r>
      <w:r w:rsidRPr="434235AB">
        <w:rPr>
          <w:rStyle w:val="FootnoteReference"/>
          <w:rFonts w:cs="Arial"/>
        </w:rPr>
        <w:footnoteReference w:id="26"/>
      </w:r>
      <w:r w:rsidRPr="434235AB">
        <w:t xml:space="preserve"> </w:t>
      </w:r>
      <w:r w:rsidRPr="434235AB">
        <w:rPr>
          <w:rStyle w:val="eop"/>
          <w:rFonts w:cs="Arial"/>
        </w:rPr>
        <w:t>The IPCC conclude</w:t>
      </w:r>
      <w:r w:rsidR="00571EFA">
        <w:rPr>
          <w:rStyle w:val="eop"/>
          <w:rFonts w:cs="Arial"/>
        </w:rPr>
        <w:t>s</w:t>
      </w:r>
      <w:r w:rsidRPr="434235AB">
        <w:rPr>
          <w:rStyle w:val="eop"/>
          <w:rFonts w:cs="Arial"/>
        </w:rPr>
        <w:t xml:space="preserve"> that limiting global warming to 1.5</w:t>
      </w:r>
      <w:r w:rsidR="00B77E96">
        <w:rPr>
          <w:rStyle w:val="eop"/>
          <w:rFonts w:cs="Arial"/>
        </w:rPr>
        <w:t>°</w:t>
      </w:r>
      <w:r w:rsidRPr="434235AB">
        <w:rPr>
          <w:rStyle w:val="eop"/>
          <w:rFonts w:cs="Arial"/>
        </w:rPr>
        <w:t>C would make it significantly easier to achieve many aspects of sustainable development, with greater potential to eradicate poverty and reduce inequalities.</w:t>
      </w:r>
      <w:r w:rsidRPr="00500F37">
        <w:rPr>
          <w:rStyle w:val="FootnoteReference"/>
          <w:rFonts w:cs="Arial"/>
          <w:sz w:val="24"/>
          <w:szCs w:val="24"/>
        </w:rPr>
        <w:footnoteReference w:id="27"/>
      </w:r>
      <w:r w:rsidRPr="434235AB">
        <w:rPr>
          <w:rStyle w:val="eop"/>
          <w:rFonts w:cs="Arial"/>
        </w:rPr>
        <w:t xml:space="preserve"> </w:t>
      </w:r>
    </w:p>
    <w:p w14:paraId="7195E568" w14:textId="27932CD8" w:rsidR="0056650A" w:rsidRPr="00500F37" w:rsidRDefault="0056650A" w:rsidP="009229B3">
      <w:pPr>
        <w:pStyle w:val="Numberedparagraphs"/>
        <w:rPr>
          <w:rStyle w:val="normaltextrun"/>
          <w:rFonts w:cs="Arial"/>
          <w:bCs w:val="0"/>
          <w:color w:val="000000" w:themeColor="text1"/>
          <w:szCs w:val="24"/>
        </w:rPr>
      </w:pPr>
      <w:r w:rsidRPr="434235AB">
        <w:rPr>
          <w:rStyle w:val="normaltextrun"/>
          <w:rFonts w:cs="Arial"/>
        </w:rPr>
        <w:t xml:space="preserve">There are also localised equalities impacts </w:t>
      </w:r>
      <w:r w:rsidR="005C55C8" w:rsidRPr="434235AB">
        <w:rPr>
          <w:rStyle w:val="normaltextrun"/>
          <w:rFonts w:cs="Arial"/>
        </w:rPr>
        <w:t>arising from</w:t>
      </w:r>
      <w:r w:rsidRPr="434235AB">
        <w:rPr>
          <w:rStyle w:val="normaltextrun"/>
          <w:rFonts w:cs="Arial"/>
        </w:rPr>
        <w:t xml:space="preserve"> the adverse effects of climate change</w:t>
      </w:r>
      <w:r w:rsidR="00F5601A">
        <w:rPr>
          <w:rStyle w:val="normaltextrun"/>
          <w:rFonts w:cs="Arial"/>
        </w:rPr>
        <w:t>,</w:t>
      </w:r>
      <w:bookmarkStart w:id="47" w:name="_Hlk66862003"/>
      <w:r w:rsidR="00F5601A">
        <w:rPr>
          <w:rStyle w:val="normaltextrun"/>
          <w:rFonts w:cs="Arial"/>
        </w:rPr>
        <w:t xml:space="preserve"> although we cannot identify these for the different budget options considered</w:t>
      </w:r>
      <w:r w:rsidRPr="434235AB">
        <w:rPr>
          <w:rStyle w:val="normaltextrun"/>
          <w:rFonts w:cs="Arial"/>
        </w:rPr>
        <w:t xml:space="preserve">. </w:t>
      </w:r>
      <w:bookmarkEnd w:id="47"/>
      <w:r w:rsidR="00F5601A">
        <w:rPr>
          <w:rStyle w:val="normaltextrun"/>
          <w:rFonts w:cs="Arial"/>
        </w:rPr>
        <w:t xml:space="preserve">As an </w:t>
      </w:r>
      <w:r w:rsidR="002A2067">
        <w:rPr>
          <w:rStyle w:val="normaltextrun"/>
          <w:rFonts w:cs="Arial"/>
        </w:rPr>
        <w:t>example</w:t>
      </w:r>
      <w:r w:rsidRPr="434235AB">
        <w:rPr>
          <w:rStyle w:val="normaltextrun"/>
          <w:rFonts w:cs="Arial"/>
        </w:rPr>
        <w:t xml:space="preserve">, </w:t>
      </w:r>
      <w:r w:rsidRPr="434235AB">
        <w:rPr>
          <w:rStyle w:val="normaltextrun"/>
          <w:rFonts w:cs="Arial"/>
          <w:color w:val="000000" w:themeColor="text1"/>
        </w:rPr>
        <w:t xml:space="preserve">health impacts can disproportionately impact </w:t>
      </w:r>
      <w:r w:rsidR="00DF467E" w:rsidRPr="434235AB">
        <w:rPr>
          <w:rStyle w:val="normaltextrun"/>
          <w:rFonts w:cs="Arial"/>
          <w:color w:val="000000" w:themeColor="text1"/>
        </w:rPr>
        <w:t>different</w:t>
      </w:r>
      <w:r w:rsidR="00E35A3F" w:rsidRPr="434235AB">
        <w:rPr>
          <w:rStyle w:val="normaltextrun"/>
          <w:rFonts w:cs="Arial"/>
          <w:color w:val="000000" w:themeColor="text1"/>
        </w:rPr>
        <w:t xml:space="preserve"> demographics in society</w:t>
      </w:r>
      <w:r w:rsidR="005456C2" w:rsidRPr="434235AB">
        <w:rPr>
          <w:rStyle w:val="normaltextrun"/>
          <w:rFonts w:cs="Arial"/>
          <w:color w:val="000000" w:themeColor="text1"/>
        </w:rPr>
        <w:t>, including those with protected characteristics</w:t>
      </w:r>
      <w:r w:rsidRPr="434235AB">
        <w:rPr>
          <w:rStyle w:val="normaltextrun"/>
          <w:rFonts w:cs="Arial"/>
          <w:color w:val="000000" w:themeColor="text1"/>
        </w:rPr>
        <w:t xml:space="preserve">. </w:t>
      </w:r>
      <w:r w:rsidR="00B77E96">
        <w:rPr>
          <w:color w:val="000000" w:themeColor="text1"/>
        </w:rPr>
        <w:t>R</w:t>
      </w:r>
      <w:r w:rsidRPr="434235AB">
        <w:rPr>
          <w:color w:val="000000" w:themeColor="text1"/>
        </w:rPr>
        <w:t xml:space="preserve">esearch has found the worst levels of air pollution are experienced by those living in the </w:t>
      </w:r>
      <w:r w:rsidR="009A7402">
        <w:rPr>
          <w:color w:val="000000" w:themeColor="text1"/>
        </w:rPr>
        <w:t xml:space="preserve">10% </w:t>
      </w:r>
      <w:r w:rsidRPr="434235AB">
        <w:rPr>
          <w:color w:val="000000" w:themeColor="text1"/>
        </w:rPr>
        <w:t>most deprived areas in the UK, regions which have a higher proportion of Black, Asian and minority ethnic (BAME) populations.</w:t>
      </w:r>
      <w:r w:rsidRPr="434235AB">
        <w:rPr>
          <w:color w:val="000000" w:themeColor="text1"/>
          <w:vertAlign w:val="superscript"/>
        </w:rPr>
        <w:footnoteReference w:id="28"/>
      </w:r>
    </w:p>
    <w:p w14:paraId="0ADC625D" w14:textId="23767B41" w:rsidR="0056650A" w:rsidRPr="0056650A" w:rsidRDefault="0056650A" w:rsidP="009229B3">
      <w:pPr>
        <w:pStyle w:val="Numberedparagraphs"/>
      </w:pPr>
      <w:r w:rsidRPr="434235AB">
        <w:rPr>
          <w:position w:val="1"/>
        </w:rPr>
        <w:t>Making the transition to net zero in the UK could also impact those with protected characteristics disproportionately</w:t>
      </w:r>
      <w:r w:rsidR="00E54516">
        <w:t>, f</w:t>
      </w:r>
      <w:r w:rsidRPr="434235AB">
        <w:t xml:space="preserve">or </w:t>
      </w:r>
      <w:r w:rsidR="00494761">
        <w:t>instance</w:t>
      </w:r>
      <w:r w:rsidRPr="434235AB">
        <w:t xml:space="preserve"> if emerging green jobs </w:t>
      </w:r>
      <w:r w:rsidR="005456C2" w:rsidRPr="434235AB">
        <w:t>were</w:t>
      </w:r>
      <w:r w:rsidRPr="434235AB">
        <w:t xml:space="preserve"> concentrated in sectors that currently have poor diversity</w:t>
      </w:r>
      <w:r w:rsidR="0087442D">
        <w:t>,</w:t>
      </w:r>
      <w:r w:rsidRPr="434235AB">
        <w:t xml:space="preserve"> or changing household bills or taxes </w:t>
      </w:r>
      <w:r w:rsidR="005456C2" w:rsidRPr="434235AB">
        <w:t>were to particularly</w:t>
      </w:r>
      <w:r w:rsidR="009E764C" w:rsidRPr="434235AB">
        <w:t xml:space="preserve"> </w:t>
      </w:r>
      <w:r w:rsidRPr="434235AB">
        <w:t xml:space="preserve">impact </w:t>
      </w:r>
      <w:r w:rsidR="005456C2" w:rsidRPr="434235AB">
        <w:t>specific</w:t>
      </w:r>
      <w:r w:rsidRPr="434235AB">
        <w:t xml:space="preserve"> groups. </w:t>
      </w:r>
      <w:r w:rsidRPr="434235AB">
        <w:rPr>
          <w:position w:val="1"/>
        </w:rPr>
        <w:t>In transition</w:t>
      </w:r>
      <w:r w:rsidR="00813D1E">
        <w:rPr>
          <w:position w:val="1"/>
        </w:rPr>
        <w:t>ing</w:t>
      </w:r>
      <w:r w:rsidR="00494761" w:rsidRPr="52B559F3">
        <w:t xml:space="preserve"> </w:t>
      </w:r>
      <w:r w:rsidR="00E54516">
        <w:t xml:space="preserve">to net zero </w:t>
      </w:r>
      <w:r w:rsidR="00494761" w:rsidRPr="52B559F3">
        <w:t>and bringing forward policies in future</w:t>
      </w:r>
      <w:r w:rsidR="00715BF5" w:rsidRPr="434235AB">
        <w:rPr>
          <w:position w:val="1"/>
        </w:rPr>
        <w:t>,</w:t>
      </w:r>
      <w:r w:rsidRPr="434235AB">
        <w:rPr>
          <w:position w:val="1"/>
        </w:rPr>
        <w:t xml:space="preserve"> </w:t>
      </w:r>
      <w:r w:rsidR="004273D4">
        <w:rPr>
          <w:position w:val="1"/>
        </w:rPr>
        <w:t>g</w:t>
      </w:r>
      <w:r w:rsidR="007C6560">
        <w:rPr>
          <w:position w:val="1"/>
        </w:rPr>
        <w:t>overnment</w:t>
      </w:r>
      <w:r w:rsidR="00715BF5" w:rsidRPr="434235AB">
        <w:rPr>
          <w:position w:val="1"/>
        </w:rPr>
        <w:t xml:space="preserve"> </w:t>
      </w:r>
      <w:r w:rsidRPr="434235AB">
        <w:rPr>
          <w:position w:val="1"/>
        </w:rPr>
        <w:t xml:space="preserve">will need to consider ways </w:t>
      </w:r>
      <w:r w:rsidR="00715BF5" w:rsidRPr="434235AB">
        <w:rPr>
          <w:position w:val="1"/>
        </w:rPr>
        <w:t>to ensure it</w:t>
      </w:r>
      <w:r w:rsidRPr="434235AB">
        <w:rPr>
          <w:position w:val="1"/>
        </w:rPr>
        <w:t xml:space="preserve"> is representative of people with protected characteristics</w:t>
      </w:r>
      <w:r w:rsidR="00715BF5" w:rsidRPr="434235AB">
        <w:rPr>
          <w:position w:val="1"/>
        </w:rPr>
        <w:t>,</w:t>
      </w:r>
      <w:r w:rsidRPr="434235AB">
        <w:rPr>
          <w:position w:val="1"/>
        </w:rPr>
        <w:t xml:space="preserve"> while minimising any </w:t>
      </w:r>
      <w:r w:rsidR="00715BF5" w:rsidRPr="434235AB">
        <w:rPr>
          <w:position w:val="1"/>
        </w:rPr>
        <w:t xml:space="preserve">potential </w:t>
      </w:r>
      <w:r w:rsidRPr="434235AB">
        <w:rPr>
          <w:position w:val="1"/>
        </w:rPr>
        <w:t>negative impacts.</w:t>
      </w:r>
    </w:p>
    <w:p w14:paraId="4421C0B3" w14:textId="0B02FC16" w:rsidR="004B3B18" w:rsidRDefault="004B3B18" w:rsidP="00FE4255">
      <w:pPr>
        <w:pStyle w:val="Heading1"/>
        <w:spacing w:after="0"/>
      </w:pPr>
      <w:bookmarkStart w:id="48" w:name="_Toc67051843"/>
    </w:p>
    <w:p w14:paraId="0C8D9B22" w14:textId="2F85283B" w:rsidR="004B3B18" w:rsidRDefault="004B3B18" w:rsidP="004B3B18"/>
    <w:p w14:paraId="2265358E" w14:textId="1FC45E88" w:rsidR="004B3B18" w:rsidRDefault="004B3B18" w:rsidP="004B3B18"/>
    <w:p w14:paraId="4B6B47FE" w14:textId="6DB5CB24" w:rsidR="004B3B18" w:rsidRDefault="004B3B18" w:rsidP="004B3B18"/>
    <w:p w14:paraId="723F052F" w14:textId="76B6C57F" w:rsidR="004B3B18" w:rsidRDefault="004B3B18" w:rsidP="004B3B18"/>
    <w:p w14:paraId="5CC388DA" w14:textId="54660CCE" w:rsidR="004B3B18" w:rsidRDefault="004B3B18" w:rsidP="004B3B18"/>
    <w:p w14:paraId="6A060D1B" w14:textId="0531AF96" w:rsidR="004B3B18" w:rsidRDefault="004B3B18" w:rsidP="004B3B18"/>
    <w:p w14:paraId="5E29BABF" w14:textId="01EE2681" w:rsidR="004B3B18" w:rsidRDefault="004B3B18" w:rsidP="004B3B18"/>
    <w:p w14:paraId="2847D2AB" w14:textId="6669BF9D" w:rsidR="004B3B18" w:rsidRDefault="004B3B18" w:rsidP="004B3B18"/>
    <w:p w14:paraId="01E8E48C" w14:textId="5E9481A9" w:rsidR="004B3B18" w:rsidRDefault="004B3B18" w:rsidP="004B3B18"/>
    <w:p w14:paraId="023F1016" w14:textId="4858BE62" w:rsidR="004B3B18" w:rsidRDefault="004B3B18" w:rsidP="004B3B18"/>
    <w:p w14:paraId="0F8C9DC2" w14:textId="208CD207" w:rsidR="004B3B18" w:rsidRDefault="004B3B18" w:rsidP="004B3B18"/>
    <w:p w14:paraId="55621302" w14:textId="2E8023F8" w:rsidR="004B3B18" w:rsidRDefault="004B3B18" w:rsidP="004B3B18"/>
    <w:p w14:paraId="04F0BEAF" w14:textId="22CFEE08" w:rsidR="004B3B18" w:rsidRDefault="004B3B18" w:rsidP="004B3B18"/>
    <w:p w14:paraId="1DEB7410" w14:textId="6CD04467" w:rsidR="004B3B18" w:rsidRDefault="004B3B18" w:rsidP="004B3B18"/>
    <w:p w14:paraId="56C8FFB8" w14:textId="77777777" w:rsidR="00A11898" w:rsidRDefault="00A11898" w:rsidP="004B3B18"/>
    <w:p w14:paraId="41F73DFD" w14:textId="77777777" w:rsidR="00A11898" w:rsidRDefault="00A11898" w:rsidP="004B3B18"/>
    <w:p w14:paraId="1A4EFBAC" w14:textId="453D1D0C" w:rsidR="00CC71CE" w:rsidRDefault="00633773" w:rsidP="00FE4255">
      <w:pPr>
        <w:pStyle w:val="Heading1"/>
        <w:spacing w:after="0"/>
      </w:pPr>
      <w:r>
        <w:lastRenderedPageBreak/>
        <w:t xml:space="preserve">2 </w:t>
      </w:r>
      <w:r w:rsidR="00CC71CE">
        <w:t>Analysis</w:t>
      </w:r>
      <w:bookmarkEnd w:id="48"/>
    </w:p>
    <w:p w14:paraId="6D85AB81" w14:textId="658F4921" w:rsidR="00184E8D" w:rsidRPr="007C7E19" w:rsidRDefault="00633773" w:rsidP="007C7E19">
      <w:pPr>
        <w:pStyle w:val="Heading3"/>
        <w:spacing w:after="200"/>
        <w:rPr>
          <w:sz w:val="28"/>
          <w:szCs w:val="24"/>
        </w:rPr>
      </w:pPr>
      <w:bookmarkStart w:id="49" w:name="_Toc67051844"/>
      <w:r w:rsidRPr="007C7E19">
        <w:rPr>
          <w:sz w:val="28"/>
          <w:szCs w:val="24"/>
        </w:rPr>
        <w:t xml:space="preserve">2.1 </w:t>
      </w:r>
      <w:r w:rsidR="00184E8D" w:rsidRPr="007C7E19">
        <w:rPr>
          <w:sz w:val="28"/>
          <w:szCs w:val="24"/>
        </w:rPr>
        <w:t>Evidence base</w:t>
      </w:r>
      <w:bookmarkEnd w:id="49"/>
    </w:p>
    <w:p w14:paraId="6676858F" w14:textId="7E1CB374" w:rsidR="00360F69" w:rsidRPr="008F5905" w:rsidRDefault="006C3D61" w:rsidP="009229B3">
      <w:pPr>
        <w:pStyle w:val="Numberedparagraphs"/>
      </w:pPr>
      <w:r>
        <w:t>The analysis presented here takes the form of scenarios</w:t>
      </w:r>
      <w:r w:rsidR="00F34C28">
        <w:t>,</w:t>
      </w:r>
      <w:r>
        <w:t xml:space="preserve"> not forecasts or predictions. All presented pathways </w:t>
      </w:r>
      <w:r w:rsidR="008F2F55">
        <w:t xml:space="preserve">to 2050 </w:t>
      </w:r>
      <w:r w:rsidR="00B05A45">
        <w:t>are illustrative and created to inform the decision on the level of the sixth carbon budget.</w:t>
      </w:r>
      <w:r w:rsidDel="00B05A45">
        <w:t xml:space="preserve"> </w:t>
      </w:r>
      <w:r>
        <w:t xml:space="preserve">They do not </w:t>
      </w:r>
      <w:r w:rsidR="00D230B0">
        <w:t>define how</w:t>
      </w:r>
      <w:r w:rsidR="007279C7">
        <w:t xml:space="preserve"> </w:t>
      </w:r>
      <w:r w:rsidR="00D230B0">
        <w:t xml:space="preserve">the sixth carbon budget </w:t>
      </w:r>
      <w:r w:rsidR="00435F69">
        <w:t>or net zero</w:t>
      </w:r>
      <w:r w:rsidR="00D230B0">
        <w:t xml:space="preserve"> w</w:t>
      </w:r>
      <w:r w:rsidR="00F76FF5">
        <w:t>ill</w:t>
      </w:r>
      <w:r w:rsidR="00D230B0">
        <w:t xml:space="preserve"> be achieve</w:t>
      </w:r>
      <w:r w:rsidR="00F76FF5">
        <w:t>d</w:t>
      </w:r>
      <w:r w:rsidR="00E41A0F">
        <w:t>, which will be for future policy decisions</w:t>
      </w:r>
      <w:r w:rsidR="005E33AB">
        <w:t xml:space="preserve">, but they do </w:t>
      </w:r>
      <w:r w:rsidR="00FF13EF">
        <w:t xml:space="preserve">allow an assessment of the </w:t>
      </w:r>
      <w:r w:rsidR="00155ABD">
        <w:t>key costs, benefits, risks</w:t>
      </w:r>
      <w:r w:rsidR="00C54A02">
        <w:t>,</w:t>
      </w:r>
      <w:r w:rsidR="00155ABD">
        <w:t xml:space="preserve"> and opportunities of </w:t>
      </w:r>
      <w:r w:rsidR="00E12914">
        <w:t>different budget levels.</w:t>
      </w:r>
      <w:r>
        <w:t xml:space="preserve"> </w:t>
      </w:r>
    </w:p>
    <w:p w14:paraId="6A624659" w14:textId="2E1D703D" w:rsidR="00D325F5" w:rsidRPr="00D325F5" w:rsidRDefault="00D325F5" w:rsidP="007C7E19">
      <w:pPr>
        <w:pStyle w:val="Heading4"/>
        <w:spacing w:after="200"/>
        <w:rPr>
          <w:szCs w:val="24"/>
        </w:rPr>
      </w:pPr>
      <w:r w:rsidRPr="007C7E19">
        <w:rPr>
          <w:szCs w:val="24"/>
        </w:rPr>
        <w:t>Th</w:t>
      </w:r>
      <w:r w:rsidRPr="00D325F5">
        <w:rPr>
          <w:szCs w:val="24"/>
        </w:rPr>
        <w:t>e UK TIMES model</w:t>
      </w:r>
    </w:p>
    <w:p w14:paraId="174ACED5" w14:textId="6411C86E" w:rsidR="00D20F38" w:rsidRPr="004E5099" w:rsidRDefault="00F44BB5" w:rsidP="009229B3">
      <w:pPr>
        <w:pStyle w:val="Numberedparagraphs"/>
        <w:rPr>
          <w:u w:val="single"/>
        </w:rPr>
      </w:pPr>
      <w:r>
        <w:t>The</w:t>
      </w:r>
      <w:r w:rsidR="00175FFE" w:rsidRPr="00D325F5">
        <w:t xml:space="preserve"> emission pathways </w:t>
      </w:r>
      <w:r w:rsidR="0008723B" w:rsidRPr="004E5099">
        <w:t>modelling,</w:t>
      </w:r>
      <w:r w:rsidR="00175FFE" w:rsidRPr="004E5099">
        <w:t xml:space="preserve"> and the majority of </w:t>
      </w:r>
      <w:r w:rsidR="00F34C28">
        <w:t xml:space="preserve">monetised </w:t>
      </w:r>
      <w:r w:rsidR="00175FFE" w:rsidRPr="004E5099">
        <w:t>cost and benefits</w:t>
      </w:r>
      <w:r w:rsidR="00F34C28">
        <w:t>,</w:t>
      </w:r>
      <w:r w:rsidR="0008723B" w:rsidRPr="004E5099">
        <w:t xml:space="preserve"> </w:t>
      </w:r>
      <w:r w:rsidR="00C35D72">
        <w:t>use the</w:t>
      </w:r>
      <w:r w:rsidR="009D56C9" w:rsidRPr="004E5099">
        <w:t xml:space="preserve"> UK TIMES model</w:t>
      </w:r>
      <w:r w:rsidR="005E60F2">
        <w:t xml:space="preserve"> </w:t>
      </w:r>
      <w:r w:rsidR="005E60F2" w:rsidRPr="004E5099">
        <w:t>(UKTM)</w:t>
      </w:r>
      <w:r w:rsidR="00C24C93">
        <w:rPr>
          <w:rStyle w:val="FootnoteReference"/>
        </w:rPr>
        <w:footnoteReference w:id="29"/>
      </w:r>
      <w:r w:rsidR="00B8759B" w:rsidRPr="004E5099">
        <w:t>, a</w:t>
      </w:r>
      <w:r w:rsidR="004F5FC4" w:rsidRPr="004E5099">
        <w:t xml:space="preserve"> least-cost </w:t>
      </w:r>
      <w:r w:rsidR="00B8759B" w:rsidRPr="004E5099">
        <w:t xml:space="preserve">optimisation model for the whole UK </w:t>
      </w:r>
      <w:r w:rsidR="0075187F">
        <w:t xml:space="preserve">emissions </w:t>
      </w:r>
      <w:r w:rsidR="00C86B1D">
        <w:t xml:space="preserve">(including land use) and energy </w:t>
      </w:r>
      <w:r w:rsidR="00B8759B" w:rsidRPr="004E5099">
        <w:t>system</w:t>
      </w:r>
      <w:r w:rsidR="006C3572" w:rsidRPr="004E5099">
        <w:t xml:space="preserve"> covering the period 2010 to 2060</w:t>
      </w:r>
      <w:r w:rsidR="00B8759B" w:rsidRPr="004E5099">
        <w:t>.</w:t>
      </w:r>
      <w:r w:rsidR="00423DA5">
        <w:t xml:space="preserve"> More details on the UK</w:t>
      </w:r>
      <w:r w:rsidR="00744A81">
        <w:t>TM</w:t>
      </w:r>
      <w:r w:rsidR="005E60F2">
        <w:t xml:space="preserve"> </w:t>
      </w:r>
      <w:r w:rsidR="00423DA5">
        <w:t xml:space="preserve">model can be found in annex </w:t>
      </w:r>
      <w:r w:rsidR="00934114">
        <w:t>A.2</w:t>
      </w:r>
      <w:r w:rsidR="0075187F">
        <w:t xml:space="preserve"> but the key</w:t>
      </w:r>
      <w:r w:rsidR="00C0397E">
        <w:t xml:space="preserve"> points to note are:</w:t>
      </w:r>
      <w:r w:rsidR="0075187F">
        <w:t xml:space="preserve"> </w:t>
      </w:r>
    </w:p>
    <w:p w14:paraId="0C3A83A8" w14:textId="6A559C3C" w:rsidR="004A0791" w:rsidRPr="00B879C0" w:rsidRDefault="00633478" w:rsidP="00626A4B">
      <w:pPr>
        <w:pStyle w:val="Bullets"/>
        <w:numPr>
          <w:ilvl w:val="0"/>
          <w:numId w:val="802"/>
        </w:numPr>
        <w:spacing w:after="160"/>
        <w:ind w:left="1494"/>
        <w:rPr>
          <w:rFonts w:cs="Arial"/>
          <w:szCs w:val="24"/>
        </w:rPr>
      </w:pPr>
      <w:r w:rsidRPr="0071483C">
        <w:rPr>
          <w:u w:val="single"/>
        </w:rPr>
        <w:t>Methodology</w:t>
      </w:r>
      <w:r w:rsidRPr="007C66C9">
        <w:t xml:space="preserve">: </w:t>
      </w:r>
      <w:r w:rsidR="00EC7ED2" w:rsidRPr="009A10D8">
        <w:t>model</w:t>
      </w:r>
      <w:r w:rsidR="00F5460F" w:rsidRPr="00231331">
        <w:t xml:space="preserve"> inputs include assumptions about technology costs</w:t>
      </w:r>
      <w:r w:rsidR="001F473F" w:rsidRPr="00945A57">
        <w:rPr>
          <w:vertAlign w:val="superscript"/>
        </w:rPr>
        <w:footnoteReference w:id="30"/>
      </w:r>
      <w:r w:rsidR="00F5460F" w:rsidRPr="007C66C9">
        <w:t xml:space="preserve">, availability, performance, </w:t>
      </w:r>
      <w:r w:rsidR="0058396D">
        <w:t xml:space="preserve">and </w:t>
      </w:r>
      <w:r w:rsidR="00F5460F" w:rsidRPr="007C66C9">
        <w:t xml:space="preserve">build rates, fossil fuel prices and energy </w:t>
      </w:r>
      <w:r w:rsidR="00395F9F">
        <w:t xml:space="preserve">services </w:t>
      </w:r>
      <w:r w:rsidR="00F5460F" w:rsidRPr="007C66C9">
        <w:t>demand</w:t>
      </w:r>
      <w:r w:rsidR="00395F9F">
        <w:t xml:space="preserve"> by end-use sector</w:t>
      </w:r>
      <w:r w:rsidR="003F684D" w:rsidRPr="009350E8">
        <w:t xml:space="preserve">. These </w:t>
      </w:r>
      <w:r w:rsidR="001D3224">
        <w:t>inputs</w:t>
      </w:r>
      <w:r w:rsidR="003F684D" w:rsidRPr="009350E8">
        <w:t xml:space="preserve"> are pre-determined</w:t>
      </w:r>
      <w:r w:rsidR="00C9761F" w:rsidRPr="00280D02">
        <w:t xml:space="preserve"> for each </w:t>
      </w:r>
      <w:r w:rsidR="00C9761F" w:rsidRPr="00134183">
        <w:t xml:space="preserve">model run and do not vary with </w:t>
      </w:r>
      <w:r w:rsidR="00F12F4D" w:rsidRPr="00032B1A">
        <w:t>deployment</w:t>
      </w:r>
      <w:r w:rsidR="00C00026" w:rsidRPr="00D37BF2">
        <w:t xml:space="preserve"> (e.g</w:t>
      </w:r>
      <w:r w:rsidR="00FC67A7">
        <w:t>.</w:t>
      </w:r>
      <w:r w:rsidR="00C00026" w:rsidRPr="00D37BF2">
        <w:t xml:space="preserve"> </w:t>
      </w:r>
      <w:r w:rsidR="005A7B8A" w:rsidRPr="00D37BF2">
        <w:t xml:space="preserve">endogenous </w:t>
      </w:r>
      <w:r w:rsidR="001D3224">
        <w:t xml:space="preserve">technology </w:t>
      </w:r>
      <w:r w:rsidR="005A7B8A" w:rsidRPr="00D37BF2">
        <w:t>learning is not captured beyond pre-determined assumptions)</w:t>
      </w:r>
      <w:r w:rsidR="00C9761F" w:rsidRPr="007C66C9">
        <w:t xml:space="preserve">. </w:t>
      </w:r>
      <w:r w:rsidR="00695E94" w:rsidRPr="00AC700B">
        <w:rPr>
          <w:rFonts w:cs="Arial"/>
        </w:rPr>
        <w:t xml:space="preserve">Based on the </w:t>
      </w:r>
      <w:r w:rsidR="001D3224" w:rsidRPr="487A5EE3">
        <w:rPr>
          <w:rFonts w:cs="Arial"/>
        </w:rPr>
        <w:t>input</w:t>
      </w:r>
      <w:r w:rsidR="00695E94" w:rsidRPr="487A5EE3">
        <w:rPr>
          <w:rFonts w:cs="Arial"/>
        </w:rPr>
        <w:t xml:space="preserve"> assumptions </w:t>
      </w:r>
      <w:r w:rsidR="00FF0D22" w:rsidRPr="487A5EE3">
        <w:rPr>
          <w:rFonts w:cs="Arial"/>
        </w:rPr>
        <w:t>the model identifies the least</w:t>
      </w:r>
      <w:r w:rsidR="00647E7E" w:rsidRPr="487A5EE3">
        <w:rPr>
          <w:rFonts w:cs="Arial"/>
        </w:rPr>
        <w:t>-</w:t>
      </w:r>
      <w:r w:rsidR="00FF0D22" w:rsidRPr="487A5EE3">
        <w:rPr>
          <w:rFonts w:cs="Arial"/>
        </w:rPr>
        <w:t>cost way of meeting</w:t>
      </w:r>
      <w:r w:rsidR="00A32D10" w:rsidRPr="487A5EE3">
        <w:rPr>
          <w:rFonts w:cs="Arial"/>
        </w:rPr>
        <w:t xml:space="preserve"> a given GHG reduction t</w:t>
      </w:r>
      <w:r w:rsidR="001B50ED" w:rsidRPr="487A5EE3">
        <w:rPr>
          <w:rFonts w:cs="Arial"/>
        </w:rPr>
        <w:t xml:space="preserve">rajectory while also meeting assumed end-use demand for energy services. </w:t>
      </w:r>
    </w:p>
    <w:p w14:paraId="489F307A" w14:textId="55691C66" w:rsidR="00004B8D" w:rsidRPr="00B172EF" w:rsidRDefault="00361405" w:rsidP="00626A4B">
      <w:pPr>
        <w:pStyle w:val="Bullets"/>
        <w:numPr>
          <w:ilvl w:val="0"/>
          <w:numId w:val="22"/>
        </w:numPr>
        <w:spacing w:after="160"/>
        <w:ind w:left="1494"/>
      </w:pPr>
      <w:r w:rsidRPr="0071483C">
        <w:rPr>
          <w:u w:val="single"/>
        </w:rPr>
        <w:t>Assumptions</w:t>
      </w:r>
      <w:r w:rsidRPr="007C66C9">
        <w:t xml:space="preserve">: </w:t>
      </w:r>
      <w:r w:rsidR="00FD0DE6">
        <w:rPr>
          <w:rFonts w:cs="Arial"/>
          <w:szCs w:val="24"/>
        </w:rPr>
        <w:t>a</w:t>
      </w:r>
      <w:r w:rsidR="000F50CB">
        <w:rPr>
          <w:rFonts w:cs="Arial"/>
          <w:szCs w:val="24"/>
        </w:rPr>
        <w:t xml:space="preserve">n </w:t>
      </w:r>
      <w:r w:rsidR="004C3AFE">
        <w:rPr>
          <w:rFonts w:cs="Arial"/>
          <w:szCs w:val="24"/>
        </w:rPr>
        <w:t xml:space="preserve">extensive exercise </w:t>
      </w:r>
      <w:r w:rsidR="000F50CB">
        <w:rPr>
          <w:rFonts w:cs="Arial"/>
          <w:szCs w:val="24"/>
        </w:rPr>
        <w:t xml:space="preserve">has been undertaken </w:t>
      </w:r>
      <w:r w:rsidR="004C3AFE">
        <w:rPr>
          <w:rFonts w:cs="Arial"/>
          <w:szCs w:val="24"/>
        </w:rPr>
        <w:t xml:space="preserve">to ensure UKTM is aligned with </w:t>
      </w:r>
      <w:r w:rsidR="009A1931">
        <w:rPr>
          <w:rFonts w:cs="Arial"/>
          <w:szCs w:val="24"/>
        </w:rPr>
        <w:t>the latest</w:t>
      </w:r>
      <w:r w:rsidR="004C3AFE">
        <w:rPr>
          <w:rFonts w:cs="Arial"/>
          <w:szCs w:val="24"/>
        </w:rPr>
        <w:t xml:space="preserve"> </w:t>
      </w:r>
      <w:r w:rsidR="004E5099">
        <w:rPr>
          <w:rFonts w:cs="Arial"/>
          <w:szCs w:val="24"/>
        </w:rPr>
        <w:t xml:space="preserve">evidence base </w:t>
      </w:r>
      <w:r w:rsidR="009A1931">
        <w:rPr>
          <w:rFonts w:cs="Arial"/>
          <w:szCs w:val="24"/>
        </w:rPr>
        <w:t>and</w:t>
      </w:r>
      <w:r w:rsidR="004E5099">
        <w:rPr>
          <w:rFonts w:cs="Arial"/>
          <w:szCs w:val="24"/>
        </w:rPr>
        <w:t xml:space="preserve"> </w:t>
      </w:r>
      <w:r w:rsidR="004C3AFE">
        <w:rPr>
          <w:rFonts w:cs="Arial"/>
          <w:szCs w:val="24"/>
        </w:rPr>
        <w:t>assumptions</w:t>
      </w:r>
      <w:r w:rsidR="009A1931">
        <w:rPr>
          <w:rFonts w:cs="Arial"/>
          <w:szCs w:val="24"/>
        </w:rPr>
        <w:t xml:space="preserve"> used across </w:t>
      </w:r>
      <w:r w:rsidR="00A02F8B">
        <w:rPr>
          <w:rFonts w:cs="Arial"/>
          <w:szCs w:val="24"/>
        </w:rPr>
        <w:t>g</w:t>
      </w:r>
      <w:r w:rsidR="007C6560">
        <w:rPr>
          <w:rFonts w:cs="Arial"/>
          <w:szCs w:val="24"/>
        </w:rPr>
        <w:t>overnment</w:t>
      </w:r>
      <w:r w:rsidR="004C3AFE">
        <w:rPr>
          <w:rFonts w:cs="Arial"/>
          <w:szCs w:val="24"/>
        </w:rPr>
        <w:t xml:space="preserve">. More detail on assumptions is included in Annex </w:t>
      </w:r>
      <w:r w:rsidR="00C466B6">
        <w:rPr>
          <w:rFonts w:cs="Arial"/>
          <w:szCs w:val="24"/>
        </w:rPr>
        <w:t>A.2.</w:t>
      </w:r>
    </w:p>
    <w:p w14:paraId="799F7335" w14:textId="02220F7F" w:rsidR="004E5099" w:rsidRPr="007C66C9" w:rsidRDefault="00361405" w:rsidP="00626A4B">
      <w:pPr>
        <w:pStyle w:val="Bullets"/>
        <w:ind w:left="1494"/>
      </w:pPr>
      <w:r w:rsidRPr="0071483C">
        <w:rPr>
          <w:u w:val="single"/>
        </w:rPr>
        <w:t>Strength</w:t>
      </w:r>
      <w:r w:rsidR="00F46700" w:rsidRPr="0071483C">
        <w:rPr>
          <w:u w:val="single"/>
        </w:rPr>
        <w:t>s</w:t>
      </w:r>
      <w:r w:rsidRPr="0071483C">
        <w:rPr>
          <w:u w:val="single"/>
        </w:rPr>
        <w:t xml:space="preserve"> and limitations</w:t>
      </w:r>
      <w:r w:rsidRPr="009350E8">
        <w:t xml:space="preserve">: </w:t>
      </w:r>
      <w:r w:rsidR="00C14F53" w:rsidRPr="007C66C9">
        <w:t>a</w:t>
      </w:r>
      <w:r w:rsidR="001A4FCA" w:rsidRPr="009A10D8">
        <w:t xml:space="preserve"> particular advantage of UKTM is that it identifies </w:t>
      </w:r>
      <w:r w:rsidR="00D1219C" w:rsidRPr="009A10D8">
        <w:t xml:space="preserve">the least-cost technology pathway for a given set of assumptions, taking account of interactions across </w:t>
      </w:r>
      <w:r w:rsidR="00B065AB" w:rsidRPr="009A10D8">
        <w:t xml:space="preserve">energy supply and end-use sectors over time. </w:t>
      </w:r>
      <w:r w:rsidR="00E8147F" w:rsidRPr="009A10D8">
        <w:t>The model is therefore useful for identifying</w:t>
      </w:r>
      <w:r w:rsidR="00633478" w:rsidRPr="009A10D8">
        <w:t xml:space="preserve"> which technologies could be essential</w:t>
      </w:r>
      <w:r w:rsidR="00285FF6" w:rsidRPr="009A10D8">
        <w:t>, or</w:t>
      </w:r>
      <w:r w:rsidR="00633478" w:rsidRPr="009A10D8">
        <w:t xml:space="preserve"> </w:t>
      </w:r>
      <w:r w:rsidR="00633478" w:rsidRPr="00231331">
        <w:t>important in the long</w:t>
      </w:r>
      <w:r w:rsidR="00FC67A7" w:rsidRPr="00231331">
        <w:t xml:space="preserve"> </w:t>
      </w:r>
      <w:r w:rsidR="00633478" w:rsidRPr="00231331">
        <w:t>run for achieving a low cost</w:t>
      </w:r>
      <w:r w:rsidR="00821743" w:rsidRPr="00231331">
        <w:t xml:space="preserve">, low carbon system and the appropriate sequencing of abatement opportunities. </w:t>
      </w:r>
      <w:r w:rsidR="00FC11BC" w:rsidRPr="0041281A">
        <w:t>However,</w:t>
      </w:r>
      <w:r w:rsidR="00FB65A6" w:rsidRPr="0041281A">
        <w:t xml:space="preserve"> there are a number of </w:t>
      </w:r>
      <w:r w:rsidR="004F2696" w:rsidRPr="0041281A">
        <w:t xml:space="preserve">limitations to the modelling: </w:t>
      </w:r>
    </w:p>
    <w:p w14:paraId="48C84485" w14:textId="5D46C53F" w:rsidR="00033BA2" w:rsidRPr="007C0A8C" w:rsidRDefault="000E3019" w:rsidP="002B5EC5">
      <w:pPr>
        <w:pStyle w:val="Bullets"/>
        <w:numPr>
          <w:ilvl w:val="1"/>
          <w:numId w:val="22"/>
        </w:numPr>
        <w:ind w:left="2061"/>
        <w:rPr>
          <w:rFonts w:cs="Arial"/>
        </w:rPr>
      </w:pPr>
      <w:r w:rsidRPr="007C66C9">
        <w:t xml:space="preserve">The model </w:t>
      </w:r>
      <w:r w:rsidR="00232040">
        <w:t>does not direct</w:t>
      </w:r>
      <w:r w:rsidR="008B0494">
        <w:t>ly</w:t>
      </w:r>
      <w:r w:rsidR="00232040">
        <w:t xml:space="preserve"> </w:t>
      </w:r>
      <w:r w:rsidRPr="007C66C9">
        <w:t>take</w:t>
      </w:r>
      <w:r w:rsidR="00232040">
        <w:t xml:space="preserve"> </w:t>
      </w:r>
      <w:r w:rsidRPr="007C66C9">
        <w:t xml:space="preserve">account of </w:t>
      </w:r>
      <w:r w:rsidR="00232040">
        <w:t xml:space="preserve">opportunities </w:t>
      </w:r>
      <w:r w:rsidR="00AE5B89">
        <w:t>or</w:t>
      </w:r>
      <w:r w:rsidR="00232040">
        <w:t xml:space="preserve"> </w:t>
      </w:r>
      <w:r w:rsidRPr="007C66C9">
        <w:t xml:space="preserve">risks to costs and meeting future targets </w:t>
      </w:r>
      <w:r w:rsidRPr="3B01D8EB">
        <w:rPr>
          <w:rFonts w:cs="Arial"/>
        </w:rPr>
        <w:t>resulting from uncertainty around technological, economic, social</w:t>
      </w:r>
      <w:r w:rsidR="000A2F4D">
        <w:rPr>
          <w:rFonts w:cs="Arial"/>
        </w:rPr>
        <w:t xml:space="preserve">, </w:t>
      </w:r>
      <w:r w:rsidR="000A2F4D">
        <w:t>institutional, and environmental</w:t>
      </w:r>
      <w:r w:rsidRPr="3B01D8EB">
        <w:rPr>
          <w:rFonts w:cs="Arial"/>
        </w:rPr>
        <w:t xml:space="preserve"> factors</w:t>
      </w:r>
      <w:r w:rsidR="00847239" w:rsidRPr="3B01D8EB">
        <w:rPr>
          <w:rFonts w:cs="Arial"/>
        </w:rPr>
        <w:t xml:space="preserve">, </w:t>
      </w:r>
      <w:r w:rsidR="00847239">
        <w:t>or potential benefits and upside risks from technology deployment reducing costs</w:t>
      </w:r>
      <w:r w:rsidR="00D62C56">
        <w:t xml:space="preserve"> (e.g</w:t>
      </w:r>
      <w:r w:rsidR="00FC67A7">
        <w:t>.</w:t>
      </w:r>
      <w:r w:rsidR="00D62C56">
        <w:t xml:space="preserve"> learning by doing)</w:t>
      </w:r>
      <w:r w:rsidR="00847239">
        <w:t>, including from global action</w:t>
      </w:r>
      <w:r w:rsidRPr="3B01D8EB">
        <w:rPr>
          <w:rFonts w:cs="Arial"/>
        </w:rPr>
        <w:t xml:space="preserve">. To assess the uncertainty around these factors various technology scenarios and </w:t>
      </w:r>
      <w:r w:rsidR="00277453" w:rsidRPr="3B01D8EB">
        <w:rPr>
          <w:rFonts w:cs="Arial"/>
        </w:rPr>
        <w:t>sensitivities</w:t>
      </w:r>
      <w:r w:rsidR="00504B8D" w:rsidRPr="3B01D8EB">
        <w:rPr>
          <w:rFonts w:cs="Arial"/>
        </w:rPr>
        <w:t xml:space="preserve"> have been analysed</w:t>
      </w:r>
      <w:r w:rsidR="00277453" w:rsidRPr="3B01D8EB">
        <w:rPr>
          <w:rFonts w:cs="Arial"/>
        </w:rPr>
        <w:t>,</w:t>
      </w:r>
      <w:r w:rsidRPr="3B01D8EB">
        <w:rPr>
          <w:rFonts w:cs="Arial"/>
        </w:rPr>
        <w:t xml:space="preserve"> see further detail in </w:t>
      </w:r>
      <w:r w:rsidR="00C466B6">
        <w:rPr>
          <w:rFonts w:cs="Arial"/>
        </w:rPr>
        <w:t>s</w:t>
      </w:r>
      <w:r w:rsidRPr="006A0C4B">
        <w:rPr>
          <w:rFonts w:cs="Arial"/>
        </w:rPr>
        <w:t xml:space="preserve">ection </w:t>
      </w:r>
      <w:r w:rsidR="00C466B6" w:rsidRPr="006A0C4B">
        <w:rPr>
          <w:rFonts w:cs="Arial"/>
        </w:rPr>
        <w:t>2.2</w:t>
      </w:r>
      <w:r w:rsidR="00934114">
        <w:rPr>
          <w:rFonts w:cs="Arial"/>
        </w:rPr>
        <w:t>.</w:t>
      </w:r>
      <w:r w:rsidRPr="3B01D8EB">
        <w:rPr>
          <w:rFonts w:cs="Arial"/>
        </w:rPr>
        <w:t xml:space="preserve"> </w:t>
      </w:r>
    </w:p>
    <w:p w14:paraId="74A26C3B" w14:textId="69F2910D" w:rsidR="00FB65A6" w:rsidRDefault="001F62BC" w:rsidP="00D24293">
      <w:pPr>
        <w:pStyle w:val="Bullets"/>
        <w:numPr>
          <w:ilvl w:val="1"/>
          <w:numId w:val="22"/>
        </w:numPr>
        <w:ind w:left="2061"/>
        <w:rPr>
          <w:rFonts w:cs="Arial"/>
          <w:szCs w:val="24"/>
        </w:rPr>
      </w:pPr>
      <w:r w:rsidRPr="007C66C9">
        <w:t>Not all cost</w:t>
      </w:r>
      <w:r w:rsidR="005E666E">
        <w:rPr>
          <w:rFonts w:cs="Arial"/>
          <w:szCs w:val="24"/>
        </w:rPr>
        <w:t>s</w:t>
      </w:r>
      <w:r>
        <w:rPr>
          <w:rFonts w:cs="Arial"/>
          <w:szCs w:val="24"/>
        </w:rPr>
        <w:t xml:space="preserve"> and benefits are accounted for in the model</w:t>
      </w:r>
      <w:r w:rsidR="009C05CC">
        <w:rPr>
          <w:rFonts w:cs="Arial"/>
          <w:szCs w:val="24"/>
        </w:rPr>
        <w:t>.</w:t>
      </w:r>
      <w:r>
        <w:rPr>
          <w:rFonts w:cs="Arial"/>
          <w:szCs w:val="24"/>
        </w:rPr>
        <w:t xml:space="preserve"> </w:t>
      </w:r>
      <w:r w:rsidR="009C05CC">
        <w:rPr>
          <w:rFonts w:cs="Arial"/>
          <w:szCs w:val="24"/>
        </w:rPr>
        <w:t>I</w:t>
      </w:r>
      <w:r>
        <w:rPr>
          <w:rFonts w:cs="Arial"/>
          <w:szCs w:val="24"/>
        </w:rPr>
        <w:t>n particular</w:t>
      </w:r>
      <w:r w:rsidR="00B17ACF">
        <w:rPr>
          <w:rFonts w:cs="Arial"/>
          <w:szCs w:val="24"/>
        </w:rPr>
        <w:t>,</w:t>
      </w:r>
      <w:r>
        <w:rPr>
          <w:rFonts w:cs="Arial"/>
          <w:szCs w:val="24"/>
        </w:rPr>
        <w:t xml:space="preserve"> </w:t>
      </w:r>
      <w:r w:rsidR="000B5E3E">
        <w:rPr>
          <w:rFonts w:cs="Arial"/>
          <w:szCs w:val="24"/>
        </w:rPr>
        <w:t xml:space="preserve">there are likely </w:t>
      </w:r>
      <w:r w:rsidR="000B5E3E" w:rsidRPr="00D05BF3">
        <w:rPr>
          <w:rFonts w:cs="Arial"/>
          <w:szCs w:val="24"/>
        </w:rPr>
        <w:t>to be additional</w:t>
      </w:r>
      <w:r w:rsidR="000B5E3E">
        <w:rPr>
          <w:rFonts w:cs="Arial"/>
          <w:szCs w:val="24"/>
        </w:rPr>
        <w:t xml:space="preserve"> </w:t>
      </w:r>
      <w:r w:rsidR="000B5E3E" w:rsidRPr="000A2425">
        <w:rPr>
          <w:rFonts w:cs="Arial"/>
          <w:szCs w:val="24"/>
        </w:rPr>
        <w:t>barriers beside cost and technical build rates</w:t>
      </w:r>
      <w:r w:rsidR="00A50D12">
        <w:rPr>
          <w:rFonts w:cs="Arial"/>
          <w:szCs w:val="24"/>
        </w:rPr>
        <w:t xml:space="preserve"> </w:t>
      </w:r>
      <w:r w:rsidR="000B5E3E" w:rsidRPr="000A2425">
        <w:rPr>
          <w:rFonts w:cs="Arial"/>
          <w:szCs w:val="24"/>
        </w:rPr>
        <w:t xml:space="preserve">that could constrain the </w:t>
      </w:r>
      <w:r w:rsidR="00A542C8">
        <w:rPr>
          <w:rFonts w:cs="Arial"/>
          <w:szCs w:val="24"/>
        </w:rPr>
        <w:t xml:space="preserve">realisation </w:t>
      </w:r>
      <w:r w:rsidR="000B5E3E" w:rsidRPr="000A2425">
        <w:rPr>
          <w:rFonts w:cs="Arial"/>
          <w:szCs w:val="24"/>
        </w:rPr>
        <w:t>of options that UKTM analysis suggests may be important in 2035 or 2050. These barriers are considered</w:t>
      </w:r>
      <w:r w:rsidR="000B5E3E">
        <w:rPr>
          <w:rFonts w:cs="Arial"/>
          <w:szCs w:val="24"/>
        </w:rPr>
        <w:t xml:space="preserve"> </w:t>
      </w:r>
      <w:r w:rsidR="000B5E3E" w:rsidRPr="00CB6A22">
        <w:rPr>
          <w:rFonts w:cs="Arial"/>
          <w:szCs w:val="24"/>
        </w:rPr>
        <w:t xml:space="preserve">separately in </w:t>
      </w:r>
      <w:r w:rsidR="0084268B">
        <w:rPr>
          <w:rFonts w:cs="Arial"/>
          <w:szCs w:val="24"/>
        </w:rPr>
        <w:t>s</w:t>
      </w:r>
      <w:r w:rsidR="000B5E3E" w:rsidRPr="00CB6A22">
        <w:rPr>
          <w:rFonts w:cs="Arial"/>
          <w:szCs w:val="24"/>
        </w:rPr>
        <w:t xml:space="preserve">ection </w:t>
      </w:r>
      <w:r w:rsidR="00C466B6">
        <w:rPr>
          <w:rFonts w:cs="Arial"/>
          <w:szCs w:val="24"/>
        </w:rPr>
        <w:t>2.3</w:t>
      </w:r>
      <w:r w:rsidR="000B5E3E" w:rsidRPr="00CB6A22">
        <w:rPr>
          <w:rFonts w:cs="Arial"/>
          <w:szCs w:val="24"/>
        </w:rPr>
        <w:t>.</w:t>
      </w:r>
      <w:r w:rsidR="00096BEE">
        <w:rPr>
          <w:rFonts w:cs="Arial"/>
          <w:szCs w:val="24"/>
        </w:rPr>
        <w:t xml:space="preserve"> </w:t>
      </w:r>
      <w:r w:rsidR="00D350CE">
        <w:rPr>
          <w:rFonts w:cs="Arial"/>
          <w:szCs w:val="24"/>
        </w:rPr>
        <w:t xml:space="preserve">Potential industrial benefits </w:t>
      </w:r>
      <w:r w:rsidR="008554CE">
        <w:rPr>
          <w:rFonts w:cs="Arial"/>
          <w:szCs w:val="24"/>
        </w:rPr>
        <w:t xml:space="preserve">and risks </w:t>
      </w:r>
      <w:r w:rsidR="00D350CE">
        <w:rPr>
          <w:rFonts w:cs="Arial"/>
          <w:szCs w:val="24"/>
        </w:rPr>
        <w:t>(e.g</w:t>
      </w:r>
      <w:r w:rsidR="00FC67A7">
        <w:rPr>
          <w:rFonts w:cs="Arial"/>
          <w:szCs w:val="24"/>
        </w:rPr>
        <w:t>.</w:t>
      </w:r>
      <w:r w:rsidR="00D350CE">
        <w:rPr>
          <w:rFonts w:cs="Arial"/>
          <w:szCs w:val="24"/>
        </w:rPr>
        <w:t xml:space="preserve"> </w:t>
      </w:r>
      <w:r w:rsidR="00107317">
        <w:rPr>
          <w:rFonts w:cs="Arial"/>
          <w:szCs w:val="24"/>
        </w:rPr>
        <w:t>market opportunities</w:t>
      </w:r>
      <w:r w:rsidR="00D350CE">
        <w:rPr>
          <w:rFonts w:cs="Arial"/>
          <w:szCs w:val="24"/>
        </w:rPr>
        <w:t xml:space="preserve"> </w:t>
      </w:r>
      <w:r w:rsidR="00D350CE">
        <w:rPr>
          <w:rFonts w:cs="Arial"/>
          <w:szCs w:val="24"/>
        </w:rPr>
        <w:lastRenderedPageBreak/>
        <w:t>from developing and deploying low-carbon technologies</w:t>
      </w:r>
      <w:r w:rsidR="00107317">
        <w:rPr>
          <w:rFonts w:cs="Arial"/>
          <w:szCs w:val="24"/>
        </w:rPr>
        <w:t xml:space="preserve"> or transition risks</w:t>
      </w:r>
      <w:r w:rsidR="00D350CE">
        <w:rPr>
          <w:rFonts w:cs="Arial"/>
          <w:szCs w:val="24"/>
        </w:rPr>
        <w:t>) are not captured in the model</w:t>
      </w:r>
      <w:r w:rsidR="0020360D">
        <w:rPr>
          <w:rFonts w:cs="Arial"/>
          <w:szCs w:val="24"/>
        </w:rPr>
        <w:t xml:space="preserve"> and are therefore considered separately</w:t>
      </w:r>
      <w:r w:rsidR="00D350CE">
        <w:rPr>
          <w:rFonts w:cs="Arial"/>
          <w:szCs w:val="24"/>
        </w:rPr>
        <w:t>.</w:t>
      </w:r>
    </w:p>
    <w:p w14:paraId="7D154315" w14:textId="73A0AD49" w:rsidR="0090327D" w:rsidRPr="00F46700" w:rsidRDefault="00277453" w:rsidP="002B5EC5">
      <w:pPr>
        <w:pStyle w:val="Bullets"/>
        <w:numPr>
          <w:ilvl w:val="1"/>
          <w:numId w:val="22"/>
        </w:numPr>
        <w:spacing w:after="240"/>
        <w:ind w:left="2061"/>
        <w:rPr>
          <w:rFonts w:cs="Arial"/>
          <w:szCs w:val="24"/>
        </w:rPr>
      </w:pPr>
      <w:r w:rsidRPr="007C66C9">
        <w:t xml:space="preserve">The model varies in detail </w:t>
      </w:r>
      <w:r w:rsidR="004F5B44" w:rsidRPr="009A10D8">
        <w:t>by</w:t>
      </w:r>
      <w:r w:rsidRPr="00231331">
        <w:t xml:space="preserve"> sector</w:t>
      </w:r>
      <w:r w:rsidR="00096BEE">
        <w:t>. I</w:t>
      </w:r>
      <w:r w:rsidRPr="009A10D8">
        <w:t>n some areas only high</w:t>
      </w:r>
      <w:r w:rsidR="00A64548" w:rsidRPr="009A10D8">
        <w:t>-</w:t>
      </w:r>
      <w:r w:rsidRPr="009A10D8">
        <w:t xml:space="preserve">level representations are provided and </w:t>
      </w:r>
      <w:r w:rsidR="00E73608" w:rsidRPr="009A10D8">
        <w:t>it</w:t>
      </w:r>
      <w:r w:rsidRPr="009A10D8">
        <w:t xml:space="preserve"> is not spatia</w:t>
      </w:r>
      <w:r w:rsidR="004B1307" w:rsidRPr="009A10D8">
        <w:t>l</w:t>
      </w:r>
      <w:r w:rsidRPr="009A10D8">
        <w:t>l</w:t>
      </w:r>
      <w:r w:rsidR="004B1307" w:rsidRPr="009A10D8">
        <w:t xml:space="preserve">y </w:t>
      </w:r>
      <w:r w:rsidR="002E5C13" w:rsidRPr="009A10D8">
        <w:t>disaggregated</w:t>
      </w:r>
      <w:r w:rsidRPr="009A10D8">
        <w:t>.</w:t>
      </w:r>
      <w:r w:rsidRPr="007C66C9">
        <w:t xml:space="preserve"> </w:t>
      </w:r>
      <w:r w:rsidR="00F46700" w:rsidRPr="00F46700">
        <w:rPr>
          <w:rFonts w:cs="Arial"/>
          <w:szCs w:val="24"/>
        </w:rPr>
        <w:t xml:space="preserve"> </w:t>
      </w:r>
    </w:p>
    <w:p w14:paraId="79C05F25" w14:textId="78BAB45D" w:rsidR="00360F69" w:rsidRPr="00D325F5" w:rsidRDefault="00A026D0" w:rsidP="00626A4B">
      <w:pPr>
        <w:pStyle w:val="Heading4"/>
        <w:spacing w:after="200"/>
        <w:rPr>
          <w:szCs w:val="24"/>
        </w:rPr>
      </w:pPr>
      <w:r w:rsidRPr="00626A4B">
        <w:rPr>
          <w:szCs w:val="24"/>
        </w:rPr>
        <w:t>Supplementary</w:t>
      </w:r>
      <w:r w:rsidR="00184E8D">
        <w:rPr>
          <w:szCs w:val="24"/>
        </w:rPr>
        <w:t xml:space="preserve"> </w:t>
      </w:r>
      <w:r w:rsidR="00F87526">
        <w:rPr>
          <w:szCs w:val="24"/>
        </w:rPr>
        <w:t xml:space="preserve">sectoral </w:t>
      </w:r>
      <w:r w:rsidR="00184E8D">
        <w:rPr>
          <w:szCs w:val="24"/>
        </w:rPr>
        <w:t>evidence</w:t>
      </w:r>
      <w:r w:rsidR="005714CB">
        <w:rPr>
          <w:szCs w:val="24"/>
        </w:rPr>
        <w:t xml:space="preserve"> </w:t>
      </w:r>
    </w:p>
    <w:p w14:paraId="11111D95" w14:textId="14416762" w:rsidR="00B12566" w:rsidRDefault="00C17A08" w:rsidP="009229B3">
      <w:pPr>
        <w:pStyle w:val="Numberedparagraphs"/>
      </w:pPr>
      <w:r>
        <w:t>To complement the UK</w:t>
      </w:r>
      <w:r w:rsidR="00744A81">
        <w:t>TM</w:t>
      </w:r>
      <w:r w:rsidR="0062190B">
        <w:t xml:space="preserve"> </w:t>
      </w:r>
      <w:r w:rsidR="003544F0">
        <w:t xml:space="preserve">whole-system </w:t>
      </w:r>
      <w:r>
        <w:t>analysis</w:t>
      </w:r>
      <w:r w:rsidR="0017399A">
        <w:t xml:space="preserve"> on technical feasibility, </w:t>
      </w:r>
      <w:r w:rsidR="00330DB5">
        <w:t xml:space="preserve">a </w:t>
      </w:r>
      <w:r w:rsidR="00703FBE">
        <w:t xml:space="preserve">comprehensive </w:t>
      </w:r>
      <w:r w:rsidR="00330DB5">
        <w:t xml:space="preserve">sector specific evidence </w:t>
      </w:r>
      <w:r w:rsidR="001F7E40">
        <w:t xml:space="preserve">base </w:t>
      </w:r>
      <w:r w:rsidR="00F657DC">
        <w:t>has been</w:t>
      </w:r>
      <w:r w:rsidR="00330DB5">
        <w:t xml:space="preserve"> used to inform </w:t>
      </w:r>
      <w:r w:rsidR="00B12566">
        <w:t>the assessment. This includes</w:t>
      </w:r>
      <w:r w:rsidR="00853FE0">
        <w:t xml:space="preserve"> evidence on</w:t>
      </w:r>
      <w:r w:rsidR="00B12566">
        <w:t xml:space="preserve">: </w:t>
      </w:r>
    </w:p>
    <w:p w14:paraId="7DA2AD4E" w14:textId="77777777" w:rsidR="00211AF4" w:rsidRPr="00D37BF2" w:rsidRDefault="00211AF4" w:rsidP="00DC0125">
      <w:pPr>
        <w:pStyle w:val="Bullets"/>
        <w:ind w:left="1494"/>
      </w:pPr>
      <w:r w:rsidRPr="00D37BF2">
        <w:t xml:space="preserve">costs and benefits </w:t>
      </w:r>
      <w:r w:rsidR="00EA1A98" w:rsidRPr="00D37BF2">
        <w:t xml:space="preserve">from </w:t>
      </w:r>
      <w:r w:rsidR="008E21F3" w:rsidRPr="00D37BF2">
        <w:t>sectoral modelling</w:t>
      </w:r>
      <w:r w:rsidR="00591FC5" w:rsidRPr="00D37BF2">
        <w:t xml:space="preserve"> frameworks</w:t>
      </w:r>
      <w:r w:rsidR="00137EAA">
        <w:t xml:space="preserve"> (which provide more granular modelling than UKTM)</w:t>
      </w:r>
      <w:r w:rsidR="00853FE0" w:rsidRPr="00D37BF2">
        <w:t>;</w:t>
      </w:r>
    </w:p>
    <w:p w14:paraId="708C4F5B" w14:textId="77777777" w:rsidR="000961FF" w:rsidRDefault="001D0726" w:rsidP="00DC0125">
      <w:pPr>
        <w:pStyle w:val="Bullets"/>
        <w:ind w:left="1494"/>
      </w:pPr>
      <w:r w:rsidRPr="00D37BF2">
        <w:t>wider impacts</w:t>
      </w:r>
      <w:r w:rsidR="00B14E60" w:rsidRPr="00D37BF2">
        <w:t xml:space="preserve">, </w:t>
      </w:r>
      <w:r w:rsidR="00A026D0" w:rsidRPr="00D37BF2">
        <w:t>incl</w:t>
      </w:r>
      <w:r w:rsidR="00190CD2">
        <w:t>uding</w:t>
      </w:r>
      <w:r w:rsidR="00A026D0" w:rsidRPr="00D37BF2">
        <w:t xml:space="preserve"> i</w:t>
      </w:r>
      <w:r w:rsidR="00B14E60" w:rsidRPr="00D37BF2">
        <w:t>nternational circumstances</w:t>
      </w:r>
      <w:r w:rsidR="00D02D20" w:rsidRPr="00D37BF2">
        <w:t xml:space="preserve"> and</w:t>
      </w:r>
      <w:r w:rsidR="00B14E60" w:rsidRPr="00D37BF2">
        <w:t xml:space="preserve"> sustainability risks</w:t>
      </w:r>
      <w:r w:rsidR="000961FF">
        <w:t>;</w:t>
      </w:r>
    </w:p>
    <w:p w14:paraId="6F27EFC0" w14:textId="76361296" w:rsidR="00DD5707" w:rsidRPr="00D37BF2" w:rsidRDefault="00E5252E" w:rsidP="00DC0125">
      <w:pPr>
        <w:pStyle w:val="Bullets"/>
        <w:spacing w:after="240"/>
        <w:ind w:left="1494"/>
      </w:pPr>
      <w:r w:rsidRPr="00D37BF2">
        <w:t xml:space="preserve">power sector </w:t>
      </w:r>
      <w:r w:rsidR="00442CD0" w:rsidRPr="00D37BF2">
        <w:t>decarbonisation pathways and implication</w:t>
      </w:r>
      <w:r w:rsidR="000961FF">
        <w:t>s</w:t>
      </w:r>
      <w:r w:rsidR="00442CD0" w:rsidRPr="00D37BF2">
        <w:t xml:space="preserve"> </w:t>
      </w:r>
      <w:r w:rsidR="000961FF">
        <w:t>for electricity</w:t>
      </w:r>
      <w:r w:rsidR="00442CD0" w:rsidRPr="00D37BF2">
        <w:t xml:space="preserve"> price impacts</w:t>
      </w:r>
      <w:r w:rsidR="00853FE0" w:rsidRPr="00D37BF2">
        <w:t>.</w:t>
      </w:r>
    </w:p>
    <w:p w14:paraId="3E679702" w14:textId="1A47A191" w:rsidR="00ED170E" w:rsidRPr="00ED170E" w:rsidRDefault="00853FE0" w:rsidP="009229B3">
      <w:pPr>
        <w:pStyle w:val="Numberedparagraphs"/>
      </w:pPr>
      <w:r>
        <w:t>Further information</w:t>
      </w:r>
      <w:r w:rsidR="00ED170E">
        <w:t xml:space="preserve"> </w:t>
      </w:r>
      <w:r w:rsidR="00423DA5">
        <w:t>on this supplementary evidence</w:t>
      </w:r>
      <w:r>
        <w:t xml:space="preserve"> is in </w:t>
      </w:r>
      <w:r w:rsidR="0084268B">
        <w:t>A</w:t>
      </w:r>
      <w:r w:rsidR="00B30DF7">
        <w:t xml:space="preserve">nnex </w:t>
      </w:r>
      <w:r w:rsidR="00556E57">
        <w:t>A.4.</w:t>
      </w:r>
      <w:r w:rsidR="00B30DF7">
        <w:t xml:space="preserve"> </w:t>
      </w:r>
    </w:p>
    <w:p w14:paraId="3230A3AD" w14:textId="5CEFCE20" w:rsidR="003C4913" w:rsidRPr="003F3BF9" w:rsidRDefault="00ED4B52" w:rsidP="00633773">
      <w:pPr>
        <w:pStyle w:val="Heading3"/>
        <w:rPr>
          <w:sz w:val="28"/>
          <w:szCs w:val="28"/>
        </w:rPr>
      </w:pPr>
      <w:bookmarkStart w:id="50" w:name="_Toc67051845"/>
      <w:r w:rsidRPr="003F3BF9">
        <w:rPr>
          <w:sz w:val="28"/>
          <w:szCs w:val="28"/>
        </w:rPr>
        <w:t xml:space="preserve">2.2 </w:t>
      </w:r>
      <w:r w:rsidR="00F1387F" w:rsidRPr="003F3BF9">
        <w:rPr>
          <w:sz w:val="28"/>
          <w:szCs w:val="28"/>
        </w:rPr>
        <w:t>T</w:t>
      </w:r>
      <w:r w:rsidR="00E502C7" w:rsidRPr="003F3BF9">
        <w:rPr>
          <w:sz w:val="28"/>
          <w:szCs w:val="28"/>
        </w:rPr>
        <w:t xml:space="preserve">echnical feasibility </w:t>
      </w:r>
      <w:r w:rsidR="00960AE5" w:rsidRPr="003F3BF9">
        <w:rPr>
          <w:sz w:val="28"/>
          <w:szCs w:val="28"/>
        </w:rPr>
        <w:t>of sixth carbon budget levels</w:t>
      </w:r>
      <w:bookmarkEnd w:id="50"/>
    </w:p>
    <w:p w14:paraId="4E15ED67" w14:textId="3089E033" w:rsidR="007D1206" w:rsidRDefault="0047657D" w:rsidP="00DC0125">
      <w:pPr>
        <w:pStyle w:val="Heading4"/>
        <w:spacing w:after="200"/>
      </w:pPr>
      <w:r>
        <w:t>Pathway</w:t>
      </w:r>
      <w:r w:rsidR="00C00F84">
        <w:t>s</w:t>
      </w:r>
      <w:r>
        <w:t xml:space="preserve"> </w:t>
      </w:r>
      <w:r w:rsidR="00A13CB0">
        <w:t>modelled</w:t>
      </w:r>
      <w:r w:rsidR="005E214A" w:rsidRPr="002946B8">
        <w:t xml:space="preserve"> </w:t>
      </w:r>
    </w:p>
    <w:p w14:paraId="43E0A857" w14:textId="0E5EA3D6" w:rsidR="007A386B" w:rsidRDefault="007A2140" w:rsidP="009229B3">
      <w:pPr>
        <w:pStyle w:val="Numberedparagraphs"/>
      </w:pPr>
      <w:r>
        <w:t>The technology mix and cost</w:t>
      </w:r>
      <w:r w:rsidR="001C7C45">
        <w:t>s</w:t>
      </w:r>
      <w:r>
        <w:t xml:space="preserve"> modelled by UKTM are highly sensitive to the availability of key resources (for example biomass) and technolog</w:t>
      </w:r>
      <w:r w:rsidR="00111601">
        <w:t>y assumptions</w:t>
      </w:r>
      <w:r>
        <w:t>.</w:t>
      </w:r>
      <w:r w:rsidR="0005439A">
        <w:t xml:space="preserve"> </w:t>
      </w:r>
      <w:r w:rsidR="00270438">
        <w:t>Given the uncertainty around these assumptions,</w:t>
      </w:r>
      <w:r w:rsidR="00E40CEE">
        <w:t xml:space="preserve"> for the purposes of this Impact Assessment, four </w:t>
      </w:r>
      <w:r w:rsidR="00AA6933">
        <w:t>n</w:t>
      </w:r>
      <w:r w:rsidR="00E40CEE">
        <w:t xml:space="preserve">et </w:t>
      </w:r>
      <w:r w:rsidR="00AA6933">
        <w:t>z</w:t>
      </w:r>
      <w:r w:rsidR="00E40CEE">
        <w:t xml:space="preserve">ero pathways </w:t>
      </w:r>
      <w:r w:rsidR="009030C0">
        <w:t xml:space="preserve">have been developed </w:t>
      </w:r>
      <w:r w:rsidR="00E40CEE">
        <w:t xml:space="preserve">representing different technology availability and resource conditions. </w:t>
      </w:r>
      <w:r w:rsidR="003D3C7B">
        <w:t xml:space="preserve"> </w:t>
      </w:r>
      <w:r w:rsidR="00E40CEE">
        <w:t>E</w:t>
      </w:r>
      <w:r w:rsidR="003D3C7B">
        <w:t>ach</w:t>
      </w:r>
      <w:r w:rsidR="009427C2">
        <w:t xml:space="preserve"> sixth</w:t>
      </w:r>
      <w:r w:rsidR="003D3C7B">
        <w:t xml:space="preserve"> </w:t>
      </w:r>
      <w:r w:rsidR="00D723D9">
        <w:t>carbon budget option</w:t>
      </w:r>
      <w:r w:rsidR="00E40CEE">
        <w:t>, presented</w:t>
      </w:r>
      <w:r w:rsidR="00AB1CD0">
        <w:t xml:space="preserve"> in </w:t>
      </w:r>
      <w:r w:rsidR="00AA6933">
        <w:t>s</w:t>
      </w:r>
      <w:r w:rsidR="00AB1CD0">
        <w:t xml:space="preserve">ection </w:t>
      </w:r>
      <w:r w:rsidR="00476B69">
        <w:t>1.7</w:t>
      </w:r>
      <w:r w:rsidR="00AB1CD0">
        <w:t>,</w:t>
      </w:r>
      <w:r w:rsidR="00D723D9">
        <w:t xml:space="preserve"> is tested against </w:t>
      </w:r>
      <w:r w:rsidR="00270438">
        <w:t xml:space="preserve">a range of </w:t>
      </w:r>
      <w:r w:rsidR="00D723D9">
        <w:t>alternative futures</w:t>
      </w:r>
      <w:r w:rsidR="009E23A6">
        <w:t xml:space="preserve"> for key technologies</w:t>
      </w:r>
      <w:r w:rsidR="005172A1">
        <w:t xml:space="preserve"> and resources</w:t>
      </w:r>
      <w:r w:rsidR="00A03019">
        <w:t>:</w:t>
      </w:r>
    </w:p>
    <w:p w14:paraId="10F57B07" w14:textId="7C51C9E1" w:rsidR="00742C97" w:rsidRPr="00742C97" w:rsidRDefault="00353FE2" w:rsidP="001E7B72">
      <w:pPr>
        <w:pStyle w:val="Bullets"/>
        <w:numPr>
          <w:ilvl w:val="0"/>
          <w:numId w:val="0"/>
        </w:numPr>
        <w:ind w:left="1134"/>
      </w:pPr>
      <w:r>
        <w:rPr>
          <w:b/>
        </w:rPr>
        <w:t xml:space="preserve">A) </w:t>
      </w:r>
      <w:r w:rsidR="006B35BF" w:rsidRPr="00861D79">
        <w:rPr>
          <w:b/>
        </w:rPr>
        <w:t>Core</w:t>
      </w:r>
      <w:r w:rsidR="006B35BF" w:rsidRPr="00D37BF2">
        <w:t xml:space="preserve"> </w:t>
      </w:r>
      <w:r w:rsidR="00D23393" w:rsidRPr="00D37BF2">
        <w:t xml:space="preserve">pathway </w:t>
      </w:r>
      <w:r w:rsidR="00AD771E" w:rsidRPr="00D37BF2">
        <w:t>– based on the core “</w:t>
      </w:r>
      <w:r w:rsidR="002952E9" w:rsidRPr="00D37BF2">
        <w:t xml:space="preserve">central” assumptions as described in Annex </w:t>
      </w:r>
      <w:r w:rsidR="00476B69">
        <w:t>A.2</w:t>
      </w:r>
      <w:r w:rsidR="002952E9" w:rsidRPr="00D37BF2">
        <w:t>.</w:t>
      </w:r>
    </w:p>
    <w:p w14:paraId="6FF5B289" w14:textId="57BA7B50" w:rsidR="00742C97" w:rsidRPr="00742C97" w:rsidRDefault="00353FE2" w:rsidP="001E7B72">
      <w:pPr>
        <w:pStyle w:val="Bullets"/>
        <w:numPr>
          <w:ilvl w:val="0"/>
          <w:numId w:val="0"/>
        </w:numPr>
        <w:ind w:left="1134"/>
      </w:pPr>
      <w:r>
        <w:rPr>
          <w:b/>
        </w:rPr>
        <w:t xml:space="preserve">B) </w:t>
      </w:r>
      <w:r w:rsidR="00D23393" w:rsidRPr="00742C97">
        <w:rPr>
          <w:b/>
        </w:rPr>
        <w:t xml:space="preserve">High </w:t>
      </w:r>
      <w:r w:rsidR="009F21AA" w:rsidRPr="00742C97">
        <w:rPr>
          <w:b/>
        </w:rPr>
        <w:t>CCS</w:t>
      </w:r>
      <w:r w:rsidR="009F21AA" w:rsidRPr="00D37BF2">
        <w:t xml:space="preserve"> </w:t>
      </w:r>
      <w:r w:rsidR="00D23393" w:rsidRPr="00D37BF2">
        <w:t>pathway</w:t>
      </w:r>
      <w:r w:rsidR="002952E9" w:rsidRPr="00D37BF2">
        <w:t xml:space="preserve"> </w:t>
      </w:r>
      <w:r w:rsidR="00350246" w:rsidRPr="00D37BF2">
        <w:t>–</w:t>
      </w:r>
      <w:r w:rsidR="00B903D8" w:rsidRPr="00D37BF2">
        <w:t xml:space="preserve"> to reflect </w:t>
      </w:r>
      <w:r w:rsidR="00CD11DC" w:rsidRPr="00D37BF2">
        <w:t xml:space="preserve">upside technology uncertainty </w:t>
      </w:r>
      <w:r w:rsidR="006A5C60">
        <w:t>this assumes</w:t>
      </w:r>
      <w:r w:rsidR="00CD11DC" w:rsidRPr="00D37BF2">
        <w:t xml:space="preserve"> a</w:t>
      </w:r>
      <w:r w:rsidR="002952E9" w:rsidRPr="00D37BF2">
        <w:t xml:space="preserve"> </w:t>
      </w:r>
      <w:r w:rsidR="003924EE">
        <w:t>4</w:t>
      </w:r>
      <w:r w:rsidR="00AB45CE">
        <w:t xml:space="preserve"> percentage point</w:t>
      </w:r>
      <w:r w:rsidR="0066668B" w:rsidRPr="00D37BF2">
        <w:t xml:space="preserve"> </w:t>
      </w:r>
      <w:r w:rsidR="00350246" w:rsidRPr="00D37BF2">
        <w:t xml:space="preserve">increase in </w:t>
      </w:r>
      <w:r w:rsidR="00853A29" w:rsidRPr="00D37BF2">
        <w:t xml:space="preserve">carbon </w:t>
      </w:r>
      <w:r w:rsidR="00F24918" w:rsidRPr="00D37BF2">
        <w:t>capture and storage (CCS)</w:t>
      </w:r>
      <w:r w:rsidR="00350246" w:rsidRPr="00D37BF2">
        <w:t xml:space="preserve"> capture rate</w:t>
      </w:r>
      <w:r w:rsidR="003D3C7B">
        <w:t>s</w:t>
      </w:r>
      <w:r w:rsidR="00350246" w:rsidRPr="00D37BF2">
        <w:t xml:space="preserve"> for nth of a </w:t>
      </w:r>
      <w:r w:rsidR="00CD11DC" w:rsidRPr="00D37BF2">
        <w:t>kind technology</w:t>
      </w:r>
      <w:r w:rsidR="00350246" w:rsidRPr="00D37BF2">
        <w:t xml:space="preserve"> </w:t>
      </w:r>
      <w:r w:rsidR="006A5C60">
        <w:t xml:space="preserve">(from </w:t>
      </w:r>
      <w:r w:rsidR="00C0382C" w:rsidRPr="006A0C4B">
        <w:t>95</w:t>
      </w:r>
      <w:r w:rsidR="00820BD5" w:rsidRPr="006A0C4B">
        <w:t xml:space="preserve">% to </w:t>
      </w:r>
      <w:r w:rsidR="00C0382C" w:rsidRPr="006A0C4B">
        <w:t>99</w:t>
      </w:r>
      <w:r w:rsidR="00820BD5" w:rsidRPr="006A0C4B">
        <w:t>%</w:t>
      </w:r>
      <w:r w:rsidR="00C0382C" w:rsidRPr="006A0C4B">
        <w:t xml:space="preserve"> in most cases</w:t>
      </w:r>
      <w:r w:rsidR="00820BD5" w:rsidRPr="006A0C4B">
        <w:t>)</w:t>
      </w:r>
      <w:r w:rsidR="00820BD5">
        <w:t xml:space="preserve"> </w:t>
      </w:r>
      <w:r w:rsidR="00557857" w:rsidRPr="00D37BF2">
        <w:t xml:space="preserve">and higher availability of </w:t>
      </w:r>
      <w:r w:rsidR="00853A29" w:rsidRPr="00D37BF2">
        <w:t>d</w:t>
      </w:r>
      <w:r w:rsidR="00D02D20" w:rsidRPr="00D37BF2">
        <w:t xml:space="preserve">irect </w:t>
      </w:r>
      <w:r w:rsidR="00853A29" w:rsidRPr="00D37BF2">
        <w:t>a</w:t>
      </w:r>
      <w:r w:rsidR="00D02D20" w:rsidRPr="00D37BF2">
        <w:t xml:space="preserve">ir </w:t>
      </w:r>
      <w:r w:rsidR="00853A29" w:rsidRPr="00D37BF2">
        <w:t>c</w:t>
      </w:r>
      <w:r w:rsidR="00D02D20" w:rsidRPr="00D37BF2">
        <w:t xml:space="preserve">arbon </w:t>
      </w:r>
      <w:r w:rsidR="00853A29" w:rsidRPr="00D37BF2">
        <w:t>c</w:t>
      </w:r>
      <w:r w:rsidR="00D02D20" w:rsidRPr="00D37BF2">
        <w:t xml:space="preserve">apture and </w:t>
      </w:r>
      <w:r w:rsidR="00853A29" w:rsidRPr="00D37BF2">
        <w:t>s</w:t>
      </w:r>
      <w:r w:rsidR="00D02D20" w:rsidRPr="00D37BF2">
        <w:t>torage</w:t>
      </w:r>
      <w:r w:rsidR="00853A29" w:rsidRPr="00D37BF2">
        <w:t xml:space="preserve"> (</w:t>
      </w:r>
      <w:r w:rsidR="00557857" w:rsidRPr="00D37BF2">
        <w:t>DACCS</w:t>
      </w:r>
      <w:r w:rsidR="00853A29" w:rsidRPr="00D37BF2">
        <w:t>)</w:t>
      </w:r>
      <w:r w:rsidR="00557857" w:rsidRPr="00D37BF2">
        <w:t xml:space="preserve"> at </w:t>
      </w:r>
      <w:r w:rsidR="0065563B" w:rsidRPr="00D37BF2">
        <w:t>25</w:t>
      </w:r>
      <w:r w:rsidR="00061B87">
        <w:t>MtCO</w:t>
      </w:r>
      <w:r w:rsidR="00061B87" w:rsidRPr="00742C97">
        <w:rPr>
          <w:vertAlign w:val="subscript"/>
        </w:rPr>
        <w:t>2</w:t>
      </w:r>
      <w:r w:rsidR="00061B87" w:rsidRPr="00D37BF2" w:rsidDel="00061B87">
        <w:t xml:space="preserve"> </w:t>
      </w:r>
      <w:r w:rsidR="00D26280">
        <w:t>by 2050</w:t>
      </w:r>
      <w:r w:rsidR="00F11455">
        <w:t xml:space="preserve"> compared with 13</w:t>
      </w:r>
      <w:r w:rsidR="00E25D9E">
        <w:t>MtCO</w:t>
      </w:r>
      <w:r w:rsidR="00E25D9E" w:rsidRPr="00742C97">
        <w:rPr>
          <w:vertAlign w:val="subscript"/>
        </w:rPr>
        <w:t>2</w:t>
      </w:r>
      <w:r w:rsidR="00E25D9E" w:rsidDel="00E25D9E">
        <w:t xml:space="preserve"> </w:t>
      </w:r>
      <w:r w:rsidR="00F11455">
        <w:t>in the other pathways</w:t>
      </w:r>
      <w:r w:rsidR="00D26280">
        <w:t>.</w:t>
      </w:r>
    </w:p>
    <w:p w14:paraId="66BB3EA6" w14:textId="793B3864" w:rsidR="00742C97" w:rsidRPr="00742C97" w:rsidRDefault="00353FE2" w:rsidP="001E7B72">
      <w:pPr>
        <w:pStyle w:val="Bullets"/>
        <w:numPr>
          <w:ilvl w:val="0"/>
          <w:numId w:val="0"/>
        </w:numPr>
        <w:ind w:left="1134"/>
      </w:pPr>
      <w:r>
        <w:rPr>
          <w:b/>
        </w:rPr>
        <w:t xml:space="preserve">C) </w:t>
      </w:r>
      <w:r w:rsidR="00D23393" w:rsidRPr="00742C97">
        <w:rPr>
          <w:b/>
        </w:rPr>
        <w:t xml:space="preserve">CCS </w:t>
      </w:r>
      <w:r w:rsidR="003D202B" w:rsidRPr="00742C97">
        <w:rPr>
          <w:b/>
        </w:rPr>
        <w:t>delay</w:t>
      </w:r>
      <w:r w:rsidR="00D23393" w:rsidRPr="00D37BF2">
        <w:t xml:space="preserve"> pathway</w:t>
      </w:r>
      <w:r w:rsidR="00557857" w:rsidRPr="00D37BF2">
        <w:t xml:space="preserve"> </w:t>
      </w:r>
      <w:r w:rsidR="00A70BAD" w:rsidRPr="00D37BF2">
        <w:t>–</w:t>
      </w:r>
      <w:r w:rsidR="00557857" w:rsidRPr="00D37BF2">
        <w:t xml:space="preserve"> </w:t>
      </w:r>
      <w:r w:rsidR="00CD11DC" w:rsidRPr="00D37BF2">
        <w:t xml:space="preserve">to reflect downside technology uncertainty </w:t>
      </w:r>
      <w:r w:rsidR="00394498">
        <w:t>this assumes</w:t>
      </w:r>
      <w:r w:rsidR="00CD11DC" w:rsidRPr="00D37BF2">
        <w:t xml:space="preserve"> a </w:t>
      </w:r>
      <w:r w:rsidR="00A70BAD" w:rsidRPr="00D37BF2">
        <w:t>delay to CCS availability by 5 years</w:t>
      </w:r>
      <w:r w:rsidR="0066668B" w:rsidRPr="00D37BF2">
        <w:t xml:space="preserve"> </w:t>
      </w:r>
      <w:r w:rsidR="00394498">
        <w:t>(</w:t>
      </w:r>
      <w:r w:rsidR="00C0382C" w:rsidRPr="006A0C4B">
        <w:t xml:space="preserve">start date changed </w:t>
      </w:r>
      <w:r w:rsidR="00394498" w:rsidRPr="006A0C4B">
        <w:t xml:space="preserve">from </w:t>
      </w:r>
      <w:r w:rsidR="00C0382C" w:rsidRPr="006A0C4B">
        <w:t>2025</w:t>
      </w:r>
      <w:r w:rsidR="00394498" w:rsidRPr="006A0C4B">
        <w:t xml:space="preserve"> to </w:t>
      </w:r>
      <w:r w:rsidR="00C0382C">
        <w:t>2030</w:t>
      </w:r>
      <w:r w:rsidR="00394498">
        <w:t xml:space="preserve">) </w:t>
      </w:r>
      <w:r w:rsidR="0066668B" w:rsidRPr="00D37BF2">
        <w:t xml:space="preserve">and </w:t>
      </w:r>
      <w:r w:rsidR="00AB45CE">
        <w:t xml:space="preserve">a </w:t>
      </w:r>
      <w:r w:rsidR="00C72AE5">
        <w:t>5</w:t>
      </w:r>
      <w:r w:rsidR="00AB45CE">
        <w:t xml:space="preserve"> percentage point</w:t>
      </w:r>
      <w:r w:rsidR="0066668B" w:rsidRPr="00D37BF2">
        <w:t xml:space="preserve"> decrease in capture rates</w:t>
      </w:r>
      <w:r w:rsidR="003D60A8" w:rsidRPr="00D37BF2">
        <w:t xml:space="preserve">. This is </w:t>
      </w:r>
      <w:r w:rsidR="007F4603">
        <w:t xml:space="preserve">also </w:t>
      </w:r>
      <w:r w:rsidR="00394498">
        <w:t>the</w:t>
      </w:r>
      <w:r w:rsidR="007F4603">
        <w:t xml:space="preserve"> </w:t>
      </w:r>
      <w:r w:rsidR="003D60A8" w:rsidRPr="00D37BF2">
        <w:t xml:space="preserve">only scenario </w:t>
      </w:r>
      <w:r w:rsidR="009427C2">
        <w:t>in which</w:t>
      </w:r>
      <w:r w:rsidR="003D60A8" w:rsidRPr="00D37BF2">
        <w:t xml:space="preserve"> hydrogen imports </w:t>
      </w:r>
      <w:r w:rsidR="00392CDE">
        <w:t xml:space="preserve">are </w:t>
      </w:r>
      <w:r w:rsidR="003D60A8" w:rsidRPr="00D37BF2">
        <w:t xml:space="preserve">allowed (limited to </w:t>
      </w:r>
      <w:r w:rsidR="00AD0B3F">
        <w:t>70</w:t>
      </w:r>
      <w:r w:rsidR="00C61D49">
        <w:t>TWh</w:t>
      </w:r>
      <w:r w:rsidR="003D60A8" w:rsidRPr="00D37BF2">
        <w:t>)</w:t>
      </w:r>
      <w:r w:rsidR="00392CDE">
        <w:t xml:space="preserve"> to offset domestic delay in production at scale</w:t>
      </w:r>
      <w:r w:rsidR="003D60A8" w:rsidRPr="00D37BF2">
        <w:t xml:space="preserve">. </w:t>
      </w:r>
      <w:r w:rsidR="0066668B" w:rsidRPr="00D37BF2">
        <w:t xml:space="preserve"> </w:t>
      </w:r>
    </w:p>
    <w:p w14:paraId="7BF8E0C5" w14:textId="1B54E87E" w:rsidR="00F54234" w:rsidRDefault="00353FE2" w:rsidP="00176380">
      <w:pPr>
        <w:pStyle w:val="Bullets"/>
        <w:numPr>
          <w:ilvl w:val="0"/>
          <w:numId w:val="0"/>
        </w:numPr>
        <w:spacing w:after="200"/>
        <w:ind w:left="1134"/>
      </w:pPr>
      <w:r>
        <w:rPr>
          <w:b/>
        </w:rPr>
        <w:t xml:space="preserve">D) </w:t>
      </w:r>
      <w:r w:rsidR="00D23393" w:rsidRPr="00861D79">
        <w:rPr>
          <w:b/>
        </w:rPr>
        <w:t>High resource</w:t>
      </w:r>
      <w:r w:rsidR="00D23393" w:rsidRPr="00D37BF2">
        <w:t xml:space="preserve"> pathway</w:t>
      </w:r>
      <w:r w:rsidR="003074B1" w:rsidRPr="00D37BF2">
        <w:t xml:space="preserve"> – </w:t>
      </w:r>
      <w:r w:rsidR="00FB247F" w:rsidRPr="00D37BF2">
        <w:t xml:space="preserve">to reflect </w:t>
      </w:r>
      <w:r w:rsidR="00657EB8" w:rsidRPr="00D37BF2">
        <w:t xml:space="preserve">an alternative plausible resource scenario </w:t>
      </w:r>
      <w:r w:rsidR="00A03019">
        <w:t>this assumes</w:t>
      </w:r>
      <w:r w:rsidR="00657EB8" w:rsidRPr="00D37BF2">
        <w:t xml:space="preserve"> </w:t>
      </w:r>
      <w:r w:rsidR="00E50551" w:rsidRPr="00D37BF2">
        <w:t xml:space="preserve">an </w:t>
      </w:r>
      <w:r w:rsidR="00B903D8" w:rsidRPr="00D37BF2">
        <w:t>i</w:t>
      </w:r>
      <w:r w:rsidR="003074B1" w:rsidRPr="00D37BF2">
        <w:t>ncrease in afforestation planting rates</w:t>
      </w:r>
      <w:r w:rsidR="003E3B39">
        <w:rPr>
          <w:rStyle w:val="FootnoteReference"/>
        </w:rPr>
        <w:footnoteReference w:id="31"/>
      </w:r>
      <w:r w:rsidR="003074B1" w:rsidRPr="00D37BF2">
        <w:t xml:space="preserve"> from </w:t>
      </w:r>
      <w:r w:rsidR="007A4496" w:rsidRPr="00D37BF2">
        <w:t>30</w:t>
      </w:r>
      <w:r w:rsidR="00AF532B">
        <w:t xml:space="preserve"> </w:t>
      </w:r>
      <w:r w:rsidR="007A4496" w:rsidRPr="00D37BF2">
        <w:t>k</w:t>
      </w:r>
      <w:r w:rsidR="00AF532B">
        <w:t>ilo-</w:t>
      </w:r>
      <w:r w:rsidR="00FA7E60">
        <w:t>hectares</w:t>
      </w:r>
      <w:r w:rsidR="00A03019">
        <w:t xml:space="preserve"> per year</w:t>
      </w:r>
      <w:r w:rsidR="00AF532B">
        <w:t xml:space="preserve"> </w:t>
      </w:r>
      <w:r w:rsidR="00FA7E60">
        <w:t>(</w:t>
      </w:r>
      <w:r w:rsidR="00AF532B">
        <w:t>k</w:t>
      </w:r>
      <w:r w:rsidR="00FA7E60">
        <w:t>ha/yr)</w:t>
      </w:r>
      <w:r w:rsidR="003074B1" w:rsidRPr="00D37BF2">
        <w:t xml:space="preserve"> </w:t>
      </w:r>
      <w:r w:rsidR="007A4496" w:rsidRPr="00D37BF2">
        <w:t>to</w:t>
      </w:r>
      <w:r w:rsidR="003074B1" w:rsidRPr="00D37BF2">
        <w:t xml:space="preserve"> 50 kha/yr from 2030, </w:t>
      </w:r>
      <w:r w:rsidR="007A4496" w:rsidRPr="00D37BF2">
        <w:t xml:space="preserve">and </w:t>
      </w:r>
      <w:r w:rsidR="00B903D8" w:rsidRPr="00D37BF2">
        <w:t>a primarily hydrogen</w:t>
      </w:r>
      <w:r w:rsidR="009E7669" w:rsidRPr="00D37BF2">
        <w:t>-</w:t>
      </w:r>
      <w:r w:rsidR="00B903D8" w:rsidRPr="00D37BF2">
        <w:t xml:space="preserve">based </w:t>
      </w:r>
      <w:r w:rsidR="000565EE" w:rsidRPr="00D37BF2">
        <w:t xml:space="preserve">decarbonisation </w:t>
      </w:r>
      <w:r w:rsidR="00E2186C">
        <w:t xml:space="preserve">route </w:t>
      </w:r>
      <w:r w:rsidR="000565EE" w:rsidRPr="00D37BF2">
        <w:t xml:space="preserve">for </w:t>
      </w:r>
      <w:r w:rsidR="00E2186C">
        <w:t xml:space="preserve">heating in </w:t>
      </w:r>
      <w:r w:rsidR="000565EE" w:rsidRPr="00D37BF2">
        <w:t>buildings</w:t>
      </w:r>
      <w:r w:rsidR="00E2186C">
        <w:t>.</w:t>
      </w:r>
      <w:r w:rsidR="000565EE" w:rsidRPr="00D37BF2">
        <w:t xml:space="preserve"> </w:t>
      </w:r>
    </w:p>
    <w:p w14:paraId="24371839" w14:textId="20F9A042" w:rsidR="006F1FC2" w:rsidRDefault="002A4C08" w:rsidP="009229B3">
      <w:pPr>
        <w:pStyle w:val="Numberedparagraphs"/>
      </w:pPr>
      <w:r>
        <w:t>These pathways do not represent the full range of technological and sectoral uncertainty associated with the transition to 2050. They have been prioritised based on</w:t>
      </w:r>
      <w:r w:rsidR="00AD4E06">
        <w:t xml:space="preserve"> </w:t>
      </w:r>
      <w:r>
        <w:t xml:space="preserve">their whole-system impact and </w:t>
      </w:r>
      <w:r w:rsidR="00DE47BB">
        <w:t>impact</w:t>
      </w:r>
      <w:r w:rsidR="00853A29">
        <w:t xml:space="preserve"> on</w:t>
      </w:r>
      <w:r>
        <w:t xml:space="preserve"> </w:t>
      </w:r>
      <w:r w:rsidR="00BF7C0A">
        <w:t>the sixth carbon budget</w:t>
      </w:r>
      <w:r>
        <w:t xml:space="preserve"> decision.</w:t>
      </w:r>
    </w:p>
    <w:p w14:paraId="2602CD87" w14:textId="61B0284E" w:rsidR="002E7DAA" w:rsidRDefault="00F54234" w:rsidP="009229B3">
      <w:pPr>
        <w:pStyle w:val="Numberedparagraphs"/>
      </w:pPr>
      <w:r w:rsidRPr="00F54234">
        <w:lastRenderedPageBreak/>
        <w:t>There are likely to be additional assumptions that</w:t>
      </w:r>
      <w:r>
        <w:t xml:space="preserve"> </w:t>
      </w:r>
      <w:r w:rsidRPr="00F54234">
        <w:t>strongly influence the UKTM technology mix that have not been assessed here, for example the</w:t>
      </w:r>
      <w:r>
        <w:t xml:space="preserve"> </w:t>
      </w:r>
      <w:r w:rsidRPr="00F54234">
        <w:t>emergence of currently unknown technologies</w:t>
      </w:r>
      <w:r w:rsidR="00A542C8">
        <w:t xml:space="preserve"> or </w:t>
      </w:r>
      <w:r w:rsidR="00BD0C3F">
        <w:t xml:space="preserve">shifts in </w:t>
      </w:r>
      <w:r w:rsidR="00A542C8">
        <w:t xml:space="preserve">behaviour. </w:t>
      </w:r>
      <w:bookmarkStart w:id="51" w:name="_Hlk66440692"/>
      <w:r w:rsidR="00A542C8">
        <w:t>Whilst o</w:t>
      </w:r>
      <w:r w:rsidR="00A542C8" w:rsidRPr="00A542C8">
        <w:t>ne-off behavioural change (e.g</w:t>
      </w:r>
      <w:r w:rsidR="00FC67A7" w:rsidRPr="00A542C8">
        <w:t>.</w:t>
      </w:r>
      <w:r w:rsidR="00A542C8" w:rsidRPr="00A542C8">
        <w:t xml:space="preserve"> adoption of new technologies) is implicit in all pathways,</w:t>
      </w:r>
      <w:r w:rsidR="00A542C8">
        <w:t xml:space="preserve"> </w:t>
      </w:r>
      <w:r w:rsidR="00CB7F51">
        <w:t xml:space="preserve">shifts </w:t>
      </w:r>
      <w:r w:rsidR="00A542C8" w:rsidRPr="00A542C8">
        <w:t>in consumption patterns</w:t>
      </w:r>
      <w:r w:rsidR="007128CF">
        <w:t xml:space="preserve"> </w:t>
      </w:r>
      <w:r w:rsidR="002A136B">
        <w:t xml:space="preserve">other than those already included in the trend forecasts </w:t>
      </w:r>
      <w:r w:rsidR="007128CF">
        <w:t>are not</w:t>
      </w:r>
      <w:r w:rsidR="00930598">
        <w:t xml:space="preserve"> modelled</w:t>
      </w:r>
      <w:r w:rsidR="00A02D29">
        <w:t xml:space="preserve"> </w:t>
      </w:r>
      <w:r w:rsidR="002A136B">
        <w:t xml:space="preserve">(e.g. </w:t>
      </w:r>
      <w:r w:rsidR="00FF0D65">
        <w:t xml:space="preserve">diet change, </w:t>
      </w:r>
      <w:r w:rsidR="002A136B">
        <w:t xml:space="preserve">lower </w:t>
      </w:r>
      <w:r w:rsidR="00547A1F">
        <w:t>or higher</w:t>
      </w:r>
      <w:r w:rsidR="002A136B">
        <w:t xml:space="preserve"> heat, aviation or road </w:t>
      </w:r>
      <w:r w:rsidR="00FF0D65">
        <w:t xml:space="preserve">travel </w:t>
      </w:r>
      <w:r w:rsidR="002A136B">
        <w:t>demand</w:t>
      </w:r>
      <w:r w:rsidR="009A4A59">
        <w:t>).</w:t>
      </w:r>
      <w:bookmarkEnd w:id="51"/>
    </w:p>
    <w:p w14:paraId="48872EF3" w14:textId="05D00BEE" w:rsidR="002946B8" w:rsidRPr="00176380" w:rsidRDefault="00392DFE" w:rsidP="000925B8">
      <w:pPr>
        <w:pStyle w:val="Heading4"/>
        <w:spacing w:after="200"/>
      </w:pPr>
      <w:r w:rsidRPr="002946B8">
        <w:t>2050 e</w:t>
      </w:r>
      <w:r w:rsidR="001B2803" w:rsidRPr="002946B8">
        <w:t xml:space="preserve">missions and energy </w:t>
      </w:r>
      <w:r w:rsidRPr="002946B8">
        <w:t xml:space="preserve">system </w:t>
      </w:r>
    </w:p>
    <w:p w14:paraId="7F7E10D2" w14:textId="4942CA8C" w:rsidR="00603B06" w:rsidRDefault="00090A73" w:rsidP="009229B3">
      <w:pPr>
        <w:pStyle w:val="Numberedparagraphs"/>
      </w:pPr>
      <w:r>
        <w:t xml:space="preserve">The sixth carbon budget needs to be set at a level consistent with achieving net zero emissions by 2050. </w:t>
      </w:r>
      <w:r w:rsidR="00CF2C93" w:rsidRPr="00CA2DBA">
        <w:t xml:space="preserve">This section </w:t>
      </w:r>
      <w:r w:rsidR="002C7AAD">
        <w:t xml:space="preserve">therefore </w:t>
      </w:r>
      <w:r w:rsidR="00CD56F0">
        <w:t xml:space="preserve">explores what the 2050 </w:t>
      </w:r>
      <w:r w:rsidR="00890E2D">
        <w:t>end point could</w:t>
      </w:r>
      <w:r w:rsidR="00AB1CD0">
        <w:t xml:space="preserve"> look</w:t>
      </w:r>
      <w:r w:rsidR="00890E2D">
        <w:t xml:space="preserve"> like </w:t>
      </w:r>
      <w:r w:rsidR="00705C46">
        <w:t xml:space="preserve">and how sensitive it is to the </w:t>
      </w:r>
      <w:r w:rsidR="002766E8">
        <w:t>sixth carbon budget</w:t>
      </w:r>
      <w:r w:rsidR="00705C46">
        <w:t xml:space="preserve"> level</w:t>
      </w:r>
      <w:r w:rsidR="00CF2C93" w:rsidRPr="00CA2DBA">
        <w:t>.</w:t>
      </w:r>
    </w:p>
    <w:p w14:paraId="3107B211" w14:textId="1875F425" w:rsidR="00603B06" w:rsidRDefault="00E205CF" w:rsidP="009229B3">
      <w:pPr>
        <w:pStyle w:val="Numberedparagraphs"/>
      </w:pPr>
      <w:r>
        <w:t>T</w:t>
      </w:r>
      <w:r w:rsidR="00E856D3">
        <w:t xml:space="preserve">able </w:t>
      </w:r>
      <w:r w:rsidR="00644E6A">
        <w:t>5</w:t>
      </w:r>
      <w:r>
        <w:t xml:space="preserve"> </w:t>
      </w:r>
      <w:r w:rsidR="00E856D3">
        <w:t xml:space="preserve">summarises the illustrative range of emissions remaining in 2050 by sector under </w:t>
      </w:r>
      <w:r w:rsidR="00033477">
        <w:t>the four pathways</w:t>
      </w:r>
      <w:r w:rsidR="00E856D3">
        <w:t xml:space="preserve"> considered in UKTM.</w:t>
      </w:r>
      <w:r w:rsidR="001046FA">
        <w:t xml:space="preserve"> </w:t>
      </w:r>
      <w:r w:rsidR="004D665C">
        <w:t xml:space="preserve"> </w:t>
      </w:r>
      <w:r w:rsidR="00AA0750" w:rsidRPr="005E22BB">
        <w:t>The emissions picture in 2050 is fairly stable despite the range of uncertainties tested</w:t>
      </w:r>
      <w:r w:rsidR="00AA0750">
        <w:t xml:space="preserve"> due to the </w:t>
      </w:r>
      <w:r w:rsidR="009C7C58">
        <w:t>relat</w:t>
      </w:r>
      <w:r w:rsidR="00754326">
        <w:t>i</w:t>
      </w:r>
      <w:r w:rsidR="009C7C58">
        <w:t xml:space="preserve">vely </w:t>
      </w:r>
      <w:r w:rsidR="00AA0750">
        <w:t xml:space="preserve">limited solution space to get to net zero. </w:t>
      </w:r>
      <w:r w:rsidR="00AA0750" w:rsidRPr="005E22BB">
        <w:t xml:space="preserve"> </w:t>
      </w:r>
      <w:r w:rsidR="004D665C">
        <w:t xml:space="preserve">In all pathways </w:t>
      </w:r>
      <w:r w:rsidR="00ED12E7">
        <w:t>the near full decarbonisation of all</w:t>
      </w:r>
      <w:r w:rsidR="006B4B5B" w:rsidRPr="006B4B5B">
        <w:t xml:space="preserve"> end-use sectors </w:t>
      </w:r>
      <w:r w:rsidR="003D3113">
        <w:t xml:space="preserve">and deployment of negative emissions technologies at scale </w:t>
      </w:r>
      <w:r w:rsidR="00AC024C">
        <w:t xml:space="preserve">will be required by 2050 </w:t>
      </w:r>
      <w:r w:rsidR="00247C64">
        <w:t xml:space="preserve">based on </w:t>
      </w:r>
      <w:r w:rsidR="00511CB3">
        <w:t xml:space="preserve">assumptions </w:t>
      </w:r>
      <w:r w:rsidR="00410319">
        <w:t xml:space="preserve">about </w:t>
      </w:r>
      <w:r w:rsidR="00905635">
        <w:t xml:space="preserve">the </w:t>
      </w:r>
      <w:r w:rsidR="00410319">
        <w:t>futur</w:t>
      </w:r>
      <w:r w:rsidR="00905635">
        <w:t>e</w:t>
      </w:r>
      <w:r w:rsidR="003615AD">
        <w:t xml:space="preserve"> </w:t>
      </w:r>
      <w:r w:rsidR="00020487">
        <w:t xml:space="preserve">performance </w:t>
      </w:r>
      <w:r w:rsidR="00905635">
        <w:t xml:space="preserve">and </w:t>
      </w:r>
      <w:r w:rsidR="00020487">
        <w:t>availability of key technologies</w:t>
      </w:r>
      <w:r w:rsidR="00DB369A">
        <w:t>.</w:t>
      </w:r>
      <w:r w:rsidR="009F3421">
        <w:t xml:space="preserve"> </w:t>
      </w:r>
    </w:p>
    <w:p w14:paraId="7402FDB3" w14:textId="7C2D06E0" w:rsidR="00E87051" w:rsidRDefault="009E31AA" w:rsidP="009229B3">
      <w:pPr>
        <w:pStyle w:val="Numberedparagraphs"/>
      </w:pPr>
      <w:r>
        <w:t>When tested</w:t>
      </w:r>
      <w:r w:rsidR="00916C40">
        <w:t>,</w:t>
      </w:r>
      <w:r>
        <w:t xml:space="preserve"> the 2050 </w:t>
      </w:r>
      <w:r w:rsidR="000F7D9C">
        <w:t>least-cost</w:t>
      </w:r>
      <w:r>
        <w:t xml:space="preserve"> technology mix is not sensitive to the </w:t>
      </w:r>
      <w:r w:rsidR="003E1078">
        <w:t>relati</w:t>
      </w:r>
      <w:r w:rsidR="009F7F07">
        <w:t>v</w:t>
      </w:r>
      <w:r w:rsidR="003E1078">
        <w:t xml:space="preserve">ely narrow bound of </w:t>
      </w:r>
      <w:r w:rsidR="00594D86">
        <w:t>sixth carbon budget</w:t>
      </w:r>
      <w:r>
        <w:t xml:space="preserve"> option</w:t>
      </w:r>
      <w:r w:rsidR="0093525E">
        <w:t>s</w:t>
      </w:r>
      <w:r w:rsidR="009F7F07">
        <w:t xml:space="preserve"> </w:t>
      </w:r>
      <w:r w:rsidR="00875417">
        <w:t xml:space="preserve">(Options 2-4) </w:t>
      </w:r>
      <w:r w:rsidR="009F7F07">
        <w:t>considered in this Impact Assessment</w:t>
      </w:r>
      <w:r w:rsidR="00AC6D6C" w:rsidRPr="00AC6D6C">
        <w:t xml:space="preserve">. </w:t>
      </w:r>
      <w:r w:rsidRPr="009E31AA">
        <w:t>Tighter budget</w:t>
      </w:r>
      <w:r w:rsidR="00107B91">
        <w:t xml:space="preserve"> levels</w:t>
      </w:r>
      <w:r w:rsidRPr="009E31AA">
        <w:t xml:space="preserve"> do not lock-in higher cost solutions, </w:t>
      </w:r>
      <w:r w:rsidR="00916C40">
        <w:t>wh</w:t>
      </w:r>
      <w:r w:rsidR="004433BA">
        <w:t>i</w:t>
      </w:r>
      <w:r w:rsidR="00916C40">
        <w:t xml:space="preserve">le </w:t>
      </w:r>
      <w:r w:rsidRPr="009E31AA">
        <w:t xml:space="preserve">looser budgets do not restrict </w:t>
      </w:r>
      <w:r w:rsidR="003E1078">
        <w:t xml:space="preserve">achievement </w:t>
      </w:r>
      <w:r w:rsidRPr="009E31AA">
        <w:t xml:space="preserve">of </w:t>
      </w:r>
      <w:r w:rsidR="00916C40">
        <w:t xml:space="preserve">the </w:t>
      </w:r>
      <w:r w:rsidRPr="009E31AA">
        <w:t xml:space="preserve">2050 </w:t>
      </w:r>
      <w:r w:rsidR="000F7D9C">
        <w:t>least-cost</w:t>
      </w:r>
      <w:r w:rsidRPr="009E31AA">
        <w:t xml:space="preserve"> mix. </w:t>
      </w:r>
      <w:r>
        <w:t xml:space="preserve">The impact of varying the budget is mainly to shift the distribution </w:t>
      </w:r>
      <w:r w:rsidR="00C92853">
        <w:t xml:space="preserve">over time </w:t>
      </w:r>
      <w:r>
        <w:t xml:space="preserve">of </w:t>
      </w:r>
      <w:r w:rsidR="007318BD">
        <w:t xml:space="preserve">decarbonisation </w:t>
      </w:r>
      <w:r>
        <w:t>effort and costs between the sixth carbon budget and subsequent budgets.</w:t>
      </w:r>
      <w:r w:rsidR="007C11F6">
        <w:t xml:space="preserve"> </w:t>
      </w:r>
      <w:r w:rsidR="00B2184F">
        <w:t>For this reason, a</w:t>
      </w:r>
      <w:r w:rsidR="007C11F6">
        <w:t>ll subsequent figures</w:t>
      </w:r>
      <w:r w:rsidR="00C917E5">
        <w:t>,</w:t>
      </w:r>
      <w:r w:rsidR="007C11F6">
        <w:t xml:space="preserve"> unless otherwise stated</w:t>
      </w:r>
      <w:r w:rsidR="00C917E5">
        <w:t>,</w:t>
      </w:r>
      <w:r w:rsidR="007C11F6">
        <w:t xml:space="preserve"> are consistent with Option 3. </w:t>
      </w:r>
      <w:r>
        <w:t>The costs and benefits</w:t>
      </w:r>
      <w:r w:rsidR="007C11F6">
        <w:t xml:space="preserve"> of alternative </w:t>
      </w:r>
      <w:r w:rsidR="00C917E5">
        <w:t xml:space="preserve">sixth </w:t>
      </w:r>
      <w:r w:rsidR="007C11F6">
        <w:t>carbon budget options</w:t>
      </w:r>
      <w:r>
        <w:t xml:space="preserve"> are assessed in detail in </w:t>
      </w:r>
      <w:r w:rsidR="00FF0D65">
        <w:t>s</w:t>
      </w:r>
      <w:r>
        <w:t xml:space="preserve">ection </w:t>
      </w:r>
      <w:r w:rsidR="00FF0D65">
        <w:t>2.5</w:t>
      </w:r>
      <w:r>
        <w:t xml:space="preserve">. </w:t>
      </w:r>
    </w:p>
    <w:p w14:paraId="09C097B0" w14:textId="7FF272EE" w:rsidR="00E87051" w:rsidRDefault="00E87051" w:rsidP="00D57522">
      <w:pPr>
        <w:spacing w:after="120"/>
      </w:pPr>
      <w:r w:rsidRPr="006A0C4B">
        <w:rPr>
          <w:i/>
        </w:rPr>
        <w:t xml:space="preserve">Table </w:t>
      </w:r>
      <w:r w:rsidR="00644E6A">
        <w:rPr>
          <w:i/>
        </w:rPr>
        <w:t>5</w:t>
      </w:r>
      <w:r w:rsidRPr="006A0C4B">
        <w:rPr>
          <w:i/>
          <w:iCs/>
        </w:rPr>
        <w:t>:</w:t>
      </w:r>
      <w:r w:rsidRPr="006A0C4B">
        <w:rPr>
          <w:i/>
        </w:rPr>
        <w:t xml:space="preserve"> </w:t>
      </w:r>
      <w:r w:rsidR="00801325" w:rsidRPr="006A0C4B">
        <w:rPr>
          <w:i/>
        </w:rPr>
        <w:t>Illustrative t</w:t>
      </w:r>
      <w:r w:rsidRPr="006A0C4B">
        <w:rPr>
          <w:i/>
        </w:rPr>
        <w:t>otal territorial GHG emissions (</w:t>
      </w:r>
      <w:r w:rsidR="5F933C58" w:rsidRPr="006A0C4B">
        <w:rPr>
          <w:i/>
          <w:iCs/>
        </w:rPr>
        <w:t>M</w:t>
      </w:r>
      <w:r w:rsidR="16491CDE" w:rsidRPr="2AFF67EB">
        <w:rPr>
          <w:i/>
          <w:iCs/>
        </w:rPr>
        <w:t>t</w:t>
      </w:r>
      <w:r w:rsidR="5F933C58" w:rsidRPr="006A0C4B">
        <w:rPr>
          <w:i/>
          <w:iCs/>
        </w:rPr>
        <w:t>CO</w:t>
      </w:r>
      <w:r w:rsidR="5F933C58" w:rsidRPr="006A0C4B">
        <w:rPr>
          <w:i/>
          <w:vertAlign w:val="subscript"/>
        </w:rPr>
        <w:t>2</w:t>
      </w:r>
      <w:r w:rsidR="5F933C58" w:rsidRPr="006A0C4B">
        <w:rPr>
          <w:i/>
          <w:iCs/>
        </w:rPr>
        <w:t>e</w:t>
      </w:r>
      <w:r w:rsidRPr="006A0C4B">
        <w:rPr>
          <w:i/>
        </w:rPr>
        <w:t>) under the different technology scenarios</w:t>
      </w:r>
      <w:r w:rsidR="00325902" w:rsidRPr="52B559F3">
        <w:rPr>
          <w:rStyle w:val="FootnoteReference"/>
          <w:i/>
        </w:rPr>
        <w:footnoteReference w:id="32"/>
      </w:r>
      <w:r w:rsidRPr="006A0C4B">
        <w:rPr>
          <w:i/>
        </w:rPr>
        <w:t xml:space="preserve"> </w:t>
      </w:r>
    </w:p>
    <w:tbl>
      <w:tblPr>
        <w:tblStyle w:val="TableGrid"/>
        <w:tblW w:w="10195" w:type="dxa"/>
        <w:tblLook w:val="0420" w:firstRow="1" w:lastRow="0" w:firstColumn="0" w:lastColumn="0" w:noHBand="0" w:noVBand="1"/>
      </w:tblPr>
      <w:tblGrid>
        <w:gridCol w:w="3681"/>
        <w:gridCol w:w="3118"/>
        <w:gridCol w:w="3396"/>
      </w:tblGrid>
      <w:tr w:rsidR="0031366C" w:rsidRPr="0031366C" w14:paraId="6F7B57B6" w14:textId="77777777" w:rsidTr="009015A6">
        <w:trPr>
          <w:trHeight w:val="593"/>
        </w:trPr>
        <w:tc>
          <w:tcPr>
            <w:tcW w:w="3681" w:type="dxa"/>
            <w:hideMark/>
          </w:tcPr>
          <w:p w14:paraId="7A3DABB2" w14:textId="77777777" w:rsidR="0031366C" w:rsidRPr="006A0C4B" w:rsidRDefault="0031366C" w:rsidP="00846A41">
            <w:pPr>
              <w:jc w:val="center"/>
              <w:rPr>
                <w:rFonts w:cs="Arial"/>
                <w:sz w:val="22"/>
                <w:szCs w:val="22"/>
              </w:rPr>
            </w:pPr>
          </w:p>
        </w:tc>
        <w:tc>
          <w:tcPr>
            <w:tcW w:w="3118" w:type="dxa"/>
            <w:hideMark/>
          </w:tcPr>
          <w:p w14:paraId="33E2067F" w14:textId="6586D77A" w:rsidR="0031366C" w:rsidRPr="006A0C4B" w:rsidRDefault="0031366C" w:rsidP="0071483C">
            <w:pPr>
              <w:jc w:val="right"/>
              <w:rPr>
                <w:rFonts w:cs="Arial"/>
                <w:b/>
                <w:sz w:val="22"/>
                <w:szCs w:val="22"/>
              </w:rPr>
            </w:pPr>
            <w:r w:rsidRPr="006A0C4B">
              <w:rPr>
                <w:rFonts w:cs="Arial"/>
                <w:b/>
                <w:sz w:val="22"/>
                <w:szCs w:val="22"/>
              </w:rPr>
              <w:t>201</w:t>
            </w:r>
            <w:r w:rsidR="004027FE" w:rsidRPr="006A0C4B">
              <w:rPr>
                <w:rFonts w:cs="Arial"/>
                <w:b/>
                <w:sz w:val="22"/>
                <w:szCs w:val="22"/>
              </w:rPr>
              <w:t>9</w:t>
            </w:r>
            <w:r w:rsidRPr="006A0C4B">
              <w:rPr>
                <w:rFonts w:cs="Arial"/>
                <w:b/>
                <w:sz w:val="22"/>
                <w:szCs w:val="22"/>
              </w:rPr>
              <w:t xml:space="preserve"> emission</w:t>
            </w:r>
            <w:r w:rsidR="00DB41E8" w:rsidRPr="006A0C4B">
              <w:rPr>
                <w:rFonts w:cs="Arial"/>
                <w:b/>
                <w:sz w:val="22"/>
                <w:szCs w:val="22"/>
              </w:rPr>
              <w:t>s</w:t>
            </w:r>
            <w:r w:rsidR="004027FE" w:rsidRPr="006A0C4B">
              <w:rPr>
                <w:rFonts w:cs="Arial"/>
                <w:b/>
                <w:sz w:val="22"/>
                <w:szCs w:val="22"/>
              </w:rPr>
              <w:t xml:space="preserve"> </w:t>
            </w:r>
          </w:p>
          <w:p w14:paraId="2AF0C7E6" w14:textId="34D520E2" w:rsidR="0031366C" w:rsidRPr="006A0C4B" w:rsidRDefault="004027FE" w:rsidP="0071483C">
            <w:pPr>
              <w:jc w:val="right"/>
              <w:rPr>
                <w:rFonts w:cs="Arial"/>
                <w:b/>
                <w:sz w:val="22"/>
                <w:szCs w:val="22"/>
              </w:rPr>
            </w:pPr>
            <w:r w:rsidRPr="006A0C4B">
              <w:rPr>
                <w:rFonts w:cs="Arial"/>
                <w:b/>
                <w:sz w:val="22"/>
                <w:szCs w:val="22"/>
              </w:rPr>
              <w:t>(MtCO</w:t>
            </w:r>
            <w:r w:rsidRPr="006A0C4B">
              <w:rPr>
                <w:rFonts w:cs="Arial"/>
                <w:b/>
                <w:sz w:val="22"/>
                <w:szCs w:val="22"/>
                <w:vertAlign w:val="subscript"/>
              </w:rPr>
              <w:t>2</w:t>
            </w:r>
            <w:r w:rsidRPr="006A0C4B">
              <w:rPr>
                <w:rFonts w:cs="Arial"/>
                <w:b/>
                <w:sz w:val="22"/>
                <w:szCs w:val="22"/>
              </w:rPr>
              <w:t>e)</w:t>
            </w:r>
          </w:p>
        </w:tc>
        <w:tc>
          <w:tcPr>
            <w:tcW w:w="3396" w:type="dxa"/>
            <w:hideMark/>
          </w:tcPr>
          <w:p w14:paraId="3E982476" w14:textId="56F9A417" w:rsidR="000E01DB" w:rsidRDefault="003E3464" w:rsidP="0071483C">
            <w:pPr>
              <w:jc w:val="right"/>
              <w:rPr>
                <w:rFonts w:ascii="Times New Roman" w:hAnsi="Times New Roman" w:cs="Times New Roman"/>
              </w:rPr>
            </w:pPr>
            <w:r>
              <w:rPr>
                <w:rFonts w:cs="Arial"/>
                <w:b/>
                <w:sz w:val="22"/>
                <w:szCs w:val="22"/>
              </w:rPr>
              <w:t xml:space="preserve">2050 illustrative </w:t>
            </w:r>
            <w:r w:rsidR="00EF64E9">
              <w:rPr>
                <w:rFonts w:cs="Arial"/>
                <w:b/>
                <w:sz w:val="22"/>
                <w:szCs w:val="22"/>
              </w:rPr>
              <w:t xml:space="preserve">emissions </w:t>
            </w:r>
            <w:r>
              <w:rPr>
                <w:rFonts w:cs="Arial"/>
                <w:b/>
                <w:sz w:val="22"/>
                <w:szCs w:val="22"/>
              </w:rPr>
              <w:t>range</w:t>
            </w:r>
            <w:r w:rsidR="00044E03">
              <w:rPr>
                <w:rFonts w:cs="Arial"/>
                <w:b/>
                <w:sz w:val="22"/>
                <w:szCs w:val="22"/>
              </w:rPr>
              <w:t xml:space="preserve"> based on modelled pathways</w:t>
            </w:r>
            <w:r>
              <w:rPr>
                <w:rFonts w:cs="Arial"/>
                <w:b/>
                <w:sz w:val="22"/>
                <w:szCs w:val="22"/>
              </w:rPr>
              <w:t xml:space="preserve"> (MtCO</w:t>
            </w:r>
            <w:r w:rsidRPr="00826475">
              <w:rPr>
                <w:rFonts w:cs="Arial"/>
                <w:b/>
                <w:sz w:val="22"/>
                <w:szCs w:val="22"/>
                <w:vertAlign w:val="subscript"/>
              </w:rPr>
              <w:t>2</w:t>
            </w:r>
            <w:r>
              <w:rPr>
                <w:rFonts w:cs="Arial"/>
                <w:b/>
                <w:sz w:val="22"/>
                <w:szCs w:val="22"/>
              </w:rPr>
              <w:t>e)</w:t>
            </w:r>
            <w:r w:rsidR="000E01DB" w:rsidRPr="01F21943">
              <w:rPr>
                <w:rStyle w:val="FootnoteReference"/>
                <w:b/>
              </w:rPr>
              <w:footnoteReference w:id="33"/>
            </w:r>
          </w:p>
          <w:p w14:paraId="72317C52" w14:textId="5704D384" w:rsidR="0031366C" w:rsidRPr="006A0C4B" w:rsidRDefault="0031366C" w:rsidP="0071483C">
            <w:pPr>
              <w:jc w:val="right"/>
              <w:rPr>
                <w:rFonts w:cs="Arial"/>
                <w:b/>
                <w:sz w:val="22"/>
                <w:szCs w:val="22"/>
              </w:rPr>
            </w:pPr>
          </w:p>
        </w:tc>
      </w:tr>
      <w:tr w:rsidR="0031366C" w:rsidRPr="0031366C" w14:paraId="5FB118FF" w14:textId="77777777" w:rsidTr="00826475">
        <w:trPr>
          <w:trHeight w:val="216"/>
        </w:trPr>
        <w:tc>
          <w:tcPr>
            <w:tcW w:w="3681" w:type="dxa"/>
            <w:hideMark/>
          </w:tcPr>
          <w:p w14:paraId="69E0E01E" w14:textId="5E84AA74" w:rsidR="0031366C" w:rsidRPr="006A0C4B" w:rsidRDefault="005170C3" w:rsidP="00846A41">
            <w:pPr>
              <w:jc w:val="center"/>
              <w:rPr>
                <w:rFonts w:cs="Arial"/>
                <w:b/>
                <w:sz w:val="22"/>
                <w:szCs w:val="22"/>
              </w:rPr>
            </w:pPr>
            <w:r w:rsidRPr="006A0C4B">
              <w:rPr>
                <w:rFonts w:cs="Arial"/>
                <w:b/>
                <w:sz w:val="22"/>
                <w:szCs w:val="22"/>
              </w:rPr>
              <w:t>Domestic</w:t>
            </w:r>
            <w:r w:rsidR="0031366C" w:rsidRPr="006A0C4B">
              <w:rPr>
                <w:rFonts w:cs="Arial"/>
                <w:b/>
                <w:sz w:val="22"/>
                <w:szCs w:val="22"/>
              </w:rPr>
              <w:t xml:space="preserve"> transport </w:t>
            </w:r>
          </w:p>
        </w:tc>
        <w:tc>
          <w:tcPr>
            <w:tcW w:w="3118" w:type="dxa"/>
            <w:hideMark/>
          </w:tcPr>
          <w:p w14:paraId="7302DA9A" w14:textId="5C363D96" w:rsidR="0031366C" w:rsidRPr="006A0C4B" w:rsidRDefault="009E7863" w:rsidP="00861D79">
            <w:pPr>
              <w:jc w:val="right"/>
              <w:rPr>
                <w:rFonts w:cs="Arial"/>
                <w:sz w:val="22"/>
                <w:szCs w:val="22"/>
              </w:rPr>
            </w:pPr>
            <w:r w:rsidRPr="006A0C4B">
              <w:rPr>
                <w:rFonts w:cs="Arial"/>
                <w:sz w:val="22"/>
                <w:szCs w:val="22"/>
              </w:rPr>
              <w:t>122</w:t>
            </w:r>
          </w:p>
        </w:tc>
        <w:tc>
          <w:tcPr>
            <w:tcW w:w="3396" w:type="dxa"/>
            <w:hideMark/>
          </w:tcPr>
          <w:p w14:paraId="4F8941E0" w14:textId="010550CB" w:rsidR="0031366C" w:rsidRPr="006A0C4B" w:rsidRDefault="00B26F13" w:rsidP="00861D79">
            <w:pPr>
              <w:ind w:right="284"/>
              <w:jc w:val="right"/>
              <w:rPr>
                <w:rFonts w:cs="Arial"/>
                <w:sz w:val="22"/>
                <w:szCs w:val="22"/>
              </w:rPr>
            </w:pPr>
            <w:r w:rsidRPr="006A0C4B">
              <w:rPr>
                <w:rFonts w:cs="Arial"/>
                <w:sz w:val="22"/>
                <w:szCs w:val="22"/>
              </w:rPr>
              <w:t>2</w:t>
            </w:r>
            <w:r w:rsidR="007507CC" w:rsidRPr="006A0C4B">
              <w:rPr>
                <w:rFonts w:cs="Arial"/>
                <w:sz w:val="22"/>
                <w:szCs w:val="22"/>
              </w:rPr>
              <w:t xml:space="preserve"> to </w:t>
            </w:r>
            <w:r w:rsidRPr="006A0C4B">
              <w:rPr>
                <w:rFonts w:cs="Arial"/>
                <w:sz w:val="22"/>
                <w:szCs w:val="22"/>
              </w:rPr>
              <w:t>5</w:t>
            </w:r>
          </w:p>
        </w:tc>
      </w:tr>
      <w:tr w:rsidR="0031366C" w:rsidRPr="0031366C" w14:paraId="11469742" w14:textId="77777777" w:rsidTr="009015A6">
        <w:trPr>
          <w:trHeight w:val="198"/>
        </w:trPr>
        <w:tc>
          <w:tcPr>
            <w:tcW w:w="3681" w:type="dxa"/>
            <w:hideMark/>
          </w:tcPr>
          <w:p w14:paraId="2818DAAF" w14:textId="1B959D92" w:rsidR="0031366C" w:rsidRPr="006A0C4B" w:rsidRDefault="0031366C" w:rsidP="00846A41">
            <w:pPr>
              <w:jc w:val="center"/>
              <w:rPr>
                <w:rFonts w:cs="Arial"/>
                <w:b/>
                <w:sz w:val="22"/>
                <w:szCs w:val="22"/>
              </w:rPr>
            </w:pPr>
            <w:r w:rsidRPr="006A0C4B">
              <w:rPr>
                <w:rFonts w:cs="Arial"/>
                <w:b/>
                <w:sz w:val="22"/>
                <w:szCs w:val="22"/>
              </w:rPr>
              <w:t>Industry</w:t>
            </w:r>
          </w:p>
        </w:tc>
        <w:tc>
          <w:tcPr>
            <w:tcW w:w="3118" w:type="dxa"/>
            <w:hideMark/>
          </w:tcPr>
          <w:p w14:paraId="5C8A4291" w14:textId="6F335D05" w:rsidR="0031366C" w:rsidRPr="006A0C4B" w:rsidRDefault="00325902" w:rsidP="00861D79">
            <w:pPr>
              <w:jc w:val="right"/>
              <w:rPr>
                <w:rFonts w:cs="Arial"/>
                <w:sz w:val="22"/>
                <w:szCs w:val="22"/>
              </w:rPr>
            </w:pPr>
            <w:r w:rsidRPr="006A0C4B">
              <w:rPr>
                <w:rFonts w:cs="Arial"/>
                <w:sz w:val="22"/>
                <w:szCs w:val="22"/>
              </w:rPr>
              <w:t>6</w:t>
            </w:r>
            <w:r w:rsidR="00220882" w:rsidRPr="006A0C4B">
              <w:rPr>
                <w:rFonts w:cs="Arial"/>
                <w:sz w:val="22"/>
                <w:szCs w:val="22"/>
              </w:rPr>
              <w:t>6</w:t>
            </w:r>
          </w:p>
        </w:tc>
        <w:tc>
          <w:tcPr>
            <w:tcW w:w="3396" w:type="dxa"/>
            <w:hideMark/>
          </w:tcPr>
          <w:p w14:paraId="3F288A18" w14:textId="43F93DAF" w:rsidR="0031366C" w:rsidRPr="006A0C4B" w:rsidRDefault="00B26F13" w:rsidP="00861D79">
            <w:pPr>
              <w:ind w:right="284"/>
              <w:jc w:val="right"/>
              <w:rPr>
                <w:rFonts w:cs="Arial"/>
                <w:sz w:val="22"/>
                <w:szCs w:val="22"/>
              </w:rPr>
            </w:pPr>
            <w:r w:rsidRPr="006A0C4B">
              <w:rPr>
                <w:rFonts w:cs="Arial"/>
                <w:sz w:val="22"/>
                <w:szCs w:val="22"/>
              </w:rPr>
              <w:t>8</w:t>
            </w:r>
            <w:r w:rsidR="007507CC" w:rsidRPr="006A0C4B">
              <w:rPr>
                <w:rFonts w:cs="Arial"/>
                <w:sz w:val="22"/>
                <w:szCs w:val="22"/>
              </w:rPr>
              <w:t xml:space="preserve"> to </w:t>
            </w:r>
            <w:r w:rsidRPr="006A0C4B">
              <w:rPr>
                <w:rFonts w:cs="Arial"/>
                <w:sz w:val="22"/>
                <w:szCs w:val="22"/>
              </w:rPr>
              <w:t>9</w:t>
            </w:r>
          </w:p>
        </w:tc>
      </w:tr>
      <w:tr w:rsidR="0031366C" w:rsidRPr="0031366C" w14:paraId="50B769BA" w14:textId="77777777" w:rsidTr="009015A6">
        <w:trPr>
          <w:trHeight w:val="198"/>
        </w:trPr>
        <w:tc>
          <w:tcPr>
            <w:tcW w:w="3681" w:type="dxa"/>
            <w:hideMark/>
          </w:tcPr>
          <w:p w14:paraId="5C257EF7" w14:textId="095379F1" w:rsidR="0031366C" w:rsidRPr="006A0C4B" w:rsidRDefault="0031366C" w:rsidP="00846A41">
            <w:pPr>
              <w:jc w:val="center"/>
              <w:rPr>
                <w:rFonts w:cs="Arial"/>
                <w:b/>
                <w:sz w:val="22"/>
                <w:szCs w:val="22"/>
              </w:rPr>
            </w:pPr>
            <w:r w:rsidRPr="006A0C4B">
              <w:rPr>
                <w:rFonts w:cs="Arial"/>
                <w:b/>
                <w:sz w:val="22"/>
                <w:szCs w:val="22"/>
              </w:rPr>
              <w:t>Fuel supply</w:t>
            </w:r>
          </w:p>
        </w:tc>
        <w:tc>
          <w:tcPr>
            <w:tcW w:w="3118" w:type="dxa"/>
            <w:hideMark/>
          </w:tcPr>
          <w:p w14:paraId="2584A838" w14:textId="20848281" w:rsidR="0031366C" w:rsidRPr="006A0C4B" w:rsidRDefault="00220882" w:rsidP="00861D79">
            <w:pPr>
              <w:jc w:val="right"/>
              <w:rPr>
                <w:rFonts w:cs="Arial"/>
                <w:sz w:val="22"/>
                <w:szCs w:val="22"/>
              </w:rPr>
            </w:pPr>
            <w:r w:rsidRPr="006A0C4B">
              <w:rPr>
                <w:rFonts w:cs="Arial"/>
                <w:sz w:val="22"/>
                <w:szCs w:val="22"/>
              </w:rPr>
              <w:t>38</w:t>
            </w:r>
          </w:p>
        </w:tc>
        <w:tc>
          <w:tcPr>
            <w:tcW w:w="3396" w:type="dxa"/>
            <w:hideMark/>
          </w:tcPr>
          <w:p w14:paraId="6D3621B1" w14:textId="4BC0366B" w:rsidR="0031366C" w:rsidRPr="006A0C4B" w:rsidRDefault="00B26F13" w:rsidP="00861D79">
            <w:pPr>
              <w:ind w:right="284"/>
              <w:jc w:val="right"/>
              <w:rPr>
                <w:rFonts w:cs="Arial"/>
                <w:sz w:val="22"/>
                <w:szCs w:val="22"/>
              </w:rPr>
            </w:pPr>
            <w:r w:rsidRPr="006A0C4B">
              <w:rPr>
                <w:rFonts w:cs="Arial"/>
                <w:sz w:val="22"/>
                <w:szCs w:val="22"/>
              </w:rPr>
              <w:t>0</w:t>
            </w:r>
            <w:r w:rsidR="007507CC" w:rsidRPr="006A0C4B">
              <w:rPr>
                <w:rFonts w:cs="Arial"/>
                <w:sz w:val="22"/>
                <w:szCs w:val="22"/>
              </w:rPr>
              <w:t xml:space="preserve"> to </w:t>
            </w:r>
            <w:r w:rsidRPr="006A0C4B">
              <w:rPr>
                <w:rFonts w:cs="Arial"/>
                <w:sz w:val="22"/>
                <w:szCs w:val="22"/>
              </w:rPr>
              <w:t>5</w:t>
            </w:r>
          </w:p>
        </w:tc>
      </w:tr>
      <w:tr w:rsidR="0031366C" w:rsidRPr="0031366C" w14:paraId="3FDA7B48" w14:textId="77777777" w:rsidTr="009015A6">
        <w:trPr>
          <w:trHeight w:val="198"/>
        </w:trPr>
        <w:tc>
          <w:tcPr>
            <w:tcW w:w="3681" w:type="dxa"/>
            <w:hideMark/>
          </w:tcPr>
          <w:p w14:paraId="275FEA1A" w14:textId="3E4BB4C2" w:rsidR="0031366C" w:rsidRPr="006A0C4B" w:rsidRDefault="0031366C" w:rsidP="00846A41">
            <w:pPr>
              <w:jc w:val="center"/>
              <w:rPr>
                <w:rFonts w:cs="Arial"/>
                <w:b/>
                <w:sz w:val="22"/>
                <w:szCs w:val="22"/>
              </w:rPr>
            </w:pPr>
            <w:r w:rsidRPr="006A0C4B">
              <w:rPr>
                <w:rFonts w:cs="Arial"/>
                <w:b/>
                <w:sz w:val="22"/>
                <w:szCs w:val="22"/>
              </w:rPr>
              <w:t>Buildings</w:t>
            </w:r>
          </w:p>
        </w:tc>
        <w:tc>
          <w:tcPr>
            <w:tcW w:w="3118" w:type="dxa"/>
            <w:hideMark/>
          </w:tcPr>
          <w:p w14:paraId="25A49FA5" w14:textId="04D5C185" w:rsidR="0031366C" w:rsidRPr="006A0C4B" w:rsidRDefault="00325902" w:rsidP="00861D79">
            <w:pPr>
              <w:jc w:val="right"/>
              <w:rPr>
                <w:rFonts w:cs="Arial"/>
                <w:sz w:val="22"/>
                <w:szCs w:val="22"/>
              </w:rPr>
            </w:pPr>
            <w:r w:rsidRPr="006A0C4B">
              <w:rPr>
                <w:rFonts w:cs="Arial"/>
                <w:sz w:val="22"/>
                <w:szCs w:val="22"/>
              </w:rPr>
              <w:t>88</w:t>
            </w:r>
          </w:p>
        </w:tc>
        <w:tc>
          <w:tcPr>
            <w:tcW w:w="3396" w:type="dxa"/>
            <w:hideMark/>
          </w:tcPr>
          <w:p w14:paraId="378D3942" w14:textId="18F7AFC0" w:rsidR="0031366C" w:rsidRPr="006A0C4B" w:rsidRDefault="004919A6" w:rsidP="00861D79">
            <w:pPr>
              <w:ind w:right="284"/>
              <w:jc w:val="right"/>
              <w:rPr>
                <w:rFonts w:cs="Arial"/>
                <w:sz w:val="22"/>
                <w:szCs w:val="22"/>
              </w:rPr>
            </w:pPr>
            <w:r w:rsidRPr="006A0C4B">
              <w:rPr>
                <w:rFonts w:cs="Arial"/>
                <w:sz w:val="22"/>
                <w:szCs w:val="22"/>
              </w:rPr>
              <w:t>0</w:t>
            </w:r>
          </w:p>
        </w:tc>
      </w:tr>
      <w:tr w:rsidR="0031366C" w:rsidRPr="0031366C" w14:paraId="6D7D3305" w14:textId="77777777" w:rsidTr="009015A6">
        <w:trPr>
          <w:trHeight w:val="198"/>
        </w:trPr>
        <w:tc>
          <w:tcPr>
            <w:tcW w:w="3681" w:type="dxa"/>
            <w:hideMark/>
          </w:tcPr>
          <w:p w14:paraId="3BB85EFC" w14:textId="79623DA8" w:rsidR="0031366C" w:rsidRPr="006A0C4B" w:rsidRDefault="0031366C" w:rsidP="00846A41">
            <w:pPr>
              <w:jc w:val="center"/>
              <w:rPr>
                <w:rFonts w:cs="Arial"/>
                <w:b/>
                <w:sz w:val="22"/>
                <w:szCs w:val="22"/>
              </w:rPr>
            </w:pPr>
            <w:r w:rsidRPr="006A0C4B">
              <w:rPr>
                <w:rFonts w:cs="Arial"/>
                <w:b/>
                <w:sz w:val="22"/>
                <w:szCs w:val="22"/>
              </w:rPr>
              <w:t>Electricity</w:t>
            </w:r>
          </w:p>
        </w:tc>
        <w:tc>
          <w:tcPr>
            <w:tcW w:w="3118" w:type="dxa"/>
            <w:hideMark/>
          </w:tcPr>
          <w:p w14:paraId="2B20BD9E" w14:textId="66463A0C" w:rsidR="0031366C" w:rsidRPr="006A0C4B" w:rsidRDefault="00325902" w:rsidP="00861D79">
            <w:pPr>
              <w:jc w:val="right"/>
              <w:rPr>
                <w:rFonts w:cs="Arial"/>
                <w:sz w:val="22"/>
                <w:szCs w:val="22"/>
              </w:rPr>
            </w:pPr>
            <w:r w:rsidRPr="006A0C4B">
              <w:rPr>
                <w:rFonts w:cs="Arial"/>
                <w:sz w:val="22"/>
                <w:szCs w:val="22"/>
              </w:rPr>
              <w:t>54</w:t>
            </w:r>
          </w:p>
        </w:tc>
        <w:tc>
          <w:tcPr>
            <w:tcW w:w="3396" w:type="dxa"/>
            <w:hideMark/>
          </w:tcPr>
          <w:p w14:paraId="22172899" w14:textId="67B24ADF" w:rsidR="0031366C" w:rsidRPr="006A0C4B" w:rsidRDefault="005B6182" w:rsidP="00861D79">
            <w:pPr>
              <w:ind w:right="284"/>
              <w:jc w:val="right"/>
              <w:rPr>
                <w:rFonts w:cs="Arial"/>
                <w:sz w:val="22"/>
                <w:szCs w:val="22"/>
              </w:rPr>
            </w:pPr>
            <w:r>
              <w:rPr>
                <w:rFonts w:cs="Arial"/>
                <w:sz w:val="22"/>
                <w:szCs w:val="22"/>
              </w:rPr>
              <w:t>~</w:t>
            </w:r>
            <w:r w:rsidR="003E37D2" w:rsidRPr="006A0C4B">
              <w:rPr>
                <w:rFonts w:cs="Arial"/>
                <w:sz w:val="22"/>
                <w:szCs w:val="22"/>
              </w:rPr>
              <w:t>1</w:t>
            </w:r>
          </w:p>
        </w:tc>
      </w:tr>
      <w:tr w:rsidR="0031366C" w:rsidRPr="0031366C" w14:paraId="50410ADB" w14:textId="77777777" w:rsidTr="009015A6">
        <w:trPr>
          <w:trHeight w:val="198"/>
        </w:trPr>
        <w:tc>
          <w:tcPr>
            <w:tcW w:w="3681" w:type="dxa"/>
            <w:hideMark/>
          </w:tcPr>
          <w:p w14:paraId="771B44EB" w14:textId="48E4454D" w:rsidR="0031366C" w:rsidRPr="006A0C4B" w:rsidRDefault="0031366C" w:rsidP="00846A41">
            <w:pPr>
              <w:jc w:val="center"/>
              <w:rPr>
                <w:rFonts w:cs="Arial"/>
                <w:b/>
                <w:sz w:val="22"/>
                <w:szCs w:val="22"/>
              </w:rPr>
            </w:pPr>
            <w:r w:rsidRPr="006A0C4B">
              <w:rPr>
                <w:rFonts w:cs="Arial"/>
                <w:b/>
                <w:sz w:val="22"/>
                <w:szCs w:val="22"/>
              </w:rPr>
              <w:t>Agriculture</w:t>
            </w:r>
          </w:p>
        </w:tc>
        <w:tc>
          <w:tcPr>
            <w:tcW w:w="3118" w:type="dxa"/>
            <w:hideMark/>
          </w:tcPr>
          <w:p w14:paraId="6C2FE02F" w14:textId="0C86BA16" w:rsidR="0031366C" w:rsidRPr="006A0C4B" w:rsidRDefault="00325902" w:rsidP="00861D79">
            <w:pPr>
              <w:jc w:val="right"/>
              <w:rPr>
                <w:rFonts w:cs="Arial"/>
                <w:sz w:val="22"/>
                <w:szCs w:val="22"/>
              </w:rPr>
            </w:pPr>
            <w:r w:rsidRPr="006A0C4B">
              <w:rPr>
                <w:rFonts w:cs="Arial"/>
                <w:sz w:val="22"/>
                <w:szCs w:val="22"/>
              </w:rPr>
              <w:t>55</w:t>
            </w:r>
          </w:p>
        </w:tc>
        <w:tc>
          <w:tcPr>
            <w:tcW w:w="3396" w:type="dxa"/>
            <w:hideMark/>
          </w:tcPr>
          <w:p w14:paraId="03B84BD0" w14:textId="6D2AF30F" w:rsidR="0031366C" w:rsidRPr="006A0C4B" w:rsidRDefault="004919A6" w:rsidP="00861D79">
            <w:pPr>
              <w:ind w:right="284"/>
              <w:jc w:val="right"/>
              <w:rPr>
                <w:rFonts w:cs="Arial"/>
                <w:sz w:val="22"/>
                <w:szCs w:val="22"/>
              </w:rPr>
            </w:pPr>
            <w:r w:rsidRPr="006A0C4B">
              <w:rPr>
                <w:rFonts w:cs="Arial"/>
                <w:sz w:val="22"/>
                <w:szCs w:val="22"/>
              </w:rPr>
              <w:t>34</w:t>
            </w:r>
            <w:r w:rsidR="007507CC" w:rsidRPr="006A0C4B">
              <w:rPr>
                <w:rFonts w:cs="Arial"/>
                <w:sz w:val="22"/>
                <w:szCs w:val="22"/>
              </w:rPr>
              <w:t xml:space="preserve"> to </w:t>
            </w:r>
            <w:r w:rsidRPr="006A0C4B">
              <w:rPr>
                <w:rFonts w:cs="Arial"/>
                <w:sz w:val="22"/>
                <w:szCs w:val="22"/>
              </w:rPr>
              <w:t>35</w:t>
            </w:r>
          </w:p>
        </w:tc>
      </w:tr>
      <w:tr w:rsidR="0031366C" w:rsidRPr="0031366C" w14:paraId="6DFC7C66" w14:textId="77777777" w:rsidTr="009015A6">
        <w:trPr>
          <w:trHeight w:val="198"/>
        </w:trPr>
        <w:tc>
          <w:tcPr>
            <w:tcW w:w="3681" w:type="dxa"/>
            <w:hideMark/>
          </w:tcPr>
          <w:p w14:paraId="6A4A5869" w14:textId="78436AC5" w:rsidR="0031366C" w:rsidRPr="006A0C4B" w:rsidRDefault="0031366C" w:rsidP="00846A41">
            <w:pPr>
              <w:jc w:val="center"/>
              <w:rPr>
                <w:rFonts w:cs="Arial"/>
                <w:b/>
                <w:sz w:val="22"/>
                <w:szCs w:val="22"/>
              </w:rPr>
            </w:pPr>
            <w:r w:rsidRPr="006A0C4B">
              <w:rPr>
                <w:rFonts w:cs="Arial"/>
                <w:b/>
                <w:sz w:val="22"/>
                <w:szCs w:val="22"/>
              </w:rPr>
              <w:t>Waste</w:t>
            </w:r>
          </w:p>
        </w:tc>
        <w:tc>
          <w:tcPr>
            <w:tcW w:w="3118" w:type="dxa"/>
            <w:hideMark/>
          </w:tcPr>
          <w:p w14:paraId="412EA0B7" w14:textId="6124EE4F" w:rsidR="0031366C" w:rsidRPr="006A0C4B" w:rsidRDefault="00325902" w:rsidP="00861D79">
            <w:pPr>
              <w:jc w:val="right"/>
              <w:rPr>
                <w:rFonts w:cs="Arial"/>
                <w:sz w:val="22"/>
                <w:szCs w:val="22"/>
              </w:rPr>
            </w:pPr>
            <w:r w:rsidRPr="006A0C4B">
              <w:rPr>
                <w:rFonts w:cs="Arial"/>
                <w:sz w:val="22"/>
                <w:szCs w:val="22"/>
              </w:rPr>
              <w:t>29</w:t>
            </w:r>
          </w:p>
        </w:tc>
        <w:tc>
          <w:tcPr>
            <w:tcW w:w="3396" w:type="dxa"/>
            <w:hideMark/>
          </w:tcPr>
          <w:p w14:paraId="34D86DE3" w14:textId="243B6205" w:rsidR="0031366C" w:rsidRPr="006A0C4B" w:rsidRDefault="008B2141" w:rsidP="00861D79">
            <w:pPr>
              <w:ind w:right="284"/>
              <w:jc w:val="right"/>
              <w:rPr>
                <w:rFonts w:cs="Arial"/>
                <w:sz w:val="22"/>
                <w:szCs w:val="22"/>
              </w:rPr>
            </w:pPr>
            <w:r w:rsidRPr="006A0C4B">
              <w:rPr>
                <w:rFonts w:cs="Arial"/>
                <w:sz w:val="22"/>
                <w:szCs w:val="22"/>
              </w:rPr>
              <w:t>10</w:t>
            </w:r>
          </w:p>
        </w:tc>
      </w:tr>
      <w:tr w:rsidR="0031366C" w:rsidRPr="0031366C" w14:paraId="7F78203F" w14:textId="77777777" w:rsidTr="009015A6">
        <w:trPr>
          <w:trHeight w:val="198"/>
        </w:trPr>
        <w:tc>
          <w:tcPr>
            <w:tcW w:w="3681" w:type="dxa"/>
            <w:hideMark/>
          </w:tcPr>
          <w:p w14:paraId="0A3D3438" w14:textId="692CE8D0" w:rsidR="0031366C" w:rsidRPr="006A0C4B" w:rsidRDefault="0031366C" w:rsidP="00846A41">
            <w:pPr>
              <w:jc w:val="center"/>
              <w:rPr>
                <w:rFonts w:cs="Arial"/>
                <w:b/>
                <w:sz w:val="22"/>
                <w:szCs w:val="22"/>
              </w:rPr>
            </w:pPr>
            <w:r w:rsidRPr="006A0C4B">
              <w:rPr>
                <w:rFonts w:cs="Arial"/>
                <w:b/>
                <w:sz w:val="22"/>
                <w:szCs w:val="22"/>
              </w:rPr>
              <w:t>F-gases</w:t>
            </w:r>
            <w:r w:rsidR="00C23E18" w:rsidRPr="006A0C4B">
              <w:rPr>
                <w:rFonts w:cs="Arial"/>
                <w:b/>
                <w:sz w:val="22"/>
                <w:szCs w:val="22"/>
              </w:rPr>
              <w:t xml:space="preserve"> </w:t>
            </w:r>
          </w:p>
        </w:tc>
        <w:tc>
          <w:tcPr>
            <w:tcW w:w="3118" w:type="dxa"/>
            <w:hideMark/>
          </w:tcPr>
          <w:p w14:paraId="6908EFD4" w14:textId="3C9A4384" w:rsidR="0031366C" w:rsidRPr="006A0C4B" w:rsidRDefault="00325902" w:rsidP="00861D79">
            <w:pPr>
              <w:jc w:val="right"/>
              <w:rPr>
                <w:rFonts w:cs="Arial"/>
                <w:sz w:val="22"/>
                <w:szCs w:val="22"/>
              </w:rPr>
            </w:pPr>
            <w:r w:rsidRPr="006A0C4B">
              <w:rPr>
                <w:rFonts w:cs="Arial"/>
                <w:sz w:val="22"/>
                <w:szCs w:val="22"/>
              </w:rPr>
              <w:t>15</w:t>
            </w:r>
          </w:p>
        </w:tc>
        <w:tc>
          <w:tcPr>
            <w:tcW w:w="3396" w:type="dxa"/>
            <w:hideMark/>
          </w:tcPr>
          <w:p w14:paraId="16E58DA8" w14:textId="6B9A90FC" w:rsidR="0031366C" w:rsidRPr="006A0C4B" w:rsidRDefault="004919A6" w:rsidP="00861D79">
            <w:pPr>
              <w:ind w:right="284"/>
              <w:jc w:val="right"/>
              <w:rPr>
                <w:rFonts w:cs="Arial"/>
                <w:sz w:val="22"/>
                <w:szCs w:val="22"/>
              </w:rPr>
            </w:pPr>
            <w:r w:rsidRPr="006A0C4B">
              <w:rPr>
                <w:rFonts w:cs="Arial"/>
                <w:sz w:val="22"/>
                <w:szCs w:val="22"/>
              </w:rPr>
              <w:t>3</w:t>
            </w:r>
          </w:p>
        </w:tc>
      </w:tr>
      <w:tr w:rsidR="0031366C" w:rsidRPr="0031366C" w14:paraId="79702730" w14:textId="77777777" w:rsidTr="009015A6">
        <w:trPr>
          <w:trHeight w:val="198"/>
        </w:trPr>
        <w:tc>
          <w:tcPr>
            <w:tcW w:w="3681" w:type="dxa"/>
            <w:hideMark/>
          </w:tcPr>
          <w:p w14:paraId="3E7A1642" w14:textId="3E0DDDA1" w:rsidR="0031366C" w:rsidRPr="006A0C4B" w:rsidRDefault="0031366C" w:rsidP="00846A41">
            <w:pPr>
              <w:jc w:val="center"/>
              <w:rPr>
                <w:rFonts w:cs="Arial"/>
                <w:b/>
                <w:sz w:val="22"/>
                <w:szCs w:val="22"/>
              </w:rPr>
            </w:pPr>
            <w:r w:rsidRPr="006A0C4B">
              <w:rPr>
                <w:rFonts w:cs="Arial"/>
                <w:b/>
                <w:sz w:val="22"/>
                <w:szCs w:val="22"/>
              </w:rPr>
              <w:t>LULUCF</w:t>
            </w:r>
            <w:r w:rsidR="00A8356D" w:rsidRPr="01F21943">
              <w:rPr>
                <w:rStyle w:val="FootnoteReference"/>
                <w:rFonts w:cs="Arial"/>
                <w:b/>
              </w:rPr>
              <w:footnoteReference w:id="34"/>
            </w:r>
          </w:p>
        </w:tc>
        <w:tc>
          <w:tcPr>
            <w:tcW w:w="3118" w:type="dxa"/>
            <w:hideMark/>
          </w:tcPr>
          <w:p w14:paraId="6CB4C81A" w14:textId="40887B18" w:rsidR="0031366C" w:rsidRPr="006A0C4B" w:rsidRDefault="00325902" w:rsidP="00861D79">
            <w:pPr>
              <w:jc w:val="right"/>
              <w:rPr>
                <w:rFonts w:cs="Arial"/>
                <w:sz w:val="22"/>
                <w:szCs w:val="22"/>
              </w:rPr>
            </w:pPr>
            <w:r w:rsidRPr="006A0C4B">
              <w:rPr>
                <w:rFonts w:cs="Arial"/>
                <w:sz w:val="22"/>
                <w:szCs w:val="22"/>
              </w:rPr>
              <w:t>8 (1</w:t>
            </w:r>
            <w:r w:rsidR="00DF0AF4" w:rsidRPr="006A0C4B">
              <w:rPr>
                <w:rFonts w:cs="Arial"/>
                <w:sz w:val="22"/>
                <w:szCs w:val="22"/>
              </w:rPr>
              <w:t>3</w:t>
            </w:r>
            <w:r w:rsidRPr="006A0C4B">
              <w:rPr>
                <w:rFonts w:cs="Arial"/>
                <w:sz w:val="22"/>
                <w:szCs w:val="22"/>
              </w:rPr>
              <w:t>)</w:t>
            </w:r>
          </w:p>
        </w:tc>
        <w:tc>
          <w:tcPr>
            <w:tcW w:w="3396" w:type="dxa"/>
            <w:hideMark/>
          </w:tcPr>
          <w:p w14:paraId="6E6D7D63" w14:textId="3026F62A" w:rsidR="0031366C" w:rsidRPr="006A0C4B" w:rsidRDefault="008E3808" w:rsidP="00861D79">
            <w:pPr>
              <w:ind w:right="284"/>
              <w:jc w:val="right"/>
              <w:rPr>
                <w:rFonts w:cs="Arial"/>
                <w:sz w:val="22"/>
                <w:szCs w:val="22"/>
              </w:rPr>
            </w:pPr>
            <w:r w:rsidRPr="006A0C4B">
              <w:rPr>
                <w:rFonts w:cs="Arial"/>
                <w:sz w:val="22"/>
                <w:szCs w:val="22"/>
              </w:rPr>
              <w:t>-</w:t>
            </w:r>
            <w:r w:rsidR="008B2141" w:rsidRPr="006A0C4B">
              <w:rPr>
                <w:rFonts w:cs="Arial"/>
                <w:sz w:val="22"/>
                <w:szCs w:val="22"/>
              </w:rPr>
              <w:t>10</w:t>
            </w:r>
            <w:r w:rsidRPr="006A0C4B">
              <w:rPr>
                <w:rFonts w:cs="Arial"/>
                <w:sz w:val="22"/>
                <w:szCs w:val="22"/>
              </w:rPr>
              <w:t xml:space="preserve"> to -</w:t>
            </w:r>
            <w:r w:rsidR="008B2141" w:rsidRPr="006A0C4B">
              <w:rPr>
                <w:rFonts w:cs="Arial"/>
                <w:sz w:val="22"/>
                <w:szCs w:val="22"/>
              </w:rPr>
              <w:t>16</w:t>
            </w:r>
          </w:p>
        </w:tc>
      </w:tr>
      <w:tr w:rsidR="0031366C" w:rsidRPr="0031366C" w14:paraId="19C7B1D2" w14:textId="77777777" w:rsidTr="009015A6">
        <w:trPr>
          <w:trHeight w:val="288"/>
        </w:trPr>
        <w:tc>
          <w:tcPr>
            <w:tcW w:w="3681" w:type="dxa"/>
            <w:hideMark/>
          </w:tcPr>
          <w:p w14:paraId="5E9C4FC0" w14:textId="61BE73BC" w:rsidR="0031366C" w:rsidRPr="006A0C4B" w:rsidRDefault="0035074A" w:rsidP="00846A41">
            <w:pPr>
              <w:jc w:val="center"/>
              <w:rPr>
                <w:rFonts w:cs="Arial"/>
                <w:b/>
                <w:sz w:val="22"/>
                <w:szCs w:val="22"/>
              </w:rPr>
            </w:pPr>
            <w:r w:rsidRPr="006A0C4B">
              <w:rPr>
                <w:rFonts w:cs="Arial"/>
                <w:b/>
                <w:sz w:val="22"/>
                <w:szCs w:val="22"/>
              </w:rPr>
              <w:t>Engineered r</w:t>
            </w:r>
            <w:r w:rsidR="0031366C" w:rsidRPr="006A0C4B">
              <w:rPr>
                <w:rFonts w:cs="Arial"/>
                <w:b/>
                <w:sz w:val="22"/>
                <w:szCs w:val="22"/>
              </w:rPr>
              <w:t>emovals</w:t>
            </w:r>
          </w:p>
        </w:tc>
        <w:tc>
          <w:tcPr>
            <w:tcW w:w="3118" w:type="dxa"/>
            <w:hideMark/>
          </w:tcPr>
          <w:p w14:paraId="2DAC6792" w14:textId="4D3E45AB" w:rsidR="0031366C" w:rsidRPr="006A0C4B" w:rsidRDefault="00325902" w:rsidP="00861D79">
            <w:pPr>
              <w:jc w:val="right"/>
              <w:rPr>
                <w:rFonts w:cs="Arial"/>
                <w:sz w:val="22"/>
                <w:szCs w:val="22"/>
              </w:rPr>
            </w:pPr>
            <w:r w:rsidRPr="006A0C4B">
              <w:rPr>
                <w:rFonts w:cs="Arial"/>
                <w:sz w:val="22"/>
                <w:szCs w:val="22"/>
              </w:rPr>
              <w:t>-</w:t>
            </w:r>
          </w:p>
        </w:tc>
        <w:tc>
          <w:tcPr>
            <w:tcW w:w="3396" w:type="dxa"/>
            <w:hideMark/>
          </w:tcPr>
          <w:p w14:paraId="4A0E1851" w14:textId="2AD01986" w:rsidR="0031366C" w:rsidRPr="006A0C4B" w:rsidRDefault="008E3808" w:rsidP="00861D79">
            <w:pPr>
              <w:ind w:right="284"/>
              <w:jc w:val="right"/>
              <w:rPr>
                <w:rFonts w:cs="Arial"/>
                <w:sz w:val="22"/>
                <w:szCs w:val="22"/>
              </w:rPr>
            </w:pPr>
            <w:r w:rsidRPr="006A0C4B">
              <w:rPr>
                <w:rFonts w:cs="Arial"/>
                <w:sz w:val="22"/>
                <w:szCs w:val="22"/>
              </w:rPr>
              <w:t>-</w:t>
            </w:r>
            <w:r w:rsidR="008B2141" w:rsidRPr="006A0C4B">
              <w:rPr>
                <w:rFonts w:cs="Arial"/>
                <w:sz w:val="22"/>
                <w:szCs w:val="22"/>
              </w:rPr>
              <w:t>81</w:t>
            </w:r>
            <w:r w:rsidRPr="006A0C4B">
              <w:rPr>
                <w:rFonts w:cs="Arial"/>
                <w:sz w:val="22"/>
                <w:szCs w:val="22"/>
              </w:rPr>
              <w:t xml:space="preserve"> to -</w:t>
            </w:r>
            <w:r w:rsidR="008B2141" w:rsidRPr="006A0C4B">
              <w:rPr>
                <w:rFonts w:cs="Arial"/>
                <w:sz w:val="22"/>
                <w:szCs w:val="22"/>
              </w:rPr>
              <w:t>91</w:t>
            </w:r>
          </w:p>
        </w:tc>
      </w:tr>
      <w:tr w:rsidR="0031366C" w:rsidRPr="0031366C" w14:paraId="7FE6F43C" w14:textId="77777777" w:rsidTr="009015A6">
        <w:trPr>
          <w:trHeight w:val="306"/>
        </w:trPr>
        <w:tc>
          <w:tcPr>
            <w:tcW w:w="3681" w:type="dxa"/>
            <w:hideMark/>
          </w:tcPr>
          <w:p w14:paraId="4C39B76C" w14:textId="458A6D6A" w:rsidR="00AA36DB" w:rsidRPr="006A0C4B" w:rsidRDefault="00E22581" w:rsidP="006A0C4B">
            <w:pPr>
              <w:jc w:val="center"/>
              <w:rPr>
                <w:rFonts w:cs="Arial"/>
                <w:sz w:val="22"/>
                <w:szCs w:val="22"/>
              </w:rPr>
            </w:pPr>
            <w:r w:rsidRPr="006A0C4B">
              <w:rPr>
                <w:rFonts w:cs="Arial"/>
                <w:b/>
                <w:sz w:val="22"/>
                <w:szCs w:val="22"/>
              </w:rPr>
              <w:t>Int</w:t>
            </w:r>
            <w:r w:rsidR="00717E6C" w:rsidRPr="006A0C4B">
              <w:rPr>
                <w:rFonts w:cs="Arial"/>
                <w:b/>
                <w:sz w:val="22"/>
                <w:szCs w:val="22"/>
              </w:rPr>
              <w:t>’</w:t>
            </w:r>
            <w:r w:rsidRPr="006A0C4B">
              <w:rPr>
                <w:rFonts w:cs="Arial"/>
                <w:b/>
                <w:sz w:val="22"/>
                <w:szCs w:val="22"/>
              </w:rPr>
              <w:t xml:space="preserve">l Aviation </w:t>
            </w:r>
            <w:r w:rsidR="00717E6C" w:rsidRPr="006A0C4B">
              <w:rPr>
                <w:rFonts w:cs="Arial"/>
                <w:b/>
                <w:sz w:val="22"/>
                <w:szCs w:val="22"/>
              </w:rPr>
              <w:t>&amp; Shipping</w:t>
            </w:r>
          </w:p>
          <w:p w14:paraId="1CFD8954" w14:textId="1853BDC7" w:rsidR="0031366C" w:rsidRPr="006A0C4B" w:rsidRDefault="0031366C" w:rsidP="00861D79">
            <w:pPr>
              <w:rPr>
                <w:rFonts w:cs="Arial"/>
                <w:b/>
                <w:sz w:val="22"/>
                <w:szCs w:val="22"/>
              </w:rPr>
            </w:pPr>
          </w:p>
        </w:tc>
        <w:tc>
          <w:tcPr>
            <w:tcW w:w="3118" w:type="dxa"/>
            <w:hideMark/>
          </w:tcPr>
          <w:p w14:paraId="458A0C4B" w14:textId="478C75D3" w:rsidR="0031366C" w:rsidRPr="006A0C4B" w:rsidRDefault="00325902" w:rsidP="00861D79">
            <w:pPr>
              <w:jc w:val="right"/>
              <w:rPr>
                <w:rFonts w:cs="Arial"/>
                <w:sz w:val="22"/>
                <w:szCs w:val="22"/>
              </w:rPr>
            </w:pPr>
            <w:r w:rsidRPr="006A0C4B">
              <w:rPr>
                <w:rFonts w:cs="Arial"/>
                <w:sz w:val="22"/>
                <w:szCs w:val="22"/>
              </w:rPr>
              <w:t>45</w:t>
            </w:r>
          </w:p>
        </w:tc>
        <w:tc>
          <w:tcPr>
            <w:tcW w:w="3396" w:type="dxa"/>
            <w:vAlign w:val="center"/>
            <w:hideMark/>
          </w:tcPr>
          <w:p w14:paraId="43323ED3" w14:textId="3AE551C5" w:rsidR="008B4970" w:rsidRPr="006A0C4B" w:rsidRDefault="000E38AD" w:rsidP="00B91D00">
            <w:pPr>
              <w:rPr>
                <w:rFonts w:cs="Arial"/>
                <w:sz w:val="22"/>
                <w:szCs w:val="22"/>
              </w:rPr>
            </w:pPr>
            <w:r>
              <w:rPr>
                <w:rFonts w:cs="Arial"/>
                <w:sz w:val="22"/>
                <w:szCs w:val="22"/>
              </w:rPr>
              <w:t xml:space="preserve">                                            </w:t>
            </w:r>
            <w:r w:rsidR="008B2141" w:rsidRPr="006A0C4B">
              <w:rPr>
                <w:rFonts w:cs="Arial"/>
                <w:sz w:val="22"/>
                <w:szCs w:val="22"/>
              </w:rPr>
              <w:t>33</w:t>
            </w:r>
          </w:p>
          <w:p w14:paraId="5C067C9A" w14:textId="5FA42C4B" w:rsidR="0031366C" w:rsidRPr="006A0C4B" w:rsidRDefault="0031366C" w:rsidP="0071483C">
            <w:pPr>
              <w:jc w:val="right"/>
              <w:rPr>
                <w:rFonts w:cs="Arial"/>
                <w:sz w:val="22"/>
                <w:szCs w:val="22"/>
              </w:rPr>
            </w:pPr>
          </w:p>
        </w:tc>
      </w:tr>
      <w:tr w:rsidR="0031366C" w:rsidRPr="0031366C" w14:paraId="0587D97E" w14:textId="77777777" w:rsidTr="009015A6">
        <w:trPr>
          <w:trHeight w:val="265"/>
        </w:trPr>
        <w:tc>
          <w:tcPr>
            <w:tcW w:w="3681" w:type="dxa"/>
            <w:hideMark/>
          </w:tcPr>
          <w:p w14:paraId="5A34AF43" w14:textId="0E5D66D7" w:rsidR="0031366C" w:rsidRPr="006A0C4B" w:rsidRDefault="0031366C" w:rsidP="00846A41">
            <w:pPr>
              <w:jc w:val="center"/>
              <w:rPr>
                <w:rFonts w:cs="Arial"/>
                <w:b/>
                <w:sz w:val="22"/>
                <w:szCs w:val="22"/>
              </w:rPr>
            </w:pPr>
            <w:r w:rsidRPr="006A0C4B">
              <w:rPr>
                <w:rFonts w:cs="Arial"/>
                <w:b/>
                <w:sz w:val="22"/>
                <w:szCs w:val="22"/>
              </w:rPr>
              <w:t>Total emissions</w:t>
            </w:r>
          </w:p>
        </w:tc>
        <w:tc>
          <w:tcPr>
            <w:tcW w:w="3118" w:type="dxa"/>
            <w:hideMark/>
          </w:tcPr>
          <w:p w14:paraId="323474C8" w14:textId="78B7AEA9" w:rsidR="0031366C" w:rsidRPr="006A0C4B" w:rsidRDefault="00325902" w:rsidP="00861D79">
            <w:pPr>
              <w:jc w:val="right"/>
              <w:rPr>
                <w:rFonts w:cs="Arial"/>
                <w:b/>
                <w:sz w:val="22"/>
                <w:szCs w:val="22"/>
              </w:rPr>
            </w:pPr>
            <w:r w:rsidRPr="006A0C4B">
              <w:rPr>
                <w:rFonts w:cs="Arial"/>
                <w:b/>
                <w:sz w:val="22"/>
                <w:szCs w:val="22"/>
              </w:rPr>
              <w:t>520 (525)</w:t>
            </w:r>
          </w:p>
        </w:tc>
        <w:tc>
          <w:tcPr>
            <w:tcW w:w="3396" w:type="dxa"/>
            <w:hideMark/>
          </w:tcPr>
          <w:p w14:paraId="2170F586" w14:textId="12E01E46" w:rsidR="0031366C" w:rsidRPr="006A0C4B" w:rsidRDefault="005E22BB" w:rsidP="00861D79">
            <w:pPr>
              <w:ind w:right="284"/>
              <w:jc w:val="right"/>
              <w:rPr>
                <w:rFonts w:cs="Arial"/>
                <w:b/>
                <w:sz w:val="22"/>
                <w:szCs w:val="22"/>
              </w:rPr>
            </w:pPr>
            <w:r w:rsidRPr="006A0C4B">
              <w:rPr>
                <w:rFonts w:cs="Arial"/>
                <w:b/>
                <w:sz w:val="22"/>
                <w:szCs w:val="22"/>
              </w:rPr>
              <w:t>0</w:t>
            </w:r>
          </w:p>
        </w:tc>
      </w:tr>
    </w:tbl>
    <w:p w14:paraId="47255AEB" w14:textId="77777777" w:rsidR="00E87051" w:rsidRDefault="00E87051" w:rsidP="00CF2C93"/>
    <w:p w14:paraId="1D2E186A" w14:textId="48944692" w:rsidR="00A9256B" w:rsidRDefault="00F11455" w:rsidP="009229B3">
      <w:pPr>
        <w:pStyle w:val="Numberedparagraphs"/>
      </w:pPr>
      <w:r w:rsidRPr="434235AB">
        <w:lastRenderedPageBreak/>
        <w:t xml:space="preserve">The cost-optimal technology and energy mix is more affected by the uncertainty arising from technology and resource </w:t>
      </w:r>
      <w:r w:rsidR="00F66268">
        <w:t xml:space="preserve">availability </w:t>
      </w:r>
      <w:r w:rsidRPr="434235AB">
        <w:t xml:space="preserve">than by the choice of the </w:t>
      </w:r>
      <w:r w:rsidR="00780299">
        <w:t xml:space="preserve">sixth </w:t>
      </w:r>
      <w:r w:rsidRPr="434235AB">
        <w:t xml:space="preserve">carbon budget </w:t>
      </w:r>
      <w:r w:rsidR="00E96797" w:rsidRPr="434235AB">
        <w:t>level</w:t>
      </w:r>
      <w:r w:rsidRPr="434235AB">
        <w:t>.</w:t>
      </w:r>
      <w:r w:rsidR="00E96797" w:rsidRPr="434235AB">
        <w:t xml:space="preserve"> </w:t>
      </w:r>
      <w:r w:rsidR="00F1062C">
        <w:t>All pathways at least double current electricity generation</w:t>
      </w:r>
      <w:r w:rsidR="005323D1">
        <w:t xml:space="preserve"> </w:t>
      </w:r>
      <w:r w:rsidR="00F66268">
        <w:t xml:space="preserve">by 2050 </w:t>
      </w:r>
      <w:r w:rsidR="00C76405">
        <w:t xml:space="preserve">and </w:t>
      </w:r>
      <w:r w:rsidR="005323D1">
        <w:t xml:space="preserve">rely on substantial hydrogen production and </w:t>
      </w:r>
      <w:r w:rsidR="003D3113">
        <w:t>biomass use</w:t>
      </w:r>
      <w:r w:rsidR="00780299">
        <w:t>. H</w:t>
      </w:r>
      <w:r w:rsidR="00C8330C">
        <w:t>owever</w:t>
      </w:r>
      <w:r w:rsidR="00780299">
        <w:t>,</w:t>
      </w:r>
      <w:r w:rsidR="00C8330C">
        <w:t xml:space="preserve"> the final energy mix is highly variable depending on the modelling assumptions</w:t>
      </w:r>
      <w:r w:rsidR="003D3113">
        <w:t>.</w:t>
      </w:r>
      <w:r w:rsidR="00572A8E">
        <w:t xml:space="preserve"> </w:t>
      </w:r>
      <w:r w:rsidR="00A9256B">
        <w:t xml:space="preserve">The table below summarises the modelled range of </w:t>
      </w:r>
      <w:r w:rsidR="009771CC">
        <w:t>energy use</w:t>
      </w:r>
      <w:r w:rsidR="00A9256B">
        <w:t xml:space="preserve">. </w:t>
      </w:r>
    </w:p>
    <w:p w14:paraId="0B1D13EA" w14:textId="36BDDC15" w:rsidR="00A9256B" w:rsidRPr="00D57522" w:rsidRDefault="00A9256B" w:rsidP="00D57522">
      <w:pPr>
        <w:spacing w:after="200"/>
        <w:rPr>
          <w:i/>
        </w:rPr>
      </w:pPr>
      <w:r w:rsidRPr="006A0C4B">
        <w:rPr>
          <w:i/>
        </w:rPr>
        <w:t xml:space="preserve">Table </w:t>
      </w:r>
      <w:r w:rsidR="00644E6A">
        <w:rPr>
          <w:i/>
        </w:rPr>
        <w:t>6</w:t>
      </w:r>
      <w:r w:rsidRPr="006A0C4B">
        <w:rPr>
          <w:i/>
        </w:rPr>
        <w:t xml:space="preserve">: Modelled sustainable energy carriers </w:t>
      </w:r>
      <w:r w:rsidR="00A26C32" w:rsidRPr="006A0C4B">
        <w:rPr>
          <w:i/>
        </w:rPr>
        <w:t>in 2050</w:t>
      </w:r>
      <w:r w:rsidRPr="006A0C4B">
        <w:rPr>
          <w:i/>
        </w:rPr>
        <w:t xml:space="preserve"> (in TWh)</w:t>
      </w:r>
    </w:p>
    <w:tbl>
      <w:tblPr>
        <w:tblStyle w:val="TableGrid"/>
        <w:tblW w:w="10195" w:type="dxa"/>
        <w:tblLook w:val="0420" w:firstRow="1" w:lastRow="0" w:firstColumn="0" w:lastColumn="0" w:noHBand="0" w:noVBand="1"/>
      </w:tblPr>
      <w:tblGrid>
        <w:gridCol w:w="2595"/>
        <w:gridCol w:w="2787"/>
        <w:gridCol w:w="4813"/>
      </w:tblGrid>
      <w:tr w:rsidR="00A9256B" w:rsidRPr="0031366C" w14:paraId="35ACB77E" w14:textId="77777777" w:rsidTr="000925B8">
        <w:trPr>
          <w:trHeight w:val="593"/>
        </w:trPr>
        <w:tc>
          <w:tcPr>
            <w:tcW w:w="2595" w:type="dxa"/>
            <w:hideMark/>
          </w:tcPr>
          <w:p w14:paraId="7591A08B" w14:textId="77777777" w:rsidR="00A9256B" w:rsidRPr="006A0C4B" w:rsidRDefault="00A9256B" w:rsidP="00FB58E0">
            <w:pPr>
              <w:jc w:val="center"/>
              <w:rPr>
                <w:rFonts w:cs="Arial"/>
                <w:b/>
                <w:sz w:val="22"/>
                <w:szCs w:val="22"/>
              </w:rPr>
            </w:pPr>
          </w:p>
        </w:tc>
        <w:tc>
          <w:tcPr>
            <w:tcW w:w="2787" w:type="dxa"/>
            <w:hideMark/>
          </w:tcPr>
          <w:p w14:paraId="6EC8D899" w14:textId="303F087E" w:rsidR="00A9256B" w:rsidRPr="006A0C4B" w:rsidRDefault="00A9256B" w:rsidP="0071483C">
            <w:pPr>
              <w:jc w:val="right"/>
              <w:rPr>
                <w:rFonts w:cs="Arial"/>
                <w:b/>
                <w:sz w:val="22"/>
                <w:szCs w:val="22"/>
              </w:rPr>
            </w:pPr>
            <w:r w:rsidRPr="006A0C4B">
              <w:rPr>
                <w:rFonts w:cs="Arial"/>
                <w:b/>
                <w:sz w:val="22"/>
                <w:szCs w:val="22"/>
              </w:rPr>
              <w:t xml:space="preserve">2050 illustrative range based on modelled pathways (in TWh)  </w:t>
            </w:r>
          </w:p>
        </w:tc>
        <w:tc>
          <w:tcPr>
            <w:tcW w:w="4813" w:type="dxa"/>
          </w:tcPr>
          <w:p w14:paraId="2A2A5933" w14:textId="7D35A110" w:rsidR="00A9256B" w:rsidRPr="006A0C4B" w:rsidRDefault="00A9256B" w:rsidP="0071483C">
            <w:pPr>
              <w:jc w:val="right"/>
              <w:rPr>
                <w:rFonts w:cs="Arial"/>
                <w:b/>
                <w:sz w:val="22"/>
                <w:szCs w:val="22"/>
              </w:rPr>
            </w:pPr>
            <w:r w:rsidRPr="006A0C4B">
              <w:rPr>
                <w:rFonts w:cs="Arial"/>
                <w:b/>
                <w:sz w:val="22"/>
                <w:szCs w:val="22"/>
              </w:rPr>
              <w:t xml:space="preserve"> Key technologies and resources</w:t>
            </w:r>
          </w:p>
        </w:tc>
      </w:tr>
      <w:tr w:rsidR="00A9256B" w:rsidRPr="0031366C" w14:paraId="447EBB2C" w14:textId="77777777" w:rsidTr="000925B8">
        <w:trPr>
          <w:trHeight w:val="374"/>
        </w:trPr>
        <w:tc>
          <w:tcPr>
            <w:tcW w:w="2595" w:type="dxa"/>
            <w:hideMark/>
          </w:tcPr>
          <w:p w14:paraId="3E083EEE" w14:textId="0D70D41C" w:rsidR="00A9256B" w:rsidRPr="006A0C4B" w:rsidRDefault="00A9256B" w:rsidP="00861D79">
            <w:pPr>
              <w:rPr>
                <w:rFonts w:cs="Arial"/>
                <w:b/>
                <w:sz w:val="22"/>
                <w:szCs w:val="22"/>
              </w:rPr>
            </w:pPr>
            <w:r w:rsidRPr="006A0C4B">
              <w:rPr>
                <w:rFonts w:cs="Arial"/>
                <w:b/>
                <w:sz w:val="22"/>
                <w:szCs w:val="22"/>
              </w:rPr>
              <w:t xml:space="preserve">Electricity generation </w:t>
            </w:r>
          </w:p>
        </w:tc>
        <w:tc>
          <w:tcPr>
            <w:tcW w:w="2787" w:type="dxa"/>
            <w:hideMark/>
          </w:tcPr>
          <w:p w14:paraId="5D63085A" w14:textId="30EFC72E" w:rsidR="00A9256B" w:rsidRPr="006A0C4B" w:rsidRDefault="00A9256B" w:rsidP="0071483C">
            <w:pPr>
              <w:jc w:val="right"/>
              <w:rPr>
                <w:rFonts w:cs="Arial"/>
                <w:sz w:val="22"/>
                <w:szCs w:val="22"/>
              </w:rPr>
            </w:pPr>
            <w:r w:rsidRPr="006A0C4B">
              <w:rPr>
                <w:rFonts w:cs="Arial"/>
                <w:sz w:val="22"/>
                <w:szCs w:val="22"/>
              </w:rPr>
              <w:t>610-</w:t>
            </w:r>
            <w:r w:rsidR="00477B87" w:rsidRPr="006A0C4B">
              <w:rPr>
                <w:rFonts w:cs="Arial"/>
                <w:sz w:val="22"/>
                <w:szCs w:val="22"/>
              </w:rPr>
              <w:t>800</w:t>
            </w:r>
          </w:p>
        </w:tc>
        <w:tc>
          <w:tcPr>
            <w:tcW w:w="4813" w:type="dxa"/>
          </w:tcPr>
          <w:p w14:paraId="7588C821" w14:textId="34DE13C8" w:rsidR="001D4E3C" w:rsidRPr="006A0C4B" w:rsidRDefault="001D4E3C" w:rsidP="0071483C">
            <w:pPr>
              <w:jc w:val="right"/>
              <w:rPr>
                <w:rFonts w:cs="Arial"/>
                <w:sz w:val="22"/>
                <w:szCs w:val="22"/>
              </w:rPr>
            </w:pPr>
            <w:r w:rsidRPr="006A0C4B">
              <w:rPr>
                <w:rFonts w:cs="Arial"/>
                <w:sz w:val="22"/>
                <w:szCs w:val="22"/>
              </w:rPr>
              <w:t>60-80% variable renewable generation</w:t>
            </w:r>
          </w:p>
          <w:p w14:paraId="1B729626" w14:textId="10C6C9A4" w:rsidR="001D4E3C" w:rsidRPr="006A0C4B" w:rsidRDefault="001D4E3C" w:rsidP="0071483C">
            <w:pPr>
              <w:jc w:val="right"/>
              <w:rPr>
                <w:rFonts w:cs="Arial"/>
                <w:sz w:val="22"/>
                <w:szCs w:val="22"/>
              </w:rPr>
            </w:pPr>
            <w:r w:rsidRPr="006A0C4B">
              <w:rPr>
                <w:rFonts w:cs="Arial"/>
                <w:sz w:val="22"/>
                <w:szCs w:val="22"/>
              </w:rPr>
              <w:t>95-100% low carbon generation</w:t>
            </w:r>
          </w:p>
          <w:p w14:paraId="3B444102" w14:textId="3E3B4E6B" w:rsidR="00A9256B" w:rsidRPr="006A0C4B" w:rsidRDefault="001D4E3C" w:rsidP="0071483C">
            <w:pPr>
              <w:jc w:val="right"/>
              <w:rPr>
                <w:rFonts w:cs="Arial"/>
                <w:sz w:val="22"/>
                <w:szCs w:val="22"/>
              </w:rPr>
            </w:pPr>
            <w:r w:rsidRPr="006A0C4B">
              <w:rPr>
                <w:rFonts w:cs="Arial"/>
                <w:sz w:val="22"/>
                <w:szCs w:val="22"/>
              </w:rPr>
              <w:t>A variety of low carbon technologies will be needed</w:t>
            </w:r>
          </w:p>
        </w:tc>
      </w:tr>
      <w:tr w:rsidR="00A9256B" w:rsidRPr="0031366C" w14:paraId="78C315BF" w14:textId="77777777" w:rsidTr="000925B8">
        <w:trPr>
          <w:trHeight w:val="198"/>
        </w:trPr>
        <w:tc>
          <w:tcPr>
            <w:tcW w:w="2595" w:type="dxa"/>
            <w:hideMark/>
          </w:tcPr>
          <w:p w14:paraId="4CDF71D5" w14:textId="043C27DB" w:rsidR="00A9256B" w:rsidRPr="006A0C4B" w:rsidRDefault="0004523E" w:rsidP="00FB58E0">
            <w:pPr>
              <w:rPr>
                <w:rFonts w:cs="Arial"/>
                <w:b/>
                <w:sz w:val="22"/>
                <w:szCs w:val="22"/>
              </w:rPr>
            </w:pPr>
            <w:r w:rsidRPr="006A0C4B">
              <w:rPr>
                <w:rFonts w:cs="Arial"/>
                <w:b/>
                <w:sz w:val="22"/>
                <w:szCs w:val="22"/>
              </w:rPr>
              <w:t xml:space="preserve">Low carbon </w:t>
            </w:r>
            <w:r w:rsidR="00A9256B" w:rsidRPr="006A0C4B">
              <w:rPr>
                <w:rFonts w:cs="Arial"/>
                <w:b/>
                <w:sz w:val="22"/>
                <w:szCs w:val="22"/>
              </w:rPr>
              <w:t>hydrogen production</w:t>
            </w:r>
            <w:r w:rsidR="000E4E6F" w:rsidRPr="01F21943">
              <w:rPr>
                <w:rStyle w:val="FootnoteReference"/>
                <w:b/>
              </w:rPr>
              <w:footnoteReference w:id="35"/>
            </w:r>
          </w:p>
        </w:tc>
        <w:tc>
          <w:tcPr>
            <w:tcW w:w="2787" w:type="dxa"/>
            <w:hideMark/>
          </w:tcPr>
          <w:p w14:paraId="331ED2F8" w14:textId="10E26060" w:rsidR="00A9256B" w:rsidRPr="006A0C4B" w:rsidRDefault="00A9256B" w:rsidP="0071483C">
            <w:pPr>
              <w:jc w:val="right"/>
              <w:rPr>
                <w:rFonts w:cs="Arial"/>
                <w:sz w:val="22"/>
                <w:szCs w:val="22"/>
              </w:rPr>
            </w:pPr>
            <w:r w:rsidRPr="006A0C4B">
              <w:rPr>
                <w:rFonts w:cs="Arial"/>
                <w:sz w:val="22"/>
                <w:szCs w:val="22"/>
              </w:rPr>
              <w:t>2</w:t>
            </w:r>
            <w:r w:rsidR="00891EAA" w:rsidRPr="006A0C4B">
              <w:rPr>
                <w:rFonts w:cs="Arial"/>
                <w:sz w:val="22"/>
                <w:szCs w:val="22"/>
              </w:rPr>
              <w:t>5</w:t>
            </w:r>
            <w:r w:rsidRPr="006A0C4B">
              <w:rPr>
                <w:rFonts w:cs="Arial"/>
                <w:sz w:val="22"/>
                <w:szCs w:val="22"/>
              </w:rPr>
              <w:t>0</w:t>
            </w:r>
            <w:r w:rsidR="00D404D2" w:rsidRPr="006A0C4B">
              <w:rPr>
                <w:rFonts w:cs="Arial"/>
                <w:sz w:val="22"/>
                <w:szCs w:val="22"/>
              </w:rPr>
              <w:t>-4</w:t>
            </w:r>
            <w:r w:rsidR="005A4F98" w:rsidRPr="006A0C4B">
              <w:rPr>
                <w:rFonts w:cs="Arial"/>
                <w:sz w:val="22"/>
                <w:szCs w:val="22"/>
              </w:rPr>
              <w:t>6</w:t>
            </w:r>
            <w:r w:rsidR="00D404D2" w:rsidRPr="006A0C4B">
              <w:rPr>
                <w:rFonts w:cs="Arial"/>
                <w:sz w:val="22"/>
                <w:szCs w:val="22"/>
              </w:rPr>
              <w:t>0</w:t>
            </w:r>
          </w:p>
        </w:tc>
        <w:tc>
          <w:tcPr>
            <w:tcW w:w="4813" w:type="dxa"/>
          </w:tcPr>
          <w:p w14:paraId="3E3F2A33" w14:textId="46A99FB8" w:rsidR="00CB6820" w:rsidRDefault="003474AE" w:rsidP="00657F77">
            <w:pPr>
              <w:jc w:val="right"/>
              <w:rPr>
                <w:rFonts w:cs="Arial"/>
                <w:sz w:val="22"/>
                <w:szCs w:val="22"/>
              </w:rPr>
            </w:pPr>
            <w:r w:rsidRPr="006A0C4B">
              <w:rPr>
                <w:rFonts w:cs="Arial"/>
                <w:sz w:val="22"/>
                <w:szCs w:val="22"/>
              </w:rPr>
              <w:t>20</w:t>
            </w:r>
            <w:r w:rsidR="00A9256B" w:rsidRPr="006A0C4B">
              <w:rPr>
                <w:rFonts w:cs="Arial"/>
                <w:sz w:val="22"/>
                <w:szCs w:val="22"/>
              </w:rPr>
              <w:t>-</w:t>
            </w:r>
            <w:r w:rsidR="00985AA5" w:rsidRPr="006A0C4B">
              <w:rPr>
                <w:rFonts w:cs="Arial"/>
                <w:sz w:val="22"/>
                <w:szCs w:val="22"/>
              </w:rPr>
              <w:t>4</w:t>
            </w:r>
            <w:r w:rsidRPr="006A0C4B">
              <w:rPr>
                <w:rFonts w:cs="Arial"/>
                <w:sz w:val="22"/>
                <w:szCs w:val="22"/>
              </w:rPr>
              <w:t>5</w:t>
            </w:r>
            <w:r w:rsidR="00A9256B" w:rsidRPr="006A0C4B">
              <w:rPr>
                <w:rFonts w:cs="Arial"/>
                <w:sz w:val="22"/>
                <w:szCs w:val="22"/>
              </w:rPr>
              <w:t>% biomass gasification</w:t>
            </w:r>
            <w:r w:rsidR="007D346D" w:rsidRPr="006A0C4B">
              <w:rPr>
                <w:rFonts w:cs="Arial"/>
                <w:sz w:val="22"/>
                <w:szCs w:val="22"/>
              </w:rPr>
              <w:t xml:space="preserve"> with CCS</w:t>
            </w:r>
            <w:r w:rsidR="00A9256B" w:rsidRPr="006A0C4B">
              <w:rPr>
                <w:rFonts w:cs="Arial"/>
                <w:sz w:val="22"/>
                <w:szCs w:val="22"/>
              </w:rPr>
              <w:t xml:space="preserve"> </w:t>
            </w:r>
          </w:p>
          <w:p w14:paraId="40903EB9" w14:textId="74613B4B" w:rsidR="00A9256B" w:rsidRPr="006A0C4B" w:rsidRDefault="00A9256B" w:rsidP="0071483C">
            <w:pPr>
              <w:jc w:val="right"/>
              <w:rPr>
                <w:rFonts w:cs="Arial"/>
                <w:sz w:val="22"/>
                <w:szCs w:val="22"/>
              </w:rPr>
            </w:pPr>
            <w:r w:rsidRPr="006A0C4B">
              <w:rPr>
                <w:rFonts w:cs="Arial"/>
                <w:sz w:val="22"/>
                <w:szCs w:val="22"/>
              </w:rPr>
              <w:t xml:space="preserve">5-75% steam </w:t>
            </w:r>
            <w:r w:rsidR="007D346D" w:rsidRPr="006A0C4B">
              <w:rPr>
                <w:rFonts w:cs="Arial"/>
                <w:sz w:val="22"/>
                <w:szCs w:val="22"/>
              </w:rPr>
              <w:t xml:space="preserve">methane </w:t>
            </w:r>
            <w:r w:rsidRPr="006A0C4B">
              <w:rPr>
                <w:rFonts w:cs="Arial"/>
                <w:sz w:val="22"/>
                <w:szCs w:val="22"/>
              </w:rPr>
              <w:t>reformation</w:t>
            </w:r>
            <w:r w:rsidR="007D346D" w:rsidRPr="006A0C4B">
              <w:rPr>
                <w:rFonts w:cs="Arial"/>
                <w:sz w:val="22"/>
                <w:szCs w:val="22"/>
              </w:rPr>
              <w:t xml:space="preserve"> with CCS</w:t>
            </w:r>
            <w:r w:rsidRPr="006A0C4B">
              <w:rPr>
                <w:rFonts w:cs="Arial"/>
                <w:sz w:val="22"/>
                <w:szCs w:val="22"/>
              </w:rPr>
              <w:t xml:space="preserve"> </w:t>
            </w:r>
            <w:r w:rsidR="00CF7966" w:rsidRPr="006A0C4B">
              <w:rPr>
                <w:rFonts w:cs="Arial"/>
                <w:sz w:val="22"/>
                <w:szCs w:val="22"/>
              </w:rPr>
              <w:t>5</w:t>
            </w:r>
            <w:r w:rsidRPr="006A0C4B">
              <w:rPr>
                <w:rFonts w:cs="Arial"/>
                <w:sz w:val="22"/>
                <w:szCs w:val="22"/>
              </w:rPr>
              <w:t>-5</w:t>
            </w:r>
            <w:r w:rsidR="00CF7966" w:rsidRPr="006A0C4B">
              <w:rPr>
                <w:rFonts w:cs="Arial"/>
                <w:sz w:val="22"/>
                <w:szCs w:val="22"/>
              </w:rPr>
              <w:t>0</w:t>
            </w:r>
            <w:r w:rsidRPr="006A0C4B">
              <w:rPr>
                <w:rFonts w:cs="Arial"/>
                <w:sz w:val="22"/>
                <w:szCs w:val="22"/>
              </w:rPr>
              <w:t xml:space="preserve">% electrolysis </w:t>
            </w:r>
          </w:p>
        </w:tc>
      </w:tr>
      <w:tr w:rsidR="00A9256B" w:rsidRPr="0031366C" w14:paraId="371A44E9" w14:textId="77777777" w:rsidTr="000925B8">
        <w:trPr>
          <w:trHeight w:val="198"/>
        </w:trPr>
        <w:tc>
          <w:tcPr>
            <w:tcW w:w="2595" w:type="dxa"/>
            <w:hideMark/>
          </w:tcPr>
          <w:p w14:paraId="6F2638B8" w14:textId="06B67255" w:rsidR="00A9256B" w:rsidRPr="006A0C4B" w:rsidRDefault="00A9256B" w:rsidP="00861D79">
            <w:pPr>
              <w:rPr>
                <w:rFonts w:cs="Arial"/>
                <w:b/>
                <w:sz w:val="22"/>
                <w:szCs w:val="22"/>
              </w:rPr>
            </w:pPr>
            <w:r w:rsidRPr="006A0C4B">
              <w:rPr>
                <w:rFonts w:cs="Arial"/>
                <w:b/>
                <w:sz w:val="22"/>
                <w:szCs w:val="22"/>
              </w:rPr>
              <w:t xml:space="preserve">Sustainable biomass availability </w:t>
            </w:r>
          </w:p>
        </w:tc>
        <w:tc>
          <w:tcPr>
            <w:tcW w:w="2787" w:type="dxa"/>
            <w:hideMark/>
          </w:tcPr>
          <w:p w14:paraId="285AE042" w14:textId="204CD69C" w:rsidR="00A9256B" w:rsidRPr="006A0C4B" w:rsidRDefault="00A9256B" w:rsidP="0071483C">
            <w:pPr>
              <w:jc w:val="right"/>
              <w:rPr>
                <w:rFonts w:cs="Arial"/>
                <w:sz w:val="22"/>
                <w:szCs w:val="22"/>
              </w:rPr>
            </w:pPr>
            <w:r w:rsidRPr="006A0C4B">
              <w:rPr>
                <w:rFonts w:cs="Arial"/>
                <w:sz w:val="22"/>
                <w:szCs w:val="22"/>
              </w:rPr>
              <w:t xml:space="preserve">270-280 </w:t>
            </w:r>
          </w:p>
        </w:tc>
        <w:tc>
          <w:tcPr>
            <w:tcW w:w="4813" w:type="dxa"/>
          </w:tcPr>
          <w:p w14:paraId="5544D786" w14:textId="512CAA33" w:rsidR="00CB6820" w:rsidRDefault="00A9256B" w:rsidP="00657F77">
            <w:pPr>
              <w:jc w:val="right"/>
              <w:rPr>
                <w:rFonts w:cs="Arial"/>
                <w:sz w:val="22"/>
                <w:szCs w:val="22"/>
              </w:rPr>
            </w:pPr>
            <w:r w:rsidRPr="006A0C4B">
              <w:rPr>
                <w:rFonts w:cs="Arial"/>
                <w:sz w:val="22"/>
                <w:szCs w:val="22"/>
              </w:rPr>
              <w:t xml:space="preserve">50% domestic biocrops planting </w:t>
            </w:r>
          </w:p>
          <w:p w14:paraId="415A0FBB" w14:textId="1842C9CF" w:rsidR="00A9256B" w:rsidRPr="006A0C4B" w:rsidRDefault="00A9256B" w:rsidP="0071483C">
            <w:pPr>
              <w:jc w:val="right"/>
              <w:rPr>
                <w:rFonts w:cs="Arial"/>
                <w:sz w:val="22"/>
                <w:szCs w:val="22"/>
              </w:rPr>
            </w:pPr>
            <w:r w:rsidRPr="006A0C4B">
              <w:rPr>
                <w:rFonts w:cs="Arial"/>
                <w:sz w:val="22"/>
                <w:szCs w:val="22"/>
              </w:rPr>
              <w:t>30% afforestation</w:t>
            </w:r>
          </w:p>
        </w:tc>
      </w:tr>
    </w:tbl>
    <w:p w14:paraId="0707BAF6" w14:textId="77777777" w:rsidR="004945C6" w:rsidRDefault="004945C6" w:rsidP="00191057"/>
    <w:p w14:paraId="7B0304D6" w14:textId="42BA3FB2" w:rsidR="00191057" w:rsidRDefault="00191057" w:rsidP="009229B3">
      <w:pPr>
        <w:pStyle w:val="Numberedparagraphs"/>
      </w:pPr>
      <w:r w:rsidRPr="00603B06">
        <w:rPr>
          <w:b/>
        </w:rPr>
        <w:t xml:space="preserve">Electrification </w:t>
      </w:r>
      <w:r>
        <w:t>of transport</w:t>
      </w:r>
      <w:r w:rsidR="00D54CFC">
        <w:t xml:space="preserve">, </w:t>
      </w:r>
      <w:r>
        <w:t>certain industrial processes</w:t>
      </w:r>
      <w:r w:rsidR="00D54CFC">
        <w:t xml:space="preserve"> and</w:t>
      </w:r>
      <w:r w:rsidR="00B7478A">
        <w:t xml:space="preserve"> some</w:t>
      </w:r>
      <w:r w:rsidR="00D54CFC">
        <w:t xml:space="preserve"> </w:t>
      </w:r>
      <w:r w:rsidR="002B289E">
        <w:t xml:space="preserve">heat for </w:t>
      </w:r>
      <w:r w:rsidR="00A954E2">
        <w:t>buildings</w:t>
      </w:r>
      <w:r>
        <w:t xml:space="preserve"> is </w:t>
      </w:r>
      <w:r w:rsidR="00D40BF0">
        <w:t xml:space="preserve">crucial </w:t>
      </w:r>
      <w:r>
        <w:t xml:space="preserve">in </w:t>
      </w:r>
      <w:r w:rsidR="00D40BF0">
        <w:t xml:space="preserve">all </w:t>
      </w:r>
      <w:r>
        <w:t xml:space="preserve">scenarios by 2050. However, the extent of electrification </w:t>
      </w:r>
      <w:r w:rsidR="00780299">
        <w:t>in 2050,</w:t>
      </w:r>
      <w:r>
        <w:t xml:space="preserve"> and therefore electricity demand</w:t>
      </w:r>
      <w:r w:rsidR="00780299">
        <w:t>,</w:t>
      </w:r>
      <w:r>
        <w:t xml:space="preserve"> varies depending on the </w:t>
      </w:r>
      <w:r w:rsidR="00AC6D6C">
        <w:t>modelling assumptio</w:t>
      </w:r>
      <w:r w:rsidR="00822F0E">
        <w:t>n</w:t>
      </w:r>
      <w:r w:rsidR="006C5B0D">
        <w:t>s</w:t>
      </w:r>
      <w:r w:rsidR="00D74151">
        <w:t xml:space="preserve">. </w:t>
      </w:r>
      <w:r w:rsidR="004E5E14">
        <w:t>The highest level of electrification is seen in the CCS delay pathway because technology delay in CCS limits the scope for hydrogen from CCS-enabled domestic production. As a result,</w:t>
      </w:r>
      <w:r w:rsidR="005262A1">
        <w:t xml:space="preserve"> </w:t>
      </w:r>
      <w:r w:rsidR="009034FB">
        <w:t>hydrogen from</w:t>
      </w:r>
      <w:r w:rsidR="004E5E14">
        <w:t xml:space="preserve"> CCS is replaced by greater amounts of electrolysis which has additional electricity requirements even if surplus generation from variable renewables is used. </w:t>
      </w:r>
      <w:r w:rsidR="00F91189">
        <w:t xml:space="preserve">The </w:t>
      </w:r>
      <w:r w:rsidR="006C5DAB">
        <w:t>lowest</w:t>
      </w:r>
      <w:r w:rsidR="00F91189">
        <w:t xml:space="preserve"> </w:t>
      </w:r>
      <w:r w:rsidR="002C67EF">
        <w:t xml:space="preserve">level of </w:t>
      </w:r>
      <w:r w:rsidR="00F91189">
        <w:t>electrification is seen</w:t>
      </w:r>
      <w:r w:rsidR="006C5DAB">
        <w:t xml:space="preserve"> in </w:t>
      </w:r>
      <w:r w:rsidR="002C67EF">
        <w:t xml:space="preserve">the </w:t>
      </w:r>
      <w:r w:rsidR="006C5DAB">
        <w:t>high resource pathway due</w:t>
      </w:r>
      <w:r w:rsidR="00F91189">
        <w:t xml:space="preserve"> </w:t>
      </w:r>
      <w:r w:rsidR="002C67EF">
        <w:t xml:space="preserve">to </w:t>
      </w:r>
      <w:r w:rsidR="00D2518E">
        <w:t xml:space="preserve">greater </w:t>
      </w:r>
      <w:r w:rsidR="00613915">
        <w:t xml:space="preserve">hydrogen use in </w:t>
      </w:r>
      <w:r w:rsidR="00624DBA">
        <w:t xml:space="preserve">the </w:t>
      </w:r>
      <w:r w:rsidR="00613915">
        <w:t>buildings</w:t>
      </w:r>
      <w:r w:rsidR="00624DBA">
        <w:t xml:space="preserve"> sector</w:t>
      </w:r>
      <w:r w:rsidR="00272CF7">
        <w:t xml:space="preserve">. </w:t>
      </w:r>
      <w:r w:rsidR="006C5DAB">
        <w:t xml:space="preserve"> </w:t>
      </w:r>
    </w:p>
    <w:p w14:paraId="25BA0768" w14:textId="0B4928E8" w:rsidR="004945C6" w:rsidRDefault="00DA1179" w:rsidP="009229B3">
      <w:pPr>
        <w:pStyle w:val="Numberedparagraphs"/>
      </w:pPr>
      <w:r w:rsidRPr="00DA1179">
        <w:t>Given the pivotal role of</w:t>
      </w:r>
      <w:r w:rsidRPr="006A0C4B">
        <w:rPr>
          <w:b/>
        </w:rPr>
        <w:t xml:space="preserve"> </w:t>
      </w:r>
      <w:r w:rsidRPr="00A37E9D">
        <w:t>electricity</w:t>
      </w:r>
      <w:r w:rsidRPr="00DA1179">
        <w:t xml:space="preserve"> in delivering net zero emissions, </w:t>
      </w:r>
      <w:r w:rsidR="00A37E9D">
        <w:t>the modelling suggests</w:t>
      </w:r>
      <w:r w:rsidRPr="00DA1179">
        <w:t xml:space="preserve"> a fully decarbonised power system by 2050</w:t>
      </w:r>
      <w:r w:rsidR="002C66A9">
        <w:t xml:space="preserve"> (with </w:t>
      </w:r>
      <w:r w:rsidR="005060BE">
        <w:t xml:space="preserve">small amounts of </w:t>
      </w:r>
      <w:r w:rsidR="002C66A9">
        <w:t>res</w:t>
      </w:r>
      <w:r w:rsidR="008E1334">
        <w:t>id</w:t>
      </w:r>
      <w:r w:rsidR="002C66A9">
        <w:t>u</w:t>
      </w:r>
      <w:r w:rsidR="008E1334">
        <w:t>a</w:t>
      </w:r>
      <w:r w:rsidR="002C66A9">
        <w:t xml:space="preserve">l emissions </w:t>
      </w:r>
      <w:r w:rsidR="005060BE">
        <w:t xml:space="preserve">reflecting </w:t>
      </w:r>
      <w:r w:rsidR="009E2CE8">
        <w:t>CCS capture rates below 100%)</w:t>
      </w:r>
      <w:r w:rsidRPr="00DA1179">
        <w:t>. There is inherent uncertainty over what that system will look like. Modelling</w:t>
      </w:r>
      <w:r w:rsidR="00A37E9D">
        <w:t xml:space="preserve"> for the Energy White Paper</w:t>
      </w:r>
      <w:r w:rsidRPr="00DA1179">
        <w:t xml:space="preserve"> has shown that there is no single optimal technology mix for 2050 with many capacity mixes being able to meet different carbon emissions levels at relatively low cost. The power sector need</w:t>
      </w:r>
      <w:r w:rsidR="002C66A9">
        <w:t>ed</w:t>
      </w:r>
      <w:r w:rsidRPr="00DA1179">
        <w:t xml:space="preserve"> will depend on the level of demand, and the cost and availability of low-carbon technologies, particularly low-cost clean hydrogen.</w:t>
      </w:r>
    </w:p>
    <w:p w14:paraId="2DED4CBF" w14:textId="06B2D1D3" w:rsidR="00B4329E" w:rsidRDefault="00304C3D" w:rsidP="009229B3">
      <w:pPr>
        <w:pStyle w:val="Numberedparagraphs"/>
      </w:pPr>
      <w:r>
        <w:t>Ba</w:t>
      </w:r>
      <w:r w:rsidR="004945C6">
        <w:t xml:space="preserve">sed </w:t>
      </w:r>
      <w:r w:rsidR="00E53595">
        <w:t xml:space="preserve">on the modelled core pathway, </w:t>
      </w:r>
      <w:r w:rsidR="00F95AD9">
        <w:t xml:space="preserve">in 2050 the majority of </w:t>
      </w:r>
      <w:r w:rsidR="00F95AD9" w:rsidRPr="0073234B">
        <w:rPr>
          <w:b/>
        </w:rPr>
        <w:t>hydroge</w:t>
      </w:r>
      <w:r w:rsidR="00F95AD9" w:rsidRPr="006C0A78">
        <w:rPr>
          <w:b/>
        </w:rPr>
        <w:t>n</w:t>
      </w:r>
      <w:r w:rsidR="00F95AD9">
        <w:t xml:space="preserve"> is used </w:t>
      </w:r>
      <w:r w:rsidR="00060163" w:rsidRPr="00060163">
        <w:t>in shipping</w:t>
      </w:r>
      <w:r w:rsidR="00F95AD9">
        <w:t xml:space="preserve"> and industrial processes, </w:t>
      </w:r>
      <w:r w:rsidR="00060163" w:rsidRPr="00060163">
        <w:t>with some also used for HGVs,</w:t>
      </w:r>
      <w:r w:rsidR="00030591">
        <w:t xml:space="preserve"> electricity</w:t>
      </w:r>
      <w:r w:rsidR="00E53595">
        <w:t xml:space="preserve"> </w:t>
      </w:r>
      <w:r w:rsidR="00060163" w:rsidRPr="00060163">
        <w:t>production and to provide heating in buildings</w:t>
      </w:r>
      <w:r w:rsidR="005F2468">
        <w:t>.</w:t>
      </w:r>
      <w:r w:rsidR="00E53595">
        <w:t xml:space="preserve"> The extent to which hydrogen is used across the economy depends on the availability of technologies used in its production and their relative </w:t>
      </w:r>
      <w:r w:rsidR="00246AAB">
        <w:t xml:space="preserve">cost and </w:t>
      </w:r>
      <w:r w:rsidR="00E53595">
        <w:t>efficiency</w:t>
      </w:r>
      <w:r w:rsidR="003307CA">
        <w:t>,</w:t>
      </w:r>
      <w:r w:rsidR="00185775">
        <w:t xml:space="preserve"> which is subject to considerable uncertainty (e.g. CCS performance, </w:t>
      </w:r>
      <w:r w:rsidR="00185775" w:rsidRPr="00CF367F">
        <w:t>availability of renewable electricity and biomass</w:t>
      </w:r>
      <w:r w:rsidR="00185775">
        <w:t xml:space="preserve">). </w:t>
      </w:r>
      <w:r w:rsidR="00E53595">
        <w:t xml:space="preserve">In the high resource pathway, </w:t>
      </w:r>
      <w:r w:rsidR="007C147C">
        <w:t xml:space="preserve">widespread use of hydrogen </w:t>
      </w:r>
      <w:r w:rsidR="00027FA6">
        <w:t>in buildings</w:t>
      </w:r>
      <w:r w:rsidR="00405207">
        <w:t>’</w:t>
      </w:r>
      <w:r w:rsidR="00027FA6">
        <w:t xml:space="preserve"> heating</w:t>
      </w:r>
      <w:r w:rsidR="007C147C">
        <w:t xml:space="preserve"> is modelled</w:t>
      </w:r>
      <w:r w:rsidR="003307CA">
        <w:t>,</w:t>
      </w:r>
      <w:r w:rsidR="007C147C">
        <w:t xml:space="preserve"> leading to</w:t>
      </w:r>
      <w:r w:rsidR="003D4DC5">
        <w:t xml:space="preserve"> </w:t>
      </w:r>
      <w:r w:rsidR="00E53595">
        <w:t xml:space="preserve">higher levels of hydrogen demand. The high CCS pathway also sees a relative increase in hydrogen use (e.g. for </w:t>
      </w:r>
      <w:r w:rsidR="002421CE">
        <w:t>industrial fuel switching</w:t>
      </w:r>
      <w:r w:rsidR="00E53595">
        <w:t xml:space="preserve">) as a result of higher </w:t>
      </w:r>
      <w:r w:rsidR="00630E33">
        <w:t>capture rates</w:t>
      </w:r>
      <w:r w:rsidR="00A32243">
        <w:t xml:space="preserve"> </w:t>
      </w:r>
      <w:r w:rsidR="00A32243" w:rsidRPr="00A32243">
        <w:t>reducing the emissions intensity of CCUS-enabled h</w:t>
      </w:r>
      <w:r w:rsidR="00A32243">
        <w:t>ydrogen</w:t>
      </w:r>
      <w:r w:rsidR="00A32243" w:rsidRPr="00A32243">
        <w:t xml:space="preserve"> production</w:t>
      </w:r>
      <w:r w:rsidR="00E53595">
        <w:t>.</w:t>
      </w:r>
      <w:r w:rsidR="006B7836">
        <w:rPr>
          <w:rStyle w:val="FootnoteReference"/>
        </w:rPr>
        <w:footnoteReference w:id="36"/>
      </w:r>
    </w:p>
    <w:p w14:paraId="34898692" w14:textId="462B0FA5" w:rsidR="00875F3F" w:rsidRDefault="005F2468" w:rsidP="009229B3">
      <w:pPr>
        <w:pStyle w:val="Numberedparagraphs"/>
      </w:pPr>
      <w:r w:rsidRPr="006A0C4B">
        <w:lastRenderedPageBreak/>
        <w:t>In the core</w:t>
      </w:r>
      <w:r>
        <w:t xml:space="preserve"> pathway</w:t>
      </w:r>
      <w:r w:rsidRPr="006A0C4B">
        <w:t xml:space="preserve">, hydrogen is supplied through a mix of methane reformation with CCS, biomass gasification with CCS (BECCS) and electrolysis, with a smaller role for waste gasification. In the CCS delay </w:t>
      </w:r>
      <w:r w:rsidR="00F357A9">
        <w:t>pathway</w:t>
      </w:r>
      <w:r w:rsidRPr="006A0C4B">
        <w:t xml:space="preserve">, lower capture rates, delayed CCS availability and high renewable electricity deployment lead to more electrolysis and less methane reformation with CCS, while the converse happens in the high CCS scenario.  In the high resource </w:t>
      </w:r>
      <w:r w:rsidR="00F8600C">
        <w:t>pathway</w:t>
      </w:r>
      <w:r w:rsidRPr="006A0C4B">
        <w:t>, there is substantially higher demand for hydrogen due to widespread use in heat; the additional demand is mostly met through methane reformation with CCS</w:t>
      </w:r>
      <w:r w:rsidR="00FB1420">
        <w:t xml:space="preserve"> due to cross-cutting constraints on other resources such as biomass</w:t>
      </w:r>
      <w:r w:rsidRPr="006A0C4B">
        <w:t xml:space="preserve">. Across all </w:t>
      </w:r>
      <w:r w:rsidR="00F8600C">
        <w:t>pathways</w:t>
      </w:r>
      <w:r w:rsidRPr="006A0C4B">
        <w:t xml:space="preserve">, the role of BECCS is particularly uncertain as it depends </w:t>
      </w:r>
      <w:r w:rsidR="003307CA">
        <w:t xml:space="preserve">on </w:t>
      </w:r>
      <w:r w:rsidR="00FB1420">
        <w:t xml:space="preserve">the </w:t>
      </w:r>
      <w:r w:rsidRPr="006A0C4B">
        <w:t>availability of biomass and the benefits of using biomass in hydrogen production relative to use in other sectors such as industry and electricity generation</w:t>
      </w:r>
      <w:r>
        <w:t xml:space="preserve">. </w:t>
      </w:r>
    </w:p>
    <w:p w14:paraId="3EC5202B" w14:textId="47B0FD2A" w:rsidR="00191057" w:rsidRDefault="00D32E3E" w:rsidP="009229B3">
      <w:pPr>
        <w:pStyle w:val="Numberedparagraphs"/>
      </w:pPr>
      <w:r>
        <w:t xml:space="preserve">A further area of considerable uncertainty is </w:t>
      </w:r>
      <w:r w:rsidR="00D93069">
        <w:t xml:space="preserve">the availability and use of </w:t>
      </w:r>
      <w:r w:rsidR="00D93069" w:rsidRPr="006A0C4B">
        <w:t xml:space="preserve">sustainable </w:t>
      </w:r>
      <w:r w:rsidR="00D93069" w:rsidRPr="00B91D00">
        <w:rPr>
          <w:b/>
        </w:rPr>
        <w:t>biomass</w:t>
      </w:r>
      <w:r w:rsidR="00D93069">
        <w:t>.</w:t>
      </w:r>
      <w:r w:rsidR="00B03A21">
        <w:t xml:space="preserve"> Based on modelling assumptions</w:t>
      </w:r>
      <w:r w:rsidR="00DA4E7A">
        <w:t>,</w:t>
      </w:r>
      <w:r w:rsidR="00B03A21">
        <w:t xml:space="preserve"> </w:t>
      </w:r>
      <w:r w:rsidR="006C2AA1">
        <w:t>substantial</w:t>
      </w:r>
      <w:r w:rsidR="00B03A21">
        <w:t xml:space="preserve"> availability of biomass </w:t>
      </w:r>
      <w:r w:rsidR="00403C85">
        <w:t>(consistent with 53kha/</w:t>
      </w:r>
      <w:r w:rsidR="00FD55C4">
        <w:t>yr</w:t>
      </w:r>
      <w:r w:rsidR="00403C85">
        <w:t xml:space="preserve"> planting rates in the core pathway) </w:t>
      </w:r>
      <w:r w:rsidR="00C27DF6">
        <w:t>is</w:t>
      </w:r>
      <w:r w:rsidR="00B03A21">
        <w:t xml:space="preserve"> required by 2050 to enable negative emission </w:t>
      </w:r>
      <w:r w:rsidR="00A65A18">
        <w:t>technologies</w:t>
      </w:r>
      <w:r w:rsidR="0074075A">
        <w:t xml:space="preserve"> (</w:t>
      </w:r>
      <w:r w:rsidR="00654A19">
        <w:t>b</w:t>
      </w:r>
      <w:r w:rsidR="0074075A">
        <w:t>io-energy with Ca</w:t>
      </w:r>
      <w:r w:rsidR="00AB244B">
        <w:t>rb</w:t>
      </w:r>
      <w:r w:rsidR="0074075A">
        <w:t>on Capture and Storage</w:t>
      </w:r>
      <w:r w:rsidR="00AB244B">
        <w:t xml:space="preserve"> or BECCS)</w:t>
      </w:r>
      <w:r w:rsidR="00A65A18">
        <w:t>, though</w:t>
      </w:r>
      <w:r w:rsidR="00B03A21">
        <w:t xml:space="preserve"> use of biomass </w:t>
      </w:r>
      <w:r w:rsidR="00B25495">
        <w:t xml:space="preserve">on the pathway to 2050 </w:t>
      </w:r>
      <w:r w:rsidR="00B03A21">
        <w:t>is less certain</w:t>
      </w:r>
      <w:r w:rsidR="005B3B8D">
        <w:t>. M</w:t>
      </w:r>
      <w:r w:rsidR="00537D80" w:rsidRPr="006A0C4B">
        <w:t xml:space="preserve">uch of this land would be in competition </w:t>
      </w:r>
      <w:r w:rsidR="00F7558C">
        <w:t>with</w:t>
      </w:r>
      <w:r w:rsidR="00537D80" w:rsidRPr="006A0C4B">
        <w:t xml:space="preserve"> </w:t>
      </w:r>
      <w:r w:rsidR="005B3B8D">
        <w:t xml:space="preserve">afforestation and </w:t>
      </w:r>
      <w:r w:rsidR="00537D80" w:rsidRPr="006A0C4B">
        <w:t>the combined rate of land use change present</w:t>
      </w:r>
      <w:r w:rsidR="005B3B8D">
        <w:t>s</w:t>
      </w:r>
      <w:r w:rsidR="00537D80" w:rsidRPr="006A0C4B">
        <w:t xml:space="preserve"> a risk to natural capital</w:t>
      </w:r>
      <w:r w:rsidR="005B3B8D">
        <w:t>,</w:t>
      </w:r>
      <w:r w:rsidR="00537D80" w:rsidRPr="006A0C4B">
        <w:t xml:space="preserve"> as set out </w:t>
      </w:r>
      <w:r w:rsidR="00F566E8">
        <w:t>in section 2</w:t>
      </w:r>
      <w:r w:rsidR="0001444F">
        <w:t>.6</w:t>
      </w:r>
      <w:r w:rsidR="00537D80" w:rsidRPr="006A0C4B">
        <w:t>. </w:t>
      </w:r>
      <w:r w:rsidR="002A130C">
        <w:t>B</w:t>
      </w:r>
      <w:r>
        <w:t>iomass</w:t>
      </w:r>
      <w:r w:rsidR="006D207D">
        <w:t xml:space="preserve"> and biomass products are </w:t>
      </w:r>
      <w:r w:rsidR="00F85ADE">
        <w:t>used</w:t>
      </w:r>
      <w:r>
        <w:t xml:space="preserve"> in industry</w:t>
      </w:r>
      <w:r w:rsidR="006D207D">
        <w:t xml:space="preserve">, </w:t>
      </w:r>
      <w:r w:rsidR="00367100">
        <w:t>electricity generation</w:t>
      </w:r>
      <w:r w:rsidR="00C1250F">
        <w:t>, hydrogen production</w:t>
      </w:r>
      <w:r w:rsidR="00367100">
        <w:t xml:space="preserve"> and </w:t>
      </w:r>
      <w:r w:rsidR="006C2AA1">
        <w:t xml:space="preserve">in </w:t>
      </w:r>
      <w:r>
        <w:t xml:space="preserve">heating buildings and </w:t>
      </w:r>
      <w:r w:rsidR="00B278CF">
        <w:t xml:space="preserve">also </w:t>
      </w:r>
      <w:r>
        <w:t>transport</w:t>
      </w:r>
      <w:r w:rsidR="00B278CF">
        <w:t xml:space="preserve"> (</w:t>
      </w:r>
      <w:r w:rsidR="007F281F">
        <w:t>primarily aviation</w:t>
      </w:r>
      <w:r w:rsidR="00B278CF">
        <w:t>)</w:t>
      </w:r>
      <w:r>
        <w:t>.</w:t>
      </w:r>
      <w:r w:rsidR="007F281F" w:rsidRPr="007F281F">
        <w:t xml:space="preserve"> </w:t>
      </w:r>
      <w:r w:rsidR="008819C2">
        <w:t xml:space="preserve">There are considerable uncertainties </w:t>
      </w:r>
      <w:r w:rsidR="00CB16ED">
        <w:t>around</w:t>
      </w:r>
      <w:r w:rsidR="008819C2">
        <w:t xml:space="preserve"> the development and costs of </w:t>
      </w:r>
      <w:r w:rsidR="004549F6">
        <w:t>biomass to 2050 (including domestic production and availability of imports)</w:t>
      </w:r>
      <w:r w:rsidR="00654A19">
        <w:t>.</w:t>
      </w:r>
      <w:r w:rsidR="008819C2">
        <w:t xml:space="preserve"> </w:t>
      </w:r>
      <w:r w:rsidR="00CB16ED">
        <w:t>H</w:t>
      </w:r>
      <w:r w:rsidR="008819C2">
        <w:t>ence</w:t>
      </w:r>
      <w:r w:rsidR="00CB16ED">
        <w:t>, the model</w:t>
      </w:r>
      <w:r w:rsidR="008819C2">
        <w:t xml:space="preserve"> may be over-reliant on bio</w:t>
      </w:r>
      <w:r w:rsidR="00EB32B0">
        <w:t>mass</w:t>
      </w:r>
      <w:r w:rsidR="008819C2">
        <w:t xml:space="preserve"> to meet emissions constraint</w:t>
      </w:r>
      <w:r w:rsidR="00060C2F">
        <w:t>s</w:t>
      </w:r>
      <w:r w:rsidR="00EB32B0">
        <w:t xml:space="preserve">. </w:t>
      </w:r>
    </w:p>
    <w:p w14:paraId="52636569" w14:textId="2659AB4B" w:rsidR="00A9256B" w:rsidRDefault="000012EA" w:rsidP="009229B3">
      <w:pPr>
        <w:pStyle w:val="Numberedparagraphs"/>
      </w:pPr>
      <w:r>
        <w:t xml:space="preserve">The modelling indicates that there is a potential residual </w:t>
      </w:r>
      <w:r w:rsidRPr="00603B06">
        <w:rPr>
          <w:b/>
        </w:rPr>
        <w:t>role for fossil fuels</w:t>
      </w:r>
      <w:r>
        <w:t xml:space="preserve"> even in 2050, albeit much reduced. The share </w:t>
      </w:r>
      <w:r w:rsidR="00CB16ED">
        <w:t>of</w:t>
      </w:r>
      <w:r>
        <w:t xml:space="preserve"> fossil fuel products</w:t>
      </w:r>
      <w:r w:rsidR="009945C2">
        <w:t xml:space="preserve"> </w:t>
      </w:r>
      <w:r>
        <w:t xml:space="preserve">in final energy consumptions is expected to reduce from </w:t>
      </w:r>
      <w:r w:rsidR="003F5612">
        <w:t xml:space="preserve">around </w:t>
      </w:r>
      <w:r w:rsidR="00C77164">
        <w:t>80</w:t>
      </w:r>
      <w:r>
        <w:t xml:space="preserve">% today to </w:t>
      </w:r>
      <w:r w:rsidR="00C77164">
        <w:t>less than 20</w:t>
      </w:r>
      <w:r>
        <w:t>% in 2050</w:t>
      </w:r>
      <w:r w:rsidR="0064632C">
        <w:t xml:space="preserve"> and is only prevalent in the hardest to abate sectors of the economy</w:t>
      </w:r>
      <w:r>
        <w:t xml:space="preserve">. </w:t>
      </w:r>
      <w:r w:rsidR="00E9548D">
        <w:t>Residual o</w:t>
      </w:r>
      <w:r w:rsidR="00C33D41">
        <w:t>il</w:t>
      </w:r>
      <w:r w:rsidR="00E9548D">
        <w:t>/</w:t>
      </w:r>
      <w:r w:rsidR="00C33D41">
        <w:t xml:space="preserve">petroleum use </w:t>
      </w:r>
      <w:r w:rsidR="00E9548D">
        <w:t xml:space="preserve">is primarily in the aviation sector, </w:t>
      </w:r>
      <w:r w:rsidR="00173568">
        <w:t>whil</w:t>
      </w:r>
      <w:r w:rsidR="00654A19">
        <w:t>e</w:t>
      </w:r>
      <w:r w:rsidR="00173568">
        <w:t xml:space="preserve"> natural gas use is limited to CCS enabled technologies (e.g</w:t>
      </w:r>
      <w:r w:rsidR="00FC67A7">
        <w:t>.</w:t>
      </w:r>
      <w:r w:rsidR="008A1722">
        <w:t xml:space="preserve"> </w:t>
      </w:r>
      <w:r w:rsidR="0061781C">
        <w:t>production of hydrogen</w:t>
      </w:r>
      <w:r w:rsidR="00A15CA3">
        <w:t xml:space="preserve"> and </w:t>
      </w:r>
      <w:r w:rsidR="00173568">
        <w:t xml:space="preserve">combustion for </w:t>
      </w:r>
      <w:r w:rsidR="00A15CA3">
        <w:t>electricity</w:t>
      </w:r>
      <w:r w:rsidR="00173568">
        <w:t xml:space="preserve"> generation).</w:t>
      </w:r>
    </w:p>
    <w:p w14:paraId="4EE12359" w14:textId="77777777" w:rsidR="00D337EE" w:rsidRDefault="00D23061" w:rsidP="009229B3">
      <w:pPr>
        <w:pStyle w:val="Numberedparagraphs"/>
      </w:pPr>
      <w:r>
        <w:t xml:space="preserve">Table </w:t>
      </w:r>
      <w:r w:rsidR="00644E6A">
        <w:t>7</w:t>
      </w:r>
      <w:r w:rsidR="00436549">
        <w:t xml:space="preserve"> summarises </w:t>
      </w:r>
      <w:r w:rsidR="0024257A">
        <w:t>the</w:t>
      </w:r>
      <w:r w:rsidR="00436549">
        <w:t xml:space="preserve"> main </w:t>
      </w:r>
      <w:r w:rsidR="00037541">
        <w:t xml:space="preserve">abatement </w:t>
      </w:r>
      <w:r w:rsidR="00436549">
        <w:t xml:space="preserve">technology options identified as likely to be important </w:t>
      </w:r>
      <w:r w:rsidR="00001123">
        <w:t xml:space="preserve">in </w:t>
      </w:r>
      <w:r w:rsidR="00436549">
        <w:t xml:space="preserve">the modelled 2050 least-cost technology mixes </w:t>
      </w:r>
      <w:r w:rsidR="00037541">
        <w:t>by sector</w:t>
      </w:r>
      <w:r w:rsidR="00D71D25">
        <w:t>.</w:t>
      </w:r>
      <w:r w:rsidR="00E87FA1">
        <w:t xml:space="preserve"> </w:t>
      </w:r>
      <w:r w:rsidR="00A9045E">
        <w:t>As more information becomes available</w:t>
      </w:r>
      <w:r>
        <w:t xml:space="preserve"> and</w:t>
      </w:r>
      <w:r w:rsidR="00A9045E">
        <w:t xml:space="preserve"> understanding of possible technologies </w:t>
      </w:r>
      <w:r w:rsidR="001B5424">
        <w:t>and consumer preferences</w:t>
      </w:r>
      <w:r w:rsidR="00A9045E">
        <w:t xml:space="preserve"> develops over time, uncertainty over the cost-effective path and technology mix for net zero </w:t>
      </w:r>
      <w:r w:rsidR="00F13D43">
        <w:t xml:space="preserve">will reduce. </w:t>
      </w:r>
    </w:p>
    <w:p w14:paraId="1B9CBA47" w14:textId="77777777" w:rsidR="00D337EE" w:rsidRDefault="00D337EE" w:rsidP="009229B3">
      <w:pPr>
        <w:pStyle w:val="Numberedparagraphs"/>
        <w:numPr>
          <w:ilvl w:val="0"/>
          <w:numId w:val="0"/>
        </w:numPr>
        <w:ind w:left="720"/>
      </w:pPr>
    </w:p>
    <w:p w14:paraId="134908D4" w14:textId="77777777" w:rsidR="00D337EE" w:rsidRDefault="00D337EE" w:rsidP="009229B3">
      <w:pPr>
        <w:pStyle w:val="Numberedparagraphs"/>
        <w:numPr>
          <w:ilvl w:val="0"/>
          <w:numId w:val="0"/>
        </w:numPr>
        <w:ind w:left="720"/>
      </w:pPr>
    </w:p>
    <w:p w14:paraId="1ACC99A8" w14:textId="77777777" w:rsidR="00D337EE" w:rsidRDefault="00D337EE" w:rsidP="009229B3">
      <w:pPr>
        <w:pStyle w:val="Numberedparagraphs"/>
        <w:numPr>
          <w:ilvl w:val="0"/>
          <w:numId w:val="0"/>
        </w:numPr>
        <w:ind w:left="720"/>
      </w:pPr>
    </w:p>
    <w:p w14:paraId="56964412" w14:textId="77777777" w:rsidR="00D337EE" w:rsidRDefault="00D337EE" w:rsidP="009229B3">
      <w:pPr>
        <w:pStyle w:val="Numberedparagraphs"/>
        <w:numPr>
          <w:ilvl w:val="0"/>
          <w:numId w:val="0"/>
        </w:numPr>
        <w:ind w:left="720"/>
      </w:pPr>
    </w:p>
    <w:p w14:paraId="65B5E68C" w14:textId="77777777" w:rsidR="00D337EE" w:rsidRDefault="00D337EE" w:rsidP="009229B3">
      <w:pPr>
        <w:pStyle w:val="Numberedparagraphs"/>
        <w:numPr>
          <w:ilvl w:val="0"/>
          <w:numId w:val="0"/>
        </w:numPr>
        <w:ind w:left="720"/>
      </w:pPr>
    </w:p>
    <w:p w14:paraId="404F133F" w14:textId="77777777" w:rsidR="00D337EE" w:rsidRDefault="00D337EE" w:rsidP="009229B3">
      <w:pPr>
        <w:pStyle w:val="Numberedparagraphs"/>
        <w:numPr>
          <w:ilvl w:val="0"/>
          <w:numId w:val="0"/>
        </w:numPr>
        <w:ind w:left="720"/>
      </w:pPr>
    </w:p>
    <w:p w14:paraId="4CBF453A" w14:textId="77777777" w:rsidR="00D337EE" w:rsidRDefault="00D337EE" w:rsidP="009229B3">
      <w:pPr>
        <w:pStyle w:val="Numberedparagraphs"/>
        <w:numPr>
          <w:ilvl w:val="0"/>
          <w:numId w:val="0"/>
        </w:numPr>
        <w:ind w:left="720"/>
      </w:pPr>
    </w:p>
    <w:p w14:paraId="16669949" w14:textId="77777777" w:rsidR="00D337EE" w:rsidRDefault="00D337EE" w:rsidP="009229B3">
      <w:pPr>
        <w:pStyle w:val="Numberedparagraphs"/>
        <w:numPr>
          <w:ilvl w:val="0"/>
          <w:numId w:val="0"/>
        </w:numPr>
        <w:ind w:left="720"/>
      </w:pPr>
    </w:p>
    <w:p w14:paraId="74E27940" w14:textId="77777777" w:rsidR="00D337EE" w:rsidRDefault="00D337EE" w:rsidP="009229B3">
      <w:pPr>
        <w:pStyle w:val="Numberedparagraphs"/>
        <w:numPr>
          <w:ilvl w:val="0"/>
          <w:numId w:val="0"/>
        </w:numPr>
        <w:ind w:left="720"/>
      </w:pPr>
    </w:p>
    <w:p w14:paraId="0A482DE5" w14:textId="77777777" w:rsidR="00D337EE" w:rsidRDefault="00D337EE" w:rsidP="009229B3">
      <w:pPr>
        <w:pStyle w:val="Numberedparagraphs"/>
        <w:numPr>
          <w:ilvl w:val="0"/>
          <w:numId w:val="0"/>
        </w:numPr>
        <w:ind w:left="720"/>
      </w:pPr>
    </w:p>
    <w:p w14:paraId="19B06E5F" w14:textId="3C6F09E0" w:rsidR="006B3189" w:rsidRPr="00DE484D" w:rsidRDefault="00544702" w:rsidP="00DE484D">
      <w:pPr>
        <w:spacing w:after="160"/>
        <w:rPr>
          <w:i/>
        </w:rPr>
      </w:pPr>
      <w:r w:rsidRPr="006A0C4B">
        <w:rPr>
          <w:i/>
        </w:rPr>
        <w:lastRenderedPageBreak/>
        <w:t xml:space="preserve">Table </w:t>
      </w:r>
      <w:r w:rsidR="00644E6A">
        <w:rPr>
          <w:i/>
          <w:iCs/>
        </w:rPr>
        <w:t>7</w:t>
      </w:r>
      <w:r w:rsidR="005B1674">
        <w:rPr>
          <w:rStyle w:val="CommentReference"/>
          <w:rFonts w:asciiTheme="minorHAnsi" w:eastAsiaTheme="minorHAnsi" w:hAnsiTheme="minorHAnsi" w:cstheme="minorBidi"/>
          <w:i/>
          <w:iCs/>
        </w:rPr>
        <w:t>:</w:t>
      </w:r>
      <w:r w:rsidR="00F76DF6">
        <w:rPr>
          <w:rStyle w:val="CommentReference"/>
          <w:rFonts w:asciiTheme="minorHAnsi" w:eastAsiaTheme="minorHAnsi" w:hAnsiTheme="minorHAnsi" w:cstheme="minorBidi"/>
          <w:i/>
          <w:iCs/>
        </w:rPr>
        <w:t xml:space="preserve"> </w:t>
      </w:r>
      <w:r w:rsidR="00E50C17">
        <w:rPr>
          <w:i/>
        </w:rPr>
        <w:t>Illustrative summary of en</w:t>
      </w:r>
      <w:r w:rsidR="00C409D0" w:rsidRPr="006A0C4B">
        <w:rPr>
          <w:i/>
        </w:rPr>
        <w:t xml:space="preserve">d-use sector technologies and their deployment </w:t>
      </w:r>
      <w:r w:rsidR="008C1936" w:rsidRPr="006A0C4B">
        <w:rPr>
          <w:i/>
        </w:rPr>
        <w:t xml:space="preserve">requirements in 2050 (based </w:t>
      </w:r>
      <w:r w:rsidR="00D23061">
        <w:rPr>
          <w:i/>
        </w:rPr>
        <w:t>on</w:t>
      </w:r>
      <w:r w:rsidR="008C1936" w:rsidRPr="006A0C4B">
        <w:rPr>
          <w:i/>
        </w:rPr>
        <w:t xml:space="preserve"> Option 3)</w:t>
      </w:r>
    </w:p>
    <w:tbl>
      <w:tblPr>
        <w:tblStyle w:val="TableGrid"/>
        <w:tblW w:w="10201" w:type="dxa"/>
        <w:tblLayout w:type="fixed"/>
        <w:tblLook w:val="0420" w:firstRow="1" w:lastRow="0" w:firstColumn="0" w:lastColumn="0" w:noHBand="0" w:noVBand="1"/>
      </w:tblPr>
      <w:tblGrid>
        <w:gridCol w:w="1695"/>
        <w:gridCol w:w="4254"/>
        <w:gridCol w:w="1134"/>
        <w:gridCol w:w="3112"/>
        <w:gridCol w:w="6"/>
      </w:tblGrid>
      <w:tr w:rsidR="0059255F" w:rsidRPr="0031366C" w14:paraId="571EE449" w14:textId="1C673D7B" w:rsidTr="00522725">
        <w:trPr>
          <w:gridAfter w:val="1"/>
          <w:wAfter w:w="6" w:type="dxa"/>
          <w:trHeight w:val="838"/>
        </w:trPr>
        <w:tc>
          <w:tcPr>
            <w:tcW w:w="1695" w:type="dxa"/>
            <w:vAlign w:val="center"/>
            <w:hideMark/>
          </w:tcPr>
          <w:p w14:paraId="3503613F" w14:textId="77777777" w:rsidR="0059255F" w:rsidRPr="006A0C4B" w:rsidRDefault="0059255F" w:rsidP="00603B06">
            <w:pPr>
              <w:rPr>
                <w:rFonts w:cs="Arial"/>
                <w:sz w:val="22"/>
                <w:szCs w:val="22"/>
              </w:rPr>
            </w:pPr>
          </w:p>
        </w:tc>
        <w:tc>
          <w:tcPr>
            <w:tcW w:w="4254" w:type="dxa"/>
            <w:hideMark/>
          </w:tcPr>
          <w:p w14:paraId="5DB684BA" w14:textId="708D42BF" w:rsidR="0059255F" w:rsidRPr="008629DC" w:rsidRDefault="0059255F" w:rsidP="00861D79">
            <w:pPr>
              <w:rPr>
                <w:rFonts w:cs="Arial"/>
                <w:b/>
                <w:sz w:val="22"/>
                <w:szCs w:val="22"/>
              </w:rPr>
            </w:pPr>
            <w:r w:rsidRPr="008629DC">
              <w:rPr>
                <w:rFonts w:cs="Arial"/>
                <w:b/>
                <w:sz w:val="22"/>
                <w:szCs w:val="22"/>
              </w:rPr>
              <w:t>Key abatement technologies</w:t>
            </w:r>
          </w:p>
        </w:tc>
        <w:tc>
          <w:tcPr>
            <w:tcW w:w="1134" w:type="dxa"/>
          </w:tcPr>
          <w:p w14:paraId="78C3F84A" w14:textId="24740B20" w:rsidR="0059255F" w:rsidRPr="008629DC" w:rsidRDefault="008B68A1" w:rsidP="00660B41">
            <w:pPr>
              <w:jc w:val="right"/>
              <w:rPr>
                <w:rFonts w:cs="Arial"/>
                <w:b/>
                <w:sz w:val="22"/>
                <w:szCs w:val="22"/>
              </w:rPr>
            </w:pPr>
            <w:r w:rsidRPr="008629DC">
              <w:rPr>
                <w:rFonts w:cs="Arial"/>
                <w:b/>
                <w:sz w:val="22"/>
                <w:szCs w:val="22"/>
              </w:rPr>
              <w:t>Current</w:t>
            </w:r>
          </w:p>
        </w:tc>
        <w:tc>
          <w:tcPr>
            <w:tcW w:w="3112" w:type="dxa"/>
          </w:tcPr>
          <w:p w14:paraId="49A7E825" w14:textId="77777777" w:rsidR="00554FCA" w:rsidRPr="008629DC" w:rsidRDefault="0059255F" w:rsidP="005322C6">
            <w:pPr>
              <w:rPr>
                <w:rFonts w:cs="Arial"/>
                <w:b/>
                <w:sz w:val="22"/>
                <w:szCs w:val="22"/>
              </w:rPr>
            </w:pPr>
            <w:r w:rsidRPr="008629DC">
              <w:rPr>
                <w:rFonts w:cs="Arial"/>
                <w:b/>
                <w:sz w:val="22"/>
                <w:szCs w:val="22"/>
              </w:rPr>
              <w:t xml:space="preserve">2050 </w:t>
            </w:r>
          </w:p>
          <w:p w14:paraId="05F5E8FF" w14:textId="77777777" w:rsidR="00E50C17" w:rsidRPr="008629DC" w:rsidRDefault="00E50C17" w:rsidP="005322C6">
            <w:pPr>
              <w:rPr>
                <w:rFonts w:cs="Arial"/>
                <w:b/>
                <w:sz w:val="22"/>
                <w:szCs w:val="22"/>
              </w:rPr>
            </w:pPr>
            <w:r w:rsidRPr="008629DC">
              <w:rPr>
                <w:rFonts w:cs="Arial"/>
                <w:b/>
                <w:sz w:val="22"/>
                <w:szCs w:val="22"/>
              </w:rPr>
              <w:t xml:space="preserve">illustrative range based on modelled pathways </w:t>
            </w:r>
          </w:p>
          <w:p w14:paraId="3FAE54AD" w14:textId="1296D2DC" w:rsidR="0059255F" w:rsidRPr="009E507D" w:rsidRDefault="008B68A1" w:rsidP="005322C6">
            <w:pPr>
              <w:rPr>
                <w:rFonts w:ascii="Times New Roman" w:hAnsi="Times New Roman" w:cs="Times New Roman"/>
                <w:b/>
              </w:rPr>
            </w:pPr>
            <w:r w:rsidRPr="008629DC">
              <w:rPr>
                <w:rFonts w:cs="Arial"/>
                <w:b/>
                <w:sz w:val="22"/>
                <w:szCs w:val="22"/>
              </w:rPr>
              <w:t>(Net Zero)</w:t>
            </w:r>
            <w:r w:rsidR="00E50C17" w:rsidRPr="00D47F8C">
              <w:rPr>
                <w:rStyle w:val="FootnoteReference"/>
                <w:b/>
              </w:rPr>
              <w:footnoteReference w:id="37"/>
            </w:r>
            <w:r w:rsidR="00E50C17" w:rsidRPr="008629DC">
              <w:rPr>
                <w:rFonts w:cs="Arial"/>
                <w:b/>
                <w:sz w:val="22"/>
                <w:szCs w:val="22"/>
              </w:rPr>
              <w:t xml:space="preserve"> </w:t>
            </w:r>
          </w:p>
        </w:tc>
      </w:tr>
      <w:tr w:rsidR="0059255F" w:rsidRPr="0031366C" w14:paraId="2151633C" w14:textId="40F38527" w:rsidTr="00522725">
        <w:trPr>
          <w:gridAfter w:val="1"/>
          <w:wAfter w:w="6" w:type="dxa"/>
          <w:trHeight w:val="527"/>
        </w:trPr>
        <w:tc>
          <w:tcPr>
            <w:tcW w:w="1695" w:type="dxa"/>
            <w:vAlign w:val="center"/>
            <w:hideMark/>
          </w:tcPr>
          <w:p w14:paraId="5728AA1F" w14:textId="1EA47489" w:rsidR="0059255F" w:rsidRPr="008629DC" w:rsidRDefault="0059255F" w:rsidP="00603B06">
            <w:pPr>
              <w:rPr>
                <w:rFonts w:cs="Arial"/>
                <w:b/>
                <w:sz w:val="22"/>
                <w:szCs w:val="22"/>
              </w:rPr>
            </w:pPr>
            <w:r w:rsidRPr="008629DC">
              <w:rPr>
                <w:rFonts w:cs="Arial"/>
                <w:b/>
                <w:sz w:val="22"/>
                <w:szCs w:val="22"/>
              </w:rPr>
              <w:t xml:space="preserve">Surface transport </w:t>
            </w:r>
          </w:p>
        </w:tc>
        <w:tc>
          <w:tcPr>
            <w:tcW w:w="4254" w:type="dxa"/>
            <w:hideMark/>
          </w:tcPr>
          <w:p w14:paraId="19EC784A" w14:textId="725A32D1" w:rsidR="0059255F" w:rsidRPr="006A0C4B" w:rsidRDefault="0059255F" w:rsidP="00136C49">
            <w:pPr>
              <w:rPr>
                <w:rFonts w:cs="Arial"/>
                <w:sz w:val="22"/>
                <w:szCs w:val="22"/>
              </w:rPr>
            </w:pPr>
            <w:r w:rsidRPr="006A0C4B">
              <w:rPr>
                <w:rFonts w:cs="Arial"/>
                <w:sz w:val="22"/>
                <w:szCs w:val="22"/>
              </w:rPr>
              <w:t xml:space="preserve">Electric cars and vans </w:t>
            </w:r>
            <w:r w:rsidR="008B68A1" w:rsidRPr="006A0C4B">
              <w:rPr>
                <w:rFonts w:cs="Arial"/>
                <w:sz w:val="22"/>
                <w:szCs w:val="22"/>
              </w:rPr>
              <w:t>(</w:t>
            </w:r>
            <w:r w:rsidR="004D5EF9" w:rsidRPr="006A0C4B">
              <w:rPr>
                <w:rFonts w:cs="Arial"/>
                <w:sz w:val="22"/>
                <w:szCs w:val="22"/>
              </w:rPr>
              <w:t>millions</w:t>
            </w:r>
            <w:r w:rsidR="008B68A1" w:rsidRPr="006A0C4B">
              <w:rPr>
                <w:rFonts w:cs="Arial"/>
                <w:sz w:val="22"/>
                <w:szCs w:val="22"/>
              </w:rPr>
              <w:t>)</w:t>
            </w:r>
          </w:p>
          <w:p w14:paraId="331D4703" w14:textId="095C6CB2" w:rsidR="0059255F" w:rsidRPr="006A0C4B" w:rsidRDefault="007D32A7" w:rsidP="00603B06">
            <w:pPr>
              <w:rPr>
                <w:rFonts w:cs="Arial"/>
                <w:sz w:val="22"/>
                <w:szCs w:val="22"/>
              </w:rPr>
            </w:pPr>
            <w:r w:rsidRPr="006A0C4B">
              <w:rPr>
                <w:rFonts w:cs="Arial"/>
                <w:sz w:val="22"/>
                <w:szCs w:val="22"/>
              </w:rPr>
              <w:t xml:space="preserve">Zero Emission </w:t>
            </w:r>
            <w:r w:rsidR="00900BE4" w:rsidRPr="006A0C4B">
              <w:rPr>
                <w:rFonts w:cs="Arial"/>
                <w:sz w:val="22"/>
                <w:szCs w:val="22"/>
              </w:rPr>
              <w:t xml:space="preserve">HGVs </w:t>
            </w:r>
            <w:r w:rsidR="008B68A1" w:rsidRPr="006A0C4B">
              <w:rPr>
                <w:rFonts w:cs="Arial"/>
                <w:sz w:val="22"/>
                <w:szCs w:val="22"/>
              </w:rPr>
              <w:t>(</w:t>
            </w:r>
            <w:r w:rsidR="00900BE4" w:rsidRPr="006A0C4B">
              <w:rPr>
                <w:rFonts w:cs="Arial"/>
                <w:sz w:val="22"/>
                <w:szCs w:val="22"/>
              </w:rPr>
              <w:t>share</w:t>
            </w:r>
            <w:r w:rsidR="00703086" w:rsidRPr="006A0C4B">
              <w:rPr>
                <w:rFonts w:cs="Arial"/>
                <w:sz w:val="22"/>
                <w:szCs w:val="22"/>
              </w:rPr>
              <w:t xml:space="preserve"> of fuel %</w:t>
            </w:r>
            <w:r w:rsidR="008B68A1" w:rsidRPr="006A0C4B">
              <w:rPr>
                <w:rFonts w:cs="Arial"/>
                <w:sz w:val="22"/>
                <w:szCs w:val="22"/>
              </w:rPr>
              <w:t>)</w:t>
            </w:r>
          </w:p>
          <w:p w14:paraId="4E134CCA" w14:textId="60B4FA20" w:rsidR="0059255F" w:rsidRPr="006A0C4B" w:rsidRDefault="0059255F" w:rsidP="00BB13DC">
            <w:pPr>
              <w:jc w:val="center"/>
              <w:rPr>
                <w:rFonts w:cs="Arial"/>
                <w:sz w:val="22"/>
                <w:szCs w:val="22"/>
              </w:rPr>
            </w:pPr>
          </w:p>
        </w:tc>
        <w:tc>
          <w:tcPr>
            <w:tcW w:w="1134" w:type="dxa"/>
          </w:tcPr>
          <w:p w14:paraId="3DC2ABCC" w14:textId="39C2AA60" w:rsidR="0059255F" w:rsidRPr="006A0C4B" w:rsidRDefault="004D5EF9" w:rsidP="00660B41">
            <w:pPr>
              <w:jc w:val="right"/>
              <w:rPr>
                <w:rFonts w:cs="Arial"/>
                <w:sz w:val="22"/>
                <w:szCs w:val="22"/>
              </w:rPr>
            </w:pPr>
            <w:r w:rsidRPr="006A0C4B">
              <w:rPr>
                <w:rFonts w:cs="Arial"/>
                <w:sz w:val="22"/>
                <w:szCs w:val="22"/>
              </w:rPr>
              <w:t>0.</w:t>
            </w:r>
            <w:r w:rsidR="004662B8" w:rsidRPr="006A0C4B">
              <w:rPr>
                <w:rFonts w:cs="Arial"/>
                <w:sz w:val="22"/>
                <w:szCs w:val="22"/>
              </w:rPr>
              <w:t>2</w:t>
            </w:r>
          </w:p>
        </w:tc>
        <w:tc>
          <w:tcPr>
            <w:tcW w:w="3112" w:type="dxa"/>
          </w:tcPr>
          <w:p w14:paraId="59480208" w14:textId="5545EEE7" w:rsidR="0059255F" w:rsidRPr="006A0C4B" w:rsidRDefault="00CF7966" w:rsidP="00660B41">
            <w:pPr>
              <w:jc w:val="right"/>
              <w:rPr>
                <w:rFonts w:cs="Arial"/>
                <w:sz w:val="22"/>
                <w:szCs w:val="22"/>
              </w:rPr>
            </w:pPr>
            <w:r w:rsidRPr="006A0C4B">
              <w:rPr>
                <w:rFonts w:cs="Arial"/>
                <w:sz w:val="22"/>
                <w:szCs w:val="22"/>
              </w:rPr>
              <w:t>45-</w:t>
            </w:r>
            <w:r w:rsidR="00EC0FFA" w:rsidRPr="006A0C4B">
              <w:rPr>
                <w:rFonts w:cs="Arial"/>
                <w:sz w:val="22"/>
                <w:szCs w:val="22"/>
              </w:rPr>
              <w:t>50</w:t>
            </w:r>
            <w:r w:rsidR="00703086" w:rsidRPr="006A0C4B">
              <w:rPr>
                <w:rFonts w:cs="Arial"/>
                <w:sz w:val="22"/>
                <w:szCs w:val="22"/>
              </w:rPr>
              <w:br/>
            </w:r>
            <w:r w:rsidR="00533A92" w:rsidRPr="006A0C4B">
              <w:rPr>
                <w:rFonts w:cs="Arial"/>
                <w:sz w:val="22"/>
                <w:szCs w:val="22"/>
              </w:rPr>
              <w:t>91-100</w:t>
            </w:r>
          </w:p>
        </w:tc>
      </w:tr>
      <w:tr w:rsidR="0059255F" w:rsidRPr="0031366C" w14:paraId="7BC09BE0" w14:textId="3EB4C801" w:rsidTr="00522725">
        <w:trPr>
          <w:gridAfter w:val="1"/>
          <w:wAfter w:w="6" w:type="dxa"/>
          <w:trHeight w:val="278"/>
        </w:trPr>
        <w:tc>
          <w:tcPr>
            <w:tcW w:w="1695" w:type="dxa"/>
            <w:vAlign w:val="center"/>
            <w:hideMark/>
          </w:tcPr>
          <w:p w14:paraId="4A58B0BD" w14:textId="3ED1ED32" w:rsidR="0059255F" w:rsidRPr="008629DC" w:rsidRDefault="0059255F" w:rsidP="00603B06">
            <w:pPr>
              <w:rPr>
                <w:rFonts w:cs="Arial"/>
                <w:b/>
                <w:sz w:val="22"/>
                <w:szCs w:val="22"/>
              </w:rPr>
            </w:pPr>
            <w:r w:rsidRPr="008629DC">
              <w:rPr>
                <w:rFonts w:cs="Arial"/>
                <w:b/>
                <w:sz w:val="22"/>
                <w:szCs w:val="22"/>
              </w:rPr>
              <w:t>Industry</w:t>
            </w:r>
          </w:p>
        </w:tc>
        <w:tc>
          <w:tcPr>
            <w:tcW w:w="4254" w:type="dxa"/>
            <w:hideMark/>
          </w:tcPr>
          <w:p w14:paraId="4781287D" w14:textId="02E2D822" w:rsidR="0059255F" w:rsidRPr="006A0C4B" w:rsidRDefault="00A4545E" w:rsidP="006A0C4B">
            <w:pPr>
              <w:rPr>
                <w:rFonts w:cs="Arial"/>
                <w:sz w:val="22"/>
                <w:szCs w:val="22"/>
              </w:rPr>
            </w:pPr>
            <w:r w:rsidRPr="006A0C4B">
              <w:rPr>
                <w:rFonts w:cs="Arial"/>
                <w:sz w:val="22"/>
                <w:szCs w:val="22"/>
              </w:rPr>
              <w:t>Carbon</w:t>
            </w:r>
            <w:r w:rsidR="00535C21" w:rsidRPr="006A0C4B">
              <w:rPr>
                <w:rFonts w:cs="Arial"/>
                <w:sz w:val="22"/>
                <w:szCs w:val="22"/>
              </w:rPr>
              <w:t xml:space="preserve"> capture and use (Mt)</w:t>
            </w:r>
            <w:r w:rsidR="00535C21" w:rsidRPr="006A0C4B">
              <w:rPr>
                <w:rFonts w:cs="Arial"/>
                <w:sz w:val="22"/>
                <w:szCs w:val="22"/>
              </w:rPr>
              <w:br/>
              <w:t>Sustainable fuels (% of final energy use)</w:t>
            </w:r>
          </w:p>
        </w:tc>
        <w:tc>
          <w:tcPr>
            <w:tcW w:w="1134" w:type="dxa"/>
          </w:tcPr>
          <w:p w14:paraId="671473AF" w14:textId="68E9B24B" w:rsidR="00C73352" w:rsidRPr="006A0C4B" w:rsidRDefault="003C4C18" w:rsidP="00660B41">
            <w:pPr>
              <w:jc w:val="right"/>
              <w:rPr>
                <w:rFonts w:cs="Arial"/>
                <w:sz w:val="22"/>
                <w:szCs w:val="22"/>
              </w:rPr>
            </w:pPr>
            <w:r>
              <w:rPr>
                <w:rFonts w:cs="Arial"/>
                <w:sz w:val="22"/>
                <w:szCs w:val="22"/>
              </w:rPr>
              <w:t>0</w:t>
            </w:r>
          </w:p>
          <w:p w14:paraId="40957A62" w14:textId="538A4360" w:rsidR="0059255F" w:rsidRPr="006A0C4B" w:rsidRDefault="00C73352" w:rsidP="00660B41">
            <w:pPr>
              <w:jc w:val="right"/>
              <w:rPr>
                <w:rFonts w:cs="Arial"/>
                <w:sz w:val="22"/>
                <w:szCs w:val="22"/>
              </w:rPr>
            </w:pPr>
            <w:r w:rsidRPr="006A0C4B">
              <w:rPr>
                <w:rFonts w:cs="Arial"/>
                <w:sz w:val="22"/>
                <w:szCs w:val="22"/>
              </w:rPr>
              <w:t>30</w:t>
            </w:r>
          </w:p>
        </w:tc>
        <w:tc>
          <w:tcPr>
            <w:tcW w:w="3112" w:type="dxa"/>
          </w:tcPr>
          <w:p w14:paraId="2AC1F42C" w14:textId="77777777" w:rsidR="0038630E" w:rsidRPr="006A0C4B" w:rsidRDefault="0038630E" w:rsidP="0038630E">
            <w:pPr>
              <w:jc w:val="right"/>
              <w:rPr>
                <w:rFonts w:cs="Arial"/>
                <w:sz w:val="22"/>
                <w:szCs w:val="22"/>
              </w:rPr>
            </w:pPr>
            <w:r w:rsidRPr="006A0C4B">
              <w:rPr>
                <w:rFonts w:cs="Arial"/>
                <w:sz w:val="22"/>
                <w:szCs w:val="22"/>
              </w:rPr>
              <w:t>6-12</w:t>
            </w:r>
          </w:p>
          <w:p w14:paraId="3869A189" w14:textId="30D547EA" w:rsidR="00CF7966" w:rsidRPr="006A0C4B" w:rsidRDefault="0038630E" w:rsidP="00660B41">
            <w:pPr>
              <w:jc w:val="right"/>
              <w:rPr>
                <w:rFonts w:cs="Arial"/>
                <w:sz w:val="22"/>
                <w:szCs w:val="22"/>
              </w:rPr>
            </w:pPr>
            <w:r w:rsidRPr="006A0C4B">
              <w:rPr>
                <w:rFonts w:cs="Arial"/>
                <w:sz w:val="22"/>
                <w:szCs w:val="22"/>
              </w:rPr>
              <w:t>7</w:t>
            </w:r>
            <w:r w:rsidR="00EA23C5" w:rsidRPr="006A0C4B">
              <w:rPr>
                <w:rFonts w:cs="Arial"/>
                <w:sz w:val="22"/>
                <w:szCs w:val="22"/>
              </w:rPr>
              <w:t>5</w:t>
            </w:r>
            <w:r w:rsidRPr="006A0C4B">
              <w:rPr>
                <w:rFonts w:cs="Arial"/>
                <w:sz w:val="22"/>
                <w:szCs w:val="22"/>
              </w:rPr>
              <w:t>-8</w:t>
            </w:r>
            <w:r w:rsidR="00EA23C5" w:rsidRPr="006A0C4B">
              <w:rPr>
                <w:rFonts w:cs="Arial"/>
                <w:sz w:val="22"/>
                <w:szCs w:val="22"/>
              </w:rPr>
              <w:t>5</w:t>
            </w:r>
          </w:p>
        </w:tc>
      </w:tr>
      <w:tr w:rsidR="0059255F" w:rsidRPr="0031366C" w14:paraId="2E096C99" w14:textId="68FA4291" w:rsidTr="00522725">
        <w:trPr>
          <w:gridAfter w:val="1"/>
          <w:wAfter w:w="6" w:type="dxa"/>
          <w:trHeight w:val="557"/>
        </w:trPr>
        <w:tc>
          <w:tcPr>
            <w:tcW w:w="1695" w:type="dxa"/>
            <w:vAlign w:val="center"/>
            <w:hideMark/>
          </w:tcPr>
          <w:p w14:paraId="391F17AE" w14:textId="16857ECB" w:rsidR="0059255F" w:rsidRPr="008629DC" w:rsidRDefault="0059255F" w:rsidP="00603B06">
            <w:pPr>
              <w:rPr>
                <w:rFonts w:cs="Arial"/>
                <w:b/>
                <w:sz w:val="22"/>
                <w:szCs w:val="22"/>
              </w:rPr>
            </w:pPr>
            <w:r w:rsidRPr="008629DC">
              <w:rPr>
                <w:rFonts w:cs="Arial"/>
                <w:b/>
                <w:sz w:val="22"/>
                <w:szCs w:val="22"/>
              </w:rPr>
              <w:t>Buildings</w:t>
            </w:r>
          </w:p>
        </w:tc>
        <w:tc>
          <w:tcPr>
            <w:tcW w:w="4254" w:type="dxa"/>
            <w:hideMark/>
          </w:tcPr>
          <w:p w14:paraId="7C532CBA" w14:textId="77777777" w:rsidR="00D631CE" w:rsidRDefault="001700A4" w:rsidP="001700A4">
            <w:pPr>
              <w:rPr>
                <w:rFonts w:cs="Arial"/>
                <w:sz w:val="22"/>
                <w:szCs w:val="22"/>
              </w:rPr>
            </w:pPr>
            <w:r w:rsidRPr="006A0C4B">
              <w:rPr>
                <w:rFonts w:cs="Arial"/>
                <w:sz w:val="22"/>
                <w:szCs w:val="22"/>
              </w:rPr>
              <w:t>Domestic</w:t>
            </w:r>
            <w:r w:rsidR="00554FCA" w:rsidRPr="006A0C4B">
              <w:rPr>
                <w:rFonts w:cs="Arial"/>
                <w:sz w:val="22"/>
                <w:szCs w:val="22"/>
              </w:rPr>
              <w:t>:</w:t>
            </w:r>
            <w:r w:rsidRPr="006A0C4B">
              <w:rPr>
                <w:rFonts w:cs="Arial"/>
                <w:sz w:val="22"/>
                <w:szCs w:val="22"/>
              </w:rPr>
              <w:t xml:space="preserve"> </w:t>
            </w:r>
          </w:p>
          <w:p w14:paraId="30981556" w14:textId="42B6DD43" w:rsidR="001700A4" w:rsidRPr="006A0C4B" w:rsidRDefault="001700A4" w:rsidP="001700A4">
            <w:pPr>
              <w:rPr>
                <w:rFonts w:cs="Arial"/>
                <w:sz w:val="22"/>
                <w:szCs w:val="22"/>
              </w:rPr>
            </w:pPr>
            <w:r w:rsidRPr="006A0C4B">
              <w:rPr>
                <w:rFonts w:cs="Arial"/>
                <w:sz w:val="22"/>
                <w:szCs w:val="22"/>
              </w:rPr>
              <w:t xml:space="preserve">low carbon </w:t>
            </w:r>
            <w:r w:rsidR="00340DE7" w:rsidRPr="00556E57">
              <w:rPr>
                <w:rFonts w:cs="Arial"/>
                <w:sz w:val="22"/>
                <w:szCs w:val="22"/>
              </w:rPr>
              <w:t>appliance</w:t>
            </w:r>
            <w:r w:rsidR="00FA04AD" w:rsidRPr="006A0C4B">
              <w:rPr>
                <w:rFonts w:cs="Arial"/>
                <w:sz w:val="22"/>
                <w:szCs w:val="22"/>
              </w:rPr>
              <w:t xml:space="preserve"> and district heat </w:t>
            </w:r>
            <w:r w:rsidRPr="006A0C4B">
              <w:rPr>
                <w:rFonts w:cs="Arial"/>
                <w:sz w:val="22"/>
                <w:szCs w:val="22"/>
              </w:rPr>
              <w:t>share of heat</w:t>
            </w:r>
            <w:r w:rsidR="00FA04AD" w:rsidRPr="006A0C4B">
              <w:rPr>
                <w:rFonts w:cs="Arial"/>
                <w:sz w:val="22"/>
                <w:szCs w:val="22"/>
              </w:rPr>
              <w:t xml:space="preserve"> supply</w:t>
            </w:r>
            <w:r w:rsidRPr="006A0C4B">
              <w:rPr>
                <w:rFonts w:cs="Arial"/>
                <w:sz w:val="22"/>
                <w:szCs w:val="22"/>
              </w:rPr>
              <w:t xml:space="preserve"> </w:t>
            </w:r>
            <w:r w:rsidR="00203F34" w:rsidRPr="006A0C4B">
              <w:rPr>
                <w:rFonts w:cs="Arial"/>
                <w:sz w:val="22"/>
                <w:szCs w:val="22"/>
              </w:rPr>
              <w:t>(%)</w:t>
            </w:r>
          </w:p>
          <w:p w14:paraId="14A419D4" w14:textId="3F240176" w:rsidR="0059255F" w:rsidRPr="006A0C4B" w:rsidRDefault="001700A4" w:rsidP="00603B06">
            <w:pPr>
              <w:rPr>
                <w:rFonts w:cs="Arial"/>
                <w:sz w:val="22"/>
                <w:szCs w:val="22"/>
              </w:rPr>
            </w:pPr>
            <w:r w:rsidRPr="006A0C4B">
              <w:rPr>
                <w:rFonts w:cs="Arial"/>
                <w:sz w:val="22"/>
                <w:szCs w:val="22"/>
              </w:rPr>
              <w:t>Non-domestic</w:t>
            </w:r>
            <w:r w:rsidR="00554FCA" w:rsidRPr="006A0C4B">
              <w:rPr>
                <w:rFonts w:cs="Arial"/>
                <w:sz w:val="22"/>
                <w:szCs w:val="22"/>
              </w:rPr>
              <w:t>:</w:t>
            </w:r>
            <w:r w:rsidRPr="006A0C4B">
              <w:rPr>
                <w:rFonts w:cs="Arial"/>
                <w:sz w:val="22"/>
                <w:szCs w:val="22"/>
              </w:rPr>
              <w:t xml:space="preserve"> low carbon </w:t>
            </w:r>
            <w:r w:rsidR="00FA04AD" w:rsidRPr="006A0C4B">
              <w:rPr>
                <w:rFonts w:cs="Arial"/>
                <w:sz w:val="22"/>
                <w:szCs w:val="22"/>
              </w:rPr>
              <w:t>appliance and district heat</w:t>
            </w:r>
            <w:r w:rsidRPr="006A0C4B">
              <w:rPr>
                <w:rFonts w:cs="Arial"/>
                <w:sz w:val="22"/>
                <w:szCs w:val="22"/>
              </w:rPr>
              <w:t xml:space="preserve"> share of heat</w:t>
            </w:r>
            <w:r w:rsidR="00FA04AD" w:rsidRPr="006A0C4B">
              <w:rPr>
                <w:rFonts w:cs="Arial"/>
                <w:sz w:val="22"/>
                <w:szCs w:val="22"/>
              </w:rPr>
              <w:t xml:space="preserve"> supply</w:t>
            </w:r>
            <w:r w:rsidR="00203F34" w:rsidRPr="006A0C4B">
              <w:rPr>
                <w:rFonts w:cs="Arial"/>
                <w:sz w:val="22"/>
                <w:szCs w:val="22"/>
              </w:rPr>
              <w:t xml:space="preserve"> (%)</w:t>
            </w:r>
          </w:p>
          <w:p w14:paraId="78DC3072" w14:textId="27C9F216" w:rsidR="004662B8" w:rsidRPr="006A0C4B" w:rsidRDefault="004662B8" w:rsidP="00603B06">
            <w:pPr>
              <w:rPr>
                <w:rFonts w:cs="Arial"/>
                <w:sz w:val="22"/>
                <w:szCs w:val="22"/>
              </w:rPr>
            </w:pPr>
          </w:p>
        </w:tc>
        <w:tc>
          <w:tcPr>
            <w:tcW w:w="1134" w:type="dxa"/>
          </w:tcPr>
          <w:p w14:paraId="612980A5" w14:textId="77777777" w:rsidR="00D631CE" w:rsidRDefault="00D631CE" w:rsidP="00660B41">
            <w:pPr>
              <w:jc w:val="right"/>
              <w:rPr>
                <w:rFonts w:cs="Arial"/>
                <w:sz w:val="22"/>
                <w:szCs w:val="22"/>
              </w:rPr>
            </w:pPr>
          </w:p>
          <w:p w14:paraId="66F63569" w14:textId="20883CCF" w:rsidR="00FA04AD" w:rsidRPr="006A0C4B" w:rsidRDefault="001B6E02" w:rsidP="00660B41">
            <w:pPr>
              <w:jc w:val="right"/>
              <w:rPr>
                <w:rFonts w:cs="Arial"/>
                <w:sz w:val="22"/>
                <w:szCs w:val="22"/>
              </w:rPr>
            </w:pPr>
            <w:r>
              <w:rPr>
                <w:rFonts w:cs="Arial"/>
                <w:sz w:val="22"/>
                <w:szCs w:val="22"/>
              </w:rPr>
              <w:t>10</w:t>
            </w:r>
          </w:p>
          <w:p w14:paraId="45C276E8" w14:textId="77777777" w:rsidR="004D5EF9" w:rsidRPr="006A0C4B" w:rsidRDefault="004D5EF9" w:rsidP="004D5EF9">
            <w:pPr>
              <w:jc w:val="right"/>
              <w:rPr>
                <w:rFonts w:cs="Arial"/>
                <w:sz w:val="22"/>
                <w:szCs w:val="22"/>
              </w:rPr>
            </w:pPr>
          </w:p>
          <w:p w14:paraId="29CEC652" w14:textId="1C74D0E1" w:rsidR="002D4F05" w:rsidRPr="006A0C4B" w:rsidRDefault="00CA1E4F" w:rsidP="00660B41">
            <w:pPr>
              <w:jc w:val="right"/>
              <w:rPr>
                <w:rFonts w:cs="Arial"/>
                <w:sz w:val="22"/>
                <w:szCs w:val="22"/>
              </w:rPr>
            </w:pPr>
            <w:r>
              <w:rPr>
                <w:rFonts w:cs="Arial"/>
                <w:sz w:val="22"/>
                <w:szCs w:val="22"/>
              </w:rPr>
              <w:t>1</w:t>
            </w:r>
            <w:r w:rsidR="001B6E02">
              <w:rPr>
                <w:rFonts w:cs="Arial"/>
                <w:sz w:val="22"/>
                <w:szCs w:val="22"/>
              </w:rPr>
              <w:t>4</w:t>
            </w:r>
            <w:r w:rsidR="00D23061">
              <w:rPr>
                <w:rFonts w:cs="Arial"/>
                <w:sz w:val="22"/>
                <w:szCs w:val="22"/>
              </w:rPr>
              <w:t xml:space="preserve">       </w:t>
            </w:r>
          </w:p>
        </w:tc>
        <w:tc>
          <w:tcPr>
            <w:tcW w:w="3112" w:type="dxa"/>
          </w:tcPr>
          <w:p w14:paraId="1F98DF81" w14:textId="77777777" w:rsidR="003C4C18" w:rsidRDefault="003C4C18" w:rsidP="00660B41">
            <w:pPr>
              <w:jc w:val="right"/>
              <w:rPr>
                <w:rFonts w:cs="Arial"/>
                <w:sz w:val="22"/>
                <w:szCs w:val="22"/>
              </w:rPr>
            </w:pPr>
          </w:p>
          <w:p w14:paraId="5C8A91CC" w14:textId="0CEE664C" w:rsidR="00FA04AD" w:rsidRPr="006A0C4B" w:rsidRDefault="001B6E02" w:rsidP="00660B41">
            <w:pPr>
              <w:jc w:val="right"/>
              <w:rPr>
                <w:rFonts w:cs="Arial"/>
                <w:sz w:val="22"/>
                <w:szCs w:val="22"/>
              </w:rPr>
            </w:pPr>
            <w:r>
              <w:rPr>
                <w:rFonts w:cs="Arial"/>
                <w:sz w:val="22"/>
                <w:szCs w:val="22"/>
              </w:rPr>
              <w:t>100</w:t>
            </w:r>
          </w:p>
          <w:p w14:paraId="1F09E31C" w14:textId="77777777" w:rsidR="001B6E02" w:rsidRDefault="001B6E02" w:rsidP="00660B41">
            <w:pPr>
              <w:jc w:val="right"/>
              <w:rPr>
                <w:rFonts w:cs="Arial"/>
                <w:sz w:val="22"/>
                <w:szCs w:val="22"/>
              </w:rPr>
            </w:pPr>
          </w:p>
          <w:p w14:paraId="2A63D814" w14:textId="61A47975" w:rsidR="00FA04AD" w:rsidRPr="006A0C4B" w:rsidRDefault="001B6E02" w:rsidP="00660B41">
            <w:pPr>
              <w:jc w:val="right"/>
              <w:rPr>
                <w:rFonts w:cs="Arial"/>
                <w:sz w:val="22"/>
                <w:szCs w:val="22"/>
              </w:rPr>
            </w:pPr>
            <w:r>
              <w:rPr>
                <w:rFonts w:cs="Arial"/>
                <w:sz w:val="22"/>
                <w:szCs w:val="22"/>
              </w:rPr>
              <w:t>100</w:t>
            </w:r>
          </w:p>
          <w:p w14:paraId="63D8AD4F" w14:textId="76A715F1" w:rsidR="0059255F" w:rsidRPr="006A0C4B" w:rsidRDefault="0059255F" w:rsidP="00F065C6">
            <w:pPr>
              <w:jc w:val="right"/>
              <w:rPr>
                <w:rFonts w:cs="Arial"/>
                <w:sz w:val="22"/>
                <w:szCs w:val="22"/>
              </w:rPr>
            </w:pPr>
          </w:p>
        </w:tc>
      </w:tr>
      <w:tr w:rsidR="0059255F" w:rsidRPr="0031366C" w14:paraId="76479007" w14:textId="6B0FE783" w:rsidTr="00522725">
        <w:trPr>
          <w:gridAfter w:val="1"/>
          <w:wAfter w:w="6" w:type="dxa"/>
          <w:trHeight w:val="278"/>
        </w:trPr>
        <w:tc>
          <w:tcPr>
            <w:tcW w:w="1695" w:type="dxa"/>
            <w:vAlign w:val="center"/>
            <w:hideMark/>
          </w:tcPr>
          <w:p w14:paraId="45DA959A" w14:textId="1A5DED3E" w:rsidR="0059255F" w:rsidRPr="008629DC" w:rsidRDefault="0059255F" w:rsidP="00603B06">
            <w:pPr>
              <w:rPr>
                <w:rFonts w:cs="Arial"/>
                <w:b/>
                <w:sz w:val="22"/>
                <w:szCs w:val="22"/>
              </w:rPr>
            </w:pPr>
            <w:r w:rsidRPr="008629DC">
              <w:rPr>
                <w:rFonts w:cs="Arial"/>
                <w:b/>
                <w:sz w:val="22"/>
                <w:szCs w:val="22"/>
              </w:rPr>
              <w:t>Agriculture</w:t>
            </w:r>
          </w:p>
        </w:tc>
        <w:tc>
          <w:tcPr>
            <w:tcW w:w="4254" w:type="dxa"/>
            <w:hideMark/>
          </w:tcPr>
          <w:p w14:paraId="19E32AC3" w14:textId="388C7B9B" w:rsidR="0059255F" w:rsidRPr="006A0C4B" w:rsidRDefault="0059255F" w:rsidP="00603B06">
            <w:pPr>
              <w:rPr>
                <w:rFonts w:cs="Arial"/>
                <w:sz w:val="22"/>
                <w:szCs w:val="22"/>
              </w:rPr>
            </w:pPr>
            <w:r w:rsidRPr="006A0C4B">
              <w:rPr>
                <w:rFonts w:cs="Arial"/>
                <w:sz w:val="22"/>
                <w:szCs w:val="22"/>
              </w:rPr>
              <w:t>Low-carbon farming practices</w:t>
            </w:r>
            <w:r w:rsidR="00B32551">
              <w:rPr>
                <w:rFonts w:cs="Arial"/>
                <w:sz w:val="22"/>
                <w:szCs w:val="22"/>
              </w:rPr>
              <w:t>, metrics not qu</w:t>
            </w:r>
            <w:r w:rsidR="004B2744">
              <w:rPr>
                <w:rFonts w:cs="Arial"/>
                <w:sz w:val="22"/>
                <w:szCs w:val="22"/>
              </w:rPr>
              <w:t>antifiable</w:t>
            </w:r>
          </w:p>
          <w:p w14:paraId="6DAA0A70" w14:textId="6B78F1DA" w:rsidR="0059255F" w:rsidRPr="006A0C4B" w:rsidRDefault="0059255F" w:rsidP="00603B06">
            <w:pPr>
              <w:rPr>
                <w:rFonts w:cs="Arial"/>
                <w:sz w:val="22"/>
                <w:szCs w:val="22"/>
              </w:rPr>
            </w:pPr>
          </w:p>
        </w:tc>
        <w:tc>
          <w:tcPr>
            <w:tcW w:w="1134" w:type="dxa"/>
          </w:tcPr>
          <w:p w14:paraId="678C4B70" w14:textId="6DB90D4B" w:rsidR="0059255F" w:rsidRPr="006A0C4B" w:rsidRDefault="0058360D" w:rsidP="00660B41">
            <w:pPr>
              <w:jc w:val="right"/>
              <w:rPr>
                <w:rFonts w:cs="Arial"/>
                <w:sz w:val="22"/>
                <w:szCs w:val="22"/>
              </w:rPr>
            </w:pPr>
            <w:r>
              <w:rPr>
                <w:rFonts w:cs="Arial"/>
                <w:sz w:val="22"/>
                <w:szCs w:val="22"/>
              </w:rPr>
              <w:t>n/a</w:t>
            </w:r>
          </w:p>
        </w:tc>
        <w:tc>
          <w:tcPr>
            <w:tcW w:w="3112" w:type="dxa"/>
          </w:tcPr>
          <w:p w14:paraId="5C31891F" w14:textId="2BDE442E" w:rsidR="0059255F" w:rsidRPr="006A0C4B" w:rsidRDefault="0058360D" w:rsidP="00660B41">
            <w:pPr>
              <w:jc w:val="right"/>
              <w:rPr>
                <w:rFonts w:cs="Arial"/>
                <w:sz w:val="22"/>
                <w:szCs w:val="22"/>
              </w:rPr>
            </w:pPr>
            <w:r>
              <w:rPr>
                <w:rFonts w:cs="Arial"/>
                <w:sz w:val="22"/>
                <w:szCs w:val="22"/>
              </w:rPr>
              <w:t>M</w:t>
            </w:r>
            <w:r w:rsidRPr="0058360D">
              <w:rPr>
                <w:rFonts w:cs="Arial"/>
                <w:sz w:val="22"/>
                <w:szCs w:val="22"/>
              </w:rPr>
              <w:t>etrics not quantifiable</w:t>
            </w:r>
          </w:p>
        </w:tc>
      </w:tr>
      <w:tr w:rsidR="0059255F" w:rsidRPr="0031366C" w14:paraId="61B814B2" w14:textId="23660D90" w:rsidTr="00522725">
        <w:trPr>
          <w:gridAfter w:val="1"/>
          <w:wAfter w:w="6" w:type="dxa"/>
          <w:trHeight w:val="278"/>
        </w:trPr>
        <w:tc>
          <w:tcPr>
            <w:tcW w:w="1695" w:type="dxa"/>
            <w:vAlign w:val="center"/>
            <w:hideMark/>
          </w:tcPr>
          <w:p w14:paraId="326D61C4" w14:textId="129FE3A8" w:rsidR="0059255F" w:rsidRPr="008629DC" w:rsidRDefault="0059255F" w:rsidP="00603B06">
            <w:pPr>
              <w:rPr>
                <w:rFonts w:cs="Arial"/>
                <w:b/>
                <w:sz w:val="22"/>
                <w:szCs w:val="22"/>
              </w:rPr>
            </w:pPr>
            <w:r w:rsidRPr="008629DC">
              <w:rPr>
                <w:rFonts w:cs="Arial"/>
                <w:b/>
                <w:sz w:val="22"/>
                <w:szCs w:val="22"/>
              </w:rPr>
              <w:t>Waste</w:t>
            </w:r>
          </w:p>
        </w:tc>
        <w:tc>
          <w:tcPr>
            <w:tcW w:w="4254" w:type="dxa"/>
            <w:hideMark/>
          </w:tcPr>
          <w:p w14:paraId="37B92A57" w14:textId="5D9EB430" w:rsidR="004B2744" w:rsidRPr="004B2744" w:rsidRDefault="004B2744" w:rsidP="004B2744">
            <w:pPr>
              <w:rPr>
                <w:rFonts w:cs="Arial"/>
                <w:sz w:val="22"/>
                <w:szCs w:val="22"/>
              </w:rPr>
            </w:pPr>
            <w:r w:rsidRPr="004B2744">
              <w:rPr>
                <w:rFonts w:cs="Arial"/>
                <w:sz w:val="22"/>
                <w:szCs w:val="22"/>
              </w:rPr>
              <w:t>Cease biodegradable waste to landfill</w:t>
            </w:r>
            <w:r>
              <w:rPr>
                <w:rStyle w:val="FootnoteReference"/>
              </w:rPr>
              <w:footnoteReference w:id="38"/>
            </w:r>
            <w:r w:rsidRPr="004B2744">
              <w:rPr>
                <w:rFonts w:cs="Arial"/>
                <w:sz w:val="22"/>
                <w:szCs w:val="22"/>
              </w:rPr>
              <w:t xml:space="preserve"> </w:t>
            </w:r>
          </w:p>
          <w:p w14:paraId="294C748C" w14:textId="063960F2" w:rsidR="0059255F" w:rsidRPr="006A0C4B" w:rsidRDefault="004B2744" w:rsidP="00603B06">
            <w:pPr>
              <w:rPr>
                <w:rFonts w:cs="Arial"/>
                <w:sz w:val="22"/>
                <w:szCs w:val="22"/>
              </w:rPr>
            </w:pPr>
            <w:r w:rsidRPr="004B2744">
              <w:rPr>
                <w:rFonts w:cs="Arial"/>
                <w:sz w:val="22"/>
                <w:szCs w:val="22"/>
              </w:rPr>
              <w:t>Municipal recycling target</w:t>
            </w:r>
          </w:p>
        </w:tc>
        <w:tc>
          <w:tcPr>
            <w:tcW w:w="1134" w:type="dxa"/>
          </w:tcPr>
          <w:p w14:paraId="676965DA" w14:textId="77777777" w:rsidR="0059255F" w:rsidRPr="006A0C4B" w:rsidRDefault="0059255F" w:rsidP="00660B41">
            <w:pPr>
              <w:jc w:val="right"/>
              <w:rPr>
                <w:rFonts w:cs="Arial"/>
                <w:sz w:val="22"/>
                <w:szCs w:val="22"/>
              </w:rPr>
            </w:pPr>
          </w:p>
        </w:tc>
        <w:tc>
          <w:tcPr>
            <w:tcW w:w="3112" w:type="dxa"/>
          </w:tcPr>
          <w:p w14:paraId="215D56DB" w14:textId="77777777" w:rsidR="004B2744" w:rsidRDefault="004B2744" w:rsidP="00660B41">
            <w:pPr>
              <w:jc w:val="right"/>
              <w:rPr>
                <w:rFonts w:cs="Arial"/>
                <w:sz w:val="22"/>
                <w:szCs w:val="22"/>
              </w:rPr>
            </w:pPr>
            <w:r>
              <w:rPr>
                <w:rFonts w:cs="Arial"/>
                <w:sz w:val="22"/>
                <w:szCs w:val="22"/>
              </w:rPr>
              <w:t>By 2030</w:t>
            </w:r>
          </w:p>
          <w:p w14:paraId="1D23147F" w14:textId="6248CAA6" w:rsidR="0059255F" w:rsidRPr="006A0C4B" w:rsidRDefault="004B2744" w:rsidP="00660B41">
            <w:pPr>
              <w:jc w:val="right"/>
              <w:rPr>
                <w:rFonts w:cs="Arial"/>
                <w:sz w:val="22"/>
                <w:szCs w:val="22"/>
              </w:rPr>
            </w:pPr>
            <w:r>
              <w:rPr>
                <w:rFonts w:cs="Arial"/>
                <w:sz w:val="22"/>
                <w:szCs w:val="22"/>
              </w:rPr>
              <w:t>65% by 2035</w:t>
            </w:r>
          </w:p>
        </w:tc>
      </w:tr>
      <w:tr w:rsidR="0059255F" w:rsidRPr="0031366C" w14:paraId="0FA0DF27" w14:textId="425E74E0" w:rsidTr="00522725">
        <w:trPr>
          <w:gridAfter w:val="1"/>
          <w:wAfter w:w="6" w:type="dxa"/>
          <w:trHeight w:val="278"/>
        </w:trPr>
        <w:tc>
          <w:tcPr>
            <w:tcW w:w="1695" w:type="dxa"/>
            <w:vAlign w:val="center"/>
            <w:hideMark/>
          </w:tcPr>
          <w:p w14:paraId="478A9637" w14:textId="20631F8B" w:rsidR="0059255F" w:rsidRPr="008629DC" w:rsidRDefault="0059255F" w:rsidP="00603B06">
            <w:pPr>
              <w:rPr>
                <w:rFonts w:cs="Arial"/>
                <w:b/>
                <w:sz w:val="22"/>
                <w:szCs w:val="22"/>
              </w:rPr>
            </w:pPr>
            <w:r w:rsidRPr="008629DC">
              <w:rPr>
                <w:rFonts w:cs="Arial"/>
                <w:b/>
                <w:sz w:val="22"/>
                <w:szCs w:val="22"/>
              </w:rPr>
              <w:t>LULUCF</w:t>
            </w:r>
          </w:p>
        </w:tc>
        <w:tc>
          <w:tcPr>
            <w:tcW w:w="4254" w:type="dxa"/>
            <w:hideMark/>
          </w:tcPr>
          <w:p w14:paraId="2488DF8E" w14:textId="6E8F34F4" w:rsidR="0059255F" w:rsidRPr="006A0C4B" w:rsidRDefault="0059255F" w:rsidP="00603B06">
            <w:pPr>
              <w:rPr>
                <w:rFonts w:cs="Arial"/>
                <w:sz w:val="22"/>
                <w:szCs w:val="22"/>
              </w:rPr>
            </w:pPr>
            <w:r w:rsidRPr="006A0C4B">
              <w:rPr>
                <w:rFonts w:cs="Arial"/>
                <w:sz w:val="22"/>
                <w:szCs w:val="22"/>
              </w:rPr>
              <w:t>Afforestation</w:t>
            </w:r>
            <w:r w:rsidR="00D65383" w:rsidRPr="006A0C4B">
              <w:rPr>
                <w:rFonts w:cs="Arial"/>
                <w:sz w:val="22"/>
                <w:szCs w:val="22"/>
              </w:rPr>
              <w:t xml:space="preserve"> (kha/</w:t>
            </w:r>
            <w:r w:rsidR="00BC7889">
              <w:rPr>
                <w:rFonts w:cs="Arial"/>
                <w:sz w:val="22"/>
                <w:szCs w:val="22"/>
              </w:rPr>
              <w:t>yr</w:t>
            </w:r>
            <w:r w:rsidR="00D65383" w:rsidRPr="006A0C4B">
              <w:rPr>
                <w:rFonts w:cs="Arial"/>
                <w:sz w:val="22"/>
                <w:szCs w:val="22"/>
              </w:rPr>
              <w:t>)</w:t>
            </w:r>
          </w:p>
          <w:p w14:paraId="4A9013CE" w14:textId="6C5E35D1" w:rsidR="00D65383" w:rsidRPr="006A0C4B" w:rsidRDefault="00D65383" w:rsidP="00603B06">
            <w:pPr>
              <w:rPr>
                <w:rFonts w:cs="Arial"/>
                <w:sz w:val="22"/>
                <w:szCs w:val="22"/>
              </w:rPr>
            </w:pPr>
            <w:r w:rsidRPr="006A0C4B">
              <w:rPr>
                <w:rFonts w:cs="Arial"/>
                <w:sz w:val="22"/>
                <w:szCs w:val="22"/>
              </w:rPr>
              <w:t>Bioenergy crops planting (kha/</w:t>
            </w:r>
            <w:r w:rsidR="00BC7889">
              <w:rPr>
                <w:rFonts w:cs="Arial"/>
                <w:sz w:val="22"/>
                <w:szCs w:val="22"/>
              </w:rPr>
              <w:t>yr</w:t>
            </w:r>
            <w:r w:rsidRPr="006A0C4B">
              <w:rPr>
                <w:rFonts w:cs="Arial"/>
                <w:sz w:val="22"/>
                <w:szCs w:val="22"/>
              </w:rPr>
              <w:t>)</w:t>
            </w:r>
          </w:p>
          <w:p w14:paraId="2AB1984B" w14:textId="1D933EFD" w:rsidR="0059255F" w:rsidRPr="006A0C4B" w:rsidRDefault="0059255F" w:rsidP="00603B06">
            <w:pPr>
              <w:rPr>
                <w:rFonts w:cs="Arial"/>
                <w:sz w:val="22"/>
                <w:szCs w:val="22"/>
              </w:rPr>
            </w:pPr>
            <w:r w:rsidRPr="006A0C4B">
              <w:rPr>
                <w:rFonts w:cs="Arial"/>
                <w:sz w:val="22"/>
                <w:szCs w:val="22"/>
              </w:rPr>
              <w:t>Peat restoration</w:t>
            </w:r>
            <w:r w:rsidR="00D65383" w:rsidRPr="006A0C4B">
              <w:rPr>
                <w:rFonts w:cs="Arial"/>
                <w:sz w:val="22"/>
                <w:szCs w:val="22"/>
              </w:rPr>
              <w:t xml:space="preserve"> (</w:t>
            </w:r>
            <w:r w:rsidR="00357C71" w:rsidRPr="006A0C4B">
              <w:rPr>
                <w:rFonts w:cs="Arial"/>
                <w:sz w:val="22"/>
                <w:szCs w:val="22"/>
              </w:rPr>
              <w:t>kha restored</w:t>
            </w:r>
            <w:r w:rsidR="00D65383" w:rsidRPr="006A0C4B">
              <w:rPr>
                <w:rFonts w:cs="Arial"/>
                <w:sz w:val="22"/>
                <w:szCs w:val="22"/>
              </w:rPr>
              <w:t>)</w:t>
            </w:r>
          </w:p>
        </w:tc>
        <w:tc>
          <w:tcPr>
            <w:tcW w:w="1134" w:type="dxa"/>
          </w:tcPr>
          <w:p w14:paraId="1311EA2F" w14:textId="23BA5C0B" w:rsidR="0059255F" w:rsidRPr="006A0C4B" w:rsidRDefault="0054735E" w:rsidP="00660B41">
            <w:pPr>
              <w:jc w:val="right"/>
              <w:rPr>
                <w:rFonts w:cs="Arial"/>
                <w:sz w:val="22"/>
                <w:szCs w:val="22"/>
              </w:rPr>
            </w:pPr>
            <w:r w:rsidRPr="006A0C4B">
              <w:rPr>
                <w:rFonts w:cs="Arial"/>
                <w:sz w:val="22"/>
                <w:szCs w:val="22"/>
              </w:rPr>
              <w:t>13.5</w:t>
            </w:r>
            <w:r w:rsidR="00D65383">
              <w:br/>
            </w:r>
            <w:r w:rsidRPr="006A0C4B">
              <w:rPr>
                <w:rFonts w:cs="Arial"/>
                <w:sz w:val="22"/>
                <w:szCs w:val="22"/>
              </w:rPr>
              <w:t>0</w:t>
            </w:r>
            <w:r w:rsidR="00D65383">
              <w:br/>
            </w:r>
            <w:r w:rsidR="00D65383" w:rsidRPr="006A0C4B">
              <w:rPr>
                <w:rFonts w:cs="Arial"/>
                <w:sz w:val="22"/>
                <w:szCs w:val="22"/>
              </w:rPr>
              <w:t>n/a</w:t>
            </w:r>
          </w:p>
        </w:tc>
        <w:tc>
          <w:tcPr>
            <w:tcW w:w="3112" w:type="dxa"/>
          </w:tcPr>
          <w:p w14:paraId="3CB67BA9" w14:textId="44265E9C" w:rsidR="0059255F" w:rsidRPr="006A0C4B" w:rsidRDefault="003E3E10" w:rsidP="00660B41">
            <w:pPr>
              <w:jc w:val="right"/>
              <w:rPr>
                <w:rFonts w:cs="Arial"/>
                <w:sz w:val="22"/>
                <w:szCs w:val="22"/>
              </w:rPr>
            </w:pPr>
            <w:r w:rsidRPr="006A0C4B">
              <w:rPr>
                <w:rFonts w:cs="Arial"/>
                <w:sz w:val="22"/>
                <w:szCs w:val="22"/>
              </w:rPr>
              <w:t>30-50</w:t>
            </w:r>
            <w:r w:rsidRPr="006A0C4B">
              <w:rPr>
                <w:rFonts w:cs="Arial"/>
                <w:sz w:val="22"/>
                <w:szCs w:val="22"/>
              </w:rPr>
              <w:br/>
              <w:t>53</w:t>
            </w:r>
            <w:r w:rsidRPr="006A0C4B">
              <w:rPr>
                <w:rFonts w:cs="Arial"/>
                <w:sz w:val="22"/>
                <w:szCs w:val="22"/>
              </w:rPr>
              <w:br/>
            </w:r>
            <w:r w:rsidR="002570CB" w:rsidRPr="006A0C4B">
              <w:rPr>
                <w:rFonts w:cs="Arial"/>
                <w:sz w:val="22"/>
                <w:szCs w:val="22"/>
              </w:rPr>
              <w:t>380</w:t>
            </w:r>
          </w:p>
        </w:tc>
      </w:tr>
      <w:tr w:rsidR="00620335" w:rsidRPr="0031366C" w14:paraId="140341E0" w14:textId="77777777" w:rsidTr="00522725">
        <w:trPr>
          <w:trHeight w:val="278"/>
        </w:trPr>
        <w:tc>
          <w:tcPr>
            <w:tcW w:w="1695" w:type="dxa"/>
          </w:tcPr>
          <w:p w14:paraId="3350AF3C" w14:textId="41F8DFAE" w:rsidR="00620335" w:rsidRPr="008629DC" w:rsidRDefault="00620335" w:rsidP="00620335">
            <w:pPr>
              <w:rPr>
                <w:rFonts w:cs="Arial"/>
                <w:b/>
                <w:sz w:val="22"/>
                <w:szCs w:val="22"/>
              </w:rPr>
            </w:pPr>
            <w:r w:rsidRPr="008629DC">
              <w:rPr>
                <w:rFonts w:cs="Arial"/>
                <w:b/>
                <w:sz w:val="22"/>
                <w:szCs w:val="22"/>
              </w:rPr>
              <w:t>Carbon Capture</w:t>
            </w:r>
            <w:r w:rsidR="00B10BBA" w:rsidRPr="008629DC">
              <w:rPr>
                <w:rFonts w:cs="Arial"/>
                <w:b/>
                <w:sz w:val="22"/>
                <w:szCs w:val="22"/>
              </w:rPr>
              <w:t xml:space="preserve">, Use, </w:t>
            </w:r>
            <w:r w:rsidRPr="008629DC">
              <w:rPr>
                <w:rFonts w:cs="Arial"/>
                <w:b/>
                <w:sz w:val="22"/>
                <w:szCs w:val="22"/>
              </w:rPr>
              <w:t xml:space="preserve">and Storage </w:t>
            </w:r>
          </w:p>
        </w:tc>
        <w:tc>
          <w:tcPr>
            <w:tcW w:w="4254" w:type="dxa"/>
          </w:tcPr>
          <w:p w14:paraId="34556563" w14:textId="77777777" w:rsidR="005D22ED" w:rsidRPr="006A0C4B" w:rsidRDefault="005D22ED" w:rsidP="005D22ED">
            <w:pPr>
              <w:rPr>
                <w:rFonts w:cs="Arial"/>
                <w:sz w:val="22"/>
                <w:szCs w:val="22"/>
              </w:rPr>
            </w:pPr>
            <w:r w:rsidRPr="006A0C4B">
              <w:rPr>
                <w:rFonts w:cs="Arial"/>
                <w:sz w:val="22"/>
                <w:szCs w:val="22"/>
              </w:rPr>
              <w:t>Total</w:t>
            </w:r>
            <w:r w:rsidR="00620335" w:rsidRPr="006A0C4B">
              <w:rPr>
                <w:rFonts w:cs="Arial"/>
                <w:sz w:val="22"/>
                <w:szCs w:val="22"/>
              </w:rPr>
              <w:t xml:space="preserve"> captured</w:t>
            </w:r>
            <w:r w:rsidRPr="006A0C4B">
              <w:rPr>
                <w:rFonts w:cs="Arial"/>
                <w:sz w:val="22"/>
                <w:szCs w:val="22"/>
              </w:rPr>
              <w:t xml:space="preserve"> (Mt)</w:t>
            </w:r>
          </w:p>
          <w:p w14:paraId="4B1F46E1" w14:textId="77777777" w:rsidR="005D22ED" w:rsidRPr="006A0C4B" w:rsidRDefault="005D22ED" w:rsidP="005D22ED">
            <w:pPr>
              <w:rPr>
                <w:rFonts w:cs="Arial"/>
                <w:sz w:val="22"/>
                <w:szCs w:val="22"/>
              </w:rPr>
            </w:pPr>
            <w:r w:rsidRPr="006A0C4B">
              <w:rPr>
                <w:rFonts w:cs="Arial"/>
                <w:sz w:val="22"/>
                <w:szCs w:val="22"/>
              </w:rPr>
              <w:t>Direct Air Capture (Mt)</w:t>
            </w:r>
          </w:p>
          <w:p w14:paraId="395F622B" w14:textId="28328CC6" w:rsidR="00620335" w:rsidRPr="006A0C4B" w:rsidRDefault="005D22ED" w:rsidP="00620335">
            <w:pPr>
              <w:rPr>
                <w:rFonts w:cs="Arial"/>
                <w:sz w:val="22"/>
                <w:szCs w:val="22"/>
              </w:rPr>
            </w:pPr>
            <w:r w:rsidRPr="006A0C4B">
              <w:rPr>
                <w:rFonts w:cs="Arial"/>
                <w:sz w:val="22"/>
                <w:szCs w:val="22"/>
              </w:rPr>
              <w:t>BECCS (Mt)</w:t>
            </w:r>
          </w:p>
        </w:tc>
        <w:tc>
          <w:tcPr>
            <w:tcW w:w="1134" w:type="dxa"/>
          </w:tcPr>
          <w:p w14:paraId="1B45EF81" w14:textId="4C1C6F97" w:rsidR="00620335" w:rsidRPr="006A0C4B" w:rsidRDefault="00CD39B6" w:rsidP="00620335">
            <w:pPr>
              <w:jc w:val="right"/>
              <w:rPr>
                <w:rFonts w:cs="Arial"/>
                <w:sz w:val="22"/>
                <w:szCs w:val="22"/>
              </w:rPr>
            </w:pPr>
            <w:r>
              <w:rPr>
                <w:rFonts w:cs="Arial"/>
                <w:sz w:val="22"/>
                <w:szCs w:val="22"/>
              </w:rPr>
              <w:t>0</w:t>
            </w:r>
            <w:r w:rsidR="005D22ED" w:rsidRPr="006A0C4B">
              <w:rPr>
                <w:rFonts w:cs="Arial"/>
                <w:sz w:val="22"/>
                <w:szCs w:val="22"/>
              </w:rPr>
              <w:br/>
            </w:r>
            <w:r>
              <w:rPr>
                <w:rFonts w:cs="Arial"/>
                <w:sz w:val="22"/>
                <w:szCs w:val="22"/>
              </w:rPr>
              <w:t>0</w:t>
            </w:r>
          </w:p>
        </w:tc>
        <w:tc>
          <w:tcPr>
            <w:tcW w:w="3118" w:type="dxa"/>
            <w:gridSpan w:val="2"/>
          </w:tcPr>
          <w:p w14:paraId="3A1C3A6F" w14:textId="7266925B" w:rsidR="005D22ED" w:rsidRPr="006A0C4B" w:rsidRDefault="00B10BBA" w:rsidP="005D22ED">
            <w:pPr>
              <w:jc w:val="right"/>
              <w:rPr>
                <w:rFonts w:cs="Arial"/>
                <w:sz w:val="22"/>
                <w:szCs w:val="22"/>
              </w:rPr>
            </w:pPr>
            <w:r w:rsidRPr="006A0C4B">
              <w:rPr>
                <w:rFonts w:cs="Arial"/>
                <w:sz w:val="22"/>
                <w:szCs w:val="22"/>
              </w:rPr>
              <w:t>100-160</w:t>
            </w:r>
          </w:p>
          <w:p w14:paraId="6501E035" w14:textId="7C4A2169" w:rsidR="00620335" w:rsidRPr="006A0C4B" w:rsidRDefault="005D22ED" w:rsidP="00620335">
            <w:pPr>
              <w:jc w:val="right"/>
              <w:rPr>
                <w:rFonts w:cs="Arial"/>
                <w:sz w:val="22"/>
                <w:szCs w:val="22"/>
              </w:rPr>
            </w:pPr>
            <w:r w:rsidRPr="006A0C4B">
              <w:rPr>
                <w:rFonts w:cs="Arial"/>
                <w:sz w:val="22"/>
                <w:szCs w:val="22"/>
              </w:rPr>
              <w:t>13-25</w:t>
            </w:r>
            <w:r w:rsidRPr="006A0C4B">
              <w:rPr>
                <w:rFonts w:cs="Arial"/>
                <w:sz w:val="22"/>
                <w:szCs w:val="22"/>
              </w:rPr>
              <w:br/>
              <w:t>6</w:t>
            </w:r>
            <w:r w:rsidR="00B10BBA" w:rsidRPr="006A0C4B">
              <w:rPr>
                <w:rFonts w:cs="Arial"/>
                <w:sz w:val="22"/>
                <w:szCs w:val="22"/>
              </w:rPr>
              <w:t>5</w:t>
            </w:r>
            <w:r w:rsidRPr="006A0C4B">
              <w:rPr>
                <w:rFonts w:cs="Arial"/>
                <w:sz w:val="22"/>
                <w:szCs w:val="22"/>
              </w:rPr>
              <w:t>-</w:t>
            </w:r>
            <w:r w:rsidR="00B10BBA" w:rsidRPr="006A0C4B">
              <w:rPr>
                <w:rFonts w:cs="Arial"/>
                <w:sz w:val="22"/>
                <w:szCs w:val="22"/>
              </w:rPr>
              <w:t>70</w:t>
            </w:r>
          </w:p>
        </w:tc>
      </w:tr>
      <w:tr w:rsidR="0059255F" w:rsidRPr="0031366C" w14:paraId="2723A6C3" w14:textId="0EA098FE" w:rsidTr="00522725">
        <w:trPr>
          <w:gridAfter w:val="1"/>
          <w:wAfter w:w="6" w:type="dxa"/>
          <w:trHeight w:val="504"/>
        </w:trPr>
        <w:tc>
          <w:tcPr>
            <w:tcW w:w="1695" w:type="dxa"/>
            <w:vAlign w:val="center"/>
            <w:hideMark/>
          </w:tcPr>
          <w:p w14:paraId="72A2A665" w14:textId="20995981" w:rsidR="000D4F83" w:rsidRPr="008629DC" w:rsidRDefault="000D4F83" w:rsidP="000D4F83">
            <w:pPr>
              <w:rPr>
                <w:rFonts w:cs="Arial"/>
                <w:b/>
                <w:sz w:val="22"/>
                <w:szCs w:val="22"/>
              </w:rPr>
            </w:pPr>
            <w:r w:rsidRPr="008629DC">
              <w:rPr>
                <w:rFonts w:cs="Arial"/>
                <w:b/>
                <w:sz w:val="22"/>
                <w:szCs w:val="22"/>
              </w:rPr>
              <w:t xml:space="preserve">Aviation and shipping </w:t>
            </w:r>
          </w:p>
          <w:p w14:paraId="6D043ED5" w14:textId="443A782E" w:rsidR="0059255F" w:rsidRPr="008629DC" w:rsidRDefault="0059255F" w:rsidP="00603B06">
            <w:pPr>
              <w:rPr>
                <w:rFonts w:cs="Arial"/>
                <w:b/>
                <w:sz w:val="22"/>
                <w:szCs w:val="22"/>
              </w:rPr>
            </w:pPr>
          </w:p>
        </w:tc>
        <w:tc>
          <w:tcPr>
            <w:tcW w:w="4254" w:type="dxa"/>
            <w:hideMark/>
          </w:tcPr>
          <w:p w14:paraId="363923B0" w14:textId="77777777" w:rsidR="00E50C17" w:rsidRDefault="00E50C17" w:rsidP="00E50C17">
            <w:pPr>
              <w:rPr>
                <w:sz w:val="22"/>
                <w:szCs w:val="22"/>
              </w:rPr>
            </w:pPr>
            <w:r>
              <w:rPr>
                <w:rFonts w:cs="Arial"/>
                <w:sz w:val="22"/>
                <w:szCs w:val="22"/>
              </w:rPr>
              <w:t>Biofuels for aviation (share of fuel %)</w:t>
            </w:r>
          </w:p>
          <w:p w14:paraId="491AF067" w14:textId="40846127" w:rsidR="00E50C17" w:rsidRDefault="0059255F" w:rsidP="00E50C17">
            <w:pPr>
              <w:rPr>
                <w:rFonts w:ascii="Times New Roman" w:hAnsi="Times New Roman" w:cs="Times New Roman"/>
              </w:rPr>
            </w:pPr>
            <w:r>
              <w:rPr>
                <w:rFonts w:cs="Arial"/>
                <w:sz w:val="22"/>
                <w:szCs w:val="22"/>
              </w:rPr>
              <w:t>Ammonia for shipping</w:t>
            </w:r>
            <w:r w:rsidR="00E50C17">
              <w:rPr>
                <w:rFonts w:ascii="Times New Roman" w:hAnsi="Times New Roman" w:cs="Times New Roman"/>
              </w:rPr>
              <w:t xml:space="preserve"> </w:t>
            </w:r>
            <w:r w:rsidR="00C564A7" w:rsidRPr="00C564A7">
              <w:rPr>
                <w:rFonts w:cs="Arial"/>
                <w:sz w:val="22"/>
                <w:szCs w:val="22"/>
              </w:rPr>
              <w:t>(share of fuel</w:t>
            </w:r>
            <w:r w:rsidR="00490346">
              <w:rPr>
                <w:rFonts w:cs="Arial"/>
                <w:sz w:val="22"/>
                <w:szCs w:val="22"/>
              </w:rPr>
              <w:t xml:space="preserve"> </w:t>
            </w:r>
            <w:r w:rsidR="00C564A7" w:rsidRPr="00C564A7">
              <w:rPr>
                <w:rFonts w:cs="Arial"/>
                <w:sz w:val="22"/>
                <w:szCs w:val="22"/>
              </w:rPr>
              <w:t>%)</w:t>
            </w:r>
          </w:p>
          <w:p w14:paraId="56EB52A3" w14:textId="5873EFD6" w:rsidR="0059255F" w:rsidRPr="006A0C4B" w:rsidRDefault="0059255F" w:rsidP="00603B06">
            <w:pPr>
              <w:rPr>
                <w:rFonts w:cs="Arial"/>
                <w:sz w:val="22"/>
                <w:szCs w:val="22"/>
              </w:rPr>
            </w:pPr>
          </w:p>
        </w:tc>
        <w:tc>
          <w:tcPr>
            <w:tcW w:w="1134" w:type="dxa"/>
          </w:tcPr>
          <w:p w14:paraId="7865E823" w14:textId="4A872D31" w:rsidR="0059255F" w:rsidRPr="006A0C4B" w:rsidRDefault="000D2640" w:rsidP="00660B41">
            <w:pPr>
              <w:jc w:val="right"/>
              <w:rPr>
                <w:rFonts w:cs="Arial"/>
                <w:sz w:val="22"/>
                <w:szCs w:val="22"/>
              </w:rPr>
            </w:pPr>
            <w:r>
              <w:rPr>
                <w:rFonts w:cs="Arial"/>
                <w:sz w:val="22"/>
                <w:szCs w:val="22"/>
              </w:rPr>
              <w:t>0</w:t>
            </w:r>
            <w:r w:rsidR="00F52727" w:rsidRPr="006A0C4B">
              <w:rPr>
                <w:rFonts w:cs="Arial"/>
                <w:sz w:val="22"/>
                <w:szCs w:val="22"/>
              </w:rPr>
              <w:br/>
            </w:r>
            <w:r>
              <w:rPr>
                <w:rFonts w:cs="Arial"/>
                <w:sz w:val="22"/>
                <w:szCs w:val="22"/>
              </w:rPr>
              <w:t>0</w:t>
            </w:r>
          </w:p>
        </w:tc>
        <w:tc>
          <w:tcPr>
            <w:tcW w:w="3112" w:type="dxa"/>
          </w:tcPr>
          <w:p w14:paraId="2CB909FD" w14:textId="72C4CE50" w:rsidR="0059255F" w:rsidRPr="006A0C4B" w:rsidRDefault="00F52727" w:rsidP="00660B41">
            <w:pPr>
              <w:jc w:val="right"/>
              <w:rPr>
                <w:rFonts w:cs="Arial"/>
                <w:sz w:val="22"/>
                <w:szCs w:val="22"/>
              </w:rPr>
            </w:pPr>
            <w:r w:rsidRPr="006A0C4B">
              <w:rPr>
                <w:rFonts w:cs="Arial"/>
                <w:sz w:val="22"/>
                <w:szCs w:val="22"/>
              </w:rPr>
              <w:t>5</w:t>
            </w:r>
          </w:p>
          <w:p w14:paraId="4219F4C8" w14:textId="5A2FEC2B" w:rsidR="00F52727" w:rsidRPr="006A0C4B" w:rsidRDefault="006F6647" w:rsidP="00660B41">
            <w:pPr>
              <w:jc w:val="right"/>
              <w:rPr>
                <w:rFonts w:cs="Arial"/>
                <w:sz w:val="22"/>
                <w:szCs w:val="22"/>
              </w:rPr>
            </w:pPr>
            <w:r w:rsidRPr="006A0C4B">
              <w:rPr>
                <w:rFonts w:cs="Arial"/>
                <w:sz w:val="22"/>
                <w:szCs w:val="22"/>
              </w:rPr>
              <w:t>97</w:t>
            </w:r>
          </w:p>
        </w:tc>
      </w:tr>
    </w:tbl>
    <w:p w14:paraId="76FD82F0" w14:textId="7728868F" w:rsidR="00680E2C" w:rsidRPr="00BF7799" w:rsidRDefault="00C65769" w:rsidP="005322C6">
      <w:pPr>
        <w:pStyle w:val="Heading4"/>
        <w:spacing w:after="200"/>
      </w:pPr>
      <w:r w:rsidRPr="00C65769">
        <w:t>2035</w:t>
      </w:r>
      <w:r w:rsidR="00CD5940">
        <w:t xml:space="preserve"> emissions and</w:t>
      </w:r>
      <w:r>
        <w:t xml:space="preserve"> energy system</w:t>
      </w:r>
    </w:p>
    <w:p w14:paraId="5F881DA3" w14:textId="54F13DAE" w:rsidR="00496301" w:rsidRDefault="00496301" w:rsidP="009229B3">
      <w:pPr>
        <w:pStyle w:val="Numberedparagraphs"/>
      </w:pPr>
      <w:r>
        <w:t xml:space="preserve">This section explores what can be deduced about </w:t>
      </w:r>
      <w:r w:rsidR="00BA5BFE">
        <w:t>the sixth carbon budget period</w:t>
      </w:r>
      <w:r>
        <w:t xml:space="preserve">, including both the level of decarbonisation and the way in which this decarbonisation is undertaken. The aim is to assess </w:t>
      </w:r>
      <w:r w:rsidR="001269B0">
        <w:t>the extent to which</w:t>
      </w:r>
      <w:r w:rsidR="00594D86">
        <w:t xml:space="preserve"> </w:t>
      </w:r>
      <w:r w:rsidR="0024257A">
        <w:t>the</w:t>
      </w:r>
      <w:r w:rsidR="00594D86">
        <w:t xml:space="preserve"> sixth carbon budget</w:t>
      </w:r>
      <w:r>
        <w:t xml:space="preserve"> leve</w:t>
      </w:r>
      <w:r w:rsidR="005521DB">
        <w:t>l options</w:t>
      </w:r>
      <w:r>
        <w:t xml:space="preserve"> are reliant on uncertain technologies or stretching deployment requirements. </w:t>
      </w:r>
    </w:p>
    <w:p w14:paraId="084C447B" w14:textId="34B7F6E5" w:rsidR="00E725EA" w:rsidRDefault="001269B0" w:rsidP="009229B3">
      <w:pPr>
        <w:pStyle w:val="Numberedparagraphs"/>
      </w:pPr>
      <w:r>
        <w:t>The s</w:t>
      </w:r>
      <w:r w:rsidR="00496301">
        <w:t xml:space="preserve">ection above highlighted the range of technologies that could be important for 2050 and illustrated how the 2050 target could be met. If the UK were to keep options open to accommodate the different potential outcomes in 2050, then by 2035 the UKTM modelling suggests that for any given level of </w:t>
      </w:r>
      <w:r w:rsidR="00BF7C0A">
        <w:t>the sixth carbon budget</w:t>
      </w:r>
      <w:r w:rsidR="00496301">
        <w:t xml:space="preserve"> there should be:</w:t>
      </w:r>
    </w:p>
    <w:p w14:paraId="22F0EFA7" w14:textId="1708F008" w:rsidR="00E725EA" w:rsidRPr="009B5F7F" w:rsidRDefault="00B023B4" w:rsidP="005322C6">
      <w:pPr>
        <w:pStyle w:val="Bullets"/>
        <w:ind w:left="1494"/>
      </w:pPr>
      <w:r w:rsidRPr="009B5F7F">
        <w:t>A s</w:t>
      </w:r>
      <w:r w:rsidR="00CE1D07" w:rsidRPr="009B5F7F">
        <w:t xml:space="preserve">ignificant increase in the electrification of end-use sectors such as transport, heating and industry, and </w:t>
      </w:r>
      <w:r w:rsidR="009C7361" w:rsidRPr="009B5F7F">
        <w:t>continued</w:t>
      </w:r>
      <w:r w:rsidR="00CE1D07" w:rsidRPr="009B5F7F">
        <w:t xml:space="preserve"> decarbonisation of the power grid</w:t>
      </w:r>
      <w:r w:rsidR="00B52691">
        <w:t>;</w:t>
      </w:r>
    </w:p>
    <w:p w14:paraId="2006F555" w14:textId="45D8178C" w:rsidR="00BB1C70" w:rsidRPr="009B5F7F" w:rsidRDefault="00BB1C70" w:rsidP="005322C6">
      <w:pPr>
        <w:pStyle w:val="Bullets"/>
        <w:ind w:left="1494"/>
      </w:pPr>
      <w:r w:rsidRPr="009B5F7F">
        <w:t>Substantially improved energy efficiency</w:t>
      </w:r>
      <w:r>
        <w:t xml:space="preserve"> in all sectors</w:t>
      </w:r>
      <w:r w:rsidR="007B13D9">
        <w:t xml:space="preserve"> either via adoption of new more energy efficient technologies or direct investment in energy efficiency measures (e.</w:t>
      </w:r>
      <w:r w:rsidR="00FB3697">
        <w:t>g</w:t>
      </w:r>
      <w:r w:rsidR="00FC67A7">
        <w:t>.</w:t>
      </w:r>
      <w:r w:rsidR="00FB3697">
        <w:t xml:space="preserve"> solid wall insultation)</w:t>
      </w:r>
      <w:r>
        <w:t>;</w:t>
      </w:r>
    </w:p>
    <w:p w14:paraId="65A061FE" w14:textId="5F30AC6C" w:rsidR="00C6393E" w:rsidRPr="009B5F7F" w:rsidRDefault="00B5777E" w:rsidP="005322C6">
      <w:pPr>
        <w:pStyle w:val="Bullets"/>
        <w:ind w:left="1494"/>
      </w:pPr>
      <w:r w:rsidRPr="009B5F7F">
        <w:t>Deployment of low carbon hydrogen</w:t>
      </w:r>
      <w:r w:rsidR="0063614E">
        <w:t xml:space="preserve">, </w:t>
      </w:r>
      <w:r w:rsidR="0002020A" w:rsidRPr="009B5F7F">
        <w:t>CCS and greenhouse gas removal technologies at scale</w:t>
      </w:r>
      <w:r w:rsidR="00B52691">
        <w:t>;</w:t>
      </w:r>
      <w:r w:rsidR="0002020A" w:rsidRPr="009B5F7F">
        <w:t xml:space="preserve"> </w:t>
      </w:r>
    </w:p>
    <w:p w14:paraId="52BD8C4B" w14:textId="36583726" w:rsidR="0080130A" w:rsidRPr="009B5F7F" w:rsidRDefault="0002020A" w:rsidP="005322C6">
      <w:pPr>
        <w:pStyle w:val="Bullets"/>
        <w:ind w:left="1494"/>
      </w:pPr>
      <w:r w:rsidRPr="009B5F7F">
        <w:t xml:space="preserve">Increased switching </w:t>
      </w:r>
      <w:r w:rsidR="00B52691">
        <w:t>to low-carbon fuels (</w:t>
      </w:r>
      <w:r w:rsidR="0043671A">
        <w:t>e.g</w:t>
      </w:r>
      <w:r w:rsidR="00FC67A7">
        <w:t>.,</w:t>
      </w:r>
      <w:r w:rsidR="0043671A">
        <w:t xml:space="preserve"> </w:t>
      </w:r>
      <w:r w:rsidR="00B52691">
        <w:t>hydrogen, biomass</w:t>
      </w:r>
      <w:r w:rsidR="0043671A">
        <w:t xml:space="preserve">) </w:t>
      </w:r>
      <w:r w:rsidRPr="009B5F7F">
        <w:t xml:space="preserve">in hard to electrify areas of the economy such as </w:t>
      </w:r>
      <w:r w:rsidR="0080130A" w:rsidRPr="009B5F7F">
        <w:t>industry, heavy transport</w:t>
      </w:r>
      <w:r w:rsidR="009C7361" w:rsidRPr="009B5F7F">
        <w:t>,</w:t>
      </w:r>
      <w:r w:rsidR="0080130A" w:rsidRPr="009B5F7F">
        <w:t xml:space="preserve"> aviation and shipping</w:t>
      </w:r>
      <w:r w:rsidR="0043671A">
        <w:t>;</w:t>
      </w:r>
    </w:p>
    <w:p w14:paraId="25FFC48D" w14:textId="77777777" w:rsidR="00E31A20" w:rsidRDefault="0080130A" w:rsidP="005322C6">
      <w:pPr>
        <w:pStyle w:val="Bullets"/>
        <w:spacing w:after="200"/>
        <w:ind w:left="1494"/>
      </w:pPr>
      <w:r w:rsidRPr="009B5F7F">
        <w:lastRenderedPageBreak/>
        <w:t xml:space="preserve">Implementation of available abatement options across all natural resources sectors </w:t>
      </w:r>
      <w:r w:rsidR="0043671A">
        <w:t xml:space="preserve">(e.g. </w:t>
      </w:r>
      <w:r w:rsidR="00F04DAC">
        <w:t>afforestation, low carbon farming practices</w:t>
      </w:r>
      <w:r w:rsidR="0043671A">
        <w:t xml:space="preserve">). </w:t>
      </w:r>
      <w:r w:rsidRPr="009B5F7F">
        <w:t xml:space="preserve"> </w:t>
      </w:r>
    </w:p>
    <w:p w14:paraId="738AD515" w14:textId="6A8E5051" w:rsidR="001418E7" w:rsidRDefault="00E31A20" w:rsidP="009229B3">
      <w:pPr>
        <w:pStyle w:val="Numberedparagraphs"/>
      </w:pPr>
      <w:r>
        <w:t>The table below summarises the illustrative range of emissions remaining in 2035 by sector under the different sixth carbon budget options considered.</w:t>
      </w:r>
    </w:p>
    <w:p w14:paraId="7ECC2AD9" w14:textId="00C07D12" w:rsidR="0002506B" w:rsidRPr="00700474" w:rsidRDefault="002B0783" w:rsidP="00700474">
      <w:pPr>
        <w:spacing w:after="160"/>
        <w:rPr>
          <w:rFonts w:ascii="Times New Roman" w:hAnsi="Times New Roman" w:cs="Times New Roman"/>
        </w:rPr>
      </w:pPr>
      <w:r w:rsidRPr="00B312C4">
        <w:rPr>
          <w:i/>
        </w:rPr>
        <w:t xml:space="preserve">Table </w:t>
      </w:r>
      <w:r w:rsidR="00644E6A">
        <w:rPr>
          <w:i/>
        </w:rPr>
        <w:t>8</w:t>
      </w:r>
      <w:r w:rsidR="005B1674">
        <w:rPr>
          <w:i/>
        </w:rPr>
        <w:t>:</w:t>
      </w:r>
      <w:r w:rsidRPr="00B312C4">
        <w:rPr>
          <w:i/>
        </w:rPr>
        <w:t xml:space="preserve"> </w:t>
      </w:r>
      <w:r w:rsidR="004247CE">
        <w:rPr>
          <w:i/>
        </w:rPr>
        <w:t>Illustrative e</w:t>
      </w:r>
      <w:r w:rsidRPr="00B312C4">
        <w:rPr>
          <w:i/>
        </w:rPr>
        <w:t xml:space="preserve">mission ranges in 2035 under different </w:t>
      </w:r>
      <w:r w:rsidR="00555E98">
        <w:rPr>
          <w:i/>
        </w:rPr>
        <w:t xml:space="preserve">sixth </w:t>
      </w:r>
      <w:r w:rsidRPr="00B312C4">
        <w:rPr>
          <w:i/>
        </w:rPr>
        <w:t>carbon budget levels</w:t>
      </w:r>
      <w:r w:rsidR="004B12BD">
        <w:rPr>
          <w:i/>
        </w:rPr>
        <w:t>, based on the modelled pathways</w:t>
      </w:r>
      <w:r w:rsidR="004B12BD">
        <w:rPr>
          <w:rStyle w:val="FootnoteReference"/>
          <w:i/>
        </w:rPr>
        <w:footnoteReference w:id="39"/>
      </w:r>
      <w:r w:rsidR="004B12BD">
        <w:rPr>
          <w:rFonts w:ascii="Times New Roman" w:hAnsi="Times New Roman" w:cs="Times New Roman"/>
        </w:rPr>
        <w:t xml:space="preserve"> </w:t>
      </w:r>
      <w:r w:rsidRPr="00B312C4">
        <w:rPr>
          <w:i/>
        </w:rPr>
        <w:t xml:space="preserve"> </w:t>
      </w:r>
    </w:p>
    <w:tbl>
      <w:tblPr>
        <w:tblStyle w:val="TableGrid"/>
        <w:tblW w:w="10195" w:type="dxa"/>
        <w:tblLayout w:type="fixed"/>
        <w:tblLook w:val="0420" w:firstRow="1" w:lastRow="0" w:firstColumn="0" w:lastColumn="0" w:noHBand="0" w:noVBand="1"/>
      </w:tblPr>
      <w:tblGrid>
        <w:gridCol w:w="2380"/>
        <w:gridCol w:w="1953"/>
        <w:gridCol w:w="1954"/>
        <w:gridCol w:w="1954"/>
        <w:gridCol w:w="1954"/>
      </w:tblGrid>
      <w:tr w:rsidR="00D34077" w:rsidRPr="0031366C" w14:paraId="382D1300" w14:textId="43F1F66F" w:rsidTr="006A0C4B">
        <w:trPr>
          <w:trHeight w:val="688"/>
        </w:trPr>
        <w:tc>
          <w:tcPr>
            <w:tcW w:w="2380" w:type="dxa"/>
            <w:hideMark/>
          </w:tcPr>
          <w:p w14:paraId="2806146E" w14:textId="1E1CBDED" w:rsidR="00D34077" w:rsidRPr="006A0C4B" w:rsidRDefault="00951247" w:rsidP="008821DF">
            <w:pPr>
              <w:rPr>
                <w:b/>
                <w:sz w:val="22"/>
                <w:szCs w:val="22"/>
              </w:rPr>
            </w:pPr>
            <w:r w:rsidRPr="006A0C4B">
              <w:rPr>
                <w:b/>
                <w:sz w:val="22"/>
                <w:szCs w:val="22"/>
              </w:rPr>
              <w:t>Emissions in MtCO</w:t>
            </w:r>
            <w:r w:rsidRPr="006A0C4B">
              <w:rPr>
                <w:b/>
                <w:sz w:val="22"/>
                <w:szCs w:val="22"/>
                <w:vertAlign w:val="subscript"/>
              </w:rPr>
              <w:t>2</w:t>
            </w:r>
            <w:r w:rsidRPr="006A0C4B">
              <w:rPr>
                <w:b/>
                <w:sz w:val="22"/>
                <w:szCs w:val="22"/>
              </w:rPr>
              <w:t>e</w:t>
            </w:r>
            <w:r w:rsidR="009A3C03" w:rsidRPr="006A0C4B">
              <w:rPr>
                <w:b/>
                <w:sz w:val="22"/>
                <w:szCs w:val="22"/>
              </w:rPr>
              <w:t xml:space="preserve"> </w:t>
            </w:r>
          </w:p>
        </w:tc>
        <w:tc>
          <w:tcPr>
            <w:tcW w:w="1953" w:type="dxa"/>
          </w:tcPr>
          <w:p w14:paraId="6DA8724C" w14:textId="3E69804F" w:rsidR="00D33517" w:rsidRPr="006A0C4B" w:rsidRDefault="00A95B77" w:rsidP="00861D79">
            <w:pPr>
              <w:jc w:val="right"/>
              <w:rPr>
                <w:b/>
                <w:sz w:val="22"/>
                <w:szCs w:val="22"/>
              </w:rPr>
            </w:pPr>
            <w:r w:rsidRPr="006A0C4B">
              <w:rPr>
                <w:b/>
                <w:sz w:val="22"/>
                <w:szCs w:val="22"/>
              </w:rPr>
              <w:t>Baseline</w:t>
            </w:r>
            <w:r w:rsidR="00A374CF" w:rsidRPr="006A0C4B">
              <w:rPr>
                <w:b/>
                <w:sz w:val="22"/>
                <w:szCs w:val="22"/>
              </w:rPr>
              <w:t xml:space="preserve">- </w:t>
            </w:r>
            <w:r w:rsidR="00A374CF" w:rsidRPr="006A0C4B">
              <w:rPr>
                <w:b/>
                <w:sz w:val="22"/>
                <w:szCs w:val="22"/>
              </w:rPr>
              <w:br/>
            </w:r>
            <w:r w:rsidR="00D33517" w:rsidRPr="006A0C4B">
              <w:rPr>
                <w:b/>
                <w:sz w:val="22"/>
                <w:szCs w:val="22"/>
              </w:rPr>
              <w:t>Do-nothing</w:t>
            </w:r>
          </w:p>
        </w:tc>
        <w:tc>
          <w:tcPr>
            <w:tcW w:w="1954" w:type="dxa"/>
            <w:hideMark/>
          </w:tcPr>
          <w:p w14:paraId="0C4A76BD" w14:textId="03758B9D" w:rsidR="00D34077" w:rsidRPr="006A0C4B" w:rsidRDefault="00D34077" w:rsidP="00861D79">
            <w:pPr>
              <w:jc w:val="right"/>
              <w:rPr>
                <w:b/>
                <w:sz w:val="22"/>
                <w:szCs w:val="22"/>
              </w:rPr>
            </w:pPr>
            <w:r w:rsidRPr="006A0C4B">
              <w:rPr>
                <w:b/>
                <w:sz w:val="22"/>
                <w:szCs w:val="22"/>
              </w:rPr>
              <w:t xml:space="preserve"> Option </w:t>
            </w:r>
            <w:r w:rsidR="00A374CF" w:rsidRPr="006A0C4B">
              <w:rPr>
                <w:b/>
                <w:sz w:val="22"/>
                <w:szCs w:val="22"/>
              </w:rPr>
              <w:t xml:space="preserve">2 – </w:t>
            </w:r>
            <w:r w:rsidR="00847A97" w:rsidRPr="006A0C4B">
              <w:rPr>
                <w:b/>
                <w:sz w:val="22"/>
                <w:szCs w:val="22"/>
              </w:rPr>
              <w:t>Looser</w:t>
            </w:r>
            <w:r w:rsidR="00A374CF" w:rsidRPr="006A0C4B">
              <w:rPr>
                <w:b/>
                <w:sz w:val="22"/>
                <w:szCs w:val="22"/>
              </w:rPr>
              <w:t xml:space="preserve"> </w:t>
            </w:r>
          </w:p>
        </w:tc>
        <w:tc>
          <w:tcPr>
            <w:tcW w:w="1954" w:type="dxa"/>
            <w:hideMark/>
          </w:tcPr>
          <w:p w14:paraId="41C90433" w14:textId="706C2AB1" w:rsidR="00423488" w:rsidRPr="006A0C4B" w:rsidRDefault="00D34077">
            <w:pPr>
              <w:jc w:val="right"/>
              <w:rPr>
                <w:b/>
                <w:sz w:val="22"/>
                <w:szCs w:val="22"/>
              </w:rPr>
            </w:pPr>
            <w:r w:rsidRPr="006A0C4B">
              <w:rPr>
                <w:b/>
                <w:sz w:val="22"/>
                <w:szCs w:val="22"/>
              </w:rPr>
              <w:t xml:space="preserve">Option </w:t>
            </w:r>
            <w:r w:rsidR="00A374CF" w:rsidRPr="006A0C4B">
              <w:rPr>
                <w:b/>
                <w:sz w:val="22"/>
                <w:szCs w:val="22"/>
              </w:rPr>
              <w:t xml:space="preserve">3 </w:t>
            </w:r>
            <w:r w:rsidR="00423488" w:rsidRPr="006A0C4B">
              <w:rPr>
                <w:b/>
                <w:sz w:val="22"/>
                <w:szCs w:val="22"/>
              </w:rPr>
              <w:t>–</w:t>
            </w:r>
          </w:p>
          <w:p w14:paraId="1FB9DBAC" w14:textId="70F6A947" w:rsidR="00D34077" w:rsidRPr="006A0C4B" w:rsidRDefault="00847A97" w:rsidP="00861D79">
            <w:pPr>
              <w:jc w:val="right"/>
              <w:rPr>
                <w:b/>
                <w:sz w:val="22"/>
                <w:szCs w:val="22"/>
              </w:rPr>
            </w:pPr>
            <w:r w:rsidRPr="006A0C4B">
              <w:rPr>
                <w:b/>
                <w:sz w:val="22"/>
                <w:szCs w:val="22"/>
              </w:rPr>
              <w:t>CCC</w:t>
            </w:r>
          </w:p>
        </w:tc>
        <w:tc>
          <w:tcPr>
            <w:tcW w:w="1954" w:type="dxa"/>
          </w:tcPr>
          <w:p w14:paraId="3487CDCD" w14:textId="00AEB9E5" w:rsidR="00D34077" w:rsidRPr="006A0C4B" w:rsidRDefault="00D34077" w:rsidP="00861D79">
            <w:pPr>
              <w:jc w:val="right"/>
              <w:rPr>
                <w:b/>
                <w:sz w:val="22"/>
                <w:szCs w:val="22"/>
              </w:rPr>
            </w:pPr>
            <w:r w:rsidRPr="006A0C4B">
              <w:rPr>
                <w:b/>
                <w:sz w:val="22"/>
                <w:szCs w:val="22"/>
              </w:rPr>
              <w:t xml:space="preserve">Option </w:t>
            </w:r>
            <w:r w:rsidR="00F04DAC" w:rsidRPr="006A0C4B">
              <w:rPr>
                <w:b/>
                <w:sz w:val="22"/>
                <w:szCs w:val="22"/>
              </w:rPr>
              <w:t>4</w:t>
            </w:r>
            <w:r w:rsidRPr="006A0C4B">
              <w:rPr>
                <w:b/>
                <w:sz w:val="22"/>
                <w:szCs w:val="22"/>
              </w:rPr>
              <w:t xml:space="preserve"> </w:t>
            </w:r>
            <w:r w:rsidR="00A374CF" w:rsidRPr="006A0C4B">
              <w:rPr>
                <w:b/>
                <w:sz w:val="22"/>
                <w:szCs w:val="22"/>
              </w:rPr>
              <w:t xml:space="preserve">- </w:t>
            </w:r>
            <w:r w:rsidR="00847A97" w:rsidRPr="006A0C4B">
              <w:rPr>
                <w:b/>
                <w:sz w:val="22"/>
                <w:szCs w:val="22"/>
              </w:rPr>
              <w:t>Tighter</w:t>
            </w:r>
          </w:p>
        </w:tc>
      </w:tr>
      <w:tr w:rsidR="00D34077" w:rsidRPr="0031366C" w14:paraId="3DA454FB" w14:textId="27B39CF7" w:rsidTr="004A26BA">
        <w:trPr>
          <w:trHeight w:val="290"/>
        </w:trPr>
        <w:tc>
          <w:tcPr>
            <w:tcW w:w="2380" w:type="dxa"/>
            <w:hideMark/>
          </w:tcPr>
          <w:p w14:paraId="343EC5B6" w14:textId="364E4313" w:rsidR="00D34077" w:rsidRPr="006A0C4B" w:rsidRDefault="00D33517" w:rsidP="008821DF">
            <w:pPr>
              <w:rPr>
                <w:b/>
                <w:sz w:val="22"/>
                <w:szCs w:val="22"/>
              </w:rPr>
            </w:pPr>
            <w:r w:rsidRPr="006A0C4B">
              <w:rPr>
                <w:b/>
                <w:sz w:val="22"/>
                <w:szCs w:val="22"/>
              </w:rPr>
              <w:t>Domestic</w:t>
            </w:r>
            <w:r w:rsidR="00D34077" w:rsidRPr="006A0C4B">
              <w:rPr>
                <w:b/>
                <w:sz w:val="22"/>
                <w:szCs w:val="22"/>
              </w:rPr>
              <w:t xml:space="preserve"> transport</w:t>
            </w:r>
          </w:p>
        </w:tc>
        <w:tc>
          <w:tcPr>
            <w:tcW w:w="1953" w:type="dxa"/>
          </w:tcPr>
          <w:p w14:paraId="5D8CC99D" w14:textId="52853C57" w:rsidR="00D33517" w:rsidRPr="006A0C4B" w:rsidRDefault="00766D2E" w:rsidP="00861D79">
            <w:pPr>
              <w:ind w:right="170"/>
              <w:jc w:val="right"/>
              <w:rPr>
                <w:sz w:val="22"/>
                <w:szCs w:val="22"/>
              </w:rPr>
            </w:pPr>
            <w:r w:rsidRPr="006A0C4B">
              <w:rPr>
                <w:sz w:val="22"/>
                <w:szCs w:val="22"/>
              </w:rPr>
              <w:t>83</w:t>
            </w:r>
          </w:p>
        </w:tc>
        <w:tc>
          <w:tcPr>
            <w:tcW w:w="1954" w:type="dxa"/>
            <w:hideMark/>
          </w:tcPr>
          <w:p w14:paraId="6733A15E" w14:textId="6DBDF683" w:rsidR="00D34077" w:rsidRPr="006A0C4B" w:rsidRDefault="00A374CF" w:rsidP="00861D79">
            <w:pPr>
              <w:ind w:right="170"/>
              <w:jc w:val="right"/>
              <w:rPr>
                <w:sz w:val="22"/>
                <w:szCs w:val="22"/>
              </w:rPr>
            </w:pPr>
            <w:r w:rsidRPr="006A0C4B">
              <w:rPr>
                <w:sz w:val="22"/>
                <w:szCs w:val="22"/>
              </w:rPr>
              <w:t>41-49</w:t>
            </w:r>
          </w:p>
        </w:tc>
        <w:tc>
          <w:tcPr>
            <w:tcW w:w="1954" w:type="dxa"/>
            <w:hideMark/>
          </w:tcPr>
          <w:p w14:paraId="42C29393" w14:textId="261C55C8" w:rsidR="00D34077" w:rsidRPr="006A0C4B" w:rsidRDefault="00392A4F" w:rsidP="00861D79">
            <w:pPr>
              <w:ind w:right="170"/>
              <w:jc w:val="right"/>
              <w:rPr>
                <w:sz w:val="22"/>
                <w:szCs w:val="22"/>
              </w:rPr>
            </w:pPr>
            <w:r w:rsidRPr="006A0C4B">
              <w:rPr>
                <w:sz w:val="22"/>
                <w:szCs w:val="22"/>
              </w:rPr>
              <w:t>30-3</w:t>
            </w:r>
            <w:r w:rsidR="00716B9D" w:rsidRPr="006A0C4B">
              <w:rPr>
                <w:sz w:val="22"/>
                <w:szCs w:val="22"/>
              </w:rPr>
              <w:t>7</w:t>
            </w:r>
          </w:p>
        </w:tc>
        <w:tc>
          <w:tcPr>
            <w:tcW w:w="1954" w:type="dxa"/>
          </w:tcPr>
          <w:p w14:paraId="3099811B" w14:textId="157B3097" w:rsidR="00D34077" w:rsidRPr="006A0C4B" w:rsidRDefault="00392A4F" w:rsidP="00861D79">
            <w:pPr>
              <w:ind w:right="170"/>
              <w:jc w:val="right"/>
              <w:rPr>
                <w:sz w:val="22"/>
                <w:szCs w:val="22"/>
              </w:rPr>
            </w:pPr>
            <w:r w:rsidRPr="006A0C4B">
              <w:rPr>
                <w:sz w:val="22"/>
                <w:szCs w:val="22"/>
              </w:rPr>
              <w:t>2</w:t>
            </w:r>
            <w:r w:rsidR="002B6100" w:rsidRPr="006A0C4B">
              <w:rPr>
                <w:sz w:val="22"/>
                <w:szCs w:val="22"/>
              </w:rPr>
              <w:t>1</w:t>
            </w:r>
            <w:r w:rsidRPr="006A0C4B">
              <w:rPr>
                <w:sz w:val="22"/>
                <w:szCs w:val="22"/>
              </w:rPr>
              <w:t>-2</w:t>
            </w:r>
            <w:r w:rsidR="002B6100" w:rsidRPr="006A0C4B">
              <w:rPr>
                <w:sz w:val="22"/>
                <w:szCs w:val="22"/>
              </w:rPr>
              <w:t>8</w:t>
            </w:r>
          </w:p>
        </w:tc>
      </w:tr>
      <w:tr w:rsidR="0082615B" w:rsidRPr="0031366C" w14:paraId="6A13400B" w14:textId="034D948B" w:rsidTr="006A0C4B">
        <w:trPr>
          <w:trHeight w:val="230"/>
        </w:trPr>
        <w:tc>
          <w:tcPr>
            <w:tcW w:w="2380" w:type="dxa"/>
            <w:hideMark/>
          </w:tcPr>
          <w:p w14:paraId="645CEE35" w14:textId="3203C7EE" w:rsidR="0082615B" w:rsidRPr="006A0C4B" w:rsidRDefault="0082615B" w:rsidP="0082615B">
            <w:pPr>
              <w:rPr>
                <w:b/>
                <w:sz w:val="22"/>
                <w:szCs w:val="22"/>
              </w:rPr>
            </w:pPr>
            <w:r w:rsidRPr="006A0C4B" w:rsidDel="004F6A4A">
              <w:rPr>
                <w:b/>
                <w:sz w:val="22"/>
                <w:szCs w:val="22"/>
              </w:rPr>
              <w:t>Industry</w:t>
            </w:r>
          </w:p>
        </w:tc>
        <w:tc>
          <w:tcPr>
            <w:tcW w:w="1953" w:type="dxa"/>
          </w:tcPr>
          <w:p w14:paraId="22198ED7" w14:textId="5619BC58" w:rsidR="0082615B" w:rsidRPr="006A0C4B" w:rsidRDefault="0082615B" w:rsidP="0082615B">
            <w:pPr>
              <w:ind w:right="170"/>
              <w:jc w:val="right"/>
              <w:rPr>
                <w:sz w:val="22"/>
                <w:szCs w:val="22"/>
              </w:rPr>
            </w:pPr>
            <w:r w:rsidRPr="006A0C4B" w:rsidDel="004F6A4A">
              <w:rPr>
                <w:sz w:val="22"/>
                <w:szCs w:val="22"/>
              </w:rPr>
              <w:t>37</w:t>
            </w:r>
          </w:p>
        </w:tc>
        <w:tc>
          <w:tcPr>
            <w:tcW w:w="1954" w:type="dxa"/>
            <w:hideMark/>
          </w:tcPr>
          <w:p w14:paraId="5C2B5CF7" w14:textId="345B4F5D" w:rsidR="0082615B" w:rsidRPr="006A0C4B" w:rsidRDefault="0082615B" w:rsidP="0082615B">
            <w:pPr>
              <w:ind w:right="170"/>
              <w:jc w:val="right"/>
              <w:rPr>
                <w:sz w:val="22"/>
                <w:szCs w:val="22"/>
              </w:rPr>
            </w:pPr>
            <w:r w:rsidRPr="006A0C4B" w:rsidDel="004F6A4A">
              <w:rPr>
                <w:sz w:val="22"/>
                <w:szCs w:val="22"/>
              </w:rPr>
              <w:t>20-21</w:t>
            </w:r>
          </w:p>
        </w:tc>
        <w:tc>
          <w:tcPr>
            <w:tcW w:w="1954" w:type="dxa"/>
            <w:hideMark/>
          </w:tcPr>
          <w:p w14:paraId="069A5749" w14:textId="2E0082FF" w:rsidR="0082615B" w:rsidRPr="006A0C4B" w:rsidRDefault="0082615B" w:rsidP="0082615B">
            <w:pPr>
              <w:ind w:right="170"/>
              <w:jc w:val="right"/>
              <w:rPr>
                <w:sz w:val="22"/>
                <w:szCs w:val="22"/>
              </w:rPr>
            </w:pPr>
            <w:r w:rsidRPr="006A0C4B" w:rsidDel="004F6A4A">
              <w:rPr>
                <w:sz w:val="22"/>
                <w:szCs w:val="22"/>
              </w:rPr>
              <w:t>15-17</w:t>
            </w:r>
          </w:p>
        </w:tc>
        <w:tc>
          <w:tcPr>
            <w:tcW w:w="1954" w:type="dxa"/>
          </w:tcPr>
          <w:p w14:paraId="52484C32" w14:textId="64AE2CCD" w:rsidR="0082615B" w:rsidRPr="006A0C4B" w:rsidRDefault="0082615B" w:rsidP="0082615B">
            <w:pPr>
              <w:ind w:right="170"/>
              <w:jc w:val="right"/>
              <w:rPr>
                <w:sz w:val="22"/>
                <w:szCs w:val="22"/>
              </w:rPr>
            </w:pPr>
            <w:r w:rsidRPr="006A0C4B">
              <w:rPr>
                <w:sz w:val="22"/>
                <w:szCs w:val="22"/>
              </w:rPr>
              <w:t>15-17</w:t>
            </w:r>
          </w:p>
        </w:tc>
      </w:tr>
      <w:tr w:rsidR="00D34077" w:rsidRPr="0031366C" w14:paraId="1C91FCEC" w14:textId="4483A85E" w:rsidTr="006A0C4B">
        <w:trPr>
          <w:trHeight w:val="230"/>
        </w:trPr>
        <w:tc>
          <w:tcPr>
            <w:tcW w:w="2380" w:type="dxa"/>
            <w:hideMark/>
          </w:tcPr>
          <w:p w14:paraId="7F8CCC7F" w14:textId="08F9AF35" w:rsidR="00D34077" w:rsidRPr="006A0C4B" w:rsidRDefault="00C75A65" w:rsidP="008821DF">
            <w:pPr>
              <w:rPr>
                <w:b/>
                <w:sz w:val="22"/>
                <w:szCs w:val="22"/>
              </w:rPr>
            </w:pPr>
            <w:r w:rsidRPr="006A0C4B">
              <w:rPr>
                <w:b/>
                <w:sz w:val="22"/>
                <w:szCs w:val="22"/>
              </w:rPr>
              <w:t>Fuel supply</w:t>
            </w:r>
          </w:p>
        </w:tc>
        <w:tc>
          <w:tcPr>
            <w:tcW w:w="1953" w:type="dxa"/>
          </w:tcPr>
          <w:p w14:paraId="74E3E29F" w14:textId="6C055128" w:rsidR="00D33517" w:rsidRPr="006A0C4B" w:rsidRDefault="00766D2E" w:rsidP="00861D79">
            <w:pPr>
              <w:ind w:right="170"/>
              <w:jc w:val="right"/>
              <w:rPr>
                <w:sz w:val="22"/>
                <w:szCs w:val="22"/>
              </w:rPr>
            </w:pPr>
            <w:r w:rsidRPr="006A0C4B">
              <w:rPr>
                <w:sz w:val="22"/>
                <w:szCs w:val="22"/>
              </w:rPr>
              <w:t>46</w:t>
            </w:r>
          </w:p>
        </w:tc>
        <w:tc>
          <w:tcPr>
            <w:tcW w:w="1954" w:type="dxa"/>
            <w:hideMark/>
          </w:tcPr>
          <w:p w14:paraId="578E108F" w14:textId="331A569A" w:rsidR="00D34077" w:rsidRPr="006A0C4B" w:rsidRDefault="00392A4F" w:rsidP="00861D79">
            <w:pPr>
              <w:ind w:right="170"/>
              <w:jc w:val="right"/>
              <w:rPr>
                <w:sz w:val="22"/>
                <w:szCs w:val="22"/>
              </w:rPr>
            </w:pPr>
            <w:r w:rsidRPr="006A0C4B">
              <w:rPr>
                <w:sz w:val="22"/>
                <w:szCs w:val="22"/>
              </w:rPr>
              <w:t>17-20</w:t>
            </w:r>
          </w:p>
        </w:tc>
        <w:tc>
          <w:tcPr>
            <w:tcW w:w="1954" w:type="dxa"/>
            <w:hideMark/>
          </w:tcPr>
          <w:p w14:paraId="001E1180" w14:textId="1AC78E8C" w:rsidR="00D34077" w:rsidRPr="006A0C4B" w:rsidRDefault="003035C6" w:rsidP="00861D79">
            <w:pPr>
              <w:ind w:right="170"/>
              <w:jc w:val="right"/>
              <w:rPr>
                <w:sz w:val="22"/>
                <w:szCs w:val="22"/>
              </w:rPr>
            </w:pPr>
            <w:r w:rsidRPr="006A0C4B">
              <w:rPr>
                <w:sz w:val="22"/>
                <w:szCs w:val="22"/>
              </w:rPr>
              <w:t>8-11</w:t>
            </w:r>
          </w:p>
        </w:tc>
        <w:tc>
          <w:tcPr>
            <w:tcW w:w="1954" w:type="dxa"/>
          </w:tcPr>
          <w:p w14:paraId="09DF0687" w14:textId="2F865678" w:rsidR="00D34077" w:rsidRPr="006A0C4B" w:rsidRDefault="003035C6" w:rsidP="00861D79">
            <w:pPr>
              <w:ind w:right="170"/>
              <w:jc w:val="right"/>
              <w:rPr>
                <w:sz w:val="22"/>
                <w:szCs w:val="22"/>
              </w:rPr>
            </w:pPr>
            <w:r w:rsidRPr="006A0C4B">
              <w:rPr>
                <w:sz w:val="22"/>
                <w:szCs w:val="22"/>
              </w:rPr>
              <w:t>8-9</w:t>
            </w:r>
          </w:p>
        </w:tc>
      </w:tr>
      <w:tr w:rsidR="00D34077" w:rsidRPr="0031366C" w14:paraId="7B3DC9E0" w14:textId="7AA182E0" w:rsidTr="006A0C4B">
        <w:trPr>
          <w:trHeight w:val="230"/>
        </w:trPr>
        <w:tc>
          <w:tcPr>
            <w:tcW w:w="2380" w:type="dxa"/>
            <w:hideMark/>
          </w:tcPr>
          <w:p w14:paraId="27A09DAA" w14:textId="4F1065B7" w:rsidR="00D34077" w:rsidRPr="006A0C4B" w:rsidRDefault="00D34077" w:rsidP="008821DF">
            <w:pPr>
              <w:rPr>
                <w:b/>
                <w:sz w:val="22"/>
                <w:szCs w:val="22"/>
              </w:rPr>
            </w:pPr>
            <w:r w:rsidRPr="006A0C4B">
              <w:rPr>
                <w:b/>
                <w:sz w:val="22"/>
                <w:szCs w:val="22"/>
              </w:rPr>
              <w:t>Buildings</w:t>
            </w:r>
          </w:p>
        </w:tc>
        <w:tc>
          <w:tcPr>
            <w:tcW w:w="1953" w:type="dxa"/>
          </w:tcPr>
          <w:p w14:paraId="53F634C1" w14:textId="6DC34BF5" w:rsidR="00D33517" w:rsidRPr="006A0C4B" w:rsidRDefault="00766D2E" w:rsidP="00861D79">
            <w:pPr>
              <w:ind w:right="170"/>
              <w:jc w:val="right"/>
              <w:rPr>
                <w:sz w:val="22"/>
                <w:szCs w:val="22"/>
              </w:rPr>
            </w:pPr>
            <w:r w:rsidRPr="006A0C4B">
              <w:rPr>
                <w:sz w:val="22"/>
                <w:szCs w:val="22"/>
              </w:rPr>
              <w:t>9</w:t>
            </w:r>
            <w:r w:rsidR="0083326E" w:rsidRPr="006A0C4B">
              <w:rPr>
                <w:sz w:val="22"/>
                <w:szCs w:val="22"/>
              </w:rPr>
              <w:t>8</w:t>
            </w:r>
          </w:p>
        </w:tc>
        <w:tc>
          <w:tcPr>
            <w:tcW w:w="1954" w:type="dxa"/>
            <w:hideMark/>
          </w:tcPr>
          <w:p w14:paraId="57CD3FE6" w14:textId="2E090C2E" w:rsidR="00D34077" w:rsidRPr="006A0C4B" w:rsidRDefault="00392A4F" w:rsidP="00861D79">
            <w:pPr>
              <w:ind w:right="170"/>
              <w:jc w:val="right"/>
              <w:rPr>
                <w:sz w:val="22"/>
                <w:szCs w:val="22"/>
              </w:rPr>
            </w:pPr>
            <w:r w:rsidRPr="006A0C4B">
              <w:rPr>
                <w:sz w:val="22"/>
                <w:szCs w:val="22"/>
              </w:rPr>
              <w:t>4</w:t>
            </w:r>
            <w:r w:rsidR="00227CAB" w:rsidRPr="006A0C4B">
              <w:rPr>
                <w:sz w:val="22"/>
                <w:szCs w:val="22"/>
              </w:rPr>
              <w:t>8</w:t>
            </w:r>
            <w:r w:rsidRPr="006A0C4B">
              <w:rPr>
                <w:sz w:val="22"/>
                <w:szCs w:val="22"/>
              </w:rPr>
              <w:t>-5</w:t>
            </w:r>
            <w:r w:rsidR="00227CAB" w:rsidRPr="006A0C4B">
              <w:rPr>
                <w:sz w:val="22"/>
                <w:szCs w:val="22"/>
              </w:rPr>
              <w:t>3</w:t>
            </w:r>
          </w:p>
        </w:tc>
        <w:tc>
          <w:tcPr>
            <w:tcW w:w="1954" w:type="dxa"/>
            <w:hideMark/>
          </w:tcPr>
          <w:p w14:paraId="78193CC8" w14:textId="2C250113" w:rsidR="00D34077" w:rsidRPr="006A0C4B" w:rsidRDefault="003035C6" w:rsidP="00861D79">
            <w:pPr>
              <w:ind w:right="170"/>
              <w:jc w:val="right"/>
              <w:rPr>
                <w:sz w:val="22"/>
                <w:szCs w:val="22"/>
              </w:rPr>
            </w:pPr>
            <w:r w:rsidRPr="006A0C4B">
              <w:rPr>
                <w:sz w:val="22"/>
                <w:szCs w:val="22"/>
              </w:rPr>
              <w:t>44-4</w:t>
            </w:r>
            <w:r w:rsidR="00423343" w:rsidRPr="006A0C4B">
              <w:rPr>
                <w:sz w:val="22"/>
                <w:szCs w:val="22"/>
              </w:rPr>
              <w:t>7</w:t>
            </w:r>
          </w:p>
        </w:tc>
        <w:tc>
          <w:tcPr>
            <w:tcW w:w="1954" w:type="dxa"/>
          </w:tcPr>
          <w:p w14:paraId="2126C4D6" w14:textId="2E7C4F82" w:rsidR="00D34077" w:rsidRPr="006A0C4B" w:rsidRDefault="00EB7B21" w:rsidP="00861D79">
            <w:pPr>
              <w:ind w:right="170"/>
              <w:jc w:val="right"/>
              <w:rPr>
                <w:sz w:val="22"/>
                <w:szCs w:val="22"/>
              </w:rPr>
            </w:pPr>
            <w:r w:rsidRPr="006A0C4B">
              <w:rPr>
                <w:sz w:val="22"/>
                <w:szCs w:val="22"/>
              </w:rPr>
              <w:t>41-47</w:t>
            </w:r>
          </w:p>
        </w:tc>
      </w:tr>
      <w:tr w:rsidR="001501FA" w:rsidRPr="0031366C" w14:paraId="726DF253" w14:textId="4B690D22" w:rsidTr="006A0C4B">
        <w:trPr>
          <w:trHeight w:val="230"/>
        </w:trPr>
        <w:tc>
          <w:tcPr>
            <w:tcW w:w="2380" w:type="dxa"/>
            <w:hideMark/>
          </w:tcPr>
          <w:p w14:paraId="0C769515" w14:textId="431AFDC3" w:rsidR="001501FA" w:rsidRPr="006A0C4B" w:rsidRDefault="001501FA" w:rsidP="001501FA">
            <w:pPr>
              <w:rPr>
                <w:b/>
                <w:sz w:val="22"/>
                <w:szCs w:val="22"/>
              </w:rPr>
            </w:pPr>
            <w:r w:rsidRPr="006A0C4B">
              <w:rPr>
                <w:b/>
                <w:sz w:val="22"/>
                <w:szCs w:val="22"/>
              </w:rPr>
              <w:t>Electricity</w:t>
            </w:r>
          </w:p>
        </w:tc>
        <w:tc>
          <w:tcPr>
            <w:tcW w:w="1953" w:type="dxa"/>
          </w:tcPr>
          <w:p w14:paraId="0D85136A" w14:textId="554A3892" w:rsidR="001501FA" w:rsidRPr="006A0C4B" w:rsidRDefault="001501FA" w:rsidP="001501FA">
            <w:pPr>
              <w:ind w:right="170"/>
              <w:jc w:val="right"/>
              <w:rPr>
                <w:sz w:val="22"/>
                <w:szCs w:val="22"/>
              </w:rPr>
            </w:pPr>
            <w:r w:rsidRPr="006A0C4B">
              <w:rPr>
                <w:sz w:val="22"/>
                <w:szCs w:val="22"/>
              </w:rPr>
              <w:t>26</w:t>
            </w:r>
          </w:p>
        </w:tc>
        <w:tc>
          <w:tcPr>
            <w:tcW w:w="1954" w:type="dxa"/>
            <w:hideMark/>
          </w:tcPr>
          <w:p w14:paraId="3C420019" w14:textId="74642EC0" w:rsidR="001501FA" w:rsidRPr="006A0C4B" w:rsidRDefault="001501FA" w:rsidP="001501FA">
            <w:pPr>
              <w:ind w:right="170"/>
              <w:jc w:val="right"/>
              <w:rPr>
                <w:sz w:val="22"/>
                <w:szCs w:val="22"/>
              </w:rPr>
            </w:pPr>
            <w:r w:rsidRPr="006A0C4B" w:rsidDel="00C75957">
              <w:rPr>
                <w:sz w:val="22"/>
                <w:szCs w:val="22"/>
              </w:rPr>
              <w:t>7</w:t>
            </w:r>
            <w:r w:rsidR="00C66A90">
              <w:rPr>
                <w:sz w:val="22"/>
                <w:szCs w:val="22"/>
              </w:rPr>
              <w:t>-12</w:t>
            </w:r>
          </w:p>
        </w:tc>
        <w:tc>
          <w:tcPr>
            <w:tcW w:w="1954" w:type="dxa"/>
            <w:hideMark/>
          </w:tcPr>
          <w:p w14:paraId="4B0AA522" w14:textId="54B90E27" w:rsidR="001501FA" w:rsidRPr="006A0C4B" w:rsidRDefault="001501FA" w:rsidP="001501FA">
            <w:pPr>
              <w:ind w:right="170"/>
              <w:jc w:val="right"/>
              <w:rPr>
                <w:sz w:val="22"/>
                <w:szCs w:val="22"/>
              </w:rPr>
            </w:pPr>
            <w:r w:rsidRPr="006A0C4B" w:rsidDel="00C75957">
              <w:rPr>
                <w:sz w:val="22"/>
                <w:szCs w:val="22"/>
              </w:rPr>
              <w:t>7</w:t>
            </w:r>
            <w:r w:rsidR="00C66A90">
              <w:rPr>
                <w:sz w:val="22"/>
                <w:szCs w:val="22"/>
              </w:rPr>
              <w:t>-12</w:t>
            </w:r>
          </w:p>
        </w:tc>
        <w:tc>
          <w:tcPr>
            <w:tcW w:w="1954" w:type="dxa"/>
          </w:tcPr>
          <w:p w14:paraId="1829A786" w14:textId="38875BF1" w:rsidR="001501FA" w:rsidRPr="006A0C4B" w:rsidRDefault="001501FA" w:rsidP="001501FA">
            <w:pPr>
              <w:ind w:right="170"/>
              <w:jc w:val="right"/>
              <w:rPr>
                <w:sz w:val="22"/>
                <w:szCs w:val="22"/>
              </w:rPr>
            </w:pPr>
            <w:r w:rsidRPr="006A0C4B">
              <w:rPr>
                <w:sz w:val="22"/>
                <w:szCs w:val="22"/>
              </w:rPr>
              <w:t>7</w:t>
            </w:r>
            <w:r w:rsidR="00C66A90">
              <w:rPr>
                <w:sz w:val="22"/>
                <w:szCs w:val="22"/>
              </w:rPr>
              <w:t>-12</w:t>
            </w:r>
          </w:p>
        </w:tc>
      </w:tr>
      <w:tr w:rsidR="00D34077" w:rsidRPr="0031366C" w14:paraId="1400511D" w14:textId="208381A0" w:rsidTr="006A0C4B">
        <w:trPr>
          <w:trHeight w:val="230"/>
        </w:trPr>
        <w:tc>
          <w:tcPr>
            <w:tcW w:w="2380" w:type="dxa"/>
            <w:hideMark/>
          </w:tcPr>
          <w:p w14:paraId="7EF64658" w14:textId="7D860B56" w:rsidR="00D34077" w:rsidRPr="006A0C4B" w:rsidRDefault="00D34077" w:rsidP="008821DF">
            <w:pPr>
              <w:rPr>
                <w:b/>
                <w:sz w:val="22"/>
                <w:szCs w:val="22"/>
              </w:rPr>
            </w:pPr>
            <w:r w:rsidRPr="006A0C4B">
              <w:rPr>
                <w:b/>
                <w:sz w:val="22"/>
                <w:szCs w:val="22"/>
              </w:rPr>
              <w:t>Agriculture</w:t>
            </w:r>
          </w:p>
        </w:tc>
        <w:tc>
          <w:tcPr>
            <w:tcW w:w="1953" w:type="dxa"/>
          </w:tcPr>
          <w:p w14:paraId="1C53F444" w14:textId="29061369" w:rsidR="00D33517" w:rsidRPr="006A0C4B" w:rsidRDefault="00766D2E" w:rsidP="00861D79">
            <w:pPr>
              <w:ind w:right="170"/>
              <w:jc w:val="right"/>
              <w:rPr>
                <w:sz w:val="22"/>
                <w:szCs w:val="22"/>
              </w:rPr>
            </w:pPr>
            <w:r w:rsidRPr="006A0C4B">
              <w:rPr>
                <w:sz w:val="22"/>
                <w:szCs w:val="22"/>
              </w:rPr>
              <w:t>48</w:t>
            </w:r>
          </w:p>
        </w:tc>
        <w:tc>
          <w:tcPr>
            <w:tcW w:w="1954" w:type="dxa"/>
            <w:hideMark/>
          </w:tcPr>
          <w:p w14:paraId="48F5A943" w14:textId="3E5B262B" w:rsidR="00D34077" w:rsidRPr="006A0C4B" w:rsidRDefault="00392A4F" w:rsidP="00861D79">
            <w:pPr>
              <w:ind w:right="170"/>
              <w:jc w:val="right"/>
              <w:rPr>
                <w:sz w:val="22"/>
                <w:szCs w:val="22"/>
              </w:rPr>
            </w:pPr>
            <w:r w:rsidRPr="006A0C4B">
              <w:rPr>
                <w:sz w:val="22"/>
                <w:szCs w:val="22"/>
              </w:rPr>
              <w:t>43</w:t>
            </w:r>
          </w:p>
        </w:tc>
        <w:tc>
          <w:tcPr>
            <w:tcW w:w="1954" w:type="dxa"/>
            <w:hideMark/>
          </w:tcPr>
          <w:p w14:paraId="136B3C98" w14:textId="4F0F2046" w:rsidR="00D34077" w:rsidRPr="006A0C4B" w:rsidRDefault="00AF726F" w:rsidP="00861D79">
            <w:pPr>
              <w:ind w:right="170"/>
              <w:jc w:val="right"/>
              <w:rPr>
                <w:sz w:val="22"/>
                <w:szCs w:val="22"/>
              </w:rPr>
            </w:pPr>
            <w:r w:rsidRPr="006A0C4B">
              <w:rPr>
                <w:sz w:val="22"/>
                <w:szCs w:val="22"/>
              </w:rPr>
              <w:t>42-43</w:t>
            </w:r>
          </w:p>
        </w:tc>
        <w:tc>
          <w:tcPr>
            <w:tcW w:w="1954" w:type="dxa"/>
          </w:tcPr>
          <w:p w14:paraId="70108F9E" w14:textId="588F9257" w:rsidR="00D34077" w:rsidRPr="006A0C4B" w:rsidRDefault="00AF726F" w:rsidP="00861D79">
            <w:pPr>
              <w:ind w:right="170"/>
              <w:jc w:val="right"/>
              <w:rPr>
                <w:sz w:val="22"/>
                <w:szCs w:val="22"/>
              </w:rPr>
            </w:pPr>
            <w:r w:rsidRPr="006A0C4B">
              <w:rPr>
                <w:sz w:val="22"/>
                <w:szCs w:val="22"/>
              </w:rPr>
              <w:t>42</w:t>
            </w:r>
          </w:p>
        </w:tc>
      </w:tr>
      <w:tr w:rsidR="00D34077" w:rsidRPr="0031366C" w14:paraId="09949450" w14:textId="44B21E10" w:rsidTr="006A0C4B">
        <w:trPr>
          <w:trHeight w:val="230"/>
        </w:trPr>
        <w:tc>
          <w:tcPr>
            <w:tcW w:w="2380" w:type="dxa"/>
            <w:hideMark/>
          </w:tcPr>
          <w:p w14:paraId="6B347A5B" w14:textId="1A6DD8DB" w:rsidR="00D34077" w:rsidRPr="006A0C4B" w:rsidRDefault="00D34077" w:rsidP="008821DF">
            <w:pPr>
              <w:rPr>
                <w:b/>
                <w:sz w:val="22"/>
                <w:szCs w:val="22"/>
              </w:rPr>
            </w:pPr>
            <w:r w:rsidRPr="006A0C4B">
              <w:rPr>
                <w:b/>
                <w:sz w:val="22"/>
                <w:szCs w:val="22"/>
              </w:rPr>
              <w:t>Waste</w:t>
            </w:r>
          </w:p>
        </w:tc>
        <w:tc>
          <w:tcPr>
            <w:tcW w:w="1953" w:type="dxa"/>
          </w:tcPr>
          <w:p w14:paraId="1B4A9702" w14:textId="50B6FB80" w:rsidR="00D33517" w:rsidRPr="006A0C4B" w:rsidRDefault="004D304A" w:rsidP="00861D79">
            <w:pPr>
              <w:ind w:right="170"/>
              <w:jc w:val="right"/>
              <w:rPr>
                <w:sz w:val="22"/>
                <w:szCs w:val="22"/>
              </w:rPr>
            </w:pPr>
            <w:r w:rsidRPr="006A0C4B">
              <w:rPr>
                <w:sz w:val="22"/>
                <w:szCs w:val="22"/>
              </w:rPr>
              <w:t>16</w:t>
            </w:r>
          </w:p>
        </w:tc>
        <w:tc>
          <w:tcPr>
            <w:tcW w:w="1954" w:type="dxa"/>
            <w:hideMark/>
          </w:tcPr>
          <w:p w14:paraId="5746F76F" w14:textId="67B3C31E" w:rsidR="00D34077" w:rsidRPr="006A0C4B" w:rsidRDefault="00392A4F" w:rsidP="00861D79">
            <w:pPr>
              <w:ind w:right="170"/>
              <w:jc w:val="right"/>
              <w:rPr>
                <w:sz w:val="22"/>
                <w:szCs w:val="22"/>
              </w:rPr>
            </w:pPr>
            <w:r w:rsidRPr="006A0C4B">
              <w:rPr>
                <w:sz w:val="22"/>
                <w:szCs w:val="22"/>
              </w:rPr>
              <w:t>12</w:t>
            </w:r>
          </w:p>
        </w:tc>
        <w:tc>
          <w:tcPr>
            <w:tcW w:w="1954" w:type="dxa"/>
            <w:hideMark/>
          </w:tcPr>
          <w:p w14:paraId="588F3943" w14:textId="75C8AA03" w:rsidR="00D34077" w:rsidRPr="006A0C4B" w:rsidRDefault="00AF726F" w:rsidP="00861D79">
            <w:pPr>
              <w:ind w:right="170"/>
              <w:jc w:val="right"/>
              <w:rPr>
                <w:sz w:val="22"/>
                <w:szCs w:val="22"/>
              </w:rPr>
            </w:pPr>
            <w:r w:rsidRPr="006A0C4B">
              <w:rPr>
                <w:sz w:val="22"/>
                <w:szCs w:val="22"/>
              </w:rPr>
              <w:t>12</w:t>
            </w:r>
          </w:p>
        </w:tc>
        <w:tc>
          <w:tcPr>
            <w:tcW w:w="1954" w:type="dxa"/>
          </w:tcPr>
          <w:p w14:paraId="0038340B" w14:textId="64922A9D" w:rsidR="00D34077" w:rsidRPr="006A0C4B" w:rsidRDefault="00AF726F" w:rsidP="00861D79">
            <w:pPr>
              <w:ind w:right="170"/>
              <w:jc w:val="right"/>
              <w:rPr>
                <w:sz w:val="22"/>
                <w:szCs w:val="22"/>
              </w:rPr>
            </w:pPr>
            <w:r w:rsidRPr="006A0C4B">
              <w:rPr>
                <w:sz w:val="22"/>
                <w:szCs w:val="22"/>
              </w:rPr>
              <w:t>12</w:t>
            </w:r>
          </w:p>
        </w:tc>
      </w:tr>
      <w:tr w:rsidR="00D34077" w:rsidRPr="0031366C" w14:paraId="1A303045" w14:textId="0A91A52C" w:rsidTr="006A0C4B">
        <w:trPr>
          <w:trHeight w:val="230"/>
        </w:trPr>
        <w:tc>
          <w:tcPr>
            <w:tcW w:w="2380" w:type="dxa"/>
            <w:hideMark/>
          </w:tcPr>
          <w:p w14:paraId="240A73CA" w14:textId="574B9941" w:rsidR="00D34077" w:rsidRPr="006A0C4B" w:rsidRDefault="00D33517" w:rsidP="008821DF">
            <w:pPr>
              <w:rPr>
                <w:b/>
                <w:sz w:val="22"/>
                <w:szCs w:val="22"/>
              </w:rPr>
            </w:pPr>
            <w:r w:rsidRPr="006A0C4B">
              <w:rPr>
                <w:b/>
                <w:sz w:val="22"/>
                <w:szCs w:val="22"/>
              </w:rPr>
              <w:t>F-gases</w:t>
            </w:r>
          </w:p>
        </w:tc>
        <w:tc>
          <w:tcPr>
            <w:tcW w:w="1953" w:type="dxa"/>
          </w:tcPr>
          <w:p w14:paraId="3EFD19F5" w14:textId="5351B038" w:rsidR="00D33517" w:rsidRPr="006A0C4B" w:rsidRDefault="00766D2E" w:rsidP="00861D79">
            <w:pPr>
              <w:ind w:right="170"/>
              <w:jc w:val="right"/>
              <w:rPr>
                <w:sz w:val="22"/>
                <w:szCs w:val="22"/>
              </w:rPr>
            </w:pPr>
            <w:r w:rsidRPr="006A0C4B">
              <w:rPr>
                <w:sz w:val="22"/>
                <w:szCs w:val="22"/>
              </w:rPr>
              <w:t>5</w:t>
            </w:r>
          </w:p>
        </w:tc>
        <w:tc>
          <w:tcPr>
            <w:tcW w:w="1954" w:type="dxa"/>
            <w:hideMark/>
          </w:tcPr>
          <w:p w14:paraId="4008E519" w14:textId="76513A00" w:rsidR="00D34077" w:rsidRPr="006A0C4B" w:rsidRDefault="00392A4F" w:rsidP="00861D79">
            <w:pPr>
              <w:ind w:right="170"/>
              <w:jc w:val="right"/>
              <w:rPr>
                <w:sz w:val="22"/>
                <w:szCs w:val="22"/>
              </w:rPr>
            </w:pPr>
            <w:r w:rsidRPr="006A0C4B">
              <w:rPr>
                <w:sz w:val="22"/>
                <w:szCs w:val="22"/>
              </w:rPr>
              <w:t>3</w:t>
            </w:r>
          </w:p>
        </w:tc>
        <w:tc>
          <w:tcPr>
            <w:tcW w:w="1954" w:type="dxa"/>
            <w:hideMark/>
          </w:tcPr>
          <w:p w14:paraId="3049CC52" w14:textId="5679B947" w:rsidR="00D34077" w:rsidRPr="006A0C4B" w:rsidRDefault="00AF726F" w:rsidP="00861D79">
            <w:pPr>
              <w:ind w:right="170"/>
              <w:jc w:val="right"/>
              <w:rPr>
                <w:sz w:val="22"/>
                <w:szCs w:val="22"/>
              </w:rPr>
            </w:pPr>
            <w:r w:rsidRPr="006A0C4B">
              <w:rPr>
                <w:sz w:val="22"/>
                <w:szCs w:val="22"/>
              </w:rPr>
              <w:t>3</w:t>
            </w:r>
          </w:p>
        </w:tc>
        <w:tc>
          <w:tcPr>
            <w:tcW w:w="1954" w:type="dxa"/>
          </w:tcPr>
          <w:p w14:paraId="107A4F13" w14:textId="16C5B662" w:rsidR="00D34077" w:rsidRPr="006A0C4B" w:rsidRDefault="00AF726F" w:rsidP="00861D79">
            <w:pPr>
              <w:ind w:right="170"/>
              <w:jc w:val="right"/>
              <w:rPr>
                <w:sz w:val="22"/>
                <w:szCs w:val="22"/>
              </w:rPr>
            </w:pPr>
            <w:r w:rsidRPr="006A0C4B">
              <w:rPr>
                <w:sz w:val="22"/>
                <w:szCs w:val="22"/>
              </w:rPr>
              <w:t>3</w:t>
            </w:r>
          </w:p>
        </w:tc>
      </w:tr>
      <w:tr w:rsidR="00D34077" w:rsidRPr="0031366C" w14:paraId="7925917E" w14:textId="2839464A" w:rsidTr="006A0C4B">
        <w:trPr>
          <w:trHeight w:val="230"/>
        </w:trPr>
        <w:tc>
          <w:tcPr>
            <w:tcW w:w="2380" w:type="dxa"/>
            <w:hideMark/>
          </w:tcPr>
          <w:p w14:paraId="45B88FAC" w14:textId="032511B8" w:rsidR="00D34077" w:rsidRPr="006A0C4B" w:rsidRDefault="00D34077" w:rsidP="008821DF">
            <w:pPr>
              <w:rPr>
                <w:b/>
                <w:sz w:val="22"/>
                <w:szCs w:val="22"/>
              </w:rPr>
            </w:pPr>
            <w:r w:rsidRPr="006A0C4B">
              <w:rPr>
                <w:b/>
                <w:sz w:val="22"/>
                <w:szCs w:val="22"/>
              </w:rPr>
              <w:t>LULUCF</w:t>
            </w:r>
          </w:p>
        </w:tc>
        <w:tc>
          <w:tcPr>
            <w:tcW w:w="1953" w:type="dxa"/>
          </w:tcPr>
          <w:p w14:paraId="2FCB3C11" w14:textId="22467BEE" w:rsidR="00D33517" w:rsidRPr="006A0C4B" w:rsidRDefault="00766D2E" w:rsidP="00861D79">
            <w:pPr>
              <w:ind w:right="170"/>
              <w:jc w:val="right"/>
              <w:rPr>
                <w:sz w:val="22"/>
                <w:szCs w:val="22"/>
              </w:rPr>
            </w:pPr>
            <w:r w:rsidRPr="006A0C4B">
              <w:rPr>
                <w:sz w:val="22"/>
                <w:szCs w:val="22"/>
              </w:rPr>
              <w:t>18</w:t>
            </w:r>
          </w:p>
        </w:tc>
        <w:tc>
          <w:tcPr>
            <w:tcW w:w="1954" w:type="dxa"/>
            <w:hideMark/>
          </w:tcPr>
          <w:p w14:paraId="546C93B2" w14:textId="23CA88E7" w:rsidR="00D34077" w:rsidRPr="006A0C4B" w:rsidRDefault="00392A4F" w:rsidP="00861D79">
            <w:pPr>
              <w:ind w:right="170"/>
              <w:jc w:val="right"/>
              <w:rPr>
                <w:sz w:val="22"/>
                <w:szCs w:val="22"/>
                <w:vertAlign w:val="superscript"/>
              </w:rPr>
            </w:pPr>
            <w:r w:rsidRPr="006A0C4B">
              <w:rPr>
                <w:sz w:val="22"/>
                <w:szCs w:val="22"/>
              </w:rPr>
              <w:t>(0-1)</w:t>
            </w:r>
            <w:r w:rsidR="004F5D2F" w:rsidRPr="006A0C4B">
              <w:rPr>
                <w:sz w:val="22"/>
                <w:szCs w:val="22"/>
              </w:rPr>
              <w:t>*</w:t>
            </w:r>
          </w:p>
        </w:tc>
        <w:tc>
          <w:tcPr>
            <w:tcW w:w="1954" w:type="dxa"/>
            <w:hideMark/>
          </w:tcPr>
          <w:p w14:paraId="646B082D" w14:textId="268E169B" w:rsidR="00D34077" w:rsidRPr="006A0C4B" w:rsidRDefault="00AF726F" w:rsidP="00861D79">
            <w:pPr>
              <w:ind w:right="170"/>
              <w:jc w:val="right"/>
              <w:rPr>
                <w:sz w:val="22"/>
                <w:szCs w:val="22"/>
              </w:rPr>
            </w:pPr>
            <w:r w:rsidRPr="006A0C4B">
              <w:rPr>
                <w:sz w:val="22"/>
                <w:szCs w:val="22"/>
              </w:rPr>
              <w:t>(0-1)</w:t>
            </w:r>
          </w:p>
        </w:tc>
        <w:tc>
          <w:tcPr>
            <w:tcW w:w="1954" w:type="dxa"/>
          </w:tcPr>
          <w:p w14:paraId="384A56A1" w14:textId="51A65E4D" w:rsidR="00D34077" w:rsidRPr="006A0C4B" w:rsidRDefault="00AF726F" w:rsidP="00861D79">
            <w:pPr>
              <w:ind w:right="170"/>
              <w:jc w:val="right"/>
              <w:rPr>
                <w:sz w:val="22"/>
                <w:szCs w:val="22"/>
              </w:rPr>
            </w:pPr>
            <w:r w:rsidRPr="006A0C4B">
              <w:rPr>
                <w:sz w:val="22"/>
                <w:szCs w:val="22"/>
              </w:rPr>
              <w:t>(0-1)</w:t>
            </w:r>
          </w:p>
        </w:tc>
      </w:tr>
      <w:tr w:rsidR="00D34077" w:rsidRPr="0031366C" w14:paraId="25EE0604" w14:textId="63EAC750" w:rsidTr="006A0C4B">
        <w:trPr>
          <w:trHeight w:val="230"/>
        </w:trPr>
        <w:tc>
          <w:tcPr>
            <w:tcW w:w="2380" w:type="dxa"/>
            <w:hideMark/>
          </w:tcPr>
          <w:p w14:paraId="314B853C" w14:textId="33478BBB" w:rsidR="00D34077" w:rsidRPr="006A0C4B" w:rsidRDefault="00316996" w:rsidP="008821DF">
            <w:pPr>
              <w:rPr>
                <w:b/>
                <w:sz w:val="22"/>
                <w:szCs w:val="22"/>
              </w:rPr>
            </w:pPr>
            <w:r w:rsidRPr="006A0C4B">
              <w:rPr>
                <w:b/>
                <w:sz w:val="22"/>
                <w:szCs w:val="22"/>
              </w:rPr>
              <w:t xml:space="preserve">Engineered </w:t>
            </w:r>
            <w:r w:rsidR="00D34077" w:rsidRPr="006A0C4B">
              <w:rPr>
                <w:b/>
                <w:sz w:val="22"/>
                <w:szCs w:val="22"/>
              </w:rPr>
              <w:t>Removals</w:t>
            </w:r>
          </w:p>
        </w:tc>
        <w:tc>
          <w:tcPr>
            <w:tcW w:w="1953" w:type="dxa"/>
          </w:tcPr>
          <w:p w14:paraId="70F33EE4" w14:textId="050D249E" w:rsidR="00D33517" w:rsidRPr="006A0C4B" w:rsidRDefault="00766D2E" w:rsidP="00861D79">
            <w:pPr>
              <w:ind w:right="170"/>
              <w:jc w:val="right"/>
              <w:rPr>
                <w:sz w:val="22"/>
                <w:szCs w:val="22"/>
              </w:rPr>
            </w:pPr>
            <w:r w:rsidRPr="006A0C4B">
              <w:rPr>
                <w:sz w:val="22"/>
                <w:szCs w:val="22"/>
              </w:rPr>
              <w:t>0</w:t>
            </w:r>
          </w:p>
        </w:tc>
        <w:tc>
          <w:tcPr>
            <w:tcW w:w="1954" w:type="dxa"/>
            <w:hideMark/>
          </w:tcPr>
          <w:p w14:paraId="39432F61" w14:textId="279BA715" w:rsidR="00D34077" w:rsidRPr="006A0C4B" w:rsidRDefault="00392A4F" w:rsidP="00861D79">
            <w:pPr>
              <w:ind w:right="170"/>
              <w:jc w:val="right"/>
              <w:rPr>
                <w:sz w:val="22"/>
                <w:szCs w:val="22"/>
              </w:rPr>
            </w:pPr>
            <w:r w:rsidRPr="006A0C4B">
              <w:rPr>
                <w:sz w:val="22"/>
                <w:szCs w:val="22"/>
              </w:rPr>
              <w:t>(13-19)</w:t>
            </w:r>
          </w:p>
        </w:tc>
        <w:tc>
          <w:tcPr>
            <w:tcW w:w="1954" w:type="dxa"/>
            <w:hideMark/>
          </w:tcPr>
          <w:p w14:paraId="617D7B3F" w14:textId="60F14EB5" w:rsidR="00D34077" w:rsidRPr="006A0C4B" w:rsidRDefault="00AF726F" w:rsidP="00861D79">
            <w:pPr>
              <w:ind w:right="170"/>
              <w:jc w:val="right"/>
              <w:rPr>
                <w:sz w:val="22"/>
                <w:szCs w:val="22"/>
              </w:rPr>
            </w:pPr>
            <w:r w:rsidRPr="006A0C4B">
              <w:rPr>
                <w:sz w:val="22"/>
                <w:szCs w:val="22"/>
              </w:rPr>
              <w:t>(13-19)</w:t>
            </w:r>
          </w:p>
        </w:tc>
        <w:tc>
          <w:tcPr>
            <w:tcW w:w="1954" w:type="dxa"/>
          </w:tcPr>
          <w:p w14:paraId="40ED36E2" w14:textId="2E0FBB32" w:rsidR="00D34077" w:rsidRPr="006A0C4B" w:rsidRDefault="00AF726F" w:rsidP="00861D79">
            <w:pPr>
              <w:ind w:right="170"/>
              <w:jc w:val="right"/>
              <w:rPr>
                <w:sz w:val="22"/>
                <w:szCs w:val="22"/>
              </w:rPr>
            </w:pPr>
            <w:r w:rsidRPr="006A0C4B">
              <w:rPr>
                <w:sz w:val="22"/>
                <w:szCs w:val="22"/>
              </w:rPr>
              <w:t>(14-2</w:t>
            </w:r>
            <w:r w:rsidRPr="006A0C4B" w:rsidDel="002C309B">
              <w:rPr>
                <w:sz w:val="22"/>
                <w:szCs w:val="22"/>
              </w:rPr>
              <w:t>2</w:t>
            </w:r>
            <w:r w:rsidRPr="006A0C4B">
              <w:rPr>
                <w:sz w:val="22"/>
                <w:szCs w:val="22"/>
              </w:rPr>
              <w:t>)</w:t>
            </w:r>
          </w:p>
        </w:tc>
      </w:tr>
      <w:tr w:rsidR="00D34077" w:rsidRPr="0031366C" w14:paraId="1A60FE11" w14:textId="3E2815E3" w:rsidTr="004A26BA">
        <w:trPr>
          <w:trHeight w:val="218"/>
        </w:trPr>
        <w:tc>
          <w:tcPr>
            <w:tcW w:w="2380" w:type="dxa"/>
            <w:hideMark/>
          </w:tcPr>
          <w:p w14:paraId="37699109" w14:textId="16DB341F" w:rsidR="00D34077" w:rsidRPr="006A0C4B" w:rsidRDefault="00D34077" w:rsidP="008821DF">
            <w:pPr>
              <w:rPr>
                <w:b/>
                <w:sz w:val="22"/>
                <w:szCs w:val="22"/>
              </w:rPr>
            </w:pPr>
            <w:r w:rsidRPr="006A0C4B">
              <w:rPr>
                <w:b/>
                <w:sz w:val="22"/>
                <w:szCs w:val="22"/>
              </w:rPr>
              <w:t>IAS</w:t>
            </w:r>
          </w:p>
        </w:tc>
        <w:tc>
          <w:tcPr>
            <w:tcW w:w="1953" w:type="dxa"/>
          </w:tcPr>
          <w:p w14:paraId="4E30D289" w14:textId="659B9AC2" w:rsidR="00D33517" w:rsidRPr="006A0C4B" w:rsidRDefault="00766D2E" w:rsidP="00861D79">
            <w:pPr>
              <w:ind w:right="170"/>
              <w:jc w:val="right"/>
              <w:rPr>
                <w:sz w:val="22"/>
                <w:szCs w:val="22"/>
              </w:rPr>
            </w:pPr>
            <w:r w:rsidRPr="006A0C4B">
              <w:rPr>
                <w:sz w:val="22"/>
                <w:szCs w:val="22"/>
              </w:rPr>
              <w:t>46</w:t>
            </w:r>
          </w:p>
        </w:tc>
        <w:tc>
          <w:tcPr>
            <w:tcW w:w="1954" w:type="dxa"/>
            <w:hideMark/>
          </w:tcPr>
          <w:p w14:paraId="67EDC7FB" w14:textId="2AE97C7E" w:rsidR="00D34077" w:rsidRPr="006A0C4B" w:rsidRDefault="00766D2E" w:rsidP="00861D79">
            <w:pPr>
              <w:ind w:right="170"/>
              <w:jc w:val="right"/>
              <w:rPr>
                <w:sz w:val="22"/>
                <w:szCs w:val="22"/>
              </w:rPr>
            </w:pPr>
            <w:r w:rsidRPr="006A0C4B">
              <w:rPr>
                <w:sz w:val="22"/>
                <w:szCs w:val="22"/>
              </w:rPr>
              <w:t>40</w:t>
            </w:r>
          </w:p>
        </w:tc>
        <w:tc>
          <w:tcPr>
            <w:tcW w:w="1954" w:type="dxa"/>
            <w:hideMark/>
          </w:tcPr>
          <w:p w14:paraId="281DCD7D" w14:textId="40460F7A" w:rsidR="00D34077" w:rsidRPr="006A0C4B" w:rsidRDefault="00766D2E" w:rsidP="00861D79">
            <w:pPr>
              <w:ind w:right="170"/>
              <w:jc w:val="right"/>
              <w:rPr>
                <w:sz w:val="22"/>
                <w:szCs w:val="22"/>
              </w:rPr>
            </w:pPr>
            <w:r w:rsidRPr="006A0C4B">
              <w:rPr>
                <w:sz w:val="22"/>
                <w:szCs w:val="22"/>
              </w:rPr>
              <w:t>40</w:t>
            </w:r>
          </w:p>
        </w:tc>
        <w:tc>
          <w:tcPr>
            <w:tcW w:w="1954" w:type="dxa"/>
          </w:tcPr>
          <w:p w14:paraId="22DC7C9C" w14:textId="74274736" w:rsidR="00D34077" w:rsidRPr="006A0C4B" w:rsidRDefault="00766D2E" w:rsidP="00861D79">
            <w:pPr>
              <w:ind w:right="170"/>
              <w:jc w:val="right"/>
              <w:rPr>
                <w:sz w:val="22"/>
                <w:szCs w:val="22"/>
              </w:rPr>
            </w:pPr>
            <w:r w:rsidRPr="006A0C4B">
              <w:rPr>
                <w:sz w:val="22"/>
                <w:szCs w:val="22"/>
              </w:rPr>
              <w:t>40</w:t>
            </w:r>
          </w:p>
        </w:tc>
      </w:tr>
      <w:tr w:rsidR="00D34077" w:rsidRPr="0031366C" w14:paraId="0696F940" w14:textId="667F60E6" w:rsidTr="006A0C4B">
        <w:trPr>
          <w:trHeight w:val="308"/>
        </w:trPr>
        <w:tc>
          <w:tcPr>
            <w:tcW w:w="2380" w:type="dxa"/>
            <w:hideMark/>
          </w:tcPr>
          <w:p w14:paraId="15FF9ADC" w14:textId="775007C3" w:rsidR="00D34077" w:rsidRPr="006A0C4B" w:rsidRDefault="00D34077" w:rsidP="008821DF">
            <w:pPr>
              <w:rPr>
                <w:b/>
                <w:sz w:val="22"/>
                <w:szCs w:val="22"/>
              </w:rPr>
            </w:pPr>
            <w:r w:rsidRPr="006A0C4B">
              <w:rPr>
                <w:b/>
                <w:sz w:val="22"/>
                <w:szCs w:val="22"/>
              </w:rPr>
              <w:t>Total emissions</w:t>
            </w:r>
          </w:p>
        </w:tc>
        <w:tc>
          <w:tcPr>
            <w:tcW w:w="1953" w:type="dxa"/>
          </w:tcPr>
          <w:p w14:paraId="7B9DD550" w14:textId="3880125E" w:rsidR="00D33517" w:rsidRPr="006A0C4B" w:rsidRDefault="00AF726F" w:rsidP="00861D79">
            <w:pPr>
              <w:ind w:right="170"/>
              <w:jc w:val="right"/>
              <w:rPr>
                <w:b/>
                <w:sz w:val="22"/>
                <w:szCs w:val="22"/>
              </w:rPr>
            </w:pPr>
            <w:r w:rsidRPr="006A0C4B">
              <w:rPr>
                <w:b/>
                <w:sz w:val="22"/>
                <w:szCs w:val="22"/>
              </w:rPr>
              <w:t>420</w:t>
            </w:r>
          </w:p>
        </w:tc>
        <w:tc>
          <w:tcPr>
            <w:tcW w:w="1954" w:type="dxa"/>
            <w:hideMark/>
          </w:tcPr>
          <w:p w14:paraId="09E4A4BF" w14:textId="7F95437E" w:rsidR="00D34077" w:rsidRPr="006A0C4B" w:rsidRDefault="00AF726F" w:rsidP="00861D79">
            <w:pPr>
              <w:ind w:right="170"/>
              <w:jc w:val="right"/>
              <w:rPr>
                <w:b/>
                <w:sz w:val="22"/>
                <w:szCs w:val="22"/>
              </w:rPr>
            </w:pPr>
            <w:r w:rsidRPr="006A0C4B">
              <w:rPr>
                <w:b/>
                <w:sz w:val="22"/>
                <w:szCs w:val="22"/>
              </w:rPr>
              <w:t>221</w:t>
            </w:r>
          </w:p>
        </w:tc>
        <w:tc>
          <w:tcPr>
            <w:tcW w:w="1954" w:type="dxa"/>
            <w:hideMark/>
          </w:tcPr>
          <w:p w14:paraId="2390D70E" w14:textId="5442AFCB" w:rsidR="00D34077" w:rsidRPr="006A0C4B" w:rsidRDefault="00AF726F" w:rsidP="00861D79">
            <w:pPr>
              <w:ind w:right="170"/>
              <w:jc w:val="right"/>
              <w:rPr>
                <w:b/>
                <w:sz w:val="22"/>
                <w:szCs w:val="22"/>
              </w:rPr>
            </w:pPr>
            <w:r w:rsidRPr="006A0C4B">
              <w:rPr>
                <w:b/>
                <w:sz w:val="22"/>
                <w:szCs w:val="22"/>
              </w:rPr>
              <w:t>193</w:t>
            </w:r>
          </w:p>
        </w:tc>
        <w:tc>
          <w:tcPr>
            <w:tcW w:w="1954" w:type="dxa"/>
          </w:tcPr>
          <w:p w14:paraId="3FB5360A" w14:textId="62F35073" w:rsidR="00D34077" w:rsidRPr="006A0C4B" w:rsidRDefault="00AF726F" w:rsidP="00861D79">
            <w:pPr>
              <w:ind w:right="170"/>
              <w:jc w:val="right"/>
              <w:rPr>
                <w:b/>
                <w:sz w:val="22"/>
                <w:szCs w:val="22"/>
              </w:rPr>
            </w:pPr>
            <w:r w:rsidRPr="006A0C4B">
              <w:rPr>
                <w:b/>
                <w:sz w:val="22"/>
                <w:szCs w:val="22"/>
              </w:rPr>
              <w:t>177</w:t>
            </w:r>
          </w:p>
        </w:tc>
      </w:tr>
    </w:tbl>
    <w:p w14:paraId="154F46D2" w14:textId="5FE657B2" w:rsidR="0080130A" w:rsidRPr="004A26BA" w:rsidRDefault="004F5D2F" w:rsidP="00604604">
      <w:pPr>
        <w:spacing w:after="200"/>
        <w:rPr>
          <w:sz w:val="20"/>
          <w:szCs w:val="20"/>
        </w:rPr>
      </w:pPr>
      <w:r w:rsidRPr="004A26BA">
        <w:rPr>
          <w:sz w:val="20"/>
          <w:szCs w:val="20"/>
        </w:rPr>
        <w:t>* Brackets indicate negative values</w:t>
      </w:r>
    </w:p>
    <w:p w14:paraId="51B0CF75" w14:textId="5F0300FF" w:rsidR="007F3BA3" w:rsidRDefault="005C5347" w:rsidP="009229B3">
      <w:pPr>
        <w:pStyle w:val="Numberedparagraphs"/>
      </w:pPr>
      <w:r w:rsidRPr="00861D79">
        <w:rPr>
          <w:b/>
        </w:rPr>
        <w:t>Tight</w:t>
      </w:r>
      <w:r w:rsidR="00152F62" w:rsidRPr="00861D79">
        <w:rPr>
          <w:b/>
        </w:rPr>
        <w:t xml:space="preserve">ening </w:t>
      </w:r>
      <w:r w:rsidR="00BF7C0A">
        <w:rPr>
          <w:b/>
        </w:rPr>
        <w:t>the sixth carbon budget</w:t>
      </w:r>
      <w:r w:rsidR="00152F62" w:rsidRPr="00861D79">
        <w:rPr>
          <w:b/>
        </w:rPr>
        <w:t xml:space="preserve"> progressively</w:t>
      </w:r>
      <w:r w:rsidR="00152F62">
        <w:t xml:space="preserve"> from Option 2 to Option 3 h</w:t>
      </w:r>
      <w:r w:rsidR="00152F62" w:rsidRPr="00152F62">
        <w:t xml:space="preserve">as </w:t>
      </w:r>
      <w:r w:rsidR="008555E7">
        <w:t xml:space="preserve">limited to </w:t>
      </w:r>
      <w:r w:rsidR="00152F62" w:rsidRPr="00152F62">
        <w:t>no effect on land-use</w:t>
      </w:r>
      <w:r w:rsidR="008555E7">
        <w:t xml:space="preserve">, </w:t>
      </w:r>
      <w:r w:rsidR="00606940">
        <w:t>agriculture,</w:t>
      </w:r>
      <w:r w:rsidR="00152F62" w:rsidRPr="00152F62">
        <w:t xml:space="preserve"> and removals emissions as feasible cost-effective abatement is </w:t>
      </w:r>
      <w:r w:rsidR="005D2727">
        <w:t xml:space="preserve">already </w:t>
      </w:r>
      <w:r w:rsidR="00152F62" w:rsidRPr="00152F62">
        <w:t xml:space="preserve">exhausted at </w:t>
      </w:r>
      <w:r w:rsidR="005D2727">
        <w:t>the looser budget</w:t>
      </w:r>
      <w:r w:rsidR="00152F62" w:rsidRPr="00152F62">
        <w:t xml:space="preserve"> level. </w:t>
      </w:r>
      <w:r w:rsidR="008668C7">
        <w:t xml:space="preserve">Electrification increases by around </w:t>
      </w:r>
      <w:r w:rsidR="00264DEC" w:rsidRPr="006A0C4B">
        <w:t>1</w:t>
      </w:r>
      <w:r w:rsidR="00E72E6E">
        <w:t>2</w:t>
      </w:r>
      <w:r w:rsidR="008668C7" w:rsidRPr="006A0C4B">
        <w:t>%</w:t>
      </w:r>
      <w:r w:rsidR="005D2727">
        <w:t xml:space="preserve"> in Option 3</w:t>
      </w:r>
      <w:r w:rsidR="00264DEC">
        <w:t xml:space="preserve"> </w:t>
      </w:r>
      <w:r w:rsidR="00F87099">
        <w:t xml:space="preserve">compared to Option 2 </w:t>
      </w:r>
      <w:r w:rsidR="00264DEC">
        <w:t>under the core pathway</w:t>
      </w:r>
      <w:r w:rsidR="008668C7">
        <w:t xml:space="preserve">, requiring more low carbon generation capacity. </w:t>
      </w:r>
      <w:r w:rsidR="00A95DB6">
        <w:t>Option 3</w:t>
      </w:r>
      <w:r w:rsidR="00874304">
        <w:t xml:space="preserve"> does not rule out hydrogen for heating as </w:t>
      </w:r>
      <w:r w:rsidR="002B4A3F">
        <w:t>a</w:t>
      </w:r>
      <w:r w:rsidR="00086A2B">
        <w:t xml:space="preserve"> long</w:t>
      </w:r>
      <w:r w:rsidR="000107D5">
        <w:t>-term</w:t>
      </w:r>
      <w:r w:rsidR="002B4A3F">
        <w:t xml:space="preserve"> </w:t>
      </w:r>
      <w:r w:rsidR="00874304">
        <w:t>option</w:t>
      </w:r>
      <w:r w:rsidR="002B4A3F">
        <w:t>,</w:t>
      </w:r>
      <w:r w:rsidR="00072BC2">
        <w:t xml:space="preserve"> </w:t>
      </w:r>
      <w:r w:rsidR="00072BC2" w:rsidRPr="00547BC9">
        <w:t xml:space="preserve">but </w:t>
      </w:r>
      <w:r w:rsidR="00874304">
        <w:t>a hydrogen pathway for buildings</w:t>
      </w:r>
      <w:r w:rsidR="00072BC2" w:rsidRPr="00547BC9">
        <w:t xml:space="preserve"> </w:t>
      </w:r>
      <w:r w:rsidR="000304EB" w:rsidRPr="000304EB">
        <w:t>would require additional decarbonisation options in buildings (such as heat pumps) or additional effort in other sectors (e.g. land use and transport) to account for widescale hydrogen heating being less available by the mid-2030s than electrification.</w:t>
      </w:r>
    </w:p>
    <w:p w14:paraId="37ABD2EB" w14:textId="22332AA9" w:rsidR="009A0CB3" w:rsidRDefault="00152F62" w:rsidP="009229B3">
      <w:pPr>
        <w:pStyle w:val="Numberedparagraphs"/>
      </w:pPr>
      <w:r w:rsidRPr="00152F62">
        <w:t>Sectors pushed further</w:t>
      </w:r>
      <w:r w:rsidR="007F3BA3">
        <w:t xml:space="preserve"> in Option 3</w:t>
      </w:r>
      <w:r w:rsidR="00B023B4">
        <w:t>,</w:t>
      </w:r>
      <w:r w:rsidRPr="00152F62">
        <w:t xml:space="preserve"> indicating higher </w:t>
      </w:r>
      <w:r w:rsidR="005C37E7">
        <w:t xml:space="preserve">marginal cost </w:t>
      </w:r>
      <w:r w:rsidRPr="00152F62">
        <w:t>solutions</w:t>
      </w:r>
      <w:r w:rsidR="00506D9A">
        <w:t xml:space="preserve"> in these sectors</w:t>
      </w:r>
      <w:r w:rsidR="00B023B4">
        <w:t>,</w:t>
      </w:r>
      <w:r w:rsidRPr="00152F62">
        <w:t xml:space="preserve"> </w:t>
      </w:r>
      <w:r w:rsidR="00606940" w:rsidRPr="00152F62">
        <w:t>include</w:t>
      </w:r>
      <w:r w:rsidRPr="00152F62">
        <w:t xml:space="preserve"> surface transport, fuel supply, industry</w:t>
      </w:r>
      <w:r>
        <w:t>,</w:t>
      </w:r>
      <w:r w:rsidRPr="00152F62">
        <w:t xml:space="preserve"> </w:t>
      </w:r>
      <w:r w:rsidR="007F3BA3">
        <w:t xml:space="preserve">and </w:t>
      </w:r>
      <w:r w:rsidRPr="00152F62">
        <w:t>buildings.</w:t>
      </w:r>
      <w:r w:rsidR="00547BC9">
        <w:t xml:space="preserve"> The CCS delay pathway reduces the scope for industrial decarbonisation and </w:t>
      </w:r>
      <w:r w:rsidR="00371D0C">
        <w:t xml:space="preserve">engineered </w:t>
      </w:r>
      <w:r w:rsidR="00547BC9">
        <w:t xml:space="preserve">removals, requiring more </w:t>
      </w:r>
      <w:r w:rsidR="00072BC2">
        <w:t xml:space="preserve">emissions </w:t>
      </w:r>
      <w:r w:rsidR="00547BC9">
        <w:t xml:space="preserve">abatement in </w:t>
      </w:r>
      <w:r w:rsidR="00072BC2">
        <w:t xml:space="preserve">surface </w:t>
      </w:r>
      <w:r w:rsidR="00547BC9">
        <w:t xml:space="preserve">transport indicating </w:t>
      </w:r>
      <w:r w:rsidR="00072BC2">
        <w:t xml:space="preserve">that the model finds </w:t>
      </w:r>
      <w:r w:rsidR="000107D5">
        <w:t>surface transport</w:t>
      </w:r>
      <w:r w:rsidR="00072BC2">
        <w:t xml:space="preserve"> is</w:t>
      </w:r>
      <w:r w:rsidR="00547BC9">
        <w:t xml:space="preserve"> the marginal sector both across </w:t>
      </w:r>
      <w:r w:rsidR="00072BC2">
        <w:t xml:space="preserve">budget </w:t>
      </w:r>
      <w:r w:rsidR="00547BC9">
        <w:t xml:space="preserve">levels and </w:t>
      </w:r>
      <w:r w:rsidR="00072BC2">
        <w:t>also technology</w:t>
      </w:r>
      <w:r w:rsidR="005F78A6">
        <w:t xml:space="preserve"> </w:t>
      </w:r>
      <w:r w:rsidR="00072BC2">
        <w:t>/</w:t>
      </w:r>
      <w:r w:rsidR="005F78A6">
        <w:t xml:space="preserve"> </w:t>
      </w:r>
      <w:r w:rsidR="00072BC2">
        <w:t xml:space="preserve">resource </w:t>
      </w:r>
      <w:r w:rsidR="00547BC9">
        <w:t xml:space="preserve">pathways. </w:t>
      </w:r>
    </w:p>
    <w:p w14:paraId="7F0E845E" w14:textId="1FF851F0" w:rsidR="009A0CB3" w:rsidRDefault="009A0CB3" w:rsidP="009229B3">
      <w:pPr>
        <w:pStyle w:val="Numberedparagraphs"/>
      </w:pPr>
      <w:r>
        <w:t xml:space="preserve">The tightest budget level considered, </w:t>
      </w:r>
      <w:r w:rsidR="002B4A3F">
        <w:t>O</w:t>
      </w:r>
      <w:r>
        <w:t>ption 4, involves going even further in</w:t>
      </w:r>
      <w:r w:rsidR="005D3C9E">
        <w:t xml:space="preserve"> the transport, industry</w:t>
      </w:r>
      <w:r w:rsidR="008821DF">
        <w:t>,</w:t>
      </w:r>
      <w:r w:rsidR="005D3C9E">
        <w:t xml:space="preserve"> fuel supply and buildings sectors</w:t>
      </w:r>
      <w:r>
        <w:t xml:space="preserve">. </w:t>
      </w:r>
      <w:r w:rsidR="005D3C9E" w:rsidRPr="005D3C9E">
        <w:t xml:space="preserve"> </w:t>
      </w:r>
      <w:r w:rsidR="00080217">
        <w:t>In particular,</w:t>
      </w:r>
      <w:r w:rsidR="002B4A3F">
        <w:t xml:space="preserve"> </w:t>
      </w:r>
      <w:r w:rsidR="00080217">
        <w:t>t</w:t>
      </w:r>
      <w:r w:rsidR="00270A3A">
        <w:t xml:space="preserve">he cost-optimal pathways for this </w:t>
      </w:r>
      <w:r w:rsidR="002B4A3F">
        <w:t xml:space="preserve">sixth </w:t>
      </w:r>
      <w:r w:rsidR="00270A3A">
        <w:t xml:space="preserve">carbon budget </w:t>
      </w:r>
      <w:r w:rsidR="004C505B">
        <w:t>level</w:t>
      </w:r>
      <w:r w:rsidR="00067DAD">
        <w:t xml:space="preserve"> imply a large acceleration in the decarbonisation of domestic transport </w:t>
      </w:r>
      <w:r w:rsidR="00080217">
        <w:t xml:space="preserve">which is likely to be very challenging </w:t>
      </w:r>
      <w:r w:rsidR="00C66CBE">
        <w:t>and costly</w:t>
      </w:r>
      <w:r w:rsidR="00080217">
        <w:t xml:space="preserve"> from a deliver</w:t>
      </w:r>
      <w:r w:rsidR="00C66CBE">
        <w:t>y</w:t>
      </w:r>
      <w:r w:rsidR="00080217">
        <w:t xml:space="preserve"> perspective </w:t>
      </w:r>
      <w:r w:rsidR="00067DAD">
        <w:t>(</w:t>
      </w:r>
      <w:r w:rsidR="00080217">
        <w:t>i.</w:t>
      </w:r>
      <w:r w:rsidR="00067DAD">
        <w:t>e.</w:t>
      </w:r>
      <w:r w:rsidR="002B4A3F">
        <w:t xml:space="preserve"> the </w:t>
      </w:r>
      <w:r w:rsidR="00080217">
        <w:t>rate of adoption</w:t>
      </w:r>
      <w:r w:rsidR="00067DAD">
        <w:t xml:space="preserve"> </w:t>
      </w:r>
      <w:r w:rsidR="0031189B">
        <w:t>exceed</w:t>
      </w:r>
      <w:r w:rsidR="00080217">
        <w:t>s</w:t>
      </w:r>
      <w:r w:rsidR="0031189B">
        <w:t xml:space="preserve"> the natural stock turnover of car</w:t>
      </w:r>
      <w:r w:rsidR="00A37042">
        <w:t>s</w:t>
      </w:r>
      <w:r w:rsidR="0031189B">
        <w:t xml:space="preserve"> and van</w:t>
      </w:r>
      <w:r w:rsidR="00A37042">
        <w:t>s</w:t>
      </w:r>
      <w:r w:rsidR="0031189B">
        <w:t>)</w:t>
      </w:r>
      <w:r w:rsidR="00080217">
        <w:t>. Furthermore, t</w:t>
      </w:r>
      <w:r w:rsidR="005D3C9E">
        <w:t>here</w:t>
      </w:r>
      <w:r w:rsidR="005D3C9E" w:rsidDel="001C4A01">
        <w:t xml:space="preserve"> is some evidence that the tightest sixth carbon budget level considered would imply greater use of hydrogen and biomass in the </w:t>
      </w:r>
      <w:r w:rsidR="005D3C9E" w:rsidDel="001C4A01">
        <w:lastRenderedPageBreak/>
        <w:t xml:space="preserve">transport and </w:t>
      </w:r>
      <w:r w:rsidR="00E3624A">
        <w:t>electricity</w:t>
      </w:r>
      <w:r w:rsidR="005D3C9E" w:rsidDel="001C4A01">
        <w:t xml:space="preserve"> sectors than the model suggests is optimal over the long-term leading to </w:t>
      </w:r>
      <w:r w:rsidR="005D3C9E">
        <w:t>un</w:t>
      </w:r>
      <w:r w:rsidR="00DC4B6A">
        <w:t>-economical</w:t>
      </w:r>
      <w:r w:rsidR="005D3C9E" w:rsidDel="001C4A01">
        <w:t xml:space="preserve"> investments if taken forward. </w:t>
      </w:r>
    </w:p>
    <w:p w14:paraId="5D5CAF60" w14:textId="13B070C8" w:rsidR="00606940" w:rsidRDefault="00F0472F" w:rsidP="009229B3">
      <w:pPr>
        <w:pStyle w:val="Numberedparagraphs"/>
      </w:pPr>
      <w:r>
        <w:t>Taken together</w:t>
      </w:r>
      <w:r w:rsidR="0013157E">
        <w:t>,</w:t>
      </w:r>
      <w:r>
        <w:t xml:space="preserve"> the UKTM pathways evidence suggests that </w:t>
      </w:r>
      <w:r w:rsidR="00271C29">
        <w:t>all the sixth</w:t>
      </w:r>
      <w:r>
        <w:t xml:space="preserve"> carbon budget options are technically feasi</w:t>
      </w:r>
      <w:r w:rsidR="009A391A">
        <w:t>ble</w:t>
      </w:r>
      <w:r>
        <w:t xml:space="preserve"> and are consistent with a range of low-cost pathways to 2050</w:t>
      </w:r>
      <w:r w:rsidR="005D3C9E">
        <w:t xml:space="preserve">, but the tightest option </w:t>
      </w:r>
      <w:r w:rsidR="00C66CBE">
        <w:t xml:space="preserve">could lead </w:t>
      </w:r>
      <w:r w:rsidR="00BB33CD">
        <w:t xml:space="preserve">to </w:t>
      </w:r>
      <w:r w:rsidR="00C66CBE">
        <w:t>non</w:t>
      </w:r>
      <w:r w:rsidR="00BB33CD">
        <w:t>-</w:t>
      </w:r>
      <w:r w:rsidR="00C66CBE">
        <w:t>economical outcomes</w:t>
      </w:r>
      <w:r>
        <w:t xml:space="preserve">. </w:t>
      </w:r>
      <w:r w:rsidR="00AE3D5D">
        <w:t xml:space="preserve">The CCC recommended level </w:t>
      </w:r>
      <w:r w:rsidR="007F63D4">
        <w:t xml:space="preserve">(Option 3) </w:t>
      </w:r>
      <w:r w:rsidR="00AE3D5D">
        <w:t xml:space="preserve">is consistent with bringing forward </w:t>
      </w:r>
      <w:r w:rsidR="00B852F6">
        <w:t>electrification in heating and transport</w:t>
      </w:r>
      <w:r w:rsidR="00AE3D5D" w:rsidDel="00B852F6">
        <w:t xml:space="preserve">, </w:t>
      </w:r>
      <w:r w:rsidR="00AE3D5D">
        <w:t xml:space="preserve">and fuel switching in industry that the model suggests is needed long-term. </w:t>
      </w:r>
      <w:r w:rsidR="00AA7F0F">
        <w:t>The model chooses a smoother, slightly less costly, deployment trajectory of the same technology mix un</w:t>
      </w:r>
      <w:r w:rsidR="008555E7">
        <w:t>d</w:t>
      </w:r>
      <w:r w:rsidR="00AA7F0F">
        <w:t>er the looser option</w:t>
      </w:r>
      <w:r w:rsidR="007F63D4">
        <w:t xml:space="preserve"> (Option 2)</w:t>
      </w:r>
      <w:r w:rsidR="0013157E">
        <w:t>.</w:t>
      </w:r>
      <w:r w:rsidR="00AA7F0F">
        <w:t xml:space="preserve"> </w:t>
      </w:r>
    </w:p>
    <w:p w14:paraId="740D4223" w14:textId="72E3760E" w:rsidR="0077113A" w:rsidRDefault="00640EF7" w:rsidP="009229B3">
      <w:pPr>
        <w:pStyle w:val="Numberedparagraphs"/>
      </w:pPr>
      <w:r w:rsidRPr="009A0CB3">
        <w:t>In terms of the</w:t>
      </w:r>
      <w:r w:rsidRPr="00861D79">
        <w:rPr>
          <w:b/>
        </w:rPr>
        <w:t xml:space="preserve"> fuel mix</w:t>
      </w:r>
      <w:r>
        <w:rPr>
          <w:b/>
        </w:rPr>
        <w:t xml:space="preserve">, </w:t>
      </w:r>
      <w:r>
        <w:t>more frontloaded decarbonisation result</w:t>
      </w:r>
      <w:r w:rsidR="00C52B63">
        <w:t>s</w:t>
      </w:r>
      <w:r>
        <w:t xml:space="preserve"> in more rapid electrification and consequently electricity demand in 2035 is higher for the tighter sixth carbon budget options. </w:t>
      </w:r>
      <w:r w:rsidR="00AE74B0">
        <w:t xml:space="preserve">The role of hydrogen in the sixth carbon budget period in the modelled UKTM scenarios is increasingly important. </w:t>
      </w:r>
      <w:r w:rsidR="00827CC3">
        <w:t>The main roles for hydrogen in the model during this period are to provide fuel switching in industry, fuel for heavy goods vehicles, ammonia production for shipping</w:t>
      </w:r>
      <w:r w:rsidR="003577E8">
        <w:t>,</w:t>
      </w:r>
      <w:r w:rsidR="00827CC3">
        <w:t xml:space="preserve"> and a potential low-carbon source of flexible </w:t>
      </w:r>
      <w:r w:rsidR="003577E8">
        <w:t>electricity</w:t>
      </w:r>
      <w:r w:rsidR="00827CC3">
        <w:t xml:space="preserve"> generation. In the high resource pathway this is augmented by increased hydrogen demand for heating buildings</w:t>
      </w:r>
      <w:r w:rsidR="007740F3">
        <w:t xml:space="preserve">. </w:t>
      </w:r>
    </w:p>
    <w:p w14:paraId="21FF05D7" w14:textId="4DB7FADC" w:rsidR="00B4329E" w:rsidRPr="0019403D" w:rsidRDefault="00D127D7" w:rsidP="009229B3">
      <w:pPr>
        <w:pStyle w:val="Numberedparagraphs"/>
      </w:pPr>
      <w:r>
        <w:t>More f</w:t>
      </w:r>
      <w:r w:rsidR="00960D0F" w:rsidRPr="0019403D">
        <w:t>r</w:t>
      </w:r>
      <w:r w:rsidR="00D31333" w:rsidRPr="006A0C4B">
        <w:t>o</w:t>
      </w:r>
      <w:r w:rsidR="00960D0F" w:rsidRPr="0019403D">
        <w:t>n</w:t>
      </w:r>
      <w:r w:rsidR="00D31333" w:rsidRPr="006A0C4B">
        <w:t>t</w:t>
      </w:r>
      <w:r w:rsidR="00960D0F" w:rsidRPr="0019403D">
        <w:t xml:space="preserve">loaded </w:t>
      </w:r>
      <w:r w:rsidR="000A0596">
        <w:t>decarbonisation</w:t>
      </w:r>
      <w:r w:rsidR="00960D0F" w:rsidRPr="0019403D">
        <w:t xml:space="preserve"> increases the burden on the </w:t>
      </w:r>
      <w:r w:rsidR="000A0596">
        <w:t xml:space="preserve">electricity and hydrogen </w:t>
      </w:r>
      <w:r w:rsidR="00960D0F" w:rsidRPr="0019403D">
        <w:t>sector</w:t>
      </w:r>
      <w:r w:rsidR="000A0596">
        <w:t>s</w:t>
      </w:r>
      <w:r w:rsidR="00960D0F" w:rsidRPr="0019403D">
        <w:t xml:space="preserve">. </w:t>
      </w:r>
      <w:r w:rsidR="0077113A" w:rsidRPr="0019403D">
        <w:t xml:space="preserve"> </w:t>
      </w:r>
      <w:r>
        <w:t>D</w:t>
      </w:r>
      <w:r w:rsidR="0077113A" w:rsidRPr="0019403D">
        <w:t xml:space="preserve">etailed power sector modelling suggests that it is feasible to get to the grid intensity </w:t>
      </w:r>
      <w:r w:rsidR="00852B8A" w:rsidRPr="0019403D">
        <w:t>implied</w:t>
      </w:r>
      <w:r w:rsidR="00960D0F" w:rsidRPr="0019403D">
        <w:t xml:space="preserve"> by the UKTM pathways</w:t>
      </w:r>
      <w:r w:rsidR="003A0EA3" w:rsidRPr="0019403D">
        <w:t>, however the optimal mix of generating technologies will depend on their relative cost and availability</w:t>
      </w:r>
      <w:r w:rsidR="0077113A" w:rsidRPr="0019403D">
        <w:t>. Without</w:t>
      </w:r>
      <w:r w:rsidR="0019403D" w:rsidRPr="006A0C4B">
        <w:t xml:space="preserve"> </w:t>
      </w:r>
      <w:r w:rsidR="0077113A" w:rsidRPr="0019403D">
        <w:t>hydrogen</w:t>
      </w:r>
      <w:r w:rsidR="00DB1C57">
        <w:t xml:space="preserve"> generation for peaking</w:t>
      </w:r>
      <w:r w:rsidR="00AD3B2E">
        <w:t xml:space="preserve"> demand,</w:t>
      </w:r>
      <w:r w:rsidR="0077113A">
        <w:t> most core </w:t>
      </w:r>
      <w:r w:rsidR="007C18DC">
        <w:t xml:space="preserve">low-carbon </w:t>
      </w:r>
      <w:r w:rsidR="009B40C3">
        <w:t xml:space="preserve">generation </w:t>
      </w:r>
      <w:r w:rsidR="0077113A">
        <w:t>technologies</w:t>
      </w:r>
      <w:r w:rsidR="0077113A" w:rsidRPr="0019403D">
        <w:t xml:space="preserve"> </w:t>
      </w:r>
      <w:r w:rsidR="00C51ED9">
        <w:t>would</w:t>
      </w:r>
      <w:r w:rsidR="0077113A" w:rsidRPr="0019403D">
        <w:t xml:space="preserve"> have to deploy </w:t>
      </w:r>
      <w:r w:rsidR="00586510">
        <w:t>near</w:t>
      </w:r>
      <w:r w:rsidR="0077113A" w:rsidRPr="0019403D">
        <w:t xml:space="preserve"> the</w:t>
      </w:r>
      <w:r w:rsidR="00C564A7">
        <w:t>ir</w:t>
      </w:r>
      <w:r w:rsidR="0077113A" w:rsidRPr="0019403D">
        <w:t xml:space="preserve"> </w:t>
      </w:r>
      <w:r w:rsidR="0077113A">
        <w:t>maximum technical</w:t>
      </w:r>
      <w:r w:rsidR="0077113A" w:rsidRPr="0019403D">
        <w:t xml:space="preserve"> potential.</w:t>
      </w:r>
      <w:r w:rsidR="00A23FDB" w:rsidRPr="00A23FDB">
        <w:t xml:space="preserve"> </w:t>
      </w:r>
      <w:r w:rsidR="00FA4FA5">
        <w:t xml:space="preserve">A further key area of uncertainty is energy from waste, which by 2035 </w:t>
      </w:r>
      <w:r w:rsidR="004D6AC4">
        <w:t xml:space="preserve">is </w:t>
      </w:r>
      <w:r w:rsidR="00FA4FA5">
        <w:t>expected to make up a large share of power sector residual emissions.</w:t>
      </w:r>
      <w:r w:rsidR="00A23FDB" w:rsidRPr="00A23FDB">
        <w:t xml:space="preserve"> </w:t>
      </w:r>
      <w:r w:rsidR="00A23FDB">
        <w:t xml:space="preserve">The availability of </w:t>
      </w:r>
      <w:r w:rsidR="0077113A" w:rsidRPr="0019403D">
        <w:t xml:space="preserve">hydrogen generation </w:t>
      </w:r>
      <w:r w:rsidR="00A23FDB">
        <w:t>can reduce</w:t>
      </w:r>
      <w:r w:rsidR="0077113A" w:rsidRPr="0019403D">
        <w:t xml:space="preserve"> the </w:t>
      </w:r>
      <w:r w:rsidR="00A23FDB">
        <w:t>burden on other technologies</w:t>
      </w:r>
      <w:r w:rsidR="00BE2248">
        <w:t>,</w:t>
      </w:r>
      <w:r w:rsidR="00A23FDB">
        <w:t xml:space="preserve"> but </w:t>
      </w:r>
      <w:r w:rsidR="0019403D" w:rsidRPr="0019403D">
        <w:t xml:space="preserve">the </w:t>
      </w:r>
      <w:r w:rsidR="0062734D">
        <w:t>technical</w:t>
      </w:r>
      <w:r w:rsidR="00A23FDB">
        <w:t xml:space="preserve"> challenge remains significan</w:t>
      </w:r>
      <w:r w:rsidR="000A0596">
        <w:t>t</w:t>
      </w:r>
      <w:r w:rsidR="0019403D" w:rsidRPr="006A0C4B">
        <w:t>.</w:t>
      </w:r>
      <w:r w:rsidR="0019403D">
        <w:t xml:space="preserve"> </w:t>
      </w:r>
      <w:r w:rsidR="00C764C0">
        <w:rPr>
          <w:rFonts w:cs="Arial"/>
        </w:rPr>
        <w:t xml:space="preserve">In all the pathways, </w:t>
      </w:r>
      <w:r w:rsidR="00393710">
        <w:rPr>
          <w:rFonts w:cs="Arial"/>
        </w:rPr>
        <w:t xml:space="preserve">apart from </w:t>
      </w:r>
      <w:r w:rsidR="00C764C0" w:rsidRPr="001035D0">
        <w:rPr>
          <w:rFonts w:cs="Arial"/>
        </w:rPr>
        <w:t xml:space="preserve">CCS delay, </w:t>
      </w:r>
      <w:r w:rsidR="00C764C0">
        <w:rPr>
          <w:rFonts w:cs="Arial"/>
        </w:rPr>
        <w:t xml:space="preserve">hydrogen </w:t>
      </w:r>
      <w:r w:rsidR="00C764C0" w:rsidRPr="001035D0">
        <w:rPr>
          <w:rFonts w:cs="Arial"/>
        </w:rPr>
        <w:t xml:space="preserve">supply in 2035 is predominantly from methane reformation with CCS, as BECCS technology </w:t>
      </w:r>
      <w:r w:rsidR="00393710">
        <w:rPr>
          <w:rFonts w:cs="Arial"/>
        </w:rPr>
        <w:t xml:space="preserve">is </w:t>
      </w:r>
      <w:r w:rsidR="00C764C0" w:rsidRPr="001035D0">
        <w:rPr>
          <w:rFonts w:cs="Arial"/>
        </w:rPr>
        <w:t xml:space="preserve">not </w:t>
      </w:r>
      <w:r w:rsidR="007C18DC">
        <w:rPr>
          <w:rFonts w:cs="Arial"/>
        </w:rPr>
        <w:t>assumed</w:t>
      </w:r>
      <w:r w:rsidR="00C764C0" w:rsidRPr="001035D0">
        <w:rPr>
          <w:rFonts w:cs="Arial"/>
        </w:rPr>
        <w:t xml:space="preserve"> to deploy </w:t>
      </w:r>
      <w:r w:rsidR="007C18DC">
        <w:rPr>
          <w:rFonts w:cs="Arial"/>
        </w:rPr>
        <w:t xml:space="preserve">at scale </w:t>
      </w:r>
      <w:r w:rsidR="00C764C0" w:rsidRPr="001035D0">
        <w:rPr>
          <w:rFonts w:cs="Arial"/>
        </w:rPr>
        <w:t xml:space="preserve">until </w:t>
      </w:r>
      <w:r w:rsidR="00B94671">
        <w:rPr>
          <w:rFonts w:cs="Arial"/>
        </w:rPr>
        <w:t xml:space="preserve">the </w:t>
      </w:r>
      <w:r w:rsidR="00C764C0" w:rsidRPr="001035D0">
        <w:rPr>
          <w:rFonts w:cs="Arial"/>
        </w:rPr>
        <w:t xml:space="preserve">mid-2030s, and electrolysis </w:t>
      </w:r>
      <w:r w:rsidR="00BE2248">
        <w:rPr>
          <w:rFonts w:cs="Arial"/>
        </w:rPr>
        <w:t xml:space="preserve">will not </w:t>
      </w:r>
      <w:r w:rsidR="00C764C0" w:rsidRPr="001035D0">
        <w:rPr>
          <w:rFonts w:cs="Arial"/>
        </w:rPr>
        <w:t>h</w:t>
      </w:r>
      <w:r w:rsidR="00393710">
        <w:rPr>
          <w:rFonts w:cs="Arial"/>
        </w:rPr>
        <w:t xml:space="preserve">ave </w:t>
      </w:r>
      <w:r w:rsidR="00C764C0" w:rsidRPr="001035D0">
        <w:rPr>
          <w:rFonts w:cs="Arial"/>
        </w:rPr>
        <w:t xml:space="preserve">scaled up </w:t>
      </w:r>
      <w:r w:rsidR="00B94671">
        <w:rPr>
          <w:rFonts w:cs="Arial"/>
        </w:rPr>
        <w:t xml:space="preserve">by that time </w:t>
      </w:r>
      <w:r w:rsidR="00C764C0" w:rsidRPr="001035D0">
        <w:rPr>
          <w:rFonts w:cs="Arial"/>
        </w:rPr>
        <w:t xml:space="preserve">due to </w:t>
      </w:r>
      <w:r w:rsidR="00BE2248">
        <w:rPr>
          <w:rFonts w:cs="Arial"/>
        </w:rPr>
        <w:t>the</w:t>
      </w:r>
      <w:r w:rsidR="00C764C0" w:rsidRPr="001035D0">
        <w:rPr>
          <w:rFonts w:cs="Arial"/>
        </w:rPr>
        <w:t xml:space="preserve"> cost of electrolysers and availability of renewables. </w:t>
      </w:r>
      <w:r w:rsidR="00C764C0">
        <w:rPr>
          <w:rFonts w:cs="Arial"/>
        </w:rPr>
        <w:t>This indicate</w:t>
      </w:r>
      <w:r w:rsidR="00393710">
        <w:rPr>
          <w:rFonts w:cs="Arial"/>
        </w:rPr>
        <w:t>s</w:t>
      </w:r>
      <w:r w:rsidR="00C764C0">
        <w:rPr>
          <w:rFonts w:cs="Arial"/>
        </w:rPr>
        <w:t xml:space="preserve"> that blue</w:t>
      </w:r>
      <w:r w:rsidR="00393710">
        <w:rPr>
          <w:rFonts w:cs="Arial"/>
        </w:rPr>
        <w:t xml:space="preserve"> hydrogen</w:t>
      </w:r>
      <w:r w:rsidR="00C764C0">
        <w:rPr>
          <w:rFonts w:cs="Arial"/>
        </w:rPr>
        <w:t xml:space="preserve"> </w:t>
      </w:r>
      <w:r w:rsidR="00C764C0" w:rsidRPr="001035D0">
        <w:rPr>
          <w:rFonts w:cs="Arial"/>
        </w:rPr>
        <w:t>is needed to provide scale in the short to medium term,</w:t>
      </w:r>
      <w:r w:rsidR="007E0D6B">
        <w:rPr>
          <w:rFonts w:cs="Arial"/>
        </w:rPr>
        <w:t xml:space="preserve"> </w:t>
      </w:r>
      <w:r w:rsidR="00393710">
        <w:rPr>
          <w:rFonts w:cs="Arial"/>
        </w:rPr>
        <w:t xml:space="preserve">before lower emissions technologies become available and cost-competitive at scale. </w:t>
      </w:r>
      <w:r w:rsidR="00393710" w:rsidRPr="0019403D" w:rsidDel="00750660">
        <w:t xml:space="preserve"> </w:t>
      </w:r>
    </w:p>
    <w:p w14:paraId="3FBC28C1" w14:textId="303D9387" w:rsidR="00B94671" w:rsidRPr="00F80826" w:rsidRDefault="00ED67EF" w:rsidP="009229B3">
      <w:pPr>
        <w:pStyle w:val="Numberedparagraphs"/>
      </w:pPr>
      <w:r w:rsidRPr="006A0C4B">
        <w:t xml:space="preserve">Across the </w:t>
      </w:r>
      <w:r w:rsidR="00BF7C0A" w:rsidRPr="006A0C4B">
        <w:t>sixth carbon budget</w:t>
      </w:r>
      <w:r w:rsidRPr="006A0C4B">
        <w:t xml:space="preserve"> options it</w:t>
      </w:r>
      <w:r w:rsidR="00090213" w:rsidRPr="006A0C4B">
        <w:t xml:space="preserve"> is </w:t>
      </w:r>
      <w:r w:rsidR="00676BFD" w:rsidRPr="006A0C4B">
        <w:t>generally more cost-effective to deploy biomass in industry</w:t>
      </w:r>
      <w:r w:rsidR="00A06A32" w:rsidRPr="006A0C4B">
        <w:t xml:space="preserve">, hydrogen production and </w:t>
      </w:r>
      <w:r w:rsidR="00676BFD" w:rsidRPr="006A0C4B">
        <w:t xml:space="preserve">electricity generation than to use it for heating buildings and transport. </w:t>
      </w:r>
      <w:r w:rsidR="008B5EED" w:rsidRPr="006A0C4B">
        <w:t xml:space="preserve"> </w:t>
      </w:r>
      <w:r w:rsidR="0094220C" w:rsidRPr="006A0C4B">
        <w:t>Balancing supply with demand considerations and avoiding sustainability issues will be an important consideration in policy development in this area</w:t>
      </w:r>
      <w:r w:rsidR="00EF7338">
        <w:t>.</w:t>
      </w:r>
      <w:r w:rsidR="00645612" w:rsidRPr="006A0C4B">
        <w:t xml:space="preserve"> </w:t>
      </w:r>
      <w:r w:rsidR="00090213" w:rsidRPr="006A0C4B">
        <w:t xml:space="preserve">Under all carbon budget levels, the UKTM modelled </w:t>
      </w:r>
      <w:r w:rsidR="000F7D9C" w:rsidRPr="006A0C4B">
        <w:t>least-cost</w:t>
      </w:r>
      <w:r w:rsidR="00E23F16" w:rsidRPr="006A0C4B">
        <w:t xml:space="preserve"> </w:t>
      </w:r>
      <w:r w:rsidR="00090213" w:rsidRPr="006A0C4B">
        <w:t xml:space="preserve">technology mix includes more biofuels in aviation in 2035 than </w:t>
      </w:r>
      <w:r w:rsidR="003C3D7E">
        <w:t>in</w:t>
      </w:r>
      <w:r w:rsidR="00090213" w:rsidRPr="006A0C4B">
        <w:t xml:space="preserve"> 2050.</w:t>
      </w:r>
      <w:r w:rsidR="0094220C" w:rsidRPr="006A0C4B">
        <w:t xml:space="preserve"> </w:t>
      </w:r>
      <w:r w:rsidR="00C37A29" w:rsidRPr="006A0C4B">
        <w:t xml:space="preserve">This is only one illustrative view of the </w:t>
      </w:r>
      <w:r w:rsidR="00A44C16" w:rsidRPr="006A0C4B">
        <w:t>emissions pathway for aviation.</w:t>
      </w:r>
      <w:r w:rsidR="00C37A29" w:rsidRPr="006A0C4B">
        <w:t xml:space="preserve"> </w:t>
      </w:r>
      <w:r w:rsidR="00ED456E">
        <w:t>For example, s</w:t>
      </w:r>
      <w:r w:rsidR="00645612" w:rsidRPr="006A0C4B">
        <w:t>ynthetic</w:t>
      </w:r>
      <w:r w:rsidR="0094220C" w:rsidRPr="006A0C4B">
        <w:t xml:space="preserve"> fuels, not modelled due to lack of robust data on </w:t>
      </w:r>
      <w:r w:rsidR="00645612" w:rsidRPr="006A0C4B">
        <w:t xml:space="preserve">the </w:t>
      </w:r>
      <w:r w:rsidR="0094220C" w:rsidRPr="006A0C4B">
        <w:t>implications</w:t>
      </w:r>
      <w:r w:rsidR="00645612" w:rsidRPr="006A0C4B">
        <w:t xml:space="preserve"> for the energy system</w:t>
      </w:r>
      <w:r w:rsidR="0094220C" w:rsidRPr="006A0C4B">
        <w:t xml:space="preserve">, could be an alternative fuel source in the transition if </w:t>
      </w:r>
      <w:r w:rsidR="00645612" w:rsidRPr="006A0C4B">
        <w:t xml:space="preserve">they prove to be </w:t>
      </w:r>
      <w:r w:rsidR="0094220C" w:rsidRPr="006A0C4B">
        <w:t>cost-effective.</w:t>
      </w:r>
      <w:r w:rsidR="00E85CE6">
        <w:br/>
      </w:r>
    </w:p>
    <w:p w14:paraId="3AF609B6" w14:textId="7CFF9761" w:rsidR="00E62C85" w:rsidRDefault="00E62C85" w:rsidP="009229B3">
      <w:pPr>
        <w:pStyle w:val="Numberedparagraphs"/>
        <w:numPr>
          <w:ilvl w:val="0"/>
          <w:numId w:val="0"/>
        </w:numPr>
      </w:pPr>
    </w:p>
    <w:p w14:paraId="745F58AD" w14:textId="08D9C92E" w:rsidR="00D337EE" w:rsidRDefault="00D337EE" w:rsidP="009229B3">
      <w:pPr>
        <w:pStyle w:val="Numberedparagraphs"/>
        <w:numPr>
          <w:ilvl w:val="0"/>
          <w:numId w:val="0"/>
        </w:numPr>
      </w:pPr>
    </w:p>
    <w:p w14:paraId="2607A595" w14:textId="0E67FDA1" w:rsidR="00D337EE" w:rsidRDefault="00D337EE" w:rsidP="009229B3">
      <w:pPr>
        <w:pStyle w:val="Numberedparagraphs"/>
        <w:numPr>
          <w:ilvl w:val="0"/>
          <w:numId w:val="0"/>
        </w:numPr>
      </w:pPr>
    </w:p>
    <w:p w14:paraId="4679BB51" w14:textId="4713E43F" w:rsidR="00D337EE" w:rsidRDefault="00D337EE" w:rsidP="009229B3">
      <w:pPr>
        <w:pStyle w:val="Numberedparagraphs"/>
        <w:numPr>
          <w:ilvl w:val="0"/>
          <w:numId w:val="0"/>
        </w:numPr>
      </w:pPr>
    </w:p>
    <w:p w14:paraId="61282C36" w14:textId="5D34FFF6" w:rsidR="00D337EE" w:rsidRDefault="00D337EE" w:rsidP="009229B3">
      <w:pPr>
        <w:pStyle w:val="Numberedparagraphs"/>
        <w:numPr>
          <w:ilvl w:val="0"/>
          <w:numId w:val="0"/>
        </w:numPr>
      </w:pPr>
    </w:p>
    <w:p w14:paraId="5B60878A" w14:textId="47884131" w:rsidR="004C6E53" w:rsidRPr="00F80826" w:rsidRDefault="00A26C32" w:rsidP="00F80826">
      <w:pPr>
        <w:spacing w:after="160"/>
        <w:rPr>
          <w:i/>
        </w:rPr>
      </w:pPr>
      <w:r w:rsidRPr="006A0C4B">
        <w:rPr>
          <w:i/>
        </w:rPr>
        <w:lastRenderedPageBreak/>
        <w:t xml:space="preserve">Table </w:t>
      </w:r>
      <w:r w:rsidR="00644E6A">
        <w:rPr>
          <w:i/>
          <w:iCs/>
        </w:rPr>
        <w:t>9</w:t>
      </w:r>
      <w:r w:rsidRPr="006A0C4B">
        <w:rPr>
          <w:i/>
        </w:rPr>
        <w:t>: Modelled sustainable energy carriers in 2035 by option (in TWh)</w:t>
      </w:r>
    </w:p>
    <w:tbl>
      <w:tblPr>
        <w:tblStyle w:val="TableGrid"/>
        <w:tblW w:w="10195" w:type="dxa"/>
        <w:tblLayout w:type="fixed"/>
        <w:tblLook w:val="0420" w:firstRow="1" w:lastRow="0" w:firstColumn="0" w:lastColumn="0" w:noHBand="0" w:noVBand="1"/>
      </w:tblPr>
      <w:tblGrid>
        <w:gridCol w:w="4390"/>
        <w:gridCol w:w="1417"/>
        <w:gridCol w:w="1418"/>
        <w:gridCol w:w="1417"/>
        <w:gridCol w:w="1553"/>
      </w:tblGrid>
      <w:tr w:rsidR="004C6E53" w14:paraId="409CC856" w14:textId="77777777" w:rsidTr="000925B8">
        <w:trPr>
          <w:trHeight w:val="688"/>
        </w:trPr>
        <w:tc>
          <w:tcPr>
            <w:tcW w:w="4390" w:type="dxa"/>
            <w:hideMark/>
          </w:tcPr>
          <w:p w14:paraId="07FB60F3" w14:textId="267B7AB1" w:rsidR="004C6E53" w:rsidRPr="006A0C4B" w:rsidRDefault="00892862" w:rsidP="0047657D">
            <w:pPr>
              <w:jc w:val="center"/>
              <w:rPr>
                <w:b/>
                <w:sz w:val="22"/>
                <w:szCs w:val="22"/>
              </w:rPr>
            </w:pPr>
            <w:r w:rsidRPr="006A0C4B">
              <w:rPr>
                <w:b/>
                <w:sz w:val="22"/>
                <w:szCs w:val="22"/>
              </w:rPr>
              <w:t>2035 TWh</w:t>
            </w:r>
          </w:p>
        </w:tc>
        <w:tc>
          <w:tcPr>
            <w:tcW w:w="1417" w:type="dxa"/>
          </w:tcPr>
          <w:p w14:paraId="51C2FD3A" w14:textId="47E95A63" w:rsidR="004C6E53" w:rsidRPr="006A0C4B" w:rsidRDefault="009A0CB3" w:rsidP="00861D79">
            <w:pPr>
              <w:ind w:right="170"/>
              <w:jc w:val="right"/>
              <w:rPr>
                <w:b/>
                <w:sz w:val="22"/>
                <w:szCs w:val="22"/>
              </w:rPr>
            </w:pPr>
            <w:r w:rsidRPr="006A0C4B">
              <w:rPr>
                <w:b/>
                <w:sz w:val="22"/>
                <w:szCs w:val="22"/>
              </w:rPr>
              <w:t xml:space="preserve">Baseline </w:t>
            </w:r>
            <w:r w:rsidR="004C6E53" w:rsidRPr="006A0C4B">
              <w:rPr>
                <w:b/>
                <w:sz w:val="22"/>
                <w:szCs w:val="22"/>
              </w:rPr>
              <w:t xml:space="preserve">Option 1- </w:t>
            </w:r>
            <w:r w:rsidR="004C6E53" w:rsidRPr="006A0C4B">
              <w:rPr>
                <w:b/>
                <w:sz w:val="22"/>
                <w:szCs w:val="22"/>
              </w:rPr>
              <w:br/>
              <w:t>Do-nothing</w:t>
            </w:r>
          </w:p>
        </w:tc>
        <w:tc>
          <w:tcPr>
            <w:tcW w:w="1418" w:type="dxa"/>
            <w:hideMark/>
          </w:tcPr>
          <w:p w14:paraId="407987B1" w14:textId="24C8C137" w:rsidR="004C6E53" w:rsidRPr="006A0C4B" w:rsidRDefault="004C6E53" w:rsidP="00861D79">
            <w:pPr>
              <w:ind w:right="170"/>
              <w:jc w:val="right"/>
              <w:rPr>
                <w:b/>
                <w:sz w:val="22"/>
                <w:szCs w:val="22"/>
              </w:rPr>
            </w:pPr>
            <w:r w:rsidRPr="006A0C4B">
              <w:rPr>
                <w:b/>
                <w:sz w:val="22"/>
                <w:szCs w:val="22"/>
              </w:rPr>
              <w:t xml:space="preserve"> Option 2 </w:t>
            </w:r>
            <w:r w:rsidR="00E85CE6">
              <w:rPr>
                <w:b/>
                <w:sz w:val="22"/>
                <w:szCs w:val="22"/>
              </w:rPr>
              <w:t>-</w:t>
            </w:r>
            <w:r w:rsidRPr="006A0C4B">
              <w:rPr>
                <w:b/>
                <w:sz w:val="22"/>
                <w:szCs w:val="22"/>
              </w:rPr>
              <w:t xml:space="preserve"> Looser </w:t>
            </w:r>
          </w:p>
          <w:p w14:paraId="1157612D" w14:textId="5446C3BE" w:rsidR="004C6E53" w:rsidRPr="006A0C4B" w:rsidRDefault="004C6E53" w:rsidP="00861D79">
            <w:pPr>
              <w:ind w:right="170"/>
              <w:jc w:val="right"/>
              <w:rPr>
                <w:b/>
                <w:sz w:val="22"/>
                <w:szCs w:val="22"/>
              </w:rPr>
            </w:pPr>
            <w:r w:rsidRPr="006A0C4B">
              <w:rPr>
                <w:b/>
                <w:sz w:val="22"/>
                <w:szCs w:val="22"/>
              </w:rPr>
              <w:t xml:space="preserve"> </w:t>
            </w:r>
          </w:p>
        </w:tc>
        <w:tc>
          <w:tcPr>
            <w:tcW w:w="1417" w:type="dxa"/>
            <w:hideMark/>
          </w:tcPr>
          <w:p w14:paraId="6037C6F3" w14:textId="39D02C43" w:rsidR="004C6E53" w:rsidRPr="006A0C4B" w:rsidRDefault="004C6E53" w:rsidP="00861D79">
            <w:pPr>
              <w:ind w:right="170"/>
              <w:jc w:val="right"/>
              <w:rPr>
                <w:b/>
                <w:sz w:val="22"/>
                <w:szCs w:val="22"/>
              </w:rPr>
            </w:pPr>
            <w:r w:rsidRPr="006A0C4B">
              <w:rPr>
                <w:b/>
                <w:sz w:val="22"/>
                <w:szCs w:val="22"/>
              </w:rPr>
              <w:t>Option 3 -CCC</w:t>
            </w:r>
          </w:p>
        </w:tc>
        <w:tc>
          <w:tcPr>
            <w:tcW w:w="1553" w:type="dxa"/>
          </w:tcPr>
          <w:p w14:paraId="56D83CAE" w14:textId="32C00CDB" w:rsidR="004C6E53" w:rsidRPr="006A0C4B" w:rsidRDefault="004C6E53" w:rsidP="00861D79">
            <w:pPr>
              <w:ind w:right="170"/>
              <w:jc w:val="right"/>
              <w:rPr>
                <w:b/>
                <w:sz w:val="22"/>
                <w:szCs w:val="22"/>
              </w:rPr>
            </w:pPr>
            <w:r w:rsidRPr="006A0C4B">
              <w:rPr>
                <w:b/>
                <w:sz w:val="22"/>
                <w:szCs w:val="22"/>
              </w:rPr>
              <w:t xml:space="preserve">Option </w:t>
            </w:r>
            <w:r w:rsidR="005361C4" w:rsidRPr="006A0C4B">
              <w:rPr>
                <w:b/>
                <w:sz w:val="22"/>
                <w:szCs w:val="22"/>
              </w:rPr>
              <w:t>4</w:t>
            </w:r>
            <w:r w:rsidRPr="006A0C4B">
              <w:rPr>
                <w:b/>
                <w:sz w:val="22"/>
                <w:szCs w:val="22"/>
              </w:rPr>
              <w:t xml:space="preserve"> - Tighter</w:t>
            </w:r>
          </w:p>
        </w:tc>
      </w:tr>
      <w:tr w:rsidR="004C6E53" w:rsidRPr="0031366C" w14:paraId="65C5CA06" w14:textId="77777777" w:rsidTr="000925B8">
        <w:trPr>
          <w:trHeight w:val="160"/>
        </w:trPr>
        <w:tc>
          <w:tcPr>
            <w:tcW w:w="4390" w:type="dxa"/>
            <w:hideMark/>
          </w:tcPr>
          <w:p w14:paraId="3048A00F" w14:textId="77777777" w:rsidR="004C6E53" w:rsidRDefault="00A26C32" w:rsidP="00861D79">
            <w:pPr>
              <w:rPr>
                <w:b/>
                <w:sz w:val="22"/>
                <w:szCs w:val="22"/>
              </w:rPr>
            </w:pPr>
            <w:r w:rsidRPr="006A0C4B">
              <w:rPr>
                <w:b/>
                <w:sz w:val="22"/>
                <w:szCs w:val="22"/>
              </w:rPr>
              <w:t>Electricity generation</w:t>
            </w:r>
          </w:p>
          <w:p w14:paraId="6B56C33F" w14:textId="64EBB0BC" w:rsidR="002555AC" w:rsidRDefault="002555AC" w:rsidP="00861D79">
            <w:pPr>
              <w:rPr>
                <w:bCs/>
                <w:sz w:val="22"/>
                <w:szCs w:val="22"/>
              </w:rPr>
            </w:pPr>
            <w:r w:rsidRPr="002555AC">
              <w:rPr>
                <w:bCs/>
                <w:sz w:val="22"/>
                <w:szCs w:val="22"/>
              </w:rPr>
              <w:t>Variable renewable generation (%)</w:t>
            </w:r>
            <w:r w:rsidR="00801540">
              <w:rPr>
                <w:rStyle w:val="FootnoteReference"/>
                <w:bCs/>
                <w:szCs w:val="22"/>
              </w:rPr>
              <w:footnoteReference w:id="40"/>
            </w:r>
          </w:p>
          <w:p w14:paraId="59BE5F03" w14:textId="5D45B009" w:rsidR="004C6E53" w:rsidRPr="002555AC" w:rsidRDefault="002555AC" w:rsidP="00861D79">
            <w:pPr>
              <w:rPr>
                <w:sz w:val="22"/>
                <w:szCs w:val="22"/>
              </w:rPr>
            </w:pPr>
            <w:r>
              <w:rPr>
                <w:bCs/>
                <w:sz w:val="22"/>
                <w:szCs w:val="22"/>
              </w:rPr>
              <w:t>Low carbon generation (%)</w:t>
            </w:r>
          </w:p>
        </w:tc>
        <w:tc>
          <w:tcPr>
            <w:tcW w:w="1417" w:type="dxa"/>
          </w:tcPr>
          <w:p w14:paraId="774FD2C6" w14:textId="0DCD8C4C" w:rsidR="004C6E53" w:rsidRPr="006A0C4B" w:rsidRDefault="00F95049" w:rsidP="00861D79">
            <w:pPr>
              <w:ind w:right="170"/>
              <w:jc w:val="right"/>
              <w:rPr>
                <w:sz w:val="22"/>
                <w:szCs w:val="22"/>
              </w:rPr>
            </w:pPr>
            <w:r w:rsidRPr="006A0C4B">
              <w:rPr>
                <w:sz w:val="22"/>
                <w:szCs w:val="22"/>
              </w:rPr>
              <w:t>300</w:t>
            </w:r>
            <w:r w:rsidR="00B172EF">
              <w:rPr>
                <w:sz w:val="22"/>
                <w:szCs w:val="22"/>
              </w:rPr>
              <w:br/>
              <w:t>50</w:t>
            </w:r>
            <w:r w:rsidR="00B172EF">
              <w:rPr>
                <w:sz w:val="22"/>
                <w:szCs w:val="22"/>
              </w:rPr>
              <w:br/>
            </w:r>
            <w:r w:rsidR="00A26050">
              <w:rPr>
                <w:sz w:val="22"/>
                <w:szCs w:val="22"/>
              </w:rPr>
              <w:t>80</w:t>
            </w:r>
          </w:p>
        </w:tc>
        <w:tc>
          <w:tcPr>
            <w:tcW w:w="1418" w:type="dxa"/>
          </w:tcPr>
          <w:p w14:paraId="4C55EA38" w14:textId="6745213C" w:rsidR="004C6E53" w:rsidRPr="006A0C4B" w:rsidRDefault="00EB141C" w:rsidP="00861D79">
            <w:pPr>
              <w:ind w:right="170"/>
              <w:jc w:val="right"/>
              <w:rPr>
                <w:sz w:val="22"/>
                <w:szCs w:val="22"/>
              </w:rPr>
            </w:pPr>
            <w:r w:rsidRPr="006A0C4B">
              <w:rPr>
                <w:sz w:val="22"/>
                <w:szCs w:val="22"/>
              </w:rPr>
              <w:t>415</w:t>
            </w:r>
            <w:r w:rsidR="00F95049" w:rsidRPr="006A0C4B">
              <w:rPr>
                <w:sz w:val="22"/>
                <w:szCs w:val="22"/>
              </w:rPr>
              <w:t>-4</w:t>
            </w:r>
            <w:r w:rsidRPr="006A0C4B">
              <w:rPr>
                <w:sz w:val="22"/>
                <w:szCs w:val="22"/>
              </w:rPr>
              <w:t>85</w:t>
            </w:r>
            <w:r w:rsidR="00306FB3">
              <w:rPr>
                <w:sz w:val="22"/>
                <w:szCs w:val="22"/>
              </w:rPr>
              <w:br/>
            </w:r>
            <w:r w:rsidR="00801540">
              <w:rPr>
                <w:sz w:val="22"/>
                <w:szCs w:val="22"/>
              </w:rPr>
              <w:t>65-75</w:t>
            </w:r>
            <w:r w:rsidR="00801540">
              <w:rPr>
                <w:sz w:val="22"/>
                <w:szCs w:val="22"/>
              </w:rPr>
              <w:br/>
              <w:t>95-99</w:t>
            </w:r>
          </w:p>
        </w:tc>
        <w:tc>
          <w:tcPr>
            <w:tcW w:w="1417" w:type="dxa"/>
          </w:tcPr>
          <w:p w14:paraId="17073C97" w14:textId="04A4E8B7" w:rsidR="004C6E53" w:rsidRPr="006A0C4B" w:rsidRDefault="00EB141C" w:rsidP="00861D79">
            <w:pPr>
              <w:ind w:right="170"/>
              <w:jc w:val="right"/>
              <w:rPr>
                <w:sz w:val="22"/>
                <w:szCs w:val="22"/>
              </w:rPr>
            </w:pPr>
            <w:r w:rsidRPr="006A0C4B">
              <w:rPr>
                <w:sz w:val="22"/>
                <w:szCs w:val="22"/>
              </w:rPr>
              <w:t>465</w:t>
            </w:r>
            <w:r w:rsidR="00EA6B5D" w:rsidRPr="006A0C4B">
              <w:rPr>
                <w:sz w:val="22"/>
                <w:szCs w:val="22"/>
              </w:rPr>
              <w:t>-</w:t>
            </w:r>
            <w:r w:rsidRPr="006A0C4B">
              <w:rPr>
                <w:sz w:val="22"/>
                <w:szCs w:val="22"/>
              </w:rPr>
              <w:t>51</w:t>
            </w:r>
            <w:r w:rsidR="00EA6B5D" w:rsidRPr="006A0C4B">
              <w:rPr>
                <w:sz w:val="22"/>
                <w:szCs w:val="22"/>
              </w:rPr>
              <w:t>5</w:t>
            </w:r>
            <w:r w:rsidR="00801540">
              <w:rPr>
                <w:sz w:val="22"/>
                <w:szCs w:val="22"/>
              </w:rPr>
              <w:br/>
              <w:t>65-75</w:t>
            </w:r>
            <w:r w:rsidR="00801540">
              <w:rPr>
                <w:sz w:val="22"/>
                <w:szCs w:val="22"/>
              </w:rPr>
              <w:br/>
              <w:t>95-99</w:t>
            </w:r>
          </w:p>
        </w:tc>
        <w:tc>
          <w:tcPr>
            <w:tcW w:w="1553" w:type="dxa"/>
          </w:tcPr>
          <w:p w14:paraId="0BAC22F5" w14:textId="76395741" w:rsidR="004C6E53" w:rsidRPr="006A0C4B" w:rsidRDefault="00EB141C" w:rsidP="00861D79">
            <w:pPr>
              <w:ind w:right="170"/>
              <w:jc w:val="right"/>
              <w:rPr>
                <w:sz w:val="22"/>
                <w:szCs w:val="22"/>
              </w:rPr>
            </w:pPr>
            <w:r w:rsidRPr="006A0C4B">
              <w:rPr>
                <w:sz w:val="22"/>
                <w:szCs w:val="22"/>
              </w:rPr>
              <w:t>500</w:t>
            </w:r>
            <w:r w:rsidR="00F95049" w:rsidRPr="006A0C4B">
              <w:rPr>
                <w:sz w:val="22"/>
                <w:szCs w:val="22"/>
              </w:rPr>
              <w:t>-5</w:t>
            </w:r>
            <w:r w:rsidRPr="006A0C4B">
              <w:rPr>
                <w:sz w:val="22"/>
                <w:szCs w:val="22"/>
              </w:rPr>
              <w:t>4</w:t>
            </w:r>
            <w:r w:rsidR="00F95049" w:rsidRPr="006A0C4B">
              <w:rPr>
                <w:sz w:val="22"/>
                <w:szCs w:val="22"/>
              </w:rPr>
              <w:t>0</w:t>
            </w:r>
            <w:r w:rsidR="00801540">
              <w:rPr>
                <w:sz w:val="22"/>
                <w:szCs w:val="22"/>
              </w:rPr>
              <w:br/>
              <w:t>65-75</w:t>
            </w:r>
            <w:r w:rsidR="00801540">
              <w:rPr>
                <w:sz w:val="22"/>
                <w:szCs w:val="22"/>
              </w:rPr>
              <w:br/>
              <w:t>95-99</w:t>
            </w:r>
          </w:p>
        </w:tc>
      </w:tr>
      <w:tr w:rsidR="004C6E53" w:rsidRPr="0031366C" w14:paraId="7AFFC3A1" w14:textId="77777777" w:rsidTr="000925B8">
        <w:trPr>
          <w:trHeight w:val="230"/>
        </w:trPr>
        <w:tc>
          <w:tcPr>
            <w:tcW w:w="4390" w:type="dxa"/>
            <w:hideMark/>
          </w:tcPr>
          <w:p w14:paraId="215950B5" w14:textId="2704349D" w:rsidR="004C6E53" w:rsidRDefault="000A2A81" w:rsidP="00A26C32">
            <w:pPr>
              <w:rPr>
                <w:b/>
                <w:sz w:val="22"/>
                <w:szCs w:val="22"/>
              </w:rPr>
            </w:pPr>
            <w:r w:rsidRPr="006A0C4B">
              <w:rPr>
                <w:b/>
                <w:sz w:val="22"/>
                <w:szCs w:val="22"/>
              </w:rPr>
              <w:t xml:space="preserve">Low carbon </w:t>
            </w:r>
            <w:r w:rsidR="00A26C32" w:rsidRPr="006A0C4B" w:rsidDel="000A2A81">
              <w:rPr>
                <w:b/>
                <w:sz w:val="22"/>
                <w:szCs w:val="22"/>
              </w:rPr>
              <w:t>hydrogen production</w:t>
            </w:r>
            <w:r w:rsidR="00BB0B8F" w:rsidRPr="01F21943">
              <w:rPr>
                <w:rStyle w:val="FootnoteReference"/>
                <w:b/>
              </w:rPr>
              <w:footnoteReference w:id="41"/>
            </w:r>
          </w:p>
          <w:p w14:paraId="008B0B29" w14:textId="0C1B7EEE" w:rsidR="0059727A" w:rsidRDefault="0059727A" w:rsidP="00A26C32">
            <w:pPr>
              <w:rPr>
                <w:rFonts w:cs="Arial"/>
                <w:sz w:val="22"/>
                <w:szCs w:val="22"/>
              </w:rPr>
            </w:pPr>
            <w:r>
              <w:rPr>
                <w:rFonts w:cs="Arial"/>
                <w:sz w:val="22"/>
                <w:szCs w:val="22"/>
              </w:rPr>
              <w:t>B</w:t>
            </w:r>
            <w:r w:rsidRPr="00B853F1">
              <w:rPr>
                <w:rFonts w:cs="Arial"/>
                <w:sz w:val="22"/>
                <w:szCs w:val="22"/>
              </w:rPr>
              <w:t>iomass gasification with CCS</w:t>
            </w:r>
            <w:r w:rsidR="000F0AF2">
              <w:rPr>
                <w:rFonts w:cs="Arial"/>
                <w:sz w:val="22"/>
                <w:szCs w:val="22"/>
              </w:rPr>
              <w:t xml:space="preserve"> (%)</w:t>
            </w:r>
          </w:p>
          <w:p w14:paraId="4232A3D7" w14:textId="77777777" w:rsidR="000F0AF2" w:rsidRDefault="0059727A" w:rsidP="00A26C32">
            <w:pPr>
              <w:rPr>
                <w:rFonts w:cs="Arial"/>
                <w:sz w:val="22"/>
                <w:szCs w:val="22"/>
              </w:rPr>
            </w:pPr>
            <w:r>
              <w:rPr>
                <w:rFonts w:cs="Arial"/>
                <w:sz w:val="22"/>
                <w:szCs w:val="22"/>
              </w:rPr>
              <w:t>S</w:t>
            </w:r>
            <w:r w:rsidRPr="00B853F1">
              <w:rPr>
                <w:rFonts w:cs="Arial"/>
                <w:sz w:val="22"/>
                <w:szCs w:val="22"/>
              </w:rPr>
              <w:t xml:space="preserve">team methane reformation with CCS </w:t>
            </w:r>
            <w:r w:rsidR="000F0AF2">
              <w:rPr>
                <w:rFonts w:cs="Arial"/>
                <w:sz w:val="22"/>
                <w:szCs w:val="22"/>
              </w:rPr>
              <w:t>(%)</w:t>
            </w:r>
          </w:p>
          <w:p w14:paraId="6FE42AC8" w14:textId="005F42B6" w:rsidR="004C6E53" w:rsidRPr="006A0C4B" w:rsidRDefault="0059727A" w:rsidP="00A26C32">
            <w:pPr>
              <w:rPr>
                <w:b/>
                <w:sz w:val="22"/>
                <w:szCs w:val="22"/>
              </w:rPr>
            </w:pPr>
            <w:r>
              <w:rPr>
                <w:rFonts w:cs="Arial"/>
                <w:sz w:val="22"/>
                <w:szCs w:val="22"/>
              </w:rPr>
              <w:t>E</w:t>
            </w:r>
            <w:r w:rsidRPr="00B853F1">
              <w:rPr>
                <w:rFonts w:cs="Arial"/>
                <w:sz w:val="22"/>
                <w:szCs w:val="22"/>
              </w:rPr>
              <w:t>lectrolysis</w:t>
            </w:r>
            <w:r w:rsidR="000F0AF2">
              <w:rPr>
                <w:rFonts w:cs="Arial"/>
                <w:sz w:val="22"/>
                <w:szCs w:val="22"/>
              </w:rPr>
              <w:t xml:space="preserve"> (%)</w:t>
            </w:r>
          </w:p>
        </w:tc>
        <w:tc>
          <w:tcPr>
            <w:tcW w:w="1417" w:type="dxa"/>
          </w:tcPr>
          <w:p w14:paraId="763516C3" w14:textId="676324BB" w:rsidR="004C6E53" w:rsidRDefault="00EB141C" w:rsidP="00861D79">
            <w:pPr>
              <w:ind w:right="170"/>
              <w:jc w:val="right"/>
              <w:rPr>
                <w:sz w:val="22"/>
                <w:szCs w:val="22"/>
              </w:rPr>
            </w:pPr>
            <w:r w:rsidRPr="006A0C4B">
              <w:rPr>
                <w:sz w:val="22"/>
                <w:szCs w:val="22"/>
              </w:rPr>
              <w:t>0</w:t>
            </w:r>
          </w:p>
          <w:p w14:paraId="1F4A3C5C" w14:textId="411C4FFB" w:rsidR="004C6E53" w:rsidRPr="006A0C4B" w:rsidRDefault="004C6E53" w:rsidP="00861D79">
            <w:pPr>
              <w:ind w:right="170"/>
              <w:jc w:val="right"/>
              <w:rPr>
                <w:sz w:val="22"/>
                <w:szCs w:val="22"/>
              </w:rPr>
            </w:pPr>
          </w:p>
        </w:tc>
        <w:tc>
          <w:tcPr>
            <w:tcW w:w="1418" w:type="dxa"/>
          </w:tcPr>
          <w:p w14:paraId="2BBEFE59" w14:textId="45B6FC23" w:rsidR="00CC7888" w:rsidRPr="00CC7888" w:rsidRDefault="00636ED0" w:rsidP="00CC7888">
            <w:pPr>
              <w:ind w:right="170"/>
              <w:jc w:val="right"/>
              <w:rPr>
                <w:sz w:val="22"/>
                <w:szCs w:val="22"/>
              </w:rPr>
            </w:pPr>
            <w:r>
              <w:rPr>
                <w:sz w:val="22"/>
                <w:szCs w:val="22"/>
              </w:rPr>
              <w:t>7</w:t>
            </w:r>
            <w:r w:rsidR="008829EE" w:rsidRPr="006A0C4B">
              <w:rPr>
                <w:sz w:val="22"/>
                <w:szCs w:val="22"/>
              </w:rPr>
              <w:t>0</w:t>
            </w:r>
            <w:r w:rsidR="007A5C90" w:rsidRPr="006A0C4B">
              <w:rPr>
                <w:sz w:val="22"/>
                <w:szCs w:val="22"/>
              </w:rPr>
              <w:t>-1</w:t>
            </w:r>
            <w:r w:rsidR="008829EE" w:rsidRPr="006A0C4B">
              <w:rPr>
                <w:sz w:val="22"/>
                <w:szCs w:val="22"/>
              </w:rPr>
              <w:t>15</w:t>
            </w:r>
          </w:p>
          <w:p w14:paraId="609FCA4A" w14:textId="77777777" w:rsidR="00084D38" w:rsidRPr="00084D38" w:rsidRDefault="00084D38" w:rsidP="00084D38">
            <w:pPr>
              <w:ind w:right="170"/>
              <w:jc w:val="right"/>
              <w:rPr>
                <w:sz w:val="22"/>
                <w:szCs w:val="22"/>
              </w:rPr>
            </w:pPr>
            <w:r w:rsidRPr="00084D38">
              <w:rPr>
                <w:sz w:val="22"/>
                <w:szCs w:val="22"/>
              </w:rPr>
              <w:t>5-10</w:t>
            </w:r>
          </w:p>
          <w:p w14:paraId="6D205544" w14:textId="77777777" w:rsidR="00084D38" w:rsidRPr="00084D38" w:rsidRDefault="00084D38" w:rsidP="00084D38">
            <w:pPr>
              <w:ind w:right="170"/>
              <w:jc w:val="right"/>
              <w:rPr>
                <w:sz w:val="22"/>
                <w:szCs w:val="22"/>
              </w:rPr>
            </w:pPr>
            <w:r w:rsidRPr="00084D38">
              <w:rPr>
                <w:sz w:val="22"/>
                <w:szCs w:val="22"/>
              </w:rPr>
              <w:t>20-90</w:t>
            </w:r>
          </w:p>
          <w:p w14:paraId="7DFA5914" w14:textId="79492412" w:rsidR="004C6E53" w:rsidRPr="006A0C4B" w:rsidRDefault="00084D38" w:rsidP="00861D79">
            <w:pPr>
              <w:ind w:right="170"/>
              <w:jc w:val="right"/>
              <w:rPr>
                <w:sz w:val="22"/>
                <w:szCs w:val="22"/>
              </w:rPr>
            </w:pPr>
            <w:r w:rsidRPr="00084D38">
              <w:rPr>
                <w:sz w:val="22"/>
                <w:szCs w:val="22"/>
              </w:rPr>
              <w:t>0-45</w:t>
            </w:r>
          </w:p>
        </w:tc>
        <w:tc>
          <w:tcPr>
            <w:tcW w:w="1417" w:type="dxa"/>
          </w:tcPr>
          <w:p w14:paraId="2E46637F" w14:textId="21A99F81" w:rsidR="004C6E53" w:rsidRDefault="00636ED0" w:rsidP="00861D79">
            <w:pPr>
              <w:ind w:right="170"/>
              <w:jc w:val="right"/>
              <w:rPr>
                <w:sz w:val="22"/>
                <w:szCs w:val="22"/>
              </w:rPr>
            </w:pPr>
            <w:r>
              <w:rPr>
                <w:sz w:val="22"/>
                <w:szCs w:val="22"/>
              </w:rPr>
              <w:t>8</w:t>
            </w:r>
            <w:r w:rsidR="00EB141C" w:rsidRPr="006A0C4B">
              <w:rPr>
                <w:sz w:val="22"/>
                <w:szCs w:val="22"/>
              </w:rPr>
              <w:t>5</w:t>
            </w:r>
            <w:r w:rsidR="005445F5" w:rsidRPr="006A0C4B">
              <w:rPr>
                <w:sz w:val="22"/>
                <w:szCs w:val="22"/>
              </w:rPr>
              <w:t>-1</w:t>
            </w:r>
            <w:r w:rsidR="00C5792F" w:rsidRPr="006A0C4B">
              <w:rPr>
                <w:sz w:val="22"/>
                <w:szCs w:val="22"/>
              </w:rPr>
              <w:t>2</w:t>
            </w:r>
            <w:r w:rsidR="002F37F4" w:rsidRPr="006A0C4B">
              <w:rPr>
                <w:sz w:val="22"/>
                <w:szCs w:val="22"/>
              </w:rPr>
              <w:t>5</w:t>
            </w:r>
          </w:p>
          <w:p w14:paraId="1C621D15" w14:textId="77777777" w:rsidR="00084D38" w:rsidRPr="00084D38" w:rsidRDefault="00084D38" w:rsidP="00084D38">
            <w:pPr>
              <w:ind w:right="170"/>
              <w:jc w:val="right"/>
              <w:rPr>
                <w:sz w:val="22"/>
                <w:szCs w:val="22"/>
              </w:rPr>
            </w:pPr>
            <w:r w:rsidRPr="00084D38">
              <w:rPr>
                <w:sz w:val="22"/>
                <w:szCs w:val="22"/>
              </w:rPr>
              <w:t>5</w:t>
            </w:r>
          </w:p>
          <w:p w14:paraId="7B026985" w14:textId="77777777" w:rsidR="00084D38" w:rsidRPr="00084D38" w:rsidRDefault="00084D38" w:rsidP="00084D38">
            <w:pPr>
              <w:ind w:right="170"/>
              <w:jc w:val="right"/>
              <w:rPr>
                <w:sz w:val="22"/>
                <w:szCs w:val="22"/>
              </w:rPr>
            </w:pPr>
            <w:r w:rsidRPr="00084D38">
              <w:rPr>
                <w:sz w:val="22"/>
                <w:szCs w:val="22"/>
              </w:rPr>
              <w:t>50-85</w:t>
            </w:r>
          </w:p>
          <w:p w14:paraId="0838554C" w14:textId="26970AAE" w:rsidR="004C6E53" w:rsidRPr="006A0C4B" w:rsidRDefault="00084D38" w:rsidP="00861D79">
            <w:pPr>
              <w:ind w:right="170"/>
              <w:jc w:val="right"/>
              <w:rPr>
                <w:sz w:val="22"/>
                <w:szCs w:val="22"/>
              </w:rPr>
            </w:pPr>
            <w:r w:rsidRPr="00084D38">
              <w:rPr>
                <w:sz w:val="22"/>
                <w:szCs w:val="22"/>
              </w:rPr>
              <w:t>5-40</w:t>
            </w:r>
          </w:p>
        </w:tc>
        <w:tc>
          <w:tcPr>
            <w:tcW w:w="1553" w:type="dxa"/>
          </w:tcPr>
          <w:p w14:paraId="5F167D20" w14:textId="5F0D0FAA" w:rsidR="004C6E53" w:rsidRDefault="00B6005A" w:rsidP="00861D79">
            <w:pPr>
              <w:ind w:right="170"/>
              <w:jc w:val="right"/>
              <w:rPr>
                <w:sz w:val="22"/>
                <w:szCs w:val="22"/>
              </w:rPr>
            </w:pPr>
            <w:r w:rsidRPr="006A0C4B">
              <w:rPr>
                <w:sz w:val="22"/>
                <w:szCs w:val="22"/>
              </w:rPr>
              <w:t>1</w:t>
            </w:r>
            <w:r w:rsidR="00636ED0">
              <w:rPr>
                <w:sz w:val="22"/>
                <w:szCs w:val="22"/>
              </w:rPr>
              <w:t>1</w:t>
            </w:r>
            <w:r w:rsidRPr="006A0C4B">
              <w:rPr>
                <w:sz w:val="22"/>
                <w:szCs w:val="22"/>
              </w:rPr>
              <w:t>0-</w:t>
            </w:r>
            <w:r w:rsidR="009B5F7F" w:rsidRPr="006A0C4B">
              <w:rPr>
                <w:sz w:val="22"/>
                <w:szCs w:val="22"/>
              </w:rPr>
              <w:t>1</w:t>
            </w:r>
            <w:r w:rsidR="00C5792F" w:rsidRPr="006A0C4B">
              <w:rPr>
                <w:sz w:val="22"/>
                <w:szCs w:val="22"/>
              </w:rPr>
              <w:t>4</w:t>
            </w:r>
            <w:r w:rsidR="002F37F4" w:rsidRPr="006A0C4B">
              <w:rPr>
                <w:sz w:val="22"/>
                <w:szCs w:val="22"/>
              </w:rPr>
              <w:t>0</w:t>
            </w:r>
          </w:p>
          <w:p w14:paraId="64AD38B0" w14:textId="77777777" w:rsidR="00084D38" w:rsidRPr="00084D38" w:rsidRDefault="00084D38" w:rsidP="00084D38">
            <w:pPr>
              <w:ind w:right="170"/>
              <w:jc w:val="right"/>
              <w:rPr>
                <w:sz w:val="22"/>
                <w:szCs w:val="22"/>
              </w:rPr>
            </w:pPr>
            <w:r w:rsidRPr="00084D38">
              <w:rPr>
                <w:sz w:val="22"/>
                <w:szCs w:val="22"/>
              </w:rPr>
              <w:t>5-10</w:t>
            </w:r>
          </w:p>
          <w:p w14:paraId="6464AAE0" w14:textId="77777777" w:rsidR="00084D38" w:rsidRPr="00084D38" w:rsidRDefault="00084D38" w:rsidP="00084D38">
            <w:pPr>
              <w:ind w:right="170"/>
              <w:jc w:val="right"/>
              <w:rPr>
                <w:sz w:val="22"/>
                <w:szCs w:val="22"/>
              </w:rPr>
            </w:pPr>
            <w:r w:rsidRPr="00084D38">
              <w:rPr>
                <w:sz w:val="22"/>
                <w:szCs w:val="22"/>
              </w:rPr>
              <w:t>50-75</w:t>
            </w:r>
          </w:p>
          <w:p w14:paraId="742CEFFD" w14:textId="04FC45A5" w:rsidR="004C6E53" w:rsidRPr="006A0C4B" w:rsidRDefault="00084D38" w:rsidP="00861D79">
            <w:pPr>
              <w:ind w:right="170"/>
              <w:jc w:val="right"/>
              <w:rPr>
                <w:sz w:val="22"/>
                <w:szCs w:val="22"/>
              </w:rPr>
            </w:pPr>
            <w:r w:rsidRPr="00084D38">
              <w:rPr>
                <w:sz w:val="22"/>
                <w:szCs w:val="22"/>
              </w:rPr>
              <w:t>15-40</w:t>
            </w:r>
          </w:p>
        </w:tc>
      </w:tr>
      <w:tr w:rsidR="004C6E53" w:rsidRPr="0031366C" w14:paraId="3FFFBAB3" w14:textId="77777777" w:rsidTr="000925B8">
        <w:trPr>
          <w:trHeight w:val="230"/>
        </w:trPr>
        <w:tc>
          <w:tcPr>
            <w:tcW w:w="4390" w:type="dxa"/>
            <w:hideMark/>
          </w:tcPr>
          <w:p w14:paraId="4100E81B" w14:textId="4A3F3698" w:rsidR="004C6E53" w:rsidRPr="006A0C4B" w:rsidRDefault="00EA6B5D" w:rsidP="00861D79">
            <w:pPr>
              <w:rPr>
                <w:b/>
                <w:sz w:val="22"/>
                <w:szCs w:val="22"/>
              </w:rPr>
            </w:pPr>
            <w:r w:rsidRPr="006A0C4B">
              <w:rPr>
                <w:b/>
                <w:sz w:val="22"/>
                <w:szCs w:val="22"/>
              </w:rPr>
              <w:t>Sustainable biomass use</w:t>
            </w:r>
          </w:p>
        </w:tc>
        <w:tc>
          <w:tcPr>
            <w:tcW w:w="1417" w:type="dxa"/>
          </w:tcPr>
          <w:p w14:paraId="5AD52DF2" w14:textId="40668AC6" w:rsidR="004C6E53" w:rsidRPr="006A0C4B" w:rsidRDefault="00705289" w:rsidP="00861D79">
            <w:pPr>
              <w:ind w:right="170"/>
              <w:jc w:val="right"/>
              <w:rPr>
                <w:sz w:val="22"/>
                <w:szCs w:val="22"/>
              </w:rPr>
            </w:pPr>
            <w:r w:rsidRPr="006A0C4B">
              <w:rPr>
                <w:sz w:val="22"/>
                <w:szCs w:val="22"/>
              </w:rPr>
              <w:t>100</w:t>
            </w:r>
          </w:p>
        </w:tc>
        <w:tc>
          <w:tcPr>
            <w:tcW w:w="1418" w:type="dxa"/>
          </w:tcPr>
          <w:p w14:paraId="3F508A76" w14:textId="17944CD7" w:rsidR="004C6E53" w:rsidRPr="006A0C4B" w:rsidRDefault="00705289" w:rsidP="00861D79">
            <w:pPr>
              <w:ind w:right="170"/>
              <w:jc w:val="right"/>
              <w:rPr>
                <w:sz w:val="22"/>
                <w:szCs w:val="22"/>
              </w:rPr>
            </w:pPr>
            <w:r w:rsidRPr="006A0C4B">
              <w:rPr>
                <w:sz w:val="22"/>
                <w:szCs w:val="22"/>
              </w:rPr>
              <w:t>210-270</w:t>
            </w:r>
          </w:p>
        </w:tc>
        <w:tc>
          <w:tcPr>
            <w:tcW w:w="1417" w:type="dxa"/>
          </w:tcPr>
          <w:p w14:paraId="0FDC99C7" w14:textId="5F5842DA" w:rsidR="004C6E53" w:rsidRPr="006A0C4B" w:rsidRDefault="005B6841" w:rsidP="00861D79">
            <w:pPr>
              <w:ind w:right="170"/>
              <w:jc w:val="right"/>
              <w:rPr>
                <w:sz w:val="22"/>
                <w:szCs w:val="22"/>
              </w:rPr>
            </w:pPr>
            <w:r w:rsidRPr="006A0C4B">
              <w:rPr>
                <w:sz w:val="22"/>
                <w:szCs w:val="22"/>
              </w:rPr>
              <w:t>265-310</w:t>
            </w:r>
          </w:p>
        </w:tc>
        <w:tc>
          <w:tcPr>
            <w:tcW w:w="1553" w:type="dxa"/>
          </w:tcPr>
          <w:p w14:paraId="1D0410A8" w14:textId="3E759D0E" w:rsidR="004C6E53" w:rsidRPr="006A0C4B" w:rsidRDefault="00705289" w:rsidP="00861D79">
            <w:pPr>
              <w:ind w:right="170"/>
              <w:jc w:val="right"/>
              <w:rPr>
                <w:sz w:val="22"/>
                <w:szCs w:val="22"/>
              </w:rPr>
            </w:pPr>
            <w:r w:rsidRPr="006A0C4B">
              <w:rPr>
                <w:sz w:val="22"/>
                <w:szCs w:val="22"/>
              </w:rPr>
              <w:t>305-350</w:t>
            </w:r>
          </w:p>
        </w:tc>
      </w:tr>
    </w:tbl>
    <w:p w14:paraId="2D5A9B0F" w14:textId="77777777" w:rsidR="004C6E53" w:rsidRDefault="004C6E53" w:rsidP="009229B3">
      <w:pPr>
        <w:pStyle w:val="Numberedparagraphs"/>
        <w:numPr>
          <w:ilvl w:val="0"/>
          <w:numId w:val="0"/>
        </w:numPr>
        <w:ind w:left="720"/>
      </w:pPr>
    </w:p>
    <w:p w14:paraId="1101C102" w14:textId="7F03DC06" w:rsidR="006348AF" w:rsidRPr="005322C6" w:rsidRDefault="00606940" w:rsidP="009229B3">
      <w:pPr>
        <w:pStyle w:val="Numberedparagraphs"/>
      </w:pPr>
      <w:r>
        <w:t>T</w:t>
      </w:r>
      <w:r w:rsidR="00D50C12">
        <w:t xml:space="preserve">able </w:t>
      </w:r>
      <w:r w:rsidR="00644E6A">
        <w:t>10</w:t>
      </w:r>
      <w:r>
        <w:t xml:space="preserve"> summarise</w:t>
      </w:r>
      <w:r w:rsidR="00E845D7">
        <w:t xml:space="preserve">s the </w:t>
      </w:r>
      <w:r w:rsidR="00E845D7" w:rsidRPr="00861D79">
        <w:rPr>
          <w:b/>
        </w:rPr>
        <w:t>key abatement technologies</w:t>
      </w:r>
      <w:r w:rsidR="00E845D7">
        <w:t xml:space="preserve"> and their deployment requirements based on </w:t>
      </w:r>
      <w:r w:rsidR="005361C4">
        <w:t>the</w:t>
      </w:r>
      <w:r w:rsidR="00E845D7">
        <w:t xml:space="preserve"> modelled illustrative</w:t>
      </w:r>
      <w:r w:rsidR="002D746D">
        <w:t xml:space="preserve"> core pathway</w:t>
      </w:r>
      <w:r w:rsidR="00E845D7">
        <w:t xml:space="preserve">. Where possible UKTM modelled deployment metrics have been supplemented with technical abatement </w:t>
      </w:r>
      <w:r w:rsidR="00CD4D2F">
        <w:t xml:space="preserve">potential </w:t>
      </w:r>
      <w:r w:rsidR="00E845D7">
        <w:t>from more detailed bottom-up sectoral modelling</w:t>
      </w:r>
      <w:r w:rsidR="00F01B2A">
        <w:t>.</w:t>
      </w:r>
    </w:p>
    <w:p w14:paraId="083CF561" w14:textId="6072039E" w:rsidR="005C1AE0" w:rsidRPr="00753256" w:rsidRDefault="00AE2E69" w:rsidP="00871B2D">
      <w:pPr>
        <w:spacing w:after="160"/>
        <w:rPr>
          <w:rFonts w:ascii="Times New Roman" w:hAnsi="Times New Roman" w:cs="Times New Roman"/>
        </w:rPr>
      </w:pPr>
      <w:r w:rsidRPr="00103E59">
        <w:rPr>
          <w:i/>
        </w:rPr>
        <w:t xml:space="preserve">Table </w:t>
      </w:r>
      <w:r w:rsidR="00644E6A">
        <w:rPr>
          <w:i/>
        </w:rPr>
        <w:t>1</w:t>
      </w:r>
      <w:r w:rsidR="008F1C9E">
        <w:rPr>
          <w:i/>
        </w:rPr>
        <w:t>0</w:t>
      </w:r>
      <w:r w:rsidR="00484520">
        <w:rPr>
          <w:i/>
        </w:rPr>
        <w:t xml:space="preserve">: </w:t>
      </w:r>
      <w:r w:rsidR="009642DB">
        <w:rPr>
          <w:i/>
        </w:rPr>
        <w:t>Illustrative summary of k</w:t>
      </w:r>
      <w:r w:rsidR="00FB6A31">
        <w:rPr>
          <w:i/>
        </w:rPr>
        <w:t>ey t</w:t>
      </w:r>
      <w:r w:rsidR="00CE2EFA" w:rsidRPr="00103E59">
        <w:rPr>
          <w:i/>
        </w:rPr>
        <w:t>echnologies and their deployment requirements in 2035</w:t>
      </w:r>
      <w:r w:rsidR="00CE2EFA">
        <w:rPr>
          <w:i/>
        </w:rPr>
        <w:t xml:space="preserve"> based on </w:t>
      </w:r>
      <w:r w:rsidR="009642DB">
        <w:rPr>
          <w:i/>
        </w:rPr>
        <w:t>the</w:t>
      </w:r>
      <w:r w:rsidR="00CE2EFA">
        <w:rPr>
          <w:i/>
        </w:rPr>
        <w:t xml:space="preserve"> modelled pathways</w:t>
      </w:r>
      <w:r w:rsidR="009642DB">
        <w:rPr>
          <w:rStyle w:val="FootnoteReference"/>
          <w:i/>
        </w:rPr>
        <w:footnoteReference w:id="42"/>
      </w:r>
      <w:r w:rsidR="009642DB">
        <w:rPr>
          <w:rFonts w:ascii="Times New Roman" w:hAnsi="Times New Roman" w:cs="Times New Roman"/>
        </w:rPr>
        <w:t xml:space="preserve"> </w:t>
      </w:r>
      <w:r w:rsidR="00FC67A7">
        <w:rPr>
          <w:i/>
        </w:rPr>
        <w:t xml:space="preserve"> </w:t>
      </w:r>
    </w:p>
    <w:tbl>
      <w:tblPr>
        <w:tblStyle w:val="TableGrid"/>
        <w:tblW w:w="10201" w:type="dxa"/>
        <w:tblLayout w:type="fixed"/>
        <w:tblLook w:val="0420" w:firstRow="1" w:lastRow="0" w:firstColumn="0" w:lastColumn="0" w:noHBand="0" w:noVBand="1"/>
      </w:tblPr>
      <w:tblGrid>
        <w:gridCol w:w="1271"/>
        <w:gridCol w:w="5103"/>
        <w:gridCol w:w="1418"/>
        <w:gridCol w:w="1134"/>
        <w:gridCol w:w="1269"/>
        <w:gridCol w:w="6"/>
      </w:tblGrid>
      <w:tr w:rsidR="00D11FC7" w:rsidRPr="0031366C" w14:paraId="19536D76" w14:textId="77777777" w:rsidTr="00FD4288">
        <w:trPr>
          <w:gridAfter w:val="1"/>
          <w:wAfter w:w="6" w:type="dxa"/>
          <w:trHeight w:val="614"/>
        </w:trPr>
        <w:tc>
          <w:tcPr>
            <w:tcW w:w="1271" w:type="dxa"/>
            <w:vAlign w:val="center"/>
            <w:hideMark/>
          </w:tcPr>
          <w:p w14:paraId="160C73D4" w14:textId="77777777" w:rsidR="00D11FC7" w:rsidRPr="006A0C4B" w:rsidRDefault="00D11FC7" w:rsidP="00D04A72">
            <w:pPr>
              <w:rPr>
                <w:sz w:val="22"/>
                <w:szCs w:val="22"/>
              </w:rPr>
            </w:pPr>
          </w:p>
        </w:tc>
        <w:tc>
          <w:tcPr>
            <w:tcW w:w="5103" w:type="dxa"/>
            <w:hideMark/>
          </w:tcPr>
          <w:p w14:paraId="76C43D3E" w14:textId="023ED0D3" w:rsidR="00D11FC7" w:rsidRPr="0071483C" w:rsidRDefault="00D11FC7" w:rsidP="00D04A72">
            <w:pPr>
              <w:rPr>
                <w:b/>
                <w:sz w:val="22"/>
                <w:szCs w:val="22"/>
              </w:rPr>
            </w:pPr>
            <w:r w:rsidRPr="0071483C">
              <w:rPr>
                <w:b/>
                <w:sz w:val="22"/>
                <w:szCs w:val="22"/>
              </w:rPr>
              <w:t>Key abatement technologies</w:t>
            </w:r>
          </w:p>
        </w:tc>
        <w:tc>
          <w:tcPr>
            <w:tcW w:w="1418" w:type="dxa"/>
          </w:tcPr>
          <w:p w14:paraId="618C0415" w14:textId="7722351C" w:rsidR="00D11FC7" w:rsidRPr="000E293C" w:rsidRDefault="00D11FC7" w:rsidP="000E293C">
            <w:pPr>
              <w:ind w:right="170"/>
              <w:jc w:val="right"/>
              <w:rPr>
                <w:b/>
                <w:sz w:val="22"/>
                <w:szCs w:val="22"/>
              </w:rPr>
            </w:pPr>
            <w:r w:rsidRPr="006A0C4B">
              <w:rPr>
                <w:b/>
                <w:sz w:val="22"/>
                <w:szCs w:val="22"/>
              </w:rPr>
              <w:t xml:space="preserve"> Option 2 </w:t>
            </w:r>
            <w:r w:rsidR="00E85CE6">
              <w:rPr>
                <w:b/>
                <w:sz w:val="22"/>
                <w:szCs w:val="22"/>
              </w:rPr>
              <w:t>-</w:t>
            </w:r>
            <w:r w:rsidRPr="006A0C4B">
              <w:rPr>
                <w:b/>
                <w:sz w:val="22"/>
                <w:szCs w:val="22"/>
              </w:rPr>
              <w:t xml:space="preserve"> Looser  </w:t>
            </w:r>
          </w:p>
        </w:tc>
        <w:tc>
          <w:tcPr>
            <w:tcW w:w="1134" w:type="dxa"/>
          </w:tcPr>
          <w:p w14:paraId="538582FA" w14:textId="765C70C0" w:rsidR="00D11FC7" w:rsidRPr="006A0C4B" w:rsidRDefault="00D11FC7" w:rsidP="006A0C4B">
            <w:pPr>
              <w:jc w:val="right"/>
              <w:rPr>
                <w:sz w:val="22"/>
                <w:szCs w:val="22"/>
              </w:rPr>
            </w:pPr>
            <w:r w:rsidRPr="006A0C4B">
              <w:rPr>
                <w:b/>
                <w:sz w:val="22"/>
                <w:szCs w:val="22"/>
              </w:rPr>
              <w:t>Option 3 -</w:t>
            </w:r>
            <w:r w:rsidR="00E85CE6">
              <w:rPr>
                <w:b/>
                <w:sz w:val="22"/>
                <w:szCs w:val="22"/>
              </w:rPr>
              <w:t xml:space="preserve"> </w:t>
            </w:r>
            <w:r w:rsidRPr="006A0C4B">
              <w:rPr>
                <w:b/>
                <w:sz w:val="22"/>
                <w:szCs w:val="22"/>
              </w:rPr>
              <w:t>CCC</w:t>
            </w:r>
          </w:p>
        </w:tc>
        <w:tc>
          <w:tcPr>
            <w:tcW w:w="1269" w:type="dxa"/>
          </w:tcPr>
          <w:p w14:paraId="43FE997F" w14:textId="4A5969EF" w:rsidR="00D11FC7" w:rsidRPr="006A0C4B" w:rsidRDefault="00D11FC7" w:rsidP="006A0C4B">
            <w:pPr>
              <w:jc w:val="right"/>
              <w:rPr>
                <w:sz w:val="22"/>
                <w:szCs w:val="22"/>
              </w:rPr>
            </w:pPr>
            <w:r w:rsidRPr="006A0C4B">
              <w:rPr>
                <w:b/>
                <w:sz w:val="22"/>
                <w:szCs w:val="22"/>
              </w:rPr>
              <w:t>Option 4 - Tighter</w:t>
            </w:r>
          </w:p>
        </w:tc>
      </w:tr>
      <w:tr w:rsidR="00B102B4" w:rsidRPr="0031366C" w14:paraId="4006F4DD" w14:textId="77777777" w:rsidTr="00FD4288">
        <w:trPr>
          <w:trHeight w:val="504"/>
        </w:trPr>
        <w:tc>
          <w:tcPr>
            <w:tcW w:w="1271" w:type="dxa"/>
            <w:vAlign w:val="center"/>
          </w:tcPr>
          <w:p w14:paraId="607F0BF9" w14:textId="1E756907" w:rsidR="00B102B4" w:rsidRPr="006A0C4B" w:rsidRDefault="00B102B4" w:rsidP="00D04A72">
            <w:pPr>
              <w:rPr>
                <w:sz w:val="22"/>
                <w:szCs w:val="22"/>
              </w:rPr>
            </w:pPr>
            <w:r w:rsidRPr="006A0C4B">
              <w:rPr>
                <w:sz w:val="22"/>
                <w:szCs w:val="22"/>
              </w:rPr>
              <w:t>C</w:t>
            </w:r>
            <w:r w:rsidR="00620335" w:rsidRPr="006A0C4B">
              <w:rPr>
                <w:sz w:val="22"/>
                <w:szCs w:val="22"/>
              </w:rPr>
              <w:t xml:space="preserve">arbon </w:t>
            </w:r>
            <w:r w:rsidRPr="006A0C4B">
              <w:rPr>
                <w:sz w:val="22"/>
                <w:szCs w:val="22"/>
              </w:rPr>
              <w:t>C</w:t>
            </w:r>
            <w:r w:rsidR="00620335" w:rsidRPr="006A0C4B">
              <w:rPr>
                <w:sz w:val="22"/>
                <w:szCs w:val="22"/>
              </w:rPr>
              <w:t>apture</w:t>
            </w:r>
            <w:r w:rsidR="00B10BBA" w:rsidRPr="006A0C4B">
              <w:rPr>
                <w:sz w:val="22"/>
                <w:szCs w:val="22"/>
              </w:rPr>
              <w:t>, Use,</w:t>
            </w:r>
            <w:r w:rsidR="00620335" w:rsidRPr="006A0C4B">
              <w:rPr>
                <w:sz w:val="22"/>
                <w:szCs w:val="22"/>
              </w:rPr>
              <w:t xml:space="preserve"> and </w:t>
            </w:r>
            <w:r w:rsidRPr="006A0C4B">
              <w:rPr>
                <w:sz w:val="22"/>
                <w:szCs w:val="22"/>
              </w:rPr>
              <w:t>S</w:t>
            </w:r>
            <w:r w:rsidR="00620335" w:rsidRPr="006A0C4B">
              <w:rPr>
                <w:sz w:val="22"/>
                <w:szCs w:val="22"/>
              </w:rPr>
              <w:t>torage</w:t>
            </w:r>
            <w:r w:rsidRPr="006A0C4B">
              <w:rPr>
                <w:sz w:val="22"/>
                <w:szCs w:val="22"/>
              </w:rPr>
              <w:t xml:space="preserve"> </w:t>
            </w:r>
          </w:p>
        </w:tc>
        <w:tc>
          <w:tcPr>
            <w:tcW w:w="5103" w:type="dxa"/>
          </w:tcPr>
          <w:p w14:paraId="04FB2C86" w14:textId="01CB953D" w:rsidR="00B102B4" w:rsidRPr="006A0C4B" w:rsidRDefault="00B10BBA" w:rsidP="00D04A72">
            <w:pPr>
              <w:rPr>
                <w:sz w:val="22"/>
                <w:szCs w:val="22"/>
              </w:rPr>
            </w:pPr>
            <w:r w:rsidRPr="006A0C4B">
              <w:rPr>
                <w:sz w:val="22"/>
                <w:szCs w:val="22"/>
              </w:rPr>
              <w:t>Total captured (Mt)</w:t>
            </w:r>
          </w:p>
        </w:tc>
        <w:tc>
          <w:tcPr>
            <w:tcW w:w="1418" w:type="dxa"/>
          </w:tcPr>
          <w:p w14:paraId="32E7CBB9" w14:textId="3577DAFC" w:rsidR="00B102B4" w:rsidRPr="006A0C4B" w:rsidRDefault="00907C09" w:rsidP="006A0C4B">
            <w:pPr>
              <w:jc w:val="right"/>
              <w:rPr>
                <w:sz w:val="22"/>
                <w:szCs w:val="22"/>
              </w:rPr>
            </w:pPr>
            <w:r w:rsidRPr="006A0C4B">
              <w:rPr>
                <w:sz w:val="22"/>
                <w:szCs w:val="22"/>
              </w:rPr>
              <w:t>20</w:t>
            </w:r>
            <w:r w:rsidR="006D24B4" w:rsidRPr="006A0C4B">
              <w:rPr>
                <w:sz w:val="22"/>
                <w:szCs w:val="22"/>
              </w:rPr>
              <w:t>-4</w:t>
            </w:r>
            <w:r w:rsidRPr="006A0C4B">
              <w:rPr>
                <w:sz w:val="22"/>
                <w:szCs w:val="22"/>
              </w:rPr>
              <w:t>5</w:t>
            </w:r>
          </w:p>
        </w:tc>
        <w:tc>
          <w:tcPr>
            <w:tcW w:w="1134" w:type="dxa"/>
          </w:tcPr>
          <w:p w14:paraId="017F5725" w14:textId="7211E3B8" w:rsidR="00B102B4" w:rsidRPr="006A0C4B" w:rsidRDefault="006D24B4" w:rsidP="006A0C4B">
            <w:pPr>
              <w:jc w:val="right"/>
              <w:rPr>
                <w:sz w:val="22"/>
                <w:szCs w:val="22"/>
              </w:rPr>
            </w:pPr>
            <w:r w:rsidRPr="006A0C4B">
              <w:rPr>
                <w:sz w:val="22"/>
                <w:szCs w:val="22"/>
              </w:rPr>
              <w:t>2</w:t>
            </w:r>
            <w:r w:rsidR="00907C09" w:rsidRPr="006A0C4B">
              <w:rPr>
                <w:sz w:val="22"/>
                <w:szCs w:val="22"/>
              </w:rPr>
              <w:t>5</w:t>
            </w:r>
            <w:r w:rsidRPr="006A0C4B">
              <w:rPr>
                <w:sz w:val="22"/>
                <w:szCs w:val="22"/>
              </w:rPr>
              <w:t>-45</w:t>
            </w:r>
          </w:p>
        </w:tc>
        <w:tc>
          <w:tcPr>
            <w:tcW w:w="1275" w:type="dxa"/>
            <w:gridSpan w:val="2"/>
          </w:tcPr>
          <w:p w14:paraId="0D3EDF3E" w14:textId="1C15D003" w:rsidR="00B102B4" w:rsidRPr="006A0C4B" w:rsidRDefault="006D24B4" w:rsidP="006A0C4B">
            <w:pPr>
              <w:jc w:val="right"/>
              <w:rPr>
                <w:sz w:val="22"/>
                <w:szCs w:val="22"/>
              </w:rPr>
            </w:pPr>
            <w:r w:rsidRPr="006A0C4B">
              <w:rPr>
                <w:sz w:val="22"/>
                <w:szCs w:val="22"/>
              </w:rPr>
              <w:t>25-</w:t>
            </w:r>
            <w:r w:rsidR="00907C09" w:rsidRPr="006A0C4B">
              <w:rPr>
                <w:sz w:val="22"/>
                <w:szCs w:val="22"/>
              </w:rPr>
              <w:t>50</w:t>
            </w:r>
          </w:p>
        </w:tc>
      </w:tr>
      <w:tr w:rsidR="00B102B4" w:rsidRPr="0031366C" w14:paraId="2AEB64A8" w14:textId="77777777" w:rsidTr="0071483C">
        <w:trPr>
          <w:trHeight w:val="504"/>
        </w:trPr>
        <w:tc>
          <w:tcPr>
            <w:tcW w:w="10201" w:type="dxa"/>
            <w:gridSpan w:val="6"/>
            <w:vAlign w:val="center"/>
          </w:tcPr>
          <w:p w14:paraId="3CFF584D" w14:textId="2DFC1A68" w:rsidR="00B102B4" w:rsidRPr="0071483C" w:rsidRDefault="00B102B4" w:rsidP="00D04A72">
            <w:pPr>
              <w:rPr>
                <w:b/>
                <w:sz w:val="22"/>
                <w:szCs w:val="22"/>
              </w:rPr>
            </w:pPr>
            <w:r w:rsidRPr="0071483C">
              <w:rPr>
                <w:b/>
                <w:sz w:val="22"/>
                <w:szCs w:val="22"/>
              </w:rPr>
              <w:t>End-use sector</w:t>
            </w:r>
          </w:p>
        </w:tc>
      </w:tr>
      <w:tr w:rsidR="00D11FC7" w:rsidRPr="0031366C" w14:paraId="5640BA06" w14:textId="77777777" w:rsidTr="00FD4288">
        <w:trPr>
          <w:gridAfter w:val="1"/>
          <w:wAfter w:w="6" w:type="dxa"/>
          <w:trHeight w:val="504"/>
        </w:trPr>
        <w:tc>
          <w:tcPr>
            <w:tcW w:w="1271" w:type="dxa"/>
            <w:vAlign w:val="center"/>
            <w:hideMark/>
          </w:tcPr>
          <w:p w14:paraId="309B16EB" w14:textId="6341D7E7" w:rsidR="00D11FC7" w:rsidRPr="006A0C4B" w:rsidRDefault="00D11FC7" w:rsidP="00D04A72">
            <w:pPr>
              <w:rPr>
                <w:sz w:val="22"/>
                <w:szCs w:val="22"/>
              </w:rPr>
            </w:pPr>
            <w:r w:rsidRPr="006A0C4B">
              <w:rPr>
                <w:sz w:val="22"/>
                <w:szCs w:val="22"/>
              </w:rPr>
              <w:t xml:space="preserve">Surface transport </w:t>
            </w:r>
          </w:p>
        </w:tc>
        <w:tc>
          <w:tcPr>
            <w:tcW w:w="5103" w:type="dxa"/>
            <w:hideMark/>
          </w:tcPr>
          <w:p w14:paraId="48CB010C" w14:textId="3DACC7B0" w:rsidR="00D11FC7" w:rsidRPr="006A0C4B" w:rsidRDefault="00D11FC7" w:rsidP="00D04A72">
            <w:pPr>
              <w:rPr>
                <w:sz w:val="22"/>
                <w:szCs w:val="22"/>
              </w:rPr>
            </w:pPr>
            <w:r w:rsidRPr="006A0C4B">
              <w:rPr>
                <w:sz w:val="22"/>
                <w:szCs w:val="22"/>
              </w:rPr>
              <w:t>Electric cars and vans (total</w:t>
            </w:r>
            <w:r w:rsidR="003C56E0">
              <w:rPr>
                <w:sz w:val="22"/>
                <w:szCs w:val="22"/>
              </w:rPr>
              <w:t>, million</w:t>
            </w:r>
            <w:r w:rsidRPr="006A0C4B">
              <w:rPr>
                <w:sz w:val="22"/>
                <w:szCs w:val="22"/>
              </w:rPr>
              <w:t>)</w:t>
            </w:r>
          </w:p>
          <w:p w14:paraId="2EF414BC" w14:textId="0BD9D6DD" w:rsidR="00D11FC7" w:rsidRPr="006A0C4B" w:rsidRDefault="00D93BEE" w:rsidP="00D04A72">
            <w:pPr>
              <w:rPr>
                <w:sz w:val="22"/>
                <w:szCs w:val="22"/>
              </w:rPr>
            </w:pPr>
            <w:r w:rsidRPr="006A0C4B">
              <w:rPr>
                <w:sz w:val="22"/>
                <w:szCs w:val="22"/>
              </w:rPr>
              <w:t xml:space="preserve">Zero Emission </w:t>
            </w:r>
            <w:r w:rsidR="00D11FC7" w:rsidRPr="006A0C4B">
              <w:rPr>
                <w:sz w:val="22"/>
                <w:szCs w:val="22"/>
              </w:rPr>
              <w:t>HGVs (share of fuel %)</w:t>
            </w:r>
          </w:p>
          <w:p w14:paraId="64CC2EEF" w14:textId="77777777" w:rsidR="00D11FC7" w:rsidRPr="006A0C4B" w:rsidRDefault="00D11FC7" w:rsidP="006A0C4B">
            <w:pPr>
              <w:rPr>
                <w:sz w:val="22"/>
                <w:szCs w:val="22"/>
              </w:rPr>
            </w:pPr>
          </w:p>
        </w:tc>
        <w:tc>
          <w:tcPr>
            <w:tcW w:w="1418" w:type="dxa"/>
          </w:tcPr>
          <w:p w14:paraId="3F9BFDBB" w14:textId="77777777" w:rsidR="00D11FC7" w:rsidRPr="006A0C4B" w:rsidRDefault="00D11FC7" w:rsidP="00A072D1">
            <w:pPr>
              <w:jc w:val="right"/>
              <w:rPr>
                <w:sz w:val="22"/>
                <w:szCs w:val="22"/>
              </w:rPr>
            </w:pPr>
            <w:r w:rsidRPr="006A0C4B">
              <w:rPr>
                <w:sz w:val="22"/>
                <w:szCs w:val="22"/>
              </w:rPr>
              <w:t>15-24</w:t>
            </w:r>
          </w:p>
          <w:p w14:paraId="79B94CAD" w14:textId="0EF3F21D" w:rsidR="00D11FC7" w:rsidRPr="006A0C4B" w:rsidRDefault="00BB2F37" w:rsidP="006A0C4B">
            <w:pPr>
              <w:jc w:val="right"/>
              <w:rPr>
                <w:sz w:val="22"/>
                <w:szCs w:val="22"/>
              </w:rPr>
            </w:pPr>
            <w:r w:rsidRPr="006A0C4B">
              <w:rPr>
                <w:sz w:val="22"/>
                <w:szCs w:val="22"/>
              </w:rPr>
              <w:t>25</w:t>
            </w:r>
          </w:p>
        </w:tc>
        <w:tc>
          <w:tcPr>
            <w:tcW w:w="1134" w:type="dxa"/>
          </w:tcPr>
          <w:p w14:paraId="3B90F1C9" w14:textId="77777777" w:rsidR="00D11FC7" w:rsidRPr="006A0C4B" w:rsidRDefault="00D11FC7" w:rsidP="00A072D1">
            <w:pPr>
              <w:jc w:val="right"/>
              <w:rPr>
                <w:sz w:val="22"/>
                <w:szCs w:val="22"/>
              </w:rPr>
            </w:pPr>
            <w:r w:rsidRPr="006A0C4B">
              <w:rPr>
                <w:sz w:val="22"/>
                <w:szCs w:val="22"/>
              </w:rPr>
              <w:t>24-27</w:t>
            </w:r>
          </w:p>
          <w:p w14:paraId="500E875B" w14:textId="6274F2BC" w:rsidR="00D11FC7" w:rsidRPr="006A0C4B" w:rsidRDefault="00BB2F37" w:rsidP="006A0C4B">
            <w:pPr>
              <w:jc w:val="right"/>
              <w:rPr>
                <w:sz w:val="22"/>
                <w:szCs w:val="22"/>
              </w:rPr>
            </w:pPr>
            <w:r w:rsidRPr="006A0C4B">
              <w:rPr>
                <w:sz w:val="22"/>
                <w:szCs w:val="22"/>
              </w:rPr>
              <w:t>3</w:t>
            </w:r>
            <w:r w:rsidR="00F6663E" w:rsidRPr="006A0C4B">
              <w:rPr>
                <w:sz w:val="22"/>
                <w:szCs w:val="22"/>
              </w:rPr>
              <w:t>5</w:t>
            </w:r>
            <w:r w:rsidRPr="006A0C4B">
              <w:rPr>
                <w:sz w:val="22"/>
                <w:szCs w:val="22"/>
              </w:rPr>
              <w:t>-</w:t>
            </w:r>
            <w:r w:rsidR="00F6663E" w:rsidRPr="006A0C4B">
              <w:rPr>
                <w:sz w:val="22"/>
                <w:szCs w:val="22"/>
              </w:rPr>
              <w:t>50</w:t>
            </w:r>
          </w:p>
        </w:tc>
        <w:tc>
          <w:tcPr>
            <w:tcW w:w="1269" w:type="dxa"/>
          </w:tcPr>
          <w:p w14:paraId="6809A8D3" w14:textId="77777777" w:rsidR="00D11FC7" w:rsidRPr="006A0C4B" w:rsidRDefault="00D11FC7" w:rsidP="00A072D1">
            <w:pPr>
              <w:jc w:val="right"/>
              <w:rPr>
                <w:sz w:val="22"/>
                <w:szCs w:val="22"/>
              </w:rPr>
            </w:pPr>
            <w:r w:rsidRPr="006A0C4B">
              <w:rPr>
                <w:sz w:val="22"/>
                <w:szCs w:val="22"/>
              </w:rPr>
              <w:t>25-30</w:t>
            </w:r>
          </w:p>
          <w:p w14:paraId="3D007978" w14:textId="31CEDD39" w:rsidR="00D11FC7" w:rsidRPr="006A0C4B" w:rsidRDefault="00F6663E" w:rsidP="006A0C4B">
            <w:pPr>
              <w:jc w:val="right"/>
              <w:rPr>
                <w:sz w:val="22"/>
                <w:szCs w:val="22"/>
              </w:rPr>
            </w:pPr>
            <w:r w:rsidRPr="006A0C4B">
              <w:rPr>
                <w:sz w:val="22"/>
                <w:szCs w:val="22"/>
              </w:rPr>
              <w:t>70-80</w:t>
            </w:r>
          </w:p>
        </w:tc>
      </w:tr>
      <w:tr w:rsidR="00B01C0D" w:rsidRPr="0031366C" w14:paraId="1156C4A3" w14:textId="77777777" w:rsidTr="00FD4288">
        <w:trPr>
          <w:gridAfter w:val="1"/>
          <w:wAfter w:w="6" w:type="dxa"/>
          <w:trHeight w:val="266"/>
        </w:trPr>
        <w:tc>
          <w:tcPr>
            <w:tcW w:w="1271" w:type="dxa"/>
            <w:vAlign w:val="center"/>
            <w:hideMark/>
          </w:tcPr>
          <w:p w14:paraId="0C2D5252" w14:textId="7004B034" w:rsidR="00B01C0D" w:rsidRPr="006A0C4B" w:rsidRDefault="00B01C0D" w:rsidP="00B01C0D">
            <w:pPr>
              <w:rPr>
                <w:sz w:val="22"/>
                <w:szCs w:val="22"/>
              </w:rPr>
            </w:pPr>
            <w:r w:rsidRPr="006A0C4B">
              <w:rPr>
                <w:sz w:val="22"/>
                <w:szCs w:val="22"/>
              </w:rPr>
              <w:t>Industry</w:t>
            </w:r>
          </w:p>
        </w:tc>
        <w:tc>
          <w:tcPr>
            <w:tcW w:w="5103" w:type="dxa"/>
            <w:hideMark/>
          </w:tcPr>
          <w:p w14:paraId="41BBDAF9" w14:textId="449ABB0C" w:rsidR="00B01C0D" w:rsidRPr="006A0C4B" w:rsidRDefault="00B01C0D" w:rsidP="006A0C4B">
            <w:pPr>
              <w:rPr>
                <w:sz w:val="22"/>
                <w:szCs w:val="22"/>
              </w:rPr>
            </w:pPr>
            <w:r w:rsidRPr="006A0C4B" w:rsidDel="000E140D">
              <w:rPr>
                <w:sz w:val="22"/>
                <w:szCs w:val="22"/>
              </w:rPr>
              <w:t>CCUS</w:t>
            </w:r>
            <w:r w:rsidR="00BA785A">
              <w:rPr>
                <w:sz w:val="22"/>
                <w:szCs w:val="22"/>
              </w:rPr>
              <w:t xml:space="preserve"> (</w:t>
            </w:r>
            <w:r w:rsidRPr="006A0C4B" w:rsidDel="000E140D">
              <w:rPr>
                <w:sz w:val="22"/>
                <w:szCs w:val="22"/>
              </w:rPr>
              <w:t>Mt)</w:t>
            </w:r>
            <w:r w:rsidRPr="006A0C4B" w:rsidDel="000E140D">
              <w:rPr>
                <w:sz w:val="22"/>
                <w:szCs w:val="22"/>
              </w:rPr>
              <w:br/>
              <w:t>Sustainable fuel use (% share of final energy use)</w:t>
            </w:r>
          </w:p>
        </w:tc>
        <w:tc>
          <w:tcPr>
            <w:tcW w:w="1418" w:type="dxa"/>
          </w:tcPr>
          <w:p w14:paraId="05BA3496" w14:textId="77777777" w:rsidR="00B01C0D" w:rsidRPr="006A0C4B" w:rsidRDefault="00B01C0D" w:rsidP="00A072D1">
            <w:pPr>
              <w:jc w:val="right"/>
              <w:rPr>
                <w:sz w:val="22"/>
                <w:szCs w:val="22"/>
              </w:rPr>
            </w:pPr>
            <w:r w:rsidRPr="006A0C4B">
              <w:rPr>
                <w:sz w:val="22"/>
                <w:szCs w:val="22"/>
              </w:rPr>
              <w:t>3-4</w:t>
            </w:r>
          </w:p>
          <w:p w14:paraId="118B9B43" w14:textId="21604816" w:rsidR="00B01C0D" w:rsidRPr="006A0C4B" w:rsidRDefault="00B01C0D" w:rsidP="006A0C4B">
            <w:pPr>
              <w:jc w:val="right"/>
              <w:rPr>
                <w:sz w:val="22"/>
                <w:szCs w:val="22"/>
              </w:rPr>
            </w:pPr>
            <w:r w:rsidRPr="006A0C4B" w:rsidDel="000E140D">
              <w:rPr>
                <w:sz w:val="22"/>
                <w:szCs w:val="22"/>
              </w:rPr>
              <w:t>60-65</w:t>
            </w:r>
          </w:p>
        </w:tc>
        <w:tc>
          <w:tcPr>
            <w:tcW w:w="1134" w:type="dxa"/>
          </w:tcPr>
          <w:p w14:paraId="0844C4E3" w14:textId="77777777" w:rsidR="00B01C0D" w:rsidRPr="006A0C4B" w:rsidRDefault="00B01C0D" w:rsidP="00A072D1">
            <w:pPr>
              <w:jc w:val="right"/>
              <w:rPr>
                <w:sz w:val="22"/>
                <w:szCs w:val="22"/>
              </w:rPr>
            </w:pPr>
            <w:r w:rsidRPr="006A0C4B">
              <w:rPr>
                <w:sz w:val="22"/>
                <w:szCs w:val="22"/>
              </w:rPr>
              <w:t>3-6</w:t>
            </w:r>
          </w:p>
          <w:p w14:paraId="3F588B05" w14:textId="0B66F800" w:rsidR="00B01C0D" w:rsidRPr="006A0C4B" w:rsidRDefault="00B01C0D" w:rsidP="006A0C4B">
            <w:pPr>
              <w:jc w:val="right"/>
              <w:rPr>
                <w:sz w:val="22"/>
                <w:szCs w:val="22"/>
              </w:rPr>
            </w:pPr>
            <w:r w:rsidRPr="006A0C4B" w:rsidDel="000E140D">
              <w:rPr>
                <w:sz w:val="22"/>
                <w:szCs w:val="22"/>
              </w:rPr>
              <w:t>65-70</w:t>
            </w:r>
          </w:p>
        </w:tc>
        <w:tc>
          <w:tcPr>
            <w:tcW w:w="1269" w:type="dxa"/>
          </w:tcPr>
          <w:p w14:paraId="7F1DF990" w14:textId="77777777" w:rsidR="003C56E0" w:rsidRDefault="00D11FC7" w:rsidP="003C56E0">
            <w:pPr>
              <w:jc w:val="right"/>
              <w:rPr>
                <w:sz w:val="22"/>
                <w:szCs w:val="22"/>
              </w:rPr>
            </w:pPr>
            <w:r w:rsidRPr="006A0C4B">
              <w:rPr>
                <w:sz w:val="22"/>
                <w:szCs w:val="22"/>
              </w:rPr>
              <w:t>2-7</w:t>
            </w:r>
          </w:p>
          <w:p w14:paraId="3FDCB69F" w14:textId="6E3EED2E" w:rsidR="00B01C0D" w:rsidRPr="006A0C4B" w:rsidRDefault="00B01C0D" w:rsidP="006A0C4B">
            <w:pPr>
              <w:jc w:val="right"/>
              <w:rPr>
                <w:sz w:val="22"/>
                <w:szCs w:val="22"/>
              </w:rPr>
            </w:pPr>
            <w:r w:rsidRPr="006A0C4B">
              <w:rPr>
                <w:sz w:val="22"/>
                <w:szCs w:val="22"/>
              </w:rPr>
              <w:t>70</w:t>
            </w:r>
          </w:p>
        </w:tc>
      </w:tr>
      <w:tr w:rsidR="00D11FC7" w:rsidRPr="0031366C" w14:paraId="4BF5E3F0" w14:textId="77777777" w:rsidTr="00FD4288">
        <w:trPr>
          <w:gridAfter w:val="1"/>
          <w:wAfter w:w="6" w:type="dxa"/>
          <w:trHeight w:val="266"/>
        </w:trPr>
        <w:tc>
          <w:tcPr>
            <w:tcW w:w="1271" w:type="dxa"/>
            <w:vAlign w:val="center"/>
            <w:hideMark/>
          </w:tcPr>
          <w:p w14:paraId="48C250A5" w14:textId="7EE89B52" w:rsidR="00D11FC7" w:rsidRPr="006A0C4B" w:rsidRDefault="00D11FC7" w:rsidP="00D04A72">
            <w:pPr>
              <w:rPr>
                <w:sz w:val="22"/>
                <w:szCs w:val="22"/>
              </w:rPr>
            </w:pPr>
            <w:r w:rsidRPr="006A0C4B">
              <w:rPr>
                <w:sz w:val="22"/>
                <w:szCs w:val="22"/>
              </w:rPr>
              <w:t>Buildings</w:t>
            </w:r>
          </w:p>
        </w:tc>
        <w:tc>
          <w:tcPr>
            <w:tcW w:w="5103" w:type="dxa"/>
            <w:hideMark/>
          </w:tcPr>
          <w:p w14:paraId="09E660FF" w14:textId="795BAC82" w:rsidR="00144CE6" w:rsidRPr="006A0C4B" w:rsidRDefault="00144CE6" w:rsidP="00144CE6">
            <w:pPr>
              <w:rPr>
                <w:sz w:val="22"/>
                <w:szCs w:val="22"/>
              </w:rPr>
            </w:pPr>
            <w:r w:rsidRPr="006A0C4B">
              <w:rPr>
                <w:sz w:val="22"/>
                <w:szCs w:val="22"/>
              </w:rPr>
              <w:t>Domestic: low carbon appliance and district heat share of heat supply</w:t>
            </w:r>
            <w:r w:rsidR="00617E52" w:rsidRPr="006A0C4B">
              <w:rPr>
                <w:sz w:val="22"/>
                <w:szCs w:val="22"/>
              </w:rPr>
              <w:t xml:space="preserve"> (%)</w:t>
            </w:r>
          </w:p>
          <w:p w14:paraId="50031B5B" w14:textId="5FE6B47C" w:rsidR="00144CE6" w:rsidRPr="006A0C4B" w:rsidRDefault="001F7689" w:rsidP="00144CE6">
            <w:pPr>
              <w:rPr>
                <w:sz w:val="22"/>
                <w:szCs w:val="22"/>
              </w:rPr>
            </w:pPr>
            <w:r w:rsidRPr="006A0C4B">
              <w:rPr>
                <w:sz w:val="22"/>
                <w:szCs w:val="22"/>
              </w:rPr>
              <w:t xml:space="preserve">Non-domestic: low carbon </w:t>
            </w:r>
            <w:r w:rsidR="00144CE6" w:rsidRPr="006A0C4B">
              <w:rPr>
                <w:sz w:val="22"/>
                <w:szCs w:val="22"/>
              </w:rPr>
              <w:t>appliance and district</w:t>
            </w:r>
            <w:r w:rsidRPr="006A0C4B">
              <w:rPr>
                <w:sz w:val="22"/>
                <w:szCs w:val="22"/>
              </w:rPr>
              <w:t xml:space="preserve"> heat share of heat</w:t>
            </w:r>
            <w:r w:rsidR="00144CE6" w:rsidRPr="006A0C4B">
              <w:rPr>
                <w:sz w:val="22"/>
                <w:szCs w:val="22"/>
              </w:rPr>
              <w:t xml:space="preserve"> supply</w:t>
            </w:r>
            <w:r w:rsidR="00144CE6" w:rsidRPr="006A0C4B" w:rsidDel="001F7689">
              <w:rPr>
                <w:sz w:val="22"/>
                <w:szCs w:val="22"/>
              </w:rPr>
              <w:t xml:space="preserve"> </w:t>
            </w:r>
            <w:r w:rsidR="00617E52" w:rsidRPr="006A0C4B">
              <w:rPr>
                <w:sz w:val="22"/>
                <w:szCs w:val="22"/>
              </w:rPr>
              <w:t>(%)</w:t>
            </w:r>
          </w:p>
          <w:p w14:paraId="25841D7F" w14:textId="0DF4F6CD" w:rsidR="00144CE6" w:rsidRPr="006A0C4B" w:rsidRDefault="00144CE6" w:rsidP="00144CE6">
            <w:pPr>
              <w:rPr>
                <w:sz w:val="22"/>
                <w:szCs w:val="22"/>
              </w:rPr>
            </w:pPr>
            <w:r w:rsidRPr="006A0C4B">
              <w:rPr>
                <w:sz w:val="22"/>
                <w:szCs w:val="22"/>
              </w:rPr>
              <w:t>Total heat conserved (TWh)</w:t>
            </w:r>
          </w:p>
          <w:p w14:paraId="7BED401B" w14:textId="35DD7B31" w:rsidR="00D11FC7" w:rsidRPr="006A0C4B" w:rsidRDefault="00D11FC7" w:rsidP="00D04A72">
            <w:pPr>
              <w:rPr>
                <w:sz w:val="22"/>
                <w:szCs w:val="22"/>
              </w:rPr>
            </w:pPr>
          </w:p>
        </w:tc>
        <w:tc>
          <w:tcPr>
            <w:tcW w:w="1418" w:type="dxa"/>
          </w:tcPr>
          <w:p w14:paraId="24698581" w14:textId="77777777" w:rsidR="00D11FC7" w:rsidRPr="006A0C4B" w:rsidRDefault="00203F34" w:rsidP="00A072D1">
            <w:pPr>
              <w:jc w:val="right"/>
              <w:rPr>
                <w:sz w:val="22"/>
                <w:szCs w:val="22"/>
              </w:rPr>
            </w:pPr>
            <w:r w:rsidRPr="006A0C4B">
              <w:rPr>
                <w:sz w:val="22"/>
                <w:szCs w:val="22"/>
              </w:rPr>
              <w:t>35-40</w:t>
            </w:r>
          </w:p>
          <w:p w14:paraId="7BDC18ED" w14:textId="77777777" w:rsidR="00D11FC7" w:rsidRPr="006A0C4B" w:rsidRDefault="00D11FC7" w:rsidP="001E3C4C">
            <w:pPr>
              <w:jc w:val="right"/>
              <w:rPr>
                <w:sz w:val="22"/>
                <w:szCs w:val="22"/>
              </w:rPr>
            </w:pPr>
          </w:p>
          <w:p w14:paraId="5BAE8DDD" w14:textId="3D763A1C" w:rsidR="00144CE6" w:rsidRPr="006A0C4B" w:rsidRDefault="00562392" w:rsidP="001E3C4C">
            <w:pPr>
              <w:jc w:val="right"/>
              <w:rPr>
                <w:sz w:val="22"/>
                <w:szCs w:val="22"/>
              </w:rPr>
            </w:pPr>
            <w:r w:rsidRPr="006A0C4B">
              <w:rPr>
                <w:sz w:val="22"/>
                <w:szCs w:val="22"/>
              </w:rPr>
              <w:t>70</w:t>
            </w:r>
            <w:r w:rsidR="00203F34" w:rsidRPr="006A0C4B">
              <w:rPr>
                <w:sz w:val="22"/>
                <w:szCs w:val="22"/>
              </w:rPr>
              <w:t>-</w:t>
            </w:r>
            <w:r w:rsidRPr="006A0C4B">
              <w:rPr>
                <w:sz w:val="22"/>
                <w:szCs w:val="22"/>
              </w:rPr>
              <w:t>8</w:t>
            </w:r>
            <w:r w:rsidR="00B71CE8" w:rsidRPr="006A0C4B">
              <w:rPr>
                <w:sz w:val="22"/>
                <w:szCs w:val="22"/>
              </w:rPr>
              <w:t>0</w:t>
            </w:r>
          </w:p>
          <w:p w14:paraId="5B27A562" w14:textId="77777777" w:rsidR="00203F34" w:rsidRPr="006A0C4B" w:rsidRDefault="00203F34" w:rsidP="001E3C4C">
            <w:pPr>
              <w:jc w:val="right"/>
              <w:rPr>
                <w:sz w:val="22"/>
                <w:szCs w:val="22"/>
              </w:rPr>
            </w:pPr>
          </w:p>
          <w:p w14:paraId="6C1543F8" w14:textId="528533F8" w:rsidR="00D11FC7" w:rsidRPr="006A0C4B" w:rsidRDefault="00144CE6" w:rsidP="006A0C4B">
            <w:pPr>
              <w:jc w:val="right"/>
              <w:rPr>
                <w:sz w:val="22"/>
                <w:szCs w:val="22"/>
              </w:rPr>
            </w:pPr>
            <w:r w:rsidRPr="006A0C4B">
              <w:rPr>
                <w:sz w:val="22"/>
                <w:szCs w:val="22"/>
              </w:rPr>
              <w:t>80</w:t>
            </w:r>
          </w:p>
        </w:tc>
        <w:tc>
          <w:tcPr>
            <w:tcW w:w="1134" w:type="dxa"/>
          </w:tcPr>
          <w:p w14:paraId="3FFDDBFC" w14:textId="77777777" w:rsidR="00D11FC7" w:rsidRPr="006A0C4B" w:rsidRDefault="00203F34" w:rsidP="00A072D1">
            <w:pPr>
              <w:jc w:val="right"/>
              <w:rPr>
                <w:sz w:val="22"/>
                <w:szCs w:val="22"/>
              </w:rPr>
            </w:pPr>
            <w:r w:rsidRPr="006A0C4B">
              <w:rPr>
                <w:sz w:val="22"/>
                <w:szCs w:val="22"/>
              </w:rPr>
              <w:t>40</w:t>
            </w:r>
          </w:p>
          <w:p w14:paraId="4A781612" w14:textId="77777777" w:rsidR="00562392" w:rsidRPr="006A0C4B" w:rsidRDefault="00562392" w:rsidP="001E3C4C">
            <w:pPr>
              <w:jc w:val="right"/>
              <w:rPr>
                <w:sz w:val="22"/>
                <w:szCs w:val="22"/>
              </w:rPr>
            </w:pPr>
          </w:p>
          <w:p w14:paraId="455D928C" w14:textId="7BF382E2" w:rsidR="00AA0B8B" w:rsidRPr="006A0C4B" w:rsidRDefault="00562392" w:rsidP="001E3C4C">
            <w:pPr>
              <w:jc w:val="right"/>
              <w:rPr>
                <w:sz w:val="22"/>
                <w:szCs w:val="22"/>
              </w:rPr>
            </w:pPr>
            <w:r w:rsidRPr="006A0C4B">
              <w:rPr>
                <w:sz w:val="22"/>
                <w:szCs w:val="22"/>
              </w:rPr>
              <w:t>80</w:t>
            </w:r>
          </w:p>
          <w:p w14:paraId="47F109D8" w14:textId="77777777" w:rsidR="00203F34" w:rsidRPr="006A0C4B" w:rsidRDefault="00203F34" w:rsidP="001E3C4C">
            <w:pPr>
              <w:jc w:val="right"/>
              <w:rPr>
                <w:sz w:val="22"/>
                <w:szCs w:val="22"/>
              </w:rPr>
            </w:pPr>
          </w:p>
          <w:p w14:paraId="6B4CD6A5" w14:textId="2C61F76B" w:rsidR="00D11FC7" w:rsidRPr="006A0C4B" w:rsidRDefault="00144CE6" w:rsidP="006A0C4B">
            <w:pPr>
              <w:jc w:val="right"/>
              <w:rPr>
                <w:sz w:val="22"/>
                <w:szCs w:val="22"/>
              </w:rPr>
            </w:pPr>
            <w:r w:rsidRPr="006A0C4B">
              <w:rPr>
                <w:sz w:val="22"/>
                <w:szCs w:val="22"/>
              </w:rPr>
              <w:t>80</w:t>
            </w:r>
          </w:p>
        </w:tc>
        <w:tc>
          <w:tcPr>
            <w:tcW w:w="1269" w:type="dxa"/>
          </w:tcPr>
          <w:p w14:paraId="202BAA11" w14:textId="0513731F" w:rsidR="00D11FC7" w:rsidRPr="006A0C4B" w:rsidRDefault="00203F34" w:rsidP="00A072D1">
            <w:pPr>
              <w:jc w:val="right"/>
              <w:rPr>
                <w:sz w:val="22"/>
                <w:szCs w:val="22"/>
              </w:rPr>
            </w:pPr>
            <w:r w:rsidRPr="006A0C4B">
              <w:rPr>
                <w:sz w:val="22"/>
                <w:szCs w:val="22"/>
              </w:rPr>
              <w:t>40</w:t>
            </w:r>
            <w:r w:rsidR="00562392" w:rsidRPr="006A0C4B">
              <w:rPr>
                <w:sz w:val="22"/>
                <w:szCs w:val="22"/>
              </w:rPr>
              <w:t>-45</w:t>
            </w:r>
          </w:p>
          <w:p w14:paraId="563422F5" w14:textId="77777777" w:rsidR="00D11FC7" w:rsidRPr="006A0C4B" w:rsidRDefault="00D11FC7" w:rsidP="001E3C4C">
            <w:pPr>
              <w:jc w:val="right"/>
              <w:rPr>
                <w:sz w:val="22"/>
                <w:szCs w:val="22"/>
              </w:rPr>
            </w:pPr>
          </w:p>
          <w:p w14:paraId="64B359B8" w14:textId="292E01C6" w:rsidR="00EC231D" w:rsidRDefault="00562392" w:rsidP="0071483C">
            <w:pPr>
              <w:jc w:val="right"/>
              <w:rPr>
                <w:sz w:val="22"/>
                <w:szCs w:val="22"/>
              </w:rPr>
            </w:pPr>
            <w:r w:rsidRPr="006A0C4B">
              <w:rPr>
                <w:sz w:val="22"/>
                <w:szCs w:val="22"/>
              </w:rPr>
              <w:t>80</w:t>
            </w:r>
          </w:p>
          <w:p w14:paraId="6506CA91" w14:textId="77777777" w:rsidR="007706FF" w:rsidRPr="006A0C4B" w:rsidRDefault="007706FF" w:rsidP="00A072D1">
            <w:pPr>
              <w:jc w:val="right"/>
              <w:rPr>
                <w:sz w:val="22"/>
                <w:szCs w:val="22"/>
              </w:rPr>
            </w:pPr>
          </w:p>
          <w:p w14:paraId="6C2469A6" w14:textId="0EC63386" w:rsidR="00D11FC7" w:rsidRPr="006A0C4B" w:rsidRDefault="00144CE6" w:rsidP="006A0C4B">
            <w:pPr>
              <w:jc w:val="right"/>
              <w:rPr>
                <w:sz w:val="22"/>
                <w:szCs w:val="22"/>
              </w:rPr>
            </w:pPr>
            <w:r w:rsidRPr="006A0C4B">
              <w:rPr>
                <w:sz w:val="22"/>
                <w:szCs w:val="22"/>
              </w:rPr>
              <w:t>80</w:t>
            </w:r>
          </w:p>
        </w:tc>
      </w:tr>
      <w:tr w:rsidR="00D11FC7" w:rsidRPr="0031366C" w14:paraId="703247A3" w14:textId="77777777" w:rsidTr="00FD4288">
        <w:trPr>
          <w:gridAfter w:val="1"/>
          <w:wAfter w:w="6" w:type="dxa"/>
          <w:trHeight w:val="266"/>
        </w:trPr>
        <w:tc>
          <w:tcPr>
            <w:tcW w:w="1271" w:type="dxa"/>
            <w:vAlign w:val="center"/>
            <w:hideMark/>
          </w:tcPr>
          <w:p w14:paraId="333657EA" w14:textId="3C9B904D" w:rsidR="00D11FC7" w:rsidRPr="0071483C" w:rsidRDefault="00D11FC7" w:rsidP="00D04A72">
            <w:pPr>
              <w:rPr>
                <w:sz w:val="22"/>
                <w:szCs w:val="22"/>
              </w:rPr>
            </w:pPr>
            <w:r w:rsidRPr="0071483C">
              <w:rPr>
                <w:sz w:val="22"/>
                <w:szCs w:val="22"/>
              </w:rPr>
              <w:t>Agriculture</w:t>
            </w:r>
          </w:p>
        </w:tc>
        <w:tc>
          <w:tcPr>
            <w:tcW w:w="5103" w:type="dxa"/>
            <w:hideMark/>
          </w:tcPr>
          <w:p w14:paraId="5128F631" w14:textId="27C59AB2" w:rsidR="00D11FC7" w:rsidRPr="00A51049" w:rsidRDefault="00D11FC7" w:rsidP="00D04A72">
            <w:pPr>
              <w:rPr>
                <w:rFonts w:cs="Arial"/>
                <w:sz w:val="22"/>
                <w:szCs w:val="22"/>
              </w:rPr>
            </w:pPr>
            <w:r w:rsidRPr="006A0C4B">
              <w:rPr>
                <w:rFonts w:cs="Arial"/>
                <w:sz w:val="22"/>
                <w:szCs w:val="22"/>
              </w:rPr>
              <w:t>Low-carbon farming practices</w:t>
            </w:r>
          </w:p>
        </w:tc>
        <w:tc>
          <w:tcPr>
            <w:tcW w:w="3821" w:type="dxa"/>
            <w:gridSpan w:val="3"/>
          </w:tcPr>
          <w:p w14:paraId="2B7986BA" w14:textId="6BFA67FB" w:rsidR="00D11FC7" w:rsidRDefault="0058360D" w:rsidP="006A0C4B">
            <w:pPr>
              <w:jc w:val="right"/>
            </w:pPr>
            <w:r>
              <w:rPr>
                <w:rFonts w:cs="Arial"/>
                <w:sz w:val="22"/>
                <w:szCs w:val="22"/>
              </w:rPr>
              <w:t>M</w:t>
            </w:r>
            <w:r w:rsidRPr="0058360D">
              <w:rPr>
                <w:rFonts w:cs="Arial"/>
                <w:sz w:val="22"/>
                <w:szCs w:val="22"/>
              </w:rPr>
              <w:t>etrics not quantifiable</w:t>
            </w:r>
          </w:p>
        </w:tc>
      </w:tr>
      <w:tr w:rsidR="00D11FC7" w:rsidRPr="0031366C" w14:paraId="2D34DEC0" w14:textId="77777777" w:rsidTr="00FD4288">
        <w:trPr>
          <w:gridAfter w:val="1"/>
          <w:wAfter w:w="6" w:type="dxa"/>
          <w:trHeight w:val="266"/>
        </w:trPr>
        <w:tc>
          <w:tcPr>
            <w:tcW w:w="1271" w:type="dxa"/>
            <w:vAlign w:val="center"/>
            <w:hideMark/>
          </w:tcPr>
          <w:p w14:paraId="53F32FA6" w14:textId="36FBA906" w:rsidR="00D11FC7" w:rsidRPr="0071483C" w:rsidRDefault="00D11FC7" w:rsidP="00D04A72">
            <w:pPr>
              <w:rPr>
                <w:sz w:val="22"/>
                <w:szCs w:val="22"/>
              </w:rPr>
            </w:pPr>
            <w:r w:rsidRPr="0071483C">
              <w:rPr>
                <w:sz w:val="22"/>
                <w:szCs w:val="22"/>
              </w:rPr>
              <w:t>Waste</w:t>
            </w:r>
          </w:p>
        </w:tc>
        <w:tc>
          <w:tcPr>
            <w:tcW w:w="5103" w:type="dxa"/>
            <w:hideMark/>
          </w:tcPr>
          <w:p w14:paraId="3377E1D3" w14:textId="1B0D8A26" w:rsidR="00D11FC7" w:rsidRDefault="00D11FC7" w:rsidP="00D04A72">
            <w:r w:rsidRPr="0071483C">
              <w:rPr>
                <w:sz w:val="22"/>
                <w:szCs w:val="22"/>
              </w:rPr>
              <w:t>Cease biodegradable waste to landfill</w:t>
            </w:r>
            <w:r w:rsidR="00EE3591">
              <w:rPr>
                <w:rStyle w:val="FootnoteReference"/>
              </w:rPr>
              <w:footnoteReference w:id="43"/>
            </w:r>
          </w:p>
          <w:p w14:paraId="191F326C" w14:textId="71799703" w:rsidR="00D11FC7" w:rsidRPr="0071483C" w:rsidRDefault="00F123E0" w:rsidP="00D04A72">
            <w:pPr>
              <w:rPr>
                <w:sz w:val="22"/>
                <w:szCs w:val="22"/>
              </w:rPr>
            </w:pPr>
            <w:r w:rsidRPr="0071483C">
              <w:rPr>
                <w:sz w:val="22"/>
                <w:szCs w:val="22"/>
              </w:rPr>
              <w:t xml:space="preserve">Municipal </w:t>
            </w:r>
            <w:r w:rsidR="00D11FC7" w:rsidRPr="0071483C">
              <w:rPr>
                <w:sz w:val="22"/>
                <w:szCs w:val="22"/>
              </w:rPr>
              <w:t>recycling target</w:t>
            </w:r>
          </w:p>
        </w:tc>
        <w:tc>
          <w:tcPr>
            <w:tcW w:w="3821" w:type="dxa"/>
            <w:gridSpan w:val="3"/>
          </w:tcPr>
          <w:p w14:paraId="22E9CB99" w14:textId="57181DA6" w:rsidR="00EC231D" w:rsidRDefault="00D11FC7" w:rsidP="00EC231D">
            <w:pPr>
              <w:jc w:val="right"/>
              <w:rPr>
                <w:sz w:val="22"/>
                <w:szCs w:val="22"/>
              </w:rPr>
            </w:pPr>
            <w:r w:rsidRPr="0071483C">
              <w:rPr>
                <w:sz w:val="22"/>
                <w:szCs w:val="22"/>
              </w:rPr>
              <w:t>By 2030</w:t>
            </w:r>
          </w:p>
          <w:p w14:paraId="4F8E9D49" w14:textId="4124269A" w:rsidR="00D11FC7" w:rsidRDefault="00D11FC7" w:rsidP="006A0C4B">
            <w:pPr>
              <w:jc w:val="right"/>
            </w:pPr>
            <w:r w:rsidRPr="0071483C">
              <w:rPr>
                <w:sz w:val="22"/>
                <w:szCs w:val="22"/>
              </w:rPr>
              <w:t>65% by 2035</w:t>
            </w:r>
          </w:p>
        </w:tc>
      </w:tr>
      <w:tr w:rsidR="00D11FC7" w:rsidRPr="0031366C" w14:paraId="641242C7" w14:textId="77777777" w:rsidTr="00FD4288">
        <w:trPr>
          <w:gridAfter w:val="1"/>
          <w:wAfter w:w="6" w:type="dxa"/>
          <w:trHeight w:val="266"/>
        </w:trPr>
        <w:tc>
          <w:tcPr>
            <w:tcW w:w="1271" w:type="dxa"/>
            <w:vAlign w:val="center"/>
            <w:hideMark/>
          </w:tcPr>
          <w:p w14:paraId="60522E6F" w14:textId="05C9BAEF" w:rsidR="00D11FC7" w:rsidRPr="00AE7B35" w:rsidRDefault="00D11FC7" w:rsidP="00D04A72">
            <w:pPr>
              <w:rPr>
                <w:sz w:val="22"/>
                <w:szCs w:val="22"/>
              </w:rPr>
            </w:pPr>
            <w:r w:rsidRPr="00AE7B35">
              <w:rPr>
                <w:sz w:val="22"/>
                <w:szCs w:val="22"/>
              </w:rPr>
              <w:t>LULUCF</w:t>
            </w:r>
          </w:p>
        </w:tc>
        <w:tc>
          <w:tcPr>
            <w:tcW w:w="5103" w:type="dxa"/>
            <w:hideMark/>
          </w:tcPr>
          <w:p w14:paraId="4BCC4B7D" w14:textId="6689C30F" w:rsidR="00D11FC7" w:rsidRPr="00AE7B35" w:rsidRDefault="00D11FC7" w:rsidP="00D04A72">
            <w:pPr>
              <w:rPr>
                <w:sz w:val="22"/>
                <w:szCs w:val="22"/>
              </w:rPr>
            </w:pPr>
            <w:r w:rsidRPr="00AE7B35">
              <w:rPr>
                <w:sz w:val="22"/>
                <w:szCs w:val="22"/>
              </w:rPr>
              <w:t>Afforestation (kha/</w:t>
            </w:r>
            <w:r w:rsidR="00E41628">
              <w:rPr>
                <w:sz w:val="22"/>
                <w:szCs w:val="22"/>
              </w:rPr>
              <w:t>yr</w:t>
            </w:r>
            <w:r w:rsidRPr="00AE7B35">
              <w:rPr>
                <w:sz w:val="22"/>
                <w:szCs w:val="22"/>
              </w:rPr>
              <w:t>, Mha)</w:t>
            </w:r>
          </w:p>
          <w:p w14:paraId="7778DB37" w14:textId="12300E15" w:rsidR="00D11FC7" w:rsidRPr="00AE7B35" w:rsidRDefault="00D11FC7" w:rsidP="00D04A72">
            <w:pPr>
              <w:rPr>
                <w:sz w:val="22"/>
                <w:szCs w:val="22"/>
              </w:rPr>
            </w:pPr>
            <w:r w:rsidRPr="00AE7B35">
              <w:rPr>
                <w:sz w:val="22"/>
                <w:szCs w:val="22"/>
              </w:rPr>
              <w:t>Bioenergy crops planting (kha/</w:t>
            </w:r>
            <w:r w:rsidR="00E41628">
              <w:rPr>
                <w:sz w:val="22"/>
                <w:szCs w:val="22"/>
              </w:rPr>
              <w:t>yr</w:t>
            </w:r>
            <w:r w:rsidR="00654133" w:rsidRPr="00AE7B35">
              <w:rPr>
                <w:sz w:val="22"/>
                <w:szCs w:val="22"/>
              </w:rPr>
              <w:t>, Mha</w:t>
            </w:r>
            <w:r w:rsidRPr="00AE7B35">
              <w:rPr>
                <w:sz w:val="22"/>
                <w:szCs w:val="22"/>
              </w:rPr>
              <w:t>)</w:t>
            </w:r>
          </w:p>
          <w:p w14:paraId="727EC0E4" w14:textId="0245BDC0" w:rsidR="00D11FC7" w:rsidRPr="00AE7B35" w:rsidRDefault="00D11FC7" w:rsidP="00D04A72">
            <w:pPr>
              <w:rPr>
                <w:sz w:val="22"/>
                <w:szCs w:val="22"/>
              </w:rPr>
            </w:pPr>
            <w:r w:rsidRPr="00AE7B35">
              <w:rPr>
                <w:sz w:val="22"/>
                <w:szCs w:val="22"/>
              </w:rPr>
              <w:t>Peat restoration (</w:t>
            </w:r>
            <w:r w:rsidR="008F7B89" w:rsidRPr="00AE7B35">
              <w:rPr>
                <w:sz w:val="22"/>
                <w:szCs w:val="22"/>
              </w:rPr>
              <w:t>kha restored</w:t>
            </w:r>
            <w:r w:rsidRPr="00AE7B35">
              <w:rPr>
                <w:sz w:val="22"/>
                <w:szCs w:val="22"/>
              </w:rPr>
              <w:t>)</w:t>
            </w:r>
          </w:p>
        </w:tc>
        <w:tc>
          <w:tcPr>
            <w:tcW w:w="3821" w:type="dxa"/>
            <w:gridSpan w:val="3"/>
          </w:tcPr>
          <w:p w14:paraId="2E110F69" w14:textId="77777777" w:rsidR="00D11FC7" w:rsidRDefault="00D11FC7" w:rsidP="00A072D1">
            <w:pPr>
              <w:jc w:val="right"/>
              <w:rPr>
                <w:sz w:val="22"/>
                <w:szCs w:val="22"/>
              </w:rPr>
            </w:pPr>
            <w:r w:rsidRPr="00AE7B35">
              <w:rPr>
                <w:sz w:val="22"/>
                <w:szCs w:val="22"/>
              </w:rPr>
              <w:t>30-50, 0.5-0.7</w:t>
            </w:r>
          </w:p>
          <w:p w14:paraId="09D3BCD8" w14:textId="77777777" w:rsidR="00D11FC7" w:rsidRDefault="00D11FC7" w:rsidP="001E3C4C">
            <w:pPr>
              <w:jc w:val="right"/>
              <w:rPr>
                <w:sz w:val="22"/>
                <w:szCs w:val="22"/>
              </w:rPr>
            </w:pPr>
            <w:r w:rsidRPr="00AE7B35">
              <w:rPr>
                <w:sz w:val="22"/>
                <w:szCs w:val="22"/>
              </w:rPr>
              <w:t>53, 0.7</w:t>
            </w:r>
          </w:p>
          <w:p w14:paraId="08CAB86F" w14:textId="488D1124" w:rsidR="00D11FC7" w:rsidRPr="00AE7B35" w:rsidRDefault="008F7B89" w:rsidP="006A0C4B">
            <w:pPr>
              <w:jc w:val="right"/>
              <w:rPr>
                <w:sz w:val="22"/>
                <w:szCs w:val="22"/>
              </w:rPr>
            </w:pPr>
            <w:r w:rsidRPr="00AE7B35">
              <w:rPr>
                <w:sz w:val="22"/>
                <w:szCs w:val="22"/>
              </w:rPr>
              <w:t>250</w:t>
            </w:r>
          </w:p>
        </w:tc>
      </w:tr>
      <w:tr w:rsidR="00D11FC7" w:rsidRPr="0031366C" w14:paraId="6E7BBE94" w14:textId="77777777" w:rsidTr="00FD4288">
        <w:trPr>
          <w:gridAfter w:val="1"/>
          <w:wAfter w:w="6" w:type="dxa"/>
          <w:trHeight w:val="266"/>
        </w:trPr>
        <w:tc>
          <w:tcPr>
            <w:tcW w:w="1271" w:type="dxa"/>
            <w:vAlign w:val="center"/>
            <w:hideMark/>
          </w:tcPr>
          <w:p w14:paraId="2B98BEEF" w14:textId="2715218B" w:rsidR="00D11FC7" w:rsidRPr="0071483C" w:rsidRDefault="00D11FC7" w:rsidP="00D04A72">
            <w:pPr>
              <w:rPr>
                <w:sz w:val="22"/>
                <w:szCs w:val="22"/>
              </w:rPr>
            </w:pPr>
            <w:r w:rsidRPr="0071483C">
              <w:rPr>
                <w:sz w:val="22"/>
                <w:szCs w:val="22"/>
              </w:rPr>
              <w:t>Removals</w:t>
            </w:r>
          </w:p>
        </w:tc>
        <w:tc>
          <w:tcPr>
            <w:tcW w:w="5103" w:type="dxa"/>
            <w:hideMark/>
          </w:tcPr>
          <w:p w14:paraId="1DE1AD38" w14:textId="77777777" w:rsidR="00D11FC7" w:rsidRPr="0071483C" w:rsidRDefault="00D11FC7" w:rsidP="00D04A72">
            <w:pPr>
              <w:rPr>
                <w:sz w:val="22"/>
                <w:szCs w:val="22"/>
              </w:rPr>
            </w:pPr>
            <w:r w:rsidRPr="0071483C">
              <w:rPr>
                <w:sz w:val="22"/>
                <w:szCs w:val="22"/>
              </w:rPr>
              <w:t>BECCS (Mt)</w:t>
            </w:r>
          </w:p>
          <w:p w14:paraId="75BF0160" w14:textId="77777777" w:rsidR="00D11FC7" w:rsidRPr="0071483C" w:rsidRDefault="00D11FC7" w:rsidP="00D04A72">
            <w:pPr>
              <w:rPr>
                <w:sz w:val="22"/>
                <w:szCs w:val="22"/>
              </w:rPr>
            </w:pPr>
          </w:p>
        </w:tc>
        <w:tc>
          <w:tcPr>
            <w:tcW w:w="1418" w:type="dxa"/>
          </w:tcPr>
          <w:p w14:paraId="3BA4BD61" w14:textId="127547F5" w:rsidR="00D11FC7" w:rsidRPr="0071483C" w:rsidRDefault="00D11FC7" w:rsidP="006A0C4B">
            <w:pPr>
              <w:jc w:val="right"/>
              <w:rPr>
                <w:sz w:val="22"/>
                <w:szCs w:val="22"/>
              </w:rPr>
            </w:pPr>
            <w:r w:rsidRPr="0071483C">
              <w:rPr>
                <w:sz w:val="22"/>
                <w:szCs w:val="22"/>
              </w:rPr>
              <w:t>1</w:t>
            </w:r>
            <w:r w:rsidR="009956EA">
              <w:rPr>
                <w:sz w:val="22"/>
                <w:szCs w:val="22"/>
              </w:rPr>
              <w:t>3</w:t>
            </w:r>
            <w:r w:rsidRPr="0071483C">
              <w:rPr>
                <w:sz w:val="22"/>
                <w:szCs w:val="22"/>
              </w:rPr>
              <w:t>-19</w:t>
            </w:r>
          </w:p>
        </w:tc>
        <w:tc>
          <w:tcPr>
            <w:tcW w:w="1134" w:type="dxa"/>
          </w:tcPr>
          <w:p w14:paraId="3A0215AB" w14:textId="385632DC" w:rsidR="00D11FC7" w:rsidRPr="0071483C" w:rsidRDefault="00D11FC7" w:rsidP="006A0C4B">
            <w:pPr>
              <w:jc w:val="right"/>
              <w:rPr>
                <w:sz w:val="22"/>
                <w:szCs w:val="22"/>
              </w:rPr>
            </w:pPr>
            <w:r w:rsidRPr="0071483C">
              <w:rPr>
                <w:sz w:val="22"/>
                <w:szCs w:val="22"/>
              </w:rPr>
              <w:t>1</w:t>
            </w:r>
            <w:r w:rsidR="009956EA">
              <w:rPr>
                <w:sz w:val="22"/>
                <w:szCs w:val="22"/>
              </w:rPr>
              <w:t>3</w:t>
            </w:r>
            <w:r w:rsidRPr="0071483C">
              <w:rPr>
                <w:sz w:val="22"/>
                <w:szCs w:val="22"/>
              </w:rPr>
              <w:t>-19</w:t>
            </w:r>
          </w:p>
        </w:tc>
        <w:tc>
          <w:tcPr>
            <w:tcW w:w="1269" w:type="dxa"/>
          </w:tcPr>
          <w:p w14:paraId="7D061C61" w14:textId="7F30D197" w:rsidR="00D11FC7" w:rsidRPr="0071483C" w:rsidRDefault="00D11FC7" w:rsidP="006A0C4B">
            <w:pPr>
              <w:jc w:val="right"/>
              <w:rPr>
                <w:sz w:val="22"/>
                <w:szCs w:val="22"/>
              </w:rPr>
            </w:pPr>
            <w:r w:rsidRPr="0071483C">
              <w:rPr>
                <w:sz w:val="22"/>
                <w:szCs w:val="22"/>
              </w:rPr>
              <w:t>14-22</w:t>
            </w:r>
          </w:p>
        </w:tc>
      </w:tr>
      <w:tr w:rsidR="00D11FC7" w:rsidRPr="0031366C" w14:paraId="7FFA956B" w14:textId="77777777" w:rsidTr="00FD4288">
        <w:trPr>
          <w:gridAfter w:val="1"/>
          <w:wAfter w:w="6" w:type="dxa"/>
          <w:trHeight w:val="504"/>
        </w:trPr>
        <w:tc>
          <w:tcPr>
            <w:tcW w:w="1271" w:type="dxa"/>
            <w:vAlign w:val="center"/>
            <w:hideMark/>
          </w:tcPr>
          <w:p w14:paraId="1C4B3206" w14:textId="27832786" w:rsidR="00D11FC7" w:rsidRPr="0071483C" w:rsidRDefault="00D11FC7" w:rsidP="00D04A72">
            <w:pPr>
              <w:rPr>
                <w:sz w:val="22"/>
                <w:szCs w:val="22"/>
              </w:rPr>
            </w:pPr>
            <w:r w:rsidRPr="00057E83">
              <w:rPr>
                <w:sz w:val="22"/>
                <w:szCs w:val="22"/>
              </w:rPr>
              <w:t>Aviation</w:t>
            </w:r>
            <w:r>
              <w:rPr>
                <w:sz w:val="22"/>
                <w:szCs w:val="22"/>
              </w:rPr>
              <w:t xml:space="preserve"> </w:t>
            </w:r>
            <w:r w:rsidR="00057E83">
              <w:rPr>
                <w:sz w:val="22"/>
                <w:szCs w:val="22"/>
              </w:rPr>
              <w:t>&amp;</w:t>
            </w:r>
            <w:r w:rsidRPr="00057E83">
              <w:rPr>
                <w:sz w:val="22"/>
                <w:szCs w:val="22"/>
              </w:rPr>
              <w:t>shipping</w:t>
            </w:r>
          </w:p>
        </w:tc>
        <w:tc>
          <w:tcPr>
            <w:tcW w:w="5103" w:type="dxa"/>
            <w:hideMark/>
          </w:tcPr>
          <w:p w14:paraId="0BCAC635" w14:textId="77777777" w:rsidR="00D11FC7" w:rsidRPr="0071483C" w:rsidRDefault="00D11FC7" w:rsidP="00D04A72">
            <w:pPr>
              <w:rPr>
                <w:sz w:val="22"/>
                <w:szCs w:val="22"/>
              </w:rPr>
            </w:pPr>
            <w:r w:rsidRPr="0071483C">
              <w:rPr>
                <w:sz w:val="22"/>
                <w:szCs w:val="22"/>
              </w:rPr>
              <w:t>Biofuels for aviation (%)</w:t>
            </w:r>
          </w:p>
          <w:p w14:paraId="0C1B8621" w14:textId="17C9C44D" w:rsidR="00586E4B" w:rsidRPr="0071483C" w:rsidRDefault="00586E4B" w:rsidP="00586E4B">
            <w:pPr>
              <w:rPr>
                <w:rFonts w:ascii="Times New Roman" w:hAnsi="Times New Roman" w:cs="Times New Roman"/>
                <w:sz w:val="22"/>
                <w:szCs w:val="22"/>
              </w:rPr>
            </w:pPr>
            <w:r w:rsidRPr="0071483C">
              <w:rPr>
                <w:sz w:val="22"/>
                <w:szCs w:val="22"/>
              </w:rPr>
              <w:t>Ammonia for shipping (%)</w:t>
            </w:r>
            <w:r w:rsidRPr="0071483C">
              <w:rPr>
                <w:rFonts w:ascii="Times New Roman" w:hAnsi="Times New Roman" w:cs="Times New Roman"/>
                <w:sz w:val="22"/>
                <w:szCs w:val="22"/>
              </w:rPr>
              <w:t xml:space="preserve"> </w:t>
            </w:r>
          </w:p>
          <w:p w14:paraId="7D22914D" w14:textId="60A34BAB" w:rsidR="00D11FC7" w:rsidRPr="0071483C" w:rsidRDefault="00D11FC7" w:rsidP="00D04A72">
            <w:pPr>
              <w:rPr>
                <w:sz w:val="22"/>
                <w:szCs w:val="22"/>
              </w:rPr>
            </w:pPr>
          </w:p>
        </w:tc>
        <w:tc>
          <w:tcPr>
            <w:tcW w:w="1418" w:type="dxa"/>
          </w:tcPr>
          <w:p w14:paraId="0D98F4DB" w14:textId="739AC971" w:rsidR="00D11FC7" w:rsidRPr="0071483C" w:rsidRDefault="00D11FC7" w:rsidP="006A0C4B">
            <w:pPr>
              <w:jc w:val="right"/>
              <w:rPr>
                <w:sz w:val="22"/>
                <w:szCs w:val="22"/>
              </w:rPr>
            </w:pPr>
            <w:r w:rsidRPr="0071483C">
              <w:rPr>
                <w:sz w:val="22"/>
                <w:szCs w:val="22"/>
              </w:rPr>
              <w:t>7-8</w:t>
            </w:r>
          </w:p>
          <w:p w14:paraId="3FF61D45" w14:textId="142EEA97" w:rsidR="00D11FC7" w:rsidRPr="0071483C" w:rsidRDefault="00D11FC7" w:rsidP="006A0C4B">
            <w:pPr>
              <w:jc w:val="right"/>
              <w:rPr>
                <w:sz w:val="22"/>
                <w:szCs w:val="22"/>
              </w:rPr>
            </w:pPr>
            <w:r w:rsidRPr="0071483C">
              <w:rPr>
                <w:sz w:val="22"/>
                <w:szCs w:val="22"/>
              </w:rPr>
              <w:t>29-32</w:t>
            </w:r>
          </w:p>
        </w:tc>
        <w:tc>
          <w:tcPr>
            <w:tcW w:w="1134" w:type="dxa"/>
          </w:tcPr>
          <w:p w14:paraId="73EE791A" w14:textId="66EA641E" w:rsidR="00D11FC7" w:rsidRPr="0071483C" w:rsidRDefault="00D11FC7" w:rsidP="006A0C4B">
            <w:pPr>
              <w:jc w:val="right"/>
              <w:rPr>
                <w:sz w:val="22"/>
                <w:szCs w:val="22"/>
              </w:rPr>
            </w:pPr>
            <w:r w:rsidRPr="0071483C">
              <w:rPr>
                <w:sz w:val="22"/>
                <w:szCs w:val="22"/>
              </w:rPr>
              <w:t>7-8</w:t>
            </w:r>
          </w:p>
          <w:p w14:paraId="1EA8E0F2" w14:textId="490FB4C1" w:rsidR="00D11FC7" w:rsidRPr="0071483C" w:rsidRDefault="00D11FC7" w:rsidP="006A0C4B">
            <w:pPr>
              <w:jc w:val="right"/>
              <w:rPr>
                <w:sz w:val="22"/>
                <w:szCs w:val="22"/>
              </w:rPr>
            </w:pPr>
            <w:r w:rsidRPr="0071483C">
              <w:rPr>
                <w:sz w:val="22"/>
                <w:szCs w:val="22"/>
              </w:rPr>
              <w:t>29-32</w:t>
            </w:r>
          </w:p>
        </w:tc>
        <w:tc>
          <w:tcPr>
            <w:tcW w:w="1269" w:type="dxa"/>
          </w:tcPr>
          <w:p w14:paraId="20CC65E6" w14:textId="7A96327E" w:rsidR="00D11FC7" w:rsidRPr="0071483C" w:rsidRDefault="00D11FC7" w:rsidP="006A0C4B">
            <w:pPr>
              <w:jc w:val="right"/>
              <w:rPr>
                <w:sz w:val="22"/>
                <w:szCs w:val="22"/>
              </w:rPr>
            </w:pPr>
            <w:r w:rsidRPr="0071483C">
              <w:rPr>
                <w:sz w:val="22"/>
                <w:szCs w:val="22"/>
              </w:rPr>
              <w:t>7-8</w:t>
            </w:r>
          </w:p>
          <w:p w14:paraId="5C6DEBC4" w14:textId="6F1BF891" w:rsidR="00D11FC7" w:rsidRPr="0071483C" w:rsidRDefault="00D11FC7" w:rsidP="006A0C4B">
            <w:pPr>
              <w:jc w:val="right"/>
              <w:rPr>
                <w:sz w:val="22"/>
                <w:szCs w:val="22"/>
              </w:rPr>
            </w:pPr>
            <w:r w:rsidRPr="0071483C">
              <w:rPr>
                <w:sz w:val="22"/>
                <w:szCs w:val="22"/>
              </w:rPr>
              <w:t>31-32</w:t>
            </w:r>
          </w:p>
        </w:tc>
      </w:tr>
    </w:tbl>
    <w:p w14:paraId="1757AEF8" w14:textId="77777777" w:rsidR="00D270B8" w:rsidRDefault="00D270B8" w:rsidP="00FC4D01"/>
    <w:p w14:paraId="00733541" w14:textId="77777777" w:rsidR="005322C6" w:rsidRDefault="005322C6" w:rsidP="007B4DAD">
      <w:pPr>
        <w:pStyle w:val="Heading4"/>
      </w:pPr>
    </w:p>
    <w:p w14:paraId="44643953" w14:textId="379F9711" w:rsidR="00D270B8" w:rsidRPr="00FD4288" w:rsidRDefault="001A5476" w:rsidP="005322C6">
      <w:pPr>
        <w:pStyle w:val="Heading4"/>
        <w:spacing w:after="200"/>
      </w:pPr>
      <w:r w:rsidRPr="00C65769">
        <w:t>Sensitivities</w:t>
      </w:r>
    </w:p>
    <w:p w14:paraId="1B01F1EB" w14:textId="3DA252DE" w:rsidR="00D21996" w:rsidRDefault="00E341BD" w:rsidP="009229B3">
      <w:pPr>
        <w:pStyle w:val="Numberedparagraphs"/>
      </w:pPr>
      <w:r>
        <w:t xml:space="preserve">To establish the implications of higher/lower than expected </w:t>
      </w:r>
      <w:r w:rsidRPr="0071483C">
        <w:rPr>
          <w:b/>
        </w:rPr>
        <w:t>economic growth</w:t>
      </w:r>
      <w:r>
        <w:t xml:space="preserve"> on the core pathways</w:t>
      </w:r>
      <w:r w:rsidR="004E0192">
        <w:t>,</w:t>
      </w:r>
      <w:r>
        <w:t xml:space="preserve"> </w:t>
      </w:r>
      <w:r w:rsidR="00CF772C">
        <w:t>UKTM has also been run with two additional economic growth scenarios that model a +/-0.25</w:t>
      </w:r>
      <w:r w:rsidR="00E41628">
        <w:t xml:space="preserve"> percentage point</w:t>
      </w:r>
      <w:r w:rsidR="00CF772C">
        <w:t xml:space="preserve"> </w:t>
      </w:r>
      <w:r w:rsidR="004E0192">
        <w:t>p</w:t>
      </w:r>
      <w:r w:rsidR="00E41628">
        <w:t>er year</w:t>
      </w:r>
      <w:r w:rsidR="004E0192">
        <w:t xml:space="preserve"> </w:t>
      </w:r>
      <w:r w:rsidR="00CF772C">
        <w:t xml:space="preserve">uncertainty range around the OBR’s July 2020 short-term upside and downside scenarios and the March </w:t>
      </w:r>
      <w:r w:rsidR="00412192">
        <w:t>2020</w:t>
      </w:r>
      <w:r w:rsidR="00CF772C">
        <w:t xml:space="preserve"> long-term forecasts. The overall sensitivity implies a +10</w:t>
      </w:r>
      <w:r w:rsidR="00FD4441">
        <w:t>%</w:t>
      </w:r>
      <w:r w:rsidR="00CF772C">
        <w:t xml:space="preserve"> or -9</w:t>
      </w:r>
      <w:r w:rsidR="00FD4441">
        <w:t>%</w:t>
      </w:r>
      <w:r w:rsidR="00CF772C">
        <w:t xml:space="preserve"> increase or decrease in </w:t>
      </w:r>
      <w:r w:rsidR="00FD4441">
        <w:t xml:space="preserve">the level of </w:t>
      </w:r>
      <w:r w:rsidR="00CF772C">
        <w:t xml:space="preserve">GDP by 2035. These scenarios </w:t>
      </w:r>
      <w:r w:rsidR="00F34C28">
        <w:t>include</w:t>
      </w:r>
      <w:r w:rsidR="00CF772C">
        <w:t xml:space="preserve"> no structural changes in the UK economy, but it should be acknowledged that structural changes could also affect UK emissions, particularly in sectors subject to high levels of global competition</w:t>
      </w:r>
      <w:r w:rsidR="00F34C28">
        <w:t>,</w:t>
      </w:r>
      <w:r w:rsidR="00CF772C">
        <w:t xml:space="preserve"> e.g</w:t>
      </w:r>
      <w:r w:rsidR="00FC67A7">
        <w:t>.</w:t>
      </w:r>
      <w:r w:rsidR="00CF772C">
        <w:t xml:space="preserve"> indus</w:t>
      </w:r>
      <w:r w:rsidR="007A7EAC">
        <w:t>try.</w:t>
      </w:r>
    </w:p>
    <w:p w14:paraId="0D5623A3" w14:textId="17E2824A" w:rsidR="00D21996" w:rsidRDefault="00CF772C" w:rsidP="009229B3">
      <w:pPr>
        <w:pStyle w:val="Numberedparagraphs"/>
      </w:pPr>
      <w:r>
        <w:t xml:space="preserve">Generally, higher </w:t>
      </w:r>
      <w:r w:rsidR="00842861">
        <w:t>economic</w:t>
      </w:r>
      <w:r>
        <w:t xml:space="preserve"> growth scenarios lead to higher decarbonisation costs, due to the additional infrastructure needed to meet higher energy demands over the transition and some more expensive technologies in the long</w:t>
      </w:r>
      <w:r w:rsidR="00FC67A7">
        <w:t xml:space="preserve"> </w:t>
      </w:r>
      <w:r>
        <w:t xml:space="preserve">run. </w:t>
      </w:r>
      <w:r w:rsidR="00C93F98">
        <w:t>T</w:t>
      </w:r>
      <w:r>
        <w:t xml:space="preserve">here is </w:t>
      </w:r>
      <w:r w:rsidR="00CE123E">
        <w:t xml:space="preserve">a </w:t>
      </w:r>
      <w:r>
        <w:t xml:space="preserve">significant impact on supply side sectors due to the need to meet </w:t>
      </w:r>
      <w:r w:rsidR="00492684">
        <w:t>higher</w:t>
      </w:r>
      <w:r>
        <w:t xml:space="preserve"> levels of demand and fuel switching (e.g. demand for clean electricity </w:t>
      </w:r>
      <w:r w:rsidR="000C64D2">
        <w:t xml:space="preserve">in 2050 is </w:t>
      </w:r>
      <w:r>
        <w:t>20%</w:t>
      </w:r>
      <w:r w:rsidR="006E7D4D">
        <w:t xml:space="preserve"> </w:t>
      </w:r>
      <w:r w:rsidR="000C64D2">
        <w:t>higher</w:t>
      </w:r>
      <w:r w:rsidR="00FF51D2">
        <w:t xml:space="preserve"> in 2050</w:t>
      </w:r>
      <w:r w:rsidR="003E69AA">
        <w:t>)</w:t>
      </w:r>
      <w:r>
        <w:t xml:space="preserve">. </w:t>
      </w:r>
      <w:r w:rsidR="006E7D4D">
        <w:t>T</w:t>
      </w:r>
      <w:r>
        <w:t xml:space="preserve">he reverse </w:t>
      </w:r>
      <w:r w:rsidR="006E7D4D">
        <w:t xml:space="preserve">applies </w:t>
      </w:r>
      <w:r w:rsidR="000F5651">
        <w:t>to</w:t>
      </w:r>
      <w:r>
        <w:t xml:space="preserve"> lower growth scenarios. </w:t>
      </w:r>
    </w:p>
    <w:p w14:paraId="4BF0D5EF" w14:textId="3FBBAC62" w:rsidR="00D21996" w:rsidRDefault="00CF772C" w:rsidP="009229B3">
      <w:pPr>
        <w:pStyle w:val="Numberedparagraphs"/>
      </w:pPr>
      <w:r>
        <w:t xml:space="preserve">To test the implications of higher and lower </w:t>
      </w:r>
      <w:r w:rsidRPr="0071483C">
        <w:rPr>
          <w:b/>
        </w:rPr>
        <w:t>fossil fuel price</w:t>
      </w:r>
      <w:r w:rsidR="00854A23">
        <w:rPr>
          <w:b/>
        </w:rPr>
        <w:t>s</w:t>
      </w:r>
      <w:r>
        <w:t xml:space="preserve"> the core pathways were also run with BEIS’s 2019 high and low fossil fuel price </w:t>
      </w:r>
      <w:r w:rsidR="00854A23">
        <w:t>assumpt</w:t>
      </w:r>
      <w:r>
        <w:t>ions</w:t>
      </w:r>
      <w:r w:rsidR="003E69AA">
        <w:t>.</w:t>
      </w:r>
      <w:r w:rsidR="00C3564A">
        <w:rPr>
          <w:rStyle w:val="FootnoteReference"/>
        </w:rPr>
        <w:footnoteReference w:id="44"/>
      </w:r>
      <w:r>
        <w:t xml:space="preserve"> Lower fossil fuel prices lead to higher overall </w:t>
      </w:r>
      <w:r w:rsidR="00991BDA">
        <w:t xml:space="preserve">energy </w:t>
      </w:r>
      <w:r>
        <w:t xml:space="preserve">demand and moderately higher decarbonisation costs, because the value of fossil fuel use savings are reduced. Conversely, higher fossil fuel prices lead to lower demand and decarbonisation costs because the resource savings from </w:t>
      </w:r>
      <w:r w:rsidR="00BF3555">
        <w:t xml:space="preserve">switching away from </w:t>
      </w:r>
      <w:r w:rsidR="00183C0C">
        <w:t xml:space="preserve">fossil </w:t>
      </w:r>
      <w:r>
        <w:t>fuel</w:t>
      </w:r>
      <w:r w:rsidR="00183C0C">
        <w:t>s</w:t>
      </w:r>
      <w:r>
        <w:t xml:space="preserve"> are higher. The impact on </w:t>
      </w:r>
      <w:r w:rsidR="009129F7">
        <w:t xml:space="preserve">the share of emissions across </w:t>
      </w:r>
      <w:r>
        <w:t xml:space="preserve">end-use sectors and </w:t>
      </w:r>
      <w:r w:rsidR="009129F7">
        <w:t xml:space="preserve">the </w:t>
      </w:r>
      <w:r>
        <w:t>technology mix is more variable th</w:t>
      </w:r>
      <w:r w:rsidR="00B166C7">
        <w:t>a</w:t>
      </w:r>
      <w:r>
        <w:t xml:space="preserve">n under central </w:t>
      </w:r>
      <w:r w:rsidR="00076BAB">
        <w:t xml:space="preserve">fossil fuel prices </w:t>
      </w:r>
      <w:r>
        <w:t>for all carbon budget levels</w:t>
      </w:r>
      <w:r w:rsidR="00076BAB">
        <w:t>. This h</w:t>
      </w:r>
      <w:r>
        <w:t>ighlight</w:t>
      </w:r>
      <w:r w:rsidR="00076BAB">
        <w:t>s</w:t>
      </w:r>
      <w:r>
        <w:t xml:space="preserve"> the importance of </w:t>
      </w:r>
      <w:r w:rsidR="00087115">
        <w:t xml:space="preserve">fossil fuel price </w:t>
      </w:r>
      <w:r>
        <w:t>assumptions for the consideration of the cost-effective pathway (e.g</w:t>
      </w:r>
      <w:r w:rsidR="00FC67A7">
        <w:t>.</w:t>
      </w:r>
      <w:r>
        <w:t xml:space="preserve"> transport emissions under low fossil fuel </w:t>
      </w:r>
      <w:r w:rsidR="00F41E3A">
        <w:t xml:space="preserve">prices </w:t>
      </w:r>
      <w:r>
        <w:t xml:space="preserve">are higher due to </w:t>
      </w:r>
      <w:r w:rsidR="00F41E3A">
        <w:t xml:space="preserve">a </w:t>
      </w:r>
      <w:r>
        <w:t xml:space="preserve">reduction in </w:t>
      </w:r>
      <w:r w:rsidR="00F41E3A">
        <w:t xml:space="preserve">the </w:t>
      </w:r>
      <w:r>
        <w:t xml:space="preserve">cost-effectiveness of fuel switching and higher underlying </w:t>
      </w:r>
      <w:r w:rsidR="00F41E3A">
        <w:t xml:space="preserve">transport </w:t>
      </w:r>
      <w:r>
        <w:t xml:space="preserve">demand).  </w:t>
      </w:r>
    </w:p>
    <w:p w14:paraId="6B4F1A3A" w14:textId="34F9FF2A" w:rsidR="00CF772C" w:rsidRPr="00EB2EC7" w:rsidRDefault="00CF772C" w:rsidP="009229B3">
      <w:pPr>
        <w:pStyle w:val="Numberedparagraphs"/>
      </w:pPr>
      <w:r>
        <w:t xml:space="preserve">The costs and benefits of these modelled scenarios are assessed further in </w:t>
      </w:r>
      <w:r w:rsidR="00F34C28">
        <w:t>s</w:t>
      </w:r>
      <w:r>
        <w:t xml:space="preserve">ection </w:t>
      </w:r>
      <w:r w:rsidR="00476B69">
        <w:t>2.5</w:t>
      </w:r>
      <w:r w:rsidR="00494DC2">
        <w:t xml:space="preserve">. </w:t>
      </w:r>
    </w:p>
    <w:p w14:paraId="371FA671" w14:textId="75BEB18A" w:rsidR="00317F59" w:rsidRPr="00BE0869" w:rsidRDefault="00317F59" w:rsidP="007B4DAD">
      <w:pPr>
        <w:pStyle w:val="Heading4"/>
      </w:pPr>
      <w:r w:rsidRPr="00BE0869">
        <w:t xml:space="preserve">Summary: </w:t>
      </w:r>
      <w:r w:rsidRPr="00C65769">
        <w:t>Technical</w:t>
      </w:r>
      <w:r w:rsidRPr="00BE0869">
        <w:t xml:space="preserve"> </w:t>
      </w:r>
      <w:r w:rsidR="00340DE7" w:rsidRPr="00BE0869">
        <w:t>Feasibility</w:t>
      </w:r>
    </w:p>
    <w:p w14:paraId="5D4A5DD1" w14:textId="0FE6617F" w:rsidR="000A4708" w:rsidRPr="000A4708" w:rsidRDefault="000A4708" w:rsidP="009229B3">
      <w:pPr>
        <w:pStyle w:val="Numberedparagraphs"/>
      </w:pPr>
      <w:r>
        <w:t xml:space="preserve">In summary, </w:t>
      </w:r>
      <w:r w:rsidRPr="000A4708">
        <w:t>the UKTM pathways evidence suggests that all the sixth carbon budget options are technically feasible</w:t>
      </w:r>
      <w:r w:rsidR="00FC67A7" w:rsidRPr="000A4708">
        <w:t>,</w:t>
      </w:r>
      <w:r w:rsidRPr="000A4708">
        <w:t xml:space="preserve"> and </w:t>
      </w:r>
      <w:r w:rsidR="00F67746">
        <w:t>Options 2-4</w:t>
      </w:r>
      <w:r>
        <w:t xml:space="preserve"> </w:t>
      </w:r>
      <w:r w:rsidRPr="000A4708">
        <w:t>are consistent with a range of l</w:t>
      </w:r>
      <w:r w:rsidR="006A4F4F">
        <w:t>east</w:t>
      </w:r>
      <w:r w:rsidRPr="000A4708">
        <w:t xml:space="preserve">-cost </w:t>
      </w:r>
      <w:r w:rsidR="006A4F4F">
        <w:t xml:space="preserve">outcomes in </w:t>
      </w:r>
      <w:r w:rsidRPr="000A4708">
        <w:t>20</w:t>
      </w:r>
      <w:r w:rsidR="00FB79F6">
        <w:t xml:space="preserve">50. All options </w:t>
      </w:r>
      <w:r w:rsidR="005135A1">
        <w:t>apart from</w:t>
      </w:r>
      <w:r w:rsidR="00FB79F6">
        <w:t xml:space="preserve"> the do-nothing option (Option 1) meet the </w:t>
      </w:r>
      <w:r w:rsidR="003E69AA">
        <w:t>n</w:t>
      </w:r>
      <w:r w:rsidR="00FB79F6">
        <w:t xml:space="preserve">et </w:t>
      </w:r>
      <w:r w:rsidR="003E69AA">
        <w:t>z</w:t>
      </w:r>
      <w:r w:rsidR="00FB79F6">
        <w:t xml:space="preserve">ero target. </w:t>
      </w:r>
      <w:r w:rsidR="000F5651">
        <w:t>A</w:t>
      </w:r>
      <w:r w:rsidR="005E67FA">
        <w:t>nalysis suggests that</w:t>
      </w:r>
      <w:r w:rsidR="0088026E">
        <w:t xml:space="preserve"> tighter budget levels are more stretching across all sectors and that Option 4 (the tightest option) could lead to non-economical outcomes. </w:t>
      </w:r>
    </w:p>
    <w:p w14:paraId="2EA5894F" w14:textId="3B5E0DF9" w:rsidR="00130574" w:rsidRPr="003F3BF9" w:rsidRDefault="009951B2" w:rsidP="00E32DCC">
      <w:pPr>
        <w:pStyle w:val="Heading3"/>
        <w:spacing w:before="240" w:after="200"/>
        <w:rPr>
          <w:sz w:val="28"/>
          <w:szCs w:val="28"/>
        </w:rPr>
      </w:pPr>
      <w:bookmarkStart w:id="52" w:name="_Toc67051846"/>
      <w:r w:rsidRPr="003F3BF9">
        <w:rPr>
          <w:sz w:val="28"/>
          <w:szCs w:val="28"/>
        </w:rPr>
        <w:t>2.</w:t>
      </w:r>
      <w:r w:rsidR="007E6F08" w:rsidRPr="003F3BF9">
        <w:rPr>
          <w:sz w:val="28"/>
          <w:szCs w:val="28"/>
        </w:rPr>
        <w:t xml:space="preserve">3 </w:t>
      </w:r>
      <w:r w:rsidR="005B5548" w:rsidRPr="003F3BF9">
        <w:rPr>
          <w:sz w:val="28"/>
          <w:szCs w:val="28"/>
        </w:rPr>
        <w:t>Delivery Implications</w:t>
      </w:r>
      <w:bookmarkEnd w:id="52"/>
      <w:r w:rsidR="00ED4B52" w:rsidRPr="003F3BF9">
        <w:rPr>
          <w:sz w:val="28"/>
          <w:szCs w:val="28"/>
        </w:rPr>
        <w:t xml:space="preserve"> </w:t>
      </w:r>
    </w:p>
    <w:p w14:paraId="6AF668BA" w14:textId="1BCBCA11" w:rsidR="002836DD" w:rsidRDefault="002836DD" w:rsidP="009229B3">
      <w:pPr>
        <w:pStyle w:val="Numberedparagraphs"/>
      </w:pPr>
      <w:r>
        <w:t xml:space="preserve">The </w:t>
      </w:r>
      <w:r w:rsidDel="004B6A4E">
        <w:t>UK</w:t>
      </w:r>
      <w:r w:rsidR="00744A81">
        <w:t>TM</w:t>
      </w:r>
      <w:r>
        <w:t xml:space="preserve"> model addresses </w:t>
      </w:r>
      <w:r w:rsidR="000664F2">
        <w:t>the</w:t>
      </w:r>
      <w:r>
        <w:t xml:space="preserve"> technical feasibility of reaching the</w:t>
      </w:r>
      <w:r w:rsidR="004B6A4E">
        <w:t xml:space="preserve"> </w:t>
      </w:r>
      <w:r w:rsidR="00594D86">
        <w:t>sixth carbon budget</w:t>
      </w:r>
      <w:r>
        <w:t xml:space="preserve"> levels but does not </w:t>
      </w:r>
      <w:r w:rsidR="00A4163B">
        <w:t>consider</w:t>
      </w:r>
      <w:r w:rsidDel="00A4163B">
        <w:t xml:space="preserve"> </w:t>
      </w:r>
      <w:r>
        <w:t xml:space="preserve">non-technical barriers to policy delivery. This </w:t>
      </w:r>
      <w:r w:rsidR="0008077E">
        <w:t>Impact Assessment</w:t>
      </w:r>
      <w:r>
        <w:t xml:space="preserve"> is policy agnostic and therefore does not analyse barriers </w:t>
      </w:r>
      <w:r w:rsidR="00107E50">
        <w:t>to</w:t>
      </w:r>
      <w:r>
        <w:t xml:space="preserve"> specific policies that </w:t>
      </w:r>
      <w:r w:rsidR="00107E50">
        <w:t>may</w:t>
      </w:r>
      <w:r>
        <w:t xml:space="preserve"> be required to deliver the carbon budgets. Instead, this section presents a qualitative and illustrative discussion of some of the expected barriers in each sector. </w:t>
      </w:r>
    </w:p>
    <w:p w14:paraId="2A446BAF" w14:textId="39BB49B9" w:rsidR="000C1542" w:rsidRDefault="000C1542" w:rsidP="009229B3">
      <w:pPr>
        <w:pStyle w:val="Numberedparagraphs"/>
      </w:pPr>
      <w:r>
        <w:t xml:space="preserve">This section mainly considers the delivery implications of </w:t>
      </w:r>
      <w:r w:rsidR="00594D86" w:rsidDel="005D5EFB">
        <w:t xml:space="preserve">the </w:t>
      </w:r>
      <w:r w:rsidR="00594D86">
        <w:t>sixth carbon budget</w:t>
      </w:r>
      <w:r>
        <w:t xml:space="preserve">, but it is also the case that the level of the sixth carbon budget will influence the deliverability of the 2050 </w:t>
      </w:r>
      <w:r w:rsidR="00107E50">
        <w:t>n</w:t>
      </w:r>
      <w:r>
        <w:t xml:space="preserve">et </w:t>
      </w:r>
      <w:r w:rsidR="00107E50">
        <w:t>z</w:t>
      </w:r>
      <w:r>
        <w:t xml:space="preserve">ero target. Whilst all the modelled budget options </w:t>
      </w:r>
      <w:r w:rsidR="00DA5B57">
        <w:t>apart from</w:t>
      </w:r>
      <w:r>
        <w:t xml:space="preserve"> the do-</w:t>
      </w:r>
      <w:r w:rsidR="005F7E84">
        <w:lastRenderedPageBreak/>
        <w:t xml:space="preserve">nothing </w:t>
      </w:r>
      <w:r>
        <w:t xml:space="preserve">option meet </w:t>
      </w:r>
      <w:r w:rsidR="00107E50">
        <w:t>n</w:t>
      </w:r>
      <w:r>
        <w:t xml:space="preserve">et </w:t>
      </w:r>
      <w:r w:rsidR="00107E50">
        <w:t>z</w:t>
      </w:r>
      <w:r>
        <w:t xml:space="preserve">ero, </w:t>
      </w:r>
      <w:r w:rsidR="006B6C8F">
        <w:t xml:space="preserve">successful delivery of </w:t>
      </w:r>
      <w:r>
        <w:t xml:space="preserve">a </w:t>
      </w:r>
      <w:r w:rsidR="00E04272">
        <w:t>tigh</w:t>
      </w:r>
      <w:r>
        <w:t xml:space="preserve">ter sixth carbon budget level </w:t>
      </w:r>
      <w:r w:rsidR="006B6C8F">
        <w:t>w</w:t>
      </w:r>
      <w:r w:rsidR="0013643C">
        <w:t xml:space="preserve">ould help </w:t>
      </w:r>
      <w:r>
        <w:t xml:space="preserve">de-risk the </w:t>
      </w:r>
      <w:r w:rsidR="00107E50">
        <w:t>n</w:t>
      </w:r>
      <w:r>
        <w:t xml:space="preserve">et </w:t>
      </w:r>
      <w:r w:rsidR="00107E50">
        <w:t>z</w:t>
      </w:r>
      <w:r>
        <w:t xml:space="preserve">ero target compared to a looser option. </w:t>
      </w:r>
    </w:p>
    <w:p w14:paraId="59002FC7" w14:textId="515D77AF" w:rsidR="00DB3915" w:rsidRDefault="00DB3915" w:rsidP="009229B3">
      <w:pPr>
        <w:pStyle w:val="Numberedparagraphs"/>
      </w:pPr>
      <w:r>
        <w:t>Since the policies required to meet the sixth carbon budget levels are</w:t>
      </w:r>
      <w:r w:rsidR="009906DC">
        <w:t xml:space="preserve"> as yet</w:t>
      </w:r>
      <w:r>
        <w:t xml:space="preserve"> undecided, it is not possible to analyse the difference in the level of barriers of the sixth carbon budget level</w:t>
      </w:r>
      <w:r w:rsidR="00DA4A50">
        <w:t>s</w:t>
      </w:r>
      <w:r>
        <w:t xml:space="preserve"> considered in this Impact Assessment. However, it is expected that the marginal policies used to meet </w:t>
      </w:r>
      <w:r w:rsidR="003E7AFC">
        <w:t>tighter</w:t>
      </w:r>
      <w:r w:rsidR="00011497">
        <w:t xml:space="preserve"> </w:t>
      </w:r>
      <w:r>
        <w:t xml:space="preserve">sixth carbon budget levels will be more challenging. </w:t>
      </w:r>
    </w:p>
    <w:p w14:paraId="0A1C9498" w14:textId="445B55D2" w:rsidR="002836DD" w:rsidRDefault="002836DD" w:rsidP="009229B3">
      <w:pPr>
        <w:pStyle w:val="Numberedparagraphs"/>
      </w:pPr>
      <w:r>
        <w:t xml:space="preserve">Across </w:t>
      </w:r>
      <w:r w:rsidR="00DA4A50">
        <w:t>the</w:t>
      </w:r>
      <w:r>
        <w:t xml:space="preserve"> considered </w:t>
      </w:r>
      <w:r w:rsidR="00594D86">
        <w:t>sixth carbon</w:t>
      </w:r>
      <w:r>
        <w:t xml:space="preserve"> </w:t>
      </w:r>
      <w:r w:rsidDel="004B6A4E">
        <w:t xml:space="preserve">budget </w:t>
      </w:r>
      <w:r>
        <w:t>level</w:t>
      </w:r>
      <w:r w:rsidR="005D5EFB">
        <w:t>s</w:t>
      </w:r>
      <w:r w:rsidR="00DA4A50">
        <w:t>,</w:t>
      </w:r>
      <w:r w:rsidR="000C1542">
        <w:t xml:space="preserve"> </w:t>
      </w:r>
      <w:r w:rsidR="00DA4A50">
        <w:t>except</w:t>
      </w:r>
      <w:r w:rsidR="000C1542">
        <w:t xml:space="preserve"> the do-</w:t>
      </w:r>
      <w:r w:rsidR="005F7E84">
        <w:t xml:space="preserve">nothing </w:t>
      </w:r>
      <w:r w:rsidR="000C1542">
        <w:t>option</w:t>
      </w:r>
      <w:r>
        <w:t xml:space="preserve">, all sectors will </w:t>
      </w:r>
      <w:r w:rsidR="00955CCA">
        <w:t>need</w:t>
      </w:r>
      <w:r>
        <w:t xml:space="preserve"> to pursue policies that have some barriers to delivery. Consumers and producers will have to change the</w:t>
      </w:r>
      <w:r w:rsidR="00955CCA">
        <w:t xml:space="preserve"> technologies they interact with and use</w:t>
      </w:r>
      <w:r>
        <w:t xml:space="preserve">, and in many cases </w:t>
      </w:r>
      <w:r w:rsidR="00955CCA">
        <w:t xml:space="preserve">the up-front costs of </w:t>
      </w:r>
      <w:r>
        <w:t>low carbon technologies</w:t>
      </w:r>
      <w:r w:rsidR="00CC53AF">
        <w:t>, such as heat pumps</w:t>
      </w:r>
      <w:r w:rsidR="00A03425">
        <w:t>,</w:t>
      </w:r>
      <w:r>
        <w:t xml:space="preserve"> are </w:t>
      </w:r>
      <w:r w:rsidR="00CC53AF">
        <w:t>currently higher</w:t>
      </w:r>
      <w:r>
        <w:t xml:space="preserve"> than </w:t>
      </w:r>
      <w:r w:rsidR="00CC53AF">
        <w:t xml:space="preserve">the technologies </w:t>
      </w:r>
      <w:r>
        <w:t xml:space="preserve">they replace. Supply chains for </w:t>
      </w:r>
      <w:r w:rsidR="00955CCA">
        <w:t>low carbon</w:t>
      </w:r>
      <w:r>
        <w:t xml:space="preserve"> technologies will need to be significantly scaled up and, in some cases, </w:t>
      </w:r>
      <w:r w:rsidR="005D5EFB">
        <w:t xml:space="preserve">key </w:t>
      </w:r>
      <w:r>
        <w:t xml:space="preserve">technologies </w:t>
      </w:r>
      <w:r w:rsidR="00955CCA">
        <w:t xml:space="preserve">will need to be demonstrated ahead of </w:t>
      </w:r>
      <w:r w:rsidR="00A03425">
        <w:t xml:space="preserve">their </w:t>
      </w:r>
      <w:r w:rsidR="00955CCA">
        <w:t>wider-scale deployment</w:t>
      </w:r>
      <w:r>
        <w:t xml:space="preserve">. In almost all cases, widespread </w:t>
      </w:r>
      <w:r w:rsidR="007C6560">
        <w:t>government</w:t>
      </w:r>
      <w:r>
        <w:t xml:space="preserve"> intervention will be needed to overcome these barriers. </w:t>
      </w:r>
    </w:p>
    <w:p w14:paraId="32847132" w14:textId="6619E6A8" w:rsidR="002836DD" w:rsidRDefault="002836DD" w:rsidP="009229B3">
      <w:pPr>
        <w:pStyle w:val="Numberedparagraphs"/>
      </w:pPr>
      <w:r>
        <w:t xml:space="preserve">The barriers </w:t>
      </w:r>
      <w:r w:rsidR="00955CCA">
        <w:t xml:space="preserve">considered here </w:t>
      </w:r>
      <w:r>
        <w:t>are:</w:t>
      </w:r>
    </w:p>
    <w:p w14:paraId="2C114764" w14:textId="77777777" w:rsidR="00506E77" w:rsidRDefault="002836DD" w:rsidP="009229B3">
      <w:pPr>
        <w:pStyle w:val="Numberedparagraphs"/>
        <w:numPr>
          <w:ilvl w:val="0"/>
          <w:numId w:val="808"/>
        </w:numPr>
      </w:pPr>
      <w:r w:rsidRPr="0071483C">
        <w:rPr>
          <w:b/>
        </w:rPr>
        <w:t>Technical barriers</w:t>
      </w:r>
      <w:r w:rsidR="005D5EFB">
        <w:t>,</w:t>
      </w:r>
      <w:r w:rsidRPr="006D5EE3">
        <w:t xml:space="preserve"> includ</w:t>
      </w:r>
      <w:r w:rsidR="005D5EFB">
        <w:t xml:space="preserve">ing </w:t>
      </w:r>
      <w:r w:rsidRPr="006D5EE3">
        <w:t>scaling</w:t>
      </w:r>
      <w:r w:rsidR="00955CCA">
        <w:t xml:space="preserve">-up </w:t>
      </w:r>
      <w:r w:rsidRPr="006D5EE3">
        <w:t>existing technologies and maturing and developing new technologies.</w:t>
      </w:r>
      <w:r w:rsidR="00506E77">
        <w:t xml:space="preserve"> </w:t>
      </w:r>
    </w:p>
    <w:p w14:paraId="479177BE" w14:textId="77777777" w:rsidR="002836DD" w:rsidRPr="00FB696E" w:rsidRDefault="002836DD" w:rsidP="009229B3">
      <w:pPr>
        <w:pStyle w:val="Numberedparagraphs"/>
        <w:numPr>
          <w:ilvl w:val="0"/>
          <w:numId w:val="808"/>
        </w:numPr>
      </w:pPr>
      <w:r w:rsidRPr="00B91D00">
        <w:rPr>
          <w:b/>
        </w:rPr>
        <w:t>Market barriers</w:t>
      </w:r>
      <w:r w:rsidR="005D5EFB">
        <w:t>, including</w:t>
      </w:r>
      <w:r w:rsidR="005D5EFB" w:rsidRPr="006D5EE3">
        <w:t xml:space="preserve"> </w:t>
      </w:r>
      <w:r w:rsidRPr="006D5EE3">
        <w:t xml:space="preserve">the development of fit-for-purpose infrastructures and supply-chains. </w:t>
      </w:r>
    </w:p>
    <w:p w14:paraId="664C6A31" w14:textId="1C92D210" w:rsidR="002836DD" w:rsidRPr="00FB696E" w:rsidRDefault="002836DD" w:rsidP="009229B3">
      <w:pPr>
        <w:pStyle w:val="Numberedparagraphs"/>
        <w:numPr>
          <w:ilvl w:val="0"/>
          <w:numId w:val="808"/>
        </w:numPr>
      </w:pPr>
      <w:r w:rsidRPr="0071483C">
        <w:rPr>
          <w:b/>
        </w:rPr>
        <w:t>Behavioural barriers</w:t>
      </w:r>
      <w:r w:rsidR="005D5EFB">
        <w:t>,</w:t>
      </w:r>
      <w:r w:rsidRPr="006D5EE3">
        <w:t xml:space="preserve"> </w:t>
      </w:r>
      <w:r w:rsidR="005D5EFB">
        <w:t>including</w:t>
      </w:r>
      <w:r w:rsidR="005D5EFB" w:rsidRPr="006D5EE3">
        <w:t xml:space="preserve"> </w:t>
      </w:r>
      <w:r w:rsidRPr="006D5EE3">
        <w:t xml:space="preserve">the necessary </w:t>
      </w:r>
      <w:r w:rsidR="00060511">
        <w:t xml:space="preserve">adoption of sustainable behaviours by </w:t>
      </w:r>
      <w:r w:rsidRPr="006D5EE3">
        <w:t>consumers and businesses</w:t>
      </w:r>
      <w:r w:rsidR="00BB3A02">
        <w:t>, including shifts towards</w:t>
      </w:r>
      <w:r w:rsidR="00955CCA">
        <w:t xml:space="preserve"> purchasing and using new technologies</w:t>
      </w:r>
      <w:r w:rsidRPr="006D5EE3">
        <w:t xml:space="preserve">. </w:t>
      </w:r>
    </w:p>
    <w:p w14:paraId="167465F3" w14:textId="32A09C39" w:rsidR="002836DD" w:rsidRPr="006D5EE3" w:rsidRDefault="00955CCA" w:rsidP="009229B3">
      <w:pPr>
        <w:pStyle w:val="Numberedparagraphs"/>
        <w:numPr>
          <w:ilvl w:val="0"/>
          <w:numId w:val="808"/>
        </w:numPr>
      </w:pPr>
      <w:r w:rsidRPr="00B91D00">
        <w:rPr>
          <w:b/>
        </w:rPr>
        <w:t>Socio-p</w:t>
      </w:r>
      <w:r w:rsidR="002836DD" w:rsidRPr="00B91D00">
        <w:rPr>
          <w:b/>
        </w:rPr>
        <w:t>olitical barriers</w:t>
      </w:r>
      <w:r w:rsidR="005D5EFB">
        <w:t>,</w:t>
      </w:r>
      <w:r w:rsidR="002836DD" w:rsidRPr="006D5EE3">
        <w:t xml:space="preserve"> </w:t>
      </w:r>
      <w:r w:rsidR="005D5EFB">
        <w:t>including</w:t>
      </w:r>
      <w:r w:rsidR="005D5EFB" w:rsidRPr="006D5EE3">
        <w:t xml:space="preserve"> </w:t>
      </w:r>
      <w:r w:rsidR="00597F0B">
        <w:t xml:space="preserve">impacts on local communities </w:t>
      </w:r>
      <w:r w:rsidR="005D5EFB">
        <w:t>and legislative requirements</w:t>
      </w:r>
      <w:r w:rsidR="002836DD" w:rsidRPr="006D5EE3">
        <w:t>.</w:t>
      </w:r>
    </w:p>
    <w:p w14:paraId="0A77DE7E" w14:textId="09C55D8D" w:rsidR="002836DD" w:rsidRDefault="002836DD" w:rsidP="009229B3">
      <w:pPr>
        <w:pStyle w:val="Numberedparagraphs"/>
      </w:pPr>
      <w:r>
        <w:t xml:space="preserve">In the </w:t>
      </w:r>
      <w:r>
        <w:rPr>
          <w:b/>
        </w:rPr>
        <w:t xml:space="preserve">agricultural sector, </w:t>
      </w:r>
      <w:r>
        <w:t>there are significant behavioural barriers</w:t>
      </w:r>
      <w:r w:rsidR="00597F0B">
        <w:t>. Most technical abatement options (</w:t>
      </w:r>
      <w:r w:rsidR="0087692B">
        <w:t>s</w:t>
      </w:r>
      <w:r w:rsidR="0087692B" w:rsidRPr="0087692B">
        <w:t xml:space="preserve">uch as </w:t>
      </w:r>
      <w:r w:rsidR="00EB352E">
        <w:t>i</w:t>
      </w:r>
      <w:r w:rsidR="00EB352E" w:rsidRPr="00EB352E">
        <w:t>nstallation of drainage systems</w:t>
      </w:r>
      <w:r w:rsidR="00EB352E">
        <w:t>,</w:t>
      </w:r>
      <w:r w:rsidR="0087692B" w:rsidRPr="0087692B">
        <w:t xml:space="preserve"> integrating grass and herbal leys</w:t>
      </w:r>
      <w:r w:rsidR="00EB352E">
        <w:t>, slurry covers</w:t>
      </w:r>
      <w:r w:rsidR="00597F0B">
        <w:t>) involve significant upfront costs</w:t>
      </w:r>
      <w:r w:rsidR="00060468">
        <w:t>,</w:t>
      </w:r>
      <w:r w:rsidDel="00597F0B">
        <w:t xml:space="preserve"> </w:t>
      </w:r>
      <w:r w:rsidR="00597F0B">
        <w:t xml:space="preserve">while </w:t>
      </w:r>
      <w:r w:rsidR="00D727BA">
        <w:t>installing</w:t>
      </w:r>
      <w:r w:rsidR="00597F0B">
        <w:t xml:space="preserve"> and using the technologies is potentially </w:t>
      </w:r>
      <w:r>
        <w:t>disrupti</w:t>
      </w:r>
      <w:r w:rsidR="00597F0B">
        <w:t>ve</w:t>
      </w:r>
      <w:r>
        <w:t xml:space="preserve"> </w:t>
      </w:r>
      <w:r w:rsidR="00597F0B">
        <w:t>for</w:t>
      </w:r>
      <w:r>
        <w:t xml:space="preserve"> farmers</w:t>
      </w:r>
      <w:r w:rsidR="00597F0B">
        <w:t>.</w:t>
      </w:r>
      <w:r>
        <w:t xml:space="preserve"> </w:t>
      </w:r>
      <w:r w:rsidR="00597F0B">
        <w:t>However, t</w:t>
      </w:r>
      <w:r>
        <w:t xml:space="preserve">he main technologies do not require </w:t>
      </w:r>
      <w:r w:rsidR="00597F0B">
        <w:t xml:space="preserve">significant </w:t>
      </w:r>
      <w:r>
        <w:t>development, and supply chain issues are not expected. Where policy options involve land management change, there will be trade</w:t>
      </w:r>
      <w:r w:rsidR="006D5EE3">
        <w:t>-</w:t>
      </w:r>
      <w:r>
        <w:t xml:space="preserve">offs and competition with other </w:t>
      </w:r>
      <w:r w:rsidR="00597F0B">
        <w:t>competing demands</w:t>
      </w:r>
      <w:r w:rsidDel="00597F0B">
        <w:t xml:space="preserve"> </w:t>
      </w:r>
      <w:r>
        <w:t>on land use.</w:t>
      </w:r>
    </w:p>
    <w:p w14:paraId="0D6B3E3A" w14:textId="3D8C6184" w:rsidR="007E4D4D" w:rsidRDefault="002836DD" w:rsidP="009229B3">
      <w:pPr>
        <w:pStyle w:val="Numberedparagraphs"/>
      </w:pPr>
      <w:r>
        <w:t xml:space="preserve">In </w:t>
      </w:r>
      <w:r w:rsidR="00A02E34">
        <w:t xml:space="preserve">the </w:t>
      </w:r>
      <w:r w:rsidR="00A02E34" w:rsidRPr="00D727BA">
        <w:rPr>
          <w:b/>
        </w:rPr>
        <w:t xml:space="preserve">buildings sector </w:t>
      </w:r>
      <w:r w:rsidR="00A02E34">
        <w:t xml:space="preserve">there are significant barriers of all types. Emissions abatement requires a significant proportion of homeowners, tenants, landlords, businesses </w:t>
      </w:r>
      <w:r w:rsidR="00D4785B">
        <w:t xml:space="preserve">and the public sector </w:t>
      </w:r>
      <w:r w:rsidR="00A02E34">
        <w:t xml:space="preserve">to install and use low-carbon heating systems as they replace existing fossil fuel heating systems. Higher building fabric costs, disruption and awareness are all issues. Though most of the technology options are </w:t>
      </w:r>
      <w:r w:rsidR="00692B6C">
        <w:t>known</w:t>
      </w:r>
      <w:r w:rsidR="00A02E34">
        <w:t xml:space="preserve">, supply chains for key technologies, such as heat pumps, will need to be significantly ramped up to meet needs. Workforce constraints </w:t>
      </w:r>
      <w:r w:rsidR="00E33F9C">
        <w:t>will</w:t>
      </w:r>
      <w:r w:rsidR="00A02E34">
        <w:t xml:space="preserve"> be an issue without intervention. A hydrogen scenario for buildings decarbonisation would present </w:t>
      </w:r>
      <w:r w:rsidR="00C35FE3">
        <w:t>different</w:t>
      </w:r>
      <w:r w:rsidR="00C429E2" w:rsidDel="00A02E34">
        <w:t xml:space="preserve"> </w:t>
      </w:r>
      <w:r w:rsidR="00FE76E4">
        <w:t xml:space="preserve">and </w:t>
      </w:r>
      <w:r w:rsidR="00A02E34">
        <w:t>significant barriers; research and development is required to guarantee safety and feasibility, and large scale infrastructure build and new regulation would be needed to create new markets at the necessary scale</w:t>
      </w:r>
      <w:r w:rsidR="0019690B">
        <w:t>.</w:t>
      </w:r>
      <w:r w:rsidR="00D212D3">
        <w:t xml:space="preserve"> </w:t>
      </w:r>
    </w:p>
    <w:p w14:paraId="7E4C3C72" w14:textId="2F84DF28" w:rsidR="002836DD" w:rsidRDefault="0086549A" w:rsidP="009229B3">
      <w:pPr>
        <w:pStyle w:val="Numberedparagraphs"/>
      </w:pPr>
      <w:r w:rsidRPr="0086549A">
        <w:t xml:space="preserve">In the </w:t>
      </w:r>
      <w:r w:rsidRPr="009C63ED">
        <w:rPr>
          <w:b/>
        </w:rPr>
        <w:t>power sector</w:t>
      </w:r>
      <w:r w:rsidRPr="0086549A">
        <w:t xml:space="preserve">, high levels of </w:t>
      </w:r>
      <w:r w:rsidR="007C6560">
        <w:t>government</w:t>
      </w:r>
      <w:r w:rsidRPr="0086549A">
        <w:t xml:space="preserve"> intervention and legislation will be required. The supply chains and skilled workforces to support them will need to be significantly scaled up on existing levels, which will require </w:t>
      </w:r>
      <w:r w:rsidR="007C6560">
        <w:t>government</w:t>
      </w:r>
      <w:r w:rsidRPr="0086549A">
        <w:t xml:space="preserve"> incentives. Most of the required technology is mature, but there are some areas, such as energy storage, hydrogen generation and flexibility technology, that need development and innovation. </w:t>
      </w:r>
      <w:r w:rsidRPr="0086549A">
        <w:lastRenderedPageBreak/>
        <w:t xml:space="preserve">Frontloading electrification and a higher level of ambition in the power sector increases the burden on the power sector. This level of ambition will impact costs; faster progress now </w:t>
      </w:r>
      <w:r w:rsidR="00D93D07">
        <w:t xml:space="preserve">may </w:t>
      </w:r>
      <w:r w:rsidRPr="0086549A">
        <w:t xml:space="preserve">put us onto a pathway to a more expensive electricity system in 2050, due to the mix of technologies that it is possible to deploy quickly. </w:t>
      </w:r>
      <w:r w:rsidR="00D027CB">
        <w:t>The sixth carbon budget</w:t>
      </w:r>
      <w:r w:rsidRPr="0086549A">
        <w:t xml:space="preserve"> will also impact the level of low carbon build</w:t>
      </w:r>
      <w:r w:rsidR="00395031">
        <w:t>,</w:t>
      </w:r>
      <w:r w:rsidRPr="0086549A">
        <w:t xml:space="preserve"> with increase</w:t>
      </w:r>
      <w:r w:rsidR="00395031">
        <w:t>s</w:t>
      </w:r>
      <w:r w:rsidRPr="0086549A">
        <w:t xml:space="preserve"> likely to be required across all key low carbon technologies</w:t>
      </w:r>
      <w:r w:rsidR="00395031">
        <w:t>. This</w:t>
      </w:r>
      <w:r w:rsidRPr="0086549A">
        <w:t xml:space="preserve"> will create a significant delivery risk. The increased ambition required under </w:t>
      </w:r>
      <w:r w:rsidR="00395031">
        <w:t>the sixth carbon budget</w:t>
      </w:r>
      <w:r w:rsidRPr="0086549A">
        <w:t xml:space="preserve"> must also be achieved </w:t>
      </w:r>
      <w:r w:rsidR="00395031">
        <w:t>whilst maintaining</w:t>
      </w:r>
      <w:r w:rsidRPr="0086549A">
        <w:t xml:space="preserve"> high levels of security of supply, given </w:t>
      </w:r>
      <w:r w:rsidR="00395031">
        <w:t xml:space="preserve">that </w:t>
      </w:r>
      <w:r w:rsidRPr="0086549A">
        <w:t xml:space="preserve">electricity is a necessity in a modern industrial economy and key to decarbonising other sectors. Such a high build rate of low carbon technologies could create capacity adequacy and system operability issues that will need to be overcome. </w:t>
      </w:r>
    </w:p>
    <w:p w14:paraId="18F1084D" w14:textId="4B8D436E" w:rsidR="00055683" w:rsidRPr="006A0C4B" w:rsidRDefault="002836DD" w:rsidP="009229B3">
      <w:pPr>
        <w:pStyle w:val="Numberedparagraphs"/>
        <w:rPr>
          <w:rFonts w:ascii="Symbol" w:hAnsi="Symbol"/>
        </w:rPr>
      </w:pPr>
      <w:r w:rsidRPr="009D6DD9">
        <w:t xml:space="preserve">In the </w:t>
      </w:r>
      <w:r w:rsidRPr="00321D08">
        <w:rPr>
          <w:b/>
        </w:rPr>
        <w:t>land use sector</w:t>
      </w:r>
      <w:r w:rsidRPr="006A0C4B">
        <w:t xml:space="preserve">, </w:t>
      </w:r>
      <w:r w:rsidRPr="009D6DD9">
        <w:t xml:space="preserve">there are significant barriers of all types. Afforestation and peatland restoration </w:t>
      </w:r>
      <w:r w:rsidRPr="00321D08">
        <w:t>will require significant behaviour and culture changes by farmers and landowners, for which there is litt</w:t>
      </w:r>
      <w:r w:rsidRPr="00C064E1">
        <w:t xml:space="preserve">le financial incentive without </w:t>
      </w:r>
      <w:r w:rsidR="007C6560">
        <w:t>government</w:t>
      </w:r>
      <w:r w:rsidRPr="00C064E1">
        <w:t xml:space="preserve"> intervention. The need to take peatland out of agricultural production may face public opposition. Most neces</w:t>
      </w:r>
      <w:r w:rsidRPr="00060163">
        <w:t>sary technology is mature, but lowland peat restoration will require innovation. Availability of scarce l</w:t>
      </w:r>
      <w:r w:rsidRPr="00246AAB">
        <w:t>and is a significant barrier to afforestation and peat restoration, given competing land needs. Infrastructure and workforces for peat restoration will need to be scaled up.</w:t>
      </w:r>
      <w:r w:rsidR="00137254">
        <w:t xml:space="preserve"> </w:t>
      </w:r>
      <w:r w:rsidR="003B74E9" w:rsidRPr="00246AAB">
        <w:t>Overall</w:t>
      </w:r>
      <w:r w:rsidR="000C6C27" w:rsidRPr="00246AAB">
        <w:t>,</w:t>
      </w:r>
      <w:r w:rsidRPr="00246AAB">
        <w:t xml:space="preserve"> </w:t>
      </w:r>
      <w:r w:rsidR="00055683" w:rsidRPr="006A0C4B">
        <w:t xml:space="preserve">the delivery risk in the land use sector should not be underestimated given that </w:t>
      </w:r>
      <w:r w:rsidR="003B74E9" w:rsidRPr="009D6DD9">
        <w:t xml:space="preserve">the </w:t>
      </w:r>
      <w:r w:rsidR="003B74E9" w:rsidRPr="006A0C4B">
        <w:t>likely needed</w:t>
      </w:r>
      <w:r w:rsidR="00055683" w:rsidRPr="006A0C4B">
        <w:t xml:space="preserve"> planting rates for afforestation </w:t>
      </w:r>
      <w:r w:rsidR="003B74E9" w:rsidRPr="006A0C4B">
        <w:t xml:space="preserve">and biomass for all sixth carbon budget levels </w:t>
      </w:r>
      <w:r w:rsidR="00055683" w:rsidRPr="006A0C4B">
        <w:t xml:space="preserve">are nearly an order of magnitude </w:t>
      </w:r>
      <w:r w:rsidR="00C04F3B">
        <w:t xml:space="preserve">greater </w:t>
      </w:r>
      <w:r w:rsidR="00055683" w:rsidRPr="006A0C4B">
        <w:t xml:space="preserve">than current rates and, in the main, require incentives/regulations to facilitate planting on private land (i.e. land that </w:t>
      </w:r>
      <w:r w:rsidR="00D10072">
        <w:t>g</w:t>
      </w:r>
      <w:r w:rsidR="007C6560">
        <w:t>overnment</w:t>
      </w:r>
      <w:r w:rsidR="00055683" w:rsidRPr="006A0C4B">
        <w:t xml:space="preserve"> is not in control of). Furthermore, such an acceleration is likely to require significant trade-offs with water availability, landscape and biodiversity. For afforestation, the abatement profile and maximum level is dependent on the nature of the woodland planted and method of establishmen</w:t>
      </w:r>
      <w:r w:rsidR="00055683">
        <w:t>t</w:t>
      </w:r>
      <w:r w:rsidR="00055683" w:rsidRPr="006A0C4B">
        <w:t xml:space="preserve">; as a </w:t>
      </w:r>
      <w:r w:rsidR="00055683" w:rsidRPr="008D6252">
        <w:t>consequence</w:t>
      </w:r>
      <w:r w:rsidR="000C6C27" w:rsidRPr="008D6252">
        <w:t>,</w:t>
      </w:r>
      <w:r w:rsidR="00055683" w:rsidRPr="006A0C4B">
        <w:t xml:space="preserve"> there are likely to be trade-offs between carbon abatement and nature recovery commitments made in the 25 Year Plan for the Environment.  </w:t>
      </w:r>
      <w:r w:rsidR="00055683" w:rsidRPr="003B74E9">
        <w:t xml:space="preserve">    </w:t>
      </w:r>
    </w:p>
    <w:p w14:paraId="20E46CE8" w14:textId="54B3E908" w:rsidR="002836DD" w:rsidRDefault="002836DD" w:rsidP="009229B3">
      <w:pPr>
        <w:pStyle w:val="Numberedparagraphs"/>
      </w:pPr>
      <w:r>
        <w:t xml:space="preserve">In the </w:t>
      </w:r>
      <w:r w:rsidRPr="004D304A">
        <w:rPr>
          <w:b/>
        </w:rPr>
        <w:t>waste sector</w:t>
      </w:r>
      <w:r>
        <w:t xml:space="preserve">, there are some barriers, particularly relating to </w:t>
      </w:r>
      <w:r w:rsidR="00A35026">
        <w:t xml:space="preserve">changes in </w:t>
      </w:r>
      <w:r>
        <w:t>behaviour</w:t>
      </w:r>
      <w:r w:rsidR="00A35026">
        <w:t>.</w:t>
      </w:r>
      <w:r>
        <w:t xml:space="preserve"> Engagement and </w:t>
      </w:r>
      <w:r w:rsidR="00A35026">
        <w:t>adoption of new behaviours</w:t>
      </w:r>
      <w:r>
        <w:t xml:space="preserve"> will be required from producers, local authorities and consumers as packaging is improved and reduced</w:t>
      </w:r>
      <w:r w:rsidR="004328D7">
        <w:t xml:space="preserve"> and </w:t>
      </w:r>
      <w:r w:rsidR="00020CAC">
        <w:t xml:space="preserve">waste collection is </w:t>
      </w:r>
      <w:r w:rsidR="0069687D">
        <w:t xml:space="preserve">improved by </w:t>
      </w:r>
      <w:r w:rsidR="0069687D" w:rsidRPr="0069687D">
        <w:t>ensuring a consistent set of dry recyclable materials is collected from all households and businesses</w:t>
      </w:r>
      <w:r w:rsidR="00A84D51">
        <w:t xml:space="preserve"> and offering weekly food</w:t>
      </w:r>
      <w:r w:rsidR="00442343">
        <w:t xml:space="preserve"> waste collections</w:t>
      </w:r>
      <w:r>
        <w:t xml:space="preserve">. Additional market capacity may be needed, and some </w:t>
      </w:r>
      <w:r w:rsidR="007C6560">
        <w:t>government</w:t>
      </w:r>
      <w:r>
        <w:t xml:space="preserve"> intervention is likely required. </w:t>
      </w:r>
    </w:p>
    <w:p w14:paraId="7632BBC5" w14:textId="36C47963" w:rsidR="002836DD" w:rsidRDefault="002836DD" w:rsidP="009229B3">
      <w:pPr>
        <w:pStyle w:val="Numberedparagraphs"/>
      </w:pPr>
      <w:r>
        <w:t xml:space="preserve">In the </w:t>
      </w:r>
      <w:r>
        <w:rPr>
          <w:b/>
        </w:rPr>
        <w:t>transport sector</w:t>
      </w:r>
      <w:r>
        <w:t xml:space="preserve">, there are major barriers of all types. </w:t>
      </w:r>
      <w:r w:rsidR="008B4B56" w:rsidRPr="008B4B56">
        <w:t xml:space="preserve">Encouraging take up of electric vehicles is a major challenge, with particular difficulties around current higher vehicle costs, and charging practice and times. Most car and van technologies are mature, whilst </w:t>
      </w:r>
      <w:r w:rsidR="00D63947">
        <w:t xml:space="preserve">many </w:t>
      </w:r>
      <w:r w:rsidR="008B4B56" w:rsidRPr="008B4B56">
        <w:t>alternative technologies for HGVs, hydrogen trains, advanced biofuels, sustainable aviation fuels and low-carbon shipping are in development</w:t>
      </w:r>
      <w:r w:rsidR="00D63947">
        <w:t xml:space="preserve"> or need to be demonstrated before they can be deployed at scale</w:t>
      </w:r>
      <w:r w:rsidR="008B4B56" w:rsidRPr="008B4B56">
        <w:t xml:space="preserve">. </w:t>
      </w:r>
      <w:r w:rsidR="00D63947">
        <w:t>Significant c</w:t>
      </w:r>
      <w:r w:rsidR="008B4B56" w:rsidRPr="008B4B56">
        <w:t xml:space="preserve">ost reductions </w:t>
      </w:r>
      <w:r w:rsidR="007E6FBC" w:rsidRPr="007E6FBC">
        <w:t xml:space="preserve">and / or </w:t>
      </w:r>
      <w:r w:rsidR="007C6560">
        <w:t>government</w:t>
      </w:r>
      <w:r w:rsidR="007E6FBC" w:rsidRPr="007E6FBC">
        <w:t xml:space="preserve"> intervention</w:t>
      </w:r>
      <w:r w:rsidR="008B4B56" w:rsidRPr="008B4B56">
        <w:t xml:space="preserve"> will be required to enable widespread deployment of these technologies</w:t>
      </w:r>
      <w:r w:rsidR="004F5A43">
        <w:t xml:space="preserve">, </w:t>
      </w:r>
      <w:r w:rsidR="008B6C0C">
        <w:t>and</w:t>
      </w:r>
      <w:r w:rsidR="008B4B56" w:rsidRPr="008B4B56">
        <w:t xml:space="preserve"> </w:t>
      </w:r>
      <w:r w:rsidR="007E6FBC">
        <w:t>achieve any necessary</w:t>
      </w:r>
      <w:r w:rsidR="008B4B56" w:rsidRPr="008B4B56">
        <w:t xml:space="preserve"> </w:t>
      </w:r>
      <w:r w:rsidR="008B6C0C">
        <w:t>behaviour</w:t>
      </w:r>
      <w:r w:rsidR="008B4B56" w:rsidRPr="008B4B56">
        <w:t xml:space="preserve"> change by businesses and consumers. Production will need to scale up very significantly, especially for charging infrastructure, </w:t>
      </w:r>
      <w:r w:rsidR="008B6C0C">
        <w:t>alternative fuel</w:t>
      </w:r>
      <w:r w:rsidR="008B4B56" w:rsidRPr="008B4B56">
        <w:t xml:space="preserve"> infrastructure and batteries, with the latter depending on scarce resources. For biofuel solutions, competition for land use and biomass feedstocks could be challenging. </w:t>
      </w:r>
      <w:r w:rsidR="00C505CE">
        <w:t>R</w:t>
      </w:r>
      <w:r w:rsidR="008B4B56" w:rsidRPr="008B4B56">
        <w:t xml:space="preserve">egulatory measures </w:t>
      </w:r>
      <w:r w:rsidR="00C505CE">
        <w:t xml:space="preserve">are expected </w:t>
      </w:r>
      <w:r w:rsidR="008B4B56" w:rsidRPr="008B4B56">
        <w:t>to be needed.</w:t>
      </w:r>
    </w:p>
    <w:p w14:paraId="135A7D50" w14:textId="76029D47" w:rsidR="002836DD" w:rsidRDefault="002836DD" w:rsidP="009229B3">
      <w:pPr>
        <w:pStyle w:val="Numberedparagraphs"/>
      </w:pPr>
      <w:r>
        <w:t xml:space="preserve">In the </w:t>
      </w:r>
      <w:r>
        <w:rPr>
          <w:b/>
        </w:rPr>
        <w:t>industry sector</w:t>
      </w:r>
      <w:r>
        <w:t xml:space="preserve">, there are significant barriers, particularly because many technologies are not yet commercially viable, have high up-front costs or have yet to be demonstrated at scale. </w:t>
      </w:r>
      <w:r w:rsidR="00106B20">
        <w:t>C</w:t>
      </w:r>
      <w:r w:rsidR="00C07BD7">
        <w:t>onsumers and producers will need to shift towards lower carbon inten</w:t>
      </w:r>
      <w:r w:rsidR="00FE76E4">
        <w:t>sity</w:t>
      </w:r>
      <w:r w:rsidR="00664D29">
        <w:t>,</w:t>
      </w:r>
      <w:r w:rsidR="00B42441">
        <w:t xml:space="preserve"> for which carbon </w:t>
      </w:r>
      <w:r>
        <w:t xml:space="preserve">pricing or other financial incentives will be needed. </w:t>
      </w:r>
      <w:r w:rsidR="00340677">
        <w:t>Mar</w:t>
      </w:r>
      <w:r w:rsidR="00870FA7">
        <w:t xml:space="preserve">kets </w:t>
      </w:r>
      <w:r w:rsidR="00870FA7">
        <w:lastRenderedPageBreak/>
        <w:t>need to be scaled up and w</w:t>
      </w:r>
      <w:r>
        <w:t xml:space="preserve">orkforce upskilling </w:t>
      </w:r>
      <w:r w:rsidR="00870FA7">
        <w:t>or</w:t>
      </w:r>
      <w:r>
        <w:t xml:space="preserve"> retraining </w:t>
      </w:r>
      <w:r w:rsidR="00870FA7">
        <w:t xml:space="preserve">may be </w:t>
      </w:r>
      <w:r>
        <w:t>required. Where fuel switching to hydrogen is expected, significant infrastructure and supply chain development will be necessary for widespread take-up.</w:t>
      </w:r>
    </w:p>
    <w:p w14:paraId="11862C93" w14:textId="226F26CF" w:rsidR="002836DD" w:rsidRDefault="002836DD" w:rsidP="009229B3">
      <w:pPr>
        <w:pStyle w:val="Numberedparagraphs"/>
      </w:pPr>
      <w:r>
        <w:rPr>
          <w:b/>
        </w:rPr>
        <w:t>Carbon capture</w:t>
      </w:r>
      <w:r>
        <w:t xml:space="preserve"> faces a variety of barriers, most notably the innovation </w:t>
      </w:r>
      <w:r w:rsidR="002E7D6A">
        <w:t>and deployment support</w:t>
      </w:r>
      <w:r>
        <w:t xml:space="preserve"> needed to bring carbon capture technology to maturity, particularly DACCS. Land use trade-offs and limited biomass availability may be a barrier to scale up of BECCS and, for land use, DACCS. CO</w:t>
      </w:r>
      <w:r w:rsidRPr="006A0C4B">
        <w:rPr>
          <w:vertAlign w:val="subscript"/>
        </w:rPr>
        <w:t>2</w:t>
      </w:r>
      <w:r>
        <w:t xml:space="preserve"> transport and storage networks and infrastructure will need to be developed to scale all </w:t>
      </w:r>
      <w:r w:rsidR="00DA5E0C">
        <w:t>carbon capture</w:t>
      </w:r>
      <w:r>
        <w:t xml:space="preserve"> </w:t>
      </w:r>
      <w:r w:rsidR="00A31C5D">
        <w:t xml:space="preserve">technologies. </w:t>
      </w:r>
    </w:p>
    <w:p w14:paraId="686F0964" w14:textId="0C7C827B" w:rsidR="0001460A" w:rsidRPr="00DF20A1" w:rsidRDefault="0001460A" w:rsidP="009229B3">
      <w:pPr>
        <w:pStyle w:val="Numberedparagraphs"/>
      </w:pPr>
      <w:r w:rsidRPr="0001460A">
        <w:t xml:space="preserve">There are also significant barriers to </w:t>
      </w:r>
      <w:r w:rsidRPr="006A0C4B">
        <w:rPr>
          <w:b/>
        </w:rPr>
        <w:t>hydrogen supply</w:t>
      </w:r>
      <w:r w:rsidRPr="0001460A">
        <w:t xml:space="preserve">, distribution, storage and use. </w:t>
      </w:r>
      <w:r w:rsidR="00F62928">
        <w:t>Low ca</w:t>
      </w:r>
      <w:r w:rsidR="007956FE">
        <w:t>rbon h</w:t>
      </w:r>
      <w:r w:rsidRPr="0001460A">
        <w:t>ydrogen production and end</w:t>
      </w:r>
      <w:r w:rsidR="00CD3978">
        <w:t>-</w:t>
      </w:r>
      <w:r w:rsidRPr="0001460A">
        <w:t>use technologies have not been demonstrated at scale in a commercial setting, and hydrogen is more expensive than existing fossil fuel technologies in most end</w:t>
      </w:r>
      <w:r w:rsidR="001B34E8">
        <w:t>-</w:t>
      </w:r>
      <w:r w:rsidRPr="0001460A">
        <w:t>use sectors. Widespread use of hydrogen will require hydrogen distribution and storage infrastructure to be built, and CCUS-enabled hydrogen production will also depend on the development of CO</w:t>
      </w:r>
      <w:r w:rsidRPr="006A0C4B">
        <w:rPr>
          <w:vertAlign w:val="subscript"/>
        </w:rPr>
        <w:t>2</w:t>
      </w:r>
      <w:r w:rsidRPr="0001460A">
        <w:t xml:space="preserve"> transport and storage networks. A new regulated market for hydrogen will also need to be established. Uptake of hydrogen would require</w:t>
      </w:r>
      <w:r w:rsidR="00832F50">
        <w:t xml:space="preserve"> sustainable behaviour adoption </w:t>
      </w:r>
      <w:r w:rsidRPr="0001460A">
        <w:t>across end</w:t>
      </w:r>
      <w:r w:rsidR="001B34E8">
        <w:t>-</w:t>
      </w:r>
      <w:r w:rsidRPr="0001460A">
        <w:t>use sectors, where users will have to change from fossil fuel to hydrogen appliances.</w:t>
      </w:r>
    </w:p>
    <w:p w14:paraId="5529C28A" w14:textId="22E1606B" w:rsidR="009A0BC3" w:rsidRPr="00BA2D4B" w:rsidRDefault="009A0BC3" w:rsidP="00BA2D4B">
      <w:pPr>
        <w:pStyle w:val="Heading4"/>
        <w:spacing w:after="200"/>
        <w:rPr>
          <w:szCs w:val="24"/>
        </w:rPr>
      </w:pPr>
      <w:r w:rsidRPr="00BA2D4B">
        <w:rPr>
          <w:szCs w:val="24"/>
        </w:rPr>
        <w:t xml:space="preserve">Summary: </w:t>
      </w:r>
      <w:r w:rsidR="008F1394" w:rsidRPr="00BA2D4B">
        <w:rPr>
          <w:szCs w:val="24"/>
        </w:rPr>
        <w:t>Delivery implications</w:t>
      </w:r>
    </w:p>
    <w:p w14:paraId="08EBB274" w14:textId="125462C8" w:rsidR="009A0BC3" w:rsidRPr="00DF20A1" w:rsidRDefault="009A0BC3" w:rsidP="009229B3">
      <w:pPr>
        <w:pStyle w:val="Numberedparagraphs"/>
      </w:pPr>
      <w:r>
        <w:t xml:space="preserve">In summary, </w:t>
      </w:r>
      <w:r w:rsidR="008F1394">
        <w:t xml:space="preserve">despite </w:t>
      </w:r>
      <w:r w:rsidR="007956FE">
        <w:t>the</w:t>
      </w:r>
      <w:r w:rsidR="008F1394">
        <w:t xml:space="preserve"> analysis not considering or committing to the specific </w:t>
      </w:r>
      <w:r w:rsidR="00046511">
        <w:t>polic</w:t>
      </w:r>
      <w:r w:rsidR="007A796B">
        <w:t>y</w:t>
      </w:r>
      <w:r w:rsidR="008F1394">
        <w:t xml:space="preserve"> requirements for </w:t>
      </w:r>
      <w:r w:rsidR="00046511">
        <w:t xml:space="preserve">the sixth carbon budget, it shows that all options considered (except the do-nothing option) will require overcoming </w:t>
      </w:r>
      <w:r w:rsidR="000D61CD">
        <w:t>significant challenges across all sectors. Whilst the relative difference between the different budget options cannot be known in the absence of specific policies, it is likely that</w:t>
      </w:r>
      <w:r w:rsidR="00D93CB7">
        <w:t xml:space="preserve"> </w:t>
      </w:r>
      <w:r w:rsidR="00E82557">
        <w:t>tighter budget</w:t>
      </w:r>
      <w:r w:rsidR="003B3339">
        <w:t xml:space="preserve"> levels</w:t>
      </w:r>
      <w:r w:rsidR="00E82557">
        <w:t xml:space="preserve"> face more challenges. </w:t>
      </w:r>
    </w:p>
    <w:p w14:paraId="101C4048" w14:textId="0EAB5D0E" w:rsidR="00CE08FE" w:rsidRPr="009015A6" w:rsidRDefault="00CE08FE" w:rsidP="009015A6">
      <w:pPr>
        <w:pStyle w:val="Heading3"/>
        <w:spacing w:before="240"/>
        <w:rPr>
          <w:sz w:val="28"/>
          <w:szCs w:val="28"/>
        </w:rPr>
      </w:pPr>
      <w:bookmarkStart w:id="53" w:name="_Toc67051847"/>
      <w:r w:rsidRPr="009015A6">
        <w:rPr>
          <w:sz w:val="28"/>
          <w:szCs w:val="28"/>
        </w:rPr>
        <w:t>2.</w:t>
      </w:r>
      <w:r w:rsidR="007E6F08" w:rsidRPr="009015A6">
        <w:rPr>
          <w:sz w:val="28"/>
          <w:szCs w:val="28"/>
        </w:rPr>
        <w:t xml:space="preserve">4 </w:t>
      </w:r>
      <w:r w:rsidRPr="009015A6">
        <w:rPr>
          <w:sz w:val="28"/>
          <w:szCs w:val="28"/>
        </w:rPr>
        <w:t xml:space="preserve">International </w:t>
      </w:r>
      <w:r w:rsidR="304F1F2F" w:rsidRPr="009015A6">
        <w:rPr>
          <w:sz w:val="28"/>
          <w:szCs w:val="28"/>
        </w:rPr>
        <w:t>circumstances</w:t>
      </w:r>
      <w:bookmarkEnd w:id="53"/>
    </w:p>
    <w:p w14:paraId="39DCDA69" w14:textId="19716C7C" w:rsidR="00BA7B73" w:rsidRPr="009015A6" w:rsidRDefault="00EA5F16" w:rsidP="009015A6">
      <w:pPr>
        <w:pStyle w:val="Heading4"/>
        <w:spacing w:after="200"/>
        <w:rPr>
          <w:b w:val="0"/>
          <w:i/>
          <w:szCs w:val="24"/>
        </w:rPr>
      </w:pPr>
      <w:r w:rsidRPr="009015A6">
        <w:rPr>
          <w:szCs w:val="24"/>
        </w:rPr>
        <w:t xml:space="preserve">International </w:t>
      </w:r>
      <w:r w:rsidR="00425FCC">
        <w:rPr>
          <w:szCs w:val="24"/>
        </w:rPr>
        <w:t>c</w:t>
      </w:r>
      <w:r w:rsidRPr="009015A6">
        <w:rPr>
          <w:szCs w:val="24"/>
        </w:rPr>
        <w:t xml:space="preserve">ommitments </w:t>
      </w:r>
      <w:r w:rsidR="00BA7B73" w:rsidRPr="009015A6">
        <w:rPr>
          <w:szCs w:val="24"/>
        </w:rPr>
        <w:t xml:space="preserve">on </w:t>
      </w:r>
      <w:r w:rsidR="00425FCC">
        <w:rPr>
          <w:szCs w:val="24"/>
        </w:rPr>
        <w:t>c</w:t>
      </w:r>
      <w:r w:rsidR="00BA7B73" w:rsidRPr="009015A6">
        <w:rPr>
          <w:szCs w:val="24"/>
        </w:rPr>
        <w:t xml:space="preserve">limate </w:t>
      </w:r>
      <w:r w:rsidR="00425FCC">
        <w:rPr>
          <w:szCs w:val="24"/>
        </w:rPr>
        <w:t>c</w:t>
      </w:r>
      <w:r w:rsidR="00BA7B73" w:rsidRPr="009015A6">
        <w:rPr>
          <w:szCs w:val="24"/>
        </w:rPr>
        <w:t xml:space="preserve">hange </w:t>
      </w:r>
      <w:r w:rsidR="00425FCC">
        <w:rPr>
          <w:szCs w:val="24"/>
        </w:rPr>
        <w:t>m</w:t>
      </w:r>
      <w:r w:rsidR="00BA7B73" w:rsidRPr="009015A6">
        <w:rPr>
          <w:szCs w:val="24"/>
        </w:rPr>
        <w:t>itigation</w:t>
      </w:r>
    </w:p>
    <w:p w14:paraId="516039C4" w14:textId="66757B94" w:rsidR="00EA5F16" w:rsidRDefault="00EA5F16" w:rsidP="009229B3">
      <w:pPr>
        <w:pStyle w:val="Numberedparagraphs"/>
      </w:pPr>
      <w:r>
        <w:t xml:space="preserve">At an international level, the UK is a signatory of both the United Nations Framework Convention on Climate Change (UNFCCC) and the Paris Agreement, which in 2015 affirmed the global ambition to limit </w:t>
      </w:r>
      <w:r w:rsidRPr="000C024B">
        <w:t xml:space="preserve">global temperature </w:t>
      </w:r>
      <w:r>
        <w:t>rises to</w:t>
      </w:r>
      <w:r w:rsidRPr="000C024B">
        <w:t xml:space="preserve"> ‘well</w:t>
      </w:r>
      <w:r>
        <w:t xml:space="preserve"> </w:t>
      </w:r>
      <w:r w:rsidRPr="000C024B">
        <w:t xml:space="preserve">below 2°C’ and to pursue efforts to limit </w:t>
      </w:r>
      <w:r>
        <w:t xml:space="preserve">the </w:t>
      </w:r>
      <w:r w:rsidRPr="000C024B">
        <w:t xml:space="preserve">temperature </w:t>
      </w:r>
      <w:r>
        <w:t>increase</w:t>
      </w:r>
      <w:r w:rsidRPr="000C024B">
        <w:t xml:space="preserve"> to 1.5°C</w:t>
      </w:r>
      <w:r>
        <w:t xml:space="preserve">. The Paris Agreement has been ratified by </w:t>
      </w:r>
      <w:r w:rsidR="003073CF">
        <w:t>191</w:t>
      </w:r>
      <w:r>
        <w:t xml:space="preserve"> countries</w:t>
      </w:r>
      <w:r w:rsidR="00712281">
        <w:t xml:space="preserve"> as of February 2021</w:t>
      </w:r>
      <w:r>
        <w:t xml:space="preserve">, accounting for </w:t>
      </w:r>
      <w:r w:rsidR="009E5C10">
        <w:t>more than</w:t>
      </w:r>
      <w:r w:rsidR="00BC35B8">
        <w:t xml:space="preserve"> 90</w:t>
      </w:r>
      <w:r>
        <w:t>% of global emissions.</w:t>
      </w:r>
    </w:p>
    <w:p w14:paraId="753EC90C" w14:textId="77A8181F" w:rsidR="00CA1D52" w:rsidRDefault="00EA5F16" w:rsidP="009229B3">
      <w:pPr>
        <w:pStyle w:val="Numberedparagraphs"/>
      </w:pPr>
      <w:r>
        <w:t>As part of the UNFCCC process, the UK successfully bid</w:t>
      </w:r>
      <w:r w:rsidR="00C23D2F" w:rsidRPr="00C23D2F">
        <w:t>, in partnership with Italy,</w:t>
      </w:r>
      <w:r>
        <w:t xml:space="preserve"> to assume the presidency of the 26</w:t>
      </w:r>
      <w:r w:rsidRPr="00F67B10">
        <w:rPr>
          <w:vertAlign w:val="superscript"/>
        </w:rPr>
        <w:t>th</w:t>
      </w:r>
      <w:r>
        <w:t xml:space="preserve"> annual session of the Conference of Parties to the Convention, or “COP26”, to be held in Glasgow in November 2021. The summit aims to accelerate global action towards the transition to a zero</w:t>
      </w:r>
      <w:r w:rsidR="006B752A">
        <w:t>-</w:t>
      </w:r>
      <w:r>
        <w:t xml:space="preserve">carbon economy through international cooperation and the agreement of a balanced negotiated package for the implementation of the Paris Agreement. From a climate change mitigation ambition perspective, COP26 aims to encourage countries to come forward with commitments to further emission cuts by 2030, in line with a long-term pathway towards reaching net zero emissions as soon as possible.  </w:t>
      </w:r>
    </w:p>
    <w:p w14:paraId="6EF88119" w14:textId="2F5B99F4" w:rsidR="002B2F20" w:rsidRPr="00D274C2" w:rsidRDefault="00CA1D52" w:rsidP="009B5EBA">
      <w:pPr>
        <w:pStyle w:val="Heading4"/>
        <w:spacing w:after="200"/>
        <w:rPr>
          <w:b w:val="0"/>
          <w:i/>
          <w:szCs w:val="24"/>
        </w:rPr>
      </w:pPr>
      <w:r w:rsidRPr="00D274C2">
        <w:rPr>
          <w:szCs w:val="24"/>
        </w:rPr>
        <w:t>The UK’s emissions reduction commitments at an international level</w:t>
      </w:r>
    </w:p>
    <w:p w14:paraId="45398473" w14:textId="20FB1514" w:rsidR="00D31650" w:rsidRPr="00BA16F8" w:rsidRDefault="00CE73BD" w:rsidP="009229B3">
      <w:pPr>
        <w:pStyle w:val="Numberedparagraphs"/>
        <w:rPr>
          <w:b/>
        </w:rPr>
      </w:pPr>
      <w:r w:rsidRPr="00341C17">
        <w:t xml:space="preserve">The UK was previously included in the EU’s joint intended </w:t>
      </w:r>
      <w:r w:rsidR="004D2824">
        <w:t>NDC</w:t>
      </w:r>
      <w:r w:rsidRPr="00341C17" w:rsidDel="004D2824">
        <w:t xml:space="preserve"> </w:t>
      </w:r>
      <w:r w:rsidRPr="00341C17">
        <w:t>under the Paris Agreement.</w:t>
      </w:r>
      <w:r>
        <w:t xml:space="preserve"> </w:t>
      </w:r>
      <w:r w:rsidR="00CF523A">
        <w:t xml:space="preserve">In December 2020 the </w:t>
      </w:r>
      <w:r w:rsidR="00B33021" w:rsidRPr="00B33021">
        <w:t xml:space="preserve">UK </w:t>
      </w:r>
      <w:r w:rsidR="00641D8D">
        <w:t>submitted</w:t>
      </w:r>
      <w:r w:rsidR="00641D8D" w:rsidRPr="00B33021">
        <w:t xml:space="preserve"> </w:t>
      </w:r>
      <w:r w:rsidR="00B33AE3">
        <w:t xml:space="preserve">its own </w:t>
      </w:r>
      <w:r w:rsidR="00641D8D">
        <w:t>economy</w:t>
      </w:r>
      <w:r w:rsidR="000C6C27">
        <w:t xml:space="preserve"> </w:t>
      </w:r>
      <w:r w:rsidR="00641D8D">
        <w:t>wide</w:t>
      </w:r>
      <w:r w:rsidR="00B33021" w:rsidRPr="00B33021">
        <w:t xml:space="preserve"> </w:t>
      </w:r>
      <w:r w:rsidR="004D2824">
        <w:t xml:space="preserve">NDC </w:t>
      </w:r>
      <w:r w:rsidR="00B33021" w:rsidRPr="00B33021">
        <w:t xml:space="preserve">which commits to reducing </w:t>
      </w:r>
      <w:r w:rsidR="009349D6">
        <w:t>GHG</w:t>
      </w:r>
      <w:r w:rsidR="00B33021" w:rsidRPr="00B33021">
        <w:t xml:space="preserve"> emissions by at least 68% </w:t>
      </w:r>
      <w:r w:rsidR="44DBB11E">
        <w:t>(excluding IAS</w:t>
      </w:r>
      <w:r w:rsidR="009349D6">
        <w:t xml:space="preserve"> emissions</w:t>
      </w:r>
      <w:r w:rsidR="44DBB11E">
        <w:t xml:space="preserve">) </w:t>
      </w:r>
      <w:r w:rsidR="00B33021" w:rsidRPr="00B33021">
        <w:t>by 2030 on 1990 levels</w:t>
      </w:r>
      <w:r w:rsidR="00741E6D">
        <w:t>.</w:t>
      </w:r>
      <w:r>
        <w:t xml:space="preserve"> </w:t>
      </w:r>
      <w:r w:rsidR="00D448D9">
        <w:t>T</w:t>
      </w:r>
      <w:r w:rsidR="00D448D9" w:rsidRPr="00D448D9">
        <w:t xml:space="preserve">he level of the NDC is consistent with advice from the CCC and </w:t>
      </w:r>
      <w:r w:rsidR="004B26E0">
        <w:t xml:space="preserve">the </w:t>
      </w:r>
      <w:r w:rsidR="004B26E0">
        <w:lastRenderedPageBreak/>
        <w:t>UK’s</w:t>
      </w:r>
      <w:r w:rsidR="004B26E0" w:rsidRPr="00D448D9">
        <w:t xml:space="preserve"> </w:t>
      </w:r>
      <w:r w:rsidR="00D448D9" w:rsidRPr="00D448D9">
        <w:t>commitment to</w:t>
      </w:r>
      <w:r w:rsidR="00D448D9" w:rsidRPr="00D448D9" w:rsidDel="00712281">
        <w:t xml:space="preserve"> </w:t>
      </w:r>
      <w:r w:rsidR="00712281">
        <w:t>reach</w:t>
      </w:r>
      <w:r w:rsidR="00712281" w:rsidRPr="00D448D9">
        <w:t xml:space="preserve"> </w:t>
      </w:r>
      <w:r w:rsidR="00D448D9" w:rsidRPr="00D448D9">
        <w:t>net zero</w:t>
      </w:r>
      <w:r w:rsidR="00712281">
        <w:t xml:space="preserve"> emissions</w:t>
      </w:r>
      <w:r w:rsidR="00D448D9" w:rsidRPr="00D448D9">
        <w:t xml:space="preserve"> by 2050</w:t>
      </w:r>
      <w:r w:rsidR="00EB43A8">
        <w:t>. T</w:t>
      </w:r>
      <w:r w:rsidR="0079420D" w:rsidRPr="0AB9866F">
        <w:rPr>
          <w:rStyle w:val="normaltextrun"/>
          <w:rFonts w:eastAsiaTheme="majorEastAsia"/>
        </w:rPr>
        <w:t>he CCC has stated that an NDC of at least 68% ‘</w:t>
      </w:r>
      <w:r w:rsidR="0079420D" w:rsidRPr="00EB43A8">
        <w:rPr>
          <w:rStyle w:val="normaltextrun"/>
          <w:rFonts w:eastAsiaTheme="majorEastAsia"/>
        </w:rPr>
        <w:t>would constitute a decisive commitment to a net zero emissions trajectory, consistent with the Paris Agreement’</w:t>
      </w:r>
      <w:r w:rsidR="0079420D" w:rsidRPr="0AB9866F">
        <w:rPr>
          <w:rStyle w:val="normaltextrun"/>
          <w:rFonts w:eastAsiaTheme="majorEastAsia"/>
        </w:rPr>
        <w:t>, which ‘</w:t>
      </w:r>
      <w:r w:rsidR="0079420D" w:rsidRPr="00EB43A8">
        <w:rPr>
          <w:rStyle w:val="normaltextrun"/>
          <w:rFonts w:eastAsiaTheme="majorEastAsia"/>
        </w:rPr>
        <w:t>would place the UK among the leading countries in climate ambition</w:t>
      </w:r>
      <w:r w:rsidR="0079420D" w:rsidRPr="0AB9866F">
        <w:rPr>
          <w:rStyle w:val="normaltextrun"/>
          <w:rFonts w:eastAsiaTheme="majorEastAsia"/>
        </w:rPr>
        <w:t>.’</w:t>
      </w:r>
      <w:r w:rsidR="00690E29">
        <w:rPr>
          <w:rStyle w:val="eop"/>
          <w:rFonts w:eastAsiaTheme="minorEastAsia"/>
        </w:rPr>
        <w:t xml:space="preserve"> </w:t>
      </w:r>
      <w:r w:rsidR="00446729">
        <w:t>I</w:t>
      </w:r>
      <w:r w:rsidR="00222AF1">
        <w:t>n</w:t>
      </w:r>
      <w:r w:rsidR="00446729">
        <w:t xml:space="preserve"> line with common NDC practi</w:t>
      </w:r>
      <w:r w:rsidR="009349D6">
        <w:t>c</w:t>
      </w:r>
      <w:r w:rsidR="00446729">
        <w:t>e</w:t>
      </w:r>
      <w:r w:rsidR="0067298F">
        <w:t>,</w:t>
      </w:r>
      <w:r w:rsidR="00446729">
        <w:t xml:space="preserve"> t</w:t>
      </w:r>
      <w:r w:rsidR="00A45439" w:rsidRPr="00CE73BD">
        <w:t>he UK’s NDC target does not include international aviation and shipping.</w:t>
      </w:r>
      <w:r w:rsidR="006A7476">
        <w:t xml:space="preserve"> All options under consideration in this assessment assume th</w:t>
      </w:r>
      <w:r w:rsidR="00470DF7">
        <w:t>is target is met</w:t>
      </w:r>
      <w:r w:rsidR="00F174AB">
        <w:t>, except for the counterfactual scenario</w:t>
      </w:r>
      <w:r w:rsidR="002C15F3">
        <w:t>.</w:t>
      </w:r>
      <w:r w:rsidR="00470DF7">
        <w:t xml:space="preserve"> </w:t>
      </w:r>
    </w:p>
    <w:p w14:paraId="7A4E52E2" w14:textId="07C19D97" w:rsidR="00EA5F16" w:rsidRDefault="0017574D" w:rsidP="009229B3">
      <w:pPr>
        <w:pStyle w:val="Numberedparagraphs"/>
        <w:rPr>
          <w:b/>
        </w:rPr>
      </w:pPr>
      <w:r w:rsidRPr="0017574D">
        <w:t xml:space="preserve">Ahead of COP26, the UK will publish a comprehensive Net Zero Strategy, setting out the </w:t>
      </w:r>
      <w:r w:rsidR="007C6560">
        <w:t>government</w:t>
      </w:r>
      <w:r w:rsidRPr="0017574D">
        <w:t xml:space="preserve">’s vision for transitioning to a net zero economy by 2050, making the most of new growth and employment opportunities across the UK. The Net Zero Strategy will constitute the UK’s revised Long-Term Low Emission Development Strategy to the UNFCCC. </w:t>
      </w:r>
    </w:p>
    <w:p w14:paraId="31D25C8D" w14:textId="35DF9DB3" w:rsidR="00541509" w:rsidRDefault="00F67B10" w:rsidP="006C4D75">
      <w:pPr>
        <w:pStyle w:val="Heading4"/>
        <w:spacing w:after="200"/>
        <w:rPr>
          <w:b w:val="0"/>
          <w:i/>
        </w:rPr>
      </w:pPr>
      <w:r w:rsidRPr="009B5EBA">
        <w:rPr>
          <w:szCs w:val="24"/>
        </w:rPr>
        <w:t xml:space="preserve">Global </w:t>
      </w:r>
      <w:r w:rsidR="00914C88">
        <w:rPr>
          <w:szCs w:val="24"/>
        </w:rPr>
        <w:t>a</w:t>
      </w:r>
      <w:r w:rsidRPr="009B5EBA">
        <w:rPr>
          <w:szCs w:val="24"/>
        </w:rPr>
        <w:t xml:space="preserve">ction on </w:t>
      </w:r>
      <w:r w:rsidR="00914C88">
        <w:rPr>
          <w:szCs w:val="24"/>
        </w:rPr>
        <w:t>c</w:t>
      </w:r>
      <w:r w:rsidRPr="009B5EBA">
        <w:rPr>
          <w:szCs w:val="24"/>
        </w:rPr>
        <w:t xml:space="preserve">limate </w:t>
      </w:r>
      <w:r w:rsidR="00914C88">
        <w:rPr>
          <w:szCs w:val="24"/>
        </w:rPr>
        <w:t>c</w:t>
      </w:r>
      <w:r w:rsidRPr="009B5EBA">
        <w:rPr>
          <w:szCs w:val="24"/>
        </w:rPr>
        <w:t>hange</w:t>
      </w:r>
    </w:p>
    <w:p w14:paraId="5B2E7F48" w14:textId="3710DD16" w:rsidR="00CC55AC" w:rsidRDefault="00CC55AC" w:rsidP="009229B3">
      <w:pPr>
        <w:pStyle w:val="Numberedparagraphs"/>
        <w:rPr>
          <w:b/>
        </w:rPr>
      </w:pPr>
      <w:r>
        <w:t xml:space="preserve">Global </w:t>
      </w:r>
      <w:r w:rsidR="00FD124D">
        <w:t>warming</w:t>
      </w:r>
      <w:r>
        <w:t xml:space="preserve"> </w:t>
      </w:r>
      <w:r w:rsidR="00FD124D">
        <w:t>is</w:t>
      </w:r>
      <w:r>
        <w:t xml:space="preserve"> driven by </w:t>
      </w:r>
      <w:r w:rsidR="00FD124D">
        <w:t>the</w:t>
      </w:r>
      <w:r>
        <w:t xml:space="preserve"> </w:t>
      </w:r>
      <w:r w:rsidR="00FD124D">
        <w:t xml:space="preserve">increase in </w:t>
      </w:r>
      <w:r w:rsidR="001C2827">
        <w:t xml:space="preserve">atmospheric </w:t>
      </w:r>
      <w:r>
        <w:t>concentration</w:t>
      </w:r>
      <w:r w:rsidR="00FD124D">
        <w:t>s</w:t>
      </w:r>
      <w:r>
        <w:t xml:space="preserve"> of </w:t>
      </w:r>
      <w:r w:rsidR="00914C88">
        <w:t>GHGs</w:t>
      </w:r>
      <w:r>
        <w:t xml:space="preserve">, determined by cumulative </w:t>
      </w:r>
      <w:r w:rsidR="00C47627">
        <w:t xml:space="preserve">global </w:t>
      </w:r>
      <w:r>
        <w:t>net GHG emissions.</w:t>
      </w:r>
      <w:r w:rsidR="001C2827">
        <w:t xml:space="preserve"> There is no single level of emissions </w:t>
      </w:r>
      <w:r w:rsidR="00C47627">
        <w:t>or emission pat</w:t>
      </w:r>
      <w:r w:rsidR="00702B56">
        <w:t xml:space="preserve">hway </w:t>
      </w:r>
      <w:r w:rsidR="001C2827">
        <w:t>that is compatible with a given degree of warming.</w:t>
      </w:r>
      <w:r>
        <w:t xml:space="preserve"> </w:t>
      </w:r>
      <w:r w:rsidR="00CA339A">
        <w:t>A range of emission pathways will be c</w:t>
      </w:r>
      <w:r>
        <w:t>ompatib</w:t>
      </w:r>
      <w:r w:rsidR="006D2D39">
        <w:t>le</w:t>
      </w:r>
      <w:r>
        <w:t xml:space="preserve"> </w:t>
      </w:r>
      <w:r w:rsidR="00CE0239">
        <w:t xml:space="preserve">with a given degree of warming </w:t>
      </w:r>
      <w:r>
        <w:t>depend</w:t>
      </w:r>
      <w:r w:rsidR="00CA339A">
        <w:t>ing</w:t>
      </w:r>
      <w:r>
        <w:t xml:space="preserve"> on assumptions regarding when global emissions peak, their </w:t>
      </w:r>
      <w:r w:rsidR="000065C3">
        <w:t>sp</w:t>
      </w:r>
      <w:r w:rsidR="00736716">
        <w:t>e</w:t>
      </w:r>
      <w:r w:rsidR="000065C3">
        <w:t>ed</w:t>
      </w:r>
      <w:r>
        <w:t xml:space="preserve"> of decline after the peak and availability of negative emissions technologies.</w:t>
      </w:r>
    </w:p>
    <w:p w14:paraId="44CD3ADD" w14:textId="0005107B" w:rsidR="006F72E8" w:rsidRDefault="00120485" w:rsidP="009229B3">
      <w:pPr>
        <w:pStyle w:val="Numberedparagraphs"/>
      </w:pPr>
      <w:r w:rsidRPr="00F67B10">
        <w:t>The IPCC Special Report on 1.5 degrees of Global Warming</w:t>
      </w:r>
      <w:r w:rsidR="00D0656D" w:rsidRPr="00F67B10">
        <w:t xml:space="preserve"> </w:t>
      </w:r>
      <w:r w:rsidR="00D96A4F">
        <w:t>(IPCC SR1.5)</w:t>
      </w:r>
      <w:r w:rsidR="00D0656D" w:rsidRPr="00F67B10">
        <w:t xml:space="preserve"> includes an analysis </w:t>
      </w:r>
      <w:r w:rsidR="006824CC" w:rsidRPr="00F67B10">
        <w:t>of global miti</w:t>
      </w:r>
      <w:r w:rsidR="00157528" w:rsidRPr="00F67B10">
        <w:t>gation pathways compatible with the Paris temperature goal</w:t>
      </w:r>
      <w:r w:rsidR="00FE6621">
        <w:t>.</w:t>
      </w:r>
      <w:r w:rsidR="00CF1D5C" w:rsidRPr="003F4775">
        <w:rPr>
          <w:rStyle w:val="FootnoteReference"/>
          <w:rFonts w:cs="Tahoma"/>
          <w:sz w:val="24"/>
        </w:rPr>
        <w:footnoteReference w:id="45"/>
      </w:r>
      <w:r w:rsidR="00157528" w:rsidRPr="00F67B10">
        <w:t xml:space="preserve">The report </w:t>
      </w:r>
      <w:r w:rsidR="00CD33EE" w:rsidRPr="00F67B10">
        <w:t>highlights th</w:t>
      </w:r>
      <w:r w:rsidR="00BA03B0" w:rsidRPr="00F67B10">
        <w:t xml:space="preserve">at all </w:t>
      </w:r>
      <w:r w:rsidR="00464F24" w:rsidRPr="00F67B10">
        <w:t>Paris</w:t>
      </w:r>
      <w:r w:rsidR="00984A2E">
        <w:t>-</w:t>
      </w:r>
      <w:r w:rsidR="00464F24" w:rsidRPr="00F67B10">
        <w:t>compatible global trajector</w:t>
      </w:r>
      <w:r w:rsidR="005A3551" w:rsidRPr="00F67B10">
        <w:t>ies</w:t>
      </w:r>
      <w:r w:rsidR="00464F24" w:rsidRPr="00F67B10">
        <w:t xml:space="preserve"> have a</w:t>
      </w:r>
      <w:r w:rsidR="00CC6049" w:rsidRPr="00F67B10">
        <w:t xml:space="preserve"> common pattern: an early emissions peak</w:t>
      </w:r>
      <w:r w:rsidR="00ED5D0B" w:rsidRPr="00F67B10">
        <w:t>, followed by rapid and de</w:t>
      </w:r>
      <w:r w:rsidR="007F24D5" w:rsidRPr="00F67B10">
        <w:t>ep</w:t>
      </w:r>
      <w:r w:rsidR="00ED5D0B" w:rsidRPr="00F67B10">
        <w:t xml:space="preserve"> emission reduction</w:t>
      </w:r>
      <w:r w:rsidR="007F24D5" w:rsidRPr="00F67B10">
        <w:t>s</w:t>
      </w:r>
      <w:r w:rsidR="00ED5D0B" w:rsidRPr="00F67B10">
        <w:t xml:space="preserve"> leading to </w:t>
      </w:r>
      <w:r w:rsidR="00E32333" w:rsidRPr="00F67B10">
        <w:t xml:space="preserve">global </w:t>
      </w:r>
      <w:r w:rsidR="00ED5D0B" w:rsidRPr="00F67B10">
        <w:t>net</w:t>
      </w:r>
      <w:r w:rsidR="00A22F04" w:rsidRPr="00F67B10">
        <w:t xml:space="preserve"> zero emissions</w:t>
      </w:r>
      <w:r w:rsidR="00E32333" w:rsidRPr="00F67B10">
        <w:t xml:space="preserve"> in the future</w:t>
      </w:r>
      <w:r w:rsidR="00A22F04" w:rsidRPr="00F67B10">
        <w:t>.</w:t>
      </w:r>
      <w:r w:rsidR="00237A47" w:rsidRPr="00F67B10">
        <w:t xml:space="preserve"> </w:t>
      </w:r>
    </w:p>
    <w:p w14:paraId="0008F6D8" w14:textId="5B0BB329" w:rsidR="00DE3299" w:rsidRPr="002E162D" w:rsidRDefault="008F554F" w:rsidP="009229B3">
      <w:pPr>
        <w:pStyle w:val="Numberedparagraphs"/>
      </w:pPr>
      <w:r>
        <w:t xml:space="preserve">All </w:t>
      </w:r>
      <w:r w:rsidRPr="008F554F">
        <w:t xml:space="preserve">other factors </w:t>
      </w:r>
      <w:r w:rsidR="00FE6621">
        <w:t xml:space="preserve">being </w:t>
      </w:r>
      <w:r w:rsidRPr="008F554F">
        <w:t>equal, global emissions pathways associated with lower global temperature rises tend to imply faster emissions reductions and earlier timings of global net zero. That is, 1.5</w:t>
      </w:r>
      <w:r w:rsidR="00D136D3" w:rsidRPr="008F554F">
        <w:t>°</w:t>
      </w:r>
      <w:r w:rsidRPr="008F554F">
        <w:t>C pathways generally require faster and deeper action than well below 2</w:t>
      </w:r>
      <w:r w:rsidR="00D136D3" w:rsidRPr="008F554F">
        <w:t>°</w:t>
      </w:r>
      <w:r w:rsidRPr="008F554F">
        <w:t>C pathways. For instance, the IPCC SR1.5 concludes that in model pathways that limit global warming to 1.5°C with no or limited overshoot, global CO</w:t>
      </w:r>
      <w:r w:rsidRPr="00D136D3">
        <w:rPr>
          <w:vertAlign w:val="subscript"/>
        </w:rPr>
        <w:t>2</w:t>
      </w:r>
      <w:r w:rsidRPr="008F554F">
        <w:t xml:space="preserve"> emissions decline by about 45% from 2010 levels by 2030 (40-60% interquartile range), reaching global net zero around 2050 (2045-2055 interquartile range); in pathways that limit global warming to well below 2°C, global CO</w:t>
      </w:r>
      <w:r w:rsidRPr="00D136D3">
        <w:rPr>
          <w:vertAlign w:val="subscript"/>
        </w:rPr>
        <w:t>2</w:t>
      </w:r>
      <w:r w:rsidRPr="008F554F">
        <w:t xml:space="preserve"> emissions decline by about 25% from 2010 levels by 2030 (10-30% interquartile range) and reach global net zero around 2070 (2065-2080 interquartile range). It is also worth noting that the assessment models used to derive these pathways tend to be global cost-optimisation models, suggesting that early action (or frontloaded) pathways tend to be more cost-effective at a global level than delayed action (or backloaded pathways).</w:t>
      </w:r>
    </w:p>
    <w:p w14:paraId="68A4774B" w14:textId="77777777" w:rsidR="009229B3" w:rsidRDefault="009229B3" w:rsidP="009229B3">
      <w:pPr>
        <w:spacing w:after="120"/>
        <w:rPr>
          <w:i/>
          <w:lang w:val="fr-FR"/>
        </w:rPr>
      </w:pPr>
    </w:p>
    <w:p w14:paraId="6602D2F8" w14:textId="77777777" w:rsidR="009229B3" w:rsidRDefault="009229B3" w:rsidP="009229B3">
      <w:pPr>
        <w:spacing w:after="120"/>
        <w:rPr>
          <w:i/>
          <w:lang w:val="fr-FR"/>
        </w:rPr>
      </w:pPr>
    </w:p>
    <w:p w14:paraId="48A92679" w14:textId="77777777" w:rsidR="009229B3" w:rsidRDefault="009229B3" w:rsidP="009229B3">
      <w:pPr>
        <w:spacing w:after="120"/>
        <w:rPr>
          <w:i/>
          <w:lang w:val="fr-FR"/>
        </w:rPr>
      </w:pPr>
    </w:p>
    <w:p w14:paraId="563AEC67" w14:textId="77777777" w:rsidR="009229B3" w:rsidRDefault="009229B3" w:rsidP="009229B3">
      <w:pPr>
        <w:spacing w:after="120"/>
        <w:rPr>
          <w:i/>
          <w:lang w:val="fr-FR"/>
        </w:rPr>
      </w:pPr>
    </w:p>
    <w:p w14:paraId="6FACC6E8" w14:textId="77777777" w:rsidR="009229B3" w:rsidRDefault="009229B3" w:rsidP="009229B3">
      <w:pPr>
        <w:spacing w:after="120"/>
        <w:rPr>
          <w:i/>
          <w:lang w:val="fr-FR"/>
        </w:rPr>
      </w:pPr>
    </w:p>
    <w:p w14:paraId="423CAF1A" w14:textId="2D8C051C" w:rsidR="00A672D2" w:rsidRPr="006A0C4B" w:rsidRDefault="00716F40" w:rsidP="009229B3">
      <w:pPr>
        <w:spacing w:after="120"/>
        <w:rPr>
          <w:i/>
          <w:lang w:val="fr-FR"/>
        </w:rPr>
      </w:pPr>
      <w:r w:rsidRPr="006A0C4B">
        <w:rPr>
          <w:i/>
          <w:lang w:val="fr-FR"/>
        </w:rPr>
        <w:lastRenderedPageBreak/>
        <w:t>Table</w:t>
      </w:r>
      <w:r w:rsidR="00657CCC" w:rsidRPr="006A0C4B">
        <w:rPr>
          <w:i/>
          <w:iCs/>
          <w:lang w:val="fr-FR"/>
        </w:rPr>
        <w:t xml:space="preserve"> </w:t>
      </w:r>
      <w:r w:rsidR="00D816A6">
        <w:rPr>
          <w:i/>
          <w:iCs/>
          <w:lang w:val="fr-FR"/>
        </w:rPr>
        <w:t>1</w:t>
      </w:r>
      <w:r w:rsidR="008F1C9E">
        <w:rPr>
          <w:i/>
          <w:iCs/>
          <w:lang w:val="fr-FR"/>
        </w:rPr>
        <w:t>1</w:t>
      </w:r>
      <w:r w:rsidRPr="006A0C4B">
        <w:rPr>
          <w:i/>
          <w:lang w:val="fr-FR"/>
        </w:rPr>
        <w:t xml:space="preserve">: </w:t>
      </w:r>
      <w:r w:rsidR="009B1401" w:rsidRPr="006A0C4B">
        <w:rPr>
          <w:i/>
          <w:lang w:val="fr-FR"/>
        </w:rPr>
        <w:t>Paris-compatible emissions pathways</w:t>
      </w:r>
      <w:r w:rsidR="009B1401" w:rsidRPr="006A0C4B">
        <w:rPr>
          <w:rStyle w:val="FootnoteReference"/>
          <w:i/>
        </w:rPr>
        <w:footnoteReference w:id="46"/>
      </w:r>
    </w:p>
    <w:tbl>
      <w:tblPr>
        <w:tblStyle w:val="TableGrid"/>
        <w:tblW w:w="0" w:type="auto"/>
        <w:tblLayout w:type="fixed"/>
        <w:tblLook w:val="04A0" w:firstRow="1" w:lastRow="0" w:firstColumn="1" w:lastColumn="0" w:noHBand="0" w:noVBand="1"/>
      </w:tblPr>
      <w:tblGrid>
        <w:gridCol w:w="1838"/>
        <w:gridCol w:w="1418"/>
        <w:gridCol w:w="1701"/>
        <w:gridCol w:w="1701"/>
        <w:gridCol w:w="1559"/>
        <w:gridCol w:w="1978"/>
      </w:tblGrid>
      <w:tr w:rsidR="00CB2C97" w:rsidRPr="00604BC4" w14:paraId="5F9055AE" w14:textId="77777777" w:rsidTr="00464F4A">
        <w:tc>
          <w:tcPr>
            <w:tcW w:w="1838" w:type="dxa"/>
            <w:vMerge w:val="restart"/>
          </w:tcPr>
          <w:p w14:paraId="2D165B81" w14:textId="77777777" w:rsidR="00CB2C97" w:rsidRPr="0071483C" w:rsidRDefault="00CB2C97" w:rsidP="00464F4A">
            <w:pPr>
              <w:rPr>
                <w:b/>
                <w:sz w:val="22"/>
                <w:szCs w:val="22"/>
              </w:rPr>
            </w:pPr>
            <w:r w:rsidRPr="0071483C">
              <w:rPr>
                <w:b/>
                <w:sz w:val="22"/>
                <w:szCs w:val="22"/>
              </w:rPr>
              <w:t>Kyoto GHG (AR4) GtCO</w:t>
            </w:r>
            <w:r w:rsidRPr="0071483C">
              <w:rPr>
                <w:b/>
                <w:sz w:val="22"/>
                <w:szCs w:val="22"/>
                <w:vertAlign w:val="subscript"/>
              </w:rPr>
              <w:t>2</w:t>
            </w:r>
            <w:r w:rsidRPr="0071483C">
              <w:rPr>
                <w:b/>
                <w:sz w:val="22"/>
                <w:szCs w:val="22"/>
              </w:rPr>
              <w:t>e</w:t>
            </w:r>
          </w:p>
        </w:tc>
        <w:tc>
          <w:tcPr>
            <w:tcW w:w="6379" w:type="dxa"/>
            <w:gridSpan w:val="4"/>
          </w:tcPr>
          <w:p w14:paraId="4DC11C49" w14:textId="77777777" w:rsidR="00CB2C97" w:rsidRPr="0071483C" w:rsidRDefault="00CB2C97" w:rsidP="00464F4A">
            <w:pPr>
              <w:jc w:val="center"/>
              <w:rPr>
                <w:b/>
                <w:sz w:val="22"/>
                <w:szCs w:val="22"/>
              </w:rPr>
            </w:pPr>
            <w:r w:rsidRPr="0071483C">
              <w:rPr>
                <w:b/>
                <w:sz w:val="22"/>
                <w:szCs w:val="22"/>
              </w:rPr>
              <w:t>Global Annual Emissions</w:t>
            </w:r>
          </w:p>
          <w:p w14:paraId="0466EDBF" w14:textId="77777777" w:rsidR="00CB2C97" w:rsidRPr="006A0C4B" w:rsidRDefault="00CB2C97" w:rsidP="00464F4A">
            <w:pPr>
              <w:jc w:val="center"/>
              <w:rPr>
                <w:sz w:val="22"/>
                <w:szCs w:val="22"/>
              </w:rPr>
            </w:pPr>
            <w:r w:rsidRPr="0071483C">
              <w:rPr>
                <w:b/>
                <w:sz w:val="22"/>
                <w:szCs w:val="22"/>
              </w:rPr>
              <w:t>(interquartile range in brackets)</w:t>
            </w:r>
          </w:p>
        </w:tc>
        <w:tc>
          <w:tcPr>
            <w:tcW w:w="1978" w:type="dxa"/>
          </w:tcPr>
          <w:p w14:paraId="7BBB67F6" w14:textId="77777777" w:rsidR="00CB2C97" w:rsidRPr="0071483C" w:rsidRDefault="00CB2C97" w:rsidP="00464F4A">
            <w:pPr>
              <w:jc w:val="center"/>
              <w:rPr>
                <w:b/>
                <w:sz w:val="22"/>
                <w:szCs w:val="22"/>
              </w:rPr>
            </w:pPr>
            <w:r w:rsidRPr="0071483C">
              <w:rPr>
                <w:b/>
                <w:sz w:val="22"/>
                <w:szCs w:val="22"/>
              </w:rPr>
              <w:t>Timing of Global Net Zero</w:t>
            </w:r>
          </w:p>
        </w:tc>
      </w:tr>
      <w:tr w:rsidR="00CB2C97" w:rsidRPr="00604BC4" w14:paraId="280BE53C" w14:textId="77777777" w:rsidTr="00464F4A">
        <w:tc>
          <w:tcPr>
            <w:tcW w:w="1838" w:type="dxa"/>
            <w:vMerge/>
          </w:tcPr>
          <w:p w14:paraId="3F33E43B" w14:textId="77777777" w:rsidR="00CB2C97" w:rsidRPr="0071483C" w:rsidRDefault="00CB2C97" w:rsidP="00464F4A">
            <w:pPr>
              <w:rPr>
                <w:b/>
                <w:sz w:val="22"/>
                <w:szCs w:val="22"/>
              </w:rPr>
            </w:pPr>
          </w:p>
        </w:tc>
        <w:tc>
          <w:tcPr>
            <w:tcW w:w="1418" w:type="dxa"/>
          </w:tcPr>
          <w:p w14:paraId="44C7741D" w14:textId="77777777" w:rsidR="00CB2C97" w:rsidRPr="0071483C" w:rsidRDefault="00CB2C97" w:rsidP="00464F4A">
            <w:pPr>
              <w:ind w:right="170"/>
              <w:jc w:val="right"/>
              <w:rPr>
                <w:b/>
                <w:sz w:val="22"/>
                <w:szCs w:val="22"/>
              </w:rPr>
            </w:pPr>
            <w:r w:rsidRPr="0071483C">
              <w:rPr>
                <w:b/>
                <w:sz w:val="22"/>
                <w:szCs w:val="22"/>
              </w:rPr>
              <w:t>2019</w:t>
            </w:r>
          </w:p>
        </w:tc>
        <w:tc>
          <w:tcPr>
            <w:tcW w:w="1701" w:type="dxa"/>
          </w:tcPr>
          <w:p w14:paraId="32BE5DB8" w14:textId="77777777" w:rsidR="00CB2C97" w:rsidRPr="0071483C" w:rsidRDefault="00CB2C97" w:rsidP="00464F4A">
            <w:pPr>
              <w:ind w:right="170"/>
              <w:jc w:val="right"/>
              <w:rPr>
                <w:b/>
                <w:sz w:val="22"/>
                <w:szCs w:val="22"/>
              </w:rPr>
            </w:pPr>
            <w:r w:rsidRPr="0071483C">
              <w:rPr>
                <w:b/>
                <w:sz w:val="22"/>
                <w:szCs w:val="22"/>
              </w:rPr>
              <w:t>2030</w:t>
            </w:r>
          </w:p>
        </w:tc>
        <w:tc>
          <w:tcPr>
            <w:tcW w:w="1701" w:type="dxa"/>
          </w:tcPr>
          <w:p w14:paraId="4C1E25DF" w14:textId="77777777" w:rsidR="00CB2C97" w:rsidRPr="0071483C" w:rsidRDefault="00CB2C97" w:rsidP="00464F4A">
            <w:pPr>
              <w:ind w:right="170"/>
              <w:jc w:val="right"/>
              <w:rPr>
                <w:b/>
                <w:sz w:val="22"/>
                <w:szCs w:val="22"/>
              </w:rPr>
            </w:pPr>
            <w:r w:rsidRPr="0071483C">
              <w:rPr>
                <w:b/>
                <w:sz w:val="22"/>
                <w:szCs w:val="22"/>
              </w:rPr>
              <w:t>2050</w:t>
            </w:r>
          </w:p>
        </w:tc>
        <w:tc>
          <w:tcPr>
            <w:tcW w:w="1559" w:type="dxa"/>
          </w:tcPr>
          <w:p w14:paraId="3B9FC789" w14:textId="77777777" w:rsidR="00CB2C97" w:rsidRPr="0071483C" w:rsidRDefault="00CB2C97" w:rsidP="00464F4A">
            <w:pPr>
              <w:ind w:right="170"/>
              <w:jc w:val="right"/>
              <w:rPr>
                <w:b/>
                <w:sz w:val="22"/>
                <w:szCs w:val="22"/>
              </w:rPr>
            </w:pPr>
            <w:r w:rsidRPr="0071483C">
              <w:rPr>
                <w:b/>
                <w:sz w:val="22"/>
                <w:szCs w:val="22"/>
              </w:rPr>
              <w:t>2100</w:t>
            </w:r>
          </w:p>
        </w:tc>
        <w:tc>
          <w:tcPr>
            <w:tcW w:w="1978" w:type="dxa"/>
          </w:tcPr>
          <w:p w14:paraId="7BB69F58" w14:textId="77777777" w:rsidR="00CB2C97" w:rsidRPr="0071483C" w:rsidRDefault="00CB2C97" w:rsidP="00464F4A">
            <w:pPr>
              <w:jc w:val="right"/>
              <w:rPr>
                <w:b/>
                <w:sz w:val="22"/>
                <w:szCs w:val="22"/>
              </w:rPr>
            </w:pPr>
            <w:r w:rsidRPr="0071483C">
              <w:rPr>
                <w:b/>
                <w:sz w:val="22"/>
                <w:szCs w:val="22"/>
              </w:rPr>
              <w:t>Year</w:t>
            </w:r>
          </w:p>
        </w:tc>
      </w:tr>
      <w:tr w:rsidR="00CB2C97" w:rsidRPr="00604BC4" w14:paraId="7599388B" w14:textId="77777777" w:rsidTr="00464F4A">
        <w:tc>
          <w:tcPr>
            <w:tcW w:w="1838" w:type="dxa"/>
          </w:tcPr>
          <w:p w14:paraId="6B6608C9" w14:textId="77777777" w:rsidR="00CB2C97" w:rsidRPr="0071483C" w:rsidRDefault="00CB2C97" w:rsidP="00464F4A">
            <w:pPr>
              <w:rPr>
                <w:b/>
                <w:sz w:val="22"/>
                <w:szCs w:val="22"/>
              </w:rPr>
            </w:pPr>
            <w:r w:rsidRPr="0071483C">
              <w:rPr>
                <w:b/>
                <w:sz w:val="22"/>
                <w:szCs w:val="22"/>
              </w:rPr>
              <w:t>1.5 Degrees Low or No Overshoot</w:t>
            </w:r>
          </w:p>
        </w:tc>
        <w:tc>
          <w:tcPr>
            <w:tcW w:w="1418" w:type="dxa"/>
            <w:vMerge w:val="restart"/>
            <w:vAlign w:val="center"/>
          </w:tcPr>
          <w:p w14:paraId="446BE6A1" w14:textId="77777777" w:rsidR="00CB2C97" w:rsidRPr="006A0C4B" w:rsidRDefault="00CB2C97" w:rsidP="00464F4A">
            <w:pPr>
              <w:ind w:right="170"/>
              <w:jc w:val="right"/>
              <w:rPr>
                <w:sz w:val="22"/>
                <w:szCs w:val="22"/>
              </w:rPr>
            </w:pPr>
            <w:r w:rsidRPr="006A0C4B">
              <w:rPr>
                <w:sz w:val="22"/>
                <w:szCs w:val="22"/>
              </w:rPr>
              <w:t>59.1</w:t>
            </w:r>
          </w:p>
          <w:p w14:paraId="7A7B7FA2" w14:textId="77777777" w:rsidR="00CB2C97" w:rsidRPr="006A0C4B" w:rsidRDefault="00CB2C97" w:rsidP="00464F4A">
            <w:pPr>
              <w:ind w:right="170"/>
              <w:jc w:val="right"/>
              <w:rPr>
                <w:sz w:val="22"/>
                <w:szCs w:val="22"/>
              </w:rPr>
            </w:pPr>
            <w:r w:rsidRPr="006A0C4B">
              <w:rPr>
                <w:sz w:val="22"/>
                <w:szCs w:val="22"/>
              </w:rPr>
              <w:t>(+/- 5.9)</w:t>
            </w:r>
          </w:p>
        </w:tc>
        <w:tc>
          <w:tcPr>
            <w:tcW w:w="1701" w:type="dxa"/>
          </w:tcPr>
          <w:p w14:paraId="6EDC5F30" w14:textId="77777777" w:rsidR="00CB2C97" w:rsidRPr="006A0C4B" w:rsidRDefault="00CB2C97" w:rsidP="00464F4A">
            <w:pPr>
              <w:ind w:right="170"/>
              <w:jc w:val="right"/>
              <w:rPr>
                <w:sz w:val="22"/>
                <w:szCs w:val="22"/>
              </w:rPr>
            </w:pPr>
            <w:r w:rsidRPr="006A0C4B">
              <w:rPr>
                <w:sz w:val="22"/>
                <w:szCs w:val="22"/>
              </w:rPr>
              <w:t>27.4</w:t>
            </w:r>
          </w:p>
          <w:p w14:paraId="173C9FAA" w14:textId="77777777" w:rsidR="00CB2C97" w:rsidRPr="006A0C4B" w:rsidRDefault="00CB2C97" w:rsidP="00464F4A">
            <w:pPr>
              <w:ind w:right="170"/>
              <w:jc w:val="right"/>
              <w:rPr>
                <w:sz w:val="22"/>
                <w:szCs w:val="22"/>
              </w:rPr>
            </w:pPr>
            <w:r w:rsidRPr="006A0C4B">
              <w:rPr>
                <w:sz w:val="22"/>
                <w:szCs w:val="22"/>
              </w:rPr>
              <w:t>(30.9, 24.7)</w:t>
            </w:r>
          </w:p>
        </w:tc>
        <w:tc>
          <w:tcPr>
            <w:tcW w:w="1701" w:type="dxa"/>
          </w:tcPr>
          <w:p w14:paraId="0BC5ED8A" w14:textId="77777777" w:rsidR="00CB2C97" w:rsidRPr="006A0C4B" w:rsidRDefault="00CB2C97" w:rsidP="00464F4A">
            <w:pPr>
              <w:ind w:right="170"/>
              <w:jc w:val="right"/>
              <w:rPr>
                <w:sz w:val="22"/>
                <w:szCs w:val="22"/>
              </w:rPr>
            </w:pPr>
            <w:r w:rsidRPr="006A0C4B">
              <w:rPr>
                <w:sz w:val="22"/>
                <w:szCs w:val="22"/>
              </w:rPr>
              <w:t>6.5</w:t>
            </w:r>
          </w:p>
          <w:p w14:paraId="43368420" w14:textId="77777777" w:rsidR="00CB2C97" w:rsidRPr="006A0C4B" w:rsidRDefault="00CB2C97" w:rsidP="00464F4A">
            <w:pPr>
              <w:ind w:right="170"/>
              <w:jc w:val="right"/>
              <w:rPr>
                <w:sz w:val="22"/>
                <w:szCs w:val="22"/>
              </w:rPr>
            </w:pPr>
            <w:r w:rsidRPr="006A0C4B">
              <w:rPr>
                <w:sz w:val="22"/>
                <w:szCs w:val="22"/>
              </w:rPr>
              <w:t>(9.6, 4.2)</w:t>
            </w:r>
          </w:p>
        </w:tc>
        <w:tc>
          <w:tcPr>
            <w:tcW w:w="1559" w:type="dxa"/>
          </w:tcPr>
          <w:p w14:paraId="1D7793EC" w14:textId="77777777" w:rsidR="00CB2C97" w:rsidRPr="006A0C4B" w:rsidRDefault="00CB2C97" w:rsidP="00464F4A">
            <w:pPr>
              <w:ind w:right="170"/>
              <w:jc w:val="right"/>
              <w:rPr>
                <w:sz w:val="22"/>
                <w:szCs w:val="22"/>
              </w:rPr>
            </w:pPr>
            <w:r w:rsidRPr="006A0C4B">
              <w:rPr>
                <w:sz w:val="22"/>
                <w:szCs w:val="22"/>
              </w:rPr>
              <w:t>-3.7</w:t>
            </w:r>
          </w:p>
          <w:p w14:paraId="0F72857A" w14:textId="77777777" w:rsidR="00CB2C97" w:rsidRPr="006A0C4B" w:rsidRDefault="00CB2C97" w:rsidP="00464F4A">
            <w:pPr>
              <w:ind w:right="170"/>
              <w:jc w:val="right"/>
              <w:rPr>
                <w:sz w:val="22"/>
                <w:szCs w:val="22"/>
              </w:rPr>
            </w:pPr>
            <w:r w:rsidRPr="006A0C4B">
              <w:rPr>
                <w:sz w:val="22"/>
                <w:szCs w:val="22"/>
              </w:rPr>
              <w:t>(-1.8, -7.8)</w:t>
            </w:r>
          </w:p>
        </w:tc>
        <w:tc>
          <w:tcPr>
            <w:tcW w:w="1978" w:type="dxa"/>
          </w:tcPr>
          <w:p w14:paraId="37774A66" w14:textId="77777777" w:rsidR="00CB2C97" w:rsidRPr="006A0C4B" w:rsidRDefault="00CB2C97" w:rsidP="00464F4A">
            <w:pPr>
              <w:jc w:val="right"/>
              <w:rPr>
                <w:sz w:val="22"/>
                <w:szCs w:val="22"/>
              </w:rPr>
            </w:pPr>
            <w:r w:rsidRPr="006A0C4B">
              <w:rPr>
                <w:sz w:val="22"/>
                <w:szCs w:val="22"/>
              </w:rPr>
              <w:t>2067</w:t>
            </w:r>
          </w:p>
          <w:p w14:paraId="766E03EB" w14:textId="77777777" w:rsidR="00CB2C97" w:rsidRPr="006A0C4B" w:rsidRDefault="00CB2C97" w:rsidP="00464F4A">
            <w:pPr>
              <w:jc w:val="right"/>
              <w:rPr>
                <w:sz w:val="22"/>
                <w:szCs w:val="22"/>
              </w:rPr>
            </w:pPr>
            <w:r w:rsidRPr="006A0C4B">
              <w:rPr>
                <w:sz w:val="22"/>
                <w:szCs w:val="22"/>
              </w:rPr>
              <w:t>(2061, 2084)</w:t>
            </w:r>
          </w:p>
        </w:tc>
      </w:tr>
      <w:tr w:rsidR="00CB2C97" w:rsidRPr="00604BC4" w14:paraId="2A00012C" w14:textId="77777777" w:rsidTr="00464F4A">
        <w:tc>
          <w:tcPr>
            <w:tcW w:w="1838" w:type="dxa"/>
          </w:tcPr>
          <w:p w14:paraId="121B152D" w14:textId="77777777" w:rsidR="00CB2C97" w:rsidRPr="0071483C" w:rsidRDefault="00CB2C97" w:rsidP="00464F4A">
            <w:pPr>
              <w:rPr>
                <w:b/>
                <w:sz w:val="22"/>
                <w:szCs w:val="22"/>
              </w:rPr>
            </w:pPr>
            <w:r w:rsidRPr="0071483C">
              <w:rPr>
                <w:b/>
                <w:sz w:val="22"/>
                <w:szCs w:val="22"/>
              </w:rPr>
              <w:t xml:space="preserve">Well Below </w:t>
            </w:r>
            <w:r w:rsidRPr="0071483C">
              <w:rPr>
                <w:b/>
                <w:bCs/>
                <w:sz w:val="22"/>
                <w:szCs w:val="22"/>
              </w:rPr>
              <w:t>2</w:t>
            </w:r>
            <w:r>
              <w:rPr>
                <w:b/>
                <w:bCs/>
                <w:sz w:val="22"/>
                <w:szCs w:val="22"/>
              </w:rPr>
              <w:t xml:space="preserve"> </w:t>
            </w:r>
            <w:r w:rsidRPr="0071483C">
              <w:rPr>
                <w:b/>
                <w:bCs/>
                <w:sz w:val="22"/>
                <w:szCs w:val="22"/>
              </w:rPr>
              <w:t>Degrees</w:t>
            </w:r>
          </w:p>
        </w:tc>
        <w:tc>
          <w:tcPr>
            <w:tcW w:w="1418" w:type="dxa"/>
            <w:vMerge/>
          </w:tcPr>
          <w:p w14:paraId="34080962" w14:textId="77777777" w:rsidR="00CB2C97" w:rsidRPr="006A0C4B" w:rsidRDefault="00CB2C97" w:rsidP="00464F4A">
            <w:pPr>
              <w:ind w:right="170"/>
              <w:jc w:val="right"/>
              <w:rPr>
                <w:sz w:val="22"/>
                <w:szCs w:val="22"/>
              </w:rPr>
            </w:pPr>
          </w:p>
        </w:tc>
        <w:tc>
          <w:tcPr>
            <w:tcW w:w="1701" w:type="dxa"/>
          </w:tcPr>
          <w:p w14:paraId="335CCA9F" w14:textId="77777777" w:rsidR="00CB2C97" w:rsidRPr="006A0C4B" w:rsidRDefault="00CB2C97" w:rsidP="00464F4A">
            <w:pPr>
              <w:ind w:right="170"/>
              <w:jc w:val="right"/>
              <w:rPr>
                <w:sz w:val="22"/>
                <w:szCs w:val="22"/>
              </w:rPr>
            </w:pPr>
            <w:r w:rsidRPr="006A0C4B">
              <w:rPr>
                <w:sz w:val="22"/>
                <w:szCs w:val="22"/>
              </w:rPr>
              <w:t>39.6</w:t>
            </w:r>
          </w:p>
          <w:p w14:paraId="09D5FD52" w14:textId="77777777" w:rsidR="00CB2C97" w:rsidRPr="006A0C4B" w:rsidRDefault="00CB2C97" w:rsidP="00464F4A">
            <w:pPr>
              <w:ind w:right="170"/>
              <w:jc w:val="right"/>
              <w:rPr>
                <w:sz w:val="22"/>
                <w:szCs w:val="22"/>
              </w:rPr>
            </w:pPr>
            <w:r w:rsidRPr="006A0C4B">
              <w:rPr>
                <w:sz w:val="22"/>
                <w:szCs w:val="22"/>
              </w:rPr>
              <w:t>(45.1, 35.7)</w:t>
            </w:r>
          </w:p>
        </w:tc>
        <w:tc>
          <w:tcPr>
            <w:tcW w:w="1701" w:type="dxa"/>
          </w:tcPr>
          <w:p w14:paraId="7163F82C" w14:textId="77777777" w:rsidR="00CB2C97" w:rsidRPr="006A0C4B" w:rsidRDefault="00CB2C97" w:rsidP="00464F4A">
            <w:pPr>
              <w:ind w:right="170"/>
              <w:jc w:val="right"/>
              <w:rPr>
                <w:sz w:val="22"/>
                <w:szCs w:val="22"/>
              </w:rPr>
            </w:pPr>
            <w:r w:rsidRPr="006A0C4B">
              <w:rPr>
                <w:sz w:val="22"/>
                <w:szCs w:val="22"/>
              </w:rPr>
              <w:t>18.3</w:t>
            </w:r>
          </w:p>
          <w:p w14:paraId="23349178" w14:textId="77777777" w:rsidR="00CB2C97" w:rsidRPr="006A0C4B" w:rsidRDefault="00CB2C97" w:rsidP="00464F4A">
            <w:pPr>
              <w:ind w:right="170"/>
              <w:jc w:val="right"/>
              <w:rPr>
                <w:sz w:val="22"/>
                <w:szCs w:val="22"/>
              </w:rPr>
            </w:pPr>
            <w:r w:rsidRPr="006A0C4B">
              <w:rPr>
                <w:sz w:val="22"/>
                <w:szCs w:val="22"/>
              </w:rPr>
              <w:t>(20.4, 15.2)</w:t>
            </w:r>
          </w:p>
        </w:tc>
        <w:tc>
          <w:tcPr>
            <w:tcW w:w="1559" w:type="dxa"/>
          </w:tcPr>
          <w:p w14:paraId="32BD6836" w14:textId="77777777" w:rsidR="00CB2C97" w:rsidRPr="006A0C4B" w:rsidRDefault="00CB2C97" w:rsidP="00464F4A">
            <w:pPr>
              <w:ind w:right="170"/>
              <w:jc w:val="right"/>
              <w:rPr>
                <w:sz w:val="22"/>
                <w:szCs w:val="22"/>
              </w:rPr>
            </w:pPr>
            <w:r w:rsidRPr="006A0C4B">
              <w:rPr>
                <w:sz w:val="22"/>
                <w:szCs w:val="22"/>
              </w:rPr>
              <w:t>2.1</w:t>
            </w:r>
          </w:p>
          <w:p w14:paraId="27539B43" w14:textId="77777777" w:rsidR="00CB2C97" w:rsidRPr="006A0C4B" w:rsidRDefault="00CB2C97" w:rsidP="00464F4A">
            <w:pPr>
              <w:ind w:right="170"/>
              <w:jc w:val="right"/>
              <w:rPr>
                <w:sz w:val="22"/>
                <w:szCs w:val="22"/>
              </w:rPr>
            </w:pPr>
            <w:r w:rsidRPr="006A0C4B">
              <w:rPr>
                <w:sz w:val="22"/>
                <w:szCs w:val="22"/>
              </w:rPr>
              <w:t>(4.2, -2.4)</w:t>
            </w:r>
          </w:p>
        </w:tc>
        <w:tc>
          <w:tcPr>
            <w:tcW w:w="1978" w:type="dxa"/>
          </w:tcPr>
          <w:p w14:paraId="4D78234B" w14:textId="77777777" w:rsidR="00CB2C97" w:rsidRPr="006A0C4B" w:rsidRDefault="00CB2C97" w:rsidP="00464F4A">
            <w:pPr>
              <w:jc w:val="right"/>
              <w:rPr>
                <w:sz w:val="22"/>
                <w:szCs w:val="22"/>
              </w:rPr>
            </w:pPr>
            <w:r w:rsidRPr="006A0C4B">
              <w:rPr>
                <w:sz w:val="22"/>
                <w:szCs w:val="22"/>
              </w:rPr>
              <w:t>Post-2100</w:t>
            </w:r>
          </w:p>
          <w:p w14:paraId="14EED8CE" w14:textId="77777777" w:rsidR="00CB2C97" w:rsidRPr="006A0C4B" w:rsidRDefault="00CB2C97" w:rsidP="00464F4A">
            <w:pPr>
              <w:jc w:val="right"/>
              <w:rPr>
                <w:sz w:val="22"/>
                <w:szCs w:val="22"/>
              </w:rPr>
            </w:pPr>
            <w:r w:rsidRPr="006A0C4B">
              <w:rPr>
                <w:sz w:val="22"/>
                <w:szCs w:val="22"/>
              </w:rPr>
              <w:t>(2090, &gt;2100)</w:t>
            </w:r>
          </w:p>
        </w:tc>
      </w:tr>
    </w:tbl>
    <w:p w14:paraId="656ADF50" w14:textId="77777777" w:rsidR="005322C6" w:rsidRDefault="005322C6" w:rsidP="009229B3">
      <w:pPr>
        <w:pStyle w:val="Numberedparagraphs"/>
        <w:numPr>
          <w:ilvl w:val="0"/>
          <w:numId w:val="0"/>
        </w:numPr>
        <w:spacing w:after="120"/>
      </w:pPr>
    </w:p>
    <w:p w14:paraId="1950492F" w14:textId="106A9F38" w:rsidR="008F554F" w:rsidRDefault="008F554F" w:rsidP="009229B3">
      <w:pPr>
        <w:pStyle w:val="Numberedparagraphs"/>
      </w:pPr>
      <w:r>
        <w:t xml:space="preserve">Current </w:t>
      </w:r>
      <w:r w:rsidRPr="008F554F">
        <w:t>international commitments under the Paris Agreement (i.e. aggregate Nationally Determined Contributions) do not put the world on track to meet the Paris temperature goals. According to the UNEP Emissions Gap Report 2020, current aggregate NDCs as of November 2020 would lead to a temperature increase of at least 3</w:t>
      </w:r>
      <w:r w:rsidR="002E4CE5" w:rsidRPr="008F554F">
        <w:t>°</w:t>
      </w:r>
      <w:r w:rsidRPr="008F554F">
        <w:t>C by the end of the century, signalling the need for a significant step-up in climate change mitigation ambition if the Paris temperature goal is to remain within reach. The report estimates a global emissions gap in 2030 of 12-29GtCO</w:t>
      </w:r>
      <w:r w:rsidRPr="002E4CE5">
        <w:rPr>
          <w:vertAlign w:val="subscript"/>
        </w:rPr>
        <w:t>2</w:t>
      </w:r>
      <w:r w:rsidRPr="008F554F">
        <w:t>e between the more ambitious end of current aggregate NDCs and Paris</w:t>
      </w:r>
      <w:r w:rsidR="002E4CE5">
        <w:t>-</w:t>
      </w:r>
      <w:r w:rsidRPr="008F554F">
        <w:t>compatible emissions scenarios. The UNFCCC’s Interim NDC Synthesis Report found limited progress on NDC ambition from updated NDCs submitted up to the end of 2020.</w:t>
      </w:r>
    </w:p>
    <w:p w14:paraId="5118A444" w14:textId="0DF4C3D8" w:rsidR="00AC1E0F" w:rsidRPr="001C0641" w:rsidRDefault="009E62AF" w:rsidP="009229B3">
      <w:pPr>
        <w:pStyle w:val="Numberedparagraphs"/>
      </w:pPr>
      <w:r>
        <w:t>However, r</w:t>
      </w:r>
      <w:r w:rsidR="00F9400E" w:rsidRPr="00F9400E">
        <w:t xml:space="preserve">ecent long-term net zero announcements from </w:t>
      </w:r>
      <w:r>
        <w:t xml:space="preserve">some of the </w:t>
      </w:r>
      <w:r w:rsidR="00F9400E" w:rsidRPr="00F9400E">
        <w:t xml:space="preserve">major economies provide </w:t>
      </w:r>
      <w:r w:rsidR="00340C79">
        <w:t>grounds for some</w:t>
      </w:r>
      <w:r w:rsidR="00F9400E" w:rsidRPr="00F9400E">
        <w:t xml:space="preserve"> optimism, building momentum towards COP26</w:t>
      </w:r>
      <w:r w:rsidR="008F554F" w:rsidRPr="008F554F">
        <w:t>.</w:t>
      </w:r>
      <w:r w:rsidR="00FE2461">
        <w:t xml:space="preserve"> The </w:t>
      </w:r>
      <w:r w:rsidR="00F9400E" w:rsidRPr="00F9400E">
        <w:t xml:space="preserve">impacts </w:t>
      </w:r>
      <w:r w:rsidR="00FE2461">
        <w:t xml:space="preserve">of the announcements </w:t>
      </w:r>
      <w:r w:rsidR="00F9400E" w:rsidRPr="00F9400E">
        <w:t xml:space="preserve">on global temperatures will crucially depend on </w:t>
      </w:r>
      <w:r w:rsidR="00432A98">
        <w:t xml:space="preserve">the </w:t>
      </w:r>
      <w:r w:rsidR="00F9400E" w:rsidRPr="00F9400E">
        <w:t>speed and certainty of policy action, with significant associated uncertainties</w:t>
      </w:r>
      <w:r w:rsidR="008F554F" w:rsidRPr="008F554F">
        <w:t>.</w:t>
      </w:r>
      <w:r w:rsidR="00D43CCC">
        <w:t xml:space="preserve"> More information is included in the ‘</w:t>
      </w:r>
      <w:r w:rsidR="00D43CCC" w:rsidRPr="00D43CCC">
        <w:t>Commitments of other countries</w:t>
      </w:r>
      <w:r w:rsidR="00D43CCC">
        <w:t>’ section below.</w:t>
      </w:r>
    </w:p>
    <w:p w14:paraId="71720A53" w14:textId="1A0342F3" w:rsidR="00866D8A" w:rsidRPr="009B5EBA" w:rsidRDefault="004C763A" w:rsidP="00EA2E7F">
      <w:pPr>
        <w:pStyle w:val="Heading4"/>
        <w:rPr>
          <w:b w:val="0"/>
          <w:i/>
          <w:szCs w:val="24"/>
        </w:rPr>
      </w:pPr>
      <w:r w:rsidRPr="009B5EBA">
        <w:rPr>
          <w:szCs w:val="24"/>
        </w:rPr>
        <w:t xml:space="preserve">UK contribution towards </w:t>
      </w:r>
      <w:r w:rsidR="00D10692" w:rsidRPr="009B5EBA">
        <w:rPr>
          <w:szCs w:val="24"/>
        </w:rPr>
        <w:t>Paris temperature goal</w:t>
      </w:r>
    </w:p>
    <w:p w14:paraId="3F9CB3EA" w14:textId="00B1EA85" w:rsidR="002C6C42" w:rsidRDefault="002C6C42" w:rsidP="009229B3">
      <w:pPr>
        <w:pStyle w:val="Numberedparagraphs"/>
      </w:pPr>
      <w:r>
        <w:t xml:space="preserve">Climate change is a global inter-generational negative externality that requires coordinated, decisive and long-lasting action from all countries. </w:t>
      </w:r>
      <w:r w:rsidR="00D70E2A">
        <w:t>I</w:t>
      </w:r>
      <w:r>
        <w:t>t is</w:t>
      </w:r>
      <w:r w:rsidR="00682A4F">
        <w:t xml:space="preserve"> therefore</w:t>
      </w:r>
      <w:r>
        <w:t xml:space="preserve"> reasonable to assess what an appropriate contribution should be for the UK to make towards overall global emissions reductions.</w:t>
      </w:r>
    </w:p>
    <w:p w14:paraId="0D90D095" w14:textId="10938C4B" w:rsidR="00446B0C" w:rsidRPr="00F67B10" w:rsidRDefault="00642801" w:rsidP="009229B3">
      <w:pPr>
        <w:pStyle w:val="Numberedparagraphs"/>
      </w:pPr>
      <w:r w:rsidRPr="00F67B10">
        <w:t>The Paris Agreemen</w:t>
      </w:r>
      <w:r w:rsidR="00756654" w:rsidRPr="00F67B10">
        <w:t xml:space="preserve">t </w:t>
      </w:r>
      <w:r w:rsidR="003E4FA8" w:rsidRPr="00F67B10">
        <w:t>is</w:t>
      </w:r>
      <w:r w:rsidR="00D004F1" w:rsidRPr="00F67B10">
        <w:t xml:space="preserve"> </w:t>
      </w:r>
      <w:r w:rsidR="00756654" w:rsidRPr="00F67B10">
        <w:t xml:space="preserve">not prescriptive </w:t>
      </w:r>
      <w:r w:rsidR="00604BC4">
        <w:t>about</w:t>
      </w:r>
      <w:r w:rsidR="00756654" w:rsidRPr="00F67B10">
        <w:t xml:space="preserve"> what </w:t>
      </w:r>
      <w:r w:rsidR="00744612" w:rsidRPr="00F67B10">
        <w:t>an appropriate</w:t>
      </w:r>
      <w:r w:rsidR="00756654" w:rsidRPr="00F67B10">
        <w:t xml:space="preserve"> contribution </w:t>
      </w:r>
      <w:r w:rsidR="004858D3" w:rsidRPr="00F67B10">
        <w:t xml:space="preserve">towards the global temperature goal should look like </w:t>
      </w:r>
      <w:r w:rsidR="004858D3">
        <w:t>for</w:t>
      </w:r>
      <w:r w:rsidR="00756654" w:rsidRPr="00F67B10">
        <w:t xml:space="preserve"> each signatory;</w:t>
      </w:r>
      <w:r w:rsidR="00063B96" w:rsidRPr="00F67B10">
        <w:t xml:space="preserve"> however, it explicitly refere</w:t>
      </w:r>
      <w:r w:rsidR="00D42308" w:rsidRPr="00F67B10">
        <w:t xml:space="preserve">nces the principles of equity and </w:t>
      </w:r>
      <w:r w:rsidR="000B7A79" w:rsidRPr="00F67B10">
        <w:t>common</w:t>
      </w:r>
      <w:r w:rsidR="2C001804">
        <w:t>-</w:t>
      </w:r>
      <w:r w:rsidR="000B7A79" w:rsidRPr="00F67B10">
        <w:t>but</w:t>
      </w:r>
      <w:r w:rsidR="3D619B26">
        <w:t>-</w:t>
      </w:r>
      <w:r w:rsidR="000B7A79" w:rsidRPr="00F67B10">
        <w:t xml:space="preserve">differentiated responsibilities </w:t>
      </w:r>
      <w:r w:rsidR="003E4FA8" w:rsidRPr="00F67B10">
        <w:t>and respective capabilitie</w:t>
      </w:r>
      <w:r w:rsidR="00446B0C" w:rsidRPr="00F67B10">
        <w:t xml:space="preserve">s as guiding principles for </w:t>
      </w:r>
      <w:r w:rsidR="003D7E0F">
        <w:t xml:space="preserve">the </w:t>
      </w:r>
      <w:r w:rsidR="00FA0347">
        <w:t>A</w:t>
      </w:r>
      <w:r w:rsidR="003D7E0F">
        <w:t>greement’s</w:t>
      </w:r>
      <w:r w:rsidR="00446B0C" w:rsidRPr="00F67B10">
        <w:t xml:space="preserve"> implementation. </w:t>
      </w:r>
    </w:p>
    <w:p w14:paraId="69648FE7" w14:textId="7AAD4BBE" w:rsidR="00446B0C" w:rsidRPr="00F67B10" w:rsidRDefault="00744612" w:rsidP="009229B3">
      <w:pPr>
        <w:pStyle w:val="Numberedparagraphs"/>
      </w:pPr>
      <w:r w:rsidRPr="00F67B10">
        <w:t>There is no</w:t>
      </w:r>
      <w:r w:rsidR="00C50435" w:rsidRPr="00F67B10">
        <w:t xml:space="preserve"> single</w:t>
      </w:r>
      <w:r w:rsidRPr="00F67B10">
        <w:t xml:space="preserve"> internationally accepted standard</w:t>
      </w:r>
      <w:r w:rsidR="00951F08" w:rsidRPr="00F67B10">
        <w:t xml:space="preserve"> methodology </w:t>
      </w:r>
      <w:r w:rsidRPr="00F67B10">
        <w:t>for measuring</w:t>
      </w:r>
      <w:r w:rsidR="00951F08" w:rsidRPr="00F67B10">
        <w:t xml:space="preserve"> </w:t>
      </w:r>
      <w:r w:rsidR="00321A8A" w:rsidRPr="00F67B10">
        <w:t xml:space="preserve">or assessing </w:t>
      </w:r>
      <w:r w:rsidR="00951F08" w:rsidRPr="00F67B10">
        <w:t>wh</w:t>
      </w:r>
      <w:r w:rsidR="00321A8A" w:rsidRPr="00F67B10">
        <w:t>ether</w:t>
      </w:r>
      <w:r w:rsidR="00951F08" w:rsidRPr="00F67B10">
        <w:t xml:space="preserve"> </w:t>
      </w:r>
      <w:r w:rsidR="00321A8A" w:rsidRPr="00F67B10">
        <w:t xml:space="preserve">a country’s emissions reduction target represents </w:t>
      </w:r>
      <w:r w:rsidR="00951F08" w:rsidRPr="00F67B10">
        <w:t xml:space="preserve">an appropriate contribution </w:t>
      </w:r>
      <w:r w:rsidR="00D61654" w:rsidRPr="00F67B10">
        <w:t xml:space="preserve">towards the Paris temperature goal. </w:t>
      </w:r>
      <w:r w:rsidR="006E2A41" w:rsidRPr="00F67B10">
        <w:t xml:space="preserve">This </w:t>
      </w:r>
      <w:r w:rsidR="0008077E">
        <w:t>Impact Assessment</w:t>
      </w:r>
      <w:r w:rsidRPr="00F67B10">
        <w:t xml:space="preserve"> </w:t>
      </w:r>
      <w:r w:rsidR="00625EBF">
        <w:t xml:space="preserve">therefore </w:t>
      </w:r>
      <w:r w:rsidR="005E1567">
        <w:t>investigates</w:t>
      </w:r>
      <w:r w:rsidR="002E0D65" w:rsidRPr="00F67B10">
        <w:t xml:space="preserve"> </w:t>
      </w:r>
      <w:r w:rsidR="00625EBF">
        <w:t xml:space="preserve">a range of potential interpretations </w:t>
      </w:r>
      <w:r w:rsidR="005E1567">
        <w:t xml:space="preserve">by considering </w:t>
      </w:r>
      <w:r w:rsidR="002E0D65" w:rsidRPr="00F67B10">
        <w:t>the following dimensions:</w:t>
      </w:r>
    </w:p>
    <w:p w14:paraId="50C6B367" w14:textId="77777777" w:rsidR="002E0D65" w:rsidRPr="00F67B10" w:rsidRDefault="00C54EE6" w:rsidP="0071483C">
      <w:pPr>
        <w:pStyle w:val="Bullets"/>
        <w:numPr>
          <w:ilvl w:val="0"/>
          <w:numId w:val="809"/>
        </w:numPr>
      </w:pPr>
      <w:r>
        <w:t>Comparison to g</w:t>
      </w:r>
      <w:r w:rsidR="005E1567">
        <w:rPr>
          <w:szCs w:val="24"/>
        </w:rPr>
        <w:t>lobal averages</w:t>
      </w:r>
      <w:r w:rsidR="004A2903">
        <w:rPr>
          <w:szCs w:val="24"/>
        </w:rPr>
        <w:t xml:space="preserve"> </w:t>
      </w:r>
      <w:r w:rsidR="00AE7A41">
        <w:rPr>
          <w:szCs w:val="24"/>
        </w:rPr>
        <w:t>consistent with Paris</w:t>
      </w:r>
      <w:r w:rsidR="008E6A32">
        <w:rPr>
          <w:szCs w:val="24"/>
        </w:rPr>
        <w:t>-compatible pathways</w:t>
      </w:r>
      <w:r w:rsidR="003C7BD0" w:rsidRPr="00F67B10">
        <w:t xml:space="preserve"> </w:t>
      </w:r>
    </w:p>
    <w:p w14:paraId="1DBCB47E" w14:textId="005171BF" w:rsidR="00DE3299" w:rsidRPr="001418E7" w:rsidRDefault="00EF6AE6" w:rsidP="001418E7">
      <w:pPr>
        <w:pStyle w:val="Bullets"/>
        <w:numPr>
          <w:ilvl w:val="0"/>
          <w:numId w:val="809"/>
        </w:numPr>
        <w:rPr>
          <w:szCs w:val="24"/>
        </w:rPr>
      </w:pPr>
      <w:r>
        <w:t xml:space="preserve">Top-down </w:t>
      </w:r>
      <w:r w:rsidR="00B032A3">
        <w:rPr>
          <w:szCs w:val="24"/>
        </w:rPr>
        <w:t xml:space="preserve">global effort sharing </w:t>
      </w:r>
      <w:r w:rsidR="00035281">
        <w:rPr>
          <w:szCs w:val="24"/>
        </w:rPr>
        <w:t>approaches</w:t>
      </w:r>
      <w:r w:rsidR="00B032A3">
        <w:rPr>
          <w:szCs w:val="24"/>
        </w:rPr>
        <w:t xml:space="preserve"> which take into consideration</w:t>
      </w:r>
      <w:r w:rsidR="00EF40EA">
        <w:rPr>
          <w:szCs w:val="24"/>
        </w:rPr>
        <w:t>: (i)</w:t>
      </w:r>
      <w:r w:rsidR="00B032A3">
        <w:rPr>
          <w:szCs w:val="24"/>
        </w:rPr>
        <w:t xml:space="preserve"> </w:t>
      </w:r>
      <w:r w:rsidR="00BC498D">
        <w:rPr>
          <w:szCs w:val="24"/>
        </w:rPr>
        <w:t xml:space="preserve">cost-effectiveness of global action, </w:t>
      </w:r>
      <w:r w:rsidR="00EF40EA">
        <w:rPr>
          <w:szCs w:val="24"/>
        </w:rPr>
        <w:t xml:space="preserve">(ii) countries’ </w:t>
      </w:r>
      <w:r w:rsidR="00F96F2F">
        <w:rPr>
          <w:szCs w:val="24"/>
        </w:rPr>
        <w:t xml:space="preserve">forward-looking convergence </w:t>
      </w:r>
      <w:r w:rsidR="00EF40EA">
        <w:rPr>
          <w:szCs w:val="24"/>
        </w:rPr>
        <w:t xml:space="preserve">to similar emissions performance metrics </w:t>
      </w:r>
      <w:r w:rsidR="00F96F2F">
        <w:rPr>
          <w:szCs w:val="24"/>
        </w:rPr>
        <w:t xml:space="preserve">and </w:t>
      </w:r>
      <w:r w:rsidR="00EF40EA">
        <w:rPr>
          <w:szCs w:val="24"/>
        </w:rPr>
        <w:t xml:space="preserve">(iii) countries’ </w:t>
      </w:r>
      <w:r w:rsidR="00F96F2F">
        <w:rPr>
          <w:szCs w:val="24"/>
        </w:rPr>
        <w:t xml:space="preserve">historical </w:t>
      </w:r>
      <w:r w:rsidR="000D25B1">
        <w:rPr>
          <w:szCs w:val="24"/>
        </w:rPr>
        <w:t xml:space="preserve">emissions </w:t>
      </w:r>
      <w:r w:rsidR="00F96F2F">
        <w:rPr>
          <w:szCs w:val="24"/>
        </w:rPr>
        <w:t>responsibilities.</w:t>
      </w:r>
    </w:p>
    <w:p w14:paraId="556868D4" w14:textId="77777777" w:rsidR="009229B3" w:rsidRDefault="009229B3" w:rsidP="009B5EBA">
      <w:pPr>
        <w:pStyle w:val="Heading4"/>
        <w:spacing w:after="200"/>
        <w:rPr>
          <w:szCs w:val="24"/>
        </w:rPr>
      </w:pPr>
    </w:p>
    <w:p w14:paraId="5CDBF86D" w14:textId="0BC310CE" w:rsidR="00AB74D7" w:rsidRPr="009B5EBA" w:rsidRDefault="00AB74D7" w:rsidP="009B5EBA">
      <w:pPr>
        <w:pStyle w:val="Heading4"/>
        <w:spacing w:after="200"/>
        <w:rPr>
          <w:szCs w:val="24"/>
        </w:rPr>
      </w:pPr>
      <w:r w:rsidRPr="009B5EBA">
        <w:rPr>
          <w:szCs w:val="24"/>
        </w:rPr>
        <w:lastRenderedPageBreak/>
        <w:t xml:space="preserve">Global </w:t>
      </w:r>
      <w:r w:rsidR="00FA0347">
        <w:rPr>
          <w:szCs w:val="24"/>
        </w:rPr>
        <w:t>a</w:t>
      </w:r>
      <w:r w:rsidRPr="009B5EBA">
        <w:rPr>
          <w:szCs w:val="24"/>
        </w:rPr>
        <w:t xml:space="preserve">verage </w:t>
      </w:r>
      <w:r w:rsidR="00FA0347">
        <w:rPr>
          <w:szCs w:val="24"/>
        </w:rPr>
        <w:t>p</w:t>
      </w:r>
      <w:r w:rsidRPr="009B5EBA">
        <w:rPr>
          <w:szCs w:val="24"/>
        </w:rPr>
        <w:t xml:space="preserve">athway </w:t>
      </w:r>
      <w:r w:rsidR="00FA0347">
        <w:rPr>
          <w:szCs w:val="24"/>
        </w:rPr>
        <w:t>c</w:t>
      </w:r>
      <w:r w:rsidRPr="009B5EBA">
        <w:rPr>
          <w:szCs w:val="24"/>
        </w:rPr>
        <w:t>omparisons</w:t>
      </w:r>
    </w:p>
    <w:p w14:paraId="1BAC068D" w14:textId="2A3FA1FE" w:rsidR="00B144C0" w:rsidRDefault="00F632BD" w:rsidP="009229B3">
      <w:pPr>
        <w:pStyle w:val="Numberedparagraphs"/>
      </w:pPr>
      <w:r>
        <w:t xml:space="preserve">This section compares emissions implied by the different sixth carbon budget options with the average reductions required by the world as a whole to meet the Paris temperature goal. </w:t>
      </w:r>
      <w:r w:rsidR="007D37CD">
        <w:t xml:space="preserve">This is </w:t>
      </w:r>
      <w:r w:rsidR="003204D6">
        <w:t>one of</w:t>
      </w:r>
      <w:r w:rsidR="007D37CD">
        <w:t xml:space="preserve"> the a</w:t>
      </w:r>
      <w:r w:rsidR="00686768">
        <w:t>pproach</w:t>
      </w:r>
      <w:r w:rsidR="003204D6">
        <w:t>es</w:t>
      </w:r>
      <w:r w:rsidR="00686768">
        <w:t xml:space="preserve"> </w:t>
      </w:r>
      <w:r w:rsidR="00450316">
        <w:t xml:space="preserve">that was </w:t>
      </w:r>
      <w:r w:rsidR="006C5BD5">
        <w:t>used</w:t>
      </w:r>
      <w:r w:rsidR="007D37CD">
        <w:t xml:space="preserve"> by the </w:t>
      </w:r>
      <w:r w:rsidR="000710AF">
        <w:t>CCC</w:t>
      </w:r>
      <w:r w:rsidR="006C5BD5">
        <w:t xml:space="preserve"> as </w:t>
      </w:r>
      <w:r w:rsidR="23118B53">
        <w:t xml:space="preserve">the </w:t>
      </w:r>
      <w:r w:rsidR="006C5BD5">
        <w:t xml:space="preserve">basis for </w:t>
      </w:r>
      <w:r w:rsidR="000710AF">
        <w:t>their</w:t>
      </w:r>
      <w:r w:rsidR="006C5BD5">
        <w:t xml:space="preserve"> recommendation of </w:t>
      </w:r>
      <w:r w:rsidR="000710AF">
        <w:t xml:space="preserve">a 2050 </w:t>
      </w:r>
      <w:r w:rsidR="00604593">
        <w:t xml:space="preserve">UK </w:t>
      </w:r>
      <w:r w:rsidR="00FA0347">
        <w:t>n</w:t>
      </w:r>
      <w:r w:rsidR="006C5BD5">
        <w:t>et</w:t>
      </w:r>
      <w:r w:rsidR="006312BC">
        <w:t xml:space="preserve"> </w:t>
      </w:r>
      <w:r w:rsidR="00FA0347">
        <w:t>z</w:t>
      </w:r>
      <w:r w:rsidR="006C5BD5">
        <w:t>ero target</w:t>
      </w:r>
      <w:r w:rsidR="000710AF">
        <w:t xml:space="preserve">, which was adopted by Parliament </w:t>
      </w:r>
      <w:r w:rsidR="000758BB">
        <w:t>in 2019.</w:t>
      </w:r>
      <w:r w:rsidR="005167CE">
        <w:t xml:space="preserve"> </w:t>
      </w:r>
      <w:r w:rsidR="008A3653">
        <w:t>The approach</w:t>
      </w:r>
      <w:r w:rsidR="00450316">
        <w:t xml:space="preserve"> was also </w:t>
      </w:r>
      <w:r w:rsidR="00A20418">
        <w:t xml:space="preserve">complemented and expanded in the </w:t>
      </w:r>
      <w:r w:rsidR="00D8087E">
        <w:t xml:space="preserve">CCC’s </w:t>
      </w:r>
      <w:r w:rsidR="008F172F">
        <w:t>advice on the</w:t>
      </w:r>
      <w:r w:rsidR="00DE0CA9">
        <w:t xml:space="preserve"> </w:t>
      </w:r>
      <w:r w:rsidR="00BF7C0A">
        <w:t>sixth carbon budget</w:t>
      </w:r>
      <w:r w:rsidR="00657806">
        <w:t xml:space="preserve"> level and UK NDC. </w:t>
      </w:r>
      <w:r w:rsidR="004C16BE">
        <w:t xml:space="preserve">The CCC suggests that the </w:t>
      </w:r>
      <w:r w:rsidR="003C10B0">
        <w:t xml:space="preserve">recommended budget </w:t>
      </w:r>
      <w:r w:rsidR="008F5BC7" w:rsidRPr="008F5BC7">
        <w:t xml:space="preserve">level </w:t>
      </w:r>
      <w:r w:rsidR="003C10B0">
        <w:t xml:space="preserve">is </w:t>
      </w:r>
      <w:r w:rsidR="003C10B0" w:rsidRPr="00FA0347">
        <w:t>“</w:t>
      </w:r>
      <w:r w:rsidR="008F5BC7" w:rsidRPr="00FA0347">
        <w:t>broadly aligned to global pathways for the Paris Agreement, including the 1.5°C goal</w:t>
      </w:r>
      <w:r w:rsidR="003C10B0" w:rsidRPr="00FA0347">
        <w:t>”</w:t>
      </w:r>
      <w:r w:rsidR="003C10B0">
        <w:t xml:space="preserve"> and that </w:t>
      </w:r>
      <w:r w:rsidR="00A90399" w:rsidRPr="00FA0347">
        <w:t>“a</w:t>
      </w:r>
      <w:r w:rsidR="008F5BC7" w:rsidRPr="00FA0347">
        <w:t>ny slower reductions to 2035 would bring into question whether the UK could be credibly considered to be pursuing efforts to limit warming to 1.5°C</w:t>
      </w:r>
      <w:r w:rsidR="00A90399" w:rsidRPr="00FA0347">
        <w:t>”</w:t>
      </w:r>
      <w:r w:rsidR="008F5BC7" w:rsidRPr="00FA0347">
        <w:t>.</w:t>
      </w:r>
      <w:r w:rsidR="00B95C57" w:rsidRPr="00FA0347">
        <w:t xml:space="preserve"> </w:t>
      </w:r>
    </w:p>
    <w:p w14:paraId="40F6094E" w14:textId="218A7D7C" w:rsidR="00A11898" w:rsidRPr="00080E38" w:rsidRDefault="00080E38" w:rsidP="009229B3">
      <w:pPr>
        <w:pStyle w:val="Numberedparagraphs"/>
      </w:pPr>
      <w:r w:rsidRPr="00080E38">
        <w:t xml:space="preserve">The table below compares the UK emission reductions implied by the different </w:t>
      </w:r>
      <w:r w:rsidR="009E153E">
        <w:t>six</w:t>
      </w:r>
      <w:r w:rsidR="00F632BD">
        <w:t>th</w:t>
      </w:r>
      <w:r w:rsidR="009E153E">
        <w:t xml:space="preserve"> carbon budget </w:t>
      </w:r>
      <w:r w:rsidRPr="00080E38">
        <w:t xml:space="preserve">options under consideration with estimates of the emissions reductions to be delivered by the world as a whole in scenarios that achieve the Paris Agreement temperature goals. The table focuses on emissions per capita as an illustrative metric. </w:t>
      </w:r>
    </w:p>
    <w:p w14:paraId="6526F071" w14:textId="08436DD8" w:rsidR="003337FA" w:rsidRPr="006A0C4B" w:rsidRDefault="00C03A9E" w:rsidP="005322C6">
      <w:pPr>
        <w:spacing w:after="120"/>
        <w:rPr>
          <w:i/>
        </w:rPr>
      </w:pPr>
      <w:r w:rsidRPr="006A0C4B">
        <w:rPr>
          <w:i/>
        </w:rPr>
        <w:t>Table</w:t>
      </w:r>
      <w:r w:rsidR="00657CCC" w:rsidRPr="006A0C4B">
        <w:rPr>
          <w:i/>
          <w:iCs/>
        </w:rPr>
        <w:t xml:space="preserve"> 1</w:t>
      </w:r>
      <w:r w:rsidR="008F1C9E">
        <w:rPr>
          <w:i/>
          <w:iCs/>
        </w:rPr>
        <w:t>2</w:t>
      </w:r>
      <w:r w:rsidRPr="006A0C4B">
        <w:rPr>
          <w:i/>
        </w:rPr>
        <w:t xml:space="preserve">: Comparison to </w:t>
      </w:r>
      <w:r w:rsidR="005827D2">
        <w:rPr>
          <w:i/>
        </w:rPr>
        <w:t>g</w:t>
      </w:r>
      <w:r w:rsidRPr="006A0C4B">
        <w:rPr>
          <w:i/>
        </w:rPr>
        <w:t xml:space="preserve">lobal </w:t>
      </w:r>
      <w:r w:rsidR="005827D2">
        <w:rPr>
          <w:i/>
        </w:rPr>
        <w:t>a</w:t>
      </w:r>
      <w:r w:rsidRPr="006A0C4B">
        <w:rPr>
          <w:i/>
        </w:rPr>
        <w:t>verages</w:t>
      </w:r>
      <w:r w:rsidR="006E7E4E" w:rsidRPr="006A0C4B">
        <w:rPr>
          <w:i/>
        </w:rPr>
        <w:t xml:space="preserve"> (</w:t>
      </w:r>
      <w:r w:rsidR="005827D2">
        <w:rPr>
          <w:i/>
        </w:rPr>
        <w:t>e</w:t>
      </w:r>
      <w:r w:rsidR="006E7E4E" w:rsidRPr="006A0C4B">
        <w:rPr>
          <w:i/>
        </w:rPr>
        <w:t>missions per capita)</w:t>
      </w:r>
      <w:r w:rsidR="007A4F69" w:rsidRPr="006A0C4B">
        <w:rPr>
          <w:rStyle w:val="FootnoteReference"/>
          <w:i/>
        </w:rPr>
        <w:footnoteReference w:id="47"/>
      </w:r>
    </w:p>
    <w:tbl>
      <w:tblPr>
        <w:tblStyle w:val="TableGrid"/>
        <w:tblW w:w="10195" w:type="dxa"/>
        <w:jc w:val="center"/>
        <w:tblLook w:val="04A0" w:firstRow="1" w:lastRow="0" w:firstColumn="1" w:lastColumn="0" w:noHBand="0" w:noVBand="1"/>
      </w:tblPr>
      <w:tblGrid>
        <w:gridCol w:w="4531"/>
        <w:gridCol w:w="2853"/>
        <w:gridCol w:w="2811"/>
      </w:tblGrid>
      <w:tr w:rsidR="00080E38" w14:paraId="6BB96A0E" w14:textId="4770C978" w:rsidTr="0088655E">
        <w:trPr>
          <w:jc w:val="center"/>
        </w:trPr>
        <w:tc>
          <w:tcPr>
            <w:tcW w:w="4531" w:type="dxa"/>
          </w:tcPr>
          <w:p w14:paraId="6DBAC522" w14:textId="7FF95F7B" w:rsidR="00080E38" w:rsidRPr="006A0C4B" w:rsidRDefault="00080E38">
            <w:pPr>
              <w:rPr>
                <w:b/>
                <w:sz w:val="22"/>
                <w:szCs w:val="22"/>
              </w:rPr>
            </w:pPr>
            <w:r w:rsidRPr="006A0C4B">
              <w:rPr>
                <w:b/>
                <w:sz w:val="22"/>
                <w:szCs w:val="22"/>
              </w:rPr>
              <w:t xml:space="preserve">Global scenarios and the sixth carbon budget </w:t>
            </w:r>
            <w:r w:rsidR="00E97513">
              <w:rPr>
                <w:b/>
                <w:sz w:val="22"/>
                <w:szCs w:val="22"/>
              </w:rPr>
              <w:t>o</w:t>
            </w:r>
            <w:r w:rsidRPr="006A0C4B">
              <w:rPr>
                <w:b/>
                <w:sz w:val="22"/>
                <w:szCs w:val="22"/>
              </w:rPr>
              <w:t>ptions</w:t>
            </w:r>
          </w:p>
        </w:tc>
        <w:tc>
          <w:tcPr>
            <w:tcW w:w="2853" w:type="dxa"/>
          </w:tcPr>
          <w:p w14:paraId="312993AD" w14:textId="3E859103" w:rsidR="00080E38" w:rsidRPr="006A0C4B" w:rsidRDefault="00080E38" w:rsidP="006A0C4B">
            <w:pPr>
              <w:jc w:val="right"/>
              <w:rPr>
                <w:b/>
                <w:sz w:val="22"/>
                <w:szCs w:val="22"/>
              </w:rPr>
            </w:pPr>
            <w:r w:rsidRPr="006A0C4B">
              <w:rPr>
                <w:b/>
                <w:sz w:val="22"/>
                <w:szCs w:val="22"/>
              </w:rPr>
              <w:t>Emissions per capita in 2035, tCO</w:t>
            </w:r>
            <w:r w:rsidRPr="006A0C4B">
              <w:rPr>
                <w:b/>
                <w:sz w:val="22"/>
                <w:szCs w:val="22"/>
                <w:vertAlign w:val="subscript"/>
              </w:rPr>
              <w:t>2</w:t>
            </w:r>
            <w:r w:rsidRPr="006A0C4B">
              <w:rPr>
                <w:b/>
                <w:sz w:val="22"/>
                <w:szCs w:val="22"/>
              </w:rPr>
              <w:t>e/capita/y</w:t>
            </w:r>
            <w:r w:rsidR="00F66FE3" w:rsidRPr="006A0C4B">
              <w:rPr>
                <w:b/>
                <w:sz w:val="22"/>
                <w:szCs w:val="22"/>
              </w:rPr>
              <w:t>ea</w:t>
            </w:r>
            <w:r w:rsidRPr="006A0C4B">
              <w:rPr>
                <w:b/>
                <w:sz w:val="22"/>
                <w:szCs w:val="22"/>
              </w:rPr>
              <w:t>r</w:t>
            </w:r>
          </w:p>
        </w:tc>
        <w:tc>
          <w:tcPr>
            <w:tcW w:w="2811" w:type="dxa"/>
          </w:tcPr>
          <w:p w14:paraId="16CC62F1" w14:textId="4737AEBF" w:rsidR="00AF7E37" w:rsidRPr="00334779" w:rsidRDefault="00AF7E37" w:rsidP="00AF7E37">
            <w:pPr>
              <w:jc w:val="right"/>
              <w:rPr>
                <w:b/>
                <w:sz w:val="22"/>
                <w:szCs w:val="22"/>
              </w:rPr>
            </w:pPr>
            <w:r w:rsidRPr="00334779">
              <w:rPr>
                <w:b/>
                <w:sz w:val="22"/>
                <w:szCs w:val="22"/>
              </w:rPr>
              <w:t>Cumulative CO</w:t>
            </w:r>
            <w:r w:rsidRPr="00DA26DC">
              <w:rPr>
                <w:b/>
                <w:sz w:val="22"/>
                <w:szCs w:val="22"/>
                <w:vertAlign w:val="subscript"/>
              </w:rPr>
              <w:t>2</w:t>
            </w:r>
            <w:r w:rsidRPr="00334779">
              <w:rPr>
                <w:b/>
                <w:sz w:val="22"/>
                <w:szCs w:val="22"/>
              </w:rPr>
              <w:t xml:space="preserve"> emissions per capita (2020-2050), tCO</w:t>
            </w:r>
            <w:r w:rsidRPr="00DA26DC">
              <w:rPr>
                <w:b/>
                <w:sz w:val="22"/>
                <w:szCs w:val="22"/>
                <w:vertAlign w:val="subscript"/>
              </w:rPr>
              <w:t>2</w:t>
            </w:r>
            <w:r w:rsidRPr="00334779">
              <w:rPr>
                <w:b/>
                <w:sz w:val="22"/>
                <w:szCs w:val="22"/>
              </w:rPr>
              <w:t>/capita</w:t>
            </w:r>
          </w:p>
        </w:tc>
      </w:tr>
      <w:tr w:rsidR="00080E38" w14:paraId="25C5C6C3" w14:textId="74277894" w:rsidTr="0088655E">
        <w:trPr>
          <w:jc w:val="center"/>
        </w:trPr>
        <w:tc>
          <w:tcPr>
            <w:tcW w:w="4531" w:type="dxa"/>
          </w:tcPr>
          <w:p w14:paraId="43268615" w14:textId="2704F9D5" w:rsidR="00080E38" w:rsidRPr="006A0C4B" w:rsidRDefault="00080E38" w:rsidP="009B5EBA">
            <w:pPr>
              <w:spacing w:before="40" w:after="40"/>
              <w:rPr>
                <w:sz w:val="22"/>
                <w:szCs w:val="22"/>
              </w:rPr>
            </w:pPr>
            <w:r w:rsidRPr="006A0C4B">
              <w:rPr>
                <w:sz w:val="22"/>
                <w:szCs w:val="22"/>
              </w:rPr>
              <w:t>Well Below Two Degrees</w:t>
            </w:r>
            <w:r w:rsidR="00EF5951" w:rsidRPr="006A0C4B">
              <w:rPr>
                <w:sz w:val="22"/>
                <w:szCs w:val="22"/>
              </w:rPr>
              <w:t>:</w:t>
            </w:r>
            <w:r>
              <w:rPr>
                <w:sz w:val="22"/>
                <w:szCs w:val="22"/>
              </w:rPr>
              <w:t xml:space="preserve"> </w:t>
            </w:r>
            <w:r w:rsidRPr="006A0C4B">
              <w:rPr>
                <w:sz w:val="22"/>
                <w:szCs w:val="22"/>
              </w:rPr>
              <w:t>Global Average</w:t>
            </w:r>
          </w:p>
        </w:tc>
        <w:tc>
          <w:tcPr>
            <w:tcW w:w="2853" w:type="dxa"/>
          </w:tcPr>
          <w:p w14:paraId="44905664" w14:textId="77777777" w:rsidR="00EF5951" w:rsidRPr="006A0C4B" w:rsidRDefault="00080E38" w:rsidP="009B5EBA">
            <w:pPr>
              <w:spacing w:before="40" w:after="40"/>
              <w:ind w:right="170"/>
              <w:jc w:val="right"/>
              <w:rPr>
                <w:sz w:val="22"/>
                <w:szCs w:val="22"/>
              </w:rPr>
            </w:pPr>
            <w:r w:rsidRPr="006A0C4B">
              <w:rPr>
                <w:sz w:val="22"/>
                <w:szCs w:val="22"/>
              </w:rPr>
              <w:t xml:space="preserve">3.8 </w:t>
            </w:r>
          </w:p>
          <w:p w14:paraId="37F2BC28" w14:textId="5425ADFB" w:rsidR="00080E38" w:rsidRPr="006A0C4B" w:rsidRDefault="00080E38" w:rsidP="009B5EBA">
            <w:pPr>
              <w:spacing w:before="40" w:after="40"/>
              <w:ind w:right="170"/>
              <w:jc w:val="right"/>
              <w:rPr>
                <w:sz w:val="22"/>
                <w:szCs w:val="22"/>
              </w:rPr>
            </w:pPr>
            <w:r w:rsidRPr="006A0C4B">
              <w:rPr>
                <w:sz w:val="22"/>
                <w:szCs w:val="22"/>
              </w:rPr>
              <w:t>(2.8, 4.6)</w:t>
            </w:r>
          </w:p>
        </w:tc>
        <w:tc>
          <w:tcPr>
            <w:tcW w:w="2811" w:type="dxa"/>
          </w:tcPr>
          <w:p w14:paraId="3E37B61F" w14:textId="77777777" w:rsidR="00AF7E37" w:rsidRPr="00334779" w:rsidRDefault="00AF7E37" w:rsidP="009B5EBA">
            <w:pPr>
              <w:spacing w:before="40" w:after="40"/>
              <w:ind w:right="170"/>
              <w:jc w:val="right"/>
              <w:rPr>
                <w:sz w:val="22"/>
                <w:szCs w:val="22"/>
              </w:rPr>
            </w:pPr>
            <w:r w:rsidRPr="00334779">
              <w:rPr>
                <w:sz w:val="22"/>
                <w:szCs w:val="22"/>
              </w:rPr>
              <w:t>84</w:t>
            </w:r>
          </w:p>
          <w:p w14:paraId="4EA9334F" w14:textId="51209525" w:rsidR="00AF7E37" w:rsidRPr="00334779" w:rsidRDefault="00AF7E37" w:rsidP="009B5EBA">
            <w:pPr>
              <w:spacing w:before="40" w:after="40"/>
              <w:ind w:right="170"/>
              <w:jc w:val="right"/>
              <w:rPr>
                <w:sz w:val="22"/>
                <w:szCs w:val="22"/>
              </w:rPr>
            </w:pPr>
            <w:r w:rsidRPr="00334779">
              <w:rPr>
                <w:sz w:val="22"/>
                <w:szCs w:val="22"/>
              </w:rPr>
              <w:t>(62</w:t>
            </w:r>
            <w:r w:rsidR="00B63005">
              <w:rPr>
                <w:sz w:val="22"/>
                <w:szCs w:val="22"/>
              </w:rPr>
              <w:t>,</w:t>
            </w:r>
            <w:r w:rsidRPr="00334779">
              <w:rPr>
                <w:sz w:val="22"/>
                <w:szCs w:val="22"/>
              </w:rPr>
              <w:t>105)</w:t>
            </w:r>
          </w:p>
        </w:tc>
      </w:tr>
      <w:tr w:rsidR="00080E38" w14:paraId="2645502D" w14:textId="28E07719" w:rsidTr="0088655E">
        <w:trPr>
          <w:jc w:val="center"/>
        </w:trPr>
        <w:tc>
          <w:tcPr>
            <w:tcW w:w="4531" w:type="dxa"/>
          </w:tcPr>
          <w:p w14:paraId="2F66F9DD" w14:textId="3EBC134D" w:rsidR="00080E38" w:rsidRPr="006A0C4B" w:rsidRDefault="00080E38" w:rsidP="009B5EBA">
            <w:pPr>
              <w:spacing w:before="40" w:after="40"/>
              <w:rPr>
                <w:sz w:val="22"/>
                <w:szCs w:val="22"/>
              </w:rPr>
            </w:pPr>
            <w:r w:rsidRPr="006A0C4B">
              <w:rPr>
                <w:sz w:val="22"/>
                <w:szCs w:val="22"/>
              </w:rPr>
              <w:t>1.5 Degrees with No or Low Overshoot</w:t>
            </w:r>
            <w:r w:rsidR="00EF5951" w:rsidRPr="006A0C4B">
              <w:rPr>
                <w:sz w:val="22"/>
                <w:szCs w:val="22"/>
              </w:rPr>
              <w:t>:</w:t>
            </w:r>
            <w:r>
              <w:rPr>
                <w:sz w:val="22"/>
                <w:szCs w:val="22"/>
              </w:rPr>
              <w:t xml:space="preserve"> </w:t>
            </w:r>
            <w:r w:rsidRPr="006A0C4B">
              <w:rPr>
                <w:sz w:val="22"/>
                <w:szCs w:val="22"/>
              </w:rPr>
              <w:t>Global Average</w:t>
            </w:r>
          </w:p>
        </w:tc>
        <w:tc>
          <w:tcPr>
            <w:tcW w:w="2853" w:type="dxa"/>
          </w:tcPr>
          <w:p w14:paraId="0D1B14B2" w14:textId="77777777" w:rsidR="006C39D1" w:rsidRPr="006A0C4B" w:rsidRDefault="00080E38" w:rsidP="009B5EBA">
            <w:pPr>
              <w:spacing w:before="40" w:after="40"/>
              <w:ind w:right="170"/>
              <w:jc w:val="right"/>
              <w:rPr>
                <w:sz w:val="22"/>
                <w:szCs w:val="22"/>
              </w:rPr>
            </w:pPr>
            <w:r w:rsidRPr="006A0C4B">
              <w:rPr>
                <w:sz w:val="22"/>
                <w:szCs w:val="22"/>
              </w:rPr>
              <w:t xml:space="preserve">2.4 </w:t>
            </w:r>
          </w:p>
          <w:p w14:paraId="1C8C50A7" w14:textId="49A65516" w:rsidR="00080E38" w:rsidRPr="006A0C4B" w:rsidRDefault="00080E38" w:rsidP="009B5EBA">
            <w:pPr>
              <w:spacing w:before="40" w:after="40"/>
              <w:ind w:right="170"/>
              <w:jc w:val="right"/>
              <w:rPr>
                <w:sz w:val="22"/>
                <w:szCs w:val="22"/>
              </w:rPr>
            </w:pPr>
            <w:r w:rsidRPr="006A0C4B">
              <w:rPr>
                <w:sz w:val="22"/>
                <w:szCs w:val="22"/>
              </w:rPr>
              <w:t>(1.6, 2.9)</w:t>
            </w:r>
          </w:p>
        </w:tc>
        <w:tc>
          <w:tcPr>
            <w:tcW w:w="2811" w:type="dxa"/>
          </w:tcPr>
          <w:p w14:paraId="4B7F015B" w14:textId="77777777" w:rsidR="00AF7E37" w:rsidRPr="00334779" w:rsidRDefault="00AF7E37" w:rsidP="009B5EBA">
            <w:pPr>
              <w:spacing w:before="40" w:after="40"/>
              <w:ind w:right="170"/>
              <w:jc w:val="right"/>
              <w:rPr>
                <w:sz w:val="22"/>
                <w:szCs w:val="22"/>
              </w:rPr>
            </w:pPr>
            <w:r w:rsidRPr="00334779">
              <w:rPr>
                <w:sz w:val="22"/>
                <w:szCs w:val="22"/>
              </w:rPr>
              <w:t>53</w:t>
            </w:r>
          </w:p>
          <w:p w14:paraId="71419386" w14:textId="6A0688C0" w:rsidR="00AF7E37" w:rsidRPr="00334779" w:rsidRDefault="00AF7E37" w:rsidP="009B5EBA">
            <w:pPr>
              <w:spacing w:before="40" w:after="40"/>
              <w:ind w:right="170"/>
              <w:jc w:val="right"/>
              <w:rPr>
                <w:sz w:val="22"/>
                <w:szCs w:val="22"/>
              </w:rPr>
            </w:pPr>
            <w:r w:rsidRPr="00334779">
              <w:rPr>
                <w:sz w:val="22"/>
                <w:szCs w:val="22"/>
              </w:rPr>
              <w:t>(33</w:t>
            </w:r>
            <w:r w:rsidR="00B63005">
              <w:rPr>
                <w:sz w:val="22"/>
                <w:szCs w:val="22"/>
              </w:rPr>
              <w:t>,</w:t>
            </w:r>
            <w:r w:rsidRPr="00334779">
              <w:rPr>
                <w:sz w:val="22"/>
                <w:szCs w:val="22"/>
              </w:rPr>
              <w:t xml:space="preserve"> 67)</w:t>
            </w:r>
          </w:p>
        </w:tc>
      </w:tr>
      <w:tr w:rsidR="00080E38" w14:paraId="15D2481B" w14:textId="7123B7F7" w:rsidTr="0088655E">
        <w:trPr>
          <w:jc w:val="center"/>
        </w:trPr>
        <w:tc>
          <w:tcPr>
            <w:tcW w:w="4531" w:type="dxa"/>
          </w:tcPr>
          <w:p w14:paraId="6D9718A4" w14:textId="52026D00" w:rsidR="00080E38" w:rsidRPr="006A0C4B" w:rsidRDefault="00080E38" w:rsidP="009B5EBA">
            <w:pPr>
              <w:spacing w:before="40" w:after="40"/>
              <w:rPr>
                <w:sz w:val="22"/>
                <w:szCs w:val="22"/>
              </w:rPr>
            </w:pPr>
            <w:r w:rsidRPr="006A0C4B">
              <w:rPr>
                <w:sz w:val="22"/>
                <w:szCs w:val="22"/>
              </w:rPr>
              <w:t>Option 1: Do Nothing (non-binding sixth carbon budget)</w:t>
            </w:r>
          </w:p>
        </w:tc>
        <w:tc>
          <w:tcPr>
            <w:tcW w:w="2853" w:type="dxa"/>
          </w:tcPr>
          <w:p w14:paraId="58994EA0" w14:textId="226E96AA" w:rsidR="00080E38" w:rsidRPr="006A0C4B" w:rsidRDefault="00303B56" w:rsidP="009B5EBA">
            <w:pPr>
              <w:spacing w:before="40" w:after="40"/>
              <w:ind w:right="170"/>
              <w:jc w:val="right"/>
              <w:rPr>
                <w:sz w:val="22"/>
                <w:szCs w:val="22"/>
              </w:rPr>
            </w:pPr>
            <w:r w:rsidRPr="006A0C4B">
              <w:rPr>
                <w:sz w:val="22"/>
                <w:szCs w:val="22"/>
              </w:rPr>
              <w:t>6.0</w:t>
            </w:r>
          </w:p>
        </w:tc>
        <w:tc>
          <w:tcPr>
            <w:tcW w:w="2811" w:type="dxa"/>
          </w:tcPr>
          <w:p w14:paraId="1D1E7389" w14:textId="295AF8DF" w:rsidR="00AF7E37" w:rsidRPr="00334779" w:rsidRDefault="00AF7E37" w:rsidP="009B5EBA">
            <w:pPr>
              <w:spacing w:before="40" w:after="40"/>
              <w:ind w:right="170"/>
              <w:jc w:val="right"/>
              <w:rPr>
                <w:sz w:val="22"/>
                <w:szCs w:val="22"/>
              </w:rPr>
            </w:pPr>
            <w:r w:rsidRPr="00334779">
              <w:rPr>
                <w:sz w:val="22"/>
                <w:szCs w:val="22"/>
              </w:rPr>
              <w:t>152</w:t>
            </w:r>
          </w:p>
        </w:tc>
      </w:tr>
      <w:tr w:rsidR="00080E38" w14:paraId="7F95410E" w14:textId="767ADB6D" w:rsidTr="0088655E">
        <w:trPr>
          <w:jc w:val="center"/>
        </w:trPr>
        <w:tc>
          <w:tcPr>
            <w:tcW w:w="4531" w:type="dxa"/>
          </w:tcPr>
          <w:p w14:paraId="60DE540B" w14:textId="0796AE76" w:rsidR="00080E38" w:rsidRPr="006A0C4B" w:rsidRDefault="00080E38" w:rsidP="009B5EBA">
            <w:pPr>
              <w:spacing w:before="40" w:after="40"/>
              <w:rPr>
                <w:sz w:val="22"/>
                <w:szCs w:val="22"/>
              </w:rPr>
            </w:pPr>
            <w:r w:rsidRPr="006A0C4B">
              <w:rPr>
                <w:sz w:val="22"/>
                <w:szCs w:val="22"/>
              </w:rPr>
              <w:t>Option 2: Looser budget option</w:t>
            </w:r>
          </w:p>
        </w:tc>
        <w:tc>
          <w:tcPr>
            <w:tcW w:w="2853" w:type="dxa"/>
          </w:tcPr>
          <w:p w14:paraId="4C4B0F60" w14:textId="5A515E0D" w:rsidR="00080E38" w:rsidRPr="006A0C4B" w:rsidRDefault="00080E38" w:rsidP="009B5EBA">
            <w:pPr>
              <w:spacing w:before="40" w:after="40"/>
              <w:ind w:right="170"/>
              <w:jc w:val="right"/>
              <w:rPr>
                <w:sz w:val="22"/>
                <w:szCs w:val="22"/>
              </w:rPr>
            </w:pPr>
            <w:r w:rsidRPr="006A0C4B">
              <w:rPr>
                <w:sz w:val="22"/>
                <w:szCs w:val="22"/>
              </w:rPr>
              <w:t>3.2</w:t>
            </w:r>
          </w:p>
        </w:tc>
        <w:tc>
          <w:tcPr>
            <w:tcW w:w="2811" w:type="dxa"/>
          </w:tcPr>
          <w:p w14:paraId="3D1C7A00" w14:textId="220A3AFC" w:rsidR="00AF7E37" w:rsidRPr="00334779" w:rsidRDefault="00AF7E37" w:rsidP="009B5EBA">
            <w:pPr>
              <w:spacing w:before="40" w:after="40"/>
              <w:ind w:right="170"/>
              <w:jc w:val="right"/>
              <w:rPr>
                <w:sz w:val="22"/>
                <w:szCs w:val="22"/>
              </w:rPr>
            </w:pPr>
            <w:r w:rsidRPr="00334779">
              <w:rPr>
                <w:sz w:val="22"/>
                <w:szCs w:val="22"/>
              </w:rPr>
              <w:t>71</w:t>
            </w:r>
          </w:p>
        </w:tc>
      </w:tr>
      <w:tr w:rsidR="00080E38" w14:paraId="01344715" w14:textId="0A2A8CF3" w:rsidTr="0088655E">
        <w:trPr>
          <w:jc w:val="center"/>
        </w:trPr>
        <w:tc>
          <w:tcPr>
            <w:tcW w:w="4531" w:type="dxa"/>
          </w:tcPr>
          <w:p w14:paraId="3694F425" w14:textId="6DC463E9" w:rsidR="00080E38" w:rsidRPr="006A0C4B" w:rsidRDefault="00080E38" w:rsidP="009B5EBA">
            <w:pPr>
              <w:spacing w:before="40" w:after="40"/>
              <w:rPr>
                <w:sz w:val="22"/>
                <w:szCs w:val="22"/>
              </w:rPr>
            </w:pPr>
            <w:r w:rsidRPr="006A0C4B">
              <w:rPr>
                <w:sz w:val="22"/>
                <w:szCs w:val="22"/>
              </w:rPr>
              <w:t>Option 3: CCC recommendation</w:t>
            </w:r>
          </w:p>
        </w:tc>
        <w:tc>
          <w:tcPr>
            <w:tcW w:w="2853" w:type="dxa"/>
          </w:tcPr>
          <w:p w14:paraId="0B66EEFD" w14:textId="7E91F04F" w:rsidR="00080E38" w:rsidRPr="006A0C4B" w:rsidRDefault="00080E38" w:rsidP="009B5EBA">
            <w:pPr>
              <w:spacing w:before="40" w:after="40"/>
              <w:ind w:right="170"/>
              <w:jc w:val="right"/>
              <w:rPr>
                <w:sz w:val="22"/>
                <w:szCs w:val="22"/>
              </w:rPr>
            </w:pPr>
            <w:r w:rsidRPr="006A0C4B">
              <w:rPr>
                <w:sz w:val="22"/>
                <w:szCs w:val="22"/>
              </w:rPr>
              <w:t>2.8</w:t>
            </w:r>
          </w:p>
        </w:tc>
        <w:tc>
          <w:tcPr>
            <w:tcW w:w="2811" w:type="dxa"/>
          </w:tcPr>
          <w:p w14:paraId="586DF1AD" w14:textId="7D85A352" w:rsidR="00AF7E37" w:rsidRPr="00334779" w:rsidRDefault="00AF7E37" w:rsidP="009B5EBA">
            <w:pPr>
              <w:spacing w:before="40" w:after="40"/>
              <w:ind w:right="170"/>
              <w:jc w:val="right"/>
              <w:rPr>
                <w:sz w:val="22"/>
                <w:szCs w:val="22"/>
              </w:rPr>
            </w:pPr>
            <w:r w:rsidRPr="00334779">
              <w:rPr>
                <w:sz w:val="22"/>
                <w:szCs w:val="22"/>
              </w:rPr>
              <w:t>67</w:t>
            </w:r>
          </w:p>
        </w:tc>
      </w:tr>
      <w:tr w:rsidR="00080E38" w14:paraId="3CBB58EA" w14:textId="41E8F559" w:rsidTr="0088655E">
        <w:trPr>
          <w:jc w:val="center"/>
        </w:trPr>
        <w:tc>
          <w:tcPr>
            <w:tcW w:w="4531" w:type="dxa"/>
          </w:tcPr>
          <w:p w14:paraId="10BD9616" w14:textId="3AAF88E9" w:rsidR="00080E38" w:rsidRPr="006A0C4B" w:rsidRDefault="00080E38" w:rsidP="009B5EBA">
            <w:pPr>
              <w:spacing w:before="40" w:after="40"/>
              <w:rPr>
                <w:sz w:val="22"/>
                <w:szCs w:val="22"/>
              </w:rPr>
            </w:pPr>
            <w:r w:rsidRPr="006A0C4B">
              <w:rPr>
                <w:sz w:val="22"/>
                <w:szCs w:val="22"/>
              </w:rPr>
              <w:t>Option 4</w:t>
            </w:r>
            <w:r w:rsidR="00F1322E" w:rsidRPr="006A0C4B">
              <w:rPr>
                <w:sz w:val="22"/>
                <w:szCs w:val="22"/>
              </w:rPr>
              <w:t>:</w:t>
            </w:r>
            <w:r w:rsidRPr="006A0C4B">
              <w:rPr>
                <w:sz w:val="22"/>
                <w:szCs w:val="22"/>
              </w:rPr>
              <w:t xml:space="preserve"> </w:t>
            </w:r>
            <w:r w:rsidR="00F1322E" w:rsidRPr="006A0C4B">
              <w:rPr>
                <w:sz w:val="22"/>
                <w:szCs w:val="22"/>
              </w:rPr>
              <w:t>Tighter budget option</w:t>
            </w:r>
          </w:p>
        </w:tc>
        <w:tc>
          <w:tcPr>
            <w:tcW w:w="2853" w:type="dxa"/>
          </w:tcPr>
          <w:p w14:paraId="54338D5A" w14:textId="3FBD13DD" w:rsidR="00080E38" w:rsidRPr="006A0C4B" w:rsidRDefault="00080E38" w:rsidP="009B5EBA">
            <w:pPr>
              <w:spacing w:before="40" w:after="40"/>
              <w:ind w:right="170"/>
              <w:jc w:val="right"/>
              <w:rPr>
                <w:sz w:val="22"/>
                <w:szCs w:val="22"/>
              </w:rPr>
            </w:pPr>
            <w:r w:rsidRPr="006A0C4B">
              <w:rPr>
                <w:sz w:val="22"/>
                <w:szCs w:val="22"/>
              </w:rPr>
              <w:t>2.6</w:t>
            </w:r>
          </w:p>
        </w:tc>
        <w:tc>
          <w:tcPr>
            <w:tcW w:w="2811" w:type="dxa"/>
          </w:tcPr>
          <w:p w14:paraId="76AC0293" w14:textId="0AD76F76" w:rsidR="00AF7E37" w:rsidRPr="00334779" w:rsidRDefault="00AF7E37" w:rsidP="009B5EBA">
            <w:pPr>
              <w:spacing w:before="40" w:after="40"/>
              <w:ind w:right="170"/>
              <w:jc w:val="right"/>
              <w:rPr>
                <w:sz w:val="22"/>
                <w:szCs w:val="22"/>
              </w:rPr>
            </w:pPr>
            <w:r w:rsidRPr="00334779">
              <w:rPr>
                <w:sz w:val="22"/>
                <w:szCs w:val="22"/>
              </w:rPr>
              <w:t>65</w:t>
            </w:r>
          </w:p>
        </w:tc>
      </w:tr>
    </w:tbl>
    <w:p w14:paraId="029CC451" w14:textId="77777777" w:rsidR="003337FA" w:rsidRDefault="003337FA"/>
    <w:p w14:paraId="1CF64FCE" w14:textId="3E2B7D03" w:rsidR="009B5EBA" w:rsidRDefault="00461863" w:rsidP="009229B3">
      <w:pPr>
        <w:pStyle w:val="Numberedparagraphs"/>
      </w:pPr>
      <w:bookmarkStart w:id="54" w:name="_Hlk66369404"/>
      <w:r w:rsidRPr="00E8599F">
        <w:rPr>
          <w:lang w:eastAsia="en-US"/>
        </w:rPr>
        <w:t>A</w:t>
      </w:r>
      <w:r w:rsidR="00E90D53">
        <w:rPr>
          <w:lang w:eastAsia="en-US"/>
        </w:rPr>
        <w:t>part from</w:t>
      </w:r>
      <w:r w:rsidRPr="00E8599F">
        <w:rPr>
          <w:lang w:eastAsia="en-US"/>
        </w:rPr>
        <w:t xml:space="preserve"> ‘</w:t>
      </w:r>
      <w:r w:rsidRPr="002C08B1">
        <w:rPr>
          <w:lang w:eastAsia="en-US"/>
        </w:rPr>
        <w:t>do nothing</w:t>
      </w:r>
      <w:r w:rsidRPr="00E8599F">
        <w:rPr>
          <w:lang w:eastAsia="en-US"/>
        </w:rPr>
        <w:t>’</w:t>
      </w:r>
      <w:r w:rsidR="00E90D53">
        <w:rPr>
          <w:lang w:eastAsia="en-US"/>
        </w:rPr>
        <w:t>, all options</w:t>
      </w:r>
      <w:r w:rsidRPr="00E8599F">
        <w:rPr>
          <w:lang w:eastAsia="en-US"/>
        </w:rPr>
        <w:t xml:space="preserve"> deliver emission reductions on a per capita basis that, if followed globally, would be consistent with the global ambition to keep the increase in global average temperature </w:t>
      </w:r>
      <w:r w:rsidR="00412947">
        <w:rPr>
          <w:lang w:eastAsia="en-US"/>
        </w:rPr>
        <w:t>in line with the Paris Agreement temperature goal</w:t>
      </w:r>
      <w:r w:rsidRPr="00E8599F">
        <w:rPr>
          <w:lang w:eastAsia="en-US"/>
        </w:rPr>
        <w:t xml:space="preserve">. Relative to </w:t>
      </w:r>
      <w:r w:rsidR="003B5780">
        <w:rPr>
          <w:lang w:eastAsia="en-US"/>
        </w:rPr>
        <w:t>O</w:t>
      </w:r>
      <w:r w:rsidRPr="00E8599F">
        <w:rPr>
          <w:lang w:eastAsia="en-US"/>
        </w:rPr>
        <w:t xml:space="preserve">ption 2, </w:t>
      </w:r>
      <w:r w:rsidR="003B5780">
        <w:rPr>
          <w:lang w:eastAsia="en-US"/>
        </w:rPr>
        <w:t>O</w:t>
      </w:r>
      <w:r w:rsidRPr="00E8599F">
        <w:rPr>
          <w:lang w:eastAsia="en-US"/>
        </w:rPr>
        <w:t>ptions 3 and 4 would fare more favourably from a global climate leadership perspective by delivering faster emission reductions</w:t>
      </w:r>
      <w:r w:rsidR="00FB696E" w:rsidRPr="00E8599F">
        <w:rPr>
          <w:lang w:eastAsia="en-US"/>
        </w:rPr>
        <w:t xml:space="preserve">, </w:t>
      </w:r>
      <w:r w:rsidRPr="00E8599F">
        <w:rPr>
          <w:lang w:eastAsia="en-US"/>
        </w:rPr>
        <w:t>resulting in lower cumulative emissions to 2050</w:t>
      </w:r>
      <w:r w:rsidR="00FB696E" w:rsidRPr="00E8599F">
        <w:rPr>
          <w:lang w:eastAsia="en-US"/>
        </w:rPr>
        <w:t xml:space="preserve"> and </w:t>
      </w:r>
      <w:r w:rsidR="000553E3" w:rsidRPr="00E8599F">
        <w:rPr>
          <w:lang w:eastAsia="en-US"/>
        </w:rPr>
        <w:t xml:space="preserve">in </w:t>
      </w:r>
      <w:r w:rsidR="00FB696E" w:rsidRPr="00E8599F">
        <w:rPr>
          <w:lang w:eastAsia="en-US"/>
        </w:rPr>
        <w:t xml:space="preserve">emissions per capita levels </w:t>
      </w:r>
      <w:r w:rsidR="00137332" w:rsidRPr="00E8599F">
        <w:rPr>
          <w:lang w:eastAsia="en-US"/>
        </w:rPr>
        <w:t xml:space="preserve">in 2035 that are </w:t>
      </w:r>
      <w:r w:rsidR="00412947">
        <w:rPr>
          <w:lang w:eastAsia="en-US"/>
        </w:rPr>
        <w:t>marginally closer to</w:t>
      </w:r>
      <w:r w:rsidR="00412947" w:rsidRPr="00E8599F">
        <w:rPr>
          <w:lang w:eastAsia="en-US"/>
        </w:rPr>
        <w:t xml:space="preserve"> </w:t>
      </w:r>
      <w:r w:rsidR="000553E3" w:rsidRPr="00E8599F">
        <w:rPr>
          <w:lang w:eastAsia="en-US"/>
        </w:rPr>
        <w:t>the</w:t>
      </w:r>
      <w:r w:rsidR="00E8599F" w:rsidRPr="00E8599F">
        <w:rPr>
          <w:lang w:eastAsia="en-US"/>
        </w:rPr>
        <w:t xml:space="preserve"> upper end of the 1.5</w:t>
      </w:r>
      <w:r w:rsidR="009347E3" w:rsidRPr="009347E3">
        <w:t>°</w:t>
      </w:r>
      <w:r w:rsidR="00E8599F" w:rsidRPr="00E8599F">
        <w:rPr>
          <w:lang w:eastAsia="en-US"/>
        </w:rPr>
        <w:t xml:space="preserve">C ambition. </w:t>
      </w:r>
      <w:r w:rsidR="00FE22B2" w:rsidRPr="00FE22B2">
        <w:rPr>
          <w:lang w:eastAsia="en-US"/>
        </w:rPr>
        <w:t xml:space="preserve">Although there is uncertainty, the different trajectories lead to different outcomes, and looser pathways, all else being equal, will lead to higher global temperature, higher risks of extreme events or require </w:t>
      </w:r>
      <w:r w:rsidR="00412947">
        <w:rPr>
          <w:lang w:eastAsia="en-US"/>
        </w:rPr>
        <w:t>a risky greater reliance on</w:t>
      </w:r>
      <w:r w:rsidR="00FE22B2" w:rsidRPr="00FE22B2">
        <w:rPr>
          <w:lang w:eastAsia="en-US"/>
        </w:rPr>
        <w:t xml:space="preserve"> GHG removal technologies in the long-term to meet the Paris Agreement’s temperature goal.</w:t>
      </w:r>
      <w:bookmarkEnd w:id="54"/>
    </w:p>
    <w:p w14:paraId="7FF6ED33" w14:textId="4C18A233" w:rsidR="00035281" w:rsidRPr="009B5EBA" w:rsidRDefault="00035281" w:rsidP="009B5EBA">
      <w:pPr>
        <w:pStyle w:val="Heading4"/>
        <w:spacing w:after="200"/>
        <w:rPr>
          <w:szCs w:val="24"/>
        </w:rPr>
      </w:pPr>
      <w:r w:rsidRPr="009B5EBA">
        <w:rPr>
          <w:szCs w:val="24"/>
        </w:rPr>
        <w:t>Effort-sharing approaches</w:t>
      </w:r>
    </w:p>
    <w:p w14:paraId="3D12311D" w14:textId="63C9DFF9" w:rsidR="00467917" w:rsidRDefault="00976DF2" w:rsidP="009229B3">
      <w:pPr>
        <w:pStyle w:val="Numberedparagraphs"/>
      </w:pPr>
      <w:r>
        <w:t xml:space="preserve">This section includes an assessment of what UK action could be considered </w:t>
      </w:r>
      <w:r w:rsidR="008C4699">
        <w:t>cost</w:t>
      </w:r>
      <w:r w:rsidR="002F0DB3">
        <w:t>-</w:t>
      </w:r>
      <w:r w:rsidR="008C4699">
        <w:t>effective</w:t>
      </w:r>
      <w:r>
        <w:t>, fair and equitable under different global warming scenarios and interpretations of how to allocate effort shares in global emissions reductions.</w:t>
      </w:r>
      <w:r w:rsidR="00DE6B5A">
        <w:t xml:space="preserve"> </w:t>
      </w:r>
      <w:r w:rsidR="00D44C3F">
        <w:t>A</w:t>
      </w:r>
      <w:r w:rsidR="008C4699">
        <w:t xml:space="preserve"> cost</w:t>
      </w:r>
      <w:r w:rsidR="000C6C27">
        <w:t>-</w:t>
      </w:r>
      <w:r w:rsidR="008C4699">
        <w:t>effective</w:t>
      </w:r>
      <w:r w:rsidR="00DE6B5A">
        <w:t xml:space="preserve"> allocation </w:t>
      </w:r>
      <w:r w:rsidR="004129B6">
        <w:t xml:space="preserve">scenario </w:t>
      </w:r>
      <w:r w:rsidR="00DE6B5A">
        <w:t xml:space="preserve">assumes </w:t>
      </w:r>
      <w:r w:rsidR="00774242">
        <w:t xml:space="preserve">that global emission abatement costs are minimised at any point in time given a global emissions target and derives what could be considered an economically efficient UK share of global emissions reduction efforts. </w:t>
      </w:r>
      <w:r w:rsidR="00453EF1">
        <w:t xml:space="preserve">Equity-based </w:t>
      </w:r>
      <w:r w:rsidR="00453EF1">
        <w:lastRenderedPageBreak/>
        <w:t xml:space="preserve">allocations </w:t>
      </w:r>
      <w:r w:rsidR="00025E04">
        <w:t xml:space="preserve">instead </w:t>
      </w:r>
      <w:r w:rsidR="004F6108">
        <w:t>consider</w:t>
      </w:r>
      <w:r w:rsidR="00453EF1">
        <w:t xml:space="preserve"> other factors</w:t>
      </w:r>
      <w:r w:rsidR="00991765">
        <w:t>,</w:t>
      </w:r>
      <w:r w:rsidR="00453EF1">
        <w:t xml:space="preserve"> such as differing levels of economic development and historical emissions between countries.</w:t>
      </w:r>
    </w:p>
    <w:p w14:paraId="5229AD57" w14:textId="62E9E1AC" w:rsidR="00414F99" w:rsidRDefault="00467917" w:rsidP="009229B3">
      <w:pPr>
        <w:pStyle w:val="Numberedparagraphs"/>
      </w:pPr>
      <w:r>
        <w:t>Effort</w:t>
      </w:r>
      <w:r w:rsidR="005E12B0">
        <w:t>-</w:t>
      </w:r>
      <w:r>
        <w:t>sharing approaches can be used to frame domestic emission reduction levels in the context of global climate action but should not be interpreted as providing a firm indication of what that level should be.</w:t>
      </w:r>
      <w:r w:rsidR="00CB257C">
        <w:t xml:space="preserve"> </w:t>
      </w:r>
      <w:r w:rsidR="004129B6">
        <w:t>There is no internationally agreed methodology to derive a</w:t>
      </w:r>
      <w:r w:rsidR="00F350BB">
        <w:t xml:space="preserve"> country’s</w:t>
      </w:r>
      <w:r w:rsidR="004129B6">
        <w:t xml:space="preserve"> equitable o</w:t>
      </w:r>
      <w:r w:rsidR="00F350BB">
        <w:t>r</w:t>
      </w:r>
      <w:r w:rsidR="004129B6">
        <w:t xml:space="preserve"> fair contribution towards </w:t>
      </w:r>
      <w:r w:rsidR="00CE46CB">
        <w:t>mitigating climate change</w:t>
      </w:r>
      <w:r w:rsidR="00F350BB">
        <w:t>.</w:t>
      </w:r>
      <w:r w:rsidR="00DB7AA6">
        <w:t xml:space="preserve"> The results of</w:t>
      </w:r>
      <w:r w:rsidR="00F350BB">
        <w:t xml:space="preserve"> </w:t>
      </w:r>
      <w:r w:rsidR="00DB7AA6">
        <w:t>e</w:t>
      </w:r>
      <w:r w:rsidR="00FD7E09">
        <w:t xml:space="preserve">quity-based </w:t>
      </w:r>
      <w:r w:rsidR="00EC5BA3">
        <w:t>allocations</w:t>
      </w:r>
      <w:r w:rsidR="00255441">
        <w:t xml:space="preserve"> will depend on value judgements about the relevant importance of different </w:t>
      </w:r>
      <w:r w:rsidR="009F2271">
        <w:t xml:space="preserve">fairness </w:t>
      </w:r>
      <w:r w:rsidR="007B26B0">
        <w:t>principles</w:t>
      </w:r>
      <w:r w:rsidR="00255441">
        <w:t>.</w:t>
      </w:r>
      <w:r w:rsidR="00AF5C90">
        <w:t xml:space="preserve"> </w:t>
      </w:r>
      <w:r w:rsidR="00FD7E09">
        <w:t>Similarly, a</w:t>
      </w:r>
      <w:r w:rsidR="00DB7456">
        <w:t xml:space="preserve"> </w:t>
      </w:r>
      <w:r w:rsidR="004766FC">
        <w:t xml:space="preserve">purely cost-effective effort </w:t>
      </w:r>
      <w:r w:rsidR="000D40AD">
        <w:t>allocation</w:t>
      </w:r>
      <w:r w:rsidR="004766FC">
        <w:t xml:space="preserve"> </w:t>
      </w:r>
      <w:r w:rsidR="008C57ED">
        <w:t>does not</w:t>
      </w:r>
      <w:r w:rsidR="004766FC">
        <w:t xml:space="preserve"> differentiate between countries’ national circumstances</w:t>
      </w:r>
      <w:r w:rsidR="008C57ED">
        <w:t>.</w:t>
      </w:r>
    </w:p>
    <w:p w14:paraId="7ED225A9" w14:textId="5A60EE7E" w:rsidR="001162C3" w:rsidRDefault="00E2654D" w:rsidP="009229B3">
      <w:pPr>
        <w:pStyle w:val="Numberedparagraphs"/>
      </w:pPr>
      <w:r>
        <w:t>Moreover, effort</w:t>
      </w:r>
      <w:r w:rsidR="0044472A">
        <w:t>-</w:t>
      </w:r>
      <w:r>
        <w:t xml:space="preserve">share approaches </w:t>
      </w:r>
      <w:r w:rsidR="00CB257C">
        <w:t>narrowly</w:t>
      </w:r>
      <w:r>
        <w:t xml:space="preserve"> focus on </w:t>
      </w:r>
      <w:r w:rsidR="00CB257C">
        <w:t xml:space="preserve">different ways of allocating a global mitigation burden </w:t>
      </w:r>
      <w:r w:rsidR="00C54E35">
        <w:t xml:space="preserve">amongst countries </w:t>
      </w:r>
      <w:r w:rsidR="00CB257C">
        <w:t xml:space="preserve">and fail to capture other important wider </w:t>
      </w:r>
      <w:r w:rsidR="007B0D21">
        <w:t xml:space="preserve">economic and equity </w:t>
      </w:r>
      <w:r w:rsidR="00CB257C">
        <w:t>consideration</w:t>
      </w:r>
      <w:r w:rsidR="007B0D21">
        <w:t xml:space="preserve">s. For instance, they do not capture the extent of potential damages of climate change impacts, which </w:t>
      </w:r>
      <w:r w:rsidR="00D47607">
        <w:t>are likely to</w:t>
      </w:r>
      <w:r w:rsidR="007B0D21">
        <w:t xml:space="preserve"> vary </w:t>
      </w:r>
      <w:r w:rsidR="00D47607">
        <w:t xml:space="preserve">significantly </w:t>
      </w:r>
      <w:r w:rsidR="007B0D21">
        <w:t xml:space="preserve">across </w:t>
      </w:r>
      <w:r w:rsidR="00D47607">
        <w:t xml:space="preserve">countries. They also fail to capture any potential wider economic </w:t>
      </w:r>
      <w:r w:rsidR="008C336B">
        <w:t>opportunities</w:t>
      </w:r>
      <w:r w:rsidR="00D47607">
        <w:t xml:space="preserve"> </w:t>
      </w:r>
      <w:r w:rsidR="00B23FC9">
        <w:t xml:space="preserve">and benefits </w:t>
      </w:r>
      <w:r w:rsidR="00D47607">
        <w:t xml:space="preserve">from net zero transitions, including the </w:t>
      </w:r>
      <w:r w:rsidR="00C54E35">
        <w:t xml:space="preserve">potential for </w:t>
      </w:r>
      <w:r w:rsidR="00D47607">
        <w:t>development</w:t>
      </w:r>
      <w:r w:rsidR="007B0D21">
        <w:t xml:space="preserve"> </w:t>
      </w:r>
      <w:r w:rsidR="00D47607">
        <w:t xml:space="preserve">of low-carbon jobs, technological innovations and </w:t>
      </w:r>
      <w:r w:rsidR="008C336B">
        <w:t>relative competitive advantages</w:t>
      </w:r>
      <w:r w:rsidR="00B23FC9">
        <w:t xml:space="preserve"> or co-benefits to health from mitigation</w:t>
      </w:r>
      <w:r w:rsidR="007B0D21">
        <w:t>.</w:t>
      </w:r>
      <w:r w:rsidR="00CB257C">
        <w:t xml:space="preserve"> </w:t>
      </w:r>
    </w:p>
    <w:p w14:paraId="2DFBC2B5" w14:textId="7C8383FA" w:rsidR="004766FC" w:rsidRPr="00991765" w:rsidRDefault="000356EE" w:rsidP="009229B3">
      <w:pPr>
        <w:pStyle w:val="Numberedparagraphs"/>
        <w:rPr>
          <w:rStyle w:val="CommentReference"/>
          <w:sz w:val="24"/>
          <w:szCs w:val="22"/>
        </w:rPr>
      </w:pPr>
      <w:r>
        <w:t>Effort</w:t>
      </w:r>
      <w:r w:rsidR="0031782B">
        <w:t>-</w:t>
      </w:r>
      <w:r>
        <w:t xml:space="preserve">share analysis considers only domestic abatement. </w:t>
      </w:r>
      <w:r w:rsidR="003F0AA1">
        <w:t xml:space="preserve">When framing </w:t>
      </w:r>
      <w:r w:rsidR="005411E1">
        <w:t xml:space="preserve">domestic action in the context of global climate change mitigation efforts, it is </w:t>
      </w:r>
      <w:r w:rsidR="00EC5BA3">
        <w:t xml:space="preserve">also </w:t>
      </w:r>
      <w:r w:rsidR="005411E1">
        <w:t xml:space="preserve">important to note that </w:t>
      </w:r>
      <w:r w:rsidR="008C59F2">
        <w:t xml:space="preserve">the potential for the development of global </w:t>
      </w:r>
      <w:r w:rsidR="000D40AD">
        <w:t>carbon markets</w:t>
      </w:r>
      <w:r w:rsidR="008C59F2">
        <w:t xml:space="preserve"> under the Paris Agreement cooperation frameworks</w:t>
      </w:r>
      <w:r w:rsidR="000D40AD">
        <w:t xml:space="preserve"> </w:t>
      </w:r>
      <w:r w:rsidR="00E713D8">
        <w:t>and</w:t>
      </w:r>
      <w:r w:rsidR="000D40AD">
        <w:t xml:space="preserve"> the provision of international </w:t>
      </w:r>
      <w:r w:rsidR="00E33086">
        <w:t>climate</w:t>
      </w:r>
      <w:r w:rsidR="000D40AD">
        <w:t xml:space="preserve"> finance provide </w:t>
      </w:r>
      <w:r w:rsidR="00D16FF9">
        <w:t xml:space="preserve">further </w:t>
      </w:r>
      <w:r w:rsidR="00385743">
        <w:t xml:space="preserve">instruments for coordinating global </w:t>
      </w:r>
      <w:r w:rsidR="00EC5BA3">
        <w:t>action</w:t>
      </w:r>
      <w:r w:rsidR="005C3724">
        <w:t xml:space="preserve"> beyond domestic emission reduction targets</w:t>
      </w:r>
      <w:r w:rsidR="00385743">
        <w:t xml:space="preserve">. In addition to domestic emission reduction commitments, the UK is also currently supporting low carbon growth </w:t>
      </w:r>
      <w:r w:rsidR="00B71EBE">
        <w:t xml:space="preserve">in developing countries. </w:t>
      </w:r>
      <w:r w:rsidR="541863EC" w:rsidRPr="006A0C4B">
        <w:rPr>
          <w:rFonts w:eastAsia="Arial" w:cs="Arial"/>
        </w:rPr>
        <w:t>The UK’s International Climate Finance</w:t>
      </w:r>
      <w:r w:rsidR="013E07A3" w:rsidRPr="006A0C4B">
        <w:rPr>
          <w:rFonts w:eastAsia="Arial" w:cs="Arial"/>
        </w:rPr>
        <w:t xml:space="preserve"> (ICF)</w:t>
      </w:r>
      <w:r w:rsidR="541863EC" w:rsidRPr="006A0C4B">
        <w:rPr>
          <w:rFonts w:eastAsia="Arial" w:cs="Arial"/>
        </w:rPr>
        <w:t xml:space="preserve"> helps developing countries mitigate and adapt to the impacts of climate change, reduce deforestation and pursue clean economic growth. At the United Nations Climate Action Summit, the Prime Minister committed to double </w:t>
      </w:r>
      <w:r w:rsidR="21B2C3BC" w:rsidRPr="006A0C4B">
        <w:rPr>
          <w:rFonts w:eastAsia="Arial" w:cs="Arial"/>
        </w:rPr>
        <w:t>the UK’s</w:t>
      </w:r>
      <w:r w:rsidR="541863EC" w:rsidRPr="006A0C4B">
        <w:rPr>
          <w:rFonts w:eastAsia="Arial" w:cs="Arial"/>
        </w:rPr>
        <w:t xml:space="preserve"> ICF to at least £11.6bn between 2021 and 2025.</w:t>
      </w:r>
      <w:r w:rsidR="541863EC" w:rsidRPr="006A0C4B">
        <w:rPr>
          <w:rFonts w:ascii="Calibri" w:eastAsia="Calibri" w:hAnsi="Calibri" w:cs="Calibri"/>
          <w:lang w:val="en-US"/>
        </w:rPr>
        <w:t xml:space="preserve"> </w:t>
      </w:r>
      <w:r w:rsidR="541863EC" w:rsidRPr="006A0C4B">
        <w:rPr>
          <w:rFonts w:eastAsia="Arial" w:cs="Arial"/>
        </w:rPr>
        <w:t xml:space="preserve">This represents a doubling of the UK’s commitment to spend at least £5.8 billion on tackling climate change from 2016 to 2020. </w:t>
      </w:r>
    </w:p>
    <w:p w14:paraId="149D6743" w14:textId="269CE9E3" w:rsidR="00E713D8" w:rsidRPr="009B5EBA" w:rsidRDefault="00E713D8" w:rsidP="009B5EBA">
      <w:pPr>
        <w:pStyle w:val="Heading5"/>
        <w:spacing w:after="200"/>
        <w:rPr>
          <w:sz w:val="24"/>
          <w:szCs w:val="24"/>
        </w:rPr>
      </w:pPr>
      <w:r w:rsidRPr="009B5EBA">
        <w:rPr>
          <w:sz w:val="24"/>
          <w:szCs w:val="24"/>
        </w:rPr>
        <w:t>Economically efficient share of global mitigation efforts</w:t>
      </w:r>
    </w:p>
    <w:p w14:paraId="6FE4765C" w14:textId="1B330CC5" w:rsidR="00DE6B5A" w:rsidRDefault="00A62353" w:rsidP="009229B3">
      <w:pPr>
        <w:pStyle w:val="Numberedparagraphs"/>
      </w:pPr>
      <w:r>
        <w:t>Th</w:t>
      </w:r>
      <w:r w:rsidR="000363EE">
        <w:t xml:space="preserve">is scenario considers the combination of </w:t>
      </w:r>
      <w:r w:rsidR="00BB428E">
        <w:t xml:space="preserve">countries’ </w:t>
      </w:r>
      <w:r w:rsidR="000363EE">
        <w:t>abatement targets that would lead to equal marginal</w:t>
      </w:r>
      <w:r w:rsidR="00134D7A">
        <w:t xml:space="preserve"> costs of abatement across countries</w:t>
      </w:r>
      <w:r w:rsidR="002A0E62">
        <w:t xml:space="preserve">. </w:t>
      </w:r>
      <w:r w:rsidR="003B7888">
        <w:t xml:space="preserve">The </w:t>
      </w:r>
      <w:r w:rsidR="005C3FEB">
        <w:t>BEIS Global Carbon Fina</w:t>
      </w:r>
      <w:r w:rsidR="00D44C3F">
        <w:t xml:space="preserve">nce (GLOCAF) model has been </w:t>
      </w:r>
      <w:r w:rsidR="006E6D11">
        <w:t xml:space="preserve">used </w:t>
      </w:r>
      <w:r w:rsidR="00EC6872">
        <w:t>to assess the economically efficient allocation level.</w:t>
      </w:r>
      <w:r w:rsidR="00F75732">
        <w:t xml:space="preserve"> More details on the GLOCAF model can be found in Annex </w:t>
      </w:r>
      <w:r w:rsidR="004B215E">
        <w:t>A.3.</w:t>
      </w:r>
    </w:p>
    <w:p w14:paraId="602CA8C4" w14:textId="77D1B5B6" w:rsidR="00D40E89" w:rsidRDefault="00F62C0E" w:rsidP="009229B3">
      <w:pPr>
        <w:pStyle w:val="Numberedparagraphs"/>
      </w:pPr>
      <w:r>
        <w:t>This approach allocate</w:t>
      </w:r>
      <w:r w:rsidR="009306BC">
        <w:t>s</w:t>
      </w:r>
      <w:r>
        <w:t xml:space="preserve"> mitigation efforts in a way that minimises the aggregate global costs of achieving </w:t>
      </w:r>
      <w:r w:rsidR="009306BC">
        <w:t xml:space="preserve">a global emissions abatement target. It does not differentiate between different sources of abatement and only considers technical feasible abatement potential and costs as guiding principles for the </w:t>
      </w:r>
      <w:r w:rsidR="00414F99">
        <w:t>distribution of mitigation efforts.</w:t>
      </w:r>
      <w:r w:rsidR="009306BC">
        <w:t xml:space="preserve"> </w:t>
      </w:r>
      <w:r w:rsidR="001C3838">
        <w:t xml:space="preserve">Results are reported in table </w:t>
      </w:r>
      <w:r w:rsidR="004B215E">
        <w:t>1</w:t>
      </w:r>
      <w:r w:rsidR="008F1C9E">
        <w:t>3</w:t>
      </w:r>
      <w:r w:rsidR="001C3838">
        <w:t>.</w:t>
      </w:r>
      <w:r w:rsidR="009D0F73">
        <w:t xml:space="preserve"> </w:t>
      </w:r>
    </w:p>
    <w:p w14:paraId="12328A07" w14:textId="5EB901A3" w:rsidR="005B3521" w:rsidRPr="009B5EBA" w:rsidRDefault="005B3521" w:rsidP="009B5EBA">
      <w:pPr>
        <w:pStyle w:val="Heading5"/>
        <w:rPr>
          <w:sz w:val="24"/>
          <w:szCs w:val="24"/>
        </w:rPr>
      </w:pPr>
      <w:r w:rsidRPr="009B5EBA">
        <w:rPr>
          <w:sz w:val="24"/>
          <w:szCs w:val="24"/>
        </w:rPr>
        <w:t>Equity-based contributions to global mitigation efforts</w:t>
      </w:r>
    </w:p>
    <w:p w14:paraId="2A7FB28A" w14:textId="0F0CAFBD" w:rsidR="007A31B6" w:rsidRDefault="00C92A3E" w:rsidP="009229B3">
      <w:pPr>
        <w:pStyle w:val="Numberedparagraphs"/>
      </w:pPr>
      <w:r>
        <w:t>The relevant academic literature has considered a wide range of potential different metrics to allocate global mitigation efforts under different interpretations of fairness</w:t>
      </w:r>
      <w:r w:rsidR="00A9525F">
        <w:t>.</w:t>
      </w:r>
      <w:r w:rsidR="007E34F8">
        <w:rPr>
          <w:rStyle w:val="FootnoteReference"/>
        </w:rPr>
        <w:footnoteReference w:id="48"/>
      </w:r>
      <w:r>
        <w:t xml:space="preserve"> </w:t>
      </w:r>
      <w:r w:rsidR="001560E6">
        <w:t xml:space="preserve">These approaches tend to </w:t>
      </w:r>
      <w:r w:rsidR="00D00E16">
        <w:t>consider</w:t>
      </w:r>
      <w:r w:rsidR="001560E6">
        <w:t xml:space="preserve"> allocation methodologies based on historical </w:t>
      </w:r>
      <w:r w:rsidR="00251175">
        <w:lastRenderedPageBreak/>
        <w:t xml:space="preserve">emission levels or forward-looking convergence to similar emissions performance metrics based on emissions per capita, </w:t>
      </w:r>
      <w:r w:rsidR="00AC74A5">
        <w:t>national income</w:t>
      </w:r>
      <w:r w:rsidR="00251175">
        <w:t xml:space="preserve"> or ability to pay. This Impact </w:t>
      </w:r>
      <w:r w:rsidR="00797DFC">
        <w:t>A</w:t>
      </w:r>
      <w:r w:rsidR="00251175">
        <w:t>ssessment considers the following metrics:</w:t>
      </w:r>
    </w:p>
    <w:p w14:paraId="0F1A3FC1" w14:textId="1BB85717" w:rsidR="00D00E16" w:rsidRDefault="00111958" w:rsidP="0071483C">
      <w:pPr>
        <w:pStyle w:val="Bullets"/>
      </w:pPr>
      <w:r>
        <w:t>‘</w:t>
      </w:r>
      <w:r w:rsidR="005A3DDF">
        <w:t>Capability</w:t>
      </w:r>
      <w:r>
        <w:t>’ and ‘</w:t>
      </w:r>
      <w:r w:rsidR="00621570">
        <w:t>Contraction and Convergence’</w:t>
      </w:r>
      <w:r>
        <w:t>, which allocate emissions on the basis of relative GDP per capita or emissions per capita.</w:t>
      </w:r>
    </w:p>
    <w:p w14:paraId="0E3F935E" w14:textId="3870B4F2" w:rsidR="00D00E16" w:rsidRDefault="00525E97" w:rsidP="0071483C">
      <w:pPr>
        <w:pStyle w:val="Bullets"/>
      </w:pPr>
      <w:r>
        <w:t>‘</w:t>
      </w:r>
      <w:r w:rsidR="005A3DDF">
        <w:t>Equal Cost</w:t>
      </w:r>
      <w:r>
        <w:t>’</w:t>
      </w:r>
      <w:r w:rsidR="00111958">
        <w:t>, which assumes mitigation efforts are shared such</w:t>
      </w:r>
      <w:r>
        <w:t xml:space="preserve"> that </w:t>
      </w:r>
      <w:r w:rsidR="00797DFC">
        <w:t xml:space="preserve">abatement </w:t>
      </w:r>
      <w:r>
        <w:t>costs as a share of GDP are equal across countries</w:t>
      </w:r>
      <w:r w:rsidR="00797DFC">
        <w:t>; this</w:t>
      </w:r>
      <w:r>
        <w:t xml:space="preserve"> is equivalent to a flat tax rate on income</w:t>
      </w:r>
      <w:r w:rsidR="00105DA0">
        <w:t>.</w:t>
      </w:r>
    </w:p>
    <w:p w14:paraId="3C9F2715" w14:textId="1125F261" w:rsidR="00D00E16" w:rsidRDefault="00525E97" w:rsidP="009B5EBA">
      <w:pPr>
        <w:pStyle w:val="Bullets"/>
        <w:spacing w:after="200"/>
      </w:pPr>
      <w:r>
        <w:t>‘</w:t>
      </w:r>
      <w:r w:rsidR="005A3DDF">
        <w:t>Global Carbon Budget</w:t>
      </w:r>
      <w:r>
        <w:t>’ and ‘</w:t>
      </w:r>
      <w:r w:rsidR="005A3DDF">
        <w:t>Weighted Global Carbon Budget</w:t>
      </w:r>
      <w:r>
        <w:t xml:space="preserve">’, which allocate </w:t>
      </w:r>
      <w:r w:rsidR="00AC74A5">
        <w:t>mitigation effort</w:t>
      </w:r>
      <w:r w:rsidR="00797DFC">
        <w:t>s</w:t>
      </w:r>
      <w:r w:rsidR="00AC74A5">
        <w:t xml:space="preserve"> on the basis of historical emissions.</w:t>
      </w:r>
    </w:p>
    <w:p w14:paraId="3DC85274" w14:textId="750C56EC" w:rsidR="00D00E16" w:rsidRDefault="00D00E16" w:rsidP="009229B3">
      <w:pPr>
        <w:pStyle w:val="Numberedparagraphs"/>
      </w:pPr>
      <w:r>
        <w:t>The</w:t>
      </w:r>
      <w:r w:rsidR="00AC74A5">
        <w:t xml:space="preserve"> table below reports the results of the effort</w:t>
      </w:r>
      <w:r w:rsidR="00FD738B">
        <w:t>-</w:t>
      </w:r>
      <w:r w:rsidR="00AC74A5">
        <w:t xml:space="preserve">share analysis under a global well below </w:t>
      </w:r>
      <w:r w:rsidR="000C6C27">
        <w:t>2</w:t>
      </w:r>
      <w:r w:rsidR="000C6C27">
        <w:rPr>
          <w:rFonts w:cs="Arial"/>
        </w:rPr>
        <w:t>°</w:t>
      </w:r>
      <w:r w:rsidR="000C6C27">
        <w:t>C</w:t>
      </w:r>
      <w:r w:rsidR="00AC74A5">
        <w:t xml:space="preserve"> trajector</w:t>
      </w:r>
      <w:r w:rsidR="006E6D11">
        <w:t>y</w:t>
      </w:r>
      <w:r w:rsidR="00AC74A5">
        <w:t xml:space="preserve"> and a global 1.5</w:t>
      </w:r>
      <w:r w:rsidR="000C6C27">
        <w:rPr>
          <w:rFonts w:cs="Arial"/>
        </w:rPr>
        <w:t>°</w:t>
      </w:r>
      <w:r w:rsidR="000C6C27">
        <w:t>C</w:t>
      </w:r>
      <w:r w:rsidR="00AC74A5">
        <w:t xml:space="preserve"> trajectory.</w:t>
      </w:r>
      <w:r w:rsidR="000031BF">
        <w:t xml:space="preserve"> Detailed descriptions of the fair share methodologies applied are in the Annex. Due to data limitations, it was not possible </w:t>
      </w:r>
      <w:r w:rsidR="00A86F0F">
        <w:t>to include international aviation and shipping emissions in the effort</w:t>
      </w:r>
      <w:r w:rsidR="00FD738B">
        <w:t>-</w:t>
      </w:r>
      <w:r w:rsidR="00A86F0F">
        <w:t>share analysis</w:t>
      </w:r>
      <w:r w:rsidR="00797DFC">
        <w:t xml:space="preserve"> results</w:t>
      </w:r>
      <w:r w:rsidR="00A86F0F">
        <w:t>.</w:t>
      </w:r>
    </w:p>
    <w:p w14:paraId="052A2317" w14:textId="68CC1A2B" w:rsidR="001A7FAF" w:rsidRPr="006A0C4B" w:rsidRDefault="001A7FAF" w:rsidP="009229B3">
      <w:pPr>
        <w:spacing w:after="120"/>
        <w:rPr>
          <w:i/>
          <w:u w:val="single"/>
        </w:rPr>
      </w:pPr>
      <w:r w:rsidRPr="006A0C4B">
        <w:rPr>
          <w:i/>
        </w:rPr>
        <w:t>Table</w:t>
      </w:r>
      <w:r w:rsidR="00657CCC" w:rsidRPr="006A0C4B">
        <w:rPr>
          <w:i/>
          <w:iCs/>
        </w:rPr>
        <w:t xml:space="preserve"> 1</w:t>
      </w:r>
      <w:r w:rsidR="008F1C9E">
        <w:rPr>
          <w:i/>
          <w:iCs/>
        </w:rPr>
        <w:t>3</w:t>
      </w:r>
      <w:r w:rsidRPr="006A0C4B">
        <w:rPr>
          <w:i/>
        </w:rPr>
        <w:t xml:space="preserve">: </w:t>
      </w:r>
      <w:r w:rsidR="009F408D" w:rsidRPr="006A0C4B">
        <w:rPr>
          <w:i/>
        </w:rPr>
        <w:t xml:space="preserve">Illustrative </w:t>
      </w:r>
      <w:r w:rsidR="006614AA" w:rsidRPr="006A0C4B">
        <w:rPr>
          <w:i/>
        </w:rPr>
        <w:t xml:space="preserve">2035 </w:t>
      </w:r>
      <w:r w:rsidR="009F408D" w:rsidRPr="006A0C4B">
        <w:rPr>
          <w:i/>
        </w:rPr>
        <w:t xml:space="preserve">UK contributions to </w:t>
      </w:r>
      <w:r w:rsidR="002375F4" w:rsidRPr="006A0C4B">
        <w:rPr>
          <w:i/>
        </w:rPr>
        <w:t>global emissions reductions</w:t>
      </w:r>
    </w:p>
    <w:tbl>
      <w:tblPr>
        <w:tblStyle w:val="TableGrid"/>
        <w:tblW w:w="10479" w:type="dxa"/>
        <w:jc w:val="center"/>
        <w:tblLayout w:type="fixed"/>
        <w:tblLook w:val="04A0" w:firstRow="1" w:lastRow="0" w:firstColumn="1" w:lastColumn="0" w:noHBand="0" w:noVBand="1"/>
      </w:tblPr>
      <w:tblGrid>
        <w:gridCol w:w="1784"/>
        <w:gridCol w:w="1401"/>
        <w:gridCol w:w="1205"/>
        <w:gridCol w:w="1842"/>
        <w:gridCol w:w="1560"/>
        <w:gridCol w:w="1285"/>
        <w:gridCol w:w="1402"/>
      </w:tblGrid>
      <w:tr w:rsidR="000031BF" w14:paraId="796D4DD3" w14:textId="17293B0F" w:rsidTr="0071483C">
        <w:trPr>
          <w:jc w:val="center"/>
        </w:trPr>
        <w:tc>
          <w:tcPr>
            <w:tcW w:w="1784" w:type="dxa"/>
          </w:tcPr>
          <w:p w14:paraId="222EAB3A" w14:textId="1BC5ADB2" w:rsidR="000031BF" w:rsidRPr="0071483C" w:rsidRDefault="00797DFC" w:rsidP="002D3E2E">
            <w:pPr>
              <w:rPr>
                <w:b/>
                <w:sz w:val="22"/>
                <w:szCs w:val="22"/>
              </w:rPr>
            </w:pPr>
            <w:r w:rsidRPr="0071483C">
              <w:rPr>
                <w:b/>
                <w:sz w:val="22"/>
                <w:szCs w:val="22"/>
              </w:rPr>
              <w:t xml:space="preserve">UK </w:t>
            </w:r>
            <w:r w:rsidR="00FD738B">
              <w:rPr>
                <w:b/>
                <w:sz w:val="22"/>
                <w:szCs w:val="22"/>
              </w:rPr>
              <w:t>e</w:t>
            </w:r>
            <w:r w:rsidR="000031BF" w:rsidRPr="0071483C">
              <w:rPr>
                <w:b/>
                <w:sz w:val="22"/>
                <w:szCs w:val="22"/>
              </w:rPr>
              <w:t>ffort</w:t>
            </w:r>
            <w:r w:rsidR="00FD738B">
              <w:rPr>
                <w:b/>
                <w:sz w:val="22"/>
                <w:szCs w:val="22"/>
              </w:rPr>
              <w:t>-</w:t>
            </w:r>
            <w:r w:rsidR="000031BF" w:rsidRPr="0071483C">
              <w:rPr>
                <w:b/>
                <w:sz w:val="22"/>
                <w:szCs w:val="22"/>
              </w:rPr>
              <w:t>share, % reduction on 1990 in 2035 (exc. IAS)</w:t>
            </w:r>
          </w:p>
        </w:tc>
        <w:tc>
          <w:tcPr>
            <w:tcW w:w="1401" w:type="dxa"/>
          </w:tcPr>
          <w:p w14:paraId="736B9154" w14:textId="39D5EB87" w:rsidR="000031BF" w:rsidRPr="0071483C" w:rsidRDefault="000031BF" w:rsidP="00861D79">
            <w:pPr>
              <w:ind w:right="170"/>
              <w:jc w:val="right"/>
              <w:rPr>
                <w:b/>
                <w:sz w:val="22"/>
                <w:szCs w:val="22"/>
              </w:rPr>
            </w:pPr>
            <w:r w:rsidRPr="0071483C">
              <w:rPr>
                <w:b/>
                <w:sz w:val="22"/>
                <w:szCs w:val="22"/>
              </w:rPr>
              <w:t>Minimum global cost</w:t>
            </w:r>
          </w:p>
        </w:tc>
        <w:tc>
          <w:tcPr>
            <w:tcW w:w="1205" w:type="dxa"/>
          </w:tcPr>
          <w:p w14:paraId="4D48CF63" w14:textId="50ED77DD" w:rsidR="000031BF" w:rsidRPr="0071483C" w:rsidRDefault="005C430A" w:rsidP="00861D79">
            <w:pPr>
              <w:ind w:right="170"/>
              <w:jc w:val="right"/>
              <w:rPr>
                <w:b/>
                <w:sz w:val="22"/>
                <w:szCs w:val="22"/>
              </w:rPr>
            </w:pPr>
            <w:r w:rsidRPr="0071483C">
              <w:rPr>
                <w:b/>
                <w:sz w:val="22"/>
                <w:szCs w:val="22"/>
              </w:rPr>
              <w:t>Equal Cost</w:t>
            </w:r>
          </w:p>
        </w:tc>
        <w:tc>
          <w:tcPr>
            <w:tcW w:w="1842" w:type="dxa"/>
          </w:tcPr>
          <w:p w14:paraId="3A580FAE" w14:textId="7508DE12" w:rsidR="000031BF" w:rsidRPr="0071483C" w:rsidRDefault="00621570" w:rsidP="00861D79">
            <w:pPr>
              <w:ind w:right="170"/>
              <w:jc w:val="right"/>
              <w:rPr>
                <w:b/>
                <w:sz w:val="22"/>
                <w:szCs w:val="22"/>
              </w:rPr>
            </w:pPr>
            <w:r w:rsidRPr="0071483C">
              <w:rPr>
                <w:b/>
                <w:sz w:val="22"/>
                <w:szCs w:val="22"/>
              </w:rPr>
              <w:t>Contraction and Convergence</w:t>
            </w:r>
          </w:p>
        </w:tc>
        <w:tc>
          <w:tcPr>
            <w:tcW w:w="1560" w:type="dxa"/>
          </w:tcPr>
          <w:p w14:paraId="4239827D" w14:textId="411C355F" w:rsidR="000031BF" w:rsidRPr="0071483C" w:rsidRDefault="005C430A">
            <w:pPr>
              <w:ind w:right="170"/>
              <w:jc w:val="right"/>
              <w:rPr>
                <w:b/>
                <w:sz w:val="22"/>
                <w:szCs w:val="22"/>
              </w:rPr>
            </w:pPr>
            <w:r w:rsidRPr="0071483C">
              <w:rPr>
                <w:b/>
                <w:sz w:val="22"/>
                <w:szCs w:val="22"/>
              </w:rPr>
              <w:t>Capability</w:t>
            </w:r>
          </w:p>
        </w:tc>
        <w:tc>
          <w:tcPr>
            <w:tcW w:w="1285" w:type="dxa"/>
          </w:tcPr>
          <w:p w14:paraId="21A0D227" w14:textId="65A9D31D" w:rsidR="000031BF" w:rsidRPr="0071483C" w:rsidRDefault="000031BF">
            <w:pPr>
              <w:ind w:right="170"/>
              <w:jc w:val="right"/>
              <w:rPr>
                <w:b/>
                <w:sz w:val="22"/>
                <w:szCs w:val="22"/>
              </w:rPr>
            </w:pPr>
            <w:r w:rsidRPr="0071483C">
              <w:rPr>
                <w:b/>
                <w:sz w:val="22"/>
                <w:szCs w:val="22"/>
              </w:rPr>
              <w:t>Global Carbon Budget</w:t>
            </w:r>
          </w:p>
        </w:tc>
        <w:tc>
          <w:tcPr>
            <w:tcW w:w="1402" w:type="dxa"/>
          </w:tcPr>
          <w:p w14:paraId="23CB6932" w14:textId="59118577" w:rsidR="000031BF" w:rsidRPr="0071483C" w:rsidRDefault="000031BF">
            <w:pPr>
              <w:ind w:right="170"/>
              <w:jc w:val="right"/>
              <w:rPr>
                <w:b/>
                <w:sz w:val="22"/>
                <w:szCs w:val="22"/>
              </w:rPr>
            </w:pPr>
            <w:r w:rsidRPr="0071483C">
              <w:rPr>
                <w:b/>
                <w:sz w:val="22"/>
                <w:szCs w:val="22"/>
              </w:rPr>
              <w:t>Weighted Global Carbon Budget</w:t>
            </w:r>
          </w:p>
        </w:tc>
      </w:tr>
      <w:tr w:rsidR="000031BF" w14:paraId="213DC2AE" w14:textId="7FE8B0E5" w:rsidTr="0071483C">
        <w:trPr>
          <w:jc w:val="center"/>
        </w:trPr>
        <w:tc>
          <w:tcPr>
            <w:tcW w:w="1784" w:type="dxa"/>
          </w:tcPr>
          <w:p w14:paraId="1F99A4AC" w14:textId="595DEFB8" w:rsidR="000031BF" w:rsidRPr="006A0C4B" w:rsidRDefault="000031BF" w:rsidP="002D3E2E">
            <w:pPr>
              <w:rPr>
                <w:sz w:val="22"/>
                <w:szCs w:val="22"/>
              </w:rPr>
            </w:pPr>
            <w:r w:rsidRPr="006A0C4B">
              <w:rPr>
                <w:sz w:val="22"/>
                <w:szCs w:val="22"/>
              </w:rPr>
              <w:t>Well Below 2</w:t>
            </w:r>
            <w:r w:rsidRPr="006A0C4B">
              <w:rPr>
                <w:sz w:val="22"/>
                <w:szCs w:val="22"/>
                <w:vertAlign w:val="superscript"/>
              </w:rPr>
              <w:t>o</w:t>
            </w:r>
            <w:r w:rsidRPr="006A0C4B">
              <w:rPr>
                <w:sz w:val="22"/>
                <w:szCs w:val="22"/>
              </w:rPr>
              <w:t>C</w:t>
            </w:r>
          </w:p>
        </w:tc>
        <w:tc>
          <w:tcPr>
            <w:tcW w:w="1401" w:type="dxa"/>
          </w:tcPr>
          <w:p w14:paraId="644F299B" w14:textId="0F446E33" w:rsidR="000031BF" w:rsidRPr="006A0C4B" w:rsidRDefault="00A86F0F" w:rsidP="00861D79">
            <w:pPr>
              <w:ind w:right="170"/>
              <w:jc w:val="right"/>
              <w:rPr>
                <w:sz w:val="22"/>
                <w:szCs w:val="22"/>
              </w:rPr>
            </w:pPr>
            <w:r w:rsidRPr="006A0C4B">
              <w:rPr>
                <w:sz w:val="22"/>
                <w:szCs w:val="22"/>
              </w:rPr>
              <w:t>63%</w:t>
            </w:r>
          </w:p>
        </w:tc>
        <w:tc>
          <w:tcPr>
            <w:tcW w:w="1205" w:type="dxa"/>
          </w:tcPr>
          <w:p w14:paraId="13EB30F6" w14:textId="559EE618" w:rsidR="000031BF" w:rsidRPr="006A0C4B" w:rsidRDefault="005C430A" w:rsidP="00861D79">
            <w:pPr>
              <w:ind w:right="170"/>
              <w:jc w:val="right"/>
              <w:rPr>
                <w:sz w:val="22"/>
                <w:szCs w:val="22"/>
              </w:rPr>
            </w:pPr>
            <w:r w:rsidRPr="006A0C4B">
              <w:rPr>
                <w:sz w:val="22"/>
                <w:szCs w:val="22"/>
              </w:rPr>
              <w:t>74</w:t>
            </w:r>
            <w:r w:rsidR="00A86F0F" w:rsidRPr="006A0C4B">
              <w:rPr>
                <w:sz w:val="22"/>
                <w:szCs w:val="22"/>
              </w:rPr>
              <w:t>%</w:t>
            </w:r>
          </w:p>
        </w:tc>
        <w:tc>
          <w:tcPr>
            <w:tcW w:w="1842" w:type="dxa"/>
          </w:tcPr>
          <w:p w14:paraId="37B26BEE" w14:textId="33DE198A" w:rsidR="000031BF" w:rsidRPr="006A0C4B" w:rsidRDefault="00A86F0F" w:rsidP="00861D79">
            <w:pPr>
              <w:ind w:right="170"/>
              <w:jc w:val="right"/>
              <w:rPr>
                <w:sz w:val="22"/>
                <w:szCs w:val="22"/>
              </w:rPr>
            </w:pPr>
            <w:r w:rsidRPr="006A0C4B">
              <w:rPr>
                <w:sz w:val="22"/>
                <w:szCs w:val="22"/>
              </w:rPr>
              <w:t>68%</w:t>
            </w:r>
          </w:p>
        </w:tc>
        <w:tc>
          <w:tcPr>
            <w:tcW w:w="1560" w:type="dxa"/>
          </w:tcPr>
          <w:p w14:paraId="3B430BDE" w14:textId="2694CB7C" w:rsidR="000031BF" w:rsidRPr="006A0C4B" w:rsidRDefault="005C430A">
            <w:pPr>
              <w:ind w:right="170"/>
              <w:jc w:val="right"/>
              <w:rPr>
                <w:sz w:val="22"/>
                <w:szCs w:val="22"/>
              </w:rPr>
            </w:pPr>
            <w:r w:rsidRPr="006A0C4B">
              <w:rPr>
                <w:sz w:val="22"/>
                <w:szCs w:val="22"/>
              </w:rPr>
              <w:t>91%</w:t>
            </w:r>
          </w:p>
        </w:tc>
        <w:tc>
          <w:tcPr>
            <w:tcW w:w="1285" w:type="dxa"/>
          </w:tcPr>
          <w:p w14:paraId="47ACE9D0" w14:textId="0CA40862" w:rsidR="000031BF" w:rsidRPr="006A0C4B" w:rsidRDefault="005C430A">
            <w:pPr>
              <w:ind w:right="170"/>
              <w:jc w:val="right"/>
              <w:rPr>
                <w:sz w:val="22"/>
                <w:szCs w:val="22"/>
              </w:rPr>
            </w:pPr>
            <w:r w:rsidRPr="006A0C4B">
              <w:rPr>
                <w:sz w:val="22"/>
                <w:szCs w:val="22"/>
              </w:rPr>
              <w:t>99%</w:t>
            </w:r>
          </w:p>
        </w:tc>
        <w:tc>
          <w:tcPr>
            <w:tcW w:w="1402" w:type="dxa"/>
          </w:tcPr>
          <w:p w14:paraId="1CD736FB" w14:textId="78CC871A" w:rsidR="000031BF" w:rsidRPr="006A0C4B" w:rsidRDefault="005C430A">
            <w:pPr>
              <w:ind w:right="170"/>
              <w:jc w:val="right"/>
              <w:rPr>
                <w:sz w:val="22"/>
                <w:szCs w:val="22"/>
              </w:rPr>
            </w:pPr>
            <w:r w:rsidRPr="006A0C4B">
              <w:rPr>
                <w:sz w:val="22"/>
                <w:szCs w:val="22"/>
              </w:rPr>
              <w:t>87%</w:t>
            </w:r>
          </w:p>
        </w:tc>
      </w:tr>
      <w:tr w:rsidR="000031BF" w14:paraId="1AFE46DF" w14:textId="6947DE63" w:rsidTr="0071483C">
        <w:trPr>
          <w:jc w:val="center"/>
        </w:trPr>
        <w:tc>
          <w:tcPr>
            <w:tcW w:w="1784" w:type="dxa"/>
          </w:tcPr>
          <w:p w14:paraId="11446D01" w14:textId="1998DC51" w:rsidR="000031BF" w:rsidRPr="006A0C4B" w:rsidRDefault="000031BF" w:rsidP="002D3E2E">
            <w:pPr>
              <w:rPr>
                <w:sz w:val="22"/>
                <w:szCs w:val="22"/>
              </w:rPr>
            </w:pPr>
            <w:r w:rsidRPr="006A0C4B">
              <w:rPr>
                <w:sz w:val="22"/>
                <w:szCs w:val="22"/>
              </w:rPr>
              <w:t>1.5</w:t>
            </w:r>
            <w:r w:rsidRPr="006A0C4B">
              <w:rPr>
                <w:sz w:val="22"/>
                <w:szCs w:val="22"/>
                <w:vertAlign w:val="superscript"/>
              </w:rPr>
              <w:t>o</w:t>
            </w:r>
            <w:r w:rsidRPr="006A0C4B">
              <w:rPr>
                <w:sz w:val="22"/>
                <w:szCs w:val="22"/>
              </w:rPr>
              <w:t xml:space="preserve">C with no or low </w:t>
            </w:r>
            <w:r w:rsidR="00310350">
              <w:rPr>
                <w:sz w:val="22"/>
                <w:szCs w:val="22"/>
              </w:rPr>
              <w:t>overshoot</w:t>
            </w:r>
          </w:p>
        </w:tc>
        <w:tc>
          <w:tcPr>
            <w:tcW w:w="1401" w:type="dxa"/>
          </w:tcPr>
          <w:p w14:paraId="091674B7" w14:textId="035261FA" w:rsidR="000031BF" w:rsidRPr="006A0C4B" w:rsidRDefault="005C430A" w:rsidP="00861D79">
            <w:pPr>
              <w:ind w:right="170"/>
              <w:jc w:val="right"/>
              <w:rPr>
                <w:sz w:val="22"/>
                <w:szCs w:val="22"/>
              </w:rPr>
            </w:pPr>
            <w:r w:rsidRPr="006A0C4B">
              <w:rPr>
                <w:sz w:val="22"/>
                <w:szCs w:val="22"/>
              </w:rPr>
              <w:t>76%</w:t>
            </w:r>
          </w:p>
        </w:tc>
        <w:tc>
          <w:tcPr>
            <w:tcW w:w="1205" w:type="dxa"/>
          </w:tcPr>
          <w:p w14:paraId="3D88508B" w14:textId="3B5FAA10" w:rsidR="000031BF" w:rsidRPr="006A0C4B" w:rsidRDefault="00815753" w:rsidP="00861D79">
            <w:pPr>
              <w:ind w:right="170"/>
              <w:jc w:val="right"/>
              <w:rPr>
                <w:sz w:val="22"/>
                <w:szCs w:val="22"/>
              </w:rPr>
            </w:pPr>
            <w:r w:rsidRPr="006A0C4B">
              <w:rPr>
                <w:sz w:val="22"/>
                <w:szCs w:val="22"/>
              </w:rPr>
              <w:t>86%</w:t>
            </w:r>
          </w:p>
        </w:tc>
        <w:tc>
          <w:tcPr>
            <w:tcW w:w="1842" w:type="dxa"/>
          </w:tcPr>
          <w:p w14:paraId="3186C9F3" w14:textId="28C0B7C4" w:rsidR="000031BF" w:rsidRPr="006A0C4B" w:rsidRDefault="00815753" w:rsidP="00861D79">
            <w:pPr>
              <w:ind w:right="170"/>
              <w:jc w:val="right"/>
              <w:rPr>
                <w:sz w:val="22"/>
                <w:szCs w:val="22"/>
              </w:rPr>
            </w:pPr>
            <w:r w:rsidRPr="006A0C4B">
              <w:rPr>
                <w:sz w:val="22"/>
                <w:szCs w:val="22"/>
              </w:rPr>
              <w:t>80%</w:t>
            </w:r>
          </w:p>
        </w:tc>
        <w:tc>
          <w:tcPr>
            <w:tcW w:w="1560" w:type="dxa"/>
          </w:tcPr>
          <w:p w14:paraId="209656AD" w14:textId="3EF70647" w:rsidR="000031BF" w:rsidRPr="006A0C4B" w:rsidRDefault="00815753" w:rsidP="00861D79">
            <w:pPr>
              <w:ind w:right="170"/>
              <w:jc w:val="right"/>
              <w:rPr>
                <w:sz w:val="22"/>
                <w:szCs w:val="22"/>
              </w:rPr>
            </w:pPr>
            <w:r w:rsidRPr="006A0C4B">
              <w:rPr>
                <w:sz w:val="22"/>
                <w:szCs w:val="22"/>
              </w:rPr>
              <w:t>94%</w:t>
            </w:r>
          </w:p>
        </w:tc>
        <w:tc>
          <w:tcPr>
            <w:tcW w:w="1285" w:type="dxa"/>
          </w:tcPr>
          <w:p w14:paraId="3FE4CEF3" w14:textId="2F53D252" w:rsidR="000031BF" w:rsidRPr="006A0C4B" w:rsidRDefault="00815753" w:rsidP="00861D79">
            <w:pPr>
              <w:ind w:right="170"/>
              <w:jc w:val="right"/>
              <w:rPr>
                <w:sz w:val="22"/>
                <w:szCs w:val="22"/>
              </w:rPr>
            </w:pPr>
            <w:r w:rsidRPr="006A0C4B">
              <w:rPr>
                <w:sz w:val="22"/>
                <w:szCs w:val="22"/>
              </w:rPr>
              <w:t>106%</w:t>
            </w:r>
          </w:p>
        </w:tc>
        <w:tc>
          <w:tcPr>
            <w:tcW w:w="1402" w:type="dxa"/>
          </w:tcPr>
          <w:p w14:paraId="052B64DE" w14:textId="7D18A870" w:rsidR="000031BF" w:rsidRPr="006A0C4B" w:rsidRDefault="00815753" w:rsidP="00861D79">
            <w:pPr>
              <w:ind w:right="170"/>
              <w:jc w:val="right"/>
              <w:rPr>
                <w:sz w:val="22"/>
                <w:szCs w:val="22"/>
              </w:rPr>
            </w:pPr>
            <w:r w:rsidRPr="006A0C4B">
              <w:rPr>
                <w:sz w:val="22"/>
                <w:szCs w:val="22"/>
              </w:rPr>
              <w:t>96%</w:t>
            </w:r>
          </w:p>
        </w:tc>
      </w:tr>
    </w:tbl>
    <w:p w14:paraId="198A87B3" w14:textId="77777777" w:rsidR="002E2BB7" w:rsidRDefault="002E2BB7" w:rsidP="002D3E2E"/>
    <w:p w14:paraId="232622D2" w14:textId="76B4CC0B" w:rsidR="00815753" w:rsidRDefault="001C7DDB" w:rsidP="009229B3">
      <w:pPr>
        <w:pStyle w:val="Numberedparagraphs"/>
      </w:pPr>
      <w:r>
        <w:t xml:space="preserve">The percentage reductions for the sixth carbon budget options presented above (e.g. table </w:t>
      </w:r>
      <w:r w:rsidR="008F1C9E">
        <w:t>4</w:t>
      </w:r>
      <w:r>
        <w:t>) cannot be compared to the percentage reductions in table 1</w:t>
      </w:r>
      <w:r w:rsidR="008F1C9E">
        <w:t>3</w:t>
      </w:r>
      <w:r>
        <w:t xml:space="preserve">, as they are based on different accounting assumptions. </w:t>
      </w:r>
      <w:r w:rsidR="00C1427A">
        <w:t>F</w:t>
      </w:r>
      <w:r w:rsidR="00C1427A" w:rsidRPr="00736EFD">
        <w:t>or example</w:t>
      </w:r>
      <w:r w:rsidR="00C1427A">
        <w:t>, w</w:t>
      </w:r>
      <w:r>
        <w:t>hen put on a comparable basis</w:t>
      </w:r>
      <w:r w:rsidR="00C1427A">
        <w:t>,</w:t>
      </w:r>
      <w:r w:rsidR="00736EFD" w:rsidRPr="00736EFD">
        <w:t xml:space="preserve"> Option 3 for the sixth carbon budget level implies a reduction of c</w:t>
      </w:r>
      <w:r w:rsidR="009C6ED9">
        <w:t xml:space="preserve">. </w:t>
      </w:r>
      <w:r w:rsidR="00736EFD" w:rsidRPr="00736EFD">
        <w:t>8</w:t>
      </w:r>
      <w:r w:rsidR="00736EFD">
        <w:t>4</w:t>
      </w:r>
      <w:r w:rsidR="00736EFD" w:rsidRPr="00736EFD">
        <w:t xml:space="preserve">% on 1990 levels </w:t>
      </w:r>
      <w:r w:rsidR="00736EFD">
        <w:t xml:space="preserve">on the same accounting basis as </w:t>
      </w:r>
      <w:r w:rsidR="009C6ED9">
        <w:t>t</w:t>
      </w:r>
      <w:r w:rsidR="00736EFD">
        <w:t>able 1</w:t>
      </w:r>
      <w:r w:rsidR="008F1C9E">
        <w:t>3</w:t>
      </w:r>
      <w:r w:rsidR="00736EFD" w:rsidRPr="00736EFD">
        <w:t>.</w:t>
      </w:r>
      <w:r>
        <w:t xml:space="preserve"> </w:t>
      </w:r>
      <w:r w:rsidR="00736EFD">
        <w:t>After adjusting for those accounting differences, i</w:t>
      </w:r>
      <w:r w:rsidR="00100219" w:rsidRPr="00100219">
        <w:t xml:space="preserve">n 2035, modelled </w:t>
      </w:r>
      <w:r w:rsidR="00915CD0">
        <w:t>sixth carbon budget</w:t>
      </w:r>
      <w:r w:rsidR="00100219" w:rsidRPr="00100219">
        <w:t xml:space="preserve"> options imply emission reductions that are more ambitious than if global mitigation efforts were shared across countries/regions in the most cost</w:t>
      </w:r>
      <w:r w:rsidR="000C6C27" w:rsidRPr="00100219">
        <w:t>-</w:t>
      </w:r>
      <w:r w:rsidR="00100219" w:rsidRPr="00100219">
        <w:t>effective way. They are less ambitious than if efforts were shared with historical contributions to emissions taken into account</w:t>
      </w:r>
      <w:r w:rsidR="00134178">
        <w:t xml:space="preserve">. </w:t>
      </w:r>
      <w:r w:rsidR="00100219" w:rsidRPr="00100219">
        <w:t>They are within the range of reductions implied by effort allocations based on forward looking convergence on common</w:t>
      </w:r>
      <w:r w:rsidR="000B7DC2">
        <w:t xml:space="preserve"> emissions performance</w:t>
      </w:r>
      <w:r w:rsidR="00100219" w:rsidRPr="00100219">
        <w:t xml:space="preserve"> metrics</w:t>
      </w:r>
      <w:r w:rsidR="009C6ED9">
        <w:t>.</w:t>
      </w:r>
      <w:r w:rsidR="00844C14">
        <w:t xml:space="preserve"> </w:t>
      </w:r>
    </w:p>
    <w:p w14:paraId="0F449BD0" w14:textId="62FEF175" w:rsidR="00543432" w:rsidRDefault="00134178" w:rsidP="009229B3">
      <w:pPr>
        <w:pStyle w:val="Numberedparagraphs"/>
        <w:rPr>
          <w:u w:val="single"/>
        </w:rPr>
      </w:pPr>
      <w:r>
        <w:t>It is worth noting that the analysis implicitly assumes that the global emissions abatement target will be met under each effort</w:t>
      </w:r>
      <w:r w:rsidR="00A106E5">
        <w:t>-</w:t>
      </w:r>
      <w:r>
        <w:t>sharing approach only if all countries adhere to the same effort</w:t>
      </w:r>
      <w:r w:rsidR="00A106E5">
        <w:t>-</w:t>
      </w:r>
      <w:r>
        <w:t xml:space="preserve">sharing allocation. </w:t>
      </w:r>
      <w:r w:rsidR="00F75C23">
        <w:t xml:space="preserve">Also, </w:t>
      </w:r>
      <w:r>
        <w:t>the metrics</w:t>
      </w:r>
      <w:r w:rsidR="00F75C23">
        <w:t xml:space="preserve"> do not necessarily imply </w:t>
      </w:r>
      <w:r>
        <w:t>emission re</w:t>
      </w:r>
      <w:r w:rsidR="00F75C23">
        <w:t>ductions that are consistent with the UK</w:t>
      </w:r>
      <w:r w:rsidR="00105DA0">
        <w:t>’s</w:t>
      </w:r>
      <w:r w:rsidR="00F75C23">
        <w:t xml:space="preserve"> long</w:t>
      </w:r>
      <w:r w:rsidR="00105DA0">
        <w:t>-</w:t>
      </w:r>
      <w:r w:rsidR="00F75C23">
        <w:t>term net zero target</w:t>
      </w:r>
      <w:r w:rsidR="000B7DC2">
        <w:t>. These equity approaches therefore provide a guide for what an appropriate contribution from the UK would be to the global emission reduction, not all of which should necessarily be delivered through domestic emissions cuts.</w:t>
      </w:r>
      <w:r w:rsidR="00F75C23">
        <w:t xml:space="preserve">  </w:t>
      </w:r>
      <w:r>
        <w:t xml:space="preserve"> </w:t>
      </w:r>
    </w:p>
    <w:p w14:paraId="5622CE9A" w14:textId="4DB7E7F5" w:rsidR="008F2606" w:rsidRPr="009B5EBA" w:rsidRDefault="004A122C" w:rsidP="007E58AB">
      <w:pPr>
        <w:pStyle w:val="Heading4"/>
        <w:spacing w:after="200"/>
        <w:rPr>
          <w:b w:val="0"/>
          <w:szCs w:val="24"/>
        </w:rPr>
      </w:pPr>
      <w:r w:rsidRPr="009B5EBA">
        <w:rPr>
          <w:szCs w:val="24"/>
        </w:rPr>
        <w:t>Commitments of other countries</w:t>
      </w:r>
    </w:p>
    <w:p w14:paraId="69EC99D2" w14:textId="79BDF4CF" w:rsidR="00AB45B6" w:rsidRDefault="004D30AC" w:rsidP="009229B3">
      <w:pPr>
        <w:pStyle w:val="Numberedparagraphs"/>
      </w:pPr>
      <w:r>
        <w:t>Since the UK</w:t>
      </w:r>
      <w:r w:rsidR="00245778">
        <w:t xml:space="preserve"> </w:t>
      </w:r>
      <w:r w:rsidR="00347F82">
        <w:t xml:space="preserve">became the first major economy to </w:t>
      </w:r>
      <w:r w:rsidR="003E2155">
        <w:t xml:space="preserve">pass </w:t>
      </w:r>
      <w:r w:rsidR="000408E7">
        <w:t xml:space="preserve">a </w:t>
      </w:r>
      <w:r w:rsidR="00245778">
        <w:t>net zero</w:t>
      </w:r>
      <w:r w:rsidR="003E2155">
        <w:t xml:space="preserve"> emissions </w:t>
      </w:r>
      <w:r w:rsidR="000408E7">
        <w:t>target</w:t>
      </w:r>
      <w:r w:rsidR="003E2155">
        <w:t xml:space="preserve"> into law</w:t>
      </w:r>
      <w:r w:rsidR="00245778">
        <w:t>,</w:t>
      </w:r>
      <w:r w:rsidR="00C03BC4">
        <w:t xml:space="preserve"> countries</w:t>
      </w:r>
      <w:r w:rsidR="00C11538">
        <w:t xml:space="preserve"> representing </w:t>
      </w:r>
      <w:r w:rsidR="00797DFC">
        <w:t>about 70</w:t>
      </w:r>
      <w:r w:rsidR="00AB45B6">
        <w:t>%</w:t>
      </w:r>
      <w:r w:rsidR="002956FC">
        <w:t xml:space="preserve"> of world GDP </w:t>
      </w:r>
      <w:r w:rsidR="00AB45B6">
        <w:t xml:space="preserve">(2018) </w:t>
      </w:r>
      <w:r w:rsidR="002956FC">
        <w:t xml:space="preserve">and </w:t>
      </w:r>
      <w:r w:rsidR="0051196E">
        <w:t xml:space="preserve">approximately </w:t>
      </w:r>
      <w:r w:rsidR="00AB45B6">
        <w:t>65%</w:t>
      </w:r>
      <w:r w:rsidR="00245778">
        <w:t xml:space="preserve"> of global GHG emissions</w:t>
      </w:r>
      <w:r w:rsidR="00C03BC4">
        <w:t xml:space="preserve"> </w:t>
      </w:r>
      <w:r w:rsidR="00AB45B6">
        <w:t xml:space="preserve">(2016) </w:t>
      </w:r>
      <w:r w:rsidR="00C03BC4">
        <w:t xml:space="preserve">have </w:t>
      </w:r>
      <w:r w:rsidR="00245778">
        <w:t>come forward with</w:t>
      </w:r>
      <w:r w:rsidR="00AB45B6">
        <w:t>, or are discussing,</w:t>
      </w:r>
      <w:r w:rsidR="00FE341A">
        <w:t xml:space="preserve"> net zero</w:t>
      </w:r>
      <w:r>
        <w:t xml:space="preserve"> </w:t>
      </w:r>
      <w:r w:rsidR="0051196E">
        <w:t xml:space="preserve">or climate </w:t>
      </w:r>
      <w:r w:rsidR="00A362D1">
        <w:t>neutrality</w:t>
      </w:r>
      <w:r w:rsidR="0051196E">
        <w:t xml:space="preserve"> </w:t>
      </w:r>
      <w:r w:rsidR="00245778">
        <w:t>commitments</w:t>
      </w:r>
      <w:r w:rsidR="00421559">
        <w:t xml:space="preserve">. </w:t>
      </w:r>
      <w:r w:rsidR="00A446A7">
        <w:t xml:space="preserve">These commitments propose a range of </w:t>
      </w:r>
      <w:r w:rsidR="005D2AAA">
        <w:t xml:space="preserve">dates for the achievement of net zero. </w:t>
      </w:r>
    </w:p>
    <w:p w14:paraId="5CF4563C" w14:textId="0B3BA923" w:rsidR="00D337EE" w:rsidRDefault="00E566B5" w:rsidP="009229B3">
      <w:pPr>
        <w:pStyle w:val="Numberedparagraphs"/>
      </w:pPr>
      <w:r>
        <w:lastRenderedPageBreak/>
        <w:t xml:space="preserve">Alongside these </w:t>
      </w:r>
      <w:r w:rsidR="00552EE7">
        <w:t>commitments</w:t>
      </w:r>
      <w:r w:rsidR="00DC1E39">
        <w:t>,</w:t>
      </w:r>
      <w:r>
        <w:t xml:space="preserve"> countries have been encouraged to come forward with more ambitious </w:t>
      </w:r>
      <w:r w:rsidR="00E418C2">
        <w:t>NDCs</w:t>
      </w:r>
      <w:r w:rsidR="00964FB4">
        <w:t xml:space="preserve"> </w:t>
      </w:r>
      <w:r w:rsidR="003A2CE9">
        <w:t>ahead of</w:t>
      </w:r>
      <w:r w:rsidR="0051196E">
        <w:t xml:space="preserve"> COP26, as required by the Paris Agreement</w:t>
      </w:r>
      <w:r w:rsidR="003036E2">
        <w:t>. W</w:t>
      </w:r>
      <w:r w:rsidR="00E418C2">
        <w:t>hi</w:t>
      </w:r>
      <w:r w:rsidR="003036E2">
        <w:t>l</w:t>
      </w:r>
      <w:r w:rsidR="0051196E">
        <w:t>st</w:t>
      </w:r>
      <w:r w:rsidR="003036E2">
        <w:t xml:space="preserve"> NDCs</w:t>
      </w:r>
      <w:r w:rsidR="00E418C2">
        <w:t xml:space="preserve"> </w:t>
      </w:r>
      <w:r w:rsidR="000C3C4B">
        <w:t>required ahead of COP26</w:t>
      </w:r>
      <w:r w:rsidR="002F7F75">
        <w:t xml:space="preserve"> </w:t>
      </w:r>
      <w:r w:rsidR="00E418C2">
        <w:t>propose emissions reduction target</w:t>
      </w:r>
      <w:r w:rsidR="001528A7">
        <w:t>s</w:t>
      </w:r>
      <w:r w:rsidR="00E418C2">
        <w:t xml:space="preserve"> </w:t>
      </w:r>
      <w:r w:rsidR="000D2E42">
        <w:t>for 2030</w:t>
      </w:r>
      <w:r w:rsidR="00FB5F38">
        <w:t xml:space="preserve"> </w:t>
      </w:r>
      <w:r w:rsidR="2907231A">
        <w:t>and so</w:t>
      </w:r>
      <w:r w:rsidR="00FB5F38">
        <w:t xml:space="preserve"> </w:t>
      </w:r>
      <w:r w:rsidR="001528A7">
        <w:t>are</w:t>
      </w:r>
      <w:r w:rsidR="00FB5F38">
        <w:t xml:space="preserve"> not directly comparable to the</w:t>
      </w:r>
      <w:r w:rsidR="000D2E42">
        <w:t xml:space="preserve"> </w:t>
      </w:r>
      <w:r w:rsidR="00B30560">
        <w:t xml:space="preserve">years covered by the </w:t>
      </w:r>
      <w:r w:rsidR="00594D86">
        <w:t>sixth carbon budget</w:t>
      </w:r>
      <w:r w:rsidR="00184155">
        <w:t>,</w:t>
      </w:r>
      <w:r w:rsidR="00B30560">
        <w:t xml:space="preserve"> they present a </w:t>
      </w:r>
      <w:r w:rsidR="00AF53B5">
        <w:t>benchmark for international comparison</w:t>
      </w:r>
      <w:r w:rsidR="007836DD">
        <w:t xml:space="preserve"> of climate ambition and commitments</w:t>
      </w:r>
      <w:r w:rsidR="00AF53B5">
        <w:t xml:space="preserve">. </w:t>
      </w:r>
      <w:r w:rsidR="00743FB7">
        <w:t>Countries</w:t>
      </w:r>
      <w:r w:rsidR="00E644E0">
        <w:t xml:space="preserve"> will be required to bring forward commitments covering the period after 2030</w:t>
      </w:r>
      <w:r w:rsidR="00743FB7">
        <w:t xml:space="preserve"> by 2025.</w:t>
      </w:r>
      <w:r w:rsidR="00AF53B5">
        <w:t xml:space="preserve"> </w:t>
      </w:r>
      <w:r w:rsidR="00F13123">
        <w:t xml:space="preserve">Despite </w:t>
      </w:r>
      <w:r w:rsidR="00743FB7">
        <w:t>NDCs becoming increasingly transparent</w:t>
      </w:r>
      <w:r w:rsidR="00F169E0">
        <w:t>,</w:t>
      </w:r>
      <w:r w:rsidR="00734A0D">
        <w:t xml:space="preserve"> i</w:t>
      </w:r>
      <w:r w:rsidR="0037360C">
        <w:t xml:space="preserve">t is difficult to directly compare </w:t>
      </w:r>
      <w:r w:rsidR="008B6F3B">
        <w:t>targets between different countries</w:t>
      </w:r>
      <w:r w:rsidR="00743FB7">
        <w:t xml:space="preserve"> due to </w:t>
      </w:r>
      <w:r w:rsidR="00280BED">
        <w:t>national circumstances</w:t>
      </w:r>
      <w:r w:rsidR="00734A0D">
        <w:t xml:space="preserve">. </w:t>
      </w:r>
      <w:r w:rsidR="004347DA">
        <w:t>U</w:t>
      </w:r>
      <w:r w:rsidR="0031085E">
        <w:t>ncertainties remain over the</w:t>
      </w:r>
      <w:r w:rsidR="000D4CDC">
        <w:t xml:space="preserve"> sectors and gases that targets cover</w:t>
      </w:r>
      <w:r w:rsidR="00331E16">
        <w:t xml:space="preserve"> as well as differences in the accounting rules </w:t>
      </w:r>
      <w:r w:rsidR="00604033">
        <w:t>for LULUCF emission</w:t>
      </w:r>
      <w:r w:rsidR="005068AD">
        <w:t xml:space="preserve">s. </w:t>
      </w:r>
      <w:r w:rsidR="00EC55E8">
        <w:t xml:space="preserve">Countries </w:t>
      </w:r>
      <w:r w:rsidR="007E5498">
        <w:t xml:space="preserve">can also report NDCs </w:t>
      </w:r>
      <w:r w:rsidR="00D94A37">
        <w:t xml:space="preserve">using </w:t>
      </w:r>
      <w:r w:rsidR="00C62D0F">
        <w:t>different</w:t>
      </w:r>
      <w:r w:rsidR="00D94A37">
        <w:t xml:space="preserve"> metrics and </w:t>
      </w:r>
      <w:r w:rsidR="00C62D0F">
        <w:t>base-years.</w:t>
      </w:r>
      <w:r w:rsidR="002C19DF">
        <w:t xml:space="preserve"> The </w:t>
      </w:r>
      <w:r w:rsidR="000D0342">
        <w:t xml:space="preserve">table below summarises </w:t>
      </w:r>
      <w:r w:rsidR="00CC2A3B">
        <w:t xml:space="preserve">the </w:t>
      </w:r>
      <w:r w:rsidR="005E4298">
        <w:t xml:space="preserve">emissions reduction targets </w:t>
      </w:r>
      <w:r w:rsidR="00A15228">
        <w:t>adopted by the G20 countries.</w:t>
      </w:r>
    </w:p>
    <w:p w14:paraId="581E0320" w14:textId="3FE141EA" w:rsidR="00A9019C" w:rsidRPr="006A0C4B" w:rsidRDefault="007932D8" w:rsidP="009B5EBA">
      <w:pPr>
        <w:spacing w:after="120"/>
        <w:rPr>
          <w:i/>
        </w:rPr>
      </w:pPr>
      <w:r w:rsidRPr="006A0C4B">
        <w:rPr>
          <w:i/>
        </w:rPr>
        <w:t>Table</w:t>
      </w:r>
      <w:r w:rsidR="00657CCC" w:rsidRPr="006A0C4B">
        <w:rPr>
          <w:i/>
          <w:iCs/>
        </w:rPr>
        <w:t xml:space="preserve"> 1</w:t>
      </w:r>
      <w:r w:rsidR="008F1C9E">
        <w:rPr>
          <w:i/>
          <w:iCs/>
        </w:rPr>
        <w:t>4</w:t>
      </w:r>
      <w:r w:rsidRPr="006A0C4B">
        <w:rPr>
          <w:i/>
        </w:rPr>
        <w:t xml:space="preserve">: </w:t>
      </w:r>
      <w:r w:rsidR="00E478F9" w:rsidRPr="006A0C4B">
        <w:rPr>
          <w:i/>
        </w:rPr>
        <w:t>Summary of climate targets of G20 countries</w:t>
      </w:r>
    </w:p>
    <w:tbl>
      <w:tblPr>
        <w:tblStyle w:val="TableGrid"/>
        <w:tblW w:w="0" w:type="auto"/>
        <w:jc w:val="center"/>
        <w:tblLook w:val="04A0" w:firstRow="1" w:lastRow="0" w:firstColumn="1" w:lastColumn="0" w:noHBand="0" w:noVBand="1"/>
      </w:tblPr>
      <w:tblGrid>
        <w:gridCol w:w="1980"/>
        <w:gridCol w:w="3827"/>
        <w:gridCol w:w="3827"/>
      </w:tblGrid>
      <w:tr w:rsidR="002A3477" w14:paraId="7066A57A" w14:textId="77777777" w:rsidTr="0071483C">
        <w:trPr>
          <w:jc w:val="center"/>
        </w:trPr>
        <w:tc>
          <w:tcPr>
            <w:tcW w:w="1980" w:type="dxa"/>
          </w:tcPr>
          <w:p w14:paraId="0B2F6BA5" w14:textId="76514BD5" w:rsidR="002A3477" w:rsidRPr="006A0C4B" w:rsidRDefault="002A3477" w:rsidP="00797C8A">
            <w:pPr>
              <w:rPr>
                <w:b/>
                <w:sz w:val="22"/>
                <w:szCs w:val="22"/>
              </w:rPr>
            </w:pPr>
            <w:r w:rsidRPr="006A0C4B">
              <w:rPr>
                <w:b/>
                <w:sz w:val="22"/>
                <w:szCs w:val="22"/>
              </w:rPr>
              <w:t>Country</w:t>
            </w:r>
          </w:p>
        </w:tc>
        <w:tc>
          <w:tcPr>
            <w:tcW w:w="3827" w:type="dxa"/>
          </w:tcPr>
          <w:p w14:paraId="35414E11" w14:textId="22C5FAB7" w:rsidR="002A3477" w:rsidRPr="006A0C4B" w:rsidRDefault="002A3477" w:rsidP="00797C8A">
            <w:pPr>
              <w:rPr>
                <w:b/>
                <w:sz w:val="22"/>
                <w:szCs w:val="22"/>
              </w:rPr>
            </w:pPr>
            <w:r w:rsidRPr="006A0C4B">
              <w:rPr>
                <w:b/>
                <w:sz w:val="22"/>
                <w:szCs w:val="22"/>
              </w:rPr>
              <w:t>2030 GHG target</w:t>
            </w:r>
            <w:r w:rsidR="004347DA" w:rsidRPr="006A0C4B">
              <w:rPr>
                <w:b/>
                <w:sz w:val="22"/>
                <w:szCs w:val="22"/>
              </w:rPr>
              <w:t xml:space="preserve"> *</w:t>
            </w:r>
          </w:p>
        </w:tc>
        <w:tc>
          <w:tcPr>
            <w:tcW w:w="3827" w:type="dxa"/>
          </w:tcPr>
          <w:p w14:paraId="255CB3B3" w14:textId="2FE93A22" w:rsidR="002A3477" w:rsidRPr="006A0C4B" w:rsidRDefault="002A3477" w:rsidP="00797C8A">
            <w:pPr>
              <w:rPr>
                <w:b/>
                <w:sz w:val="22"/>
                <w:szCs w:val="22"/>
              </w:rPr>
            </w:pPr>
            <w:r w:rsidRPr="006A0C4B">
              <w:rPr>
                <w:b/>
                <w:sz w:val="22"/>
                <w:szCs w:val="22"/>
              </w:rPr>
              <w:t>Net zero target</w:t>
            </w:r>
            <w:r w:rsidRPr="01F21943">
              <w:rPr>
                <w:rStyle w:val="FootnoteReference"/>
                <w:rFonts w:eastAsia="Helvetica"/>
              </w:rPr>
              <w:footnoteReference w:id="49"/>
            </w:r>
          </w:p>
        </w:tc>
      </w:tr>
      <w:tr w:rsidR="002A3477" w14:paraId="5536C5E0" w14:textId="77777777" w:rsidTr="0071483C">
        <w:trPr>
          <w:jc w:val="center"/>
        </w:trPr>
        <w:tc>
          <w:tcPr>
            <w:tcW w:w="1980" w:type="dxa"/>
          </w:tcPr>
          <w:p w14:paraId="2CE73627" w14:textId="2167EB3E" w:rsidR="002A3477" w:rsidRPr="006A0C4B" w:rsidRDefault="002A3477" w:rsidP="00797C8A">
            <w:pPr>
              <w:rPr>
                <w:sz w:val="22"/>
                <w:szCs w:val="22"/>
              </w:rPr>
            </w:pPr>
            <w:r w:rsidRPr="006A0C4B">
              <w:rPr>
                <w:sz w:val="22"/>
                <w:szCs w:val="22"/>
              </w:rPr>
              <w:t>UK</w:t>
            </w:r>
          </w:p>
        </w:tc>
        <w:tc>
          <w:tcPr>
            <w:tcW w:w="3827" w:type="dxa"/>
          </w:tcPr>
          <w:p w14:paraId="3D154152" w14:textId="051EE128" w:rsidR="002A3477" w:rsidRPr="006A0C4B" w:rsidRDefault="002A3477" w:rsidP="00797C8A">
            <w:pPr>
              <w:rPr>
                <w:sz w:val="22"/>
                <w:szCs w:val="22"/>
              </w:rPr>
            </w:pPr>
            <w:r w:rsidRPr="006A0C4B">
              <w:rPr>
                <w:sz w:val="22"/>
                <w:szCs w:val="22"/>
              </w:rPr>
              <w:t>At least 68% reduction on 1990</w:t>
            </w:r>
          </w:p>
        </w:tc>
        <w:tc>
          <w:tcPr>
            <w:tcW w:w="3827" w:type="dxa"/>
          </w:tcPr>
          <w:p w14:paraId="7377C7BE" w14:textId="4F5AD903" w:rsidR="002A3477" w:rsidRPr="006A0C4B" w:rsidRDefault="00FF7DB1" w:rsidP="00797C8A">
            <w:pPr>
              <w:rPr>
                <w:sz w:val="22"/>
                <w:szCs w:val="22"/>
              </w:rPr>
            </w:pPr>
            <w:r w:rsidRPr="006A0C4B">
              <w:rPr>
                <w:sz w:val="22"/>
                <w:szCs w:val="22"/>
              </w:rPr>
              <w:t>Net zero</w:t>
            </w:r>
            <w:r w:rsidR="00583FAF" w:rsidRPr="006A0C4B">
              <w:rPr>
                <w:sz w:val="22"/>
                <w:szCs w:val="22"/>
              </w:rPr>
              <w:t xml:space="preserve"> GHG emissions</w:t>
            </w:r>
            <w:r w:rsidRPr="006A0C4B">
              <w:rPr>
                <w:sz w:val="22"/>
                <w:szCs w:val="22"/>
              </w:rPr>
              <w:t xml:space="preserve"> by 2050</w:t>
            </w:r>
          </w:p>
        </w:tc>
      </w:tr>
      <w:tr w:rsidR="002A3477" w14:paraId="645CAA5E" w14:textId="77777777" w:rsidTr="0071483C">
        <w:trPr>
          <w:jc w:val="center"/>
        </w:trPr>
        <w:tc>
          <w:tcPr>
            <w:tcW w:w="1980" w:type="dxa"/>
          </w:tcPr>
          <w:p w14:paraId="3151F3F9" w14:textId="0CB05F0D" w:rsidR="002A3477" w:rsidRPr="006A0C4B" w:rsidRDefault="002A3477" w:rsidP="00797C8A">
            <w:pPr>
              <w:rPr>
                <w:sz w:val="22"/>
                <w:szCs w:val="22"/>
              </w:rPr>
            </w:pPr>
            <w:r w:rsidRPr="006A0C4B">
              <w:rPr>
                <w:sz w:val="22"/>
                <w:szCs w:val="22"/>
              </w:rPr>
              <w:t>Argentina</w:t>
            </w:r>
          </w:p>
        </w:tc>
        <w:tc>
          <w:tcPr>
            <w:tcW w:w="3827" w:type="dxa"/>
          </w:tcPr>
          <w:p w14:paraId="300969E1" w14:textId="319D5688" w:rsidR="002A3477" w:rsidRPr="006A0C4B" w:rsidRDefault="00241F9C" w:rsidP="00797C8A">
            <w:pPr>
              <w:rPr>
                <w:sz w:val="22"/>
                <w:szCs w:val="22"/>
              </w:rPr>
            </w:pPr>
            <w:r w:rsidRPr="006A0C4B">
              <w:rPr>
                <w:sz w:val="22"/>
                <w:szCs w:val="22"/>
              </w:rPr>
              <w:t xml:space="preserve">Absolute emissions target of </w:t>
            </w:r>
            <w:r w:rsidR="002A3477" w:rsidRPr="006A0C4B">
              <w:rPr>
                <w:sz w:val="22"/>
                <w:szCs w:val="22"/>
              </w:rPr>
              <w:t>359 MtCO</w:t>
            </w:r>
            <w:r w:rsidR="002A3477" w:rsidRPr="006A0C4B">
              <w:rPr>
                <w:sz w:val="22"/>
                <w:szCs w:val="22"/>
                <w:vertAlign w:val="subscript"/>
              </w:rPr>
              <w:t>2</w:t>
            </w:r>
            <w:r w:rsidR="002A3477" w:rsidRPr="006A0C4B">
              <w:rPr>
                <w:sz w:val="22"/>
                <w:szCs w:val="22"/>
              </w:rPr>
              <w:t>e</w:t>
            </w:r>
          </w:p>
        </w:tc>
        <w:tc>
          <w:tcPr>
            <w:tcW w:w="3827" w:type="dxa"/>
          </w:tcPr>
          <w:p w14:paraId="742FAF15" w14:textId="4974157B" w:rsidR="002A3477" w:rsidRPr="006A0C4B" w:rsidRDefault="00ED1F22" w:rsidP="00797C8A">
            <w:pPr>
              <w:rPr>
                <w:sz w:val="22"/>
                <w:szCs w:val="22"/>
              </w:rPr>
            </w:pPr>
            <w:r w:rsidRPr="006A0C4B">
              <w:rPr>
                <w:sz w:val="22"/>
                <w:szCs w:val="22"/>
              </w:rPr>
              <w:t>Carbon neutral by 2050</w:t>
            </w:r>
            <w:r w:rsidR="002F7B7D" w:rsidRPr="006A0C4B">
              <w:rPr>
                <w:sz w:val="22"/>
                <w:szCs w:val="22"/>
              </w:rPr>
              <w:t>,</w:t>
            </w:r>
            <w:r w:rsidR="00D6217E" w:rsidRPr="006A0C4B">
              <w:rPr>
                <w:sz w:val="22"/>
                <w:szCs w:val="22"/>
              </w:rPr>
              <w:t xml:space="preserve"> </w:t>
            </w:r>
            <w:r w:rsidR="00DF5186" w:rsidRPr="006A0C4B">
              <w:rPr>
                <w:sz w:val="22"/>
                <w:szCs w:val="22"/>
              </w:rPr>
              <w:t>committed</w:t>
            </w:r>
            <w:r w:rsidR="00576687" w:rsidRPr="006A0C4B">
              <w:rPr>
                <w:sz w:val="22"/>
                <w:szCs w:val="22"/>
              </w:rPr>
              <w:t xml:space="preserve"> in NDC</w:t>
            </w:r>
          </w:p>
        </w:tc>
      </w:tr>
      <w:tr w:rsidR="002A3477" w14:paraId="62DB29C8" w14:textId="77777777" w:rsidTr="0071483C">
        <w:trPr>
          <w:jc w:val="center"/>
        </w:trPr>
        <w:tc>
          <w:tcPr>
            <w:tcW w:w="1980" w:type="dxa"/>
          </w:tcPr>
          <w:p w14:paraId="5200CE29" w14:textId="653B2CF1" w:rsidR="002A3477" w:rsidRPr="006A0C4B" w:rsidRDefault="002A3477" w:rsidP="00797C8A">
            <w:pPr>
              <w:rPr>
                <w:sz w:val="22"/>
                <w:szCs w:val="22"/>
              </w:rPr>
            </w:pPr>
            <w:r w:rsidRPr="006A0C4B">
              <w:rPr>
                <w:sz w:val="22"/>
                <w:szCs w:val="22"/>
              </w:rPr>
              <w:t>Australia</w:t>
            </w:r>
          </w:p>
        </w:tc>
        <w:tc>
          <w:tcPr>
            <w:tcW w:w="3827" w:type="dxa"/>
          </w:tcPr>
          <w:p w14:paraId="03F1D7F6" w14:textId="2A3814BC" w:rsidR="002A3477" w:rsidRPr="006A0C4B" w:rsidRDefault="002A3477" w:rsidP="00797C8A">
            <w:pPr>
              <w:rPr>
                <w:sz w:val="22"/>
                <w:szCs w:val="22"/>
              </w:rPr>
            </w:pPr>
            <w:r w:rsidRPr="006A0C4B">
              <w:rPr>
                <w:sz w:val="22"/>
                <w:szCs w:val="22"/>
              </w:rPr>
              <w:t>26-28% reduction on 2005</w:t>
            </w:r>
          </w:p>
        </w:tc>
        <w:tc>
          <w:tcPr>
            <w:tcW w:w="3827" w:type="dxa"/>
          </w:tcPr>
          <w:p w14:paraId="6FF69C68" w14:textId="78C7742E" w:rsidR="002A3477" w:rsidRPr="006A0C4B" w:rsidRDefault="002F7B7D" w:rsidP="00797C8A">
            <w:pPr>
              <w:rPr>
                <w:sz w:val="22"/>
                <w:szCs w:val="22"/>
              </w:rPr>
            </w:pPr>
            <w:r w:rsidRPr="006A0C4B">
              <w:rPr>
                <w:sz w:val="22"/>
                <w:szCs w:val="22"/>
              </w:rPr>
              <w:t>Under discussion</w:t>
            </w:r>
          </w:p>
        </w:tc>
      </w:tr>
      <w:tr w:rsidR="002A3477" w14:paraId="0D71D540" w14:textId="77777777" w:rsidTr="0071483C">
        <w:trPr>
          <w:jc w:val="center"/>
        </w:trPr>
        <w:tc>
          <w:tcPr>
            <w:tcW w:w="1980" w:type="dxa"/>
          </w:tcPr>
          <w:p w14:paraId="0CDEBBFF" w14:textId="44803B73" w:rsidR="002A3477" w:rsidRPr="006A0C4B" w:rsidRDefault="002A3477" w:rsidP="00797C8A">
            <w:pPr>
              <w:rPr>
                <w:sz w:val="22"/>
                <w:szCs w:val="22"/>
              </w:rPr>
            </w:pPr>
            <w:r w:rsidRPr="006A0C4B">
              <w:rPr>
                <w:sz w:val="22"/>
                <w:szCs w:val="22"/>
              </w:rPr>
              <w:t>Brazil</w:t>
            </w:r>
          </w:p>
        </w:tc>
        <w:tc>
          <w:tcPr>
            <w:tcW w:w="3827" w:type="dxa"/>
          </w:tcPr>
          <w:p w14:paraId="57DECD0C" w14:textId="06758BBD" w:rsidR="002A3477" w:rsidRPr="006A0C4B" w:rsidRDefault="002A3477" w:rsidP="00797C8A">
            <w:pPr>
              <w:rPr>
                <w:sz w:val="22"/>
                <w:szCs w:val="22"/>
              </w:rPr>
            </w:pPr>
            <w:r w:rsidRPr="006A0C4B">
              <w:rPr>
                <w:sz w:val="22"/>
                <w:szCs w:val="22"/>
              </w:rPr>
              <w:t>37% reduction on 2005 by 2025, with 2030 target of 43% reduction</w:t>
            </w:r>
          </w:p>
        </w:tc>
        <w:tc>
          <w:tcPr>
            <w:tcW w:w="3827" w:type="dxa"/>
          </w:tcPr>
          <w:p w14:paraId="196D3408" w14:textId="0568EF39" w:rsidR="002A3477" w:rsidRPr="006A0C4B" w:rsidRDefault="00ED1F22" w:rsidP="00797C8A">
            <w:pPr>
              <w:rPr>
                <w:sz w:val="22"/>
                <w:szCs w:val="22"/>
              </w:rPr>
            </w:pPr>
            <w:r w:rsidRPr="006A0C4B">
              <w:rPr>
                <w:sz w:val="22"/>
                <w:szCs w:val="22"/>
              </w:rPr>
              <w:t>Carbon neutral by 2060</w:t>
            </w:r>
            <w:r w:rsidR="002F7B7D" w:rsidRPr="006A0C4B">
              <w:rPr>
                <w:sz w:val="22"/>
                <w:szCs w:val="22"/>
              </w:rPr>
              <w:t>,</w:t>
            </w:r>
            <w:r w:rsidR="00DF5186" w:rsidRPr="006A0C4B">
              <w:rPr>
                <w:sz w:val="22"/>
                <w:szCs w:val="22"/>
              </w:rPr>
              <w:t xml:space="preserve"> committed in NDC</w:t>
            </w:r>
          </w:p>
        </w:tc>
      </w:tr>
      <w:tr w:rsidR="002A3477" w14:paraId="5101F336" w14:textId="77777777" w:rsidTr="0071483C">
        <w:trPr>
          <w:jc w:val="center"/>
        </w:trPr>
        <w:tc>
          <w:tcPr>
            <w:tcW w:w="1980" w:type="dxa"/>
          </w:tcPr>
          <w:p w14:paraId="630EB085" w14:textId="667E86C8" w:rsidR="002A3477" w:rsidRPr="006A0C4B" w:rsidRDefault="002A3477" w:rsidP="00797C8A">
            <w:pPr>
              <w:rPr>
                <w:sz w:val="22"/>
                <w:szCs w:val="22"/>
              </w:rPr>
            </w:pPr>
            <w:r w:rsidRPr="006A0C4B">
              <w:rPr>
                <w:sz w:val="22"/>
                <w:szCs w:val="22"/>
              </w:rPr>
              <w:t>Canada</w:t>
            </w:r>
          </w:p>
        </w:tc>
        <w:tc>
          <w:tcPr>
            <w:tcW w:w="3827" w:type="dxa"/>
          </w:tcPr>
          <w:p w14:paraId="4596C7F7" w14:textId="16C0FDD4" w:rsidR="002A3477" w:rsidRPr="006A0C4B" w:rsidRDefault="002A3477" w:rsidP="00797C8A">
            <w:pPr>
              <w:rPr>
                <w:sz w:val="22"/>
                <w:szCs w:val="22"/>
              </w:rPr>
            </w:pPr>
            <w:r w:rsidRPr="006A0C4B">
              <w:rPr>
                <w:sz w:val="22"/>
                <w:szCs w:val="22"/>
              </w:rPr>
              <w:t>30% reduction on 2005 by 2030</w:t>
            </w:r>
          </w:p>
        </w:tc>
        <w:tc>
          <w:tcPr>
            <w:tcW w:w="3827" w:type="dxa"/>
          </w:tcPr>
          <w:p w14:paraId="44822CEA" w14:textId="2DA62979" w:rsidR="002A3477" w:rsidRPr="006A0C4B" w:rsidRDefault="00D446FC" w:rsidP="00797C8A">
            <w:pPr>
              <w:rPr>
                <w:sz w:val="22"/>
                <w:szCs w:val="22"/>
              </w:rPr>
            </w:pPr>
            <w:r w:rsidRPr="006A0C4B">
              <w:rPr>
                <w:sz w:val="22"/>
                <w:szCs w:val="22"/>
              </w:rPr>
              <w:t xml:space="preserve">Net zero GHG by </w:t>
            </w:r>
            <w:r w:rsidR="002A3477" w:rsidRPr="006A0C4B">
              <w:rPr>
                <w:sz w:val="22"/>
                <w:szCs w:val="22"/>
              </w:rPr>
              <w:t>2050, proposed legislation</w:t>
            </w:r>
          </w:p>
        </w:tc>
      </w:tr>
      <w:tr w:rsidR="002A3477" w14:paraId="6C0DE4BD" w14:textId="77777777" w:rsidTr="0071483C">
        <w:trPr>
          <w:jc w:val="center"/>
        </w:trPr>
        <w:tc>
          <w:tcPr>
            <w:tcW w:w="1980" w:type="dxa"/>
          </w:tcPr>
          <w:p w14:paraId="52DC2F2A" w14:textId="1F059E8B" w:rsidR="002A3477" w:rsidRPr="006A0C4B" w:rsidRDefault="002A3477" w:rsidP="00797C8A">
            <w:pPr>
              <w:rPr>
                <w:sz w:val="22"/>
                <w:szCs w:val="22"/>
              </w:rPr>
            </w:pPr>
            <w:r w:rsidRPr="006A0C4B">
              <w:rPr>
                <w:sz w:val="22"/>
                <w:szCs w:val="22"/>
              </w:rPr>
              <w:t>China</w:t>
            </w:r>
          </w:p>
        </w:tc>
        <w:tc>
          <w:tcPr>
            <w:tcW w:w="3827" w:type="dxa"/>
          </w:tcPr>
          <w:p w14:paraId="640A4236" w14:textId="04D65DE6" w:rsidR="002A3477" w:rsidRPr="006A0C4B" w:rsidRDefault="002A3477" w:rsidP="00797C8A">
            <w:pPr>
              <w:rPr>
                <w:sz w:val="22"/>
                <w:szCs w:val="22"/>
              </w:rPr>
            </w:pPr>
            <w:r w:rsidRPr="006A0C4B">
              <w:rPr>
                <w:sz w:val="22"/>
                <w:szCs w:val="22"/>
              </w:rPr>
              <w:t>60-65% reduction in emission intensity of GDP compared to 2005</w:t>
            </w:r>
          </w:p>
        </w:tc>
        <w:tc>
          <w:tcPr>
            <w:tcW w:w="3827" w:type="dxa"/>
          </w:tcPr>
          <w:p w14:paraId="789AF74B" w14:textId="25AE0186" w:rsidR="002A3477" w:rsidRPr="006A0C4B" w:rsidRDefault="00D446FC" w:rsidP="00797C8A">
            <w:pPr>
              <w:rPr>
                <w:sz w:val="22"/>
                <w:szCs w:val="22"/>
              </w:rPr>
            </w:pPr>
            <w:r w:rsidRPr="006A0C4B">
              <w:rPr>
                <w:sz w:val="22"/>
                <w:szCs w:val="22"/>
              </w:rPr>
              <w:t xml:space="preserve">Carbon neutral before </w:t>
            </w:r>
            <w:r w:rsidR="002A3477" w:rsidRPr="006A0C4B">
              <w:rPr>
                <w:sz w:val="22"/>
                <w:szCs w:val="22"/>
              </w:rPr>
              <w:t>2060, in policy document</w:t>
            </w:r>
          </w:p>
        </w:tc>
      </w:tr>
      <w:tr w:rsidR="002A3477" w14:paraId="259E714D" w14:textId="77777777" w:rsidTr="0071483C">
        <w:trPr>
          <w:jc w:val="center"/>
        </w:trPr>
        <w:tc>
          <w:tcPr>
            <w:tcW w:w="1980" w:type="dxa"/>
          </w:tcPr>
          <w:p w14:paraId="6C0D2776" w14:textId="35A005F3" w:rsidR="002A3477" w:rsidRPr="006A0C4B" w:rsidRDefault="002A3477" w:rsidP="00797C8A">
            <w:pPr>
              <w:rPr>
                <w:sz w:val="22"/>
                <w:szCs w:val="22"/>
              </w:rPr>
            </w:pPr>
            <w:r w:rsidRPr="006A0C4B">
              <w:rPr>
                <w:sz w:val="22"/>
                <w:szCs w:val="22"/>
              </w:rPr>
              <w:t>European Union</w:t>
            </w:r>
          </w:p>
        </w:tc>
        <w:tc>
          <w:tcPr>
            <w:tcW w:w="3827" w:type="dxa"/>
          </w:tcPr>
          <w:p w14:paraId="4FAFBCFF" w14:textId="53B58022" w:rsidR="002A3477" w:rsidRPr="006A0C4B" w:rsidRDefault="002A3477" w:rsidP="00797C8A">
            <w:pPr>
              <w:rPr>
                <w:sz w:val="22"/>
                <w:szCs w:val="22"/>
              </w:rPr>
            </w:pPr>
            <w:r w:rsidRPr="006A0C4B">
              <w:rPr>
                <w:sz w:val="22"/>
                <w:szCs w:val="22"/>
              </w:rPr>
              <w:t>At least 55% reduction on 1990</w:t>
            </w:r>
            <w:r w:rsidR="00337BD3" w:rsidRPr="006A0C4B">
              <w:rPr>
                <w:sz w:val="22"/>
                <w:szCs w:val="22"/>
              </w:rPr>
              <w:t xml:space="preserve"> **</w:t>
            </w:r>
          </w:p>
        </w:tc>
        <w:tc>
          <w:tcPr>
            <w:tcW w:w="3827" w:type="dxa"/>
          </w:tcPr>
          <w:p w14:paraId="23F26877" w14:textId="3C6FCF24" w:rsidR="002A3477" w:rsidRPr="006A0C4B" w:rsidRDefault="00D446FC" w:rsidP="00797C8A">
            <w:pPr>
              <w:rPr>
                <w:sz w:val="22"/>
                <w:szCs w:val="22"/>
              </w:rPr>
            </w:pPr>
            <w:r w:rsidRPr="006A0C4B">
              <w:rPr>
                <w:sz w:val="22"/>
                <w:szCs w:val="22"/>
              </w:rPr>
              <w:t>Climate neutral</w:t>
            </w:r>
            <w:r w:rsidR="00996183" w:rsidRPr="006A0C4B">
              <w:rPr>
                <w:sz w:val="22"/>
                <w:szCs w:val="22"/>
              </w:rPr>
              <w:t xml:space="preserve"> (all GHG)</w:t>
            </w:r>
            <w:r w:rsidRPr="006A0C4B">
              <w:rPr>
                <w:sz w:val="22"/>
                <w:szCs w:val="22"/>
              </w:rPr>
              <w:t xml:space="preserve"> by </w:t>
            </w:r>
            <w:r w:rsidR="002A3477" w:rsidRPr="006A0C4B">
              <w:rPr>
                <w:sz w:val="22"/>
                <w:szCs w:val="22"/>
              </w:rPr>
              <w:t>2050, proposed legislation</w:t>
            </w:r>
            <w:r w:rsidRPr="006A0C4B">
              <w:rPr>
                <w:sz w:val="22"/>
                <w:szCs w:val="22"/>
              </w:rPr>
              <w:t xml:space="preserve"> </w:t>
            </w:r>
          </w:p>
        </w:tc>
      </w:tr>
      <w:tr w:rsidR="002A3477" w14:paraId="357AFAFB" w14:textId="77777777" w:rsidTr="0071483C">
        <w:trPr>
          <w:jc w:val="center"/>
        </w:trPr>
        <w:tc>
          <w:tcPr>
            <w:tcW w:w="1980" w:type="dxa"/>
          </w:tcPr>
          <w:p w14:paraId="4A6D692B" w14:textId="571111BE" w:rsidR="002A3477" w:rsidRPr="006A0C4B" w:rsidRDefault="002A3477" w:rsidP="00797C8A">
            <w:pPr>
              <w:rPr>
                <w:sz w:val="22"/>
                <w:szCs w:val="22"/>
              </w:rPr>
            </w:pPr>
            <w:r w:rsidRPr="006A0C4B">
              <w:rPr>
                <w:sz w:val="22"/>
                <w:szCs w:val="22"/>
              </w:rPr>
              <w:t>France</w:t>
            </w:r>
          </w:p>
        </w:tc>
        <w:tc>
          <w:tcPr>
            <w:tcW w:w="3827" w:type="dxa"/>
          </w:tcPr>
          <w:p w14:paraId="62687A6C" w14:textId="3091C3D9" w:rsidR="002A3477" w:rsidRPr="006A0C4B" w:rsidRDefault="002A3477" w:rsidP="00797C8A">
            <w:pPr>
              <w:rPr>
                <w:sz w:val="22"/>
                <w:szCs w:val="22"/>
              </w:rPr>
            </w:pPr>
            <w:r w:rsidRPr="006A0C4B">
              <w:rPr>
                <w:sz w:val="22"/>
                <w:szCs w:val="22"/>
              </w:rPr>
              <w:t>Covered by EU NDC</w:t>
            </w:r>
            <w:r w:rsidR="001C1ACD" w:rsidRPr="006A0C4B">
              <w:rPr>
                <w:sz w:val="22"/>
                <w:szCs w:val="22"/>
              </w:rPr>
              <w:t xml:space="preserve"> **</w:t>
            </w:r>
          </w:p>
        </w:tc>
        <w:tc>
          <w:tcPr>
            <w:tcW w:w="3827" w:type="dxa"/>
          </w:tcPr>
          <w:p w14:paraId="5D2D7F56" w14:textId="2439C121" w:rsidR="002A3477" w:rsidRPr="006A0C4B" w:rsidRDefault="00D446FC" w:rsidP="00797C8A">
            <w:pPr>
              <w:rPr>
                <w:sz w:val="22"/>
                <w:szCs w:val="22"/>
              </w:rPr>
            </w:pPr>
            <w:r w:rsidRPr="006A0C4B">
              <w:rPr>
                <w:sz w:val="22"/>
                <w:szCs w:val="22"/>
              </w:rPr>
              <w:t xml:space="preserve">Net zero GHG </w:t>
            </w:r>
            <w:r w:rsidR="00AD4AAD" w:rsidRPr="006A0C4B">
              <w:rPr>
                <w:sz w:val="22"/>
                <w:szCs w:val="22"/>
              </w:rPr>
              <w:t>emissions by</w:t>
            </w:r>
            <w:r w:rsidRPr="006A0C4B">
              <w:rPr>
                <w:sz w:val="22"/>
                <w:szCs w:val="22"/>
              </w:rPr>
              <w:t xml:space="preserve"> </w:t>
            </w:r>
            <w:r w:rsidR="002A3477" w:rsidRPr="006A0C4B">
              <w:rPr>
                <w:sz w:val="22"/>
                <w:szCs w:val="22"/>
              </w:rPr>
              <w:t>2050</w:t>
            </w:r>
          </w:p>
        </w:tc>
      </w:tr>
      <w:tr w:rsidR="002A3477" w14:paraId="0A7BB851" w14:textId="77777777" w:rsidTr="0071483C">
        <w:trPr>
          <w:jc w:val="center"/>
        </w:trPr>
        <w:tc>
          <w:tcPr>
            <w:tcW w:w="1980" w:type="dxa"/>
          </w:tcPr>
          <w:p w14:paraId="49FB48DF" w14:textId="44E29764" w:rsidR="002A3477" w:rsidRPr="006A0C4B" w:rsidRDefault="002A3477" w:rsidP="00797C8A">
            <w:pPr>
              <w:rPr>
                <w:sz w:val="22"/>
                <w:szCs w:val="22"/>
              </w:rPr>
            </w:pPr>
            <w:r w:rsidRPr="006A0C4B">
              <w:rPr>
                <w:sz w:val="22"/>
                <w:szCs w:val="22"/>
              </w:rPr>
              <w:t>Germany</w:t>
            </w:r>
          </w:p>
        </w:tc>
        <w:tc>
          <w:tcPr>
            <w:tcW w:w="3827" w:type="dxa"/>
          </w:tcPr>
          <w:p w14:paraId="48277D1C" w14:textId="63131C32" w:rsidR="002A3477" w:rsidRPr="006A0C4B" w:rsidRDefault="002A3477" w:rsidP="00797C8A">
            <w:pPr>
              <w:rPr>
                <w:sz w:val="22"/>
                <w:szCs w:val="22"/>
              </w:rPr>
            </w:pPr>
            <w:r w:rsidRPr="006A0C4B">
              <w:rPr>
                <w:sz w:val="22"/>
                <w:szCs w:val="22"/>
              </w:rPr>
              <w:t>Covered by EU NDC</w:t>
            </w:r>
            <w:r w:rsidR="001C1ACD" w:rsidRPr="006A0C4B">
              <w:rPr>
                <w:sz w:val="22"/>
                <w:szCs w:val="22"/>
              </w:rPr>
              <w:t xml:space="preserve"> **</w:t>
            </w:r>
          </w:p>
        </w:tc>
        <w:tc>
          <w:tcPr>
            <w:tcW w:w="3827" w:type="dxa"/>
          </w:tcPr>
          <w:p w14:paraId="2DF77CCE" w14:textId="06860812" w:rsidR="002A3477" w:rsidRPr="006A0C4B" w:rsidRDefault="00D446FC" w:rsidP="00797C8A">
            <w:pPr>
              <w:rPr>
                <w:sz w:val="22"/>
                <w:szCs w:val="22"/>
              </w:rPr>
            </w:pPr>
            <w:r w:rsidRPr="006A0C4B">
              <w:rPr>
                <w:sz w:val="22"/>
                <w:szCs w:val="22"/>
              </w:rPr>
              <w:t xml:space="preserve">Net zero </w:t>
            </w:r>
            <w:r w:rsidR="00AD4AAD" w:rsidRPr="006A0C4B">
              <w:rPr>
                <w:sz w:val="22"/>
                <w:szCs w:val="22"/>
              </w:rPr>
              <w:t>GHG emissions by</w:t>
            </w:r>
            <w:r w:rsidRPr="006A0C4B">
              <w:rPr>
                <w:sz w:val="22"/>
                <w:szCs w:val="22"/>
              </w:rPr>
              <w:t xml:space="preserve"> </w:t>
            </w:r>
            <w:r w:rsidR="002A3477" w:rsidRPr="006A0C4B">
              <w:rPr>
                <w:sz w:val="22"/>
                <w:szCs w:val="22"/>
              </w:rPr>
              <w:t>2050, in policy document</w:t>
            </w:r>
            <w:r w:rsidRPr="006A0C4B">
              <w:rPr>
                <w:sz w:val="22"/>
                <w:szCs w:val="22"/>
              </w:rPr>
              <w:t xml:space="preserve"> &amp; legislation</w:t>
            </w:r>
          </w:p>
        </w:tc>
      </w:tr>
      <w:tr w:rsidR="002A3477" w14:paraId="59F6AB20" w14:textId="77777777" w:rsidTr="0071483C">
        <w:trPr>
          <w:jc w:val="center"/>
        </w:trPr>
        <w:tc>
          <w:tcPr>
            <w:tcW w:w="1980" w:type="dxa"/>
          </w:tcPr>
          <w:p w14:paraId="475AA7DC" w14:textId="43D6AA59" w:rsidR="002A3477" w:rsidRPr="006A0C4B" w:rsidRDefault="002A3477" w:rsidP="00797C8A">
            <w:pPr>
              <w:rPr>
                <w:sz w:val="22"/>
                <w:szCs w:val="22"/>
              </w:rPr>
            </w:pPr>
            <w:r w:rsidRPr="006A0C4B">
              <w:rPr>
                <w:sz w:val="22"/>
                <w:szCs w:val="22"/>
              </w:rPr>
              <w:t>India</w:t>
            </w:r>
          </w:p>
        </w:tc>
        <w:tc>
          <w:tcPr>
            <w:tcW w:w="3827" w:type="dxa"/>
          </w:tcPr>
          <w:p w14:paraId="7BE671BE" w14:textId="2EDCF6A7" w:rsidR="002A3477" w:rsidRPr="006A0C4B" w:rsidRDefault="002A3477" w:rsidP="00797C8A">
            <w:pPr>
              <w:rPr>
                <w:sz w:val="22"/>
                <w:szCs w:val="22"/>
              </w:rPr>
            </w:pPr>
            <w:r w:rsidRPr="006A0C4B">
              <w:rPr>
                <w:sz w:val="22"/>
                <w:szCs w:val="22"/>
              </w:rPr>
              <w:t>33-35% reduction in emission intensity of GDP compared to 2005</w:t>
            </w:r>
          </w:p>
        </w:tc>
        <w:tc>
          <w:tcPr>
            <w:tcW w:w="3827" w:type="dxa"/>
          </w:tcPr>
          <w:p w14:paraId="52A68986" w14:textId="77777777" w:rsidR="002A3477" w:rsidRPr="006A0C4B" w:rsidRDefault="002A3477" w:rsidP="00797C8A">
            <w:pPr>
              <w:rPr>
                <w:sz w:val="22"/>
                <w:szCs w:val="22"/>
              </w:rPr>
            </w:pPr>
          </w:p>
        </w:tc>
      </w:tr>
      <w:tr w:rsidR="002A3477" w14:paraId="19B927F4" w14:textId="77777777" w:rsidTr="0071483C">
        <w:trPr>
          <w:jc w:val="center"/>
        </w:trPr>
        <w:tc>
          <w:tcPr>
            <w:tcW w:w="1980" w:type="dxa"/>
          </w:tcPr>
          <w:p w14:paraId="670FD578" w14:textId="1D51FC10" w:rsidR="002A3477" w:rsidRPr="006A0C4B" w:rsidRDefault="002A3477" w:rsidP="00797C8A">
            <w:pPr>
              <w:rPr>
                <w:sz w:val="22"/>
                <w:szCs w:val="22"/>
              </w:rPr>
            </w:pPr>
            <w:r w:rsidRPr="006A0C4B">
              <w:rPr>
                <w:sz w:val="22"/>
                <w:szCs w:val="22"/>
              </w:rPr>
              <w:t>Indonesia</w:t>
            </w:r>
          </w:p>
        </w:tc>
        <w:tc>
          <w:tcPr>
            <w:tcW w:w="3827" w:type="dxa"/>
          </w:tcPr>
          <w:p w14:paraId="657D5D8B" w14:textId="6DEF440D" w:rsidR="002A3477" w:rsidRPr="006A0C4B" w:rsidRDefault="002A3477" w:rsidP="00797C8A">
            <w:pPr>
              <w:rPr>
                <w:sz w:val="22"/>
                <w:szCs w:val="22"/>
              </w:rPr>
            </w:pPr>
            <w:r w:rsidRPr="006A0C4B">
              <w:rPr>
                <w:sz w:val="22"/>
                <w:szCs w:val="22"/>
              </w:rPr>
              <w:t>29% reduction below business as usual</w:t>
            </w:r>
          </w:p>
        </w:tc>
        <w:tc>
          <w:tcPr>
            <w:tcW w:w="3827" w:type="dxa"/>
          </w:tcPr>
          <w:p w14:paraId="157A8E7E" w14:textId="77777777" w:rsidR="002A3477" w:rsidRPr="006A0C4B" w:rsidRDefault="002A3477" w:rsidP="00797C8A">
            <w:pPr>
              <w:rPr>
                <w:sz w:val="22"/>
                <w:szCs w:val="22"/>
              </w:rPr>
            </w:pPr>
          </w:p>
        </w:tc>
      </w:tr>
      <w:tr w:rsidR="002A3477" w14:paraId="05453996" w14:textId="77777777" w:rsidTr="0071483C">
        <w:trPr>
          <w:jc w:val="center"/>
        </w:trPr>
        <w:tc>
          <w:tcPr>
            <w:tcW w:w="1980" w:type="dxa"/>
          </w:tcPr>
          <w:p w14:paraId="6F3E8D9C" w14:textId="6D3FC295" w:rsidR="002A3477" w:rsidRPr="006A0C4B" w:rsidRDefault="002A3477" w:rsidP="00797C8A">
            <w:pPr>
              <w:rPr>
                <w:sz w:val="22"/>
                <w:szCs w:val="22"/>
              </w:rPr>
            </w:pPr>
            <w:r w:rsidRPr="006A0C4B">
              <w:rPr>
                <w:sz w:val="22"/>
                <w:szCs w:val="22"/>
              </w:rPr>
              <w:t>Italy</w:t>
            </w:r>
          </w:p>
        </w:tc>
        <w:tc>
          <w:tcPr>
            <w:tcW w:w="3827" w:type="dxa"/>
          </w:tcPr>
          <w:p w14:paraId="4DCB8EEF" w14:textId="6F2D8520" w:rsidR="002A3477" w:rsidRPr="006A0C4B" w:rsidRDefault="002A3477" w:rsidP="00797C8A">
            <w:pPr>
              <w:rPr>
                <w:sz w:val="22"/>
                <w:szCs w:val="22"/>
              </w:rPr>
            </w:pPr>
            <w:r w:rsidRPr="006A0C4B">
              <w:rPr>
                <w:sz w:val="22"/>
                <w:szCs w:val="22"/>
              </w:rPr>
              <w:t>Covered by EU NDC</w:t>
            </w:r>
            <w:r w:rsidR="001C1ACD" w:rsidRPr="006A0C4B">
              <w:rPr>
                <w:sz w:val="22"/>
                <w:szCs w:val="22"/>
              </w:rPr>
              <w:t xml:space="preserve"> **</w:t>
            </w:r>
          </w:p>
        </w:tc>
        <w:tc>
          <w:tcPr>
            <w:tcW w:w="3827" w:type="dxa"/>
          </w:tcPr>
          <w:p w14:paraId="15374B02" w14:textId="552B36DA" w:rsidR="002A3477" w:rsidRPr="006A0C4B" w:rsidRDefault="002F3102" w:rsidP="00797C8A">
            <w:pPr>
              <w:rPr>
                <w:sz w:val="22"/>
                <w:szCs w:val="22"/>
              </w:rPr>
            </w:pPr>
            <w:r w:rsidRPr="006A0C4B">
              <w:rPr>
                <w:sz w:val="22"/>
                <w:szCs w:val="22"/>
              </w:rPr>
              <w:t xml:space="preserve">Net zero </w:t>
            </w:r>
            <w:r w:rsidR="00996183" w:rsidRPr="006A0C4B">
              <w:rPr>
                <w:sz w:val="22"/>
                <w:szCs w:val="22"/>
              </w:rPr>
              <w:t>by</w:t>
            </w:r>
            <w:r w:rsidRPr="006A0C4B">
              <w:rPr>
                <w:sz w:val="22"/>
                <w:szCs w:val="22"/>
              </w:rPr>
              <w:t xml:space="preserve"> 2050</w:t>
            </w:r>
            <w:r w:rsidR="00996183" w:rsidRPr="006A0C4B">
              <w:rPr>
                <w:sz w:val="22"/>
                <w:szCs w:val="22"/>
              </w:rPr>
              <w:t xml:space="preserve">, </w:t>
            </w:r>
            <w:r w:rsidR="00FA2119" w:rsidRPr="006A0C4B">
              <w:rPr>
                <w:sz w:val="22"/>
                <w:szCs w:val="22"/>
              </w:rPr>
              <w:t>policy position</w:t>
            </w:r>
            <w:r w:rsidR="00996183" w:rsidRPr="006A0C4B">
              <w:rPr>
                <w:sz w:val="22"/>
                <w:szCs w:val="22"/>
              </w:rPr>
              <w:t xml:space="preserve"> </w:t>
            </w:r>
          </w:p>
        </w:tc>
      </w:tr>
      <w:tr w:rsidR="002A3477" w14:paraId="39ABBB8D" w14:textId="77777777" w:rsidTr="0071483C">
        <w:trPr>
          <w:jc w:val="center"/>
        </w:trPr>
        <w:tc>
          <w:tcPr>
            <w:tcW w:w="1980" w:type="dxa"/>
          </w:tcPr>
          <w:p w14:paraId="4BBEE943" w14:textId="4218C6FD" w:rsidR="002A3477" w:rsidRPr="006A0C4B" w:rsidRDefault="002A3477" w:rsidP="00797C8A">
            <w:pPr>
              <w:rPr>
                <w:sz w:val="22"/>
                <w:szCs w:val="22"/>
              </w:rPr>
            </w:pPr>
            <w:r w:rsidRPr="006A0C4B">
              <w:rPr>
                <w:sz w:val="22"/>
                <w:szCs w:val="22"/>
              </w:rPr>
              <w:t>Japan</w:t>
            </w:r>
          </w:p>
        </w:tc>
        <w:tc>
          <w:tcPr>
            <w:tcW w:w="3827" w:type="dxa"/>
          </w:tcPr>
          <w:p w14:paraId="76078AE6" w14:textId="4B96B14D" w:rsidR="002A3477" w:rsidRPr="006A0C4B" w:rsidRDefault="002A3477" w:rsidP="00797C8A">
            <w:pPr>
              <w:rPr>
                <w:sz w:val="22"/>
                <w:szCs w:val="22"/>
              </w:rPr>
            </w:pPr>
            <w:r w:rsidRPr="006A0C4B">
              <w:rPr>
                <w:sz w:val="22"/>
                <w:szCs w:val="22"/>
              </w:rPr>
              <w:t>26% reduction below 2013</w:t>
            </w:r>
          </w:p>
        </w:tc>
        <w:tc>
          <w:tcPr>
            <w:tcW w:w="3827" w:type="dxa"/>
          </w:tcPr>
          <w:p w14:paraId="1A689869" w14:textId="7995191A" w:rsidR="002A3477" w:rsidRPr="006A0C4B" w:rsidRDefault="002F3102" w:rsidP="00797C8A">
            <w:pPr>
              <w:rPr>
                <w:sz w:val="22"/>
                <w:szCs w:val="22"/>
              </w:rPr>
            </w:pPr>
            <w:r w:rsidRPr="006A0C4B">
              <w:rPr>
                <w:sz w:val="22"/>
                <w:szCs w:val="22"/>
              </w:rPr>
              <w:t xml:space="preserve">Net zero GHG </w:t>
            </w:r>
            <w:r w:rsidR="00B14E0C">
              <w:rPr>
                <w:sz w:val="22"/>
                <w:szCs w:val="22"/>
              </w:rPr>
              <w:t xml:space="preserve">by </w:t>
            </w:r>
            <w:r w:rsidR="002A3477" w:rsidRPr="006A0C4B">
              <w:rPr>
                <w:sz w:val="22"/>
                <w:szCs w:val="22"/>
              </w:rPr>
              <w:t>2050, in policy document</w:t>
            </w:r>
          </w:p>
        </w:tc>
      </w:tr>
      <w:tr w:rsidR="002A3477" w14:paraId="5468E8A9" w14:textId="77777777" w:rsidTr="0071483C">
        <w:trPr>
          <w:jc w:val="center"/>
        </w:trPr>
        <w:tc>
          <w:tcPr>
            <w:tcW w:w="1980" w:type="dxa"/>
          </w:tcPr>
          <w:p w14:paraId="0C46EE09" w14:textId="6F1CA532" w:rsidR="002A3477" w:rsidRPr="006A0C4B" w:rsidRDefault="002A3477" w:rsidP="00797C8A">
            <w:pPr>
              <w:rPr>
                <w:sz w:val="22"/>
                <w:szCs w:val="22"/>
              </w:rPr>
            </w:pPr>
            <w:r w:rsidRPr="006A0C4B">
              <w:rPr>
                <w:sz w:val="22"/>
                <w:szCs w:val="22"/>
              </w:rPr>
              <w:t>Mexico</w:t>
            </w:r>
          </w:p>
        </w:tc>
        <w:tc>
          <w:tcPr>
            <w:tcW w:w="3827" w:type="dxa"/>
          </w:tcPr>
          <w:p w14:paraId="182692A2" w14:textId="0A9704EC" w:rsidR="002A3477" w:rsidRPr="006A0C4B" w:rsidRDefault="002A3477" w:rsidP="00797C8A">
            <w:pPr>
              <w:rPr>
                <w:sz w:val="22"/>
                <w:szCs w:val="22"/>
                <w:highlight w:val="yellow"/>
              </w:rPr>
            </w:pPr>
            <w:r w:rsidRPr="006A0C4B">
              <w:rPr>
                <w:sz w:val="22"/>
                <w:szCs w:val="22"/>
              </w:rPr>
              <w:t>22-36% GHG reduction on business as usual</w:t>
            </w:r>
          </w:p>
        </w:tc>
        <w:tc>
          <w:tcPr>
            <w:tcW w:w="3827" w:type="dxa"/>
          </w:tcPr>
          <w:p w14:paraId="1AD40FA5" w14:textId="38FA6148" w:rsidR="002A3477" w:rsidRPr="006A0C4B" w:rsidRDefault="002A3477" w:rsidP="00797C8A">
            <w:pPr>
              <w:rPr>
                <w:sz w:val="22"/>
                <w:szCs w:val="22"/>
              </w:rPr>
            </w:pPr>
            <w:r w:rsidRPr="006A0C4B">
              <w:rPr>
                <w:sz w:val="22"/>
                <w:szCs w:val="22"/>
              </w:rPr>
              <w:t>Under discussion</w:t>
            </w:r>
          </w:p>
        </w:tc>
      </w:tr>
      <w:tr w:rsidR="002A3477" w14:paraId="603B1DCB" w14:textId="77777777" w:rsidTr="0071483C">
        <w:trPr>
          <w:jc w:val="center"/>
        </w:trPr>
        <w:tc>
          <w:tcPr>
            <w:tcW w:w="1980" w:type="dxa"/>
          </w:tcPr>
          <w:p w14:paraId="57B26C51" w14:textId="7872D335" w:rsidR="002A3477" w:rsidRPr="006A0C4B" w:rsidRDefault="002A3477" w:rsidP="00797C8A">
            <w:pPr>
              <w:rPr>
                <w:sz w:val="22"/>
                <w:szCs w:val="22"/>
              </w:rPr>
            </w:pPr>
            <w:r w:rsidRPr="006A0C4B">
              <w:rPr>
                <w:sz w:val="22"/>
                <w:szCs w:val="22"/>
              </w:rPr>
              <w:t>Russia</w:t>
            </w:r>
          </w:p>
        </w:tc>
        <w:tc>
          <w:tcPr>
            <w:tcW w:w="3827" w:type="dxa"/>
          </w:tcPr>
          <w:p w14:paraId="72F23FDB" w14:textId="681D801A" w:rsidR="002A3477" w:rsidRPr="006A0C4B" w:rsidRDefault="002A3477" w:rsidP="00797C8A">
            <w:pPr>
              <w:rPr>
                <w:sz w:val="22"/>
                <w:szCs w:val="22"/>
              </w:rPr>
            </w:pPr>
            <w:r w:rsidRPr="006A0C4B">
              <w:rPr>
                <w:sz w:val="22"/>
                <w:szCs w:val="22"/>
              </w:rPr>
              <w:t>30% reduction below 1990</w:t>
            </w:r>
          </w:p>
        </w:tc>
        <w:tc>
          <w:tcPr>
            <w:tcW w:w="3827" w:type="dxa"/>
          </w:tcPr>
          <w:p w14:paraId="5288ABFE" w14:textId="77777777" w:rsidR="002A3477" w:rsidRPr="006A0C4B" w:rsidRDefault="002A3477" w:rsidP="00797C8A">
            <w:pPr>
              <w:rPr>
                <w:sz w:val="22"/>
                <w:szCs w:val="22"/>
              </w:rPr>
            </w:pPr>
          </w:p>
        </w:tc>
      </w:tr>
      <w:tr w:rsidR="002A3477" w14:paraId="00B99C38" w14:textId="77777777" w:rsidTr="0071483C">
        <w:trPr>
          <w:jc w:val="center"/>
        </w:trPr>
        <w:tc>
          <w:tcPr>
            <w:tcW w:w="1980" w:type="dxa"/>
          </w:tcPr>
          <w:p w14:paraId="56F2CB83" w14:textId="4EC85C5B" w:rsidR="002A3477" w:rsidRPr="006A0C4B" w:rsidRDefault="002A3477" w:rsidP="00797C8A">
            <w:pPr>
              <w:rPr>
                <w:sz w:val="22"/>
                <w:szCs w:val="22"/>
              </w:rPr>
            </w:pPr>
            <w:r w:rsidRPr="006A0C4B">
              <w:rPr>
                <w:sz w:val="22"/>
                <w:szCs w:val="22"/>
              </w:rPr>
              <w:t>Saudi Arabia</w:t>
            </w:r>
          </w:p>
        </w:tc>
        <w:tc>
          <w:tcPr>
            <w:tcW w:w="3827" w:type="dxa"/>
          </w:tcPr>
          <w:p w14:paraId="3B764778" w14:textId="454E0B02" w:rsidR="002A3477" w:rsidRPr="006A0C4B" w:rsidRDefault="002A3477" w:rsidP="00797C8A">
            <w:pPr>
              <w:rPr>
                <w:sz w:val="22"/>
                <w:szCs w:val="22"/>
              </w:rPr>
            </w:pPr>
            <w:r w:rsidRPr="006A0C4B">
              <w:rPr>
                <w:sz w:val="22"/>
                <w:szCs w:val="22"/>
              </w:rPr>
              <w:t>130Mt</w:t>
            </w:r>
            <w:r w:rsidR="00FB1F23">
              <w:rPr>
                <w:sz w:val="22"/>
                <w:szCs w:val="22"/>
              </w:rPr>
              <w:t>CO</w:t>
            </w:r>
            <w:r w:rsidR="00FB1F23" w:rsidRPr="006A0C4B">
              <w:rPr>
                <w:sz w:val="22"/>
                <w:szCs w:val="22"/>
                <w:vertAlign w:val="subscript"/>
              </w:rPr>
              <w:t>2</w:t>
            </w:r>
            <w:r w:rsidR="00FB1F23">
              <w:rPr>
                <w:sz w:val="22"/>
                <w:szCs w:val="22"/>
              </w:rPr>
              <w:t>e</w:t>
            </w:r>
            <w:r w:rsidRPr="006A0C4B">
              <w:rPr>
                <w:sz w:val="22"/>
                <w:szCs w:val="22"/>
              </w:rPr>
              <w:t xml:space="preserve"> reduction on business as usual</w:t>
            </w:r>
          </w:p>
        </w:tc>
        <w:tc>
          <w:tcPr>
            <w:tcW w:w="3827" w:type="dxa"/>
          </w:tcPr>
          <w:p w14:paraId="43A08921" w14:textId="77777777" w:rsidR="002A3477" w:rsidRPr="006A0C4B" w:rsidRDefault="002A3477" w:rsidP="00797C8A">
            <w:pPr>
              <w:rPr>
                <w:sz w:val="22"/>
                <w:szCs w:val="22"/>
              </w:rPr>
            </w:pPr>
          </w:p>
        </w:tc>
      </w:tr>
      <w:tr w:rsidR="002A3477" w14:paraId="36D643D2" w14:textId="77777777" w:rsidTr="0071483C">
        <w:trPr>
          <w:jc w:val="center"/>
        </w:trPr>
        <w:tc>
          <w:tcPr>
            <w:tcW w:w="1980" w:type="dxa"/>
          </w:tcPr>
          <w:p w14:paraId="6BAAD307" w14:textId="778BF303" w:rsidR="002A3477" w:rsidRPr="006A0C4B" w:rsidRDefault="002A3477" w:rsidP="00797C8A">
            <w:pPr>
              <w:rPr>
                <w:sz w:val="22"/>
                <w:szCs w:val="22"/>
              </w:rPr>
            </w:pPr>
            <w:r w:rsidRPr="006A0C4B">
              <w:rPr>
                <w:sz w:val="22"/>
                <w:szCs w:val="22"/>
              </w:rPr>
              <w:t>South Africa</w:t>
            </w:r>
          </w:p>
        </w:tc>
        <w:tc>
          <w:tcPr>
            <w:tcW w:w="3827" w:type="dxa"/>
          </w:tcPr>
          <w:p w14:paraId="136EA6B6" w14:textId="1B44DF16" w:rsidR="002A3477" w:rsidRPr="006A0C4B" w:rsidRDefault="002A3477" w:rsidP="00797C8A">
            <w:pPr>
              <w:rPr>
                <w:sz w:val="22"/>
                <w:szCs w:val="22"/>
              </w:rPr>
            </w:pPr>
            <w:r w:rsidRPr="006A0C4B">
              <w:rPr>
                <w:sz w:val="22"/>
                <w:szCs w:val="22"/>
              </w:rPr>
              <w:t>Emission target of 398-614Mt</w:t>
            </w:r>
            <w:r w:rsidR="00FB1F23">
              <w:rPr>
                <w:sz w:val="22"/>
                <w:szCs w:val="22"/>
              </w:rPr>
              <w:t>CO</w:t>
            </w:r>
            <w:r w:rsidR="00FB1F23" w:rsidRPr="006A0C4B">
              <w:rPr>
                <w:sz w:val="22"/>
                <w:szCs w:val="22"/>
                <w:vertAlign w:val="subscript"/>
              </w:rPr>
              <w:t>2</w:t>
            </w:r>
            <w:r w:rsidR="00FB1F23">
              <w:rPr>
                <w:sz w:val="22"/>
                <w:szCs w:val="22"/>
              </w:rPr>
              <w:t>e</w:t>
            </w:r>
          </w:p>
        </w:tc>
        <w:tc>
          <w:tcPr>
            <w:tcW w:w="3827" w:type="dxa"/>
          </w:tcPr>
          <w:p w14:paraId="16FE5A2E" w14:textId="22CDBB8F" w:rsidR="002A3477" w:rsidRPr="006A0C4B" w:rsidRDefault="00FA2119" w:rsidP="00797C8A">
            <w:pPr>
              <w:rPr>
                <w:sz w:val="22"/>
                <w:szCs w:val="22"/>
              </w:rPr>
            </w:pPr>
            <w:r w:rsidRPr="006A0C4B">
              <w:rPr>
                <w:sz w:val="22"/>
                <w:szCs w:val="22"/>
              </w:rPr>
              <w:t>Net zero carbon economy by 2050, under discussion</w:t>
            </w:r>
          </w:p>
        </w:tc>
      </w:tr>
      <w:tr w:rsidR="002A3477" w14:paraId="47B8AD85" w14:textId="77777777" w:rsidTr="0071483C">
        <w:trPr>
          <w:jc w:val="center"/>
        </w:trPr>
        <w:tc>
          <w:tcPr>
            <w:tcW w:w="1980" w:type="dxa"/>
          </w:tcPr>
          <w:p w14:paraId="54F4901A" w14:textId="4EF69FC4" w:rsidR="002A3477" w:rsidRPr="006A0C4B" w:rsidRDefault="002A3477" w:rsidP="00797C8A">
            <w:pPr>
              <w:rPr>
                <w:sz w:val="22"/>
                <w:szCs w:val="22"/>
              </w:rPr>
            </w:pPr>
            <w:r w:rsidRPr="006A0C4B">
              <w:rPr>
                <w:sz w:val="22"/>
                <w:szCs w:val="22"/>
              </w:rPr>
              <w:t>South Korea</w:t>
            </w:r>
          </w:p>
        </w:tc>
        <w:tc>
          <w:tcPr>
            <w:tcW w:w="3827" w:type="dxa"/>
          </w:tcPr>
          <w:p w14:paraId="454913DB" w14:textId="665C0EC6" w:rsidR="002A3477" w:rsidRPr="006A0C4B" w:rsidRDefault="002A3477" w:rsidP="00797C8A">
            <w:pPr>
              <w:rPr>
                <w:sz w:val="22"/>
                <w:szCs w:val="22"/>
              </w:rPr>
            </w:pPr>
            <w:r w:rsidRPr="006A0C4B">
              <w:rPr>
                <w:sz w:val="22"/>
                <w:szCs w:val="22"/>
              </w:rPr>
              <w:t>24.4% reduction below 2017</w:t>
            </w:r>
          </w:p>
        </w:tc>
        <w:tc>
          <w:tcPr>
            <w:tcW w:w="3827" w:type="dxa"/>
          </w:tcPr>
          <w:p w14:paraId="1F8B8D4E" w14:textId="338D03FD" w:rsidR="002A3477" w:rsidRPr="006A0C4B" w:rsidRDefault="002F3102" w:rsidP="00797C8A">
            <w:pPr>
              <w:rPr>
                <w:sz w:val="22"/>
                <w:szCs w:val="22"/>
              </w:rPr>
            </w:pPr>
            <w:r w:rsidRPr="006A0C4B">
              <w:rPr>
                <w:sz w:val="22"/>
                <w:szCs w:val="22"/>
              </w:rPr>
              <w:t xml:space="preserve">Net zero GHG </w:t>
            </w:r>
            <w:r w:rsidR="00612192">
              <w:rPr>
                <w:sz w:val="22"/>
                <w:szCs w:val="22"/>
              </w:rPr>
              <w:t xml:space="preserve">by </w:t>
            </w:r>
            <w:r w:rsidR="002A3477" w:rsidRPr="006A0C4B">
              <w:rPr>
                <w:sz w:val="22"/>
                <w:szCs w:val="22"/>
              </w:rPr>
              <w:t>2050, proposed legislation</w:t>
            </w:r>
          </w:p>
        </w:tc>
      </w:tr>
      <w:tr w:rsidR="002A3477" w14:paraId="3D3F9FCC" w14:textId="77777777" w:rsidTr="0071483C">
        <w:trPr>
          <w:jc w:val="center"/>
        </w:trPr>
        <w:tc>
          <w:tcPr>
            <w:tcW w:w="1980" w:type="dxa"/>
          </w:tcPr>
          <w:p w14:paraId="12E5AC66" w14:textId="74AFA355" w:rsidR="002A3477" w:rsidRPr="006A0C4B" w:rsidRDefault="002A3477" w:rsidP="00797C8A">
            <w:pPr>
              <w:rPr>
                <w:sz w:val="22"/>
                <w:szCs w:val="22"/>
              </w:rPr>
            </w:pPr>
            <w:r w:rsidRPr="006A0C4B">
              <w:rPr>
                <w:sz w:val="22"/>
                <w:szCs w:val="22"/>
              </w:rPr>
              <w:t>Turkey</w:t>
            </w:r>
          </w:p>
        </w:tc>
        <w:tc>
          <w:tcPr>
            <w:tcW w:w="3827" w:type="dxa"/>
          </w:tcPr>
          <w:p w14:paraId="101379CF" w14:textId="49A133B7" w:rsidR="002A3477" w:rsidRPr="006A0C4B" w:rsidRDefault="002A3477" w:rsidP="00797C8A">
            <w:pPr>
              <w:rPr>
                <w:sz w:val="22"/>
                <w:szCs w:val="22"/>
              </w:rPr>
            </w:pPr>
            <w:r w:rsidRPr="006A0C4B">
              <w:rPr>
                <w:sz w:val="22"/>
                <w:szCs w:val="22"/>
              </w:rPr>
              <w:t>21% reduction below business as usual</w:t>
            </w:r>
          </w:p>
        </w:tc>
        <w:tc>
          <w:tcPr>
            <w:tcW w:w="3827" w:type="dxa"/>
          </w:tcPr>
          <w:p w14:paraId="5634A8E1" w14:textId="77777777" w:rsidR="002A3477" w:rsidRPr="006A0C4B" w:rsidRDefault="002A3477" w:rsidP="00797C8A">
            <w:pPr>
              <w:rPr>
                <w:sz w:val="22"/>
                <w:szCs w:val="22"/>
              </w:rPr>
            </w:pPr>
          </w:p>
        </w:tc>
      </w:tr>
      <w:tr w:rsidR="002A3477" w14:paraId="3AB11027" w14:textId="77777777" w:rsidTr="0071483C">
        <w:trPr>
          <w:jc w:val="center"/>
        </w:trPr>
        <w:tc>
          <w:tcPr>
            <w:tcW w:w="1980" w:type="dxa"/>
          </w:tcPr>
          <w:p w14:paraId="4CE229B4" w14:textId="1119F92E" w:rsidR="002A3477" w:rsidRPr="006A0C4B" w:rsidRDefault="002A3477" w:rsidP="00797C8A">
            <w:pPr>
              <w:rPr>
                <w:sz w:val="22"/>
                <w:szCs w:val="22"/>
              </w:rPr>
            </w:pPr>
            <w:r w:rsidRPr="006A0C4B">
              <w:rPr>
                <w:sz w:val="22"/>
                <w:szCs w:val="22"/>
              </w:rPr>
              <w:t>United States</w:t>
            </w:r>
          </w:p>
        </w:tc>
        <w:tc>
          <w:tcPr>
            <w:tcW w:w="3827" w:type="dxa"/>
          </w:tcPr>
          <w:p w14:paraId="1B66BB01" w14:textId="4849DA5B" w:rsidR="002A3477" w:rsidRPr="006A0C4B" w:rsidRDefault="002A3477" w:rsidP="00797C8A">
            <w:pPr>
              <w:rPr>
                <w:sz w:val="22"/>
                <w:szCs w:val="22"/>
              </w:rPr>
            </w:pPr>
            <w:r w:rsidRPr="006A0C4B">
              <w:rPr>
                <w:sz w:val="22"/>
                <w:szCs w:val="22"/>
              </w:rPr>
              <w:t>26-28% reduction on 2005 by 2025</w:t>
            </w:r>
          </w:p>
        </w:tc>
        <w:tc>
          <w:tcPr>
            <w:tcW w:w="3827" w:type="dxa"/>
          </w:tcPr>
          <w:p w14:paraId="4F20DC52" w14:textId="2C1884BF" w:rsidR="002A3477" w:rsidRPr="006A0C4B" w:rsidRDefault="00664D29" w:rsidP="00797C8A">
            <w:pPr>
              <w:rPr>
                <w:sz w:val="22"/>
                <w:szCs w:val="22"/>
              </w:rPr>
            </w:pPr>
            <w:r>
              <w:rPr>
                <w:sz w:val="22"/>
                <w:szCs w:val="22"/>
              </w:rPr>
              <w:t xml:space="preserve">Net zero by </w:t>
            </w:r>
            <w:r w:rsidR="002A3477" w:rsidRPr="006A0C4B">
              <w:rPr>
                <w:sz w:val="22"/>
                <w:szCs w:val="22"/>
              </w:rPr>
              <w:t xml:space="preserve">2050, </w:t>
            </w:r>
            <w:r w:rsidR="00130BA2" w:rsidRPr="006A0C4B">
              <w:rPr>
                <w:sz w:val="22"/>
                <w:szCs w:val="22"/>
              </w:rPr>
              <w:t>policy position</w:t>
            </w:r>
          </w:p>
        </w:tc>
      </w:tr>
    </w:tbl>
    <w:p w14:paraId="78B944DB" w14:textId="00B55C37" w:rsidR="004A61D5" w:rsidRPr="00DC1E39" w:rsidRDefault="004A61D5" w:rsidP="009229B3">
      <w:pPr>
        <w:spacing w:before="60" w:after="60"/>
        <w:rPr>
          <w:sz w:val="20"/>
          <w:szCs w:val="20"/>
        </w:rPr>
      </w:pPr>
      <w:r w:rsidRPr="00DC1E39">
        <w:rPr>
          <w:sz w:val="20"/>
          <w:szCs w:val="20"/>
        </w:rPr>
        <w:t>*</w:t>
      </w:r>
      <w:r w:rsidR="00C95F94" w:rsidRPr="00DC1E39">
        <w:rPr>
          <w:sz w:val="20"/>
          <w:szCs w:val="20"/>
        </w:rPr>
        <w:t xml:space="preserve"> Countries are encouraged to update NDCs ahead of COP26; targets may change as a result</w:t>
      </w:r>
      <w:r w:rsidR="004347DA" w:rsidRPr="00DC1E39">
        <w:rPr>
          <w:sz w:val="20"/>
          <w:szCs w:val="20"/>
        </w:rPr>
        <w:t>.</w:t>
      </w:r>
    </w:p>
    <w:p w14:paraId="769379B2" w14:textId="2AB8688A" w:rsidR="004A61D5" w:rsidRPr="00DC1E39" w:rsidRDefault="004A61D5" w:rsidP="009229B3">
      <w:pPr>
        <w:spacing w:before="60" w:after="60"/>
        <w:rPr>
          <w:sz w:val="20"/>
          <w:szCs w:val="20"/>
        </w:rPr>
      </w:pPr>
      <w:r w:rsidRPr="00DC1E39">
        <w:rPr>
          <w:sz w:val="20"/>
          <w:szCs w:val="20"/>
        </w:rPr>
        <w:t>**</w:t>
      </w:r>
      <w:r w:rsidR="004347DA" w:rsidRPr="00DC1E39">
        <w:rPr>
          <w:sz w:val="20"/>
          <w:szCs w:val="20"/>
        </w:rPr>
        <w:t xml:space="preserve"> </w:t>
      </w:r>
      <w:r w:rsidRPr="00DC1E39">
        <w:rPr>
          <w:sz w:val="20"/>
          <w:szCs w:val="20"/>
        </w:rPr>
        <w:t>EU countries submit a joint target covered by the EU NDC</w:t>
      </w:r>
      <w:r w:rsidR="000C6C27" w:rsidRPr="00DC1E39">
        <w:rPr>
          <w:sz w:val="20"/>
          <w:szCs w:val="20"/>
        </w:rPr>
        <w:t>;</w:t>
      </w:r>
      <w:r w:rsidRPr="00DC1E39">
        <w:rPr>
          <w:sz w:val="20"/>
          <w:szCs w:val="20"/>
        </w:rPr>
        <w:t xml:space="preserve"> the share of effort remains to be determined.</w:t>
      </w:r>
    </w:p>
    <w:p w14:paraId="74E4E8CD" w14:textId="77777777" w:rsidR="009229B3" w:rsidRDefault="009229B3" w:rsidP="00090760">
      <w:pPr>
        <w:pStyle w:val="Heading4"/>
        <w:rPr>
          <w:szCs w:val="24"/>
        </w:rPr>
      </w:pPr>
    </w:p>
    <w:p w14:paraId="3BE97DC9" w14:textId="58FCCA2C" w:rsidR="00090760" w:rsidRPr="009B5EBA" w:rsidRDefault="00090760" w:rsidP="00090760">
      <w:pPr>
        <w:pStyle w:val="Heading4"/>
        <w:rPr>
          <w:szCs w:val="24"/>
        </w:rPr>
      </w:pPr>
      <w:r w:rsidRPr="009B5EBA">
        <w:rPr>
          <w:szCs w:val="24"/>
        </w:rPr>
        <w:lastRenderedPageBreak/>
        <w:t xml:space="preserve">Summary: </w:t>
      </w:r>
      <w:r w:rsidR="00CC5138" w:rsidRPr="009B5EBA">
        <w:rPr>
          <w:szCs w:val="24"/>
        </w:rPr>
        <w:t>International circumstances</w:t>
      </w:r>
    </w:p>
    <w:p w14:paraId="6E3F0E8D" w14:textId="5C3E4387" w:rsidR="007C46AA" w:rsidRPr="006A0C4B" w:rsidRDefault="00090760" w:rsidP="009229B3">
      <w:pPr>
        <w:pStyle w:val="Numberedparagraphs"/>
      </w:pPr>
      <w:r>
        <w:t xml:space="preserve">In summary, </w:t>
      </w:r>
      <w:r w:rsidR="00CA6FF9">
        <w:t>the</w:t>
      </w:r>
      <w:r w:rsidR="00E538B1">
        <w:t xml:space="preserve"> analysis shows that</w:t>
      </w:r>
      <w:r w:rsidR="002F3380">
        <w:t xml:space="preserve"> </w:t>
      </w:r>
      <w:r w:rsidR="00E538B1">
        <w:t xml:space="preserve">Option 1, the do-nothing option, is not consistent </w:t>
      </w:r>
      <w:r w:rsidR="00DF0134">
        <w:t>with the UK</w:t>
      </w:r>
      <w:r w:rsidR="00D8250B">
        <w:t>’s overall</w:t>
      </w:r>
      <w:r w:rsidR="00DF0134">
        <w:t xml:space="preserve"> </w:t>
      </w:r>
      <w:r w:rsidR="002F3380">
        <w:t>international climate change</w:t>
      </w:r>
      <w:r w:rsidR="00DF0134">
        <w:t xml:space="preserve"> ambition. </w:t>
      </w:r>
      <w:r w:rsidR="007C46AA" w:rsidRPr="00E8599F">
        <w:rPr>
          <w:rFonts w:eastAsia="Calibri" w:cs="Arial"/>
          <w:lang w:eastAsia="en-US"/>
        </w:rPr>
        <w:t xml:space="preserve">All options </w:t>
      </w:r>
      <w:r w:rsidR="00D8250B">
        <w:rPr>
          <w:rFonts w:eastAsia="Calibri" w:cs="Arial"/>
          <w:lang w:eastAsia="en-US"/>
        </w:rPr>
        <w:t>apart from</w:t>
      </w:r>
      <w:r w:rsidR="007C46AA" w:rsidRPr="00E8599F">
        <w:rPr>
          <w:rFonts w:eastAsia="Calibri" w:cs="Arial"/>
          <w:lang w:eastAsia="en-US"/>
        </w:rPr>
        <w:t xml:space="preserve"> ‘</w:t>
      </w:r>
      <w:r w:rsidR="007C46AA" w:rsidRPr="002C08B1">
        <w:rPr>
          <w:rFonts w:eastAsia="Calibri" w:cs="Arial"/>
          <w:lang w:eastAsia="en-US"/>
        </w:rPr>
        <w:t>do nothing</w:t>
      </w:r>
      <w:r w:rsidR="007C46AA" w:rsidRPr="00E8599F">
        <w:rPr>
          <w:rFonts w:eastAsia="Calibri" w:cs="Arial"/>
          <w:lang w:eastAsia="en-US"/>
        </w:rPr>
        <w:t xml:space="preserve">’ deliver emission reductions on a per capita basis that, if followed globally, would be consistent with the </w:t>
      </w:r>
      <w:r w:rsidR="001D457C">
        <w:rPr>
          <w:rFonts w:eastAsia="Calibri" w:cs="Arial"/>
          <w:lang w:eastAsia="en-US"/>
        </w:rPr>
        <w:t>ambitions of the Paris Agreement</w:t>
      </w:r>
      <w:r w:rsidR="007C46AA" w:rsidRPr="00E8599F">
        <w:rPr>
          <w:rFonts w:eastAsia="Calibri" w:cs="Arial"/>
          <w:lang w:eastAsia="en-US"/>
        </w:rPr>
        <w:t>. Relative to option 2, options 3 and 4 would fare more favourably from a global climate leadership perspective by delivering faster emission reductions</w:t>
      </w:r>
      <w:r w:rsidR="007C46AA">
        <w:rPr>
          <w:rFonts w:eastAsia="Calibri" w:cs="Arial"/>
          <w:lang w:eastAsia="en-US"/>
        </w:rPr>
        <w:t xml:space="preserve"> and</w:t>
      </w:r>
      <w:r w:rsidR="007C46AA" w:rsidRPr="00E8599F">
        <w:rPr>
          <w:rFonts w:eastAsia="Calibri" w:cs="Arial"/>
          <w:lang w:eastAsia="en-US"/>
        </w:rPr>
        <w:t xml:space="preserve"> resulting in lower cumulative emissions to 2050.</w:t>
      </w:r>
      <w:r w:rsidR="007C46AA">
        <w:rPr>
          <w:rFonts w:eastAsia="Calibri" w:cs="Arial"/>
          <w:lang w:eastAsia="en-US"/>
        </w:rPr>
        <w:t xml:space="preserve"> </w:t>
      </w:r>
    </w:p>
    <w:p w14:paraId="078B6F0D" w14:textId="5BB18AC0" w:rsidR="00090760" w:rsidRPr="000A4708" w:rsidRDefault="007C46AA" w:rsidP="009229B3">
      <w:pPr>
        <w:pStyle w:val="Numberedparagraphs"/>
      </w:pPr>
      <w:r>
        <w:rPr>
          <w:lang w:eastAsia="en-US"/>
        </w:rPr>
        <w:t>All</w:t>
      </w:r>
      <w:r w:rsidRPr="001C4454">
        <w:rPr>
          <w:lang w:eastAsia="en-US"/>
        </w:rPr>
        <w:t xml:space="preserve"> options</w:t>
      </w:r>
      <w:r>
        <w:rPr>
          <w:lang w:eastAsia="en-US"/>
        </w:rPr>
        <w:t xml:space="preserve"> </w:t>
      </w:r>
      <w:r w:rsidR="002C1DB8">
        <w:rPr>
          <w:lang w:eastAsia="en-US"/>
        </w:rPr>
        <w:t>apart from</w:t>
      </w:r>
      <w:r>
        <w:rPr>
          <w:lang w:eastAsia="en-US"/>
        </w:rPr>
        <w:t xml:space="preserve"> ‘do nothing’</w:t>
      </w:r>
      <w:r w:rsidRPr="001C4454">
        <w:rPr>
          <w:lang w:eastAsia="en-US"/>
        </w:rPr>
        <w:t xml:space="preserve"> are more ambitious than if global mitigation efforts were shared across countries or regions on the basis of estimates of cost-effective technical abatement potentials. However, they are less ambitious than if efforts were shared with historical contributions to emissions taken into account.</w:t>
      </w:r>
      <w:r>
        <w:rPr>
          <w:lang w:eastAsia="en-US"/>
        </w:rPr>
        <w:t xml:space="preserve"> </w:t>
      </w:r>
    </w:p>
    <w:p w14:paraId="43766240" w14:textId="3A0E5083" w:rsidR="00485D3E" w:rsidRPr="009B5EBA" w:rsidRDefault="0050434E" w:rsidP="00615D9A">
      <w:pPr>
        <w:pStyle w:val="Heading3"/>
        <w:rPr>
          <w:sz w:val="28"/>
          <w:szCs w:val="28"/>
        </w:rPr>
      </w:pPr>
      <w:bookmarkStart w:id="55" w:name="_Toc67051848"/>
      <w:r w:rsidRPr="009B5EBA">
        <w:rPr>
          <w:sz w:val="28"/>
          <w:szCs w:val="28"/>
        </w:rPr>
        <w:t>2.</w:t>
      </w:r>
      <w:r w:rsidR="007E6F08" w:rsidRPr="009B5EBA">
        <w:rPr>
          <w:sz w:val="28"/>
          <w:szCs w:val="28"/>
        </w:rPr>
        <w:t xml:space="preserve">5 </w:t>
      </w:r>
      <w:r w:rsidRPr="009B5EBA">
        <w:rPr>
          <w:sz w:val="28"/>
          <w:szCs w:val="28"/>
        </w:rPr>
        <w:t>Quantified c</w:t>
      </w:r>
      <w:r w:rsidR="00904A97" w:rsidRPr="009B5EBA">
        <w:rPr>
          <w:sz w:val="28"/>
          <w:szCs w:val="28"/>
        </w:rPr>
        <w:t>ost</w:t>
      </w:r>
      <w:r w:rsidR="00043C8F">
        <w:rPr>
          <w:sz w:val="28"/>
          <w:szCs w:val="28"/>
        </w:rPr>
        <w:t>s</w:t>
      </w:r>
      <w:r w:rsidRPr="009B5EBA">
        <w:rPr>
          <w:sz w:val="28"/>
          <w:szCs w:val="28"/>
        </w:rPr>
        <w:t xml:space="preserve"> and benefits</w:t>
      </w:r>
      <w:bookmarkEnd w:id="55"/>
    </w:p>
    <w:p w14:paraId="4896ECB8" w14:textId="62C12A87" w:rsidR="70AAF215" w:rsidRPr="00615D9A" w:rsidRDefault="0095427A" w:rsidP="009229B3">
      <w:pPr>
        <w:pStyle w:val="Numberedparagraphs"/>
      </w:pPr>
      <w:r w:rsidRPr="00615D9A">
        <w:t xml:space="preserve">This section presents results of the cost benefit analysis </w:t>
      </w:r>
      <w:r w:rsidR="00615D55" w:rsidRPr="00615D9A">
        <w:t xml:space="preserve">of </w:t>
      </w:r>
      <w:r w:rsidR="00A63C70" w:rsidRPr="00615D9A">
        <w:t xml:space="preserve">different </w:t>
      </w:r>
      <w:r w:rsidR="00615D9A">
        <w:t>sixth c</w:t>
      </w:r>
      <w:r w:rsidR="00A63C70" w:rsidRPr="00615D9A">
        <w:t xml:space="preserve">arbon </w:t>
      </w:r>
      <w:r w:rsidR="00615D9A">
        <w:t>bu</w:t>
      </w:r>
      <w:r w:rsidR="00A63C70" w:rsidRPr="00615D9A">
        <w:t>dget options</w:t>
      </w:r>
      <w:r w:rsidR="00F557FF" w:rsidRPr="00615D9A">
        <w:t xml:space="preserve"> across the</w:t>
      </w:r>
      <w:r w:rsidR="00BA7AA2" w:rsidRPr="00615D9A">
        <w:t xml:space="preserve"> </w:t>
      </w:r>
      <w:r w:rsidR="001D17C2" w:rsidRPr="00615D9A">
        <w:t xml:space="preserve">pathways. </w:t>
      </w:r>
      <w:r w:rsidR="00D404AE" w:rsidRPr="00615D9A">
        <w:t xml:space="preserve">Overall, the net present values of all the options are strongly positive </w:t>
      </w:r>
      <w:r w:rsidR="00615D9A">
        <w:t>for</w:t>
      </w:r>
      <w:r w:rsidR="00D404AE" w:rsidRPr="00615D9A">
        <w:t xml:space="preserve"> all pathways.</w:t>
      </w:r>
      <w:r w:rsidR="00233D5C" w:rsidRPr="00615D9A">
        <w:t xml:space="preserve"> </w:t>
      </w:r>
      <w:r w:rsidR="00B23171">
        <w:t>Looser</w:t>
      </w:r>
      <w:r w:rsidR="00024868">
        <w:t xml:space="preserve"> carbon budget options</w:t>
      </w:r>
      <w:r w:rsidR="00233D5C" w:rsidRPr="00615D9A">
        <w:t xml:space="preserve"> tend to have higher net present values</w:t>
      </w:r>
      <w:r w:rsidR="00C360D4" w:rsidRPr="00615D9A">
        <w:t>.</w:t>
      </w:r>
      <w:r w:rsidR="0068559C" w:rsidRPr="0068559C">
        <w:t xml:space="preserve"> </w:t>
      </w:r>
      <w:r w:rsidR="00DD1A7E">
        <w:t>Details on t</w:t>
      </w:r>
      <w:r w:rsidR="009C6A86">
        <w:t>he</w:t>
      </w:r>
      <w:r w:rsidR="0068559C">
        <w:t xml:space="preserve"> appraisal methodology can be found in Annex </w:t>
      </w:r>
      <w:r w:rsidR="00E60A32">
        <w:t>A.1.</w:t>
      </w:r>
    </w:p>
    <w:p w14:paraId="044804AC" w14:textId="2C791295" w:rsidR="00884DF0" w:rsidRPr="00615D9A" w:rsidRDefault="00884DF0" w:rsidP="00884DF0">
      <w:pPr>
        <w:pStyle w:val="Heading4"/>
        <w:rPr>
          <w:b w:val="0"/>
          <w:szCs w:val="24"/>
        </w:rPr>
      </w:pPr>
      <w:r w:rsidRPr="009B5EBA">
        <w:rPr>
          <w:szCs w:val="24"/>
        </w:rPr>
        <w:t>Methodology summary</w:t>
      </w:r>
    </w:p>
    <w:p w14:paraId="39DAD847" w14:textId="4524D97E" w:rsidR="00EA0C3E" w:rsidRDefault="00821C1F" w:rsidP="009229B3">
      <w:pPr>
        <w:pStyle w:val="Numberedparagraphs"/>
      </w:pPr>
      <w:r>
        <w:t xml:space="preserve">The appraisal is based on additional system costs, emissions savings and air quality </w:t>
      </w:r>
      <w:r w:rsidR="004B7D42">
        <w:t>impacts</w:t>
      </w:r>
      <w:r>
        <w:t xml:space="preserve"> from UK</w:t>
      </w:r>
      <w:r w:rsidR="00744A81">
        <w:t>TM</w:t>
      </w:r>
      <w:r>
        <w:t xml:space="preserve"> model runs compared to baseline runs</w:t>
      </w:r>
      <w:r w:rsidR="009634A2">
        <w:t xml:space="preserve"> (Option 1)</w:t>
      </w:r>
      <w:r>
        <w:t>.</w:t>
      </w:r>
      <w:r w:rsidR="001410FB">
        <w:t xml:space="preserve"> </w:t>
      </w:r>
    </w:p>
    <w:p w14:paraId="707DA78D" w14:textId="31B88646" w:rsidR="004B7D42" w:rsidRDefault="00653143" w:rsidP="009229B3">
      <w:pPr>
        <w:pStyle w:val="Numberedparagraphs"/>
      </w:pPr>
      <w:r>
        <w:t xml:space="preserve">The baseline is based on </w:t>
      </w:r>
      <w:r w:rsidR="00821C1F">
        <w:t xml:space="preserve">emissions projections </w:t>
      </w:r>
      <w:r w:rsidR="00715A68">
        <w:t>as outlined</w:t>
      </w:r>
      <w:r w:rsidR="00923108">
        <w:t xml:space="preserve"> in paragraph </w:t>
      </w:r>
      <w:r w:rsidR="00C466B6" w:rsidRPr="006A0C4B">
        <w:t>33</w:t>
      </w:r>
      <w:r>
        <w:t xml:space="preserve"> and does not meet the 2030 NDC or</w:t>
      </w:r>
      <w:r w:rsidR="00A90315">
        <w:t xml:space="preserve"> </w:t>
      </w:r>
      <w:r w:rsidR="00864141">
        <w:t xml:space="preserve">2050 </w:t>
      </w:r>
      <w:r w:rsidR="00A90315">
        <w:t xml:space="preserve">Net Zero target, both of which act as constraints on emissions separately from the sixth carbon budget decision. </w:t>
      </w:r>
      <w:r w:rsidR="00923108">
        <w:t>Hence</w:t>
      </w:r>
      <w:r w:rsidR="00AD610A">
        <w:t>,</w:t>
      </w:r>
      <w:r w:rsidR="00923108">
        <w:t xml:space="preserve"> not all cost</w:t>
      </w:r>
      <w:r w:rsidR="00AD610A">
        <w:t>s</w:t>
      </w:r>
      <w:r w:rsidR="00923108">
        <w:t xml:space="preserve"> and benefits presented in this section</w:t>
      </w:r>
      <w:r w:rsidR="00B66BA1">
        <w:t xml:space="preserve"> are additional </w:t>
      </w:r>
      <w:r w:rsidR="00CF03A9">
        <w:t xml:space="preserve">to current </w:t>
      </w:r>
      <w:r w:rsidR="007C6560">
        <w:t>government</w:t>
      </w:r>
      <w:r w:rsidR="00CF03A9">
        <w:t xml:space="preserve"> </w:t>
      </w:r>
      <w:r w:rsidR="00696299">
        <w:t xml:space="preserve">ambition or policy plans. </w:t>
      </w:r>
      <w:r w:rsidR="008C4FE4" w:rsidRPr="008C4FE4">
        <w:t>However, the relative difference in cost and benefits between the different sixth carbon budget options are not impacted by this.</w:t>
      </w:r>
    </w:p>
    <w:p w14:paraId="511B11C3" w14:textId="26AFEC3C" w:rsidR="003065E8" w:rsidRDefault="00821C1F" w:rsidP="009229B3">
      <w:pPr>
        <w:pStyle w:val="Numberedparagraphs"/>
      </w:pPr>
      <w:r>
        <w:t>Additional</w:t>
      </w:r>
      <w:r w:rsidR="00F61BB9">
        <w:t xml:space="preserve"> system costs c</w:t>
      </w:r>
      <w:r w:rsidR="004C7483">
        <w:t>ov</w:t>
      </w:r>
      <w:r w:rsidR="00F61BB9">
        <w:t>er capital costs and finance costs (on an annualised basis)</w:t>
      </w:r>
      <w:r w:rsidR="00542279">
        <w:t>,</w:t>
      </w:r>
      <w:r w:rsidR="00F61BB9">
        <w:t xml:space="preserve"> operating costs,</w:t>
      </w:r>
      <w:r w:rsidR="00CF7518">
        <w:t xml:space="preserve"> network costs and fuel costs. </w:t>
      </w:r>
      <w:r w:rsidR="00AD610A">
        <w:t>Costs of h</w:t>
      </w:r>
      <w:r w:rsidR="00CA3907">
        <w:t xml:space="preserve">assle and </w:t>
      </w:r>
      <w:r w:rsidR="000A6B27">
        <w:t>disruption</w:t>
      </w:r>
      <w:r w:rsidR="00CA3907">
        <w:t xml:space="preserve"> associated with the transition are not included. </w:t>
      </w:r>
      <w:r w:rsidR="003065E8">
        <w:t>Some power sector costs are taken from the BEIS Dynamic D</w:t>
      </w:r>
      <w:r w:rsidR="002928AB">
        <w:t>i</w:t>
      </w:r>
      <w:r w:rsidR="003065E8">
        <w:t xml:space="preserve">spatch </w:t>
      </w:r>
      <w:r w:rsidR="00DA1CA8">
        <w:t>Model (DDM)</w:t>
      </w:r>
      <w:r w:rsidR="002928AB">
        <w:t xml:space="preserve"> and </w:t>
      </w:r>
      <w:r w:rsidR="00C307B1">
        <w:t>Distribution</w:t>
      </w:r>
      <w:r w:rsidR="002928AB">
        <w:t xml:space="preserve"> Network Model (DNM)</w:t>
      </w:r>
      <w:r w:rsidR="00DA1CA8">
        <w:t xml:space="preserve">, </w:t>
      </w:r>
      <w:r w:rsidR="003065E8">
        <w:t xml:space="preserve">which provides a more sophisticated cost estimate </w:t>
      </w:r>
      <w:r w:rsidR="004C7483">
        <w:t xml:space="preserve">of the power sector </w:t>
      </w:r>
      <w:r w:rsidR="003065E8">
        <w:t>than UK</w:t>
      </w:r>
      <w:r w:rsidR="00744A81">
        <w:t>TM</w:t>
      </w:r>
      <w:r w:rsidR="003065E8">
        <w:t>.</w:t>
      </w:r>
      <w:r w:rsidR="000A6B27">
        <w:t xml:space="preserve"> </w:t>
      </w:r>
    </w:p>
    <w:p w14:paraId="4E708A20" w14:textId="608D9E9B" w:rsidR="002136B0" w:rsidRPr="00615D9A" w:rsidRDefault="004C7483" w:rsidP="009229B3">
      <w:pPr>
        <w:pStyle w:val="Numberedparagraphs"/>
      </w:pPr>
      <w:r>
        <w:t xml:space="preserve">The benefits of </w:t>
      </w:r>
      <w:r w:rsidR="00594B5E" w:rsidRPr="00615D9A">
        <w:t>abated</w:t>
      </w:r>
      <w:r w:rsidR="009A0C7B" w:rsidRPr="00615D9A">
        <w:t xml:space="preserve"> greenhouse gas emissions</w:t>
      </w:r>
      <w:r w:rsidR="00AD610A">
        <w:t xml:space="preserve">, </w:t>
      </w:r>
      <w:r w:rsidR="0051188B">
        <w:t>compared to the baseline</w:t>
      </w:r>
      <w:r w:rsidR="00AD610A">
        <w:t>,</w:t>
      </w:r>
      <w:r w:rsidR="0051188B">
        <w:t xml:space="preserve"> </w:t>
      </w:r>
      <w:r w:rsidR="009A0C7B" w:rsidRPr="00615D9A">
        <w:t>are</w:t>
      </w:r>
      <w:r w:rsidR="00155E47" w:rsidRPr="00615D9A">
        <w:t xml:space="preserve"> monetised</w:t>
      </w:r>
      <w:r w:rsidR="006A26F3">
        <w:t xml:space="preserve"> using </w:t>
      </w:r>
      <w:r w:rsidR="0051188B">
        <w:t xml:space="preserve">HMG’s </w:t>
      </w:r>
      <w:r w:rsidR="006A26F3">
        <w:t>carbon value series</w:t>
      </w:r>
      <w:r w:rsidR="00B0120E">
        <w:rPr>
          <w:rStyle w:val="FootnoteReference"/>
        </w:rPr>
        <w:footnoteReference w:id="50"/>
      </w:r>
      <w:r w:rsidR="00AD610A">
        <w:t>.</w:t>
      </w:r>
      <w:r w:rsidR="00B97C18">
        <w:t xml:space="preserve"> High carbon values have been used</w:t>
      </w:r>
      <w:r w:rsidR="008E69A4">
        <w:t xml:space="preserve"> </w:t>
      </w:r>
      <w:r w:rsidR="00CA2CAD">
        <w:t>(</w:t>
      </w:r>
      <w:r w:rsidR="00AD12E6">
        <w:t xml:space="preserve">similar to the CCC’s analysis) </w:t>
      </w:r>
      <w:r w:rsidR="00AD610A">
        <w:t>with the</w:t>
      </w:r>
      <w:r w:rsidR="008E69A4">
        <w:t xml:space="preserve"> existing central value</w:t>
      </w:r>
      <w:r w:rsidR="0043701E">
        <w:t xml:space="preserve"> tested</w:t>
      </w:r>
      <w:r w:rsidR="008E69A4">
        <w:t xml:space="preserve"> as a sensitivity</w:t>
      </w:r>
      <w:r w:rsidR="006A26F3">
        <w:t>. This reflects the fact that the current central carbon values</w:t>
      </w:r>
      <w:r w:rsidR="00736C8D">
        <w:t>, which are under review</w:t>
      </w:r>
      <w:r w:rsidR="00516356">
        <w:t xml:space="preserve"> and</w:t>
      </w:r>
      <w:r w:rsidR="00790BE0">
        <w:t xml:space="preserve"> are</w:t>
      </w:r>
      <w:r w:rsidR="00516356">
        <w:t xml:space="preserve"> set on a target consistent basis</w:t>
      </w:r>
      <w:r w:rsidR="00736C8D">
        <w:t xml:space="preserve">, </w:t>
      </w:r>
      <w:r w:rsidR="006A26F3">
        <w:t xml:space="preserve">are likely to undervalue greenhouse gas emissions </w:t>
      </w:r>
      <w:r w:rsidR="004A08CF">
        <w:t xml:space="preserve">given </w:t>
      </w:r>
      <w:r w:rsidR="0043701E">
        <w:t>that</w:t>
      </w:r>
      <w:r w:rsidR="006A26F3">
        <w:t xml:space="preserve"> the</w:t>
      </w:r>
      <w:r w:rsidR="002915A1">
        <w:t xml:space="preserve">y </w:t>
      </w:r>
      <w:r w:rsidR="000C1384">
        <w:t>are</w:t>
      </w:r>
      <w:r w:rsidR="007C52D6">
        <w:t xml:space="preserve"> consistent with </w:t>
      </w:r>
      <w:r w:rsidR="002915A1">
        <w:t xml:space="preserve">the </w:t>
      </w:r>
      <w:r w:rsidR="000C1384">
        <w:t xml:space="preserve">UK’s old decarbonisation target of </w:t>
      </w:r>
      <w:r w:rsidR="002915A1">
        <w:t>80%</w:t>
      </w:r>
      <w:r w:rsidR="000C1384">
        <w:t xml:space="preserve"> reduction</w:t>
      </w:r>
      <w:r w:rsidR="006C14C9">
        <w:t xml:space="preserve"> in emissions</w:t>
      </w:r>
      <w:r w:rsidR="009B3C0B">
        <w:t xml:space="preserve"> </w:t>
      </w:r>
      <w:r w:rsidR="000C1384">
        <w:t>by 2050</w:t>
      </w:r>
      <w:r w:rsidR="007C52D6">
        <w:t xml:space="preserve">. </w:t>
      </w:r>
    </w:p>
    <w:p w14:paraId="44112CE7" w14:textId="543A1789" w:rsidR="00C46520" w:rsidRPr="00615D9A" w:rsidRDefault="00FA4114" w:rsidP="009229B3">
      <w:pPr>
        <w:pStyle w:val="Numberedparagraphs"/>
      </w:pPr>
      <w:r w:rsidRPr="00615D9A">
        <w:t>In addition to carbon</w:t>
      </w:r>
      <w:r w:rsidR="00CA1BC9">
        <w:t xml:space="preserve"> savings</w:t>
      </w:r>
      <w:r w:rsidRPr="00615D9A">
        <w:t xml:space="preserve">, </w:t>
      </w:r>
      <w:r w:rsidR="00702AB1" w:rsidRPr="00615D9A">
        <w:t xml:space="preserve">benefits covered include </w:t>
      </w:r>
      <w:r w:rsidR="00CA1BC9">
        <w:t>fuel</w:t>
      </w:r>
      <w:r w:rsidR="00593919" w:rsidRPr="00615D9A">
        <w:t xml:space="preserve"> savings</w:t>
      </w:r>
      <w:r w:rsidR="00CA1BC9">
        <w:t xml:space="preserve"> and</w:t>
      </w:r>
      <w:r w:rsidR="00702AB1" w:rsidRPr="00615D9A">
        <w:t xml:space="preserve"> natural capital improvement</w:t>
      </w:r>
      <w:r w:rsidR="00702AB1">
        <w:t>s</w:t>
      </w:r>
      <w:r w:rsidR="00FC0388">
        <w:t xml:space="preserve"> </w:t>
      </w:r>
      <w:r w:rsidR="00C22EDB">
        <w:t>such as</w:t>
      </w:r>
      <w:r w:rsidR="00FC0388">
        <w:t xml:space="preserve"> </w:t>
      </w:r>
      <w:r w:rsidR="00A61D67" w:rsidRPr="00615D9A">
        <w:t xml:space="preserve">air quality </w:t>
      </w:r>
      <w:r w:rsidR="00702AB1" w:rsidRPr="00615D9A">
        <w:t>benefits</w:t>
      </w:r>
      <w:r w:rsidR="001C222B">
        <w:t>.</w:t>
      </w:r>
      <w:r w:rsidR="004456EC" w:rsidRPr="00615D9A">
        <w:t xml:space="preserve"> Air quality impacts are </w:t>
      </w:r>
      <w:r w:rsidR="002464BD" w:rsidRPr="00615D9A">
        <w:t xml:space="preserve">monetised in line with </w:t>
      </w:r>
      <w:r w:rsidR="00E64763" w:rsidRPr="00615D9A">
        <w:t xml:space="preserve">the </w:t>
      </w:r>
      <w:r w:rsidR="00B33344" w:rsidRPr="00615D9A">
        <w:t>national values of the most recent</w:t>
      </w:r>
      <w:r w:rsidR="00C46520" w:rsidRPr="00615D9A">
        <w:t>ly air quality damage costs</w:t>
      </w:r>
      <w:r w:rsidR="0043701E">
        <w:t>.</w:t>
      </w:r>
      <w:r w:rsidR="00C46520" w:rsidRPr="00615D9A">
        <w:t xml:space="preserve"> </w:t>
      </w:r>
      <w:r w:rsidR="00C22EDB">
        <w:t>Natural capital</w:t>
      </w:r>
      <w:r w:rsidR="00D94899">
        <w:t xml:space="preserve"> </w:t>
      </w:r>
      <w:r w:rsidR="00D94899" w:rsidRPr="00615D9A">
        <w:t>costs and benefits are</w:t>
      </w:r>
      <w:r w:rsidR="00111B71" w:rsidRPr="00615D9A">
        <w:t xml:space="preserve"> particularly</w:t>
      </w:r>
      <w:r w:rsidR="00D94899" w:rsidRPr="00615D9A">
        <w:t xml:space="preserve"> uncertain</w:t>
      </w:r>
      <w:r w:rsidR="00D94899">
        <w:t xml:space="preserve"> </w:t>
      </w:r>
      <w:r w:rsidR="00475F42">
        <w:t>as their</w:t>
      </w:r>
      <w:r w:rsidR="00D94899">
        <w:t xml:space="preserve"> impacts</w:t>
      </w:r>
      <w:r w:rsidR="00475F42">
        <w:t xml:space="preserve"> are </w:t>
      </w:r>
      <w:r w:rsidR="007D60C8">
        <w:t>local</w:t>
      </w:r>
      <w:r w:rsidR="00162C02">
        <w:t>. S</w:t>
      </w:r>
      <w:r w:rsidR="006C1480">
        <w:t xml:space="preserve">ince </w:t>
      </w:r>
      <w:r w:rsidR="007D60C8">
        <w:t>the specific policies to meet the sixth carbon budget are not yet known</w:t>
      </w:r>
      <w:r w:rsidR="00162C02">
        <w:t xml:space="preserve"> th</w:t>
      </w:r>
      <w:r w:rsidR="00446665">
        <w:t>is</w:t>
      </w:r>
      <w:r w:rsidR="00475F42">
        <w:t xml:space="preserve"> analysis only provide</w:t>
      </w:r>
      <w:r w:rsidR="00162C02">
        <w:t>s</w:t>
      </w:r>
      <w:r w:rsidR="00C91FB4">
        <w:t xml:space="preserve"> a</w:t>
      </w:r>
      <w:r w:rsidR="00475F42">
        <w:t xml:space="preserve"> </w:t>
      </w:r>
      <w:r w:rsidR="00475F42">
        <w:lastRenderedPageBreak/>
        <w:t>general assessment</w:t>
      </w:r>
      <w:r w:rsidR="00D94899" w:rsidRPr="00615D9A">
        <w:t>.</w:t>
      </w:r>
      <w:r w:rsidR="003C34F2" w:rsidRPr="00615D9A">
        <w:t xml:space="preserve"> </w:t>
      </w:r>
      <w:r w:rsidR="00875C79" w:rsidRPr="00615D9A">
        <w:t>Costs and benefits</w:t>
      </w:r>
      <w:r w:rsidR="00AC705A" w:rsidRPr="00615D9A">
        <w:t xml:space="preserve"> are discounted according to Green Book guidance of 3.5%</w:t>
      </w:r>
      <w:r w:rsidR="0016550F" w:rsidRPr="00615D9A">
        <w:t xml:space="preserve"> p.a.</w:t>
      </w:r>
      <w:r w:rsidR="00AC705A" w:rsidRPr="00615D9A">
        <w:t xml:space="preserve"> </w:t>
      </w:r>
      <w:r w:rsidR="00C91FB4">
        <w:t>with</w:t>
      </w:r>
      <w:r w:rsidR="000262F4" w:rsidRPr="00615D9A">
        <w:t xml:space="preserve"> a</w:t>
      </w:r>
      <w:r w:rsidR="00AC705A" w:rsidRPr="00615D9A">
        <w:t xml:space="preserve">ir quality impacts </w:t>
      </w:r>
      <w:r w:rsidR="00886FF9" w:rsidRPr="00615D9A">
        <w:t xml:space="preserve">subject to a </w:t>
      </w:r>
      <w:r w:rsidR="00C91FB4">
        <w:t>lower 1.5</w:t>
      </w:r>
      <w:r w:rsidR="00886FF9" w:rsidRPr="00615D9A">
        <w:t xml:space="preserve">% </w:t>
      </w:r>
      <w:r w:rsidR="0016550F" w:rsidRPr="00615D9A">
        <w:t xml:space="preserve">p.a. </w:t>
      </w:r>
      <w:r w:rsidR="00886FF9" w:rsidRPr="00615D9A">
        <w:t xml:space="preserve">health </w:t>
      </w:r>
      <w:r w:rsidR="00C91FB4">
        <w:t>discount rate</w:t>
      </w:r>
      <w:r w:rsidR="0001367C">
        <w:t>.</w:t>
      </w:r>
      <w:r w:rsidR="00886FF9" w:rsidRPr="00615D9A">
        <w:t xml:space="preserve"> </w:t>
      </w:r>
      <w:r w:rsidR="00134968">
        <w:t xml:space="preserve">As a sensitivity, this </w:t>
      </w:r>
      <w:r w:rsidR="00C91FB4">
        <w:t>lower discount rate</w:t>
      </w:r>
      <w:r w:rsidR="00134968" w:rsidDel="00C91FB4">
        <w:t xml:space="preserve"> </w:t>
      </w:r>
      <w:r w:rsidR="00134968">
        <w:t xml:space="preserve">is also applied to </w:t>
      </w:r>
      <w:r w:rsidR="00DD2D5D">
        <w:t xml:space="preserve">emissions </w:t>
      </w:r>
      <w:r w:rsidR="00134968">
        <w:t>savings.</w:t>
      </w:r>
    </w:p>
    <w:p w14:paraId="4BD3A0B0" w14:textId="6C44898F" w:rsidR="00553214" w:rsidRPr="00F44878" w:rsidRDefault="00D94899" w:rsidP="009229B3">
      <w:pPr>
        <w:pStyle w:val="Numberedparagraphs"/>
      </w:pPr>
      <w:r w:rsidRPr="00615D9A">
        <w:t>The</w:t>
      </w:r>
      <w:r w:rsidR="00D7463E" w:rsidRPr="00615D9A">
        <w:t xml:space="preserve"> UK</w:t>
      </w:r>
      <w:r w:rsidR="00744A81">
        <w:t>TM</w:t>
      </w:r>
      <w:r w:rsidR="00E607DB" w:rsidRPr="00615D9A">
        <w:t xml:space="preserve"> </w:t>
      </w:r>
      <w:r w:rsidR="00BF009D" w:rsidRPr="00615D9A">
        <w:t xml:space="preserve">model </w:t>
      </w:r>
      <w:r w:rsidR="00E607DB" w:rsidRPr="00615D9A">
        <w:t>runs</w:t>
      </w:r>
      <w:r w:rsidR="00D7463E" w:rsidRPr="00615D9A">
        <w:t xml:space="preserve"> are illustrative </w:t>
      </w:r>
      <w:r w:rsidR="00CD7075" w:rsidRPr="00615D9A">
        <w:t xml:space="preserve">of </w:t>
      </w:r>
      <w:r w:rsidR="00323C0C" w:rsidRPr="00615D9A">
        <w:t xml:space="preserve">the </w:t>
      </w:r>
      <w:r w:rsidR="00940D61" w:rsidRPr="00615D9A">
        <w:t xml:space="preserve">technologies that may be required to </w:t>
      </w:r>
      <w:r w:rsidR="00B97E3D" w:rsidRPr="00615D9A">
        <w:t xml:space="preserve">cost effectively </w:t>
      </w:r>
      <w:r w:rsidR="00940D61" w:rsidRPr="00615D9A">
        <w:t xml:space="preserve">reach the </w:t>
      </w:r>
      <w:r w:rsidR="00594D86">
        <w:t>sixth carbon budget</w:t>
      </w:r>
      <w:r w:rsidR="00940D61" w:rsidRPr="00615D9A">
        <w:t xml:space="preserve"> </w:t>
      </w:r>
      <w:r w:rsidR="00336DAD" w:rsidRPr="00615D9A">
        <w:t>options</w:t>
      </w:r>
      <w:r w:rsidR="00B97E3D" w:rsidRPr="00615D9A">
        <w:t xml:space="preserve">. </w:t>
      </w:r>
      <w:r w:rsidR="005778C5" w:rsidRPr="00615D9A">
        <w:t xml:space="preserve">The </w:t>
      </w:r>
      <w:r w:rsidR="00E11764" w:rsidRPr="00615D9A">
        <w:t>appraisal</w:t>
      </w:r>
      <w:r w:rsidR="005778C5" w:rsidRPr="00615D9A">
        <w:t xml:space="preserve"> </w:t>
      </w:r>
      <w:r w:rsidR="00B97E3D" w:rsidRPr="00615D9A">
        <w:t>do</w:t>
      </w:r>
      <w:r w:rsidR="00E11764" w:rsidRPr="00615D9A">
        <w:t>es</w:t>
      </w:r>
      <w:r w:rsidR="00B97E3D" w:rsidRPr="00615D9A">
        <w:t xml:space="preserve"> not </w:t>
      </w:r>
      <w:r w:rsidR="00D10810">
        <w:t>assume specific</w:t>
      </w:r>
      <w:r w:rsidR="00B97E3D" w:rsidRPr="00615D9A">
        <w:t xml:space="preserve"> policy choices</w:t>
      </w:r>
      <w:r w:rsidR="00336DAD" w:rsidRPr="00615D9A">
        <w:t xml:space="preserve"> </w:t>
      </w:r>
      <w:r w:rsidR="005778C5" w:rsidRPr="00615D9A">
        <w:t xml:space="preserve">and there is a high degree of uncertainty </w:t>
      </w:r>
      <w:r w:rsidR="00A242F9" w:rsidRPr="00615D9A">
        <w:t>around</w:t>
      </w:r>
      <w:r w:rsidR="009179A0" w:rsidRPr="00615D9A">
        <w:t xml:space="preserve"> what policies will be used to meet </w:t>
      </w:r>
      <w:r w:rsidR="00D10810">
        <w:t xml:space="preserve">the sixth </w:t>
      </w:r>
      <w:r w:rsidR="009179A0" w:rsidRPr="00615D9A">
        <w:t>carbon budget, and what their costs and benefits will be.</w:t>
      </w:r>
      <w:r w:rsidR="009179A0">
        <w:t xml:space="preserve"> </w:t>
      </w:r>
    </w:p>
    <w:p w14:paraId="6FE5CA1E" w14:textId="4C07A9C1" w:rsidR="00E31EBF" w:rsidRDefault="00D94899" w:rsidP="009229B3">
      <w:pPr>
        <w:pStyle w:val="Numberedparagraphs"/>
      </w:pPr>
      <w:r w:rsidRPr="00615D9A">
        <w:t>T</w:t>
      </w:r>
      <w:r w:rsidR="00A863FE" w:rsidRPr="00615D9A">
        <w:t xml:space="preserve">he appraisal period is 2020 to 2050, </w:t>
      </w:r>
      <w:r w:rsidR="006D20C9">
        <w:t>reflect</w:t>
      </w:r>
      <w:r w:rsidR="0001367C">
        <w:t xml:space="preserve">ing </w:t>
      </w:r>
      <w:r w:rsidR="006D20C9">
        <w:t xml:space="preserve">that </w:t>
      </w:r>
      <w:r w:rsidR="0001367C">
        <w:t xml:space="preserve">achieving </w:t>
      </w:r>
      <w:r w:rsidR="003065E8">
        <w:t xml:space="preserve">the </w:t>
      </w:r>
      <w:r w:rsidR="006D20C9">
        <w:t xml:space="preserve">sixth carbon budget </w:t>
      </w:r>
      <w:r w:rsidR="0001367C">
        <w:t xml:space="preserve">depends </w:t>
      </w:r>
      <w:r w:rsidR="006D20C9">
        <w:t>on action taken in earlier carbon budget periods and</w:t>
      </w:r>
      <w:r w:rsidR="0001367C">
        <w:t>, likewise, future carbon budgets will depend on</w:t>
      </w:r>
      <w:r w:rsidR="00BA255A">
        <w:t xml:space="preserve"> action taken during the sixth carbon budget</w:t>
      </w:r>
      <w:r w:rsidR="006D20C9">
        <w:t>.</w:t>
      </w:r>
      <w:r w:rsidR="00A506E0" w:rsidRPr="00615D9A">
        <w:t xml:space="preserve"> </w:t>
      </w:r>
      <w:r w:rsidR="00E31EBF">
        <w:t xml:space="preserve"> </w:t>
      </w:r>
      <w:r w:rsidR="00E31EBF" w:rsidRPr="00615D9A">
        <w:t>Th</w:t>
      </w:r>
      <w:r w:rsidR="00E31EBF">
        <w:t xml:space="preserve">e appraisal period does </w:t>
      </w:r>
      <w:r w:rsidR="00E31EBF" w:rsidRPr="00615D9A">
        <w:t xml:space="preserve">not represent the full period over which there will be costs of </w:t>
      </w:r>
      <w:r w:rsidR="00930554">
        <w:t xml:space="preserve">mitigating emissions </w:t>
      </w:r>
      <w:r w:rsidR="00E31EBF" w:rsidRPr="00615D9A">
        <w:t xml:space="preserve">or benefits from the UK’s contribution to climate change mitigation. </w:t>
      </w:r>
      <w:r w:rsidR="00F55419">
        <w:t>However, the</w:t>
      </w:r>
      <w:r w:rsidR="0043701E">
        <w:t xml:space="preserve"> </w:t>
      </w:r>
      <w:r w:rsidR="00E31EBF">
        <w:t xml:space="preserve">analysis did not show that </w:t>
      </w:r>
      <w:r w:rsidR="00FA354C">
        <w:t xml:space="preserve">costs and benefits beyond 2050 </w:t>
      </w:r>
      <w:r w:rsidR="00E31EBF">
        <w:t xml:space="preserve">would be </w:t>
      </w:r>
      <w:r w:rsidR="00FA354C">
        <w:t xml:space="preserve">significantly different across </w:t>
      </w:r>
      <w:r w:rsidR="00E31EBF">
        <w:t xml:space="preserve">the sixth carbon budget </w:t>
      </w:r>
      <w:r w:rsidR="00D232B7">
        <w:t>level</w:t>
      </w:r>
      <w:r w:rsidR="00FA354C">
        <w:t xml:space="preserve"> options</w:t>
      </w:r>
      <w:r w:rsidR="00D232B7">
        <w:t>.</w:t>
      </w:r>
      <w:r w:rsidR="00E31EBF">
        <w:t xml:space="preserve"> </w:t>
      </w:r>
    </w:p>
    <w:p w14:paraId="6FEF37F4" w14:textId="1D75E38A" w:rsidR="00F332CA" w:rsidRDefault="00C1722C" w:rsidP="009229B3">
      <w:pPr>
        <w:pStyle w:val="Numberedparagraphs"/>
      </w:pPr>
      <w:r>
        <w:t>As the purpose of this Impact Assessment is</w:t>
      </w:r>
      <w:r w:rsidR="00F80169">
        <w:t xml:space="preserve"> </w:t>
      </w:r>
      <w:r w:rsidR="009E7B7B">
        <w:t xml:space="preserve">to support </w:t>
      </w:r>
      <w:r w:rsidR="00F80169">
        <w:t xml:space="preserve">the </w:t>
      </w:r>
      <w:r w:rsidR="009E7B7B">
        <w:t xml:space="preserve">decision on the </w:t>
      </w:r>
      <w:r w:rsidR="00594D86">
        <w:t>sixth carbon budget</w:t>
      </w:r>
      <w:r w:rsidR="009E7B7B">
        <w:t xml:space="preserve"> </w:t>
      </w:r>
      <w:r w:rsidR="00542279">
        <w:t>level</w:t>
      </w:r>
      <w:r w:rsidR="009E7B7B">
        <w:t xml:space="preserve">, the cost-benefit-analysis should not be interpreted as a full appraisal of the UK’s decision to pursue a </w:t>
      </w:r>
      <w:r w:rsidR="006312BC">
        <w:t xml:space="preserve">2050 </w:t>
      </w:r>
      <w:r w:rsidR="009E7B7B">
        <w:t xml:space="preserve">Net Zero target. </w:t>
      </w:r>
    </w:p>
    <w:p w14:paraId="7BA3C2ED" w14:textId="2714B342" w:rsidR="00F1623B" w:rsidRPr="00F83103" w:rsidRDefault="002B68DF" w:rsidP="00F83103">
      <w:pPr>
        <w:pStyle w:val="Heading4"/>
        <w:rPr>
          <w:b w:val="0"/>
          <w:szCs w:val="24"/>
        </w:rPr>
      </w:pPr>
      <w:r w:rsidRPr="00F83103">
        <w:rPr>
          <w:szCs w:val="24"/>
        </w:rPr>
        <w:t>NPV summary across levels and pathways</w:t>
      </w:r>
    </w:p>
    <w:p w14:paraId="18FC9FDD" w14:textId="4CCF6798" w:rsidR="002752E8" w:rsidRPr="006A0C4B" w:rsidRDefault="00F1623B">
      <w:pPr>
        <w:pStyle w:val="EBBodyPara"/>
        <w:rPr>
          <w:sz w:val="24"/>
          <w:szCs w:val="24"/>
        </w:rPr>
      </w:pPr>
      <w:r w:rsidRPr="006A0C4B">
        <w:rPr>
          <w:i/>
          <w:sz w:val="24"/>
          <w:szCs w:val="24"/>
        </w:rPr>
        <w:t xml:space="preserve">Table </w:t>
      </w:r>
      <w:r w:rsidR="00FF52B4">
        <w:rPr>
          <w:i/>
          <w:iCs/>
          <w:sz w:val="24"/>
          <w:szCs w:val="24"/>
        </w:rPr>
        <w:t>1</w:t>
      </w:r>
      <w:r w:rsidR="008F1C9E">
        <w:rPr>
          <w:i/>
          <w:iCs/>
          <w:sz w:val="24"/>
          <w:szCs w:val="24"/>
        </w:rPr>
        <w:t>5</w:t>
      </w:r>
      <w:r w:rsidR="00FF52B4" w:rsidRPr="006A0C4B">
        <w:rPr>
          <w:i/>
          <w:iCs/>
          <w:sz w:val="24"/>
          <w:szCs w:val="24"/>
        </w:rPr>
        <w:t xml:space="preserve">: </w:t>
      </w:r>
      <w:r w:rsidRPr="006A0C4B">
        <w:rPr>
          <w:i/>
          <w:sz w:val="24"/>
          <w:szCs w:val="24"/>
        </w:rPr>
        <w:t xml:space="preserve">Net present values of the considered </w:t>
      </w:r>
      <w:r w:rsidR="00594D86" w:rsidRPr="006A0C4B">
        <w:rPr>
          <w:i/>
          <w:sz w:val="24"/>
          <w:szCs w:val="24"/>
        </w:rPr>
        <w:t>sixth carbon budget</w:t>
      </w:r>
      <w:r w:rsidRPr="006A0C4B">
        <w:rPr>
          <w:i/>
          <w:sz w:val="24"/>
          <w:szCs w:val="24"/>
        </w:rPr>
        <w:t xml:space="preserve"> options across pathways</w:t>
      </w:r>
    </w:p>
    <w:tbl>
      <w:tblPr>
        <w:tblStyle w:val="TableGrid"/>
        <w:tblW w:w="0" w:type="auto"/>
        <w:jc w:val="center"/>
        <w:tblLook w:val="04A0" w:firstRow="1" w:lastRow="0" w:firstColumn="1" w:lastColumn="0" w:noHBand="0" w:noVBand="1"/>
      </w:tblPr>
      <w:tblGrid>
        <w:gridCol w:w="602"/>
        <w:gridCol w:w="2228"/>
        <w:gridCol w:w="2739"/>
        <w:gridCol w:w="1134"/>
        <w:gridCol w:w="1276"/>
      </w:tblGrid>
      <w:tr w:rsidR="00F1623B" w:rsidRPr="002517D2" w14:paraId="0E18DAF9" w14:textId="77777777" w:rsidTr="001418E7">
        <w:trPr>
          <w:trHeight w:val="252"/>
          <w:jc w:val="center"/>
        </w:trPr>
        <w:tc>
          <w:tcPr>
            <w:tcW w:w="2830" w:type="dxa"/>
            <w:gridSpan w:val="2"/>
          </w:tcPr>
          <w:p w14:paraId="0A6AAF67" w14:textId="2BF62A7B" w:rsidR="00F1623B" w:rsidRPr="00861D79" w:rsidRDefault="00F1623B" w:rsidP="001418E7">
            <w:pPr>
              <w:pStyle w:val="EBBodyPara"/>
              <w:spacing w:after="0"/>
              <w:jc w:val="center"/>
            </w:pPr>
          </w:p>
        </w:tc>
        <w:tc>
          <w:tcPr>
            <w:tcW w:w="5149" w:type="dxa"/>
            <w:gridSpan w:val="3"/>
          </w:tcPr>
          <w:p w14:paraId="56EE46A4" w14:textId="1DC875C5" w:rsidR="00F1623B" w:rsidRPr="003E15F5" w:rsidRDefault="002517D2" w:rsidP="001418E7">
            <w:pPr>
              <w:pStyle w:val="EBBodyPara"/>
              <w:spacing w:after="0"/>
              <w:jc w:val="center"/>
              <w:rPr>
                <w:b/>
              </w:rPr>
            </w:pPr>
            <w:r w:rsidRPr="003E15F5">
              <w:rPr>
                <w:b/>
              </w:rPr>
              <w:t>Sixth carbon budget</w:t>
            </w:r>
            <w:r w:rsidR="00F1623B" w:rsidRPr="003E15F5">
              <w:rPr>
                <w:b/>
              </w:rPr>
              <w:t xml:space="preserve"> options</w:t>
            </w:r>
          </w:p>
        </w:tc>
      </w:tr>
      <w:tr w:rsidR="002B68DF" w14:paraId="4A3B88C7" w14:textId="77777777" w:rsidTr="001418E7">
        <w:trPr>
          <w:trHeight w:val="540"/>
          <w:jc w:val="center"/>
        </w:trPr>
        <w:tc>
          <w:tcPr>
            <w:tcW w:w="2830" w:type="dxa"/>
            <w:gridSpan w:val="2"/>
          </w:tcPr>
          <w:p w14:paraId="31436129" w14:textId="5A140C7B" w:rsidR="002B68DF" w:rsidRPr="00CF3A44" w:rsidRDefault="00C776BA" w:rsidP="001418E7">
            <w:pPr>
              <w:pStyle w:val="EBBodyPara"/>
              <w:spacing w:after="0"/>
              <w:rPr>
                <w:b/>
              </w:rPr>
            </w:pPr>
            <w:r>
              <w:rPr>
                <w:b/>
              </w:rPr>
              <w:t xml:space="preserve">NPV </w:t>
            </w:r>
            <w:r w:rsidR="005E4C3E">
              <w:rPr>
                <w:b/>
              </w:rPr>
              <w:t>(£bn)</w:t>
            </w:r>
          </w:p>
        </w:tc>
        <w:tc>
          <w:tcPr>
            <w:tcW w:w="2739" w:type="dxa"/>
          </w:tcPr>
          <w:p w14:paraId="43FBA285" w14:textId="5E4AF055" w:rsidR="007E416B" w:rsidRDefault="007E416B" w:rsidP="001418E7">
            <w:pPr>
              <w:pStyle w:val="EBBodyPara"/>
              <w:spacing w:after="0"/>
              <w:jc w:val="right"/>
              <w:rPr>
                <w:b/>
              </w:rPr>
            </w:pPr>
            <w:r>
              <w:rPr>
                <w:b/>
              </w:rPr>
              <w:t>Option 2</w:t>
            </w:r>
          </w:p>
          <w:p w14:paraId="00F320C3" w14:textId="4672FA5D" w:rsidR="002B68DF" w:rsidRPr="00CF3A44" w:rsidRDefault="0019248F" w:rsidP="001418E7">
            <w:pPr>
              <w:pStyle w:val="EBBodyPara"/>
              <w:spacing w:after="0"/>
              <w:jc w:val="right"/>
              <w:rPr>
                <w:b/>
              </w:rPr>
            </w:pPr>
            <w:r w:rsidRPr="00CF3A44">
              <w:rPr>
                <w:b/>
              </w:rPr>
              <w:t>11</w:t>
            </w:r>
            <w:r w:rsidR="00A26D41" w:rsidRPr="00CF3A44">
              <w:rPr>
                <w:b/>
              </w:rPr>
              <w:t>0</w:t>
            </w:r>
            <w:r w:rsidRPr="00CF3A44">
              <w:rPr>
                <w:b/>
              </w:rPr>
              <w:t>5Mt</w:t>
            </w:r>
          </w:p>
        </w:tc>
        <w:tc>
          <w:tcPr>
            <w:tcW w:w="1134" w:type="dxa"/>
          </w:tcPr>
          <w:p w14:paraId="55F4EB70" w14:textId="740BD4CA" w:rsidR="007E416B" w:rsidRDefault="007E416B" w:rsidP="001418E7">
            <w:pPr>
              <w:pStyle w:val="EBBodyPara"/>
              <w:spacing w:after="0"/>
              <w:jc w:val="right"/>
              <w:rPr>
                <w:b/>
              </w:rPr>
            </w:pPr>
            <w:r>
              <w:rPr>
                <w:b/>
              </w:rPr>
              <w:t>Option 3</w:t>
            </w:r>
          </w:p>
          <w:p w14:paraId="0A3C9B88" w14:textId="27968EE7" w:rsidR="002B68DF" w:rsidRPr="00CF3A44" w:rsidRDefault="0019248F" w:rsidP="001418E7">
            <w:pPr>
              <w:pStyle w:val="EBBodyPara"/>
              <w:spacing w:after="0"/>
              <w:jc w:val="right"/>
              <w:rPr>
                <w:b/>
              </w:rPr>
            </w:pPr>
            <w:r w:rsidRPr="00CF3A44">
              <w:rPr>
                <w:b/>
              </w:rPr>
              <w:t>965Mt</w:t>
            </w:r>
          </w:p>
        </w:tc>
        <w:tc>
          <w:tcPr>
            <w:tcW w:w="1276" w:type="dxa"/>
          </w:tcPr>
          <w:p w14:paraId="02292246" w14:textId="4AC87505" w:rsidR="007E416B" w:rsidRDefault="007E416B" w:rsidP="001418E7">
            <w:pPr>
              <w:pStyle w:val="EBBodyPara"/>
              <w:spacing w:after="0"/>
              <w:jc w:val="right"/>
              <w:rPr>
                <w:b/>
              </w:rPr>
            </w:pPr>
            <w:r>
              <w:rPr>
                <w:b/>
              </w:rPr>
              <w:t>Option 4</w:t>
            </w:r>
          </w:p>
          <w:p w14:paraId="522756D8" w14:textId="2FF91862" w:rsidR="002B68DF" w:rsidRPr="00CF3A44" w:rsidRDefault="0019248F" w:rsidP="001418E7">
            <w:pPr>
              <w:pStyle w:val="EBBodyPara"/>
              <w:spacing w:after="0"/>
              <w:jc w:val="right"/>
              <w:rPr>
                <w:b/>
              </w:rPr>
            </w:pPr>
            <w:r w:rsidRPr="00CF3A44">
              <w:rPr>
                <w:b/>
              </w:rPr>
              <w:t>885Mt</w:t>
            </w:r>
          </w:p>
        </w:tc>
      </w:tr>
      <w:tr w:rsidR="002B68DF" w14:paraId="6D2380E4" w14:textId="77777777" w:rsidTr="001418E7">
        <w:trPr>
          <w:trHeight w:val="283"/>
          <w:jc w:val="center"/>
        </w:trPr>
        <w:tc>
          <w:tcPr>
            <w:tcW w:w="602" w:type="dxa"/>
            <w:vMerge w:val="restart"/>
            <w:textDirection w:val="btLr"/>
          </w:tcPr>
          <w:p w14:paraId="323A452A" w14:textId="1C2E0319" w:rsidR="00461B12" w:rsidRDefault="00461B12" w:rsidP="001418E7">
            <w:pPr>
              <w:pStyle w:val="EBBodyPara"/>
              <w:spacing w:after="0"/>
              <w:ind w:left="113" w:right="113"/>
              <w:jc w:val="center"/>
              <w:rPr>
                <w:b/>
                <w:bCs w:val="0"/>
              </w:rPr>
            </w:pPr>
            <w:r>
              <w:rPr>
                <w:b/>
                <w:bCs w:val="0"/>
              </w:rPr>
              <w:t>Pathway</w:t>
            </w:r>
          </w:p>
        </w:tc>
        <w:tc>
          <w:tcPr>
            <w:tcW w:w="2228" w:type="dxa"/>
          </w:tcPr>
          <w:p w14:paraId="68FB1674" w14:textId="1E5B5E38" w:rsidR="002B68DF" w:rsidRPr="00CF3A44" w:rsidRDefault="002B68DF" w:rsidP="001418E7">
            <w:pPr>
              <w:pStyle w:val="EBBodyPara"/>
              <w:spacing w:after="0"/>
              <w:rPr>
                <w:b/>
              </w:rPr>
            </w:pPr>
            <w:r w:rsidRPr="00CF3A44">
              <w:rPr>
                <w:b/>
              </w:rPr>
              <w:t>Core</w:t>
            </w:r>
          </w:p>
        </w:tc>
        <w:tc>
          <w:tcPr>
            <w:tcW w:w="2739" w:type="dxa"/>
          </w:tcPr>
          <w:p w14:paraId="03994A05" w14:textId="1D4F8A71" w:rsidR="002B68DF" w:rsidRDefault="00FE2DAA" w:rsidP="001418E7">
            <w:pPr>
              <w:pStyle w:val="EBBodyPara"/>
              <w:spacing w:after="0"/>
              <w:jc w:val="right"/>
            </w:pPr>
            <w:r>
              <w:t>289</w:t>
            </w:r>
          </w:p>
        </w:tc>
        <w:tc>
          <w:tcPr>
            <w:tcW w:w="1134" w:type="dxa"/>
          </w:tcPr>
          <w:p w14:paraId="2AB9482E" w14:textId="0F7EC9C6" w:rsidR="002B68DF" w:rsidRDefault="00FE2DAA" w:rsidP="001418E7">
            <w:pPr>
              <w:pStyle w:val="EBBodyPara"/>
              <w:spacing w:after="0"/>
              <w:jc w:val="right"/>
            </w:pPr>
            <w:r>
              <w:t>266</w:t>
            </w:r>
          </w:p>
        </w:tc>
        <w:tc>
          <w:tcPr>
            <w:tcW w:w="1276" w:type="dxa"/>
          </w:tcPr>
          <w:p w14:paraId="2112E68D" w14:textId="0E0F77AA" w:rsidR="002B68DF" w:rsidRDefault="00FE2DAA" w:rsidP="001418E7">
            <w:pPr>
              <w:pStyle w:val="EBBodyPara"/>
              <w:spacing w:after="0"/>
              <w:jc w:val="right"/>
            </w:pPr>
            <w:r>
              <w:t>211</w:t>
            </w:r>
          </w:p>
        </w:tc>
      </w:tr>
      <w:tr w:rsidR="002B68DF" w14:paraId="688B6C37" w14:textId="77777777" w:rsidTr="001418E7">
        <w:trPr>
          <w:trHeight w:val="283"/>
          <w:jc w:val="center"/>
        </w:trPr>
        <w:tc>
          <w:tcPr>
            <w:tcW w:w="602" w:type="dxa"/>
            <w:vMerge/>
          </w:tcPr>
          <w:p w14:paraId="6D92C2C4" w14:textId="1673E001" w:rsidR="00461B12" w:rsidRPr="00CF3A44" w:rsidRDefault="00461B12" w:rsidP="001418E7">
            <w:pPr>
              <w:pStyle w:val="EBBodyPara"/>
              <w:spacing w:after="0"/>
              <w:rPr>
                <w:b/>
                <w:bCs w:val="0"/>
              </w:rPr>
            </w:pPr>
          </w:p>
        </w:tc>
        <w:tc>
          <w:tcPr>
            <w:tcW w:w="2228" w:type="dxa"/>
          </w:tcPr>
          <w:p w14:paraId="0614AA96" w14:textId="7A1C8931" w:rsidR="002B68DF" w:rsidRPr="00CF3A44" w:rsidRDefault="002B68DF" w:rsidP="001418E7">
            <w:pPr>
              <w:pStyle w:val="EBBodyPara"/>
              <w:spacing w:after="0"/>
              <w:rPr>
                <w:b/>
              </w:rPr>
            </w:pPr>
            <w:r w:rsidRPr="00CF3A44">
              <w:rPr>
                <w:b/>
              </w:rPr>
              <w:t xml:space="preserve">High </w:t>
            </w:r>
            <w:r w:rsidR="00CB70CA">
              <w:rPr>
                <w:b/>
              </w:rPr>
              <w:t>CCS</w:t>
            </w:r>
          </w:p>
        </w:tc>
        <w:tc>
          <w:tcPr>
            <w:tcW w:w="2739" w:type="dxa"/>
          </w:tcPr>
          <w:p w14:paraId="61E0E46D" w14:textId="026E7A38" w:rsidR="002B68DF" w:rsidRDefault="00FE2DAA" w:rsidP="001418E7">
            <w:pPr>
              <w:pStyle w:val="EBBodyPara"/>
              <w:spacing w:after="0"/>
              <w:jc w:val="right"/>
            </w:pPr>
            <w:r>
              <w:t>330</w:t>
            </w:r>
          </w:p>
        </w:tc>
        <w:tc>
          <w:tcPr>
            <w:tcW w:w="1134" w:type="dxa"/>
          </w:tcPr>
          <w:p w14:paraId="0BA822AF" w14:textId="6353786E" w:rsidR="002B68DF" w:rsidRDefault="00FE2DAA" w:rsidP="001418E7">
            <w:pPr>
              <w:pStyle w:val="EBBodyPara"/>
              <w:spacing w:after="0"/>
              <w:jc w:val="right"/>
            </w:pPr>
            <w:r>
              <w:t>292</w:t>
            </w:r>
          </w:p>
        </w:tc>
        <w:tc>
          <w:tcPr>
            <w:tcW w:w="1276" w:type="dxa"/>
          </w:tcPr>
          <w:p w14:paraId="4C475B6E" w14:textId="143FF5BF" w:rsidR="002B68DF" w:rsidRDefault="00FE2DAA" w:rsidP="001418E7">
            <w:pPr>
              <w:pStyle w:val="EBBodyPara"/>
              <w:spacing w:after="0"/>
              <w:jc w:val="right"/>
            </w:pPr>
            <w:r>
              <w:t>249</w:t>
            </w:r>
          </w:p>
        </w:tc>
      </w:tr>
      <w:tr w:rsidR="002B68DF" w14:paraId="1450B288" w14:textId="77777777" w:rsidTr="001418E7">
        <w:trPr>
          <w:trHeight w:val="283"/>
          <w:jc w:val="center"/>
        </w:trPr>
        <w:tc>
          <w:tcPr>
            <w:tcW w:w="602" w:type="dxa"/>
            <w:vMerge/>
          </w:tcPr>
          <w:p w14:paraId="4CCDEF07" w14:textId="77777777" w:rsidR="00461B12" w:rsidRPr="00CF3A44" w:rsidRDefault="00461B12" w:rsidP="001418E7">
            <w:pPr>
              <w:pStyle w:val="EBBodyPara"/>
              <w:spacing w:after="0"/>
              <w:rPr>
                <w:b/>
                <w:bCs w:val="0"/>
              </w:rPr>
            </w:pPr>
          </w:p>
        </w:tc>
        <w:tc>
          <w:tcPr>
            <w:tcW w:w="2228" w:type="dxa"/>
          </w:tcPr>
          <w:p w14:paraId="47C37157" w14:textId="316A0EFE" w:rsidR="002B68DF" w:rsidRPr="00CF3A44" w:rsidRDefault="002B68DF" w:rsidP="001418E7">
            <w:pPr>
              <w:pStyle w:val="EBBodyPara"/>
              <w:spacing w:after="0"/>
              <w:rPr>
                <w:b/>
              </w:rPr>
            </w:pPr>
            <w:r w:rsidRPr="00CF3A44">
              <w:rPr>
                <w:b/>
              </w:rPr>
              <w:t>High resource</w:t>
            </w:r>
          </w:p>
        </w:tc>
        <w:tc>
          <w:tcPr>
            <w:tcW w:w="2739" w:type="dxa"/>
          </w:tcPr>
          <w:p w14:paraId="2FDFFE02" w14:textId="74C36C70" w:rsidR="002B68DF" w:rsidRDefault="00FE2DAA" w:rsidP="001418E7">
            <w:pPr>
              <w:pStyle w:val="EBBodyPara"/>
              <w:spacing w:after="0"/>
              <w:jc w:val="right"/>
            </w:pPr>
            <w:r>
              <w:t>318</w:t>
            </w:r>
          </w:p>
        </w:tc>
        <w:tc>
          <w:tcPr>
            <w:tcW w:w="1134" w:type="dxa"/>
          </w:tcPr>
          <w:p w14:paraId="3F205FAE" w14:textId="0823EC8B" w:rsidR="002B68DF" w:rsidRDefault="00FE2DAA" w:rsidP="001418E7">
            <w:pPr>
              <w:pStyle w:val="EBBodyPara"/>
              <w:spacing w:after="0"/>
              <w:jc w:val="right"/>
            </w:pPr>
            <w:r>
              <w:t>274</w:t>
            </w:r>
          </w:p>
        </w:tc>
        <w:tc>
          <w:tcPr>
            <w:tcW w:w="1276" w:type="dxa"/>
          </w:tcPr>
          <w:p w14:paraId="58035E97" w14:textId="65363AAE" w:rsidR="002B68DF" w:rsidRDefault="00FE2DAA" w:rsidP="001418E7">
            <w:pPr>
              <w:pStyle w:val="EBBodyPara"/>
              <w:spacing w:after="0"/>
              <w:jc w:val="right"/>
            </w:pPr>
            <w:r>
              <w:t>232</w:t>
            </w:r>
          </w:p>
        </w:tc>
      </w:tr>
      <w:tr w:rsidR="006F0279" w14:paraId="66228F11" w14:textId="77777777" w:rsidTr="001418E7">
        <w:trPr>
          <w:trHeight w:val="279"/>
          <w:jc w:val="center"/>
        </w:trPr>
        <w:tc>
          <w:tcPr>
            <w:tcW w:w="602" w:type="dxa"/>
            <w:vMerge/>
          </w:tcPr>
          <w:p w14:paraId="196E413F" w14:textId="77777777" w:rsidR="00461B12" w:rsidRPr="00CF3A44" w:rsidRDefault="00461B12" w:rsidP="00FD2881">
            <w:pPr>
              <w:pStyle w:val="EBBodyPara"/>
              <w:rPr>
                <w:b/>
                <w:bCs w:val="0"/>
              </w:rPr>
            </w:pPr>
          </w:p>
        </w:tc>
        <w:tc>
          <w:tcPr>
            <w:tcW w:w="2228" w:type="dxa"/>
          </w:tcPr>
          <w:p w14:paraId="7190AFDA" w14:textId="56903FA5" w:rsidR="006F0279" w:rsidRPr="00CF3A44" w:rsidRDefault="006F0279" w:rsidP="001418E7">
            <w:pPr>
              <w:pStyle w:val="EBBodyPara"/>
              <w:spacing w:after="0"/>
              <w:rPr>
                <w:b/>
              </w:rPr>
            </w:pPr>
            <w:r w:rsidRPr="00CF3A44">
              <w:rPr>
                <w:b/>
              </w:rPr>
              <w:t xml:space="preserve">CCS </w:t>
            </w:r>
            <w:r w:rsidR="007E416B">
              <w:rPr>
                <w:b/>
              </w:rPr>
              <w:t>delay</w:t>
            </w:r>
          </w:p>
        </w:tc>
        <w:tc>
          <w:tcPr>
            <w:tcW w:w="2739" w:type="dxa"/>
          </w:tcPr>
          <w:p w14:paraId="56B73328" w14:textId="6C76092A" w:rsidR="006F0279" w:rsidRDefault="00FE2DAA" w:rsidP="001418E7">
            <w:pPr>
              <w:pStyle w:val="EBBodyPara"/>
              <w:spacing w:after="0"/>
              <w:jc w:val="right"/>
            </w:pPr>
            <w:r>
              <w:t>176</w:t>
            </w:r>
          </w:p>
        </w:tc>
        <w:tc>
          <w:tcPr>
            <w:tcW w:w="1134" w:type="dxa"/>
          </w:tcPr>
          <w:p w14:paraId="4D327433" w14:textId="074A75F0" w:rsidR="006F0279" w:rsidRDefault="00FE2DAA" w:rsidP="001418E7">
            <w:pPr>
              <w:pStyle w:val="EBBodyPara"/>
              <w:spacing w:after="0"/>
              <w:jc w:val="right"/>
            </w:pPr>
            <w:r>
              <w:t>127</w:t>
            </w:r>
          </w:p>
        </w:tc>
        <w:tc>
          <w:tcPr>
            <w:tcW w:w="1276" w:type="dxa"/>
          </w:tcPr>
          <w:p w14:paraId="23A0AD3C" w14:textId="4E9B3E65" w:rsidR="006F0279" w:rsidRDefault="00FE2DAA" w:rsidP="001418E7">
            <w:pPr>
              <w:pStyle w:val="EBBodyPara"/>
              <w:spacing w:after="0"/>
              <w:jc w:val="right"/>
            </w:pPr>
            <w:r>
              <w:t>67</w:t>
            </w:r>
          </w:p>
        </w:tc>
      </w:tr>
    </w:tbl>
    <w:p w14:paraId="76DDBF8E" w14:textId="77777777" w:rsidR="002B68DF" w:rsidRDefault="002B68DF" w:rsidP="002B68DF">
      <w:pPr>
        <w:pStyle w:val="EBBodyPara"/>
      </w:pPr>
    </w:p>
    <w:p w14:paraId="7ADE55EA" w14:textId="081CC960" w:rsidR="00596C15" w:rsidRPr="008D6FD7" w:rsidRDefault="004B215E" w:rsidP="009229B3">
      <w:pPr>
        <w:pStyle w:val="Numberedparagraphs"/>
      </w:pPr>
      <w:r>
        <w:t>Table 1</w:t>
      </w:r>
      <w:r w:rsidR="008F1C9E">
        <w:t>5</w:t>
      </w:r>
      <w:r w:rsidR="00025259" w:rsidRPr="008D6FD7">
        <w:t xml:space="preserve"> shows the net present values of </w:t>
      </w:r>
      <w:r w:rsidR="00C63602">
        <w:t xml:space="preserve">the </w:t>
      </w:r>
      <w:r w:rsidR="00711C18">
        <w:t>si</w:t>
      </w:r>
      <w:r w:rsidR="0043701E">
        <w:t>x</w:t>
      </w:r>
      <w:r w:rsidR="00711C18">
        <w:t xml:space="preserve">th carbon budget options for each </w:t>
      </w:r>
      <w:r w:rsidR="00025259" w:rsidRPr="008D6FD7">
        <w:t xml:space="preserve">pathway. </w:t>
      </w:r>
      <w:r w:rsidR="00740FC2" w:rsidRPr="008D6FD7">
        <w:t xml:space="preserve">All net present values are significantly positive. </w:t>
      </w:r>
      <w:r w:rsidR="00DB1AAD" w:rsidRPr="008D6FD7">
        <w:t xml:space="preserve">The ordering of the pathways is common across </w:t>
      </w:r>
      <w:r w:rsidR="00345BD4">
        <w:t xml:space="preserve">budget </w:t>
      </w:r>
      <w:r w:rsidR="00DB1AAD" w:rsidRPr="008D6FD7">
        <w:t xml:space="preserve">levels, with </w:t>
      </w:r>
      <w:r w:rsidR="00915CD0">
        <w:t>high CCS</w:t>
      </w:r>
      <w:r w:rsidR="00DB1AAD" w:rsidRPr="008D6FD7">
        <w:t xml:space="preserve"> </w:t>
      </w:r>
      <w:r w:rsidR="00505BF6">
        <w:t>the</w:t>
      </w:r>
      <w:r w:rsidR="00DB1AAD" w:rsidRPr="008D6FD7">
        <w:t xml:space="preserve"> pathway </w:t>
      </w:r>
      <w:r w:rsidR="00505BF6">
        <w:t>with the highest NPV</w:t>
      </w:r>
      <w:r w:rsidR="00DB1AAD" w:rsidRPr="008D6FD7">
        <w:t xml:space="preserve"> and CCS </w:t>
      </w:r>
      <w:r w:rsidR="00915CD0">
        <w:t>delay</w:t>
      </w:r>
      <w:r w:rsidR="00DB1AAD" w:rsidRPr="008D6FD7">
        <w:t xml:space="preserve"> the </w:t>
      </w:r>
      <w:r w:rsidR="00505BF6">
        <w:t>pathway with the lowest</w:t>
      </w:r>
      <w:r w:rsidR="00DB1AAD" w:rsidRPr="008D6FD7">
        <w:t>.</w:t>
      </w:r>
      <w:r w:rsidR="002105DA" w:rsidRPr="008D6FD7">
        <w:t xml:space="preserve"> </w:t>
      </w:r>
      <w:r w:rsidR="00661AE7" w:rsidRPr="008D6FD7">
        <w:t xml:space="preserve">Of the technology assumptions analysed, </w:t>
      </w:r>
      <w:r w:rsidR="002105DA" w:rsidRPr="008D6FD7">
        <w:t xml:space="preserve">results are most sensitive to </w:t>
      </w:r>
      <w:r w:rsidR="00661AE7" w:rsidRPr="008D6FD7">
        <w:t>ch</w:t>
      </w:r>
      <w:r w:rsidR="00045026" w:rsidRPr="008D6FD7">
        <w:t xml:space="preserve">anges in availability and </w:t>
      </w:r>
      <w:r w:rsidR="002547FC" w:rsidRPr="008D6FD7">
        <w:t xml:space="preserve">efficiency of carbon capture and storage. </w:t>
      </w:r>
    </w:p>
    <w:p w14:paraId="4BEC661D" w14:textId="1EF8A1AD" w:rsidR="00BE54D0" w:rsidRPr="007B5B00" w:rsidRDefault="007C132E" w:rsidP="009229B3">
      <w:pPr>
        <w:pStyle w:val="Numberedparagraphs"/>
      </w:pPr>
      <w:r>
        <w:t xml:space="preserve">This shows that the </w:t>
      </w:r>
      <w:r w:rsidR="000B5423">
        <w:t>absolute</w:t>
      </w:r>
      <w:r>
        <w:t xml:space="preserve"> impacts of </w:t>
      </w:r>
      <w:r w:rsidR="00594D86">
        <w:t>the sixth carbon budget</w:t>
      </w:r>
      <w:r>
        <w:t xml:space="preserve"> will </w:t>
      </w:r>
      <w:r w:rsidR="00B10325">
        <w:t xml:space="preserve">depend on how the level </w:t>
      </w:r>
      <w:r w:rsidR="0043701E">
        <w:t>is</w:t>
      </w:r>
      <w:r w:rsidR="00B10325">
        <w:t xml:space="preserve"> achieved. However, </w:t>
      </w:r>
      <w:r w:rsidR="00B82733">
        <w:t xml:space="preserve">the relative impacts </w:t>
      </w:r>
      <w:r w:rsidR="005B2776">
        <w:t xml:space="preserve">of </w:t>
      </w:r>
      <w:r w:rsidR="00B82733">
        <w:t>the considered levels are not</w:t>
      </w:r>
      <w:r w:rsidR="00FF0670" w:rsidRPr="008D6FD7">
        <w:t xml:space="preserve"> substantially impact</w:t>
      </w:r>
      <w:r w:rsidR="00B82733">
        <w:t xml:space="preserve">ed by the </w:t>
      </w:r>
      <w:r w:rsidR="00767DB3">
        <w:t xml:space="preserve">technology </w:t>
      </w:r>
      <w:r w:rsidR="00B82733">
        <w:t>pathway. Therefore, the</w:t>
      </w:r>
      <w:r w:rsidR="00FF0670" w:rsidRPr="008D6FD7">
        <w:t xml:space="preserve"> remaining</w:t>
      </w:r>
      <w:r w:rsidR="00596C15" w:rsidRPr="008D6FD7">
        <w:t xml:space="preserve"> analysis </w:t>
      </w:r>
      <w:r w:rsidR="00FF0670" w:rsidRPr="008D6FD7">
        <w:t xml:space="preserve">in this section </w:t>
      </w:r>
      <w:r w:rsidR="005B2776">
        <w:t>focuses on the</w:t>
      </w:r>
      <w:r w:rsidR="00596C15" w:rsidRPr="008D6FD7">
        <w:t xml:space="preserve"> core </w:t>
      </w:r>
      <w:r w:rsidR="005B2776">
        <w:t>pathway</w:t>
      </w:r>
      <w:r w:rsidR="004A59C3" w:rsidRPr="008D6FD7">
        <w:t xml:space="preserve"> to illustrate the impacts of the different budget options</w:t>
      </w:r>
      <w:r w:rsidR="00B82733">
        <w:t>, the main purpose of this Impact Assessment</w:t>
      </w:r>
      <w:r w:rsidR="00FF0670" w:rsidRPr="008D6FD7">
        <w:t>.</w:t>
      </w:r>
    </w:p>
    <w:p w14:paraId="77518EBC" w14:textId="7764D12B" w:rsidR="005B2776" w:rsidRPr="00F83103" w:rsidRDefault="00A91B2F" w:rsidP="00F83103">
      <w:pPr>
        <w:pStyle w:val="Heading4"/>
        <w:spacing w:after="200"/>
        <w:rPr>
          <w:szCs w:val="24"/>
        </w:rPr>
      </w:pPr>
      <w:r w:rsidRPr="00F83103">
        <w:rPr>
          <w:szCs w:val="24"/>
        </w:rPr>
        <w:t>NPV summary across levels</w:t>
      </w:r>
    </w:p>
    <w:p w14:paraId="76F1D559" w14:textId="33F8A1D4" w:rsidR="00D15127" w:rsidRDefault="005B2776" w:rsidP="009229B3">
      <w:pPr>
        <w:pStyle w:val="Numberedparagraphs"/>
      </w:pPr>
      <w:r w:rsidRPr="008D6FD7">
        <w:t xml:space="preserve">Less ambitious </w:t>
      </w:r>
      <w:r>
        <w:t>sixth carbon budget</w:t>
      </w:r>
      <w:r w:rsidRPr="008D6FD7">
        <w:t xml:space="preserve"> levels have higher NPVs than more ambitious levels, indicating that the marginal cost of abatement is higher than the </w:t>
      </w:r>
      <w:r>
        <w:t xml:space="preserve">(high) </w:t>
      </w:r>
      <w:r w:rsidRPr="008D6FD7">
        <w:t xml:space="preserve">carbon values. The differences between </w:t>
      </w:r>
      <w:r>
        <w:t>options</w:t>
      </w:r>
      <w:r w:rsidRPr="008D6FD7">
        <w:t xml:space="preserve"> are substantial in absolute terms</w:t>
      </w:r>
      <w:r>
        <w:t>, but smaller in relative terms: for example</w:t>
      </w:r>
      <w:r w:rsidR="000C6C27">
        <w:t>,</w:t>
      </w:r>
      <w:r>
        <w:t xml:space="preserve"> the NPV for </w:t>
      </w:r>
      <w:r w:rsidR="00792D65">
        <w:t>O</w:t>
      </w:r>
      <w:r>
        <w:t xml:space="preserve">ption 2 is </w:t>
      </w:r>
      <w:r w:rsidRPr="008D6FD7">
        <w:t>£</w:t>
      </w:r>
      <w:r>
        <w:t>23</w:t>
      </w:r>
      <w:r w:rsidRPr="008D6FD7">
        <w:t xml:space="preserve">bn </w:t>
      </w:r>
      <w:r>
        <w:t xml:space="preserve">higher than </w:t>
      </w:r>
      <w:r w:rsidR="003B5780">
        <w:t>O</w:t>
      </w:r>
      <w:r>
        <w:t xml:space="preserve">ption 3 in the core pathway, but this is a difference of only 9%, </w:t>
      </w:r>
      <w:r w:rsidRPr="008D6FD7">
        <w:t>with cost benefit ratios of 1.</w:t>
      </w:r>
      <w:r>
        <w:t>49</w:t>
      </w:r>
      <w:r w:rsidRPr="008D6FD7">
        <w:t xml:space="preserve"> and 1.</w:t>
      </w:r>
      <w:r>
        <w:t xml:space="preserve">41 </w:t>
      </w:r>
      <w:r w:rsidRPr="008D6FD7">
        <w:t>respectively.</w:t>
      </w:r>
    </w:p>
    <w:p w14:paraId="54527614" w14:textId="77777777" w:rsidR="009229B3" w:rsidRDefault="009229B3" w:rsidP="006A0C4B">
      <w:pPr>
        <w:pStyle w:val="EBBodyPara"/>
        <w:rPr>
          <w:i/>
          <w:sz w:val="24"/>
          <w:szCs w:val="24"/>
        </w:rPr>
      </w:pPr>
    </w:p>
    <w:p w14:paraId="24F8238F" w14:textId="0CC3F31E" w:rsidR="00294432" w:rsidRDefault="009712A4" w:rsidP="006A0C4B">
      <w:pPr>
        <w:pStyle w:val="EBBodyPara"/>
      </w:pPr>
      <w:r>
        <w:rPr>
          <w:i/>
          <w:sz w:val="24"/>
          <w:szCs w:val="24"/>
        </w:rPr>
        <w:lastRenderedPageBreak/>
        <w:t>Table</w:t>
      </w:r>
      <w:r w:rsidR="00FF52B4" w:rsidRPr="006A0C4B">
        <w:rPr>
          <w:i/>
          <w:sz w:val="24"/>
          <w:szCs w:val="24"/>
        </w:rPr>
        <w:t xml:space="preserve"> 1</w:t>
      </w:r>
      <w:r w:rsidR="008F1C9E">
        <w:rPr>
          <w:i/>
          <w:sz w:val="24"/>
          <w:szCs w:val="24"/>
        </w:rPr>
        <w:t>6</w:t>
      </w:r>
      <w:r w:rsidR="00FF52B4" w:rsidRPr="006A0C4B">
        <w:rPr>
          <w:i/>
          <w:sz w:val="24"/>
          <w:szCs w:val="24"/>
        </w:rPr>
        <w:t>: NPV breakdown by sixth carbon budget options, Core pathway only</w:t>
      </w:r>
    </w:p>
    <w:tbl>
      <w:tblPr>
        <w:tblStyle w:val="TableGrid"/>
        <w:tblW w:w="10256" w:type="dxa"/>
        <w:tblLook w:val="04A0" w:firstRow="1" w:lastRow="0" w:firstColumn="1" w:lastColumn="0" w:noHBand="0" w:noVBand="1"/>
      </w:tblPr>
      <w:tblGrid>
        <w:gridCol w:w="982"/>
        <w:gridCol w:w="3085"/>
        <w:gridCol w:w="2012"/>
        <w:gridCol w:w="1959"/>
        <w:gridCol w:w="2218"/>
      </w:tblGrid>
      <w:tr w:rsidR="00CB0FE0" w14:paraId="501D9DA3" w14:textId="77777777" w:rsidTr="00F83103">
        <w:tc>
          <w:tcPr>
            <w:tcW w:w="982" w:type="dxa"/>
          </w:tcPr>
          <w:p w14:paraId="73BD3432" w14:textId="77777777" w:rsidR="00BE54D0" w:rsidRDefault="00BE54D0" w:rsidP="00294432">
            <w:pPr>
              <w:pStyle w:val="EBBodyPara"/>
              <w:jc w:val="center"/>
            </w:pPr>
          </w:p>
        </w:tc>
        <w:tc>
          <w:tcPr>
            <w:tcW w:w="3085" w:type="dxa"/>
          </w:tcPr>
          <w:p w14:paraId="2B00063B" w14:textId="77777777" w:rsidR="00F70A34" w:rsidRDefault="00D15127" w:rsidP="00294432">
            <w:pPr>
              <w:pStyle w:val="EBBodyPara"/>
              <w:jc w:val="center"/>
              <w:rPr>
                <w:b/>
                <w:bCs w:val="0"/>
              </w:rPr>
            </w:pPr>
            <w:r w:rsidRPr="009712A4">
              <w:rPr>
                <w:b/>
              </w:rPr>
              <w:t xml:space="preserve">Costs and benefits </w:t>
            </w:r>
          </w:p>
          <w:p w14:paraId="6A1084DA" w14:textId="77777777" w:rsidR="00F70A34" w:rsidRDefault="00F70A34" w:rsidP="00294432">
            <w:pPr>
              <w:pStyle w:val="EBBodyPara"/>
              <w:jc w:val="center"/>
              <w:rPr>
                <w:b/>
                <w:bCs w:val="0"/>
              </w:rPr>
            </w:pPr>
            <w:r>
              <w:rPr>
                <w:b/>
                <w:bCs w:val="0"/>
              </w:rPr>
              <w:t xml:space="preserve">2020-2050 </w:t>
            </w:r>
          </w:p>
          <w:p w14:paraId="577AB43E" w14:textId="3AFBD469" w:rsidR="00CB0FE0" w:rsidRPr="009712A4" w:rsidRDefault="00D15127" w:rsidP="00294432">
            <w:pPr>
              <w:pStyle w:val="EBBodyPara"/>
              <w:jc w:val="center"/>
              <w:rPr>
                <w:b/>
              </w:rPr>
            </w:pPr>
            <w:r w:rsidRPr="009712A4">
              <w:rPr>
                <w:b/>
              </w:rPr>
              <w:t>(£bn</w:t>
            </w:r>
            <w:r w:rsidR="00710C36">
              <w:rPr>
                <w:b/>
                <w:bCs w:val="0"/>
              </w:rPr>
              <w:t>, discounted</w:t>
            </w:r>
            <w:r w:rsidR="00BE54D0" w:rsidRPr="009712A4">
              <w:rPr>
                <w:b/>
              </w:rPr>
              <w:t>)</w:t>
            </w:r>
          </w:p>
        </w:tc>
        <w:tc>
          <w:tcPr>
            <w:tcW w:w="2012" w:type="dxa"/>
          </w:tcPr>
          <w:p w14:paraId="7D1F415E" w14:textId="331BA019" w:rsidR="00710C36" w:rsidRDefault="00710C36" w:rsidP="00294432">
            <w:pPr>
              <w:pStyle w:val="EBBodyPara"/>
              <w:jc w:val="center"/>
              <w:rPr>
                <w:b/>
                <w:bCs w:val="0"/>
              </w:rPr>
            </w:pPr>
            <w:r>
              <w:rPr>
                <w:b/>
                <w:bCs w:val="0"/>
              </w:rPr>
              <w:t>Option 2</w:t>
            </w:r>
          </w:p>
          <w:p w14:paraId="333425ED" w14:textId="77777777" w:rsidR="00CB0FE0" w:rsidRDefault="00CB0FE0" w:rsidP="00294432">
            <w:pPr>
              <w:pStyle w:val="EBBodyPara"/>
              <w:jc w:val="center"/>
              <w:rPr>
                <w:b/>
                <w:bCs w:val="0"/>
              </w:rPr>
            </w:pPr>
            <w:r w:rsidRPr="009712A4">
              <w:rPr>
                <w:b/>
              </w:rPr>
              <w:t>Looser</w:t>
            </w:r>
          </w:p>
          <w:p w14:paraId="19618E5C" w14:textId="62CDA93E" w:rsidR="00CB0FE0" w:rsidRPr="009712A4" w:rsidRDefault="006E7F20" w:rsidP="00294432">
            <w:pPr>
              <w:pStyle w:val="EBBodyPara"/>
              <w:jc w:val="center"/>
              <w:rPr>
                <w:b/>
              </w:rPr>
            </w:pPr>
            <w:r>
              <w:rPr>
                <w:b/>
                <w:bCs w:val="0"/>
              </w:rPr>
              <w:t>1105Mt</w:t>
            </w:r>
          </w:p>
        </w:tc>
        <w:tc>
          <w:tcPr>
            <w:tcW w:w="1959" w:type="dxa"/>
          </w:tcPr>
          <w:p w14:paraId="4C7868D4" w14:textId="1078CA77" w:rsidR="00710C36" w:rsidRDefault="00710C36" w:rsidP="00294432">
            <w:pPr>
              <w:pStyle w:val="EBBodyPara"/>
              <w:jc w:val="center"/>
              <w:rPr>
                <w:b/>
                <w:bCs w:val="0"/>
              </w:rPr>
            </w:pPr>
            <w:r>
              <w:rPr>
                <w:b/>
                <w:bCs w:val="0"/>
              </w:rPr>
              <w:t>Option 3</w:t>
            </w:r>
          </w:p>
          <w:p w14:paraId="3EB08472" w14:textId="77777777" w:rsidR="00CB0FE0" w:rsidRDefault="00CB0FE0" w:rsidP="00294432">
            <w:pPr>
              <w:pStyle w:val="EBBodyPara"/>
              <w:jc w:val="center"/>
              <w:rPr>
                <w:b/>
                <w:bCs w:val="0"/>
              </w:rPr>
            </w:pPr>
            <w:r w:rsidRPr="009712A4">
              <w:rPr>
                <w:b/>
              </w:rPr>
              <w:t>CCC level</w:t>
            </w:r>
          </w:p>
          <w:p w14:paraId="4E9F1F1C" w14:textId="53362AB1" w:rsidR="00CB0FE0" w:rsidRPr="009712A4" w:rsidRDefault="006E7F20" w:rsidP="00294432">
            <w:pPr>
              <w:pStyle w:val="EBBodyPara"/>
              <w:jc w:val="center"/>
              <w:rPr>
                <w:b/>
              </w:rPr>
            </w:pPr>
            <w:r>
              <w:rPr>
                <w:b/>
                <w:bCs w:val="0"/>
              </w:rPr>
              <w:t>965Mt</w:t>
            </w:r>
          </w:p>
        </w:tc>
        <w:tc>
          <w:tcPr>
            <w:tcW w:w="2218" w:type="dxa"/>
          </w:tcPr>
          <w:p w14:paraId="50F1C1B5" w14:textId="4BA2D430" w:rsidR="00710C36" w:rsidRDefault="00710C36" w:rsidP="00294432">
            <w:pPr>
              <w:pStyle w:val="EBBodyPara"/>
              <w:jc w:val="center"/>
              <w:rPr>
                <w:b/>
                <w:bCs w:val="0"/>
              </w:rPr>
            </w:pPr>
            <w:r>
              <w:rPr>
                <w:b/>
                <w:bCs w:val="0"/>
              </w:rPr>
              <w:t>Option 4</w:t>
            </w:r>
          </w:p>
          <w:p w14:paraId="78CD14E3" w14:textId="7E55F8D4" w:rsidR="00CB0FE0" w:rsidRDefault="00CB0FE0" w:rsidP="00294432">
            <w:pPr>
              <w:pStyle w:val="EBBodyPara"/>
              <w:jc w:val="center"/>
              <w:rPr>
                <w:b/>
                <w:bCs w:val="0"/>
              </w:rPr>
            </w:pPr>
            <w:r w:rsidRPr="009712A4">
              <w:rPr>
                <w:b/>
              </w:rPr>
              <w:t>Tighter</w:t>
            </w:r>
          </w:p>
          <w:p w14:paraId="49795E25" w14:textId="0CDED2EA" w:rsidR="00CB0FE0" w:rsidRPr="009712A4" w:rsidRDefault="006E7F20" w:rsidP="00294432">
            <w:pPr>
              <w:pStyle w:val="EBBodyPara"/>
              <w:jc w:val="center"/>
              <w:rPr>
                <w:b/>
              </w:rPr>
            </w:pPr>
            <w:r>
              <w:rPr>
                <w:b/>
                <w:bCs w:val="0"/>
              </w:rPr>
              <w:t>865Mt</w:t>
            </w:r>
          </w:p>
        </w:tc>
      </w:tr>
      <w:tr w:rsidR="00BA179E" w14:paraId="30F968F2" w14:textId="77777777" w:rsidTr="005176B4">
        <w:tc>
          <w:tcPr>
            <w:tcW w:w="982" w:type="dxa"/>
            <w:vMerge w:val="restart"/>
            <w:textDirection w:val="btLr"/>
            <w:vAlign w:val="center"/>
          </w:tcPr>
          <w:p w14:paraId="2FA4E620" w14:textId="0B7FDB8D" w:rsidR="00BA179E" w:rsidRDefault="00BA179E" w:rsidP="009D492F">
            <w:pPr>
              <w:pStyle w:val="EBBodyPara"/>
              <w:ind w:left="113" w:right="113"/>
              <w:jc w:val="center"/>
            </w:pPr>
            <w:r>
              <w:t>Benefits</w:t>
            </w:r>
          </w:p>
        </w:tc>
        <w:tc>
          <w:tcPr>
            <w:tcW w:w="3085" w:type="dxa"/>
          </w:tcPr>
          <w:p w14:paraId="641D388F" w14:textId="1A1CA0F1" w:rsidR="00BA179E" w:rsidRPr="005E643D" w:rsidRDefault="005E643D" w:rsidP="00294432">
            <w:pPr>
              <w:pStyle w:val="EBBodyPara"/>
              <w:jc w:val="center"/>
              <w:rPr>
                <w:b/>
                <w:bCs w:val="0"/>
              </w:rPr>
            </w:pPr>
            <w:r>
              <w:rPr>
                <w:b/>
                <w:bCs w:val="0"/>
              </w:rPr>
              <w:t>Total benefits</w:t>
            </w:r>
          </w:p>
        </w:tc>
        <w:tc>
          <w:tcPr>
            <w:tcW w:w="2012" w:type="dxa"/>
          </w:tcPr>
          <w:p w14:paraId="500FA51C" w14:textId="0CB32259" w:rsidR="00BA179E" w:rsidRPr="00B76FCA" w:rsidRDefault="00C91029" w:rsidP="00294432">
            <w:pPr>
              <w:pStyle w:val="EBBodyPara"/>
              <w:jc w:val="center"/>
              <w:rPr>
                <w:b/>
                <w:bCs w:val="0"/>
              </w:rPr>
            </w:pPr>
            <w:r w:rsidRPr="00B76FCA">
              <w:rPr>
                <w:b/>
                <w:bCs w:val="0"/>
              </w:rPr>
              <w:t>879</w:t>
            </w:r>
          </w:p>
        </w:tc>
        <w:tc>
          <w:tcPr>
            <w:tcW w:w="1959" w:type="dxa"/>
          </w:tcPr>
          <w:p w14:paraId="033DF0E0" w14:textId="795E3E79" w:rsidR="00BA179E" w:rsidRPr="00B76FCA" w:rsidRDefault="00B76FCA" w:rsidP="00294432">
            <w:pPr>
              <w:pStyle w:val="EBBodyPara"/>
              <w:jc w:val="center"/>
              <w:rPr>
                <w:b/>
                <w:bCs w:val="0"/>
              </w:rPr>
            </w:pPr>
            <w:r w:rsidRPr="00B76FCA">
              <w:rPr>
                <w:b/>
                <w:bCs w:val="0"/>
              </w:rPr>
              <w:t>918</w:t>
            </w:r>
          </w:p>
        </w:tc>
        <w:tc>
          <w:tcPr>
            <w:tcW w:w="2218" w:type="dxa"/>
          </w:tcPr>
          <w:p w14:paraId="7A4E82B6" w14:textId="74F6618D" w:rsidR="00BA179E" w:rsidRPr="00B76FCA" w:rsidRDefault="00B76FCA" w:rsidP="00294432">
            <w:pPr>
              <w:pStyle w:val="EBBodyPara"/>
              <w:jc w:val="center"/>
              <w:rPr>
                <w:b/>
                <w:bCs w:val="0"/>
              </w:rPr>
            </w:pPr>
            <w:r w:rsidRPr="00B76FCA">
              <w:rPr>
                <w:b/>
                <w:bCs w:val="0"/>
              </w:rPr>
              <w:t>936</w:t>
            </w:r>
          </w:p>
        </w:tc>
      </w:tr>
      <w:tr w:rsidR="75D02CEB" w14:paraId="34C665C0" w14:textId="77777777" w:rsidTr="005176B4">
        <w:tc>
          <w:tcPr>
            <w:tcW w:w="982" w:type="dxa"/>
            <w:vMerge/>
            <w:textDirection w:val="btLr"/>
            <w:vAlign w:val="center"/>
          </w:tcPr>
          <w:p w14:paraId="2966965A" w14:textId="12AB901E" w:rsidR="75D02CEB" w:rsidRDefault="75D02CEB" w:rsidP="75D02CEB">
            <w:pPr>
              <w:pStyle w:val="EBBodyPara"/>
              <w:jc w:val="center"/>
              <w:rPr>
                <w:b/>
                <w:color w:val="000000" w:themeColor="text1"/>
              </w:rPr>
            </w:pPr>
          </w:p>
        </w:tc>
        <w:tc>
          <w:tcPr>
            <w:tcW w:w="3085" w:type="dxa"/>
          </w:tcPr>
          <w:p w14:paraId="716DCF76" w14:textId="6CC7309D" w:rsidR="75D02CEB" w:rsidRDefault="005176B4" w:rsidP="75D02CEB">
            <w:pPr>
              <w:pStyle w:val="EBBodyPara"/>
              <w:jc w:val="center"/>
              <w:rPr>
                <w:color w:val="000000" w:themeColor="text1"/>
              </w:rPr>
            </w:pPr>
            <w:r>
              <w:t>Carbon savings</w:t>
            </w:r>
          </w:p>
        </w:tc>
        <w:tc>
          <w:tcPr>
            <w:tcW w:w="2012" w:type="dxa"/>
          </w:tcPr>
          <w:p w14:paraId="2570255B" w14:textId="30A0EC39" w:rsidR="75D02CEB" w:rsidRDefault="005176B4" w:rsidP="75D02CEB">
            <w:pPr>
              <w:pStyle w:val="EBBodyPara"/>
              <w:jc w:val="center"/>
              <w:rPr>
                <w:color w:val="000000" w:themeColor="text1"/>
              </w:rPr>
            </w:pPr>
            <w:r>
              <w:t>716</w:t>
            </w:r>
          </w:p>
        </w:tc>
        <w:tc>
          <w:tcPr>
            <w:tcW w:w="1959" w:type="dxa"/>
          </w:tcPr>
          <w:p w14:paraId="1B52ACA3" w14:textId="289323D8" w:rsidR="75D02CEB" w:rsidRDefault="005176B4" w:rsidP="75D02CEB">
            <w:pPr>
              <w:pStyle w:val="EBBodyPara"/>
              <w:jc w:val="center"/>
              <w:rPr>
                <w:color w:val="000000" w:themeColor="text1"/>
              </w:rPr>
            </w:pPr>
            <w:r>
              <w:t>754</w:t>
            </w:r>
          </w:p>
        </w:tc>
        <w:tc>
          <w:tcPr>
            <w:tcW w:w="2218" w:type="dxa"/>
          </w:tcPr>
          <w:p w14:paraId="22AD783E" w14:textId="2FD2E6D8" w:rsidR="75D02CEB" w:rsidRDefault="005176B4" w:rsidP="75D02CEB">
            <w:pPr>
              <w:pStyle w:val="EBBodyPara"/>
              <w:jc w:val="center"/>
              <w:rPr>
                <w:color w:val="000000" w:themeColor="text1"/>
              </w:rPr>
            </w:pPr>
            <w:r>
              <w:t>770</w:t>
            </w:r>
          </w:p>
        </w:tc>
      </w:tr>
      <w:tr w:rsidR="00CB0FE0" w14:paraId="77CCCEBC" w14:textId="77777777" w:rsidTr="005176B4">
        <w:tc>
          <w:tcPr>
            <w:tcW w:w="982" w:type="dxa"/>
            <w:vMerge/>
          </w:tcPr>
          <w:p w14:paraId="728724AC" w14:textId="2B9CFFEA" w:rsidR="00BE54D0" w:rsidRPr="009712A4" w:rsidRDefault="00BE54D0">
            <w:pPr>
              <w:pStyle w:val="EBBodyPara"/>
              <w:ind w:left="113" w:right="113"/>
              <w:jc w:val="center"/>
              <w:rPr>
                <w:b/>
              </w:rPr>
            </w:pPr>
          </w:p>
        </w:tc>
        <w:tc>
          <w:tcPr>
            <w:tcW w:w="3085" w:type="dxa"/>
          </w:tcPr>
          <w:p w14:paraId="1B355B25" w14:textId="1C5E3673" w:rsidR="00CB0FE0" w:rsidRDefault="005176B4" w:rsidP="00294432">
            <w:pPr>
              <w:pStyle w:val="EBBodyPara"/>
              <w:jc w:val="center"/>
            </w:pPr>
            <w:r>
              <w:t>Natural capital</w:t>
            </w:r>
          </w:p>
        </w:tc>
        <w:tc>
          <w:tcPr>
            <w:tcW w:w="2012" w:type="dxa"/>
          </w:tcPr>
          <w:p w14:paraId="68F6679E" w14:textId="08C4948F" w:rsidR="00CB0FE0" w:rsidRDefault="005176B4" w:rsidP="00294432">
            <w:pPr>
              <w:pStyle w:val="EBBodyPara"/>
              <w:jc w:val="center"/>
            </w:pPr>
            <w:r>
              <w:t>5</w:t>
            </w:r>
          </w:p>
        </w:tc>
        <w:tc>
          <w:tcPr>
            <w:tcW w:w="1959" w:type="dxa"/>
          </w:tcPr>
          <w:p w14:paraId="4FF1F5AF" w14:textId="7883E62C" w:rsidR="00CB0FE0" w:rsidRDefault="005176B4" w:rsidP="00294432">
            <w:pPr>
              <w:pStyle w:val="EBBodyPara"/>
              <w:jc w:val="center"/>
            </w:pPr>
            <w:r>
              <w:t>5</w:t>
            </w:r>
          </w:p>
        </w:tc>
        <w:tc>
          <w:tcPr>
            <w:tcW w:w="2218" w:type="dxa"/>
          </w:tcPr>
          <w:p w14:paraId="106B19E3" w14:textId="71D84B5C" w:rsidR="00CB0FE0" w:rsidRDefault="005176B4" w:rsidP="00294432">
            <w:pPr>
              <w:pStyle w:val="EBBodyPara"/>
              <w:jc w:val="center"/>
            </w:pPr>
            <w:r>
              <w:t>5</w:t>
            </w:r>
          </w:p>
        </w:tc>
      </w:tr>
      <w:tr w:rsidR="00CB0FE0" w14:paraId="79739246" w14:textId="77777777" w:rsidTr="005176B4">
        <w:tc>
          <w:tcPr>
            <w:tcW w:w="982" w:type="dxa"/>
            <w:vMerge/>
          </w:tcPr>
          <w:p w14:paraId="3B2C0D1D" w14:textId="77777777" w:rsidR="00BE54D0" w:rsidRPr="0071483C" w:rsidRDefault="00BE54D0" w:rsidP="00294432">
            <w:pPr>
              <w:pStyle w:val="EBBodyPara"/>
              <w:jc w:val="center"/>
              <w:rPr>
                <w:b/>
              </w:rPr>
            </w:pPr>
          </w:p>
        </w:tc>
        <w:tc>
          <w:tcPr>
            <w:tcW w:w="3085" w:type="dxa"/>
          </w:tcPr>
          <w:p w14:paraId="0724081F" w14:textId="11D000D6" w:rsidR="00CB0FE0" w:rsidRDefault="005176B4" w:rsidP="00294432">
            <w:pPr>
              <w:pStyle w:val="EBBodyPara"/>
              <w:jc w:val="center"/>
            </w:pPr>
            <w:r>
              <w:t>Air quality</w:t>
            </w:r>
          </w:p>
        </w:tc>
        <w:tc>
          <w:tcPr>
            <w:tcW w:w="2012" w:type="dxa"/>
          </w:tcPr>
          <w:p w14:paraId="0C5850A0" w14:textId="73BCC152" w:rsidR="00CB0FE0" w:rsidRDefault="005176B4" w:rsidP="00294432">
            <w:pPr>
              <w:pStyle w:val="EBBodyPara"/>
              <w:jc w:val="center"/>
            </w:pPr>
            <w:r>
              <w:t>36</w:t>
            </w:r>
          </w:p>
        </w:tc>
        <w:tc>
          <w:tcPr>
            <w:tcW w:w="1959" w:type="dxa"/>
          </w:tcPr>
          <w:p w14:paraId="3319C8EB" w14:textId="2B514DBE" w:rsidR="00CB0FE0" w:rsidRDefault="005176B4" w:rsidP="00294432">
            <w:pPr>
              <w:pStyle w:val="EBBodyPara"/>
              <w:jc w:val="center"/>
            </w:pPr>
            <w:r>
              <w:t>35</w:t>
            </w:r>
          </w:p>
        </w:tc>
        <w:tc>
          <w:tcPr>
            <w:tcW w:w="2218" w:type="dxa"/>
          </w:tcPr>
          <w:p w14:paraId="7F3D9B16" w14:textId="69203BAD" w:rsidR="00CB0FE0" w:rsidRDefault="005176B4" w:rsidP="00294432">
            <w:pPr>
              <w:pStyle w:val="EBBodyPara"/>
              <w:jc w:val="center"/>
            </w:pPr>
            <w:r>
              <w:t>34</w:t>
            </w:r>
          </w:p>
        </w:tc>
      </w:tr>
      <w:tr w:rsidR="00CB0FE0" w14:paraId="3D1A90A1" w14:textId="77777777" w:rsidTr="005176B4">
        <w:tc>
          <w:tcPr>
            <w:tcW w:w="982" w:type="dxa"/>
            <w:vMerge/>
          </w:tcPr>
          <w:p w14:paraId="6B49249A" w14:textId="77777777" w:rsidR="00BE54D0" w:rsidRPr="0071483C" w:rsidRDefault="00BE54D0" w:rsidP="00294432">
            <w:pPr>
              <w:pStyle w:val="EBBodyPara"/>
              <w:jc w:val="center"/>
              <w:rPr>
                <w:b/>
              </w:rPr>
            </w:pPr>
          </w:p>
        </w:tc>
        <w:tc>
          <w:tcPr>
            <w:tcW w:w="3085" w:type="dxa"/>
            <w:tcBorders>
              <w:bottom w:val="double" w:sz="4" w:space="0" w:color="auto"/>
            </w:tcBorders>
          </w:tcPr>
          <w:p w14:paraId="61BF8E39" w14:textId="149E4AE5" w:rsidR="00CB0FE0" w:rsidRDefault="005176B4" w:rsidP="00294432">
            <w:pPr>
              <w:pStyle w:val="EBBodyPara"/>
              <w:jc w:val="center"/>
            </w:pPr>
            <w:r>
              <w:t>Fuel savings</w:t>
            </w:r>
          </w:p>
        </w:tc>
        <w:tc>
          <w:tcPr>
            <w:tcW w:w="2012" w:type="dxa"/>
            <w:tcBorders>
              <w:bottom w:val="double" w:sz="4" w:space="0" w:color="auto"/>
            </w:tcBorders>
          </w:tcPr>
          <w:p w14:paraId="0CC01839" w14:textId="39D6B31F" w:rsidR="00CB0FE0" w:rsidRDefault="005176B4" w:rsidP="00294432">
            <w:pPr>
              <w:pStyle w:val="EBBodyPara"/>
              <w:jc w:val="center"/>
            </w:pPr>
            <w:r>
              <w:t>121</w:t>
            </w:r>
          </w:p>
        </w:tc>
        <w:tc>
          <w:tcPr>
            <w:tcW w:w="1959" w:type="dxa"/>
            <w:tcBorders>
              <w:bottom w:val="double" w:sz="4" w:space="0" w:color="auto"/>
            </w:tcBorders>
          </w:tcPr>
          <w:p w14:paraId="406DEB52" w14:textId="7EE608CF" w:rsidR="00CB0FE0" w:rsidRDefault="005176B4" w:rsidP="00294432">
            <w:pPr>
              <w:pStyle w:val="EBBodyPara"/>
              <w:jc w:val="center"/>
            </w:pPr>
            <w:r>
              <w:t>123</w:t>
            </w:r>
          </w:p>
        </w:tc>
        <w:tc>
          <w:tcPr>
            <w:tcW w:w="2218" w:type="dxa"/>
            <w:tcBorders>
              <w:bottom w:val="double" w:sz="4" w:space="0" w:color="auto"/>
            </w:tcBorders>
          </w:tcPr>
          <w:p w14:paraId="53E96D7F" w14:textId="59ECDF9D" w:rsidR="00CB0FE0" w:rsidRDefault="005176B4" w:rsidP="00294432">
            <w:pPr>
              <w:pStyle w:val="EBBodyPara"/>
              <w:jc w:val="center"/>
            </w:pPr>
            <w:r>
              <w:t>127</w:t>
            </w:r>
          </w:p>
        </w:tc>
      </w:tr>
      <w:tr w:rsidR="00CB0FE0" w14:paraId="2C8FCE49" w14:textId="77777777" w:rsidTr="005176B4">
        <w:trPr>
          <w:trHeight w:val="175"/>
        </w:trPr>
        <w:tc>
          <w:tcPr>
            <w:tcW w:w="982" w:type="dxa"/>
            <w:vMerge w:val="restart"/>
            <w:tcBorders>
              <w:top w:val="double" w:sz="4" w:space="0" w:color="auto"/>
            </w:tcBorders>
            <w:textDirection w:val="btLr"/>
            <w:vAlign w:val="center"/>
          </w:tcPr>
          <w:p w14:paraId="7B4A355F" w14:textId="4C296338" w:rsidR="00BE54D0" w:rsidRPr="0071483C" w:rsidRDefault="005176B4" w:rsidP="004E103C">
            <w:pPr>
              <w:pStyle w:val="EBBodyPara"/>
              <w:jc w:val="center"/>
              <w:rPr>
                <w:b/>
              </w:rPr>
            </w:pPr>
            <w:r w:rsidDel="005176B4">
              <w:t>Costs</w:t>
            </w:r>
          </w:p>
        </w:tc>
        <w:tc>
          <w:tcPr>
            <w:tcW w:w="3085" w:type="dxa"/>
            <w:tcBorders>
              <w:top w:val="double" w:sz="4" w:space="0" w:color="auto"/>
            </w:tcBorders>
          </w:tcPr>
          <w:p w14:paraId="3F2B551E" w14:textId="3C5FC1BC" w:rsidR="00CB0FE0" w:rsidRDefault="005176B4" w:rsidP="00294432">
            <w:pPr>
              <w:pStyle w:val="EBBodyPara"/>
              <w:jc w:val="center"/>
            </w:pPr>
            <w:r>
              <w:rPr>
                <w:b/>
                <w:bCs w:val="0"/>
              </w:rPr>
              <w:t>Total costs</w:t>
            </w:r>
          </w:p>
        </w:tc>
        <w:tc>
          <w:tcPr>
            <w:tcW w:w="2012" w:type="dxa"/>
            <w:tcBorders>
              <w:top w:val="double" w:sz="4" w:space="0" w:color="auto"/>
            </w:tcBorders>
          </w:tcPr>
          <w:p w14:paraId="7C6D3790" w14:textId="78BAF5B9" w:rsidR="00CB0FE0" w:rsidRDefault="005176B4" w:rsidP="00294432">
            <w:pPr>
              <w:pStyle w:val="EBBodyPara"/>
              <w:jc w:val="center"/>
            </w:pPr>
            <w:r w:rsidRPr="00AE5FAB">
              <w:rPr>
                <w:b/>
                <w:bCs w:val="0"/>
              </w:rPr>
              <w:t>589</w:t>
            </w:r>
          </w:p>
        </w:tc>
        <w:tc>
          <w:tcPr>
            <w:tcW w:w="1959" w:type="dxa"/>
            <w:tcBorders>
              <w:top w:val="double" w:sz="4" w:space="0" w:color="auto"/>
            </w:tcBorders>
          </w:tcPr>
          <w:p w14:paraId="04F97D16" w14:textId="1F3494E6" w:rsidR="00CB0FE0" w:rsidRDefault="005176B4" w:rsidP="00294432">
            <w:pPr>
              <w:pStyle w:val="EBBodyPara"/>
              <w:jc w:val="center"/>
            </w:pPr>
            <w:r w:rsidRPr="00AE5FAB">
              <w:rPr>
                <w:b/>
                <w:bCs w:val="0"/>
              </w:rPr>
              <w:t>651</w:t>
            </w:r>
          </w:p>
        </w:tc>
        <w:tc>
          <w:tcPr>
            <w:tcW w:w="2218" w:type="dxa"/>
            <w:tcBorders>
              <w:top w:val="double" w:sz="4" w:space="0" w:color="auto"/>
            </w:tcBorders>
          </w:tcPr>
          <w:p w14:paraId="72406C83" w14:textId="3BFBD69A" w:rsidR="00CB0FE0" w:rsidRDefault="005176B4" w:rsidP="00294432">
            <w:pPr>
              <w:pStyle w:val="EBBodyPara"/>
              <w:jc w:val="center"/>
            </w:pPr>
            <w:r w:rsidRPr="00AE5FAB">
              <w:rPr>
                <w:b/>
                <w:bCs w:val="0"/>
              </w:rPr>
              <w:t>725</w:t>
            </w:r>
          </w:p>
        </w:tc>
      </w:tr>
      <w:tr w:rsidR="00BA179E" w14:paraId="04A9A407" w14:textId="77777777" w:rsidTr="005176B4">
        <w:trPr>
          <w:cantSplit/>
          <w:trHeight w:val="454"/>
        </w:trPr>
        <w:tc>
          <w:tcPr>
            <w:tcW w:w="982" w:type="dxa"/>
            <w:vMerge/>
            <w:textDirection w:val="btLr"/>
            <w:vAlign w:val="center"/>
          </w:tcPr>
          <w:p w14:paraId="6EABA63A" w14:textId="7866867E" w:rsidR="00BA179E" w:rsidRDefault="00BA179E" w:rsidP="009D492F">
            <w:pPr>
              <w:pStyle w:val="EBBodyPara"/>
              <w:ind w:left="113" w:right="113"/>
              <w:jc w:val="center"/>
            </w:pPr>
          </w:p>
        </w:tc>
        <w:tc>
          <w:tcPr>
            <w:tcW w:w="3085" w:type="dxa"/>
            <w:tcBorders>
              <w:top w:val="single" w:sz="4" w:space="0" w:color="auto"/>
            </w:tcBorders>
          </w:tcPr>
          <w:p w14:paraId="4A1501BF" w14:textId="47649C46" w:rsidR="00BA179E" w:rsidRPr="005E643D" w:rsidRDefault="005176B4" w:rsidP="00294432">
            <w:pPr>
              <w:pStyle w:val="EBBodyPara"/>
              <w:jc w:val="center"/>
              <w:rPr>
                <w:b/>
                <w:bCs w:val="0"/>
              </w:rPr>
            </w:pPr>
            <w:r>
              <w:t xml:space="preserve">Capital and finance </w:t>
            </w:r>
            <w:r w:rsidDel="000A25EB">
              <w:t>costs</w:t>
            </w:r>
          </w:p>
        </w:tc>
        <w:tc>
          <w:tcPr>
            <w:tcW w:w="2012" w:type="dxa"/>
            <w:tcBorders>
              <w:top w:val="single" w:sz="4" w:space="0" w:color="auto"/>
            </w:tcBorders>
          </w:tcPr>
          <w:p w14:paraId="22F0CDD6" w14:textId="79CC0A75" w:rsidR="00BA179E" w:rsidRPr="00AE5FAB" w:rsidRDefault="005176B4" w:rsidP="00294432">
            <w:pPr>
              <w:pStyle w:val="EBBodyPara"/>
              <w:jc w:val="center"/>
              <w:rPr>
                <w:b/>
                <w:bCs w:val="0"/>
              </w:rPr>
            </w:pPr>
            <w:r>
              <w:t>565</w:t>
            </w:r>
          </w:p>
        </w:tc>
        <w:tc>
          <w:tcPr>
            <w:tcW w:w="1959" w:type="dxa"/>
            <w:tcBorders>
              <w:top w:val="single" w:sz="4" w:space="0" w:color="auto"/>
            </w:tcBorders>
          </w:tcPr>
          <w:p w14:paraId="0B154F3B" w14:textId="23BA3353" w:rsidR="00BA179E" w:rsidRPr="00AE5FAB" w:rsidRDefault="005176B4" w:rsidP="00294432">
            <w:pPr>
              <w:pStyle w:val="EBBodyPara"/>
              <w:jc w:val="center"/>
              <w:rPr>
                <w:b/>
                <w:bCs w:val="0"/>
              </w:rPr>
            </w:pPr>
            <w:r>
              <w:t>621</w:t>
            </w:r>
          </w:p>
        </w:tc>
        <w:tc>
          <w:tcPr>
            <w:tcW w:w="2218" w:type="dxa"/>
            <w:tcBorders>
              <w:top w:val="single" w:sz="4" w:space="0" w:color="auto"/>
            </w:tcBorders>
          </w:tcPr>
          <w:p w14:paraId="4B8D3EA9" w14:textId="394FC4B4" w:rsidR="00BA179E" w:rsidRPr="00AE5FAB" w:rsidRDefault="005176B4" w:rsidP="00294432">
            <w:pPr>
              <w:pStyle w:val="EBBodyPara"/>
              <w:jc w:val="center"/>
              <w:rPr>
                <w:b/>
                <w:bCs w:val="0"/>
              </w:rPr>
            </w:pPr>
            <w:r>
              <w:t>682</w:t>
            </w:r>
          </w:p>
        </w:tc>
      </w:tr>
      <w:tr w:rsidR="00CB0FE0" w14:paraId="05B7444F" w14:textId="77777777" w:rsidTr="005176B4">
        <w:trPr>
          <w:cantSplit/>
          <w:trHeight w:val="454"/>
        </w:trPr>
        <w:tc>
          <w:tcPr>
            <w:tcW w:w="982" w:type="dxa"/>
            <w:vMerge/>
          </w:tcPr>
          <w:p w14:paraId="149D767E" w14:textId="03FFF2E9" w:rsidR="00BE54D0" w:rsidRPr="0071483C" w:rsidRDefault="00BE54D0">
            <w:pPr>
              <w:pStyle w:val="EBBodyPara"/>
              <w:ind w:left="113" w:right="113"/>
              <w:jc w:val="center"/>
              <w:rPr>
                <w:b/>
              </w:rPr>
            </w:pPr>
          </w:p>
        </w:tc>
        <w:tc>
          <w:tcPr>
            <w:tcW w:w="3085" w:type="dxa"/>
          </w:tcPr>
          <w:p w14:paraId="23E98131" w14:textId="4D88C1A9" w:rsidR="00CB0FE0" w:rsidRDefault="005176B4" w:rsidP="00294432">
            <w:pPr>
              <w:pStyle w:val="EBBodyPara"/>
              <w:jc w:val="center"/>
            </w:pPr>
            <w:r>
              <w:t>Non-fuel operational costs</w:t>
            </w:r>
          </w:p>
        </w:tc>
        <w:tc>
          <w:tcPr>
            <w:tcW w:w="2012" w:type="dxa"/>
          </w:tcPr>
          <w:p w14:paraId="500DF0E5" w14:textId="127A57E0" w:rsidR="00CB0FE0" w:rsidRDefault="005176B4" w:rsidP="00294432">
            <w:pPr>
              <w:pStyle w:val="EBBodyPara"/>
              <w:jc w:val="center"/>
            </w:pPr>
            <w:r>
              <w:t>24</w:t>
            </w:r>
          </w:p>
        </w:tc>
        <w:tc>
          <w:tcPr>
            <w:tcW w:w="1959" w:type="dxa"/>
          </w:tcPr>
          <w:p w14:paraId="41DF4E98" w14:textId="157A6A16" w:rsidR="00CB0FE0" w:rsidRDefault="005176B4" w:rsidP="00294432">
            <w:pPr>
              <w:pStyle w:val="EBBodyPara"/>
              <w:jc w:val="center"/>
            </w:pPr>
            <w:r>
              <w:t>31</w:t>
            </w:r>
          </w:p>
        </w:tc>
        <w:tc>
          <w:tcPr>
            <w:tcW w:w="2218" w:type="dxa"/>
          </w:tcPr>
          <w:p w14:paraId="2ED6E90C" w14:textId="144493C1" w:rsidR="00CB0FE0" w:rsidRDefault="005176B4" w:rsidP="00294432">
            <w:pPr>
              <w:pStyle w:val="EBBodyPara"/>
              <w:jc w:val="center"/>
            </w:pPr>
            <w:r>
              <w:t>43</w:t>
            </w:r>
          </w:p>
        </w:tc>
      </w:tr>
    </w:tbl>
    <w:p w14:paraId="3EB0C9CA" w14:textId="77777777" w:rsidR="00CB0FE0" w:rsidRDefault="00CB0FE0" w:rsidP="00294432">
      <w:pPr>
        <w:pStyle w:val="EBBodyPara"/>
        <w:jc w:val="center"/>
      </w:pPr>
    </w:p>
    <w:p w14:paraId="119297A3" w14:textId="2957B72E" w:rsidR="003F16F5" w:rsidRPr="008D6FD7" w:rsidRDefault="002B19A1" w:rsidP="009229B3">
      <w:pPr>
        <w:pStyle w:val="Numberedparagraphs"/>
      </w:pPr>
      <w:r>
        <w:t>Table</w:t>
      </w:r>
      <w:r w:rsidR="003F16F5" w:rsidRPr="008D6FD7">
        <w:t xml:space="preserve"> </w:t>
      </w:r>
      <w:r w:rsidR="005F4786">
        <w:t>1</w:t>
      </w:r>
      <w:r w:rsidR="008F1C9E">
        <w:t>6</w:t>
      </w:r>
      <w:r w:rsidR="003F16F5" w:rsidRPr="008D6FD7">
        <w:t xml:space="preserve"> shows the </w:t>
      </w:r>
      <w:r w:rsidR="00951D48" w:rsidRPr="008D6FD7">
        <w:t xml:space="preserve">composition of the net present value across </w:t>
      </w:r>
      <w:r w:rsidR="00802875">
        <w:t>Options 2-4</w:t>
      </w:r>
      <w:r w:rsidR="00951D48" w:rsidRPr="008D6FD7">
        <w:t xml:space="preserve">. The great majority of benefits are </w:t>
      </w:r>
      <w:r w:rsidR="00802875">
        <w:t>emissions savings</w:t>
      </w:r>
      <w:r w:rsidR="00951D48" w:rsidRPr="008D6FD7">
        <w:t xml:space="preserve"> benefits, with fuel savings</w:t>
      </w:r>
      <w:r w:rsidR="00ED31F3" w:rsidRPr="008D6FD7">
        <w:t xml:space="preserve">, </w:t>
      </w:r>
      <w:r w:rsidR="00951D48" w:rsidRPr="008D6FD7">
        <w:t xml:space="preserve">air quality improvements </w:t>
      </w:r>
      <w:r w:rsidR="00ED31F3" w:rsidRPr="008D6FD7">
        <w:t xml:space="preserve">and other natural capital impacts </w:t>
      </w:r>
      <w:r w:rsidR="00951D48" w:rsidRPr="008D6FD7">
        <w:t xml:space="preserve">constituting the remaining benefits. </w:t>
      </w:r>
      <w:r w:rsidR="00667D79" w:rsidRPr="008D6FD7">
        <w:t xml:space="preserve">Annex </w:t>
      </w:r>
      <w:r w:rsidR="004B215E">
        <w:t>A.5</w:t>
      </w:r>
      <w:r w:rsidR="00667D79" w:rsidRPr="008D6FD7">
        <w:t xml:space="preserve"> provides a more detailed br</w:t>
      </w:r>
      <w:r w:rsidR="001D39B1">
        <w:t>ea</w:t>
      </w:r>
      <w:r w:rsidR="00667D79" w:rsidRPr="008D6FD7">
        <w:t xml:space="preserve">kdown of </w:t>
      </w:r>
      <w:r w:rsidR="00F041F5" w:rsidRPr="008D6FD7">
        <w:t xml:space="preserve">the environmental </w:t>
      </w:r>
      <w:r w:rsidR="00390D1F" w:rsidRPr="008D6FD7">
        <w:t>impacts consider</w:t>
      </w:r>
      <w:r w:rsidR="005D6AEC">
        <w:t>ed</w:t>
      </w:r>
      <w:r w:rsidR="00390D1F" w:rsidRPr="008D6FD7">
        <w:t xml:space="preserve">. </w:t>
      </w:r>
      <w:r w:rsidR="00667D79" w:rsidRPr="008D6FD7">
        <w:t>Non-carbon</w:t>
      </w:r>
      <w:r w:rsidR="00A5414A" w:rsidRPr="008D6FD7">
        <w:t xml:space="preserve"> benefits do not significantly differ between levels</w:t>
      </w:r>
      <w:r w:rsidR="00060CAF" w:rsidRPr="008D6FD7">
        <w:t xml:space="preserve">. </w:t>
      </w:r>
    </w:p>
    <w:p w14:paraId="4B393115" w14:textId="40659B81" w:rsidR="00F2031D" w:rsidRDefault="00E36236" w:rsidP="009229B3">
      <w:pPr>
        <w:pStyle w:val="Numberedparagraphs"/>
      </w:pPr>
      <w:r>
        <w:t xml:space="preserve">The vast </w:t>
      </w:r>
      <w:r w:rsidR="002B19A1">
        <w:t xml:space="preserve">majority of costs are </w:t>
      </w:r>
      <w:r w:rsidR="00D52DD5">
        <w:t>additional</w:t>
      </w:r>
      <w:r w:rsidR="002B19A1">
        <w:t xml:space="preserve"> cap</w:t>
      </w:r>
      <w:r w:rsidR="007936AE">
        <w:t>ital costs</w:t>
      </w:r>
      <w:r w:rsidR="002B19A1">
        <w:t>, illustrating that the transition to net zero is primarily capital intensive</w:t>
      </w:r>
      <w:r w:rsidR="00BE54D0">
        <w:t xml:space="preserve">. This is the case across </w:t>
      </w:r>
      <w:r w:rsidR="007936AE">
        <w:t xml:space="preserve">all </w:t>
      </w:r>
      <w:r w:rsidR="009A0A22">
        <w:t>sixth</w:t>
      </w:r>
      <w:r w:rsidR="00BE54D0">
        <w:t xml:space="preserve"> carbon budget options. </w:t>
      </w:r>
      <w:r w:rsidR="0046665D">
        <w:t>For the CCC level, a</w:t>
      </w:r>
      <w:r w:rsidR="00507C2A">
        <w:t>dditional op</w:t>
      </w:r>
      <w:r w:rsidR="007936AE">
        <w:t>erational costs</w:t>
      </w:r>
      <w:r w:rsidR="00507C2A">
        <w:t xml:space="preserve"> amount to </w:t>
      </w:r>
      <w:r w:rsidR="00680BBF">
        <w:t>under</w:t>
      </w:r>
      <w:r w:rsidR="00507C2A">
        <w:t xml:space="preserve"> 5% of </w:t>
      </w:r>
      <w:r w:rsidR="00680BBF">
        <w:t>total</w:t>
      </w:r>
      <w:r w:rsidR="00507C2A">
        <w:t xml:space="preserve"> </w:t>
      </w:r>
      <w:r w:rsidR="0046665D" w:rsidRPr="001418E7">
        <w:t xml:space="preserve">additional </w:t>
      </w:r>
      <w:r w:rsidR="00507C2A" w:rsidRPr="001418E7">
        <w:t>costs</w:t>
      </w:r>
      <w:r w:rsidR="009A0A22" w:rsidRPr="001418E7">
        <w:t xml:space="preserve">. Significant fuel savings are expected, offsetting 20% of </w:t>
      </w:r>
      <w:r w:rsidR="0046665D" w:rsidRPr="001418E7">
        <w:t xml:space="preserve">additional </w:t>
      </w:r>
      <w:r w:rsidR="009A0A22" w:rsidRPr="001418E7">
        <w:t>cap</w:t>
      </w:r>
      <w:r w:rsidR="007936AE" w:rsidRPr="001418E7">
        <w:t>ital</w:t>
      </w:r>
      <w:r w:rsidR="009A0A22" w:rsidRPr="001418E7">
        <w:t xml:space="preserve"> costs. </w:t>
      </w:r>
    </w:p>
    <w:p w14:paraId="5212FCB1" w14:textId="76797E45" w:rsidR="00727EF8" w:rsidRPr="001418E7" w:rsidRDefault="001418E7" w:rsidP="009229B3">
      <w:pPr>
        <w:pStyle w:val="Numberedparagraphs"/>
      </w:pPr>
      <w:r>
        <w:t>I</w:t>
      </w:r>
      <w:r w:rsidR="00B1346B" w:rsidRPr="001418E7">
        <w:t>n net cost terms</w:t>
      </w:r>
      <w:r w:rsidR="00156389" w:rsidRPr="001418E7">
        <w:t xml:space="preserve"> and considering only the core pathway</w:t>
      </w:r>
      <w:r w:rsidR="00B1346B" w:rsidRPr="001418E7">
        <w:t>, a</w:t>
      </w:r>
      <w:r w:rsidR="00FC1349" w:rsidRPr="001418E7">
        <w:t>ccounting for capital</w:t>
      </w:r>
      <w:r w:rsidR="00B1346B" w:rsidRPr="001418E7">
        <w:t xml:space="preserve"> costs, </w:t>
      </w:r>
      <w:r w:rsidR="00FC1349" w:rsidRPr="001418E7">
        <w:t>operational</w:t>
      </w:r>
      <w:r w:rsidR="00FC1349" w:rsidRPr="00FC75D0">
        <w:t xml:space="preserve"> costs, </w:t>
      </w:r>
      <w:r w:rsidR="00B1346B" w:rsidRPr="00FC75D0">
        <w:t>and</w:t>
      </w:r>
      <w:r w:rsidR="00FC1349" w:rsidRPr="00FC75D0">
        <w:t xml:space="preserve"> fuel savings, we </w:t>
      </w:r>
      <w:r w:rsidR="00832828" w:rsidRPr="00FC75D0">
        <w:t xml:space="preserve">estimate </w:t>
      </w:r>
      <w:r w:rsidR="00FC1349" w:rsidRPr="00FC75D0">
        <w:t xml:space="preserve">that </w:t>
      </w:r>
      <w:r w:rsidR="00FC75D0" w:rsidRPr="00D221FD">
        <w:t xml:space="preserve">the cost of </w:t>
      </w:r>
      <w:r w:rsidR="00FC1349" w:rsidRPr="00FC75D0">
        <w:t>meeting the CCC's re</w:t>
      </w:r>
      <w:r w:rsidR="00FC1349" w:rsidRPr="00DA6ACB">
        <w:t xml:space="preserve">commended sixth carbon budget level will </w:t>
      </w:r>
      <w:r w:rsidR="00FC75D0" w:rsidRPr="00D221FD">
        <w:t>be equivalent to</w:t>
      </w:r>
      <w:r w:rsidR="00FC1349" w:rsidRPr="00FC75D0">
        <w:t xml:space="preserve"> 1.6% of GDP in 2035. The comparable cost of meeting </w:t>
      </w:r>
      <w:r w:rsidR="00832828" w:rsidRPr="00FC75D0">
        <w:t xml:space="preserve">the </w:t>
      </w:r>
      <w:r w:rsidR="00FC1349" w:rsidRPr="00FC75D0">
        <w:t xml:space="preserve">Net Zero </w:t>
      </w:r>
      <w:r w:rsidR="00832828" w:rsidRPr="00FC75D0">
        <w:t xml:space="preserve">target </w:t>
      </w:r>
      <w:r w:rsidR="00FC1349" w:rsidRPr="00FC75D0">
        <w:t xml:space="preserve">would be 1.8% of GDP in 2050. </w:t>
      </w:r>
      <w:r w:rsidR="00FC1349" w:rsidRPr="001418E7">
        <w:t xml:space="preserve">This is within the envelope of 1-2% of GDP that has previously been estimated as the cost of meeting the UK's decarbonisation </w:t>
      </w:r>
      <w:r w:rsidR="00832828" w:rsidRPr="001418E7">
        <w:t>targets</w:t>
      </w:r>
      <w:r w:rsidR="00FC1349" w:rsidRPr="001418E7">
        <w:t>.</w:t>
      </w:r>
    </w:p>
    <w:p w14:paraId="5382332D" w14:textId="77777777" w:rsidR="001350AF" w:rsidRDefault="001350AF">
      <w:pPr>
        <w:rPr>
          <w:b/>
          <w:bCs/>
          <w:color w:val="000000"/>
        </w:rPr>
      </w:pPr>
      <w:r>
        <w:br w:type="page"/>
      </w:r>
    </w:p>
    <w:p w14:paraId="3199A292" w14:textId="456BCC1C" w:rsidR="00386BCD" w:rsidRPr="00F83103" w:rsidRDefault="00207EC1" w:rsidP="00207EC1">
      <w:pPr>
        <w:pStyle w:val="Heading4"/>
        <w:rPr>
          <w:szCs w:val="24"/>
        </w:rPr>
      </w:pPr>
      <w:r w:rsidRPr="00F83103">
        <w:rPr>
          <w:szCs w:val="24"/>
        </w:rPr>
        <w:lastRenderedPageBreak/>
        <w:t>N</w:t>
      </w:r>
      <w:r w:rsidR="00386BCD" w:rsidRPr="00F83103">
        <w:rPr>
          <w:szCs w:val="24"/>
        </w:rPr>
        <w:t>PV sensitivities summary</w:t>
      </w:r>
    </w:p>
    <w:p w14:paraId="6DFE8C8F" w14:textId="1E2E6269" w:rsidR="00386BCD" w:rsidRPr="008D6FD7" w:rsidRDefault="00FA69BD" w:rsidP="00386BCD">
      <w:pPr>
        <w:pStyle w:val="EBBodyPara"/>
        <w:rPr>
          <w:i/>
          <w:sz w:val="24"/>
          <w:szCs w:val="24"/>
        </w:rPr>
      </w:pPr>
      <w:r>
        <w:rPr>
          <w:i/>
          <w:sz w:val="24"/>
          <w:szCs w:val="24"/>
        </w:rPr>
        <w:t xml:space="preserve">Table </w:t>
      </w:r>
      <w:r w:rsidR="005F4786">
        <w:rPr>
          <w:i/>
          <w:sz w:val="24"/>
          <w:szCs w:val="24"/>
        </w:rPr>
        <w:t>1</w:t>
      </w:r>
      <w:r w:rsidR="008F1C9E">
        <w:rPr>
          <w:i/>
          <w:sz w:val="24"/>
          <w:szCs w:val="24"/>
        </w:rPr>
        <w:t>7</w:t>
      </w:r>
      <w:r>
        <w:rPr>
          <w:i/>
          <w:sz w:val="24"/>
          <w:szCs w:val="24"/>
        </w:rPr>
        <w:t xml:space="preserve">: Summary of </w:t>
      </w:r>
      <w:r w:rsidR="005F4786">
        <w:rPr>
          <w:i/>
          <w:sz w:val="24"/>
          <w:szCs w:val="24"/>
        </w:rPr>
        <w:t>NPV</w:t>
      </w:r>
      <w:r w:rsidR="00C54B3D">
        <w:rPr>
          <w:i/>
          <w:sz w:val="24"/>
          <w:szCs w:val="24"/>
        </w:rPr>
        <w:t xml:space="preserve"> </w:t>
      </w:r>
      <w:r>
        <w:rPr>
          <w:i/>
          <w:sz w:val="24"/>
          <w:szCs w:val="24"/>
        </w:rPr>
        <w:t>sensitivities</w:t>
      </w:r>
      <w:r w:rsidR="005F4786">
        <w:rPr>
          <w:i/>
          <w:sz w:val="24"/>
          <w:szCs w:val="24"/>
        </w:rPr>
        <w:t xml:space="preserve"> </w:t>
      </w:r>
      <w:r w:rsidR="005224B7">
        <w:rPr>
          <w:i/>
          <w:sz w:val="24"/>
          <w:szCs w:val="24"/>
        </w:rPr>
        <w:t>compared to central estimates</w:t>
      </w:r>
    </w:p>
    <w:tbl>
      <w:tblPr>
        <w:tblStyle w:val="TableGrid"/>
        <w:tblW w:w="9145" w:type="dxa"/>
        <w:jc w:val="center"/>
        <w:tblLayout w:type="fixed"/>
        <w:tblLook w:val="06A0" w:firstRow="1" w:lastRow="0" w:firstColumn="1" w:lastColumn="0" w:noHBand="1" w:noVBand="1"/>
      </w:tblPr>
      <w:tblGrid>
        <w:gridCol w:w="3681"/>
        <w:gridCol w:w="1559"/>
        <w:gridCol w:w="1276"/>
        <w:gridCol w:w="1417"/>
        <w:gridCol w:w="1212"/>
      </w:tblGrid>
      <w:tr w:rsidR="00221CDF" w:rsidRPr="00221CDF" w14:paraId="3871CD23" w14:textId="77777777" w:rsidTr="001350AF">
        <w:trPr>
          <w:trHeight w:val="208"/>
          <w:jc w:val="center"/>
        </w:trPr>
        <w:tc>
          <w:tcPr>
            <w:tcW w:w="3681" w:type="dxa"/>
          </w:tcPr>
          <w:p w14:paraId="4497A935" w14:textId="77777777" w:rsidR="00221CDF" w:rsidRPr="006A0C4B" w:rsidRDefault="00221CDF" w:rsidP="006047CE">
            <w:pPr>
              <w:pStyle w:val="EBBodyPara"/>
              <w:rPr>
                <w:rFonts w:cs="Arial"/>
                <w:b/>
              </w:rPr>
            </w:pPr>
          </w:p>
        </w:tc>
        <w:tc>
          <w:tcPr>
            <w:tcW w:w="1559" w:type="dxa"/>
          </w:tcPr>
          <w:p w14:paraId="0943338B" w14:textId="77777777" w:rsidR="00221CDF" w:rsidRPr="006A0C4B" w:rsidRDefault="00221CDF" w:rsidP="006047CE">
            <w:pPr>
              <w:pStyle w:val="EBBodyPara"/>
              <w:rPr>
                <w:rFonts w:cs="Arial"/>
                <w:b/>
              </w:rPr>
            </w:pPr>
          </w:p>
        </w:tc>
        <w:tc>
          <w:tcPr>
            <w:tcW w:w="1276" w:type="dxa"/>
          </w:tcPr>
          <w:p w14:paraId="5F3D7DCF" w14:textId="3EEAEBDD" w:rsidR="006E7F20" w:rsidRDefault="006E7F20" w:rsidP="006E7F20">
            <w:pPr>
              <w:pStyle w:val="EBBodyPara"/>
              <w:jc w:val="right"/>
              <w:rPr>
                <w:rFonts w:cs="Arial"/>
                <w:b/>
              </w:rPr>
            </w:pPr>
            <w:r>
              <w:rPr>
                <w:rFonts w:cs="Arial"/>
                <w:b/>
              </w:rPr>
              <w:t>Option 2</w:t>
            </w:r>
          </w:p>
          <w:p w14:paraId="721D1470" w14:textId="5B4E2064" w:rsidR="00221CDF" w:rsidRPr="006A0C4B" w:rsidRDefault="00221CDF" w:rsidP="0071483C">
            <w:pPr>
              <w:pStyle w:val="EBBodyPara"/>
              <w:jc w:val="right"/>
              <w:rPr>
                <w:rFonts w:cs="Arial"/>
                <w:b/>
              </w:rPr>
            </w:pPr>
            <w:r w:rsidRPr="006A0C4B">
              <w:rPr>
                <w:rFonts w:cs="Arial"/>
                <w:b/>
              </w:rPr>
              <w:t>1105Mt</w:t>
            </w:r>
          </w:p>
        </w:tc>
        <w:tc>
          <w:tcPr>
            <w:tcW w:w="1417" w:type="dxa"/>
          </w:tcPr>
          <w:p w14:paraId="75DA1713" w14:textId="25AD350C" w:rsidR="006E7F20" w:rsidRDefault="006E7F20" w:rsidP="006E7F20">
            <w:pPr>
              <w:pStyle w:val="EBBodyPara"/>
              <w:jc w:val="right"/>
              <w:rPr>
                <w:rFonts w:cs="Arial"/>
                <w:b/>
              </w:rPr>
            </w:pPr>
            <w:r>
              <w:rPr>
                <w:rFonts w:cs="Arial"/>
                <w:b/>
              </w:rPr>
              <w:t>Option 3</w:t>
            </w:r>
          </w:p>
          <w:p w14:paraId="60A60EB0" w14:textId="5567454A" w:rsidR="00221CDF" w:rsidRPr="006A0C4B" w:rsidRDefault="00221CDF" w:rsidP="0071483C">
            <w:pPr>
              <w:pStyle w:val="EBBodyPara"/>
              <w:jc w:val="right"/>
              <w:rPr>
                <w:rFonts w:cs="Arial"/>
                <w:b/>
              </w:rPr>
            </w:pPr>
            <w:r w:rsidRPr="006A0C4B">
              <w:rPr>
                <w:rFonts w:cs="Arial"/>
                <w:b/>
              </w:rPr>
              <w:t>965Mt</w:t>
            </w:r>
          </w:p>
        </w:tc>
        <w:tc>
          <w:tcPr>
            <w:tcW w:w="1212" w:type="dxa"/>
          </w:tcPr>
          <w:p w14:paraId="1A391793" w14:textId="64CCB224" w:rsidR="006E7F20" w:rsidRDefault="006E7F20" w:rsidP="006E7F20">
            <w:pPr>
              <w:pStyle w:val="EBBodyPara"/>
              <w:jc w:val="right"/>
              <w:rPr>
                <w:rFonts w:cs="Arial"/>
                <w:b/>
              </w:rPr>
            </w:pPr>
            <w:r>
              <w:rPr>
                <w:rFonts w:cs="Arial"/>
                <w:b/>
              </w:rPr>
              <w:t>Option 4</w:t>
            </w:r>
          </w:p>
          <w:p w14:paraId="5D8E5578" w14:textId="00D8DA3D" w:rsidR="00221CDF" w:rsidRPr="006A0C4B" w:rsidRDefault="00221CDF" w:rsidP="0071483C">
            <w:pPr>
              <w:pStyle w:val="EBBodyPara"/>
              <w:jc w:val="right"/>
              <w:rPr>
                <w:rFonts w:cs="Arial"/>
                <w:b/>
              </w:rPr>
            </w:pPr>
            <w:r w:rsidRPr="006A0C4B">
              <w:rPr>
                <w:rFonts w:cs="Arial"/>
                <w:b/>
              </w:rPr>
              <w:t>865Mt</w:t>
            </w:r>
          </w:p>
        </w:tc>
      </w:tr>
      <w:tr w:rsidR="00221CDF" w:rsidRPr="00221CDF" w14:paraId="6477C128" w14:textId="77777777" w:rsidTr="001350AF">
        <w:trPr>
          <w:trHeight w:val="184"/>
          <w:jc w:val="center"/>
        </w:trPr>
        <w:tc>
          <w:tcPr>
            <w:tcW w:w="3681" w:type="dxa"/>
          </w:tcPr>
          <w:p w14:paraId="00D78AD1" w14:textId="77777777" w:rsidR="00221CDF" w:rsidRPr="006A0C4B" w:rsidRDefault="00221CDF" w:rsidP="006047CE">
            <w:pPr>
              <w:pStyle w:val="EBBodyPara"/>
              <w:rPr>
                <w:rFonts w:cs="Arial"/>
                <w:b/>
              </w:rPr>
            </w:pPr>
            <w:r w:rsidRPr="006A0C4B">
              <w:rPr>
                <w:rFonts w:cs="Arial"/>
                <w:b/>
              </w:rPr>
              <w:t>Central NPV</w:t>
            </w:r>
          </w:p>
        </w:tc>
        <w:tc>
          <w:tcPr>
            <w:tcW w:w="1559" w:type="dxa"/>
          </w:tcPr>
          <w:p w14:paraId="67F511E5" w14:textId="77777777" w:rsidR="00221CDF" w:rsidRPr="006A0C4B" w:rsidRDefault="00221CDF" w:rsidP="006047CE">
            <w:pPr>
              <w:pStyle w:val="EBBodyPara"/>
              <w:rPr>
                <w:rFonts w:cs="Arial"/>
              </w:rPr>
            </w:pPr>
          </w:p>
        </w:tc>
        <w:tc>
          <w:tcPr>
            <w:tcW w:w="1276" w:type="dxa"/>
          </w:tcPr>
          <w:p w14:paraId="3FBC7135" w14:textId="76A40D1F" w:rsidR="00221CDF" w:rsidRPr="006A0C4B" w:rsidRDefault="00221CDF" w:rsidP="0071483C">
            <w:pPr>
              <w:pStyle w:val="EBBodyPara"/>
              <w:jc w:val="right"/>
              <w:rPr>
                <w:rFonts w:cs="Arial"/>
              </w:rPr>
            </w:pPr>
            <w:r w:rsidRPr="006A0C4B">
              <w:rPr>
                <w:rFonts w:cs="Arial"/>
              </w:rPr>
              <w:t>£</w:t>
            </w:r>
            <w:r w:rsidR="00DB0D4C" w:rsidRPr="006A0C4B">
              <w:rPr>
                <w:rFonts w:cs="Arial"/>
              </w:rPr>
              <w:t>2</w:t>
            </w:r>
            <w:r w:rsidR="00875C15" w:rsidRPr="006A0C4B">
              <w:rPr>
                <w:rFonts w:cs="Arial"/>
              </w:rPr>
              <w:t>89</w:t>
            </w:r>
            <w:r w:rsidR="00DB0D4C" w:rsidRPr="006A0C4B">
              <w:rPr>
                <w:rFonts w:cs="Arial"/>
              </w:rPr>
              <w:t>bn</w:t>
            </w:r>
          </w:p>
        </w:tc>
        <w:tc>
          <w:tcPr>
            <w:tcW w:w="1417" w:type="dxa"/>
          </w:tcPr>
          <w:p w14:paraId="3B4FDC97" w14:textId="0E984D02" w:rsidR="00221CDF" w:rsidRPr="006A0C4B" w:rsidRDefault="00221CDF" w:rsidP="0071483C">
            <w:pPr>
              <w:pStyle w:val="EBBodyPara"/>
              <w:jc w:val="right"/>
              <w:rPr>
                <w:rFonts w:cs="Arial"/>
              </w:rPr>
            </w:pPr>
            <w:r w:rsidRPr="006A0C4B">
              <w:rPr>
                <w:rFonts w:cs="Arial"/>
              </w:rPr>
              <w:t>£2</w:t>
            </w:r>
            <w:r w:rsidR="00875C15" w:rsidRPr="006A0C4B">
              <w:rPr>
                <w:rFonts w:cs="Arial"/>
              </w:rPr>
              <w:t>66</w:t>
            </w:r>
            <w:r w:rsidRPr="006A0C4B">
              <w:rPr>
                <w:rFonts w:cs="Arial"/>
              </w:rPr>
              <w:t xml:space="preserve">bn </w:t>
            </w:r>
          </w:p>
        </w:tc>
        <w:tc>
          <w:tcPr>
            <w:tcW w:w="1212" w:type="dxa"/>
          </w:tcPr>
          <w:p w14:paraId="01CE5AA3" w14:textId="03CF0B30" w:rsidR="00221CDF" w:rsidRPr="006A0C4B" w:rsidRDefault="00221CDF" w:rsidP="0071483C">
            <w:pPr>
              <w:pStyle w:val="EBBodyPara"/>
              <w:jc w:val="right"/>
              <w:rPr>
                <w:rFonts w:cs="Arial"/>
              </w:rPr>
            </w:pPr>
            <w:r w:rsidRPr="006A0C4B">
              <w:rPr>
                <w:rFonts w:cs="Arial"/>
              </w:rPr>
              <w:t>£</w:t>
            </w:r>
            <w:r w:rsidR="006D0C23" w:rsidRPr="006A0C4B">
              <w:rPr>
                <w:rFonts w:cs="Arial"/>
              </w:rPr>
              <w:t>21</w:t>
            </w:r>
            <w:r w:rsidR="00875C15" w:rsidRPr="006A0C4B">
              <w:rPr>
                <w:rFonts w:cs="Arial"/>
              </w:rPr>
              <w:t>1</w:t>
            </w:r>
            <w:r w:rsidRPr="006A0C4B">
              <w:rPr>
                <w:rFonts w:cs="Arial"/>
              </w:rPr>
              <w:t>bn</w:t>
            </w:r>
          </w:p>
        </w:tc>
      </w:tr>
      <w:tr w:rsidR="00221CDF" w:rsidRPr="00221CDF" w14:paraId="4A960DAB" w14:textId="77777777" w:rsidTr="001350AF">
        <w:trPr>
          <w:trHeight w:val="448"/>
          <w:jc w:val="center"/>
        </w:trPr>
        <w:tc>
          <w:tcPr>
            <w:tcW w:w="3681" w:type="dxa"/>
            <w:vMerge w:val="restart"/>
          </w:tcPr>
          <w:p w14:paraId="613A003C" w14:textId="77777777" w:rsidR="00221CDF" w:rsidRPr="006A0C4B" w:rsidRDefault="00221CDF" w:rsidP="006047CE">
            <w:pPr>
              <w:pStyle w:val="EBBodyPara"/>
              <w:rPr>
                <w:rFonts w:cs="Arial"/>
                <w:b/>
              </w:rPr>
            </w:pPr>
            <w:r w:rsidRPr="006A0C4B">
              <w:rPr>
                <w:rFonts w:cs="Arial"/>
                <w:b/>
              </w:rPr>
              <w:t>Fuel prices</w:t>
            </w:r>
          </w:p>
        </w:tc>
        <w:tc>
          <w:tcPr>
            <w:tcW w:w="1559" w:type="dxa"/>
          </w:tcPr>
          <w:p w14:paraId="0927F370" w14:textId="77777777" w:rsidR="00221CDF" w:rsidRPr="006A0C4B" w:rsidRDefault="00221CDF" w:rsidP="006047CE">
            <w:pPr>
              <w:pStyle w:val="EBBodyPara"/>
              <w:rPr>
                <w:rFonts w:cs="Arial"/>
              </w:rPr>
            </w:pPr>
            <w:r w:rsidRPr="006A0C4B">
              <w:rPr>
                <w:rFonts w:cs="Arial"/>
              </w:rPr>
              <w:t>Low</w:t>
            </w:r>
          </w:p>
        </w:tc>
        <w:tc>
          <w:tcPr>
            <w:tcW w:w="1276" w:type="dxa"/>
          </w:tcPr>
          <w:p w14:paraId="5CB2C9E8" w14:textId="583193B1" w:rsidR="00221CDF" w:rsidRPr="006A0C4B" w:rsidRDefault="00D11551" w:rsidP="0071483C">
            <w:pPr>
              <w:pStyle w:val="EBBodyPara"/>
              <w:jc w:val="right"/>
              <w:rPr>
                <w:rFonts w:cs="Arial"/>
              </w:rPr>
            </w:pPr>
            <w:r w:rsidRPr="006A0C4B">
              <w:rPr>
                <w:rFonts w:cs="Arial"/>
              </w:rPr>
              <w:t>£2</w:t>
            </w:r>
            <w:r w:rsidR="00875C15" w:rsidRPr="006A0C4B">
              <w:rPr>
                <w:rFonts w:cs="Arial"/>
              </w:rPr>
              <w:t>57</w:t>
            </w:r>
            <w:r w:rsidRPr="006A0C4B">
              <w:rPr>
                <w:rFonts w:cs="Arial"/>
              </w:rPr>
              <w:t>bn</w:t>
            </w:r>
            <w:r w:rsidR="00B60423" w:rsidRPr="006A0C4B">
              <w:rPr>
                <w:rFonts w:cs="Arial"/>
              </w:rPr>
              <w:br/>
            </w:r>
            <w:r w:rsidR="00482E1C" w:rsidRPr="006A0C4B">
              <w:rPr>
                <w:rFonts w:cs="Arial"/>
              </w:rPr>
              <w:t>-11%</w:t>
            </w:r>
          </w:p>
        </w:tc>
        <w:tc>
          <w:tcPr>
            <w:tcW w:w="1417" w:type="dxa"/>
          </w:tcPr>
          <w:p w14:paraId="51F8A84A" w14:textId="6F45F948" w:rsidR="00221CDF" w:rsidRPr="006A0C4B" w:rsidRDefault="00D11551" w:rsidP="0071483C">
            <w:pPr>
              <w:pStyle w:val="EBBodyPara"/>
              <w:jc w:val="right"/>
              <w:rPr>
                <w:rFonts w:cs="Arial"/>
              </w:rPr>
            </w:pPr>
            <w:r w:rsidRPr="006A0C4B">
              <w:rPr>
                <w:rFonts w:cs="Arial"/>
              </w:rPr>
              <w:t>£</w:t>
            </w:r>
            <w:r w:rsidR="00875C15" w:rsidRPr="006A0C4B">
              <w:rPr>
                <w:rFonts w:cs="Arial"/>
              </w:rPr>
              <w:t>224</w:t>
            </w:r>
            <w:r w:rsidRPr="006A0C4B">
              <w:rPr>
                <w:rFonts w:cs="Arial"/>
              </w:rPr>
              <w:t>bn</w:t>
            </w:r>
            <w:r w:rsidR="00B60423" w:rsidRPr="006A0C4B">
              <w:rPr>
                <w:rFonts w:cs="Arial"/>
              </w:rPr>
              <w:br/>
            </w:r>
            <w:r w:rsidR="00482E1C" w:rsidRPr="006A0C4B">
              <w:rPr>
                <w:rFonts w:cs="Arial"/>
              </w:rPr>
              <w:t>-1</w:t>
            </w:r>
            <w:r w:rsidR="00FE0BBB" w:rsidRPr="006A0C4B">
              <w:rPr>
                <w:rFonts w:cs="Arial"/>
              </w:rPr>
              <w:t>6</w:t>
            </w:r>
            <w:r w:rsidR="00482E1C" w:rsidRPr="006A0C4B">
              <w:rPr>
                <w:rFonts w:cs="Arial"/>
              </w:rPr>
              <w:t>%</w:t>
            </w:r>
          </w:p>
        </w:tc>
        <w:tc>
          <w:tcPr>
            <w:tcW w:w="1212" w:type="dxa"/>
          </w:tcPr>
          <w:p w14:paraId="4B5D0502" w14:textId="6FA61B87" w:rsidR="00221CDF" w:rsidRPr="006A0C4B" w:rsidRDefault="00D11551" w:rsidP="0071483C">
            <w:pPr>
              <w:pStyle w:val="EBBodyPara"/>
              <w:jc w:val="right"/>
              <w:rPr>
                <w:rFonts w:cs="Arial"/>
              </w:rPr>
            </w:pPr>
            <w:r w:rsidRPr="006A0C4B">
              <w:rPr>
                <w:rFonts w:cs="Arial"/>
              </w:rPr>
              <w:t>£17</w:t>
            </w:r>
            <w:r w:rsidR="00875C15" w:rsidRPr="006A0C4B">
              <w:rPr>
                <w:rFonts w:cs="Arial"/>
              </w:rPr>
              <w:t>3</w:t>
            </w:r>
            <w:r w:rsidRPr="006A0C4B">
              <w:rPr>
                <w:rFonts w:cs="Arial"/>
              </w:rPr>
              <w:t>bn</w:t>
            </w:r>
            <w:r w:rsidR="00B60423" w:rsidRPr="006A0C4B">
              <w:rPr>
                <w:rFonts w:cs="Arial"/>
              </w:rPr>
              <w:br/>
            </w:r>
            <w:r w:rsidR="00482E1C" w:rsidRPr="006A0C4B">
              <w:rPr>
                <w:rFonts w:cs="Arial"/>
              </w:rPr>
              <w:t>-18%</w:t>
            </w:r>
          </w:p>
        </w:tc>
      </w:tr>
      <w:tr w:rsidR="00221CDF" w:rsidRPr="00221CDF" w14:paraId="4CDC72F8" w14:textId="77777777" w:rsidTr="001350AF">
        <w:trPr>
          <w:trHeight w:val="448"/>
          <w:jc w:val="center"/>
        </w:trPr>
        <w:tc>
          <w:tcPr>
            <w:tcW w:w="3681" w:type="dxa"/>
            <w:vMerge/>
          </w:tcPr>
          <w:p w14:paraId="79974131" w14:textId="77777777" w:rsidR="00221CDF" w:rsidRPr="006A0C4B" w:rsidRDefault="00221CDF" w:rsidP="006047CE">
            <w:pPr>
              <w:pStyle w:val="EBBodyPara"/>
              <w:rPr>
                <w:rFonts w:cs="Arial"/>
                <w:b/>
              </w:rPr>
            </w:pPr>
          </w:p>
        </w:tc>
        <w:tc>
          <w:tcPr>
            <w:tcW w:w="1559" w:type="dxa"/>
          </w:tcPr>
          <w:p w14:paraId="3AAD0078" w14:textId="77777777" w:rsidR="00221CDF" w:rsidRPr="006A0C4B" w:rsidRDefault="00221CDF" w:rsidP="006047CE">
            <w:pPr>
              <w:pStyle w:val="EBBodyPara"/>
              <w:rPr>
                <w:rFonts w:cs="Arial"/>
              </w:rPr>
            </w:pPr>
            <w:r w:rsidRPr="006A0C4B">
              <w:rPr>
                <w:rFonts w:cs="Arial"/>
              </w:rPr>
              <w:t>High</w:t>
            </w:r>
          </w:p>
        </w:tc>
        <w:tc>
          <w:tcPr>
            <w:tcW w:w="1276" w:type="dxa"/>
          </w:tcPr>
          <w:p w14:paraId="19F7C540" w14:textId="78B6776E" w:rsidR="00221CDF" w:rsidRPr="006A0C4B" w:rsidRDefault="00D11551" w:rsidP="0071483C">
            <w:pPr>
              <w:pStyle w:val="EBBodyPara"/>
              <w:jc w:val="right"/>
              <w:rPr>
                <w:rFonts w:cs="Arial"/>
              </w:rPr>
            </w:pPr>
            <w:r w:rsidRPr="006A0C4B">
              <w:rPr>
                <w:rFonts w:cs="Arial"/>
              </w:rPr>
              <w:t>£305</w:t>
            </w:r>
            <w:r w:rsidR="00482E1C" w:rsidRPr="006A0C4B">
              <w:rPr>
                <w:rFonts w:cs="Arial"/>
              </w:rPr>
              <w:t>bn</w:t>
            </w:r>
            <w:r w:rsidR="00B60423" w:rsidRPr="006A0C4B">
              <w:rPr>
                <w:rFonts w:cs="Arial"/>
              </w:rPr>
              <w:br/>
            </w:r>
            <w:r w:rsidR="00482E1C" w:rsidRPr="006A0C4B">
              <w:rPr>
                <w:rFonts w:cs="Arial"/>
              </w:rPr>
              <w:t>+</w:t>
            </w:r>
            <w:r w:rsidR="00D57DC8" w:rsidRPr="006A0C4B">
              <w:rPr>
                <w:rFonts w:cs="Arial"/>
              </w:rPr>
              <w:t>6</w:t>
            </w:r>
            <w:r w:rsidR="00B60423" w:rsidRPr="006A0C4B">
              <w:rPr>
                <w:rFonts w:cs="Arial"/>
              </w:rPr>
              <w:t>%</w:t>
            </w:r>
          </w:p>
        </w:tc>
        <w:tc>
          <w:tcPr>
            <w:tcW w:w="1417" w:type="dxa"/>
          </w:tcPr>
          <w:p w14:paraId="5156F0EE" w14:textId="4FCA61E7" w:rsidR="00221CDF" w:rsidRPr="006A0C4B" w:rsidRDefault="00D11551" w:rsidP="0071483C">
            <w:pPr>
              <w:pStyle w:val="EBBodyPara"/>
              <w:jc w:val="right"/>
              <w:rPr>
                <w:rFonts w:cs="Arial"/>
              </w:rPr>
            </w:pPr>
            <w:r w:rsidRPr="006A0C4B">
              <w:rPr>
                <w:rFonts w:cs="Arial"/>
              </w:rPr>
              <w:t>£27</w:t>
            </w:r>
            <w:r w:rsidR="00875C15" w:rsidRPr="006A0C4B">
              <w:rPr>
                <w:rFonts w:cs="Arial"/>
              </w:rPr>
              <w:t>6</w:t>
            </w:r>
            <w:r w:rsidR="00482E1C" w:rsidRPr="006A0C4B">
              <w:rPr>
                <w:rFonts w:cs="Arial"/>
              </w:rPr>
              <w:t>bn</w:t>
            </w:r>
            <w:r w:rsidR="00B60423" w:rsidRPr="006A0C4B">
              <w:rPr>
                <w:rFonts w:cs="Arial"/>
              </w:rPr>
              <w:br/>
            </w:r>
            <w:r w:rsidR="00482E1C" w:rsidRPr="006A0C4B">
              <w:rPr>
                <w:rFonts w:cs="Arial"/>
              </w:rPr>
              <w:t>+</w:t>
            </w:r>
            <w:r w:rsidR="00D57DC8" w:rsidRPr="006A0C4B">
              <w:rPr>
                <w:rFonts w:cs="Arial"/>
              </w:rPr>
              <w:t>4</w:t>
            </w:r>
            <w:r w:rsidR="00482E1C" w:rsidRPr="006A0C4B">
              <w:rPr>
                <w:rFonts w:cs="Arial"/>
              </w:rPr>
              <w:t>%</w:t>
            </w:r>
          </w:p>
        </w:tc>
        <w:tc>
          <w:tcPr>
            <w:tcW w:w="1212" w:type="dxa"/>
          </w:tcPr>
          <w:p w14:paraId="0F65BBA5" w14:textId="7EF903F0" w:rsidR="00221CDF" w:rsidRPr="006A0C4B" w:rsidRDefault="00D11551" w:rsidP="0071483C">
            <w:pPr>
              <w:pStyle w:val="EBBodyPara"/>
              <w:jc w:val="right"/>
              <w:rPr>
                <w:rFonts w:cs="Arial"/>
              </w:rPr>
            </w:pPr>
            <w:r w:rsidRPr="006A0C4B">
              <w:rPr>
                <w:rFonts w:cs="Arial"/>
              </w:rPr>
              <w:t>£25</w:t>
            </w:r>
            <w:r w:rsidR="00875C15" w:rsidRPr="006A0C4B">
              <w:rPr>
                <w:rFonts w:cs="Arial"/>
              </w:rPr>
              <w:t>1</w:t>
            </w:r>
            <w:r w:rsidR="00482E1C" w:rsidRPr="006A0C4B">
              <w:rPr>
                <w:rFonts w:cs="Arial"/>
              </w:rPr>
              <w:t>bn</w:t>
            </w:r>
            <w:r w:rsidR="00B60423" w:rsidRPr="006A0C4B">
              <w:rPr>
                <w:rFonts w:cs="Arial"/>
              </w:rPr>
              <w:br/>
            </w:r>
            <w:r w:rsidR="00482E1C" w:rsidRPr="006A0C4B">
              <w:rPr>
                <w:rFonts w:cs="Arial"/>
              </w:rPr>
              <w:t>+1</w:t>
            </w:r>
            <w:r w:rsidR="00D57DC8" w:rsidRPr="006A0C4B">
              <w:rPr>
                <w:rFonts w:cs="Arial"/>
              </w:rPr>
              <w:t>9</w:t>
            </w:r>
            <w:r w:rsidR="00482E1C" w:rsidRPr="006A0C4B">
              <w:rPr>
                <w:rFonts w:cs="Arial"/>
              </w:rPr>
              <w:t>%</w:t>
            </w:r>
          </w:p>
        </w:tc>
      </w:tr>
      <w:tr w:rsidR="00221CDF" w:rsidRPr="00221CDF" w14:paraId="376BED30" w14:textId="77777777" w:rsidTr="001350AF">
        <w:trPr>
          <w:trHeight w:val="649"/>
          <w:jc w:val="center"/>
        </w:trPr>
        <w:tc>
          <w:tcPr>
            <w:tcW w:w="3681" w:type="dxa"/>
          </w:tcPr>
          <w:p w14:paraId="40337F9E" w14:textId="77777777" w:rsidR="00221CDF" w:rsidRPr="006A0C4B" w:rsidRDefault="00221CDF" w:rsidP="006047CE">
            <w:pPr>
              <w:pStyle w:val="EBBodyPara"/>
              <w:rPr>
                <w:rFonts w:cs="Arial"/>
                <w:b/>
              </w:rPr>
            </w:pPr>
            <w:r w:rsidRPr="006A0C4B">
              <w:rPr>
                <w:rFonts w:cs="Arial"/>
                <w:b/>
              </w:rPr>
              <w:t>Carbon values</w:t>
            </w:r>
            <w:r w:rsidRPr="006A0C4B">
              <w:rPr>
                <w:rStyle w:val="FootnoteReference"/>
                <w:rFonts w:cs="Arial"/>
                <w:b/>
              </w:rPr>
              <w:footnoteReference w:id="51"/>
            </w:r>
          </w:p>
        </w:tc>
        <w:tc>
          <w:tcPr>
            <w:tcW w:w="1559" w:type="dxa"/>
          </w:tcPr>
          <w:p w14:paraId="12B39CFA" w14:textId="77777777" w:rsidR="00221CDF" w:rsidRPr="006A0C4B" w:rsidRDefault="00221CDF" w:rsidP="006047CE">
            <w:pPr>
              <w:pStyle w:val="EBBodyPara"/>
              <w:rPr>
                <w:rFonts w:cs="Arial"/>
              </w:rPr>
            </w:pPr>
            <w:r w:rsidRPr="006A0C4B">
              <w:rPr>
                <w:rFonts w:cs="Arial"/>
              </w:rPr>
              <w:t>Current central series</w:t>
            </w:r>
          </w:p>
        </w:tc>
        <w:tc>
          <w:tcPr>
            <w:tcW w:w="1276" w:type="dxa"/>
          </w:tcPr>
          <w:p w14:paraId="0F99EEBA" w14:textId="03A0A2CE" w:rsidR="00221CDF" w:rsidRPr="006A0C4B" w:rsidRDefault="00221CDF" w:rsidP="0071483C">
            <w:pPr>
              <w:pStyle w:val="EBBodyPara"/>
              <w:jc w:val="right"/>
              <w:rPr>
                <w:rFonts w:cs="Arial"/>
              </w:rPr>
            </w:pPr>
            <w:r w:rsidRPr="006A0C4B">
              <w:rPr>
                <w:rFonts w:cs="Arial"/>
              </w:rPr>
              <w:t>£</w:t>
            </w:r>
            <w:r w:rsidR="00FE0BBB" w:rsidRPr="006A0C4B">
              <w:rPr>
                <w:rFonts w:cs="Arial"/>
              </w:rPr>
              <w:t>51bn</w:t>
            </w:r>
            <w:r w:rsidRPr="006A0C4B">
              <w:rPr>
                <w:rFonts w:cs="Arial"/>
              </w:rPr>
              <w:br/>
              <w:t>-8</w:t>
            </w:r>
            <w:r w:rsidR="005360E1" w:rsidRPr="006A0C4B">
              <w:rPr>
                <w:rFonts w:cs="Arial"/>
              </w:rPr>
              <w:t>2</w:t>
            </w:r>
            <w:r w:rsidRPr="006A0C4B">
              <w:rPr>
                <w:rFonts w:cs="Arial"/>
              </w:rPr>
              <w:t>%</w:t>
            </w:r>
          </w:p>
        </w:tc>
        <w:tc>
          <w:tcPr>
            <w:tcW w:w="1417" w:type="dxa"/>
          </w:tcPr>
          <w:p w14:paraId="1F680920" w14:textId="3F3B3748" w:rsidR="00221CDF" w:rsidRPr="006A0C4B" w:rsidRDefault="00221CDF" w:rsidP="0071483C">
            <w:pPr>
              <w:pStyle w:val="EBBodyPara"/>
              <w:jc w:val="right"/>
              <w:rPr>
                <w:rFonts w:cs="Arial"/>
              </w:rPr>
            </w:pPr>
            <w:r w:rsidRPr="006A0C4B">
              <w:rPr>
                <w:rFonts w:cs="Arial"/>
              </w:rPr>
              <w:t>£</w:t>
            </w:r>
            <w:r w:rsidR="00FE0BBB" w:rsidRPr="006A0C4B">
              <w:rPr>
                <w:rFonts w:cs="Arial"/>
              </w:rPr>
              <w:t>15bn</w:t>
            </w:r>
            <w:r w:rsidRPr="006A0C4B">
              <w:rPr>
                <w:rFonts w:cs="Arial"/>
              </w:rPr>
              <w:br/>
              <w:t>-</w:t>
            </w:r>
            <w:r w:rsidR="00D57DC8" w:rsidRPr="006A0C4B">
              <w:rPr>
                <w:rFonts w:cs="Arial"/>
              </w:rPr>
              <w:t>94</w:t>
            </w:r>
            <w:r w:rsidRPr="006A0C4B">
              <w:rPr>
                <w:rFonts w:cs="Arial"/>
              </w:rPr>
              <w:t>%</w:t>
            </w:r>
          </w:p>
        </w:tc>
        <w:tc>
          <w:tcPr>
            <w:tcW w:w="1212" w:type="dxa"/>
          </w:tcPr>
          <w:p w14:paraId="7532C2E6" w14:textId="6015A124" w:rsidR="00221CDF" w:rsidRPr="006A0C4B" w:rsidRDefault="00221CDF" w:rsidP="0071483C">
            <w:pPr>
              <w:pStyle w:val="EBBodyPara"/>
              <w:jc w:val="right"/>
              <w:rPr>
                <w:rFonts w:cs="Arial"/>
              </w:rPr>
            </w:pPr>
            <w:r w:rsidRPr="006A0C4B">
              <w:rPr>
                <w:rFonts w:cs="Arial"/>
              </w:rPr>
              <w:t>-£</w:t>
            </w:r>
            <w:r w:rsidR="00FE0BBB" w:rsidRPr="006A0C4B">
              <w:rPr>
                <w:rFonts w:cs="Arial"/>
              </w:rPr>
              <w:t>46bn</w:t>
            </w:r>
            <w:r w:rsidRPr="006A0C4B">
              <w:rPr>
                <w:rFonts w:cs="Arial"/>
              </w:rPr>
              <w:br/>
              <w:t>-</w:t>
            </w:r>
            <w:r w:rsidR="00D57DC8" w:rsidRPr="006A0C4B">
              <w:rPr>
                <w:rFonts w:cs="Arial"/>
              </w:rPr>
              <w:t>122</w:t>
            </w:r>
            <w:r w:rsidRPr="006A0C4B">
              <w:rPr>
                <w:rFonts w:cs="Arial"/>
              </w:rPr>
              <w:t>%</w:t>
            </w:r>
          </w:p>
        </w:tc>
      </w:tr>
      <w:tr w:rsidR="00221CDF" w:rsidRPr="00221CDF" w14:paraId="26B66A79" w14:textId="77777777" w:rsidTr="001350AF">
        <w:trPr>
          <w:trHeight w:val="911"/>
          <w:jc w:val="center"/>
        </w:trPr>
        <w:tc>
          <w:tcPr>
            <w:tcW w:w="3681" w:type="dxa"/>
            <w:vMerge w:val="restart"/>
          </w:tcPr>
          <w:p w14:paraId="42771930" w14:textId="77777777" w:rsidR="00221CDF" w:rsidRPr="006A0C4B" w:rsidRDefault="00221CDF" w:rsidP="006047CE">
            <w:pPr>
              <w:pStyle w:val="EBBodyPara"/>
              <w:spacing w:line="259" w:lineRule="auto"/>
              <w:rPr>
                <w:rFonts w:cs="Arial"/>
                <w:b/>
              </w:rPr>
            </w:pPr>
            <w:r w:rsidRPr="006A0C4B">
              <w:rPr>
                <w:rFonts w:cs="Arial"/>
                <w:b/>
              </w:rPr>
              <w:t>GDP growth</w:t>
            </w:r>
          </w:p>
        </w:tc>
        <w:tc>
          <w:tcPr>
            <w:tcW w:w="1559" w:type="dxa"/>
          </w:tcPr>
          <w:p w14:paraId="6E0E1C9A" w14:textId="52364CFC" w:rsidR="00221CDF" w:rsidRPr="006A0C4B" w:rsidRDefault="00221CDF" w:rsidP="006047CE">
            <w:pPr>
              <w:pStyle w:val="EBBodyPara"/>
              <w:rPr>
                <w:rFonts w:cs="Arial"/>
              </w:rPr>
            </w:pPr>
            <w:r w:rsidRPr="006A0C4B">
              <w:rPr>
                <w:rFonts w:cs="Arial"/>
              </w:rPr>
              <w:t>Low</w:t>
            </w:r>
          </w:p>
        </w:tc>
        <w:tc>
          <w:tcPr>
            <w:tcW w:w="1276" w:type="dxa"/>
          </w:tcPr>
          <w:p w14:paraId="4DFE3290" w14:textId="49E60471" w:rsidR="00221CDF" w:rsidRPr="006A0C4B" w:rsidRDefault="00D11551" w:rsidP="0071483C">
            <w:pPr>
              <w:pStyle w:val="EBBodyPara"/>
              <w:jc w:val="right"/>
              <w:rPr>
                <w:rFonts w:cs="Arial"/>
              </w:rPr>
            </w:pPr>
            <w:r w:rsidRPr="006A0C4B">
              <w:rPr>
                <w:rFonts w:cs="Arial"/>
              </w:rPr>
              <w:t>£314</w:t>
            </w:r>
            <w:r w:rsidR="00B60423" w:rsidRPr="006A0C4B">
              <w:rPr>
                <w:rFonts w:cs="Arial"/>
              </w:rPr>
              <w:t>bn</w:t>
            </w:r>
          </w:p>
          <w:p w14:paraId="2E6C3BCE" w14:textId="13B751CF" w:rsidR="00221CDF" w:rsidRPr="006A0C4B" w:rsidRDefault="00B35322" w:rsidP="0071483C">
            <w:pPr>
              <w:pStyle w:val="EBBodyPara"/>
              <w:jc w:val="right"/>
              <w:rPr>
                <w:rFonts w:cs="Arial"/>
              </w:rPr>
            </w:pPr>
            <w:r w:rsidRPr="006A0C4B">
              <w:rPr>
                <w:rFonts w:cs="Arial"/>
              </w:rPr>
              <w:t>+</w:t>
            </w:r>
            <w:r w:rsidR="00D57DC8" w:rsidRPr="006A0C4B">
              <w:rPr>
                <w:rFonts w:cs="Arial"/>
              </w:rPr>
              <w:t>9</w:t>
            </w:r>
            <w:r w:rsidRPr="006A0C4B">
              <w:rPr>
                <w:rFonts w:cs="Arial"/>
              </w:rPr>
              <w:t>%</w:t>
            </w:r>
          </w:p>
        </w:tc>
        <w:tc>
          <w:tcPr>
            <w:tcW w:w="1417" w:type="dxa"/>
          </w:tcPr>
          <w:p w14:paraId="47CD8B40" w14:textId="36264701" w:rsidR="00221CDF" w:rsidRPr="006A0C4B" w:rsidRDefault="002B19A1" w:rsidP="0071483C">
            <w:pPr>
              <w:pStyle w:val="EBBodyPara"/>
              <w:jc w:val="right"/>
              <w:rPr>
                <w:rFonts w:cs="Arial"/>
              </w:rPr>
            </w:pPr>
            <w:r w:rsidRPr="006A0C4B">
              <w:rPr>
                <w:rFonts w:cs="Arial"/>
              </w:rPr>
              <w:t>£280</w:t>
            </w:r>
            <w:r w:rsidR="00B60423" w:rsidRPr="006A0C4B">
              <w:rPr>
                <w:rFonts w:cs="Arial"/>
              </w:rPr>
              <w:t>bn</w:t>
            </w:r>
          </w:p>
          <w:p w14:paraId="093F0B0E" w14:textId="306F3A6E" w:rsidR="00221CDF" w:rsidRPr="006A0C4B" w:rsidRDefault="00B35322" w:rsidP="0071483C">
            <w:pPr>
              <w:pStyle w:val="EBBodyPara"/>
              <w:jc w:val="right"/>
              <w:rPr>
                <w:rFonts w:cs="Arial"/>
              </w:rPr>
            </w:pPr>
            <w:r w:rsidRPr="006A0C4B">
              <w:rPr>
                <w:rFonts w:cs="Arial"/>
              </w:rPr>
              <w:t>+</w:t>
            </w:r>
            <w:r w:rsidR="00D57DC8" w:rsidRPr="006A0C4B">
              <w:rPr>
                <w:rFonts w:cs="Arial"/>
              </w:rPr>
              <w:t>5</w:t>
            </w:r>
            <w:r w:rsidRPr="006A0C4B">
              <w:rPr>
                <w:rFonts w:cs="Arial"/>
              </w:rPr>
              <w:t>%</w:t>
            </w:r>
          </w:p>
        </w:tc>
        <w:tc>
          <w:tcPr>
            <w:tcW w:w="1212" w:type="dxa"/>
          </w:tcPr>
          <w:p w14:paraId="1106056C" w14:textId="1D3AB092" w:rsidR="00221CDF" w:rsidRPr="006A0C4B" w:rsidRDefault="00D11551" w:rsidP="0071483C">
            <w:pPr>
              <w:pStyle w:val="EBBodyPara"/>
              <w:jc w:val="right"/>
              <w:rPr>
                <w:rFonts w:cs="Arial"/>
              </w:rPr>
            </w:pPr>
            <w:r w:rsidRPr="006A0C4B">
              <w:rPr>
                <w:rFonts w:cs="Arial"/>
              </w:rPr>
              <w:t>£239</w:t>
            </w:r>
            <w:r w:rsidR="00B60423" w:rsidRPr="006A0C4B">
              <w:rPr>
                <w:rFonts w:cs="Arial"/>
              </w:rPr>
              <w:t>bn</w:t>
            </w:r>
          </w:p>
          <w:p w14:paraId="5297DAEC" w14:textId="36215059" w:rsidR="00221CDF" w:rsidRPr="006A0C4B" w:rsidRDefault="00B35322" w:rsidP="0071483C">
            <w:pPr>
              <w:pStyle w:val="EBBodyPara"/>
              <w:jc w:val="right"/>
              <w:rPr>
                <w:rFonts w:cs="Arial"/>
              </w:rPr>
            </w:pPr>
            <w:r w:rsidRPr="006A0C4B">
              <w:rPr>
                <w:rFonts w:cs="Arial"/>
              </w:rPr>
              <w:t>+1</w:t>
            </w:r>
            <w:r w:rsidR="00D57DC8" w:rsidRPr="006A0C4B">
              <w:rPr>
                <w:rFonts w:cs="Arial"/>
              </w:rPr>
              <w:t>3</w:t>
            </w:r>
            <w:r w:rsidRPr="006A0C4B">
              <w:rPr>
                <w:rFonts w:cs="Arial"/>
              </w:rPr>
              <w:t>%</w:t>
            </w:r>
          </w:p>
        </w:tc>
      </w:tr>
      <w:tr w:rsidR="00221CDF" w:rsidRPr="00221CDF" w14:paraId="6BC2C974" w14:textId="77777777" w:rsidTr="001350AF">
        <w:trPr>
          <w:trHeight w:val="339"/>
          <w:jc w:val="center"/>
        </w:trPr>
        <w:tc>
          <w:tcPr>
            <w:tcW w:w="3681" w:type="dxa"/>
            <w:vMerge/>
          </w:tcPr>
          <w:p w14:paraId="3F1F7C86" w14:textId="77777777" w:rsidR="00221CDF" w:rsidRPr="006A0C4B" w:rsidRDefault="00221CDF" w:rsidP="006047CE">
            <w:pPr>
              <w:pStyle w:val="EBBodyPara"/>
              <w:spacing w:line="259" w:lineRule="auto"/>
              <w:rPr>
                <w:rFonts w:cs="Arial"/>
                <w:b/>
              </w:rPr>
            </w:pPr>
          </w:p>
        </w:tc>
        <w:tc>
          <w:tcPr>
            <w:tcW w:w="1559" w:type="dxa"/>
          </w:tcPr>
          <w:p w14:paraId="35F8EEFB" w14:textId="04CBA75E" w:rsidR="00221CDF" w:rsidRPr="006A0C4B" w:rsidRDefault="00221CDF" w:rsidP="006047CE">
            <w:pPr>
              <w:pStyle w:val="EBBodyPara"/>
              <w:rPr>
                <w:rFonts w:cs="Arial"/>
              </w:rPr>
            </w:pPr>
            <w:r w:rsidRPr="006A0C4B">
              <w:rPr>
                <w:rFonts w:cs="Arial"/>
              </w:rPr>
              <w:t>High</w:t>
            </w:r>
          </w:p>
        </w:tc>
        <w:tc>
          <w:tcPr>
            <w:tcW w:w="1276" w:type="dxa"/>
          </w:tcPr>
          <w:p w14:paraId="0C390D5B" w14:textId="37143DA0" w:rsidR="00221CDF" w:rsidRPr="006A0C4B" w:rsidRDefault="00D11551" w:rsidP="0071483C">
            <w:pPr>
              <w:pStyle w:val="EBBodyPara"/>
              <w:jc w:val="right"/>
              <w:rPr>
                <w:rFonts w:cs="Arial"/>
              </w:rPr>
            </w:pPr>
            <w:r w:rsidRPr="006A0C4B">
              <w:rPr>
                <w:rFonts w:cs="Arial"/>
              </w:rPr>
              <w:t>£</w:t>
            </w:r>
            <w:r w:rsidR="00B60423" w:rsidRPr="006A0C4B">
              <w:rPr>
                <w:rFonts w:cs="Arial"/>
              </w:rPr>
              <w:t>256bn</w:t>
            </w:r>
          </w:p>
          <w:p w14:paraId="29F4E5E8" w14:textId="3068A7FD" w:rsidR="00221CDF" w:rsidRPr="006A0C4B" w:rsidRDefault="00B35322" w:rsidP="0071483C">
            <w:pPr>
              <w:pStyle w:val="EBBodyPara"/>
              <w:jc w:val="right"/>
              <w:rPr>
                <w:rFonts w:cs="Arial"/>
              </w:rPr>
            </w:pPr>
            <w:r w:rsidRPr="006A0C4B">
              <w:rPr>
                <w:rFonts w:cs="Arial"/>
              </w:rPr>
              <w:t>-11%</w:t>
            </w:r>
          </w:p>
        </w:tc>
        <w:tc>
          <w:tcPr>
            <w:tcW w:w="1417" w:type="dxa"/>
          </w:tcPr>
          <w:p w14:paraId="6048385B" w14:textId="1E8CEE0E" w:rsidR="00221CDF" w:rsidRPr="006A0C4B" w:rsidRDefault="00D11551" w:rsidP="0071483C">
            <w:pPr>
              <w:pStyle w:val="EBBodyPara"/>
              <w:jc w:val="right"/>
              <w:rPr>
                <w:rFonts w:cs="Arial"/>
              </w:rPr>
            </w:pPr>
            <w:r w:rsidRPr="006A0C4B">
              <w:rPr>
                <w:rFonts w:cs="Arial"/>
              </w:rPr>
              <w:t>£</w:t>
            </w:r>
            <w:r w:rsidR="00B60423" w:rsidRPr="006A0C4B">
              <w:rPr>
                <w:rFonts w:cs="Arial"/>
              </w:rPr>
              <w:t>219bn</w:t>
            </w:r>
          </w:p>
          <w:p w14:paraId="3324BD23" w14:textId="1F955B24" w:rsidR="00221CDF" w:rsidRPr="006A0C4B" w:rsidRDefault="00B35322" w:rsidP="0071483C">
            <w:pPr>
              <w:pStyle w:val="EBBodyPara"/>
              <w:jc w:val="right"/>
              <w:rPr>
                <w:rFonts w:cs="Arial"/>
              </w:rPr>
            </w:pPr>
            <w:r w:rsidRPr="006A0C4B">
              <w:rPr>
                <w:rFonts w:cs="Arial"/>
              </w:rPr>
              <w:t>-1</w:t>
            </w:r>
            <w:r w:rsidR="00D57DC8" w:rsidRPr="006A0C4B">
              <w:rPr>
                <w:rFonts w:cs="Arial"/>
              </w:rPr>
              <w:t>8</w:t>
            </w:r>
            <w:r w:rsidRPr="006A0C4B">
              <w:rPr>
                <w:rFonts w:cs="Arial"/>
              </w:rPr>
              <w:t>%</w:t>
            </w:r>
          </w:p>
        </w:tc>
        <w:tc>
          <w:tcPr>
            <w:tcW w:w="1212" w:type="dxa"/>
          </w:tcPr>
          <w:p w14:paraId="54E740AF" w14:textId="3FD63591" w:rsidR="00221CDF" w:rsidRPr="006A0C4B" w:rsidRDefault="00D11551" w:rsidP="0071483C">
            <w:pPr>
              <w:pStyle w:val="EBBodyPara"/>
              <w:jc w:val="right"/>
              <w:rPr>
                <w:rFonts w:cs="Arial"/>
              </w:rPr>
            </w:pPr>
            <w:r w:rsidRPr="006A0C4B">
              <w:rPr>
                <w:rFonts w:cs="Arial"/>
              </w:rPr>
              <w:t>£</w:t>
            </w:r>
            <w:r w:rsidR="00B60423" w:rsidRPr="006A0C4B">
              <w:rPr>
                <w:rFonts w:cs="Arial"/>
              </w:rPr>
              <w:t>166bn</w:t>
            </w:r>
          </w:p>
          <w:p w14:paraId="2378C8F9" w14:textId="7FA0CB3D" w:rsidR="00221CDF" w:rsidRPr="006A0C4B" w:rsidRDefault="00B35322" w:rsidP="0071483C">
            <w:pPr>
              <w:pStyle w:val="EBBodyPara"/>
              <w:jc w:val="right"/>
              <w:rPr>
                <w:rFonts w:cs="Arial"/>
              </w:rPr>
            </w:pPr>
            <w:r w:rsidRPr="006A0C4B">
              <w:rPr>
                <w:rFonts w:cs="Arial"/>
              </w:rPr>
              <w:t>-20%</w:t>
            </w:r>
          </w:p>
        </w:tc>
      </w:tr>
      <w:tr w:rsidR="00221CDF" w:rsidRPr="00221CDF" w14:paraId="2AE7E70E" w14:textId="77777777" w:rsidTr="001350AF">
        <w:trPr>
          <w:trHeight w:val="316"/>
          <w:jc w:val="center"/>
        </w:trPr>
        <w:tc>
          <w:tcPr>
            <w:tcW w:w="3681" w:type="dxa"/>
          </w:tcPr>
          <w:p w14:paraId="08972CB8" w14:textId="5992891C" w:rsidR="00221CDF" w:rsidRPr="006A0C4B" w:rsidRDefault="00605D4D" w:rsidP="006047CE">
            <w:pPr>
              <w:pStyle w:val="EBBodyPara"/>
              <w:rPr>
                <w:rFonts w:cs="Arial"/>
                <w:b/>
              </w:rPr>
            </w:pPr>
            <w:r w:rsidRPr="006A0C4B">
              <w:rPr>
                <w:rFonts w:cs="Arial"/>
                <w:b/>
              </w:rPr>
              <w:t>E</w:t>
            </w:r>
            <w:r w:rsidR="00CF2DCB" w:rsidRPr="006A0C4B">
              <w:rPr>
                <w:rFonts w:cs="Arial"/>
                <w:b/>
              </w:rPr>
              <w:t>n</w:t>
            </w:r>
            <w:r w:rsidRPr="006A0C4B">
              <w:rPr>
                <w:rFonts w:cs="Arial"/>
                <w:b/>
              </w:rPr>
              <w:t>viron</w:t>
            </w:r>
            <w:r w:rsidR="00CF2DCB" w:rsidRPr="006A0C4B">
              <w:rPr>
                <w:rFonts w:cs="Arial"/>
                <w:b/>
              </w:rPr>
              <w:t>mental discount</w:t>
            </w:r>
            <w:r w:rsidR="00340DE7">
              <w:rPr>
                <w:rFonts w:cs="Arial"/>
                <w:b/>
              </w:rPr>
              <w:t xml:space="preserve"> </w:t>
            </w:r>
            <w:r w:rsidR="00CF2DCB" w:rsidRPr="006A0C4B">
              <w:rPr>
                <w:rFonts w:cs="Arial"/>
                <w:b/>
              </w:rPr>
              <w:t>rate</w:t>
            </w:r>
            <w:r w:rsidR="00AD12E6" w:rsidRPr="01F21943">
              <w:rPr>
                <w:rFonts w:cs="Arial"/>
                <w:b/>
              </w:rPr>
              <w:t xml:space="preserve"> (applied to emissions savings)</w:t>
            </w:r>
            <w:r w:rsidR="00221CDF" w:rsidRPr="006A0C4B">
              <w:rPr>
                <w:rStyle w:val="FootnoteReference"/>
                <w:rFonts w:cs="Arial"/>
                <w:b/>
              </w:rPr>
              <w:footnoteReference w:id="52"/>
            </w:r>
          </w:p>
        </w:tc>
        <w:tc>
          <w:tcPr>
            <w:tcW w:w="1559" w:type="dxa"/>
          </w:tcPr>
          <w:p w14:paraId="2A9B3A14" w14:textId="77777777" w:rsidR="00221CDF" w:rsidRPr="006A0C4B" w:rsidRDefault="00221CDF" w:rsidP="006047CE">
            <w:pPr>
              <w:pStyle w:val="EBBodyPara"/>
              <w:rPr>
                <w:rFonts w:cs="Arial"/>
              </w:rPr>
            </w:pPr>
          </w:p>
        </w:tc>
        <w:tc>
          <w:tcPr>
            <w:tcW w:w="1276" w:type="dxa"/>
          </w:tcPr>
          <w:p w14:paraId="200FE3B0" w14:textId="04CEA200" w:rsidR="00221CDF" w:rsidRPr="006A0C4B" w:rsidRDefault="00221CDF" w:rsidP="0071483C">
            <w:pPr>
              <w:pStyle w:val="EBBodyPara"/>
              <w:jc w:val="right"/>
              <w:rPr>
                <w:rFonts w:cs="Arial"/>
              </w:rPr>
            </w:pPr>
            <w:r w:rsidRPr="006A0C4B">
              <w:rPr>
                <w:rFonts w:cs="Arial"/>
              </w:rPr>
              <w:t>£</w:t>
            </w:r>
            <w:r w:rsidR="00875C15" w:rsidRPr="006A0C4B">
              <w:rPr>
                <w:rFonts w:cs="Arial"/>
              </w:rPr>
              <w:t>684bn</w:t>
            </w:r>
            <w:r w:rsidRPr="006A0C4B">
              <w:rPr>
                <w:rFonts w:cs="Arial"/>
              </w:rPr>
              <w:br/>
              <w:t>+</w:t>
            </w:r>
            <w:r w:rsidR="009B50E2" w:rsidRPr="006A0C4B">
              <w:rPr>
                <w:rFonts w:cs="Arial"/>
              </w:rPr>
              <w:t>137</w:t>
            </w:r>
            <w:r w:rsidRPr="006A0C4B">
              <w:rPr>
                <w:rFonts w:cs="Arial"/>
              </w:rPr>
              <w:t>%</w:t>
            </w:r>
          </w:p>
        </w:tc>
        <w:tc>
          <w:tcPr>
            <w:tcW w:w="1417" w:type="dxa"/>
          </w:tcPr>
          <w:p w14:paraId="1C9EA949" w14:textId="035350ED" w:rsidR="00221CDF" w:rsidRPr="006A0C4B" w:rsidRDefault="00221CDF" w:rsidP="0071483C">
            <w:pPr>
              <w:pStyle w:val="EBBodyPara"/>
              <w:jc w:val="right"/>
              <w:rPr>
                <w:rFonts w:cs="Arial"/>
              </w:rPr>
            </w:pPr>
            <w:r w:rsidRPr="006A0C4B">
              <w:rPr>
                <w:rFonts w:cs="Arial"/>
              </w:rPr>
              <w:t>£</w:t>
            </w:r>
            <w:r w:rsidR="004A2930" w:rsidRPr="006A0C4B">
              <w:rPr>
                <w:rFonts w:cs="Arial"/>
              </w:rPr>
              <w:t>67</w:t>
            </w:r>
            <w:r w:rsidR="0001538A" w:rsidRPr="006A0C4B">
              <w:rPr>
                <w:rFonts w:cs="Arial"/>
              </w:rPr>
              <w:t>7</w:t>
            </w:r>
            <w:r w:rsidRPr="006A0C4B">
              <w:rPr>
                <w:rFonts w:cs="Arial"/>
              </w:rPr>
              <w:t>bn</w:t>
            </w:r>
            <w:r w:rsidRPr="006A0C4B">
              <w:rPr>
                <w:rFonts w:cs="Arial"/>
              </w:rPr>
              <w:br/>
              <w:t>+</w:t>
            </w:r>
            <w:r w:rsidR="009B50E2" w:rsidRPr="006A0C4B">
              <w:rPr>
                <w:rFonts w:cs="Arial"/>
              </w:rPr>
              <w:t>155</w:t>
            </w:r>
            <w:r w:rsidRPr="006A0C4B">
              <w:rPr>
                <w:rFonts w:cs="Arial"/>
              </w:rPr>
              <w:t>%</w:t>
            </w:r>
          </w:p>
        </w:tc>
        <w:tc>
          <w:tcPr>
            <w:tcW w:w="1212" w:type="dxa"/>
          </w:tcPr>
          <w:p w14:paraId="0DD120E7" w14:textId="770D3F36" w:rsidR="00221CDF" w:rsidRPr="006A0C4B" w:rsidRDefault="00221CDF" w:rsidP="0071483C">
            <w:pPr>
              <w:pStyle w:val="EBBodyPara"/>
              <w:jc w:val="right"/>
              <w:rPr>
                <w:rFonts w:cs="Arial"/>
              </w:rPr>
            </w:pPr>
            <w:r w:rsidRPr="006A0C4B">
              <w:rPr>
                <w:rFonts w:cs="Arial"/>
              </w:rPr>
              <w:t>£</w:t>
            </w:r>
            <w:r w:rsidR="00B60423" w:rsidRPr="006A0C4B">
              <w:rPr>
                <w:rFonts w:cs="Arial"/>
              </w:rPr>
              <w:t>630bn</w:t>
            </w:r>
            <w:r w:rsidRPr="006A0C4B">
              <w:rPr>
                <w:rFonts w:cs="Arial"/>
              </w:rPr>
              <w:br/>
              <w:t>+</w:t>
            </w:r>
            <w:r w:rsidR="009B50E2" w:rsidRPr="006A0C4B">
              <w:rPr>
                <w:rFonts w:cs="Arial"/>
              </w:rPr>
              <w:t>199</w:t>
            </w:r>
            <w:r w:rsidRPr="006A0C4B">
              <w:rPr>
                <w:rFonts w:cs="Arial"/>
              </w:rPr>
              <w:t>%</w:t>
            </w:r>
          </w:p>
        </w:tc>
      </w:tr>
    </w:tbl>
    <w:p w14:paraId="335A4E4F" w14:textId="756D021E" w:rsidR="004C5641" w:rsidRPr="004C5641" w:rsidRDefault="004C5641" w:rsidP="00221CDF">
      <w:pPr>
        <w:pStyle w:val="EBBodyPara"/>
        <w:jc w:val="center"/>
        <w:rPr>
          <w:i/>
        </w:rPr>
      </w:pPr>
    </w:p>
    <w:p w14:paraId="0C09A47D" w14:textId="3385C719" w:rsidR="40FC87DC" w:rsidRPr="008D6FD7" w:rsidRDefault="40FC87DC" w:rsidP="009229B3">
      <w:pPr>
        <w:pStyle w:val="Numberedparagraphs"/>
      </w:pPr>
      <w:r w:rsidRPr="008D6FD7">
        <w:t xml:space="preserve">The sensitivities shown above </w:t>
      </w:r>
      <w:r w:rsidR="00F2031D">
        <w:t xml:space="preserve">do not </w:t>
      </w:r>
      <w:r w:rsidR="2FFD4A44" w:rsidRPr="008D6FD7">
        <w:t>render any of the net present values negative</w:t>
      </w:r>
      <w:r w:rsidR="00B35322">
        <w:t xml:space="preserve">, except </w:t>
      </w:r>
      <w:r w:rsidR="001E7C31">
        <w:t>that</w:t>
      </w:r>
      <w:r w:rsidR="00B35322">
        <w:t xml:space="preserve"> the tighte</w:t>
      </w:r>
      <w:r w:rsidR="005C14E4">
        <w:t>st</w:t>
      </w:r>
      <w:r w:rsidR="00B35322">
        <w:t xml:space="preserve"> budget level </w:t>
      </w:r>
      <w:r w:rsidR="005C14E4">
        <w:t xml:space="preserve">(Option 4) </w:t>
      </w:r>
      <w:r w:rsidR="001E7C31">
        <w:t xml:space="preserve">has a negative NPV </w:t>
      </w:r>
      <w:r w:rsidR="00B35322">
        <w:t xml:space="preserve">under </w:t>
      </w:r>
      <w:r w:rsidR="001E7C31">
        <w:t xml:space="preserve">the current </w:t>
      </w:r>
      <w:r w:rsidR="00B35322">
        <w:t xml:space="preserve">central carbon </w:t>
      </w:r>
      <w:r w:rsidR="001E7C31">
        <w:t xml:space="preserve">value </w:t>
      </w:r>
      <w:r w:rsidR="00B35322">
        <w:t>series</w:t>
      </w:r>
      <w:r w:rsidR="2FFD4A44" w:rsidRPr="008D6FD7">
        <w:t>. GDP growth and fuel prices</w:t>
      </w:r>
      <w:r w:rsidR="625934CF" w:rsidRPr="008D6FD7">
        <w:t xml:space="preserve"> have little impact on the </w:t>
      </w:r>
      <w:r w:rsidR="00F2031D">
        <w:t>relative NPVs</w:t>
      </w:r>
      <w:r w:rsidR="00F2031D" w:rsidRPr="008D6FD7">
        <w:t xml:space="preserve"> </w:t>
      </w:r>
      <w:r w:rsidR="625934CF" w:rsidRPr="008D6FD7">
        <w:t xml:space="preserve">of the three </w:t>
      </w:r>
      <w:r w:rsidR="006348AF">
        <w:t>o</w:t>
      </w:r>
      <w:r w:rsidR="00837970">
        <w:t>ptions</w:t>
      </w:r>
      <w:r w:rsidR="00525F56">
        <w:t>, and change the NPVs by at most 1</w:t>
      </w:r>
      <w:r w:rsidR="009B50E2">
        <w:t>9</w:t>
      </w:r>
      <w:r w:rsidR="00525F56">
        <w:t>%</w:t>
      </w:r>
      <w:r w:rsidR="625934CF" w:rsidRPr="008D6FD7">
        <w:t>.</w:t>
      </w:r>
      <w:r w:rsidR="00AF73A6">
        <w:t xml:space="preserve"> The </w:t>
      </w:r>
      <w:r w:rsidR="00BB7E4B">
        <w:t xml:space="preserve">positivity of </w:t>
      </w:r>
      <w:r w:rsidR="00AF73A6">
        <w:t xml:space="preserve">NPVs </w:t>
      </w:r>
      <w:r w:rsidR="00BB7E4B">
        <w:t>is</w:t>
      </w:r>
      <w:r w:rsidR="00AF73A6">
        <w:t xml:space="preserve"> robust to</w:t>
      </w:r>
      <w:r w:rsidR="00496DE3">
        <w:t xml:space="preserve"> optimism bias;</w:t>
      </w:r>
      <w:r w:rsidR="00CD7859">
        <w:t xml:space="preserve"> </w:t>
      </w:r>
      <w:r w:rsidR="00496DE3">
        <w:t>i</w:t>
      </w:r>
      <w:r w:rsidR="00FC56D1">
        <w:t xml:space="preserve">n order for the net present value to be negative, additional system costs for the CCC level would have to </w:t>
      </w:r>
      <w:r w:rsidR="008A62CD">
        <w:t xml:space="preserve">rise </w:t>
      </w:r>
      <w:r w:rsidR="00FC56D1">
        <w:t xml:space="preserve">by </w:t>
      </w:r>
      <w:r w:rsidR="00C8068E">
        <w:t>4</w:t>
      </w:r>
      <w:r w:rsidR="009B50E2">
        <w:t>1</w:t>
      </w:r>
      <w:r w:rsidR="008A62CD">
        <w:t>%</w:t>
      </w:r>
      <w:r w:rsidR="00496DE3">
        <w:t>.</w:t>
      </w:r>
    </w:p>
    <w:p w14:paraId="2CA7A77B" w14:textId="4ADDE5A0" w:rsidR="00FC65E5" w:rsidRDefault="00E93961" w:rsidP="009229B3">
      <w:pPr>
        <w:pStyle w:val="Numberedparagraphs"/>
      </w:pPr>
      <w:r w:rsidRPr="008D6FD7">
        <w:t xml:space="preserve">The carbon </w:t>
      </w:r>
      <w:r w:rsidR="47631E40" w:rsidRPr="008D6FD7">
        <w:t>value</w:t>
      </w:r>
      <w:r w:rsidR="1745AF18" w:rsidRPr="008D6FD7">
        <w:t>s</w:t>
      </w:r>
      <w:r w:rsidR="0030134C" w:rsidRPr="008D6FD7">
        <w:t xml:space="preserve"> </w:t>
      </w:r>
      <w:r w:rsidR="739E7B21">
        <w:t xml:space="preserve">used to </w:t>
      </w:r>
      <w:r w:rsidR="00C209F4">
        <w:t>quantify</w:t>
      </w:r>
      <w:r w:rsidR="739E7B21">
        <w:t xml:space="preserve"> the ben</w:t>
      </w:r>
      <w:r w:rsidR="0ACA8D18">
        <w:t>e</w:t>
      </w:r>
      <w:r w:rsidR="739E7B21">
        <w:t>fits of emissions reduction</w:t>
      </w:r>
      <w:r w:rsidR="001E7C31">
        <w:t>s</w:t>
      </w:r>
      <w:r w:rsidR="739E7B21">
        <w:t xml:space="preserve">, </w:t>
      </w:r>
      <w:r w:rsidR="0030134C" w:rsidRPr="008D6FD7">
        <w:t xml:space="preserve">and </w:t>
      </w:r>
      <w:r w:rsidR="00C209F4">
        <w:t>the</w:t>
      </w:r>
      <w:r w:rsidR="0030134C" w:rsidRPr="008D6FD7">
        <w:t xml:space="preserve"> </w:t>
      </w:r>
      <w:r w:rsidR="17283EB8">
        <w:t xml:space="preserve">reduction </w:t>
      </w:r>
      <w:r w:rsidR="4E5EEBE2">
        <w:t>of the environmental discount</w:t>
      </w:r>
      <w:r w:rsidR="00667EB0">
        <w:t xml:space="preserve"> </w:t>
      </w:r>
      <w:r w:rsidR="1CD7DE08">
        <w:t xml:space="preserve">rate </w:t>
      </w:r>
      <w:r w:rsidR="00C209F4">
        <w:t>to 1.5%</w:t>
      </w:r>
      <w:r w:rsidR="1CD7DE08">
        <w:t xml:space="preserve"> </w:t>
      </w:r>
      <w:r w:rsidR="00BC20D2">
        <w:t xml:space="preserve">both </w:t>
      </w:r>
      <w:r w:rsidRPr="008D6FD7">
        <w:t xml:space="preserve">have a significant impact on the </w:t>
      </w:r>
      <w:r w:rsidR="001E7C31">
        <w:t>differences between the</w:t>
      </w:r>
      <w:r w:rsidR="001E7C31" w:rsidRPr="008D6FD7">
        <w:t xml:space="preserve"> </w:t>
      </w:r>
      <w:r w:rsidR="62DD66F1" w:rsidRPr="008D6FD7">
        <w:t xml:space="preserve">NPVs </w:t>
      </w:r>
      <w:r w:rsidRPr="008D6FD7">
        <w:t>of the three levels</w:t>
      </w:r>
      <w:r w:rsidR="00525F56">
        <w:t xml:space="preserve">, as well as their </w:t>
      </w:r>
      <w:r w:rsidR="004F477B">
        <w:t xml:space="preserve">absolute </w:t>
      </w:r>
      <w:r w:rsidR="001E7C31">
        <w:t>size</w:t>
      </w:r>
      <w:r w:rsidRPr="008D6FD7">
        <w:t xml:space="preserve">. </w:t>
      </w:r>
      <w:r w:rsidR="00667EB0">
        <w:t xml:space="preserve">Using </w:t>
      </w:r>
      <w:r w:rsidR="0012183C">
        <w:t xml:space="preserve">a </w:t>
      </w:r>
      <w:r w:rsidR="00667EB0">
        <w:t>lower carbon value</w:t>
      </w:r>
      <w:r w:rsidR="0012183C">
        <w:t xml:space="preserve"> series</w:t>
      </w:r>
      <w:r w:rsidR="00BC76C2">
        <w:t xml:space="preserve"> (i.e. </w:t>
      </w:r>
      <w:r w:rsidR="00667EB0">
        <w:t xml:space="preserve">the current central </w:t>
      </w:r>
      <w:r w:rsidR="0012183C">
        <w:t>series</w:t>
      </w:r>
      <w:r w:rsidR="00BC76C2">
        <w:t>)</w:t>
      </w:r>
      <w:r w:rsidR="00667EB0">
        <w:t xml:space="preserve"> causes NPVs to fall very significantly</w:t>
      </w:r>
      <w:r w:rsidR="00BC20D2">
        <w:t xml:space="preserve"> (</w:t>
      </w:r>
      <w:r w:rsidR="00667EB0">
        <w:t>by 9</w:t>
      </w:r>
      <w:r w:rsidR="009B50E2">
        <w:t>4</w:t>
      </w:r>
      <w:r w:rsidR="00667EB0">
        <w:t>% for the CCC level</w:t>
      </w:r>
      <w:r w:rsidR="00BC20D2">
        <w:t xml:space="preserve">) and the </w:t>
      </w:r>
      <w:r w:rsidR="00FC65E5">
        <w:t>difference</w:t>
      </w:r>
      <w:r w:rsidR="00BC20D2">
        <w:t xml:space="preserve"> between the CCC and looser levels increases by £1</w:t>
      </w:r>
      <w:r w:rsidR="009B50E2">
        <w:t>3</w:t>
      </w:r>
      <w:r w:rsidR="00BC20D2">
        <w:t>bn, to £3</w:t>
      </w:r>
      <w:r w:rsidR="009B50E2">
        <w:t>6</w:t>
      </w:r>
      <w:r w:rsidR="00BC20D2">
        <w:t>bn</w:t>
      </w:r>
      <w:r w:rsidR="00667EB0">
        <w:t>.</w:t>
      </w:r>
      <w:r w:rsidRPr="008D6FD7">
        <w:t xml:space="preserve"> </w:t>
      </w:r>
      <w:r w:rsidR="008F1A45">
        <w:t xml:space="preserve">This reflects </w:t>
      </w:r>
      <w:r w:rsidR="007C69A9">
        <w:t xml:space="preserve">that </w:t>
      </w:r>
      <w:r w:rsidR="00B0259E">
        <w:t>decreasing</w:t>
      </w:r>
      <w:r w:rsidR="00955C90">
        <w:t xml:space="preserve"> carbon values makes </w:t>
      </w:r>
      <w:r w:rsidR="00FC65E5">
        <w:t xml:space="preserve">abatement </w:t>
      </w:r>
      <w:r w:rsidR="00955C90">
        <w:t xml:space="preserve">relatively </w:t>
      </w:r>
      <w:r w:rsidR="00B0259E">
        <w:t>less</w:t>
      </w:r>
      <w:r w:rsidR="00955C90">
        <w:t xml:space="preserve"> </w:t>
      </w:r>
      <w:r w:rsidR="007C69A9">
        <w:t>valuable</w:t>
      </w:r>
      <w:r w:rsidR="00955C90">
        <w:t xml:space="preserve"> and thus ambitious budget levels </w:t>
      </w:r>
      <w:r w:rsidR="00B0259E">
        <w:t>less</w:t>
      </w:r>
      <w:r w:rsidR="00955C90">
        <w:t xml:space="preserve"> attractive. </w:t>
      </w:r>
      <w:r w:rsidR="007331E3">
        <w:t xml:space="preserve">Carbon values would need to be </w:t>
      </w:r>
      <w:r w:rsidR="00160955">
        <w:t>61</w:t>
      </w:r>
      <w:r w:rsidR="007331E3">
        <w:t xml:space="preserve">% </w:t>
      </w:r>
      <w:r w:rsidR="00FF2661">
        <w:t>higher</w:t>
      </w:r>
      <w:r w:rsidR="007331E3">
        <w:t xml:space="preserve"> than </w:t>
      </w:r>
      <w:r w:rsidR="00BC2855">
        <w:t>current</w:t>
      </w:r>
      <w:r w:rsidR="005D1E27" w:rsidRPr="008D6FD7">
        <w:t xml:space="preserve"> </w:t>
      </w:r>
      <w:r w:rsidR="00213D20">
        <w:t>high</w:t>
      </w:r>
      <w:r w:rsidR="005D1E27" w:rsidRPr="008D6FD7">
        <w:t xml:space="preserve"> </w:t>
      </w:r>
      <w:r w:rsidR="00955C90">
        <w:t>series</w:t>
      </w:r>
      <w:r w:rsidR="005D1E27" w:rsidRPr="008D6FD7" w:rsidDel="00955C90">
        <w:t xml:space="preserve"> </w:t>
      </w:r>
      <w:r w:rsidR="00BC2855">
        <w:t xml:space="preserve">for </w:t>
      </w:r>
      <w:r w:rsidR="005D1E27" w:rsidRPr="008D6FD7">
        <w:t xml:space="preserve">the </w:t>
      </w:r>
      <w:r w:rsidR="00955C90">
        <w:t>CCC level</w:t>
      </w:r>
      <w:r w:rsidR="005D1E27" w:rsidRPr="008D6FD7">
        <w:t xml:space="preserve"> </w:t>
      </w:r>
      <w:r w:rsidR="00FC65E5">
        <w:t>to</w:t>
      </w:r>
      <w:r w:rsidR="00FC65E5" w:rsidRPr="008D6FD7">
        <w:t xml:space="preserve"> </w:t>
      </w:r>
      <w:r w:rsidR="005D1E27" w:rsidRPr="008D6FD7">
        <w:t xml:space="preserve">replace the </w:t>
      </w:r>
      <w:r w:rsidR="00955C90">
        <w:t>looser level</w:t>
      </w:r>
      <w:r w:rsidR="00955C90" w:rsidRPr="008D6FD7">
        <w:t xml:space="preserve"> </w:t>
      </w:r>
      <w:r w:rsidR="005D1E27" w:rsidRPr="008D6FD7">
        <w:t>as the option with the highest NPV.</w:t>
      </w:r>
      <w:r w:rsidR="009B1CF9">
        <w:t xml:space="preserve"> </w:t>
      </w:r>
      <w:r w:rsidR="00B709A2">
        <w:t xml:space="preserve">  </w:t>
      </w:r>
    </w:p>
    <w:p w14:paraId="1D99167C" w14:textId="645F2734" w:rsidR="0019248F" w:rsidRPr="008D6FD7" w:rsidRDefault="00E33958" w:rsidP="009229B3">
      <w:pPr>
        <w:pStyle w:val="Numberedparagraphs"/>
      </w:pPr>
      <w:r>
        <w:t xml:space="preserve">The </w:t>
      </w:r>
      <w:r w:rsidR="00D932EF">
        <w:t xml:space="preserve">environmental discount rate </w:t>
      </w:r>
      <w:r>
        <w:t>sensitivity removes</w:t>
      </w:r>
      <w:r w:rsidR="00B709A2">
        <w:t xml:space="preserve"> the wealth element of the 3.5% discount rate for carbon savings </w:t>
      </w:r>
      <w:r w:rsidR="005F4B0F">
        <w:t xml:space="preserve">by </w:t>
      </w:r>
      <w:r w:rsidR="00BB7E4B">
        <w:t>uplifting the carbon values by 2% annually</w:t>
      </w:r>
      <w:r w:rsidR="005F4B0F">
        <w:t xml:space="preserve">. This </w:t>
      </w:r>
      <w:r w:rsidR="00B709A2">
        <w:t>reflect</w:t>
      </w:r>
      <w:r w:rsidR="005F4B0F">
        <w:t xml:space="preserve">s the </w:t>
      </w:r>
      <w:r w:rsidR="00F479D0">
        <w:t xml:space="preserve">potential </w:t>
      </w:r>
      <w:r w:rsidR="00B709A2">
        <w:t xml:space="preserve">insensitivity of </w:t>
      </w:r>
      <w:r>
        <w:t xml:space="preserve">the </w:t>
      </w:r>
      <w:r w:rsidR="001207BC">
        <w:t xml:space="preserve">value </w:t>
      </w:r>
      <w:r>
        <w:t>place</w:t>
      </w:r>
      <w:r w:rsidR="00F479D0">
        <w:t>d</w:t>
      </w:r>
      <w:r>
        <w:t xml:space="preserve"> </w:t>
      </w:r>
      <w:r w:rsidR="001207BC">
        <w:t>on the</w:t>
      </w:r>
      <w:r>
        <w:t xml:space="preserve"> environment</w:t>
      </w:r>
      <w:r w:rsidRPr="00E33958">
        <w:t xml:space="preserve"> </w:t>
      </w:r>
      <w:r>
        <w:t>to GDP growth</w:t>
      </w:r>
      <w:r w:rsidR="00F01D9F">
        <w:t>, and results in future emissions reductions being valued at a higher rate</w:t>
      </w:r>
      <w:r>
        <w:t xml:space="preserve">. This </w:t>
      </w:r>
      <w:r w:rsidR="0010367F" w:rsidRPr="008D6FD7">
        <w:t>significantly increases the magnitude of carbon benefits</w:t>
      </w:r>
      <w:r>
        <w:t xml:space="preserve"> and</w:t>
      </w:r>
      <w:r w:rsidR="0010367F" w:rsidRPr="008D6FD7">
        <w:t xml:space="preserve"> reduces the difference between the </w:t>
      </w:r>
      <w:r w:rsidR="00F01D9F">
        <w:t>CCC level</w:t>
      </w:r>
      <w:r w:rsidR="00F01D9F" w:rsidRPr="008D6FD7">
        <w:t xml:space="preserve"> </w:t>
      </w:r>
      <w:r w:rsidR="00DF340A">
        <w:t xml:space="preserve">(Option 3) </w:t>
      </w:r>
      <w:r w:rsidR="0010367F" w:rsidRPr="008D6FD7">
        <w:t xml:space="preserve">and </w:t>
      </w:r>
      <w:r w:rsidR="00F01D9F">
        <w:t>the looser</w:t>
      </w:r>
      <w:r w:rsidR="00F01D9F" w:rsidRPr="008D6FD7">
        <w:t xml:space="preserve"> </w:t>
      </w:r>
      <w:r w:rsidR="000B5CEE">
        <w:t>level</w:t>
      </w:r>
      <w:r w:rsidR="000B5CEE" w:rsidRPr="008D6FD7">
        <w:t xml:space="preserve"> </w:t>
      </w:r>
      <w:r w:rsidR="00D06B47">
        <w:t xml:space="preserve">(Option 2) </w:t>
      </w:r>
      <w:r w:rsidR="0010367F" w:rsidRPr="008D6FD7">
        <w:t>from £23bn to £</w:t>
      </w:r>
      <w:r w:rsidR="00160955">
        <w:t>7</w:t>
      </w:r>
      <w:r w:rsidR="00160955" w:rsidRPr="008D6FD7">
        <w:t>bn</w:t>
      </w:r>
      <w:r w:rsidR="00282B64" w:rsidRPr="008D6FD7">
        <w:t xml:space="preserve">. The proportional difference </w:t>
      </w:r>
      <w:r w:rsidR="00F01D9F">
        <w:t>between these two NPVs</w:t>
      </w:r>
      <w:r w:rsidR="00282B64" w:rsidRPr="008D6FD7">
        <w:t xml:space="preserve"> </w:t>
      </w:r>
      <w:r w:rsidR="0055518F">
        <w:t xml:space="preserve">becomes very small, falling </w:t>
      </w:r>
      <w:r w:rsidR="00160955">
        <w:t>from 9</w:t>
      </w:r>
      <w:r w:rsidR="00341603" w:rsidRPr="008D6FD7">
        <w:t xml:space="preserve">% to </w:t>
      </w:r>
      <w:r w:rsidR="00160955">
        <w:t>1</w:t>
      </w:r>
      <w:r w:rsidR="00341603" w:rsidRPr="008D6FD7">
        <w:t>%</w:t>
      </w:r>
      <w:r w:rsidR="0055518F">
        <w:t>.</w:t>
      </w:r>
    </w:p>
    <w:p w14:paraId="16C8CFF1" w14:textId="77777777" w:rsidR="001350AF" w:rsidRDefault="001350AF" w:rsidP="004E103C">
      <w:pPr>
        <w:pStyle w:val="Heading4"/>
        <w:spacing w:after="200"/>
        <w:rPr>
          <w:szCs w:val="24"/>
        </w:rPr>
      </w:pPr>
    </w:p>
    <w:p w14:paraId="5590C780" w14:textId="44F2197E" w:rsidR="002F73B2" w:rsidRPr="004E103C" w:rsidRDefault="002F73B2" w:rsidP="004E103C">
      <w:pPr>
        <w:pStyle w:val="Heading4"/>
        <w:spacing w:after="200"/>
        <w:rPr>
          <w:szCs w:val="24"/>
        </w:rPr>
      </w:pPr>
      <w:r w:rsidRPr="004E103C">
        <w:rPr>
          <w:szCs w:val="24"/>
        </w:rPr>
        <w:lastRenderedPageBreak/>
        <w:t>Summary: Quanti</w:t>
      </w:r>
      <w:r w:rsidR="001D39B1" w:rsidRPr="004E103C">
        <w:rPr>
          <w:szCs w:val="24"/>
        </w:rPr>
        <w:t>fi</w:t>
      </w:r>
      <w:r w:rsidRPr="004E103C">
        <w:rPr>
          <w:szCs w:val="24"/>
        </w:rPr>
        <w:t>ed costs and benefits</w:t>
      </w:r>
    </w:p>
    <w:p w14:paraId="3FE5722E" w14:textId="2023845B" w:rsidR="00904A97" w:rsidRDefault="002F73B2" w:rsidP="009229B3">
      <w:pPr>
        <w:pStyle w:val="Numberedparagraphs"/>
      </w:pPr>
      <w:r>
        <w:t>In summary</w:t>
      </w:r>
      <w:r w:rsidR="00C71662">
        <w:t>,</w:t>
      </w:r>
      <w:r w:rsidR="0054355A">
        <w:t xml:space="preserve"> </w:t>
      </w:r>
      <w:r w:rsidR="00566050">
        <w:t>the</w:t>
      </w:r>
      <w:r w:rsidR="0054355A">
        <w:t xml:space="preserve"> analysis shows significantly positive NPVs across all sixth carbon budget options. NPVs are higher for looser budget options and this holds true across different pathway assumptions</w:t>
      </w:r>
      <w:r w:rsidR="00D84ACA">
        <w:t xml:space="preserve"> and various </w:t>
      </w:r>
      <w:r w:rsidR="001D39B1">
        <w:t>sensitivities</w:t>
      </w:r>
      <w:r w:rsidR="00D84ACA">
        <w:t xml:space="preserve">. The relative difference in NPV between the considered sixth carbon budget options is </w:t>
      </w:r>
      <w:r w:rsidR="00B053B7">
        <w:t>small</w:t>
      </w:r>
      <w:r w:rsidR="00806395">
        <w:t xml:space="preserve"> (9% between Options 2 and 3)</w:t>
      </w:r>
      <w:r w:rsidR="00804431">
        <w:t xml:space="preserve"> compared to the scale of uncertainty</w:t>
      </w:r>
      <w:r w:rsidR="00D831B8">
        <w:t xml:space="preserve">. </w:t>
      </w:r>
    </w:p>
    <w:p w14:paraId="02C6C22C" w14:textId="65C31970" w:rsidR="005F1F8C" w:rsidRPr="004E103C" w:rsidRDefault="005F1F8C" w:rsidP="00065EC7">
      <w:pPr>
        <w:pStyle w:val="Heading3"/>
        <w:rPr>
          <w:rFonts w:ascii="Times New Roman" w:hAnsi="Times New Roman"/>
          <w:sz w:val="28"/>
          <w:szCs w:val="28"/>
        </w:rPr>
      </w:pPr>
      <w:bookmarkStart w:id="56" w:name="_Toc67051849"/>
      <w:r w:rsidRPr="004E103C">
        <w:rPr>
          <w:sz w:val="28"/>
          <w:szCs w:val="28"/>
        </w:rPr>
        <w:t>2.</w:t>
      </w:r>
      <w:r w:rsidR="007E6F08" w:rsidRPr="004E103C">
        <w:rPr>
          <w:sz w:val="28"/>
          <w:szCs w:val="28"/>
        </w:rPr>
        <w:t>6</w:t>
      </w:r>
      <w:r w:rsidR="0098318F">
        <w:rPr>
          <w:sz w:val="28"/>
          <w:szCs w:val="28"/>
        </w:rPr>
        <w:t xml:space="preserve"> </w:t>
      </w:r>
      <w:r w:rsidRPr="004E103C">
        <w:rPr>
          <w:sz w:val="28"/>
          <w:szCs w:val="28"/>
        </w:rPr>
        <w:t xml:space="preserve">Unquantified </w:t>
      </w:r>
      <w:r w:rsidR="00BA1AD7" w:rsidRPr="004E103C">
        <w:rPr>
          <w:sz w:val="28"/>
          <w:szCs w:val="28"/>
        </w:rPr>
        <w:t>cost and benefits</w:t>
      </w:r>
      <w:r w:rsidRPr="004E103C">
        <w:rPr>
          <w:sz w:val="28"/>
          <w:szCs w:val="28"/>
        </w:rPr>
        <w:t xml:space="preserve"> -</w:t>
      </w:r>
      <w:r w:rsidR="00BA1AD7" w:rsidRPr="004E103C">
        <w:rPr>
          <w:sz w:val="28"/>
          <w:szCs w:val="28"/>
        </w:rPr>
        <w:t xml:space="preserve"> </w:t>
      </w:r>
      <w:r w:rsidRPr="004E103C">
        <w:rPr>
          <w:sz w:val="28"/>
          <w:szCs w:val="28"/>
        </w:rPr>
        <w:t>Section 10 and 13 impacts</w:t>
      </w:r>
      <w:bookmarkEnd w:id="56"/>
      <w:r w:rsidRPr="004E103C">
        <w:rPr>
          <w:rFonts w:ascii="Times New Roman" w:hAnsi="Times New Roman"/>
          <w:sz w:val="28"/>
          <w:szCs w:val="28"/>
        </w:rPr>
        <w:t xml:space="preserve"> </w:t>
      </w:r>
    </w:p>
    <w:p w14:paraId="1ED9A34D" w14:textId="0E0A1C25" w:rsidR="005F1F8C" w:rsidRPr="00002561" w:rsidRDefault="005F1F8C" w:rsidP="009229B3">
      <w:pPr>
        <w:pStyle w:val="Numberedparagraphs"/>
      </w:pPr>
      <w:r>
        <w:t xml:space="preserve">Section 10 </w:t>
      </w:r>
      <w:r w:rsidR="008E2F82">
        <w:t>of</w:t>
      </w:r>
      <w:r>
        <w:t xml:space="preserve"> the Climate Change Act</w:t>
      </w:r>
      <w:r w:rsidR="0093702D">
        <w:t xml:space="preserve"> set</w:t>
      </w:r>
      <w:r w:rsidR="00D55C90">
        <w:t>s</w:t>
      </w:r>
      <w:r w:rsidR="0093702D">
        <w:t xml:space="preserve"> out the matters that need to be </w:t>
      </w:r>
      <w:r w:rsidR="002E20AF">
        <w:t>considered</w:t>
      </w:r>
      <w:r w:rsidR="0093702D">
        <w:t xml:space="preserve"> for</w:t>
      </w:r>
      <w:r>
        <w:t xml:space="preserve"> decisions relating to carbon budgets. </w:t>
      </w:r>
      <w:r w:rsidR="00205D55">
        <w:t xml:space="preserve">Many of these matters are explored in more depth above, so this section </w:t>
      </w:r>
      <w:r>
        <w:t xml:space="preserve">covers all of these </w:t>
      </w:r>
      <w:r w:rsidR="0093702D">
        <w:t>matters systematically</w:t>
      </w:r>
      <w:r w:rsidR="00C47590">
        <w:t xml:space="preserve"> and </w:t>
      </w:r>
      <w:r>
        <w:t>where needed referenc</w:t>
      </w:r>
      <w:r w:rsidR="00C47590">
        <w:t>es</w:t>
      </w:r>
      <w:r>
        <w:t xml:space="preserve"> other relevant sections.</w:t>
      </w:r>
    </w:p>
    <w:p w14:paraId="12C72833" w14:textId="410AA8B1" w:rsidR="005F1F8C" w:rsidRPr="004E103C" w:rsidRDefault="005F1F8C" w:rsidP="004E103C">
      <w:pPr>
        <w:pStyle w:val="Heading4"/>
        <w:spacing w:after="200"/>
        <w:rPr>
          <w:szCs w:val="24"/>
        </w:rPr>
      </w:pPr>
      <w:r w:rsidRPr="004E103C">
        <w:rPr>
          <w:szCs w:val="24"/>
        </w:rPr>
        <w:t xml:space="preserve">Scientific knowledge </w:t>
      </w:r>
      <w:r w:rsidR="0093702D" w:rsidRPr="004E103C">
        <w:rPr>
          <w:szCs w:val="24"/>
        </w:rPr>
        <w:t>about climate change</w:t>
      </w:r>
      <w:r w:rsidRPr="004E103C">
        <w:rPr>
          <w:szCs w:val="24"/>
        </w:rPr>
        <w:t xml:space="preserve"> </w:t>
      </w:r>
    </w:p>
    <w:p w14:paraId="53324783" w14:textId="5A32E0B6" w:rsidR="00802D1D" w:rsidRPr="00D10171" w:rsidRDefault="00802D1D" w:rsidP="009229B3">
      <w:pPr>
        <w:pStyle w:val="Numberedparagraphs"/>
      </w:pPr>
      <w:r w:rsidRPr="00D10171">
        <w:rPr>
          <w:rStyle w:val="normaltextrun"/>
          <w:rFonts w:eastAsiaTheme="majorEastAsia"/>
        </w:rPr>
        <w:t>The C</w:t>
      </w:r>
      <w:r>
        <w:rPr>
          <w:rStyle w:val="normaltextrun"/>
          <w:rFonts w:eastAsiaTheme="majorEastAsia"/>
        </w:rPr>
        <w:t xml:space="preserve">limate </w:t>
      </w:r>
      <w:r w:rsidRPr="00D10171">
        <w:rPr>
          <w:rStyle w:val="normaltextrun"/>
          <w:rFonts w:eastAsiaTheme="majorEastAsia"/>
        </w:rPr>
        <w:t>C</w:t>
      </w:r>
      <w:r>
        <w:rPr>
          <w:rStyle w:val="normaltextrun"/>
          <w:rFonts w:eastAsiaTheme="majorEastAsia"/>
        </w:rPr>
        <w:t xml:space="preserve">hange </w:t>
      </w:r>
      <w:r w:rsidRPr="00D10171">
        <w:rPr>
          <w:rStyle w:val="normaltextrun"/>
          <w:rFonts w:eastAsiaTheme="majorEastAsia"/>
        </w:rPr>
        <w:t>A</w:t>
      </w:r>
      <w:r>
        <w:rPr>
          <w:rStyle w:val="normaltextrun"/>
          <w:rFonts w:eastAsiaTheme="majorEastAsia"/>
        </w:rPr>
        <w:t>ct</w:t>
      </w:r>
      <w:r w:rsidRPr="00D10171">
        <w:rPr>
          <w:rStyle w:val="normaltextrun"/>
          <w:rFonts w:eastAsiaTheme="majorEastAsia"/>
        </w:rPr>
        <w:t xml:space="preserve"> requires that scientific </w:t>
      </w:r>
      <w:r w:rsidR="00813620">
        <w:rPr>
          <w:rStyle w:val="normaltextrun"/>
          <w:rFonts w:eastAsiaTheme="majorEastAsia"/>
        </w:rPr>
        <w:t>knowledge</w:t>
      </w:r>
      <w:r w:rsidR="00813620" w:rsidRPr="00D10171">
        <w:rPr>
          <w:rStyle w:val="normaltextrun"/>
          <w:rFonts w:eastAsiaTheme="majorEastAsia"/>
        </w:rPr>
        <w:t xml:space="preserve"> </w:t>
      </w:r>
      <w:r w:rsidRPr="00D10171">
        <w:rPr>
          <w:rStyle w:val="normaltextrun"/>
          <w:rFonts w:eastAsiaTheme="majorEastAsia"/>
        </w:rPr>
        <w:t>be </w:t>
      </w:r>
      <w:r w:rsidR="002E20AF" w:rsidRPr="00D10171">
        <w:rPr>
          <w:rStyle w:val="normaltextrun"/>
          <w:rFonts w:eastAsiaTheme="majorEastAsia"/>
        </w:rPr>
        <w:t>considered</w:t>
      </w:r>
      <w:r>
        <w:rPr>
          <w:rStyle w:val="normaltextrun"/>
          <w:rFonts w:eastAsiaTheme="majorEastAsia"/>
        </w:rPr>
        <w:t xml:space="preserve"> when setting </w:t>
      </w:r>
      <w:r w:rsidR="00652A59">
        <w:rPr>
          <w:rStyle w:val="normaltextrun"/>
          <w:rFonts w:eastAsiaTheme="majorEastAsia"/>
        </w:rPr>
        <w:t>carbon budget</w:t>
      </w:r>
      <w:r>
        <w:rPr>
          <w:rStyle w:val="normaltextrun"/>
          <w:rFonts w:eastAsiaTheme="majorEastAsia"/>
        </w:rPr>
        <w:t>s</w:t>
      </w:r>
      <w:r w:rsidRPr="00D10171">
        <w:rPr>
          <w:rStyle w:val="normaltextrun"/>
          <w:rFonts w:eastAsiaTheme="majorEastAsia"/>
        </w:rPr>
        <w:t xml:space="preserve">. Climate science underpins the UK’s 2050 target to reach net zero emissions. This target was advised by the Climate Change Committee as an appropriate share of global action to reach the Paris </w:t>
      </w:r>
      <w:r>
        <w:rPr>
          <w:rStyle w:val="normaltextrun"/>
          <w:rFonts w:eastAsiaTheme="majorEastAsia"/>
        </w:rPr>
        <w:t>A</w:t>
      </w:r>
      <w:r w:rsidRPr="00D10171">
        <w:rPr>
          <w:rStyle w:val="normaltextrun"/>
          <w:rFonts w:eastAsiaTheme="majorEastAsia"/>
        </w:rPr>
        <w:t xml:space="preserve">greement goal of </w:t>
      </w:r>
      <w:r>
        <w:rPr>
          <w:rStyle w:val="normaltextrun"/>
          <w:rFonts w:eastAsiaTheme="majorEastAsia"/>
        </w:rPr>
        <w:t>“h</w:t>
      </w:r>
      <w:r w:rsidRPr="007715D4">
        <w:rPr>
          <w:rStyle w:val="normaltextrun"/>
          <w:rFonts w:eastAsiaTheme="majorEastAsia"/>
        </w:rPr>
        <w:t>olding the increase in the global average temperature</w:t>
      </w:r>
      <w:r w:rsidRPr="00FC1F3F">
        <w:rPr>
          <w:rStyle w:val="normaltextrun"/>
          <w:rFonts w:eastAsiaTheme="majorEastAsia"/>
        </w:rPr>
        <w:t xml:space="preserve"> to well below 2°</w:t>
      </w:r>
      <w:r>
        <w:rPr>
          <w:rStyle w:val="normaltextrun"/>
          <w:rFonts w:eastAsiaTheme="majorEastAsia"/>
        </w:rPr>
        <w:t xml:space="preserve">C </w:t>
      </w:r>
      <w:r w:rsidRPr="00FC1F3F">
        <w:rPr>
          <w:rStyle w:val="normaltextrun"/>
          <w:rFonts w:eastAsiaTheme="majorEastAsia"/>
        </w:rPr>
        <w:t>above pre-industrial levels, pursu</w:t>
      </w:r>
      <w:r>
        <w:rPr>
          <w:rStyle w:val="normaltextrun"/>
          <w:rFonts w:eastAsiaTheme="majorEastAsia"/>
        </w:rPr>
        <w:t>ing</w:t>
      </w:r>
      <w:r w:rsidRPr="00FC1F3F">
        <w:rPr>
          <w:rStyle w:val="normaltextrun"/>
          <w:rFonts w:eastAsiaTheme="majorEastAsia"/>
        </w:rPr>
        <w:t xml:space="preserve"> efforts to </w:t>
      </w:r>
      <w:r>
        <w:rPr>
          <w:rStyle w:val="normaltextrun"/>
          <w:rFonts w:eastAsiaTheme="majorEastAsia"/>
        </w:rPr>
        <w:t>limit the temperature increase to</w:t>
      </w:r>
      <w:r w:rsidRPr="00FC1F3F">
        <w:rPr>
          <w:rStyle w:val="normaltextrun"/>
          <w:rFonts w:eastAsiaTheme="majorEastAsia"/>
        </w:rPr>
        <w:t xml:space="preserve"> below 1.5°</w:t>
      </w:r>
      <w:r>
        <w:rPr>
          <w:rStyle w:val="normaltextrun"/>
          <w:rFonts w:eastAsiaTheme="majorEastAsia"/>
        </w:rPr>
        <w:t>C”</w:t>
      </w:r>
      <w:r w:rsidRPr="00D10171">
        <w:rPr>
          <w:rStyle w:val="normaltextrun"/>
          <w:rFonts w:eastAsiaTheme="majorEastAsia"/>
        </w:rPr>
        <w:t xml:space="preserve">.  </w:t>
      </w:r>
      <w:r w:rsidR="005F4B0F">
        <w:rPr>
          <w:rStyle w:val="normaltextrun"/>
          <w:rFonts w:eastAsiaTheme="majorEastAsia"/>
        </w:rPr>
        <w:t>Aside from do nothing,</w:t>
      </w:r>
      <w:r w:rsidRPr="00D10171">
        <w:rPr>
          <w:rStyle w:val="normaltextrun"/>
          <w:rFonts w:eastAsiaTheme="majorEastAsia"/>
        </w:rPr>
        <w:t xml:space="preserve"> </w:t>
      </w:r>
      <w:r w:rsidR="005F4B0F">
        <w:rPr>
          <w:rStyle w:val="normaltextrun"/>
          <w:rFonts w:eastAsiaTheme="majorEastAsia"/>
        </w:rPr>
        <w:t>a</w:t>
      </w:r>
      <w:r w:rsidRPr="00D10171">
        <w:rPr>
          <w:rStyle w:val="normaltextrun"/>
          <w:rFonts w:eastAsiaTheme="majorEastAsia"/>
        </w:rPr>
        <w:t xml:space="preserve">ll </w:t>
      </w:r>
      <w:r w:rsidR="00594D86">
        <w:rPr>
          <w:rStyle w:val="normaltextrun"/>
          <w:rFonts w:eastAsiaTheme="majorEastAsia"/>
        </w:rPr>
        <w:t>the sixth carbon budget</w:t>
      </w:r>
      <w:r w:rsidRPr="00D10171">
        <w:rPr>
          <w:rStyle w:val="normaltextrun"/>
          <w:rFonts w:eastAsiaTheme="majorEastAsia"/>
        </w:rPr>
        <w:t xml:space="preserve"> </w:t>
      </w:r>
      <w:r w:rsidR="005F4B0F">
        <w:rPr>
          <w:rStyle w:val="normaltextrun"/>
          <w:rFonts w:eastAsiaTheme="majorEastAsia"/>
        </w:rPr>
        <w:t>options</w:t>
      </w:r>
      <w:r w:rsidR="005F4B0F" w:rsidRPr="00D10171">
        <w:rPr>
          <w:rStyle w:val="normaltextrun"/>
          <w:rFonts w:eastAsiaTheme="majorEastAsia"/>
        </w:rPr>
        <w:t xml:space="preserve"> </w:t>
      </w:r>
      <w:r w:rsidRPr="00D10171">
        <w:rPr>
          <w:rStyle w:val="normaltextrun"/>
          <w:rFonts w:eastAsiaTheme="majorEastAsia"/>
        </w:rPr>
        <w:t>analyse</w:t>
      </w:r>
      <w:r w:rsidR="005F4B0F">
        <w:rPr>
          <w:rStyle w:val="normaltextrun"/>
          <w:rFonts w:eastAsiaTheme="majorEastAsia"/>
        </w:rPr>
        <w:t>d here</w:t>
      </w:r>
      <w:r w:rsidRPr="00D10171">
        <w:rPr>
          <w:rStyle w:val="normaltextrun"/>
          <w:rFonts w:eastAsiaTheme="majorEastAsia"/>
        </w:rPr>
        <w:t xml:space="preserve"> are consistent with IPCC estimates of the emissions reductions required to meet this target.</w:t>
      </w:r>
    </w:p>
    <w:p w14:paraId="34F65A45" w14:textId="13D94C18" w:rsidR="00802D1D" w:rsidRPr="00D10171" w:rsidRDefault="00802D1D" w:rsidP="009229B3">
      <w:pPr>
        <w:pStyle w:val="Numberedparagraphs"/>
      </w:pPr>
      <w:r w:rsidRPr="00D10171">
        <w:rPr>
          <w:rStyle w:val="normaltextrun"/>
          <w:rFonts w:eastAsiaTheme="majorEastAsia"/>
        </w:rPr>
        <w:t xml:space="preserve">However, there are large and persistent uncertainties around both the sensitivity of global temperatures to greenhouse gas emissions and the costs of adapting to varying temperature rises. These uncertainties tend to be greater in relation to higher levels of warming and greenhouse gas emissions, since we know less about global climates </w:t>
      </w:r>
      <w:r w:rsidR="00300477">
        <w:rPr>
          <w:rStyle w:val="normaltextrun"/>
          <w:rFonts w:eastAsiaTheme="majorEastAsia"/>
        </w:rPr>
        <w:t xml:space="preserve">that are </w:t>
      </w:r>
      <w:r w:rsidRPr="00D10171">
        <w:rPr>
          <w:rStyle w:val="normaltextrun"/>
          <w:rFonts w:eastAsiaTheme="majorEastAsia"/>
        </w:rPr>
        <w:t xml:space="preserve">more dissimilar to </w:t>
      </w:r>
      <w:r w:rsidR="00D50448" w:rsidRPr="00D10171">
        <w:rPr>
          <w:rStyle w:val="normaltextrun"/>
          <w:rFonts w:eastAsiaTheme="majorEastAsia"/>
        </w:rPr>
        <w:t>today</w:t>
      </w:r>
      <w:r w:rsidR="00D50448">
        <w:rPr>
          <w:rStyle w:val="normaltextrun"/>
          <w:rFonts w:eastAsiaTheme="majorEastAsia"/>
        </w:rPr>
        <w:t>s</w:t>
      </w:r>
      <w:r w:rsidRPr="00D10171">
        <w:rPr>
          <w:rStyle w:val="normaltextrun"/>
          <w:rFonts w:eastAsiaTheme="majorEastAsia"/>
        </w:rPr>
        <w:t xml:space="preserve">. Worst case scenarios, in which global warming occurs quicker and with more consequences than we expect, are real and dangerous possibilities. Aversion to these tail risks, as well as the central projection, is a crucial pillar of the scientific argument for decarbonisation. </w:t>
      </w:r>
      <w:r w:rsidR="005F6A6E">
        <w:rPr>
          <w:rStyle w:val="normaltextrun"/>
          <w:rFonts w:eastAsiaTheme="majorEastAsia"/>
        </w:rPr>
        <w:t>Global</w:t>
      </w:r>
      <w:r w:rsidRPr="00D10171">
        <w:rPr>
          <w:rStyle w:val="normaltextrun"/>
          <w:rFonts w:eastAsiaTheme="majorEastAsia"/>
        </w:rPr>
        <w:t xml:space="preserve"> emissions </w:t>
      </w:r>
      <w:r w:rsidR="005F6A6E">
        <w:rPr>
          <w:rStyle w:val="normaltextrun"/>
          <w:rFonts w:eastAsiaTheme="majorEastAsia"/>
        </w:rPr>
        <w:t xml:space="preserve">should therefore be reduced </w:t>
      </w:r>
      <w:r w:rsidRPr="00D10171">
        <w:rPr>
          <w:rStyle w:val="normaltextrun"/>
          <w:rFonts w:eastAsiaTheme="majorEastAsia"/>
        </w:rPr>
        <w:t>and stabilise</w:t>
      </w:r>
      <w:r w:rsidR="005F6A6E">
        <w:rPr>
          <w:rStyle w:val="normaltextrun"/>
          <w:rFonts w:eastAsiaTheme="majorEastAsia"/>
        </w:rPr>
        <w:t>d</w:t>
      </w:r>
      <w:r w:rsidRPr="00D10171">
        <w:rPr>
          <w:rStyle w:val="normaltextrun"/>
          <w:rFonts w:eastAsiaTheme="majorEastAsia"/>
        </w:rPr>
        <w:t xml:space="preserve"> at net</w:t>
      </w:r>
      <w:r w:rsidR="006312BC">
        <w:rPr>
          <w:rStyle w:val="normaltextrun"/>
          <w:rFonts w:eastAsiaTheme="majorEastAsia"/>
        </w:rPr>
        <w:t xml:space="preserve"> </w:t>
      </w:r>
      <w:r w:rsidRPr="00D10171">
        <w:rPr>
          <w:rStyle w:val="normaltextrun"/>
          <w:rFonts w:eastAsiaTheme="majorEastAsia"/>
        </w:rPr>
        <w:t>zero as quickly as possible</w:t>
      </w:r>
      <w:r w:rsidR="00D50448">
        <w:rPr>
          <w:rStyle w:val="normaltextrun"/>
          <w:rFonts w:eastAsiaTheme="majorEastAsia"/>
        </w:rPr>
        <w:t>.</w:t>
      </w:r>
    </w:p>
    <w:p w14:paraId="35D0646A" w14:textId="66923739" w:rsidR="00802D1D" w:rsidRPr="007C46AA" w:rsidRDefault="00802D1D" w:rsidP="009229B3">
      <w:pPr>
        <w:pStyle w:val="Numberedparagraphs"/>
        <w:rPr>
          <w:rStyle w:val="normaltextrun"/>
          <w:rFonts w:eastAsiaTheme="majorEastAsia"/>
          <w:bCs w:val="0"/>
          <w:color w:val="auto"/>
          <w:szCs w:val="24"/>
        </w:rPr>
      </w:pPr>
      <w:r>
        <w:rPr>
          <w:rStyle w:val="normaltextrun"/>
          <w:rFonts w:eastAsiaTheme="majorEastAsia"/>
        </w:rPr>
        <w:t>Total</w:t>
      </w:r>
      <w:r w:rsidRPr="00D10171">
        <w:rPr>
          <w:rStyle w:val="normaltextrun"/>
          <w:rFonts w:eastAsiaTheme="majorEastAsia"/>
        </w:rPr>
        <w:t xml:space="preserve"> greenhouse gas emissions </w:t>
      </w:r>
      <w:r>
        <w:rPr>
          <w:rStyle w:val="normaltextrun"/>
          <w:rFonts w:eastAsiaTheme="majorEastAsia"/>
        </w:rPr>
        <w:t xml:space="preserve">over time determine </w:t>
      </w:r>
      <w:r w:rsidRPr="00D10171">
        <w:rPr>
          <w:rStyle w:val="normaltextrun"/>
          <w:rFonts w:eastAsiaTheme="majorEastAsia"/>
        </w:rPr>
        <w:t>the UK’s contribution to climate change</w:t>
      </w:r>
      <w:r>
        <w:rPr>
          <w:rStyle w:val="normaltextrun"/>
          <w:rFonts w:eastAsiaTheme="majorEastAsia"/>
        </w:rPr>
        <w:t>. T</w:t>
      </w:r>
      <w:r w:rsidRPr="00D10171">
        <w:rPr>
          <w:rStyle w:val="normaltextrun"/>
          <w:rFonts w:eastAsiaTheme="majorEastAsia"/>
        </w:rPr>
        <w:t xml:space="preserve">he levels of </w:t>
      </w:r>
      <w:r w:rsidR="00594D86">
        <w:rPr>
          <w:rStyle w:val="normaltextrun"/>
          <w:rFonts w:eastAsiaTheme="majorEastAsia"/>
        </w:rPr>
        <w:t>the sixth carbon budget</w:t>
      </w:r>
      <w:r w:rsidRPr="00D10171">
        <w:rPr>
          <w:rStyle w:val="normaltextrun"/>
          <w:rFonts w:eastAsiaTheme="majorEastAsia"/>
        </w:rPr>
        <w:t xml:space="preserve"> that are analysed here imply only minor differences in future </w:t>
      </w:r>
      <w:r>
        <w:rPr>
          <w:rStyle w:val="normaltextrun"/>
          <w:rFonts w:eastAsiaTheme="majorEastAsia"/>
        </w:rPr>
        <w:t xml:space="preserve">UK </w:t>
      </w:r>
      <w:r w:rsidRPr="00D10171">
        <w:rPr>
          <w:rStyle w:val="normaltextrun"/>
          <w:rFonts w:eastAsiaTheme="majorEastAsia"/>
        </w:rPr>
        <w:t>cumulative emissions</w:t>
      </w:r>
      <w:r>
        <w:rPr>
          <w:rStyle w:val="normaltextrun"/>
          <w:rFonts w:eastAsiaTheme="majorEastAsia"/>
        </w:rPr>
        <w:t xml:space="preserve"> which, because UK emissions are only a fraction of global emissions, means these differences have a </w:t>
      </w:r>
      <w:r w:rsidR="00994845">
        <w:rPr>
          <w:rStyle w:val="normaltextrun"/>
          <w:rFonts w:eastAsiaTheme="majorEastAsia"/>
        </w:rPr>
        <w:t xml:space="preserve">very </w:t>
      </w:r>
      <w:r>
        <w:rPr>
          <w:rStyle w:val="normaltextrun"/>
          <w:rFonts w:eastAsiaTheme="majorEastAsia"/>
        </w:rPr>
        <w:t xml:space="preserve">small impact on global emissions. </w:t>
      </w:r>
      <w:r w:rsidRPr="00D10171">
        <w:rPr>
          <w:rStyle w:val="normaltextrun"/>
          <w:rFonts w:eastAsiaTheme="majorEastAsia"/>
        </w:rPr>
        <w:t xml:space="preserve">However, given the potential impact of high </w:t>
      </w:r>
      <w:r>
        <w:rPr>
          <w:rStyle w:val="normaltextrun"/>
          <w:rFonts w:eastAsiaTheme="majorEastAsia"/>
        </w:rPr>
        <w:t xml:space="preserve">UK </w:t>
      </w:r>
      <w:r w:rsidRPr="00D10171">
        <w:rPr>
          <w:rStyle w:val="normaltextrun"/>
          <w:rFonts w:eastAsiaTheme="majorEastAsia"/>
        </w:rPr>
        <w:t>climate ambition on other countries’ policies and climate ambition, especially in the context of the UK’s presidency at COP26 in 2021, more ambitious targets could meaningfully contribute to global efforts towards net</w:t>
      </w:r>
      <w:r w:rsidR="006312BC">
        <w:rPr>
          <w:rStyle w:val="normaltextrun"/>
          <w:rFonts w:eastAsiaTheme="majorEastAsia"/>
        </w:rPr>
        <w:t xml:space="preserve"> </w:t>
      </w:r>
      <w:r w:rsidRPr="00D10171">
        <w:rPr>
          <w:rStyle w:val="normaltextrun"/>
          <w:rFonts w:eastAsiaTheme="majorEastAsia"/>
        </w:rPr>
        <w:t>zero</w:t>
      </w:r>
      <w:r w:rsidR="00B22119">
        <w:rPr>
          <w:rStyle w:val="normaltextrun"/>
          <w:rFonts w:eastAsiaTheme="majorEastAsia"/>
        </w:rPr>
        <w:t xml:space="preserve"> (see section 2.4).</w:t>
      </w:r>
    </w:p>
    <w:p w14:paraId="7B7F5EC6" w14:textId="26A1A3DC" w:rsidR="00802D1D" w:rsidRPr="007C46AA" w:rsidRDefault="00802D1D" w:rsidP="009229B3">
      <w:pPr>
        <w:pStyle w:val="Numberedparagraphs"/>
        <w:rPr>
          <w:rStyle w:val="normaltextrun"/>
          <w:rFonts w:eastAsiaTheme="majorEastAsia"/>
          <w:bCs w:val="0"/>
          <w:color w:val="auto"/>
          <w:szCs w:val="24"/>
        </w:rPr>
      </w:pPr>
      <w:r w:rsidRPr="00D10171">
        <w:rPr>
          <w:rStyle w:val="normaltextrun"/>
          <w:rFonts w:eastAsiaTheme="majorEastAsia"/>
        </w:rPr>
        <w:t xml:space="preserve">Irrespective of the </w:t>
      </w:r>
      <w:r w:rsidR="00594D86">
        <w:rPr>
          <w:rStyle w:val="normaltextrun"/>
          <w:rFonts w:eastAsiaTheme="majorEastAsia"/>
        </w:rPr>
        <w:t>sixth carbon budget</w:t>
      </w:r>
      <w:r w:rsidRPr="00D10171">
        <w:rPr>
          <w:rStyle w:val="normaltextrun"/>
          <w:rFonts w:eastAsiaTheme="majorEastAsia"/>
        </w:rPr>
        <w:t xml:space="preserve"> level or the actions of the rest of the world, global temperatures will continue to rise </w:t>
      </w:r>
      <w:r>
        <w:rPr>
          <w:rStyle w:val="normaltextrun"/>
          <w:rFonts w:eastAsiaTheme="majorEastAsia"/>
        </w:rPr>
        <w:t xml:space="preserve">to some extent </w:t>
      </w:r>
      <w:r w:rsidRPr="00D10171">
        <w:rPr>
          <w:rStyle w:val="normaltextrun"/>
          <w:rFonts w:eastAsiaTheme="majorEastAsia"/>
        </w:rPr>
        <w:t xml:space="preserve">and there will be costs of adapting to the consequences of climate change. These costs are highly uncertain and depend on the success with which global climate ambition is raised, emissions reductions </w:t>
      </w:r>
      <w:r w:rsidR="0082331A">
        <w:rPr>
          <w:rStyle w:val="normaltextrun"/>
          <w:rFonts w:eastAsiaTheme="majorEastAsia"/>
        </w:rPr>
        <w:t xml:space="preserve">are </w:t>
      </w:r>
      <w:r w:rsidRPr="00D10171">
        <w:rPr>
          <w:rStyle w:val="normaltextrun"/>
          <w:rFonts w:eastAsiaTheme="majorEastAsia"/>
        </w:rPr>
        <w:t xml:space="preserve">delivered and </w:t>
      </w:r>
      <w:r w:rsidR="006E5494">
        <w:rPr>
          <w:rStyle w:val="normaltextrun"/>
          <w:rFonts w:eastAsiaTheme="majorEastAsia"/>
        </w:rPr>
        <w:t>the UK</w:t>
      </w:r>
      <w:r w:rsidRPr="00D10171">
        <w:rPr>
          <w:rStyle w:val="normaltextrun"/>
          <w:rFonts w:eastAsiaTheme="majorEastAsia"/>
        </w:rPr>
        <w:t xml:space="preserve"> </w:t>
      </w:r>
      <w:r w:rsidR="005B3BDA">
        <w:rPr>
          <w:rStyle w:val="normaltextrun"/>
          <w:rFonts w:eastAsiaTheme="majorEastAsia"/>
        </w:rPr>
        <w:t xml:space="preserve">is </w:t>
      </w:r>
      <w:r w:rsidRPr="00D10171">
        <w:rPr>
          <w:rStyle w:val="normaltextrun"/>
          <w:rFonts w:eastAsiaTheme="majorEastAsia"/>
        </w:rPr>
        <w:t>prepare</w:t>
      </w:r>
      <w:r w:rsidR="006E5494">
        <w:rPr>
          <w:rStyle w:val="normaltextrun"/>
          <w:rFonts w:eastAsiaTheme="majorEastAsia"/>
        </w:rPr>
        <w:t>d</w:t>
      </w:r>
      <w:r w:rsidRPr="00D10171">
        <w:rPr>
          <w:rStyle w:val="normaltextrun"/>
          <w:rFonts w:eastAsiaTheme="majorEastAsia"/>
        </w:rPr>
        <w:t xml:space="preserve"> for the impact of future climate change through, for example, using climate change risk assessments to inform infrastructure investment.</w:t>
      </w:r>
    </w:p>
    <w:p w14:paraId="704A967A" w14:textId="66863185" w:rsidR="00802D1D" w:rsidRPr="00771318" w:rsidRDefault="00802D1D" w:rsidP="009229B3">
      <w:pPr>
        <w:pStyle w:val="Numberedparagraphs"/>
      </w:pPr>
      <w:r w:rsidRPr="00D10171">
        <w:rPr>
          <w:rStyle w:val="normaltextrun"/>
          <w:rFonts w:eastAsiaTheme="majorEastAsia"/>
        </w:rPr>
        <w:t xml:space="preserve">The carbon values used </w:t>
      </w:r>
      <w:r w:rsidR="00A038FB">
        <w:rPr>
          <w:rStyle w:val="normaltextrun"/>
          <w:rFonts w:eastAsiaTheme="majorEastAsia"/>
        </w:rPr>
        <w:t xml:space="preserve">in </w:t>
      </w:r>
      <w:r w:rsidR="00C06546">
        <w:rPr>
          <w:rStyle w:val="normaltextrun"/>
          <w:rFonts w:eastAsiaTheme="majorEastAsia"/>
        </w:rPr>
        <w:t>the</w:t>
      </w:r>
      <w:r w:rsidRPr="00D10171">
        <w:rPr>
          <w:rStyle w:val="normaltextrun"/>
          <w:rFonts w:eastAsiaTheme="majorEastAsia"/>
        </w:rPr>
        <w:t xml:space="preserve"> </w:t>
      </w:r>
      <w:r>
        <w:rPr>
          <w:rStyle w:val="normaltextrun"/>
          <w:rFonts w:eastAsiaTheme="majorEastAsia"/>
        </w:rPr>
        <w:t>appraisal</w:t>
      </w:r>
      <w:r w:rsidRPr="00D10171">
        <w:rPr>
          <w:rStyle w:val="normaltextrun"/>
          <w:rFonts w:eastAsiaTheme="majorEastAsia"/>
        </w:rPr>
        <w:t xml:space="preserve"> in section 2.</w:t>
      </w:r>
      <w:r w:rsidR="006E5494">
        <w:rPr>
          <w:rStyle w:val="normaltextrun"/>
          <w:rFonts w:eastAsiaTheme="majorEastAsia"/>
        </w:rPr>
        <w:t>5</w:t>
      </w:r>
      <w:r w:rsidRPr="00D10171">
        <w:rPr>
          <w:rStyle w:val="normaltextrun"/>
          <w:rFonts w:eastAsiaTheme="majorEastAsia"/>
        </w:rPr>
        <w:t xml:space="preserve"> do not represent</w:t>
      </w:r>
      <w:r w:rsidR="00A038FB">
        <w:rPr>
          <w:rStyle w:val="normaltextrun"/>
          <w:rFonts w:eastAsiaTheme="majorEastAsia"/>
        </w:rPr>
        <w:t xml:space="preserve"> the </w:t>
      </w:r>
      <w:r w:rsidR="00C06546">
        <w:rPr>
          <w:rStyle w:val="normaltextrun"/>
          <w:rFonts w:eastAsiaTheme="majorEastAsia"/>
        </w:rPr>
        <w:t>s</w:t>
      </w:r>
      <w:r w:rsidR="00A038FB">
        <w:rPr>
          <w:rStyle w:val="normaltextrun"/>
          <w:rFonts w:eastAsiaTheme="majorEastAsia"/>
        </w:rPr>
        <w:t xml:space="preserve">ocial </w:t>
      </w:r>
      <w:r w:rsidR="00972311" w:rsidRPr="01F21943">
        <w:rPr>
          <w:rStyle w:val="normaltextrun"/>
          <w:rFonts w:eastAsiaTheme="majorEastAsia"/>
        </w:rPr>
        <w:t xml:space="preserve">damage </w:t>
      </w:r>
      <w:r w:rsidR="00C06546">
        <w:rPr>
          <w:rStyle w:val="normaltextrun"/>
          <w:rFonts w:eastAsiaTheme="majorEastAsia"/>
        </w:rPr>
        <w:t>c</w:t>
      </w:r>
      <w:r w:rsidR="00A038FB">
        <w:rPr>
          <w:rStyle w:val="normaltextrun"/>
          <w:rFonts w:eastAsiaTheme="majorEastAsia"/>
        </w:rPr>
        <w:t xml:space="preserve">ost of </w:t>
      </w:r>
      <w:r w:rsidR="00C06546">
        <w:rPr>
          <w:rStyle w:val="normaltextrun"/>
          <w:rFonts w:eastAsiaTheme="majorEastAsia"/>
        </w:rPr>
        <w:t>c</w:t>
      </w:r>
      <w:r w:rsidR="00A038FB">
        <w:rPr>
          <w:rStyle w:val="normaltextrun"/>
          <w:rFonts w:eastAsiaTheme="majorEastAsia"/>
        </w:rPr>
        <w:t>arbon</w:t>
      </w:r>
      <w:r w:rsidR="00972311" w:rsidRPr="01F21943">
        <w:rPr>
          <w:rStyle w:val="normaltextrun"/>
          <w:rFonts w:eastAsiaTheme="majorEastAsia"/>
        </w:rPr>
        <w:t>. R</w:t>
      </w:r>
      <w:r w:rsidRPr="00D10171">
        <w:rPr>
          <w:rStyle w:val="normaltextrun"/>
          <w:rFonts w:eastAsiaTheme="majorEastAsia"/>
        </w:rPr>
        <w:t>ather</w:t>
      </w:r>
      <w:r w:rsidR="00F214D0">
        <w:rPr>
          <w:rStyle w:val="normaltextrun"/>
          <w:rFonts w:eastAsiaTheme="majorEastAsia"/>
        </w:rPr>
        <w:t xml:space="preserve"> </w:t>
      </w:r>
      <w:r w:rsidR="00972311" w:rsidRPr="01F21943">
        <w:rPr>
          <w:rStyle w:val="normaltextrun"/>
          <w:rFonts w:eastAsiaTheme="majorEastAsia"/>
        </w:rPr>
        <w:t xml:space="preserve">they </w:t>
      </w:r>
      <w:r w:rsidR="00F214D0">
        <w:rPr>
          <w:rStyle w:val="normaltextrun"/>
          <w:rFonts w:eastAsiaTheme="majorEastAsia"/>
        </w:rPr>
        <w:t xml:space="preserve">are based on a target-consistent approach, </w:t>
      </w:r>
      <w:r w:rsidR="00A12413" w:rsidRPr="01F21943">
        <w:rPr>
          <w:rStyle w:val="normaltextrun"/>
          <w:rFonts w:eastAsiaTheme="majorEastAsia"/>
        </w:rPr>
        <w:t>using</w:t>
      </w:r>
      <w:r w:rsidR="00F214D0">
        <w:rPr>
          <w:rStyle w:val="normaltextrun"/>
          <w:rFonts w:eastAsiaTheme="majorEastAsia"/>
        </w:rPr>
        <w:t xml:space="preserve"> estimates of the abatement costs that will need to be incurred to meet specific emissions </w:t>
      </w:r>
      <w:r w:rsidR="00F214D0">
        <w:rPr>
          <w:rStyle w:val="normaltextrun"/>
          <w:rFonts w:eastAsiaTheme="majorEastAsia"/>
        </w:rPr>
        <w:lastRenderedPageBreak/>
        <w:t>reduction targets</w:t>
      </w:r>
      <w:r w:rsidRPr="00D10171">
        <w:rPr>
          <w:rStyle w:val="normaltextrun"/>
          <w:rFonts w:eastAsiaTheme="majorEastAsia"/>
        </w:rPr>
        <w:t>.</w:t>
      </w:r>
      <w:r w:rsidR="00C06546">
        <w:rPr>
          <w:rStyle w:val="normaltextrun"/>
          <w:rFonts w:eastAsiaTheme="majorEastAsia"/>
        </w:rPr>
        <w:t xml:space="preserve"> Thus,</w:t>
      </w:r>
      <w:r w:rsidRPr="00D10171">
        <w:rPr>
          <w:rStyle w:val="normaltextrun"/>
          <w:rFonts w:eastAsiaTheme="majorEastAsia"/>
        </w:rPr>
        <w:t xml:space="preserve"> </w:t>
      </w:r>
      <w:r w:rsidR="00C06546">
        <w:rPr>
          <w:rStyle w:val="normaltextrun"/>
          <w:rFonts w:eastAsiaTheme="majorEastAsia"/>
        </w:rPr>
        <w:t xml:space="preserve">damage and adaptation costs are not </w:t>
      </w:r>
      <w:r w:rsidR="00333D18" w:rsidRPr="01F21943">
        <w:rPr>
          <w:rStyle w:val="normaltextrun"/>
          <w:rFonts w:eastAsiaTheme="majorEastAsia"/>
        </w:rPr>
        <w:t xml:space="preserve">directly </w:t>
      </w:r>
      <w:r w:rsidR="00C06546">
        <w:rPr>
          <w:rStyle w:val="normaltextrun"/>
          <w:rFonts w:eastAsiaTheme="majorEastAsia"/>
        </w:rPr>
        <w:t xml:space="preserve">considered. </w:t>
      </w:r>
      <w:r w:rsidRPr="007157A4">
        <w:t xml:space="preserve">Due to </w:t>
      </w:r>
      <w:r>
        <w:t>the</w:t>
      </w:r>
      <w:r w:rsidRPr="007157A4">
        <w:t xml:space="preserve"> complexity </w:t>
      </w:r>
      <w:r>
        <w:t xml:space="preserve">of calculating costs of adaptation, </w:t>
      </w:r>
      <w:r w:rsidRPr="007157A4">
        <w:t>a national assessment on adaptation costs in the UK does not exist. However, it is clear that the UK is already experiencing the impacts of climate change and the latest UK climate projections show an increased chance of warmer, wetter winters and hotter, drier summers along with an increase in the frequency and intensity of extremes</w:t>
      </w:r>
      <w:r w:rsidRPr="007157A4">
        <w:rPr>
          <w:rStyle w:val="FootnoteReference"/>
          <w:rFonts w:cs="Tahoma"/>
        </w:rPr>
        <w:footnoteReference w:id="53"/>
      </w:r>
      <w:r w:rsidRPr="007157A4">
        <w:t>.</w:t>
      </w:r>
      <w:r w:rsidRPr="00771318">
        <w:t xml:space="preserve"> </w:t>
      </w:r>
    </w:p>
    <w:p w14:paraId="1EA5BF4B" w14:textId="45269EE5" w:rsidR="00802D1D" w:rsidRPr="00771318" w:rsidRDefault="00802D1D" w:rsidP="009229B3">
      <w:pPr>
        <w:pStyle w:val="Numberedparagraphs"/>
      </w:pPr>
      <w:r w:rsidRPr="00771318">
        <w:t>Therefore, ensuring that climate adaptation is integrated with carbon mitigation measures, policy</w:t>
      </w:r>
      <w:r w:rsidR="00866AFC">
        <w:t xml:space="preserve"> </w:t>
      </w:r>
      <w:r w:rsidRPr="00771318">
        <w:t xml:space="preserve">making and investment for both sectoral and cross-cutting developments is necessary. Ensuring resilience </w:t>
      </w:r>
      <w:r w:rsidR="00866AFC">
        <w:t xml:space="preserve">is improved </w:t>
      </w:r>
      <w:r w:rsidRPr="00771318">
        <w:t>to a changing climate is required alongside the possible pathways to reduce greenhouse gas emissions and future climate scenarios.</w:t>
      </w:r>
    </w:p>
    <w:p w14:paraId="5AE52F13" w14:textId="4FD56442" w:rsidR="00802D1D" w:rsidRPr="002E7199" w:rsidRDefault="00802D1D" w:rsidP="009229B3">
      <w:pPr>
        <w:pStyle w:val="Numberedparagraphs"/>
      </w:pPr>
      <w:r w:rsidRPr="00771318">
        <w:t xml:space="preserve">As an example, it is estimated that proactive investment in </w:t>
      </w:r>
      <w:r w:rsidR="009E5BBC">
        <w:t>the</w:t>
      </w:r>
      <w:r w:rsidR="006850AF">
        <w:t xml:space="preserve"> long-term</w:t>
      </w:r>
      <w:r w:rsidRPr="00771318">
        <w:t xml:space="preserve"> resilience </w:t>
      </w:r>
      <w:r w:rsidR="009E5BBC">
        <w:t>of</w:t>
      </w:r>
      <w:r w:rsidRPr="00771318">
        <w:t xml:space="preserve"> England’s water supply </w:t>
      </w:r>
      <w:r w:rsidR="009E5BBC">
        <w:t xml:space="preserve">to drought </w:t>
      </w:r>
      <w:r w:rsidRPr="00771318">
        <w:t xml:space="preserve">over the next 30 years would cost approximately half </w:t>
      </w:r>
      <w:r w:rsidR="006353D4">
        <w:t xml:space="preserve">that of </w:t>
      </w:r>
      <w:r w:rsidR="00FF66DB">
        <w:t xml:space="preserve">short-term </w:t>
      </w:r>
      <w:r w:rsidR="006353D4">
        <w:t>emergency measures</w:t>
      </w:r>
      <w:r w:rsidR="00FF66DB">
        <w:t xml:space="preserve"> for equivalent events</w:t>
      </w:r>
      <w:r w:rsidR="00E744FF">
        <w:rPr>
          <w:rStyle w:val="FootnoteReference"/>
        </w:rPr>
        <w:footnoteReference w:id="54"/>
      </w:r>
      <w:r w:rsidRPr="00771318">
        <w:t>. Additionally, failure to adapt to climate change could make future maintenance of net</w:t>
      </w:r>
      <w:r w:rsidR="006312BC">
        <w:t xml:space="preserve"> </w:t>
      </w:r>
      <w:r w:rsidRPr="00771318">
        <w:t>zero more challenging. F</w:t>
      </w:r>
      <w:r>
        <w:t>or example</w:t>
      </w:r>
      <w:r w:rsidR="00725CAB">
        <w:t>,</w:t>
      </w:r>
      <w:r>
        <w:t xml:space="preserve"> f</w:t>
      </w:r>
      <w:r w:rsidRPr="00771318">
        <w:t>uture increased risks of drought present a potential challenge to woodland creation</w:t>
      </w:r>
      <w:r>
        <w:t xml:space="preserve">, and reduced </w:t>
      </w:r>
      <w:r w:rsidR="0080700B">
        <w:t>aggregate</w:t>
      </w:r>
      <w:r w:rsidR="009F7213">
        <w:t xml:space="preserve"> </w:t>
      </w:r>
      <w:r>
        <w:t>productivity from warmer climates would increase carbon emissions</w:t>
      </w:r>
      <w:r>
        <w:rPr>
          <w:rStyle w:val="FootnoteReference"/>
        </w:rPr>
        <w:footnoteReference w:id="55"/>
      </w:r>
      <w:r>
        <w:t>.</w:t>
      </w:r>
      <w:r w:rsidRPr="00771318">
        <w:t xml:space="preserve"> </w:t>
      </w:r>
    </w:p>
    <w:p w14:paraId="38364F5F" w14:textId="7392D787" w:rsidR="005F1F8C" w:rsidRPr="004E103C" w:rsidRDefault="005F1F8C" w:rsidP="004E103C">
      <w:pPr>
        <w:pStyle w:val="Heading4"/>
        <w:spacing w:after="200"/>
        <w:rPr>
          <w:szCs w:val="24"/>
        </w:rPr>
      </w:pPr>
      <w:r w:rsidRPr="004E103C">
        <w:rPr>
          <w:szCs w:val="24"/>
        </w:rPr>
        <w:t xml:space="preserve">Technology </w:t>
      </w:r>
      <w:r w:rsidR="002F7A60" w:rsidRPr="004E103C">
        <w:rPr>
          <w:szCs w:val="24"/>
        </w:rPr>
        <w:t>relevant to climate change</w:t>
      </w:r>
    </w:p>
    <w:p w14:paraId="454C2F9E" w14:textId="0A6FCCA5" w:rsidR="00D337EE" w:rsidRDefault="005F1F8C" w:rsidP="001350AF">
      <w:pPr>
        <w:pStyle w:val="Numberedparagraphs"/>
      </w:pPr>
      <w:r>
        <w:t xml:space="preserve">Technological circumstances are </w:t>
      </w:r>
      <w:r w:rsidR="00D51E33">
        <w:t>considered</w:t>
      </w:r>
      <w:r>
        <w:t xml:space="preserve"> by modelling in UK</w:t>
      </w:r>
      <w:r w:rsidR="00744A81">
        <w:t>TM</w:t>
      </w:r>
      <w:r>
        <w:t>. The model contains all technologies for which sufficient evidence is available. More details on the way in which UK</w:t>
      </w:r>
      <w:r w:rsidR="00744A81">
        <w:t>TM</w:t>
      </w:r>
      <w:r w:rsidR="00792CEA">
        <w:t xml:space="preserve"> </w:t>
      </w:r>
      <w:r w:rsidR="00CF7172">
        <w:t>considers</w:t>
      </w:r>
      <w:r>
        <w:t xml:space="preserve"> evidence on technological circumstances are available in section </w:t>
      </w:r>
      <w:r w:rsidR="003E18E3">
        <w:t>2.1</w:t>
      </w:r>
      <w:r w:rsidR="006E5494">
        <w:t>,</w:t>
      </w:r>
      <w:r>
        <w:t xml:space="preserve"> section </w:t>
      </w:r>
      <w:r w:rsidR="003E18E3" w:rsidRPr="006A0C4B">
        <w:t>2.2</w:t>
      </w:r>
      <w:r w:rsidR="006E5494">
        <w:t xml:space="preserve"> and in annex A.2</w:t>
      </w:r>
      <w:r>
        <w:t xml:space="preserve">.  </w:t>
      </w:r>
      <w:r w:rsidR="001067C6">
        <w:t xml:space="preserve">The costs of some low carbon technologies (e.g. offshore wind, solar PV, and </w:t>
      </w:r>
      <w:r w:rsidR="00EA70D6">
        <w:t>electric vehicle batteries) have fallen faster than originally predicted</w:t>
      </w:r>
      <w:r w:rsidR="002F679F">
        <w:t xml:space="preserve">. </w:t>
      </w:r>
      <w:r w:rsidR="002E2F89">
        <w:t>UK</w:t>
      </w:r>
      <w:r w:rsidR="00744A81">
        <w:t>TM</w:t>
      </w:r>
      <w:r w:rsidR="002E2F89">
        <w:t xml:space="preserve"> </w:t>
      </w:r>
      <w:r w:rsidR="004134C3">
        <w:t xml:space="preserve">factors in future </w:t>
      </w:r>
      <w:r w:rsidR="003D2760">
        <w:t xml:space="preserve">cost reductions in technologies but there is scope for </w:t>
      </w:r>
      <w:r w:rsidR="009625E4">
        <w:t xml:space="preserve">costs </w:t>
      </w:r>
      <w:r w:rsidR="003D2760">
        <w:t xml:space="preserve">to </w:t>
      </w:r>
      <w:r w:rsidR="009625E4">
        <w:t>fall more quickly than assumed</w:t>
      </w:r>
      <w:r w:rsidR="00BB36BF">
        <w:t xml:space="preserve">. This would reduce the </w:t>
      </w:r>
      <w:r w:rsidR="00E07837">
        <w:t xml:space="preserve">capital costs of the transition to net zero. </w:t>
      </w:r>
    </w:p>
    <w:p w14:paraId="3087168A" w14:textId="3F4908A6" w:rsidR="005F1F8C" w:rsidRPr="004E103C" w:rsidRDefault="005F1F8C" w:rsidP="004E103C">
      <w:pPr>
        <w:pStyle w:val="Heading4"/>
        <w:spacing w:after="200"/>
        <w:rPr>
          <w:szCs w:val="24"/>
        </w:rPr>
      </w:pPr>
      <w:r w:rsidRPr="004E103C">
        <w:rPr>
          <w:szCs w:val="24"/>
        </w:rPr>
        <w:t>Economic circumstances</w:t>
      </w:r>
    </w:p>
    <w:p w14:paraId="55059DCD" w14:textId="41EC90F7" w:rsidR="00373833" w:rsidRDefault="005F1F8C" w:rsidP="009229B3">
      <w:pPr>
        <w:pStyle w:val="Numberedparagraphs"/>
      </w:pPr>
      <w:r>
        <w:t xml:space="preserve">The </w:t>
      </w:r>
      <w:r w:rsidR="00594D86">
        <w:t>Climate Change Act</w:t>
      </w:r>
      <w:r>
        <w:t xml:space="preserve"> requires that economic circumstances be </w:t>
      </w:r>
      <w:r w:rsidR="00D51E33">
        <w:t>considered</w:t>
      </w:r>
      <w:r w:rsidR="001863B8">
        <w:t xml:space="preserve">. </w:t>
      </w:r>
      <w:r>
        <w:t xml:space="preserve"> </w:t>
      </w:r>
      <w:r w:rsidR="001863B8">
        <w:t>I</w:t>
      </w:r>
      <w:r>
        <w:t>n particular</w:t>
      </w:r>
      <w:r w:rsidR="001863B8">
        <w:t>,</w:t>
      </w:r>
      <w:r>
        <w:t xml:space="preserve"> the impact of the decision on the economy and the competitiveness of </w:t>
      </w:r>
      <w:r w:rsidR="006A2D12">
        <w:t>particular sectors of the economy</w:t>
      </w:r>
      <w:r>
        <w:t>.</w:t>
      </w:r>
      <w:r w:rsidR="00085FA1">
        <w:t xml:space="preserve"> </w:t>
      </w:r>
      <w:r w:rsidR="00373833">
        <w:t xml:space="preserve">A key aspect in evaluating the economic effect is the counterfactual used as </w:t>
      </w:r>
      <w:r w:rsidR="006E5494">
        <w:t xml:space="preserve">a </w:t>
      </w:r>
      <w:r w:rsidR="002826C7">
        <w:t xml:space="preserve">baseline </w:t>
      </w:r>
      <w:r w:rsidR="00373833">
        <w:t>reference.</w:t>
      </w:r>
    </w:p>
    <w:p w14:paraId="47863DEA" w14:textId="2AF8F184" w:rsidR="00A97DEA" w:rsidRDefault="00085FA1" w:rsidP="009229B3">
      <w:pPr>
        <w:pStyle w:val="Numberedparagraphs"/>
      </w:pPr>
      <w:r>
        <w:t xml:space="preserve">The 2006 Stern Review estimated that the cost of </w:t>
      </w:r>
      <w:r w:rsidR="00373833">
        <w:t>global</w:t>
      </w:r>
      <w:r>
        <w:t xml:space="preserve"> inaction on climate change significantly outweighs the expected cost of coordinated global action. Without effort to tackle climate change, the </w:t>
      </w:r>
      <w:r w:rsidR="00E029D4">
        <w:t xml:space="preserve">Stern </w:t>
      </w:r>
      <w:r>
        <w:t>Review predicted that the loss of GDP from climate change could cost the global economy significantly more than the global cost of action to stabilise atmospheric concentrations of greenhouse gases</w:t>
      </w:r>
      <w:r w:rsidR="00A762FE">
        <w:t xml:space="preserve">. </w:t>
      </w:r>
      <w:r w:rsidR="005F1F8C">
        <w:t xml:space="preserve"> </w:t>
      </w:r>
    </w:p>
    <w:p w14:paraId="7849A802" w14:textId="71518131" w:rsidR="00A367E9" w:rsidRPr="007C46AA" w:rsidRDefault="00741A17" w:rsidP="009229B3">
      <w:pPr>
        <w:pStyle w:val="Numberedparagraphs"/>
        <w:rPr>
          <w:rStyle w:val="normaltextrun"/>
          <w:rFonts w:eastAsiaTheme="minorEastAsia"/>
        </w:rPr>
      </w:pPr>
      <w:r>
        <w:t xml:space="preserve">In comparison, </w:t>
      </w:r>
      <w:r w:rsidR="007D4AA6">
        <w:t>as</w:t>
      </w:r>
      <w:r>
        <w:t xml:space="preserve"> </w:t>
      </w:r>
      <w:r w:rsidR="00A762FE">
        <w:t xml:space="preserve">set out </w:t>
      </w:r>
      <w:r>
        <w:t>in the HMT Net Zero</w:t>
      </w:r>
      <w:r w:rsidR="00AB7BCC">
        <w:t xml:space="preserve"> Review</w:t>
      </w:r>
      <w:r>
        <w:t xml:space="preserve"> Interim </w:t>
      </w:r>
      <w:r w:rsidR="00AB7BCC">
        <w:t>Report</w:t>
      </w:r>
      <w:r w:rsidR="00132AA6" w:rsidRPr="01F21943">
        <w:rPr>
          <w:rStyle w:val="FootnoteReference"/>
        </w:rPr>
        <w:t xml:space="preserve"> </w:t>
      </w:r>
      <w:r w:rsidR="00132AA6">
        <w:rPr>
          <w:rStyle w:val="FootnoteReference"/>
        </w:rPr>
        <w:footnoteReference w:id="56"/>
      </w:r>
      <w:r w:rsidR="00A762FE">
        <w:t>,</w:t>
      </w:r>
      <w:r w:rsidR="00AB7BCC">
        <w:t xml:space="preserve"> </w:t>
      </w:r>
      <w:r w:rsidR="00A7579A">
        <w:t>within the context of global action on climate change</w:t>
      </w:r>
      <w:r w:rsidR="0020133D">
        <w:t xml:space="preserve"> </w:t>
      </w:r>
      <w:r w:rsidR="00AB7BCC">
        <w:t>the</w:t>
      </w:r>
      <w:r w:rsidRPr="00741A17">
        <w:t xml:space="preserve"> </w:t>
      </w:r>
      <w:r w:rsidR="00C56C33">
        <w:t>net</w:t>
      </w:r>
      <w:r w:rsidRPr="00741A17">
        <w:t xml:space="preserve"> effect</w:t>
      </w:r>
      <w:r w:rsidR="00CE4D57">
        <w:t xml:space="preserve"> </w:t>
      </w:r>
      <w:r w:rsidR="00A7579A">
        <w:t xml:space="preserve">on </w:t>
      </w:r>
      <w:r w:rsidRPr="00741A17">
        <w:t>UK economic growth is likely to be relatively small</w:t>
      </w:r>
      <w:r w:rsidR="00A23340">
        <w:t xml:space="preserve">, </w:t>
      </w:r>
      <w:r w:rsidR="00A87929">
        <w:t>includ</w:t>
      </w:r>
      <w:r w:rsidR="00DE070C">
        <w:t>ing</w:t>
      </w:r>
      <w:r w:rsidR="00A87929">
        <w:t xml:space="preserve"> positive</w:t>
      </w:r>
      <w:r w:rsidR="00A7579A">
        <w:t xml:space="preserve"> and </w:t>
      </w:r>
      <w:r w:rsidR="00A87929">
        <w:t>negative impacts</w:t>
      </w:r>
      <w:r w:rsidR="00E04B38">
        <w:t xml:space="preserve"> via multiple channels</w:t>
      </w:r>
      <w:r w:rsidR="00C56C33">
        <w:t>, but highly uncertain</w:t>
      </w:r>
      <w:r w:rsidR="00A23340">
        <w:t>.</w:t>
      </w:r>
      <w:r w:rsidR="009A2507">
        <w:t xml:space="preserve"> </w:t>
      </w:r>
      <w:r w:rsidRPr="00741A17">
        <w:t xml:space="preserve">The scale, distribution and balance of new growth opportunities and challenges will </w:t>
      </w:r>
      <w:r w:rsidR="00AB7BCC">
        <w:t>depend on the policies brought forward to meet commitment</w:t>
      </w:r>
      <w:r w:rsidR="002F3A8B">
        <w:t>s</w:t>
      </w:r>
      <w:r w:rsidR="00682A20">
        <w:t>. A</w:t>
      </w:r>
      <w:r w:rsidR="00AB7BCC">
        <w:t xml:space="preserve">s this </w:t>
      </w:r>
      <w:r w:rsidR="00AB7BCC">
        <w:lastRenderedPageBreak/>
        <w:t xml:space="preserve">Impact Assessment is policy </w:t>
      </w:r>
      <w:r w:rsidR="009C1550">
        <w:t>agnostic,</w:t>
      </w:r>
      <w:r w:rsidR="00AB7BCC">
        <w:t xml:space="preserve"> </w:t>
      </w:r>
      <w:r w:rsidR="00A23340">
        <w:t xml:space="preserve">quantitative </w:t>
      </w:r>
      <w:r w:rsidR="009C1550">
        <w:t>macro-economic modelling</w:t>
      </w:r>
      <w:r w:rsidR="0020133D">
        <w:t xml:space="preserve"> has not </w:t>
      </w:r>
      <w:r w:rsidR="000C6C27">
        <w:t>been</w:t>
      </w:r>
      <w:r w:rsidR="0020133D">
        <w:t xml:space="preserve"> carried out</w:t>
      </w:r>
      <w:r w:rsidR="009C1550">
        <w:t xml:space="preserve">. </w:t>
      </w:r>
    </w:p>
    <w:p w14:paraId="037297BF" w14:textId="2364CC2C" w:rsidR="00725AE2" w:rsidRPr="00B35339" w:rsidRDefault="00A367E9" w:rsidP="009229B3">
      <w:pPr>
        <w:pStyle w:val="Numberedparagraphs"/>
        <w:rPr>
          <w:rFonts w:cs="SegoeUI"/>
          <w:lang w:eastAsia="en-US"/>
        </w:rPr>
      </w:pPr>
      <w:r w:rsidRPr="00A367E9">
        <w:rPr>
          <w:rStyle w:val="normaltextrun"/>
          <w:rFonts w:eastAsiaTheme="minorEastAsia"/>
        </w:rPr>
        <w:t xml:space="preserve">The impacts of the sixth carbon budget on the UK economy will depend on the specific policies introduced to meet the budget and the relative action of other countries, rather than on the level of the sixth carbon budget per se. Therefore, this </w:t>
      </w:r>
      <w:r w:rsidR="0008077E">
        <w:rPr>
          <w:rStyle w:val="normaltextrun"/>
          <w:rFonts w:eastAsiaTheme="minorEastAsia"/>
        </w:rPr>
        <w:t>Impact Assessment</w:t>
      </w:r>
      <w:r w:rsidRPr="00A367E9">
        <w:rPr>
          <w:rStyle w:val="normaltextrun"/>
          <w:rFonts w:eastAsiaTheme="minorEastAsia"/>
        </w:rPr>
        <w:t xml:space="preserve"> provides an overview of the important factors that will determine </w:t>
      </w:r>
      <w:r w:rsidRPr="00725AE2">
        <w:rPr>
          <w:rStyle w:val="normaltextrun"/>
          <w:rFonts w:eastAsiaTheme="minorEastAsia"/>
        </w:rPr>
        <w:t xml:space="preserve">economic impacts, and the key methods of managing risks, rather than an estimation of aggregate or sectoral impacts. The vital underpinning of </w:t>
      </w:r>
      <w:r w:rsidRPr="00487718">
        <w:rPr>
          <w:rStyle w:val="normaltextrun"/>
          <w:rFonts w:eastAsiaTheme="minorEastAsia"/>
        </w:rPr>
        <w:t>all policies wil</w:t>
      </w:r>
      <w:r w:rsidRPr="009C298B">
        <w:rPr>
          <w:rStyle w:val="normaltextrun"/>
          <w:rFonts w:eastAsiaTheme="minorEastAsia"/>
        </w:rPr>
        <w:t>l be that</w:t>
      </w:r>
      <w:r w:rsidRPr="00A367E9">
        <w:rPr>
          <w:rStyle w:val="normaltextrun"/>
          <w:rFonts w:eastAsiaTheme="minorEastAsia"/>
        </w:rPr>
        <w:t xml:space="preserve"> they seek to maximise a market-led and economically efficient decarbonisation, limiting state intervention to circumstances where market failures mean it is necessary.</w:t>
      </w:r>
    </w:p>
    <w:p w14:paraId="142099D4" w14:textId="2D330C8E" w:rsidR="00725AE2" w:rsidRDefault="001A58F7" w:rsidP="009229B3">
      <w:pPr>
        <w:pStyle w:val="Numberedparagraphs"/>
      </w:pPr>
      <w:r w:rsidRPr="001A58F7">
        <w:rPr>
          <w:lang w:eastAsia="en-US"/>
        </w:rPr>
        <w:t>Investment is a vital component of productivity growth, and significant investment will be necessary to achieve the sixth carbon budget. Policies that induce this investment must seek to ensure that is it genuinely additional.  There is a risk that government investment in decarbonisation could ‘crowd out’ alternative private and potentially more productive investment, in turn lowering growth, particularly in areas where the supply chains struggle to scale up to meet the increased demand for capital goods.</w:t>
      </w:r>
      <w:r w:rsidR="00C2020A">
        <w:rPr>
          <w:lang w:eastAsia="en-US"/>
        </w:rPr>
        <w:t xml:space="preserve"> </w:t>
      </w:r>
      <w:r w:rsidR="00A367E9" w:rsidRPr="00725AE2">
        <w:rPr>
          <w:rStyle w:val="normaltextrun"/>
          <w:rFonts w:eastAsiaTheme="minorEastAsia"/>
        </w:rPr>
        <w:t>There is some evidence</w:t>
      </w:r>
      <w:r w:rsidR="00F9155E">
        <w:rPr>
          <w:rStyle w:val="normaltextrun"/>
          <w:rFonts w:eastAsiaTheme="minorEastAsia"/>
        </w:rPr>
        <w:t xml:space="preserve"> </w:t>
      </w:r>
      <w:r w:rsidR="00A367E9" w:rsidRPr="00725AE2">
        <w:rPr>
          <w:rStyle w:val="normaltextrun"/>
          <w:rFonts w:eastAsiaTheme="minorEastAsia"/>
        </w:rPr>
        <w:t>that stricter environmental regulation may incentivise greater R&amp;D spend that more than offsets the costs of regulation compliance</w:t>
      </w:r>
      <w:r w:rsidR="00F9155E">
        <w:rPr>
          <w:rStyle w:val="FootnoteReference"/>
          <w:rFonts w:eastAsiaTheme="minorEastAsia"/>
        </w:rPr>
        <w:footnoteReference w:id="57"/>
      </w:r>
      <w:r w:rsidR="00F9155E">
        <w:rPr>
          <w:rStyle w:val="normaltextrun"/>
          <w:rFonts w:eastAsiaTheme="minorEastAsia"/>
        </w:rPr>
        <w:t>.</w:t>
      </w:r>
      <w:r w:rsidR="00A367E9" w:rsidRPr="00725AE2">
        <w:rPr>
          <w:rStyle w:val="superscript"/>
          <w:sz w:val="19"/>
          <w:szCs w:val="19"/>
          <w:vertAlign w:val="superscript"/>
        </w:rPr>
        <w:t xml:space="preserve"> </w:t>
      </w:r>
      <w:r w:rsidR="00A367E9">
        <w:rPr>
          <w:lang w:eastAsia="en-US"/>
        </w:rPr>
        <w:t>However</w:t>
      </w:r>
      <w:r w:rsidR="00B06D7D" w:rsidRPr="01F21943">
        <w:rPr>
          <w:lang w:eastAsia="en-US"/>
        </w:rPr>
        <w:t>,</w:t>
      </w:r>
      <w:r w:rsidR="00A367E9">
        <w:rPr>
          <w:lang w:eastAsia="en-US"/>
        </w:rPr>
        <w:t xml:space="preserve"> there are risks from </w:t>
      </w:r>
      <w:r w:rsidR="00A367E9" w:rsidRPr="00FA3A9E">
        <w:rPr>
          <w:lang w:eastAsia="en-US"/>
        </w:rPr>
        <w:t>additional regulation</w:t>
      </w:r>
      <w:r w:rsidR="00A367E9">
        <w:rPr>
          <w:lang w:eastAsia="en-US"/>
        </w:rPr>
        <w:t xml:space="preserve">, particularly in the short run, which </w:t>
      </w:r>
      <w:r w:rsidR="00A367E9" w:rsidRPr="00FA3A9E">
        <w:rPr>
          <w:lang w:eastAsia="en-US"/>
        </w:rPr>
        <w:t xml:space="preserve">may </w:t>
      </w:r>
      <w:r w:rsidR="00A367E9">
        <w:rPr>
          <w:lang w:eastAsia="en-US"/>
        </w:rPr>
        <w:t xml:space="preserve">be </w:t>
      </w:r>
      <w:r w:rsidR="00A367E9" w:rsidRPr="00FA3A9E">
        <w:rPr>
          <w:lang w:eastAsia="en-US"/>
        </w:rPr>
        <w:t>act as a drag on productivity.</w:t>
      </w:r>
    </w:p>
    <w:p w14:paraId="5BA8EE6B" w14:textId="2C750BF9" w:rsidR="00EA6183" w:rsidRPr="00487718" w:rsidRDefault="00A367E9" w:rsidP="009229B3">
      <w:pPr>
        <w:pStyle w:val="Numberedparagraphs"/>
      </w:pPr>
      <w:r w:rsidRPr="00FA3A9E">
        <w:rPr>
          <w:lang w:eastAsia="en-US"/>
        </w:rPr>
        <w:t xml:space="preserve">The exact effect of investment on growth will depend on </w:t>
      </w:r>
      <w:r>
        <w:rPr>
          <w:lang w:eastAsia="en-US"/>
        </w:rPr>
        <w:t xml:space="preserve">assessing </w:t>
      </w:r>
      <w:r w:rsidRPr="00FA3A9E">
        <w:rPr>
          <w:lang w:eastAsia="en-US"/>
        </w:rPr>
        <w:t xml:space="preserve">both the specific </w:t>
      </w:r>
      <w:r>
        <w:rPr>
          <w:lang w:eastAsia="en-US"/>
        </w:rPr>
        <w:t xml:space="preserve">policies </w:t>
      </w:r>
      <w:r w:rsidRPr="00FA3A9E">
        <w:rPr>
          <w:lang w:eastAsia="en-US"/>
        </w:rPr>
        <w:t>but also the timing within the economic cycle, with counter-cyclical investment potentially support</w:t>
      </w:r>
      <w:r>
        <w:rPr>
          <w:lang w:eastAsia="en-US"/>
        </w:rPr>
        <w:t>ing</w:t>
      </w:r>
      <w:r w:rsidRPr="00FA3A9E">
        <w:rPr>
          <w:lang w:eastAsia="en-US"/>
        </w:rPr>
        <w:t xml:space="preserve"> demand and ultimately growth</w:t>
      </w:r>
      <w:r>
        <w:rPr>
          <w:lang w:eastAsia="en-US"/>
        </w:rPr>
        <w:t xml:space="preserve"> when the economy is operating below capacity</w:t>
      </w:r>
      <w:r w:rsidRPr="00FA3A9E">
        <w:rPr>
          <w:lang w:eastAsia="en-US"/>
        </w:rPr>
        <w:t>.</w:t>
      </w:r>
      <w:r>
        <w:t xml:space="preserve"> </w:t>
      </w:r>
    </w:p>
    <w:p w14:paraId="359ED402" w14:textId="2840E2CB" w:rsidR="00B20DDA" w:rsidRDefault="00877067" w:rsidP="009229B3">
      <w:pPr>
        <w:pStyle w:val="Numberedparagraphs"/>
      </w:pPr>
      <w:r w:rsidRPr="00A367E9">
        <w:t xml:space="preserve">Increased demand for decarbonisation technologies </w:t>
      </w:r>
      <w:r w:rsidR="00AD0C76">
        <w:t>a</w:t>
      </w:r>
      <w:r w:rsidR="00AD0C76" w:rsidRPr="00AD0C76">
        <w:t>nd policies that incentivise low-carbon innovation or penalise high-carbon tec</w:t>
      </w:r>
      <w:r w:rsidR="00AD0C76">
        <w:t xml:space="preserve">hnologies </w:t>
      </w:r>
      <w:r w:rsidR="00487718" w:rsidRPr="00A367E9">
        <w:t>can foster innovation that increases domestic competitiveness and global comparative advantage for some UK industries, providing potential export opportunities</w:t>
      </w:r>
      <w:r w:rsidR="00521145">
        <w:rPr>
          <w:rStyle w:val="normaltextrun"/>
          <w:rFonts w:eastAsiaTheme="minorEastAsia"/>
        </w:rPr>
        <w:t xml:space="preserve">. But there will also be risks to sectors and industries susceptible to </w:t>
      </w:r>
      <w:r w:rsidR="00FB337A">
        <w:rPr>
          <w:rStyle w:val="normaltextrun"/>
          <w:rFonts w:eastAsiaTheme="minorEastAsia"/>
        </w:rPr>
        <w:t xml:space="preserve">competitiveness impacts, </w:t>
      </w:r>
      <w:r w:rsidR="009A568C">
        <w:rPr>
          <w:rStyle w:val="normaltextrun"/>
          <w:rFonts w:eastAsiaTheme="minorEastAsia"/>
        </w:rPr>
        <w:t>particularly</w:t>
      </w:r>
      <w:r w:rsidR="00FB337A">
        <w:rPr>
          <w:rStyle w:val="normaltextrun"/>
          <w:rFonts w:eastAsiaTheme="minorEastAsia"/>
        </w:rPr>
        <w:t xml:space="preserve"> those that are trade-exposed or carbon intensive. </w:t>
      </w:r>
      <w:r w:rsidR="00985F1C">
        <w:t>W</w:t>
      </w:r>
      <w:r w:rsidR="00985F1C" w:rsidRPr="0AB9866F">
        <w:rPr>
          <w:color w:val="000000" w:themeColor="text1"/>
        </w:rPr>
        <w:t>here UK firms lose market share to international firms with lower environmental standards,</w:t>
      </w:r>
      <w:r w:rsidR="00985F1C">
        <w:t xml:space="preserve"> there is a high risk of carbon leakage</w:t>
      </w:r>
      <w:r w:rsidR="00985F1C" w:rsidRPr="0AB9866F">
        <w:rPr>
          <w:color w:val="000000" w:themeColor="text1"/>
        </w:rPr>
        <w:t>. There is little empirical evidence of this occurring in the UK as yet, but risks may increase as further policy is implemented. Vulnerable firms may include, for example,</w:t>
      </w:r>
      <w:r w:rsidR="00985F1C" w:rsidRPr="0AB9866F" w:rsidDel="008C4AA5">
        <w:rPr>
          <w:color w:val="000000" w:themeColor="text1"/>
        </w:rPr>
        <w:t xml:space="preserve"> </w:t>
      </w:r>
      <w:r w:rsidR="008C4AA5">
        <w:rPr>
          <w:color w:val="000000" w:themeColor="text1"/>
        </w:rPr>
        <w:t>th</w:t>
      </w:r>
      <w:r w:rsidR="00D50099">
        <w:rPr>
          <w:color w:val="000000" w:themeColor="text1"/>
        </w:rPr>
        <w:t>ose</w:t>
      </w:r>
      <w:r w:rsidR="00985F1C" w:rsidRPr="0AB9866F">
        <w:rPr>
          <w:color w:val="000000" w:themeColor="text1"/>
        </w:rPr>
        <w:t xml:space="preserve"> for whom energy is a significant proportion of the cost base or a key differentiator in costs of production with competitors. Decarbonisation of these sectors could require additional investment which, in many cases can increase operating costs, though these costs can be offset </w:t>
      </w:r>
      <w:r w:rsidR="00197BDC">
        <w:t xml:space="preserve">at least in part </w:t>
      </w:r>
      <w:r w:rsidR="00985F1C" w:rsidRPr="0AB9866F">
        <w:rPr>
          <w:color w:val="000000" w:themeColor="text1"/>
        </w:rPr>
        <w:t>by greater levels of energy efficiency.</w:t>
      </w:r>
    </w:p>
    <w:p w14:paraId="74DBD126" w14:textId="2345F486" w:rsidR="00B20DDA" w:rsidRDefault="009A568C" w:rsidP="009229B3">
      <w:pPr>
        <w:pStyle w:val="Numberedparagraphs"/>
      </w:pPr>
      <w:r>
        <w:rPr>
          <w:rFonts w:eastAsia="Tahoma"/>
        </w:rPr>
        <w:t>Historically</w:t>
      </w:r>
      <w:r w:rsidR="00985F1C">
        <w:rPr>
          <w:rFonts w:eastAsia="Tahoma"/>
        </w:rPr>
        <w:t>, t</w:t>
      </w:r>
      <w:r w:rsidR="00B20DDA">
        <w:rPr>
          <w:rFonts w:eastAsia="Tahoma"/>
        </w:rPr>
        <w:t>he</w:t>
      </w:r>
      <w:r w:rsidR="00B20DDA" w:rsidRPr="000073BA">
        <w:t xml:space="preserve"> UK’s approach to mitigating</w:t>
      </w:r>
      <w:r w:rsidR="00B20DDA" w:rsidRPr="05B060E8">
        <w:t xml:space="preserve"> competitiveness impacts and</w:t>
      </w:r>
      <w:r w:rsidR="00B20DDA" w:rsidRPr="000073BA">
        <w:t xml:space="preserve"> carbon leakage risk has been through issuing free allowances under the EU </w:t>
      </w:r>
      <w:r w:rsidR="00B20DDA" w:rsidRPr="05B060E8">
        <w:t xml:space="preserve">ETS. This approach has been carried over to the UK ETS, </w:t>
      </w:r>
      <w:r w:rsidR="00B20DDA">
        <w:t>and possible changes to free allowances are currently under review</w:t>
      </w:r>
      <w:r w:rsidR="00B20DDA" w:rsidRPr="000073BA">
        <w:t>. BEIS also provides compensation to certain energy intensive industries for the indirect emission cost due to the UK ETS and some sectors receive a reduction in energy consumption tax via Climate Change Agreements</w:t>
      </w:r>
      <w:r w:rsidR="00B20DDA">
        <w:t xml:space="preserve">. The eventual impact of decarbonisation on firms at risk will depend on </w:t>
      </w:r>
      <w:r w:rsidR="00201CF3">
        <w:t>future policy development, particularly</w:t>
      </w:r>
      <w:r w:rsidR="00B20DDA">
        <w:t xml:space="preserve"> relating to </w:t>
      </w:r>
      <w:r w:rsidR="00B20DDA" w:rsidRPr="00C205DD">
        <w:t xml:space="preserve">the </w:t>
      </w:r>
      <w:r w:rsidR="00B20DDA" w:rsidRPr="000073BA">
        <w:t>UK ETS.</w:t>
      </w:r>
    </w:p>
    <w:p w14:paraId="0D837554" w14:textId="5285AC51" w:rsidR="005F1F8C" w:rsidRPr="00D74780" w:rsidRDefault="00B20DDA" w:rsidP="009229B3">
      <w:pPr>
        <w:pStyle w:val="Numberedparagraphs"/>
      </w:pPr>
      <w:r>
        <w:t xml:space="preserve">The magnitude of competitiveness effects in international markets are dependent on global climate ambition as well as domestic policy. If the UK continues to have a world </w:t>
      </w:r>
      <w:r>
        <w:lastRenderedPageBreak/>
        <w:t xml:space="preserve">leading climate ambition, competitiveness effects may be larger. However, if other countries, particularly the UK’s trading partners, increase their industrial decarbonisation ambition in line with the UK’s, and face similar additional costs, then competitiveness effects will be smaller. Similarly, where the UK’s path to net zero creates export opportunities for UK businesses, the size of these will depend on the actions of the rest of the world. High global climate ambition will result in a large market for decarbonisation technologies but may also result in more global competition in those markets. </w:t>
      </w:r>
    </w:p>
    <w:p w14:paraId="0738D20A" w14:textId="471D2360" w:rsidR="005F1F8C" w:rsidRPr="004E103C" w:rsidRDefault="005F1F8C" w:rsidP="004E103C">
      <w:pPr>
        <w:pStyle w:val="Heading4"/>
        <w:spacing w:after="200"/>
        <w:rPr>
          <w:szCs w:val="24"/>
        </w:rPr>
      </w:pPr>
      <w:r w:rsidRPr="004E103C">
        <w:rPr>
          <w:szCs w:val="24"/>
        </w:rPr>
        <w:t xml:space="preserve">Fiscal circumstances </w:t>
      </w:r>
    </w:p>
    <w:p w14:paraId="56A7AC31" w14:textId="3B9518AA" w:rsidR="002A48D3" w:rsidRDefault="005F1F8C" w:rsidP="009229B3">
      <w:pPr>
        <w:pStyle w:val="Numberedparagraphs"/>
      </w:pPr>
      <w:r>
        <w:t xml:space="preserve">The </w:t>
      </w:r>
      <w:r w:rsidR="00594D86">
        <w:t>Climate Change Act</w:t>
      </w:r>
      <w:r>
        <w:t xml:space="preserve"> requires that fiscal circumstances should be </w:t>
      </w:r>
      <w:r w:rsidR="00AC509C">
        <w:t>considered</w:t>
      </w:r>
      <w:r>
        <w:t>, in particular the likely impact of the decision on taxation, public spending and public borrowing. The modelling in section 2.</w:t>
      </w:r>
      <w:r w:rsidR="0013268E">
        <w:t>2</w:t>
      </w:r>
      <w:r>
        <w:t xml:space="preserve"> estimates the costs to the whole system of achieving the carbon budget options, but it is agnostic </w:t>
      </w:r>
      <w:r w:rsidR="000A2703">
        <w:t>to</w:t>
      </w:r>
      <w:r>
        <w:t xml:space="preserve"> </w:t>
      </w:r>
      <w:r w:rsidR="00D9646F">
        <w:t xml:space="preserve">the type of policy levers </w:t>
      </w:r>
      <w:r w:rsidR="000A2703">
        <w:t>that will be introduced which will determine the fiscal impacts</w:t>
      </w:r>
      <w:r w:rsidR="00EB4D16">
        <w:t xml:space="preserve"> i.e</w:t>
      </w:r>
      <w:r w:rsidR="000C6C27">
        <w:t>.,</w:t>
      </w:r>
      <w:r w:rsidR="00EB4D16">
        <w:t xml:space="preserve"> how</w:t>
      </w:r>
      <w:r>
        <w:t xml:space="preserve"> costs will be distributed between the public and private sectors</w:t>
      </w:r>
      <w:r w:rsidR="0013268E">
        <w:t xml:space="preserve"> </w:t>
      </w:r>
      <w:r>
        <w:t>and how the public portion of the costs will be funded</w:t>
      </w:r>
      <w:r w:rsidR="0013268E">
        <w:t>,</w:t>
      </w:r>
      <w:r w:rsidR="007638F4">
        <w:t xml:space="preserve"> which are subject to future </w:t>
      </w:r>
      <w:r w:rsidR="007C6560">
        <w:t>government</w:t>
      </w:r>
      <w:r w:rsidR="007638F4">
        <w:t xml:space="preserve"> decisions. </w:t>
      </w:r>
    </w:p>
    <w:p w14:paraId="3856A2DC" w14:textId="223E93BF" w:rsidR="002273BC" w:rsidRPr="00D74780" w:rsidRDefault="002A48D3" w:rsidP="009229B3">
      <w:pPr>
        <w:pStyle w:val="Numberedparagraphs"/>
      </w:pPr>
      <w:r w:rsidRPr="002A48D3">
        <w:t>The transition to net zero and consequent structural changes in the economy will have implications for the UK’s public finances and fiscal sustainability</w:t>
      </w:r>
      <w:r w:rsidR="002273BC">
        <w:t>:</w:t>
      </w:r>
      <w:r w:rsidR="00795EC8">
        <w:t xml:space="preserve"> </w:t>
      </w:r>
    </w:p>
    <w:p w14:paraId="416E6D6D" w14:textId="43B9925A" w:rsidR="003E49A8" w:rsidRPr="00CC2A10" w:rsidRDefault="002273BC" w:rsidP="004E103C">
      <w:pPr>
        <w:pStyle w:val="Bullets"/>
        <w:numPr>
          <w:ilvl w:val="0"/>
          <w:numId w:val="813"/>
        </w:numPr>
        <w:ind w:left="1494"/>
      </w:pPr>
      <w:r>
        <w:t>The HM</w:t>
      </w:r>
      <w:r w:rsidR="00132AA6">
        <w:t xml:space="preserve">T </w:t>
      </w:r>
      <w:r>
        <w:t xml:space="preserve">Net Zero Review Interim Report identified £37bn of direct tax receipts in 2019/20, primarily fuel duty, that would be eroded through decarbonisation as the tax base </w:t>
      </w:r>
      <w:r w:rsidR="00997ABA">
        <w:t>reduces for</w:t>
      </w:r>
      <w:r>
        <w:t xml:space="preserve"> high-carbon technologies and economic activity incompatible with decarbonisation</w:t>
      </w:r>
      <w:r w:rsidR="000C6C27">
        <w:t>.</w:t>
      </w:r>
    </w:p>
    <w:p w14:paraId="7FE1A4C2" w14:textId="7F01BB9C" w:rsidR="003E49A8" w:rsidRPr="00CC2A10" w:rsidRDefault="00CD67E0" w:rsidP="004E103C">
      <w:pPr>
        <w:pStyle w:val="Bullets"/>
        <w:ind w:left="1494"/>
      </w:pPr>
      <w:r>
        <w:t>Impa</w:t>
      </w:r>
      <w:r w:rsidR="002273BC">
        <w:t xml:space="preserve">cts on specific economic channels will also have fiscal consequences. For example, changing energy prices will affect aggregate inflation as measured by RPI or CPI, and will in turn </w:t>
      </w:r>
      <w:r w:rsidR="00FA6252">
        <w:t>impact</w:t>
      </w:r>
      <w:r w:rsidR="002273BC">
        <w:t xml:space="preserve"> tax revenues, </w:t>
      </w:r>
      <w:r w:rsidR="006A0155">
        <w:t>public</w:t>
      </w:r>
      <w:r w:rsidR="002273BC">
        <w:t xml:space="preserve"> spending and the costs of servicing </w:t>
      </w:r>
      <w:r w:rsidR="004D4F9F">
        <w:t>g</w:t>
      </w:r>
      <w:r w:rsidR="007C6560">
        <w:t>overnment</w:t>
      </w:r>
      <w:r w:rsidR="002273BC">
        <w:t xml:space="preserve"> borrowing as taxes, welfare benefits and gilt</w:t>
      </w:r>
      <w:r w:rsidR="001201F4">
        <w:t xml:space="preserve"> rate</w:t>
      </w:r>
      <w:r w:rsidR="002273BC">
        <w:t>s are all linked to RPI and CPI.</w:t>
      </w:r>
    </w:p>
    <w:p w14:paraId="66475F53" w14:textId="77777777" w:rsidR="00CC2A10" w:rsidRPr="00CC2A10" w:rsidRDefault="00AD0C76" w:rsidP="004E103C">
      <w:pPr>
        <w:pStyle w:val="Bullets"/>
        <w:numPr>
          <w:ilvl w:val="0"/>
          <w:numId w:val="813"/>
        </w:numPr>
        <w:ind w:left="1494"/>
      </w:pPr>
      <w:r w:rsidRPr="00AD0C76">
        <w:t>The fiscal impact of</w:t>
      </w:r>
      <w:r w:rsidR="006E1528">
        <w:t xml:space="preserve"> the </w:t>
      </w:r>
      <w:r w:rsidRPr="00AD0C76">
        <w:t>transition</w:t>
      </w:r>
      <w:r w:rsidR="006E1528" w:rsidRPr="006F0766">
        <w:t xml:space="preserve"> will </w:t>
      </w:r>
      <w:r w:rsidRPr="00AD0C76">
        <w:t xml:space="preserve">also </w:t>
      </w:r>
      <w:r w:rsidR="006E1528" w:rsidRPr="006F0766">
        <w:t xml:space="preserve">be </w:t>
      </w:r>
      <w:r w:rsidRPr="00AD0C76">
        <w:t>affected</w:t>
      </w:r>
      <w:r w:rsidR="006E1528" w:rsidRPr="006F0766">
        <w:t xml:space="preserve"> by the </w:t>
      </w:r>
      <w:r w:rsidRPr="00AD0C76">
        <w:t xml:space="preserve">overall </w:t>
      </w:r>
      <w:r w:rsidR="006E1528" w:rsidRPr="006F0766">
        <w:t xml:space="preserve">macroeconomic impact, </w:t>
      </w:r>
      <w:r w:rsidR="006E1528">
        <w:t>but</w:t>
      </w:r>
      <w:r w:rsidR="006E1528" w:rsidRPr="006F0766">
        <w:t xml:space="preserve"> as set out above </w:t>
      </w:r>
      <w:r w:rsidR="006E1528">
        <w:t xml:space="preserve">this is </w:t>
      </w:r>
      <w:r w:rsidR="006E1528" w:rsidRPr="006F0766">
        <w:t>likely to be small.</w:t>
      </w:r>
      <w:r w:rsidR="00693D01">
        <w:t xml:space="preserve"> There is uncertainty as to how the macroeconomic impact will materialise over time.</w:t>
      </w:r>
      <w:r w:rsidR="006E1528" w:rsidRPr="006F0766">
        <w:t xml:space="preserve"> </w:t>
      </w:r>
      <w:r w:rsidR="002273BC">
        <w:t>Nevertheless</w:t>
      </w:r>
      <w:r w:rsidR="0069749B">
        <w:t>,</w:t>
      </w:r>
      <w:r w:rsidR="002273BC">
        <w:t xml:space="preserve"> change</w:t>
      </w:r>
      <w:r w:rsidR="0069749B">
        <w:t>s</w:t>
      </w:r>
      <w:r w:rsidR="002273BC">
        <w:t xml:space="preserve"> to</w:t>
      </w:r>
      <w:r w:rsidR="0069749B">
        <w:t xml:space="preserve"> the</w:t>
      </w:r>
      <w:r w:rsidR="002273BC">
        <w:t xml:space="preserve"> sectoral composition of the economy may alter the fiscal position. </w:t>
      </w:r>
    </w:p>
    <w:p w14:paraId="68CDC049" w14:textId="6F493371" w:rsidR="002273BC" w:rsidRPr="002273BC" w:rsidRDefault="002273BC" w:rsidP="004E103C">
      <w:pPr>
        <w:pStyle w:val="Bullets"/>
        <w:spacing w:after="200"/>
        <w:ind w:left="1494"/>
      </w:pPr>
      <w:r>
        <w:t>D</w:t>
      </w:r>
      <w:r w:rsidRPr="00624AE8">
        <w:t>ecarbonisation will mean significant changes for high polluting sectors and industries</w:t>
      </w:r>
      <w:r>
        <w:t xml:space="preserve"> that may affect tax revenue from these sectors, as well as new tax revenues from growth in low-carbon sectors. The net balance will depend on both the speed of growth and the tax intensity of these sectors.</w:t>
      </w:r>
    </w:p>
    <w:p w14:paraId="6F12B3FE" w14:textId="6101F3F8" w:rsidR="00A078B3" w:rsidRDefault="0047715B" w:rsidP="009229B3">
      <w:pPr>
        <w:pStyle w:val="Numberedparagraphs"/>
      </w:pPr>
      <w:r>
        <w:t xml:space="preserve">The fiscal pressures will need to be managed within the context of many other pressures such as a higher debt stock as a result of the covid-19 pandemic and an ageing population. </w:t>
      </w:r>
      <w:r w:rsidR="008F2148">
        <w:t>The policy design and the relative mix between the different type of domestic policy levers (e.g</w:t>
      </w:r>
      <w:r w:rsidR="000C6C27">
        <w:t>.,</w:t>
      </w:r>
      <w:r w:rsidR="008F2148">
        <w:t xml:space="preserve"> regulation, public spending, financial incentives, taxes, and information provision) will be important determinants of the fiscal impacts. </w:t>
      </w:r>
    </w:p>
    <w:p w14:paraId="52BF656B" w14:textId="1248F1B7" w:rsidR="001E7A46" w:rsidRDefault="001E7A46" w:rsidP="009229B3">
      <w:pPr>
        <w:pStyle w:val="Numberedparagraphs"/>
      </w:pPr>
      <w:r>
        <w:t xml:space="preserve">Whilst the exact policy decisions are not known, as set out in the HM Treasury Net Zero Review Interim Report, the vast majority of investment necessary to deliver </w:t>
      </w:r>
      <w:r w:rsidR="00594D86">
        <w:t>the sixth carbon budget</w:t>
      </w:r>
      <w:r>
        <w:t xml:space="preserve"> and net zero will be undertaken by the private sector. </w:t>
      </w:r>
    </w:p>
    <w:p w14:paraId="74130D61" w14:textId="77777777" w:rsidR="001350AF" w:rsidRDefault="001350AF" w:rsidP="00B41881">
      <w:pPr>
        <w:pStyle w:val="Heading4"/>
        <w:rPr>
          <w:szCs w:val="24"/>
        </w:rPr>
      </w:pPr>
    </w:p>
    <w:p w14:paraId="6E0BDCF0" w14:textId="77777777" w:rsidR="001350AF" w:rsidRDefault="001350AF" w:rsidP="00B41881">
      <w:pPr>
        <w:pStyle w:val="Heading4"/>
        <w:rPr>
          <w:szCs w:val="24"/>
        </w:rPr>
      </w:pPr>
    </w:p>
    <w:p w14:paraId="4E32FB5C" w14:textId="19F52EAA" w:rsidR="00B41881" w:rsidRPr="004E103C" w:rsidRDefault="005F1F8C" w:rsidP="00B41881">
      <w:pPr>
        <w:pStyle w:val="Heading4"/>
        <w:rPr>
          <w:szCs w:val="24"/>
        </w:rPr>
      </w:pPr>
      <w:r w:rsidRPr="004E103C">
        <w:rPr>
          <w:szCs w:val="24"/>
        </w:rPr>
        <w:lastRenderedPageBreak/>
        <w:t xml:space="preserve">Social circumstances </w:t>
      </w:r>
    </w:p>
    <w:p w14:paraId="323C8E7F" w14:textId="740FD7E4" w:rsidR="005E59B1" w:rsidRPr="004E103C" w:rsidRDefault="005E59B1" w:rsidP="004E103C">
      <w:pPr>
        <w:pStyle w:val="Heading5"/>
        <w:spacing w:after="200"/>
        <w:rPr>
          <w:sz w:val="24"/>
          <w:szCs w:val="24"/>
        </w:rPr>
      </w:pPr>
      <w:r w:rsidRPr="004E103C">
        <w:rPr>
          <w:sz w:val="24"/>
          <w:szCs w:val="24"/>
        </w:rPr>
        <w:t>Fuel poverty</w:t>
      </w:r>
    </w:p>
    <w:p w14:paraId="14E1C992" w14:textId="22F94DC8" w:rsidR="005F1F8C" w:rsidRDefault="005F1F8C" w:rsidP="009229B3">
      <w:pPr>
        <w:pStyle w:val="Numberedparagraphs"/>
      </w:pPr>
      <w:r>
        <w:t xml:space="preserve">The </w:t>
      </w:r>
      <w:r w:rsidR="00594D86">
        <w:t>Climate Change Act</w:t>
      </w:r>
      <w:r>
        <w:t xml:space="preserve"> requires that social circumstances be taken into account, in particular the likely impact of the decision on fuel poverty. </w:t>
      </w:r>
    </w:p>
    <w:p w14:paraId="6387FA32" w14:textId="3BE751F9" w:rsidR="00EF6327" w:rsidRDefault="00391617" w:rsidP="009229B3">
      <w:pPr>
        <w:pStyle w:val="Numberedparagraphs"/>
      </w:pPr>
      <w:r>
        <w:t xml:space="preserve">The </w:t>
      </w:r>
      <w:r w:rsidR="00EF6327">
        <w:t xml:space="preserve">costs of </w:t>
      </w:r>
      <w:r w:rsidR="00594D86">
        <w:t>the sixth carbon budget</w:t>
      </w:r>
      <w:r w:rsidR="00357C19">
        <w:t>,</w:t>
      </w:r>
      <w:r w:rsidR="00EF6327">
        <w:t xml:space="preserve"> and decarbonisation more generally</w:t>
      </w:r>
      <w:r w:rsidR="00357C19">
        <w:t>,</w:t>
      </w:r>
      <w:r w:rsidR="00EF6327">
        <w:t xml:space="preserve"> will ultimately be borne by households either in the current generation or by future generations when any borrowing to finance decarbonisation will need to be repaid. Within the current generation</w:t>
      </w:r>
      <w:r w:rsidR="00C00FB2">
        <w:t>,</w:t>
      </w:r>
      <w:r w:rsidR="00EF6327">
        <w:t xml:space="preserve"> household</w:t>
      </w:r>
      <w:r w:rsidR="00C00FB2">
        <w:t>s</w:t>
      </w:r>
      <w:r w:rsidR="00EF6327">
        <w:t xml:space="preserve"> can finance decarbonisation directly through their own expenditure on low-carbon technology or indirectly via taxation to support </w:t>
      </w:r>
      <w:r w:rsidR="007C6560">
        <w:t>government</w:t>
      </w:r>
      <w:r w:rsidR="00EF6327">
        <w:t xml:space="preserve"> spending, through costs on business being pass</w:t>
      </w:r>
      <w:r w:rsidR="00C00FB2">
        <w:t>ed</w:t>
      </w:r>
      <w:r w:rsidR="00EF6327">
        <w:t xml:space="preserve">-through into consumer prices or from costs being passed through into wages and dividends. </w:t>
      </w:r>
    </w:p>
    <w:p w14:paraId="683F92C8" w14:textId="40523C95" w:rsidR="00A3482E" w:rsidRDefault="002D49A0" w:rsidP="009229B3">
      <w:pPr>
        <w:pStyle w:val="Numberedparagraphs"/>
      </w:pPr>
      <w:r>
        <w:t xml:space="preserve">As part of this Impact Assessment </w:t>
      </w:r>
      <w:r w:rsidR="00A3482E">
        <w:t xml:space="preserve">modelling </w:t>
      </w:r>
      <w:r>
        <w:t xml:space="preserve">has </w:t>
      </w:r>
      <w:r w:rsidR="00A3482E">
        <w:t xml:space="preserve">also </w:t>
      </w:r>
      <w:r>
        <w:t>been carried out to</w:t>
      </w:r>
      <w:r w:rsidR="00A3482E">
        <w:t xml:space="preserve"> provide an estimate of potential impacts on wholesale and retail electricity prices. Illustrative scenarios are assessed using BEIS’s Dynamic Dispatch Model (DDM) and BEIS’s A</w:t>
      </w:r>
      <w:r w:rsidR="00C653F1">
        <w:t>verage</w:t>
      </w:r>
      <w:r w:rsidR="00A3482E">
        <w:t xml:space="preserve"> Prices and Bills model</w:t>
      </w:r>
      <w:r w:rsidR="00C653F1">
        <w:t xml:space="preserve"> (APBM)</w:t>
      </w:r>
      <w:r w:rsidR="00A3482E">
        <w:t xml:space="preserve">. The modelling </w:t>
      </w:r>
      <w:r w:rsidR="00EB55D5">
        <w:t>looks at</w:t>
      </w:r>
      <w:r w:rsidR="00A3482E">
        <w:t xml:space="preserve"> </w:t>
      </w:r>
      <w:r w:rsidR="00EB55D5">
        <w:t>the implications of future electricity</w:t>
      </w:r>
      <w:r w:rsidR="00A3482E">
        <w:t xml:space="preserve"> generation mixes but assumes there is no change in </w:t>
      </w:r>
      <w:r w:rsidR="00527EC3">
        <w:t xml:space="preserve">current </w:t>
      </w:r>
      <w:r w:rsidR="00A3482E">
        <w:t>market or policy structure.</w:t>
      </w:r>
      <w:r w:rsidR="00A3482E" w:rsidRPr="00C43BBE">
        <w:t xml:space="preserve"> </w:t>
      </w:r>
      <w:r w:rsidR="00850CB2">
        <w:t xml:space="preserve">These illustrative scenarios are </w:t>
      </w:r>
      <w:r w:rsidR="00A33746">
        <w:t xml:space="preserve">therefore </w:t>
      </w:r>
      <w:r w:rsidR="00850CB2">
        <w:t xml:space="preserve">subject to considerable uncertainty and </w:t>
      </w:r>
      <w:r w:rsidR="00A33746">
        <w:t xml:space="preserve">use </w:t>
      </w:r>
      <w:r w:rsidR="00850CB2">
        <w:t xml:space="preserve">several simplifying </w:t>
      </w:r>
      <w:r w:rsidR="00020EFD">
        <w:t>a</w:t>
      </w:r>
      <w:r w:rsidR="00850CB2">
        <w:t>ssumptions</w:t>
      </w:r>
      <w:r w:rsidR="00850CB2">
        <w:rPr>
          <w:rStyle w:val="FootnoteReference"/>
        </w:rPr>
        <w:footnoteReference w:id="58"/>
      </w:r>
      <w:r w:rsidR="00850CB2">
        <w:t xml:space="preserve">. </w:t>
      </w:r>
      <w:r w:rsidR="00A3482E">
        <w:t>Changes to these assumptions could have considerable impacts on prices.</w:t>
      </w:r>
    </w:p>
    <w:p w14:paraId="492D2EC3" w14:textId="1AE796FA" w:rsidR="00EE1130" w:rsidRPr="0084596C" w:rsidRDefault="00A33746" w:rsidP="009229B3">
      <w:pPr>
        <w:pStyle w:val="Numberedparagraphs"/>
      </w:pPr>
      <w:r>
        <w:t>The r</w:t>
      </w:r>
      <w:r w:rsidR="00A3482E">
        <w:t>esults focus on electricity price impacts</w:t>
      </w:r>
      <w:r w:rsidR="00BE3888">
        <w:t xml:space="preserve"> of the </w:t>
      </w:r>
      <w:r>
        <w:t>sixth carbon budget</w:t>
      </w:r>
      <w:r w:rsidR="00BE3888">
        <w:t xml:space="preserve"> option consistent with the CCC recommended level</w:t>
      </w:r>
      <w:r w:rsidR="005F1026">
        <w:t xml:space="preserve"> (Option 3)</w:t>
      </w:r>
      <w:r w:rsidR="00A3482E">
        <w:t xml:space="preserve">. There is insufficient policy detail covering energy demand to appropriately model bill impacts. Benefits from energy efficiency measures which affect consumption levels are not considered as they are only realised through bill impacts. Final bill impacts may show different results </w:t>
      </w:r>
      <w:r w:rsidR="002A6F07">
        <w:t xml:space="preserve">to </w:t>
      </w:r>
      <w:r w:rsidR="00A3482E">
        <w:t>price impacts due to changes in demand from energy efficiency.</w:t>
      </w:r>
    </w:p>
    <w:p w14:paraId="40B8C1C9" w14:textId="2ADF0CFB" w:rsidR="0019026A" w:rsidRDefault="0019026A" w:rsidP="009229B3">
      <w:pPr>
        <w:pStyle w:val="Numberedparagraphs"/>
      </w:pPr>
      <w:r>
        <w:t xml:space="preserve">The overall impact </w:t>
      </w:r>
      <w:r w:rsidR="004F64E2">
        <w:t xml:space="preserve">of the </w:t>
      </w:r>
      <w:r w:rsidR="00915CD0">
        <w:t>sixth carbon budget</w:t>
      </w:r>
      <w:r w:rsidR="004F64E2">
        <w:t xml:space="preserve"> decision</w:t>
      </w:r>
      <w:r>
        <w:t xml:space="preserve"> on households will depend on future policies</w:t>
      </w:r>
      <w:r w:rsidR="00062DE8">
        <w:t>.  However,</w:t>
      </w:r>
      <w:r>
        <w:t xml:space="preserve"> </w:t>
      </w:r>
      <w:r w:rsidR="00062DE8">
        <w:t xml:space="preserve">compared to the do nothing option, </w:t>
      </w:r>
      <w:r w:rsidR="00E73258">
        <w:t xml:space="preserve">decarbonisation would likely add </w:t>
      </w:r>
      <w:r>
        <w:t xml:space="preserve">upward pressure </w:t>
      </w:r>
      <w:r w:rsidR="00E73258">
        <w:t>to</w:t>
      </w:r>
      <w:r>
        <w:t xml:space="preserve"> electricity prices and heating costs, </w:t>
      </w:r>
      <w:r w:rsidR="00F334C2">
        <w:t>but</w:t>
      </w:r>
      <w:r>
        <w:t xml:space="preserve"> lower transport fuel costs </w:t>
      </w:r>
      <w:r w:rsidRPr="006A0C4B">
        <w:rPr>
          <w:rStyle w:val="normaltextrun"/>
          <w:rFonts w:cs="Arial"/>
        </w:rPr>
        <w:t>(reflecting the greater efficiency of EVs</w:t>
      </w:r>
      <w:r w:rsidRPr="434235AB">
        <w:rPr>
          <w:rStyle w:val="normaltextrun"/>
          <w:rFonts w:cs="Arial"/>
        </w:rPr>
        <w:t>)</w:t>
      </w:r>
      <w:r>
        <w:t xml:space="preserve"> based on current market and policy structures. </w:t>
      </w:r>
      <w:r w:rsidR="000C05E0">
        <w:t>Future transport</w:t>
      </w:r>
      <w:r w:rsidR="002A6116">
        <w:t xml:space="preserve"> and heating</w:t>
      </w:r>
      <w:r w:rsidR="000C05E0">
        <w:t xml:space="preserve"> costs</w:t>
      </w:r>
      <w:r w:rsidR="002A6116">
        <w:t>, if electric,</w:t>
      </w:r>
      <w:r w:rsidR="000C05E0">
        <w:t xml:space="preserve"> may form a significant part of a household’s electricity bill. These have not been considered </w:t>
      </w:r>
      <w:r w:rsidR="006D3D2B">
        <w:t>in detail below</w:t>
      </w:r>
      <w:r w:rsidR="000C05E0">
        <w:t xml:space="preserve"> due to a lack of certainty in the supporting policy framework. </w:t>
      </w:r>
      <w:r w:rsidR="00A3482E">
        <w:t>P</w:t>
      </w:r>
      <w:r w:rsidR="00A3482E" w:rsidRPr="00B7668B">
        <w:t>recise bill impacts</w:t>
      </w:r>
      <w:r w:rsidR="00A3482E">
        <w:t xml:space="preserve"> </w:t>
      </w:r>
      <w:r w:rsidR="005D1E8E">
        <w:t>for individual households</w:t>
      </w:r>
      <w:r w:rsidR="00A3482E">
        <w:t xml:space="preserve"> will</w:t>
      </w:r>
      <w:r w:rsidR="00A3482E" w:rsidRPr="00B7668B">
        <w:t xml:space="preserve"> </w:t>
      </w:r>
      <w:r w:rsidR="000C05E0">
        <w:t xml:space="preserve">also </w:t>
      </w:r>
      <w:r w:rsidR="00A3482E" w:rsidRPr="00B7668B">
        <w:t>depend on</w:t>
      </w:r>
      <w:r w:rsidR="00A3482E">
        <w:t xml:space="preserve"> several additional factors including consumer characteristics, fuel choices and policy eligibility.</w:t>
      </w:r>
      <w:r w:rsidR="00A3482E" w:rsidRPr="00314B05" w:rsidDel="000C05E0">
        <w:t xml:space="preserve"> </w:t>
      </w:r>
    </w:p>
    <w:p w14:paraId="0F45B8B0" w14:textId="0CAFB284" w:rsidR="002C29B9" w:rsidRDefault="00A3482E" w:rsidP="009229B3">
      <w:pPr>
        <w:pStyle w:val="Numberedparagraphs"/>
      </w:pPr>
      <w:r>
        <w:t xml:space="preserve">Over the </w:t>
      </w:r>
      <w:r w:rsidR="009350E8">
        <w:t>sixth</w:t>
      </w:r>
      <w:r>
        <w:t xml:space="preserve"> carbon budget period </w:t>
      </w:r>
      <w:r w:rsidR="006863C8">
        <w:t xml:space="preserve">retail </w:t>
      </w:r>
      <w:r>
        <w:t xml:space="preserve">electricity prices </w:t>
      </w:r>
      <w:r w:rsidR="00C80E9F">
        <w:t xml:space="preserve">are generally </w:t>
      </w:r>
      <w:r w:rsidR="006863C8">
        <w:t xml:space="preserve">higher for the CCC’s recommended budget option </w:t>
      </w:r>
      <w:r w:rsidR="005578A2">
        <w:t>compared to the</w:t>
      </w:r>
      <w:r w:rsidR="00BE3888" w:rsidDel="005578A2">
        <w:t xml:space="preserve"> </w:t>
      </w:r>
      <w:r w:rsidR="00C80E9F">
        <w:t>baselin</w:t>
      </w:r>
      <w:r w:rsidR="00171732">
        <w:t>e</w:t>
      </w:r>
      <w:r>
        <w:t xml:space="preserve">. An increase in </w:t>
      </w:r>
      <w:r w:rsidR="009207C8">
        <w:t>Contracts</w:t>
      </w:r>
      <w:r w:rsidR="001634BB">
        <w:t xml:space="preserve"> </w:t>
      </w:r>
      <w:r w:rsidR="009207C8">
        <w:t>for</w:t>
      </w:r>
      <w:r w:rsidR="001634BB">
        <w:t xml:space="preserve"> </w:t>
      </w:r>
      <w:r w:rsidR="009207C8">
        <w:t>Difference (</w:t>
      </w:r>
      <w:r>
        <w:t>CfD</w:t>
      </w:r>
      <w:r w:rsidR="009207C8">
        <w:t>)</w:t>
      </w:r>
      <w:r>
        <w:t xml:space="preserve"> </w:t>
      </w:r>
      <w:r w:rsidR="006863C8">
        <w:t xml:space="preserve">support costs </w:t>
      </w:r>
      <w:r>
        <w:t xml:space="preserve">and transmission costs linked to increased renewable deployment largely drives </w:t>
      </w:r>
      <w:r w:rsidR="006863C8">
        <w:t xml:space="preserve">higher </w:t>
      </w:r>
      <w:r w:rsidR="00E84125">
        <w:t xml:space="preserve">retail </w:t>
      </w:r>
      <w:r>
        <w:t xml:space="preserve">prices. Lower wholesale prices due to higher renewable generation slightly offsets this increase. </w:t>
      </w:r>
      <w:r w:rsidR="002C29B9">
        <w:t xml:space="preserve">However, the increase </w:t>
      </w:r>
      <w:r w:rsidR="00CB482B">
        <w:t xml:space="preserve">in household retail electricity prices </w:t>
      </w:r>
      <w:r w:rsidR="002C29B9">
        <w:t>is less than 5% for most pathways.</w:t>
      </w:r>
    </w:p>
    <w:p w14:paraId="371EFB35" w14:textId="346A9FF6" w:rsidR="006863C8" w:rsidRDefault="00A3482E" w:rsidP="009229B3">
      <w:pPr>
        <w:pStyle w:val="Numberedparagraphs"/>
      </w:pPr>
      <w:r>
        <w:lastRenderedPageBreak/>
        <w:t xml:space="preserve">Energy Intensive Industries that are </w:t>
      </w:r>
      <w:r w:rsidR="002B7902">
        <w:t xml:space="preserve">currently </w:t>
      </w:r>
      <w:r>
        <w:t xml:space="preserve">exempt from </w:t>
      </w:r>
      <w:r w:rsidR="00906B5A">
        <w:t>a large proportion of CfD support costs</w:t>
      </w:r>
      <w:r w:rsidDel="00EC3E1A">
        <w:t xml:space="preserve"> </w:t>
      </w:r>
      <w:r w:rsidR="0097419B">
        <w:t xml:space="preserve">would </w:t>
      </w:r>
      <w:r>
        <w:t xml:space="preserve">face lower prices </w:t>
      </w:r>
      <w:r w:rsidR="0097419B">
        <w:t>if these exemptions remain in place. T</w:t>
      </w:r>
      <w:r>
        <w:t xml:space="preserve">hey </w:t>
      </w:r>
      <w:r w:rsidR="0097419B">
        <w:t xml:space="preserve">would </w:t>
      </w:r>
      <w:r>
        <w:t xml:space="preserve">benefit from lower wholesale costs but </w:t>
      </w:r>
      <w:r w:rsidR="00394178">
        <w:t xml:space="preserve">would </w:t>
      </w:r>
      <w:r>
        <w:t>not face high</w:t>
      </w:r>
      <w:r w:rsidR="00434F98">
        <w:t>er</w:t>
      </w:r>
      <w:r>
        <w:t xml:space="preserve"> CfD payments. </w:t>
      </w:r>
    </w:p>
    <w:p w14:paraId="381B191D" w14:textId="66CC4652" w:rsidR="00D50448" w:rsidRPr="001350AF" w:rsidRDefault="00A3482E" w:rsidP="006A0C4B">
      <w:pPr>
        <w:pStyle w:val="Numberedparagraphs"/>
      </w:pPr>
      <w:r>
        <w:t xml:space="preserve">Price impacts increase over the </w:t>
      </w:r>
      <w:r w:rsidR="00D87C4F">
        <w:t>sixth caron budget</w:t>
      </w:r>
      <w:r w:rsidDel="00D87C4F">
        <w:t xml:space="preserve"> </w:t>
      </w:r>
      <w:r>
        <w:t>period but begin to plateau by the early 2040s</w:t>
      </w:r>
      <w:r w:rsidR="00A472DC">
        <w:t xml:space="preserve"> and </w:t>
      </w:r>
      <w:r>
        <w:t xml:space="preserve">are </w:t>
      </w:r>
      <w:r w:rsidR="00E81090">
        <w:t>broadly</w:t>
      </w:r>
      <w:r>
        <w:t xml:space="preserve"> consistent across all pathways</w:t>
      </w:r>
      <w:r w:rsidR="00AE2411">
        <w:t xml:space="preserve"> apart from</w:t>
      </w:r>
      <w:r>
        <w:t xml:space="preserve"> the CCS delay pathway </w:t>
      </w:r>
      <w:r w:rsidR="00B140F9">
        <w:t xml:space="preserve">which </w:t>
      </w:r>
      <w:r w:rsidR="00435EF3">
        <w:t>implies</w:t>
      </w:r>
      <w:r w:rsidDel="00435EF3">
        <w:t xml:space="preserve"> </w:t>
      </w:r>
      <w:r>
        <w:t xml:space="preserve">greater impacts across all consumers. </w:t>
      </w:r>
    </w:p>
    <w:p w14:paraId="44D46A91" w14:textId="292629B7" w:rsidR="00C73B56" w:rsidRPr="00C73B56" w:rsidRDefault="00120802" w:rsidP="006A0C4B">
      <w:pPr>
        <w:rPr>
          <w:i/>
        </w:rPr>
      </w:pPr>
      <w:r>
        <w:rPr>
          <w:i/>
        </w:rPr>
        <w:t>Table 1</w:t>
      </w:r>
      <w:r w:rsidR="008F1C9E">
        <w:rPr>
          <w:i/>
        </w:rPr>
        <w:t>8</w:t>
      </w:r>
      <w:r>
        <w:rPr>
          <w:i/>
        </w:rPr>
        <w:t xml:space="preserve">: </w:t>
      </w:r>
      <w:r w:rsidR="00C73B56" w:rsidRPr="00C73B56">
        <w:rPr>
          <w:i/>
        </w:rPr>
        <w:t>Average estimated impact on electricity retail prices for different consumer groups</w:t>
      </w:r>
      <w:r w:rsidR="00394178">
        <w:rPr>
          <w:i/>
        </w:rPr>
        <w:t>,</w:t>
      </w:r>
      <w:r w:rsidR="00C73B56" w:rsidRPr="00C73B56">
        <w:rPr>
          <w:i/>
        </w:rPr>
        <w:t xml:space="preserve"> compared to the counterfactual </w:t>
      </w:r>
      <w:r w:rsidR="00C73B56" w:rsidRPr="00A636A2">
        <w:rPr>
          <w:i/>
        </w:rPr>
        <w:t>over the period 2033-2037</w:t>
      </w:r>
      <w:r w:rsidR="00394178">
        <w:rPr>
          <w:i/>
        </w:rPr>
        <w:t>,</w:t>
      </w:r>
      <w:r w:rsidR="00C73B56" w:rsidRPr="00A636A2">
        <w:rPr>
          <w:i/>
        </w:rPr>
        <w:t xml:space="preserve"> consistent with Option 3 (</w:t>
      </w:r>
      <w:r w:rsidR="00C73B56" w:rsidRPr="00A22B2F">
        <w:rPr>
          <w:i/>
        </w:rPr>
        <w:t>CCC</w:t>
      </w:r>
      <w:r w:rsidR="00C73B56" w:rsidRPr="00C73B56">
        <w:rPr>
          <w:i/>
          <w:iCs/>
        </w:rPr>
        <w:t xml:space="preserve"> </w:t>
      </w:r>
      <w:r w:rsidR="00C73B56" w:rsidRPr="00A22B2F">
        <w:rPr>
          <w:i/>
        </w:rPr>
        <w:t>level</w:t>
      </w:r>
      <w:r>
        <w:rPr>
          <w:i/>
          <w:iCs/>
        </w:rPr>
        <w:t>)</w:t>
      </w:r>
    </w:p>
    <w:tbl>
      <w:tblPr>
        <w:tblStyle w:val="TableGrid"/>
        <w:tblpPr w:leftFromText="180" w:rightFromText="180" w:vertAnchor="text" w:horzAnchor="page" w:tblpX="1354" w:tblpY="151"/>
        <w:tblW w:w="9073" w:type="dxa"/>
        <w:tblLook w:val="04A0" w:firstRow="1" w:lastRow="0" w:firstColumn="1" w:lastColumn="0" w:noHBand="0" w:noVBand="1"/>
      </w:tblPr>
      <w:tblGrid>
        <w:gridCol w:w="2694"/>
        <w:gridCol w:w="1559"/>
        <w:gridCol w:w="1488"/>
        <w:gridCol w:w="1666"/>
        <w:gridCol w:w="1666"/>
      </w:tblGrid>
      <w:tr w:rsidR="009350E8" w14:paraId="76898D17" w14:textId="77777777" w:rsidTr="38A16994">
        <w:trPr>
          <w:trHeight w:val="358"/>
        </w:trPr>
        <w:tc>
          <w:tcPr>
            <w:tcW w:w="2694" w:type="dxa"/>
            <w:shd w:val="clear" w:color="auto" w:fill="auto"/>
          </w:tcPr>
          <w:p w14:paraId="5576A0A2" w14:textId="77777777" w:rsidR="009350E8" w:rsidRDefault="009350E8" w:rsidP="009350E8">
            <w:pPr>
              <w:rPr>
                <w:b/>
                <w:sz w:val="22"/>
                <w:szCs w:val="22"/>
              </w:rPr>
            </w:pPr>
            <w:r w:rsidRPr="006A0C4B">
              <w:rPr>
                <w:b/>
                <w:bCs/>
                <w:iCs/>
                <w:sz w:val="22"/>
                <w:szCs w:val="22"/>
              </w:rPr>
              <w:t>Illustrative consumer type</w:t>
            </w:r>
          </w:p>
          <w:p w14:paraId="0ADDDE80" w14:textId="77777777" w:rsidR="00235FE6" w:rsidRDefault="00235FE6" w:rsidP="009350E8">
            <w:pPr>
              <w:rPr>
                <w:b/>
                <w:sz w:val="22"/>
                <w:szCs w:val="22"/>
              </w:rPr>
            </w:pPr>
          </w:p>
          <w:p w14:paraId="40C09DE4" w14:textId="485171D9" w:rsidR="009350E8" w:rsidRPr="006A0C4B" w:rsidRDefault="00235FE6" w:rsidP="009350E8">
            <w:pPr>
              <w:rPr>
                <w:b/>
                <w:bCs/>
                <w:iCs/>
                <w:sz w:val="22"/>
                <w:szCs w:val="22"/>
              </w:rPr>
            </w:pPr>
            <w:r w:rsidRPr="006A0C4B">
              <w:rPr>
                <w:b/>
                <w:sz w:val="22"/>
                <w:szCs w:val="22"/>
              </w:rPr>
              <w:t>£2020/MWh</w:t>
            </w:r>
          </w:p>
        </w:tc>
        <w:tc>
          <w:tcPr>
            <w:tcW w:w="1559" w:type="dxa"/>
            <w:shd w:val="clear" w:color="auto" w:fill="auto"/>
          </w:tcPr>
          <w:p w14:paraId="387606ED" w14:textId="77777777" w:rsidR="009350E8" w:rsidRPr="006A0C4B" w:rsidRDefault="009350E8" w:rsidP="006A0C4B">
            <w:pPr>
              <w:jc w:val="center"/>
              <w:rPr>
                <w:b/>
                <w:bCs/>
                <w:iCs/>
                <w:sz w:val="22"/>
                <w:szCs w:val="22"/>
              </w:rPr>
            </w:pPr>
            <w:r w:rsidRPr="006A0C4B">
              <w:rPr>
                <w:b/>
                <w:bCs/>
                <w:iCs/>
                <w:sz w:val="22"/>
                <w:szCs w:val="22"/>
              </w:rPr>
              <w:t>Core</w:t>
            </w:r>
          </w:p>
        </w:tc>
        <w:tc>
          <w:tcPr>
            <w:tcW w:w="1488" w:type="dxa"/>
            <w:shd w:val="clear" w:color="auto" w:fill="auto"/>
          </w:tcPr>
          <w:p w14:paraId="22F4766F" w14:textId="25262035" w:rsidR="009350E8" w:rsidRPr="006A0C4B" w:rsidRDefault="009350E8" w:rsidP="006A0C4B">
            <w:pPr>
              <w:jc w:val="center"/>
              <w:rPr>
                <w:b/>
                <w:bCs/>
                <w:iCs/>
                <w:sz w:val="22"/>
                <w:szCs w:val="22"/>
              </w:rPr>
            </w:pPr>
            <w:r w:rsidRPr="006A0C4B">
              <w:rPr>
                <w:b/>
                <w:bCs/>
                <w:iCs/>
                <w:sz w:val="22"/>
                <w:szCs w:val="22"/>
              </w:rPr>
              <w:t xml:space="preserve">High </w:t>
            </w:r>
            <w:r w:rsidR="00D7446C" w:rsidRPr="006A0C4B">
              <w:rPr>
                <w:b/>
                <w:bCs/>
                <w:iCs/>
                <w:sz w:val="22"/>
                <w:szCs w:val="22"/>
              </w:rPr>
              <w:t>CCS</w:t>
            </w:r>
          </w:p>
        </w:tc>
        <w:tc>
          <w:tcPr>
            <w:tcW w:w="1666" w:type="dxa"/>
            <w:shd w:val="clear" w:color="auto" w:fill="auto"/>
          </w:tcPr>
          <w:p w14:paraId="17704CFB" w14:textId="77777777" w:rsidR="009350E8" w:rsidRPr="006A0C4B" w:rsidRDefault="009350E8" w:rsidP="006A0C4B">
            <w:pPr>
              <w:jc w:val="center"/>
              <w:rPr>
                <w:b/>
                <w:bCs/>
                <w:iCs/>
                <w:sz w:val="22"/>
                <w:szCs w:val="22"/>
              </w:rPr>
            </w:pPr>
            <w:r w:rsidRPr="006A0C4B">
              <w:rPr>
                <w:b/>
                <w:bCs/>
                <w:iCs/>
                <w:sz w:val="22"/>
                <w:szCs w:val="22"/>
              </w:rPr>
              <w:t>High Resource</w:t>
            </w:r>
          </w:p>
        </w:tc>
        <w:tc>
          <w:tcPr>
            <w:tcW w:w="1666" w:type="dxa"/>
            <w:shd w:val="clear" w:color="auto" w:fill="auto"/>
          </w:tcPr>
          <w:p w14:paraId="4A45E5B1" w14:textId="77777777" w:rsidR="009350E8" w:rsidRPr="006A0C4B" w:rsidRDefault="009350E8" w:rsidP="006A0C4B">
            <w:pPr>
              <w:jc w:val="center"/>
              <w:rPr>
                <w:b/>
                <w:bCs/>
                <w:iCs/>
                <w:sz w:val="22"/>
                <w:szCs w:val="22"/>
              </w:rPr>
            </w:pPr>
            <w:r w:rsidRPr="006A0C4B">
              <w:rPr>
                <w:b/>
                <w:bCs/>
                <w:iCs/>
                <w:sz w:val="22"/>
                <w:szCs w:val="22"/>
              </w:rPr>
              <w:t>CCS Delay</w:t>
            </w:r>
          </w:p>
        </w:tc>
      </w:tr>
      <w:tr w:rsidR="009350E8" w14:paraId="34603846" w14:textId="77777777" w:rsidTr="38A16994">
        <w:trPr>
          <w:trHeight w:val="565"/>
        </w:trPr>
        <w:tc>
          <w:tcPr>
            <w:tcW w:w="2694" w:type="dxa"/>
          </w:tcPr>
          <w:p w14:paraId="15F6AABD" w14:textId="286DA667" w:rsidR="009350E8" w:rsidRPr="006A0C4B" w:rsidRDefault="009350E8" w:rsidP="009350E8">
            <w:pPr>
              <w:rPr>
                <w:b/>
                <w:bCs/>
                <w:iCs/>
                <w:sz w:val="22"/>
                <w:szCs w:val="22"/>
              </w:rPr>
            </w:pPr>
            <w:r w:rsidRPr="006A0C4B">
              <w:rPr>
                <w:b/>
                <w:bCs/>
                <w:iCs/>
                <w:sz w:val="22"/>
                <w:szCs w:val="22"/>
              </w:rPr>
              <w:t xml:space="preserve">Household </w:t>
            </w:r>
          </w:p>
        </w:tc>
        <w:tc>
          <w:tcPr>
            <w:tcW w:w="1559" w:type="dxa"/>
          </w:tcPr>
          <w:p w14:paraId="3300C00B" w14:textId="77777777" w:rsidR="009350E8" w:rsidRPr="006A0C4B" w:rsidRDefault="009350E8" w:rsidP="009350E8">
            <w:pPr>
              <w:jc w:val="center"/>
              <w:rPr>
                <w:iCs/>
                <w:sz w:val="22"/>
                <w:szCs w:val="22"/>
              </w:rPr>
            </w:pPr>
            <w:r w:rsidRPr="006A0C4B">
              <w:rPr>
                <w:iCs/>
                <w:sz w:val="22"/>
                <w:szCs w:val="22"/>
              </w:rPr>
              <w:t>+6</w:t>
            </w:r>
          </w:p>
          <w:p w14:paraId="3ED4465B" w14:textId="77777777" w:rsidR="009350E8" w:rsidRPr="006A0C4B" w:rsidRDefault="009350E8" w:rsidP="00DB3915">
            <w:pPr>
              <w:jc w:val="center"/>
              <w:rPr>
                <w:iCs/>
                <w:sz w:val="22"/>
                <w:szCs w:val="22"/>
              </w:rPr>
            </w:pPr>
            <w:r w:rsidRPr="006A0C4B">
              <w:rPr>
                <w:iCs/>
                <w:sz w:val="22"/>
                <w:szCs w:val="22"/>
              </w:rPr>
              <w:t>(3%)</w:t>
            </w:r>
          </w:p>
        </w:tc>
        <w:tc>
          <w:tcPr>
            <w:tcW w:w="1488" w:type="dxa"/>
          </w:tcPr>
          <w:p w14:paraId="709BDB29" w14:textId="77777777" w:rsidR="009350E8" w:rsidRPr="006A0C4B" w:rsidRDefault="009350E8">
            <w:pPr>
              <w:jc w:val="center"/>
              <w:rPr>
                <w:iCs/>
                <w:sz w:val="22"/>
                <w:szCs w:val="22"/>
              </w:rPr>
            </w:pPr>
            <w:r w:rsidRPr="006A0C4B">
              <w:rPr>
                <w:iCs/>
                <w:sz w:val="22"/>
                <w:szCs w:val="22"/>
              </w:rPr>
              <w:t>+7</w:t>
            </w:r>
          </w:p>
          <w:p w14:paraId="2633A663" w14:textId="77777777" w:rsidR="009350E8" w:rsidRPr="006A0C4B" w:rsidRDefault="009350E8">
            <w:pPr>
              <w:jc w:val="center"/>
              <w:rPr>
                <w:iCs/>
                <w:sz w:val="22"/>
                <w:szCs w:val="22"/>
              </w:rPr>
            </w:pPr>
            <w:r w:rsidRPr="006A0C4B">
              <w:rPr>
                <w:iCs/>
                <w:sz w:val="22"/>
                <w:szCs w:val="22"/>
              </w:rPr>
              <w:t>(4%)</w:t>
            </w:r>
          </w:p>
        </w:tc>
        <w:tc>
          <w:tcPr>
            <w:tcW w:w="1666" w:type="dxa"/>
          </w:tcPr>
          <w:p w14:paraId="2682EC6C" w14:textId="77777777" w:rsidR="009350E8" w:rsidRPr="006A0C4B" w:rsidRDefault="009350E8">
            <w:pPr>
              <w:jc w:val="center"/>
              <w:rPr>
                <w:iCs/>
                <w:sz w:val="22"/>
                <w:szCs w:val="22"/>
              </w:rPr>
            </w:pPr>
            <w:r w:rsidRPr="006A0C4B">
              <w:rPr>
                <w:iCs/>
                <w:sz w:val="22"/>
                <w:szCs w:val="22"/>
              </w:rPr>
              <w:t>+7</w:t>
            </w:r>
          </w:p>
          <w:p w14:paraId="07B4B784" w14:textId="77777777" w:rsidR="009350E8" w:rsidRPr="006A0C4B" w:rsidRDefault="009350E8">
            <w:pPr>
              <w:jc w:val="center"/>
              <w:rPr>
                <w:iCs/>
                <w:sz w:val="22"/>
                <w:szCs w:val="22"/>
              </w:rPr>
            </w:pPr>
            <w:r w:rsidRPr="006A0C4B">
              <w:rPr>
                <w:iCs/>
                <w:sz w:val="22"/>
                <w:szCs w:val="22"/>
              </w:rPr>
              <w:t>(4%)</w:t>
            </w:r>
          </w:p>
        </w:tc>
        <w:tc>
          <w:tcPr>
            <w:tcW w:w="1666" w:type="dxa"/>
          </w:tcPr>
          <w:p w14:paraId="3AF0F2FC" w14:textId="77777777" w:rsidR="009350E8" w:rsidRPr="006A0C4B" w:rsidRDefault="009350E8">
            <w:pPr>
              <w:jc w:val="center"/>
              <w:rPr>
                <w:iCs/>
                <w:sz w:val="22"/>
                <w:szCs w:val="22"/>
              </w:rPr>
            </w:pPr>
            <w:r w:rsidRPr="006A0C4B">
              <w:rPr>
                <w:iCs/>
                <w:sz w:val="22"/>
                <w:szCs w:val="22"/>
              </w:rPr>
              <w:t>+17</w:t>
            </w:r>
          </w:p>
          <w:p w14:paraId="48A67195" w14:textId="77777777" w:rsidR="009350E8" w:rsidRPr="006A0C4B" w:rsidRDefault="009350E8">
            <w:pPr>
              <w:jc w:val="center"/>
              <w:rPr>
                <w:iCs/>
                <w:sz w:val="22"/>
                <w:szCs w:val="22"/>
              </w:rPr>
            </w:pPr>
            <w:r w:rsidRPr="006A0C4B">
              <w:rPr>
                <w:iCs/>
                <w:sz w:val="22"/>
                <w:szCs w:val="22"/>
              </w:rPr>
              <w:t>(10%)</w:t>
            </w:r>
          </w:p>
        </w:tc>
      </w:tr>
      <w:tr w:rsidR="009350E8" w14:paraId="781F3E34" w14:textId="77777777" w:rsidTr="38A16994">
        <w:trPr>
          <w:trHeight w:val="403"/>
        </w:trPr>
        <w:tc>
          <w:tcPr>
            <w:tcW w:w="2694" w:type="dxa"/>
          </w:tcPr>
          <w:p w14:paraId="6A5B926B" w14:textId="119577CA" w:rsidR="009350E8" w:rsidRPr="006A0C4B" w:rsidRDefault="009350E8" w:rsidP="009350E8">
            <w:pPr>
              <w:spacing w:line="360" w:lineRule="auto"/>
              <w:rPr>
                <w:b/>
                <w:bCs/>
                <w:iCs/>
                <w:sz w:val="22"/>
                <w:szCs w:val="22"/>
              </w:rPr>
            </w:pPr>
            <w:r w:rsidRPr="006A0C4B">
              <w:rPr>
                <w:b/>
                <w:bCs/>
                <w:iCs/>
                <w:sz w:val="22"/>
                <w:szCs w:val="22"/>
              </w:rPr>
              <w:t>Medium business user</w:t>
            </w:r>
            <w:r w:rsidRPr="01F21943">
              <w:rPr>
                <w:rStyle w:val="FootnoteReference"/>
                <w:rFonts w:cs="Arial"/>
                <w:b/>
              </w:rPr>
              <w:footnoteReference w:id="59"/>
            </w:r>
            <w:r w:rsidRPr="006A0C4B">
              <w:rPr>
                <w:b/>
                <w:bCs/>
                <w:iCs/>
                <w:sz w:val="22"/>
                <w:szCs w:val="22"/>
              </w:rPr>
              <w:t xml:space="preserve"> </w:t>
            </w:r>
          </w:p>
        </w:tc>
        <w:tc>
          <w:tcPr>
            <w:tcW w:w="1559" w:type="dxa"/>
          </w:tcPr>
          <w:p w14:paraId="560D0D87" w14:textId="77777777" w:rsidR="009350E8" w:rsidRPr="006A0C4B" w:rsidRDefault="009350E8" w:rsidP="009350E8">
            <w:pPr>
              <w:jc w:val="center"/>
              <w:rPr>
                <w:iCs/>
                <w:sz w:val="22"/>
                <w:szCs w:val="22"/>
              </w:rPr>
            </w:pPr>
            <w:r w:rsidRPr="006A0C4B">
              <w:rPr>
                <w:iCs/>
                <w:sz w:val="22"/>
                <w:szCs w:val="22"/>
              </w:rPr>
              <w:t>-0.5</w:t>
            </w:r>
          </w:p>
          <w:p w14:paraId="4DCCDB25" w14:textId="2CBC1C66" w:rsidR="009350E8" w:rsidRPr="006A0C4B" w:rsidRDefault="009350E8" w:rsidP="009350E8">
            <w:pPr>
              <w:jc w:val="center"/>
              <w:rPr>
                <w:iCs/>
                <w:sz w:val="22"/>
                <w:szCs w:val="22"/>
              </w:rPr>
            </w:pPr>
            <w:r w:rsidRPr="006A0C4B">
              <w:rPr>
                <w:iCs/>
                <w:sz w:val="22"/>
                <w:szCs w:val="22"/>
              </w:rPr>
              <w:t>(</w:t>
            </w:r>
            <w:r w:rsidR="005A08FC" w:rsidRPr="006A0C4B">
              <w:rPr>
                <w:iCs/>
                <w:sz w:val="22"/>
                <w:szCs w:val="22"/>
              </w:rPr>
              <w:t>-</w:t>
            </w:r>
            <w:r w:rsidRPr="006A0C4B">
              <w:rPr>
                <w:iCs/>
                <w:sz w:val="22"/>
                <w:szCs w:val="22"/>
              </w:rPr>
              <w:t>0.5%)</w:t>
            </w:r>
          </w:p>
        </w:tc>
        <w:tc>
          <w:tcPr>
            <w:tcW w:w="1488" w:type="dxa"/>
          </w:tcPr>
          <w:p w14:paraId="46FFF1E2" w14:textId="77777777" w:rsidR="009350E8" w:rsidRPr="006A0C4B" w:rsidRDefault="009350E8" w:rsidP="009350E8">
            <w:pPr>
              <w:jc w:val="center"/>
              <w:rPr>
                <w:iCs/>
                <w:sz w:val="22"/>
                <w:szCs w:val="22"/>
              </w:rPr>
            </w:pPr>
            <w:r w:rsidRPr="006A0C4B">
              <w:rPr>
                <w:iCs/>
                <w:sz w:val="22"/>
                <w:szCs w:val="22"/>
              </w:rPr>
              <w:t>+0.5</w:t>
            </w:r>
          </w:p>
          <w:p w14:paraId="63EF43F7" w14:textId="77777777" w:rsidR="009350E8" w:rsidRPr="006A0C4B" w:rsidRDefault="009350E8" w:rsidP="009350E8">
            <w:pPr>
              <w:jc w:val="center"/>
              <w:rPr>
                <w:iCs/>
                <w:sz w:val="22"/>
                <w:szCs w:val="22"/>
              </w:rPr>
            </w:pPr>
            <w:r w:rsidRPr="006A0C4B">
              <w:rPr>
                <w:iCs/>
                <w:sz w:val="22"/>
                <w:szCs w:val="22"/>
              </w:rPr>
              <w:t>(0.5%)</w:t>
            </w:r>
          </w:p>
        </w:tc>
        <w:tc>
          <w:tcPr>
            <w:tcW w:w="1666" w:type="dxa"/>
          </w:tcPr>
          <w:p w14:paraId="6D0F44E7" w14:textId="77777777" w:rsidR="009350E8" w:rsidRPr="006A0C4B" w:rsidRDefault="009350E8" w:rsidP="009350E8">
            <w:pPr>
              <w:jc w:val="center"/>
              <w:rPr>
                <w:iCs/>
                <w:sz w:val="22"/>
                <w:szCs w:val="22"/>
              </w:rPr>
            </w:pPr>
            <w:r w:rsidRPr="006A0C4B">
              <w:rPr>
                <w:iCs/>
                <w:sz w:val="22"/>
                <w:szCs w:val="22"/>
              </w:rPr>
              <w:t>+1</w:t>
            </w:r>
          </w:p>
          <w:p w14:paraId="7DD33A84" w14:textId="77777777" w:rsidR="009350E8" w:rsidRPr="006A0C4B" w:rsidRDefault="009350E8" w:rsidP="009350E8">
            <w:pPr>
              <w:jc w:val="center"/>
              <w:rPr>
                <w:iCs/>
                <w:sz w:val="22"/>
                <w:szCs w:val="22"/>
              </w:rPr>
            </w:pPr>
            <w:r w:rsidRPr="006A0C4B">
              <w:rPr>
                <w:iCs/>
                <w:sz w:val="22"/>
                <w:szCs w:val="22"/>
              </w:rPr>
              <w:t>(1%)</w:t>
            </w:r>
          </w:p>
        </w:tc>
        <w:tc>
          <w:tcPr>
            <w:tcW w:w="1666" w:type="dxa"/>
          </w:tcPr>
          <w:p w14:paraId="2B78C9AC" w14:textId="77777777" w:rsidR="009350E8" w:rsidRPr="006A0C4B" w:rsidRDefault="009350E8" w:rsidP="009350E8">
            <w:pPr>
              <w:jc w:val="center"/>
              <w:rPr>
                <w:iCs/>
                <w:sz w:val="22"/>
                <w:szCs w:val="22"/>
              </w:rPr>
            </w:pPr>
            <w:r w:rsidRPr="006A0C4B">
              <w:rPr>
                <w:iCs/>
                <w:sz w:val="22"/>
                <w:szCs w:val="22"/>
              </w:rPr>
              <w:t>+3</w:t>
            </w:r>
          </w:p>
          <w:p w14:paraId="53DD9EBB" w14:textId="77777777" w:rsidR="009350E8" w:rsidRPr="006A0C4B" w:rsidRDefault="009350E8" w:rsidP="009350E8">
            <w:pPr>
              <w:jc w:val="center"/>
              <w:rPr>
                <w:iCs/>
                <w:sz w:val="22"/>
                <w:szCs w:val="22"/>
              </w:rPr>
            </w:pPr>
            <w:r w:rsidRPr="006A0C4B">
              <w:rPr>
                <w:iCs/>
                <w:sz w:val="22"/>
                <w:szCs w:val="22"/>
              </w:rPr>
              <w:t>(2%)</w:t>
            </w:r>
          </w:p>
        </w:tc>
      </w:tr>
      <w:tr w:rsidR="009350E8" w14:paraId="695CA35F" w14:textId="77777777" w:rsidTr="38A16994">
        <w:trPr>
          <w:trHeight w:val="828"/>
        </w:trPr>
        <w:tc>
          <w:tcPr>
            <w:tcW w:w="2694" w:type="dxa"/>
          </w:tcPr>
          <w:p w14:paraId="61A23BA9" w14:textId="2E2146F7" w:rsidR="009350E8" w:rsidRPr="006A0C4B" w:rsidRDefault="009350E8" w:rsidP="009350E8">
            <w:pPr>
              <w:rPr>
                <w:b/>
                <w:bCs/>
                <w:iCs/>
                <w:sz w:val="22"/>
                <w:szCs w:val="22"/>
              </w:rPr>
            </w:pPr>
            <w:r w:rsidRPr="006A0C4B">
              <w:rPr>
                <w:b/>
                <w:bCs/>
                <w:iCs/>
                <w:sz w:val="22"/>
                <w:szCs w:val="22"/>
              </w:rPr>
              <w:t xml:space="preserve">Energy Intensive Industry with all </w:t>
            </w:r>
            <w:r w:rsidR="005B4AE7" w:rsidRPr="006A0C4B">
              <w:rPr>
                <w:b/>
                <w:bCs/>
                <w:iCs/>
                <w:sz w:val="22"/>
                <w:szCs w:val="22"/>
              </w:rPr>
              <w:t xml:space="preserve">current </w:t>
            </w:r>
            <w:r w:rsidRPr="006A0C4B">
              <w:rPr>
                <w:b/>
                <w:bCs/>
                <w:iCs/>
                <w:sz w:val="22"/>
                <w:szCs w:val="22"/>
              </w:rPr>
              <w:t>policy support</w:t>
            </w:r>
            <w:r w:rsidRPr="01F21943">
              <w:rPr>
                <w:rStyle w:val="FootnoteReference"/>
                <w:rFonts w:cs="Arial"/>
                <w:b/>
              </w:rPr>
              <w:footnoteReference w:id="60"/>
            </w:r>
            <w:r w:rsidRPr="006A0C4B">
              <w:rPr>
                <w:b/>
                <w:bCs/>
                <w:iCs/>
                <w:sz w:val="22"/>
                <w:szCs w:val="22"/>
              </w:rPr>
              <w:t xml:space="preserve"> </w:t>
            </w:r>
          </w:p>
        </w:tc>
        <w:tc>
          <w:tcPr>
            <w:tcW w:w="1559" w:type="dxa"/>
          </w:tcPr>
          <w:p w14:paraId="27D7BC74" w14:textId="77777777" w:rsidR="009350E8" w:rsidRPr="006A0C4B" w:rsidRDefault="009350E8" w:rsidP="009350E8">
            <w:pPr>
              <w:jc w:val="center"/>
              <w:rPr>
                <w:iCs/>
                <w:sz w:val="22"/>
                <w:szCs w:val="22"/>
              </w:rPr>
            </w:pPr>
            <w:r w:rsidRPr="006A0C4B">
              <w:rPr>
                <w:iCs/>
                <w:sz w:val="22"/>
                <w:szCs w:val="22"/>
              </w:rPr>
              <w:t>-2</w:t>
            </w:r>
          </w:p>
          <w:p w14:paraId="1A6583DC" w14:textId="33570734" w:rsidR="009350E8" w:rsidRPr="006A0C4B" w:rsidRDefault="009350E8" w:rsidP="009350E8">
            <w:pPr>
              <w:jc w:val="center"/>
              <w:rPr>
                <w:iCs/>
                <w:sz w:val="22"/>
                <w:szCs w:val="22"/>
              </w:rPr>
            </w:pPr>
            <w:r w:rsidRPr="006A0C4B">
              <w:rPr>
                <w:iCs/>
                <w:sz w:val="22"/>
                <w:szCs w:val="22"/>
              </w:rPr>
              <w:t>(</w:t>
            </w:r>
            <w:r w:rsidR="005A08FC" w:rsidRPr="006A0C4B">
              <w:rPr>
                <w:iCs/>
                <w:sz w:val="22"/>
                <w:szCs w:val="22"/>
              </w:rPr>
              <w:t>-</w:t>
            </w:r>
            <w:r w:rsidRPr="006A0C4B">
              <w:rPr>
                <w:iCs/>
                <w:sz w:val="22"/>
                <w:szCs w:val="22"/>
              </w:rPr>
              <w:t>3%)</w:t>
            </w:r>
          </w:p>
        </w:tc>
        <w:tc>
          <w:tcPr>
            <w:tcW w:w="1488" w:type="dxa"/>
          </w:tcPr>
          <w:p w14:paraId="438060F8" w14:textId="77777777" w:rsidR="009350E8" w:rsidRPr="006A0C4B" w:rsidRDefault="009350E8" w:rsidP="009350E8">
            <w:pPr>
              <w:jc w:val="center"/>
              <w:rPr>
                <w:iCs/>
                <w:sz w:val="22"/>
                <w:szCs w:val="22"/>
              </w:rPr>
            </w:pPr>
            <w:r w:rsidRPr="006A0C4B">
              <w:rPr>
                <w:iCs/>
                <w:sz w:val="22"/>
                <w:szCs w:val="22"/>
              </w:rPr>
              <w:t>-2</w:t>
            </w:r>
          </w:p>
          <w:p w14:paraId="2F14DFF7" w14:textId="567A77E9" w:rsidR="009350E8" w:rsidRPr="006A0C4B" w:rsidRDefault="009350E8" w:rsidP="009350E8">
            <w:pPr>
              <w:jc w:val="center"/>
              <w:rPr>
                <w:iCs/>
                <w:sz w:val="22"/>
                <w:szCs w:val="22"/>
              </w:rPr>
            </w:pPr>
            <w:r w:rsidRPr="006A0C4B">
              <w:rPr>
                <w:iCs/>
                <w:sz w:val="22"/>
                <w:szCs w:val="22"/>
              </w:rPr>
              <w:t>(</w:t>
            </w:r>
            <w:r w:rsidR="005A08FC" w:rsidRPr="006A0C4B">
              <w:rPr>
                <w:iCs/>
                <w:sz w:val="22"/>
                <w:szCs w:val="22"/>
              </w:rPr>
              <w:t>-</w:t>
            </w:r>
            <w:r w:rsidRPr="006A0C4B">
              <w:rPr>
                <w:iCs/>
                <w:sz w:val="22"/>
                <w:szCs w:val="22"/>
              </w:rPr>
              <w:t>3%)</w:t>
            </w:r>
          </w:p>
        </w:tc>
        <w:tc>
          <w:tcPr>
            <w:tcW w:w="1666" w:type="dxa"/>
          </w:tcPr>
          <w:p w14:paraId="4EE0C05A" w14:textId="77777777" w:rsidR="009350E8" w:rsidRPr="006A0C4B" w:rsidRDefault="009350E8" w:rsidP="009350E8">
            <w:pPr>
              <w:jc w:val="center"/>
              <w:rPr>
                <w:iCs/>
                <w:sz w:val="22"/>
                <w:szCs w:val="22"/>
              </w:rPr>
            </w:pPr>
            <w:r w:rsidRPr="006A0C4B">
              <w:rPr>
                <w:iCs/>
                <w:sz w:val="22"/>
                <w:szCs w:val="22"/>
              </w:rPr>
              <w:t>-2</w:t>
            </w:r>
          </w:p>
          <w:p w14:paraId="1F400A53" w14:textId="63EB5721" w:rsidR="009350E8" w:rsidRPr="006A0C4B" w:rsidRDefault="009350E8" w:rsidP="009350E8">
            <w:pPr>
              <w:jc w:val="center"/>
              <w:rPr>
                <w:iCs/>
                <w:sz w:val="22"/>
                <w:szCs w:val="22"/>
              </w:rPr>
            </w:pPr>
            <w:r w:rsidRPr="006A0C4B">
              <w:rPr>
                <w:iCs/>
                <w:sz w:val="22"/>
                <w:szCs w:val="22"/>
              </w:rPr>
              <w:t>(</w:t>
            </w:r>
            <w:r w:rsidR="005A08FC" w:rsidRPr="006A0C4B">
              <w:rPr>
                <w:iCs/>
                <w:sz w:val="22"/>
                <w:szCs w:val="22"/>
              </w:rPr>
              <w:t>-</w:t>
            </w:r>
            <w:r w:rsidRPr="006A0C4B">
              <w:rPr>
                <w:iCs/>
                <w:sz w:val="22"/>
                <w:szCs w:val="22"/>
              </w:rPr>
              <w:t>2%)</w:t>
            </w:r>
          </w:p>
        </w:tc>
        <w:tc>
          <w:tcPr>
            <w:tcW w:w="1666" w:type="dxa"/>
          </w:tcPr>
          <w:p w14:paraId="76D8CC85" w14:textId="77777777" w:rsidR="009350E8" w:rsidRPr="006A0C4B" w:rsidRDefault="009350E8" w:rsidP="009350E8">
            <w:pPr>
              <w:jc w:val="center"/>
              <w:rPr>
                <w:iCs/>
                <w:sz w:val="22"/>
                <w:szCs w:val="22"/>
              </w:rPr>
            </w:pPr>
            <w:r w:rsidRPr="006A0C4B">
              <w:rPr>
                <w:iCs/>
                <w:sz w:val="22"/>
                <w:szCs w:val="22"/>
              </w:rPr>
              <w:t>-11</w:t>
            </w:r>
          </w:p>
          <w:p w14:paraId="762AF742" w14:textId="6F03128B" w:rsidR="009350E8" w:rsidRPr="006A0C4B" w:rsidRDefault="009350E8" w:rsidP="009350E8">
            <w:pPr>
              <w:jc w:val="center"/>
              <w:rPr>
                <w:iCs/>
                <w:sz w:val="22"/>
                <w:szCs w:val="22"/>
              </w:rPr>
            </w:pPr>
            <w:r w:rsidRPr="006A0C4B">
              <w:rPr>
                <w:iCs/>
                <w:sz w:val="22"/>
                <w:szCs w:val="22"/>
              </w:rPr>
              <w:t>(</w:t>
            </w:r>
            <w:r w:rsidR="005A08FC" w:rsidRPr="006A0C4B">
              <w:rPr>
                <w:iCs/>
                <w:sz w:val="22"/>
                <w:szCs w:val="22"/>
              </w:rPr>
              <w:t>-</w:t>
            </w:r>
            <w:r w:rsidRPr="006A0C4B">
              <w:rPr>
                <w:iCs/>
                <w:sz w:val="22"/>
                <w:szCs w:val="22"/>
              </w:rPr>
              <w:t>15%)</w:t>
            </w:r>
          </w:p>
        </w:tc>
      </w:tr>
      <w:tr w:rsidR="009350E8" w14:paraId="1B208387" w14:textId="77777777" w:rsidTr="38A16994">
        <w:trPr>
          <w:trHeight w:val="828"/>
        </w:trPr>
        <w:tc>
          <w:tcPr>
            <w:tcW w:w="2694" w:type="dxa"/>
          </w:tcPr>
          <w:p w14:paraId="21F47238" w14:textId="66772ABA" w:rsidR="009350E8" w:rsidRPr="006A0C4B" w:rsidRDefault="009350E8" w:rsidP="009350E8">
            <w:pPr>
              <w:rPr>
                <w:b/>
                <w:bCs/>
                <w:iCs/>
                <w:sz w:val="22"/>
                <w:szCs w:val="22"/>
              </w:rPr>
            </w:pPr>
            <w:r w:rsidRPr="006A0C4B">
              <w:rPr>
                <w:b/>
                <w:bCs/>
                <w:iCs/>
                <w:sz w:val="22"/>
                <w:szCs w:val="22"/>
              </w:rPr>
              <w:t>Energy Intensive Industry with no policy support</w:t>
            </w:r>
            <w:r w:rsidRPr="01F21943">
              <w:rPr>
                <w:rStyle w:val="FootnoteReference"/>
                <w:rFonts w:cs="Arial"/>
                <w:b/>
              </w:rPr>
              <w:footnoteReference w:id="61"/>
            </w:r>
          </w:p>
        </w:tc>
        <w:tc>
          <w:tcPr>
            <w:tcW w:w="1559" w:type="dxa"/>
          </w:tcPr>
          <w:p w14:paraId="39CE87BD" w14:textId="77777777" w:rsidR="009350E8" w:rsidRPr="006A0C4B" w:rsidRDefault="009350E8" w:rsidP="009350E8">
            <w:pPr>
              <w:jc w:val="center"/>
              <w:rPr>
                <w:iCs/>
                <w:sz w:val="22"/>
                <w:szCs w:val="22"/>
              </w:rPr>
            </w:pPr>
            <w:r w:rsidRPr="006A0C4B">
              <w:rPr>
                <w:iCs/>
                <w:sz w:val="22"/>
                <w:szCs w:val="22"/>
              </w:rPr>
              <w:t>+1</w:t>
            </w:r>
          </w:p>
          <w:p w14:paraId="433A3CBF" w14:textId="77777777" w:rsidR="009350E8" w:rsidRPr="006A0C4B" w:rsidRDefault="009350E8" w:rsidP="009350E8">
            <w:pPr>
              <w:jc w:val="center"/>
              <w:rPr>
                <w:iCs/>
                <w:sz w:val="22"/>
                <w:szCs w:val="22"/>
              </w:rPr>
            </w:pPr>
            <w:r w:rsidRPr="006A0C4B">
              <w:rPr>
                <w:iCs/>
                <w:sz w:val="22"/>
                <w:szCs w:val="22"/>
              </w:rPr>
              <w:t>(1%)</w:t>
            </w:r>
          </w:p>
        </w:tc>
        <w:tc>
          <w:tcPr>
            <w:tcW w:w="1488" w:type="dxa"/>
          </w:tcPr>
          <w:p w14:paraId="2C39321F" w14:textId="77777777" w:rsidR="009350E8" w:rsidRPr="006A0C4B" w:rsidRDefault="009350E8" w:rsidP="009350E8">
            <w:pPr>
              <w:jc w:val="center"/>
              <w:rPr>
                <w:iCs/>
                <w:sz w:val="22"/>
                <w:szCs w:val="22"/>
              </w:rPr>
            </w:pPr>
            <w:r w:rsidRPr="006A0C4B">
              <w:rPr>
                <w:iCs/>
                <w:sz w:val="22"/>
                <w:szCs w:val="22"/>
              </w:rPr>
              <w:t>+2</w:t>
            </w:r>
          </w:p>
          <w:p w14:paraId="294494B9" w14:textId="77777777" w:rsidR="009350E8" w:rsidRPr="006A0C4B" w:rsidRDefault="009350E8" w:rsidP="009350E8">
            <w:pPr>
              <w:jc w:val="center"/>
              <w:rPr>
                <w:iCs/>
                <w:sz w:val="22"/>
                <w:szCs w:val="22"/>
              </w:rPr>
            </w:pPr>
            <w:r w:rsidRPr="006A0C4B">
              <w:rPr>
                <w:iCs/>
                <w:sz w:val="22"/>
                <w:szCs w:val="22"/>
              </w:rPr>
              <w:t>(2%)</w:t>
            </w:r>
          </w:p>
        </w:tc>
        <w:tc>
          <w:tcPr>
            <w:tcW w:w="1666" w:type="dxa"/>
          </w:tcPr>
          <w:p w14:paraId="470A3F4B" w14:textId="77777777" w:rsidR="009350E8" w:rsidRPr="006A0C4B" w:rsidRDefault="009350E8" w:rsidP="009350E8">
            <w:pPr>
              <w:jc w:val="center"/>
              <w:rPr>
                <w:iCs/>
                <w:sz w:val="22"/>
                <w:szCs w:val="22"/>
              </w:rPr>
            </w:pPr>
            <w:r w:rsidRPr="006A0C4B">
              <w:rPr>
                <w:iCs/>
                <w:sz w:val="22"/>
                <w:szCs w:val="22"/>
              </w:rPr>
              <w:t>+2</w:t>
            </w:r>
          </w:p>
          <w:p w14:paraId="6F2B0206" w14:textId="013D7FFF" w:rsidR="009350E8" w:rsidRPr="006A0C4B" w:rsidRDefault="009350E8" w:rsidP="38A16994">
            <w:pPr>
              <w:jc w:val="center"/>
              <w:rPr>
                <w:iCs/>
                <w:sz w:val="22"/>
                <w:szCs w:val="22"/>
              </w:rPr>
            </w:pPr>
            <w:r w:rsidRPr="006A0C4B">
              <w:rPr>
                <w:iCs/>
                <w:sz w:val="22"/>
                <w:szCs w:val="22"/>
              </w:rPr>
              <w:t>(</w:t>
            </w:r>
            <w:r w:rsidR="76231BE4" w:rsidRPr="38A16994">
              <w:rPr>
                <w:sz w:val="22"/>
                <w:szCs w:val="22"/>
              </w:rPr>
              <w:t>2</w:t>
            </w:r>
            <w:r w:rsidRPr="006A0C4B">
              <w:rPr>
                <w:iCs/>
                <w:sz w:val="22"/>
                <w:szCs w:val="22"/>
              </w:rPr>
              <w:t>%)</w:t>
            </w:r>
          </w:p>
        </w:tc>
        <w:tc>
          <w:tcPr>
            <w:tcW w:w="1666" w:type="dxa"/>
          </w:tcPr>
          <w:p w14:paraId="5FF9A1F4" w14:textId="77777777" w:rsidR="009350E8" w:rsidRPr="006A0C4B" w:rsidRDefault="009350E8" w:rsidP="009350E8">
            <w:pPr>
              <w:jc w:val="center"/>
              <w:rPr>
                <w:iCs/>
                <w:sz w:val="22"/>
                <w:szCs w:val="22"/>
              </w:rPr>
            </w:pPr>
            <w:r w:rsidRPr="006A0C4B">
              <w:rPr>
                <w:iCs/>
                <w:sz w:val="22"/>
                <w:szCs w:val="22"/>
              </w:rPr>
              <w:t>+6</w:t>
            </w:r>
          </w:p>
          <w:p w14:paraId="06C6FE90" w14:textId="77777777" w:rsidR="009350E8" w:rsidRPr="006A0C4B" w:rsidRDefault="009350E8" w:rsidP="009350E8">
            <w:pPr>
              <w:jc w:val="center"/>
              <w:rPr>
                <w:iCs/>
                <w:sz w:val="22"/>
                <w:szCs w:val="22"/>
              </w:rPr>
            </w:pPr>
            <w:r w:rsidRPr="006A0C4B">
              <w:rPr>
                <w:iCs/>
                <w:sz w:val="22"/>
                <w:szCs w:val="22"/>
              </w:rPr>
              <w:t>(6%)</w:t>
            </w:r>
          </w:p>
        </w:tc>
      </w:tr>
    </w:tbl>
    <w:p w14:paraId="33FCA3D6" w14:textId="483920B1" w:rsidR="009350E8" w:rsidRPr="001350AF" w:rsidRDefault="00406E3B" w:rsidP="001350AF">
      <w:pPr>
        <w:spacing w:after="240"/>
        <w:rPr>
          <w:i/>
        </w:rPr>
      </w:pPr>
      <w:r>
        <w:rPr>
          <w:i/>
          <w:iCs/>
        </w:rPr>
        <w:br/>
      </w:r>
      <w:r>
        <w:rPr>
          <w:i/>
          <w:iCs/>
        </w:rPr>
        <w:br/>
      </w:r>
      <w:r>
        <w:rPr>
          <w:i/>
          <w:iCs/>
        </w:rPr>
        <w:br/>
      </w:r>
      <w:r>
        <w:rPr>
          <w:i/>
          <w:iCs/>
        </w:rPr>
        <w:br/>
      </w:r>
      <w:r>
        <w:rPr>
          <w:i/>
          <w:iCs/>
        </w:rPr>
        <w:br/>
      </w:r>
      <w:r>
        <w:rPr>
          <w:i/>
          <w:iCs/>
        </w:rPr>
        <w:br/>
      </w:r>
      <w:r>
        <w:rPr>
          <w:i/>
          <w:iCs/>
        </w:rPr>
        <w:br/>
      </w:r>
      <w:r>
        <w:rPr>
          <w:i/>
          <w:iCs/>
        </w:rPr>
        <w:br/>
      </w:r>
      <w:r>
        <w:rPr>
          <w:i/>
          <w:iCs/>
        </w:rPr>
        <w:br/>
      </w:r>
      <w:r>
        <w:rPr>
          <w:i/>
          <w:iCs/>
        </w:rPr>
        <w:br/>
      </w:r>
      <w:r>
        <w:rPr>
          <w:i/>
          <w:iCs/>
        </w:rPr>
        <w:br/>
      </w:r>
      <w:r>
        <w:rPr>
          <w:i/>
          <w:iCs/>
        </w:rPr>
        <w:br/>
      </w:r>
      <w:r>
        <w:rPr>
          <w:i/>
          <w:iCs/>
        </w:rPr>
        <w:br/>
      </w:r>
      <w:r>
        <w:rPr>
          <w:i/>
          <w:iCs/>
        </w:rPr>
        <w:br/>
      </w:r>
      <w:r>
        <w:rPr>
          <w:i/>
          <w:iCs/>
        </w:rPr>
        <w:br/>
      </w:r>
    </w:p>
    <w:p w14:paraId="3AC3162C" w14:textId="3929D0D4" w:rsidR="005D7F69" w:rsidRDefault="00680998" w:rsidP="009229B3">
      <w:pPr>
        <w:pStyle w:val="Numberedparagraphs"/>
      </w:pPr>
      <w:r>
        <w:t xml:space="preserve">The impact on fuel poverty of electricity prices rising by less than 5% would be relatively small and moderated by higher levels of energy efficiency in the housing stock. By 2030 we expect all fuel poor households in England, as far as reasonably practicable, to be living in a home rated energy efficiency Band C or </w:t>
      </w:r>
      <w:r w:rsidR="005B5616">
        <w:t>better</w:t>
      </w:r>
      <w:r>
        <w:t xml:space="preserve">, in line with </w:t>
      </w:r>
      <w:r w:rsidR="005B5616">
        <w:t xml:space="preserve">the </w:t>
      </w:r>
      <w:r>
        <w:t>statutory fuel poverty target</w:t>
      </w:r>
      <w:r>
        <w:rPr>
          <w:rStyle w:val="FootnoteReference"/>
          <w:shd w:val="clear" w:color="auto" w:fill="FFFFFF"/>
        </w:rPr>
        <w:footnoteReference w:id="62"/>
      </w:r>
      <w:r>
        <w:t>. Scotland, Wales and Northern Ireland have their own fuel poverty targets and are also working to improve the energy efficiency of their building stock.</w:t>
      </w:r>
      <w:r w:rsidDel="00680998">
        <w:t xml:space="preserve"> </w:t>
      </w:r>
    </w:p>
    <w:p w14:paraId="0F129F23" w14:textId="4837BF3B" w:rsidR="00622E60" w:rsidRPr="004E103C" w:rsidRDefault="00622E60" w:rsidP="004E103C">
      <w:pPr>
        <w:pStyle w:val="Heading5"/>
        <w:spacing w:after="200"/>
        <w:rPr>
          <w:sz w:val="24"/>
          <w:szCs w:val="24"/>
        </w:rPr>
      </w:pPr>
      <w:r w:rsidRPr="004E103C">
        <w:rPr>
          <w:sz w:val="24"/>
          <w:szCs w:val="24"/>
        </w:rPr>
        <w:t>Public engagement</w:t>
      </w:r>
    </w:p>
    <w:p w14:paraId="44F1CAF7" w14:textId="39EEE7A9" w:rsidR="00C17E56" w:rsidRPr="00C17E56" w:rsidRDefault="000C6FA8" w:rsidP="009229B3">
      <w:pPr>
        <w:pStyle w:val="Numberedparagraphs"/>
      </w:pPr>
      <w:r w:rsidRPr="006C0263">
        <w:t>Achieving</w:t>
      </w:r>
      <w:r w:rsidR="006C0263">
        <w:t xml:space="preserve"> </w:t>
      </w:r>
      <w:r w:rsidR="005B4AE7">
        <w:t>the</w:t>
      </w:r>
      <w:r w:rsidR="006C0263">
        <w:t xml:space="preserve"> </w:t>
      </w:r>
      <w:r w:rsidRPr="006C0263">
        <w:t xml:space="preserve">net zero target and </w:t>
      </w:r>
      <w:r w:rsidR="00C54ABC">
        <w:t xml:space="preserve">any of </w:t>
      </w:r>
      <w:r w:rsidRPr="006C0263">
        <w:t xml:space="preserve">the sixth carbon budget </w:t>
      </w:r>
      <w:r w:rsidR="00C54ABC">
        <w:t>options</w:t>
      </w:r>
      <w:r w:rsidRPr="006C0263">
        <w:t xml:space="preserve"> will have a significant impact on people’s lives, </w:t>
      </w:r>
      <w:r w:rsidRPr="00712521">
        <w:t xml:space="preserve">requiring action from everyone in society - people, businesses, and </w:t>
      </w:r>
      <w:r w:rsidR="007C6560">
        <w:t>government</w:t>
      </w:r>
      <w:r w:rsidRPr="00712521">
        <w:t>s.</w:t>
      </w:r>
      <w:r w:rsidRPr="16D1D172">
        <w:t xml:space="preserve"> </w:t>
      </w:r>
      <w:r w:rsidR="006C0263">
        <w:t xml:space="preserve"> </w:t>
      </w:r>
      <w:r w:rsidR="0071001D">
        <w:t>The</w:t>
      </w:r>
      <w:r w:rsidR="006C0263">
        <w:t xml:space="preserve"> analysis on</w:t>
      </w:r>
      <w:r w:rsidR="006C51C1">
        <w:t xml:space="preserve"> </w:t>
      </w:r>
      <w:r>
        <w:t xml:space="preserve">the level </w:t>
      </w:r>
      <w:r w:rsidR="005E59B1">
        <w:t>of</w:t>
      </w:r>
      <w:r>
        <w:t xml:space="preserve"> </w:t>
      </w:r>
      <w:r w:rsidR="00BF7C0A">
        <w:t>the sixth carbon budget</w:t>
      </w:r>
      <w:r w:rsidR="006C51C1" w:rsidRPr="00861D79">
        <w:t xml:space="preserve"> has</w:t>
      </w:r>
      <w:r w:rsidR="006C51C1">
        <w:t xml:space="preserve"> not </w:t>
      </w:r>
      <w:r w:rsidR="00CD6377">
        <w:t xml:space="preserve">directly </w:t>
      </w:r>
      <w:r w:rsidR="006C51C1">
        <w:t>been informed by specific public consultation or deliberation exercises</w:t>
      </w:r>
      <w:r w:rsidR="005E59B1">
        <w:t>,</w:t>
      </w:r>
      <w:r w:rsidR="006C51C1">
        <w:t xml:space="preserve"> </w:t>
      </w:r>
      <w:r>
        <w:t xml:space="preserve">although </w:t>
      </w:r>
      <w:r w:rsidR="00D318B7">
        <w:t xml:space="preserve">the CCC considered views and recommendations of the Climate Assembly UK </w:t>
      </w:r>
      <w:r w:rsidR="00EA17BC">
        <w:t xml:space="preserve">in its advice </w:t>
      </w:r>
      <w:r>
        <w:t xml:space="preserve">to </w:t>
      </w:r>
      <w:r w:rsidR="007C6560">
        <w:t>government</w:t>
      </w:r>
      <w:r>
        <w:t xml:space="preserve">.  </w:t>
      </w:r>
    </w:p>
    <w:p w14:paraId="7AE18AEF" w14:textId="321A6705" w:rsidR="007839FB" w:rsidRDefault="39AB33F1" w:rsidP="009229B3">
      <w:pPr>
        <w:pStyle w:val="Numberedparagraphs"/>
      </w:pPr>
      <w:r>
        <w:t xml:space="preserve">As plans </w:t>
      </w:r>
      <w:r w:rsidR="0071001D">
        <w:t xml:space="preserve">are developed </w:t>
      </w:r>
      <w:r>
        <w:t xml:space="preserve">for </w:t>
      </w:r>
      <w:r w:rsidR="005E59B1">
        <w:t>meeting the sixth carbon budget and</w:t>
      </w:r>
      <w:r>
        <w:t xml:space="preserve"> reaching net zero emissions by 2050, </w:t>
      </w:r>
      <w:r w:rsidR="007C6560">
        <w:t>government</w:t>
      </w:r>
      <w:r>
        <w:t xml:space="preserve"> will continue to engage the public on the changes that are needed to develop ambitions</w:t>
      </w:r>
      <w:r w:rsidR="006419AE">
        <w:t>, building on existing engagement programmes</w:t>
      </w:r>
      <w:r w:rsidR="002C2262">
        <w:t xml:space="preserve"> </w:t>
      </w:r>
      <w:r w:rsidR="002C2262" w:rsidRPr="5463F0C3">
        <w:rPr>
          <w:rStyle w:val="normaltextrun"/>
        </w:rPr>
        <w:t>and exploring how to support individuals to make sustainable choices</w:t>
      </w:r>
      <w:r w:rsidR="005E59B1">
        <w:rPr>
          <w:rStyle w:val="normaltextrun"/>
        </w:rPr>
        <w:t>.</w:t>
      </w:r>
    </w:p>
    <w:p w14:paraId="12BB2F83" w14:textId="77777777" w:rsidR="001350AF" w:rsidRDefault="001350AF" w:rsidP="004E103C">
      <w:pPr>
        <w:pStyle w:val="Heading5"/>
        <w:spacing w:after="200"/>
        <w:rPr>
          <w:sz w:val="24"/>
          <w:szCs w:val="24"/>
        </w:rPr>
      </w:pPr>
    </w:p>
    <w:p w14:paraId="32F9682B" w14:textId="52A80456" w:rsidR="00D76358" w:rsidRPr="004E103C" w:rsidRDefault="00DA220C" w:rsidP="004E103C">
      <w:pPr>
        <w:pStyle w:val="Heading5"/>
        <w:spacing w:after="200"/>
        <w:rPr>
          <w:sz w:val="24"/>
          <w:szCs w:val="24"/>
        </w:rPr>
      </w:pPr>
      <w:r>
        <w:rPr>
          <w:sz w:val="24"/>
          <w:szCs w:val="24"/>
        </w:rPr>
        <w:lastRenderedPageBreak/>
        <w:t>Dist</w:t>
      </w:r>
      <w:r w:rsidR="00F12DC3">
        <w:rPr>
          <w:sz w:val="24"/>
          <w:szCs w:val="24"/>
        </w:rPr>
        <w:t>ribution</w:t>
      </w:r>
      <w:r w:rsidR="00E8688D">
        <w:rPr>
          <w:sz w:val="24"/>
          <w:szCs w:val="24"/>
        </w:rPr>
        <w:t xml:space="preserve"> of costs</w:t>
      </w:r>
      <w:r w:rsidR="009D3129">
        <w:rPr>
          <w:sz w:val="24"/>
          <w:szCs w:val="24"/>
        </w:rPr>
        <w:t xml:space="preserve"> during the</w:t>
      </w:r>
      <w:r w:rsidR="00F12DC3">
        <w:rPr>
          <w:sz w:val="24"/>
          <w:szCs w:val="24"/>
        </w:rPr>
        <w:t xml:space="preserve"> net zero</w:t>
      </w:r>
      <w:r w:rsidRPr="004E103C">
        <w:rPr>
          <w:sz w:val="24"/>
          <w:szCs w:val="24"/>
        </w:rPr>
        <w:t xml:space="preserve"> </w:t>
      </w:r>
      <w:r w:rsidR="005F1F8C" w:rsidRPr="004E103C">
        <w:rPr>
          <w:sz w:val="24"/>
          <w:szCs w:val="24"/>
        </w:rPr>
        <w:t>transition</w:t>
      </w:r>
    </w:p>
    <w:p w14:paraId="4DD3187E" w14:textId="59C1BCB2" w:rsidR="00924536" w:rsidRPr="00924536" w:rsidRDefault="00F12DC3" w:rsidP="009229B3">
      <w:pPr>
        <w:pStyle w:val="Numberedparagraphs"/>
      </w:pPr>
      <w:r>
        <w:t>The distribution of</w:t>
      </w:r>
      <w:r w:rsidR="009D3129">
        <w:t xml:space="preserve"> the</w:t>
      </w:r>
      <w:r>
        <w:t xml:space="preserve"> costs and opportunities</w:t>
      </w:r>
      <w:r w:rsidR="009D3129">
        <w:t xml:space="preserve"> of net zero</w:t>
      </w:r>
      <w:r>
        <w:t xml:space="preserve"> across society will depend on future policy decisions. </w:t>
      </w:r>
      <w:r w:rsidR="00096E77" w:rsidRPr="00D76358">
        <w:t>The HM Treasury review is examining the costs of decarb</w:t>
      </w:r>
      <w:r w:rsidR="00096E77">
        <w:t>onisation, including how to achieve the transition to net zero in a way that works for households, businesses and public finances, as well as the implications for UK competitiveness. In December 2020 interim findings of this repor</w:t>
      </w:r>
      <w:r w:rsidR="008D5587">
        <w:t>t</w:t>
      </w:r>
      <w:r w:rsidR="00056DB6">
        <w:t xml:space="preserve"> were published</w:t>
      </w:r>
      <w:r w:rsidR="008D5587">
        <w:t xml:space="preserve"> </w:t>
      </w:r>
      <w:r w:rsidR="00096E77">
        <w:t xml:space="preserve">and the final report and recommendations of the review will be published this year. </w:t>
      </w:r>
    </w:p>
    <w:p w14:paraId="035651E1" w14:textId="530059F1" w:rsidR="008D5587" w:rsidRPr="00861D79" w:rsidRDefault="00096E77" w:rsidP="009229B3">
      <w:pPr>
        <w:pStyle w:val="Numberedparagraphs"/>
      </w:pPr>
      <w:r w:rsidRPr="00861D79">
        <w:t>Initiatives such as the Green Jobs Taskforce</w:t>
      </w:r>
      <w:r w:rsidR="000500F7">
        <w:rPr>
          <w:rStyle w:val="FootnoteReference"/>
        </w:rPr>
        <w:footnoteReference w:id="63"/>
      </w:r>
      <w:r w:rsidRPr="00861D79">
        <w:t xml:space="preserve">, the North Sea Transition Deal, and sector deals on nuclear, offshore wind and automotive will </w:t>
      </w:r>
      <w:r w:rsidR="008D5587" w:rsidRPr="00861D79">
        <w:t xml:space="preserve">help to </w:t>
      </w:r>
      <w:r w:rsidRPr="00861D79">
        <w:t>create good quality green jobs across the country and support the most exposed workers and sectors to transition to net zero.</w:t>
      </w:r>
    </w:p>
    <w:p w14:paraId="3846826B" w14:textId="1B56D13D" w:rsidR="00754B9F" w:rsidRPr="004E103C" w:rsidRDefault="00754B9F" w:rsidP="004E103C">
      <w:pPr>
        <w:pStyle w:val="Heading4"/>
        <w:spacing w:after="200"/>
        <w:rPr>
          <w:szCs w:val="24"/>
        </w:rPr>
      </w:pPr>
      <w:r w:rsidRPr="004E103C">
        <w:rPr>
          <w:szCs w:val="24"/>
        </w:rPr>
        <w:t>Energy policy</w:t>
      </w:r>
    </w:p>
    <w:p w14:paraId="26550CA9" w14:textId="7CD9769D" w:rsidR="00737E3A" w:rsidRDefault="00DF7087" w:rsidP="009229B3">
      <w:pPr>
        <w:pStyle w:val="Numberedparagraphs"/>
      </w:pPr>
      <w:r w:rsidRPr="005F69DE">
        <w:t xml:space="preserve">The </w:t>
      </w:r>
      <w:r w:rsidR="00594D86">
        <w:t>Climate Change Act</w:t>
      </w:r>
      <w:r w:rsidRPr="005F69DE">
        <w:t xml:space="preserve"> requires </w:t>
      </w:r>
      <w:r w:rsidR="00B015C9">
        <w:t xml:space="preserve">the </w:t>
      </w:r>
      <w:r w:rsidRPr="005F69DE">
        <w:t>consideration of energy policy, and in particular the likely impact o</w:t>
      </w:r>
      <w:r w:rsidRPr="006A0C4B">
        <w:t xml:space="preserve">f the </w:t>
      </w:r>
      <w:r w:rsidR="006109BB">
        <w:t xml:space="preserve">budget level </w:t>
      </w:r>
      <w:r w:rsidRPr="006A0C4B">
        <w:t xml:space="preserve">decision </w:t>
      </w:r>
      <w:r w:rsidR="00BA5466" w:rsidRPr="006A0C4B">
        <w:t xml:space="preserve">on energy supplies </w:t>
      </w:r>
      <w:r w:rsidR="00737E3A" w:rsidRPr="006A0C4B">
        <w:t>and the carbon and energy intensit</w:t>
      </w:r>
      <w:r w:rsidR="00EF4E47">
        <w:t>ies</w:t>
      </w:r>
      <w:r w:rsidR="00737E3A" w:rsidRPr="006A0C4B">
        <w:t xml:space="preserve"> of the economy.</w:t>
      </w:r>
      <w:r w:rsidR="00737E3A" w:rsidRPr="23E23AC2">
        <w:t xml:space="preserve"> </w:t>
      </w:r>
    </w:p>
    <w:p w14:paraId="59CC1A85" w14:textId="0D64D678" w:rsidR="00351F6D" w:rsidRPr="00395EFC" w:rsidRDefault="00351F6D" w:rsidP="009229B3">
      <w:pPr>
        <w:pStyle w:val="Numberedparagraphs"/>
      </w:pPr>
      <w:r>
        <w:t xml:space="preserve">The carbon </w:t>
      </w:r>
      <w:r w:rsidR="00EF4E47">
        <w:t>and energy</w:t>
      </w:r>
      <w:r>
        <w:t xml:space="preserve"> intensities of the economy are measured as the ratio of total energy use or emissions of greenhouse gases to the value of the UK’s economic activity. </w:t>
      </w:r>
      <w:r w:rsidR="00FF3FF2">
        <w:t xml:space="preserve">Aligned with the scope of this Impact Assessment set out in section </w:t>
      </w:r>
      <w:r w:rsidR="001268F9">
        <w:t>1.</w:t>
      </w:r>
      <w:r w:rsidR="003E18E3">
        <w:t>4</w:t>
      </w:r>
      <w:r w:rsidR="0036475F">
        <w:t>,</w:t>
      </w:r>
      <w:r w:rsidR="00FF3FF2">
        <w:t xml:space="preserve"> the </w:t>
      </w:r>
      <w:r w:rsidR="001268F9">
        <w:t>emission</w:t>
      </w:r>
      <w:r w:rsidR="0036475F">
        <w:t>s</w:t>
      </w:r>
      <w:r w:rsidR="001268F9">
        <w:t xml:space="preserve"> </w:t>
      </w:r>
      <w:r w:rsidR="00FF3FF2">
        <w:t>intensity of the UK econom</w:t>
      </w:r>
      <w:r w:rsidR="00B015C9">
        <w:t>y</w:t>
      </w:r>
      <w:r w:rsidR="00FF3FF2">
        <w:t xml:space="preserve"> in 1990, as measured through </w:t>
      </w:r>
      <w:r w:rsidR="00BF3478">
        <w:t xml:space="preserve">territorial emissions </w:t>
      </w:r>
      <w:r w:rsidR="00FF3FF2">
        <w:t xml:space="preserve">was </w:t>
      </w:r>
      <w:r w:rsidR="00BF3478">
        <w:t>6</w:t>
      </w:r>
      <w:r w:rsidR="00551A1A">
        <w:t>8</w:t>
      </w:r>
      <w:r w:rsidR="000769D3">
        <w:t>3</w:t>
      </w:r>
      <w:r w:rsidR="00BF3478">
        <w:t>tCO</w:t>
      </w:r>
      <w:r w:rsidR="00BF3478" w:rsidRPr="006A0C4B">
        <w:rPr>
          <w:vertAlign w:val="subscript"/>
        </w:rPr>
        <w:t>2</w:t>
      </w:r>
      <w:r w:rsidR="00BF3478">
        <w:t xml:space="preserve">e/GDP£2019m, with an energy </w:t>
      </w:r>
      <w:r w:rsidR="00EA39BE">
        <w:t>intensity</w:t>
      </w:r>
      <w:r w:rsidR="00BF3478">
        <w:t xml:space="preserve"> as measured through final energy demand of 13</w:t>
      </w:r>
      <w:r w:rsidR="00551A1A">
        <w:t>33</w:t>
      </w:r>
      <w:r w:rsidR="3A708494">
        <w:t>M</w:t>
      </w:r>
      <w:r w:rsidR="27C3AA36">
        <w:t>Wh</w:t>
      </w:r>
      <w:r w:rsidR="00FF3FF2">
        <w:t>/GDP£2019</w:t>
      </w:r>
      <w:r w:rsidR="221BC141">
        <w:t>m</w:t>
      </w:r>
      <w:r w:rsidR="00BF3478">
        <w:t xml:space="preserve">. </w:t>
      </w:r>
      <w:r w:rsidR="00395EFC">
        <w:t>In comparison, the emission</w:t>
      </w:r>
      <w:r w:rsidR="00BF3478">
        <w:t xml:space="preserve"> and final energy</w:t>
      </w:r>
      <w:r w:rsidR="00395EFC">
        <w:t xml:space="preserve"> intensity of the UK economy is </w:t>
      </w:r>
      <w:r w:rsidR="00A42D05">
        <w:t>forecasted</w:t>
      </w:r>
      <w:r w:rsidR="003D3333">
        <w:t xml:space="preserve"> </w:t>
      </w:r>
      <w:r w:rsidR="00395EFC">
        <w:t xml:space="preserve">to be around </w:t>
      </w:r>
      <w:r w:rsidR="00BF3478">
        <w:t>146</w:t>
      </w:r>
      <w:r w:rsidR="00395EFC">
        <w:t>tCO</w:t>
      </w:r>
      <w:r w:rsidR="00395EFC" w:rsidRPr="006A0C4B">
        <w:rPr>
          <w:vertAlign w:val="subscript"/>
        </w:rPr>
        <w:t>2</w:t>
      </w:r>
      <w:r w:rsidR="00395EFC">
        <w:t>e/£</w:t>
      </w:r>
      <w:r w:rsidR="79546328">
        <w:t>GDP</w:t>
      </w:r>
      <w:r w:rsidR="6CB33DB3">
        <w:t>2019m</w:t>
      </w:r>
      <w:r w:rsidR="00BF3478">
        <w:t xml:space="preserve"> and</w:t>
      </w:r>
      <w:r w:rsidR="00395EFC">
        <w:t xml:space="preserve"> </w:t>
      </w:r>
      <w:r w:rsidR="00BF3478">
        <w:t>54</w:t>
      </w:r>
      <w:r w:rsidR="003922CA">
        <w:t>5</w:t>
      </w:r>
      <w:r w:rsidR="00BF3478">
        <w:t xml:space="preserve">MWh/GDP£2019m </w:t>
      </w:r>
      <w:r w:rsidR="00395EFC">
        <w:t xml:space="preserve">respectively in 2035, in </w:t>
      </w:r>
      <w:r w:rsidR="008D57DE">
        <w:t>the</w:t>
      </w:r>
      <w:r w:rsidR="00395EFC">
        <w:t xml:space="preserve"> do-nothing </w:t>
      </w:r>
      <w:r w:rsidR="008D57DE">
        <w:t>baseline</w:t>
      </w:r>
      <w:r w:rsidR="00395EFC">
        <w:t xml:space="preserve">. </w:t>
      </w:r>
    </w:p>
    <w:p w14:paraId="0AC35A4D" w14:textId="55FB9901" w:rsidR="00D337EE" w:rsidRPr="00F35AAE" w:rsidRDefault="00395EFC" w:rsidP="00F35AAE">
      <w:pPr>
        <w:pStyle w:val="Numberedparagraphs"/>
        <w:rPr>
          <w:szCs w:val="28"/>
        </w:rPr>
      </w:pPr>
      <w:r w:rsidRPr="23E23AC2">
        <w:t>Table</w:t>
      </w:r>
      <w:r w:rsidRPr="23E23AC2" w:rsidDel="005C7B6E">
        <w:t xml:space="preserve"> </w:t>
      </w:r>
      <w:r w:rsidR="005C7B6E">
        <w:t>1</w:t>
      </w:r>
      <w:r w:rsidR="008F1C9E">
        <w:t>9</w:t>
      </w:r>
      <w:r w:rsidRPr="23E23AC2">
        <w:t xml:space="preserve"> below presents the impact on the energy</w:t>
      </w:r>
      <w:r w:rsidR="001674D3" w:rsidRPr="23E23AC2">
        <w:t xml:space="preserve"> and emissions </w:t>
      </w:r>
      <w:r w:rsidRPr="23E23AC2">
        <w:t xml:space="preserve">intensity </w:t>
      </w:r>
      <w:r w:rsidR="008507D0" w:rsidRPr="23E23AC2">
        <w:t xml:space="preserve">of the </w:t>
      </w:r>
      <w:r w:rsidR="001674D3" w:rsidRPr="23E23AC2">
        <w:t>economy</w:t>
      </w:r>
      <w:r w:rsidR="00B05D7F" w:rsidRPr="23E23AC2">
        <w:t xml:space="preserve"> under </w:t>
      </w:r>
      <w:r w:rsidR="00594D86" w:rsidRPr="23E23AC2">
        <w:t>the sixth carbon budget</w:t>
      </w:r>
      <w:r w:rsidR="00B05D7F" w:rsidRPr="23E23AC2">
        <w:t xml:space="preserve"> options</w:t>
      </w:r>
      <w:r w:rsidR="00A527F7">
        <w:t xml:space="preserve"> compared to 1990</w:t>
      </w:r>
      <w:r w:rsidR="00AC7D74">
        <w:t xml:space="preserve"> and the baseline</w:t>
      </w:r>
      <w:r w:rsidR="00B05D7F" w:rsidRPr="23E23AC2">
        <w:t>.</w:t>
      </w:r>
      <w:r w:rsidR="00A76161" w:rsidRPr="23E23AC2">
        <w:rPr>
          <w:rStyle w:val="FootnoteReference"/>
        </w:rPr>
        <w:footnoteReference w:id="64"/>
      </w:r>
      <w:r w:rsidR="00B05D7F">
        <w:rPr>
          <w:szCs w:val="28"/>
        </w:rPr>
        <w:t xml:space="preserve"> </w:t>
      </w:r>
      <w:r w:rsidR="00125DC2" w:rsidRPr="23E23AC2">
        <w:t>Under the do-nothin</w:t>
      </w:r>
      <w:r w:rsidR="000064B5" w:rsidRPr="23E23AC2">
        <w:t>g</w:t>
      </w:r>
      <w:r w:rsidR="00125DC2" w:rsidRPr="23E23AC2">
        <w:t xml:space="preserve"> </w:t>
      </w:r>
      <w:r w:rsidR="00AC7D74">
        <w:t>baseline</w:t>
      </w:r>
      <w:r w:rsidR="00125DC2" w:rsidRPr="23E23AC2">
        <w:t>, the emissions intensity of the UK economy is expected to have fallen by 7</w:t>
      </w:r>
      <w:r w:rsidR="001502BE">
        <w:t>9</w:t>
      </w:r>
      <w:r w:rsidR="00125DC2" w:rsidRPr="23E23AC2">
        <w:t xml:space="preserve">% relative to </w:t>
      </w:r>
      <w:r w:rsidR="00AC7D74">
        <w:t>1990</w:t>
      </w:r>
      <w:r w:rsidR="00125DC2" w:rsidRPr="23E23AC2">
        <w:t xml:space="preserve">. Meeting the sixth carbon budget options through domestic emissions reduction could reduce the emissions intensity </w:t>
      </w:r>
      <w:r w:rsidR="00843465">
        <w:t xml:space="preserve">by around </w:t>
      </w:r>
      <w:r w:rsidR="0080030E" w:rsidRPr="23E23AC2">
        <w:t>90%</w:t>
      </w:r>
      <w:r w:rsidR="00A87531">
        <w:t xml:space="preserve"> compared to 1990</w:t>
      </w:r>
      <w:r w:rsidR="0080030E" w:rsidRPr="23E23AC2">
        <w:t>.</w:t>
      </w:r>
      <w:r w:rsidR="0080030E" w:rsidRPr="23E23AC2">
        <w:rPr>
          <w:rStyle w:val="FootnoteReference"/>
        </w:rPr>
        <w:footnoteReference w:id="65"/>
      </w:r>
      <w:r w:rsidR="000064B5" w:rsidRPr="23E23AC2">
        <w:t xml:space="preserve"> </w:t>
      </w:r>
      <w:r w:rsidR="00340DE7">
        <w:t>Relative</w:t>
      </w:r>
      <w:r w:rsidR="00A87531">
        <w:t xml:space="preserve"> to 1990 levels, </w:t>
      </w:r>
      <w:r w:rsidR="00AC3625" w:rsidRPr="23E23AC2">
        <w:t xml:space="preserve">energy intensity </w:t>
      </w:r>
      <w:r w:rsidR="00A87531">
        <w:t xml:space="preserve">falls </w:t>
      </w:r>
      <w:r w:rsidR="00AC3625" w:rsidRPr="23E23AC2">
        <w:t xml:space="preserve">by </w:t>
      </w:r>
      <w:r w:rsidR="00BD3025">
        <w:t>59</w:t>
      </w:r>
      <w:r w:rsidR="004C1246">
        <w:t xml:space="preserve">% in the baseline and around </w:t>
      </w:r>
      <w:r w:rsidR="00BD3025">
        <w:t>67</w:t>
      </w:r>
      <w:r w:rsidR="004C1246">
        <w:t xml:space="preserve">% in </w:t>
      </w:r>
      <w:r w:rsidR="00451DD6">
        <w:t>O</w:t>
      </w:r>
      <w:r w:rsidR="004C1246">
        <w:t>ptions 2-4</w:t>
      </w:r>
      <w:r w:rsidR="00AC3625" w:rsidRPr="23E23AC2">
        <w:t xml:space="preserve">. </w:t>
      </w:r>
      <w:r w:rsidR="00AC3625">
        <w:rPr>
          <w:szCs w:val="28"/>
        </w:rPr>
        <w:t xml:space="preserve"> </w:t>
      </w:r>
    </w:p>
    <w:p w14:paraId="1ABC0278" w14:textId="1CC0C952" w:rsidR="004E103C" w:rsidRPr="00190CE8" w:rsidRDefault="004E103C" w:rsidP="00F35AAE">
      <w:pPr>
        <w:spacing w:after="120"/>
        <w:rPr>
          <w:i/>
        </w:rPr>
      </w:pPr>
      <w:r w:rsidRPr="00190CE8">
        <w:rPr>
          <w:i/>
        </w:rPr>
        <w:t>Table 1</w:t>
      </w:r>
      <w:r w:rsidR="008F1C9E" w:rsidRPr="00190CE8">
        <w:rPr>
          <w:i/>
        </w:rPr>
        <w:t>9</w:t>
      </w:r>
      <w:r w:rsidRPr="00190CE8">
        <w:rPr>
          <w:i/>
        </w:rPr>
        <w:t>: Carbon and energy intensity of the sixth carbon budget options</w:t>
      </w:r>
    </w:p>
    <w:tbl>
      <w:tblPr>
        <w:tblStyle w:val="TableGrid"/>
        <w:tblpPr w:leftFromText="180" w:rightFromText="180" w:vertAnchor="text" w:horzAnchor="margin" w:tblpY="48"/>
        <w:tblW w:w="0" w:type="auto"/>
        <w:tblLook w:val="04A0" w:firstRow="1" w:lastRow="0" w:firstColumn="1" w:lastColumn="0" w:noHBand="0" w:noVBand="1"/>
      </w:tblPr>
      <w:tblGrid>
        <w:gridCol w:w="4384"/>
        <w:gridCol w:w="914"/>
        <w:gridCol w:w="1168"/>
        <w:gridCol w:w="1243"/>
        <w:gridCol w:w="1243"/>
        <w:gridCol w:w="1243"/>
      </w:tblGrid>
      <w:tr w:rsidR="00190CE8" w14:paraId="0B9F3696" w14:textId="77777777" w:rsidTr="00190CE8">
        <w:tc>
          <w:tcPr>
            <w:tcW w:w="4384" w:type="dxa"/>
          </w:tcPr>
          <w:p w14:paraId="10DBDB72" w14:textId="77777777" w:rsidR="00190CE8" w:rsidRPr="00190CE8" w:rsidRDefault="00190CE8" w:rsidP="00190CE8">
            <w:pPr>
              <w:rPr>
                <w:b/>
                <w:bCs/>
                <w:sz w:val="22"/>
                <w:szCs w:val="22"/>
              </w:rPr>
            </w:pPr>
          </w:p>
        </w:tc>
        <w:tc>
          <w:tcPr>
            <w:tcW w:w="914" w:type="dxa"/>
          </w:tcPr>
          <w:p w14:paraId="5D7E5557" w14:textId="77777777" w:rsidR="00190CE8" w:rsidRPr="00190CE8" w:rsidRDefault="00190CE8" w:rsidP="00190CE8">
            <w:pPr>
              <w:rPr>
                <w:b/>
                <w:bCs/>
                <w:sz w:val="22"/>
                <w:szCs w:val="22"/>
              </w:rPr>
            </w:pPr>
            <w:r w:rsidRPr="00190CE8">
              <w:rPr>
                <w:b/>
                <w:bCs/>
                <w:sz w:val="22"/>
                <w:szCs w:val="22"/>
              </w:rPr>
              <w:t>1990</w:t>
            </w:r>
          </w:p>
        </w:tc>
        <w:tc>
          <w:tcPr>
            <w:tcW w:w="1168" w:type="dxa"/>
          </w:tcPr>
          <w:p w14:paraId="529CDBE5" w14:textId="77777777" w:rsidR="00190CE8" w:rsidRPr="00190CE8" w:rsidRDefault="00190CE8" w:rsidP="00190CE8">
            <w:pPr>
              <w:rPr>
                <w:b/>
                <w:bCs/>
                <w:sz w:val="22"/>
                <w:szCs w:val="22"/>
              </w:rPr>
            </w:pPr>
            <w:r w:rsidRPr="00190CE8">
              <w:rPr>
                <w:b/>
                <w:bCs/>
                <w:sz w:val="22"/>
                <w:szCs w:val="22"/>
              </w:rPr>
              <w:t>Baseline Option 1</w:t>
            </w:r>
          </w:p>
          <w:p w14:paraId="66ACD29B" w14:textId="77777777" w:rsidR="00190CE8" w:rsidRPr="00190CE8" w:rsidRDefault="00190CE8" w:rsidP="00190CE8">
            <w:pPr>
              <w:rPr>
                <w:b/>
                <w:bCs/>
                <w:sz w:val="22"/>
                <w:szCs w:val="22"/>
              </w:rPr>
            </w:pPr>
            <w:r w:rsidRPr="00190CE8">
              <w:rPr>
                <w:b/>
                <w:bCs/>
                <w:sz w:val="22"/>
                <w:szCs w:val="22"/>
              </w:rPr>
              <w:t>2035</w:t>
            </w:r>
          </w:p>
        </w:tc>
        <w:tc>
          <w:tcPr>
            <w:tcW w:w="1243" w:type="dxa"/>
          </w:tcPr>
          <w:p w14:paraId="0F186C2A" w14:textId="77777777" w:rsidR="00190CE8" w:rsidRPr="00190CE8" w:rsidRDefault="00190CE8" w:rsidP="00190CE8">
            <w:pPr>
              <w:rPr>
                <w:b/>
                <w:bCs/>
                <w:sz w:val="22"/>
                <w:szCs w:val="22"/>
              </w:rPr>
            </w:pPr>
            <w:r w:rsidRPr="00190CE8">
              <w:rPr>
                <w:b/>
                <w:bCs/>
                <w:sz w:val="22"/>
                <w:szCs w:val="22"/>
              </w:rPr>
              <w:t>Option 2</w:t>
            </w:r>
          </w:p>
          <w:p w14:paraId="36FA314B" w14:textId="77777777" w:rsidR="00190CE8" w:rsidRPr="00190CE8" w:rsidRDefault="00190CE8" w:rsidP="00190CE8">
            <w:pPr>
              <w:rPr>
                <w:b/>
                <w:bCs/>
                <w:sz w:val="22"/>
                <w:szCs w:val="22"/>
              </w:rPr>
            </w:pPr>
            <w:r w:rsidRPr="00190CE8">
              <w:rPr>
                <w:b/>
                <w:bCs/>
                <w:sz w:val="22"/>
                <w:szCs w:val="22"/>
              </w:rPr>
              <w:t>2035</w:t>
            </w:r>
          </w:p>
        </w:tc>
        <w:tc>
          <w:tcPr>
            <w:tcW w:w="1243" w:type="dxa"/>
          </w:tcPr>
          <w:p w14:paraId="3741E044" w14:textId="77777777" w:rsidR="00190CE8" w:rsidRPr="00190CE8" w:rsidRDefault="00190CE8" w:rsidP="00190CE8">
            <w:pPr>
              <w:rPr>
                <w:b/>
                <w:bCs/>
                <w:sz w:val="22"/>
                <w:szCs w:val="22"/>
              </w:rPr>
            </w:pPr>
            <w:r w:rsidRPr="00190CE8">
              <w:rPr>
                <w:b/>
                <w:bCs/>
                <w:sz w:val="22"/>
                <w:szCs w:val="22"/>
              </w:rPr>
              <w:t>Option 3</w:t>
            </w:r>
          </w:p>
          <w:p w14:paraId="75455842" w14:textId="77777777" w:rsidR="00190CE8" w:rsidRPr="00190CE8" w:rsidRDefault="00190CE8" w:rsidP="00190CE8">
            <w:pPr>
              <w:rPr>
                <w:b/>
                <w:bCs/>
                <w:sz w:val="22"/>
                <w:szCs w:val="22"/>
              </w:rPr>
            </w:pPr>
            <w:r w:rsidRPr="00190CE8">
              <w:rPr>
                <w:b/>
                <w:bCs/>
                <w:sz w:val="22"/>
                <w:szCs w:val="22"/>
              </w:rPr>
              <w:t>2035</w:t>
            </w:r>
          </w:p>
        </w:tc>
        <w:tc>
          <w:tcPr>
            <w:tcW w:w="1243" w:type="dxa"/>
          </w:tcPr>
          <w:p w14:paraId="0057C7BA" w14:textId="77777777" w:rsidR="00190CE8" w:rsidRPr="00190CE8" w:rsidRDefault="00190CE8" w:rsidP="00190CE8">
            <w:pPr>
              <w:rPr>
                <w:b/>
                <w:bCs/>
                <w:sz w:val="22"/>
                <w:szCs w:val="22"/>
              </w:rPr>
            </w:pPr>
            <w:r w:rsidRPr="00190CE8">
              <w:rPr>
                <w:b/>
                <w:bCs/>
                <w:sz w:val="22"/>
                <w:szCs w:val="22"/>
              </w:rPr>
              <w:t>Option 4</w:t>
            </w:r>
          </w:p>
          <w:p w14:paraId="4295E5D7" w14:textId="77777777" w:rsidR="00190CE8" w:rsidRPr="00190CE8" w:rsidRDefault="00190CE8" w:rsidP="00190CE8">
            <w:pPr>
              <w:rPr>
                <w:b/>
                <w:bCs/>
                <w:sz w:val="22"/>
                <w:szCs w:val="22"/>
              </w:rPr>
            </w:pPr>
            <w:r w:rsidRPr="00190CE8">
              <w:rPr>
                <w:b/>
                <w:bCs/>
                <w:sz w:val="22"/>
                <w:szCs w:val="22"/>
              </w:rPr>
              <w:t>2035</w:t>
            </w:r>
          </w:p>
        </w:tc>
      </w:tr>
      <w:tr w:rsidR="00190CE8" w14:paraId="1D21E279" w14:textId="77777777" w:rsidTr="00190CE8">
        <w:tc>
          <w:tcPr>
            <w:tcW w:w="4384" w:type="dxa"/>
          </w:tcPr>
          <w:p w14:paraId="75FDD34F" w14:textId="77777777" w:rsidR="00190CE8" w:rsidRPr="00190CE8" w:rsidRDefault="00190CE8" w:rsidP="00190CE8">
            <w:pPr>
              <w:rPr>
                <w:b/>
                <w:bCs/>
                <w:sz w:val="22"/>
                <w:szCs w:val="22"/>
              </w:rPr>
            </w:pPr>
            <w:r w:rsidRPr="00190CE8">
              <w:rPr>
                <w:b/>
                <w:bCs/>
                <w:sz w:val="22"/>
                <w:szCs w:val="22"/>
              </w:rPr>
              <w:t>GDP emission intensity</w:t>
            </w:r>
            <w:r w:rsidRPr="00190CE8">
              <w:rPr>
                <w:b/>
                <w:bCs/>
                <w:sz w:val="22"/>
                <w:szCs w:val="22"/>
              </w:rPr>
              <w:br/>
              <w:t>(tCO</w:t>
            </w:r>
            <w:r w:rsidRPr="00190CE8">
              <w:rPr>
                <w:b/>
                <w:bCs/>
                <w:sz w:val="22"/>
                <w:szCs w:val="22"/>
                <w:vertAlign w:val="subscript"/>
              </w:rPr>
              <w:t>2</w:t>
            </w:r>
            <w:r w:rsidRPr="00190CE8">
              <w:rPr>
                <w:b/>
                <w:bCs/>
                <w:sz w:val="22"/>
                <w:szCs w:val="22"/>
              </w:rPr>
              <w:t>e/GDP£m2019)</w:t>
            </w:r>
          </w:p>
        </w:tc>
        <w:tc>
          <w:tcPr>
            <w:tcW w:w="914" w:type="dxa"/>
          </w:tcPr>
          <w:p w14:paraId="25A06E18" w14:textId="77777777" w:rsidR="00190CE8" w:rsidRPr="00190CE8" w:rsidRDefault="00190CE8" w:rsidP="00190CE8">
            <w:pPr>
              <w:rPr>
                <w:sz w:val="22"/>
                <w:szCs w:val="22"/>
              </w:rPr>
            </w:pPr>
            <w:r w:rsidRPr="00190CE8">
              <w:rPr>
                <w:sz w:val="22"/>
                <w:szCs w:val="22"/>
              </w:rPr>
              <w:t>683</w:t>
            </w:r>
          </w:p>
        </w:tc>
        <w:tc>
          <w:tcPr>
            <w:tcW w:w="1168" w:type="dxa"/>
          </w:tcPr>
          <w:p w14:paraId="16AC53E1" w14:textId="77777777" w:rsidR="00190CE8" w:rsidRPr="00190CE8" w:rsidRDefault="00190CE8" w:rsidP="00190CE8">
            <w:pPr>
              <w:rPr>
                <w:sz w:val="22"/>
                <w:szCs w:val="22"/>
              </w:rPr>
            </w:pPr>
            <w:r w:rsidRPr="00190CE8">
              <w:rPr>
                <w:sz w:val="22"/>
                <w:szCs w:val="22"/>
              </w:rPr>
              <w:t>146</w:t>
            </w:r>
          </w:p>
        </w:tc>
        <w:tc>
          <w:tcPr>
            <w:tcW w:w="1243" w:type="dxa"/>
          </w:tcPr>
          <w:p w14:paraId="6C1AAB50" w14:textId="77777777" w:rsidR="00190CE8" w:rsidRPr="00190CE8" w:rsidRDefault="00190CE8" w:rsidP="00190CE8">
            <w:pPr>
              <w:rPr>
                <w:sz w:val="22"/>
                <w:szCs w:val="22"/>
              </w:rPr>
            </w:pPr>
            <w:r w:rsidRPr="00190CE8">
              <w:rPr>
                <w:sz w:val="22"/>
                <w:szCs w:val="22"/>
              </w:rPr>
              <w:t>77</w:t>
            </w:r>
          </w:p>
        </w:tc>
        <w:tc>
          <w:tcPr>
            <w:tcW w:w="1243" w:type="dxa"/>
          </w:tcPr>
          <w:p w14:paraId="562B0E54" w14:textId="77777777" w:rsidR="00190CE8" w:rsidRPr="00190CE8" w:rsidRDefault="00190CE8" w:rsidP="00190CE8">
            <w:pPr>
              <w:rPr>
                <w:sz w:val="22"/>
                <w:szCs w:val="22"/>
              </w:rPr>
            </w:pPr>
            <w:r w:rsidRPr="00190CE8">
              <w:rPr>
                <w:sz w:val="22"/>
                <w:szCs w:val="22"/>
              </w:rPr>
              <w:t>67</w:t>
            </w:r>
          </w:p>
        </w:tc>
        <w:tc>
          <w:tcPr>
            <w:tcW w:w="1243" w:type="dxa"/>
          </w:tcPr>
          <w:p w14:paraId="4CD18681" w14:textId="77777777" w:rsidR="00190CE8" w:rsidRPr="00190CE8" w:rsidRDefault="00190CE8" w:rsidP="00190CE8">
            <w:pPr>
              <w:rPr>
                <w:sz w:val="22"/>
                <w:szCs w:val="22"/>
              </w:rPr>
            </w:pPr>
            <w:r w:rsidRPr="00190CE8">
              <w:rPr>
                <w:sz w:val="22"/>
                <w:szCs w:val="22"/>
              </w:rPr>
              <w:t>62</w:t>
            </w:r>
          </w:p>
        </w:tc>
      </w:tr>
      <w:tr w:rsidR="00190CE8" w14:paraId="7289D73F" w14:textId="77777777" w:rsidTr="00190CE8">
        <w:tc>
          <w:tcPr>
            <w:tcW w:w="4384" w:type="dxa"/>
          </w:tcPr>
          <w:p w14:paraId="37FA0D1B" w14:textId="77777777" w:rsidR="00190CE8" w:rsidRPr="00190CE8" w:rsidRDefault="00190CE8" w:rsidP="00190CE8">
            <w:pPr>
              <w:rPr>
                <w:b/>
                <w:bCs/>
                <w:sz w:val="22"/>
                <w:szCs w:val="22"/>
              </w:rPr>
            </w:pPr>
            <w:r w:rsidRPr="00190CE8">
              <w:rPr>
                <w:b/>
                <w:bCs/>
                <w:sz w:val="22"/>
                <w:szCs w:val="22"/>
              </w:rPr>
              <w:t>% reduction on 1990 carbon intensity</w:t>
            </w:r>
          </w:p>
        </w:tc>
        <w:tc>
          <w:tcPr>
            <w:tcW w:w="914" w:type="dxa"/>
          </w:tcPr>
          <w:p w14:paraId="0ED593C9" w14:textId="77777777" w:rsidR="00190CE8" w:rsidRPr="00190CE8" w:rsidRDefault="00190CE8" w:rsidP="00190CE8">
            <w:pPr>
              <w:rPr>
                <w:sz w:val="22"/>
                <w:szCs w:val="22"/>
              </w:rPr>
            </w:pPr>
          </w:p>
        </w:tc>
        <w:tc>
          <w:tcPr>
            <w:tcW w:w="1168" w:type="dxa"/>
          </w:tcPr>
          <w:p w14:paraId="32934ABB" w14:textId="77777777" w:rsidR="00190CE8" w:rsidRPr="00190CE8" w:rsidRDefault="00190CE8" w:rsidP="00190CE8">
            <w:pPr>
              <w:rPr>
                <w:sz w:val="22"/>
                <w:szCs w:val="22"/>
              </w:rPr>
            </w:pPr>
            <w:r w:rsidRPr="00190CE8">
              <w:rPr>
                <w:sz w:val="22"/>
                <w:szCs w:val="22"/>
              </w:rPr>
              <w:t>-79%</w:t>
            </w:r>
          </w:p>
        </w:tc>
        <w:tc>
          <w:tcPr>
            <w:tcW w:w="1243" w:type="dxa"/>
          </w:tcPr>
          <w:p w14:paraId="57A6B110" w14:textId="77777777" w:rsidR="00190CE8" w:rsidRPr="00190CE8" w:rsidRDefault="00190CE8" w:rsidP="00190CE8">
            <w:pPr>
              <w:rPr>
                <w:sz w:val="22"/>
                <w:szCs w:val="22"/>
              </w:rPr>
            </w:pPr>
            <w:r w:rsidRPr="00190CE8">
              <w:rPr>
                <w:sz w:val="22"/>
                <w:szCs w:val="22"/>
              </w:rPr>
              <w:t>-89%</w:t>
            </w:r>
          </w:p>
        </w:tc>
        <w:tc>
          <w:tcPr>
            <w:tcW w:w="1243" w:type="dxa"/>
          </w:tcPr>
          <w:p w14:paraId="30E39771" w14:textId="77777777" w:rsidR="00190CE8" w:rsidRPr="00190CE8" w:rsidRDefault="00190CE8" w:rsidP="00190CE8">
            <w:pPr>
              <w:rPr>
                <w:sz w:val="22"/>
                <w:szCs w:val="22"/>
              </w:rPr>
            </w:pPr>
            <w:r w:rsidRPr="00190CE8">
              <w:rPr>
                <w:sz w:val="22"/>
                <w:szCs w:val="22"/>
              </w:rPr>
              <w:t>-90%</w:t>
            </w:r>
          </w:p>
        </w:tc>
        <w:tc>
          <w:tcPr>
            <w:tcW w:w="1243" w:type="dxa"/>
          </w:tcPr>
          <w:p w14:paraId="2635A1B8" w14:textId="77777777" w:rsidR="00190CE8" w:rsidRPr="00190CE8" w:rsidRDefault="00190CE8" w:rsidP="00190CE8">
            <w:pPr>
              <w:rPr>
                <w:sz w:val="22"/>
                <w:szCs w:val="22"/>
              </w:rPr>
            </w:pPr>
            <w:r w:rsidRPr="00190CE8">
              <w:rPr>
                <w:sz w:val="22"/>
                <w:szCs w:val="22"/>
              </w:rPr>
              <w:t>-91%</w:t>
            </w:r>
          </w:p>
        </w:tc>
      </w:tr>
      <w:tr w:rsidR="00190CE8" w14:paraId="5CD0E17E" w14:textId="77777777" w:rsidTr="00190CE8">
        <w:tc>
          <w:tcPr>
            <w:tcW w:w="4384" w:type="dxa"/>
          </w:tcPr>
          <w:p w14:paraId="2D139010" w14:textId="77777777" w:rsidR="00190CE8" w:rsidRPr="00190CE8" w:rsidRDefault="00190CE8" w:rsidP="00190CE8">
            <w:pPr>
              <w:rPr>
                <w:b/>
                <w:bCs/>
                <w:sz w:val="22"/>
                <w:szCs w:val="22"/>
              </w:rPr>
            </w:pPr>
            <w:r w:rsidRPr="00190CE8">
              <w:rPr>
                <w:b/>
                <w:bCs/>
                <w:sz w:val="22"/>
                <w:szCs w:val="22"/>
              </w:rPr>
              <w:t>GDP energy intensity</w:t>
            </w:r>
          </w:p>
          <w:p w14:paraId="628A792C" w14:textId="77777777" w:rsidR="00190CE8" w:rsidRPr="00190CE8" w:rsidRDefault="00190CE8" w:rsidP="00190CE8">
            <w:pPr>
              <w:rPr>
                <w:b/>
                <w:bCs/>
                <w:i/>
                <w:sz w:val="22"/>
                <w:szCs w:val="22"/>
              </w:rPr>
            </w:pPr>
            <w:r w:rsidRPr="00190CE8">
              <w:rPr>
                <w:b/>
                <w:bCs/>
                <w:i/>
                <w:sz w:val="22"/>
                <w:szCs w:val="22"/>
              </w:rPr>
              <w:t>(M</w:t>
            </w:r>
            <w:r w:rsidRPr="00190CE8">
              <w:rPr>
                <w:b/>
                <w:bCs/>
                <w:sz w:val="22"/>
                <w:szCs w:val="22"/>
              </w:rPr>
              <w:t>Wh/GDP£m2019)</w:t>
            </w:r>
          </w:p>
        </w:tc>
        <w:tc>
          <w:tcPr>
            <w:tcW w:w="914" w:type="dxa"/>
          </w:tcPr>
          <w:p w14:paraId="75577222" w14:textId="77777777" w:rsidR="00190CE8" w:rsidRPr="00190CE8" w:rsidRDefault="00190CE8" w:rsidP="00190CE8">
            <w:pPr>
              <w:rPr>
                <w:sz w:val="22"/>
                <w:szCs w:val="22"/>
              </w:rPr>
            </w:pPr>
            <w:r w:rsidRPr="00190CE8">
              <w:rPr>
                <w:sz w:val="22"/>
                <w:szCs w:val="22"/>
              </w:rPr>
              <w:t>1333</w:t>
            </w:r>
          </w:p>
        </w:tc>
        <w:tc>
          <w:tcPr>
            <w:tcW w:w="1168" w:type="dxa"/>
          </w:tcPr>
          <w:p w14:paraId="36C28ACC" w14:textId="77777777" w:rsidR="00190CE8" w:rsidRPr="00190CE8" w:rsidRDefault="00190CE8" w:rsidP="00190CE8">
            <w:pPr>
              <w:rPr>
                <w:sz w:val="22"/>
                <w:szCs w:val="22"/>
              </w:rPr>
            </w:pPr>
            <w:r w:rsidRPr="00190CE8">
              <w:rPr>
                <w:sz w:val="22"/>
                <w:szCs w:val="22"/>
              </w:rPr>
              <w:t>545</w:t>
            </w:r>
          </w:p>
        </w:tc>
        <w:tc>
          <w:tcPr>
            <w:tcW w:w="1243" w:type="dxa"/>
          </w:tcPr>
          <w:p w14:paraId="6053851B" w14:textId="77777777" w:rsidR="00190CE8" w:rsidRPr="00190CE8" w:rsidRDefault="00190CE8" w:rsidP="00190CE8">
            <w:pPr>
              <w:rPr>
                <w:sz w:val="22"/>
                <w:szCs w:val="22"/>
              </w:rPr>
            </w:pPr>
            <w:r w:rsidRPr="00190CE8">
              <w:rPr>
                <w:sz w:val="22"/>
                <w:szCs w:val="22"/>
              </w:rPr>
              <w:t>446</w:t>
            </w:r>
          </w:p>
        </w:tc>
        <w:tc>
          <w:tcPr>
            <w:tcW w:w="1243" w:type="dxa"/>
          </w:tcPr>
          <w:p w14:paraId="7F264435" w14:textId="77777777" w:rsidR="00190CE8" w:rsidRPr="00190CE8" w:rsidRDefault="00190CE8" w:rsidP="00190CE8">
            <w:pPr>
              <w:rPr>
                <w:sz w:val="22"/>
                <w:szCs w:val="22"/>
              </w:rPr>
            </w:pPr>
            <w:r w:rsidRPr="00190CE8">
              <w:rPr>
                <w:sz w:val="22"/>
                <w:szCs w:val="22"/>
              </w:rPr>
              <w:t>440</w:t>
            </w:r>
          </w:p>
        </w:tc>
        <w:tc>
          <w:tcPr>
            <w:tcW w:w="1243" w:type="dxa"/>
          </w:tcPr>
          <w:p w14:paraId="7A139891" w14:textId="77777777" w:rsidR="00190CE8" w:rsidRPr="00190CE8" w:rsidRDefault="00190CE8" w:rsidP="00190CE8">
            <w:pPr>
              <w:rPr>
                <w:sz w:val="22"/>
                <w:szCs w:val="22"/>
              </w:rPr>
            </w:pPr>
            <w:r w:rsidRPr="00190CE8">
              <w:rPr>
                <w:sz w:val="22"/>
                <w:szCs w:val="22"/>
              </w:rPr>
              <w:t>435</w:t>
            </w:r>
          </w:p>
        </w:tc>
      </w:tr>
      <w:tr w:rsidR="00190CE8" w14:paraId="606792DB" w14:textId="77777777" w:rsidTr="00190CE8">
        <w:tc>
          <w:tcPr>
            <w:tcW w:w="4384" w:type="dxa"/>
          </w:tcPr>
          <w:p w14:paraId="5467917D" w14:textId="77777777" w:rsidR="00190CE8" w:rsidRPr="00190CE8" w:rsidRDefault="00190CE8" w:rsidP="00190CE8">
            <w:pPr>
              <w:rPr>
                <w:b/>
                <w:bCs/>
                <w:sz w:val="22"/>
                <w:szCs w:val="22"/>
              </w:rPr>
            </w:pPr>
            <w:r w:rsidRPr="00190CE8">
              <w:rPr>
                <w:b/>
                <w:bCs/>
                <w:sz w:val="22"/>
                <w:szCs w:val="22"/>
              </w:rPr>
              <w:t>% reduction on 1990 energy intensity</w:t>
            </w:r>
          </w:p>
        </w:tc>
        <w:tc>
          <w:tcPr>
            <w:tcW w:w="914" w:type="dxa"/>
          </w:tcPr>
          <w:p w14:paraId="244545C6" w14:textId="77777777" w:rsidR="00190CE8" w:rsidRPr="00190CE8" w:rsidRDefault="00190CE8" w:rsidP="00190CE8">
            <w:pPr>
              <w:rPr>
                <w:sz w:val="22"/>
                <w:szCs w:val="22"/>
              </w:rPr>
            </w:pPr>
          </w:p>
        </w:tc>
        <w:tc>
          <w:tcPr>
            <w:tcW w:w="1168" w:type="dxa"/>
          </w:tcPr>
          <w:p w14:paraId="10927CD9" w14:textId="77777777" w:rsidR="00190CE8" w:rsidRPr="00190CE8" w:rsidRDefault="00190CE8" w:rsidP="00190CE8">
            <w:pPr>
              <w:rPr>
                <w:sz w:val="22"/>
                <w:szCs w:val="22"/>
              </w:rPr>
            </w:pPr>
            <w:r w:rsidRPr="00190CE8">
              <w:rPr>
                <w:sz w:val="22"/>
                <w:szCs w:val="22"/>
              </w:rPr>
              <w:t>-59%</w:t>
            </w:r>
          </w:p>
        </w:tc>
        <w:tc>
          <w:tcPr>
            <w:tcW w:w="1243" w:type="dxa"/>
          </w:tcPr>
          <w:p w14:paraId="5ECC41FC" w14:textId="77777777" w:rsidR="00190CE8" w:rsidRPr="00190CE8" w:rsidRDefault="00190CE8" w:rsidP="00190CE8">
            <w:pPr>
              <w:rPr>
                <w:sz w:val="22"/>
                <w:szCs w:val="22"/>
              </w:rPr>
            </w:pPr>
            <w:r w:rsidRPr="00190CE8">
              <w:rPr>
                <w:sz w:val="22"/>
                <w:szCs w:val="22"/>
              </w:rPr>
              <w:t>-67%</w:t>
            </w:r>
          </w:p>
        </w:tc>
        <w:tc>
          <w:tcPr>
            <w:tcW w:w="1243" w:type="dxa"/>
          </w:tcPr>
          <w:p w14:paraId="5D0C4061" w14:textId="77777777" w:rsidR="00190CE8" w:rsidRPr="00190CE8" w:rsidRDefault="00190CE8" w:rsidP="00190CE8">
            <w:pPr>
              <w:rPr>
                <w:sz w:val="22"/>
                <w:szCs w:val="22"/>
              </w:rPr>
            </w:pPr>
            <w:r w:rsidRPr="00190CE8">
              <w:rPr>
                <w:sz w:val="22"/>
                <w:szCs w:val="22"/>
              </w:rPr>
              <w:t>-67%</w:t>
            </w:r>
          </w:p>
        </w:tc>
        <w:tc>
          <w:tcPr>
            <w:tcW w:w="1243" w:type="dxa"/>
          </w:tcPr>
          <w:p w14:paraId="3A0EAF4B" w14:textId="77777777" w:rsidR="00190CE8" w:rsidRPr="00190CE8" w:rsidRDefault="00190CE8" w:rsidP="00190CE8">
            <w:pPr>
              <w:rPr>
                <w:sz w:val="22"/>
                <w:szCs w:val="22"/>
              </w:rPr>
            </w:pPr>
            <w:r w:rsidRPr="00190CE8">
              <w:rPr>
                <w:sz w:val="22"/>
                <w:szCs w:val="22"/>
              </w:rPr>
              <w:t>-67%</w:t>
            </w:r>
          </w:p>
        </w:tc>
      </w:tr>
    </w:tbl>
    <w:p w14:paraId="77F2121E" w14:textId="5DB13553" w:rsidR="00743C73" w:rsidRDefault="00743C73" w:rsidP="009229B3">
      <w:pPr>
        <w:pStyle w:val="Numberedparagraphs"/>
        <w:numPr>
          <w:ilvl w:val="0"/>
          <w:numId w:val="0"/>
        </w:numPr>
        <w:ind w:left="720"/>
      </w:pPr>
    </w:p>
    <w:p w14:paraId="5597729E" w14:textId="6BD986FA" w:rsidR="009451D6" w:rsidRDefault="00F947AF" w:rsidP="009229B3">
      <w:pPr>
        <w:pStyle w:val="Numberedparagraphs"/>
      </w:pPr>
      <w:r>
        <w:lastRenderedPageBreak/>
        <w:t>Energy security is about ensuring</w:t>
      </w:r>
      <w:r w:rsidR="009451D6">
        <w:t xml:space="preserve"> secure, reliable </w:t>
      </w:r>
      <w:r>
        <w:t xml:space="preserve">and uninterrupted supply of </w:t>
      </w:r>
      <w:r w:rsidR="00105ABF">
        <w:t xml:space="preserve">electricity to consumers. The </w:t>
      </w:r>
      <w:r w:rsidR="004D4F9F">
        <w:t>g</w:t>
      </w:r>
      <w:r w:rsidR="007C6560">
        <w:t>overnment</w:t>
      </w:r>
      <w:r w:rsidR="00105ABF">
        <w:t xml:space="preserve"> is committed to ensuring there is secure supply for consumers whatever the energy mix. </w:t>
      </w:r>
    </w:p>
    <w:p w14:paraId="6FFBABA8" w14:textId="601B151D" w:rsidR="001D7F3A" w:rsidRDefault="00105ABF" w:rsidP="009229B3">
      <w:pPr>
        <w:pStyle w:val="Numberedparagraphs"/>
      </w:pPr>
      <w:r>
        <w:t xml:space="preserve">The precise impact of the sixth carbon budget level on each of these elements will depend on what energy policies are implemented as a result of the carbon budget level. </w:t>
      </w:r>
      <w:r w:rsidR="001D7F3A">
        <w:t xml:space="preserve">However as highlighted in section </w:t>
      </w:r>
      <w:r w:rsidR="00476B69">
        <w:t>2.3</w:t>
      </w:r>
      <w:r w:rsidR="001D7F3A">
        <w:t>, delivering any level of the sixth carbon budget will require a substantial increase in electrification (which rises for tighter sixth carbon options) and the simultaneous deep decarbonisation of electricity supply which carry their own security of supply risks and system operability issues. Electrification</w:t>
      </w:r>
      <w:r w:rsidR="00793A83">
        <w:t>,</w:t>
      </w:r>
      <w:r w:rsidR="001D7F3A">
        <w:t xml:space="preserve"> along with other measures considered as part of the technology mix</w:t>
      </w:r>
      <w:r w:rsidR="00793A83">
        <w:t>, has</w:t>
      </w:r>
      <w:r w:rsidR="001D7F3A">
        <w:t xml:space="preserve"> the potential to reduce demand for gas, coal, oil and transport fuels which could improve security of supply by diversifying away from primarily imported fossil fuels. </w:t>
      </w:r>
    </w:p>
    <w:p w14:paraId="1181FE47" w14:textId="36CC2A69" w:rsidR="00A45ED5" w:rsidRPr="004A1285" w:rsidRDefault="00A45ED5" w:rsidP="004A1285">
      <w:pPr>
        <w:pStyle w:val="Heading4"/>
        <w:spacing w:after="200"/>
        <w:rPr>
          <w:szCs w:val="24"/>
        </w:rPr>
      </w:pPr>
      <w:r w:rsidRPr="004A1285">
        <w:rPr>
          <w:szCs w:val="24"/>
        </w:rPr>
        <w:t>Differences in circumstances between England, Wales, Scotland and Northern Ireland</w:t>
      </w:r>
    </w:p>
    <w:p w14:paraId="25450A5D" w14:textId="36D12ADD" w:rsidR="00AB019B" w:rsidRPr="000614A8" w:rsidRDefault="00ED7C3B" w:rsidP="009229B3">
      <w:pPr>
        <w:pStyle w:val="Numberedparagraphs"/>
        <w:rPr>
          <w:rFonts w:cs="Arial"/>
        </w:rPr>
      </w:pPr>
      <w:r>
        <w:t>Under</w:t>
      </w:r>
      <w:r w:rsidR="00AB019B">
        <w:t xml:space="preserve"> the</w:t>
      </w:r>
      <w:r w:rsidR="00AB019B" w:rsidDel="007C0813">
        <w:t xml:space="preserve"> </w:t>
      </w:r>
      <w:r w:rsidR="00AB019B">
        <w:t>Climate Change Act the</w:t>
      </w:r>
      <w:r w:rsidR="007C6560">
        <w:t xml:space="preserve"> UK</w:t>
      </w:r>
      <w:r w:rsidR="00AB019B">
        <w:t xml:space="preserve"> </w:t>
      </w:r>
      <w:r w:rsidR="007C6560">
        <w:t>Government</w:t>
      </w:r>
      <w:r w:rsidR="00AB019B">
        <w:t xml:space="preserve"> is required</w:t>
      </w:r>
      <w:r w:rsidR="00E31CFC">
        <w:t>, prior to setting the sixth carbon budget</w:t>
      </w:r>
      <w:r w:rsidR="0024479B">
        <w:t>,</w:t>
      </w:r>
      <w:r w:rsidR="00AB019B">
        <w:t xml:space="preserve"> to take into account representations made by the Scottish </w:t>
      </w:r>
      <w:r w:rsidR="007C6560">
        <w:t>Government</w:t>
      </w:r>
      <w:r w:rsidR="00AB019B">
        <w:t xml:space="preserve">, Welsh </w:t>
      </w:r>
      <w:r w:rsidR="007C6560">
        <w:t>Government</w:t>
      </w:r>
      <w:r w:rsidR="00AB019B">
        <w:t xml:space="preserve"> and the Northern Ireland Executive. Collectively, the DAs account</w:t>
      </w:r>
      <w:r w:rsidR="00540457">
        <w:t>ed</w:t>
      </w:r>
      <w:r w:rsidR="00AB019B">
        <w:t xml:space="preserve"> for </w:t>
      </w:r>
      <w:r w:rsidR="001C673B">
        <w:t>22</w:t>
      </w:r>
      <w:r w:rsidR="001C673B" w:rsidRPr="00D338C6">
        <w:t>%</w:t>
      </w:r>
      <w:r w:rsidR="00AB019B">
        <w:t xml:space="preserve"> of </w:t>
      </w:r>
      <w:r w:rsidR="001C673B" w:rsidRPr="00D338C6">
        <w:t>UK</w:t>
      </w:r>
      <w:r w:rsidR="00AB019B">
        <w:t xml:space="preserve"> emissions in </w:t>
      </w:r>
      <w:r w:rsidR="001C673B" w:rsidRPr="006A0C4B">
        <w:t>201</w:t>
      </w:r>
      <w:r w:rsidR="001C673B" w:rsidRPr="00FC6337">
        <w:t>8</w:t>
      </w:r>
      <w:r w:rsidR="001C673B" w:rsidRPr="00D338C6">
        <w:t>.</w:t>
      </w:r>
      <w:r w:rsidR="001C673B">
        <w:rPr>
          <w:rStyle w:val="FootnoteReference"/>
        </w:rPr>
        <w:footnoteReference w:id="66"/>
      </w:r>
      <w:r w:rsidR="00AB019B">
        <w:t xml:space="preserve"> Their territories are covered by the Act</w:t>
      </w:r>
      <w:r w:rsidR="001C0CC3">
        <w:t>,</w:t>
      </w:r>
      <w:r w:rsidR="00AB019B">
        <w:t xml:space="preserve"> but they have also set their own targets through their own legislative </w:t>
      </w:r>
      <w:r w:rsidR="00AB019B" w:rsidRPr="01F21943">
        <w:rPr>
          <w:rFonts w:cs="Arial"/>
        </w:rPr>
        <w:t>frameworks</w:t>
      </w:r>
      <w:r w:rsidR="000A241D" w:rsidRPr="01F21943">
        <w:rPr>
          <w:rFonts w:cs="Arial"/>
        </w:rPr>
        <w:t>. These have been</w:t>
      </w:r>
      <w:r w:rsidR="00AB019B" w:rsidRPr="01F21943">
        <w:rPr>
          <w:rFonts w:cs="Arial"/>
        </w:rPr>
        <w:t xml:space="preserve"> set broadly in line with the legally binding </w:t>
      </w:r>
      <w:r w:rsidR="000A241D" w:rsidRPr="01F21943">
        <w:rPr>
          <w:rFonts w:cs="Arial"/>
        </w:rPr>
        <w:t xml:space="preserve">UK </w:t>
      </w:r>
      <w:r w:rsidR="00AB019B" w:rsidRPr="01F21943">
        <w:rPr>
          <w:rFonts w:cs="Arial"/>
        </w:rPr>
        <w:t>net zero target.</w:t>
      </w:r>
    </w:p>
    <w:p w14:paraId="421B12A9" w14:textId="097BD517" w:rsidR="00AB019B" w:rsidRPr="006A0C4B" w:rsidRDefault="000A320C" w:rsidP="009229B3">
      <w:pPr>
        <w:pStyle w:val="Numberedparagraphs"/>
      </w:pPr>
      <w:r w:rsidRPr="006A0C4B">
        <w:t xml:space="preserve">Representations from </w:t>
      </w:r>
      <w:r w:rsidR="00143B68">
        <w:t>D</w:t>
      </w:r>
      <w:r w:rsidRPr="006A0C4B">
        <w:t xml:space="preserve">evolved </w:t>
      </w:r>
      <w:r w:rsidR="00143B68">
        <w:t>A</w:t>
      </w:r>
      <w:r w:rsidRPr="006A0C4B">
        <w:t xml:space="preserve">dministrations </w:t>
      </w:r>
      <w:r w:rsidR="0009799D" w:rsidRPr="006A0C4B">
        <w:t xml:space="preserve">on the UK’s sixth carbon budget </w:t>
      </w:r>
      <w:r w:rsidRPr="006A0C4B">
        <w:t xml:space="preserve">are outlined in </w:t>
      </w:r>
      <w:r w:rsidR="000F0944">
        <w:t>annex A.6. In</w:t>
      </w:r>
      <w:r w:rsidRPr="00D92681">
        <w:t xml:space="preserve"> summary:</w:t>
      </w:r>
    </w:p>
    <w:p w14:paraId="5EF38A3E" w14:textId="11664358" w:rsidR="004D4F9F" w:rsidRDefault="00AB019B" w:rsidP="004A1285">
      <w:pPr>
        <w:pStyle w:val="Bullets"/>
        <w:ind w:left="1494"/>
      </w:pPr>
      <w:r w:rsidRPr="0071483C">
        <w:t>Scotland</w:t>
      </w:r>
      <w:r>
        <w:t xml:space="preserve">: The Scottish </w:t>
      </w:r>
      <w:r w:rsidR="007C6560">
        <w:t>Government</w:t>
      </w:r>
      <w:r>
        <w:t xml:space="preserve"> supports the recommendation of the CCC</w:t>
      </w:r>
      <w:r w:rsidR="000733F0">
        <w:t xml:space="preserve"> (Option 3)</w:t>
      </w:r>
      <w:r>
        <w:t xml:space="preserve">, as the minimum level </w:t>
      </w:r>
      <w:r w:rsidR="009917C5">
        <w:t>that</w:t>
      </w:r>
      <w:r>
        <w:t xml:space="preserve"> the sixth carbon budget should be set, including emissions from international </w:t>
      </w:r>
      <w:r w:rsidR="00914876">
        <w:t xml:space="preserve">aviation and </w:t>
      </w:r>
      <w:r>
        <w:t>shipping, and that the fifth carbon budget should be amended to align with the 2030 NDC level</w:t>
      </w:r>
      <w:r w:rsidR="001C673B">
        <w:t>.</w:t>
      </w:r>
    </w:p>
    <w:p w14:paraId="743C6407" w14:textId="310BCAB8" w:rsidR="00626966" w:rsidRDefault="00AB019B" w:rsidP="004A1285">
      <w:pPr>
        <w:pStyle w:val="Bullets"/>
        <w:ind w:left="1494"/>
      </w:pPr>
      <w:r w:rsidRPr="0071483C">
        <w:t>Wales</w:t>
      </w:r>
      <w:r>
        <w:t xml:space="preserve">: </w:t>
      </w:r>
      <w:r w:rsidR="00C40306">
        <w:t xml:space="preserve">The Welsh </w:t>
      </w:r>
      <w:r w:rsidR="007C6560">
        <w:t>Government</w:t>
      </w:r>
      <w:r w:rsidR="00C40306">
        <w:t xml:space="preserve"> </w:t>
      </w:r>
      <w:r w:rsidR="000733F0">
        <w:t xml:space="preserve">is of the view that the UK should set the sixth carbon budget </w:t>
      </w:r>
      <w:r w:rsidR="007B6B11">
        <w:t>level</w:t>
      </w:r>
      <w:r w:rsidR="000733F0">
        <w:t xml:space="preserve"> recommend by the CCC (Option 3), including emissions from international shipping</w:t>
      </w:r>
      <w:r w:rsidR="0003574A">
        <w:t xml:space="preserve"> and aviation</w:t>
      </w:r>
      <w:r w:rsidR="000733F0">
        <w:t>, and that the fifth carbon budget should be amended to align with the 2030 NDC level.</w:t>
      </w:r>
    </w:p>
    <w:p w14:paraId="6620140F" w14:textId="25C09A4D" w:rsidR="00EE7F76" w:rsidRDefault="00AB019B" w:rsidP="004A1285">
      <w:pPr>
        <w:pStyle w:val="Bullets"/>
        <w:spacing w:after="200"/>
        <w:ind w:left="1494"/>
      </w:pPr>
      <w:r w:rsidRPr="0071483C">
        <w:t>Northern Ireland</w:t>
      </w:r>
      <w:r w:rsidR="003002B6">
        <w:t xml:space="preserve">: </w:t>
      </w:r>
      <w:r w:rsidR="000733F0">
        <w:t>Northern Ireland is support</w:t>
      </w:r>
      <w:r w:rsidR="000F0944">
        <w:t>ive</w:t>
      </w:r>
      <w:r w:rsidR="000733F0">
        <w:t xml:space="preserve"> of the CCC’s recommended level for the sixth carbon budget (Option 3).</w:t>
      </w:r>
    </w:p>
    <w:p w14:paraId="61EF4726" w14:textId="2AD63041" w:rsidR="0009799D" w:rsidRDefault="0009799D" w:rsidP="009229B3">
      <w:pPr>
        <w:pStyle w:val="Numberedparagraphs"/>
      </w:pPr>
      <w:r>
        <w:t xml:space="preserve">The </w:t>
      </w:r>
      <w:r w:rsidR="003255EB">
        <w:t>g</w:t>
      </w:r>
      <w:r w:rsidR="007C6560">
        <w:t>overnment</w:t>
      </w:r>
      <w:r>
        <w:t xml:space="preserve"> has considered these views when reaching</w:t>
      </w:r>
      <w:r w:rsidR="00AC51DC">
        <w:t xml:space="preserve"> its</w:t>
      </w:r>
      <w:r>
        <w:t xml:space="preserve"> d</w:t>
      </w:r>
      <w:r w:rsidR="00AC51DC">
        <w:t>e</w:t>
      </w:r>
      <w:r>
        <w:t xml:space="preserve">cision on </w:t>
      </w:r>
      <w:r w:rsidR="00AC51DC">
        <w:t>the</w:t>
      </w:r>
      <w:r>
        <w:t xml:space="preserve"> sixth carbon budget</w:t>
      </w:r>
      <w:r w:rsidR="00EA1441">
        <w:t xml:space="preserve"> and </w:t>
      </w:r>
      <w:r w:rsidR="00AC51DC">
        <w:t>ha</w:t>
      </w:r>
      <w:r w:rsidR="00313C1F">
        <w:t>s</w:t>
      </w:r>
      <w:r w:rsidR="00AC51DC">
        <w:t xml:space="preserve"> proposed </w:t>
      </w:r>
      <w:r>
        <w:t>to set the</w:t>
      </w:r>
      <w:r w:rsidR="00AC51DC">
        <w:t xml:space="preserve"> budget at the</w:t>
      </w:r>
      <w:r>
        <w:t xml:space="preserve"> level </w:t>
      </w:r>
      <w:r w:rsidR="00AC51DC">
        <w:t xml:space="preserve">recommended by the CCC (Option 3), </w:t>
      </w:r>
      <w:r w:rsidR="00AC51DC" w:rsidRPr="00EA6485">
        <w:t>inclusive of emission from international aviation and shipping</w:t>
      </w:r>
      <w:r w:rsidR="00AC51DC">
        <w:t>, which was support</w:t>
      </w:r>
      <w:r w:rsidR="000F0944">
        <w:t>ed</w:t>
      </w:r>
      <w:r w:rsidR="00AC51DC">
        <w:t xml:space="preserve"> by all Devolved Administrations.</w:t>
      </w:r>
    </w:p>
    <w:p w14:paraId="6B9833F1" w14:textId="769449FD" w:rsidR="00A45ED5" w:rsidRDefault="00A45ED5" w:rsidP="009229B3">
      <w:pPr>
        <w:pStyle w:val="Numberedparagraphs"/>
      </w:pPr>
      <w:r w:rsidRPr="00D338C6">
        <w:t xml:space="preserve">The unique characteristics of each nation will have a bearing on the technical maximum abatement potential in that nation and on the measures that will deliver </w:t>
      </w:r>
      <w:r w:rsidR="00313C1F">
        <w:t>emissions</w:t>
      </w:r>
      <w:r w:rsidRPr="00D338C6">
        <w:t xml:space="preserve"> savings. For instance, agriculture accounts for a larger proportion of the economy in Northern Ireland, Wales and Scotland than in England, and so will account for a higher proportion of emissions than the UK average.</w:t>
      </w:r>
    </w:p>
    <w:p w14:paraId="78D3C8FA" w14:textId="029F39E4" w:rsidR="00A45ED5" w:rsidRPr="00240DD0" w:rsidRDefault="00A45ED5" w:rsidP="009229B3">
      <w:pPr>
        <w:pStyle w:val="Numberedparagraphs"/>
      </w:pPr>
      <w:r w:rsidRPr="00D338C6">
        <w:t xml:space="preserve">The </w:t>
      </w:r>
      <w:r w:rsidR="00EB47F4">
        <w:t>g</w:t>
      </w:r>
      <w:r w:rsidR="007C6560">
        <w:t>overnment</w:t>
      </w:r>
      <w:r w:rsidRPr="00D338C6">
        <w:t xml:space="preserve"> has work</w:t>
      </w:r>
      <w:r w:rsidR="00AC51DC">
        <w:t>ed</w:t>
      </w:r>
      <w:r w:rsidRPr="00D338C6">
        <w:t xml:space="preserve"> to ensure that the estimates of technical potential for emissions reductions during the sixth carbon budget period presented in this Impact Assessment take account of the best available data </w:t>
      </w:r>
      <w:r w:rsidR="007B2BD8">
        <w:t>and evidence</w:t>
      </w:r>
      <w:r w:rsidRPr="00D338C6">
        <w:t xml:space="preserve">. UK wide data sets </w:t>
      </w:r>
      <w:r w:rsidRPr="00D338C6">
        <w:lastRenderedPageBreak/>
        <w:t xml:space="preserve">have been used where possible. However, for some sectors assumptions have been </w:t>
      </w:r>
      <w:r w:rsidR="007B2BD8">
        <w:t>made</w:t>
      </w:r>
      <w:r w:rsidRPr="00D338C6">
        <w:t xml:space="preserve"> </w:t>
      </w:r>
      <w:r w:rsidR="007B2BD8">
        <w:t>to adjust for nation-specific impacts.</w:t>
      </w:r>
    </w:p>
    <w:p w14:paraId="268EB578" w14:textId="77777777" w:rsidR="00683DF7" w:rsidRPr="004A1285" w:rsidRDefault="00683DF7" w:rsidP="004A1285">
      <w:pPr>
        <w:pStyle w:val="Heading4"/>
        <w:spacing w:after="200"/>
        <w:rPr>
          <w:szCs w:val="24"/>
        </w:rPr>
      </w:pPr>
      <w:r w:rsidRPr="004A1285">
        <w:rPr>
          <w:szCs w:val="24"/>
        </w:rPr>
        <w:t>International circumstances</w:t>
      </w:r>
    </w:p>
    <w:p w14:paraId="4BD47FA7" w14:textId="59C5966F" w:rsidR="00683DF7" w:rsidRDefault="00683DF7" w:rsidP="009229B3">
      <w:pPr>
        <w:pStyle w:val="Numberedparagraphs"/>
      </w:pPr>
      <w:r>
        <w:t xml:space="preserve">The </w:t>
      </w:r>
      <w:r w:rsidR="00594D86">
        <w:t>Climate Change Act</w:t>
      </w:r>
      <w:r>
        <w:t xml:space="preserve"> requires that circumstances at </w:t>
      </w:r>
      <w:r w:rsidR="006D040D">
        <w:t xml:space="preserve">the </w:t>
      </w:r>
      <w:r>
        <w:t xml:space="preserve">European and international level are taken into account. This is covered by section </w:t>
      </w:r>
      <w:r w:rsidR="003E18E3">
        <w:t>2.4</w:t>
      </w:r>
      <w:r w:rsidRPr="00F26650">
        <w:t>,</w:t>
      </w:r>
      <w:r>
        <w:t xml:space="preserve"> which assesses the ambition of the options for the sixth carbon budget level </w:t>
      </w:r>
      <w:r w:rsidR="007C46AA">
        <w:t>in the contex</w:t>
      </w:r>
      <w:r w:rsidR="00D74780">
        <w:t>t of global action on climate change and international commitments on climate change mitigation</w:t>
      </w:r>
      <w:r w:rsidR="003E4662">
        <w:t xml:space="preserve">. </w:t>
      </w:r>
    </w:p>
    <w:p w14:paraId="2C0E793A" w14:textId="6C2B5967" w:rsidR="00683DF7" w:rsidRPr="004A1285" w:rsidRDefault="00683DF7" w:rsidP="004A1285">
      <w:pPr>
        <w:pStyle w:val="Heading4"/>
        <w:spacing w:after="200"/>
        <w:rPr>
          <w:szCs w:val="24"/>
        </w:rPr>
      </w:pPr>
      <w:r w:rsidRPr="004A1285">
        <w:rPr>
          <w:szCs w:val="24"/>
        </w:rPr>
        <w:t>International Aviation and Shipping emissions</w:t>
      </w:r>
    </w:p>
    <w:p w14:paraId="424D67C8" w14:textId="735F218D" w:rsidR="00683DF7" w:rsidRPr="0002479D" w:rsidRDefault="00683DF7" w:rsidP="009229B3">
      <w:pPr>
        <w:pStyle w:val="Numberedparagraphs"/>
      </w:pPr>
      <w:r>
        <w:t xml:space="preserve">The </w:t>
      </w:r>
      <w:r w:rsidR="00594D86">
        <w:t>Climate Change Act</w:t>
      </w:r>
      <w:r>
        <w:t xml:space="preserve"> requires that the estimated amount of reportable emissions from international aviation and shipping for the budgetary period is taken into account. This is covered by section </w:t>
      </w:r>
      <w:r w:rsidR="003E18E3">
        <w:t>1.5</w:t>
      </w:r>
      <w:r>
        <w:t xml:space="preserve"> which covers the accounting basis with respect to IAS, and </w:t>
      </w:r>
      <w:r w:rsidR="003E18E3">
        <w:t>section 2.2</w:t>
      </w:r>
      <w:r>
        <w:t>, which covers the sectoral emissions breakdowns</w:t>
      </w:r>
      <w:r w:rsidR="00914876">
        <w:t xml:space="preserve"> </w:t>
      </w:r>
      <w:r w:rsidR="00914876" w:rsidRPr="00914876">
        <w:t>based on the modelled pathways</w:t>
      </w:r>
      <w:r>
        <w:t xml:space="preserve">. </w:t>
      </w:r>
    </w:p>
    <w:p w14:paraId="3F79F4BA" w14:textId="049EF0C4" w:rsidR="005F1F8C" w:rsidRPr="004A1285" w:rsidRDefault="00F85A17" w:rsidP="00821474">
      <w:pPr>
        <w:pStyle w:val="Heading4"/>
        <w:rPr>
          <w:szCs w:val="24"/>
        </w:rPr>
      </w:pPr>
      <w:r w:rsidRPr="004A1285">
        <w:rPr>
          <w:szCs w:val="24"/>
        </w:rPr>
        <w:t xml:space="preserve">Other factors: </w:t>
      </w:r>
      <w:r w:rsidR="00683DF7" w:rsidRPr="004A1285">
        <w:rPr>
          <w:szCs w:val="24"/>
        </w:rPr>
        <w:t xml:space="preserve"> Natural Capital</w:t>
      </w:r>
    </w:p>
    <w:p w14:paraId="14B42175" w14:textId="77777777" w:rsidR="00C97CBB" w:rsidRPr="0007301E" w:rsidRDefault="00C97CBB" w:rsidP="00C97CBB">
      <w:pPr>
        <w:rPr>
          <w:b/>
          <w:sz w:val="10"/>
          <w:szCs w:val="10"/>
          <w:u w:val="single"/>
        </w:rPr>
      </w:pPr>
    </w:p>
    <w:p w14:paraId="1E32D50D" w14:textId="5BBCBBC7" w:rsidR="00F85A17" w:rsidRDefault="002E68BD" w:rsidP="009229B3">
      <w:pPr>
        <w:pStyle w:val="Numberedparagraphs"/>
        <w:rPr>
          <w:lang w:val="en-US"/>
        </w:rPr>
      </w:pPr>
      <w:r>
        <w:rPr>
          <w:lang w:val="en-US"/>
        </w:rPr>
        <w:t xml:space="preserve">As an additional factor, this section </w:t>
      </w:r>
      <w:r w:rsidR="00A11250">
        <w:rPr>
          <w:lang w:val="en-US"/>
        </w:rPr>
        <w:t>considers</w:t>
      </w:r>
      <w:r w:rsidDel="00A11250">
        <w:rPr>
          <w:lang w:val="en-US"/>
        </w:rPr>
        <w:t xml:space="preserve"> </w:t>
      </w:r>
      <w:r>
        <w:rPr>
          <w:lang w:val="en-US"/>
        </w:rPr>
        <w:t xml:space="preserve">the </w:t>
      </w:r>
      <w:r w:rsidR="00625B9B">
        <w:rPr>
          <w:lang w:val="en-US"/>
        </w:rPr>
        <w:t xml:space="preserve">Natural Capital impacts of the decision on the level of the sixth carbon budget. </w:t>
      </w:r>
    </w:p>
    <w:p w14:paraId="370B190C" w14:textId="405E8719" w:rsidR="00615870" w:rsidRPr="00615870" w:rsidRDefault="00615870" w:rsidP="009229B3">
      <w:pPr>
        <w:pStyle w:val="Numberedparagraphs"/>
        <w:rPr>
          <w:lang w:val="en-US"/>
        </w:rPr>
      </w:pPr>
      <w:r w:rsidRPr="00615870">
        <w:rPr>
          <w:lang w:val="en-US"/>
        </w:rPr>
        <w:t>In line with HM Treasury Green Book</w:t>
      </w:r>
      <w:r w:rsidR="00EF0282">
        <w:rPr>
          <w:lang w:val="en-US"/>
        </w:rPr>
        <w:t xml:space="preserve"> guidance</w:t>
      </w:r>
      <w:r w:rsidR="00922F3E" w:rsidRPr="00922F3E">
        <w:rPr>
          <w:lang w:val="en-US"/>
        </w:rPr>
        <w:t>,</w:t>
      </w:r>
      <w:r w:rsidRPr="00615870">
        <w:rPr>
          <w:lang w:val="en-US"/>
        </w:rPr>
        <w:t xml:space="preserve"> a natural capital perspective</w:t>
      </w:r>
      <w:r w:rsidR="00922F3E" w:rsidRPr="00922F3E">
        <w:rPr>
          <w:lang w:val="en-US"/>
        </w:rPr>
        <w:t xml:space="preserve"> is taken</w:t>
      </w:r>
      <w:r w:rsidR="00BF398E">
        <w:rPr>
          <w:lang w:val="en-US"/>
        </w:rPr>
        <w:t>. P</w:t>
      </w:r>
      <w:r w:rsidRPr="00615870">
        <w:rPr>
          <w:lang w:val="en-US"/>
        </w:rPr>
        <w:t>athways and policies which negatively impact natural capital are not in line with sustainable development</w:t>
      </w:r>
      <w:r w:rsidR="00922F3E" w:rsidRPr="00922F3E">
        <w:rPr>
          <w:lang w:val="en-US"/>
        </w:rPr>
        <w:t xml:space="preserve"> and risk degradation of natural assets. Qualitative impacts to natural capital are detailed in this section.</w:t>
      </w:r>
      <w:r w:rsidRPr="00615870">
        <w:rPr>
          <w:lang w:val="en-US"/>
        </w:rPr>
        <w:t xml:space="preserve"> Qualitative impacts to natural capital are detailed in this section</w:t>
      </w:r>
      <w:r w:rsidR="00D95294">
        <w:rPr>
          <w:lang w:val="en-US"/>
        </w:rPr>
        <w:t xml:space="preserve">, and annex </w:t>
      </w:r>
      <w:r w:rsidR="003E18E3">
        <w:rPr>
          <w:lang w:val="en-US"/>
        </w:rPr>
        <w:t>A.5</w:t>
      </w:r>
      <w:r w:rsidR="00D95294">
        <w:rPr>
          <w:lang w:val="en-US"/>
        </w:rPr>
        <w:t xml:space="preserve"> provides more detail on the breakdown of quantified and qualitative natural capital impacts</w:t>
      </w:r>
      <w:r w:rsidR="00495104">
        <w:rPr>
          <w:lang w:val="en-US"/>
        </w:rPr>
        <w:t xml:space="preserve"> already covered in section 2.5</w:t>
      </w:r>
      <w:r w:rsidR="00D95294">
        <w:rPr>
          <w:lang w:val="en-US"/>
        </w:rPr>
        <w:t>.</w:t>
      </w:r>
    </w:p>
    <w:p w14:paraId="294826F4" w14:textId="77777777" w:rsidR="00615870" w:rsidRPr="00615870" w:rsidRDefault="00615870" w:rsidP="009229B3">
      <w:pPr>
        <w:pStyle w:val="Numberedparagraphs"/>
        <w:rPr>
          <w:lang w:val="en-US"/>
        </w:rPr>
      </w:pPr>
      <w:r w:rsidRPr="00615870">
        <w:rPr>
          <w:lang w:val="en-US"/>
        </w:rPr>
        <w:t>The independent Natural Capital Committee, established in 2012, has defined natural capital as ‘those elements of the natural environment which provide valuable goods and services to people’</w:t>
      </w:r>
      <w:r w:rsidRPr="00615870">
        <w:rPr>
          <w:rStyle w:val="FootnoteReference"/>
          <w:rFonts w:eastAsia="Humnst777 Lt BT" w:cs="Tahoma"/>
          <w:lang w:val="en-US"/>
        </w:rPr>
        <w:footnoteReference w:id="67"/>
      </w:r>
      <w:r w:rsidRPr="00615870">
        <w:rPr>
          <w:lang w:val="en-US"/>
        </w:rPr>
        <w:t>. Nature underpins our economy and society: the energy, food and water we consume; the air we breathe; our access to green space; and biodiversity, which is crucial in underpinning all our ecosystem and abiotic services, and in maintaining ecological function. Nature is a major economic sector in its own right – as a productive asset it provides market and non-market services of £29 billion each year</w:t>
      </w:r>
      <w:r w:rsidRPr="00615870">
        <w:rPr>
          <w:rStyle w:val="FootnoteReference"/>
          <w:rFonts w:eastAsia="Humnst777 Lt BT" w:cs="Tahoma"/>
          <w:lang w:val="en-US"/>
        </w:rPr>
        <w:footnoteReference w:id="68"/>
      </w:r>
      <w:r w:rsidRPr="00615870">
        <w:rPr>
          <w:lang w:val="en-US"/>
        </w:rPr>
        <w:t>.</w:t>
      </w:r>
    </w:p>
    <w:p w14:paraId="3AE680C0" w14:textId="05719F21" w:rsidR="006C3488" w:rsidRPr="006C3488" w:rsidRDefault="002370E1" w:rsidP="009229B3">
      <w:pPr>
        <w:pStyle w:val="Numberedparagraphs"/>
      </w:pPr>
      <w:r w:rsidRPr="006C3488">
        <w:rPr>
          <w:lang w:val="en-US"/>
        </w:rPr>
        <w:t xml:space="preserve">There are likely to be significant positive and negative impacts to natural capital from </w:t>
      </w:r>
      <w:r w:rsidR="000E44FA">
        <w:rPr>
          <w:lang w:val="en-US"/>
        </w:rPr>
        <w:t>meeting</w:t>
      </w:r>
      <w:r w:rsidRPr="006C3488">
        <w:rPr>
          <w:lang w:val="en-US"/>
        </w:rPr>
        <w:t xml:space="preserve"> </w:t>
      </w:r>
      <w:r w:rsidR="00575916">
        <w:rPr>
          <w:lang w:val="en-US"/>
        </w:rPr>
        <w:t xml:space="preserve">each of </w:t>
      </w:r>
      <w:r w:rsidR="00BF7C0A" w:rsidRPr="006C3488">
        <w:rPr>
          <w:lang w:val="en-US"/>
        </w:rPr>
        <w:t>the sixth carbon budget</w:t>
      </w:r>
      <w:r w:rsidR="008E6F53">
        <w:rPr>
          <w:lang w:val="en-US"/>
        </w:rPr>
        <w:t xml:space="preserve"> options</w:t>
      </w:r>
      <w:r w:rsidRPr="006C3488">
        <w:rPr>
          <w:lang w:val="en-US"/>
        </w:rPr>
        <w:t xml:space="preserve">. Impacts will largely be determined by the specific policies chosen to meet the </w:t>
      </w:r>
      <w:r w:rsidR="00BF7C0A" w:rsidRPr="006C3488">
        <w:rPr>
          <w:lang w:val="en-US"/>
        </w:rPr>
        <w:t>sixth carbon budget</w:t>
      </w:r>
      <w:r w:rsidRPr="006C3488">
        <w:rPr>
          <w:lang w:val="en-US"/>
        </w:rPr>
        <w:t xml:space="preserve"> level and may be localised or time bound. In-depth exploration of the natural capital impacts of specific policies and policy mixes for </w:t>
      </w:r>
      <w:r w:rsidR="00BF7C0A" w:rsidRPr="006C3488">
        <w:rPr>
          <w:lang w:val="en-US"/>
        </w:rPr>
        <w:t>the sixth carbon budget</w:t>
      </w:r>
      <w:r w:rsidRPr="006C3488">
        <w:rPr>
          <w:lang w:val="en-US"/>
        </w:rPr>
        <w:t xml:space="preserve"> will need to be undertaken to ensure trade-offs are managed and impacts mitigated. </w:t>
      </w:r>
      <w:r w:rsidR="00675D38">
        <w:rPr>
          <w:lang w:val="en-US"/>
        </w:rPr>
        <w:t xml:space="preserve">The following paragraphs summarise </w:t>
      </w:r>
      <w:r w:rsidR="009C54C6">
        <w:rPr>
          <w:lang w:val="en-US"/>
        </w:rPr>
        <w:t xml:space="preserve">likely impacts for each natural capital pillar. </w:t>
      </w:r>
      <w:r w:rsidRPr="006C3488">
        <w:rPr>
          <w:lang w:val="en-US"/>
        </w:rPr>
        <w:t xml:space="preserve">Further details are found in Annex </w:t>
      </w:r>
      <w:r w:rsidR="00B1682F">
        <w:rPr>
          <w:lang w:val="en-US"/>
        </w:rPr>
        <w:t>A.5.</w:t>
      </w:r>
    </w:p>
    <w:p w14:paraId="1747A82A" w14:textId="7E220781" w:rsidR="0081076E" w:rsidRPr="006A0C4B" w:rsidRDefault="002405A6" w:rsidP="009229B3">
      <w:pPr>
        <w:pStyle w:val="Numberedparagraphs"/>
        <w:rPr>
          <w:rFonts w:cs="Arial"/>
        </w:rPr>
      </w:pPr>
      <w:r w:rsidRPr="0071483C">
        <w:rPr>
          <w:rFonts w:cs="Arial"/>
          <w:b/>
        </w:rPr>
        <w:t>Land Use trade-offs</w:t>
      </w:r>
      <w:r w:rsidRPr="006A0C4B">
        <w:t xml:space="preserve">: </w:t>
      </w:r>
      <w:r w:rsidR="00F34403" w:rsidRPr="6BC39EC1">
        <w:t>t</w:t>
      </w:r>
      <w:r w:rsidR="00732712" w:rsidRPr="006A0C4B">
        <w:t>he rapid and unprecedented rate of land use change resulting from implementation of the more stringent afforestation and biomass scenarios (up to 103 kha/yr) represents a high risk to natural capital. It is likely that there would need to be trade-offs impacting food production, biodiversity, landscape and water resources to accelerate to and maintain such levels of land use change.</w:t>
      </w:r>
      <w:r w:rsidR="002513BF" w:rsidRPr="6BC39EC1">
        <w:t xml:space="preserve"> Given that local community </w:t>
      </w:r>
      <w:r w:rsidR="002513BF" w:rsidRPr="6BC39EC1">
        <w:lastRenderedPageBreak/>
        <w:t>objection to planting schemes is already common, acceleration on this scale would also be expected to meet negative</w:t>
      </w:r>
      <w:r w:rsidR="0081076E" w:rsidRPr="6BC39EC1">
        <w:t xml:space="preserve"> public reaction.</w:t>
      </w:r>
    </w:p>
    <w:p w14:paraId="05F0F722" w14:textId="72F26EAE" w:rsidR="002405A6" w:rsidRPr="00B346C7" w:rsidRDefault="002405A6" w:rsidP="009229B3">
      <w:pPr>
        <w:pStyle w:val="Numberedparagraphs"/>
      </w:pPr>
      <w:r w:rsidRPr="0071483C">
        <w:rPr>
          <w:rFonts w:cs="Arial"/>
          <w:b/>
        </w:rPr>
        <w:t>Recreation and amenity</w:t>
      </w:r>
      <w:r w:rsidRPr="434235AB">
        <w:rPr>
          <w:rFonts w:cs="Arial"/>
        </w:rPr>
        <w:t>:</w:t>
      </w:r>
      <w:r w:rsidRPr="006A0C4B">
        <w:rPr>
          <w:sz w:val="28"/>
          <w:szCs w:val="28"/>
        </w:rPr>
        <w:t xml:space="preserve"> </w:t>
      </w:r>
      <w:r w:rsidR="001905D7">
        <w:t>m</w:t>
      </w:r>
      <w:r w:rsidR="001905D7" w:rsidRPr="00B346C7">
        <w:t xml:space="preserve">eeting </w:t>
      </w:r>
      <w:r w:rsidR="00BF7C0A">
        <w:t>the sixth carbon budget</w:t>
      </w:r>
      <w:r w:rsidRPr="00B346C7">
        <w:t xml:space="preserve"> is likely to have positive impacts for recreation and amenity</w:t>
      </w:r>
      <w:r w:rsidR="009C54C6">
        <w:t>.</w:t>
      </w:r>
      <w:r w:rsidRPr="00B346C7">
        <w:t xml:space="preserve"> </w:t>
      </w:r>
      <w:r w:rsidR="009C54C6">
        <w:t>H</w:t>
      </w:r>
      <w:r w:rsidRPr="00B346C7">
        <w:t>owever</w:t>
      </w:r>
      <w:r w:rsidR="009C54C6">
        <w:t>,</w:t>
      </w:r>
      <w:r w:rsidRPr="00B346C7">
        <w:t xml:space="preserve"> there may be locali</w:t>
      </w:r>
      <w:r w:rsidR="000F1650">
        <w:t>s</w:t>
      </w:r>
      <w:r w:rsidRPr="00B346C7">
        <w:t xml:space="preserve">ed negative impacts. </w:t>
      </w:r>
    </w:p>
    <w:p w14:paraId="08459A3D" w14:textId="598D042B" w:rsidR="002405A6" w:rsidRPr="00B346C7" w:rsidRDefault="002405A6" w:rsidP="009229B3">
      <w:pPr>
        <w:pStyle w:val="Numberedparagraphs"/>
      </w:pPr>
      <w:r w:rsidRPr="0071483C">
        <w:rPr>
          <w:b/>
        </w:rPr>
        <w:t>Air quality</w:t>
      </w:r>
      <w:r w:rsidRPr="00B346C7">
        <w:t xml:space="preserve">: </w:t>
      </w:r>
      <w:r w:rsidR="001905D7">
        <w:t>m</w:t>
      </w:r>
      <w:r w:rsidR="001905D7" w:rsidRPr="00B346C7">
        <w:t>eeting</w:t>
      </w:r>
      <w:r w:rsidRPr="00B346C7">
        <w:t xml:space="preserve"> </w:t>
      </w:r>
      <w:r w:rsidR="00BF7C0A">
        <w:t>the sixth carbon budget</w:t>
      </w:r>
      <w:r w:rsidRPr="00B346C7">
        <w:t xml:space="preserve"> will reduce emissions of several air pollutants. However, there is a significant risk that specific policies chosen could be detrimental to </w:t>
      </w:r>
      <w:r w:rsidR="00723341">
        <w:t>g</w:t>
      </w:r>
      <w:r w:rsidR="007C6560">
        <w:t>overnment</w:t>
      </w:r>
      <w:r w:rsidRPr="00B346C7">
        <w:t xml:space="preserve"> obligations (Emissions Ceilings) and wider commitments. There is a risk that the health of the public may also be negatively impacted, in some cases and in some areas. Ongoing consideration of the potential impacts of air pollutants at a local scale is needed at policy level. </w:t>
      </w:r>
    </w:p>
    <w:p w14:paraId="713ADA2F" w14:textId="7766F6C2" w:rsidR="002405A6" w:rsidRPr="00B346C7" w:rsidRDefault="002405A6" w:rsidP="009229B3">
      <w:pPr>
        <w:pStyle w:val="Numberedparagraphs"/>
      </w:pPr>
      <w:r w:rsidRPr="0071483C">
        <w:rPr>
          <w:b/>
        </w:rPr>
        <w:t>Water</w:t>
      </w:r>
      <w:r w:rsidRPr="00B346C7">
        <w:t xml:space="preserve">: </w:t>
      </w:r>
      <w:r w:rsidR="001905D7">
        <w:t>m</w:t>
      </w:r>
      <w:r w:rsidR="001905D7" w:rsidRPr="00B346C7">
        <w:t>eeting</w:t>
      </w:r>
      <w:r w:rsidRPr="00B346C7">
        <w:t xml:space="preserve"> </w:t>
      </w:r>
      <w:r w:rsidR="00BF7C0A">
        <w:t>the sixth carbon budget</w:t>
      </w:r>
      <w:r w:rsidRPr="00B346C7">
        <w:t xml:space="preserve"> may have positive and negative impacts on water quality and quantity, and these should be assessed on a case-by-case basis and mitigating actions taken where necessary, including around intensification of agriculture, anaerobic digestion, and low carbon technologies such as nuclear, CCS and hydrogen production. </w:t>
      </w:r>
    </w:p>
    <w:p w14:paraId="79D12B52" w14:textId="0542F861" w:rsidR="002405A6" w:rsidRPr="00B346C7" w:rsidRDefault="002405A6" w:rsidP="009229B3">
      <w:pPr>
        <w:pStyle w:val="Numberedparagraphs"/>
      </w:pPr>
      <w:r w:rsidRPr="0071483C">
        <w:rPr>
          <w:b/>
        </w:rPr>
        <w:t>Biodiversity</w:t>
      </w:r>
      <w:r w:rsidRPr="00B346C7">
        <w:t xml:space="preserve">: </w:t>
      </w:r>
      <w:r w:rsidR="001905D7">
        <w:t>o</w:t>
      </w:r>
      <w:r w:rsidR="001905D7" w:rsidRPr="00B346C7">
        <w:t>verall</w:t>
      </w:r>
      <w:r w:rsidR="001905D7">
        <w:t>,</w:t>
      </w:r>
      <w:r w:rsidR="001905D7" w:rsidRPr="00B346C7">
        <w:t xml:space="preserve"> </w:t>
      </w:r>
      <w:r w:rsidR="00BF7C0A">
        <w:t>the sixth carbon budget</w:t>
      </w:r>
      <w:r w:rsidRPr="00B346C7">
        <w:t xml:space="preserve"> can be positive for biodiversity (marine and terrestrial), including for habitat restoration, connectivity, resilience and reducing ecological stress caused by climate change. However, there may be spatially and climatically explicit impacts of policies which should be considered, including around low carbon technologies, GGRS, shipping and agricultural intensification.</w:t>
      </w:r>
    </w:p>
    <w:p w14:paraId="10EBABC1" w14:textId="11FA4735" w:rsidR="00C97CBB" w:rsidRPr="00DA38C0" w:rsidRDefault="002405A6" w:rsidP="009229B3">
      <w:pPr>
        <w:pStyle w:val="Numberedparagraphs"/>
      </w:pPr>
      <w:r w:rsidRPr="0071483C">
        <w:rPr>
          <w:b/>
        </w:rPr>
        <w:t>Raw materials, resource efficiency and waste</w:t>
      </w:r>
      <w:r w:rsidRPr="00B346C7">
        <w:t xml:space="preserve">: </w:t>
      </w:r>
      <w:r w:rsidR="001905D7">
        <w:t>m</w:t>
      </w:r>
      <w:r w:rsidR="001905D7" w:rsidRPr="00B346C7">
        <w:t xml:space="preserve">aterials </w:t>
      </w:r>
      <w:r w:rsidRPr="00B346C7">
        <w:t>are finite. Some low carbon technologies have specific reliance on critical raw materials, many of which are rare, found in unique locations and in high demand globally. Policies which improve resource efficiency as well as reducing waste reduce both embodied product and waste emissions.</w:t>
      </w:r>
    </w:p>
    <w:p w14:paraId="24720C3A" w14:textId="1D5FF26C" w:rsidR="0098318F" w:rsidRDefault="0098318F" w:rsidP="009229B3">
      <w:pPr>
        <w:pStyle w:val="Numberedparagraphs"/>
        <w:numPr>
          <w:ilvl w:val="0"/>
          <w:numId w:val="0"/>
        </w:numPr>
        <w:ind w:left="720"/>
      </w:pPr>
    </w:p>
    <w:p w14:paraId="04E3CA51" w14:textId="3F0664AB" w:rsidR="00D337EE" w:rsidRDefault="00D337EE" w:rsidP="009229B3">
      <w:pPr>
        <w:pStyle w:val="Numberedparagraphs"/>
        <w:numPr>
          <w:ilvl w:val="0"/>
          <w:numId w:val="0"/>
        </w:numPr>
        <w:ind w:left="720"/>
      </w:pPr>
    </w:p>
    <w:p w14:paraId="7350BD79" w14:textId="2BDC449D" w:rsidR="00D337EE" w:rsidRDefault="00D337EE" w:rsidP="009229B3">
      <w:pPr>
        <w:pStyle w:val="Numberedparagraphs"/>
        <w:numPr>
          <w:ilvl w:val="0"/>
          <w:numId w:val="0"/>
        </w:numPr>
        <w:ind w:left="720"/>
      </w:pPr>
    </w:p>
    <w:p w14:paraId="3C410D02" w14:textId="3614BEB0" w:rsidR="00D337EE" w:rsidRDefault="00D337EE" w:rsidP="009229B3">
      <w:pPr>
        <w:pStyle w:val="Numberedparagraphs"/>
        <w:numPr>
          <w:ilvl w:val="0"/>
          <w:numId w:val="0"/>
        </w:numPr>
        <w:ind w:left="720"/>
      </w:pPr>
    </w:p>
    <w:p w14:paraId="54E423D4" w14:textId="674A16DA" w:rsidR="00D337EE" w:rsidRDefault="00D337EE" w:rsidP="009229B3">
      <w:pPr>
        <w:pStyle w:val="Numberedparagraphs"/>
        <w:numPr>
          <w:ilvl w:val="0"/>
          <w:numId w:val="0"/>
        </w:numPr>
        <w:ind w:left="720"/>
      </w:pPr>
    </w:p>
    <w:p w14:paraId="205BA488" w14:textId="2500DD6A" w:rsidR="00D337EE" w:rsidRDefault="00D337EE" w:rsidP="009229B3">
      <w:pPr>
        <w:pStyle w:val="Numberedparagraphs"/>
        <w:numPr>
          <w:ilvl w:val="0"/>
          <w:numId w:val="0"/>
        </w:numPr>
        <w:ind w:left="720"/>
      </w:pPr>
    </w:p>
    <w:p w14:paraId="2D3AF5FD" w14:textId="5D9DC36B" w:rsidR="00D337EE" w:rsidRDefault="00D337EE" w:rsidP="009229B3">
      <w:pPr>
        <w:pStyle w:val="Numberedparagraphs"/>
        <w:numPr>
          <w:ilvl w:val="0"/>
          <w:numId w:val="0"/>
        </w:numPr>
        <w:ind w:left="720"/>
      </w:pPr>
    </w:p>
    <w:p w14:paraId="085ED523" w14:textId="77777777" w:rsidR="00BC3A7C" w:rsidRDefault="00BC3A7C" w:rsidP="009229B3">
      <w:pPr>
        <w:pStyle w:val="Numberedparagraphs"/>
        <w:numPr>
          <w:ilvl w:val="0"/>
          <w:numId w:val="0"/>
        </w:numPr>
        <w:ind w:left="720"/>
      </w:pPr>
    </w:p>
    <w:p w14:paraId="2D7E04B7" w14:textId="18609B79" w:rsidR="00D337EE" w:rsidRDefault="00D337EE" w:rsidP="009229B3">
      <w:pPr>
        <w:pStyle w:val="Numberedparagraphs"/>
        <w:numPr>
          <w:ilvl w:val="0"/>
          <w:numId w:val="0"/>
        </w:numPr>
        <w:ind w:left="720"/>
      </w:pPr>
    </w:p>
    <w:p w14:paraId="4D3934D7" w14:textId="0A87462D" w:rsidR="00D337EE" w:rsidRDefault="00D337EE" w:rsidP="009229B3">
      <w:pPr>
        <w:pStyle w:val="Numberedparagraphs"/>
        <w:numPr>
          <w:ilvl w:val="0"/>
          <w:numId w:val="0"/>
        </w:numPr>
        <w:ind w:left="720"/>
      </w:pPr>
    </w:p>
    <w:p w14:paraId="029BF422" w14:textId="77777777" w:rsidR="00D337EE" w:rsidRPr="00DA38C0" w:rsidRDefault="00D337EE" w:rsidP="009229B3">
      <w:pPr>
        <w:pStyle w:val="Numberedparagraphs"/>
        <w:numPr>
          <w:ilvl w:val="0"/>
          <w:numId w:val="0"/>
        </w:numPr>
        <w:ind w:left="720"/>
      </w:pPr>
    </w:p>
    <w:p w14:paraId="4A83AD11" w14:textId="77777777" w:rsidR="00F35AAE" w:rsidRDefault="00F35AAE" w:rsidP="004A1285">
      <w:pPr>
        <w:pStyle w:val="Heading1"/>
        <w:spacing w:before="0" w:after="200"/>
      </w:pPr>
      <w:bookmarkStart w:id="57" w:name="_Toc67051850"/>
    </w:p>
    <w:p w14:paraId="049FFF77" w14:textId="1A3D17C7" w:rsidR="00182E02" w:rsidRPr="0007301E" w:rsidRDefault="00E54AD0" w:rsidP="004A1285">
      <w:pPr>
        <w:pStyle w:val="Heading1"/>
        <w:spacing w:before="0" w:after="200"/>
        <w:rPr>
          <w:sz w:val="4"/>
          <w:szCs w:val="4"/>
        </w:rPr>
      </w:pPr>
      <w:r>
        <w:t xml:space="preserve">3 </w:t>
      </w:r>
      <w:r w:rsidR="00182E02">
        <w:t>Conclusion</w:t>
      </w:r>
      <w:bookmarkEnd w:id="57"/>
    </w:p>
    <w:p w14:paraId="214FFC28" w14:textId="31A8CE45" w:rsidR="00DE7042" w:rsidRPr="00DE7042" w:rsidRDefault="00C47851" w:rsidP="009229B3">
      <w:pPr>
        <w:pStyle w:val="Numberedparagraphs"/>
      </w:pPr>
      <w:r>
        <w:t>Recommending</w:t>
      </w:r>
      <w:r w:rsidR="007834F6" w:rsidRPr="00DE7042">
        <w:t xml:space="preserve"> a budget level for the sixth carbon budget requires the consideration of all five assessment criteria </w:t>
      </w:r>
      <w:r w:rsidR="005B1E2B" w:rsidRPr="00DE7042">
        <w:t>in the round</w:t>
      </w:r>
      <w:r w:rsidR="00A05196">
        <w:t xml:space="preserve">, including </w:t>
      </w:r>
      <w:r w:rsidR="00B81983">
        <w:t xml:space="preserve">taking into account </w:t>
      </w:r>
      <w:r w:rsidR="00652C97" w:rsidRPr="00DE7042">
        <w:t>specific factors set out in the Climate Change Act</w:t>
      </w:r>
      <w:r w:rsidR="00DE7042" w:rsidRPr="00DE7042">
        <w:t>, as well as the advice of the Committee on Climate Change and the representation</w:t>
      </w:r>
      <w:r w:rsidR="00A26229">
        <w:t>s</w:t>
      </w:r>
      <w:r w:rsidR="00DE7042" w:rsidRPr="00DE7042">
        <w:t xml:space="preserve"> of the Devolved Administrations.</w:t>
      </w:r>
    </w:p>
    <w:p w14:paraId="4D64C113" w14:textId="37AC3FFE" w:rsidR="00987889" w:rsidRPr="00FA59C6" w:rsidRDefault="00987889" w:rsidP="009229B3">
      <w:pPr>
        <w:pStyle w:val="Numberedparagraphs"/>
        <w:rPr>
          <w:rFonts w:eastAsia="Calibri" w:cs="Arial"/>
          <w:lang w:eastAsia="en-US"/>
        </w:rPr>
      </w:pPr>
      <w:r w:rsidRPr="00FA59C6">
        <w:t>Considering all assessment criteria in the round, including</w:t>
      </w:r>
      <w:r w:rsidRPr="00FA59C6" w:rsidDel="00A24456">
        <w:t xml:space="preserve"> </w:t>
      </w:r>
      <w:r w:rsidRPr="00FA59C6">
        <w:t>specific factors set out in the Climate Change Act,</w:t>
      </w:r>
      <w:r w:rsidRPr="00DE7042">
        <w:t xml:space="preserve"> </w:t>
      </w:r>
      <w:r w:rsidRPr="0071483C">
        <w:t>the proposed option for the sixth carbon budget level is 965MtCO</w:t>
      </w:r>
      <w:r w:rsidRPr="0071483C">
        <w:rPr>
          <w:vertAlign w:val="subscript"/>
        </w:rPr>
        <w:t>2</w:t>
      </w:r>
      <w:r w:rsidRPr="0071483C">
        <w:t>e, Option 3</w:t>
      </w:r>
      <w:r w:rsidRPr="00DE7042">
        <w:t xml:space="preserve">. This option is the recommended level by the </w:t>
      </w:r>
      <w:r>
        <w:t xml:space="preserve">CCC </w:t>
      </w:r>
      <w:r w:rsidRPr="00DE7042">
        <w:t>and the preferred option of the Devolved Administrations</w:t>
      </w:r>
      <w:r>
        <w:t>. The high level of ambition supports the overall policy objective of mitigating the potentially catastrophic effects of climate change, while the more ambitious Option 4 could lead to non-economical outcomes. Option 3 is more challenging than Option 2 from a technical feasibility and delivery perspective, but the analysis</w:t>
      </w:r>
      <w:r w:rsidRPr="00DE7042">
        <w:t xml:space="preserve"> </w:t>
      </w:r>
      <w:r>
        <w:t>shows it is technically feasible to achieve and has</w:t>
      </w:r>
      <w:r w:rsidRPr="00DE7042">
        <w:t xml:space="preserve"> a strongly positive N</w:t>
      </w:r>
      <w:r>
        <w:t xml:space="preserve">PV. Option 3 </w:t>
      </w:r>
      <w:r w:rsidRPr="00DE7042">
        <w:t xml:space="preserve">is </w:t>
      </w:r>
      <w:r>
        <w:t>also</w:t>
      </w:r>
      <w:r w:rsidRPr="00DE7042">
        <w:t xml:space="preserve"> in line with </w:t>
      </w:r>
      <w:r>
        <w:t>an ambitious contribution to global efforts towards meeting the Paris Agreement temperature goal and</w:t>
      </w:r>
      <w:r w:rsidRPr="00030A9C">
        <w:t xml:space="preserve"> strengthens the UK position in pushing for higher ambition from other countries</w:t>
      </w:r>
      <w:r w:rsidRPr="00DE7042">
        <w:t>.</w:t>
      </w:r>
      <w:r>
        <w:t xml:space="preserve"> Whilst the costs of this option are higher and the NPV is smaller than those of Option 2, these relative differences are within the uncertainty ranges and in the whole outweighed by the other assessment criteria.  </w:t>
      </w:r>
    </w:p>
    <w:p w14:paraId="3E4AB031" w14:textId="6461F151" w:rsidR="00DB020F" w:rsidRDefault="00DE7042" w:rsidP="009229B3">
      <w:pPr>
        <w:pStyle w:val="Numberedparagraphs"/>
      </w:pPr>
      <w:r w:rsidRPr="00DE7042">
        <w:t xml:space="preserve">Table </w:t>
      </w:r>
      <w:r w:rsidR="008F1C9E">
        <w:t>20</w:t>
      </w:r>
      <w:r w:rsidR="00917D74" w:rsidRPr="00DE7042">
        <w:t xml:space="preserve"> </w:t>
      </w:r>
      <w:r w:rsidRPr="00DE7042">
        <w:t xml:space="preserve">provides a summary of </w:t>
      </w:r>
      <w:r>
        <w:t xml:space="preserve">all the </w:t>
      </w:r>
      <w:r w:rsidRPr="00DE7042">
        <w:t>criteria</w:t>
      </w:r>
      <w:r>
        <w:t xml:space="preserve"> that have been </w:t>
      </w:r>
      <w:r w:rsidR="009B50F1">
        <w:t>considered</w:t>
      </w:r>
      <w:r>
        <w:t xml:space="preserve">. </w:t>
      </w:r>
    </w:p>
    <w:p w14:paraId="0CDB1ABC" w14:textId="364E40F1" w:rsidR="00D34633" w:rsidRDefault="008A6C8C" w:rsidP="00FA59C6">
      <w:pPr>
        <w:spacing w:after="160"/>
        <w:rPr>
          <w:i/>
        </w:rPr>
      </w:pPr>
      <w:r w:rsidRPr="006A0C4B">
        <w:rPr>
          <w:i/>
        </w:rPr>
        <w:t xml:space="preserve">Table </w:t>
      </w:r>
      <w:r w:rsidR="008F1C9E">
        <w:rPr>
          <w:i/>
        </w:rPr>
        <w:t>20</w:t>
      </w:r>
      <w:r w:rsidRPr="006A0C4B">
        <w:rPr>
          <w:i/>
        </w:rPr>
        <w:t>: Summary of the Assessment criteria across the different option</w:t>
      </w:r>
      <w:r>
        <w:rPr>
          <w:i/>
        </w:rPr>
        <w:t>s</w:t>
      </w:r>
    </w:p>
    <w:tbl>
      <w:tblPr>
        <w:tblStyle w:val="TableGrid"/>
        <w:tblW w:w="10201" w:type="dxa"/>
        <w:tblLayout w:type="fixed"/>
        <w:tblLook w:val="04A0" w:firstRow="1" w:lastRow="0" w:firstColumn="1" w:lastColumn="0" w:noHBand="0" w:noVBand="1"/>
      </w:tblPr>
      <w:tblGrid>
        <w:gridCol w:w="2263"/>
        <w:gridCol w:w="1843"/>
        <w:gridCol w:w="1843"/>
        <w:gridCol w:w="1984"/>
        <w:gridCol w:w="2262"/>
        <w:gridCol w:w="6"/>
      </w:tblGrid>
      <w:tr w:rsidR="00D34633" w:rsidRPr="00822E64" w14:paraId="36D7EAB5" w14:textId="77777777" w:rsidTr="00807915">
        <w:trPr>
          <w:gridAfter w:val="1"/>
          <w:wAfter w:w="6" w:type="dxa"/>
          <w:trHeight w:val="228"/>
          <w:tblHeader/>
        </w:trPr>
        <w:tc>
          <w:tcPr>
            <w:tcW w:w="2263" w:type="dxa"/>
            <w:vMerge w:val="restart"/>
          </w:tcPr>
          <w:p w14:paraId="4C9D49FB" w14:textId="77777777" w:rsidR="00D34633" w:rsidRPr="006A0C4B" w:rsidRDefault="00D34633" w:rsidP="00807915">
            <w:pPr>
              <w:rPr>
                <w:rFonts w:cs="Arial"/>
                <w:b/>
                <w:sz w:val="22"/>
                <w:szCs w:val="22"/>
              </w:rPr>
            </w:pPr>
            <w:r w:rsidRPr="006A0C4B">
              <w:rPr>
                <w:rFonts w:cs="Arial"/>
                <w:b/>
                <w:sz w:val="22"/>
                <w:szCs w:val="22"/>
              </w:rPr>
              <w:t>Consideration</w:t>
            </w:r>
          </w:p>
        </w:tc>
        <w:tc>
          <w:tcPr>
            <w:tcW w:w="7932" w:type="dxa"/>
            <w:gridSpan w:val="4"/>
          </w:tcPr>
          <w:p w14:paraId="492BF80D" w14:textId="77777777" w:rsidR="00D34633" w:rsidRPr="006A0C4B" w:rsidRDefault="00D34633" w:rsidP="00807915">
            <w:pPr>
              <w:jc w:val="center"/>
              <w:rPr>
                <w:rFonts w:cs="Arial"/>
                <w:b/>
                <w:sz w:val="22"/>
                <w:szCs w:val="22"/>
              </w:rPr>
            </w:pPr>
            <w:r w:rsidRPr="006A0C4B">
              <w:rPr>
                <w:rFonts w:cs="Arial"/>
                <w:b/>
                <w:sz w:val="22"/>
                <w:szCs w:val="22"/>
              </w:rPr>
              <w:t>Budget level option</w:t>
            </w:r>
          </w:p>
        </w:tc>
      </w:tr>
      <w:tr w:rsidR="00D34633" w:rsidRPr="00822E64" w14:paraId="389FBAC1" w14:textId="77777777" w:rsidTr="00807915">
        <w:trPr>
          <w:gridAfter w:val="1"/>
          <w:wAfter w:w="6" w:type="dxa"/>
          <w:trHeight w:val="228"/>
          <w:tblHeader/>
        </w:trPr>
        <w:tc>
          <w:tcPr>
            <w:tcW w:w="2263" w:type="dxa"/>
            <w:vMerge/>
          </w:tcPr>
          <w:p w14:paraId="1453EF62" w14:textId="77777777" w:rsidR="00D34633" w:rsidRPr="006A0C4B" w:rsidRDefault="00D34633" w:rsidP="00807915">
            <w:pPr>
              <w:rPr>
                <w:rFonts w:cs="Arial"/>
                <w:sz w:val="22"/>
                <w:szCs w:val="22"/>
              </w:rPr>
            </w:pPr>
          </w:p>
        </w:tc>
        <w:tc>
          <w:tcPr>
            <w:tcW w:w="1843" w:type="dxa"/>
          </w:tcPr>
          <w:p w14:paraId="73133CF8" w14:textId="77777777" w:rsidR="00D34633" w:rsidRPr="006A0C4B" w:rsidRDefault="00D34633" w:rsidP="00807915">
            <w:pPr>
              <w:rPr>
                <w:rFonts w:cs="Arial"/>
                <w:b/>
                <w:sz w:val="22"/>
                <w:szCs w:val="22"/>
              </w:rPr>
            </w:pPr>
            <w:r w:rsidRPr="006A0C4B">
              <w:rPr>
                <w:rFonts w:cs="Arial"/>
                <w:b/>
                <w:sz w:val="22"/>
                <w:szCs w:val="22"/>
              </w:rPr>
              <w:t>Option 1</w:t>
            </w:r>
          </w:p>
        </w:tc>
        <w:tc>
          <w:tcPr>
            <w:tcW w:w="1843" w:type="dxa"/>
          </w:tcPr>
          <w:p w14:paraId="4416E30A" w14:textId="77777777" w:rsidR="00D34633" w:rsidRPr="006A0C4B" w:rsidRDefault="00D34633" w:rsidP="00807915">
            <w:pPr>
              <w:rPr>
                <w:rFonts w:cs="Arial"/>
                <w:b/>
                <w:sz w:val="22"/>
                <w:szCs w:val="22"/>
              </w:rPr>
            </w:pPr>
            <w:r w:rsidRPr="006A0C4B">
              <w:rPr>
                <w:rFonts w:cs="Arial"/>
                <w:b/>
                <w:sz w:val="22"/>
                <w:szCs w:val="22"/>
              </w:rPr>
              <w:t>Option 2</w:t>
            </w:r>
          </w:p>
        </w:tc>
        <w:tc>
          <w:tcPr>
            <w:tcW w:w="1984" w:type="dxa"/>
          </w:tcPr>
          <w:p w14:paraId="3D10D4AB" w14:textId="77777777" w:rsidR="00D34633" w:rsidRPr="006A0C4B" w:rsidRDefault="00D34633" w:rsidP="00807915">
            <w:pPr>
              <w:rPr>
                <w:rFonts w:cs="Arial"/>
                <w:b/>
                <w:sz w:val="22"/>
                <w:szCs w:val="22"/>
              </w:rPr>
            </w:pPr>
            <w:r w:rsidRPr="006A0C4B">
              <w:rPr>
                <w:rFonts w:cs="Arial"/>
                <w:b/>
                <w:sz w:val="22"/>
                <w:szCs w:val="22"/>
              </w:rPr>
              <w:t>Option 3</w:t>
            </w:r>
          </w:p>
        </w:tc>
        <w:tc>
          <w:tcPr>
            <w:tcW w:w="2262" w:type="dxa"/>
          </w:tcPr>
          <w:p w14:paraId="49BB7C63" w14:textId="77777777" w:rsidR="00D34633" w:rsidRPr="006A0C4B" w:rsidRDefault="00D34633" w:rsidP="00807915">
            <w:pPr>
              <w:rPr>
                <w:rFonts w:cs="Arial"/>
                <w:b/>
                <w:sz w:val="22"/>
                <w:szCs w:val="22"/>
              </w:rPr>
            </w:pPr>
            <w:r w:rsidRPr="006A0C4B">
              <w:rPr>
                <w:rFonts w:cs="Arial"/>
                <w:b/>
                <w:sz w:val="22"/>
                <w:szCs w:val="22"/>
              </w:rPr>
              <w:t>Option 4</w:t>
            </w:r>
          </w:p>
        </w:tc>
      </w:tr>
      <w:tr w:rsidR="00D34633" w:rsidRPr="00822E64" w14:paraId="7AE748BC" w14:textId="77777777" w:rsidTr="00807915">
        <w:trPr>
          <w:gridAfter w:val="1"/>
          <w:wAfter w:w="6" w:type="dxa"/>
          <w:trHeight w:val="228"/>
          <w:tblHeader/>
        </w:trPr>
        <w:tc>
          <w:tcPr>
            <w:tcW w:w="2263" w:type="dxa"/>
          </w:tcPr>
          <w:p w14:paraId="62CC6151" w14:textId="77777777" w:rsidR="00D34633" w:rsidRPr="006A0C4B" w:rsidRDefault="00D34633" w:rsidP="00807915">
            <w:pPr>
              <w:rPr>
                <w:rFonts w:cs="Arial"/>
                <w:b/>
                <w:sz w:val="22"/>
                <w:szCs w:val="22"/>
              </w:rPr>
            </w:pPr>
            <w:r w:rsidRPr="006A0C4B">
              <w:rPr>
                <w:rFonts w:cs="Arial"/>
                <w:b/>
                <w:sz w:val="22"/>
                <w:szCs w:val="22"/>
              </w:rPr>
              <w:t>Budget level</w:t>
            </w:r>
            <w:r>
              <w:rPr>
                <w:rFonts w:cs="Arial"/>
                <w:b/>
                <w:sz w:val="22"/>
                <w:szCs w:val="22"/>
              </w:rPr>
              <w:t xml:space="preserve"> </w:t>
            </w:r>
            <w:r w:rsidRPr="006A0C4B">
              <w:rPr>
                <w:rFonts w:cs="Arial"/>
                <w:bCs/>
                <w:sz w:val="22"/>
                <w:szCs w:val="22"/>
              </w:rPr>
              <w:t>(in</w:t>
            </w:r>
            <w:r>
              <w:rPr>
                <w:rFonts w:cs="Arial"/>
                <w:b/>
                <w:sz w:val="22"/>
                <w:szCs w:val="22"/>
              </w:rPr>
              <w:t xml:space="preserve"> </w:t>
            </w:r>
            <w:r w:rsidRPr="00DE7042">
              <w:t>Mt</w:t>
            </w:r>
            <w:r>
              <w:t>CO</w:t>
            </w:r>
            <w:r w:rsidRPr="006735D3">
              <w:rPr>
                <w:vertAlign w:val="subscript"/>
              </w:rPr>
              <w:t>2</w:t>
            </w:r>
            <w:r>
              <w:t>e)</w:t>
            </w:r>
          </w:p>
        </w:tc>
        <w:tc>
          <w:tcPr>
            <w:tcW w:w="1843" w:type="dxa"/>
          </w:tcPr>
          <w:p w14:paraId="55BE4D25" w14:textId="77777777" w:rsidR="00D34633" w:rsidRPr="006A0C4B" w:rsidRDefault="00D34633" w:rsidP="00807915">
            <w:pPr>
              <w:rPr>
                <w:rFonts w:cs="Arial"/>
                <w:b/>
                <w:sz w:val="22"/>
                <w:szCs w:val="22"/>
              </w:rPr>
            </w:pPr>
            <w:r w:rsidRPr="006A0C4B">
              <w:rPr>
                <w:rFonts w:cs="Arial"/>
                <w:b/>
                <w:sz w:val="22"/>
                <w:szCs w:val="22"/>
              </w:rPr>
              <w:t>2100</w:t>
            </w:r>
          </w:p>
        </w:tc>
        <w:tc>
          <w:tcPr>
            <w:tcW w:w="1843" w:type="dxa"/>
          </w:tcPr>
          <w:p w14:paraId="00A273CA" w14:textId="77777777" w:rsidR="00D34633" w:rsidRPr="006A0C4B" w:rsidRDefault="00D34633" w:rsidP="00807915">
            <w:pPr>
              <w:rPr>
                <w:rFonts w:cs="Arial"/>
                <w:b/>
                <w:sz w:val="22"/>
                <w:szCs w:val="22"/>
              </w:rPr>
            </w:pPr>
            <w:r w:rsidRPr="006A0C4B">
              <w:rPr>
                <w:rFonts w:cs="Arial"/>
                <w:b/>
                <w:sz w:val="22"/>
                <w:szCs w:val="22"/>
              </w:rPr>
              <w:t>1105</w:t>
            </w:r>
          </w:p>
        </w:tc>
        <w:tc>
          <w:tcPr>
            <w:tcW w:w="1984" w:type="dxa"/>
          </w:tcPr>
          <w:p w14:paraId="7340BCB5" w14:textId="77777777" w:rsidR="00D34633" w:rsidRPr="006A0C4B" w:rsidRDefault="00D34633" w:rsidP="00807915">
            <w:pPr>
              <w:rPr>
                <w:rFonts w:cs="Arial"/>
                <w:b/>
                <w:sz w:val="22"/>
                <w:szCs w:val="22"/>
              </w:rPr>
            </w:pPr>
            <w:r w:rsidRPr="006A0C4B">
              <w:rPr>
                <w:rFonts w:cs="Arial"/>
                <w:b/>
                <w:sz w:val="22"/>
                <w:szCs w:val="22"/>
              </w:rPr>
              <w:t>965</w:t>
            </w:r>
          </w:p>
        </w:tc>
        <w:tc>
          <w:tcPr>
            <w:tcW w:w="2262" w:type="dxa"/>
          </w:tcPr>
          <w:p w14:paraId="15947208" w14:textId="77777777" w:rsidR="00D34633" w:rsidRPr="006A0C4B" w:rsidRDefault="00D34633" w:rsidP="00807915">
            <w:pPr>
              <w:rPr>
                <w:rFonts w:cs="Arial"/>
                <w:b/>
                <w:sz w:val="22"/>
                <w:szCs w:val="22"/>
              </w:rPr>
            </w:pPr>
            <w:r w:rsidRPr="006A0C4B">
              <w:rPr>
                <w:rFonts w:cs="Arial"/>
                <w:b/>
                <w:sz w:val="22"/>
                <w:szCs w:val="22"/>
              </w:rPr>
              <w:t>885</w:t>
            </w:r>
          </w:p>
        </w:tc>
      </w:tr>
      <w:tr w:rsidR="00D34633" w:rsidRPr="00822E64" w14:paraId="6E61D1EE" w14:textId="77777777" w:rsidTr="00807915">
        <w:trPr>
          <w:gridAfter w:val="1"/>
          <w:wAfter w:w="6" w:type="dxa"/>
          <w:trHeight w:val="228"/>
        </w:trPr>
        <w:tc>
          <w:tcPr>
            <w:tcW w:w="2263" w:type="dxa"/>
          </w:tcPr>
          <w:p w14:paraId="15DE5E78" w14:textId="77777777" w:rsidR="00D34633" w:rsidRPr="006A0C4B" w:rsidRDefault="00D34633" w:rsidP="00807915">
            <w:pPr>
              <w:rPr>
                <w:rFonts w:cs="Arial"/>
                <w:sz w:val="22"/>
                <w:szCs w:val="22"/>
              </w:rPr>
            </w:pPr>
            <w:r w:rsidRPr="006A0C4B">
              <w:rPr>
                <w:rFonts w:cs="Arial"/>
                <w:sz w:val="22"/>
                <w:szCs w:val="22"/>
              </w:rPr>
              <w:t>CCC advice</w:t>
            </w:r>
          </w:p>
        </w:tc>
        <w:tc>
          <w:tcPr>
            <w:tcW w:w="1843" w:type="dxa"/>
          </w:tcPr>
          <w:p w14:paraId="0EDAD2FA" w14:textId="77777777" w:rsidR="00D34633" w:rsidRPr="006A0C4B" w:rsidRDefault="00D34633" w:rsidP="00807915">
            <w:pPr>
              <w:rPr>
                <w:rFonts w:cs="Arial"/>
                <w:sz w:val="22"/>
                <w:szCs w:val="22"/>
              </w:rPr>
            </w:pPr>
            <w:r w:rsidRPr="006A0C4B">
              <w:rPr>
                <w:rFonts w:cs="Arial"/>
                <w:b/>
                <w:sz w:val="22"/>
                <w:szCs w:val="22"/>
              </w:rPr>
              <w:t>Highly insufficient</w:t>
            </w:r>
            <w:r w:rsidRPr="006A0C4B">
              <w:rPr>
                <w:rFonts w:cs="Arial"/>
                <w:sz w:val="22"/>
                <w:szCs w:val="22"/>
              </w:rPr>
              <w:t xml:space="preserve"> to meet the CCC’s balanced pathway to Net Zero. </w:t>
            </w:r>
          </w:p>
        </w:tc>
        <w:tc>
          <w:tcPr>
            <w:tcW w:w="1843" w:type="dxa"/>
          </w:tcPr>
          <w:p w14:paraId="7BDC68D4" w14:textId="77777777" w:rsidR="00D34633" w:rsidRPr="006A0C4B" w:rsidRDefault="00D34633" w:rsidP="00807915">
            <w:pPr>
              <w:rPr>
                <w:rFonts w:cs="Arial"/>
                <w:sz w:val="22"/>
                <w:szCs w:val="22"/>
              </w:rPr>
            </w:pPr>
            <w:r w:rsidRPr="006A0C4B">
              <w:rPr>
                <w:rFonts w:cs="Arial"/>
                <w:sz w:val="22"/>
                <w:szCs w:val="22"/>
              </w:rPr>
              <w:t xml:space="preserve">In line with CCC’s </w:t>
            </w:r>
            <w:r w:rsidRPr="006A0C4B">
              <w:rPr>
                <w:rFonts w:cs="Arial"/>
                <w:i/>
                <w:sz w:val="22"/>
                <w:szCs w:val="22"/>
              </w:rPr>
              <w:t>Headwinds</w:t>
            </w:r>
            <w:r w:rsidRPr="006A0C4B">
              <w:rPr>
                <w:rFonts w:cs="Arial"/>
                <w:sz w:val="22"/>
                <w:szCs w:val="22"/>
              </w:rPr>
              <w:t xml:space="preserve"> scenario and </w:t>
            </w:r>
            <w:r w:rsidRPr="006A0C4B">
              <w:rPr>
                <w:rFonts w:cs="Arial"/>
                <w:b/>
                <w:sz w:val="22"/>
                <w:szCs w:val="22"/>
              </w:rPr>
              <w:t xml:space="preserve">less ambitious </w:t>
            </w:r>
            <w:r w:rsidRPr="006A0C4B">
              <w:rPr>
                <w:rFonts w:cs="Arial"/>
                <w:sz w:val="22"/>
                <w:szCs w:val="22"/>
              </w:rPr>
              <w:t xml:space="preserve">than the recommended balanced pathway. </w:t>
            </w:r>
          </w:p>
        </w:tc>
        <w:tc>
          <w:tcPr>
            <w:tcW w:w="1984" w:type="dxa"/>
          </w:tcPr>
          <w:p w14:paraId="51AE8D11" w14:textId="77777777" w:rsidR="00D34633" w:rsidRPr="006A0C4B" w:rsidRDefault="00D34633" w:rsidP="00807915">
            <w:pPr>
              <w:rPr>
                <w:rFonts w:cs="Arial"/>
                <w:b/>
                <w:sz w:val="22"/>
                <w:szCs w:val="22"/>
              </w:rPr>
            </w:pPr>
            <w:r w:rsidRPr="006A0C4B">
              <w:rPr>
                <w:rFonts w:cs="Arial"/>
                <w:b/>
                <w:sz w:val="22"/>
                <w:szCs w:val="22"/>
              </w:rPr>
              <w:t>CCC recommended level</w:t>
            </w:r>
            <w:r>
              <w:rPr>
                <w:rFonts w:cs="Arial"/>
                <w:b/>
                <w:sz w:val="22"/>
                <w:szCs w:val="22"/>
              </w:rPr>
              <w:t>.</w:t>
            </w:r>
          </w:p>
        </w:tc>
        <w:tc>
          <w:tcPr>
            <w:tcW w:w="2262" w:type="dxa"/>
          </w:tcPr>
          <w:p w14:paraId="3066AF5A" w14:textId="77777777" w:rsidR="00D34633" w:rsidRPr="006A0C4B" w:rsidRDefault="00D34633" w:rsidP="00807915">
            <w:pPr>
              <w:rPr>
                <w:rFonts w:cs="Arial"/>
                <w:i/>
                <w:sz w:val="22"/>
                <w:szCs w:val="22"/>
              </w:rPr>
            </w:pPr>
            <w:r w:rsidRPr="006A0C4B">
              <w:rPr>
                <w:rFonts w:cs="Arial"/>
                <w:sz w:val="22"/>
                <w:szCs w:val="22"/>
              </w:rPr>
              <w:t xml:space="preserve">In line with CCC’s </w:t>
            </w:r>
            <w:r w:rsidRPr="006A0C4B">
              <w:rPr>
                <w:rFonts w:cs="Arial"/>
                <w:i/>
                <w:sz w:val="22"/>
                <w:szCs w:val="22"/>
              </w:rPr>
              <w:t xml:space="preserve">widespread innovation scenario </w:t>
            </w:r>
            <w:r w:rsidRPr="006A0C4B">
              <w:rPr>
                <w:rFonts w:cs="Arial"/>
                <w:sz w:val="22"/>
                <w:szCs w:val="22"/>
              </w:rPr>
              <w:t xml:space="preserve">and </w:t>
            </w:r>
            <w:r w:rsidRPr="006A0C4B">
              <w:rPr>
                <w:rFonts w:cs="Arial"/>
                <w:b/>
                <w:sz w:val="22"/>
                <w:szCs w:val="22"/>
              </w:rPr>
              <w:t>more ambitious</w:t>
            </w:r>
            <w:r w:rsidRPr="006A0C4B">
              <w:rPr>
                <w:rFonts w:cs="Arial"/>
                <w:sz w:val="22"/>
                <w:szCs w:val="22"/>
              </w:rPr>
              <w:t xml:space="preserve"> than the recommended level. </w:t>
            </w:r>
          </w:p>
        </w:tc>
      </w:tr>
      <w:tr w:rsidR="00D34633" w:rsidRPr="00822E64" w14:paraId="15678D58" w14:textId="77777777" w:rsidTr="00807915">
        <w:trPr>
          <w:gridAfter w:val="1"/>
          <w:wAfter w:w="6" w:type="dxa"/>
          <w:trHeight w:val="222"/>
        </w:trPr>
        <w:tc>
          <w:tcPr>
            <w:tcW w:w="2263" w:type="dxa"/>
          </w:tcPr>
          <w:p w14:paraId="39BF872E" w14:textId="77777777" w:rsidR="00D34633" w:rsidRPr="006A0C4B" w:rsidRDefault="00D34633" w:rsidP="00807915">
            <w:pPr>
              <w:rPr>
                <w:rFonts w:cs="Arial"/>
                <w:sz w:val="22"/>
                <w:szCs w:val="22"/>
              </w:rPr>
            </w:pPr>
            <w:r w:rsidRPr="006A0C4B">
              <w:rPr>
                <w:rFonts w:cs="Arial"/>
                <w:sz w:val="22"/>
                <w:szCs w:val="22"/>
              </w:rPr>
              <w:t>DA views</w:t>
            </w:r>
          </w:p>
        </w:tc>
        <w:tc>
          <w:tcPr>
            <w:tcW w:w="1843" w:type="dxa"/>
          </w:tcPr>
          <w:p w14:paraId="03B1C2F6" w14:textId="77777777" w:rsidR="00D34633" w:rsidRPr="006A0C4B" w:rsidRDefault="00D34633" w:rsidP="00807915">
            <w:pPr>
              <w:rPr>
                <w:rFonts w:cs="Arial"/>
                <w:sz w:val="22"/>
                <w:szCs w:val="22"/>
              </w:rPr>
            </w:pPr>
            <w:r w:rsidRPr="006A0C4B">
              <w:rPr>
                <w:rFonts w:cs="Arial"/>
                <w:sz w:val="22"/>
                <w:szCs w:val="22"/>
              </w:rPr>
              <w:t>Not consistent with DA views</w:t>
            </w:r>
          </w:p>
        </w:tc>
        <w:tc>
          <w:tcPr>
            <w:tcW w:w="1843" w:type="dxa"/>
          </w:tcPr>
          <w:p w14:paraId="55910346" w14:textId="3375F7B1" w:rsidR="00D34633" w:rsidRPr="008972DF" w:rsidRDefault="00D34633" w:rsidP="008972DF">
            <w:pPr>
              <w:pStyle w:val="Caption"/>
              <w:rPr>
                <w:i w:val="0"/>
                <w:sz w:val="22"/>
                <w:szCs w:val="22"/>
              </w:rPr>
            </w:pPr>
            <w:r w:rsidRPr="008972DF">
              <w:rPr>
                <w:i w:val="0"/>
                <w:color w:val="auto"/>
                <w:sz w:val="22"/>
                <w:szCs w:val="22"/>
              </w:rPr>
              <w:t>Not consistent with DA views</w:t>
            </w:r>
            <w:r w:rsidRPr="008972DF" w:rsidDel="00F50A84">
              <w:rPr>
                <w:i w:val="0"/>
                <w:color w:val="auto"/>
                <w:sz w:val="22"/>
                <w:szCs w:val="22"/>
              </w:rPr>
              <w:t xml:space="preserve"> </w:t>
            </w:r>
          </w:p>
        </w:tc>
        <w:tc>
          <w:tcPr>
            <w:tcW w:w="1984" w:type="dxa"/>
          </w:tcPr>
          <w:p w14:paraId="37377F34" w14:textId="3A7E81BF" w:rsidR="00D34633" w:rsidRPr="006A0C4B" w:rsidRDefault="00D34633" w:rsidP="00807915">
            <w:pPr>
              <w:rPr>
                <w:rFonts w:cs="Arial"/>
                <w:sz w:val="22"/>
                <w:szCs w:val="22"/>
              </w:rPr>
            </w:pPr>
            <w:r w:rsidRPr="006A0C4B">
              <w:rPr>
                <w:rFonts w:cs="Arial"/>
                <w:sz w:val="22"/>
                <w:szCs w:val="22"/>
              </w:rPr>
              <w:t>Budget level endorsed by all D</w:t>
            </w:r>
            <w:r w:rsidR="008972DF" w:rsidRPr="006A0C4B">
              <w:rPr>
                <w:rFonts w:cs="Arial"/>
                <w:sz w:val="22"/>
                <w:szCs w:val="22"/>
              </w:rPr>
              <w:t>a</w:t>
            </w:r>
            <w:r w:rsidRPr="006A0C4B">
              <w:rPr>
                <w:rFonts w:cs="Arial"/>
                <w:sz w:val="22"/>
                <w:szCs w:val="22"/>
              </w:rPr>
              <w:t>s</w:t>
            </w:r>
          </w:p>
        </w:tc>
        <w:tc>
          <w:tcPr>
            <w:tcW w:w="2262" w:type="dxa"/>
          </w:tcPr>
          <w:p w14:paraId="6717C182" w14:textId="77777777" w:rsidR="00D34633" w:rsidRPr="006A0C4B" w:rsidRDefault="00D34633" w:rsidP="00807915">
            <w:pPr>
              <w:rPr>
                <w:rFonts w:cs="Arial"/>
                <w:sz w:val="22"/>
                <w:szCs w:val="22"/>
              </w:rPr>
            </w:pPr>
            <w:r w:rsidRPr="006A0C4B">
              <w:rPr>
                <w:rFonts w:cs="Arial"/>
                <w:sz w:val="22"/>
                <w:szCs w:val="22"/>
              </w:rPr>
              <w:t>Scottish Government view Option 3 as minimum</w:t>
            </w:r>
          </w:p>
        </w:tc>
      </w:tr>
      <w:tr w:rsidR="00D34633" w:rsidRPr="00822E64" w14:paraId="12D4C7BE" w14:textId="77777777" w:rsidTr="00807915">
        <w:trPr>
          <w:gridAfter w:val="1"/>
          <w:wAfter w:w="6" w:type="dxa"/>
          <w:trHeight w:val="228"/>
        </w:trPr>
        <w:tc>
          <w:tcPr>
            <w:tcW w:w="10195" w:type="dxa"/>
            <w:gridSpan w:val="5"/>
          </w:tcPr>
          <w:p w14:paraId="40A618C6" w14:textId="77777777" w:rsidR="00D34633" w:rsidRDefault="00D34633" w:rsidP="00807915">
            <w:pPr>
              <w:jc w:val="both"/>
              <w:rPr>
                <w:rFonts w:cs="Arial"/>
                <w:b/>
                <w:sz w:val="22"/>
                <w:szCs w:val="22"/>
              </w:rPr>
            </w:pPr>
          </w:p>
          <w:p w14:paraId="3F11396C" w14:textId="77777777" w:rsidR="00D34633" w:rsidRPr="006A0C4B" w:rsidRDefault="00D34633" w:rsidP="00807915">
            <w:pPr>
              <w:jc w:val="both"/>
              <w:rPr>
                <w:rFonts w:cs="Arial"/>
                <w:b/>
                <w:sz w:val="22"/>
                <w:szCs w:val="22"/>
              </w:rPr>
            </w:pPr>
            <w:r w:rsidRPr="006A0C4B">
              <w:rPr>
                <w:rFonts w:cs="Arial"/>
                <w:b/>
                <w:sz w:val="22"/>
                <w:szCs w:val="22"/>
              </w:rPr>
              <w:t>Assessment criteria</w:t>
            </w:r>
          </w:p>
        </w:tc>
      </w:tr>
      <w:tr w:rsidR="00D34633" w:rsidRPr="00822E64" w14:paraId="34A345EB" w14:textId="77777777" w:rsidTr="00807915">
        <w:trPr>
          <w:gridAfter w:val="1"/>
          <w:wAfter w:w="6" w:type="dxa"/>
          <w:trHeight w:val="1852"/>
        </w:trPr>
        <w:tc>
          <w:tcPr>
            <w:tcW w:w="2263" w:type="dxa"/>
          </w:tcPr>
          <w:p w14:paraId="07FF7FE5" w14:textId="77777777" w:rsidR="00D34633" w:rsidRPr="006A0C4B" w:rsidRDefault="00D34633" w:rsidP="00807915">
            <w:pPr>
              <w:rPr>
                <w:rFonts w:cs="Arial"/>
                <w:sz w:val="22"/>
                <w:szCs w:val="22"/>
              </w:rPr>
            </w:pPr>
            <w:r w:rsidRPr="006A0C4B">
              <w:rPr>
                <w:rFonts w:cs="Arial"/>
                <w:sz w:val="22"/>
                <w:szCs w:val="22"/>
              </w:rPr>
              <w:t>1) Long-term pathways and technological feasibility</w:t>
            </w:r>
          </w:p>
        </w:tc>
        <w:tc>
          <w:tcPr>
            <w:tcW w:w="1843" w:type="dxa"/>
          </w:tcPr>
          <w:p w14:paraId="6FDA2CAF" w14:textId="77777777" w:rsidR="00D34633" w:rsidRPr="006A0C4B" w:rsidRDefault="00D34633" w:rsidP="00807915">
            <w:pPr>
              <w:rPr>
                <w:rFonts w:cs="Arial"/>
                <w:sz w:val="22"/>
                <w:szCs w:val="22"/>
              </w:rPr>
            </w:pPr>
            <w:r w:rsidRPr="006A0C4B">
              <w:rPr>
                <w:rFonts w:cs="Arial"/>
                <w:sz w:val="22"/>
                <w:szCs w:val="22"/>
              </w:rPr>
              <w:t xml:space="preserve">Budget is technically feasible, but the pathway does </w:t>
            </w:r>
            <w:r w:rsidRPr="006A0C4B">
              <w:rPr>
                <w:rFonts w:cs="Arial"/>
                <w:b/>
                <w:sz w:val="22"/>
                <w:szCs w:val="22"/>
              </w:rPr>
              <w:t>not meet the UK’s 2050</w:t>
            </w:r>
            <w:r w:rsidRPr="006A0C4B">
              <w:rPr>
                <w:rFonts w:cs="Arial"/>
                <w:sz w:val="22"/>
                <w:szCs w:val="22"/>
              </w:rPr>
              <w:t xml:space="preserve"> target and is inconsistent with the UK’s </w:t>
            </w:r>
            <w:r>
              <w:rPr>
                <w:rFonts w:cs="Arial"/>
                <w:sz w:val="22"/>
                <w:szCs w:val="22"/>
              </w:rPr>
              <w:t xml:space="preserve">2030 </w:t>
            </w:r>
            <w:r w:rsidRPr="006A0C4B">
              <w:rPr>
                <w:rFonts w:cs="Arial"/>
                <w:sz w:val="22"/>
                <w:szCs w:val="22"/>
              </w:rPr>
              <w:t xml:space="preserve">NDC.  </w:t>
            </w:r>
          </w:p>
        </w:tc>
        <w:tc>
          <w:tcPr>
            <w:tcW w:w="1843" w:type="dxa"/>
          </w:tcPr>
          <w:p w14:paraId="1FF13421" w14:textId="77777777" w:rsidR="00D34633" w:rsidRPr="006A0C4B" w:rsidRDefault="00D34633" w:rsidP="00807915">
            <w:pPr>
              <w:rPr>
                <w:rFonts w:cs="Arial"/>
                <w:sz w:val="22"/>
                <w:szCs w:val="22"/>
              </w:rPr>
            </w:pPr>
            <w:r>
              <w:rPr>
                <w:rFonts w:cs="Arial"/>
                <w:sz w:val="22"/>
                <w:szCs w:val="22"/>
              </w:rPr>
              <w:t xml:space="preserve">Budget is </w:t>
            </w:r>
            <w:r w:rsidRPr="006A0C4B">
              <w:rPr>
                <w:rFonts w:cs="Arial"/>
                <w:b/>
                <w:sz w:val="22"/>
                <w:szCs w:val="22"/>
              </w:rPr>
              <w:t>challenging and technically stretching</w:t>
            </w:r>
            <w:r>
              <w:rPr>
                <w:rFonts w:cs="Arial"/>
                <w:sz w:val="22"/>
                <w:szCs w:val="22"/>
              </w:rPr>
              <w:t xml:space="preserve"> but feasible and in line with the 2050 target.</w:t>
            </w:r>
          </w:p>
        </w:tc>
        <w:tc>
          <w:tcPr>
            <w:tcW w:w="1984" w:type="dxa"/>
          </w:tcPr>
          <w:p w14:paraId="0369A7E4" w14:textId="77777777" w:rsidR="00D34633" w:rsidRPr="006A0C4B" w:rsidRDefault="00D34633" w:rsidP="00807915">
            <w:pPr>
              <w:rPr>
                <w:rFonts w:cs="Arial"/>
                <w:sz w:val="22"/>
                <w:szCs w:val="22"/>
              </w:rPr>
            </w:pPr>
            <w:r w:rsidRPr="006A0C4B">
              <w:rPr>
                <w:rFonts w:cs="Arial"/>
                <w:sz w:val="22"/>
                <w:szCs w:val="22"/>
              </w:rPr>
              <w:t>Budget level is technically feasible</w:t>
            </w:r>
            <w:r w:rsidRPr="174A11B4">
              <w:rPr>
                <w:rFonts w:cs="Arial"/>
                <w:sz w:val="22"/>
                <w:szCs w:val="22"/>
              </w:rPr>
              <w:t xml:space="preserve"> and in line with 2050 target</w:t>
            </w:r>
            <w:r w:rsidRPr="006A0C4B">
              <w:rPr>
                <w:rFonts w:cs="Arial"/>
                <w:sz w:val="22"/>
                <w:szCs w:val="22"/>
              </w:rPr>
              <w:t xml:space="preserve">, but </w:t>
            </w:r>
            <w:r w:rsidRPr="006A0C4B">
              <w:rPr>
                <w:rFonts w:cs="Arial"/>
                <w:b/>
                <w:bCs/>
                <w:sz w:val="22"/>
                <w:szCs w:val="22"/>
              </w:rPr>
              <w:t xml:space="preserve">more </w:t>
            </w:r>
            <w:r w:rsidRPr="006A0C4B">
              <w:rPr>
                <w:rFonts w:cs="Arial"/>
                <w:b/>
                <w:sz w:val="22"/>
                <w:szCs w:val="22"/>
              </w:rPr>
              <w:t>stretching</w:t>
            </w:r>
            <w:r>
              <w:rPr>
                <w:rFonts w:cs="Arial"/>
                <w:b/>
                <w:sz w:val="22"/>
                <w:szCs w:val="22"/>
              </w:rPr>
              <w:t xml:space="preserve"> and more technical challenging than Option 2.</w:t>
            </w:r>
          </w:p>
        </w:tc>
        <w:tc>
          <w:tcPr>
            <w:tcW w:w="2262" w:type="dxa"/>
          </w:tcPr>
          <w:p w14:paraId="075A7766" w14:textId="77777777" w:rsidR="00D34633" w:rsidRPr="006A0C4B" w:rsidRDefault="00D34633" w:rsidP="00807915">
            <w:pPr>
              <w:rPr>
                <w:rFonts w:cs="Arial"/>
                <w:sz w:val="22"/>
                <w:szCs w:val="22"/>
              </w:rPr>
            </w:pPr>
            <w:r w:rsidRPr="00A85DC4">
              <w:rPr>
                <w:rFonts w:cs="Arial"/>
                <w:sz w:val="22"/>
                <w:szCs w:val="22"/>
              </w:rPr>
              <w:t xml:space="preserve">Budget level is technically feasible, but </w:t>
            </w:r>
            <w:r>
              <w:rPr>
                <w:rFonts w:cs="Arial"/>
                <w:b/>
                <w:sz w:val="22"/>
                <w:szCs w:val="22"/>
              </w:rPr>
              <w:t>more technical challenging than Option 3 and might lead to non-economical outcomes.</w:t>
            </w:r>
          </w:p>
        </w:tc>
      </w:tr>
      <w:tr w:rsidR="00D34633" w:rsidRPr="00822E64" w14:paraId="67AFAC25" w14:textId="77777777" w:rsidTr="00807915">
        <w:trPr>
          <w:gridAfter w:val="1"/>
          <w:wAfter w:w="6" w:type="dxa"/>
          <w:trHeight w:val="687"/>
        </w:trPr>
        <w:tc>
          <w:tcPr>
            <w:tcW w:w="2263" w:type="dxa"/>
          </w:tcPr>
          <w:p w14:paraId="76BE153F" w14:textId="77777777" w:rsidR="00D34633" w:rsidRPr="006A0C4B" w:rsidRDefault="00D34633" w:rsidP="00807915">
            <w:pPr>
              <w:rPr>
                <w:rFonts w:cs="Arial"/>
                <w:sz w:val="22"/>
                <w:szCs w:val="22"/>
              </w:rPr>
            </w:pPr>
            <w:r w:rsidRPr="006A0C4B">
              <w:rPr>
                <w:rFonts w:cs="Arial"/>
                <w:sz w:val="22"/>
                <w:szCs w:val="22"/>
              </w:rPr>
              <w:lastRenderedPageBreak/>
              <w:t>2) Delivery implications</w:t>
            </w:r>
          </w:p>
        </w:tc>
        <w:tc>
          <w:tcPr>
            <w:tcW w:w="1843" w:type="dxa"/>
          </w:tcPr>
          <w:p w14:paraId="7541F9A9" w14:textId="77777777" w:rsidR="00D34633" w:rsidRPr="006A0C4B" w:rsidRDefault="00D34633" w:rsidP="00807915">
            <w:pPr>
              <w:rPr>
                <w:rFonts w:cs="Arial"/>
                <w:sz w:val="22"/>
                <w:szCs w:val="22"/>
              </w:rPr>
            </w:pPr>
            <w:r w:rsidRPr="006A0C4B">
              <w:rPr>
                <w:rFonts w:cs="Arial"/>
                <w:b/>
                <w:sz w:val="22"/>
                <w:szCs w:val="22"/>
              </w:rPr>
              <w:t>No delivery implications</w:t>
            </w:r>
            <w:r w:rsidRPr="006A0C4B">
              <w:rPr>
                <w:rFonts w:cs="Arial"/>
                <w:sz w:val="22"/>
                <w:szCs w:val="22"/>
              </w:rPr>
              <w:t>, as no additional abatement action beyond current policies necessary</w:t>
            </w:r>
            <w:r>
              <w:rPr>
                <w:rFonts w:cs="Arial"/>
                <w:sz w:val="22"/>
                <w:szCs w:val="22"/>
              </w:rPr>
              <w:t>.</w:t>
            </w:r>
            <w:r w:rsidRPr="006A0C4B">
              <w:rPr>
                <w:rFonts w:cs="Arial"/>
                <w:sz w:val="22"/>
                <w:szCs w:val="22"/>
              </w:rPr>
              <w:t xml:space="preserve"> </w:t>
            </w:r>
          </w:p>
        </w:tc>
        <w:tc>
          <w:tcPr>
            <w:tcW w:w="1843" w:type="dxa"/>
          </w:tcPr>
          <w:p w14:paraId="7F13B842" w14:textId="77777777" w:rsidR="00D34633" w:rsidRPr="006A0C4B" w:rsidRDefault="00D34633" w:rsidP="00807915">
            <w:pPr>
              <w:rPr>
                <w:rFonts w:cs="Arial"/>
                <w:sz w:val="22"/>
                <w:szCs w:val="22"/>
              </w:rPr>
            </w:pPr>
            <w:r w:rsidRPr="006A0C4B">
              <w:rPr>
                <w:rFonts w:cs="Arial"/>
                <w:sz w:val="22"/>
                <w:szCs w:val="22"/>
              </w:rPr>
              <w:t xml:space="preserve">Budget level is </w:t>
            </w:r>
            <w:r w:rsidRPr="006A0C4B">
              <w:rPr>
                <w:rFonts w:cs="Arial"/>
                <w:b/>
                <w:sz w:val="22"/>
                <w:szCs w:val="22"/>
              </w:rPr>
              <w:t>stretching</w:t>
            </w:r>
            <w:r w:rsidRPr="006A0C4B">
              <w:rPr>
                <w:rFonts w:cs="Arial"/>
                <w:sz w:val="22"/>
                <w:szCs w:val="22"/>
              </w:rPr>
              <w:t xml:space="preserve"> to deliver with </w:t>
            </w:r>
            <w:r w:rsidRPr="006A0C4B">
              <w:rPr>
                <w:rFonts w:cs="Arial"/>
                <w:b/>
                <w:sz w:val="22"/>
                <w:szCs w:val="22"/>
              </w:rPr>
              <w:t>barriers</w:t>
            </w:r>
            <w:r w:rsidRPr="006A0C4B">
              <w:rPr>
                <w:rFonts w:cs="Arial"/>
                <w:sz w:val="22"/>
                <w:szCs w:val="22"/>
              </w:rPr>
              <w:t xml:space="preserve"> of all types to overcome. </w:t>
            </w:r>
          </w:p>
        </w:tc>
        <w:tc>
          <w:tcPr>
            <w:tcW w:w="1984" w:type="dxa"/>
          </w:tcPr>
          <w:p w14:paraId="3290C386" w14:textId="77777777" w:rsidR="00D34633" w:rsidRPr="006A0C4B" w:rsidRDefault="00D34633" w:rsidP="00807915">
            <w:pPr>
              <w:rPr>
                <w:rFonts w:cs="Arial"/>
                <w:sz w:val="22"/>
                <w:szCs w:val="22"/>
              </w:rPr>
            </w:pPr>
            <w:r w:rsidRPr="006A0C4B">
              <w:rPr>
                <w:rFonts w:cs="Arial"/>
                <w:sz w:val="22"/>
                <w:szCs w:val="22"/>
              </w:rPr>
              <w:t xml:space="preserve">Budget level is </w:t>
            </w:r>
            <w:r>
              <w:rPr>
                <w:rFonts w:cs="Arial"/>
                <w:b/>
                <w:sz w:val="22"/>
                <w:szCs w:val="22"/>
              </w:rPr>
              <w:t xml:space="preserve">more challenging to deliver than Options 2 and more reliant on overcoming barriers. </w:t>
            </w:r>
            <w:r w:rsidRPr="006A0C4B">
              <w:rPr>
                <w:rFonts w:cs="Arial"/>
                <w:sz w:val="22"/>
                <w:szCs w:val="22"/>
              </w:rPr>
              <w:t xml:space="preserve"> </w:t>
            </w:r>
          </w:p>
        </w:tc>
        <w:tc>
          <w:tcPr>
            <w:tcW w:w="2262" w:type="dxa"/>
          </w:tcPr>
          <w:p w14:paraId="76A9B5C8" w14:textId="77777777" w:rsidR="00D34633" w:rsidRPr="006A0C4B" w:rsidRDefault="00D34633" w:rsidP="00807915">
            <w:pPr>
              <w:rPr>
                <w:rFonts w:cs="Arial"/>
                <w:sz w:val="22"/>
                <w:szCs w:val="22"/>
              </w:rPr>
            </w:pPr>
            <w:r w:rsidRPr="00A85DC4">
              <w:rPr>
                <w:rFonts w:cs="Arial"/>
                <w:sz w:val="22"/>
                <w:szCs w:val="22"/>
              </w:rPr>
              <w:t xml:space="preserve">Budget level is </w:t>
            </w:r>
            <w:r>
              <w:rPr>
                <w:rFonts w:cs="Arial"/>
                <w:b/>
                <w:sz w:val="22"/>
                <w:szCs w:val="22"/>
              </w:rPr>
              <w:t xml:space="preserve">more challenging to deliver than Options 3 and more reliant on overcoming barriers. </w:t>
            </w:r>
            <w:r w:rsidRPr="00A85DC4">
              <w:rPr>
                <w:rFonts w:cs="Arial"/>
                <w:sz w:val="22"/>
                <w:szCs w:val="22"/>
              </w:rPr>
              <w:t xml:space="preserve"> </w:t>
            </w:r>
          </w:p>
        </w:tc>
      </w:tr>
      <w:tr w:rsidR="00D34633" w:rsidRPr="00822E64" w14:paraId="76759276" w14:textId="77777777" w:rsidTr="00807915">
        <w:trPr>
          <w:gridAfter w:val="1"/>
          <w:wAfter w:w="6" w:type="dxa"/>
          <w:trHeight w:val="468"/>
        </w:trPr>
        <w:tc>
          <w:tcPr>
            <w:tcW w:w="2263" w:type="dxa"/>
          </w:tcPr>
          <w:p w14:paraId="596BF642" w14:textId="77777777" w:rsidR="00D34633" w:rsidRPr="006A0C4B" w:rsidRDefault="00D34633" w:rsidP="00807915">
            <w:pPr>
              <w:rPr>
                <w:rFonts w:cs="Arial"/>
                <w:sz w:val="22"/>
                <w:szCs w:val="22"/>
              </w:rPr>
            </w:pPr>
            <w:r w:rsidRPr="006A0C4B">
              <w:rPr>
                <w:rFonts w:cs="Arial"/>
                <w:sz w:val="22"/>
                <w:szCs w:val="22"/>
              </w:rPr>
              <w:t>3) International circumstances</w:t>
            </w:r>
          </w:p>
        </w:tc>
        <w:tc>
          <w:tcPr>
            <w:tcW w:w="1843" w:type="dxa"/>
          </w:tcPr>
          <w:p w14:paraId="1DD3349F" w14:textId="77777777" w:rsidR="00D34633" w:rsidRPr="006A0C4B" w:rsidRDefault="00D34633" w:rsidP="00807915">
            <w:pPr>
              <w:rPr>
                <w:rFonts w:cs="Arial"/>
                <w:sz w:val="22"/>
                <w:szCs w:val="22"/>
              </w:rPr>
            </w:pPr>
            <w:r w:rsidRPr="006A0C4B">
              <w:rPr>
                <w:rFonts w:cs="Arial"/>
                <w:b/>
                <w:sz w:val="22"/>
                <w:szCs w:val="22"/>
              </w:rPr>
              <w:t>Insufficient</w:t>
            </w:r>
            <w:r w:rsidRPr="006A0C4B">
              <w:rPr>
                <w:rFonts w:cs="Arial"/>
                <w:sz w:val="22"/>
                <w:szCs w:val="22"/>
              </w:rPr>
              <w:t xml:space="preserve"> to deliver the UK’s international ambition. </w:t>
            </w:r>
          </w:p>
        </w:tc>
        <w:tc>
          <w:tcPr>
            <w:tcW w:w="1843" w:type="dxa"/>
          </w:tcPr>
          <w:p w14:paraId="4A9667CA" w14:textId="77777777" w:rsidR="00D34633" w:rsidRPr="006A0C4B" w:rsidRDefault="00D34633" w:rsidP="00807915">
            <w:pPr>
              <w:rPr>
                <w:rFonts w:cs="Arial"/>
                <w:sz w:val="22"/>
                <w:szCs w:val="22"/>
              </w:rPr>
            </w:pPr>
            <w:r w:rsidRPr="006A0C4B">
              <w:rPr>
                <w:rFonts w:cs="Arial"/>
                <w:sz w:val="22"/>
                <w:szCs w:val="22"/>
              </w:rPr>
              <w:t xml:space="preserve">Budget level is consistent with </w:t>
            </w:r>
            <w:r>
              <w:rPr>
                <w:rFonts w:cs="Arial"/>
                <w:sz w:val="22"/>
                <w:szCs w:val="22"/>
              </w:rPr>
              <w:t>Paris Agreement temperature goal.</w:t>
            </w:r>
          </w:p>
        </w:tc>
        <w:tc>
          <w:tcPr>
            <w:tcW w:w="1984" w:type="dxa"/>
          </w:tcPr>
          <w:p w14:paraId="07189AC9" w14:textId="77777777" w:rsidR="00D34633" w:rsidRPr="006A0C4B" w:rsidRDefault="00D34633" w:rsidP="00807915">
            <w:pPr>
              <w:rPr>
                <w:rFonts w:cs="Arial"/>
                <w:sz w:val="22"/>
                <w:szCs w:val="22"/>
              </w:rPr>
            </w:pPr>
            <w:r w:rsidRPr="006A0C4B">
              <w:rPr>
                <w:rFonts w:cs="Arial"/>
                <w:sz w:val="22"/>
                <w:szCs w:val="22"/>
              </w:rPr>
              <w:t>Budget level is consistent with</w:t>
            </w:r>
            <w:r>
              <w:rPr>
                <w:rFonts w:cs="Arial"/>
                <w:sz w:val="22"/>
                <w:szCs w:val="22"/>
              </w:rPr>
              <w:t xml:space="preserve"> Paris Agreement temperature goal; likely to be perceived as internationally ambitious </w:t>
            </w:r>
            <w:r w:rsidRPr="001D0FE7">
              <w:rPr>
                <w:rFonts w:cs="Arial"/>
                <w:sz w:val="22"/>
                <w:szCs w:val="22"/>
              </w:rPr>
              <w:t>by delivering faster emission reductions and resulting in lower cumulative emissions</w:t>
            </w:r>
            <w:r>
              <w:rPr>
                <w:rFonts w:cs="Arial"/>
                <w:sz w:val="22"/>
                <w:szCs w:val="22"/>
              </w:rPr>
              <w:t xml:space="preserve"> than Option 2.</w:t>
            </w:r>
          </w:p>
        </w:tc>
        <w:tc>
          <w:tcPr>
            <w:tcW w:w="2262" w:type="dxa"/>
          </w:tcPr>
          <w:p w14:paraId="55F6C1CC" w14:textId="77777777" w:rsidR="00D34633" w:rsidRPr="006A0C4B" w:rsidRDefault="00D34633" w:rsidP="00807915">
            <w:pPr>
              <w:rPr>
                <w:rFonts w:cs="Arial"/>
                <w:sz w:val="22"/>
                <w:szCs w:val="22"/>
              </w:rPr>
            </w:pPr>
            <w:r w:rsidRPr="00FA7140">
              <w:rPr>
                <w:rFonts w:cs="Arial"/>
                <w:sz w:val="22"/>
                <w:szCs w:val="22"/>
              </w:rPr>
              <w:t>Budget level is consistent with</w:t>
            </w:r>
            <w:r>
              <w:rPr>
                <w:rFonts w:cs="Arial"/>
                <w:sz w:val="22"/>
                <w:szCs w:val="22"/>
              </w:rPr>
              <w:t xml:space="preserve"> Paris Agreement temperature goal; likely to be perceived as very internationally ambitious </w:t>
            </w:r>
            <w:r w:rsidRPr="001D0FE7">
              <w:rPr>
                <w:rFonts w:cs="Arial"/>
                <w:sz w:val="22"/>
                <w:szCs w:val="22"/>
              </w:rPr>
              <w:t>by delivering faster emission reductions and resulting in lower cumulative emissions</w:t>
            </w:r>
            <w:r>
              <w:rPr>
                <w:rFonts w:cs="Arial"/>
                <w:sz w:val="22"/>
                <w:szCs w:val="22"/>
              </w:rPr>
              <w:t xml:space="preserve"> than Option 3.</w:t>
            </w:r>
          </w:p>
        </w:tc>
      </w:tr>
      <w:tr w:rsidR="00D34633" w:rsidRPr="00822E64" w14:paraId="609E69F7" w14:textId="77777777" w:rsidTr="00807915">
        <w:trPr>
          <w:gridAfter w:val="1"/>
          <w:wAfter w:w="6" w:type="dxa"/>
          <w:trHeight w:val="528"/>
        </w:trPr>
        <w:tc>
          <w:tcPr>
            <w:tcW w:w="2263" w:type="dxa"/>
          </w:tcPr>
          <w:p w14:paraId="1780B387" w14:textId="77777777" w:rsidR="00D34633" w:rsidRPr="006A0C4B" w:rsidRDefault="00D34633" w:rsidP="00807915">
            <w:pPr>
              <w:rPr>
                <w:rFonts w:cs="Arial"/>
                <w:sz w:val="22"/>
                <w:szCs w:val="22"/>
              </w:rPr>
            </w:pPr>
            <w:r w:rsidRPr="006A0C4B">
              <w:rPr>
                <w:rFonts w:cs="Arial"/>
                <w:sz w:val="22"/>
                <w:szCs w:val="22"/>
              </w:rPr>
              <w:t>4) Quantified cost &amp; benefits</w:t>
            </w:r>
          </w:p>
        </w:tc>
        <w:tc>
          <w:tcPr>
            <w:tcW w:w="7932" w:type="dxa"/>
            <w:gridSpan w:val="4"/>
          </w:tcPr>
          <w:p w14:paraId="3F7402DB" w14:textId="77777777" w:rsidR="00D34633" w:rsidRPr="006A0C4B" w:rsidRDefault="00D34633" w:rsidP="00807915">
            <w:pPr>
              <w:rPr>
                <w:rFonts w:cs="Arial"/>
                <w:sz w:val="22"/>
                <w:szCs w:val="22"/>
              </w:rPr>
            </w:pPr>
          </w:p>
        </w:tc>
      </w:tr>
      <w:tr w:rsidR="00D34633" w:rsidRPr="00822E64" w14:paraId="10EC207C" w14:textId="77777777" w:rsidTr="00807915">
        <w:trPr>
          <w:gridAfter w:val="1"/>
          <w:wAfter w:w="6" w:type="dxa"/>
          <w:trHeight w:val="687"/>
        </w:trPr>
        <w:tc>
          <w:tcPr>
            <w:tcW w:w="2263" w:type="dxa"/>
          </w:tcPr>
          <w:p w14:paraId="385423D7" w14:textId="77777777" w:rsidR="00D34633" w:rsidRPr="006A0C4B" w:rsidRDefault="00D34633" w:rsidP="00807915">
            <w:pPr>
              <w:rPr>
                <w:rFonts w:cs="Arial"/>
                <w:sz w:val="22"/>
                <w:szCs w:val="22"/>
              </w:rPr>
            </w:pPr>
            <w:r w:rsidRPr="006A0C4B">
              <w:rPr>
                <w:rFonts w:cs="Arial"/>
                <w:sz w:val="22"/>
                <w:szCs w:val="22"/>
              </w:rPr>
              <w:t xml:space="preserve">Indicative NPV of core scenario </w:t>
            </w:r>
            <w:r>
              <w:rPr>
                <w:rFonts w:cs="Arial"/>
                <w:sz w:val="22"/>
                <w:szCs w:val="22"/>
              </w:rPr>
              <w:t>2020-2050</w:t>
            </w:r>
            <w:r w:rsidRPr="006A0C4B">
              <w:rPr>
                <w:rFonts w:cs="Arial"/>
                <w:sz w:val="22"/>
                <w:szCs w:val="22"/>
              </w:rPr>
              <w:t xml:space="preserve"> (£bn, 2019), range </w:t>
            </w:r>
            <w:r>
              <w:rPr>
                <w:rFonts w:cs="Arial"/>
                <w:sz w:val="22"/>
                <w:szCs w:val="22"/>
              </w:rPr>
              <w:t>shown in brackets</w:t>
            </w:r>
          </w:p>
        </w:tc>
        <w:tc>
          <w:tcPr>
            <w:tcW w:w="1843" w:type="dxa"/>
          </w:tcPr>
          <w:p w14:paraId="0EEFB34B" w14:textId="77777777" w:rsidR="00D34633" w:rsidRPr="006A0C4B" w:rsidRDefault="00D34633" w:rsidP="00807915">
            <w:pPr>
              <w:jc w:val="right"/>
              <w:rPr>
                <w:rFonts w:cs="Arial"/>
                <w:sz w:val="22"/>
                <w:szCs w:val="22"/>
              </w:rPr>
            </w:pPr>
            <w:r w:rsidRPr="006A0C4B">
              <w:rPr>
                <w:rFonts w:cs="Arial"/>
                <w:sz w:val="22"/>
                <w:szCs w:val="22"/>
              </w:rPr>
              <w:t>0</w:t>
            </w:r>
          </w:p>
        </w:tc>
        <w:tc>
          <w:tcPr>
            <w:tcW w:w="1843" w:type="dxa"/>
          </w:tcPr>
          <w:p w14:paraId="1CBE02F7" w14:textId="77777777" w:rsidR="00D34633" w:rsidRPr="006A0C4B" w:rsidRDefault="00D34633" w:rsidP="00807915">
            <w:pPr>
              <w:jc w:val="right"/>
              <w:rPr>
                <w:rFonts w:cs="Arial"/>
                <w:sz w:val="22"/>
                <w:szCs w:val="22"/>
              </w:rPr>
            </w:pPr>
            <w:r w:rsidRPr="006A0C4B">
              <w:rPr>
                <w:rFonts w:cs="Arial"/>
                <w:sz w:val="22"/>
                <w:szCs w:val="22"/>
              </w:rPr>
              <w:t>289</w:t>
            </w:r>
          </w:p>
          <w:p w14:paraId="4084727B" w14:textId="77777777" w:rsidR="00D34633" w:rsidRPr="006A0C4B" w:rsidRDefault="00D34633" w:rsidP="00807915">
            <w:pPr>
              <w:jc w:val="right"/>
              <w:rPr>
                <w:rFonts w:cs="Arial"/>
                <w:sz w:val="22"/>
                <w:szCs w:val="22"/>
              </w:rPr>
            </w:pPr>
            <w:r w:rsidRPr="006A0C4B">
              <w:rPr>
                <w:rFonts w:cs="Arial"/>
                <w:sz w:val="22"/>
                <w:szCs w:val="22"/>
              </w:rPr>
              <w:t>(176-330)</w:t>
            </w:r>
          </w:p>
        </w:tc>
        <w:tc>
          <w:tcPr>
            <w:tcW w:w="1984" w:type="dxa"/>
          </w:tcPr>
          <w:p w14:paraId="3428ADBA" w14:textId="77777777" w:rsidR="00D34633" w:rsidRPr="006A0C4B" w:rsidRDefault="00D34633" w:rsidP="00807915">
            <w:pPr>
              <w:jc w:val="right"/>
              <w:rPr>
                <w:rFonts w:cs="Arial"/>
                <w:sz w:val="22"/>
                <w:szCs w:val="22"/>
              </w:rPr>
            </w:pPr>
            <w:r w:rsidRPr="006A0C4B">
              <w:rPr>
                <w:rFonts w:cs="Arial"/>
                <w:sz w:val="22"/>
                <w:szCs w:val="22"/>
              </w:rPr>
              <w:t>266</w:t>
            </w:r>
          </w:p>
          <w:p w14:paraId="179D98A2" w14:textId="77777777" w:rsidR="00D34633" w:rsidRPr="006A0C4B" w:rsidRDefault="00D34633" w:rsidP="00807915">
            <w:pPr>
              <w:jc w:val="right"/>
              <w:rPr>
                <w:rFonts w:cs="Arial"/>
                <w:sz w:val="22"/>
                <w:szCs w:val="22"/>
              </w:rPr>
            </w:pPr>
            <w:r w:rsidRPr="006A0C4B">
              <w:rPr>
                <w:rFonts w:cs="Arial"/>
                <w:sz w:val="22"/>
                <w:szCs w:val="22"/>
              </w:rPr>
              <w:t>(127-292)</w:t>
            </w:r>
          </w:p>
        </w:tc>
        <w:tc>
          <w:tcPr>
            <w:tcW w:w="2262" w:type="dxa"/>
          </w:tcPr>
          <w:p w14:paraId="13F52D16" w14:textId="77777777" w:rsidR="00D34633" w:rsidRPr="006A0C4B" w:rsidRDefault="00D34633" w:rsidP="00807915">
            <w:pPr>
              <w:jc w:val="right"/>
              <w:rPr>
                <w:rFonts w:cs="Arial"/>
                <w:sz w:val="22"/>
                <w:szCs w:val="22"/>
              </w:rPr>
            </w:pPr>
            <w:r w:rsidRPr="006A0C4B">
              <w:rPr>
                <w:rFonts w:cs="Arial"/>
                <w:sz w:val="22"/>
                <w:szCs w:val="22"/>
              </w:rPr>
              <w:t>211</w:t>
            </w:r>
          </w:p>
          <w:p w14:paraId="3FCF5B3E" w14:textId="77777777" w:rsidR="00D34633" w:rsidRPr="006A0C4B" w:rsidRDefault="00D34633" w:rsidP="00807915">
            <w:pPr>
              <w:jc w:val="right"/>
              <w:rPr>
                <w:rFonts w:cs="Arial"/>
                <w:sz w:val="22"/>
                <w:szCs w:val="22"/>
              </w:rPr>
            </w:pPr>
            <w:r w:rsidRPr="006A0C4B">
              <w:rPr>
                <w:rFonts w:cs="Arial"/>
                <w:sz w:val="22"/>
                <w:szCs w:val="22"/>
              </w:rPr>
              <w:t>(67-249)</w:t>
            </w:r>
          </w:p>
        </w:tc>
      </w:tr>
      <w:tr w:rsidR="00D34633" w:rsidRPr="00822E64" w14:paraId="2572F152" w14:textId="77777777" w:rsidTr="00807915">
        <w:trPr>
          <w:trHeight w:val="324"/>
        </w:trPr>
        <w:tc>
          <w:tcPr>
            <w:tcW w:w="2263" w:type="dxa"/>
          </w:tcPr>
          <w:p w14:paraId="4DA6E90C" w14:textId="77777777" w:rsidR="00D34633" w:rsidRPr="003465CE" w:rsidRDefault="00D34633" w:rsidP="00807915">
            <w:pPr>
              <w:rPr>
                <w:rFonts w:cs="Arial"/>
                <w:sz w:val="22"/>
                <w:szCs w:val="22"/>
              </w:rPr>
            </w:pPr>
            <w:r>
              <w:rPr>
                <w:rFonts w:cs="Arial"/>
                <w:sz w:val="22"/>
                <w:szCs w:val="22"/>
              </w:rPr>
              <w:t>Composition of NPV:</w:t>
            </w:r>
          </w:p>
        </w:tc>
        <w:tc>
          <w:tcPr>
            <w:tcW w:w="7938" w:type="dxa"/>
            <w:gridSpan w:val="5"/>
          </w:tcPr>
          <w:p w14:paraId="17474D73" w14:textId="77777777" w:rsidR="00D34633" w:rsidRPr="00971C44" w:rsidRDefault="00D34633" w:rsidP="00807915">
            <w:pPr>
              <w:jc w:val="right"/>
              <w:rPr>
                <w:rFonts w:cs="Arial"/>
                <w:sz w:val="22"/>
                <w:szCs w:val="22"/>
              </w:rPr>
            </w:pPr>
          </w:p>
        </w:tc>
      </w:tr>
      <w:tr w:rsidR="00D34633" w:rsidRPr="00822E64" w14:paraId="4A46C627" w14:textId="77777777" w:rsidTr="00807915">
        <w:trPr>
          <w:gridAfter w:val="1"/>
          <w:wAfter w:w="6" w:type="dxa"/>
          <w:trHeight w:val="324"/>
        </w:trPr>
        <w:tc>
          <w:tcPr>
            <w:tcW w:w="2263" w:type="dxa"/>
          </w:tcPr>
          <w:p w14:paraId="45A0A7A3" w14:textId="77777777" w:rsidR="00D34633" w:rsidRPr="006A0C4B" w:rsidRDefault="00D34633" w:rsidP="00807915">
            <w:pPr>
              <w:jc w:val="right"/>
              <w:rPr>
                <w:rFonts w:cs="Arial"/>
                <w:sz w:val="22"/>
                <w:szCs w:val="22"/>
              </w:rPr>
            </w:pPr>
            <w:r w:rsidRPr="00CA075A">
              <w:rPr>
                <w:rFonts w:cs="Arial"/>
                <w:b/>
                <w:sz w:val="22"/>
                <w:szCs w:val="22"/>
              </w:rPr>
              <w:t>Costs</w:t>
            </w:r>
            <w:r>
              <w:rPr>
                <w:rFonts w:cs="Arial"/>
                <w:sz w:val="22"/>
                <w:szCs w:val="22"/>
              </w:rPr>
              <w:t xml:space="preserve"> of core scenario 2020-2050 (Present Value, £bn, 2019), </w:t>
            </w:r>
          </w:p>
        </w:tc>
        <w:tc>
          <w:tcPr>
            <w:tcW w:w="1843" w:type="dxa"/>
          </w:tcPr>
          <w:p w14:paraId="3F4BF1AE" w14:textId="77777777" w:rsidR="00D34633" w:rsidRPr="006A0C4B" w:rsidRDefault="00D34633" w:rsidP="00807915">
            <w:pPr>
              <w:jc w:val="right"/>
              <w:rPr>
                <w:rFonts w:cs="Arial"/>
                <w:sz w:val="22"/>
                <w:szCs w:val="22"/>
              </w:rPr>
            </w:pPr>
            <w:r w:rsidRPr="006A0C4B">
              <w:rPr>
                <w:rFonts w:cs="Arial"/>
                <w:sz w:val="22"/>
                <w:szCs w:val="22"/>
              </w:rPr>
              <w:t>0</w:t>
            </w:r>
          </w:p>
        </w:tc>
        <w:tc>
          <w:tcPr>
            <w:tcW w:w="1843" w:type="dxa"/>
          </w:tcPr>
          <w:p w14:paraId="5F837567" w14:textId="77777777" w:rsidR="00D34633" w:rsidRPr="006A0C4B" w:rsidRDefault="00D34633" w:rsidP="00807915">
            <w:pPr>
              <w:jc w:val="right"/>
              <w:rPr>
                <w:rFonts w:cs="Arial"/>
                <w:sz w:val="22"/>
                <w:szCs w:val="22"/>
              </w:rPr>
            </w:pPr>
            <w:r w:rsidRPr="006A0C4B">
              <w:rPr>
                <w:rFonts w:cs="Arial"/>
                <w:sz w:val="22"/>
                <w:szCs w:val="22"/>
              </w:rPr>
              <w:t>589</w:t>
            </w:r>
          </w:p>
          <w:p w14:paraId="513BDE69" w14:textId="77777777" w:rsidR="00D34633" w:rsidRPr="006A0C4B" w:rsidRDefault="00D34633" w:rsidP="00807915">
            <w:pPr>
              <w:jc w:val="right"/>
              <w:rPr>
                <w:rFonts w:cs="Arial"/>
                <w:sz w:val="22"/>
                <w:szCs w:val="22"/>
              </w:rPr>
            </w:pPr>
            <w:r w:rsidRPr="006A0C4B">
              <w:rPr>
                <w:rFonts w:cs="Arial"/>
                <w:sz w:val="22"/>
                <w:szCs w:val="22"/>
              </w:rPr>
              <w:t>(554-710)</w:t>
            </w:r>
          </w:p>
        </w:tc>
        <w:tc>
          <w:tcPr>
            <w:tcW w:w="1984" w:type="dxa"/>
          </w:tcPr>
          <w:p w14:paraId="00D054DD" w14:textId="77777777" w:rsidR="00D34633" w:rsidRPr="006A0C4B" w:rsidRDefault="00D34633" w:rsidP="00807915">
            <w:pPr>
              <w:jc w:val="right"/>
              <w:rPr>
                <w:rFonts w:cs="Arial"/>
                <w:sz w:val="22"/>
                <w:szCs w:val="22"/>
              </w:rPr>
            </w:pPr>
            <w:r w:rsidRPr="006A0C4B">
              <w:rPr>
                <w:rFonts w:cs="Arial"/>
                <w:sz w:val="22"/>
                <w:szCs w:val="22"/>
              </w:rPr>
              <w:t>651</w:t>
            </w:r>
          </w:p>
          <w:p w14:paraId="53545948" w14:textId="77777777" w:rsidR="00D34633" w:rsidRPr="006A0C4B" w:rsidRDefault="00D34633" w:rsidP="00807915">
            <w:pPr>
              <w:jc w:val="right"/>
              <w:rPr>
                <w:rFonts w:cs="Arial"/>
                <w:sz w:val="22"/>
                <w:szCs w:val="22"/>
              </w:rPr>
            </w:pPr>
            <w:r w:rsidRPr="006A0C4B">
              <w:rPr>
                <w:rFonts w:cs="Arial"/>
                <w:sz w:val="22"/>
                <w:szCs w:val="22"/>
              </w:rPr>
              <w:t>(622-775)</w:t>
            </w:r>
          </w:p>
        </w:tc>
        <w:tc>
          <w:tcPr>
            <w:tcW w:w="2262" w:type="dxa"/>
          </w:tcPr>
          <w:p w14:paraId="65F2056F" w14:textId="77777777" w:rsidR="00D34633" w:rsidRPr="006A0C4B" w:rsidRDefault="00D34633" w:rsidP="00807915">
            <w:pPr>
              <w:jc w:val="right"/>
              <w:rPr>
                <w:rFonts w:cs="Arial"/>
                <w:sz w:val="22"/>
                <w:szCs w:val="22"/>
              </w:rPr>
            </w:pPr>
            <w:r w:rsidRPr="006A0C4B">
              <w:rPr>
                <w:rFonts w:cs="Arial"/>
                <w:sz w:val="22"/>
                <w:szCs w:val="22"/>
              </w:rPr>
              <w:t>725</w:t>
            </w:r>
          </w:p>
          <w:p w14:paraId="10C7564F" w14:textId="77777777" w:rsidR="00D34633" w:rsidRPr="006A0C4B" w:rsidRDefault="00D34633" w:rsidP="00807915">
            <w:pPr>
              <w:jc w:val="right"/>
              <w:rPr>
                <w:rFonts w:cs="Arial"/>
                <w:sz w:val="22"/>
                <w:szCs w:val="22"/>
              </w:rPr>
            </w:pPr>
            <w:r w:rsidRPr="7E68ECA6">
              <w:rPr>
                <w:rFonts w:cs="Arial"/>
                <w:sz w:val="22"/>
                <w:szCs w:val="22"/>
              </w:rPr>
              <w:t>(</w:t>
            </w:r>
            <w:r w:rsidRPr="008D5950">
              <w:rPr>
                <w:rFonts w:cs="Arial"/>
                <w:sz w:val="22"/>
                <w:szCs w:val="22"/>
              </w:rPr>
              <w:t>693-865)</w:t>
            </w:r>
          </w:p>
        </w:tc>
      </w:tr>
      <w:tr w:rsidR="00D34633" w:rsidRPr="00822E64" w14:paraId="5331E9FC" w14:textId="77777777" w:rsidTr="00807915">
        <w:trPr>
          <w:trHeight w:val="324"/>
        </w:trPr>
        <w:tc>
          <w:tcPr>
            <w:tcW w:w="2263" w:type="dxa"/>
          </w:tcPr>
          <w:p w14:paraId="182C9B84" w14:textId="77777777" w:rsidR="00D34633" w:rsidRPr="006A0C4B" w:rsidRDefault="00D34633" w:rsidP="00807915">
            <w:pPr>
              <w:jc w:val="right"/>
              <w:rPr>
                <w:rFonts w:cs="Arial"/>
                <w:sz w:val="22"/>
                <w:szCs w:val="22"/>
              </w:rPr>
            </w:pPr>
            <w:r w:rsidRPr="00CA075A">
              <w:rPr>
                <w:rFonts w:cs="Arial"/>
                <w:b/>
                <w:sz w:val="22"/>
                <w:szCs w:val="22"/>
              </w:rPr>
              <w:t>Benefits</w:t>
            </w:r>
            <w:r>
              <w:rPr>
                <w:rFonts w:cs="Arial"/>
                <w:sz w:val="22"/>
                <w:szCs w:val="22"/>
              </w:rPr>
              <w:t xml:space="preserve"> of core scenario 2020-2050  (Present Value, £bn, 2019)</w:t>
            </w:r>
          </w:p>
        </w:tc>
        <w:tc>
          <w:tcPr>
            <w:tcW w:w="1843" w:type="dxa"/>
          </w:tcPr>
          <w:p w14:paraId="0256C629" w14:textId="77777777" w:rsidR="00D34633" w:rsidRPr="006A0C4B" w:rsidRDefault="00D34633" w:rsidP="00807915">
            <w:pPr>
              <w:jc w:val="right"/>
              <w:rPr>
                <w:rFonts w:cs="Arial"/>
                <w:sz w:val="22"/>
                <w:szCs w:val="22"/>
              </w:rPr>
            </w:pPr>
            <w:r w:rsidRPr="006A0C4B">
              <w:rPr>
                <w:rFonts w:cs="Arial"/>
                <w:sz w:val="22"/>
                <w:szCs w:val="22"/>
              </w:rPr>
              <w:t>0</w:t>
            </w:r>
          </w:p>
        </w:tc>
        <w:tc>
          <w:tcPr>
            <w:tcW w:w="1843" w:type="dxa"/>
          </w:tcPr>
          <w:p w14:paraId="55FCD701" w14:textId="77777777" w:rsidR="00D34633" w:rsidRPr="006A0C4B" w:rsidRDefault="00D34633" w:rsidP="00807915">
            <w:pPr>
              <w:jc w:val="right"/>
              <w:rPr>
                <w:rFonts w:cs="Arial"/>
                <w:sz w:val="22"/>
                <w:szCs w:val="22"/>
              </w:rPr>
            </w:pPr>
            <w:r w:rsidRPr="006A0C4B">
              <w:rPr>
                <w:rFonts w:cs="Arial"/>
                <w:sz w:val="22"/>
                <w:szCs w:val="22"/>
              </w:rPr>
              <w:t>879</w:t>
            </w:r>
          </w:p>
          <w:p w14:paraId="5FD11F79" w14:textId="77777777" w:rsidR="00D34633" w:rsidRPr="006A0C4B" w:rsidRDefault="00D34633" w:rsidP="00807915">
            <w:pPr>
              <w:jc w:val="right"/>
              <w:rPr>
                <w:rFonts w:cs="Arial"/>
                <w:sz w:val="22"/>
                <w:szCs w:val="22"/>
              </w:rPr>
            </w:pPr>
            <w:r w:rsidRPr="006A0C4B">
              <w:rPr>
                <w:rFonts w:cs="Arial"/>
                <w:sz w:val="22"/>
                <w:szCs w:val="22"/>
              </w:rPr>
              <w:t>(873-886)</w:t>
            </w:r>
          </w:p>
        </w:tc>
        <w:tc>
          <w:tcPr>
            <w:tcW w:w="1984" w:type="dxa"/>
          </w:tcPr>
          <w:p w14:paraId="74B15B31" w14:textId="77777777" w:rsidR="00D34633" w:rsidRPr="006A0C4B" w:rsidRDefault="00D34633" w:rsidP="00807915">
            <w:pPr>
              <w:jc w:val="right"/>
              <w:rPr>
                <w:rFonts w:cs="Arial"/>
                <w:sz w:val="22"/>
                <w:szCs w:val="22"/>
              </w:rPr>
            </w:pPr>
            <w:r w:rsidRPr="006A0C4B">
              <w:rPr>
                <w:rFonts w:cs="Arial"/>
                <w:sz w:val="22"/>
                <w:szCs w:val="22"/>
              </w:rPr>
              <w:t>918</w:t>
            </w:r>
          </w:p>
          <w:p w14:paraId="530458C4" w14:textId="77777777" w:rsidR="00D34633" w:rsidRPr="006A0C4B" w:rsidRDefault="00D34633" w:rsidP="00807915">
            <w:pPr>
              <w:jc w:val="right"/>
              <w:rPr>
                <w:rFonts w:cs="Arial"/>
                <w:sz w:val="22"/>
                <w:szCs w:val="22"/>
              </w:rPr>
            </w:pPr>
            <w:r w:rsidRPr="006A0C4B">
              <w:rPr>
                <w:rFonts w:cs="Arial"/>
                <w:sz w:val="22"/>
                <w:szCs w:val="22"/>
              </w:rPr>
              <w:t>(896-918)</w:t>
            </w:r>
          </w:p>
        </w:tc>
        <w:tc>
          <w:tcPr>
            <w:tcW w:w="2268" w:type="dxa"/>
            <w:gridSpan w:val="2"/>
          </w:tcPr>
          <w:p w14:paraId="68CE3BAE" w14:textId="77777777" w:rsidR="00D34633" w:rsidRPr="006A0C4B" w:rsidRDefault="00D34633" w:rsidP="00807915">
            <w:pPr>
              <w:jc w:val="right"/>
              <w:rPr>
                <w:rFonts w:cs="Arial"/>
                <w:sz w:val="22"/>
                <w:szCs w:val="22"/>
              </w:rPr>
            </w:pPr>
            <w:r w:rsidRPr="006A0C4B">
              <w:rPr>
                <w:rFonts w:cs="Arial"/>
                <w:sz w:val="22"/>
                <w:szCs w:val="22"/>
              </w:rPr>
              <w:t>936</w:t>
            </w:r>
          </w:p>
          <w:p w14:paraId="4AD4724E" w14:textId="77777777" w:rsidR="00D34633" w:rsidRPr="006A0C4B" w:rsidRDefault="00D34633" w:rsidP="00807915">
            <w:pPr>
              <w:jc w:val="right"/>
              <w:rPr>
                <w:rFonts w:cs="Arial"/>
                <w:sz w:val="22"/>
                <w:szCs w:val="22"/>
              </w:rPr>
            </w:pPr>
            <w:r w:rsidRPr="006A0C4B">
              <w:rPr>
                <w:rFonts w:cs="Arial"/>
                <w:sz w:val="22"/>
                <w:szCs w:val="22"/>
              </w:rPr>
              <w:t>(927-941)</w:t>
            </w:r>
          </w:p>
        </w:tc>
      </w:tr>
      <w:tr w:rsidR="00D34633" w:rsidRPr="00822E64" w14:paraId="7F2E9A63" w14:textId="77777777" w:rsidTr="00807915">
        <w:trPr>
          <w:gridAfter w:val="1"/>
          <w:wAfter w:w="6" w:type="dxa"/>
          <w:trHeight w:val="570"/>
        </w:trPr>
        <w:tc>
          <w:tcPr>
            <w:tcW w:w="2263" w:type="dxa"/>
          </w:tcPr>
          <w:p w14:paraId="3CEA459C" w14:textId="77777777" w:rsidR="00D34633" w:rsidRPr="006A0C4B" w:rsidRDefault="00D34633" w:rsidP="00807915">
            <w:pPr>
              <w:rPr>
                <w:rFonts w:cs="Arial"/>
                <w:sz w:val="22"/>
                <w:szCs w:val="22"/>
              </w:rPr>
            </w:pPr>
            <w:r w:rsidRPr="006A0C4B">
              <w:rPr>
                <w:rFonts w:cs="Arial"/>
                <w:sz w:val="22"/>
                <w:szCs w:val="22"/>
              </w:rPr>
              <w:t>5) Unquantified costs and benefits and wider impacts</w:t>
            </w:r>
          </w:p>
        </w:tc>
        <w:tc>
          <w:tcPr>
            <w:tcW w:w="7932" w:type="dxa"/>
            <w:gridSpan w:val="4"/>
          </w:tcPr>
          <w:p w14:paraId="027D3C14" w14:textId="77777777" w:rsidR="00D34633" w:rsidRDefault="00D34633" w:rsidP="00807915">
            <w:pPr>
              <w:rPr>
                <w:rFonts w:cs="Arial"/>
                <w:sz w:val="22"/>
                <w:szCs w:val="22"/>
              </w:rPr>
            </w:pPr>
            <w:r>
              <w:rPr>
                <w:rFonts w:cs="Arial"/>
                <w:iCs/>
                <w:sz w:val="22"/>
                <w:szCs w:val="22"/>
              </w:rPr>
              <w:t>With the right policies there is potential for greater unquantified economic benefits for the tighter budget options, such as innovation and export opportunities.</w:t>
            </w:r>
          </w:p>
          <w:p w14:paraId="19768CE8" w14:textId="77777777" w:rsidR="00D34633" w:rsidRDefault="00D34633" w:rsidP="00807915">
            <w:pPr>
              <w:rPr>
                <w:rFonts w:cs="Arial"/>
                <w:sz w:val="22"/>
                <w:szCs w:val="22"/>
              </w:rPr>
            </w:pPr>
          </w:p>
          <w:p w14:paraId="74085841" w14:textId="6CA6C5DD" w:rsidR="00D34633" w:rsidRPr="006A0C4B" w:rsidRDefault="00D34633" w:rsidP="00807915">
            <w:pPr>
              <w:rPr>
                <w:rFonts w:cs="Arial"/>
                <w:sz w:val="22"/>
                <w:szCs w:val="22"/>
              </w:rPr>
            </w:pPr>
            <w:r>
              <w:rPr>
                <w:rFonts w:cs="Arial"/>
                <w:sz w:val="22"/>
                <w:szCs w:val="22"/>
              </w:rPr>
              <w:t>Those factors that must be considered under the</w:t>
            </w:r>
            <w:r w:rsidRPr="006A0C4B">
              <w:rPr>
                <w:rFonts w:cs="Arial"/>
                <w:sz w:val="22"/>
                <w:szCs w:val="22"/>
              </w:rPr>
              <w:t xml:space="preserve"> Climate Change Act </w:t>
            </w:r>
            <w:r>
              <w:rPr>
                <w:rFonts w:cs="Arial"/>
                <w:iCs/>
                <w:sz w:val="22"/>
                <w:szCs w:val="22"/>
              </w:rPr>
              <w:t xml:space="preserve">that are not covered above </w:t>
            </w:r>
            <w:r>
              <w:rPr>
                <w:rFonts w:cs="Arial"/>
                <w:sz w:val="22"/>
                <w:szCs w:val="22"/>
              </w:rPr>
              <w:t>(climate change science, economic, social and fiscal circumstances, energy policy)</w:t>
            </w:r>
            <w:r>
              <w:rPr>
                <w:rFonts w:cs="Arial"/>
                <w:iCs/>
                <w:sz w:val="22"/>
                <w:szCs w:val="22"/>
              </w:rPr>
              <w:t xml:space="preserve"> are summarised in table </w:t>
            </w:r>
            <w:r w:rsidR="00197095">
              <w:rPr>
                <w:rFonts w:cs="Arial"/>
                <w:iCs/>
                <w:sz w:val="22"/>
                <w:szCs w:val="22"/>
              </w:rPr>
              <w:t>2</w:t>
            </w:r>
            <w:r w:rsidR="008F1C9E">
              <w:rPr>
                <w:rFonts w:cs="Arial"/>
                <w:iCs/>
                <w:sz w:val="22"/>
                <w:szCs w:val="22"/>
              </w:rPr>
              <w:t>1</w:t>
            </w:r>
            <w:r>
              <w:rPr>
                <w:rFonts w:cs="Arial"/>
                <w:iCs/>
                <w:sz w:val="22"/>
                <w:szCs w:val="22"/>
              </w:rPr>
              <w:t xml:space="preserve">. </w:t>
            </w:r>
          </w:p>
        </w:tc>
      </w:tr>
    </w:tbl>
    <w:p w14:paraId="640960C5" w14:textId="77777777" w:rsidR="00DB164A" w:rsidRDefault="00DB164A">
      <w:pPr>
        <w:rPr>
          <w:sz w:val="22"/>
          <w:szCs w:val="22"/>
        </w:rPr>
      </w:pPr>
    </w:p>
    <w:p w14:paraId="4D4CC2A3" w14:textId="77777777" w:rsidR="00DB020F" w:rsidRDefault="00DB020F" w:rsidP="004A1285">
      <w:pPr>
        <w:spacing w:after="120"/>
        <w:rPr>
          <w:i/>
          <w:iCs/>
          <w:sz w:val="22"/>
          <w:szCs w:val="22"/>
        </w:rPr>
      </w:pPr>
    </w:p>
    <w:p w14:paraId="1C6B1333" w14:textId="77777777" w:rsidR="00DB020F" w:rsidRDefault="00DB020F" w:rsidP="004A1285">
      <w:pPr>
        <w:spacing w:after="120"/>
        <w:rPr>
          <w:i/>
          <w:iCs/>
          <w:sz w:val="22"/>
          <w:szCs w:val="22"/>
        </w:rPr>
      </w:pPr>
    </w:p>
    <w:p w14:paraId="0012C11E" w14:textId="77777777" w:rsidR="00DB020F" w:rsidRDefault="00DB020F" w:rsidP="004A1285">
      <w:pPr>
        <w:spacing w:after="120"/>
        <w:rPr>
          <w:i/>
          <w:iCs/>
          <w:sz w:val="22"/>
          <w:szCs w:val="22"/>
        </w:rPr>
      </w:pPr>
    </w:p>
    <w:p w14:paraId="64338517" w14:textId="77777777" w:rsidR="00DB020F" w:rsidRDefault="00DB020F" w:rsidP="004A1285">
      <w:pPr>
        <w:spacing w:after="120"/>
        <w:rPr>
          <w:i/>
          <w:iCs/>
          <w:sz w:val="22"/>
          <w:szCs w:val="22"/>
        </w:rPr>
      </w:pPr>
    </w:p>
    <w:p w14:paraId="65E72F89" w14:textId="77777777" w:rsidR="00A11898" w:rsidRDefault="00A11898" w:rsidP="004A1285">
      <w:pPr>
        <w:spacing w:after="120"/>
        <w:rPr>
          <w:i/>
          <w:iCs/>
          <w:sz w:val="22"/>
          <w:szCs w:val="22"/>
        </w:rPr>
      </w:pPr>
    </w:p>
    <w:p w14:paraId="7E6A1FB4" w14:textId="2785A8CF" w:rsidR="00861D79" w:rsidRPr="006A0C4B" w:rsidRDefault="00807D9D" w:rsidP="004A1285">
      <w:pPr>
        <w:spacing w:after="120"/>
        <w:rPr>
          <w:i/>
          <w:sz w:val="22"/>
          <w:szCs w:val="22"/>
        </w:rPr>
      </w:pPr>
      <w:r>
        <w:rPr>
          <w:i/>
          <w:iCs/>
          <w:sz w:val="22"/>
          <w:szCs w:val="22"/>
        </w:rPr>
        <w:lastRenderedPageBreak/>
        <w:t xml:space="preserve">Table </w:t>
      </w:r>
      <w:r w:rsidR="008967C7">
        <w:rPr>
          <w:i/>
          <w:iCs/>
          <w:sz w:val="22"/>
          <w:szCs w:val="22"/>
        </w:rPr>
        <w:t>2</w:t>
      </w:r>
      <w:r w:rsidR="008F1C9E">
        <w:rPr>
          <w:i/>
          <w:iCs/>
          <w:sz w:val="22"/>
          <w:szCs w:val="22"/>
        </w:rPr>
        <w:t>1</w:t>
      </w:r>
      <w:r>
        <w:rPr>
          <w:i/>
          <w:iCs/>
          <w:sz w:val="22"/>
          <w:szCs w:val="22"/>
        </w:rPr>
        <w:t>: Summary of Climate Change Act Section 10 factors</w:t>
      </w:r>
    </w:p>
    <w:tbl>
      <w:tblPr>
        <w:tblStyle w:val="TableGrid"/>
        <w:tblW w:w="10060" w:type="dxa"/>
        <w:tblLook w:val="04A0" w:firstRow="1" w:lastRow="0" w:firstColumn="1" w:lastColumn="0" w:noHBand="0" w:noVBand="1"/>
      </w:tblPr>
      <w:tblGrid>
        <w:gridCol w:w="2115"/>
        <w:gridCol w:w="7945"/>
      </w:tblGrid>
      <w:tr w:rsidR="00873C5E" w14:paraId="0401DB2E" w14:textId="77777777" w:rsidTr="00861D79">
        <w:trPr>
          <w:trHeight w:val="272"/>
        </w:trPr>
        <w:tc>
          <w:tcPr>
            <w:tcW w:w="10060" w:type="dxa"/>
            <w:gridSpan w:val="2"/>
          </w:tcPr>
          <w:p w14:paraId="6F50019A" w14:textId="41ABC417" w:rsidR="00873C5E" w:rsidRPr="006A0C4B" w:rsidRDefault="00873C5E" w:rsidP="002E7D03">
            <w:pPr>
              <w:rPr>
                <w:b/>
                <w:sz w:val="22"/>
                <w:szCs w:val="22"/>
              </w:rPr>
            </w:pPr>
            <w:r w:rsidRPr="006A0C4B">
              <w:rPr>
                <w:b/>
                <w:sz w:val="22"/>
                <w:szCs w:val="22"/>
              </w:rPr>
              <w:t>Climate Change Act factors</w:t>
            </w:r>
          </w:p>
        </w:tc>
      </w:tr>
      <w:tr w:rsidR="00873C5E" w14:paraId="332D22B8" w14:textId="77777777" w:rsidTr="00861D79">
        <w:trPr>
          <w:trHeight w:val="823"/>
        </w:trPr>
        <w:tc>
          <w:tcPr>
            <w:tcW w:w="2115" w:type="dxa"/>
          </w:tcPr>
          <w:p w14:paraId="3E4EADD7" w14:textId="77777777" w:rsidR="00873C5E" w:rsidRPr="006A0C4B" w:rsidRDefault="00873C5E" w:rsidP="00873C5E">
            <w:pPr>
              <w:rPr>
                <w:sz w:val="22"/>
                <w:szCs w:val="22"/>
              </w:rPr>
            </w:pPr>
            <w:r w:rsidRPr="006A0C4B">
              <w:rPr>
                <w:sz w:val="22"/>
                <w:szCs w:val="22"/>
              </w:rPr>
              <w:t>Climate change</w:t>
            </w:r>
          </w:p>
          <w:p w14:paraId="697E035F" w14:textId="6B6FE134" w:rsidR="00873C5E" w:rsidRPr="006A0C4B" w:rsidRDefault="00873C5E" w:rsidP="00873C5E">
            <w:pPr>
              <w:rPr>
                <w:sz w:val="22"/>
                <w:szCs w:val="22"/>
              </w:rPr>
            </w:pPr>
            <w:r w:rsidRPr="006A0C4B">
              <w:rPr>
                <w:sz w:val="22"/>
                <w:szCs w:val="22"/>
              </w:rPr>
              <w:t>science</w:t>
            </w:r>
          </w:p>
        </w:tc>
        <w:tc>
          <w:tcPr>
            <w:tcW w:w="7945" w:type="dxa"/>
          </w:tcPr>
          <w:p w14:paraId="4C59FC34" w14:textId="46353F07" w:rsidR="00873C5E" w:rsidRPr="006A0C4B" w:rsidRDefault="00BD086F" w:rsidP="005A7000">
            <w:pPr>
              <w:spacing w:before="40" w:after="40"/>
              <w:rPr>
                <w:sz w:val="22"/>
                <w:szCs w:val="22"/>
              </w:rPr>
            </w:pPr>
            <w:r>
              <w:rPr>
                <w:sz w:val="22"/>
                <w:szCs w:val="22"/>
              </w:rPr>
              <w:t xml:space="preserve">Options 2-4 </w:t>
            </w:r>
            <w:r w:rsidR="00D5021A" w:rsidRPr="006A0C4B">
              <w:rPr>
                <w:sz w:val="22"/>
                <w:szCs w:val="22"/>
              </w:rPr>
              <w:t xml:space="preserve">are </w:t>
            </w:r>
            <w:r w:rsidR="001C594B" w:rsidRPr="006A0C4B">
              <w:rPr>
                <w:sz w:val="22"/>
                <w:szCs w:val="22"/>
              </w:rPr>
              <w:t>potentially consistent with action to meet the UK’s 2050 target</w:t>
            </w:r>
            <w:r>
              <w:rPr>
                <w:sz w:val="22"/>
                <w:szCs w:val="22"/>
              </w:rPr>
              <w:t xml:space="preserve"> but Option 1 is not</w:t>
            </w:r>
            <w:r w:rsidR="001C594B" w:rsidRPr="006A0C4B">
              <w:rPr>
                <w:sz w:val="22"/>
                <w:szCs w:val="22"/>
              </w:rPr>
              <w:t xml:space="preserve">. </w:t>
            </w:r>
            <w:r w:rsidR="00AA09BA" w:rsidRPr="006A0C4B">
              <w:rPr>
                <w:sz w:val="22"/>
                <w:szCs w:val="22"/>
              </w:rPr>
              <w:t xml:space="preserve">Since the 2050 target was set as an indicative and appropriate UK contribution towards </w:t>
            </w:r>
            <w:r w:rsidR="009878D6">
              <w:rPr>
                <w:sz w:val="22"/>
                <w:szCs w:val="22"/>
              </w:rPr>
              <w:t xml:space="preserve">the Paris </w:t>
            </w:r>
            <w:r w:rsidR="008F73F7">
              <w:rPr>
                <w:sz w:val="22"/>
                <w:szCs w:val="22"/>
              </w:rPr>
              <w:t>climate goals</w:t>
            </w:r>
            <w:r w:rsidR="00AA09BA" w:rsidRPr="006A0C4B">
              <w:rPr>
                <w:sz w:val="22"/>
                <w:szCs w:val="22"/>
              </w:rPr>
              <w:t xml:space="preserve">, </w:t>
            </w:r>
            <w:r w:rsidR="008D385F">
              <w:rPr>
                <w:sz w:val="22"/>
                <w:szCs w:val="22"/>
              </w:rPr>
              <w:t xml:space="preserve">Option 2-4 </w:t>
            </w:r>
            <w:r w:rsidR="00AA09BA" w:rsidRPr="006A0C4B">
              <w:rPr>
                <w:sz w:val="22"/>
                <w:szCs w:val="22"/>
              </w:rPr>
              <w:t>could plausibly be</w:t>
            </w:r>
            <w:r w:rsidR="00883654" w:rsidRPr="006A0C4B">
              <w:rPr>
                <w:sz w:val="22"/>
                <w:szCs w:val="22"/>
              </w:rPr>
              <w:t xml:space="preserve"> </w:t>
            </w:r>
            <w:r w:rsidR="00AA09BA" w:rsidRPr="006A0C4B">
              <w:rPr>
                <w:sz w:val="22"/>
                <w:szCs w:val="22"/>
              </w:rPr>
              <w:t xml:space="preserve">consistent with the stated climate ambition. </w:t>
            </w:r>
            <w:r w:rsidR="00F4051B" w:rsidRPr="006A0C4B">
              <w:rPr>
                <w:sz w:val="22"/>
                <w:szCs w:val="22"/>
              </w:rPr>
              <w:t xml:space="preserve">Differences between </w:t>
            </w:r>
            <w:r w:rsidR="004D7483">
              <w:rPr>
                <w:sz w:val="22"/>
                <w:szCs w:val="22"/>
              </w:rPr>
              <w:t>Options 2, 3 and 4</w:t>
            </w:r>
            <w:r w:rsidR="0081001A">
              <w:rPr>
                <w:sz w:val="22"/>
                <w:szCs w:val="22"/>
              </w:rPr>
              <w:t xml:space="preserve"> </w:t>
            </w:r>
            <w:r w:rsidR="00F4051B" w:rsidRPr="006A0C4B">
              <w:rPr>
                <w:sz w:val="22"/>
                <w:szCs w:val="22"/>
              </w:rPr>
              <w:t>are minor compared to the size of global emissions and uncertainty over the effects of GHG emissions.</w:t>
            </w:r>
          </w:p>
        </w:tc>
      </w:tr>
      <w:tr w:rsidR="00873C5E" w14:paraId="7AC1E90C" w14:textId="77777777" w:rsidTr="00861D79">
        <w:trPr>
          <w:trHeight w:val="545"/>
        </w:trPr>
        <w:tc>
          <w:tcPr>
            <w:tcW w:w="2115" w:type="dxa"/>
          </w:tcPr>
          <w:p w14:paraId="4A21025C" w14:textId="77777777" w:rsidR="00873C5E" w:rsidRPr="006A0C4B" w:rsidRDefault="00873C5E" w:rsidP="00873C5E">
            <w:pPr>
              <w:rPr>
                <w:sz w:val="22"/>
                <w:szCs w:val="22"/>
              </w:rPr>
            </w:pPr>
            <w:r w:rsidRPr="006A0C4B">
              <w:rPr>
                <w:sz w:val="22"/>
                <w:szCs w:val="22"/>
              </w:rPr>
              <w:t>Relevant</w:t>
            </w:r>
          </w:p>
          <w:p w14:paraId="4FD35DA0" w14:textId="6F646281" w:rsidR="00873C5E" w:rsidRPr="006A0C4B" w:rsidRDefault="00873C5E" w:rsidP="00873C5E">
            <w:pPr>
              <w:rPr>
                <w:sz w:val="22"/>
                <w:szCs w:val="22"/>
              </w:rPr>
            </w:pPr>
            <w:r w:rsidRPr="006A0C4B">
              <w:rPr>
                <w:sz w:val="22"/>
                <w:szCs w:val="22"/>
              </w:rPr>
              <w:t>technology</w:t>
            </w:r>
          </w:p>
        </w:tc>
        <w:tc>
          <w:tcPr>
            <w:tcW w:w="7945" w:type="dxa"/>
          </w:tcPr>
          <w:p w14:paraId="38F3C463" w14:textId="4CCBBC80" w:rsidR="00873C5E" w:rsidRPr="006A0C4B" w:rsidRDefault="00142CB5" w:rsidP="005A7000">
            <w:pPr>
              <w:spacing w:before="40" w:after="40"/>
              <w:rPr>
                <w:sz w:val="22"/>
                <w:szCs w:val="22"/>
              </w:rPr>
            </w:pPr>
            <w:r w:rsidRPr="006A0C4B">
              <w:rPr>
                <w:sz w:val="22"/>
                <w:szCs w:val="22"/>
              </w:rPr>
              <w:t xml:space="preserve">All considered </w:t>
            </w:r>
            <w:r w:rsidR="00BF7C0A" w:rsidRPr="006A0C4B">
              <w:rPr>
                <w:sz w:val="22"/>
                <w:szCs w:val="22"/>
              </w:rPr>
              <w:t>sixth carbon budget</w:t>
            </w:r>
            <w:r w:rsidRPr="006A0C4B">
              <w:rPr>
                <w:sz w:val="22"/>
                <w:szCs w:val="22"/>
              </w:rPr>
              <w:t xml:space="preserve"> </w:t>
            </w:r>
            <w:r w:rsidR="008F73F7">
              <w:rPr>
                <w:sz w:val="22"/>
                <w:szCs w:val="22"/>
              </w:rPr>
              <w:t>options</w:t>
            </w:r>
            <w:r w:rsidRPr="006A0C4B">
              <w:rPr>
                <w:sz w:val="22"/>
                <w:szCs w:val="22"/>
              </w:rPr>
              <w:t xml:space="preserve"> are technical</w:t>
            </w:r>
            <w:r w:rsidR="00434A44" w:rsidRPr="006A0C4B">
              <w:rPr>
                <w:sz w:val="22"/>
                <w:szCs w:val="22"/>
              </w:rPr>
              <w:t>ly</w:t>
            </w:r>
            <w:r w:rsidRPr="006A0C4B">
              <w:rPr>
                <w:sz w:val="22"/>
                <w:szCs w:val="22"/>
              </w:rPr>
              <w:t xml:space="preserve"> feasible</w:t>
            </w:r>
            <w:r w:rsidR="00AA09BA" w:rsidRPr="006A0C4B">
              <w:rPr>
                <w:sz w:val="22"/>
                <w:szCs w:val="22"/>
              </w:rPr>
              <w:t xml:space="preserve"> w</w:t>
            </w:r>
            <w:r w:rsidR="00AF6435">
              <w:rPr>
                <w:sz w:val="22"/>
                <w:szCs w:val="22"/>
              </w:rPr>
              <w:t>ith</w:t>
            </w:r>
            <w:r w:rsidR="00F50A84" w:rsidRPr="006A0C4B">
              <w:rPr>
                <w:sz w:val="22"/>
                <w:szCs w:val="22"/>
              </w:rPr>
              <w:t xml:space="preserve"> </w:t>
            </w:r>
            <w:r w:rsidR="00AF6435">
              <w:rPr>
                <w:sz w:val="22"/>
                <w:szCs w:val="22"/>
              </w:rPr>
              <w:t>tighter</w:t>
            </w:r>
            <w:r w:rsidRPr="006A0C4B">
              <w:rPr>
                <w:sz w:val="22"/>
                <w:szCs w:val="22"/>
              </w:rPr>
              <w:t xml:space="preserve"> budgets more challenging.</w:t>
            </w:r>
            <w:r w:rsidR="00883654" w:rsidRPr="006A0C4B">
              <w:rPr>
                <w:sz w:val="22"/>
                <w:szCs w:val="22"/>
              </w:rPr>
              <w:t xml:space="preserve"> Early deployment can help develop emergent technologies, and keep options open for later decarbonisation, thereby reducing the risk of failing to meet the 2050 target. </w:t>
            </w:r>
            <w:r w:rsidRPr="006A0C4B">
              <w:rPr>
                <w:sz w:val="22"/>
                <w:szCs w:val="22"/>
              </w:rPr>
              <w:t>See assessment criteri</w:t>
            </w:r>
            <w:r w:rsidR="00B81983">
              <w:rPr>
                <w:sz w:val="22"/>
                <w:szCs w:val="22"/>
              </w:rPr>
              <w:t>on</w:t>
            </w:r>
            <w:r w:rsidRPr="006A0C4B">
              <w:rPr>
                <w:sz w:val="22"/>
                <w:szCs w:val="22"/>
              </w:rPr>
              <w:t xml:space="preserve"> 1.</w:t>
            </w:r>
          </w:p>
        </w:tc>
      </w:tr>
      <w:tr w:rsidR="00873C5E" w14:paraId="6A7F254A" w14:textId="77777777" w:rsidTr="00861D79">
        <w:trPr>
          <w:trHeight w:val="545"/>
        </w:trPr>
        <w:tc>
          <w:tcPr>
            <w:tcW w:w="2115" w:type="dxa"/>
          </w:tcPr>
          <w:p w14:paraId="3E968877" w14:textId="77777777" w:rsidR="00873C5E" w:rsidRPr="006A0C4B" w:rsidRDefault="00873C5E" w:rsidP="00873C5E">
            <w:pPr>
              <w:rPr>
                <w:sz w:val="22"/>
                <w:szCs w:val="22"/>
              </w:rPr>
            </w:pPr>
            <w:r w:rsidRPr="006A0C4B">
              <w:rPr>
                <w:sz w:val="22"/>
                <w:szCs w:val="22"/>
              </w:rPr>
              <w:t>Economic</w:t>
            </w:r>
          </w:p>
          <w:p w14:paraId="6091BE90" w14:textId="2FFE1FC3" w:rsidR="00873C5E" w:rsidRPr="006A0C4B" w:rsidRDefault="00873C5E" w:rsidP="00873C5E">
            <w:pPr>
              <w:rPr>
                <w:sz w:val="22"/>
                <w:szCs w:val="22"/>
              </w:rPr>
            </w:pPr>
            <w:r w:rsidRPr="006A0C4B">
              <w:rPr>
                <w:sz w:val="22"/>
                <w:szCs w:val="22"/>
              </w:rPr>
              <w:t>circumstances</w:t>
            </w:r>
          </w:p>
        </w:tc>
        <w:tc>
          <w:tcPr>
            <w:tcW w:w="7945" w:type="dxa"/>
          </w:tcPr>
          <w:p w14:paraId="3571D182" w14:textId="316A36DF" w:rsidR="00873C5E" w:rsidRPr="006A0C4B" w:rsidRDefault="00EC5E40" w:rsidP="005A7000">
            <w:pPr>
              <w:spacing w:before="40" w:after="40"/>
              <w:rPr>
                <w:sz w:val="22"/>
                <w:szCs w:val="22"/>
              </w:rPr>
            </w:pPr>
            <w:r w:rsidRPr="006A0C4B">
              <w:rPr>
                <w:sz w:val="22"/>
                <w:szCs w:val="22"/>
              </w:rPr>
              <w:t>The impacts of the sixth carbon budget on the UK economy will depend on the specific policies introduced to meet the budget and the relative action of other countries. A</w:t>
            </w:r>
            <w:r w:rsidR="00210F72">
              <w:rPr>
                <w:sz w:val="22"/>
                <w:szCs w:val="22"/>
              </w:rPr>
              <w:t>s</w:t>
            </w:r>
            <w:r w:rsidRPr="006A0C4B">
              <w:rPr>
                <w:sz w:val="22"/>
                <w:szCs w:val="22"/>
              </w:rPr>
              <w:t xml:space="preserve"> set out in the HMT Net Zero Review Interim Report, the combined aggregate macro-economic effect of UK and global climate action on UK economic growth is likely to be relatively small, include offsetting positive </w:t>
            </w:r>
            <w:r w:rsidR="007D1069">
              <w:rPr>
                <w:sz w:val="22"/>
                <w:szCs w:val="22"/>
              </w:rPr>
              <w:t>and</w:t>
            </w:r>
            <w:r w:rsidRPr="006A0C4B">
              <w:rPr>
                <w:sz w:val="22"/>
                <w:szCs w:val="22"/>
              </w:rPr>
              <w:t xml:space="preserve"> negative impacts via multiple channels, which we would not expect to vary </w:t>
            </w:r>
            <w:r w:rsidR="007D1069">
              <w:rPr>
                <w:sz w:val="22"/>
                <w:szCs w:val="22"/>
              </w:rPr>
              <w:t>sign</w:t>
            </w:r>
            <w:r w:rsidR="00EE09D0">
              <w:rPr>
                <w:sz w:val="22"/>
                <w:szCs w:val="22"/>
              </w:rPr>
              <w:t>i</w:t>
            </w:r>
            <w:r w:rsidR="007D1069">
              <w:rPr>
                <w:sz w:val="22"/>
                <w:szCs w:val="22"/>
              </w:rPr>
              <w:t xml:space="preserve">ficantly </w:t>
            </w:r>
            <w:r w:rsidRPr="006A0C4B">
              <w:rPr>
                <w:sz w:val="22"/>
                <w:szCs w:val="22"/>
              </w:rPr>
              <w:t xml:space="preserve">based on the options considered in this Impact Assessment. </w:t>
            </w:r>
          </w:p>
        </w:tc>
      </w:tr>
      <w:tr w:rsidR="00873C5E" w14:paraId="4B1D98FA" w14:textId="77777777" w:rsidTr="00861D79">
        <w:trPr>
          <w:trHeight w:val="545"/>
        </w:trPr>
        <w:tc>
          <w:tcPr>
            <w:tcW w:w="2115" w:type="dxa"/>
          </w:tcPr>
          <w:p w14:paraId="3B040F46" w14:textId="77777777" w:rsidR="00873C5E" w:rsidRPr="006A0C4B" w:rsidRDefault="00873C5E" w:rsidP="00873C5E">
            <w:pPr>
              <w:rPr>
                <w:sz w:val="22"/>
                <w:szCs w:val="22"/>
              </w:rPr>
            </w:pPr>
            <w:r w:rsidRPr="006A0C4B">
              <w:rPr>
                <w:sz w:val="22"/>
                <w:szCs w:val="22"/>
              </w:rPr>
              <w:t>Fiscal</w:t>
            </w:r>
          </w:p>
          <w:p w14:paraId="37A31098" w14:textId="25CAD1FD" w:rsidR="00873C5E" w:rsidRPr="006A0C4B" w:rsidRDefault="00873C5E" w:rsidP="00873C5E">
            <w:pPr>
              <w:rPr>
                <w:sz w:val="22"/>
                <w:szCs w:val="22"/>
              </w:rPr>
            </w:pPr>
            <w:r w:rsidRPr="006A0C4B">
              <w:rPr>
                <w:sz w:val="22"/>
                <w:szCs w:val="22"/>
              </w:rPr>
              <w:t>circumstances</w:t>
            </w:r>
          </w:p>
        </w:tc>
        <w:tc>
          <w:tcPr>
            <w:tcW w:w="7945" w:type="dxa"/>
          </w:tcPr>
          <w:p w14:paraId="6A9E0473" w14:textId="3407A273" w:rsidR="00873C5E" w:rsidRPr="006A0C4B" w:rsidRDefault="00883654" w:rsidP="005A7000">
            <w:pPr>
              <w:spacing w:before="40" w:after="40"/>
              <w:rPr>
                <w:sz w:val="22"/>
                <w:szCs w:val="22"/>
              </w:rPr>
            </w:pPr>
            <w:r w:rsidRPr="006A0C4B">
              <w:rPr>
                <w:sz w:val="22"/>
                <w:szCs w:val="22"/>
              </w:rPr>
              <w:t>The details of policies to meet the sixth carbon budget are not yet determined, so these impacts are unknown, although the relative mix between regulation tax and subsidy will be an important</w:t>
            </w:r>
            <w:r w:rsidR="00EC5E40" w:rsidRPr="006A0C4B">
              <w:rPr>
                <w:sz w:val="22"/>
                <w:szCs w:val="22"/>
              </w:rPr>
              <w:t xml:space="preserve"> </w:t>
            </w:r>
            <w:r w:rsidRPr="006A0C4B">
              <w:rPr>
                <w:sz w:val="22"/>
                <w:szCs w:val="22"/>
              </w:rPr>
              <w:t>determinant.</w:t>
            </w:r>
            <w:r w:rsidR="00E76013" w:rsidRPr="006A0C4B">
              <w:rPr>
                <w:sz w:val="22"/>
                <w:szCs w:val="22"/>
              </w:rPr>
              <w:t xml:space="preserve"> </w:t>
            </w:r>
          </w:p>
        </w:tc>
      </w:tr>
      <w:tr w:rsidR="00873C5E" w14:paraId="6E819204" w14:textId="77777777" w:rsidTr="00861D79">
        <w:trPr>
          <w:trHeight w:val="550"/>
        </w:trPr>
        <w:tc>
          <w:tcPr>
            <w:tcW w:w="2115" w:type="dxa"/>
          </w:tcPr>
          <w:p w14:paraId="479BA6FF" w14:textId="543CC973" w:rsidR="00873C5E" w:rsidRPr="006A0C4B" w:rsidRDefault="00873C5E" w:rsidP="00873C5E">
            <w:pPr>
              <w:rPr>
                <w:sz w:val="22"/>
                <w:szCs w:val="22"/>
              </w:rPr>
            </w:pPr>
            <w:r w:rsidRPr="006A0C4B">
              <w:rPr>
                <w:sz w:val="22"/>
                <w:szCs w:val="22"/>
              </w:rPr>
              <w:t>Social circumstances</w:t>
            </w:r>
          </w:p>
        </w:tc>
        <w:tc>
          <w:tcPr>
            <w:tcW w:w="7945" w:type="dxa"/>
          </w:tcPr>
          <w:p w14:paraId="59B0CBA6" w14:textId="109F26A4" w:rsidR="00873C5E" w:rsidRPr="006A0C4B" w:rsidRDefault="005E40E9" w:rsidP="005A7000">
            <w:pPr>
              <w:spacing w:before="40" w:after="40"/>
              <w:rPr>
                <w:sz w:val="22"/>
                <w:szCs w:val="22"/>
              </w:rPr>
            </w:pPr>
            <w:r w:rsidRPr="006A0C4B">
              <w:rPr>
                <w:sz w:val="22"/>
                <w:szCs w:val="22"/>
              </w:rPr>
              <w:t>Impacts on fuel poverty are highly uncertain and will depend on the specific policies and levers used to implement budgets. Climate policies can affect fuel poverty targets through energy prices and by affecting the energy needs of households (</w:t>
            </w:r>
            <w:r w:rsidRPr="00917D74">
              <w:rPr>
                <w:sz w:val="22"/>
                <w:szCs w:val="22"/>
              </w:rPr>
              <w:t>e.g</w:t>
            </w:r>
            <w:r w:rsidR="001C0CC3" w:rsidRPr="00917D74">
              <w:rPr>
                <w:sz w:val="22"/>
                <w:szCs w:val="22"/>
              </w:rPr>
              <w:t>.,</w:t>
            </w:r>
            <w:r w:rsidRPr="006A0C4B">
              <w:rPr>
                <w:sz w:val="22"/>
                <w:szCs w:val="22"/>
              </w:rPr>
              <w:t xml:space="preserve"> through improved insulation</w:t>
            </w:r>
            <w:r w:rsidR="007A3505">
              <w:rPr>
                <w:sz w:val="22"/>
                <w:szCs w:val="22"/>
              </w:rPr>
              <w:t xml:space="preserve"> of buildings</w:t>
            </w:r>
            <w:r w:rsidRPr="006A0C4B">
              <w:rPr>
                <w:sz w:val="22"/>
                <w:szCs w:val="22"/>
              </w:rPr>
              <w:t>).</w:t>
            </w:r>
          </w:p>
        </w:tc>
      </w:tr>
      <w:tr w:rsidR="00873C5E" w14:paraId="1865F50F" w14:textId="77777777" w:rsidTr="00861D79">
        <w:trPr>
          <w:trHeight w:val="272"/>
        </w:trPr>
        <w:tc>
          <w:tcPr>
            <w:tcW w:w="2115" w:type="dxa"/>
          </w:tcPr>
          <w:p w14:paraId="44963615" w14:textId="39FCD333" w:rsidR="00873C5E" w:rsidRPr="006A0C4B" w:rsidRDefault="0075042D" w:rsidP="00873C5E">
            <w:pPr>
              <w:rPr>
                <w:sz w:val="22"/>
                <w:szCs w:val="22"/>
              </w:rPr>
            </w:pPr>
            <w:r w:rsidRPr="006A0C4B">
              <w:rPr>
                <w:sz w:val="22"/>
                <w:szCs w:val="22"/>
              </w:rPr>
              <w:t>Energy policy</w:t>
            </w:r>
          </w:p>
        </w:tc>
        <w:tc>
          <w:tcPr>
            <w:tcW w:w="7945" w:type="dxa"/>
          </w:tcPr>
          <w:p w14:paraId="3BF746DA" w14:textId="62BC4DDE" w:rsidR="00873C5E" w:rsidRPr="006A0C4B" w:rsidRDefault="005E40E9" w:rsidP="005A7000">
            <w:pPr>
              <w:spacing w:before="40" w:after="40"/>
              <w:rPr>
                <w:sz w:val="22"/>
                <w:szCs w:val="22"/>
              </w:rPr>
            </w:pPr>
            <w:r w:rsidRPr="006A0C4B">
              <w:rPr>
                <w:sz w:val="22"/>
                <w:szCs w:val="22"/>
              </w:rPr>
              <w:t>Impacts on energy policy of different levels of the sixth carbon budget will depend largely on the</w:t>
            </w:r>
            <w:r w:rsidR="0052274F" w:rsidRPr="006A0C4B">
              <w:rPr>
                <w:sz w:val="22"/>
                <w:szCs w:val="22"/>
              </w:rPr>
              <w:t xml:space="preserve"> </w:t>
            </w:r>
            <w:r w:rsidRPr="006A0C4B">
              <w:rPr>
                <w:sz w:val="22"/>
                <w:szCs w:val="22"/>
              </w:rPr>
              <w:t>policies and levers used to meet the budget level.</w:t>
            </w:r>
          </w:p>
        </w:tc>
      </w:tr>
      <w:tr w:rsidR="00873C5E" w14:paraId="03A4E98C" w14:textId="77777777" w:rsidTr="00861D79">
        <w:trPr>
          <w:trHeight w:val="545"/>
        </w:trPr>
        <w:tc>
          <w:tcPr>
            <w:tcW w:w="2115" w:type="dxa"/>
          </w:tcPr>
          <w:p w14:paraId="7839B869" w14:textId="2AD47A90" w:rsidR="00873C5E" w:rsidRPr="006A0C4B" w:rsidRDefault="00EF2013" w:rsidP="009B1632">
            <w:pPr>
              <w:rPr>
                <w:sz w:val="22"/>
                <w:szCs w:val="22"/>
              </w:rPr>
            </w:pPr>
            <w:r w:rsidRPr="00EF2013">
              <w:rPr>
                <w:sz w:val="22"/>
                <w:szCs w:val="22"/>
              </w:rPr>
              <w:t>Differences in circumstances between England, Wales, Scotland and Northern Ireland</w:t>
            </w:r>
          </w:p>
        </w:tc>
        <w:tc>
          <w:tcPr>
            <w:tcW w:w="7945" w:type="dxa"/>
          </w:tcPr>
          <w:p w14:paraId="247DA80E" w14:textId="79EA6326" w:rsidR="00873C5E" w:rsidRPr="006A0C4B" w:rsidRDefault="004825E4" w:rsidP="005A7000">
            <w:pPr>
              <w:spacing w:before="40" w:after="40"/>
              <w:rPr>
                <w:sz w:val="22"/>
                <w:szCs w:val="22"/>
              </w:rPr>
            </w:pPr>
            <w:r w:rsidRPr="006A0C4B">
              <w:rPr>
                <w:sz w:val="22"/>
                <w:szCs w:val="22"/>
              </w:rPr>
              <w:t>Impacts of different levels of the sixth carbon budget will depend largely on the policies and levers used to meet the budget level. Responsibility for emissions reductions in several sectors is devolved to the</w:t>
            </w:r>
            <w:r w:rsidR="001C594B" w:rsidRPr="006A0C4B">
              <w:rPr>
                <w:sz w:val="22"/>
                <w:szCs w:val="22"/>
              </w:rPr>
              <w:t xml:space="preserve"> </w:t>
            </w:r>
            <w:r w:rsidRPr="006A0C4B">
              <w:rPr>
                <w:sz w:val="22"/>
                <w:szCs w:val="22"/>
              </w:rPr>
              <w:t>individual nations.</w:t>
            </w:r>
            <w:r w:rsidR="001C594B" w:rsidRPr="006A0C4B">
              <w:rPr>
                <w:sz w:val="22"/>
                <w:szCs w:val="22"/>
              </w:rPr>
              <w:t xml:space="preserve"> The views of the devolved nations on the level of the sixth carbon budget has been considered. </w:t>
            </w:r>
          </w:p>
        </w:tc>
      </w:tr>
      <w:tr w:rsidR="0075042D" w14:paraId="33AFBFCC" w14:textId="77777777" w:rsidTr="00861D79">
        <w:trPr>
          <w:trHeight w:val="545"/>
        </w:trPr>
        <w:tc>
          <w:tcPr>
            <w:tcW w:w="2115" w:type="dxa"/>
          </w:tcPr>
          <w:p w14:paraId="2EACBB9B" w14:textId="32758A5F" w:rsidR="0075042D" w:rsidRPr="006A0C4B" w:rsidRDefault="0075042D" w:rsidP="00F1431A">
            <w:pPr>
              <w:rPr>
                <w:sz w:val="22"/>
                <w:szCs w:val="22"/>
              </w:rPr>
            </w:pPr>
            <w:r w:rsidRPr="006A0C4B">
              <w:rPr>
                <w:sz w:val="22"/>
                <w:szCs w:val="22"/>
              </w:rPr>
              <w:t>International circumstances</w:t>
            </w:r>
          </w:p>
        </w:tc>
        <w:tc>
          <w:tcPr>
            <w:tcW w:w="7945" w:type="dxa"/>
          </w:tcPr>
          <w:p w14:paraId="3B512972" w14:textId="67068C09" w:rsidR="0075042D" w:rsidRPr="006A0C4B" w:rsidRDefault="00142CB5" w:rsidP="005A7000">
            <w:pPr>
              <w:spacing w:before="40" w:after="40"/>
              <w:rPr>
                <w:sz w:val="22"/>
                <w:szCs w:val="22"/>
              </w:rPr>
            </w:pPr>
            <w:r w:rsidRPr="006A0C4B">
              <w:rPr>
                <w:sz w:val="22"/>
                <w:szCs w:val="22"/>
              </w:rPr>
              <w:t>See assessment criteria 3.</w:t>
            </w:r>
          </w:p>
        </w:tc>
      </w:tr>
      <w:tr w:rsidR="0075042D" w14:paraId="7A4E2C00" w14:textId="77777777" w:rsidTr="00861D79">
        <w:trPr>
          <w:trHeight w:val="823"/>
        </w:trPr>
        <w:tc>
          <w:tcPr>
            <w:tcW w:w="2115" w:type="dxa"/>
          </w:tcPr>
          <w:p w14:paraId="6517A86D" w14:textId="1F007B6D" w:rsidR="0075042D" w:rsidRPr="006A0C4B" w:rsidRDefault="0075042D" w:rsidP="00F1431A">
            <w:pPr>
              <w:rPr>
                <w:sz w:val="22"/>
                <w:szCs w:val="22"/>
              </w:rPr>
            </w:pPr>
            <w:r w:rsidRPr="006A0C4B">
              <w:rPr>
                <w:sz w:val="22"/>
                <w:szCs w:val="22"/>
              </w:rPr>
              <w:t>International aviation and shipping</w:t>
            </w:r>
          </w:p>
        </w:tc>
        <w:tc>
          <w:tcPr>
            <w:tcW w:w="7945" w:type="dxa"/>
          </w:tcPr>
          <w:p w14:paraId="261121E6" w14:textId="511C75C4" w:rsidR="0075042D" w:rsidRPr="006A0C4B" w:rsidRDefault="006A6D21" w:rsidP="005A7000">
            <w:pPr>
              <w:spacing w:before="40" w:after="40"/>
              <w:rPr>
                <w:sz w:val="22"/>
                <w:szCs w:val="22"/>
              </w:rPr>
            </w:pPr>
            <w:r>
              <w:rPr>
                <w:sz w:val="22"/>
                <w:szCs w:val="22"/>
              </w:rPr>
              <w:t xml:space="preserve">In line with the </w:t>
            </w:r>
            <w:r w:rsidR="47EBB95A" w:rsidRPr="1155D75C">
              <w:rPr>
                <w:sz w:val="22"/>
                <w:szCs w:val="22"/>
              </w:rPr>
              <w:t>CC</w:t>
            </w:r>
            <w:r w:rsidR="116994C9" w:rsidRPr="1155D75C">
              <w:rPr>
                <w:sz w:val="22"/>
                <w:szCs w:val="22"/>
              </w:rPr>
              <w:t>C</w:t>
            </w:r>
            <w:r w:rsidR="47EBB95A" w:rsidRPr="1155D75C">
              <w:rPr>
                <w:sz w:val="22"/>
                <w:szCs w:val="22"/>
              </w:rPr>
              <w:t>’s</w:t>
            </w:r>
            <w:r>
              <w:rPr>
                <w:sz w:val="22"/>
                <w:szCs w:val="22"/>
              </w:rPr>
              <w:t xml:space="preserve"> advice, </w:t>
            </w:r>
            <w:r w:rsidR="00392301" w:rsidRPr="00CB4677">
              <w:rPr>
                <w:sz w:val="22"/>
                <w:szCs w:val="22"/>
              </w:rPr>
              <w:t>IAS emissions will be legally included in the sixth carbon budget</w:t>
            </w:r>
            <w:r w:rsidR="00392301" w:rsidRPr="4045D118">
              <w:t>.</w:t>
            </w:r>
          </w:p>
        </w:tc>
      </w:tr>
      <w:tr w:rsidR="002E7D03" w:rsidRPr="00583ED3" w14:paraId="45B13DAB" w14:textId="77777777" w:rsidTr="00861D79">
        <w:trPr>
          <w:trHeight w:val="272"/>
        </w:trPr>
        <w:tc>
          <w:tcPr>
            <w:tcW w:w="10060" w:type="dxa"/>
            <w:gridSpan w:val="2"/>
          </w:tcPr>
          <w:p w14:paraId="4D3A03D1" w14:textId="1887DE86" w:rsidR="002E7D03" w:rsidRPr="006A0C4B" w:rsidRDefault="002E7D03" w:rsidP="005A7000">
            <w:pPr>
              <w:spacing w:before="40" w:after="40"/>
              <w:rPr>
                <w:b/>
                <w:sz w:val="22"/>
                <w:szCs w:val="22"/>
              </w:rPr>
            </w:pPr>
            <w:r w:rsidRPr="006A0C4B">
              <w:rPr>
                <w:b/>
                <w:sz w:val="22"/>
                <w:szCs w:val="22"/>
              </w:rPr>
              <w:t>Other factors</w:t>
            </w:r>
          </w:p>
        </w:tc>
      </w:tr>
      <w:tr w:rsidR="0075042D" w14:paraId="2BA2D1E6" w14:textId="77777777" w:rsidTr="00861D79">
        <w:trPr>
          <w:trHeight w:val="545"/>
        </w:trPr>
        <w:tc>
          <w:tcPr>
            <w:tcW w:w="2115" w:type="dxa"/>
          </w:tcPr>
          <w:p w14:paraId="30BA4E92" w14:textId="2300A8B7" w:rsidR="0075042D" w:rsidRPr="006A0C4B" w:rsidRDefault="002E7D03" w:rsidP="00F1431A">
            <w:pPr>
              <w:rPr>
                <w:sz w:val="22"/>
                <w:szCs w:val="22"/>
              </w:rPr>
            </w:pPr>
            <w:r w:rsidRPr="006A0C4B">
              <w:rPr>
                <w:sz w:val="22"/>
                <w:szCs w:val="22"/>
              </w:rPr>
              <w:t>N</w:t>
            </w:r>
            <w:r w:rsidR="0075042D" w:rsidRPr="006A0C4B">
              <w:rPr>
                <w:sz w:val="22"/>
                <w:szCs w:val="22"/>
              </w:rPr>
              <w:t>atural capital</w:t>
            </w:r>
          </w:p>
        </w:tc>
        <w:tc>
          <w:tcPr>
            <w:tcW w:w="7945" w:type="dxa"/>
          </w:tcPr>
          <w:p w14:paraId="6FFF2E5E" w14:textId="52350C98" w:rsidR="0075042D" w:rsidRPr="006A0C4B" w:rsidRDefault="00142CB5" w:rsidP="005A7000">
            <w:pPr>
              <w:spacing w:before="40" w:after="40"/>
              <w:rPr>
                <w:sz w:val="22"/>
                <w:szCs w:val="22"/>
              </w:rPr>
            </w:pPr>
            <w:r w:rsidRPr="006A0C4B">
              <w:rPr>
                <w:sz w:val="22"/>
                <w:szCs w:val="22"/>
              </w:rPr>
              <w:t xml:space="preserve">No </w:t>
            </w:r>
            <w:r w:rsidR="002C7FD7">
              <w:rPr>
                <w:sz w:val="22"/>
                <w:szCs w:val="22"/>
              </w:rPr>
              <w:t>definitive</w:t>
            </w:r>
            <w:r w:rsidRPr="006A0C4B">
              <w:rPr>
                <w:sz w:val="22"/>
                <w:szCs w:val="22"/>
              </w:rPr>
              <w:t xml:space="preserve"> conclusion regarding the level of </w:t>
            </w:r>
            <w:r w:rsidR="00BF7C0A" w:rsidRPr="006A0C4B">
              <w:rPr>
                <w:sz w:val="22"/>
                <w:szCs w:val="22"/>
              </w:rPr>
              <w:t>the sixth carbon budget</w:t>
            </w:r>
            <w:r w:rsidRPr="006A0C4B">
              <w:rPr>
                <w:sz w:val="22"/>
                <w:szCs w:val="22"/>
              </w:rPr>
              <w:t xml:space="preserve">. All </w:t>
            </w:r>
            <w:r w:rsidR="00BF7C0A" w:rsidRPr="006A0C4B">
              <w:rPr>
                <w:sz w:val="22"/>
                <w:szCs w:val="22"/>
              </w:rPr>
              <w:t>the sixth carbon budget</w:t>
            </w:r>
            <w:r w:rsidRPr="006A0C4B">
              <w:rPr>
                <w:sz w:val="22"/>
                <w:szCs w:val="22"/>
              </w:rPr>
              <w:t xml:space="preserve"> levels present benefits and risks to sustainable development, and the</w:t>
            </w:r>
            <w:r w:rsidR="008A3C52" w:rsidRPr="006A0C4B">
              <w:rPr>
                <w:sz w:val="22"/>
                <w:szCs w:val="22"/>
              </w:rPr>
              <w:t>se will be dependent on policies chosen.</w:t>
            </w:r>
            <w:r w:rsidRPr="006A0C4B">
              <w:rPr>
                <w:sz w:val="22"/>
                <w:szCs w:val="22"/>
              </w:rPr>
              <w:t xml:space="preserve"> </w:t>
            </w:r>
          </w:p>
        </w:tc>
      </w:tr>
    </w:tbl>
    <w:p w14:paraId="69C5E3C8" w14:textId="615A1FF2" w:rsidR="00A14C32" w:rsidRPr="00A14C32" w:rsidRDefault="00A14C32" w:rsidP="00F1431A">
      <w:pPr>
        <w:rPr>
          <w:i/>
        </w:rPr>
      </w:pPr>
    </w:p>
    <w:p w14:paraId="59996345" w14:textId="77777777" w:rsidR="006348AF" w:rsidRDefault="006348AF" w:rsidP="00821474">
      <w:pPr>
        <w:pStyle w:val="Heading1"/>
      </w:pPr>
      <w:bookmarkStart w:id="58" w:name="_Toc67051851"/>
    </w:p>
    <w:p w14:paraId="5AABC526" w14:textId="77777777" w:rsidR="006348AF" w:rsidRDefault="006348AF" w:rsidP="00821474">
      <w:pPr>
        <w:pStyle w:val="Heading1"/>
      </w:pPr>
    </w:p>
    <w:p w14:paraId="4007C7E0" w14:textId="1A70391C" w:rsidR="006348AF" w:rsidRDefault="006348AF" w:rsidP="00821474">
      <w:pPr>
        <w:pStyle w:val="Heading1"/>
      </w:pPr>
    </w:p>
    <w:p w14:paraId="5E4B99AC" w14:textId="155345A9" w:rsidR="006348AF" w:rsidRDefault="006348AF" w:rsidP="006348AF"/>
    <w:p w14:paraId="36A426A2" w14:textId="77777777" w:rsidR="006348AF" w:rsidRPr="006348AF" w:rsidRDefault="006348AF" w:rsidP="006348AF"/>
    <w:p w14:paraId="2892A213" w14:textId="52914378" w:rsidR="008503CA" w:rsidRDefault="00182E02" w:rsidP="00821474">
      <w:pPr>
        <w:pStyle w:val="Heading1"/>
      </w:pPr>
      <w:r>
        <w:lastRenderedPageBreak/>
        <w:t>Annexes</w:t>
      </w:r>
      <w:bookmarkEnd w:id="58"/>
    </w:p>
    <w:p w14:paraId="2AF111C9" w14:textId="364395CC" w:rsidR="008503CA" w:rsidRPr="004A1285" w:rsidRDefault="007E6F08" w:rsidP="00821474">
      <w:pPr>
        <w:pStyle w:val="Heading3"/>
        <w:rPr>
          <w:sz w:val="28"/>
          <w:szCs w:val="28"/>
        </w:rPr>
      </w:pPr>
      <w:bookmarkStart w:id="59" w:name="_Toc67051852"/>
      <w:r w:rsidRPr="004A1285">
        <w:rPr>
          <w:sz w:val="28"/>
          <w:szCs w:val="28"/>
        </w:rPr>
        <w:t xml:space="preserve">A.1 </w:t>
      </w:r>
      <w:r w:rsidR="00D477EC" w:rsidRPr="004A1285">
        <w:rPr>
          <w:sz w:val="28"/>
          <w:szCs w:val="28"/>
        </w:rPr>
        <w:t>Assumptions</w:t>
      </w:r>
      <w:bookmarkEnd w:id="59"/>
    </w:p>
    <w:p w14:paraId="6384B39F" w14:textId="11E0F1B0" w:rsidR="008073D0" w:rsidRPr="00D477EC" w:rsidRDefault="00870C49" w:rsidP="005A7000">
      <w:pPr>
        <w:pStyle w:val="Numberedparagraphs"/>
      </w:pPr>
      <w:r>
        <w:t xml:space="preserve">The analysis in this Impact Assessment is consistent with standard </w:t>
      </w:r>
      <w:r w:rsidR="007C6560">
        <w:t>government</w:t>
      </w:r>
      <w:r>
        <w:t xml:space="preserve"> appraisal methodologies as laid out in HM Treasury’s Green Book</w:t>
      </w:r>
      <w:r w:rsidR="0068559C">
        <w:rPr>
          <w:rStyle w:val="FootnoteReference"/>
        </w:rPr>
        <w:footnoteReference w:id="69"/>
      </w:r>
      <w:r>
        <w:t xml:space="preserve">. </w:t>
      </w:r>
      <w:r w:rsidR="0068559C">
        <w:t>Specific</w:t>
      </w:r>
      <w:r>
        <w:t xml:space="preserve"> supplementary guidance on </w:t>
      </w:r>
      <w:r w:rsidR="0068559C">
        <w:t>valuation</w:t>
      </w:r>
      <w:r>
        <w:t xml:space="preserve"> of energy use and greenhouse gas emission for appraisal has been applied for estimates of the scale and value of fuel and emission impacts</w:t>
      </w:r>
      <w:r w:rsidR="0068559C">
        <w:rPr>
          <w:rStyle w:val="FootnoteReference"/>
        </w:rPr>
        <w:footnoteReference w:id="70"/>
      </w:r>
      <w:r>
        <w:t xml:space="preserve">. A summary of the overarching assumption set used </w:t>
      </w:r>
      <w:r w:rsidR="006C1480">
        <w:t>t</w:t>
      </w:r>
      <w:r>
        <w:t xml:space="preserve">hroughout the Impact Assessment (unless otherwise stated) is given in the following table. </w:t>
      </w:r>
    </w:p>
    <w:p w14:paraId="339E640A" w14:textId="3CC5DA73" w:rsidR="00BE5810" w:rsidRDefault="00917D74" w:rsidP="006A0C4B">
      <w:pPr>
        <w:pStyle w:val="EBNumberRestart"/>
        <w:rPr>
          <w:i/>
          <w:sz w:val="24"/>
          <w:szCs w:val="24"/>
        </w:rPr>
      </w:pPr>
      <w:r w:rsidRPr="006A0C4B">
        <w:rPr>
          <w:i/>
          <w:sz w:val="24"/>
          <w:szCs w:val="24"/>
        </w:rPr>
        <w:t xml:space="preserve">Table A1: Summary of appraisal assumptions </w:t>
      </w:r>
    </w:p>
    <w:tbl>
      <w:tblPr>
        <w:tblStyle w:val="TableGrid"/>
        <w:tblW w:w="0" w:type="auto"/>
        <w:tblLook w:val="04A0" w:firstRow="1" w:lastRow="0" w:firstColumn="1" w:lastColumn="0" w:noHBand="0" w:noVBand="1"/>
      </w:tblPr>
      <w:tblGrid>
        <w:gridCol w:w="2122"/>
        <w:gridCol w:w="8073"/>
      </w:tblGrid>
      <w:tr w:rsidR="00870C49" w14:paraId="40EED58E" w14:textId="77777777" w:rsidTr="00A07AA3">
        <w:tc>
          <w:tcPr>
            <w:tcW w:w="2122" w:type="dxa"/>
          </w:tcPr>
          <w:p w14:paraId="0ADFA66C" w14:textId="087FFE3B" w:rsidR="00870C49" w:rsidRPr="006A0C4B" w:rsidRDefault="00064CDB" w:rsidP="00A62E67">
            <w:pPr>
              <w:pStyle w:val="EBBodyPara"/>
              <w:rPr>
                <w:b/>
              </w:rPr>
            </w:pPr>
            <w:r w:rsidRPr="006A0C4B">
              <w:rPr>
                <w:b/>
              </w:rPr>
              <w:t>Carbon values</w:t>
            </w:r>
          </w:p>
        </w:tc>
        <w:tc>
          <w:tcPr>
            <w:tcW w:w="8073" w:type="dxa"/>
          </w:tcPr>
          <w:p w14:paraId="41003B46" w14:textId="000494C4" w:rsidR="00870C49" w:rsidRPr="006A0C4B" w:rsidRDefault="009C0ED3" w:rsidP="005A7000">
            <w:pPr>
              <w:spacing w:before="40" w:after="40"/>
              <w:rPr>
                <w:sz w:val="22"/>
                <w:szCs w:val="22"/>
              </w:rPr>
            </w:pPr>
            <w:r w:rsidRPr="006A0C4B">
              <w:rPr>
                <w:sz w:val="22"/>
                <w:szCs w:val="22"/>
              </w:rPr>
              <w:t>Abated greenhouse gas emissions are monetised using the existing high carbon value series, in addition to the existing central values as a sensitivity. This reflects the fact that the current central carbon values are likely to undervalue greenhouse gas emissions now the UK has increased its domestic and international</w:t>
            </w:r>
            <w:r w:rsidR="00385E79">
              <w:rPr>
                <w:sz w:val="22"/>
                <w:szCs w:val="22"/>
              </w:rPr>
              <w:t xml:space="preserve"> targets</w:t>
            </w:r>
            <w:r w:rsidRPr="006A0C4B">
              <w:rPr>
                <w:sz w:val="22"/>
                <w:szCs w:val="22"/>
              </w:rPr>
              <w:t xml:space="preserve">, though the scale of undervaluation is still unclear. HMG is planning to review the carbon values during 2021.  </w:t>
            </w:r>
          </w:p>
        </w:tc>
      </w:tr>
      <w:tr w:rsidR="00134968" w14:paraId="758E7677" w14:textId="77777777" w:rsidTr="00A07AA3">
        <w:tc>
          <w:tcPr>
            <w:tcW w:w="2122" w:type="dxa"/>
          </w:tcPr>
          <w:p w14:paraId="3E43B6F3" w14:textId="29BE003C" w:rsidR="00134968" w:rsidRPr="006A0C4B" w:rsidRDefault="00134968" w:rsidP="00A62E67">
            <w:pPr>
              <w:pStyle w:val="EBBodyPara"/>
              <w:rPr>
                <w:b/>
              </w:rPr>
            </w:pPr>
            <w:r w:rsidRPr="006A0C4B">
              <w:rPr>
                <w:b/>
              </w:rPr>
              <w:t>Air quality</w:t>
            </w:r>
          </w:p>
        </w:tc>
        <w:tc>
          <w:tcPr>
            <w:tcW w:w="8073" w:type="dxa"/>
          </w:tcPr>
          <w:p w14:paraId="46CE5B39" w14:textId="6A546682" w:rsidR="00134968" w:rsidRPr="006A0C4B" w:rsidRDefault="00134968" w:rsidP="005A7000">
            <w:pPr>
              <w:spacing w:before="40" w:after="40"/>
              <w:rPr>
                <w:sz w:val="22"/>
                <w:szCs w:val="22"/>
              </w:rPr>
            </w:pPr>
            <w:r w:rsidRPr="006A0C4B">
              <w:rPr>
                <w:sz w:val="22"/>
                <w:szCs w:val="22"/>
              </w:rPr>
              <w:t>Air quality impacts are monetised in line with the national values of the most recently air quality damage costs. Natural capital costs and benefits are particularly uncertain as their impacts are local, but as the specific policies to meet the sixth carbon budget are not yet known, our analysis can only provide generalised assessment, mainly using national average damage costs</w:t>
            </w:r>
            <w:r w:rsidR="000D70AA">
              <w:rPr>
                <w:sz w:val="22"/>
                <w:szCs w:val="22"/>
              </w:rPr>
              <w:t>.</w:t>
            </w:r>
          </w:p>
        </w:tc>
      </w:tr>
      <w:tr w:rsidR="00870C49" w14:paraId="6D6BEC4F" w14:textId="77777777" w:rsidTr="00A07AA3">
        <w:tc>
          <w:tcPr>
            <w:tcW w:w="2122" w:type="dxa"/>
          </w:tcPr>
          <w:p w14:paraId="25837C5C" w14:textId="085749BC" w:rsidR="00870C49" w:rsidRPr="006A0C4B" w:rsidRDefault="00064CDB" w:rsidP="00A62E67">
            <w:pPr>
              <w:pStyle w:val="EBBodyPara"/>
              <w:rPr>
                <w:b/>
              </w:rPr>
            </w:pPr>
            <w:r w:rsidRPr="006A0C4B">
              <w:rPr>
                <w:b/>
              </w:rPr>
              <w:t>Fuel prices</w:t>
            </w:r>
          </w:p>
        </w:tc>
        <w:tc>
          <w:tcPr>
            <w:tcW w:w="8073" w:type="dxa"/>
          </w:tcPr>
          <w:p w14:paraId="40468BBF" w14:textId="66AE3FD9" w:rsidR="00870C49" w:rsidRDefault="00775B25" w:rsidP="005A7000">
            <w:pPr>
              <w:pStyle w:val="EBBodyPara"/>
              <w:spacing w:before="40" w:after="40"/>
            </w:pPr>
            <w:r w:rsidRPr="006A0C4B">
              <w:t xml:space="preserve">Fossil </w:t>
            </w:r>
            <w:r w:rsidR="0059069D">
              <w:t>f</w:t>
            </w:r>
            <w:r w:rsidRPr="006A0C4B">
              <w:t xml:space="preserve">uel prices are taken from the BEIS Fossil Fuel Price </w:t>
            </w:r>
            <w:r w:rsidR="003D4EBC">
              <w:t>Assump</w:t>
            </w:r>
            <w:r w:rsidRPr="006A0C4B">
              <w:t>tions 2019. The high and low series are used as sensitivities.</w:t>
            </w:r>
          </w:p>
        </w:tc>
      </w:tr>
      <w:tr w:rsidR="00870C49" w14:paraId="16A1745E" w14:textId="77777777" w:rsidTr="00A07AA3">
        <w:tc>
          <w:tcPr>
            <w:tcW w:w="2122" w:type="dxa"/>
          </w:tcPr>
          <w:p w14:paraId="60558F4E" w14:textId="08DFD899" w:rsidR="00870C49" w:rsidRPr="006A0C4B" w:rsidRDefault="00064CDB" w:rsidP="00A62E67">
            <w:pPr>
              <w:pStyle w:val="EBBodyPara"/>
              <w:rPr>
                <w:b/>
              </w:rPr>
            </w:pPr>
            <w:r w:rsidRPr="006A0C4B">
              <w:rPr>
                <w:b/>
              </w:rPr>
              <w:t>Economic growth</w:t>
            </w:r>
          </w:p>
        </w:tc>
        <w:tc>
          <w:tcPr>
            <w:tcW w:w="8073" w:type="dxa"/>
          </w:tcPr>
          <w:p w14:paraId="4D677FDF" w14:textId="3CABAB49" w:rsidR="00870C49" w:rsidRDefault="006C1480" w:rsidP="005A7000">
            <w:pPr>
              <w:pStyle w:val="EBBodyPara"/>
              <w:spacing w:before="40" w:after="40"/>
            </w:pPr>
            <w:r w:rsidRPr="006A0C4B">
              <w:t>GDP growth assumptions have been aligned to the OBR long-term forecasts published in March 2020 and the short-term central forecast published in July 2020.</w:t>
            </w:r>
          </w:p>
        </w:tc>
      </w:tr>
      <w:tr w:rsidR="00870C49" w14:paraId="57ECE4B8" w14:textId="77777777" w:rsidTr="00A07AA3">
        <w:tc>
          <w:tcPr>
            <w:tcW w:w="2122" w:type="dxa"/>
          </w:tcPr>
          <w:p w14:paraId="4AF9F245" w14:textId="2C1F95CE" w:rsidR="00870C49" w:rsidRPr="006A0C4B" w:rsidRDefault="00064CDB" w:rsidP="00A62E67">
            <w:pPr>
              <w:pStyle w:val="EBBodyPara"/>
              <w:rPr>
                <w:b/>
              </w:rPr>
            </w:pPr>
            <w:r w:rsidRPr="006A0C4B">
              <w:rPr>
                <w:b/>
              </w:rPr>
              <w:t>Price base</w:t>
            </w:r>
          </w:p>
        </w:tc>
        <w:tc>
          <w:tcPr>
            <w:tcW w:w="8073" w:type="dxa"/>
          </w:tcPr>
          <w:p w14:paraId="71D01CC7" w14:textId="17E2EC49" w:rsidR="00870C49" w:rsidRPr="006A0C4B" w:rsidRDefault="009C0ED3" w:rsidP="005A7000">
            <w:pPr>
              <w:pStyle w:val="EBBodyPara"/>
              <w:spacing w:before="40" w:after="40"/>
            </w:pPr>
            <w:r w:rsidRPr="006A0C4B">
              <w:t xml:space="preserve">The price base is 2019 for all values. </w:t>
            </w:r>
          </w:p>
        </w:tc>
      </w:tr>
      <w:tr w:rsidR="00870C49" w14:paraId="6B091038" w14:textId="77777777" w:rsidTr="00A07AA3">
        <w:tc>
          <w:tcPr>
            <w:tcW w:w="2122" w:type="dxa"/>
          </w:tcPr>
          <w:p w14:paraId="360F4C5F" w14:textId="2EDFD37D" w:rsidR="00870C49" w:rsidRPr="006A0C4B" w:rsidRDefault="00064CDB" w:rsidP="00A62E67">
            <w:pPr>
              <w:pStyle w:val="EBBodyPara"/>
              <w:rPr>
                <w:b/>
              </w:rPr>
            </w:pPr>
            <w:r w:rsidRPr="006A0C4B">
              <w:rPr>
                <w:b/>
              </w:rPr>
              <w:t>Appraisal period</w:t>
            </w:r>
          </w:p>
        </w:tc>
        <w:tc>
          <w:tcPr>
            <w:tcW w:w="8073" w:type="dxa"/>
          </w:tcPr>
          <w:p w14:paraId="03F1B713" w14:textId="5C881791" w:rsidR="00870C49" w:rsidRPr="006A0C4B" w:rsidRDefault="00134968" w:rsidP="005A7000">
            <w:pPr>
              <w:pStyle w:val="EBBodyPara"/>
              <w:spacing w:before="40" w:after="40"/>
            </w:pPr>
            <w:r w:rsidRPr="006A0C4B">
              <w:t>The appraisal period is 2020 to 2050.</w:t>
            </w:r>
          </w:p>
        </w:tc>
      </w:tr>
      <w:tr w:rsidR="00870C49" w14:paraId="213E206C" w14:textId="77777777" w:rsidTr="00A07AA3">
        <w:tc>
          <w:tcPr>
            <w:tcW w:w="2122" w:type="dxa"/>
          </w:tcPr>
          <w:p w14:paraId="55C016A6" w14:textId="293364F4" w:rsidR="00870C49" w:rsidRPr="006A0C4B" w:rsidRDefault="00064CDB" w:rsidP="00A62E67">
            <w:pPr>
              <w:pStyle w:val="EBBodyPara"/>
              <w:rPr>
                <w:b/>
              </w:rPr>
            </w:pPr>
            <w:r w:rsidRPr="006A0C4B">
              <w:rPr>
                <w:b/>
              </w:rPr>
              <w:t>Discounting</w:t>
            </w:r>
          </w:p>
        </w:tc>
        <w:tc>
          <w:tcPr>
            <w:tcW w:w="8073" w:type="dxa"/>
          </w:tcPr>
          <w:p w14:paraId="4531C422" w14:textId="17563F2C" w:rsidR="00870C49" w:rsidRPr="006A0C4B" w:rsidRDefault="00134968" w:rsidP="005A7000">
            <w:pPr>
              <w:pStyle w:val="EBBodyPara"/>
              <w:spacing w:before="40" w:after="40"/>
            </w:pPr>
            <w:r w:rsidRPr="006A0C4B">
              <w:t>Costs and benefits are discounted according to Green Book guidance of 3.5% p.a. and air quality impacts also subject to a 2% p.a. health uplift.  As a sensitivity, this health uplift is also applied to carbon savings.</w:t>
            </w:r>
          </w:p>
        </w:tc>
      </w:tr>
    </w:tbl>
    <w:p w14:paraId="1F17B69B" w14:textId="77777777" w:rsidR="00395C92" w:rsidRDefault="00395C92" w:rsidP="00821474">
      <w:pPr>
        <w:pStyle w:val="Heading3"/>
        <w:rPr>
          <w:sz w:val="28"/>
          <w:szCs w:val="28"/>
        </w:rPr>
      </w:pPr>
      <w:bookmarkStart w:id="60" w:name="_Toc201861"/>
      <w:bookmarkStart w:id="61" w:name="_Toc67051853"/>
    </w:p>
    <w:p w14:paraId="46CCCBD1" w14:textId="77777777" w:rsidR="00395C92" w:rsidRDefault="00395C92" w:rsidP="00395C92">
      <w:pPr>
        <w:pStyle w:val="EBBodyPara"/>
      </w:pPr>
    </w:p>
    <w:p w14:paraId="460015D9" w14:textId="77777777" w:rsidR="00395C92" w:rsidRDefault="00395C92" w:rsidP="00395C92">
      <w:pPr>
        <w:pStyle w:val="EBBodyPara"/>
      </w:pPr>
    </w:p>
    <w:p w14:paraId="69CABCC3" w14:textId="77777777" w:rsidR="00395C92" w:rsidRPr="00395C92" w:rsidRDefault="00395C92" w:rsidP="00395C92">
      <w:pPr>
        <w:pStyle w:val="EBBodyPara"/>
      </w:pPr>
    </w:p>
    <w:p w14:paraId="0540ACDA" w14:textId="77777777" w:rsidR="008073D0" w:rsidRDefault="008073D0" w:rsidP="00821474">
      <w:pPr>
        <w:pStyle w:val="Heading3"/>
        <w:rPr>
          <w:sz w:val="28"/>
          <w:szCs w:val="28"/>
        </w:rPr>
      </w:pPr>
    </w:p>
    <w:p w14:paraId="48B41A74" w14:textId="77777777" w:rsidR="008073D0" w:rsidRPr="008073D0" w:rsidRDefault="008073D0" w:rsidP="008073D0">
      <w:pPr>
        <w:pStyle w:val="EBBodyPara"/>
      </w:pPr>
    </w:p>
    <w:p w14:paraId="430838B8" w14:textId="352FC90C" w:rsidR="00A62E67" w:rsidRDefault="007E6F08" w:rsidP="00821474">
      <w:pPr>
        <w:pStyle w:val="Heading3"/>
        <w:rPr>
          <w:sz w:val="28"/>
          <w:szCs w:val="28"/>
        </w:rPr>
      </w:pPr>
      <w:r w:rsidRPr="004A1285">
        <w:rPr>
          <w:sz w:val="28"/>
          <w:szCs w:val="28"/>
        </w:rPr>
        <w:lastRenderedPageBreak/>
        <w:t xml:space="preserve">A.2 </w:t>
      </w:r>
      <w:r w:rsidR="00A62E67" w:rsidRPr="004A1285">
        <w:rPr>
          <w:sz w:val="28"/>
          <w:szCs w:val="28"/>
        </w:rPr>
        <w:t xml:space="preserve">UK TIMES model </w:t>
      </w:r>
      <w:bookmarkEnd w:id="60"/>
      <w:bookmarkEnd w:id="61"/>
    </w:p>
    <w:p w14:paraId="2D74C5CF" w14:textId="4B3007D3" w:rsidR="00A62E67" w:rsidRDefault="00A62E67" w:rsidP="009229B3">
      <w:pPr>
        <w:pStyle w:val="Numberedparagraphs"/>
      </w:pPr>
      <w:r>
        <w:t xml:space="preserve">For this analysis, model version v1.2.4 has been used. Quality assurance of the model has included a review of assumptions by relevant stakeholders. </w:t>
      </w:r>
    </w:p>
    <w:p w14:paraId="4D7742CD" w14:textId="18FC5E8C" w:rsidR="00404643" w:rsidRDefault="00A62E67" w:rsidP="00404643">
      <w:pPr>
        <w:pStyle w:val="Numberedparagraphs"/>
      </w:pPr>
      <w:r>
        <w:t>UK TIMES</w:t>
      </w:r>
      <w:r w:rsidR="00D16880">
        <w:t xml:space="preserve"> (UKTM)</w:t>
      </w:r>
      <w:r>
        <w:t xml:space="preserve"> is a technology-rich (approximately 2000 technologies) modelling tool which offers insight about some of the key interactions and future decision points for a complex and competing UK energy system. It provides information about the roles that technologies and resources could play under different pathways. UKTM uses a linear optimisation solver to identify the system</w:t>
      </w:r>
      <w:r w:rsidR="00295B1B">
        <w:t xml:space="preserve"> that meets exogenous energy service demands with the lowest overall discounted system cost, subject to constraints such as GHG targets and build rate limitations.  </w:t>
      </w:r>
    </w:p>
    <w:p w14:paraId="7D936261" w14:textId="61AA294C" w:rsidR="00917D74" w:rsidRPr="006A0C4B" w:rsidRDefault="00917D74" w:rsidP="005A7000">
      <w:pPr>
        <w:spacing w:after="120"/>
        <w:rPr>
          <w:i/>
          <w:iCs/>
        </w:rPr>
      </w:pPr>
      <w:r w:rsidRPr="006A0C4B">
        <w:rPr>
          <w:i/>
          <w:iCs/>
        </w:rPr>
        <w:t>Table A2: Summary of UKTIMES sectoral assumptions</w:t>
      </w: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top w:w="57" w:type="dxa"/>
          <w:left w:w="57" w:type="dxa"/>
          <w:bottom w:w="57" w:type="dxa"/>
          <w:right w:w="57" w:type="dxa"/>
        </w:tblCellMar>
        <w:tblLook w:val="04A0" w:firstRow="1" w:lastRow="0" w:firstColumn="1" w:lastColumn="0" w:noHBand="0" w:noVBand="1"/>
      </w:tblPr>
      <w:tblGrid>
        <w:gridCol w:w="2710"/>
        <w:gridCol w:w="7479"/>
      </w:tblGrid>
      <w:tr w:rsidR="003A6072" w:rsidRPr="000639AE" w14:paraId="746AA155" w14:textId="77777777" w:rsidTr="005B0B37">
        <w:trPr>
          <w:cantSplit/>
          <w:trHeight w:val="342"/>
        </w:trPr>
        <w:tc>
          <w:tcPr>
            <w:tcW w:w="0" w:type="auto"/>
            <w:tcBorders>
              <w:top w:val="single" w:sz="6" w:space="0" w:color="auto"/>
              <w:left w:val="single" w:sz="6" w:space="0" w:color="auto"/>
              <w:bottom w:val="single" w:sz="6" w:space="0" w:color="auto"/>
              <w:right w:val="single" w:sz="6" w:space="0" w:color="auto"/>
            </w:tcBorders>
            <w:tcMar>
              <w:top w:w="28" w:type="dxa"/>
              <w:left w:w="28" w:type="dxa"/>
              <w:bottom w:w="28" w:type="dxa"/>
              <w:right w:w="28" w:type="dxa"/>
            </w:tcMar>
            <w:hideMark/>
          </w:tcPr>
          <w:p w14:paraId="2500EB5C" w14:textId="77777777" w:rsidR="003A6072" w:rsidRPr="008E4FB8" w:rsidRDefault="003A6072" w:rsidP="00894C90">
            <w:pPr>
              <w:spacing w:line="256" w:lineRule="auto"/>
              <w:rPr>
                <w:rFonts w:cs="Arial"/>
                <w:b/>
                <w:sz w:val="22"/>
                <w:szCs w:val="22"/>
              </w:rPr>
            </w:pPr>
            <w:r w:rsidRPr="008E4FB8">
              <w:rPr>
                <w:rFonts w:cs="Arial"/>
                <w:b/>
                <w:sz w:val="22"/>
                <w:szCs w:val="22"/>
              </w:rPr>
              <w:t>Sector/Area </w:t>
            </w:r>
          </w:p>
        </w:tc>
        <w:tc>
          <w:tcPr>
            <w:tcW w:w="0" w:type="auto"/>
            <w:tcBorders>
              <w:top w:val="single" w:sz="6" w:space="0" w:color="auto"/>
              <w:left w:val="nil"/>
              <w:bottom w:val="single" w:sz="6" w:space="0" w:color="auto"/>
              <w:right w:val="single" w:sz="6" w:space="0" w:color="auto"/>
            </w:tcBorders>
            <w:tcMar>
              <w:top w:w="57" w:type="dxa"/>
              <w:left w:w="57" w:type="dxa"/>
              <w:bottom w:w="57" w:type="dxa"/>
              <w:right w:w="57" w:type="dxa"/>
            </w:tcMar>
            <w:hideMark/>
          </w:tcPr>
          <w:p w14:paraId="2F51E929" w14:textId="77777777" w:rsidR="003A6072" w:rsidRPr="008E4FB8" w:rsidRDefault="003A6072" w:rsidP="004774BB">
            <w:pPr>
              <w:spacing w:line="256" w:lineRule="auto"/>
              <w:rPr>
                <w:rFonts w:cs="Arial"/>
                <w:b/>
                <w:sz w:val="22"/>
                <w:szCs w:val="22"/>
              </w:rPr>
            </w:pPr>
            <w:r w:rsidRPr="008E4FB8">
              <w:rPr>
                <w:rFonts w:cs="Arial"/>
                <w:b/>
                <w:sz w:val="22"/>
                <w:szCs w:val="22"/>
              </w:rPr>
              <w:t>Assumptions summary </w:t>
            </w:r>
          </w:p>
        </w:tc>
      </w:tr>
      <w:tr w:rsidR="003A6072" w:rsidRPr="000639AE" w14:paraId="12681C26" w14:textId="77777777" w:rsidTr="005B0B37">
        <w:tc>
          <w:tcPr>
            <w:tcW w:w="0" w:type="auto"/>
            <w:tcBorders>
              <w:top w:val="nil"/>
              <w:left w:val="single" w:sz="6" w:space="0" w:color="auto"/>
              <w:bottom w:val="single" w:sz="6" w:space="0" w:color="auto"/>
              <w:right w:val="single" w:sz="6" w:space="0" w:color="auto"/>
            </w:tcBorders>
            <w:hideMark/>
          </w:tcPr>
          <w:p w14:paraId="39BC391C" w14:textId="77777777" w:rsidR="003A6072" w:rsidRPr="006A0C4B" w:rsidRDefault="003A6072" w:rsidP="00894C90">
            <w:pPr>
              <w:spacing w:line="256" w:lineRule="auto"/>
              <w:rPr>
                <w:rFonts w:cs="Arial"/>
                <w:sz w:val="22"/>
                <w:szCs w:val="22"/>
              </w:rPr>
            </w:pPr>
            <w:r w:rsidRPr="006A0C4B">
              <w:rPr>
                <w:rFonts w:cs="Arial"/>
                <w:sz w:val="22"/>
                <w:szCs w:val="22"/>
              </w:rPr>
              <w:t>Carbon targets / values / accounting</w:t>
            </w:r>
          </w:p>
        </w:tc>
        <w:tc>
          <w:tcPr>
            <w:tcW w:w="0" w:type="auto"/>
            <w:tcBorders>
              <w:top w:val="nil"/>
              <w:left w:val="nil"/>
              <w:bottom w:val="single" w:sz="6" w:space="0" w:color="auto"/>
              <w:right w:val="single" w:sz="6" w:space="0" w:color="auto"/>
            </w:tcBorders>
          </w:tcPr>
          <w:p w14:paraId="469D0786" w14:textId="43F801AF" w:rsidR="003A6072" w:rsidRPr="006A0C4B" w:rsidRDefault="003A6072" w:rsidP="00894C90">
            <w:pPr>
              <w:spacing w:line="256" w:lineRule="auto"/>
              <w:rPr>
                <w:rFonts w:cs="Arial"/>
                <w:sz w:val="22"/>
                <w:szCs w:val="22"/>
              </w:rPr>
            </w:pPr>
            <w:r w:rsidRPr="006A0C4B">
              <w:rPr>
                <w:rFonts w:cs="Arial"/>
                <w:sz w:val="22"/>
                <w:szCs w:val="22"/>
              </w:rPr>
              <w:t xml:space="preserve">GHG emissions trajectory - the model is constrained to: </w:t>
            </w:r>
          </w:p>
          <w:p w14:paraId="11368729" w14:textId="77777777" w:rsidR="003A6072" w:rsidRPr="006A0C4B" w:rsidRDefault="003A6072" w:rsidP="006A0C4B">
            <w:pPr>
              <w:pStyle w:val="ListParagraph"/>
              <w:numPr>
                <w:ilvl w:val="0"/>
                <w:numId w:val="765"/>
              </w:numPr>
              <w:rPr>
                <w:rFonts w:cs="Arial"/>
                <w:sz w:val="22"/>
              </w:rPr>
            </w:pPr>
            <w:r w:rsidRPr="006A0C4B">
              <w:rPr>
                <w:rFonts w:cs="Arial"/>
                <w:sz w:val="22"/>
              </w:rPr>
              <w:t xml:space="preserve">Not exceed the projected EEP emissions level for carbon budgets 2-4 </w:t>
            </w:r>
          </w:p>
          <w:p w14:paraId="3A9B6F67" w14:textId="77777777" w:rsidR="003A6072" w:rsidRPr="006A0C4B" w:rsidRDefault="003A6072" w:rsidP="006A0C4B">
            <w:pPr>
              <w:pStyle w:val="ListParagraph"/>
              <w:numPr>
                <w:ilvl w:val="0"/>
                <w:numId w:val="765"/>
              </w:numPr>
              <w:rPr>
                <w:rFonts w:cs="Arial"/>
                <w:sz w:val="22"/>
              </w:rPr>
            </w:pPr>
            <w:r w:rsidRPr="006A0C4B">
              <w:rPr>
                <w:rFonts w:cs="Arial"/>
                <w:sz w:val="22"/>
              </w:rPr>
              <w:t xml:space="preserve">Not exceed UK Nationally Determined Contribution for 2030 and the Net Zero target for 2050. </w:t>
            </w:r>
          </w:p>
          <w:p w14:paraId="3A2E044F" w14:textId="77777777" w:rsidR="003A6072" w:rsidRPr="006A0C4B" w:rsidRDefault="003A6072" w:rsidP="008E4FB8">
            <w:pPr>
              <w:pStyle w:val="ListParagraph"/>
              <w:numPr>
                <w:ilvl w:val="0"/>
                <w:numId w:val="765"/>
              </w:numPr>
              <w:spacing w:after="0"/>
              <w:rPr>
                <w:rFonts w:cs="Arial"/>
                <w:sz w:val="22"/>
              </w:rPr>
            </w:pPr>
            <w:r w:rsidRPr="006A0C4B">
              <w:rPr>
                <w:rFonts w:cs="Arial"/>
                <w:sz w:val="22"/>
              </w:rPr>
              <w:t xml:space="preserve">Over carbon budgets 6-8 different emission trajectories have been tested. </w:t>
            </w:r>
          </w:p>
        </w:tc>
      </w:tr>
      <w:tr w:rsidR="003A6072" w:rsidRPr="000639AE" w14:paraId="15A9DB3E" w14:textId="77777777" w:rsidTr="005B0B37">
        <w:tc>
          <w:tcPr>
            <w:tcW w:w="0" w:type="auto"/>
            <w:tcBorders>
              <w:top w:val="nil"/>
              <w:left w:val="single" w:sz="6" w:space="0" w:color="auto"/>
              <w:bottom w:val="single" w:sz="6" w:space="0" w:color="auto"/>
              <w:right w:val="single" w:sz="6" w:space="0" w:color="auto"/>
            </w:tcBorders>
            <w:hideMark/>
          </w:tcPr>
          <w:p w14:paraId="3F0CA24A" w14:textId="77777777" w:rsidR="003A6072" w:rsidRPr="006A0C4B" w:rsidRDefault="003A6072" w:rsidP="00894C90">
            <w:pPr>
              <w:spacing w:line="256" w:lineRule="auto"/>
              <w:rPr>
                <w:rFonts w:cs="Arial"/>
                <w:sz w:val="22"/>
                <w:szCs w:val="22"/>
              </w:rPr>
            </w:pPr>
            <w:r w:rsidRPr="006A0C4B">
              <w:rPr>
                <w:rFonts w:cs="Arial"/>
                <w:sz w:val="22"/>
                <w:szCs w:val="22"/>
              </w:rPr>
              <w:t>Pathways</w:t>
            </w:r>
          </w:p>
        </w:tc>
        <w:tc>
          <w:tcPr>
            <w:tcW w:w="0" w:type="auto"/>
            <w:tcBorders>
              <w:top w:val="nil"/>
              <w:left w:val="nil"/>
              <w:bottom w:val="single" w:sz="6" w:space="0" w:color="auto"/>
              <w:right w:val="single" w:sz="6" w:space="0" w:color="auto"/>
            </w:tcBorders>
          </w:tcPr>
          <w:p w14:paraId="62BACB78" w14:textId="594365BA" w:rsidR="003A6072" w:rsidRPr="006A0C4B" w:rsidRDefault="003A6072" w:rsidP="00894C90">
            <w:pPr>
              <w:spacing w:line="256" w:lineRule="auto"/>
              <w:rPr>
                <w:rFonts w:cs="Arial"/>
                <w:sz w:val="22"/>
                <w:szCs w:val="22"/>
              </w:rPr>
            </w:pPr>
            <w:r w:rsidRPr="006A0C4B">
              <w:rPr>
                <w:rFonts w:cs="Arial"/>
                <w:sz w:val="22"/>
                <w:szCs w:val="22"/>
              </w:rPr>
              <w:t xml:space="preserve">Recognising the uncertainty associated with long-term </w:t>
            </w:r>
            <w:r w:rsidR="007F013F">
              <w:rPr>
                <w:rFonts w:cs="Arial"/>
                <w:sz w:val="22"/>
                <w:szCs w:val="22"/>
              </w:rPr>
              <w:t>modelling</w:t>
            </w:r>
            <w:r w:rsidRPr="006A0C4B">
              <w:rPr>
                <w:rFonts w:cs="Arial"/>
                <w:sz w:val="22"/>
                <w:szCs w:val="22"/>
              </w:rPr>
              <w:t xml:space="preserve"> 4 </w:t>
            </w:r>
            <w:r w:rsidR="006312BC">
              <w:rPr>
                <w:rFonts w:cs="Arial"/>
                <w:sz w:val="22"/>
                <w:szCs w:val="22"/>
              </w:rPr>
              <w:t>n</w:t>
            </w:r>
            <w:r w:rsidRPr="006A0C4B">
              <w:rPr>
                <w:rFonts w:cs="Arial"/>
                <w:sz w:val="22"/>
                <w:szCs w:val="22"/>
              </w:rPr>
              <w:t xml:space="preserve">et </w:t>
            </w:r>
            <w:r w:rsidR="006312BC">
              <w:rPr>
                <w:rFonts w:cs="Arial"/>
                <w:sz w:val="22"/>
                <w:szCs w:val="22"/>
              </w:rPr>
              <w:t>z</w:t>
            </w:r>
            <w:r w:rsidRPr="006A0C4B">
              <w:rPr>
                <w:rFonts w:cs="Arial"/>
                <w:sz w:val="22"/>
                <w:szCs w:val="22"/>
              </w:rPr>
              <w:t xml:space="preserve">ero consistent whole-system pathways </w:t>
            </w:r>
            <w:r w:rsidR="007F013F">
              <w:rPr>
                <w:rFonts w:cs="Arial"/>
                <w:sz w:val="22"/>
                <w:szCs w:val="22"/>
              </w:rPr>
              <w:t xml:space="preserve">have been developed, </w:t>
            </w:r>
            <w:r w:rsidRPr="006A0C4B">
              <w:rPr>
                <w:rFonts w:cs="Arial"/>
                <w:sz w:val="22"/>
                <w:szCs w:val="22"/>
              </w:rPr>
              <w:t xml:space="preserve">representing different technology availability and resource conditions. All the sixth carbon budget emission level options are tested against each pathway. </w:t>
            </w:r>
          </w:p>
          <w:p w14:paraId="331CAB96" w14:textId="77777777" w:rsidR="003A6072" w:rsidRPr="006A0C4B" w:rsidRDefault="003A6072" w:rsidP="00894C90">
            <w:pPr>
              <w:spacing w:line="256" w:lineRule="auto"/>
              <w:rPr>
                <w:rFonts w:cs="Arial"/>
                <w:sz w:val="22"/>
                <w:szCs w:val="22"/>
              </w:rPr>
            </w:pPr>
          </w:p>
          <w:p w14:paraId="6DEF7008" w14:textId="2B0E2F47" w:rsidR="003A6072" w:rsidRPr="006A0C4B" w:rsidRDefault="003A6072" w:rsidP="00894C90">
            <w:pPr>
              <w:spacing w:line="256" w:lineRule="auto"/>
              <w:rPr>
                <w:rFonts w:cs="Arial"/>
                <w:sz w:val="22"/>
                <w:szCs w:val="22"/>
              </w:rPr>
            </w:pPr>
            <w:r w:rsidRPr="006A0C4B">
              <w:rPr>
                <w:rFonts w:cs="Arial"/>
                <w:sz w:val="22"/>
                <w:szCs w:val="22"/>
              </w:rPr>
              <w:t xml:space="preserve">These pathways are described in section </w:t>
            </w:r>
            <w:r w:rsidR="003C432A" w:rsidRPr="006A0C4B">
              <w:rPr>
                <w:rFonts w:cs="Arial"/>
                <w:sz w:val="22"/>
                <w:szCs w:val="22"/>
              </w:rPr>
              <w:t>2.2</w:t>
            </w:r>
            <w:r w:rsidR="003C432A">
              <w:rPr>
                <w:rFonts w:cs="Arial"/>
                <w:sz w:val="22"/>
                <w:szCs w:val="22"/>
              </w:rPr>
              <w:t>.</w:t>
            </w:r>
          </w:p>
        </w:tc>
      </w:tr>
      <w:tr w:rsidR="003A6072" w:rsidRPr="000639AE" w14:paraId="35B4C472" w14:textId="77777777" w:rsidTr="00DA193C">
        <w:trPr>
          <w:trHeight w:val="23"/>
        </w:trPr>
        <w:tc>
          <w:tcPr>
            <w:tcW w:w="0" w:type="auto"/>
            <w:tcBorders>
              <w:top w:val="nil"/>
              <w:left w:val="single" w:sz="6" w:space="0" w:color="auto"/>
              <w:bottom w:val="single" w:sz="6" w:space="0" w:color="auto"/>
              <w:right w:val="single" w:sz="6" w:space="0" w:color="auto"/>
            </w:tcBorders>
            <w:hideMark/>
          </w:tcPr>
          <w:p w14:paraId="304CA893" w14:textId="77777777" w:rsidR="003A6072" w:rsidRPr="006A0C4B" w:rsidRDefault="003A6072" w:rsidP="00894C90">
            <w:pPr>
              <w:spacing w:line="256" w:lineRule="auto"/>
              <w:rPr>
                <w:rFonts w:cs="Arial"/>
                <w:sz w:val="22"/>
                <w:szCs w:val="22"/>
              </w:rPr>
            </w:pPr>
            <w:r w:rsidRPr="006A0C4B">
              <w:rPr>
                <w:rFonts w:cs="Arial"/>
                <w:sz w:val="22"/>
                <w:szCs w:val="22"/>
              </w:rPr>
              <w:t>Resources, Refining &amp; Fuel Manufacture (fossil fuels, hydrogen, bioenergy) </w:t>
            </w:r>
          </w:p>
        </w:tc>
        <w:tc>
          <w:tcPr>
            <w:tcW w:w="0" w:type="auto"/>
            <w:tcBorders>
              <w:top w:val="nil"/>
              <w:left w:val="nil"/>
              <w:bottom w:val="single" w:sz="6" w:space="0" w:color="auto"/>
              <w:right w:val="single" w:sz="6" w:space="0" w:color="auto"/>
            </w:tcBorders>
          </w:tcPr>
          <w:p w14:paraId="07EBDB15" w14:textId="0EE523C8" w:rsidR="003A6072" w:rsidRPr="006A0C4B" w:rsidRDefault="003A6072" w:rsidP="00894C90">
            <w:pPr>
              <w:spacing w:line="256" w:lineRule="auto"/>
              <w:rPr>
                <w:rFonts w:cs="Arial"/>
                <w:sz w:val="22"/>
                <w:szCs w:val="22"/>
              </w:rPr>
            </w:pPr>
            <w:r w:rsidRPr="006A0C4B">
              <w:rPr>
                <w:rFonts w:cs="Arial"/>
                <w:sz w:val="22"/>
                <w:szCs w:val="22"/>
              </w:rPr>
              <w:t xml:space="preserve">Fuel demand by sector </w:t>
            </w:r>
            <w:r w:rsidR="003D4EBC">
              <w:rPr>
                <w:rFonts w:cs="Arial"/>
                <w:sz w:val="22"/>
                <w:szCs w:val="22"/>
              </w:rPr>
              <w:t xml:space="preserve">is </w:t>
            </w:r>
            <w:r w:rsidRPr="006A0C4B">
              <w:rPr>
                <w:rFonts w:cs="Arial"/>
                <w:sz w:val="22"/>
                <w:szCs w:val="22"/>
              </w:rPr>
              <w:t>calibrated to DUKES (2012) 2010 statistics with alignment to </w:t>
            </w:r>
            <w:r w:rsidR="003D4EBC">
              <w:rPr>
                <w:rFonts w:cs="Arial"/>
                <w:sz w:val="22"/>
                <w:szCs w:val="22"/>
              </w:rPr>
              <w:t xml:space="preserve">the BEIS </w:t>
            </w:r>
            <w:r w:rsidRPr="006A0C4B">
              <w:rPr>
                <w:rFonts w:cs="Arial"/>
                <w:sz w:val="22"/>
                <w:szCs w:val="22"/>
              </w:rPr>
              <w:t>Energy Demand Model fuel use for electricity. </w:t>
            </w:r>
          </w:p>
          <w:p w14:paraId="7E4079A2" w14:textId="43F801AF" w:rsidR="003A6072" w:rsidRPr="006A0C4B" w:rsidRDefault="003A6072" w:rsidP="00894C90">
            <w:pPr>
              <w:spacing w:line="256" w:lineRule="auto"/>
              <w:rPr>
                <w:rFonts w:cs="Arial"/>
                <w:sz w:val="22"/>
                <w:szCs w:val="22"/>
              </w:rPr>
            </w:pPr>
          </w:p>
          <w:p w14:paraId="02C4037E" w14:textId="43F801AF" w:rsidR="003A6072" w:rsidRPr="006A0C4B" w:rsidRDefault="003A6072" w:rsidP="00894C90">
            <w:pPr>
              <w:spacing w:line="256" w:lineRule="auto"/>
              <w:rPr>
                <w:rFonts w:cs="Arial"/>
                <w:sz w:val="22"/>
                <w:szCs w:val="22"/>
              </w:rPr>
            </w:pPr>
            <w:r w:rsidRPr="006A0C4B">
              <w:rPr>
                <w:rFonts w:cs="Arial"/>
                <w:sz w:val="22"/>
                <w:szCs w:val="22"/>
              </w:rPr>
              <w:t>Bioenergy:</w:t>
            </w:r>
          </w:p>
          <w:p w14:paraId="44B10617" w14:textId="2B6FB4B5" w:rsidR="003A6072" w:rsidRPr="006A0C4B" w:rsidRDefault="003A6072" w:rsidP="008E4FB8">
            <w:pPr>
              <w:pStyle w:val="ListParagraph"/>
              <w:numPr>
                <w:ilvl w:val="0"/>
                <w:numId w:val="766"/>
              </w:numPr>
              <w:ind w:left="723"/>
              <w:rPr>
                <w:rFonts w:cs="Arial"/>
                <w:sz w:val="22"/>
              </w:rPr>
            </w:pPr>
            <w:r w:rsidRPr="006A0C4B">
              <w:rPr>
                <w:rFonts w:cs="Arial"/>
                <w:sz w:val="22"/>
              </w:rPr>
              <w:t>Bioresource feedstock availability import inputs are from the Bioenergy Feedstock Availability Model</w:t>
            </w:r>
            <w:r w:rsidR="003838B7">
              <w:rPr>
                <w:rStyle w:val="FootnoteReference"/>
              </w:rPr>
              <w:footnoteReference w:id="71"/>
            </w:r>
            <w:r w:rsidR="0075415A">
              <w:rPr>
                <w:rFonts w:cs="Arial"/>
                <w:sz w:val="22"/>
              </w:rPr>
              <w:t>,</w:t>
            </w:r>
          </w:p>
          <w:p w14:paraId="73243F52" w14:textId="6AD50D6E" w:rsidR="003A6072" w:rsidRPr="008E4FB8" w:rsidRDefault="003A6072" w:rsidP="008E4FB8">
            <w:pPr>
              <w:pStyle w:val="ListParagraph"/>
              <w:numPr>
                <w:ilvl w:val="0"/>
                <w:numId w:val="766"/>
              </w:numPr>
              <w:ind w:left="723"/>
              <w:rPr>
                <w:rFonts w:cs="Arial"/>
                <w:sz w:val="22"/>
              </w:rPr>
            </w:pPr>
            <w:r w:rsidRPr="006A0C4B">
              <w:rPr>
                <w:rFonts w:cs="Arial"/>
                <w:sz w:val="22"/>
              </w:rPr>
              <w:t>Bioenergy crops planting rate at 53kha by 2035, deployment data provided by Defra and the Forestry Commission.</w:t>
            </w:r>
          </w:p>
          <w:p w14:paraId="5C34406B" w14:textId="43F801AF" w:rsidR="003A6072" w:rsidRPr="006A0C4B" w:rsidRDefault="003A6072" w:rsidP="00894C90">
            <w:pPr>
              <w:spacing w:line="256" w:lineRule="auto"/>
              <w:rPr>
                <w:rFonts w:cs="Arial"/>
                <w:sz w:val="22"/>
                <w:szCs w:val="22"/>
              </w:rPr>
            </w:pPr>
            <w:r w:rsidRPr="006A0C4B">
              <w:rPr>
                <w:rFonts w:cs="Arial"/>
                <w:sz w:val="22"/>
                <w:szCs w:val="22"/>
              </w:rPr>
              <w:t>Hydrogen:</w:t>
            </w:r>
          </w:p>
          <w:p w14:paraId="6A3930AB" w14:textId="43F801AF" w:rsidR="00833009" w:rsidRPr="006A0C4B" w:rsidRDefault="003A6072" w:rsidP="008E4FB8">
            <w:pPr>
              <w:pStyle w:val="ListParagraph"/>
              <w:numPr>
                <w:ilvl w:val="0"/>
                <w:numId w:val="768"/>
              </w:numPr>
              <w:ind w:left="723"/>
              <w:rPr>
                <w:rFonts w:cs="Arial"/>
                <w:sz w:val="22"/>
              </w:rPr>
            </w:pPr>
            <w:r w:rsidRPr="006A0C4B">
              <w:rPr>
                <w:rFonts w:cs="Arial"/>
                <w:sz w:val="22"/>
              </w:rPr>
              <w:t xml:space="preserve">Hydrogen production efficiencies and costs </w:t>
            </w:r>
            <w:r w:rsidR="003D4EBC">
              <w:rPr>
                <w:rFonts w:cs="Arial"/>
                <w:sz w:val="22"/>
              </w:rPr>
              <w:t xml:space="preserve">are </w:t>
            </w:r>
            <w:r w:rsidRPr="006A0C4B">
              <w:rPr>
                <w:rFonts w:cs="Arial"/>
                <w:sz w:val="22"/>
              </w:rPr>
              <w:t xml:space="preserve">aligned with the HSOP Hydrogen Supply Chain </w:t>
            </w:r>
            <w:r w:rsidR="15453657" w:rsidRPr="3A4FD809">
              <w:rPr>
                <w:rFonts w:cs="Arial"/>
                <w:sz w:val="22"/>
              </w:rPr>
              <w:t>Evidence publication</w:t>
            </w:r>
            <w:r w:rsidRPr="006A0C4B">
              <w:rPr>
                <w:rFonts w:cs="Arial"/>
                <w:sz w:val="22"/>
              </w:rPr>
              <w:t xml:space="preserve"> (</w:t>
            </w:r>
            <w:r w:rsidR="15453657" w:rsidRPr="3A4FD809">
              <w:rPr>
                <w:rFonts w:cs="Arial"/>
                <w:sz w:val="22"/>
              </w:rPr>
              <w:t>Nov 2017</w:t>
            </w:r>
            <w:r w:rsidRPr="006A0C4B">
              <w:rPr>
                <w:rFonts w:cs="Arial"/>
                <w:sz w:val="22"/>
              </w:rPr>
              <w:t>). </w:t>
            </w:r>
          </w:p>
          <w:p w14:paraId="14B73AC7" w14:textId="43F801AF" w:rsidR="003A6072" w:rsidRPr="006A0C4B" w:rsidRDefault="003A6072" w:rsidP="008E4FB8">
            <w:pPr>
              <w:pStyle w:val="ListParagraph"/>
              <w:numPr>
                <w:ilvl w:val="0"/>
                <w:numId w:val="768"/>
              </w:numPr>
              <w:ind w:left="723"/>
              <w:rPr>
                <w:rFonts w:cs="Arial"/>
                <w:sz w:val="22"/>
              </w:rPr>
            </w:pPr>
            <w:r w:rsidRPr="006A0C4B">
              <w:rPr>
                <w:rFonts w:cs="Arial"/>
                <w:sz w:val="22"/>
              </w:rPr>
              <w:t>Hydrogen production technology growth rates set at 10%, with a cumulative new capacity per year limit of 42 TWh. </w:t>
            </w:r>
          </w:p>
          <w:p w14:paraId="1CA108DB" w14:textId="4D4C69A3" w:rsidR="003A6072" w:rsidRPr="00837FF6" w:rsidRDefault="003A6072" w:rsidP="008E4FB8">
            <w:pPr>
              <w:pStyle w:val="ListParagraph"/>
              <w:numPr>
                <w:ilvl w:val="0"/>
                <w:numId w:val="768"/>
              </w:numPr>
              <w:ind w:left="723"/>
              <w:rPr>
                <w:rFonts w:cs="Arial"/>
                <w:sz w:val="22"/>
              </w:rPr>
            </w:pPr>
            <w:r w:rsidRPr="006A0C4B">
              <w:rPr>
                <w:rFonts w:cs="Arial"/>
                <w:sz w:val="22"/>
              </w:rPr>
              <w:t>Future import opportunities for liquid hydrogen are highly uncertain, therefore, this option was switched off for three of the four net zero pathways. There are options for imports other than liquefied hydrogen (</w:t>
            </w:r>
            <w:r w:rsidRPr="00917D74">
              <w:rPr>
                <w:rFonts w:cs="Arial"/>
                <w:sz w:val="22"/>
              </w:rPr>
              <w:t>e.g</w:t>
            </w:r>
            <w:r w:rsidR="001C0CC3" w:rsidRPr="00917D74">
              <w:rPr>
                <w:rFonts w:cs="Arial"/>
                <w:sz w:val="22"/>
              </w:rPr>
              <w:t>.,</w:t>
            </w:r>
            <w:r w:rsidRPr="006A0C4B">
              <w:rPr>
                <w:rFonts w:cs="Arial"/>
                <w:sz w:val="22"/>
              </w:rPr>
              <w:t xml:space="preserve"> ammonia, liquid organic hydrogen carriers) which have not been considered in this analysis.</w:t>
            </w:r>
          </w:p>
          <w:p w14:paraId="347647B9" w14:textId="77777777" w:rsidR="00DC4390" w:rsidRDefault="00DC4390" w:rsidP="005B0B37">
            <w:pPr>
              <w:spacing w:line="256" w:lineRule="auto"/>
              <w:rPr>
                <w:rFonts w:cs="Arial"/>
                <w:sz w:val="22"/>
                <w:szCs w:val="22"/>
              </w:rPr>
            </w:pPr>
          </w:p>
          <w:p w14:paraId="774EED6A" w14:textId="77777777" w:rsidR="00DC4390" w:rsidRDefault="00DC4390" w:rsidP="005B0B37">
            <w:pPr>
              <w:spacing w:line="256" w:lineRule="auto"/>
              <w:rPr>
                <w:rFonts w:cs="Arial"/>
                <w:sz w:val="22"/>
                <w:szCs w:val="22"/>
              </w:rPr>
            </w:pPr>
          </w:p>
          <w:p w14:paraId="7F7A3105" w14:textId="77777777" w:rsidR="00DC4390" w:rsidRDefault="00DC4390" w:rsidP="005B0B37">
            <w:pPr>
              <w:spacing w:line="256" w:lineRule="auto"/>
              <w:rPr>
                <w:rFonts w:cs="Arial"/>
                <w:sz w:val="22"/>
                <w:szCs w:val="22"/>
              </w:rPr>
            </w:pPr>
          </w:p>
          <w:p w14:paraId="5975EF22" w14:textId="29F6E349" w:rsidR="000E7B09" w:rsidRDefault="003A6072" w:rsidP="005B0B37">
            <w:pPr>
              <w:spacing w:line="256" w:lineRule="auto"/>
              <w:rPr>
                <w:rFonts w:cs="Arial"/>
                <w:sz w:val="22"/>
              </w:rPr>
            </w:pPr>
            <w:r w:rsidRPr="006A0C4B">
              <w:rPr>
                <w:rFonts w:cs="Arial"/>
                <w:sz w:val="22"/>
                <w:szCs w:val="22"/>
              </w:rPr>
              <w:lastRenderedPageBreak/>
              <w:t>Fossil fuels:</w:t>
            </w:r>
            <w:r w:rsidR="000E7B09" w:rsidRPr="006A0C4B">
              <w:rPr>
                <w:rFonts w:cs="Arial"/>
                <w:sz w:val="22"/>
              </w:rPr>
              <w:t xml:space="preserve"> </w:t>
            </w:r>
          </w:p>
          <w:p w14:paraId="6E43AF9B" w14:textId="55860D66" w:rsidR="003A6072" w:rsidRPr="006A0C4B" w:rsidRDefault="003A6072" w:rsidP="00AF6C21">
            <w:pPr>
              <w:pStyle w:val="ListParagraph"/>
              <w:numPr>
                <w:ilvl w:val="0"/>
                <w:numId w:val="827"/>
              </w:numPr>
              <w:rPr>
                <w:rFonts w:cs="Arial"/>
                <w:sz w:val="22"/>
              </w:rPr>
            </w:pPr>
            <w:r w:rsidRPr="006A0C4B">
              <w:rPr>
                <w:rFonts w:cs="Arial"/>
                <w:sz w:val="22"/>
              </w:rPr>
              <w:t xml:space="preserve">Fossil Fuel prices from the BEIS Fossil Fuel Price </w:t>
            </w:r>
            <w:r w:rsidR="003D4EBC">
              <w:rPr>
                <w:rFonts w:cs="Arial"/>
                <w:sz w:val="22"/>
              </w:rPr>
              <w:t>Assumpti</w:t>
            </w:r>
            <w:r w:rsidRPr="006A0C4B">
              <w:rPr>
                <w:rFonts w:cs="Arial"/>
                <w:sz w:val="22"/>
              </w:rPr>
              <w:t>ons 2019</w:t>
            </w:r>
          </w:p>
        </w:tc>
      </w:tr>
      <w:tr w:rsidR="003A6072" w:rsidRPr="000639AE" w14:paraId="77B7828D" w14:textId="77777777" w:rsidTr="005B0B37">
        <w:tc>
          <w:tcPr>
            <w:tcW w:w="0" w:type="auto"/>
            <w:tcBorders>
              <w:top w:val="nil"/>
              <w:left w:val="single" w:sz="6" w:space="0" w:color="auto"/>
              <w:bottom w:val="single" w:sz="6" w:space="0" w:color="auto"/>
              <w:right w:val="single" w:sz="6" w:space="0" w:color="auto"/>
            </w:tcBorders>
            <w:hideMark/>
          </w:tcPr>
          <w:p w14:paraId="72E11C0F" w14:textId="34C91CD1" w:rsidR="003A6072" w:rsidRPr="006A0C4B" w:rsidRDefault="003A6072" w:rsidP="00894C90">
            <w:pPr>
              <w:spacing w:line="256" w:lineRule="auto"/>
              <w:rPr>
                <w:rFonts w:cs="Arial"/>
                <w:sz w:val="22"/>
                <w:szCs w:val="22"/>
              </w:rPr>
            </w:pPr>
            <w:r w:rsidRPr="006A0C4B">
              <w:rPr>
                <w:rFonts w:cs="Arial"/>
                <w:sz w:val="22"/>
                <w:szCs w:val="22"/>
              </w:rPr>
              <w:lastRenderedPageBreak/>
              <w:t>CCS </w:t>
            </w:r>
          </w:p>
        </w:tc>
        <w:tc>
          <w:tcPr>
            <w:tcW w:w="0" w:type="auto"/>
            <w:tcBorders>
              <w:top w:val="nil"/>
              <w:left w:val="nil"/>
              <w:bottom w:val="single" w:sz="6" w:space="0" w:color="auto"/>
              <w:right w:val="single" w:sz="6" w:space="0" w:color="auto"/>
            </w:tcBorders>
            <w:hideMark/>
          </w:tcPr>
          <w:p w14:paraId="11655582" w14:textId="68F350CA" w:rsidR="00B71A22" w:rsidRDefault="003A6072" w:rsidP="003A6072">
            <w:pPr>
              <w:spacing w:line="256" w:lineRule="auto"/>
              <w:rPr>
                <w:rFonts w:cs="Arial"/>
                <w:sz w:val="22"/>
                <w:szCs w:val="22"/>
              </w:rPr>
            </w:pPr>
            <w:r w:rsidRPr="006A0C4B">
              <w:rPr>
                <w:rFonts w:cs="Arial"/>
                <w:sz w:val="22"/>
                <w:szCs w:val="22"/>
              </w:rPr>
              <w:t>There are 5 distinct types of CCS in UKTM: industrial, biogas</w:t>
            </w:r>
            <w:r w:rsidR="00B71A22">
              <w:rPr>
                <w:rFonts w:cs="Arial"/>
                <w:sz w:val="22"/>
                <w:szCs w:val="22"/>
              </w:rPr>
              <w:t xml:space="preserve"> (BECCS)</w:t>
            </w:r>
            <w:r w:rsidRPr="006A0C4B">
              <w:rPr>
                <w:rFonts w:cs="Arial"/>
                <w:sz w:val="22"/>
                <w:szCs w:val="22"/>
              </w:rPr>
              <w:t>, power generation, hydrogen production, </w:t>
            </w:r>
            <w:hyperlink r:id="rId20" w:tgtFrame="_blank" w:history="1">
              <w:r w:rsidRPr="006A0C4B">
                <w:rPr>
                  <w:rStyle w:val="Hyperlink"/>
                  <w:rFonts w:eastAsiaTheme="majorEastAsia" w:cs="Tahoma"/>
                  <w:color w:val="000000"/>
                  <w:sz w:val="22"/>
                  <w:szCs w:val="22"/>
                  <w:u w:val="none"/>
                </w:rPr>
                <w:t>direct air capture</w:t>
              </w:r>
            </w:hyperlink>
            <w:r w:rsidR="00B71A22">
              <w:rPr>
                <w:rStyle w:val="Hyperlink"/>
                <w:rFonts w:eastAsiaTheme="majorEastAsia" w:cs="Tahoma"/>
                <w:color w:val="000000"/>
                <w:sz w:val="22"/>
                <w:szCs w:val="22"/>
                <w:u w:val="none"/>
              </w:rPr>
              <w:t xml:space="preserve"> </w:t>
            </w:r>
            <w:r w:rsidR="00B71A22">
              <w:rPr>
                <w:rStyle w:val="Hyperlink"/>
                <w:rFonts w:eastAsiaTheme="majorEastAsia"/>
                <w:color w:val="000000"/>
                <w:sz w:val="22"/>
                <w:szCs w:val="22"/>
              </w:rPr>
              <w:t>(DAC)</w:t>
            </w:r>
            <w:r w:rsidRPr="006A0C4B">
              <w:rPr>
                <w:rFonts w:cs="Arial"/>
                <w:sz w:val="22"/>
                <w:szCs w:val="22"/>
              </w:rPr>
              <w:t>. </w:t>
            </w:r>
          </w:p>
          <w:p w14:paraId="40FE52B3" w14:textId="73940A8A" w:rsidR="003A6072" w:rsidRPr="006A0C4B" w:rsidRDefault="003A6072" w:rsidP="00894C90">
            <w:pPr>
              <w:spacing w:line="256" w:lineRule="auto"/>
              <w:rPr>
                <w:rFonts w:cs="Arial"/>
                <w:sz w:val="22"/>
                <w:szCs w:val="22"/>
              </w:rPr>
            </w:pPr>
            <w:r w:rsidRPr="006A0C4B">
              <w:rPr>
                <w:rFonts w:cs="Arial"/>
                <w:sz w:val="22"/>
                <w:szCs w:val="22"/>
              </w:rPr>
              <w:t>Start dates: CCS available for hydrogen, power, industry from 2025; Power BECCS from 2030, Hydrogen BECCS/DAC from 2035. </w:t>
            </w:r>
          </w:p>
        </w:tc>
      </w:tr>
      <w:tr w:rsidR="003A6072" w:rsidRPr="000639AE" w14:paraId="65209D4F" w14:textId="77777777" w:rsidTr="005B0B37">
        <w:tc>
          <w:tcPr>
            <w:tcW w:w="0" w:type="auto"/>
            <w:tcBorders>
              <w:top w:val="nil"/>
              <w:left w:val="single" w:sz="6" w:space="0" w:color="auto"/>
              <w:bottom w:val="single" w:sz="6" w:space="0" w:color="auto"/>
              <w:right w:val="single" w:sz="6" w:space="0" w:color="auto"/>
            </w:tcBorders>
            <w:hideMark/>
          </w:tcPr>
          <w:p w14:paraId="56186025" w14:textId="77777777" w:rsidR="003A6072" w:rsidRPr="006A0C4B" w:rsidRDefault="003A6072" w:rsidP="00894C90">
            <w:pPr>
              <w:spacing w:line="256" w:lineRule="auto"/>
              <w:rPr>
                <w:rFonts w:cs="Arial"/>
                <w:sz w:val="22"/>
                <w:szCs w:val="22"/>
              </w:rPr>
            </w:pPr>
            <w:r w:rsidRPr="006A0C4B">
              <w:rPr>
                <w:rFonts w:cs="Arial"/>
                <w:sz w:val="22"/>
                <w:szCs w:val="22"/>
              </w:rPr>
              <w:t>Power </w:t>
            </w:r>
          </w:p>
        </w:tc>
        <w:tc>
          <w:tcPr>
            <w:tcW w:w="0" w:type="auto"/>
            <w:tcBorders>
              <w:top w:val="nil"/>
              <w:left w:val="nil"/>
              <w:bottom w:val="single" w:sz="6" w:space="0" w:color="auto"/>
              <w:right w:val="single" w:sz="6" w:space="0" w:color="auto"/>
            </w:tcBorders>
            <w:hideMark/>
          </w:tcPr>
          <w:p w14:paraId="002D4E47" w14:textId="4759454A" w:rsidR="003A6072" w:rsidRPr="006A0C4B" w:rsidRDefault="003A6072" w:rsidP="00894C90">
            <w:pPr>
              <w:spacing w:line="256" w:lineRule="auto"/>
              <w:rPr>
                <w:rFonts w:cs="Arial"/>
                <w:sz w:val="22"/>
                <w:szCs w:val="22"/>
              </w:rPr>
            </w:pPr>
            <w:r w:rsidRPr="006A0C4B">
              <w:rPr>
                <w:rFonts w:cs="Arial"/>
                <w:sz w:val="22"/>
                <w:szCs w:val="22"/>
              </w:rPr>
              <w:t>Electricity generation technology assumptions (costs, existing stock, retirements, build rates, etc.) have been aligned as closely as possible with the BEIS Levelised Cost Model 2020</w:t>
            </w:r>
            <w:r w:rsidR="003838B7" w:rsidRPr="01F21943">
              <w:rPr>
                <w:rStyle w:val="FootnoteReference"/>
              </w:rPr>
              <w:footnoteReference w:id="72"/>
            </w:r>
            <w:r w:rsidRPr="006A0C4B">
              <w:rPr>
                <w:rFonts w:cs="Arial"/>
                <w:sz w:val="22"/>
                <w:szCs w:val="22"/>
              </w:rPr>
              <w:t> and Dynamic Dispatch Model 2020. </w:t>
            </w:r>
          </w:p>
        </w:tc>
      </w:tr>
      <w:tr w:rsidR="003A6072" w:rsidRPr="000639AE" w14:paraId="59B96738" w14:textId="77777777" w:rsidTr="005B0B37">
        <w:tc>
          <w:tcPr>
            <w:tcW w:w="0" w:type="auto"/>
            <w:tcBorders>
              <w:top w:val="nil"/>
              <w:left w:val="single" w:sz="6" w:space="0" w:color="auto"/>
              <w:bottom w:val="single" w:sz="6" w:space="0" w:color="auto"/>
              <w:right w:val="single" w:sz="6" w:space="0" w:color="auto"/>
            </w:tcBorders>
            <w:hideMark/>
          </w:tcPr>
          <w:p w14:paraId="2F3FBD4A" w14:textId="7B1C07A9" w:rsidR="003A6072" w:rsidRPr="006A0C4B" w:rsidRDefault="003A6072" w:rsidP="00894C90">
            <w:pPr>
              <w:rPr>
                <w:rFonts w:cs="Arial"/>
                <w:sz w:val="22"/>
                <w:szCs w:val="22"/>
              </w:rPr>
            </w:pPr>
            <w:r w:rsidRPr="006A0C4B">
              <w:rPr>
                <w:rFonts w:cs="Arial"/>
                <w:sz w:val="22"/>
                <w:szCs w:val="22"/>
              </w:rPr>
              <w:t xml:space="preserve">Transport  </w:t>
            </w:r>
          </w:p>
          <w:p w14:paraId="3B4D7CBA" w14:textId="77777777" w:rsidR="003A6072" w:rsidRPr="006A0C4B" w:rsidRDefault="003A6072" w:rsidP="00894C90">
            <w:pPr>
              <w:spacing w:line="256" w:lineRule="auto"/>
              <w:rPr>
                <w:rFonts w:cs="Arial"/>
                <w:sz w:val="22"/>
                <w:szCs w:val="22"/>
              </w:rPr>
            </w:pPr>
          </w:p>
        </w:tc>
        <w:tc>
          <w:tcPr>
            <w:tcW w:w="0" w:type="auto"/>
            <w:tcBorders>
              <w:top w:val="nil"/>
              <w:left w:val="nil"/>
              <w:bottom w:val="single" w:sz="6" w:space="0" w:color="auto"/>
              <w:right w:val="single" w:sz="6" w:space="0" w:color="auto"/>
            </w:tcBorders>
          </w:tcPr>
          <w:p w14:paraId="26B6B1EE" w14:textId="77777777" w:rsidR="003A6072" w:rsidRPr="006A0C4B" w:rsidRDefault="003A6072" w:rsidP="00894C90">
            <w:pPr>
              <w:spacing w:line="256" w:lineRule="auto"/>
              <w:rPr>
                <w:rFonts w:cs="Arial"/>
                <w:sz w:val="22"/>
                <w:szCs w:val="22"/>
              </w:rPr>
            </w:pPr>
            <w:r w:rsidRPr="006A0C4B">
              <w:rPr>
                <w:rFonts w:cs="Arial"/>
                <w:sz w:val="22"/>
                <w:szCs w:val="22"/>
              </w:rPr>
              <w:t>The transport sector has 9 vehicle types, all of which have a variety of abatement opportunities at different costs:</w:t>
            </w:r>
          </w:p>
          <w:p w14:paraId="49D4C071" w14:textId="77777777" w:rsidR="003A6072" w:rsidRPr="006A0C4B" w:rsidRDefault="003A6072" w:rsidP="006A0C4B">
            <w:pPr>
              <w:pStyle w:val="ListParagraph"/>
              <w:numPr>
                <w:ilvl w:val="0"/>
                <w:numId w:val="767"/>
              </w:numPr>
              <w:rPr>
                <w:rFonts w:cs="Arial"/>
                <w:sz w:val="22"/>
              </w:rPr>
            </w:pPr>
            <w:r w:rsidRPr="006A0C4B">
              <w:rPr>
                <w:rFonts w:cs="Arial"/>
                <w:sz w:val="22"/>
              </w:rPr>
              <w:t>Car </w:t>
            </w:r>
          </w:p>
          <w:p w14:paraId="01E785BF" w14:textId="77777777" w:rsidR="003A6072" w:rsidRPr="006A0C4B" w:rsidRDefault="003A6072" w:rsidP="006A0C4B">
            <w:pPr>
              <w:pStyle w:val="ListParagraph"/>
              <w:numPr>
                <w:ilvl w:val="0"/>
                <w:numId w:val="767"/>
              </w:numPr>
              <w:rPr>
                <w:rFonts w:cs="Arial"/>
                <w:sz w:val="22"/>
              </w:rPr>
            </w:pPr>
            <w:r w:rsidRPr="006A0C4B">
              <w:rPr>
                <w:rFonts w:cs="Arial"/>
                <w:sz w:val="22"/>
              </w:rPr>
              <w:t>Bus </w:t>
            </w:r>
          </w:p>
          <w:p w14:paraId="2A02A9EF" w14:textId="77777777" w:rsidR="003A6072" w:rsidRPr="006A0C4B" w:rsidRDefault="003A6072" w:rsidP="006A0C4B">
            <w:pPr>
              <w:pStyle w:val="ListParagraph"/>
              <w:numPr>
                <w:ilvl w:val="0"/>
                <w:numId w:val="767"/>
              </w:numPr>
              <w:rPr>
                <w:rFonts w:cs="Arial"/>
                <w:sz w:val="22"/>
              </w:rPr>
            </w:pPr>
            <w:r w:rsidRPr="006A0C4B">
              <w:rPr>
                <w:rFonts w:cs="Arial"/>
                <w:sz w:val="22"/>
              </w:rPr>
              <w:t>Two-wheel </w:t>
            </w:r>
          </w:p>
          <w:p w14:paraId="433DFC7C" w14:textId="77777777" w:rsidR="003A6072" w:rsidRPr="006A0C4B" w:rsidRDefault="003A6072" w:rsidP="006A0C4B">
            <w:pPr>
              <w:pStyle w:val="ListParagraph"/>
              <w:numPr>
                <w:ilvl w:val="0"/>
                <w:numId w:val="767"/>
              </w:numPr>
              <w:rPr>
                <w:rFonts w:cs="Arial"/>
                <w:sz w:val="22"/>
              </w:rPr>
            </w:pPr>
            <w:r w:rsidRPr="006A0C4B">
              <w:rPr>
                <w:rFonts w:cs="Arial"/>
                <w:sz w:val="22"/>
              </w:rPr>
              <w:t>Light goods vehicle </w:t>
            </w:r>
          </w:p>
          <w:p w14:paraId="3C0BF68A" w14:textId="77777777" w:rsidR="003A6072" w:rsidRPr="006A0C4B" w:rsidRDefault="003A6072" w:rsidP="006A0C4B">
            <w:pPr>
              <w:pStyle w:val="ListParagraph"/>
              <w:numPr>
                <w:ilvl w:val="0"/>
                <w:numId w:val="767"/>
              </w:numPr>
              <w:rPr>
                <w:rFonts w:cs="Arial"/>
                <w:sz w:val="22"/>
              </w:rPr>
            </w:pPr>
            <w:r w:rsidRPr="006A0C4B">
              <w:rPr>
                <w:rFonts w:cs="Arial"/>
                <w:sz w:val="22"/>
              </w:rPr>
              <w:t>Heavy good vehicle </w:t>
            </w:r>
          </w:p>
          <w:p w14:paraId="31FDEFA4" w14:textId="77777777" w:rsidR="003A6072" w:rsidRPr="006A0C4B" w:rsidRDefault="003A6072" w:rsidP="006A0C4B">
            <w:pPr>
              <w:pStyle w:val="ListParagraph"/>
              <w:numPr>
                <w:ilvl w:val="0"/>
                <w:numId w:val="767"/>
              </w:numPr>
              <w:rPr>
                <w:rFonts w:cs="Arial"/>
                <w:sz w:val="22"/>
              </w:rPr>
            </w:pPr>
            <w:r w:rsidRPr="006A0C4B">
              <w:rPr>
                <w:rFonts w:cs="Arial"/>
                <w:sz w:val="22"/>
              </w:rPr>
              <w:t>Rail passenger </w:t>
            </w:r>
          </w:p>
          <w:p w14:paraId="75DF2271" w14:textId="77777777" w:rsidR="003A6072" w:rsidRPr="006A0C4B" w:rsidRDefault="003A6072" w:rsidP="006A0C4B">
            <w:pPr>
              <w:pStyle w:val="ListParagraph"/>
              <w:numPr>
                <w:ilvl w:val="0"/>
                <w:numId w:val="767"/>
              </w:numPr>
              <w:rPr>
                <w:rFonts w:cs="Arial"/>
                <w:sz w:val="22"/>
              </w:rPr>
            </w:pPr>
            <w:r w:rsidRPr="006A0C4B">
              <w:rPr>
                <w:rFonts w:cs="Arial"/>
                <w:sz w:val="22"/>
              </w:rPr>
              <w:t>Rail freight </w:t>
            </w:r>
          </w:p>
          <w:p w14:paraId="0C394E47" w14:textId="77777777" w:rsidR="003A6072" w:rsidRPr="006A0C4B" w:rsidRDefault="003A6072" w:rsidP="006A0C4B">
            <w:pPr>
              <w:pStyle w:val="ListParagraph"/>
              <w:numPr>
                <w:ilvl w:val="0"/>
                <w:numId w:val="767"/>
              </w:numPr>
              <w:rPr>
                <w:rFonts w:cs="Arial"/>
                <w:sz w:val="22"/>
              </w:rPr>
            </w:pPr>
            <w:r w:rsidRPr="006A0C4B">
              <w:rPr>
                <w:rFonts w:cs="Arial"/>
                <w:sz w:val="22"/>
              </w:rPr>
              <w:t>Aviation - domestic &amp; international </w:t>
            </w:r>
          </w:p>
          <w:p w14:paraId="02D68454" w14:textId="0ADEEB4A" w:rsidR="003A6072" w:rsidRPr="008E4FB8" w:rsidRDefault="003A6072" w:rsidP="00894C90">
            <w:pPr>
              <w:pStyle w:val="ListParagraph"/>
              <w:numPr>
                <w:ilvl w:val="0"/>
                <w:numId w:val="767"/>
              </w:numPr>
              <w:rPr>
                <w:rFonts w:cs="Arial"/>
                <w:sz w:val="22"/>
              </w:rPr>
            </w:pPr>
            <w:r w:rsidRPr="006A0C4B">
              <w:rPr>
                <w:rFonts w:cs="Arial"/>
                <w:sz w:val="22"/>
              </w:rPr>
              <w:t>Shipping - domestic &amp; international </w:t>
            </w:r>
          </w:p>
          <w:p w14:paraId="7A9F433C" w14:textId="77777777" w:rsidR="003A6072" w:rsidRPr="006A0C4B" w:rsidRDefault="003A6072" w:rsidP="00894C90">
            <w:pPr>
              <w:spacing w:line="256" w:lineRule="auto"/>
              <w:rPr>
                <w:rFonts w:cs="Arial"/>
                <w:sz w:val="22"/>
                <w:szCs w:val="22"/>
              </w:rPr>
            </w:pPr>
            <w:r w:rsidRPr="006A0C4B">
              <w:rPr>
                <w:rFonts w:cs="Arial"/>
                <w:sz w:val="22"/>
                <w:szCs w:val="22"/>
              </w:rPr>
              <w:t>Car and LGV assumptions were sourced from DfT analysis based on Element Energy’s ECCo Cost and Performance Database. HGV assumptions were sourced from Element Energy H2SM model.</w:t>
            </w:r>
          </w:p>
          <w:p w14:paraId="00F2074C" w14:textId="77777777" w:rsidR="00445627" w:rsidRPr="006A0C4B" w:rsidRDefault="00445627" w:rsidP="00894C90">
            <w:pPr>
              <w:spacing w:line="256" w:lineRule="auto"/>
              <w:rPr>
                <w:rFonts w:cs="Arial"/>
                <w:sz w:val="22"/>
                <w:szCs w:val="22"/>
              </w:rPr>
            </w:pPr>
          </w:p>
          <w:p w14:paraId="56F49B2E" w14:textId="098DA16B" w:rsidR="00445627" w:rsidRPr="006A0C4B" w:rsidRDefault="0028278C" w:rsidP="00894C90">
            <w:pPr>
              <w:spacing w:line="256" w:lineRule="auto"/>
              <w:rPr>
                <w:rFonts w:cs="Arial"/>
                <w:sz w:val="22"/>
                <w:szCs w:val="22"/>
              </w:rPr>
            </w:pPr>
            <w:r w:rsidRPr="006A0C4B">
              <w:rPr>
                <w:rFonts w:cs="Arial"/>
                <w:sz w:val="22"/>
                <w:szCs w:val="22"/>
              </w:rPr>
              <w:t>Road and rail</w:t>
            </w:r>
            <w:r w:rsidRPr="006A0C4B" w:rsidDel="00C34DFE">
              <w:rPr>
                <w:rFonts w:cs="Arial"/>
                <w:sz w:val="22"/>
                <w:szCs w:val="22"/>
              </w:rPr>
              <w:t xml:space="preserve"> demand is provided by the DfT from the National Transport Model. </w:t>
            </w:r>
            <w:r w:rsidRPr="006A0C4B">
              <w:rPr>
                <w:rFonts w:cs="Arial"/>
                <w:sz w:val="22"/>
                <w:szCs w:val="22"/>
              </w:rPr>
              <w:t>Road</w:t>
            </w:r>
            <w:r w:rsidR="00445627" w:rsidRPr="006A0C4B">
              <w:rPr>
                <w:rFonts w:cs="Arial"/>
                <w:sz w:val="22"/>
                <w:szCs w:val="22"/>
              </w:rPr>
              <w:t xml:space="preserve"> demands for the sensitivity analysis are taken from BEIS’ Shadow National Transport Model up to 2040.</w:t>
            </w:r>
          </w:p>
          <w:p w14:paraId="0648F77F" w14:textId="77777777" w:rsidR="00445627" w:rsidRPr="006A0C4B" w:rsidRDefault="00445627" w:rsidP="00894C90">
            <w:pPr>
              <w:spacing w:line="256" w:lineRule="auto"/>
              <w:rPr>
                <w:rFonts w:cs="Arial"/>
                <w:sz w:val="22"/>
                <w:szCs w:val="22"/>
              </w:rPr>
            </w:pPr>
          </w:p>
          <w:p w14:paraId="699F6C81" w14:textId="0C658166" w:rsidR="00F84169" w:rsidRPr="006A0C4B" w:rsidRDefault="00D2406C" w:rsidP="004279BD">
            <w:pPr>
              <w:spacing w:line="254" w:lineRule="auto"/>
              <w:rPr>
                <w:rFonts w:cs="Arial"/>
                <w:sz w:val="22"/>
                <w:szCs w:val="22"/>
              </w:rPr>
            </w:pPr>
            <w:r>
              <w:rPr>
                <w:rFonts w:cs="Arial"/>
                <w:sz w:val="22"/>
                <w:szCs w:val="22"/>
              </w:rPr>
              <w:t>Shipping data is based on modelling commissioned by the DfT</w:t>
            </w:r>
            <w:r w:rsidRPr="01F21943">
              <w:rPr>
                <w:rStyle w:val="FootnoteReference"/>
              </w:rPr>
              <w:footnoteReference w:id="73"/>
            </w:r>
            <w:r>
              <w:rPr>
                <w:rFonts w:cs="Arial"/>
                <w:sz w:val="22"/>
                <w:szCs w:val="22"/>
              </w:rPr>
              <w:t xml:space="preserve">. </w:t>
            </w:r>
            <w:r w:rsidR="009A61F1">
              <w:rPr>
                <w:rFonts w:cs="Arial"/>
                <w:sz w:val="22"/>
                <w:szCs w:val="22"/>
              </w:rPr>
              <w:t>The i</w:t>
            </w:r>
            <w:r w:rsidR="00112E5B">
              <w:rPr>
                <w:rFonts w:cs="Arial"/>
                <w:sz w:val="22"/>
                <w:szCs w:val="22"/>
              </w:rPr>
              <w:t>nternational shipping e</w:t>
            </w:r>
            <w:r w:rsidR="00406227">
              <w:rPr>
                <w:rFonts w:cs="Arial"/>
                <w:sz w:val="22"/>
                <w:szCs w:val="22"/>
              </w:rPr>
              <w:t xml:space="preserve">stimates have been adjusted downwards by </w:t>
            </w:r>
            <w:r w:rsidR="0079478D">
              <w:rPr>
                <w:rFonts w:cs="Arial"/>
                <w:sz w:val="22"/>
                <w:szCs w:val="22"/>
              </w:rPr>
              <w:t>50</w:t>
            </w:r>
            <w:r w:rsidR="00524B93">
              <w:rPr>
                <w:rFonts w:cs="Arial"/>
                <w:sz w:val="22"/>
                <w:szCs w:val="22"/>
              </w:rPr>
              <w:t>%</w:t>
            </w:r>
            <w:r w:rsidR="00026A60">
              <w:rPr>
                <w:rFonts w:cs="Arial"/>
                <w:sz w:val="22"/>
                <w:szCs w:val="22"/>
              </w:rPr>
              <w:t xml:space="preserve">, based on the CCC </w:t>
            </w:r>
            <w:r w:rsidR="00524B93">
              <w:rPr>
                <w:rFonts w:cs="Arial"/>
                <w:sz w:val="22"/>
                <w:szCs w:val="22"/>
              </w:rPr>
              <w:t>advice</w:t>
            </w:r>
            <w:r w:rsidR="00026A60">
              <w:rPr>
                <w:rFonts w:cs="Arial"/>
                <w:sz w:val="22"/>
                <w:szCs w:val="22"/>
              </w:rPr>
              <w:t xml:space="preserve"> report, </w:t>
            </w:r>
            <w:r w:rsidR="00BF0CEC">
              <w:rPr>
                <w:rFonts w:cs="Arial"/>
                <w:sz w:val="22"/>
                <w:szCs w:val="22"/>
              </w:rPr>
              <w:t xml:space="preserve">to account for </w:t>
            </w:r>
            <w:r w:rsidR="009A61F1">
              <w:rPr>
                <w:rFonts w:cs="Arial"/>
                <w:sz w:val="22"/>
                <w:szCs w:val="22"/>
              </w:rPr>
              <w:t xml:space="preserve">the </w:t>
            </w:r>
            <w:r w:rsidR="00BF0CEC">
              <w:rPr>
                <w:rFonts w:cs="Arial"/>
                <w:sz w:val="22"/>
                <w:szCs w:val="22"/>
              </w:rPr>
              <w:t xml:space="preserve">difference </w:t>
            </w:r>
            <w:r w:rsidR="009A61F1">
              <w:rPr>
                <w:rFonts w:cs="Arial"/>
                <w:sz w:val="22"/>
                <w:szCs w:val="22"/>
              </w:rPr>
              <w:t>between an</w:t>
            </w:r>
            <w:r w:rsidR="00BF0CEC">
              <w:rPr>
                <w:rFonts w:cs="Arial"/>
                <w:sz w:val="22"/>
                <w:szCs w:val="22"/>
              </w:rPr>
              <w:t xml:space="preserve"> activity based and </w:t>
            </w:r>
            <w:r w:rsidR="009A61F1">
              <w:rPr>
                <w:rFonts w:cs="Arial"/>
                <w:sz w:val="22"/>
                <w:szCs w:val="22"/>
              </w:rPr>
              <w:t>a</w:t>
            </w:r>
            <w:r w:rsidR="00BF0CEC">
              <w:rPr>
                <w:rFonts w:cs="Arial"/>
                <w:sz w:val="22"/>
                <w:szCs w:val="22"/>
              </w:rPr>
              <w:t xml:space="preserve"> bunker fuel based </w:t>
            </w:r>
            <w:r w:rsidR="00112E5B">
              <w:rPr>
                <w:rFonts w:cs="Arial"/>
                <w:sz w:val="22"/>
                <w:szCs w:val="22"/>
              </w:rPr>
              <w:t>accounting methodology</w:t>
            </w:r>
            <w:r w:rsidR="00026A60">
              <w:rPr>
                <w:rFonts w:cs="Arial"/>
                <w:sz w:val="22"/>
                <w:szCs w:val="22"/>
              </w:rPr>
              <w:t>.</w:t>
            </w:r>
          </w:p>
          <w:p w14:paraId="6AC7F108" w14:textId="77777777" w:rsidR="008E4FB8" w:rsidRPr="006A0C4B" w:rsidRDefault="008E4FB8" w:rsidP="004279BD">
            <w:pPr>
              <w:spacing w:line="254" w:lineRule="auto"/>
              <w:rPr>
                <w:rFonts w:cs="Arial"/>
                <w:sz w:val="22"/>
                <w:szCs w:val="22"/>
              </w:rPr>
            </w:pPr>
          </w:p>
          <w:p w14:paraId="0E6527ED" w14:textId="334BA39C" w:rsidR="003A6072" w:rsidRPr="00D22301" w:rsidRDefault="00463FBE" w:rsidP="00894C90">
            <w:pPr>
              <w:spacing w:line="256" w:lineRule="auto"/>
              <w:rPr>
                <w:rFonts w:eastAsia="Times New Roman"/>
                <w:sz w:val="22"/>
                <w:szCs w:val="22"/>
              </w:rPr>
            </w:pPr>
            <w:r w:rsidRPr="006A0C4B">
              <w:rPr>
                <w:rFonts w:cs="Arial"/>
                <w:sz w:val="22"/>
                <w:szCs w:val="22"/>
              </w:rPr>
              <w:t>Aviation data on fuels, e</w:t>
            </w:r>
            <w:r w:rsidR="003A6072" w:rsidRPr="006A0C4B">
              <w:rPr>
                <w:rFonts w:cs="Arial"/>
                <w:sz w:val="22"/>
                <w:szCs w:val="22"/>
              </w:rPr>
              <w:t>fficiency</w:t>
            </w:r>
            <w:r w:rsidRPr="006A0C4B">
              <w:rPr>
                <w:rFonts w:cs="Arial"/>
                <w:sz w:val="22"/>
                <w:szCs w:val="22"/>
              </w:rPr>
              <w:t>, and d</w:t>
            </w:r>
            <w:r w:rsidR="003A6072" w:rsidRPr="006A0C4B">
              <w:rPr>
                <w:rFonts w:cs="Arial"/>
                <w:sz w:val="22"/>
                <w:szCs w:val="22"/>
              </w:rPr>
              <w:t xml:space="preserve">emand </w:t>
            </w:r>
            <w:r w:rsidRPr="006A0C4B">
              <w:rPr>
                <w:rFonts w:cs="Arial"/>
                <w:sz w:val="22"/>
                <w:szCs w:val="22"/>
              </w:rPr>
              <w:t xml:space="preserve">come </w:t>
            </w:r>
            <w:r w:rsidR="003A6072" w:rsidRPr="006A0C4B">
              <w:rPr>
                <w:rFonts w:cs="Arial"/>
                <w:sz w:val="22"/>
                <w:szCs w:val="22"/>
              </w:rPr>
              <w:t>from DfT aviation forecasts.</w:t>
            </w:r>
            <w:r w:rsidR="001B0023" w:rsidRPr="006A0C4B">
              <w:rPr>
                <w:rFonts w:cs="Arial"/>
                <w:sz w:val="22"/>
                <w:szCs w:val="22"/>
              </w:rPr>
              <w:t xml:space="preserve"> Modelled</w:t>
            </w:r>
            <w:r w:rsidR="00A27B9B" w:rsidRPr="006A0C4B">
              <w:rPr>
                <w:rFonts w:cs="Arial"/>
                <w:sz w:val="22"/>
                <w:szCs w:val="22"/>
              </w:rPr>
              <w:t xml:space="preserve"> </w:t>
            </w:r>
            <w:r w:rsidR="000D479C" w:rsidRPr="006A0C4B">
              <w:rPr>
                <w:rFonts w:eastAsia="Times New Roman"/>
                <w:sz w:val="22"/>
                <w:szCs w:val="22"/>
              </w:rPr>
              <w:t xml:space="preserve">UKTM </w:t>
            </w:r>
            <w:r w:rsidR="00A10240" w:rsidRPr="006A0C4B">
              <w:rPr>
                <w:rFonts w:eastAsia="Times New Roman"/>
                <w:sz w:val="22"/>
                <w:szCs w:val="22"/>
              </w:rPr>
              <w:t>aviation</w:t>
            </w:r>
            <w:r w:rsidR="00A27B9B" w:rsidRPr="006A0C4B">
              <w:rPr>
                <w:rFonts w:eastAsia="Times New Roman"/>
                <w:sz w:val="22"/>
                <w:szCs w:val="22"/>
              </w:rPr>
              <w:t xml:space="preserve"> </w:t>
            </w:r>
            <w:r w:rsidR="000D479C" w:rsidRPr="006A0C4B">
              <w:rPr>
                <w:rFonts w:eastAsia="Times New Roman"/>
                <w:sz w:val="22"/>
                <w:szCs w:val="22"/>
              </w:rPr>
              <w:t xml:space="preserve">pathways are </w:t>
            </w:r>
            <w:r w:rsidR="00A10240" w:rsidRPr="006A0C4B">
              <w:rPr>
                <w:rFonts w:eastAsia="Times New Roman"/>
                <w:sz w:val="22"/>
                <w:szCs w:val="22"/>
              </w:rPr>
              <w:t xml:space="preserve">aligned with DfT’s baseline forecast with a 5% minimum on biofuels in 2050, </w:t>
            </w:r>
            <w:r w:rsidR="001B0023" w:rsidRPr="006A0C4B">
              <w:rPr>
                <w:rFonts w:eastAsia="Times New Roman"/>
                <w:sz w:val="22"/>
                <w:szCs w:val="22"/>
              </w:rPr>
              <w:t xml:space="preserve">whilst the </w:t>
            </w:r>
            <w:r w:rsidR="009A61F1">
              <w:rPr>
                <w:rFonts w:eastAsia="Times New Roman"/>
                <w:sz w:val="22"/>
                <w:szCs w:val="22"/>
              </w:rPr>
              <w:t xml:space="preserve">UKTM </w:t>
            </w:r>
            <w:r w:rsidR="001B0023" w:rsidRPr="006A0C4B">
              <w:rPr>
                <w:rFonts w:eastAsia="Times New Roman"/>
                <w:sz w:val="22"/>
                <w:szCs w:val="22"/>
              </w:rPr>
              <w:t xml:space="preserve">shipping pathways </w:t>
            </w:r>
            <w:r w:rsidR="009A61F1">
              <w:rPr>
                <w:rFonts w:eastAsia="Times New Roman"/>
                <w:sz w:val="22"/>
                <w:szCs w:val="22"/>
              </w:rPr>
              <w:t>are based on Scenario D</w:t>
            </w:r>
            <w:r w:rsidR="0074419E" w:rsidRPr="006A0C4B">
              <w:rPr>
                <w:rFonts w:eastAsia="Times New Roman"/>
                <w:sz w:val="22"/>
                <w:szCs w:val="22"/>
              </w:rPr>
              <w:t xml:space="preserve"> in the </w:t>
            </w:r>
            <w:r w:rsidR="009A61F1">
              <w:rPr>
                <w:rFonts w:eastAsia="Times New Roman"/>
                <w:sz w:val="22"/>
                <w:szCs w:val="22"/>
              </w:rPr>
              <w:t>modelling commissioned by DfT.</w:t>
            </w:r>
            <w:r w:rsidR="001B0023" w:rsidRPr="006A0C4B">
              <w:rPr>
                <w:rFonts w:eastAsia="Times New Roman"/>
                <w:sz w:val="22"/>
                <w:szCs w:val="22"/>
              </w:rPr>
              <w:t xml:space="preserve"> Given these pathways</w:t>
            </w:r>
            <w:r w:rsidR="000D479C" w:rsidRPr="006A0C4B" w:rsidDel="001B0023">
              <w:rPr>
                <w:rFonts w:eastAsia="Times New Roman"/>
                <w:sz w:val="22"/>
                <w:szCs w:val="22"/>
              </w:rPr>
              <w:t xml:space="preserve"> </w:t>
            </w:r>
            <w:r w:rsidR="000D479C" w:rsidRPr="006A0C4B">
              <w:rPr>
                <w:rFonts w:eastAsia="Times New Roman"/>
                <w:sz w:val="22"/>
                <w:szCs w:val="22"/>
              </w:rPr>
              <w:t xml:space="preserve">are near fixed </w:t>
            </w:r>
            <w:r w:rsidR="00F916A7">
              <w:rPr>
                <w:rFonts w:eastAsia="Times New Roman"/>
                <w:sz w:val="22"/>
                <w:szCs w:val="22"/>
              </w:rPr>
              <w:t xml:space="preserve">in UKTM, </w:t>
            </w:r>
            <w:r w:rsidR="000D479C" w:rsidRPr="006A0C4B">
              <w:rPr>
                <w:rFonts w:eastAsia="Times New Roman"/>
                <w:sz w:val="22"/>
                <w:szCs w:val="22"/>
              </w:rPr>
              <w:t xml:space="preserve">the modelled outcomes </w:t>
            </w:r>
            <w:r w:rsidR="00F916A7">
              <w:rPr>
                <w:rFonts w:eastAsia="Times New Roman"/>
                <w:sz w:val="22"/>
                <w:szCs w:val="22"/>
              </w:rPr>
              <w:t>for aviation and shipping</w:t>
            </w:r>
            <w:r w:rsidR="000D479C" w:rsidRPr="006A0C4B">
              <w:rPr>
                <w:rFonts w:eastAsia="Times New Roman"/>
                <w:sz w:val="22"/>
                <w:szCs w:val="22"/>
              </w:rPr>
              <w:t xml:space="preserve"> do not reflect the </w:t>
            </w:r>
            <w:r w:rsidR="0074419E" w:rsidRPr="006A0C4B">
              <w:rPr>
                <w:rFonts w:eastAsia="Times New Roman"/>
                <w:sz w:val="22"/>
                <w:szCs w:val="22"/>
              </w:rPr>
              <w:t xml:space="preserve">full </w:t>
            </w:r>
            <w:r w:rsidR="000D479C" w:rsidRPr="006A0C4B">
              <w:rPr>
                <w:rFonts w:eastAsia="Times New Roman"/>
                <w:sz w:val="22"/>
                <w:szCs w:val="22"/>
              </w:rPr>
              <w:t>range of uncertainty.</w:t>
            </w:r>
          </w:p>
        </w:tc>
      </w:tr>
      <w:tr w:rsidR="003A6072" w:rsidRPr="000639AE" w14:paraId="6E0E5F4B" w14:textId="77777777" w:rsidTr="005B0B37">
        <w:tc>
          <w:tcPr>
            <w:tcW w:w="0" w:type="auto"/>
            <w:tcBorders>
              <w:top w:val="nil"/>
              <w:left w:val="single" w:sz="6" w:space="0" w:color="auto"/>
              <w:bottom w:val="single" w:sz="6" w:space="0" w:color="auto"/>
              <w:right w:val="single" w:sz="6" w:space="0" w:color="auto"/>
            </w:tcBorders>
            <w:hideMark/>
          </w:tcPr>
          <w:p w14:paraId="38B9AB0F" w14:textId="77777777" w:rsidR="003A6072" w:rsidRPr="006A0C4B" w:rsidRDefault="003A6072" w:rsidP="00894C90">
            <w:pPr>
              <w:spacing w:line="256" w:lineRule="auto"/>
              <w:rPr>
                <w:rFonts w:cs="Arial"/>
                <w:sz w:val="22"/>
                <w:szCs w:val="22"/>
              </w:rPr>
            </w:pPr>
            <w:r w:rsidRPr="006A0C4B">
              <w:rPr>
                <w:rFonts w:cs="Arial"/>
                <w:sz w:val="22"/>
                <w:szCs w:val="22"/>
              </w:rPr>
              <w:t>Residential buildings </w:t>
            </w:r>
          </w:p>
        </w:tc>
        <w:tc>
          <w:tcPr>
            <w:tcW w:w="0" w:type="auto"/>
            <w:tcBorders>
              <w:top w:val="nil"/>
              <w:left w:val="nil"/>
              <w:bottom w:val="single" w:sz="6" w:space="0" w:color="auto"/>
              <w:right w:val="single" w:sz="6" w:space="0" w:color="auto"/>
            </w:tcBorders>
          </w:tcPr>
          <w:p w14:paraId="45E41E83" w14:textId="596F416E" w:rsidR="003A6072" w:rsidRPr="006A0C4B" w:rsidRDefault="00B71A22" w:rsidP="00894C90">
            <w:pPr>
              <w:spacing w:line="256" w:lineRule="auto"/>
              <w:rPr>
                <w:rFonts w:cs="Arial"/>
                <w:sz w:val="22"/>
                <w:szCs w:val="22"/>
              </w:rPr>
            </w:pPr>
            <w:r>
              <w:rPr>
                <w:rFonts w:cs="Arial"/>
                <w:sz w:val="22"/>
                <w:szCs w:val="22"/>
              </w:rPr>
              <w:t>The h</w:t>
            </w:r>
            <w:r w:rsidR="003A6072" w:rsidRPr="006A0C4B">
              <w:rPr>
                <w:rFonts w:cs="Arial"/>
                <w:sz w:val="22"/>
                <w:szCs w:val="22"/>
              </w:rPr>
              <w:t>ousing stock </w:t>
            </w:r>
            <w:r>
              <w:rPr>
                <w:rFonts w:cs="Arial"/>
                <w:sz w:val="22"/>
                <w:szCs w:val="22"/>
              </w:rPr>
              <w:t xml:space="preserve">is </w:t>
            </w:r>
            <w:r w:rsidR="003A6072" w:rsidRPr="006A0C4B">
              <w:rPr>
                <w:rFonts w:cs="Arial"/>
                <w:sz w:val="22"/>
                <w:szCs w:val="22"/>
              </w:rPr>
              <w:t>represented as five dwelling types – existing solid wall house, existing cavity wall houses, existing solid wall flat, existing cavity wall flat, and new build.</w:t>
            </w:r>
          </w:p>
          <w:p w14:paraId="5B736D0B" w14:textId="77777777" w:rsidR="003A6072" w:rsidRPr="006A0C4B" w:rsidRDefault="003A6072" w:rsidP="00894C90">
            <w:pPr>
              <w:spacing w:line="256" w:lineRule="auto"/>
              <w:rPr>
                <w:rFonts w:cs="Arial"/>
                <w:sz w:val="22"/>
                <w:szCs w:val="22"/>
              </w:rPr>
            </w:pPr>
          </w:p>
          <w:p w14:paraId="762B1696" w14:textId="10EAD46B" w:rsidR="003A6072" w:rsidRPr="006A0C4B" w:rsidRDefault="003A6072" w:rsidP="00894C90">
            <w:pPr>
              <w:spacing w:line="256" w:lineRule="auto"/>
              <w:rPr>
                <w:rFonts w:cs="Arial"/>
                <w:sz w:val="22"/>
                <w:szCs w:val="22"/>
              </w:rPr>
            </w:pPr>
            <w:r w:rsidRPr="006A0C4B">
              <w:rPr>
                <w:rFonts w:cs="Arial"/>
                <w:sz w:val="22"/>
                <w:szCs w:val="22"/>
              </w:rPr>
              <w:lastRenderedPageBreak/>
              <w:t>Demand is based on a variety of NHM, DUKES, Energy Consumption in the UK (ECUK), </w:t>
            </w:r>
            <w:r w:rsidR="00E356A3" w:rsidRPr="006A0C4B">
              <w:rPr>
                <w:rFonts w:cs="Arial"/>
                <w:sz w:val="22"/>
                <w:szCs w:val="22"/>
              </w:rPr>
              <w:t>Energy Demand Model (</w:t>
            </w:r>
            <w:r w:rsidRPr="006A0C4B">
              <w:rPr>
                <w:rFonts w:cs="Arial"/>
                <w:sz w:val="22"/>
                <w:szCs w:val="22"/>
              </w:rPr>
              <w:t>EDM</w:t>
            </w:r>
            <w:r w:rsidR="00E356A3" w:rsidRPr="006A0C4B">
              <w:rPr>
                <w:rFonts w:cs="Arial"/>
                <w:sz w:val="22"/>
                <w:szCs w:val="22"/>
              </w:rPr>
              <w:t>)</w:t>
            </w:r>
            <w:r w:rsidRPr="006A0C4B">
              <w:rPr>
                <w:rFonts w:cs="Arial"/>
                <w:sz w:val="22"/>
                <w:szCs w:val="22"/>
              </w:rPr>
              <w:t xml:space="preserve"> 2019 (including the updated OBR </w:t>
            </w:r>
            <w:r w:rsidR="00E356A3" w:rsidRPr="006A0C4B">
              <w:rPr>
                <w:rFonts w:cs="Arial"/>
                <w:sz w:val="22"/>
                <w:szCs w:val="22"/>
              </w:rPr>
              <w:t>forecasts</w:t>
            </w:r>
            <w:r w:rsidRPr="006A0C4B">
              <w:rPr>
                <w:rFonts w:cs="Arial"/>
                <w:sz w:val="22"/>
                <w:szCs w:val="22"/>
              </w:rPr>
              <w:t>) and ONS, depending upon the particular driver. </w:t>
            </w:r>
          </w:p>
        </w:tc>
      </w:tr>
      <w:tr w:rsidR="003A6072" w:rsidRPr="000639AE" w14:paraId="3F6B5236" w14:textId="77777777" w:rsidTr="005B0B37">
        <w:tc>
          <w:tcPr>
            <w:tcW w:w="0" w:type="auto"/>
            <w:tcBorders>
              <w:top w:val="nil"/>
              <w:left w:val="single" w:sz="6" w:space="0" w:color="auto"/>
              <w:bottom w:val="single" w:sz="6" w:space="0" w:color="auto"/>
              <w:right w:val="single" w:sz="6" w:space="0" w:color="auto"/>
            </w:tcBorders>
            <w:hideMark/>
          </w:tcPr>
          <w:p w14:paraId="386AA22E" w14:textId="77777777" w:rsidR="003A6072" w:rsidRPr="006A0C4B" w:rsidRDefault="003A6072" w:rsidP="00894C90">
            <w:pPr>
              <w:spacing w:line="256" w:lineRule="auto"/>
              <w:rPr>
                <w:rFonts w:cs="Arial"/>
                <w:sz w:val="22"/>
                <w:szCs w:val="22"/>
              </w:rPr>
            </w:pPr>
            <w:r w:rsidRPr="006A0C4B">
              <w:rPr>
                <w:rFonts w:cs="Arial"/>
                <w:sz w:val="22"/>
                <w:szCs w:val="22"/>
              </w:rPr>
              <w:lastRenderedPageBreak/>
              <w:t>Commercial/public buildings </w:t>
            </w:r>
          </w:p>
        </w:tc>
        <w:tc>
          <w:tcPr>
            <w:tcW w:w="0" w:type="auto"/>
            <w:tcBorders>
              <w:top w:val="nil"/>
              <w:left w:val="nil"/>
              <w:bottom w:val="single" w:sz="6" w:space="0" w:color="auto"/>
              <w:right w:val="single" w:sz="6" w:space="0" w:color="auto"/>
            </w:tcBorders>
            <w:hideMark/>
          </w:tcPr>
          <w:p w14:paraId="6DDC81C5" w14:textId="77777777" w:rsidR="003A6072" w:rsidRPr="006A0C4B" w:rsidRDefault="003A6072" w:rsidP="00894C90">
            <w:pPr>
              <w:spacing w:line="256" w:lineRule="auto"/>
              <w:rPr>
                <w:rFonts w:cs="Arial"/>
                <w:sz w:val="22"/>
                <w:szCs w:val="22"/>
              </w:rPr>
            </w:pPr>
            <w:r w:rsidRPr="006A0C4B">
              <w:rPr>
                <w:rFonts w:cs="Arial"/>
                <w:sz w:val="22"/>
                <w:szCs w:val="22"/>
              </w:rPr>
              <w:t>The commercial/public buildings sector represents all non-domestic and non-industrial buildings in the UK. The model represents two categories of building: high energy consumption and low energy consumption.</w:t>
            </w:r>
          </w:p>
        </w:tc>
      </w:tr>
      <w:tr w:rsidR="003A6072" w:rsidRPr="000639AE" w14:paraId="4F398A4B" w14:textId="77777777" w:rsidTr="005B0B37">
        <w:tc>
          <w:tcPr>
            <w:tcW w:w="0" w:type="auto"/>
            <w:tcBorders>
              <w:top w:val="nil"/>
              <w:left w:val="single" w:sz="6" w:space="0" w:color="auto"/>
              <w:bottom w:val="single" w:sz="6" w:space="0" w:color="auto"/>
              <w:right w:val="single" w:sz="6" w:space="0" w:color="auto"/>
            </w:tcBorders>
            <w:hideMark/>
          </w:tcPr>
          <w:p w14:paraId="133DADF9" w14:textId="77777777" w:rsidR="003A6072" w:rsidRPr="006A0C4B" w:rsidRDefault="003A6072" w:rsidP="00894C90">
            <w:pPr>
              <w:spacing w:line="256" w:lineRule="auto"/>
              <w:rPr>
                <w:rFonts w:cs="Arial"/>
                <w:sz w:val="22"/>
                <w:szCs w:val="22"/>
              </w:rPr>
            </w:pPr>
            <w:r w:rsidRPr="006A0C4B">
              <w:rPr>
                <w:rFonts w:cs="Arial"/>
                <w:sz w:val="22"/>
                <w:szCs w:val="22"/>
              </w:rPr>
              <w:t>Industry </w:t>
            </w:r>
          </w:p>
        </w:tc>
        <w:tc>
          <w:tcPr>
            <w:tcW w:w="0" w:type="auto"/>
            <w:tcBorders>
              <w:top w:val="nil"/>
              <w:left w:val="nil"/>
              <w:bottom w:val="single" w:sz="6" w:space="0" w:color="auto"/>
              <w:right w:val="single" w:sz="6" w:space="0" w:color="auto"/>
            </w:tcBorders>
          </w:tcPr>
          <w:p w14:paraId="4047E074" w14:textId="40BB26AD" w:rsidR="003A6072" w:rsidRPr="006A0C4B" w:rsidRDefault="003A6072" w:rsidP="00894C90">
            <w:pPr>
              <w:spacing w:line="256" w:lineRule="auto"/>
              <w:rPr>
                <w:rFonts w:cs="Arial"/>
                <w:sz w:val="22"/>
                <w:szCs w:val="22"/>
              </w:rPr>
            </w:pPr>
            <w:r w:rsidRPr="006A0C4B">
              <w:rPr>
                <w:rFonts w:cs="Arial"/>
                <w:sz w:val="22"/>
                <w:szCs w:val="22"/>
              </w:rPr>
              <w:t>Annual demand profile aligned with driver assumptions underlying E</w:t>
            </w:r>
            <w:r w:rsidR="00E356A3" w:rsidRPr="006A0C4B">
              <w:rPr>
                <w:rFonts w:cs="Arial"/>
                <w:sz w:val="22"/>
                <w:szCs w:val="22"/>
              </w:rPr>
              <w:t>DM</w:t>
            </w:r>
            <w:r w:rsidRPr="006A0C4B">
              <w:rPr>
                <w:rFonts w:cs="Arial"/>
                <w:sz w:val="22"/>
                <w:szCs w:val="22"/>
              </w:rPr>
              <w:t xml:space="preserve"> 2019 adjusted for OBR forecasts. </w:t>
            </w:r>
          </w:p>
          <w:p w14:paraId="207AA86C" w14:textId="77777777" w:rsidR="003A6072" w:rsidRPr="006A0C4B" w:rsidRDefault="003A6072" w:rsidP="00894C90">
            <w:pPr>
              <w:spacing w:line="256" w:lineRule="auto"/>
              <w:rPr>
                <w:rFonts w:cs="Arial"/>
                <w:sz w:val="22"/>
                <w:szCs w:val="22"/>
              </w:rPr>
            </w:pPr>
          </w:p>
          <w:p w14:paraId="1C9BE864" w14:textId="3034A6EC" w:rsidR="003A6072" w:rsidRPr="006A0C4B" w:rsidRDefault="003A6072" w:rsidP="00894C90">
            <w:pPr>
              <w:spacing w:line="256" w:lineRule="auto"/>
              <w:rPr>
                <w:rFonts w:cs="Arial"/>
                <w:sz w:val="22"/>
                <w:szCs w:val="22"/>
              </w:rPr>
            </w:pPr>
            <w:r w:rsidRPr="006A0C4B">
              <w:rPr>
                <w:rFonts w:cs="Arial"/>
                <w:sz w:val="22"/>
                <w:szCs w:val="22"/>
              </w:rPr>
              <w:t xml:space="preserve">Industry service demand drivers largely based on Gross Value Added numbers in </w:t>
            </w:r>
            <w:r w:rsidR="00494E24">
              <w:rPr>
                <w:rFonts w:cs="Arial"/>
                <w:sz w:val="22"/>
                <w:szCs w:val="22"/>
              </w:rPr>
              <w:t xml:space="preserve">BEIS </w:t>
            </w:r>
            <w:r w:rsidRPr="006A0C4B">
              <w:rPr>
                <w:rFonts w:cs="Arial"/>
                <w:sz w:val="22"/>
                <w:szCs w:val="22"/>
              </w:rPr>
              <w:t>E</w:t>
            </w:r>
            <w:r w:rsidR="00494E24">
              <w:rPr>
                <w:rFonts w:cs="Arial"/>
                <w:sz w:val="22"/>
                <w:szCs w:val="22"/>
              </w:rPr>
              <w:t xml:space="preserve">nergy and </w:t>
            </w:r>
            <w:r w:rsidRPr="006A0C4B">
              <w:rPr>
                <w:rFonts w:cs="Arial"/>
                <w:sz w:val="22"/>
                <w:szCs w:val="22"/>
              </w:rPr>
              <w:t>E</w:t>
            </w:r>
            <w:r w:rsidR="00494E24">
              <w:rPr>
                <w:rFonts w:cs="Arial"/>
                <w:sz w:val="22"/>
                <w:szCs w:val="22"/>
              </w:rPr>
              <w:t xml:space="preserve">missions </w:t>
            </w:r>
            <w:r w:rsidRPr="006A0C4B">
              <w:rPr>
                <w:rFonts w:cs="Arial"/>
                <w:sz w:val="22"/>
                <w:szCs w:val="22"/>
              </w:rPr>
              <w:t>P</w:t>
            </w:r>
            <w:r w:rsidR="00494E24">
              <w:rPr>
                <w:rFonts w:cs="Arial"/>
                <w:sz w:val="22"/>
                <w:szCs w:val="22"/>
              </w:rPr>
              <w:t>rojections</w:t>
            </w:r>
            <w:r w:rsidRPr="006A0C4B">
              <w:rPr>
                <w:rFonts w:cs="Arial"/>
                <w:sz w:val="22"/>
                <w:szCs w:val="22"/>
              </w:rPr>
              <w:t>. </w:t>
            </w:r>
            <w:r w:rsidRPr="006A0C4B">
              <w:rPr>
                <w:rFonts w:cs="Arial"/>
                <w:sz w:val="22"/>
                <w:szCs w:val="22"/>
              </w:rPr>
              <w:br/>
            </w:r>
          </w:p>
          <w:p w14:paraId="242EFDCD" w14:textId="77777777" w:rsidR="003A6072" w:rsidRPr="006A0C4B" w:rsidRDefault="003A6072" w:rsidP="00894C90">
            <w:pPr>
              <w:spacing w:line="256" w:lineRule="auto"/>
              <w:rPr>
                <w:rFonts w:cs="Arial"/>
                <w:sz w:val="22"/>
                <w:szCs w:val="22"/>
              </w:rPr>
            </w:pPr>
            <w:r w:rsidRPr="006A0C4B">
              <w:rPr>
                <w:rFonts w:cs="Arial"/>
                <w:sz w:val="22"/>
                <w:szCs w:val="22"/>
              </w:rPr>
              <w:t>The subsectors within industry are modelled in two ways: </w:t>
            </w:r>
          </w:p>
          <w:p w14:paraId="4A5B4ADE" w14:textId="286DA9B7" w:rsidR="003A6072" w:rsidRPr="006A0C4B" w:rsidRDefault="003A6072" w:rsidP="008E4FB8">
            <w:pPr>
              <w:pStyle w:val="ListParagraph"/>
              <w:numPr>
                <w:ilvl w:val="0"/>
                <w:numId w:val="815"/>
              </w:numPr>
              <w:rPr>
                <w:rFonts w:cs="Arial"/>
                <w:sz w:val="22"/>
              </w:rPr>
            </w:pPr>
            <w:r w:rsidRPr="006A0C4B">
              <w:rPr>
                <w:rFonts w:cs="Arial"/>
                <w:sz w:val="22"/>
              </w:rPr>
              <w:t xml:space="preserve">Process-oriented: actual production processes are </w:t>
            </w:r>
            <w:r w:rsidRPr="00917D74">
              <w:rPr>
                <w:rFonts w:cs="Arial"/>
                <w:sz w:val="22"/>
              </w:rPr>
              <w:t>represented</w:t>
            </w:r>
            <w:r w:rsidR="001C0CC3" w:rsidRPr="00917D74">
              <w:rPr>
                <w:rFonts w:cs="Arial"/>
                <w:sz w:val="22"/>
              </w:rPr>
              <w:t>,</w:t>
            </w:r>
            <w:r w:rsidRPr="006A0C4B">
              <w:rPr>
                <w:rFonts w:cs="Arial"/>
                <w:sz w:val="22"/>
              </w:rPr>
              <w:t xml:space="preserve"> and demand commodities are specified as physical goods (in Mt):</w:t>
            </w:r>
          </w:p>
          <w:p w14:paraId="2B5412D9" w14:textId="54901FCE" w:rsidR="003A6072" w:rsidRPr="006A0C4B" w:rsidRDefault="003A6072" w:rsidP="00894C90">
            <w:pPr>
              <w:pStyle w:val="ListParagraph"/>
              <w:numPr>
                <w:ilvl w:val="1"/>
                <w:numId w:val="18"/>
              </w:numPr>
              <w:spacing w:after="0"/>
              <w:rPr>
                <w:rFonts w:cs="Arial"/>
                <w:sz w:val="22"/>
              </w:rPr>
            </w:pPr>
            <w:r w:rsidRPr="006A0C4B">
              <w:rPr>
                <w:rFonts w:cs="Arial"/>
                <w:sz w:val="22"/>
              </w:rPr>
              <w:t>Technology assumptions are primarily taken from the Usable Energy Database (UED) for the UK industrial sector, which was developed in the scope of the UKERC project “Industrial Energy Use from a Bottom-Up Perspective”, Griffin et al. (2013)</w:t>
            </w:r>
            <w:r w:rsidR="00D40A11">
              <w:rPr>
                <w:rStyle w:val="FootnoteReference"/>
              </w:rPr>
              <w:footnoteReference w:id="74"/>
            </w:r>
            <w:r w:rsidRPr="006A0C4B">
              <w:rPr>
                <w:rFonts w:cs="Arial"/>
                <w:sz w:val="22"/>
              </w:rPr>
              <w:t>.</w:t>
            </w:r>
          </w:p>
          <w:p w14:paraId="36CB8F3B" w14:textId="0F4E5B08" w:rsidR="003A6072" w:rsidRPr="006A0C4B" w:rsidRDefault="003A6072" w:rsidP="008E4FB8">
            <w:pPr>
              <w:pStyle w:val="ListParagraph"/>
              <w:numPr>
                <w:ilvl w:val="1"/>
                <w:numId w:val="18"/>
              </w:numPr>
              <w:spacing w:after="120" w:line="257" w:lineRule="auto"/>
              <w:ind w:left="1434" w:hanging="357"/>
              <w:contextualSpacing w:val="0"/>
              <w:rPr>
                <w:rFonts w:cs="Arial"/>
                <w:sz w:val="22"/>
              </w:rPr>
            </w:pPr>
            <w:r w:rsidRPr="006A0C4B">
              <w:rPr>
                <w:rFonts w:cs="Arial"/>
                <w:sz w:val="22"/>
              </w:rPr>
              <w:t>Used to model iron and steel, cement, paper and part of chemicals sector.</w:t>
            </w:r>
          </w:p>
          <w:p w14:paraId="3A42A7B8" w14:textId="60C0FDBC" w:rsidR="003A6072" w:rsidRPr="006A0C4B" w:rsidRDefault="003A6072" w:rsidP="008E4FB8">
            <w:pPr>
              <w:pStyle w:val="ListParagraph"/>
              <w:numPr>
                <w:ilvl w:val="0"/>
                <w:numId w:val="815"/>
              </w:numPr>
              <w:rPr>
                <w:rFonts w:cs="Arial"/>
                <w:sz w:val="22"/>
              </w:rPr>
            </w:pPr>
            <w:r w:rsidRPr="006A0C4B">
              <w:rPr>
                <w:rFonts w:cs="Arial"/>
                <w:sz w:val="22"/>
              </w:rPr>
              <w:t xml:space="preserve">Energy service demand based: demand </w:t>
            </w:r>
            <w:r w:rsidR="00494E24">
              <w:rPr>
                <w:rFonts w:cs="Arial"/>
                <w:sz w:val="22"/>
              </w:rPr>
              <w:t xml:space="preserve">for </w:t>
            </w:r>
            <w:r w:rsidRPr="006A0C4B">
              <w:rPr>
                <w:rFonts w:cs="Arial"/>
                <w:sz w:val="22"/>
              </w:rPr>
              <w:t>commodities are specified in terms of energy demand (in PJ) and processes such as high/low temperature, drying and refrigeration are modelled:</w:t>
            </w:r>
          </w:p>
          <w:p w14:paraId="2A291D27" w14:textId="77777777" w:rsidR="003A6072" w:rsidRPr="006A0C4B" w:rsidRDefault="003A6072" w:rsidP="00894C90">
            <w:pPr>
              <w:pStyle w:val="ListParagraph"/>
              <w:numPr>
                <w:ilvl w:val="1"/>
                <w:numId w:val="18"/>
              </w:numPr>
              <w:spacing w:after="0"/>
              <w:rPr>
                <w:rFonts w:cs="Arial"/>
                <w:sz w:val="22"/>
              </w:rPr>
            </w:pPr>
            <w:r w:rsidRPr="006A0C4B">
              <w:rPr>
                <w:rFonts w:cs="Arial"/>
                <w:sz w:val="22"/>
              </w:rPr>
              <w:t>Base year Data (2010) on energy demand is taken from the ECUK (2012) and technology assumptions are mainly adapted from UK MARKAL.</w:t>
            </w:r>
          </w:p>
          <w:p w14:paraId="06503CCF" w14:textId="1C2DEFF5" w:rsidR="003A6072" w:rsidRPr="006A0C4B" w:rsidRDefault="00494E24" w:rsidP="00894C90">
            <w:pPr>
              <w:pStyle w:val="ListParagraph"/>
              <w:numPr>
                <w:ilvl w:val="1"/>
                <w:numId w:val="18"/>
              </w:numPr>
              <w:spacing w:after="0"/>
              <w:rPr>
                <w:rFonts w:cs="Arial"/>
                <w:sz w:val="22"/>
              </w:rPr>
            </w:pPr>
            <w:r>
              <w:rPr>
                <w:rFonts w:cs="Arial"/>
                <w:sz w:val="22"/>
              </w:rPr>
              <w:t>They are u</w:t>
            </w:r>
            <w:r w:rsidR="003A6072" w:rsidRPr="006A0C4B">
              <w:rPr>
                <w:rFonts w:cs="Arial"/>
                <w:sz w:val="22"/>
              </w:rPr>
              <w:t>sed to model non-ferrous metals, other non-metallic minerals, food, drink and tobacco, other industries and part of chemicals sector.</w:t>
            </w:r>
          </w:p>
        </w:tc>
      </w:tr>
      <w:tr w:rsidR="003A6072" w:rsidRPr="000639AE" w14:paraId="3FE67A30" w14:textId="77777777" w:rsidTr="005B0B37">
        <w:tc>
          <w:tcPr>
            <w:tcW w:w="0" w:type="auto"/>
            <w:tcBorders>
              <w:top w:val="nil"/>
              <w:left w:val="single" w:sz="6" w:space="0" w:color="auto"/>
              <w:bottom w:val="single" w:sz="6" w:space="0" w:color="auto"/>
              <w:right w:val="single" w:sz="6" w:space="0" w:color="auto"/>
            </w:tcBorders>
            <w:hideMark/>
          </w:tcPr>
          <w:p w14:paraId="6D7B48D1" w14:textId="77777777" w:rsidR="003A6072" w:rsidRPr="006A0C4B" w:rsidRDefault="003A6072" w:rsidP="00894C90">
            <w:pPr>
              <w:spacing w:line="256" w:lineRule="auto"/>
              <w:rPr>
                <w:rFonts w:cs="Arial"/>
                <w:sz w:val="22"/>
                <w:szCs w:val="22"/>
              </w:rPr>
            </w:pPr>
            <w:r w:rsidRPr="006A0C4B">
              <w:rPr>
                <w:rFonts w:cs="Arial"/>
                <w:sz w:val="22"/>
                <w:szCs w:val="22"/>
              </w:rPr>
              <w:t>Agriculture – crops, livestock, transport, heat, waste  </w:t>
            </w:r>
          </w:p>
        </w:tc>
        <w:tc>
          <w:tcPr>
            <w:tcW w:w="0" w:type="auto"/>
            <w:tcBorders>
              <w:top w:val="nil"/>
              <w:left w:val="nil"/>
              <w:bottom w:val="single" w:sz="6" w:space="0" w:color="auto"/>
              <w:right w:val="single" w:sz="6" w:space="0" w:color="auto"/>
            </w:tcBorders>
            <w:hideMark/>
          </w:tcPr>
          <w:p w14:paraId="2DA57782" w14:textId="77777777" w:rsidR="003A6072" w:rsidRPr="006A0C4B" w:rsidRDefault="003A6072" w:rsidP="00894C90">
            <w:pPr>
              <w:spacing w:line="256" w:lineRule="auto"/>
              <w:rPr>
                <w:rFonts w:cs="Arial"/>
                <w:sz w:val="22"/>
                <w:szCs w:val="22"/>
              </w:rPr>
            </w:pPr>
            <w:r w:rsidRPr="006A0C4B">
              <w:rPr>
                <w:rFonts w:cs="Arial"/>
                <w:sz w:val="22"/>
                <w:szCs w:val="22"/>
              </w:rPr>
              <w:t>Emissions from agricultural livestock and crop cultivation are from Defra FAPRI modelling. A flat emissions rate is assumed after 2040. </w:t>
            </w:r>
          </w:p>
        </w:tc>
      </w:tr>
      <w:tr w:rsidR="003A6072" w:rsidRPr="000639AE" w14:paraId="7F858022" w14:textId="77777777" w:rsidTr="005B0B37">
        <w:tc>
          <w:tcPr>
            <w:tcW w:w="0" w:type="auto"/>
            <w:tcBorders>
              <w:top w:val="nil"/>
              <w:left w:val="single" w:sz="6" w:space="0" w:color="auto"/>
              <w:bottom w:val="single" w:sz="6" w:space="0" w:color="auto"/>
              <w:right w:val="single" w:sz="6" w:space="0" w:color="auto"/>
            </w:tcBorders>
            <w:hideMark/>
          </w:tcPr>
          <w:p w14:paraId="07EA539D" w14:textId="77777777" w:rsidR="003A6072" w:rsidRPr="006A0C4B" w:rsidRDefault="003A6072" w:rsidP="00894C90">
            <w:pPr>
              <w:spacing w:line="256" w:lineRule="auto"/>
              <w:rPr>
                <w:rFonts w:cs="Arial"/>
                <w:sz w:val="22"/>
                <w:szCs w:val="22"/>
              </w:rPr>
            </w:pPr>
            <w:r w:rsidRPr="006A0C4B">
              <w:rPr>
                <w:rFonts w:cs="Arial"/>
                <w:sz w:val="22"/>
                <w:szCs w:val="22"/>
              </w:rPr>
              <w:t>LULUCF – forestry, soils, land-use &amp; land-use change  </w:t>
            </w:r>
          </w:p>
        </w:tc>
        <w:tc>
          <w:tcPr>
            <w:tcW w:w="0" w:type="auto"/>
            <w:tcBorders>
              <w:top w:val="nil"/>
              <w:left w:val="nil"/>
              <w:bottom w:val="single" w:sz="6" w:space="0" w:color="auto"/>
              <w:right w:val="single" w:sz="6" w:space="0" w:color="auto"/>
            </w:tcBorders>
          </w:tcPr>
          <w:p w14:paraId="7D32D8B9" w14:textId="02C3E2D0" w:rsidR="003A6072" w:rsidRPr="006A0C4B" w:rsidRDefault="003A6072" w:rsidP="008E4FB8">
            <w:pPr>
              <w:spacing w:after="120" w:line="256" w:lineRule="auto"/>
              <w:rPr>
                <w:rFonts w:cs="Arial"/>
                <w:sz w:val="22"/>
                <w:szCs w:val="22"/>
              </w:rPr>
            </w:pPr>
            <w:r w:rsidRPr="006A0C4B">
              <w:rPr>
                <w:rFonts w:cs="Arial"/>
                <w:sz w:val="22"/>
                <w:szCs w:val="22"/>
              </w:rPr>
              <w:t xml:space="preserve">Baseline GHG inventory projections </w:t>
            </w:r>
            <w:r w:rsidR="000D556F">
              <w:rPr>
                <w:rFonts w:cs="Arial"/>
                <w:sz w:val="22"/>
                <w:szCs w:val="22"/>
              </w:rPr>
              <w:t xml:space="preserve">are </w:t>
            </w:r>
            <w:r w:rsidRPr="006A0C4B">
              <w:rPr>
                <w:rFonts w:cs="Arial"/>
                <w:sz w:val="22"/>
                <w:szCs w:val="22"/>
              </w:rPr>
              <w:t>taken from projections by the Centre for Ecology and Hydrology's LULUCF projections to 2050 and based on EEP 2019 including an adjustment for peatland emissions as described</w:t>
            </w:r>
            <w:r>
              <w:rPr>
                <w:rFonts w:cs="Arial"/>
                <w:sz w:val="22"/>
                <w:szCs w:val="22"/>
              </w:rPr>
              <w:t xml:space="preserve"> </w:t>
            </w:r>
            <w:r w:rsidR="006B35B6">
              <w:rPr>
                <w:rFonts w:cs="Arial"/>
                <w:sz w:val="22"/>
                <w:szCs w:val="22"/>
              </w:rPr>
              <w:t>in</w:t>
            </w:r>
            <w:r w:rsidRPr="006A0C4B">
              <w:rPr>
                <w:rFonts w:cs="Arial"/>
                <w:sz w:val="22"/>
                <w:szCs w:val="22"/>
              </w:rPr>
              <w:t xml:space="preserve"> section </w:t>
            </w:r>
            <w:r w:rsidR="006B35B6">
              <w:rPr>
                <w:rFonts w:cs="Arial"/>
                <w:sz w:val="22"/>
                <w:szCs w:val="22"/>
              </w:rPr>
              <w:t>1.4</w:t>
            </w:r>
            <w:r w:rsidRPr="006A0C4B">
              <w:rPr>
                <w:rFonts w:cs="Arial"/>
                <w:sz w:val="22"/>
                <w:szCs w:val="22"/>
              </w:rPr>
              <w:t>.</w:t>
            </w:r>
          </w:p>
          <w:p w14:paraId="22B11BD5" w14:textId="295B3910" w:rsidR="003A6072" w:rsidRPr="006A0C4B" w:rsidRDefault="003A6072" w:rsidP="00894C90">
            <w:pPr>
              <w:spacing w:line="256" w:lineRule="auto"/>
              <w:rPr>
                <w:rFonts w:cs="Arial"/>
                <w:sz w:val="22"/>
                <w:szCs w:val="22"/>
              </w:rPr>
            </w:pPr>
            <w:r w:rsidRPr="006A0C4B">
              <w:rPr>
                <w:rFonts w:cs="Arial"/>
                <w:sz w:val="22"/>
                <w:szCs w:val="22"/>
              </w:rPr>
              <w:t>Maximum afforestation / tree planting rate per annum at 30kha from 2030 provided to BEIS by the Forestry Commission are consistent with the peak rate over the period to 2050 in ‘stretch’ scenario of the LULUCF GHG inventory projections.</w:t>
            </w:r>
          </w:p>
        </w:tc>
      </w:tr>
    </w:tbl>
    <w:p w14:paraId="5B6961A3" w14:textId="77777777" w:rsidR="00A62E67" w:rsidRPr="004A1285" w:rsidRDefault="00A62E67" w:rsidP="00821474">
      <w:pPr>
        <w:pStyle w:val="Heading4"/>
        <w:rPr>
          <w:szCs w:val="24"/>
        </w:rPr>
      </w:pPr>
      <w:r w:rsidRPr="004A1285">
        <w:rPr>
          <w:szCs w:val="24"/>
        </w:rPr>
        <w:t xml:space="preserve">Limitations </w:t>
      </w:r>
    </w:p>
    <w:p w14:paraId="74D37E0F" w14:textId="2BA8D0FD" w:rsidR="00A62E67" w:rsidRDefault="00A62E67" w:rsidP="009229B3">
      <w:pPr>
        <w:pStyle w:val="Numberedparagraphs"/>
      </w:pPr>
      <w:r>
        <w:t>UKTM has a number of limitations</w:t>
      </w:r>
      <w:r w:rsidR="000D556F">
        <w:t>:</w:t>
      </w:r>
      <w:r>
        <w:t xml:space="preserve"> </w:t>
      </w:r>
    </w:p>
    <w:p w14:paraId="7097E91A" w14:textId="53A2D37A" w:rsidR="00A62E67" w:rsidRDefault="00A62E67" w:rsidP="008A5E07">
      <w:pPr>
        <w:pStyle w:val="Bullets"/>
      </w:pPr>
      <w:r>
        <w:t xml:space="preserve">The model only takes account of a subset of the full costs and benefits of meeting a given carbon budget level.  In addition, only technical factors are taken into account in the roll out choices (costs, maximum build rates etc.).  </w:t>
      </w:r>
      <w:r>
        <w:lastRenderedPageBreak/>
        <w:t>Behavioural or other practical considerations that might make certain pathways undesirable or difficult to achieve are not accounted for. In addition, the modelled solution will delay roll out of the more expensive options required for as long as is technically possible, given the assumed maximum deployment rate and overarching emissions constraint. This result is due to the discounting of future costs and because costs are then incurred for a shorter time period</w:t>
      </w:r>
      <w:r w:rsidR="00DD7EFB">
        <w:t>, as</w:t>
      </w:r>
      <w:r w:rsidR="009B5A91">
        <w:t xml:space="preserve"> </w:t>
      </w:r>
      <w:r>
        <w:t xml:space="preserve">the modelling ends in 2060. </w:t>
      </w:r>
    </w:p>
    <w:p w14:paraId="0ED67AC4" w14:textId="072C9027" w:rsidR="00A62E67" w:rsidRDefault="00A62E67">
      <w:pPr>
        <w:pStyle w:val="Bullets"/>
      </w:pPr>
      <w:r>
        <w:t xml:space="preserve">The results for each run of the model take no account of risk or uncertainty. The pathways modelled by UKTM are therefore only least-cost and achievable if all of the underpinning assumptions turn out to be correct over the whole period. It is unlikely in practice that all technologies would achieve the costs and performance assumed and that the availability and maximum build rate assumptions could all be achieved. This aspect also contributes to the model delaying the roll out of more expensive options, as it does not factor in the risk that some of these options may not be fully viable, and the impact this could have on achieving the UK’s 2050 emissions target. </w:t>
      </w:r>
    </w:p>
    <w:p w14:paraId="55306F78" w14:textId="68E9A8A0" w:rsidR="00A62E67" w:rsidRDefault="00A62E67">
      <w:pPr>
        <w:pStyle w:val="Bullets"/>
      </w:pPr>
      <w:r>
        <w:t xml:space="preserve">The level of detail in UKTM varies across different sectors and, as with any model, is a simplified representation of the real world.  Because it does not fully reflect the diversity in technology options and user choices it may understate the diversity of technologies that could contribute to achieving meeting targets at </w:t>
      </w:r>
      <w:r w:rsidR="000F7D9C">
        <w:t>least-cost</w:t>
      </w:r>
      <w:r>
        <w:t xml:space="preserve">. UKTM does not include behavioural measures, such as transport modal shifts or increased household recycling.   </w:t>
      </w:r>
    </w:p>
    <w:p w14:paraId="3E312643" w14:textId="69246718" w:rsidR="00A62E67" w:rsidRDefault="00A62E67">
      <w:pPr>
        <w:pStyle w:val="Bullets"/>
      </w:pPr>
      <w:r>
        <w:t>Sectors where the majority of emissions are not related to energy use</w:t>
      </w:r>
      <w:r w:rsidR="00DB0121">
        <w:t>,</w:t>
      </w:r>
      <w:r>
        <w:t xml:space="preserve"> such as agriculture</w:t>
      </w:r>
      <w:r w:rsidR="00DB0121">
        <w:t>,</w:t>
      </w:r>
      <w:r>
        <w:t xml:space="preserve"> are modelled in less detail in UKTM than in sector-specific models</w:t>
      </w:r>
      <w:r w:rsidR="001C56AD">
        <w:t>.</w:t>
      </w:r>
      <w:r>
        <w:t xml:space="preserve"> Other sectors are </w:t>
      </w:r>
      <w:r w:rsidRPr="006452DB">
        <w:t>generally</w:t>
      </w:r>
      <w:r>
        <w:t xml:space="preserve"> more granular in UKTM in terms of the number of technology options but less detailed in terms of the factors that affect variation in costs.  For instance, UKTM takes no account of variation in heat network costs due to geospatial factors, instead applying an average cost per unit of capacity.  Competition for use of land, including diverting it from other uses such as agriculture, is also likely to be an issue in the higher biomass availability scenarios but these interactions are not taken into account within UKTM. It is important to note that UKTM does not price risk, or directly factor in uncertainty.  Therefore</w:t>
      </w:r>
      <w:r w:rsidR="00DB0121">
        <w:t>,</w:t>
      </w:r>
      <w:r>
        <w:t xml:space="preserve"> each solution that UKTM finds is dependent on every assumption about each technology (e.g</w:t>
      </w:r>
      <w:r w:rsidR="001C0CC3">
        <w:t>.,</w:t>
      </w:r>
      <w:r>
        <w:t xml:space="preserve"> cost, maximum build rate, maximum availability) coming true. UKTM effectively states the latest decision points to start mitigation actions, in a deterministic world under perfect foresight. </w:t>
      </w:r>
    </w:p>
    <w:p w14:paraId="7E959FBE" w14:textId="77777777" w:rsidR="00A62E67" w:rsidRDefault="00A62E67" w:rsidP="00821474">
      <w:pPr>
        <w:pStyle w:val="Heading4"/>
      </w:pPr>
      <w:r>
        <w:t xml:space="preserve">Sector representation and technology coverage </w:t>
      </w:r>
    </w:p>
    <w:p w14:paraId="179B293E" w14:textId="1346087E" w:rsidR="008C32C0" w:rsidRPr="008C32C0" w:rsidRDefault="00A62E67" w:rsidP="009229B3">
      <w:pPr>
        <w:pStyle w:val="Numberedparagraphs"/>
        <w:rPr>
          <w:rFonts w:eastAsia="Tahoma" w:cs="Arial"/>
          <w:szCs w:val="24"/>
        </w:rPr>
      </w:pPr>
      <w:r>
        <w:t>Each of the sectors has a variety of technical abatement opportunities at different costs. No behavioural measures are captured. Key model assumptions include efficiencies, availability dates, lifetimes, resource availability and cost, capital costs, operational and maintenance costs</w:t>
      </w:r>
      <w:r w:rsidR="00DB0121">
        <w:t>,</w:t>
      </w:r>
      <w:r>
        <w:t xml:space="preserve"> and the potential savings through installing measures. These are drawn from the best evidence available at the time of analysis.  Details of some of the key assumptions and sector representations are below. </w:t>
      </w:r>
    </w:p>
    <w:p w14:paraId="4E92A068" w14:textId="6254058C" w:rsidR="00954F74" w:rsidRDefault="00792E62" w:rsidP="009229B3">
      <w:pPr>
        <w:pStyle w:val="Numberedparagraphs"/>
        <w:rPr>
          <w:rFonts w:eastAsia="Tahoma" w:cs="Arial"/>
          <w:sz w:val="22"/>
          <w:szCs w:val="28"/>
        </w:rPr>
      </w:pPr>
      <w:r>
        <w:t>F</w:t>
      </w:r>
      <w:r w:rsidRPr="006A0C4B">
        <w:t>or the purposes of reporting UKTM emission outputs the following sector categories are used</w:t>
      </w:r>
      <w:r w:rsidR="00D04090" w:rsidRPr="006A0C4B">
        <w:t xml:space="preserve">. These emissions categories are not necessarily </w:t>
      </w:r>
      <w:r w:rsidR="00954F74">
        <w:t xml:space="preserve">fully </w:t>
      </w:r>
      <w:r w:rsidR="00D04090" w:rsidRPr="006A0C4B">
        <w:t xml:space="preserve">aligned </w:t>
      </w:r>
      <w:r w:rsidR="00D04090">
        <w:rPr>
          <w:rFonts w:eastAsia="Tahoma" w:cs="Arial"/>
          <w:sz w:val="22"/>
          <w:szCs w:val="28"/>
        </w:rPr>
        <w:t>with forthcoming sector strategies.</w:t>
      </w:r>
      <w:r>
        <w:rPr>
          <w:rFonts w:eastAsia="Tahoma" w:cs="Arial"/>
          <w:sz w:val="22"/>
          <w:szCs w:val="28"/>
        </w:rPr>
        <w:t xml:space="preserve"> </w:t>
      </w:r>
    </w:p>
    <w:p w14:paraId="1B90EBDE" w14:textId="2C8DF4C1" w:rsidR="006348AF" w:rsidRDefault="006348AF" w:rsidP="009229B3">
      <w:pPr>
        <w:pStyle w:val="Numberedparagraphs"/>
        <w:numPr>
          <w:ilvl w:val="0"/>
          <w:numId w:val="0"/>
        </w:numPr>
        <w:ind w:left="720"/>
      </w:pPr>
    </w:p>
    <w:p w14:paraId="5CF35AF7" w14:textId="7EF5A12D" w:rsidR="00DC4390" w:rsidRDefault="00DC4390" w:rsidP="009229B3">
      <w:pPr>
        <w:pStyle w:val="Numberedparagraphs"/>
        <w:numPr>
          <w:ilvl w:val="0"/>
          <w:numId w:val="0"/>
        </w:numPr>
        <w:ind w:left="720"/>
      </w:pPr>
    </w:p>
    <w:p w14:paraId="30352752" w14:textId="77777777" w:rsidR="00DC4390" w:rsidRDefault="00DC4390" w:rsidP="009229B3">
      <w:pPr>
        <w:pStyle w:val="Numberedparagraphs"/>
        <w:numPr>
          <w:ilvl w:val="0"/>
          <w:numId w:val="0"/>
        </w:numPr>
        <w:ind w:left="720"/>
      </w:pPr>
    </w:p>
    <w:p w14:paraId="2C614043" w14:textId="27779583" w:rsidR="00462D52" w:rsidRPr="006A0C4B" w:rsidRDefault="00462D52" w:rsidP="006A0C4B">
      <w:pPr>
        <w:rPr>
          <w:rFonts w:eastAsia="Tahoma" w:cs="Arial"/>
          <w:i/>
          <w:iCs/>
          <w:color w:val="000000"/>
        </w:rPr>
      </w:pPr>
      <w:r w:rsidRPr="2E9CACE4">
        <w:rPr>
          <w:rFonts w:eastAsia="Tahoma" w:cs="Arial"/>
          <w:i/>
          <w:color w:val="000000" w:themeColor="text1"/>
        </w:rPr>
        <w:t>Table A3: UKTIMES sector definitions</w:t>
      </w:r>
    </w:p>
    <w:p w14:paraId="7919F627" w14:textId="77777777" w:rsidR="00792E62" w:rsidRDefault="00792E62" w:rsidP="00792E62">
      <w:pPr>
        <w:rPr>
          <w:rFonts w:eastAsia="Tahoma" w:cs="Arial"/>
          <w:color w:val="000000"/>
          <w:sz w:val="22"/>
          <w:szCs w:val="28"/>
        </w:rPr>
      </w:pPr>
    </w:p>
    <w:tbl>
      <w:tblPr>
        <w:tblStyle w:val="TableGrid"/>
        <w:tblW w:w="10195" w:type="dxa"/>
        <w:tblLook w:val="0420" w:firstRow="1" w:lastRow="0" w:firstColumn="0" w:lastColumn="0" w:noHBand="0" w:noVBand="1"/>
      </w:tblPr>
      <w:tblGrid>
        <w:gridCol w:w="3114"/>
        <w:gridCol w:w="7081"/>
      </w:tblGrid>
      <w:tr w:rsidR="00792E62" w:rsidRPr="00861D79" w14:paraId="5EFF4BAB" w14:textId="7E4A3B01" w:rsidTr="006A0C4B">
        <w:trPr>
          <w:trHeight w:val="374"/>
        </w:trPr>
        <w:tc>
          <w:tcPr>
            <w:tcW w:w="3114" w:type="dxa"/>
            <w:hideMark/>
          </w:tcPr>
          <w:p w14:paraId="61D90E1D" w14:textId="599A9A1A" w:rsidR="00792E62" w:rsidRPr="006A0C4B" w:rsidRDefault="00792E62" w:rsidP="002F3099">
            <w:pPr>
              <w:jc w:val="center"/>
              <w:rPr>
                <w:bCs/>
              </w:rPr>
            </w:pPr>
            <w:r w:rsidRPr="006A0C4B">
              <w:rPr>
                <w:bCs/>
              </w:rPr>
              <w:t xml:space="preserve">Domestic transport </w:t>
            </w:r>
          </w:p>
        </w:tc>
        <w:tc>
          <w:tcPr>
            <w:tcW w:w="7081" w:type="dxa"/>
          </w:tcPr>
          <w:p w14:paraId="00C6A202" w14:textId="1D5E4D3C" w:rsidR="00792E62" w:rsidRPr="006A0C4B" w:rsidRDefault="00381040" w:rsidP="006A0C4B">
            <w:pPr>
              <w:rPr>
                <w:bCs/>
              </w:rPr>
            </w:pPr>
            <w:r w:rsidRPr="006A0C4B">
              <w:rPr>
                <w:bCs/>
              </w:rPr>
              <w:t>Emissions f</w:t>
            </w:r>
            <w:r>
              <w:rPr>
                <w:bCs/>
              </w:rPr>
              <w:t xml:space="preserve">rom </w:t>
            </w:r>
            <w:r w:rsidR="003B2E2C">
              <w:rPr>
                <w:bCs/>
              </w:rPr>
              <w:t>all</w:t>
            </w:r>
            <w:r>
              <w:rPr>
                <w:bCs/>
              </w:rPr>
              <w:t xml:space="preserve"> road</w:t>
            </w:r>
            <w:r w:rsidR="003B2E2C">
              <w:rPr>
                <w:bCs/>
              </w:rPr>
              <w:t xml:space="preserve"> transport modes</w:t>
            </w:r>
            <w:r>
              <w:rPr>
                <w:bCs/>
              </w:rPr>
              <w:t xml:space="preserve">, </w:t>
            </w:r>
            <w:r w:rsidR="003B2E2C">
              <w:rPr>
                <w:bCs/>
              </w:rPr>
              <w:t>associated with</w:t>
            </w:r>
            <w:r>
              <w:rPr>
                <w:bCs/>
              </w:rPr>
              <w:t xml:space="preserve"> rail </w:t>
            </w:r>
            <w:r w:rsidR="003B2E2C">
              <w:rPr>
                <w:bCs/>
              </w:rPr>
              <w:t>travel,</w:t>
            </w:r>
            <w:r>
              <w:rPr>
                <w:bCs/>
              </w:rPr>
              <w:t xml:space="preserve"> domestic aviation and shipping.</w:t>
            </w:r>
          </w:p>
        </w:tc>
      </w:tr>
      <w:tr w:rsidR="00792E62" w:rsidRPr="00861D79" w14:paraId="386D7370" w14:textId="232CE673" w:rsidTr="006A0C4B">
        <w:trPr>
          <w:trHeight w:val="198"/>
        </w:trPr>
        <w:tc>
          <w:tcPr>
            <w:tcW w:w="3114" w:type="dxa"/>
            <w:hideMark/>
          </w:tcPr>
          <w:p w14:paraId="0306D6DC" w14:textId="1B16C1FF" w:rsidR="00792E62" w:rsidRPr="006A0C4B" w:rsidRDefault="00792E62" w:rsidP="002F3099">
            <w:pPr>
              <w:jc w:val="center"/>
              <w:rPr>
                <w:bCs/>
              </w:rPr>
            </w:pPr>
            <w:r w:rsidRPr="006A0C4B">
              <w:rPr>
                <w:bCs/>
              </w:rPr>
              <w:t>Industry</w:t>
            </w:r>
          </w:p>
        </w:tc>
        <w:tc>
          <w:tcPr>
            <w:tcW w:w="7081" w:type="dxa"/>
          </w:tcPr>
          <w:p w14:paraId="0C9184C0" w14:textId="3DE5DA47" w:rsidR="00792E62" w:rsidRPr="006A0C4B" w:rsidRDefault="00C41F70" w:rsidP="006A0C4B">
            <w:pPr>
              <w:rPr>
                <w:bCs/>
              </w:rPr>
            </w:pPr>
            <w:r>
              <w:rPr>
                <w:bCs/>
              </w:rPr>
              <w:t>Emissions from manufacturing and construction</w:t>
            </w:r>
            <w:r w:rsidR="003B2E2C">
              <w:rPr>
                <w:bCs/>
              </w:rPr>
              <w:t xml:space="preserve">, including </w:t>
            </w:r>
            <w:r w:rsidR="00D04090">
              <w:rPr>
                <w:bCs/>
              </w:rPr>
              <w:t xml:space="preserve">cement, chemicals, food &amp; drink, iron &amp; steel production and non-energy use. </w:t>
            </w:r>
          </w:p>
        </w:tc>
      </w:tr>
      <w:tr w:rsidR="00792E62" w:rsidRPr="00861D79" w14:paraId="44822050" w14:textId="5141CA25" w:rsidTr="006A0C4B">
        <w:trPr>
          <w:trHeight w:val="198"/>
        </w:trPr>
        <w:tc>
          <w:tcPr>
            <w:tcW w:w="3114" w:type="dxa"/>
            <w:hideMark/>
          </w:tcPr>
          <w:p w14:paraId="59F26E66" w14:textId="531D125A" w:rsidR="00792E62" w:rsidRPr="006A0C4B" w:rsidRDefault="00792E62" w:rsidP="002F3099">
            <w:pPr>
              <w:jc w:val="center"/>
              <w:rPr>
                <w:bCs/>
              </w:rPr>
            </w:pPr>
            <w:r w:rsidRPr="006A0C4B">
              <w:rPr>
                <w:bCs/>
              </w:rPr>
              <w:t>Fuel supply</w:t>
            </w:r>
          </w:p>
        </w:tc>
        <w:tc>
          <w:tcPr>
            <w:tcW w:w="7081" w:type="dxa"/>
          </w:tcPr>
          <w:p w14:paraId="63F4D8A9" w14:textId="35F39ABA" w:rsidR="00792E62" w:rsidRPr="006A0C4B" w:rsidRDefault="00381040" w:rsidP="006A0C4B">
            <w:pPr>
              <w:rPr>
                <w:bCs/>
              </w:rPr>
            </w:pPr>
            <w:r>
              <w:rPr>
                <w:bCs/>
              </w:rPr>
              <w:t>Emissions associated w</w:t>
            </w:r>
            <w:r w:rsidR="00E063D7">
              <w:rPr>
                <w:bCs/>
              </w:rPr>
              <w:t>i</w:t>
            </w:r>
            <w:r>
              <w:rPr>
                <w:bCs/>
              </w:rPr>
              <w:t>th non-</w:t>
            </w:r>
            <w:r w:rsidR="009B5A91">
              <w:rPr>
                <w:bCs/>
              </w:rPr>
              <w:t>electricity</w:t>
            </w:r>
            <w:r>
              <w:rPr>
                <w:bCs/>
              </w:rPr>
              <w:t xml:space="preserve"> fuels supply including </w:t>
            </w:r>
            <w:r w:rsidR="00604B6B">
              <w:rPr>
                <w:bCs/>
              </w:rPr>
              <w:t>upstream</w:t>
            </w:r>
            <w:r w:rsidR="00B1419A">
              <w:rPr>
                <w:bCs/>
              </w:rPr>
              <w:t xml:space="preserve"> oil and gas production,</w:t>
            </w:r>
            <w:r w:rsidR="00604B6B">
              <w:rPr>
                <w:bCs/>
              </w:rPr>
              <w:t xml:space="preserve"> refineries and hydrogen production emissions. </w:t>
            </w:r>
          </w:p>
        </w:tc>
      </w:tr>
      <w:tr w:rsidR="00792E62" w:rsidRPr="00861D79" w14:paraId="5D711CD9" w14:textId="23260F0D" w:rsidTr="006A0C4B">
        <w:trPr>
          <w:trHeight w:val="198"/>
        </w:trPr>
        <w:tc>
          <w:tcPr>
            <w:tcW w:w="3114" w:type="dxa"/>
            <w:hideMark/>
          </w:tcPr>
          <w:p w14:paraId="4F1E6E0F" w14:textId="1D55E1D0" w:rsidR="00792E62" w:rsidRPr="006A0C4B" w:rsidRDefault="00792E62" w:rsidP="002F3099">
            <w:pPr>
              <w:jc w:val="center"/>
              <w:rPr>
                <w:bCs/>
              </w:rPr>
            </w:pPr>
            <w:r w:rsidRPr="006A0C4B">
              <w:rPr>
                <w:bCs/>
              </w:rPr>
              <w:t>Buildings</w:t>
            </w:r>
          </w:p>
        </w:tc>
        <w:tc>
          <w:tcPr>
            <w:tcW w:w="7081" w:type="dxa"/>
          </w:tcPr>
          <w:p w14:paraId="061C2617" w14:textId="45AA427D" w:rsidR="00792E62" w:rsidRPr="006A0C4B" w:rsidRDefault="00381040" w:rsidP="006A0C4B">
            <w:pPr>
              <w:rPr>
                <w:bCs/>
              </w:rPr>
            </w:pPr>
            <w:r>
              <w:rPr>
                <w:bCs/>
              </w:rPr>
              <w:t>Emissions from domestic (residential) and non-domestic (</w:t>
            </w:r>
            <w:r w:rsidR="00604B6B">
              <w:rPr>
                <w:bCs/>
              </w:rPr>
              <w:t>business and public) buildings.</w:t>
            </w:r>
          </w:p>
        </w:tc>
      </w:tr>
      <w:tr w:rsidR="00792E62" w:rsidRPr="00861D79" w14:paraId="7DE20E2F" w14:textId="48B87479" w:rsidTr="006A0C4B">
        <w:trPr>
          <w:trHeight w:val="198"/>
        </w:trPr>
        <w:tc>
          <w:tcPr>
            <w:tcW w:w="3114" w:type="dxa"/>
            <w:hideMark/>
          </w:tcPr>
          <w:p w14:paraId="576CA425" w14:textId="02C4973F" w:rsidR="00792E62" w:rsidRPr="006A0C4B" w:rsidRDefault="00792E62" w:rsidP="002F3099">
            <w:pPr>
              <w:jc w:val="center"/>
              <w:rPr>
                <w:bCs/>
              </w:rPr>
            </w:pPr>
            <w:r w:rsidRPr="006A0C4B">
              <w:rPr>
                <w:bCs/>
              </w:rPr>
              <w:t>Electricity</w:t>
            </w:r>
          </w:p>
        </w:tc>
        <w:tc>
          <w:tcPr>
            <w:tcW w:w="7081" w:type="dxa"/>
          </w:tcPr>
          <w:p w14:paraId="67592544" w14:textId="0986CE0E" w:rsidR="00792E62" w:rsidRPr="006A0C4B" w:rsidRDefault="00604B6B" w:rsidP="006A0C4B">
            <w:pPr>
              <w:rPr>
                <w:bCs/>
              </w:rPr>
            </w:pPr>
            <w:r>
              <w:rPr>
                <w:bCs/>
              </w:rPr>
              <w:t xml:space="preserve">Emissions associated with electricity supply including </w:t>
            </w:r>
            <w:r w:rsidR="00C00C10">
              <w:rPr>
                <w:bCs/>
              </w:rPr>
              <w:t xml:space="preserve">operating </w:t>
            </w:r>
            <w:r>
              <w:rPr>
                <w:bCs/>
              </w:rPr>
              <w:t xml:space="preserve">energy from waste plants. </w:t>
            </w:r>
          </w:p>
        </w:tc>
      </w:tr>
      <w:tr w:rsidR="00792E62" w:rsidRPr="00861D79" w14:paraId="14C0D5FA" w14:textId="31A91963" w:rsidTr="006A0C4B">
        <w:trPr>
          <w:trHeight w:val="198"/>
        </w:trPr>
        <w:tc>
          <w:tcPr>
            <w:tcW w:w="3114" w:type="dxa"/>
            <w:hideMark/>
          </w:tcPr>
          <w:p w14:paraId="64470CBF" w14:textId="4AEB0595" w:rsidR="00792E62" w:rsidRPr="006A0C4B" w:rsidRDefault="00792E62" w:rsidP="002F3099">
            <w:pPr>
              <w:jc w:val="center"/>
              <w:rPr>
                <w:bCs/>
              </w:rPr>
            </w:pPr>
            <w:r w:rsidRPr="006A0C4B">
              <w:rPr>
                <w:bCs/>
              </w:rPr>
              <w:t>Agriculture</w:t>
            </w:r>
          </w:p>
        </w:tc>
        <w:tc>
          <w:tcPr>
            <w:tcW w:w="7081" w:type="dxa"/>
          </w:tcPr>
          <w:p w14:paraId="3F3FC242" w14:textId="164CB515" w:rsidR="00792E62" w:rsidRPr="006A0C4B" w:rsidRDefault="00604B6B" w:rsidP="006A0C4B">
            <w:pPr>
              <w:rPr>
                <w:bCs/>
              </w:rPr>
            </w:pPr>
            <w:r>
              <w:rPr>
                <w:bCs/>
              </w:rPr>
              <w:t xml:space="preserve">Emissions associated with agricultural activities. </w:t>
            </w:r>
          </w:p>
        </w:tc>
      </w:tr>
      <w:tr w:rsidR="00792E62" w:rsidRPr="00861D79" w14:paraId="05ADEC53" w14:textId="51D45CBB" w:rsidTr="006A0C4B">
        <w:trPr>
          <w:trHeight w:val="198"/>
        </w:trPr>
        <w:tc>
          <w:tcPr>
            <w:tcW w:w="3114" w:type="dxa"/>
            <w:hideMark/>
          </w:tcPr>
          <w:p w14:paraId="44DDA273" w14:textId="3541F9BA" w:rsidR="00792E62" w:rsidRPr="006A0C4B" w:rsidRDefault="00792E62" w:rsidP="002F3099">
            <w:pPr>
              <w:jc w:val="center"/>
              <w:rPr>
                <w:bCs/>
              </w:rPr>
            </w:pPr>
            <w:r w:rsidRPr="006A0C4B">
              <w:rPr>
                <w:bCs/>
              </w:rPr>
              <w:t>Waste</w:t>
            </w:r>
          </w:p>
        </w:tc>
        <w:tc>
          <w:tcPr>
            <w:tcW w:w="7081" w:type="dxa"/>
          </w:tcPr>
          <w:p w14:paraId="5AF64255" w14:textId="2B43EE7B" w:rsidR="00792E62" w:rsidRPr="006A0C4B" w:rsidRDefault="001A1F6B" w:rsidP="006A0C4B">
            <w:pPr>
              <w:rPr>
                <w:bCs/>
              </w:rPr>
            </w:pPr>
            <w:r>
              <w:rPr>
                <w:bCs/>
              </w:rPr>
              <w:t xml:space="preserve">Emissions associated with waste management. </w:t>
            </w:r>
          </w:p>
        </w:tc>
      </w:tr>
      <w:tr w:rsidR="00792E62" w:rsidRPr="00861D79" w14:paraId="1E1522BE" w14:textId="24D1ECEC" w:rsidTr="006A0C4B">
        <w:trPr>
          <w:trHeight w:val="198"/>
        </w:trPr>
        <w:tc>
          <w:tcPr>
            <w:tcW w:w="3114" w:type="dxa"/>
            <w:hideMark/>
          </w:tcPr>
          <w:p w14:paraId="7C4FD7C2" w14:textId="3F1621D2" w:rsidR="00792E62" w:rsidRPr="006A0C4B" w:rsidRDefault="00792E62" w:rsidP="002F3099">
            <w:pPr>
              <w:jc w:val="center"/>
              <w:rPr>
                <w:bCs/>
              </w:rPr>
            </w:pPr>
            <w:r w:rsidRPr="006A0C4B">
              <w:rPr>
                <w:bCs/>
              </w:rPr>
              <w:t xml:space="preserve">F-gases </w:t>
            </w:r>
          </w:p>
        </w:tc>
        <w:tc>
          <w:tcPr>
            <w:tcW w:w="7081" w:type="dxa"/>
          </w:tcPr>
          <w:p w14:paraId="247AD4DB" w14:textId="19AF8C0B" w:rsidR="00792E62" w:rsidRPr="006A0C4B" w:rsidRDefault="001A1F6B" w:rsidP="006A0C4B">
            <w:pPr>
              <w:rPr>
                <w:bCs/>
              </w:rPr>
            </w:pPr>
            <w:r>
              <w:rPr>
                <w:bCs/>
              </w:rPr>
              <w:t xml:space="preserve">Emissions from </w:t>
            </w:r>
            <w:r w:rsidR="0BAA99BA">
              <w:t>F</w:t>
            </w:r>
            <w:r w:rsidR="47484210">
              <w:t>luorinated</w:t>
            </w:r>
            <w:r>
              <w:rPr>
                <w:bCs/>
              </w:rPr>
              <w:t xml:space="preserve">-gases. </w:t>
            </w:r>
          </w:p>
        </w:tc>
      </w:tr>
      <w:tr w:rsidR="00792E62" w:rsidRPr="00861D79" w14:paraId="2DDB5C54" w14:textId="78CF6255" w:rsidTr="006A0C4B">
        <w:trPr>
          <w:trHeight w:val="198"/>
        </w:trPr>
        <w:tc>
          <w:tcPr>
            <w:tcW w:w="3114" w:type="dxa"/>
            <w:hideMark/>
          </w:tcPr>
          <w:p w14:paraId="2BE290D7" w14:textId="77777777" w:rsidR="00792E62" w:rsidRPr="006A0C4B" w:rsidRDefault="00792E62" w:rsidP="002F3099">
            <w:pPr>
              <w:jc w:val="center"/>
              <w:rPr>
                <w:bCs/>
              </w:rPr>
            </w:pPr>
            <w:r w:rsidRPr="006A0C4B">
              <w:rPr>
                <w:bCs/>
              </w:rPr>
              <w:t>LULUCF</w:t>
            </w:r>
            <w:r w:rsidRPr="006A0C4B">
              <w:rPr>
                <w:rStyle w:val="FootnoteReference"/>
                <w:bCs/>
              </w:rPr>
              <w:footnoteReference w:id="75"/>
            </w:r>
          </w:p>
        </w:tc>
        <w:tc>
          <w:tcPr>
            <w:tcW w:w="7081" w:type="dxa"/>
          </w:tcPr>
          <w:p w14:paraId="46FC616C" w14:textId="12131DA0" w:rsidR="00792E62" w:rsidRPr="006A0C4B" w:rsidRDefault="001A1F6B" w:rsidP="006A0C4B">
            <w:pPr>
              <w:rPr>
                <w:bCs/>
              </w:rPr>
            </w:pPr>
            <w:r>
              <w:rPr>
                <w:bCs/>
              </w:rPr>
              <w:t xml:space="preserve">Emissions from land use sources and sinks, including wetlands emissions. </w:t>
            </w:r>
          </w:p>
        </w:tc>
      </w:tr>
      <w:tr w:rsidR="00792E62" w:rsidRPr="00861D79" w14:paraId="4D511815" w14:textId="54DBFCE2" w:rsidTr="006A0C4B">
        <w:trPr>
          <w:trHeight w:val="198"/>
        </w:trPr>
        <w:tc>
          <w:tcPr>
            <w:tcW w:w="3114" w:type="dxa"/>
            <w:hideMark/>
          </w:tcPr>
          <w:p w14:paraId="5371BC49" w14:textId="4F1C598B" w:rsidR="00792E62" w:rsidRPr="006A0C4B" w:rsidRDefault="00792E62" w:rsidP="002F3099">
            <w:pPr>
              <w:jc w:val="center"/>
              <w:rPr>
                <w:bCs/>
              </w:rPr>
            </w:pPr>
            <w:r w:rsidRPr="006A0C4B">
              <w:rPr>
                <w:bCs/>
              </w:rPr>
              <w:t>Engineered removals</w:t>
            </w:r>
          </w:p>
        </w:tc>
        <w:tc>
          <w:tcPr>
            <w:tcW w:w="7081" w:type="dxa"/>
          </w:tcPr>
          <w:p w14:paraId="168142F8" w14:textId="5C9AF4F0" w:rsidR="00792E62" w:rsidRPr="006A0C4B" w:rsidRDefault="001A1F6B" w:rsidP="006A0C4B">
            <w:pPr>
              <w:rPr>
                <w:bCs/>
              </w:rPr>
            </w:pPr>
            <w:r>
              <w:rPr>
                <w:bCs/>
              </w:rPr>
              <w:t xml:space="preserve">Emissions removals from engineered technologies (BECCS and DACCS). </w:t>
            </w:r>
          </w:p>
        </w:tc>
      </w:tr>
      <w:tr w:rsidR="00792E62" w:rsidRPr="00861D79" w14:paraId="3BE9C010" w14:textId="648AC4AB" w:rsidTr="006A0C4B">
        <w:trPr>
          <w:trHeight w:val="374"/>
        </w:trPr>
        <w:tc>
          <w:tcPr>
            <w:tcW w:w="3114" w:type="dxa"/>
            <w:hideMark/>
          </w:tcPr>
          <w:p w14:paraId="3B15B61F" w14:textId="066639E7" w:rsidR="00792E62" w:rsidRPr="00A15CA3" w:rsidRDefault="00792E62" w:rsidP="002F3099">
            <w:pPr>
              <w:rPr>
                <w:rFonts w:ascii="Times New Roman" w:hAnsi="Times New Roman" w:cs="Times New Roman"/>
              </w:rPr>
            </w:pPr>
            <w:r w:rsidRPr="006A0C4B">
              <w:rPr>
                <w:bCs/>
              </w:rPr>
              <w:t>Int’l Aviation &amp; Shipping</w:t>
            </w:r>
            <w:r w:rsidRPr="00B67183">
              <w:rPr>
                <w:rFonts w:ascii="Times New Roman" w:hAnsi="Times New Roman" w:cs="Times New Roman"/>
              </w:rPr>
              <w:t xml:space="preserve"> </w:t>
            </w:r>
          </w:p>
          <w:p w14:paraId="4AF88A98" w14:textId="77777777" w:rsidR="00792E62" w:rsidRPr="006A0C4B" w:rsidRDefault="00792E62" w:rsidP="002F3099">
            <w:pPr>
              <w:rPr>
                <w:bCs/>
              </w:rPr>
            </w:pPr>
          </w:p>
        </w:tc>
        <w:tc>
          <w:tcPr>
            <w:tcW w:w="7081" w:type="dxa"/>
          </w:tcPr>
          <w:p w14:paraId="3AA7CDA8" w14:textId="038409FB" w:rsidR="00792E62" w:rsidRPr="006A0C4B" w:rsidRDefault="001A1F6B" w:rsidP="002F3099">
            <w:pPr>
              <w:rPr>
                <w:bCs/>
              </w:rPr>
            </w:pPr>
            <w:r>
              <w:rPr>
                <w:bCs/>
              </w:rPr>
              <w:t xml:space="preserve">Emissions from international aviation and shipping. </w:t>
            </w:r>
          </w:p>
        </w:tc>
      </w:tr>
    </w:tbl>
    <w:p w14:paraId="76FB2683" w14:textId="77777777" w:rsidR="00147A68" w:rsidRDefault="00147A68" w:rsidP="00821474">
      <w:pPr>
        <w:pStyle w:val="Heading3"/>
        <w:rPr>
          <w:sz w:val="28"/>
          <w:szCs w:val="28"/>
        </w:rPr>
      </w:pPr>
      <w:bookmarkStart w:id="62" w:name="_Toc67051854"/>
    </w:p>
    <w:p w14:paraId="66395979" w14:textId="77777777" w:rsidR="00147A68" w:rsidRDefault="00147A68" w:rsidP="00147A68">
      <w:pPr>
        <w:pStyle w:val="EBBodyPara"/>
      </w:pPr>
    </w:p>
    <w:p w14:paraId="14BCF67C" w14:textId="77777777" w:rsidR="00147A68" w:rsidRDefault="00147A68" w:rsidP="00147A68">
      <w:pPr>
        <w:pStyle w:val="EBBodyPara"/>
      </w:pPr>
    </w:p>
    <w:p w14:paraId="6E90AFB1" w14:textId="77777777" w:rsidR="00147A68" w:rsidRDefault="00147A68" w:rsidP="00147A68">
      <w:pPr>
        <w:pStyle w:val="EBBodyPara"/>
      </w:pPr>
    </w:p>
    <w:p w14:paraId="08DE7398" w14:textId="77777777" w:rsidR="00147A68" w:rsidRDefault="00147A68" w:rsidP="00147A68">
      <w:pPr>
        <w:pStyle w:val="EBBodyPara"/>
      </w:pPr>
    </w:p>
    <w:p w14:paraId="3CA45995" w14:textId="77777777" w:rsidR="00147A68" w:rsidRDefault="00147A68" w:rsidP="00147A68">
      <w:pPr>
        <w:pStyle w:val="EBBodyPara"/>
      </w:pPr>
    </w:p>
    <w:p w14:paraId="091E5901" w14:textId="77777777" w:rsidR="00147A68" w:rsidRDefault="00147A68" w:rsidP="00147A68">
      <w:pPr>
        <w:pStyle w:val="EBBodyPara"/>
      </w:pPr>
    </w:p>
    <w:p w14:paraId="4CB6B560" w14:textId="77777777" w:rsidR="00147A68" w:rsidRDefault="00147A68" w:rsidP="00147A68">
      <w:pPr>
        <w:pStyle w:val="EBBodyPara"/>
      </w:pPr>
    </w:p>
    <w:p w14:paraId="28A2ABCF" w14:textId="77777777" w:rsidR="00147A68" w:rsidRDefault="00147A68" w:rsidP="00147A68">
      <w:pPr>
        <w:pStyle w:val="EBBodyPara"/>
      </w:pPr>
    </w:p>
    <w:p w14:paraId="113AE0E1" w14:textId="77777777" w:rsidR="00147A68" w:rsidRDefault="00147A68" w:rsidP="00147A68">
      <w:pPr>
        <w:pStyle w:val="EBBodyPara"/>
      </w:pPr>
    </w:p>
    <w:p w14:paraId="7D11D2CA" w14:textId="77777777" w:rsidR="00147A68" w:rsidRDefault="00147A68" w:rsidP="00147A68">
      <w:pPr>
        <w:pStyle w:val="EBBodyPara"/>
      </w:pPr>
    </w:p>
    <w:p w14:paraId="6BD42542" w14:textId="77777777" w:rsidR="00147A68" w:rsidRDefault="00147A68" w:rsidP="00147A68">
      <w:pPr>
        <w:pStyle w:val="EBBodyPara"/>
      </w:pPr>
    </w:p>
    <w:p w14:paraId="3AB187CF" w14:textId="77777777" w:rsidR="00147A68" w:rsidRDefault="00147A68" w:rsidP="00147A68">
      <w:pPr>
        <w:pStyle w:val="EBBodyPara"/>
      </w:pPr>
    </w:p>
    <w:p w14:paraId="5A070BBF" w14:textId="77777777" w:rsidR="00147A68" w:rsidRDefault="00147A68" w:rsidP="00147A68">
      <w:pPr>
        <w:pStyle w:val="EBBodyPara"/>
      </w:pPr>
    </w:p>
    <w:p w14:paraId="3A6F6779" w14:textId="77777777" w:rsidR="00147A68" w:rsidRDefault="00147A68" w:rsidP="00147A68">
      <w:pPr>
        <w:pStyle w:val="EBBodyPara"/>
      </w:pPr>
    </w:p>
    <w:p w14:paraId="081792F3" w14:textId="77777777" w:rsidR="00147A68" w:rsidRDefault="00147A68" w:rsidP="00147A68">
      <w:pPr>
        <w:pStyle w:val="EBBodyPara"/>
      </w:pPr>
    </w:p>
    <w:p w14:paraId="7558CBC2" w14:textId="77777777" w:rsidR="00147A68" w:rsidRPr="00147A68" w:rsidRDefault="00147A68" w:rsidP="00147A68">
      <w:pPr>
        <w:pStyle w:val="EBBodyPara"/>
      </w:pPr>
    </w:p>
    <w:p w14:paraId="2676B4D8" w14:textId="06FB6FC2" w:rsidR="00A66761" w:rsidRPr="004A1285" w:rsidRDefault="007E6F08" w:rsidP="00821474">
      <w:pPr>
        <w:pStyle w:val="Heading3"/>
        <w:rPr>
          <w:sz w:val="28"/>
          <w:szCs w:val="28"/>
        </w:rPr>
      </w:pPr>
      <w:r w:rsidRPr="004A1285">
        <w:rPr>
          <w:sz w:val="28"/>
          <w:szCs w:val="28"/>
        </w:rPr>
        <w:lastRenderedPageBreak/>
        <w:t xml:space="preserve">A.3 </w:t>
      </w:r>
      <w:r w:rsidR="00AC2C8A" w:rsidRPr="004A1285">
        <w:rPr>
          <w:sz w:val="28"/>
          <w:szCs w:val="28"/>
        </w:rPr>
        <w:t>GLOCAF model and fair</w:t>
      </w:r>
      <w:r w:rsidR="00A66761" w:rsidRPr="004A1285">
        <w:rPr>
          <w:sz w:val="28"/>
          <w:szCs w:val="28"/>
        </w:rPr>
        <w:t>-share pathway methodology</w:t>
      </w:r>
      <w:bookmarkEnd w:id="62"/>
    </w:p>
    <w:p w14:paraId="262A8BF3" w14:textId="61D46D9D" w:rsidR="00F17E49" w:rsidRPr="00E15D83" w:rsidRDefault="00F17E49" w:rsidP="009229B3">
      <w:pPr>
        <w:pStyle w:val="Numberedparagraphs"/>
      </w:pPr>
      <w:r w:rsidRPr="00E15D83">
        <w:t xml:space="preserve">Analysis of effort sharing of global emissions reductions has been conducted using </w:t>
      </w:r>
      <w:r>
        <w:t xml:space="preserve">BEIS </w:t>
      </w:r>
      <w:r w:rsidRPr="00E15D83">
        <w:t>Global Carbon Finance model – GLOCAF. The model allows the user to evaluate the impacts of</w:t>
      </w:r>
      <w:r>
        <w:t xml:space="preserve"> </w:t>
      </w:r>
      <w:r w:rsidRPr="00E15D83">
        <w:t>different global emission reduction targets, burden sharing regimes</w:t>
      </w:r>
      <w:r w:rsidR="005B50F1">
        <w:t>,</w:t>
      </w:r>
      <w:r w:rsidRPr="00E15D83">
        <w:t xml:space="preserve"> as well as various</w:t>
      </w:r>
      <w:r>
        <w:t xml:space="preserve"> </w:t>
      </w:r>
      <w:r w:rsidRPr="00E15D83">
        <w:t>specifications of the carbon market design. It covers the years 202</w:t>
      </w:r>
      <w:r>
        <w:t>5</w:t>
      </w:r>
      <w:r w:rsidRPr="00E15D83">
        <w:t>, 20</w:t>
      </w:r>
      <w:r>
        <w:t>30</w:t>
      </w:r>
      <w:r w:rsidRPr="00E15D83">
        <w:t>, 203</w:t>
      </w:r>
      <w:r>
        <w:t>5, 2040</w:t>
      </w:r>
      <w:r w:rsidRPr="00E15D83">
        <w:t xml:space="preserve"> and 2050.</w:t>
      </w:r>
    </w:p>
    <w:p w14:paraId="49479F13" w14:textId="316F9587" w:rsidR="00F17E49" w:rsidRPr="00E15D83" w:rsidRDefault="00F17E49" w:rsidP="009229B3">
      <w:pPr>
        <w:pStyle w:val="Numberedparagraphs"/>
      </w:pPr>
      <w:r w:rsidRPr="00E15D83">
        <w:t>GLOCAF</w:t>
      </w:r>
      <w:r>
        <w:t xml:space="preserve"> is a scenario modelling tool based on </w:t>
      </w:r>
      <w:r w:rsidRPr="00E15D83">
        <w:t>Business As Usual (BAU)</w:t>
      </w:r>
      <w:r>
        <w:t xml:space="preserve"> </w:t>
      </w:r>
      <w:r w:rsidRPr="00E15D83">
        <w:t xml:space="preserve">emissions </w:t>
      </w:r>
      <w:r w:rsidR="379D90AB">
        <w:t>and</w:t>
      </w:r>
      <w:r w:rsidRPr="00E15D83">
        <w:t xml:space="preserve"> Marginal Abatement Cost (MAC) curves for different regions and sectors</w:t>
      </w:r>
      <w:r w:rsidR="00E95D5B">
        <w:t xml:space="preserve"> providing global economy-wide coverage</w:t>
      </w:r>
      <w:r w:rsidRPr="00E15D83">
        <w:t>.</w:t>
      </w:r>
    </w:p>
    <w:p w14:paraId="5BAE85C6" w14:textId="77777777" w:rsidR="00F17E49" w:rsidRDefault="00F17E49" w:rsidP="009229B3">
      <w:pPr>
        <w:pStyle w:val="Numberedparagraphs"/>
      </w:pPr>
      <w:r w:rsidRPr="00E15D83">
        <w:t>GLOCAF uses data from:</w:t>
      </w:r>
    </w:p>
    <w:p w14:paraId="514EF005" w14:textId="77777777" w:rsidR="00F17E49" w:rsidRPr="00E15D83" w:rsidRDefault="00F17E49" w:rsidP="0071483C">
      <w:pPr>
        <w:pStyle w:val="Bullets"/>
      </w:pPr>
      <w:r w:rsidRPr="00E15D83">
        <w:t>The POLES energy model: this is a partial equilibrium energy model, which takes into account</w:t>
      </w:r>
      <w:r>
        <w:t xml:space="preserve"> </w:t>
      </w:r>
      <w:r w:rsidRPr="00E15D83">
        <w:t>the costs of different technologies as well as the potential demand feedback effects within the</w:t>
      </w:r>
      <w:r>
        <w:t xml:space="preserve"> </w:t>
      </w:r>
      <w:r w:rsidRPr="00E15D83">
        <w:t>energy system.</w:t>
      </w:r>
    </w:p>
    <w:p w14:paraId="5C5AC9A7" w14:textId="20C82C71" w:rsidR="00F17E49" w:rsidRPr="00E15D83" w:rsidRDefault="00F17E49" w:rsidP="004A1285">
      <w:pPr>
        <w:pStyle w:val="Bullets"/>
        <w:spacing w:after="200"/>
      </w:pPr>
      <w:r w:rsidRPr="00E15D83">
        <w:t xml:space="preserve"> IIASA’s G4M and GLOBIOM models for forestry </w:t>
      </w:r>
      <w:r>
        <w:t>and non-CO</w:t>
      </w:r>
      <w:r w:rsidRPr="006A0C4B">
        <w:rPr>
          <w:vertAlign w:val="subscript"/>
        </w:rPr>
        <w:t>2</w:t>
      </w:r>
      <w:r>
        <w:t xml:space="preserve"> agriculture </w:t>
      </w:r>
      <w:r w:rsidRPr="00E15D83">
        <w:t>emissions; these are partial equilibrium</w:t>
      </w:r>
      <w:r>
        <w:t xml:space="preserve"> </w:t>
      </w:r>
      <w:r w:rsidRPr="00E15D83">
        <w:t>models of the forest sector</w:t>
      </w:r>
      <w:r w:rsidR="003271E3">
        <w:t>,</w:t>
      </w:r>
      <w:r w:rsidRPr="00E15D83">
        <w:t xml:space="preserve"> incorporating the opportunity costs of abatement from forestry.</w:t>
      </w:r>
    </w:p>
    <w:p w14:paraId="21F703B5" w14:textId="1FF4A594" w:rsidR="00F17E49" w:rsidRPr="00E15D83" w:rsidRDefault="00F17E49" w:rsidP="009229B3">
      <w:pPr>
        <w:pStyle w:val="Numberedparagraphs"/>
      </w:pPr>
      <w:r w:rsidRPr="00E15D83">
        <w:t>All datasets are at a sector level and apply to a number of regions. GLOCAF models 2</w:t>
      </w:r>
      <w:r>
        <w:t xml:space="preserve">5 </w:t>
      </w:r>
      <w:r w:rsidRPr="00E15D83">
        <w:t xml:space="preserve">world regions and </w:t>
      </w:r>
      <w:r w:rsidR="5B93A7C6">
        <w:t>24</w:t>
      </w:r>
      <w:r w:rsidRPr="00E15D83">
        <w:t xml:space="preserve"> sectors although a different level of disaggregation is possible if the data</w:t>
      </w:r>
      <w:r>
        <w:t xml:space="preserve"> </w:t>
      </w:r>
      <w:r w:rsidRPr="00E15D83">
        <w:t>supports it</w:t>
      </w:r>
      <w:r>
        <w:t>.</w:t>
      </w:r>
    </w:p>
    <w:p w14:paraId="1C55E9C8" w14:textId="27116B74" w:rsidR="00F17E49" w:rsidRPr="00E15D83" w:rsidRDefault="00F17E49" w:rsidP="009229B3">
      <w:pPr>
        <w:pStyle w:val="Numberedparagraphs"/>
      </w:pPr>
      <w:r w:rsidRPr="00E15D83">
        <w:t xml:space="preserve">At the heart of GLOCAF is a model of </w:t>
      </w:r>
      <w:r w:rsidR="00384686">
        <w:t>global</w:t>
      </w:r>
      <w:r w:rsidRPr="00E15D83">
        <w:t xml:space="preserve"> carbon markets. It compares the supply of carbon</w:t>
      </w:r>
      <w:r>
        <w:t xml:space="preserve"> </w:t>
      </w:r>
      <w:r w:rsidRPr="00E15D83">
        <w:t>abatement or International Carbon Units (driven largely by MAC curves) to the demand for</w:t>
      </w:r>
      <w:r>
        <w:t xml:space="preserve"> </w:t>
      </w:r>
      <w:r w:rsidRPr="00E15D83">
        <w:t>mitigation, (determined by the difference between BAU and regional targets). The model finds the</w:t>
      </w:r>
      <w:r>
        <w:t xml:space="preserve"> </w:t>
      </w:r>
      <w:r w:rsidRPr="00E15D83">
        <w:t>market clearing carbon price where the demand for carbon permits matches their supply for each</w:t>
      </w:r>
      <w:r>
        <w:t xml:space="preserve"> </w:t>
      </w:r>
      <w:r w:rsidRPr="00E15D83">
        <w:t xml:space="preserve">market. This is done through an iterative process around the carbon price. These curves are constrained by trade restrictions around, for example, </w:t>
      </w:r>
      <w:r w:rsidR="006348AF" w:rsidRPr="00E15D83">
        <w:t>supplementarily</w:t>
      </w:r>
      <w:r>
        <w:t xml:space="preserve"> </w:t>
      </w:r>
      <w:r w:rsidRPr="00E15D83">
        <w:t>(the requirement for a certain part of a target to be met domestically) and/or participation.</w:t>
      </w:r>
    </w:p>
    <w:p w14:paraId="26F66BE2" w14:textId="0CC01991" w:rsidR="00F17E49" w:rsidRDefault="00F17E49" w:rsidP="009229B3">
      <w:pPr>
        <w:pStyle w:val="Numberedparagraphs"/>
      </w:pPr>
      <w:r w:rsidRPr="00E15D83">
        <w:t>GLOCAF uses the market clearing carbon price to determine how much abatement each</w:t>
      </w:r>
      <w:r>
        <w:t xml:space="preserve"> </w:t>
      </w:r>
      <w:r w:rsidRPr="00E15D83">
        <w:t>region and sector carries out</w:t>
      </w:r>
      <w:r w:rsidR="003271E3">
        <w:t>,</w:t>
      </w:r>
      <w:r w:rsidRPr="00E15D83">
        <w:t xml:space="preserve"> and the associated incremental cost. Using the carbon price and</w:t>
      </w:r>
      <w:r>
        <w:t xml:space="preserve"> </w:t>
      </w:r>
      <w:r w:rsidRPr="00E15D83">
        <w:t>associated trading of carbon permits GLOCAF also determines the resulting international financial</w:t>
      </w:r>
      <w:r>
        <w:t xml:space="preserve"> </w:t>
      </w:r>
      <w:r w:rsidRPr="00E15D83">
        <w:t>flows.</w:t>
      </w:r>
    </w:p>
    <w:p w14:paraId="1EF9E8CB" w14:textId="7D02C864" w:rsidR="00010BB6" w:rsidRDefault="00F17E49" w:rsidP="009229B3">
      <w:pPr>
        <w:pStyle w:val="Numberedparagraphs"/>
      </w:pPr>
      <w:r w:rsidRPr="000B0889">
        <w:t>There are a number of limitations of GLOCAF modelling:</w:t>
      </w:r>
    </w:p>
    <w:p w14:paraId="54A1C86B" w14:textId="13AC0087" w:rsidR="00010BB6" w:rsidRPr="00010BB6" w:rsidRDefault="00F17E49" w:rsidP="004A1285">
      <w:pPr>
        <w:pStyle w:val="Bullets"/>
        <w:numPr>
          <w:ilvl w:val="0"/>
          <w:numId w:val="813"/>
        </w:numPr>
        <w:ind w:left="1636"/>
      </w:pPr>
      <w:r w:rsidRPr="000B0889">
        <w:t>GLOCAF only models specific years, and as such GLOCAF</w:t>
      </w:r>
      <w:r>
        <w:t xml:space="preserve"> </w:t>
      </w:r>
      <w:r w:rsidRPr="000B0889">
        <w:t>results focus on 203</w:t>
      </w:r>
      <w:r>
        <w:t>5</w:t>
      </w:r>
      <w:r w:rsidRPr="000B0889">
        <w:t xml:space="preserve"> rather than the whole </w:t>
      </w:r>
      <w:r>
        <w:t>sixth</w:t>
      </w:r>
      <w:r w:rsidRPr="000B0889">
        <w:t xml:space="preserve"> carbon budget period</w:t>
      </w:r>
      <w:r w:rsidR="003271E3">
        <w:t>;</w:t>
      </w:r>
    </w:p>
    <w:p w14:paraId="1F27E544" w14:textId="7666A859" w:rsidR="002F7E88" w:rsidRPr="002F7E88" w:rsidRDefault="00F17E49" w:rsidP="004A1285">
      <w:pPr>
        <w:pStyle w:val="Bullets"/>
        <w:ind w:left="1636"/>
      </w:pPr>
      <w:r w:rsidRPr="000B0889">
        <w:t>GLOCAF marginal abatement cost curves only include direct costs of mitigation and exclude</w:t>
      </w:r>
      <w:r>
        <w:t xml:space="preserve"> </w:t>
      </w:r>
      <w:r w:rsidRPr="000B0889">
        <w:t xml:space="preserve">wider </w:t>
      </w:r>
      <w:r w:rsidR="00B001E0">
        <w:t>impacts such as co-benefits of mitigation or avoided costs of emissions</w:t>
      </w:r>
      <w:r w:rsidR="003271E3">
        <w:t>;</w:t>
      </w:r>
    </w:p>
    <w:p w14:paraId="3D8D2ABA" w14:textId="75911A7D" w:rsidR="002F7E88" w:rsidRDefault="00F17E49" w:rsidP="004A1285">
      <w:pPr>
        <w:pStyle w:val="Bullets"/>
        <w:ind w:left="1636"/>
      </w:pPr>
      <w:r w:rsidRPr="000B0889">
        <w:t>Although GLOCAF models most major emitters individually, it aggregates many smaller</w:t>
      </w:r>
      <w:r>
        <w:t xml:space="preserve"> </w:t>
      </w:r>
      <w:r w:rsidRPr="000B0889">
        <w:t>emitters into regions, meaning that effort share calculations were done at regional rather than</w:t>
      </w:r>
      <w:r>
        <w:t xml:space="preserve"> </w:t>
      </w:r>
      <w:r w:rsidRPr="000B0889">
        <w:t>country level in many cases</w:t>
      </w:r>
      <w:r w:rsidR="003271E3">
        <w:t>;</w:t>
      </w:r>
    </w:p>
    <w:p w14:paraId="7E668BB4" w14:textId="75E6301F" w:rsidR="00F17E49" w:rsidRPr="000B0889" w:rsidRDefault="00F17E49" w:rsidP="004A1285">
      <w:pPr>
        <w:pStyle w:val="Bullets"/>
        <w:spacing w:after="200"/>
        <w:ind w:left="1636"/>
      </w:pPr>
      <w:r w:rsidRPr="000B0889">
        <w:t>GLOCAF assumes that countries will always choose least-cost mitigation options. This may</w:t>
      </w:r>
      <w:r>
        <w:t xml:space="preserve"> </w:t>
      </w:r>
      <w:r w:rsidRPr="000B0889">
        <w:t>not always happen in practice.</w:t>
      </w:r>
    </w:p>
    <w:p w14:paraId="3F0A78BE" w14:textId="15443D09" w:rsidR="00F17E49" w:rsidRPr="000B0889" w:rsidRDefault="00F17E49" w:rsidP="009229B3">
      <w:pPr>
        <w:pStyle w:val="Numberedparagraphs"/>
      </w:pPr>
      <w:r w:rsidRPr="000B0889">
        <w:t>These limitations mean that GLOCAF results should always be considered to be illustrative</w:t>
      </w:r>
      <w:r>
        <w:t xml:space="preserve"> </w:t>
      </w:r>
      <w:r w:rsidRPr="000B0889">
        <w:t>rather than as forecast of real</w:t>
      </w:r>
      <w:r w:rsidR="00E66C3F">
        <w:t>-</w:t>
      </w:r>
      <w:r w:rsidRPr="000B0889">
        <w:t>world outcomes.</w:t>
      </w:r>
    </w:p>
    <w:p w14:paraId="23EB0272" w14:textId="02EAF8A0" w:rsidR="006348AF" w:rsidRDefault="00F17E49" w:rsidP="005A7000">
      <w:pPr>
        <w:pStyle w:val="Numberedparagraphs"/>
      </w:pPr>
      <w:r w:rsidRPr="000B0889">
        <w:lastRenderedPageBreak/>
        <w:t xml:space="preserve">GLOCAF data includes BAU projections which are calibrated to the </w:t>
      </w:r>
      <w:r w:rsidR="00384686">
        <w:t xml:space="preserve">International Energy Agency’s </w:t>
      </w:r>
      <w:r>
        <w:t>World Energy Outlook</w:t>
      </w:r>
      <w:r w:rsidRPr="000B0889">
        <w:t xml:space="preserve"> 201</w:t>
      </w:r>
      <w:r>
        <w:t>9</w:t>
      </w:r>
      <w:r w:rsidRPr="000B0889">
        <w:t xml:space="preserve"> Current</w:t>
      </w:r>
      <w:r>
        <w:t xml:space="preserve"> </w:t>
      </w:r>
      <w:r w:rsidRPr="000B0889">
        <w:t>Policies Scenario</w:t>
      </w:r>
      <w:r>
        <w:t>.</w:t>
      </w:r>
    </w:p>
    <w:p w14:paraId="3D0810B4" w14:textId="43819BFF" w:rsidR="00AC2C8A" w:rsidRPr="00404643" w:rsidRDefault="00462D52" w:rsidP="005A7000">
      <w:pPr>
        <w:spacing w:after="120"/>
        <w:rPr>
          <w:i/>
        </w:rPr>
      </w:pPr>
      <w:r>
        <w:rPr>
          <w:i/>
          <w:iCs/>
        </w:rPr>
        <w:t xml:space="preserve">Table A4: Summary of </w:t>
      </w:r>
      <w:r w:rsidR="00867E2C">
        <w:rPr>
          <w:i/>
          <w:iCs/>
        </w:rPr>
        <w:t>effort share approach assumptions</w:t>
      </w:r>
    </w:p>
    <w:tbl>
      <w:tblPr>
        <w:tblStyle w:val="TableGrid"/>
        <w:tblW w:w="9918" w:type="dxa"/>
        <w:tblLook w:val="04A0" w:firstRow="1" w:lastRow="0" w:firstColumn="1" w:lastColumn="0" w:noHBand="0" w:noVBand="1"/>
      </w:tblPr>
      <w:tblGrid>
        <w:gridCol w:w="1696"/>
        <w:gridCol w:w="8222"/>
      </w:tblGrid>
      <w:tr w:rsidR="00BF28BE" w14:paraId="455673CE" w14:textId="77777777" w:rsidTr="004A1285">
        <w:tc>
          <w:tcPr>
            <w:tcW w:w="1696" w:type="dxa"/>
          </w:tcPr>
          <w:p w14:paraId="4867D639" w14:textId="77777777" w:rsidR="00BF28BE" w:rsidRPr="006A0C4B" w:rsidRDefault="00BF28BE" w:rsidP="00404643">
            <w:pPr>
              <w:rPr>
                <w:rFonts w:eastAsiaTheme="minorHAnsi"/>
                <w:b/>
                <w:sz w:val="22"/>
                <w:szCs w:val="22"/>
                <w:lang w:eastAsia="en-US"/>
              </w:rPr>
            </w:pPr>
            <w:r w:rsidRPr="006A0C4B">
              <w:rPr>
                <w:rFonts w:eastAsiaTheme="minorHAnsi"/>
                <w:b/>
                <w:sz w:val="22"/>
                <w:szCs w:val="22"/>
                <w:lang w:eastAsia="en-US"/>
              </w:rPr>
              <w:t>Effort share approach</w:t>
            </w:r>
          </w:p>
          <w:p w14:paraId="529230EE" w14:textId="77777777" w:rsidR="00BF28BE" w:rsidRPr="00404643" w:rsidRDefault="00BF28BE" w:rsidP="00404643">
            <w:pPr>
              <w:rPr>
                <w:b/>
                <w:sz w:val="22"/>
                <w:szCs w:val="22"/>
              </w:rPr>
            </w:pPr>
          </w:p>
        </w:tc>
        <w:tc>
          <w:tcPr>
            <w:tcW w:w="8222" w:type="dxa"/>
          </w:tcPr>
          <w:p w14:paraId="4D6C0DB3" w14:textId="77777777" w:rsidR="00BF28BE" w:rsidRPr="006A0C4B" w:rsidRDefault="00BF28BE" w:rsidP="00404643">
            <w:pPr>
              <w:rPr>
                <w:rFonts w:eastAsiaTheme="minorHAnsi"/>
                <w:b/>
                <w:sz w:val="22"/>
                <w:szCs w:val="22"/>
                <w:lang w:eastAsia="en-US"/>
              </w:rPr>
            </w:pPr>
            <w:r w:rsidRPr="006A0C4B">
              <w:rPr>
                <w:rFonts w:eastAsiaTheme="minorHAnsi"/>
                <w:b/>
                <w:sz w:val="22"/>
                <w:szCs w:val="22"/>
                <w:lang w:eastAsia="en-US"/>
              </w:rPr>
              <w:t>Assumptions</w:t>
            </w:r>
          </w:p>
        </w:tc>
      </w:tr>
      <w:tr w:rsidR="00BF28BE" w14:paraId="73DEEEA6" w14:textId="77777777" w:rsidTr="004A1285">
        <w:tc>
          <w:tcPr>
            <w:tcW w:w="1696" w:type="dxa"/>
          </w:tcPr>
          <w:p w14:paraId="20A56F45" w14:textId="5AB21B54" w:rsidR="00BF28BE" w:rsidRPr="00404643" w:rsidRDefault="004F5F36" w:rsidP="00404643">
            <w:pPr>
              <w:rPr>
                <w:sz w:val="22"/>
                <w:szCs w:val="22"/>
              </w:rPr>
            </w:pPr>
            <w:r w:rsidRPr="00404643">
              <w:rPr>
                <w:sz w:val="22"/>
                <w:szCs w:val="22"/>
              </w:rPr>
              <w:t>Global Emissions</w:t>
            </w:r>
            <w:r w:rsidR="00BF28BE" w:rsidRPr="00404643">
              <w:rPr>
                <w:sz w:val="22"/>
                <w:szCs w:val="22"/>
              </w:rPr>
              <w:t xml:space="preserve"> Budget</w:t>
            </w:r>
          </w:p>
        </w:tc>
        <w:tc>
          <w:tcPr>
            <w:tcW w:w="8222" w:type="dxa"/>
          </w:tcPr>
          <w:p w14:paraId="05AA5DD9" w14:textId="7DCF5156" w:rsidR="00BF28BE" w:rsidRPr="00404643" w:rsidRDefault="00BF28BE" w:rsidP="005A7000">
            <w:pPr>
              <w:spacing w:before="40" w:after="40"/>
              <w:rPr>
                <w:sz w:val="22"/>
                <w:szCs w:val="22"/>
              </w:rPr>
            </w:pPr>
            <w:r w:rsidRPr="00404643">
              <w:rPr>
                <w:sz w:val="22"/>
                <w:szCs w:val="22"/>
              </w:rPr>
              <w:t>Uses the IPCC global pathways to calculate an implied global emissions budget 1990-2050 consistent with a given warming scenario. Allocates total budgets to countries on the basis of cumulative population and calculates the amount remaining per country between 2020-2050, applying this linearly over the period.</w:t>
            </w:r>
          </w:p>
        </w:tc>
      </w:tr>
      <w:tr w:rsidR="00BF28BE" w14:paraId="6573D786" w14:textId="77777777" w:rsidTr="004A1285">
        <w:tc>
          <w:tcPr>
            <w:tcW w:w="1696" w:type="dxa"/>
          </w:tcPr>
          <w:p w14:paraId="4A764593" w14:textId="0D3BC03C" w:rsidR="00BF28BE" w:rsidRPr="00404643" w:rsidRDefault="00BF28BE" w:rsidP="00404643">
            <w:pPr>
              <w:rPr>
                <w:sz w:val="22"/>
                <w:szCs w:val="22"/>
              </w:rPr>
            </w:pPr>
            <w:r w:rsidRPr="00404643">
              <w:rPr>
                <w:sz w:val="22"/>
                <w:szCs w:val="22"/>
              </w:rPr>
              <w:t xml:space="preserve">Weighted </w:t>
            </w:r>
            <w:r w:rsidR="004F5F36" w:rsidRPr="00404643">
              <w:rPr>
                <w:sz w:val="22"/>
                <w:szCs w:val="22"/>
              </w:rPr>
              <w:t>Emissions</w:t>
            </w:r>
            <w:r w:rsidRPr="00404643">
              <w:rPr>
                <w:sz w:val="22"/>
                <w:szCs w:val="22"/>
              </w:rPr>
              <w:t xml:space="preserve"> Budget</w:t>
            </w:r>
          </w:p>
        </w:tc>
        <w:tc>
          <w:tcPr>
            <w:tcW w:w="8222" w:type="dxa"/>
          </w:tcPr>
          <w:p w14:paraId="3657E834" w14:textId="776647B7" w:rsidR="00BF28BE" w:rsidRPr="00404643" w:rsidRDefault="00BF28BE" w:rsidP="005A7000">
            <w:pPr>
              <w:spacing w:before="40" w:after="40"/>
              <w:rPr>
                <w:sz w:val="22"/>
                <w:szCs w:val="22"/>
              </w:rPr>
            </w:pPr>
            <w:r w:rsidRPr="00404643">
              <w:rPr>
                <w:sz w:val="22"/>
                <w:szCs w:val="22"/>
              </w:rPr>
              <w:t xml:space="preserve">Uses the IPCC </w:t>
            </w:r>
            <w:r w:rsidR="004F5F36" w:rsidRPr="00404643">
              <w:rPr>
                <w:sz w:val="22"/>
                <w:szCs w:val="22"/>
              </w:rPr>
              <w:t>emissions</w:t>
            </w:r>
            <w:r w:rsidRPr="00404643">
              <w:rPr>
                <w:sz w:val="22"/>
                <w:szCs w:val="22"/>
              </w:rPr>
              <w:t xml:space="preserve"> budgets to calculate global emissions 1990-2050 consistent with a given warming scenario. Allocates total budgets to countries on the basis of cumulative population and calculates the amount remaining per country between 2020-2050, applying this linearly over the period</w:t>
            </w:r>
            <w:r w:rsidR="00384686" w:rsidRPr="00404643">
              <w:rPr>
                <w:sz w:val="22"/>
                <w:szCs w:val="22"/>
              </w:rPr>
              <w:t>.</w:t>
            </w:r>
            <w:r w:rsidRPr="00404643">
              <w:rPr>
                <w:sz w:val="22"/>
                <w:szCs w:val="22"/>
              </w:rPr>
              <w:t xml:space="preserve"> </w:t>
            </w:r>
            <w:r w:rsidR="00384686" w:rsidRPr="00404643">
              <w:rPr>
                <w:sz w:val="22"/>
                <w:szCs w:val="22"/>
              </w:rPr>
              <w:t>H</w:t>
            </w:r>
            <w:r w:rsidRPr="00404643">
              <w:rPr>
                <w:sz w:val="22"/>
                <w:szCs w:val="22"/>
              </w:rPr>
              <w:t>owever</w:t>
            </w:r>
            <w:r w:rsidR="00531C31" w:rsidRPr="00404643">
              <w:rPr>
                <w:sz w:val="22"/>
                <w:szCs w:val="22"/>
              </w:rPr>
              <w:t>,</w:t>
            </w:r>
            <w:r w:rsidRPr="00404643">
              <w:rPr>
                <w:sz w:val="22"/>
                <w:szCs w:val="22"/>
              </w:rPr>
              <w:t xml:space="preserve"> </w:t>
            </w:r>
            <w:r w:rsidR="00384686" w:rsidRPr="00404643">
              <w:rPr>
                <w:sz w:val="22"/>
                <w:szCs w:val="22"/>
              </w:rPr>
              <w:t>historical</w:t>
            </w:r>
            <w:r w:rsidRPr="00404643">
              <w:rPr>
                <w:sz w:val="22"/>
                <w:szCs w:val="22"/>
              </w:rPr>
              <w:t xml:space="preserve"> emissions in more recent years are weighted </w:t>
            </w:r>
            <w:r w:rsidR="006348AF" w:rsidRPr="00404643">
              <w:rPr>
                <w:sz w:val="22"/>
                <w:szCs w:val="22"/>
              </w:rPr>
              <w:t>more than</w:t>
            </w:r>
            <w:r w:rsidRPr="00404643">
              <w:rPr>
                <w:sz w:val="22"/>
                <w:szCs w:val="22"/>
              </w:rPr>
              <w:t xml:space="preserve"> those from more distant years.</w:t>
            </w:r>
          </w:p>
        </w:tc>
      </w:tr>
      <w:tr w:rsidR="00BF28BE" w14:paraId="4149BB04" w14:textId="77777777" w:rsidTr="004A1285">
        <w:tc>
          <w:tcPr>
            <w:tcW w:w="1696" w:type="dxa"/>
          </w:tcPr>
          <w:p w14:paraId="28201835" w14:textId="77777777" w:rsidR="00BF28BE" w:rsidRPr="006A0C4B" w:rsidRDefault="00BF28BE" w:rsidP="00404643">
            <w:pPr>
              <w:rPr>
                <w:rFonts w:eastAsiaTheme="minorHAnsi"/>
                <w:sz w:val="22"/>
                <w:szCs w:val="22"/>
                <w:lang w:eastAsia="en-US"/>
              </w:rPr>
            </w:pPr>
            <w:r w:rsidRPr="006A0C4B">
              <w:rPr>
                <w:rFonts w:eastAsiaTheme="minorHAnsi"/>
                <w:sz w:val="22"/>
                <w:szCs w:val="22"/>
                <w:lang w:eastAsia="en-US"/>
              </w:rPr>
              <w:t>Contraction and Convergence</w:t>
            </w:r>
          </w:p>
          <w:p w14:paraId="724D6BA3" w14:textId="77777777" w:rsidR="00BF28BE" w:rsidRPr="00404643" w:rsidRDefault="00BF28BE" w:rsidP="00404643">
            <w:pPr>
              <w:rPr>
                <w:sz w:val="22"/>
                <w:szCs w:val="22"/>
              </w:rPr>
            </w:pPr>
          </w:p>
        </w:tc>
        <w:tc>
          <w:tcPr>
            <w:tcW w:w="8222" w:type="dxa"/>
          </w:tcPr>
          <w:p w14:paraId="1F2749DF" w14:textId="77777777" w:rsidR="00BF28BE" w:rsidRPr="00404643" w:rsidRDefault="00BF28BE" w:rsidP="005A7000">
            <w:pPr>
              <w:spacing w:before="40" w:after="40"/>
              <w:rPr>
                <w:sz w:val="22"/>
                <w:szCs w:val="22"/>
              </w:rPr>
            </w:pPr>
            <w:r w:rsidRPr="00404643">
              <w:rPr>
                <w:sz w:val="22"/>
                <w:szCs w:val="22"/>
              </w:rPr>
              <w:t>The 2035 convergence point is calculated by dividing the global emission target by projected population in 2035. Each country is given a 2035 target based on the convergence point multiplied by their projected population.</w:t>
            </w:r>
          </w:p>
        </w:tc>
      </w:tr>
      <w:tr w:rsidR="00BF28BE" w14:paraId="4BF874B6" w14:textId="77777777" w:rsidTr="004A1285">
        <w:tc>
          <w:tcPr>
            <w:tcW w:w="1696" w:type="dxa"/>
          </w:tcPr>
          <w:p w14:paraId="44985B79" w14:textId="77777777" w:rsidR="00BF28BE" w:rsidRPr="00404643" w:rsidRDefault="00BF28BE" w:rsidP="00404643">
            <w:pPr>
              <w:rPr>
                <w:sz w:val="22"/>
                <w:szCs w:val="22"/>
              </w:rPr>
            </w:pPr>
            <w:r w:rsidRPr="00404643">
              <w:rPr>
                <w:sz w:val="22"/>
                <w:szCs w:val="22"/>
              </w:rPr>
              <w:t>Equal cost</w:t>
            </w:r>
          </w:p>
        </w:tc>
        <w:tc>
          <w:tcPr>
            <w:tcW w:w="8222" w:type="dxa"/>
          </w:tcPr>
          <w:p w14:paraId="23FA14B0" w14:textId="23E45561" w:rsidR="00BF28BE" w:rsidRPr="006A0C4B" w:rsidRDefault="00BF28BE" w:rsidP="005A7000">
            <w:pPr>
              <w:spacing w:before="40" w:after="40"/>
              <w:rPr>
                <w:rFonts w:eastAsiaTheme="minorHAnsi"/>
                <w:sz w:val="22"/>
                <w:szCs w:val="22"/>
                <w:lang w:eastAsia="en-US"/>
              </w:rPr>
            </w:pPr>
            <w:r w:rsidRPr="006A0C4B">
              <w:rPr>
                <w:rFonts w:eastAsiaTheme="minorHAnsi"/>
                <w:sz w:val="22"/>
                <w:szCs w:val="22"/>
                <w:lang w:eastAsia="en-US"/>
              </w:rPr>
              <w:t xml:space="preserve">Under this approach all country targets are set so that all countries face the same </w:t>
            </w:r>
            <w:r w:rsidR="00384686" w:rsidRPr="006A0C4B">
              <w:rPr>
                <w:rFonts w:eastAsiaTheme="minorHAnsi"/>
                <w:sz w:val="22"/>
                <w:szCs w:val="22"/>
                <w:lang w:eastAsia="en-US"/>
              </w:rPr>
              <w:t xml:space="preserve">net abatement </w:t>
            </w:r>
            <w:r w:rsidRPr="006A0C4B">
              <w:rPr>
                <w:rFonts w:eastAsiaTheme="minorHAnsi"/>
                <w:sz w:val="22"/>
                <w:szCs w:val="22"/>
                <w:lang w:eastAsia="en-US"/>
              </w:rPr>
              <w:t>cost</w:t>
            </w:r>
            <w:r w:rsidR="00384686" w:rsidRPr="006A0C4B">
              <w:rPr>
                <w:rFonts w:eastAsiaTheme="minorHAnsi"/>
                <w:sz w:val="22"/>
                <w:szCs w:val="22"/>
                <w:lang w:eastAsia="en-US"/>
              </w:rPr>
              <w:t>s</w:t>
            </w:r>
            <w:r w:rsidRPr="006A0C4B">
              <w:rPr>
                <w:rFonts w:eastAsiaTheme="minorHAnsi"/>
                <w:sz w:val="22"/>
                <w:szCs w:val="22"/>
                <w:lang w:eastAsia="en-US"/>
              </w:rPr>
              <w:t xml:space="preserve"> as percentage of GDP. Mitigation costs per capita are proportional to GDP per capita, making this approach equivalent to a flat tax. An iterative process is used within the GLOCAF model to adjust each countr</w:t>
            </w:r>
            <w:r w:rsidR="001C0CC3">
              <w:rPr>
                <w:rFonts w:eastAsiaTheme="minorHAnsi"/>
                <w:sz w:val="22"/>
                <w:szCs w:val="22"/>
                <w:lang w:eastAsia="en-US"/>
              </w:rPr>
              <w:t>y’s</w:t>
            </w:r>
            <w:r w:rsidRPr="006A0C4B">
              <w:rPr>
                <w:rFonts w:eastAsiaTheme="minorHAnsi"/>
                <w:sz w:val="22"/>
                <w:szCs w:val="22"/>
                <w:lang w:eastAsia="en-US"/>
              </w:rPr>
              <w:t xml:space="preserve"> target up or down until its mitigation cost is within an acceptable tolerance of the global average and the required global emission target is met.</w:t>
            </w:r>
          </w:p>
        </w:tc>
      </w:tr>
      <w:tr w:rsidR="00BF28BE" w14:paraId="643E3FF3" w14:textId="77777777" w:rsidTr="004A1285">
        <w:tc>
          <w:tcPr>
            <w:tcW w:w="1696" w:type="dxa"/>
          </w:tcPr>
          <w:p w14:paraId="15A23C9E" w14:textId="77777777" w:rsidR="00BF28BE" w:rsidRPr="00404643" w:rsidRDefault="00BF28BE" w:rsidP="00404643">
            <w:pPr>
              <w:rPr>
                <w:sz w:val="22"/>
                <w:szCs w:val="22"/>
              </w:rPr>
            </w:pPr>
            <w:r w:rsidRPr="00404643">
              <w:rPr>
                <w:sz w:val="22"/>
                <w:szCs w:val="22"/>
              </w:rPr>
              <w:t>Capability</w:t>
            </w:r>
          </w:p>
        </w:tc>
        <w:tc>
          <w:tcPr>
            <w:tcW w:w="8222" w:type="dxa"/>
          </w:tcPr>
          <w:p w14:paraId="0BFC2C5A" w14:textId="2ACAD65E" w:rsidR="00BF28BE" w:rsidRPr="00404643" w:rsidRDefault="00BF28BE" w:rsidP="005A7000">
            <w:pPr>
              <w:spacing w:before="40" w:after="40"/>
              <w:rPr>
                <w:sz w:val="22"/>
                <w:szCs w:val="22"/>
              </w:rPr>
            </w:pPr>
            <w:r w:rsidRPr="00404643">
              <w:rPr>
                <w:sz w:val="22"/>
                <w:szCs w:val="22"/>
              </w:rPr>
              <w:t>The ‘Capability’ approach allocates emissions in 2035 to countries in a way which reflects both their GDP per capita and their level of population: other things equal</w:t>
            </w:r>
            <w:r w:rsidR="00384686" w:rsidRPr="00404643">
              <w:rPr>
                <w:sz w:val="22"/>
                <w:szCs w:val="22"/>
              </w:rPr>
              <w:t>,</w:t>
            </w:r>
            <w:r w:rsidRPr="00404643">
              <w:rPr>
                <w:sz w:val="22"/>
                <w:szCs w:val="22"/>
              </w:rPr>
              <w:t xml:space="preserve"> countries with comparatively low GDP per capita and comparatively high populations receive larger shares of emissions allocations than richer, smaller countries.</w:t>
            </w:r>
          </w:p>
        </w:tc>
      </w:tr>
      <w:tr w:rsidR="00BF28BE" w14:paraId="3CDD2DFE" w14:textId="77777777" w:rsidTr="004A1285">
        <w:tc>
          <w:tcPr>
            <w:tcW w:w="1696" w:type="dxa"/>
          </w:tcPr>
          <w:p w14:paraId="43284384" w14:textId="77777777" w:rsidR="00BF28BE" w:rsidRPr="00404643" w:rsidRDefault="00BF28BE" w:rsidP="00404643">
            <w:pPr>
              <w:rPr>
                <w:sz w:val="22"/>
                <w:szCs w:val="22"/>
              </w:rPr>
            </w:pPr>
            <w:r w:rsidRPr="00404643">
              <w:rPr>
                <w:sz w:val="22"/>
                <w:szCs w:val="22"/>
              </w:rPr>
              <w:t>Minimum global cost</w:t>
            </w:r>
          </w:p>
        </w:tc>
        <w:tc>
          <w:tcPr>
            <w:tcW w:w="8222" w:type="dxa"/>
          </w:tcPr>
          <w:p w14:paraId="7AB2EA8D" w14:textId="77777777" w:rsidR="00BF28BE" w:rsidRPr="00404643" w:rsidRDefault="00BF28BE" w:rsidP="005A7000">
            <w:pPr>
              <w:spacing w:before="40" w:after="40"/>
              <w:rPr>
                <w:sz w:val="22"/>
                <w:szCs w:val="22"/>
              </w:rPr>
            </w:pPr>
            <w:r w:rsidRPr="00404643">
              <w:rPr>
                <w:sz w:val="22"/>
                <w:szCs w:val="22"/>
              </w:rPr>
              <w:t xml:space="preserve">The GLOCAF model is used to calculate the amount of abatement each country would deliver for a given carbon price, such that the marginal cost of mitigation is the same across all countries. </w:t>
            </w:r>
          </w:p>
        </w:tc>
      </w:tr>
    </w:tbl>
    <w:p w14:paraId="64666CC6" w14:textId="317C96D4" w:rsidR="00BF28BE" w:rsidRDefault="00BF28BE" w:rsidP="00861D79">
      <w:pPr>
        <w:pStyle w:val="EBBodyPara"/>
      </w:pPr>
    </w:p>
    <w:p w14:paraId="01066399" w14:textId="77777777" w:rsidR="00D50448" w:rsidRDefault="00D50448" w:rsidP="004A1285">
      <w:pPr>
        <w:spacing w:after="200"/>
        <w:rPr>
          <w:b/>
          <w:sz w:val="28"/>
          <w:szCs w:val="28"/>
        </w:rPr>
      </w:pPr>
    </w:p>
    <w:p w14:paraId="20B6E382" w14:textId="77777777" w:rsidR="00F40821" w:rsidRDefault="00F40821" w:rsidP="004A1285">
      <w:pPr>
        <w:spacing w:after="200"/>
        <w:rPr>
          <w:b/>
          <w:sz w:val="28"/>
          <w:szCs w:val="28"/>
        </w:rPr>
      </w:pPr>
      <w:bookmarkStart w:id="63" w:name="_Toc67051855"/>
    </w:p>
    <w:p w14:paraId="5006AE9D" w14:textId="77777777" w:rsidR="00F40821" w:rsidRDefault="00F40821" w:rsidP="004A1285">
      <w:pPr>
        <w:spacing w:after="200"/>
        <w:rPr>
          <w:b/>
          <w:sz w:val="28"/>
          <w:szCs w:val="28"/>
        </w:rPr>
      </w:pPr>
    </w:p>
    <w:p w14:paraId="724BAD33" w14:textId="77777777" w:rsidR="00F40821" w:rsidRDefault="00F40821" w:rsidP="004A1285">
      <w:pPr>
        <w:spacing w:after="200"/>
        <w:rPr>
          <w:b/>
          <w:sz w:val="28"/>
          <w:szCs w:val="28"/>
        </w:rPr>
      </w:pPr>
    </w:p>
    <w:p w14:paraId="31A2BAFE" w14:textId="77777777" w:rsidR="00F40821" w:rsidRDefault="00F40821" w:rsidP="004A1285">
      <w:pPr>
        <w:spacing w:after="200"/>
        <w:rPr>
          <w:b/>
          <w:sz w:val="28"/>
          <w:szCs w:val="28"/>
        </w:rPr>
      </w:pPr>
    </w:p>
    <w:p w14:paraId="6A2EFB10" w14:textId="77777777" w:rsidR="00F40821" w:rsidRDefault="00F40821" w:rsidP="004A1285">
      <w:pPr>
        <w:spacing w:after="200"/>
        <w:rPr>
          <w:b/>
          <w:sz w:val="28"/>
          <w:szCs w:val="28"/>
        </w:rPr>
      </w:pPr>
    </w:p>
    <w:p w14:paraId="09B40662" w14:textId="77777777" w:rsidR="00F40821" w:rsidRDefault="00F40821" w:rsidP="004A1285">
      <w:pPr>
        <w:spacing w:after="200"/>
        <w:rPr>
          <w:b/>
          <w:sz w:val="28"/>
          <w:szCs w:val="28"/>
        </w:rPr>
      </w:pPr>
    </w:p>
    <w:p w14:paraId="044DAB85" w14:textId="77777777" w:rsidR="00F40821" w:rsidRDefault="00F40821" w:rsidP="004A1285">
      <w:pPr>
        <w:spacing w:after="200"/>
        <w:rPr>
          <w:b/>
          <w:sz w:val="28"/>
          <w:szCs w:val="28"/>
        </w:rPr>
      </w:pPr>
    </w:p>
    <w:p w14:paraId="64327487" w14:textId="77777777" w:rsidR="00A11898" w:rsidRDefault="00A11898" w:rsidP="004A1285">
      <w:pPr>
        <w:spacing w:after="200"/>
        <w:rPr>
          <w:b/>
          <w:sz w:val="28"/>
          <w:szCs w:val="28"/>
        </w:rPr>
      </w:pPr>
    </w:p>
    <w:p w14:paraId="1CAFCBB4" w14:textId="77777777" w:rsidR="00F40821" w:rsidRDefault="00F40821" w:rsidP="004A1285">
      <w:pPr>
        <w:spacing w:after="200"/>
        <w:rPr>
          <w:b/>
          <w:sz w:val="28"/>
          <w:szCs w:val="28"/>
        </w:rPr>
      </w:pPr>
    </w:p>
    <w:p w14:paraId="319327EC" w14:textId="1F267649" w:rsidR="00183E3A" w:rsidRPr="004A1285" w:rsidRDefault="007E6F08" w:rsidP="004A1285">
      <w:pPr>
        <w:spacing w:after="200"/>
        <w:rPr>
          <w:b/>
          <w:sz w:val="28"/>
          <w:szCs w:val="28"/>
        </w:rPr>
      </w:pPr>
      <w:r w:rsidRPr="004A1285">
        <w:rPr>
          <w:b/>
          <w:sz w:val="28"/>
          <w:szCs w:val="28"/>
        </w:rPr>
        <w:lastRenderedPageBreak/>
        <w:t xml:space="preserve">A.4 </w:t>
      </w:r>
      <w:r w:rsidR="000F0FBF" w:rsidRPr="004A1285">
        <w:rPr>
          <w:b/>
          <w:sz w:val="28"/>
          <w:szCs w:val="28"/>
        </w:rPr>
        <w:t>Supplementary evidence base</w:t>
      </w:r>
      <w:bookmarkEnd w:id="63"/>
    </w:p>
    <w:p w14:paraId="7D7A55ED" w14:textId="77777777" w:rsidR="000F0FBF" w:rsidRDefault="000F0FBF" w:rsidP="009229B3">
      <w:pPr>
        <w:pStyle w:val="Numberedparagraphs"/>
      </w:pPr>
      <w:r>
        <w:t>This annex provides more details on supplementary evidence that was used to inform the assessment criteria.</w:t>
      </w:r>
    </w:p>
    <w:p w14:paraId="6D88EA76" w14:textId="1DAF87D6" w:rsidR="000F0FBF" w:rsidRPr="004A1285" w:rsidRDefault="00EB15AF" w:rsidP="00821474">
      <w:pPr>
        <w:pStyle w:val="Heading4"/>
        <w:rPr>
          <w:szCs w:val="24"/>
        </w:rPr>
      </w:pPr>
      <w:r w:rsidRPr="004A1285">
        <w:rPr>
          <w:szCs w:val="24"/>
        </w:rPr>
        <w:t xml:space="preserve">Supplementary cost and benefits </w:t>
      </w:r>
    </w:p>
    <w:p w14:paraId="41A41031" w14:textId="04C39881" w:rsidR="006348AF" w:rsidRPr="005A7000" w:rsidRDefault="00786CCE" w:rsidP="00404643">
      <w:pPr>
        <w:pStyle w:val="Numberedparagraphs"/>
      </w:pPr>
      <w:r>
        <w:t>Due to limitations of the UK</w:t>
      </w:r>
      <w:r w:rsidR="00D16880">
        <w:t>TM</w:t>
      </w:r>
      <w:r w:rsidR="00792CEA">
        <w:t xml:space="preserve"> </w:t>
      </w:r>
      <w:r>
        <w:t xml:space="preserve">model, some </w:t>
      </w:r>
      <w:r w:rsidR="00AC524F">
        <w:t xml:space="preserve">supplementary calculations </w:t>
      </w:r>
      <w:r>
        <w:t xml:space="preserve">have been made to </w:t>
      </w:r>
      <w:r w:rsidR="00E1562E">
        <w:t xml:space="preserve">the cost benefit analysis to rectify these where possible. See table </w:t>
      </w:r>
      <w:r w:rsidR="006B06A2">
        <w:t>A5</w:t>
      </w:r>
      <w:r w:rsidR="00E1562E">
        <w:t xml:space="preserve"> for a list of off-model adjustments. </w:t>
      </w:r>
    </w:p>
    <w:p w14:paraId="543049FB" w14:textId="7C50C9DD" w:rsidR="00B42CBD" w:rsidRPr="00404643" w:rsidRDefault="00B02ED0" w:rsidP="005A7000">
      <w:pPr>
        <w:spacing w:after="120"/>
        <w:rPr>
          <w:i/>
        </w:rPr>
      </w:pPr>
      <w:r w:rsidRPr="006A0C4B">
        <w:rPr>
          <w:i/>
        </w:rPr>
        <w:t xml:space="preserve">Table </w:t>
      </w:r>
      <w:r w:rsidR="006B06A2">
        <w:rPr>
          <w:i/>
          <w:iCs/>
        </w:rPr>
        <w:t>A5</w:t>
      </w:r>
      <w:r>
        <w:rPr>
          <w:i/>
        </w:rPr>
        <w:t>:</w:t>
      </w:r>
      <w:r w:rsidRPr="006A0C4B">
        <w:rPr>
          <w:i/>
        </w:rPr>
        <w:t xml:space="preserve"> Summary of off-model adjustments </w:t>
      </w:r>
      <w:r w:rsidR="001B709F" w:rsidRPr="006A0C4B">
        <w:rPr>
          <w:i/>
          <w:iCs/>
        </w:rPr>
        <w:t xml:space="preserve">to UKTIMES </w:t>
      </w:r>
      <w:r w:rsidRPr="006A0C4B">
        <w:rPr>
          <w:i/>
        </w:rPr>
        <w:t xml:space="preserve">for </w:t>
      </w:r>
      <w:r w:rsidR="001B709F" w:rsidRPr="006A0C4B">
        <w:rPr>
          <w:i/>
          <w:iCs/>
        </w:rPr>
        <w:t>appraisal</w:t>
      </w:r>
    </w:p>
    <w:tbl>
      <w:tblPr>
        <w:tblStyle w:val="TableGrid"/>
        <w:tblW w:w="0" w:type="auto"/>
        <w:tblLook w:val="04A0" w:firstRow="1" w:lastRow="0" w:firstColumn="1" w:lastColumn="0" w:noHBand="0" w:noVBand="1"/>
      </w:tblPr>
      <w:tblGrid>
        <w:gridCol w:w="2505"/>
        <w:gridCol w:w="2493"/>
        <w:gridCol w:w="2517"/>
        <w:gridCol w:w="2680"/>
      </w:tblGrid>
      <w:tr w:rsidR="00E1562E" w14:paraId="7E4331C2" w14:textId="77777777" w:rsidTr="00D664B6">
        <w:tc>
          <w:tcPr>
            <w:tcW w:w="2505" w:type="dxa"/>
          </w:tcPr>
          <w:p w14:paraId="35DAFC9D" w14:textId="42E9D595" w:rsidR="00E1562E" w:rsidRPr="006C1480" w:rsidRDefault="00E1562E" w:rsidP="004A1285">
            <w:pPr>
              <w:pStyle w:val="EBBodyPara"/>
              <w:spacing w:before="40" w:after="40"/>
              <w:rPr>
                <w:b/>
                <w:sz w:val="24"/>
                <w:szCs w:val="24"/>
              </w:rPr>
            </w:pPr>
            <w:r w:rsidRPr="006C1480">
              <w:rPr>
                <w:b/>
                <w:sz w:val="24"/>
                <w:szCs w:val="24"/>
              </w:rPr>
              <w:t>Sector</w:t>
            </w:r>
          </w:p>
        </w:tc>
        <w:tc>
          <w:tcPr>
            <w:tcW w:w="2493" w:type="dxa"/>
          </w:tcPr>
          <w:p w14:paraId="2D19D174" w14:textId="49CAF9EB" w:rsidR="00E1562E" w:rsidRPr="006C1480" w:rsidRDefault="00E1562E" w:rsidP="004A1285">
            <w:pPr>
              <w:pStyle w:val="EBBodyPara"/>
              <w:spacing w:before="40" w:after="40"/>
              <w:rPr>
                <w:b/>
                <w:sz w:val="24"/>
                <w:szCs w:val="24"/>
              </w:rPr>
            </w:pPr>
            <w:r w:rsidRPr="006C1480">
              <w:rPr>
                <w:b/>
                <w:sz w:val="24"/>
                <w:szCs w:val="24"/>
              </w:rPr>
              <w:t>Cost type</w:t>
            </w:r>
          </w:p>
        </w:tc>
        <w:tc>
          <w:tcPr>
            <w:tcW w:w="2517" w:type="dxa"/>
          </w:tcPr>
          <w:p w14:paraId="52850E61" w14:textId="5E46580D" w:rsidR="00E1562E" w:rsidRPr="006C1480" w:rsidRDefault="00E1562E" w:rsidP="004A1285">
            <w:pPr>
              <w:pStyle w:val="EBBodyPara"/>
              <w:spacing w:before="40" w:after="40"/>
              <w:rPr>
                <w:b/>
                <w:sz w:val="24"/>
                <w:szCs w:val="24"/>
              </w:rPr>
            </w:pPr>
            <w:r w:rsidRPr="006C1480">
              <w:rPr>
                <w:b/>
                <w:sz w:val="24"/>
                <w:szCs w:val="24"/>
              </w:rPr>
              <w:t>UK</w:t>
            </w:r>
            <w:r w:rsidR="00D16880">
              <w:rPr>
                <w:b/>
                <w:sz w:val="24"/>
                <w:szCs w:val="24"/>
              </w:rPr>
              <w:t xml:space="preserve">TM </w:t>
            </w:r>
            <w:r w:rsidR="00B93460">
              <w:rPr>
                <w:b/>
                <w:sz w:val="24"/>
                <w:szCs w:val="24"/>
              </w:rPr>
              <w:t>limitation</w:t>
            </w:r>
          </w:p>
        </w:tc>
        <w:tc>
          <w:tcPr>
            <w:tcW w:w="2680" w:type="dxa"/>
          </w:tcPr>
          <w:p w14:paraId="558584C4" w14:textId="120F2669" w:rsidR="00E1562E" w:rsidRPr="006C1480" w:rsidRDefault="0073149E" w:rsidP="004A1285">
            <w:pPr>
              <w:pStyle w:val="EBBodyPara"/>
              <w:spacing w:before="40" w:after="40"/>
              <w:rPr>
                <w:b/>
                <w:sz w:val="24"/>
                <w:szCs w:val="24"/>
              </w:rPr>
            </w:pPr>
            <w:r w:rsidRPr="006C1480">
              <w:rPr>
                <w:b/>
                <w:sz w:val="24"/>
                <w:szCs w:val="24"/>
              </w:rPr>
              <w:t>Adjustment source</w:t>
            </w:r>
          </w:p>
        </w:tc>
      </w:tr>
      <w:tr w:rsidR="00D664B6" w14:paraId="41D7ED63" w14:textId="77777777" w:rsidTr="00D664B6">
        <w:tc>
          <w:tcPr>
            <w:tcW w:w="2505" w:type="dxa"/>
          </w:tcPr>
          <w:p w14:paraId="72D8E885" w14:textId="47D33155" w:rsidR="00D664B6" w:rsidRPr="000639AE" w:rsidRDefault="00D664B6" w:rsidP="004A1285">
            <w:pPr>
              <w:pStyle w:val="EBBodyPara"/>
              <w:spacing w:before="40" w:after="40"/>
              <w:rPr>
                <w:sz w:val="24"/>
                <w:szCs w:val="24"/>
              </w:rPr>
            </w:pPr>
            <w:r w:rsidRPr="000639AE">
              <w:rPr>
                <w:sz w:val="24"/>
                <w:szCs w:val="24"/>
              </w:rPr>
              <w:t>Power</w:t>
            </w:r>
          </w:p>
        </w:tc>
        <w:tc>
          <w:tcPr>
            <w:tcW w:w="2493" w:type="dxa"/>
          </w:tcPr>
          <w:p w14:paraId="065D18B3" w14:textId="50109381" w:rsidR="00D664B6" w:rsidRPr="000639AE" w:rsidRDefault="00D664B6" w:rsidP="004A1285">
            <w:pPr>
              <w:pStyle w:val="EBBodyPara"/>
              <w:spacing w:before="40" w:after="40"/>
              <w:rPr>
                <w:sz w:val="24"/>
                <w:szCs w:val="24"/>
              </w:rPr>
            </w:pPr>
            <w:r w:rsidRPr="000639AE">
              <w:rPr>
                <w:sz w:val="24"/>
                <w:szCs w:val="24"/>
              </w:rPr>
              <w:t>Cost</w:t>
            </w:r>
          </w:p>
        </w:tc>
        <w:tc>
          <w:tcPr>
            <w:tcW w:w="2517" w:type="dxa"/>
          </w:tcPr>
          <w:p w14:paraId="3C895189" w14:textId="3F9DEF08" w:rsidR="00D664B6" w:rsidRPr="000639AE" w:rsidRDefault="00D664B6" w:rsidP="004A1285">
            <w:pPr>
              <w:pStyle w:val="EBBodyPara"/>
              <w:spacing w:before="40" w:after="40"/>
              <w:rPr>
                <w:sz w:val="24"/>
                <w:szCs w:val="24"/>
              </w:rPr>
            </w:pPr>
            <w:r w:rsidRPr="000639AE">
              <w:rPr>
                <w:sz w:val="24"/>
                <w:szCs w:val="24"/>
              </w:rPr>
              <w:t>Insufficient coverage of power sector cost types</w:t>
            </w:r>
            <w:r w:rsidR="000A36A8">
              <w:rPr>
                <w:sz w:val="24"/>
                <w:szCs w:val="24"/>
              </w:rPr>
              <w:t xml:space="preserve">, </w:t>
            </w:r>
            <w:r w:rsidR="000B704C">
              <w:rPr>
                <w:sz w:val="24"/>
                <w:szCs w:val="24"/>
              </w:rPr>
              <w:t>particularly</w:t>
            </w:r>
            <w:r w:rsidR="000A36A8">
              <w:rPr>
                <w:sz w:val="24"/>
                <w:szCs w:val="24"/>
              </w:rPr>
              <w:t xml:space="preserve"> balancing, interconnector and distribution network costs</w:t>
            </w:r>
            <w:r w:rsidRPr="000639AE">
              <w:rPr>
                <w:sz w:val="24"/>
                <w:szCs w:val="24"/>
              </w:rPr>
              <w:t>.</w:t>
            </w:r>
          </w:p>
        </w:tc>
        <w:tc>
          <w:tcPr>
            <w:tcW w:w="2680" w:type="dxa"/>
          </w:tcPr>
          <w:p w14:paraId="7B09CBAF" w14:textId="2A543EB1" w:rsidR="00D664B6" w:rsidRPr="000639AE" w:rsidRDefault="00B82BE5" w:rsidP="004A1285">
            <w:pPr>
              <w:pStyle w:val="EBBodyPara"/>
              <w:spacing w:before="40" w:after="40"/>
              <w:rPr>
                <w:sz w:val="24"/>
                <w:szCs w:val="24"/>
              </w:rPr>
            </w:pPr>
            <w:r>
              <w:rPr>
                <w:sz w:val="24"/>
                <w:szCs w:val="24"/>
              </w:rPr>
              <w:t xml:space="preserve">BEIS </w:t>
            </w:r>
            <w:r w:rsidR="00D664B6" w:rsidRPr="000639AE">
              <w:rPr>
                <w:sz w:val="24"/>
                <w:szCs w:val="24"/>
              </w:rPr>
              <w:t>Dynamic Dispatch Model</w:t>
            </w:r>
            <w:r w:rsidR="000A36A8">
              <w:rPr>
                <w:sz w:val="24"/>
                <w:szCs w:val="24"/>
              </w:rPr>
              <w:t xml:space="preserve"> and Distributions Network </w:t>
            </w:r>
            <w:r w:rsidR="00D664B6" w:rsidRPr="000639AE" w:rsidDel="00A67F96">
              <w:rPr>
                <w:sz w:val="24"/>
                <w:szCs w:val="24"/>
              </w:rPr>
              <w:t>Model</w:t>
            </w:r>
          </w:p>
        </w:tc>
      </w:tr>
      <w:tr w:rsidR="00E1562E" w14:paraId="152A9254" w14:textId="77777777" w:rsidTr="00D664B6">
        <w:tc>
          <w:tcPr>
            <w:tcW w:w="2505" w:type="dxa"/>
          </w:tcPr>
          <w:p w14:paraId="13BACFB3" w14:textId="06A0D270" w:rsidR="00E1562E" w:rsidRPr="000639AE" w:rsidRDefault="00E1562E" w:rsidP="004A1285">
            <w:pPr>
              <w:pStyle w:val="EBBodyPara"/>
              <w:spacing w:before="40" w:after="40"/>
              <w:rPr>
                <w:sz w:val="24"/>
                <w:szCs w:val="24"/>
              </w:rPr>
            </w:pPr>
            <w:r w:rsidRPr="000639AE">
              <w:rPr>
                <w:sz w:val="24"/>
                <w:szCs w:val="24"/>
              </w:rPr>
              <w:t>Power</w:t>
            </w:r>
          </w:p>
        </w:tc>
        <w:tc>
          <w:tcPr>
            <w:tcW w:w="2493" w:type="dxa"/>
          </w:tcPr>
          <w:p w14:paraId="00BECC9D" w14:textId="298A4A17" w:rsidR="00E1562E" w:rsidRPr="000639AE" w:rsidRDefault="00E1562E" w:rsidP="004A1285">
            <w:pPr>
              <w:pStyle w:val="EBBodyPara"/>
              <w:spacing w:before="40" w:after="40"/>
              <w:rPr>
                <w:sz w:val="24"/>
                <w:szCs w:val="24"/>
              </w:rPr>
            </w:pPr>
            <w:r w:rsidRPr="000639AE">
              <w:rPr>
                <w:sz w:val="24"/>
                <w:szCs w:val="24"/>
              </w:rPr>
              <w:t>Cost</w:t>
            </w:r>
          </w:p>
        </w:tc>
        <w:tc>
          <w:tcPr>
            <w:tcW w:w="2517" w:type="dxa"/>
          </w:tcPr>
          <w:p w14:paraId="32BC5A8F" w14:textId="58CB1187" w:rsidR="00E1562E" w:rsidRPr="000639AE" w:rsidRDefault="008034D2" w:rsidP="004A1285">
            <w:pPr>
              <w:pStyle w:val="EBBodyPara"/>
              <w:spacing w:before="40" w:after="40"/>
              <w:rPr>
                <w:sz w:val="24"/>
                <w:szCs w:val="24"/>
              </w:rPr>
            </w:pPr>
            <w:r>
              <w:rPr>
                <w:sz w:val="24"/>
                <w:szCs w:val="24"/>
              </w:rPr>
              <w:t xml:space="preserve">Adjustment for </w:t>
            </w:r>
            <w:r w:rsidR="00817306">
              <w:rPr>
                <w:sz w:val="24"/>
                <w:szCs w:val="24"/>
              </w:rPr>
              <w:t>share of</w:t>
            </w:r>
            <w:r>
              <w:rPr>
                <w:sz w:val="24"/>
                <w:szCs w:val="24"/>
              </w:rPr>
              <w:t xml:space="preserve"> e</w:t>
            </w:r>
            <w:r w:rsidR="00AC524F">
              <w:rPr>
                <w:sz w:val="24"/>
                <w:szCs w:val="24"/>
              </w:rPr>
              <w:t xml:space="preserve">nergy from waste policies </w:t>
            </w:r>
            <w:r w:rsidR="00817306">
              <w:rPr>
                <w:sz w:val="24"/>
                <w:szCs w:val="24"/>
              </w:rPr>
              <w:t>included in modelling</w:t>
            </w:r>
          </w:p>
        </w:tc>
        <w:tc>
          <w:tcPr>
            <w:tcW w:w="2680" w:type="dxa"/>
          </w:tcPr>
          <w:p w14:paraId="7EEAEA47" w14:textId="5E0D883E" w:rsidR="00E1562E" w:rsidRPr="000639AE" w:rsidRDefault="00B82BE5" w:rsidP="004A1285">
            <w:pPr>
              <w:pStyle w:val="EBBodyPara"/>
              <w:spacing w:before="40" w:after="40"/>
              <w:rPr>
                <w:sz w:val="24"/>
                <w:szCs w:val="24"/>
              </w:rPr>
            </w:pPr>
            <w:r>
              <w:rPr>
                <w:sz w:val="24"/>
                <w:szCs w:val="24"/>
              </w:rPr>
              <w:t xml:space="preserve">BEIS </w:t>
            </w:r>
            <w:r w:rsidR="00E1562E" w:rsidRPr="000639AE">
              <w:rPr>
                <w:sz w:val="24"/>
                <w:szCs w:val="24"/>
              </w:rPr>
              <w:t>Dynamic Dispatch Model</w:t>
            </w:r>
          </w:p>
        </w:tc>
      </w:tr>
      <w:tr w:rsidR="00E1562E" w14:paraId="27268E32" w14:textId="77777777" w:rsidTr="00D664B6">
        <w:tc>
          <w:tcPr>
            <w:tcW w:w="2505" w:type="dxa"/>
          </w:tcPr>
          <w:p w14:paraId="1D3C6B5F" w14:textId="32851455" w:rsidR="00E1562E" w:rsidRPr="000639AE" w:rsidRDefault="00F05A5C" w:rsidP="004A1285">
            <w:pPr>
              <w:pStyle w:val="EBBodyPara"/>
              <w:spacing w:before="40" w:after="40"/>
              <w:rPr>
                <w:sz w:val="24"/>
                <w:szCs w:val="24"/>
              </w:rPr>
            </w:pPr>
            <w:r w:rsidRPr="000639AE">
              <w:rPr>
                <w:sz w:val="24"/>
                <w:szCs w:val="24"/>
              </w:rPr>
              <w:t>Waste</w:t>
            </w:r>
          </w:p>
        </w:tc>
        <w:tc>
          <w:tcPr>
            <w:tcW w:w="2493" w:type="dxa"/>
          </w:tcPr>
          <w:p w14:paraId="31EFE099" w14:textId="6D08405D" w:rsidR="00E1562E" w:rsidRPr="000639AE" w:rsidRDefault="00F05A5C" w:rsidP="004A1285">
            <w:pPr>
              <w:pStyle w:val="EBBodyPara"/>
              <w:spacing w:before="40" w:after="40"/>
              <w:rPr>
                <w:sz w:val="24"/>
                <w:szCs w:val="24"/>
              </w:rPr>
            </w:pPr>
            <w:r w:rsidRPr="000639AE">
              <w:rPr>
                <w:sz w:val="24"/>
                <w:szCs w:val="24"/>
              </w:rPr>
              <w:t>Cost</w:t>
            </w:r>
          </w:p>
        </w:tc>
        <w:tc>
          <w:tcPr>
            <w:tcW w:w="2517" w:type="dxa"/>
          </w:tcPr>
          <w:p w14:paraId="5A881330" w14:textId="5E0A9B9E" w:rsidR="00E1562E" w:rsidRPr="000639AE" w:rsidRDefault="00F05A5C" w:rsidP="004A1285">
            <w:pPr>
              <w:pStyle w:val="EBBodyPara"/>
              <w:spacing w:before="40" w:after="40"/>
              <w:rPr>
                <w:sz w:val="24"/>
                <w:szCs w:val="24"/>
              </w:rPr>
            </w:pPr>
            <w:r w:rsidRPr="000639AE">
              <w:rPr>
                <w:sz w:val="24"/>
                <w:szCs w:val="24"/>
              </w:rPr>
              <w:t>Waste costs are not included</w:t>
            </w:r>
          </w:p>
        </w:tc>
        <w:tc>
          <w:tcPr>
            <w:tcW w:w="2680" w:type="dxa"/>
          </w:tcPr>
          <w:p w14:paraId="31550ED3" w14:textId="5B7DF565" w:rsidR="00E1562E" w:rsidRPr="000639AE" w:rsidRDefault="00F05A5C" w:rsidP="004A1285">
            <w:pPr>
              <w:pStyle w:val="EBBodyPara"/>
              <w:spacing w:before="40" w:after="40"/>
              <w:rPr>
                <w:sz w:val="24"/>
                <w:szCs w:val="24"/>
              </w:rPr>
            </w:pPr>
            <w:r w:rsidRPr="000639AE">
              <w:rPr>
                <w:sz w:val="24"/>
                <w:szCs w:val="24"/>
              </w:rPr>
              <w:t>Defra’s waste policy appraisal</w:t>
            </w:r>
            <w:r w:rsidR="0073149E" w:rsidRPr="000639AE">
              <w:rPr>
                <w:sz w:val="24"/>
                <w:szCs w:val="24"/>
              </w:rPr>
              <w:t xml:space="preserve"> modelling</w:t>
            </w:r>
          </w:p>
        </w:tc>
      </w:tr>
      <w:tr w:rsidR="00E1562E" w14:paraId="22BD5C08" w14:textId="77777777" w:rsidTr="00D664B6">
        <w:tc>
          <w:tcPr>
            <w:tcW w:w="2505" w:type="dxa"/>
          </w:tcPr>
          <w:p w14:paraId="0D29C9F7" w14:textId="29E72242" w:rsidR="00E1562E" w:rsidRPr="000639AE" w:rsidRDefault="00F05A5C" w:rsidP="004A1285">
            <w:pPr>
              <w:pStyle w:val="EBBodyPara"/>
              <w:spacing w:before="40" w:after="40"/>
              <w:rPr>
                <w:sz w:val="24"/>
                <w:szCs w:val="24"/>
              </w:rPr>
            </w:pPr>
            <w:r w:rsidRPr="000639AE">
              <w:rPr>
                <w:sz w:val="24"/>
                <w:szCs w:val="24"/>
              </w:rPr>
              <w:t>Shipping</w:t>
            </w:r>
          </w:p>
        </w:tc>
        <w:tc>
          <w:tcPr>
            <w:tcW w:w="2493" w:type="dxa"/>
          </w:tcPr>
          <w:p w14:paraId="1735CC3E" w14:textId="0669C9E1" w:rsidR="00E1562E" w:rsidRPr="000639AE" w:rsidRDefault="00F05A5C" w:rsidP="004A1285">
            <w:pPr>
              <w:pStyle w:val="EBBodyPara"/>
              <w:spacing w:before="40" w:after="40"/>
              <w:rPr>
                <w:sz w:val="24"/>
                <w:szCs w:val="24"/>
              </w:rPr>
            </w:pPr>
            <w:r w:rsidRPr="000639AE">
              <w:rPr>
                <w:sz w:val="24"/>
                <w:szCs w:val="24"/>
              </w:rPr>
              <w:t>Cost</w:t>
            </w:r>
          </w:p>
        </w:tc>
        <w:tc>
          <w:tcPr>
            <w:tcW w:w="2517" w:type="dxa"/>
          </w:tcPr>
          <w:p w14:paraId="05E93341" w14:textId="2339BD7B" w:rsidR="00E1562E" w:rsidRPr="000639AE" w:rsidRDefault="00F05A5C" w:rsidP="004A1285">
            <w:pPr>
              <w:pStyle w:val="EBBodyPara"/>
              <w:spacing w:before="40" w:after="40"/>
              <w:rPr>
                <w:sz w:val="24"/>
                <w:szCs w:val="24"/>
              </w:rPr>
            </w:pPr>
            <w:r w:rsidRPr="000639AE">
              <w:rPr>
                <w:sz w:val="24"/>
                <w:szCs w:val="24"/>
              </w:rPr>
              <w:t>Capex and opex costs of shipping not included</w:t>
            </w:r>
          </w:p>
        </w:tc>
        <w:tc>
          <w:tcPr>
            <w:tcW w:w="2680" w:type="dxa"/>
          </w:tcPr>
          <w:p w14:paraId="5E5FF816" w14:textId="026C6081" w:rsidR="00E1562E" w:rsidRPr="000639AE" w:rsidRDefault="0060777A" w:rsidP="004A1285">
            <w:pPr>
              <w:pStyle w:val="EBBodyPara"/>
              <w:spacing w:before="40" w:after="40"/>
              <w:rPr>
                <w:sz w:val="24"/>
                <w:szCs w:val="24"/>
              </w:rPr>
            </w:pPr>
            <w:r>
              <w:rPr>
                <w:sz w:val="24"/>
                <w:szCs w:val="24"/>
              </w:rPr>
              <w:t>Modelling</w:t>
            </w:r>
            <w:r w:rsidR="00357CBA">
              <w:rPr>
                <w:sz w:val="24"/>
                <w:szCs w:val="24"/>
              </w:rPr>
              <w:t xml:space="preserve"> </w:t>
            </w:r>
            <w:r w:rsidR="00357CBA" w:rsidRPr="006A0C4B">
              <w:rPr>
                <w:sz w:val="24"/>
                <w:szCs w:val="24"/>
              </w:rPr>
              <w:t>commissioned by DfT</w:t>
            </w:r>
            <w:r w:rsidR="00A80A4D" w:rsidRPr="01F21943">
              <w:rPr>
                <w:rStyle w:val="FootnoteReference"/>
              </w:rPr>
              <w:footnoteReference w:id="76"/>
            </w:r>
          </w:p>
        </w:tc>
      </w:tr>
      <w:tr w:rsidR="00E1562E" w14:paraId="14B7F2A5" w14:textId="77777777" w:rsidTr="00D664B6">
        <w:tc>
          <w:tcPr>
            <w:tcW w:w="2505" w:type="dxa"/>
          </w:tcPr>
          <w:p w14:paraId="558051EE" w14:textId="4115811D" w:rsidR="00E1562E" w:rsidRPr="000639AE" w:rsidRDefault="00F96FC7" w:rsidP="004A1285">
            <w:pPr>
              <w:pStyle w:val="EBBodyPara"/>
              <w:spacing w:before="40" w:after="40"/>
              <w:rPr>
                <w:sz w:val="24"/>
                <w:szCs w:val="24"/>
              </w:rPr>
            </w:pPr>
            <w:r w:rsidRPr="000639AE">
              <w:rPr>
                <w:sz w:val="24"/>
                <w:szCs w:val="24"/>
              </w:rPr>
              <w:t>Shipping</w:t>
            </w:r>
          </w:p>
        </w:tc>
        <w:tc>
          <w:tcPr>
            <w:tcW w:w="2493" w:type="dxa"/>
          </w:tcPr>
          <w:p w14:paraId="36D40C0D" w14:textId="6476FA36" w:rsidR="00E1562E" w:rsidRPr="000639AE" w:rsidRDefault="00F96FC7" w:rsidP="004A1285">
            <w:pPr>
              <w:pStyle w:val="EBBodyPara"/>
              <w:spacing w:before="40" w:after="40"/>
              <w:rPr>
                <w:sz w:val="24"/>
                <w:szCs w:val="24"/>
              </w:rPr>
            </w:pPr>
            <w:r w:rsidRPr="000639AE">
              <w:rPr>
                <w:sz w:val="24"/>
                <w:szCs w:val="24"/>
              </w:rPr>
              <w:t>Air quality</w:t>
            </w:r>
          </w:p>
        </w:tc>
        <w:tc>
          <w:tcPr>
            <w:tcW w:w="2517" w:type="dxa"/>
          </w:tcPr>
          <w:p w14:paraId="7FDF1A79" w14:textId="3D441BBE" w:rsidR="00E1562E" w:rsidRPr="000639AE" w:rsidRDefault="00F96FC7" w:rsidP="004A1285">
            <w:pPr>
              <w:pStyle w:val="EBBodyPara"/>
              <w:spacing w:before="40" w:after="40"/>
              <w:rPr>
                <w:sz w:val="24"/>
                <w:szCs w:val="24"/>
              </w:rPr>
            </w:pPr>
            <w:r w:rsidRPr="000639AE">
              <w:rPr>
                <w:sz w:val="24"/>
                <w:szCs w:val="24"/>
              </w:rPr>
              <w:t>Over</w:t>
            </w:r>
            <w:r w:rsidR="002D7257">
              <w:rPr>
                <w:sz w:val="24"/>
                <w:szCs w:val="24"/>
              </w:rPr>
              <w:t>estimate</w:t>
            </w:r>
            <w:r w:rsidRPr="000639AE">
              <w:rPr>
                <w:sz w:val="24"/>
                <w:szCs w:val="24"/>
              </w:rPr>
              <w:t xml:space="preserve"> of air quality benefits relating to </w:t>
            </w:r>
            <w:r w:rsidR="0073149E" w:rsidRPr="000639AE">
              <w:rPr>
                <w:sz w:val="24"/>
                <w:szCs w:val="24"/>
              </w:rPr>
              <w:t>international shipping</w:t>
            </w:r>
          </w:p>
        </w:tc>
        <w:tc>
          <w:tcPr>
            <w:tcW w:w="2680" w:type="dxa"/>
          </w:tcPr>
          <w:p w14:paraId="2D07864D" w14:textId="3FAAD160" w:rsidR="00E1562E" w:rsidRPr="000639AE" w:rsidRDefault="0060777A" w:rsidP="004A1285">
            <w:pPr>
              <w:pStyle w:val="EBBodyPara"/>
              <w:spacing w:before="40" w:after="40"/>
              <w:rPr>
                <w:sz w:val="24"/>
                <w:szCs w:val="24"/>
              </w:rPr>
            </w:pPr>
            <w:r>
              <w:rPr>
                <w:sz w:val="24"/>
                <w:szCs w:val="24"/>
              </w:rPr>
              <w:t>Modelling</w:t>
            </w:r>
            <w:r w:rsidR="00357CBA" w:rsidRPr="00357CBA">
              <w:rPr>
                <w:sz w:val="24"/>
                <w:szCs w:val="24"/>
              </w:rPr>
              <w:t xml:space="preserve"> commissioned by DfT</w:t>
            </w:r>
            <w:r w:rsidR="002A26D2">
              <w:rPr>
                <w:sz w:val="24"/>
                <w:szCs w:val="24"/>
              </w:rPr>
              <w:t xml:space="preserve">. </w:t>
            </w:r>
          </w:p>
        </w:tc>
      </w:tr>
      <w:tr w:rsidR="0073149E" w14:paraId="5C79F818" w14:textId="77777777" w:rsidTr="00D664B6">
        <w:tc>
          <w:tcPr>
            <w:tcW w:w="2505" w:type="dxa"/>
          </w:tcPr>
          <w:p w14:paraId="0AB2B31B" w14:textId="56C3E1EB" w:rsidR="0073149E" w:rsidRPr="000639AE" w:rsidRDefault="0073149E" w:rsidP="004A1285">
            <w:pPr>
              <w:pStyle w:val="EBBodyPara"/>
              <w:spacing w:before="40" w:after="40"/>
              <w:rPr>
                <w:sz w:val="24"/>
                <w:szCs w:val="24"/>
              </w:rPr>
            </w:pPr>
            <w:r w:rsidRPr="000639AE">
              <w:rPr>
                <w:sz w:val="24"/>
                <w:szCs w:val="24"/>
              </w:rPr>
              <w:t>Agriculture</w:t>
            </w:r>
          </w:p>
        </w:tc>
        <w:tc>
          <w:tcPr>
            <w:tcW w:w="2493" w:type="dxa"/>
          </w:tcPr>
          <w:p w14:paraId="048DC829" w14:textId="2435E251" w:rsidR="0073149E" w:rsidRPr="000639AE" w:rsidRDefault="0073149E" w:rsidP="004A1285">
            <w:pPr>
              <w:pStyle w:val="EBBodyPara"/>
              <w:spacing w:before="40" w:after="40"/>
              <w:rPr>
                <w:sz w:val="24"/>
                <w:szCs w:val="24"/>
              </w:rPr>
            </w:pPr>
            <w:r w:rsidRPr="000639AE">
              <w:rPr>
                <w:sz w:val="24"/>
                <w:szCs w:val="24"/>
              </w:rPr>
              <w:t>Air quality</w:t>
            </w:r>
          </w:p>
        </w:tc>
        <w:tc>
          <w:tcPr>
            <w:tcW w:w="2517" w:type="dxa"/>
          </w:tcPr>
          <w:p w14:paraId="4E448CF5" w14:textId="5B619EC9" w:rsidR="0073149E" w:rsidRPr="000639AE" w:rsidRDefault="0073149E" w:rsidP="004A1285">
            <w:pPr>
              <w:pStyle w:val="EBBodyPara"/>
              <w:spacing w:before="40" w:after="40"/>
              <w:rPr>
                <w:sz w:val="24"/>
                <w:szCs w:val="24"/>
              </w:rPr>
            </w:pPr>
            <w:r w:rsidRPr="000639AE">
              <w:rPr>
                <w:sz w:val="24"/>
                <w:szCs w:val="24"/>
              </w:rPr>
              <w:t>Air quality impacts of anaerobic digestion not included</w:t>
            </w:r>
          </w:p>
        </w:tc>
        <w:tc>
          <w:tcPr>
            <w:tcW w:w="2680" w:type="dxa"/>
          </w:tcPr>
          <w:p w14:paraId="36E07875" w14:textId="7F807978" w:rsidR="0073149E" w:rsidRPr="000639AE" w:rsidRDefault="00E214A0" w:rsidP="004A1285">
            <w:pPr>
              <w:pStyle w:val="EBBodyPara"/>
              <w:spacing w:before="40" w:after="40"/>
              <w:rPr>
                <w:sz w:val="24"/>
                <w:szCs w:val="24"/>
              </w:rPr>
            </w:pPr>
            <w:r w:rsidRPr="000639AE">
              <w:rPr>
                <w:sz w:val="24"/>
                <w:szCs w:val="24"/>
              </w:rPr>
              <w:t>Defra anaerobic digestion model</w:t>
            </w:r>
          </w:p>
        </w:tc>
      </w:tr>
      <w:tr w:rsidR="0073149E" w14:paraId="2A57DB62" w14:textId="77777777" w:rsidTr="00D664B6">
        <w:tc>
          <w:tcPr>
            <w:tcW w:w="2505" w:type="dxa"/>
          </w:tcPr>
          <w:p w14:paraId="11F58149" w14:textId="7068B59E" w:rsidR="0073149E" w:rsidRPr="000639AE" w:rsidRDefault="00E214A0" w:rsidP="004A1285">
            <w:pPr>
              <w:pStyle w:val="EBBodyPara"/>
              <w:spacing w:before="40" w:after="40"/>
              <w:rPr>
                <w:sz w:val="24"/>
                <w:szCs w:val="24"/>
              </w:rPr>
            </w:pPr>
            <w:r w:rsidRPr="000639AE">
              <w:rPr>
                <w:sz w:val="24"/>
                <w:szCs w:val="24"/>
              </w:rPr>
              <w:t>Agriculture</w:t>
            </w:r>
            <w:r w:rsidR="00DE5FB0" w:rsidRPr="000639AE">
              <w:rPr>
                <w:sz w:val="24"/>
                <w:szCs w:val="24"/>
              </w:rPr>
              <w:t xml:space="preserve"> and Land use</w:t>
            </w:r>
          </w:p>
        </w:tc>
        <w:tc>
          <w:tcPr>
            <w:tcW w:w="2493" w:type="dxa"/>
          </w:tcPr>
          <w:p w14:paraId="126D7635" w14:textId="41DC5D46" w:rsidR="0073149E" w:rsidRPr="000639AE" w:rsidRDefault="00DE5FB0" w:rsidP="004A1285">
            <w:pPr>
              <w:pStyle w:val="EBBodyPara"/>
              <w:spacing w:before="40" w:after="40"/>
              <w:rPr>
                <w:sz w:val="24"/>
                <w:szCs w:val="24"/>
              </w:rPr>
            </w:pPr>
            <w:r w:rsidRPr="000639AE">
              <w:rPr>
                <w:sz w:val="24"/>
                <w:szCs w:val="24"/>
              </w:rPr>
              <w:t>Natural capital</w:t>
            </w:r>
          </w:p>
        </w:tc>
        <w:tc>
          <w:tcPr>
            <w:tcW w:w="2517" w:type="dxa"/>
          </w:tcPr>
          <w:p w14:paraId="0C5C9AEF" w14:textId="42E2E199" w:rsidR="0073149E" w:rsidRPr="000639AE" w:rsidRDefault="00DE5FB0" w:rsidP="004A1285">
            <w:pPr>
              <w:pStyle w:val="EBBodyPara"/>
              <w:spacing w:before="40" w:after="40"/>
              <w:rPr>
                <w:sz w:val="24"/>
                <w:szCs w:val="24"/>
              </w:rPr>
            </w:pPr>
            <w:r w:rsidRPr="000639AE">
              <w:rPr>
                <w:sz w:val="24"/>
                <w:szCs w:val="24"/>
              </w:rPr>
              <w:t>Non air quality natural capital impacts not covered by UK</w:t>
            </w:r>
            <w:r w:rsidR="00D16880">
              <w:rPr>
                <w:sz w:val="24"/>
                <w:szCs w:val="24"/>
              </w:rPr>
              <w:t>TM</w:t>
            </w:r>
            <w:r w:rsidRPr="000639AE">
              <w:rPr>
                <w:sz w:val="24"/>
                <w:szCs w:val="24"/>
              </w:rPr>
              <w:t>.</w:t>
            </w:r>
          </w:p>
        </w:tc>
        <w:tc>
          <w:tcPr>
            <w:tcW w:w="2680" w:type="dxa"/>
          </w:tcPr>
          <w:p w14:paraId="57B087D5" w14:textId="13C406B4" w:rsidR="0073149E" w:rsidRPr="000639AE" w:rsidRDefault="00DE5FB0" w:rsidP="004A1285">
            <w:pPr>
              <w:pStyle w:val="EBBodyPara"/>
              <w:spacing w:before="40" w:after="40"/>
              <w:rPr>
                <w:sz w:val="24"/>
                <w:szCs w:val="24"/>
              </w:rPr>
            </w:pPr>
            <w:r w:rsidRPr="000639AE">
              <w:rPr>
                <w:sz w:val="24"/>
                <w:szCs w:val="24"/>
              </w:rPr>
              <w:t>Defra’s agricultural and forestry policy appraisal modelling</w:t>
            </w:r>
          </w:p>
        </w:tc>
      </w:tr>
    </w:tbl>
    <w:p w14:paraId="05DA8885" w14:textId="77777777" w:rsidR="00BF7799" w:rsidRDefault="00BF7799" w:rsidP="005A7000">
      <w:pPr>
        <w:pStyle w:val="Numberedparagraphs"/>
        <w:numPr>
          <w:ilvl w:val="0"/>
          <w:numId w:val="0"/>
        </w:numPr>
        <w:spacing w:after="120"/>
      </w:pPr>
    </w:p>
    <w:p w14:paraId="0DF850A0" w14:textId="4FCBF824" w:rsidR="008E4FB8" w:rsidRPr="001418E7" w:rsidRDefault="0064266A" w:rsidP="009229B3">
      <w:pPr>
        <w:pStyle w:val="Numberedparagraphs"/>
      </w:pPr>
      <w:r>
        <w:t xml:space="preserve">With respect to the air quality benefits </w:t>
      </w:r>
      <w:r w:rsidR="0060777A" w:rsidRPr="00D3184B">
        <w:t>for</w:t>
      </w:r>
      <w:r>
        <w:t xml:space="preserve"> shipping, due to </w:t>
      </w:r>
      <w:r w:rsidR="0060777A" w:rsidRPr="00D3184B">
        <w:t>significant differences between</w:t>
      </w:r>
      <w:r>
        <w:t xml:space="preserve"> the baseline </w:t>
      </w:r>
      <w:r w:rsidR="0060777A" w:rsidRPr="00D3184B">
        <w:t xml:space="preserve">year air pollutant </w:t>
      </w:r>
      <w:r>
        <w:t xml:space="preserve">emissions </w:t>
      </w:r>
      <w:r w:rsidR="0060777A" w:rsidRPr="00D3184B">
        <w:t xml:space="preserve">estimated by </w:t>
      </w:r>
      <w:r>
        <w:t xml:space="preserve">the </w:t>
      </w:r>
      <w:r w:rsidR="0060777A" w:rsidRPr="00D3184B">
        <w:t>modelling</w:t>
      </w:r>
      <w:r>
        <w:t xml:space="preserve"> commissioned by DfT</w:t>
      </w:r>
      <w:r w:rsidR="0060777A" w:rsidRPr="00D3184B">
        <w:t xml:space="preserve"> and the methodology used in the UK’s National Atmospheric Emissions Inventory</w:t>
      </w:r>
      <w:r w:rsidR="00C116E0">
        <w:rPr>
          <w:rStyle w:val="FootnoteReference"/>
        </w:rPr>
        <w:footnoteReference w:id="77"/>
      </w:r>
      <w:r>
        <w:t xml:space="preserve">, it is </w:t>
      </w:r>
      <w:r w:rsidR="0060777A" w:rsidRPr="00D3184B">
        <w:t>expected</w:t>
      </w:r>
      <w:r>
        <w:t xml:space="preserve"> that </w:t>
      </w:r>
      <w:r w:rsidR="0060777A" w:rsidRPr="00D3184B">
        <w:t xml:space="preserve">the </w:t>
      </w:r>
      <w:r>
        <w:t xml:space="preserve">air quality benefits </w:t>
      </w:r>
      <w:r w:rsidR="0060777A" w:rsidRPr="00D3184B">
        <w:t>for</w:t>
      </w:r>
      <w:r>
        <w:t xml:space="preserve"> shipping are still overestimated, though by significantly less than if </w:t>
      </w:r>
      <w:r w:rsidR="0060777A" w:rsidRPr="00D3184B">
        <w:t>UK</w:t>
      </w:r>
      <w:r w:rsidR="00D16880">
        <w:t>TM</w:t>
      </w:r>
      <w:r>
        <w:t xml:space="preserve"> was used.</w:t>
      </w:r>
    </w:p>
    <w:p w14:paraId="0BF63DE4" w14:textId="558452FB" w:rsidR="003510FD" w:rsidRPr="004A1285" w:rsidRDefault="00754B9F" w:rsidP="004A1285">
      <w:pPr>
        <w:pStyle w:val="Heading4"/>
        <w:spacing w:after="200"/>
        <w:rPr>
          <w:szCs w:val="24"/>
        </w:rPr>
      </w:pPr>
      <w:r w:rsidRPr="004A1285">
        <w:rPr>
          <w:szCs w:val="24"/>
        </w:rPr>
        <w:lastRenderedPageBreak/>
        <w:t>Power sector</w:t>
      </w:r>
    </w:p>
    <w:p w14:paraId="481948CC" w14:textId="44B1A186" w:rsidR="0068559C" w:rsidRDefault="00EE12AD" w:rsidP="009229B3">
      <w:pPr>
        <w:pStyle w:val="Numberedparagraphs"/>
      </w:pPr>
      <w:r>
        <w:t>The DDM model, a comprehensive model of the electricity system, was used to inform UK</w:t>
      </w:r>
      <w:r w:rsidR="00D16880">
        <w:t>TM</w:t>
      </w:r>
      <w:r>
        <w:t>’</w:t>
      </w:r>
      <w:r w:rsidR="00D16880">
        <w:t>s</w:t>
      </w:r>
      <w:r>
        <w:t xml:space="preserve"> power assumptions. This model was also used for the prices </w:t>
      </w:r>
      <w:r w:rsidR="0068559C">
        <w:t>and bills analysis</w:t>
      </w:r>
      <w:r w:rsidR="00AD4C0B">
        <w:t xml:space="preserve"> to inform a projection of electricity prices over the next 15 years. </w:t>
      </w:r>
    </w:p>
    <w:p w14:paraId="547C3BDB" w14:textId="77D93AB8" w:rsidR="002D7257" w:rsidRDefault="002D7257" w:rsidP="009229B3">
      <w:pPr>
        <w:pStyle w:val="Numberedparagraphs"/>
      </w:pPr>
      <w:r>
        <w:t xml:space="preserve">The DDM is an electricity supply model, currently modelling the GB power sector out to 2050. It allows analysis of the impact of different policy decisions on capacity, costs, prices, security of supply and carbon emissions. The DDM employs two key algorithms: </w:t>
      </w:r>
    </w:p>
    <w:p w14:paraId="28E0E64E" w14:textId="02BA74FD" w:rsidR="002D7257" w:rsidRDefault="002D7257" w:rsidP="00B346F8">
      <w:pPr>
        <w:pStyle w:val="Bullets"/>
        <w:spacing w:after="200"/>
      </w:pPr>
      <w:r>
        <w:t xml:space="preserve">Dispatch algorithm, which models electricity supply and </w:t>
      </w:r>
      <w:r w:rsidR="009636B8">
        <w:t>demand.</w:t>
      </w:r>
      <w:r>
        <w:t xml:space="preserve"> </w:t>
      </w:r>
    </w:p>
    <w:p w14:paraId="6E7454AD" w14:textId="02BA74FD" w:rsidR="002D7257" w:rsidRDefault="002D7257" w:rsidP="00B346F8">
      <w:pPr>
        <w:pStyle w:val="Bullets"/>
        <w:spacing w:after="200"/>
      </w:pPr>
      <w:r>
        <w:t>Investment alg</w:t>
      </w:r>
      <w:r w:rsidR="0070306E">
        <w:t>orithm, which forecasts revenues and costs based on Dispatch algorithm for new plants and retirements.</w:t>
      </w:r>
    </w:p>
    <w:p w14:paraId="51D8EEAD" w14:textId="17CE019A" w:rsidR="002D7257" w:rsidRDefault="002D7257" w:rsidP="009229B3">
      <w:pPr>
        <w:pStyle w:val="Numberedparagraphs"/>
      </w:pPr>
      <w:r>
        <w:t xml:space="preserve">The DDM relies on many exogenous assumptions and inputs, and results can be sensitive to changes in these assumptions. Key </w:t>
      </w:r>
      <w:r w:rsidR="000B704C">
        <w:t>assumptions</w:t>
      </w:r>
      <w:r>
        <w:t xml:space="preserve"> </w:t>
      </w:r>
      <w:r w:rsidR="009636B8">
        <w:t>include</w:t>
      </w:r>
      <w:r>
        <w:t xml:space="preserve"> </w:t>
      </w:r>
      <w:r w:rsidR="0070306E">
        <w:t>generation and financing costs, build limits, security of supply requirements, electricity demand (for the purposes of this modelling aligned with UK demand derived from UKTM)</w:t>
      </w:r>
      <w:r w:rsidR="009636B8">
        <w:t>.</w:t>
      </w:r>
      <w:r w:rsidR="0070306E">
        <w:t xml:space="preserve"> </w:t>
      </w:r>
    </w:p>
    <w:p w14:paraId="0A493E57" w14:textId="3DCF1928" w:rsidR="002D7257" w:rsidRDefault="002D7257" w:rsidP="009229B3">
      <w:pPr>
        <w:pStyle w:val="Numberedparagraphs"/>
      </w:pPr>
      <w:r>
        <w:t xml:space="preserve">The DDM has </w:t>
      </w:r>
      <w:r w:rsidR="009636B8">
        <w:t>several</w:t>
      </w:r>
      <w:r>
        <w:t xml:space="preserve"> limitations, the most important of which are: </w:t>
      </w:r>
    </w:p>
    <w:p w14:paraId="4AC6C204" w14:textId="2B3C6A7E" w:rsidR="00354357" w:rsidRPr="00354357" w:rsidRDefault="0070306E" w:rsidP="0071483C">
      <w:pPr>
        <w:pStyle w:val="Bullets"/>
        <w:numPr>
          <w:ilvl w:val="0"/>
          <w:numId w:val="22"/>
        </w:numPr>
      </w:pPr>
      <w:r w:rsidRPr="0070306E">
        <w:t>It is deterministic, in that a given set of inputs will always produce the same outputs.</w:t>
      </w:r>
    </w:p>
    <w:p w14:paraId="744CA0FF" w14:textId="0362D626" w:rsidR="00354357" w:rsidRPr="00354357" w:rsidRDefault="002D7257">
      <w:pPr>
        <w:pStyle w:val="Bullets"/>
        <w:numPr>
          <w:ilvl w:val="0"/>
          <w:numId w:val="22"/>
        </w:numPr>
      </w:pPr>
      <w:r>
        <w:t xml:space="preserve">Plants are assumed to be profit maximising, and act according to economic rationality. </w:t>
      </w:r>
    </w:p>
    <w:p w14:paraId="0CDAE3AF" w14:textId="17357234" w:rsidR="0070306E" w:rsidRDefault="0070306E" w:rsidP="00B346F8">
      <w:pPr>
        <w:pStyle w:val="Bullets"/>
        <w:spacing w:after="200"/>
      </w:pPr>
      <w:r w:rsidRPr="0070306E">
        <w:t>The DDM does not tell us the optimal mix of technologies to ensure security of supply or decarbonise. The mix is defined by user inputs</w:t>
      </w:r>
      <w:r w:rsidR="00757492">
        <w:t xml:space="preserve"> </w:t>
      </w:r>
      <w:r w:rsidR="005B614C">
        <w:t xml:space="preserve">(for the purposes of this analysis these have been informed by the </w:t>
      </w:r>
      <w:hyperlink r:id="rId21" w:history="1">
        <w:r w:rsidR="00C576CE" w:rsidRPr="006A0C4B">
          <w:t>Modelling 2050: electricity system analysis</w:t>
        </w:r>
      </w:hyperlink>
      <w:r w:rsidR="00C576CE" w:rsidRPr="006A0C4B">
        <w:t xml:space="preserve"> paper</w:t>
      </w:r>
      <w:r w:rsidR="00C576CE">
        <w:rPr>
          <w:rStyle w:val="FootnoteReference"/>
        </w:rPr>
        <w:footnoteReference w:id="78"/>
      </w:r>
      <w:r w:rsidR="00C576CE" w:rsidRPr="006A0C4B">
        <w:t xml:space="preserve"> that was published with</w:t>
      </w:r>
      <w:r w:rsidR="005B614C" w:rsidRPr="006A0C4B">
        <w:t xml:space="preserve"> the </w:t>
      </w:r>
      <w:r w:rsidR="005B614C">
        <w:t>Energy W</w:t>
      </w:r>
      <w:r w:rsidR="005B614C" w:rsidRPr="006A0C4B">
        <w:t xml:space="preserve">hite </w:t>
      </w:r>
      <w:r w:rsidR="00C576CE" w:rsidRPr="006A0C4B">
        <w:t>paper</w:t>
      </w:r>
      <w:r w:rsidR="005B614C">
        <w:t>)</w:t>
      </w:r>
      <w:r w:rsidR="000A36A8">
        <w:t xml:space="preserve">. </w:t>
      </w:r>
    </w:p>
    <w:p w14:paraId="5632786A" w14:textId="43E683E4" w:rsidR="003D15A4" w:rsidRPr="003D15A4" w:rsidRDefault="00757492" w:rsidP="009229B3">
      <w:pPr>
        <w:pStyle w:val="Numberedparagraphs"/>
      </w:pPr>
      <w:r>
        <w:t xml:space="preserve">The </w:t>
      </w:r>
      <w:r w:rsidR="00F94344">
        <w:t>Average</w:t>
      </w:r>
      <w:r>
        <w:t xml:space="preserve"> Prices and Bills Model </w:t>
      </w:r>
      <w:r w:rsidR="003444C6">
        <w:t>(APBM)</w:t>
      </w:r>
      <w:r>
        <w:t xml:space="preserve"> </w:t>
      </w:r>
      <w:r w:rsidR="00B92627">
        <w:t xml:space="preserve">uses outputs from models across </w:t>
      </w:r>
      <w:r w:rsidR="007C6560">
        <w:t>government</w:t>
      </w:r>
      <w:r w:rsidR="00B92627">
        <w:t xml:space="preserve">, including the DDM, to provide estimates of the impact of </w:t>
      </w:r>
      <w:r w:rsidR="007C6560">
        <w:t>government</w:t>
      </w:r>
      <w:r w:rsidR="00B92627">
        <w:t xml:space="preserve"> policies on energy prices and bills for different consumers.</w:t>
      </w:r>
      <w:r w:rsidR="003444C6">
        <w:t xml:space="preserve"> It covers both electricity and gas for domestic and non-domestic consumers.</w:t>
      </w:r>
    </w:p>
    <w:p w14:paraId="28FD3C4B" w14:textId="425FA480" w:rsidR="003444C6" w:rsidRDefault="003444C6" w:rsidP="009229B3">
      <w:pPr>
        <w:pStyle w:val="Numberedparagraphs"/>
      </w:pPr>
      <w:r>
        <w:t>The APBM relies on exogenous assumptions and inputs, and can be sensitive to changes in these assumptions. Key ones include</w:t>
      </w:r>
      <w:r w:rsidR="00C501FB">
        <w:t xml:space="preserve"> electricity demand (for the purposes of this modelling aligned with UK demand derived from UKTM), average consumer demand</w:t>
      </w:r>
      <w:r w:rsidR="001B46AE">
        <w:t xml:space="preserve"> and</w:t>
      </w:r>
      <w:r w:rsidR="00C501FB">
        <w:t xml:space="preserve"> policy/funding decisions</w:t>
      </w:r>
      <w:r w:rsidR="001B46AE">
        <w:t>.</w:t>
      </w:r>
    </w:p>
    <w:p w14:paraId="2475F9D4" w14:textId="77777777" w:rsidR="00F40821" w:rsidRDefault="00F40821" w:rsidP="00DE5FB0">
      <w:pPr>
        <w:pStyle w:val="Heading3"/>
        <w:rPr>
          <w:sz w:val="28"/>
          <w:szCs w:val="28"/>
        </w:rPr>
      </w:pPr>
      <w:bookmarkStart w:id="64" w:name="_Toc67051856"/>
    </w:p>
    <w:p w14:paraId="2B7247AC" w14:textId="77777777" w:rsidR="00F40821" w:rsidRPr="00F40821" w:rsidRDefault="00F40821" w:rsidP="00F40821">
      <w:pPr>
        <w:pStyle w:val="EBBodyPara"/>
      </w:pPr>
    </w:p>
    <w:p w14:paraId="48BBCB61" w14:textId="77777777" w:rsidR="00F40821" w:rsidRDefault="00F40821" w:rsidP="00DE5FB0">
      <w:pPr>
        <w:pStyle w:val="Heading3"/>
        <w:rPr>
          <w:sz w:val="28"/>
          <w:szCs w:val="28"/>
        </w:rPr>
      </w:pPr>
    </w:p>
    <w:p w14:paraId="43D8F013" w14:textId="77777777" w:rsidR="00F40821" w:rsidRPr="00F40821" w:rsidRDefault="00F40821" w:rsidP="00F40821">
      <w:pPr>
        <w:pStyle w:val="EBBodyPara"/>
      </w:pPr>
    </w:p>
    <w:p w14:paraId="0B63A625" w14:textId="4586992C" w:rsidR="003E4ED0" w:rsidRPr="00B346F8" w:rsidRDefault="007E6F08" w:rsidP="00DE5FB0">
      <w:pPr>
        <w:pStyle w:val="Heading3"/>
        <w:rPr>
          <w:sz w:val="28"/>
          <w:szCs w:val="28"/>
        </w:rPr>
      </w:pPr>
      <w:r w:rsidRPr="00B346F8">
        <w:rPr>
          <w:sz w:val="28"/>
          <w:szCs w:val="28"/>
        </w:rPr>
        <w:lastRenderedPageBreak/>
        <w:t xml:space="preserve">A.5 </w:t>
      </w:r>
      <w:r w:rsidR="00652EE8" w:rsidRPr="00B346F8">
        <w:rPr>
          <w:sz w:val="28"/>
          <w:szCs w:val="28"/>
        </w:rPr>
        <w:t xml:space="preserve">Natural </w:t>
      </w:r>
      <w:r w:rsidR="00B71DA5" w:rsidRPr="00B346F8">
        <w:rPr>
          <w:sz w:val="28"/>
          <w:szCs w:val="28"/>
        </w:rPr>
        <w:t>capital</w:t>
      </w:r>
      <w:bookmarkEnd w:id="64"/>
      <w:r w:rsidR="00B71DA5" w:rsidRPr="00B346F8">
        <w:rPr>
          <w:sz w:val="28"/>
          <w:szCs w:val="28"/>
        </w:rPr>
        <w:t xml:space="preserve"> </w:t>
      </w:r>
    </w:p>
    <w:p w14:paraId="0A5C0E48" w14:textId="5614E5DC" w:rsidR="002B1357" w:rsidRDefault="009420AC" w:rsidP="009229B3">
      <w:pPr>
        <w:pStyle w:val="Numberedparagraphs"/>
      </w:pPr>
      <w:r>
        <w:t xml:space="preserve">A more detailed breakdown of the natural capital impacts described in section 2.6 is provided here. </w:t>
      </w:r>
    </w:p>
    <w:p w14:paraId="4F6A73B4" w14:textId="52D690A6" w:rsidR="002B1357" w:rsidRDefault="002B1357" w:rsidP="00B346F8">
      <w:pPr>
        <w:pStyle w:val="Heading4"/>
        <w:spacing w:after="200"/>
        <w:rPr>
          <w:szCs w:val="24"/>
          <w:u w:val="single"/>
        </w:rPr>
      </w:pPr>
      <w:r w:rsidRPr="00B346F8">
        <w:rPr>
          <w:szCs w:val="24"/>
        </w:rPr>
        <w:t>Quantified natural capital impacts</w:t>
      </w:r>
    </w:p>
    <w:p w14:paraId="16A30B32" w14:textId="290CDCE0" w:rsidR="00E31A20" w:rsidRDefault="00647C4B" w:rsidP="005A7000">
      <w:pPr>
        <w:pStyle w:val="Numberedparagraphs"/>
      </w:pPr>
      <w:r>
        <w:t xml:space="preserve">Some </w:t>
      </w:r>
      <w:r w:rsidR="00D475B4">
        <w:t xml:space="preserve">natural capital impacts have been taken into account in the cost benefit analysis and are included in the headline NPVs. Table </w:t>
      </w:r>
      <w:r w:rsidR="003E18E3">
        <w:t>A6</w:t>
      </w:r>
      <w:r w:rsidR="00D475B4">
        <w:t xml:space="preserve"> provides a breakdown of these</w:t>
      </w:r>
      <w:r w:rsidR="006E14D3">
        <w:t xml:space="preserve">. These values refer to analysis of the CCC </w:t>
      </w:r>
      <w:r w:rsidR="00090CBE">
        <w:t xml:space="preserve">sixth carbon budget </w:t>
      </w:r>
      <w:r w:rsidR="006E14D3">
        <w:t>level under the core pathway.</w:t>
      </w:r>
    </w:p>
    <w:p w14:paraId="216A2D54" w14:textId="123E4D81" w:rsidR="00B02ED0" w:rsidRPr="006A0C4B" w:rsidRDefault="001B709F" w:rsidP="00BF7799">
      <w:pPr>
        <w:rPr>
          <w:i/>
        </w:rPr>
      </w:pPr>
      <w:r w:rsidRPr="006A0C4B">
        <w:rPr>
          <w:i/>
        </w:rPr>
        <w:t>Table</w:t>
      </w:r>
      <w:r w:rsidR="00B02ED0" w:rsidRPr="006A0C4B">
        <w:rPr>
          <w:i/>
        </w:rPr>
        <w:t xml:space="preserve"> </w:t>
      </w:r>
      <w:r w:rsidR="00B02ED0" w:rsidRPr="006A0C4B">
        <w:rPr>
          <w:i/>
          <w:iCs/>
        </w:rPr>
        <w:t>A</w:t>
      </w:r>
      <w:r w:rsidR="006B06A2">
        <w:rPr>
          <w:i/>
          <w:iCs/>
        </w:rPr>
        <w:t>6</w:t>
      </w:r>
      <w:r w:rsidRPr="006A0C4B">
        <w:rPr>
          <w:i/>
        </w:rPr>
        <w:t>: Summary of quantified natural capital impacts</w:t>
      </w:r>
    </w:p>
    <w:p w14:paraId="6C568009" w14:textId="77777777" w:rsidR="00F40821" w:rsidRPr="006A0C4B" w:rsidRDefault="00F40821" w:rsidP="00BF7799">
      <w:pPr>
        <w:rPr>
          <w:i/>
        </w:rPr>
      </w:pPr>
    </w:p>
    <w:tbl>
      <w:tblPr>
        <w:tblStyle w:val="TableGrid"/>
        <w:tblW w:w="0" w:type="auto"/>
        <w:tblLook w:val="04A0" w:firstRow="1" w:lastRow="0" w:firstColumn="1" w:lastColumn="0" w:noHBand="0" w:noVBand="1"/>
      </w:tblPr>
      <w:tblGrid>
        <w:gridCol w:w="2572"/>
        <w:gridCol w:w="2581"/>
        <w:gridCol w:w="2733"/>
        <w:gridCol w:w="2309"/>
      </w:tblGrid>
      <w:tr w:rsidR="00711012" w14:paraId="4B0CCCBB" w14:textId="4AC91F42" w:rsidTr="00711012">
        <w:tc>
          <w:tcPr>
            <w:tcW w:w="2572" w:type="dxa"/>
          </w:tcPr>
          <w:p w14:paraId="350F36A9" w14:textId="6C15CDE0" w:rsidR="00711012" w:rsidRPr="0071483C" w:rsidRDefault="00711012" w:rsidP="002B1357">
            <w:pPr>
              <w:pStyle w:val="EBBodyPara"/>
              <w:rPr>
                <w:b/>
                <w:sz w:val="24"/>
                <w:szCs w:val="24"/>
              </w:rPr>
            </w:pPr>
            <w:r w:rsidRPr="0071483C">
              <w:rPr>
                <w:b/>
                <w:sz w:val="24"/>
                <w:szCs w:val="24"/>
              </w:rPr>
              <w:t>Natural capital pillar</w:t>
            </w:r>
          </w:p>
        </w:tc>
        <w:tc>
          <w:tcPr>
            <w:tcW w:w="2581" w:type="dxa"/>
          </w:tcPr>
          <w:p w14:paraId="23B0CA09" w14:textId="6E474E64" w:rsidR="00711012" w:rsidRPr="0071483C" w:rsidRDefault="00711012" w:rsidP="002B1357">
            <w:pPr>
              <w:pStyle w:val="EBBodyPara"/>
              <w:rPr>
                <w:b/>
                <w:sz w:val="24"/>
                <w:szCs w:val="24"/>
              </w:rPr>
            </w:pPr>
            <w:r w:rsidRPr="0071483C">
              <w:rPr>
                <w:b/>
                <w:sz w:val="24"/>
                <w:szCs w:val="24"/>
              </w:rPr>
              <w:t>Net present value</w:t>
            </w:r>
          </w:p>
        </w:tc>
        <w:tc>
          <w:tcPr>
            <w:tcW w:w="2733" w:type="dxa"/>
          </w:tcPr>
          <w:p w14:paraId="5043908A" w14:textId="2867F632" w:rsidR="00711012" w:rsidRPr="0071483C" w:rsidRDefault="00711012" w:rsidP="002B1357">
            <w:pPr>
              <w:pStyle w:val="EBBodyPara"/>
              <w:rPr>
                <w:b/>
                <w:sz w:val="24"/>
                <w:szCs w:val="24"/>
              </w:rPr>
            </w:pPr>
            <w:r w:rsidRPr="0071483C">
              <w:rPr>
                <w:b/>
                <w:sz w:val="24"/>
                <w:szCs w:val="24"/>
              </w:rPr>
              <w:t>Positive contributing policies</w:t>
            </w:r>
          </w:p>
        </w:tc>
        <w:tc>
          <w:tcPr>
            <w:tcW w:w="2309" w:type="dxa"/>
          </w:tcPr>
          <w:p w14:paraId="20C10BD5" w14:textId="604F860B" w:rsidR="00711012" w:rsidRPr="0071483C" w:rsidRDefault="00711012" w:rsidP="002B1357">
            <w:pPr>
              <w:pStyle w:val="EBBodyPara"/>
              <w:rPr>
                <w:b/>
                <w:sz w:val="24"/>
                <w:szCs w:val="24"/>
              </w:rPr>
            </w:pPr>
            <w:r w:rsidRPr="0071483C">
              <w:rPr>
                <w:b/>
                <w:sz w:val="24"/>
                <w:szCs w:val="24"/>
              </w:rPr>
              <w:t>Negative contributing policies</w:t>
            </w:r>
          </w:p>
        </w:tc>
      </w:tr>
      <w:tr w:rsidR="00711012" w14:paraId="02179EA3" w14:textId="1FAA957E" w:rsidTr="0050111B">
        <w:tc>
          <w:tcPr>
            <w:tcW w:w="2572" w:type="dxa"/>
          </w:tcPr>
          <w:p w14:paraId="45171087" w14:textId="7764EF7E" w:rsidR="00711012" w:rsidRDefault="00711012" w:rsidP="002B1357">
            <w:pPr>
              <w:pStyle w:val="EBBodyPara"/>
              <w:rPr>
                <w:sz w:val="24"/>
                <w:szCs w:val="24"/>
              </w:rPr>
            </w:pPr>
            <w:r>
              <w:rPr>
                <w:sz w:val="24"/>
                <w:szCs w:val="24"/>
              </w:rPr>
              <w:t>Air quality</w:t>
            </w:r>
          </w:p>
        </w:tc>
        <w:tc>
          <w:tcPr>
            <w:tcW w:w="2581" w:type="dxa"/>
          </w:tcPr>
          <w:p w14:paraId="20E1E8C8" w14:textId="07A40152" w:rsidR="00711012" w:rsidRDefault="0038158C" w:rsidP="002B1357">
            <w:pPr>
              <w:pStyle w:val="EBBodyPara"/>
              <w:rPr>
                <w:sz w:val="24"/>
                <w:szCs w:val="24"/>
              </w:rPr>
            </w:pPr>
            <w:r>
              <w:rPr>
                <w:sz w:val="24"/>
                <w:szCs w:val="24"/>
              </w:rPr>
              <w:t>£</w:t>
            </w:r>
            <w:r w:rsidR="00D4011E">
              <w:rPr>
                <w:sz w:val="24"/>
                <w:szCs w:val="24"/>
              </w:rPr>
              <w:t>34.</w:t>
            </w:r>
            <w:r w:rsidR="00BB0D53">
              <w:rPr>
                <w:sz w:val="24"/>
                <w:szCs w:val="24"/>
              </w:rPr>
              <w:t>7bn</w:t>
            </w:r>
          </w:p>
        </w:tc>
        <w:tc>
          <w:tcPr>
            <w:tcW w:w="2733" w:type="dxa"/>
            <w:shd w:val="clear" w:color="auto" w:fill="auto"/>
          </w:tcPr>
          <w:p w14:paraId="15ABFD0D" w14:textId="39D368F4" w:rsidR="00711012" w:rsidRPr="005905D0" w:rsidRDefault="0050111B" w:rsidP="002B1357">
            <w:pPr>
              <w:pStyle w:val="EBBodyPara"/>
              <w:rPr>
                <w:color w:val="auto"/>
                <w:sz w:val="24"/>
                <w:szCs w:val="24"/>
              </w:rPr>
            </w:pPr>
            <w:r w:rsidRPr="005905D0">
              <w:rPr>
                <w:sz w:val="24"/>
                <w:szCs w:val="24"/>
              </w:rPr>
              <w:t>Shipping, reduced fuel combustion for power, transport and buildings, agricultural practice reform</w:t>
            </w:r>
          </w:p>
        </w:tc>
        <w:tc>
          <w:tcPr>
            <w:tcW w:w="2309" w:type="dxa"/>
          </w:tcPr>
          <w:p w14:paraId="6E35BB91" w14:textId="631B23F0" w:rsidR="00711012" w:rsidRPr="0050111B" w:rsidRDefault="0050111B" w:rsidP="002B1357">
            <w:pPr>
              <w:pStyle w:val="EBBodyPara"/>
              <w:rPr>
                <w:color w:val="auto"/>
                <w:sz w:val="24"/>
                <w:szCs w:val="24"/>
              </w:rPr>
            </w:pPr>
            <w:r>
              <w:rPr>
                <w:sz w:val="24"/>
                <w:szCs w:val="24"/>
              </w:rPr>
              <w:t>Anaerobic digestion, increased industrial pollutants, biomass use</w:t>
            </w:r>
          </w:p>
        </w:tc>
      </w:tr>
      <w:tr w:rsidR="00711012" w14:paraId="70ED82B8" w14:textId="1488E91F" w:rsidTr="00711012">
        <w:tc>
          <w:tcPr>
            <w:tcW w:w="2572" w:type="dxa"/>
          </w:tcPr>
          <w:p w14:paraId="5F2D8E8E" w14:textId="203F1997" w:rsidR="00711012" w:rsidRDefault="004A56D9" w:rsidP="002B1357">
            <w:pPr>
              <w:pStyle w:val="EBBodyPara"/>
              <w:rPr>
                <w:sz w:val="24"/>
                <w:szCs w:val="24"/>
              </w:rPr>
            </w:pPr>
            <w:r>
              <w:rPr>
                <w:sz w:val="24"/>
                <w:szCs w:val="24"/>
              </w:rPr>
              <w:t>Water quality and quantity</w:t>
            </w:r>
          </w:p>
        </w:tc>
        <w:tc>
          <w:tcPr>
            <w:tcW w:w="2581" w:type="dxa"/>
          </w:tcPr>
          <w:p w14:paraId="71C2D865" w14:textId="7CB0B326" w:rsidR="00711012" w:rsidRDefault="0038158C" w:rsidP="002B1357">
            <w:pPr>
              <w:pStyle w:val="EBBodyPara"/>
              <w:rPr>
                <w:sz w:val="24"/>
                <w:szCs w:val="24"/>
              </w:rPr>
            </w:pPr>
            <w:r>
              <w:rPr>
                <w:sz w:val="24"/>
                <w:szCs w:val="24"/>
              </w:rPr>
              <w:t>£</w:t>
            </w:r>
            <w:r w:rsidR="00255095">
              <w:rPr>
                <w:sz w:val="24"/>
                <w:szCs w:val="24"/>
              </w:rPr>
              <w:t>3.1bn</w:t>
            </w:r>
          </w:p>
        </w:tc>
        <w:tc>
          <w:tcPr>
            <w:tcW w:w="2733" w:type="dxa"/>
          </w:tcPr>
          <w:p w14:paraId="5AF4805E" w14:textId="66B1EB88" w:rsidR="00711012" w:rsidRPr="0050111B" w:rsidRDefault="0050111B" w:rsidP="002B1357">
            <w:pPr>
              <w:pStyle w:val="EBBodyPara"/>
              <w:rPr>
                <w:color w:val="auto"/>
                <w:sz w:val="24"/>
                <w:szCs w:val="24"/>
              </w:rPr>
            </w:pPr>
            <w:r>
              <w:rPr>
                <w:sz w:val="24"/>
                <w:szCs w:val="24"/>
              </w:rPr>
              <w:t>Agricultural soil improvement and peat restoration</w:t>
            </w:r>
          </w:p>
        </w:tc>
        <w:tc>
          <w:tcPr>
            <w:tcW w:w="2309" w:type="dxa"/>
          </w:tcPr>
          <w:p w14:paraId="6363FE09" w14:textId="77777777" w:rsidR="00711012" w:rsidRPr="0050111B" w:rsidRDefault="00711012" w:rsidP="002B1357">
            <w:pPr>
              <w:pStyle w:val="EBBodyPara"/>
              <w:rPr>
                <w:color w:val="auto"/>
                <w:sz w:val="24"/>
                <w:szCs w:val="24"/>
              </w:rPr>
            </w:pPr>
          </w:p>
        </w:tc>
      </w:tr>
      <w:tr w:rsidR="004A56D9" w14:paraId="695AE132" w14:textId="77777777" w:rsidTr="00711012">
        <w:tc>
          <w:tcPr>
            <w:tcW w:w="2572" w:type="dxa"/>
          </w:tcPr>
          <w:p w14:paraId="2CF96556" w14:textId="39B44399" w:rsidR="004A56D9" w:rsidRDefault="004A56D9" w:rsidP="002B1357">
            <w:pPr>
              <w:pStyle w:val="EBBodyPara"/>
              <w:rPr>
                <w:sz w:val="24"/>
                <w:szCs w:val="24"/>
              </w:rPr>
            </w:pPr>
            <w:r>
              <w:rPr>
                <w:sz w:val="24"/>
                <w:szCs w:val="24"/>
              </w:rPr>
              <w:t>Biodiversity</w:t>
            </w:r>
          </w:p>
        </w:tc>
        <w:tc>
          <w:tcPr>
            <w:tcW w:w="2581" w:type="dxa"/>
          </w:tcPr>
          <w:p w14:paraId="76B15F18" w14:textId="704B664F" w:rsidR="004A56D9" w:rsidRDefault="00255095" w:rsidP="002B1357">
            <w:pPr>
              <w:pStyle w:val="EBBodyPara"/>
              <w:rPr>
                <w:sz w:val="24"/>
                <w:szCs w:val="24"/>
              </w:rPr>
            </w:pPr>
            <w:r>
              <w:rPr>
                <w:sz w:val="24"/>
                <w:szCs w:val="24"/>
              </w:rPr>
              <w:t>£0.5bn</w:t>
            </w:r>
          </w:p>
        </w:tc>
        <w:tc>
          <w:tcPr>
            <w:tcW w:w="2733" w:type="dxa"/>
          </w:tcPr>
          <w:p w14:paraId="0D9A072B" w14:textId="7177DFB9" w:rsidR="004A56D9" w:rsidRPr="0050111B" w:rsidRDefault="004A56D9" w:rsidP="002B1357">
            <w:pPr>
              <w:pStyle w:val="EBBodyPara"/>
              <w:rPr>
                <w:color w:val="auto"/>
                <w:sz w:val="24"/>
                <w:szCs w:val="24"/>
              </w:rPr>
            </w:pPr>
            <w:r w:rsidRPr="0050111B">
              <w:rPr>
                <w:rStyle w:val="normaltextrun"/>
                <w:rFonts w:eastAsiaTheme="majorEastAsia"/>
                <w:color w:val="auto"/>
                <w:sz w:val="24"/>
                <w:szCs w:val="24"/>
                <w:bdr w:val="none" w:sz="0" w:space="0" w:color="auto" w:frame="1"/>
              </w:rPr>
              <w:t>Afforestation</w:t>
            </w:r>
          </w:p>
        </w:tc>
        <w:tc>
          <w:tcPr>
            <w:tcW w:w="2309" w:type="dxa"/>
          </w:tcPr>
          <w:p w14:paraId="6911C261" w14:textId="77777777" w:rsidR="004A56D9" w:rsidRPr="0050111B" w:rsidRDefault="004A56D9" w:rsidP="002B1357">
            <w:pPr>
              <w:pStyle w:val="EBBodyPara"/>
              <w:rPr>
                <w:color w:val="auto"/>
                <w:sz w:val="24"/>
                <w:szCs w:val="24"/>
              </w:rPr>
            </w:pPr>
          </w:p>
        </w:tc>
      </w:tr>
      <w:tr w:rsidR="004A56D9" w14:paraId="09D51598" w14:textId="77777777" w:rsidTr="00711012">
        <w:tc>
          <w:tcPr>
            <w:tcW w:w="2572" w:type="dxa"/>
          </w:tcPr>
          <w:p w14:paraId="0665B061" w14:textId="5F86773D" w:rsidR="004A56D9" w:rsidRDefault="004A56D9" w:rsidP="002B1357">
            <w:pPr>
              <w:pStyle w:val="EBBodyPara"/>
              <w:rPr>
                <w:sz w:val="24"/>
                <w:szCs w:val="24"/>
              </w:rPr>
            </w:pPr>
            <w:r>
              <w:rPr>
                <w:sz w:val="24"/>
                <w:szCs w:val="24"/>
              </w:rPr>
              <w:t>Recreation</w:t>
            </w:r>
          </w:p>
        </w:tc>
        <w:tc>
          <w:tcPr>
            <w:tcW w:w="2581" w:type="dxa"/>
          </w:tcPr>
          <w:p w14:paraId="062C27B3" w14:textId="33257AAB" w:rsidR="004A56D9" w:rsidRDefault="00255095" w:rsidP="002B1357">
            <w:pPr>
              <w:pStyle w:val="EBBodyPara"/>
              <w:rPr>
                <w:sz w:val="24"/>
                <w:szCs w:val="24"/>
              </w:rPr>
            </w:pPr>
            <w:r>
              <w:rPr>
                <w:sz w:val="24"/>
                <w:szCs w:val="24"/>
              </w:rPr>
              <w:t>£0.9bn</w:t>
            </w:r>
          </w:p>
        </w:tc>
        <w:tc>
          <w:tcPr>
            <w:tcW w:w="2733" w:type="dxa"/>
          </w:tcPr>
          <w:p w14:paraId="66FBA2D1" w14:textId="31DE46A2" w:rsidR="004A56D9" w:rsidRPr="0050111B" w:rsidRDefault="004A56D9" w:rsidP="002B1357">
            <w:pPr>
              <w:pStyle w:val="EBBodyPara"/>
              <w:rPr>
                <w:color w:val="auto"/>
                <w:sz w:val="24"/>
                <w:szCs w:val="24"/>
              </w:rPr>
            </w:pPr>
            <w:r w:rsidRPr="0050111B">
              <w:rPr>
                <w:rStyle w:val="normaltextrun"/>
                <w:rFonts w:eastAsiaTheme="majorEastAsia"/>
                <w:color w:val="auto"/>
                <w:sz w:val="24"/>
                <w:szCs w:val="24"/>
                <w:bdr w:val="none" w:sz="0" w:space="0" w:color="auto" w:frame="1"/>
              </w:rPr>
              <w:t>Afforestation</w:t>
            </w:r>
          </w:p>
        </w:tc>
        <w:tc>
          <w:tcPr>
            <w:tcW w:w="2309" w:type="dxa"/>
          </w:tcPr>
          <w:p w14:paraId="5EA20CE2" w14:textId="77777777" w:rsidR="004A56D9" w:rsidRPr="0050111B" w:rsidRDefault="004A56D9" w:rsidP="002B1357">
            <w:pPr>
              <w:pStyle w:val="EBBodyPara"/>
              <w:rPr>
                <w:color w:val="auto"/>
                <w:sz w:val="24"/>
                <w:szCs w:val="24"/>
              </w:rPr>
            </w:pPr>
          </w:p>
        </w:tc>
      </w:tr>
      <w:tr w:rsidR="00711012" w14:paraId="096DD9A7" w14:textId="7155191A" w:rsidTr="00711012">
        <w:tc>
          <w:tcPr>
            <w:tcW w:w="2572" w:type="dxa"/>
          </w:tcPr>
          <w:p w14:paraId="62BCAE40" w14:textId="5EEBBAD4" w:rsidR="00711012" w:rsidRDefault="004A56D9" w:rsidP="002B1357">
            <w:pPr>
              <w:pStyle w:val="EBBodyPara"/>
              <w:rPr>
                <w:sz w:val="24"/>
                <w:szCs w:val="24"/>
              </w:rPr>
            </w:pPr>
            <w:r>
              <w:rPr>
                <w:sz w:val="24"/>
                <w:szCs w:val="24"/>
              </w:rPr>
              <w:t>Flood management</w:t>
            </w:r>
            <w:r w:rsidR="00255095">
              <w:rPr>
                <w:sz w:val="24"/>
                <w:szCs w:val="24"/>
              </w:rPr>
              <w:t xml:space="preserve"> and landscape</w:t>
            </w:r>
          </w:p>
        </w:tc>
        <w:tc>
          <w:tcPr>
            <w:tcW w:w="2581" w:type="dxa"/>
          </w:tcPr>
          <w:p w14:paraId="7B75AC2E" w14:textId="64148BEB" w:rsidR="00711012" w:rsidRDefault="00255095" w:rsidP="002B1357">
            <w:pPr>
              <w:pStyle w:val="EBBodyPara"/>
              <w:rPr>
                <w:sz w:val="24"/>
                <w:szCs w:val="24"/>
              </w:rPr>
            </w:pPr>
            <w:r>
              <w:rPr>
                <w:sz w:val="24"/>
                <w:szCs w:val="24"/>
              </w:rPr>
              <w:t>£0.8bn</w:t>
            </w:r>
          </w:p>
        </w:tc>
        <w:tc>
          <w:tcPr>
            <w:tcW w:w="2733" w:type="dxa"/>
          </w:tcPr>
          <w:p w14:paraId="6C5B663B" w14:textId="5131E230" w:rsidR="00711012" w:rsidRPr="0050111B" w:rsidRDefault="0050111B" w:rsidP="002B1357">
            <w:pPr>
              <w:pStyle w:val="EBBodyPara"/>
              <w:rPr>
                <w:color w:val="auto"/>
                <w:sz w:val="24"/>
                <w:szCs w:val="24"/>
              </w:rPr>
            </w:pPr>
            <w:r>
              <w:rPr>
                <w:sz w:val="24"/>
                <w:szCs w:val="24"/>
              </w:rPr>
              <w:t>Afforestation and energy forestry</w:t>
            </w:r>
          </w:p>
        </w:tc>
        <w:tc>
          <w:tcPr>
            <w:tcW w:w="2309" w:type="dxa"/>
          </w:tcPr>
          <w:p w14:paraId="68B0DE79" w14:textId="77777777" w:rsidR="00711012" w:rsidRPr="0050111B" w:rsidRDefault="00711012" w:rsidP="002B1357">
            <w:pPr>
              <w:pStyle w:val="EBBodyPara"/>
              <w:rPr>
                <w:color w:val="auto"/>
                <w:sz w:val="24"/>
                <w:szCs w:val="24"/>
              </w:rPr>
            </w:pPr>
          </w:p>
        </w:tc>
      </w:tr>
    </w:tbl>
    <w:p w14:paraId="474CEBD9" w14:textId="602F9BAC" w:rsidR="002B1357" w:rsidRPr="00B346F8" w:rsidRDefault="002B1357" w:rsidP="00B346F8">
      <w:pPr>
        <w:pStyle w:val="Heading4"/>
        <w:rPr>
          <w:rFonts w:eastAsia="Humnst777 Lt BT"/>
          <w:szCs w:val="24"/>
          <w:lang w:val="en-US"/>
        </w:rPr>
      </w:pPr>
      <w:r w:rsidRPr="00B346F8">
        <w:rPr>
          <w:rFonts w:eastAsia="Humnst777 Lt BT"/>
          <w:szCs w:val="24"/>
          <w:lang w:val="en-US"/>
        </w:rPr>
        <w:t>Cross-cutting: Land-use trade-offs</w:t>
      </w:r>
    </w:p>
    <w:p w14:paraId="54E69B2E" w14:textId="75CD653E" w:rsidR="002B1357" w:rsidRPr="00E47880" w:rsidRDefault="002B1357" w:rsidP="009229B3">
      <w:pPr>
        <w:pStyle w:val="Numberedparagraphs"/>
        <w:rPr>
          <w:lang w:val="en-US"/>
        </w:rPr>
      </w:pPr>
      <w:r w:rsidRPr="002B1357">
        <w:rPr>
          <w:lang w:val="en-US"/>
        </w:rPr>
        <w:t xml:space="preserve">Land is a finite resource. Predicting exactly how land use will change in order to meet future demands for food, energy, resources, housing, recreation, biodiversity, waste, nature and emissions abatement, is challenging even where policy levers are established. Meeting </w:t>
      </w:r>
      <w:r w:rsidR="00BF7C0A">
        <w:rPr>
          <w:lang w:val="en-US"/>
        </w:rPr>
        <w:t>the sixth carbon budget</w:t>
      </w:r>
      <w:r w:rsidRPr="002B1357">
        <w:rPr>
          <w:lang w:val="en-US"/>
        </w:rPr>
        <w:t xml:space="preserve"> will require significant and competing demands from land, resulting in large changes to its use and management. </w:t>
      </w:r>
    </w:p>
    <w:p w14:paraId="141E1BA3" w14:textId="23E778CE" w:rsidR="00090CBE" w:rsidRPr="002B1357" w:rsidRDefault="002B1357" w:rsidP="009229B3">
      <w:pPr>
        <w:pStyle w:val="Numberedparagraphs"/>
      </w:pPr>
      <w:r w:rsidRPr="002B1357">
        <w:rPr>
          <w:lang w:val="en-US"/>
        </w:rPr>
        <w:t>Such levels of land use change could impact how we produce our food, urban developments and nature, with knock-on effects for other land use types and agriculture. Land use will be under pressure for conversion to lower carbon land uses and management regimes. For example, there are competing demands for different types of natural carbon dioxide removal technologies such as tree planting, biomass or peatland restoration. This will involve trade-offs between different grades of land, conversion to other uses, and environmental values such as biodiversity and landscapes, in order to meet population needs and targets.</w:t>
      </w:r>
    </w:p>
    <w:p w14:paraId="15A4A67E" w14:textId="02124511" w:rsidR="002B1357" w:rsidRPr="00B346F8" w:rsidRDefault="004D662E" w:rsidP="004D662E">
      <w:pPr>
        <w:pStyle w:val="Heading4"/>
        <w:rPr>
          <w:rFonts w:eastAsia="Humnst777 Lt BT"/>
          <w:szCs w:val="24"/>
        </w:rPr>
      </w:pPr>
      <w:r w:rsidRPr="00B346F8">
        <w:rPr>
          <w:rFonts w:eastAsia="Humnst777 Lt BT"/>
          <w:szCs w:val="24"/>
        </w:rPr>
        <w:t>Recreation and amenity</w:t>
      </w:r>
    </w:p>
    <w:p w14:paraId="2E801B40" w14:textId="166472BD" w:rsidR="002B1357" w:rsidRDefault="002B1357" w:rsidP="009229B3">
      <w:pPr>
        <w:pStyle w:val="Numberedparagraphs"/>
      </w:pPr>
      <w:r w:rsidRPr="002B1357">
        <w:t xml:space="preserve">Achieving </w:t>
      </w:r>
      <w:r w:rsidR="00BF7C0A">
        <w:t>the sixth carbon budget</w:t>
      </w:r>
      <w:r w:rsidRPr="002B1357">
        <w:t xml:space="preserve"> could have positive impacts for recreation and amenity, with a transition to a low carbon economy providing spaces to enjoy nature as well as likely increasing tree planting for bioremediation and forestry more widely (where access permitted), peatland restoration and green transport. Demand for land use change may have negative impacts on access to green space, recreation and amenity </w:t>
      </w:r>
      <w:r w:rsidRPr="002B1357">
        <w:lastRenderedPageBreak/>
        <w:t xml:space="preserve">value, and therefore mitigating actions and trade-offs should be considered when determining the suite of policies for reaching </w:t>
      </w:r>
      <w:r w:rsidR="00BF7C0A">
        <w:t>the sixth carbon budget</w:t>
      </w:r>
      <w:r w:rsidRPr="002B1357">
        <w:t>. For example, large industrial plants associated with GGRs, solar and wind could impact visual, amenity value and add to noise pollution.</w:t>
      </w:r>
    </w:p>
    <w:p w14:paraId="07E5DD4A" w14:textId="47588C4D" w:rsidR="002B1357" w:rsidRPr="00B346F8" w:rsidRDefault="002B1357" w:rsidP="00B346F8">
      <w:pPr>
        <w:pStyle w:val="Heading4"/>
        <w:spacing w:after="200"/>
        <w:rPr>
          <w:rFonts w:eastAsia="Humnst777 Lt BT"/>
          <w:szCs w:val="24"/>
        </w:rPr>
      </w:pPr>
      <w:r w:rsidRPr="00B346F8">
        <w:rPr>
          <w:rFonts w:eastAsia="Humnst777 Lt BT"/>
          <w:szCs w:val="24"/>
          <w:lang w:val="en-US"/>
        </w:rPr>
        <w:t>Air Quality</w:t>
      </w:r>
      <w:r w:rsidRPr="00B346F8">
        <w:rPr>
          <w:rFonts w:eastAsia="Humnst777 Lt BT"/>
          <w:szCs w:val="24"/>
        </w:rPr>
        <w:t xml:space="preserve">  </w:t>
      </w:r>
      <w:r w:rsidRPr="00B346F8">
        <w:rPr>
          <w:rFonts w:eastAsia="Humnst777 Lt BT"/>
          <w:color w:val="D13438"/>
          <w:szCs w:val="24"/>
        </w:rPr>
        <w:t xml:space="preserve"> </w:t>
      </w:r>
      <w:r w:rsidRPr="00B346F8">
        <w:rPr>
          <w:rFonts w:eastAsia="Humnst777 Lt BT"/>
          <w:szCs w:val="24"/>
        </w:rPr>
        <w:t xml:space="preserve"> </w:t>
      </w:r>
    </w:p>
    <w:p w14:paraId="6BC0806E" w14:textId="26D551DD" w:rsidR="002B1357" w:rsidRPr="00A5392C" w:rsidRDefault="002B1357" w:rsidP="009229B3">
      <w:pPr>
        <w:pStyle w:val="Numberedparagraphs"/>
      </w:pPr>
      <w:r w:rsidRPr="002B1357">
        <w:t xml:space="preserve">The </w:t>
      </w:r>
      <w:r w:rsidR="007C6560">
        <w:t>Government</w:t>
      </w:r>
      <w:r w:rsidRPr="002B1357">
        <w:t xml:space="preserve"> is subject to legally binding air pollutants emissions ceiling obligations (i.e., the National Emission Ceilings Regulations, 2018)</w:t>
      </w:r>
      <w:r w:rsidR="00963BCB">
        <w:rPr>
          <w:rStyle w:val="FootnoteReference"/>
          <w:rFonts w:eastAsia="Humnst777 Lt BT"/>
        </w:rPr>
        <w:footnoteReference w:id="79"/>
      </w:r>
      <w:r w:rsidRPr="002B1357">
        <w:t xml:space="preserve">. Overall, achieving </w:t>
      </w:r>
      <w:r w:rsidR="00BF7C0A">
        <w:t>the sixth carbon budget</w:t>
      </w:r>
      <w:r w:rsidRPr="002B1357">
        <w:t xml:space="preserve"> will reduce emissions of several air pollutants as climate change and air pollution are strongly related and have many of the same contributing emission sources. </w:t>
      </w:r>
      <w:r w:rsidR="00D4011E">
        <w:t>T</w:t>
      </w:r>
      <w:r w:rsidR="00BF7C0A">
        <w:t>he sixth carbon budget</w:t>
      </w:r>
      <w:r w:rsidRPr="002B1357">
        <w:t xml:space="preserve"> </w:t>
      </w:r>
      <w:r w:rsidR="005B1083">
        <w:t>will have</w:t>
      </w:r>
      <w:r w:rsidRPr="002B1357">
        <w:t xml:space="preserve"> impacts in areas such as transport, buildings (related to energy efficiency measures, heat pumps etc.), and switching from fossil fuel combustion to wind and solar power will significantly reduce emissions of NOx, fine particulate matter (PM2.5), NMVOCs and SO2</w:t>
      </w:r>
      <w:r w:rsidRPr="00A5392C">
        <w:t>.</w:t>
      </w:r>
    </w:p>
    <w:p w14:paraId="530BF1AC" w14:textId="740291CC" w:rsidR="002B1357" w:rsidRPr="002B1357" w:rsidRDefault="002B1357" w:rsidP="009229B3">
      <w:pPr>
        <w:pStyle w:val="Numberedparagraphs"/>
      </w:pPr>
      <w:r w:rsidRPr="002B1357">
        <w:t xml:space="preserve">However, there is a significant risk over the lifetime of net zero policy delivery that the specific policies chosen could be detrimental to the </w:t>
      </w:r>
      <w:r w:rsidR="007C6560">
        <w:t>Government</w:t>
      </w:r>
      <w:r w:rsidRPr="002B1357">
        <w:t xml:space="preserve">’s ceiling obligations, Clean Air Strategy, and 25 Year Plan targets commitments. There is a risk that the health of the public may also be negatively impacted, in some cases and in some areas. </w:t>
      </w:r>
      <w:r w:rsidRPr="00BC1AC8">
        <w:t>This is particularly the case for</w:t>
      </w:r>
      <w:r w:rsidR="00BC1AC8" w:rsidRPr="00BC1AC8">
        <w:t>:</w:t>
      </w:r>
    </w:p>
    <w:p w14:paraId="2AF7B7FA" w14:textId="77777777" w:rsidR="009D090A" w:rsidRPr="0071483C" w:rsidRDefault="002B1357" w:rsidP="00B346F8">
      <w:pPr>
        <w:pStyle w:val="Bullets"/>
        <w:ind w:left="1494"/>
      </w:pPr>
      <w:r w:rsidRPr="0071483C">
        <w:t xml:space="preserve">Ammonia emission from the production of biogas and biomethane using anaerobic digestion. Reducing ammonia emissions is a priority because it is detrimental to ecosystems, reduces biodiversity and impacts peatlands’ ability to store carbon; when in the atmosphere, it can deposit more nitrogen onto soils, plants and freshwaters than they can cope with, as well as impacting human health by contributing to the formation of fine particulate matter. It will also result in significant irreversible biodiversity declines in particular ecosystems. Therefore, mitigating technology to reduce emissions is necessary, at any level of </w:t>
      </w:r>
      <w:r w:rsidR="00BF7C0A" w:rsidRPr="0071483C">
        <w:t>the sixth carbon budget</w:t>
      </w:r>
      <w:r w:rsidRPr="0071483C">
        <w:t xml:space="preserve"> that relies on anaerobic digestion plants, in order to meet the UK’s legally binding ammonia reduction target for 2030. Mitigation technology will also help achieve CC targets, as well as biodiversity targets set out in the 25 Year Environment Plan and the Leader’s Pledge for Nature.</w:t>
      </w:r>
    </w:p>
    <w:p w14:paraId="0A3F8308" w14:textId="3F25DF63" w:rsidR="002B1357" w:rsidRPr="0071483C" w:rsidRDefault="002B1357" w:rsidP="00B346F8">
      <w:pPr>
        <w:pStyle w:val="Bullets"/>
        <w:spacing w:after="240"/>
        <w:ind w:left="1494"/>
      </w:pPr>
      <w:r w:rsidRPr="0071483C">
        <w:t>Biomass for electricity production and for heating. There is a risk of increased emissions of NOx and PM2.5 from unabated biomass combustion</w:t>
      </w:r>
      <w:r w:rsidR="005B1083" w:rsidRPr="0071483C">
        <w:t>.</w:t>
      </w:r>
      <w:r w:rsidRPr="0071483C">
        <w:t xml:space="preserve"> </w:t>
      </w:r>
    </w:p>
    <w:p w14:paraId="33E33FAF" w14:textId="7A231597" w:rsidR="007E4D31" w:rsidRPr="007E4D31" w:rsidRDefault="009726F4" w:rsidP="009229B3">
      <w:pPr>
        <w:pStyle w:val="Numberedparagraphs"/>
      </w:pPr>
      <w:r w:rsidRPr="009726F4">
        <w:t xml:space="preserve">These risks have been </w:t>
      </w:r>
      <w:r w:rsidR="00857972">
        <w:t>included in</w:t>
      </w:r>
      <w:r w:rsidRPr="009726F4">
        <w:t xml:space="preserve"> the cost benefit analysis</w:t>
      </w:r>
      <w:r w:rsidR="005B1083">
        <w:t xml:space="preserve"> in section 2.6.</w:t>
      </w:r>
    </w:p>
    <w:p w14:paraId="09E3805C" w14:textId="4E8272AA" w:rsidR="002B1357" w:rsidRPr="002B1357" w:rsidRDefault="002B1357" w:rsidP="009229B3">
      <w:pPr>
        <w:pStyle w:val="Numberedparagraphs"/>
      </w:pPr>
      <w:r w:rsidRPr="002B1357">
        <w:t xml:space="preserve">Ongoing consideration of the potential impacts of air pollutants at a local scale is needed. While overall emissions </w:t>
      </w:r>
      <w:r w:rsidR="00173840" w:rsidRPr="00173840">
        <w:t>reductions</w:t>
      </w:r>
      <w:r w:rsidRPr="002B1357">
        <w:t xml:space="preserve"> is an overall indicator of progress in air quality, it is not an effective indicator in reducing the impacts of pollution which are influenced by the local concentrations of pollution in closer proximity to sensitive ecosystems or centres of population. Although modelling suggests that in the main, with the exceptions cited above, air pollutant emissions will be lower at a national scale, it is possible that place-based hotspots of ammonia, particulates or the secondary pollutant ozone could be inadvertently generated. If more localised concentration increases of these pollutants occurs, this will result in unintended human health, ecosystem</w:t>
      </w:r>
      <w:r w:rsidR="00D217BE">
        <w:t>,</w:t>
      </w:r>
      <w:r w:rsidRPr="002B1357">
        <w:t xml:space="preserve"> and therefore economic impacts.</w:t>
      </w:r>
    </w:p>
    <w:p w14:paraId="75A1747B" w14:textId="023244E4" w:rsidR="00F40821" w:rsidRDefault="00F40821" w:rsidP="009229B3">
      <w:pPr>
        <w:pStyle w:val="Numberedparagraphs"/>
        <w:numPr>
          <w:ilvl w:val="0"/>
          <w:numId w:val="0"/>
        </w:numPr>
        <w:ind w:left="720"/>
      </w:pPr>
    </w:p>
    <w:p w14:paraId="05700F2B" w14:textId="7C46252D" w:rsidR="002B1357" w:rsidRPr="005A7000" w:rsidRDefault="002B1357" w:rsidP="005A7000">
      <w:pPr>
        <w:pStyle w:val="Heading4"/>
        <w:spacing w:after="240"/>
        <w:rPr>
          <w:rFonts w:eastAsia="Humnst777 Lt BT"/>
          <w:szCs w:val="24"/>
        </w:rPr>
      </w:pPr>
      <w:r w:rsidRPr="00B346F8">
        <w:rPr>
          <w:rFonts w:eastAsia="Humnst777 Lt BT"/>
          <w:szCs w:val="24"/>
        </w:rPr>
        <w:lastRenderedPageBreak/>
        <w:t>Water Quality and Quantity</w:t>
      </w:r>
    </w:p>
    <w:p w14:paraId="7E33CC23" w14:textId="7C1FB4B9" w:rsidR="002B1357" w:rsidRPr="002B1357" w:rsidRDefault="002B1357" w:rsidP="009229B3">
      <w:pPr>
        <w:pStyle w:val="Numberedparagraphs"/>
      </w:pPr>
      <w:r w:rsidRPr="002B1357">
        <w:t xml:space="preserve">Whilst many policies </w:t>
      </w:r>
      <w:r w:rsidR="005B1083">
        <w:t>reduce</w:t>
      </w:r>
      <w:r w:rsidRPr="002B1357">
        <w:t xml:space="preserve"> water demand, some low carbon technologies are water-intensive and large-scale implementation could mean unsustainable demand. For example, nuclear power, CCS and hydrogen production require high levels of water input for cooling and electrolysis respectively. Further, although land management and some productivity options are likely to have positive impacts on water quality by reducing nutrient leaching and sedimentation through reduced soil erosion, overall intensification of agricultural production is likely to create additional water quality and usage pressures, including for the marine environment. </w:t>
      </w:r>
      <w:r w:rsidR="00BE2A74" w:rsidRPr="434235AB">
        <w:rPr>
          <w:rFonts w:cs="Arial"/>
          <w:color w:val="auto"/>
        </w:rPr>
        <w:t>Furthermore</w:t>
      </w:r>
      <w:r w:rsidR="00FE661A" w:rsidRPr="434235AB">
        <w:rPr>
          <w:rFonts w:cs="Arial"/>
          <w:color w:val="auto"/>
        </w:rPr>
        <w:t>,</w:t>
      </w:r>
      <w:r w:rsidR="00BE2A74" w:rsidRPr="006A0C4B">
        <w:rPr>
          <w:rFonts w:cs="Arial"/>
          <w:color w:val="auto"/>
        </w:rPr>
        <w:t xml:space="preserve"> the impact, in many cases local, of the proposed afforestation/biomass planting rates on water resources/availability needs to be noted, given the higher water use of trees, particularly fast-growing and productive woodland, over other land covers.</w:t>
      </w:r>
      <w:r w:rsidR="00BE2A74" w:rsidRPr="006A0C4B">
        <w:rPr>
          <w:rFonts w:ascii="Calibri" w:hAnsi="Calibri" w:cs="Calibri"/>
          <w:color w:val="auto"/>
        </w:rPr>
        <w:t> </w:t>
      </w:r>
      <w:r w:rsidRPr="002B1357">
        <w:t>Additionally, innovative options such as Anaerobic Digestion can have negative impacts on water quality if not handled carefully, particularly through the increase of nutrients on the overall available land bank</w:t>
      </w:r>
      <w:r w:rsidR="00F95A41">
        <w:t>.</w:t>
      </w:r>
    </w:p>
    <w:p w14:paraId="2DE71F92" w14:textId="34F664F3" w:rsidR="002B1357" w:rsidRPr="002B1357" w:rsidRDefault="002B1357" w:rsidP="009229B3">
      <w:pPr>
        <w:pStyle w:val="Numberedparagraphs"/>
      </w:pPr>
      <w:r w:rsidRPr="002B1357">
        <w:t xml:space="preserve">This is set against a backdrop of increasing global water scarcity in a changing climate. Therefore, water demand both regionally and nationally should be considered at a systems level when considering the suite of policy options to meet </w:t>
      </w:r>
      <w:r w:rsidR="00BF7C0A">
        <w:t>the sixth carbon budget</w:t>
      </w:r>
      <w:r w:rsidRPr="002B1357">
        <w:t xml:space="preserve">, to ensure sustainable demand. Alongside this, the suite of policies chosen to reach </w:t>
      </w:r>
      <w:r w:rsidR="00BF7C0A">
        <w:t>the sixth carbon budget</w:t>
      </w:r>
      <w:r w:rsidRPr="002B1357">
        <w:t xml:space="preserve"> may have positive and negative impacts on water quality, and these should be assessed on a case-by-case basis and mitigating actions taken where necessary.</w:t>
      </w:r>
    </w:p>
    <w:p w14:paraId="7EDB3B16" w14:textId="67D66E2D" w:rsidR="002B1357" w:rsidRPr="00B346F8" w:rsidRDefault="002B1357" w:rsidP="00B346F8">
      <w:pPr>
        <w:pStyle w:val="Heading4"/>
        <w:spacing w:after="200"/>
        <w:rPr>
          <w:rFonts w:eastAsia="Humnst777 Lt BT"/>
          <w:szCs w:val="24"/>
        </w:rPr>
      </w:pPr>
      <w:r w:rsidRPr="00B346F8">
        <w:rPr>
          <w:rFonts w:eastAsia="Humnst777 Lt BT"/>
          <w:szCs w:val="24"/>
        </w:rPr>
        <w:t>Biodiversity – terrestrial and marine</w:t>
      </w:r>
    </w:p>
    <w:p w14:paraId="2156F3BC" w14:textId="77777777" w:rsidR="00855A4D" w:rsidRDefault="002B1357" w:rsidP="009229B3">
      <w:pPr>
        <w:pStyle w:val="Numberedparagraphs"/>
      </w:pPr>
      <w:r w:rsidRPr="002B1357">
        <w:t xml:space="preserve">In the long-term, the level of </w:t>
      </w:r>
      <w:r w:rsidR="00BF7C0A">
        <w:t>the sixth carbon budget</w:t>
      </w:r>
      <w:r w:rsidRPr="002B1357">
        <w:t xml:space="preserve"> can be positive for biodiversity (marine and terrestrial), including habitat restoration, connectivity, resilience and reducing ecological stress caused by climate change. However, biodiversity and habitats are spatially and climatically explicit, meaning locations and extent of future policies may have negative impacts, including displacement, noise pollution and habitat loss. Mitigating actions and trade-offs should be considered when determining the suite of policies for reaching </w:t>
      </w:r>
      <w:r w:rsidR="00BF7C0A">
        <w:t>the sixth carbon budget</w:t>
      </w:r>
      <w:r w:rsidRPr="002B1357">
        <w:t>, including for low carbon technologies, GGRs, marine policies, land management and agricultural intensification.</w:t>
      </w:r>
      <w:r w:rsidR="00525660">
        <w:t xml:space="preserve"> </w:t>
      </w:r>
    </w:p>
    <w:p w14:paraId="41028ED7" w14:textId="050E7FF7" w:rsidR="002B1357" w:rsidRPr="002B1357" w:rsidRDefault="00855A4D" w:rsidP="009229B3">
      <w:pPr>
        <w:pStyle w:val="Numberedparagraphs"/>
      </w:pPr>
      <w:r w:rsidRPr="006A0C4B">
        <w:t>The Dasgupta review</w:t>
      </w:r>
      <w:r w:rsidR="00A65D6E">
        <w:rPr>
          <w:rStyle w:val="FootnoteReference"/>
        </w:rPr>
        <w:footnoteReference w:id="80"/>
      </w:r>
      <w:r w:rsidRPr="006A0C4B">
        <w:t xml:space="preserve"> highlights that our economies, livelihoods and well-being all depend on nature and</w:t>
      </w:r>
      <w:r w:rsidR="007A104F">
        <w:t>,</w:t>
      </w:r>
      <w:r w:rsidRPr="006A0C4B">
        <w:t xml:space="preserve"> in particular, biodiversity. Engaging with nature sustainably starts with understanding and accepting a simple truth: our economies are embedded within </w:t>
      </w:r>
      <w:r w:rsidR="000857E5">
        <w:t>n</w:t>
      </w:r>
      <w:r w:rsidRPr="006A0C4B">
        <w:t xml:space="preserve">ature, not external to it. The review provides a comprehensive review on the economics of biodiversity and sets a precedent for </w:t>
      </w:r>
      <w:r w:rsidR="007C6560">
        <w:t>government</w:t>
      </w:r>
      <w:r w:rsidRPr="006A0C4B">
        <w:t xml:space="preserve"> analysis on incorporating all natural capital impacts</w:t>
      </w:r>
      <w:r w:rsidRPr="00AD7AFC">
        <w:t>.</w:t>
      </w:r>
    </w:p>
    <w:p w14:paraId="07E88361" w14:textId="0BD16EC0" w:rsidR="002B1357" w:rsidRPr="00B346F8" w:rsidRDefault="002B1357" w:rsidP="00B346F8">
      <w:pPr>
        <w:pStyle w:val="Heading4"/>
        <w:spacing w:after="200"/>
        <w:rPr>
          <w:rFonts w:eastAsia="Humnst777 Lt BT"/>
          <w:sz w:val="2420"/>
          <w:szCs w:val="2420"/>
        </w:rPr>
      </w:pPr>
      <w:r w:rsidRPr="00B346F8">
        <w:rPr>
          <w:rFonts w:eastAsia="Humnst777 Lt BT"/>
          <w:szCs w:val="24"/>
        </w:rPr>
        <w:t>Raw Materials, Resource Efficiency and Waste</w:t>
      </w:r>
    </w:p>
    <w:p w14:paraId="7E04CF4A" w14:textId="24B4065E" w:rsidR="002B1357" w:rsidRPr="002B1357" w:rsidRDefault="002B1357" w:rsidP="009229B3">
      <w:pPr>
        <w:pStyle w:val="Numberedparagraphs"/>
      </w:pPr>
      <w:r w:rsidRPr="002B1357">
        <w:t xml:space="preserve">Materials are finite. Some low carbon technologies </w:t>
      </w:r>
      <w:r w:rsidR="00F95A41">
        <w:t>are dependent</w:t>
      </w:r>
      <w:r w:rsidRPr="002B1357">
        <w:t xml:space="preserve"> on critical raw materials, many of which are rare, found in unique locations and in high demand globally. There are risks associated with overreliance on specific technologies where raw material scarcity may grow and geopolitics may determine access, for example, rare earth elements</w:t>
      </w:r>
      <w:r w:rsidR="00620E40" w:rsidRPr="00620E40">
        <w:t xml:space="preserve"> such as neodymium for use in magnets.</w:t>
      </w:r>
    </w:p>
    <w:p w14:paraId="19914CC9" w14:textId="6583BCF9" w:rsidR="002B1357" w:rsidRPr="002B1357" w:rsidRDefault="002B1357" w:rsidP="009229B3">
      <w:pPr>
        <w:pStyle w:val="Numberedparagraphs"/>
      </w:pPr>
      <w:r w:rsidRPr="002B1357">
        <w:t xml:space="preserve">Resource extraction and processing have significant negative impacts on natural capital assets. Natural resource use is currently heavily correlated with consumption demands. Therefore, where pathways to meet </w:t>
      </w:r>
      <w:r w:rsidR="00BF7C0A">
        <w:t>the sixth carbon budget</w:t>
      </w:r>
      <w:r w:rsidRPr="002B1357">
        <w:t xml:space="preserve"> include policies to improve </w:t>
      </w:r>
      <w:r w:rsidRPr="002B1357">
        <w:lastRenderedPageBreak/>
        <w:t>resource efficiency (to prevent waste) and increase recycling rates, it could have the dual positive impact of decreasing embodied natural capital costs and carbon emissions in products and reducing those associated with waste management. Further, policies which keep critical raw materials in circulation for longer could alleviate pressure for more extensive mining.</w:t>
      </w:r>
    </w:p>
    <w:p w14:paraId="763B7B15" w14:textId="09F58F8D" w:rsidR="00AE4354" w:rsidRPr="00AE4354" w:rsidRDefault="002B1357" w:rsidP="009229B3">
      <w:pPr>
        <w:pStyle w:val="Numberedparagraphs"/>
      </w:pPr>
      <w:r w:rsidRPr="002B1357">
        <w:t>As biodegradable waste is diverted from landfill and use of AD increases, an increased amount of digestate will be generated. This should be rigorously assessed to establish its value for soil improvement and potential impacts on waterways.</w:t>
      </w:r>
    </w:p>
    <w:p w14:paraId="3B0AF824" w14:textId="77777777" w:rsidR="00F40821" w:rsidRDefault="00F40821" w:rsidP="008E4FB8">
      <w:pPr>
        <w:pStyle w:val="Heading3"/>
        <w:spacing w:after="200"/>
        <w:rPr>
          <w:sz w:val="28"/>
          <w:szCs w:val="28"/>
        </w:rPr>
      </w:pPr>
      <w:bookmarkStart w:id="65" w:name="_Toc67051857"/>
    </w:p>
    <w:p w14:paraId="20550297" w14:textId="77777777" w:rsidR="00F40821" w:rsidRDefault="00F40821" w:rsidP="008E4FB8">
      <w:pPr>
        <w:pStyle w:val="Heading3"/>
        <w:spacing w:after="200"/>
        <w:rPr>
          <w:sz w:val="28"/>
          <w:szCs w:val="28"/>
        </w:rPr>
      </w:pPr>
    </w:p>
    <w:p w14:paraId="5D9ECB00" w14:textId="77777777" w:rsidR="00F40821" w:rsidRDefault="00F40821" w:rsidP="008E4FB8">
      <w:pPr>
        <w:pStyle w:val="Heading3"/>
        <w:spacing w:after="200"/>
        <w:rPr>
          <w:sz w:val="28"/>
          <w:szCs w:val="28"/>
        </w:rPr>
      </w:pPr>
    </w:p>
    <w:p w14:paraId="76C14343" w14:textId="77777777" w:rsidR="00F40821" w:rsidRDefault="00F40821" w:rsidP="008E4FB8">
      <w:pPr>
        <w:pStyle w:val="Heading3"/>
        <w:spacing w:after="200"/>
        <w:rPr>
          <w:sz w:val="28"/>
          <w:szCs w:val="28"/>
        </w:rPr>
      </w:pPr>
    </w:p>
    <w:p w14:paraId="018DB3C1" w14:textId="77777777" w:rsidR="00F40821" w:rsidRDefault="00F40821" w:rsidP="00F40821">
      <w:pPr>
        <w:pStyle w:val="EBBodyPara"/>
      </w:pPr>
    </w:p>
    <w:p w14:paraId="07DA90D4" w14:textId="77777777" w:rsidR="00F40821" w:rsidRPr="00F40821" w:rsidRDefault="00F40821" w:rsidP="00F40821">
      <w:pPr>
        <w:pStyle w:val="EBBodyPara"/>
      </w:pPr>
    </w:p>
    <w:p w14:paraId="46286F24" w14:textId="77777777" w:rsidR="00F40821" w:rsidRDefault="00F40821" w:rsidP="008E4FB8">
      <w:pPr>
        <w:pStyle w:val="Heading3"/>
        <w:spacing w:after="200"/>
        <w:rPr>
          <w:sz w:val="28"/>
          <w:szCs w:val="28"/>
        </w:rPr>
      </w:pPr>
    </w:p>
    <w:p w14:paraId="6707326B" w14:textId="77777777" w:rsidR="00F40821" w:rsidRDefault="00F40821" w:rsidP="008E4FB8">
      <w:pPr>
        <w:pStyle w:val="Heading3"/>
        <w:spacing w:after="200"/>
        <w:rPr>
          <w:sz w:val="28"/>
          <w:szCs w:val="28"/>
        </w:rPr>
      </w:pPr>
    </w:p>
    <w:p w14:paraId="0C80F0F2" w14:textId="77777777" w:rsidR="00F40821" w:rsidRDefault="00F40821" w:rsidP="008E4FB8">
      <w:pPr>
        <w:pStyle w:val="Heading3"/>
        <w:spacing w:after="200"/>
        <w:rPr>
          <w:sz w:val="28"/>
          <w:szCs w:val="28"/>
        </w:rPr>
      </w:pPr>
    </w:p>
    <w:p w14:paraId="42EBCBC7" w14:textId="77777777" w:rsidR="00F40821" w:rsidRDefault="00F40821" w:rsidP="00F40821">
      <w:pPr>
        <w:pStyle w:val="EBBodyPara"/>
      </w:pPr>
    </w:p>
    <w:p w14:paraId="61362A63" w14:textId="77777777" w:rsidR="00F40821" w:rsidRPr="00F40821" w:rsidRDefault="00F40821" w:rsidP="00F40821">
      <w:pPr>
        <w:pStyle w:val="EBBodyPara"/>
      </w:pPr>
    </w:p>
    <w:p w14:paraId="6EB879BB" w14:textId="77777777" w:rsidR="00F40821" w:rsidRDefault="00F40821" w:rsidP="008E4FB8">
      <w:pPr>
        <w:pStyle w:val="Heading3"/>
        <w:spacing w:after="200"/>
        <w:rPr>
          <w:sz w:val="28"/>
          <w:szCs w:val="28"/>
        </w:rPr>
      </w:pPr>
    </w:p>
    <w:p w14:paraId="194F6D5D" w14:textId="77777777" w:rsidR="00F40821" w:rsidRPr="00F40821" w:rsidRDefault="00F40821" w:rsidP="00F40821">
      <w:pPr>
        <w:pStyle w:val="EBBodyPara"/>
      </w:pPr>
    </w:p>
    <w:p w14:paraId="75939045" w14:textId="77777777" w:rsidR="00F40821" w:rsidRDefault="00F40821" w:rsidP="008E4FB8">
      <w:pPr>
        <w:pStyle w:val="Heading3"/>
        <w:spacing w:after="200"/>
        <w:rPr>
          <w:sz w:val="28"/>
          <w:szCs w:val="28"/>
        </w:rPr>
      </w:pPr>
    </w:p>
    <w:p w14:paraId="1C6E2AD1" w14:textId="77777777" w:rsidR="00F40821" w:rsidRDefault="00F40821" w:rsidP="008E4FB8">
      <w:pPr>
        <w:pStyle w:val="Heading3"/>
        <w:spacing w:after="200"/>
        <w:rPr>
          <w:sz w:val="28"/>
          <w:szCs w:val="28"/>
        </w:rPr>
      </w:pPr>
    </w:p>
    <w:p w14:paraId="184BB3CE" w14:textId="77777777" w:rsidR="00F40821" w:rsidRDefault="00F40821" w:rsidP="008E4FB8">
      <w:pPr>
        <w:pStyle w:val="Heading3"/>
        <w:spacing w:after="200"/>
        <w:rPr>
          <w:sz w:val="28"/>
          <w:szCs w:val="28"/>
        </w:rPr>
      </w:pPr>
    </w:p>
    <w:p w14:paraId="12CE4770" w14:textId="77777777" w:rsidR="00F40821" w:rsidRDefault="00F40821" w:rsidP="00F40821">
      <w:pPr>
        <w:pStyle w:val="EBBodyPara"/>
      </w:pPr>
    </w:p>
    <w:p w14:paraId="2C921FB8" w14:textId="77777777" w:rsidR="00A11898" w:rsidRDefault="00A11898" w:rsidP="00F40821">
      <w:pPr>
        <w:pStyle w:val="EBBodyPara"/>
      </w:pPr>
    </w:p>
    <w:p w14:paraId="79FA188D" w14:textId="77777777" w:rsidR="00A11898" w:rsidRDefault="00A11898" w:rsidP="00F40821">
      <w:pPr>
        <w:pStyle w:val="EBBodyPara"/>
      </w:pPr>
    </w:p>
    <w:p w14:paraId="5A04EAC1" w14:textId="77777777" w:rsidR="00A11898" w:rsidRDefault="00A11898" w:rsidP="00F40821">
      <w:pPr>
        <w:pStyle w:val="EBBodyPara"/>
      </w:pPr>
    </w:p>
    <w:p w14:paraId="1472A833" w14:textId="77777777" w:rsidR="00A11898" w:rsidRDefault="00A11898" w:rsidP="00F40821">
      <w:pPr>
        <w:pStyle w:val="EBBodyPara"/>
      </w:pPr>
    </w:p>
    <w:p w14:paraId="5DAB9B41" w14:textId="77777777" w:rsidR="00F40821" w:rsidRPr="00F40821" w:rsidRDefault="00F40821" w:rsidP="00F40821">
      <w:pPr>
        <w:pStyle w:val="EBBodyPara"/>
      </w:pPr>
    </w:p>
    <w:p w14:paraId="6EAF7FD3" w14:textId="6C81F0FA" w:rsidR="00240DD0" w:rsidRPr="00B346F8" w:rsidRDefault="00E15193" w:rsidP="008E4FB8">
      <w:pPr>
        <w:pStyle w:val="Heading3"/>
        <w:spacing w:after="200"/>
        <w:rPr>
          <w:sz w:val="28"/>
          <w:szCs w:val="28"/>
        </w:rPr>
      </w:pPr>
      <w:r w:rsidRPr="00B346F8">
        <w:rPr>
          <w:sz w:val="28"/>
          <w:szCs w:val="28"/>
        </w:rPr>
        <w:lastRenderedPageBreak/>
        <w:t>A.</w:t>
      </w:r>
      <w:r w:rsidR="003E18E3" w:rsidRPr="00B346F8">
        <w:rPr>
          <w:sz w:val="28"/>
          <w:szCs w:val="28"/>
        </w:rPr>
        <w:t>6</w:t>
      </w:r>
      <w:r w:rsidRPr="00B346F8">
        <w:rPr>
          <w:sz w:val="28"/>
          <w:szCs w:val="28"/>
        </w:rPr>
        <w:t xml:space="preserve"> </w:t>
      </w:r>
      <w:r w:rsidR="001D0348" w:rsidRPr="00B346F8">
        <w:rPr>
          <w:sz w:val="28"/>
          <w:szCs w:val="28"/>
        </w:rPr>
        <w:t>Accounting for</w:t>
      </w:r>
      <w:r w:rsidR="00D338C6" w:rsidRPr="00B346F8">
        <w:rPr>
          <w:sz w:val="28"/>
          <w:szCs w:val="28"/>
        </w:rPr>
        <w:t xml:space="preserve"> Devolved Administrations</w:t>
      </w:r>
      <w:r w:rsidR="001D0348" w:rsidRPr="00B346F8">
        <w:rPr>
          <w:sz w:val="28"/>
          <w:szCs w:val="28"/>
        </w:rPr>
        <w:t>’ views and characteristics</w:t>
      </w:r>
      <w:bookmarkEnd w:id="65"/>
    </w:p>
    <w:p w14:paraId="2E537848" w14:textId="02224827" w:rsidR="00D338C6" w:rsidRDefault="00D338C6" w:rsidP="009229B3">
      <w:pPr>
        <w:pStyle w:val="Numberedparagraphs"/>
      </w:pPr>
      <w:r w:rsidRPr="00D338C6">
        <w:t>The Climate Change Act requires consideration of the “differences in circumstances between England, Wales, Scotland, and Northern Ireland”</w:t>
      </w:r>
      <w:r w:rsidR="009D090A">
        <w:t>.</w:t>
      </w:r>
      <w:r w:rsidRPr="00D338C6">
        <w:t xml:space="preserve"> Collectively Scotland, Wales, and Northern Ireland accounted for </w:t>
      </w:r>
      <w:r w:rsidR="00FC6337">
        <w:t>22</w:t>
      </w:r>
      <w:r w:rsidRPr="00D338C6">
        <w:t>% of UK emissions in</w:t>
      </w:r>
      <w:r>
        <w:t xml:space="preserve"> </w:t>
      </w:r>
      <w:r w:rsidR="00FC6337" w:rsidRPr="006A0C4B">
        <w:t>201</w:t>
      </w:r>
      <w:r w:rsidR="00FC6337" w:rsidRPr="00FC6337">
        <w:t>8</w:t>
      </w:r>
      <w:r w:rsidRPr="00D338C6">
        <w:t>.</w:t>
      </w:r>
      <w:r w:rsidR="00F339B2">
        <w:rPr>
          <w:rStyle w:val="FootnoteReference"/>
        </w:rPr>
        <w:footnoteReference w:id="81"/>
      </w:r>
      <w:r w:rsidRPr="00D338C6">
        <w:t xml:space="preserve"> </w:t>
      </w:r>
    </w:p>
    <w:p w14:paraId="460ECCBA" w14:textId="04729415" w:rsidR="002543D6" w:rsidRDefault="002543D6" w:rsidP="009229B3">
      <w:pPr>
        <w:pStyle w:val="Numberedparagraphs"/>
      </w:pPr>
      <w:r w:rsidRPr="00D338C6">
        <w:t>The Climate Change Act sets a long-term target to reduce emissions of GHG emissions by 100% in 2050 relative to 1990. Each of the Devolved Administrations are committed to the UK net zero commitment in the Climate Change Act, but the level of ambition through the carbon budgets and individual targets set by the nations can vary.</w:t>
      </w:r>
    </w:p>
    <w:p w14:paraId="6FBA4F9E" w14:textId="1F100F8D" w:rsidR="00D338C6" w:rsidRPr="00B346F8" w:rsidRDefault="002543D6" w:rsidP="00B346F8">
      <w:pPr>
        <w:pStyle w:val="Heading4"/>
        <w:spacing w:after="200"/>
        <w:rPr>
          <w:szCs w:val="24"/>
        </w:rPr>
      </w:pPr>
      <w:r w:rsidRPr="00B346F8">
        <w:rPr>
          <w:szCs w:val="24"/>
        </w:rPr>
        <w:t xml:space="preserve">Scottish </w:t>
      </w:r>
      <w:r w:rsidR="007C6560" w:rsidRPr="00B346F8">
        <w:rPr>
          <w:szCs w:val="24"/>
        </w:rPr>
        <w:t>Government</w:t>
      </w:r>
      <w:r w:rsidR="001D0348" w:rsidRPr="00B346F8">
        <w:rPr>
          <w:szCs w:val="24"/>
        </w:rPr>
        <w:t xml:space="preserve"> view</w:t>
      </w:r>
    </w:p>
    <w:p w14:paraId="7CDFAB28" w14:textId="49ED83AD" w:rsidR="00D338C6" w:rsidRDefault="00D338C6" w:rsidP="009229B3">
      <w:pPr>
        <w:pStyle w:val="Numberedparagraphs"/>
      </w:pPr>
      <w:r w:rsidRPr="00D338C6">
        <w:t xml:space="preserve">Scotland introduced its own legislative framework through the Climate Change (Scotland) Act 2009 and has an interim target to reduce emissions by 75% by 2030 relative to 1990 (including </w:t>
      </w:r>
      <w:r w:rsidR="00A57ED5">
        <w:t>IAS</w:t>
      </w:r>
      <w:r w:rsidRPr="00D338C6">
        <w:t xml:space="preserve">). The Act also requires the Scottish </w:t>
      </w:r>
      <w:r w:rsidR="007C6560">
        <w:t>Government</w:t>
      </w:r>
      <w:r w:rsidRPr="00D338C6">
        <w:t xml:space="preserve"> to set annual emission targets from 2010-2050 and requires reducing GHG emissions by 3% each year from 2020.</w:t>
      </w:r>
    </w:p>
    <w:p w14:paraId="106DC549" w14:textId="608481B6" w:rsidR="006A00AD" w:rsidRDefault="00123DD6" w:rsidP="009229B3">
      <w:pPr>
        <w:pStyle w:val="Numberedparagraphs"/>
      </w:pPr>
      <w:r>
        <w:t xml:space="preserve">The Scottish </w:t>
      </w:r>
      <w:r w:rsidR="007C6560">
        <w:t>government</w:t>
      </w:r>
      <w:r>
        <w:t xml:space="preserve"> </w:t>
      </w:r>
      <w:r w:rsidR="00102678">
        <w:t>considers the</w:t>
      </w:r>
      <w:r>
        <w:t xml:space="preserve"> CCC’s recommendation </w:t>
      </w:r>
      <w:r w:rsidR="006571C7">
        <w:t xml:space="preserve">(Option 3) </w:t>
      </w:r>
      <w:r>
        <w:t xml:space="preserve">the </w:t>
      </w:r>
      <w:r w:rsidR="00102678">
        <w:t>“</w:t>
      </w:r>
      <w:r>
        <w:t>minimum level of ambition</w:t>
      </w:r>
      <w:r w:rsidR="00102678">
        <w:t>”</w:t>
      </w:r>
      <w:r>
        <w:t xml:space="preserve"> at which the budget should be set</w:t>
      </w:r>
      <w:r w:rsidR="00A57ED5">
        <w:t>,</w:t>
      </w:r>
      <w:r w:rsidR="00A57ED5" w:rsidRPr="00A57ED5">
        <w:t xml:space="preserve"> </w:t>
      </w:r>
      <w:r w:rsidR="001D0348">
        <w:t xml:space="preserve">in order to </w:t>
      </w:r>
      <w:r w:rsidR="00A57ED5">
        <w:t>support the action needed in reserved areas to meet statutory emissions reduction targets</w:t>
      </w:r>
      <w:r w:rsidR="00102678">
        <w:t xml:space="preserve"> </w:t>
      </w:r>
      <w:r w:rsidR="001D0348">
        <w:t>set by the Scottish Parliament.</w:t>
      </w:r>
      <w:r w:rsidR="00102678">
        <w:t xml:space="preserve"> It also </w:t>
      </w:r>
      <w:r>
        <w:t>support</w:t>
      </w:r>
      <w:r w:rsidR="00102678">
        <w:t>s the</w:t>
      </w:r>
      <w:r>
        <w:t xml:space="preserve"> CCC position on carbon accounting, notably the inclusion of IAS emissions, in line with </w:t>
      </w:r>
      <w:r w:rsidR="00094015">
        <w:t xml:space="preserve">the </w:t>
      </w:r>
      <w:r>
        <w:t>approach already taken in Scotland</w:t>
      </w:r>
      <w:r w:rsidR="00102678">
        <w:t xml:space="preserve">. </w:t>
      </w:r>
      <w:r w:rsidR="001D0348">
        <w:t>Furthermore, it is of the view</w:t>
      </w:r>
      <w:r>
        <w:t xml:space="preserve"> that </w:t>
      </w:r>
      <w:r w:rsidR="00102678">
        <w:t>th</w:t>
      </w:r>
      <w:r w:rsidR="00A57ED5">
        <w:t>e</w:t>
      </w:r>
      <w:r w:rsidR="00102678">
        <w:t xml:space="preserve"> fifth carbon budget should be reset in law to align with the CCC’s recommended pathway to net zero in 2050, and the NDC level in 2030</w:t>
      </w:r>
      <w:r>
        <w:t>.</w:t>
      </w:r>
      <w:r w:rsidR="00102678">
        <w:t xml:space="preserve"> </w:t>
      </w:r>
    </w:p>
    <w:p w14:paraId="470DDCA4" w14:textId="79D0B8F6" w:rsidR="002543D6" w:rsidRPr="001D0348" w:rsidRDefault="002543D6" w:rsidP="006A0C4B">
      <w:pPr>
        <w:pStyle w:val="Heading4"/>
      </w:pPr>
      <w:r w:rsidRPr="001D0348">
        <w:t xml:space="preserve">Welsh </w:t>
      </w:r>
      <w:r w:rsidR="007C6560">
        <w:t>Government</w:t>
      </w:r>
      <w:r w:rsidR="001D0348">
        <w:t xml:space="preserve"> view</w:t>
      </w:r>
    </w:p>
    <w:p w14:paraId="6887C8AC" w14:textId="1D4E0133" w:rsidR="00D338C6" w:rsidRDefault="00A75DB9" w:rsidP="009229B3">
      <w:pPr>
        <w:pStyle w:val="Numberedparagraphs"/>
      </w:pPr>
      <w:r w:rsidRPr="00A75DB9">
        <w:t>Wales</w:t>
      </w:r>
      <w:r>
        <w:t xml:space="preserve"> has </w:t>
      </w:r>
      <w:r w:rsidR="003A04E7">
        <w:t>[</w:t>
      </w:r>
      <w:r w:rsidR="004376D6">
        <w:t>laid regulation</w:t>
      </w:r>
      <w:r w:rsidR="003A04E7">
        <w:t>s</w:t>
      </w:r>
      <w:r w:rsidR="004376D6">
        <w:t xml:space="preserve"> </w:t>
      </w:r>
      <w:r w:rsidR="003A04E7">
        <w:t xml:space="preserve">with a view to </w:t>
      </w:r>
      <w:r w:rsidRPr="008E4FB8">
        <w:t>update</w:t>
      </w:r>
      <w:r w:rsidR="003A04E7">
        <w:t>]</w:t>
      </w:r>
      <w:r>
        <w:t xml:space="preserve"> its</w:t>
      </w:r>
      <w:r w:rsidRPr="00A75DB9">
        <w:t xml:space="preserve"> </w:t>
      </w:r>
      <w:r w:rsidR="00094015">
        <w:t xml:space="preserve">own </w:t>
      </w:r>
      <w:r w:rsidRPr="00A75DB9">
        <w:t>statutory emissions reduction pathway</w:t>
      </w:r>
      <w:r w:rsidR="00CA067F">
        <w:t xml:space="preserve"> this year</w:t>
      </w:r>
      <w:r w:rsidRPr="00A75DB9">
        <w:t xml:space="preserve">, including </w:t>
      </w:r>
      <w:r w:rsidR="00CA067F">
        <w:t xml:space="preserve">to adopt </w:t>
      </w:r>
      <w:r w:rsidRPr="00A75DB9">
        <w:t>a new net zero target for 2050.</w:t>
      </w:r>
      <w:r w:rsidR="00CA067F">
        <w:t xml:space="preserve"> </w:t>
      </w:r>
      <w:r w:rsidR="00900BD4">
        <w:t>Its</w:t>
      </w:r>
      <w:r w:rsidR="00CA067F">
        <w:t xml:space="preserve"> interim targets include </w:t>
      </w:r>
      <w:r w:rsidR="00FA415E">
        <w:t>a 63%</w:t>
      </w:r>
      <w:r w:rsidR="00913BB3">
        <w:t xml:space="preserve"> </w:t>
      </w:r>
      <w:r w:rsidR="008852BE">
        <w:t xml:space="preserve">and </w:t>
      </w:r>
      <w:r w:rsidR="00900BD4">
        <w:t>89% reduction in GHG emissions by 2030 and 2040 respectively, compared to 1990 levels</w:t>
      </w:r>
      <w:r w:rsidR="00E77BAF">
        <w:t>.</w:t>
      </w:r>
      <w:r w:rsidR="00094015" w:rsidRPr="008E4FB8">
        <w:t xml:space="preserve"> </w:t>
      </w:r>
      <w:r w:rsidR="00094015" w:rsidRPr="00D338C6">
        <w:t xml:space="preserve">Wales </w:t>
      </w:r>
      <w:r w:rsidR="00094015">
        <w:t>also</w:t>
      </w:r>
      <w:r w:rsidR="00D338C6" w:rsidRPr="00D338C6">
        <w:t xml:space="preserve"> has a target to reduce GHG emissions by 3% each year from 2011, relative to a baseline of average emissions over 2006-2010.</w:t>
      </w:r>
    </w:p>
    <w:p w14:paraId="5B71A7B6" w14:textId="5FE12ED1" w:rsidR="00E54981" w:rsidRDefault="00FF53C8" w:rsidP="009229B3">
      <w:pPr>
        <w:pStyle w:val="Numberedparagraphs"/>
      </w:pPr>
      <w:r>
        <w:t xml:space="preserve">The Welsh </w:t>
      </w:r>
      <w:r w:rsidR="007C6560">
        <w:t>Government</w:t>
      </w:r>
      <w:r>
        <w:t xml:space="preserve"> </w:t>
      </w:r>
      <w:r w:rsidR="00A27334">
        <w:t>view is that the</w:t>
      </w:r>
      <w:r w:rsidR="006571C7">
        <w:t xml:space="preserve"> UK’s sixth carbon budget </w:t>
      </w:r>
      <w:r w:rsidR="006A00AD">
        <w:t xml:space="preserve">should </w:t>
      </w:r>
      <w:r w:rsidR="006571C7">
        <w:t>be set at the level recommended by the CCC (Option 3), consider</w:t>
      </w:r>
      <w:r w:rsidR="00A27334">
        <w:t>ing</w:t>
      </w:r>
      <w:r w:rsidR="006571C7">
        <w:t xml:space="preserve"> it </w:t>
      </w:r>
      <w:r w:rsidR="00A27334">
        <w:t>an important part of being</w:t>
      </w:r>
      <w:r w:rsidRPr="00FF53C8">
        <w:t xml:space="preserve"> consistent with Wales’s proposed new targets and carbon </w:t>
      </w:r>
      <w:r w:rsidR="00ED1F14">
        <w:t>budgets, while noting the influence the UK can</w:t>
      </w:r>
      <w:r w:rsidR="0072162E">
        <w:t xml:space="preserve"> </w:t>
      </w:r>
      <w:r w:rsidR="00ED1F14">
        <w:t>have internationally as it hosts COP26.</w:t>
      </w:r>
    </w:p>
    <w:p w14:paraId="48076E47" w14:textId="748CAEFE" w:rsidR="00E54981" w:rsidRDefault="00ED1F14" w:rsidP="009229B3">
      <w:pPr>
        <w:pStyle w:val="Numberedparagraphs"/>
      </w:pPr>
      <w:r>
        <w:t>Wales supports the CCC position on carbon accounting, most notably the inclusion of IAS emissions, in line with</w:t>
      </w:r>
      <w:r w:rsidR="00094015">
        <w:t xml:space="preserve"> the</w:t>
      </w:r>
      <w:r>
        <w:t xml:space="preserve"> approach already taken in </w:t>
      </w:r>
      <w:r w:rsidR="00EF259A">
        <w:t>Wales.</w:t>
      </w:r>
      <w:r>
        <w:t xml:space="preserve"> </w:t>
      </w:r>
      <w:r w:rsidR="00094015">
        <w:t xml:space="preserve">It </w:t>
      </w:r>
      <w:r w:rsidR="00EF259A">
        <w:t>is also</w:t>
      </w:r>
      <w:r>
        <w:t xml:space="preserve"> of the view that the fifth carbon budget should be reset in law to align with the CCC’s recommended pathway to net zero in 2050, and the NDC level in 2030.</w:t>
      </w:r>
    </w:p>
    <w:p w14:paraId="21B4F543" w14:textId="31F197EF" w:rsidR="002543D6" w:rsidRDefault="00E54981" w:rsidP="00BF7799">
      <w:pPr>
        <w:pStyle w:val="Heading4"/>
      </w:pPr>
      <w:r>
        <w:t>Northern Ireland view</w:t>
      </w:r>
    </w:p>
    <w:p w14:paraId="768002C4" w14:textId="015A0D20" w:rsidR="00E54981" w:rsidRPr="00CB4677" w:rsidRDefault="00D338C6" w:rsidP="009229B3">
      <w:pPr>
        <w:pStyle w:val="Numberedparagraphs"/>
      </w:pPr>
      <w:r w:rsidRPr="00D338C6">
        <w:t>Northern Ireland has a target to reduce GHG emissions by 35% (from 1990 levels) by 2025.</w:t>
      </w:r>
      <w:r w:rsidR="00D754E2" w:rsidRPr="00D754E2">
        <w:t xml:space="preserve"> </w:t>
      </w:r>
      <w:r w:rsidR="00D754E2" w:rsidRPr="434235AB">
        <w:t xml:space="preserve">It is considering advice from CCC on what would be considered Northern Ireland’s fair and equitable contribution to achieving UK </w:t>
      </w:r>
      <w:r w:rsidR="006312BC">
        <w:t>n</w:t>
      </w:r>
      <w:r w:rsidR="00D754E2" w:rsidRPr="434235AB">
        <w:t xml:space="preserve">et </w:t>
      </w:r>
      <w:r w:rsidR="006312BC">
        <w:t>z</w:t>
      </w:r>
      <w:r w:rsidR="00D754E2" w:rsidRPr="434235AB">
        <w:t>ero, which will guide the development of future climate change legislation.</w:t>
      </w:r>
    </w:p>
    <w:p w14:paraId="0AB9256D" w14:textId="77CC9219" w:rsidR="003F6031" w:rsidRPr="008B7AC0" w:rsidRDefault="00AD2937" w:rsidP="009229B3">
      <w:pPr>
        <w:pStyle w:val="Numberedparagraphs"/>
      </w:pPr>
      <w:r>
        <w:t>Northern Ireland</w:t>
      </w:r>
      <w:r w:rsidR="007959F9">
        <w:t xml:space="preserve"> is s</w:t>
      </w:r>
      <w:r w:rsidR="007959F9" w:rsidRPr="007959F9">
        <w:t>upportive of the</w:t>
      </w:r>
      <w:r w:rsidR="007959F9">
        <w:t xml:space="preserve"> CCC’s</w:t>
      </w:r>
      <w:r w:rsidR="007959F9" w:rsidRPr="007959F9">
        <w:t xml:space="preserve"> recommendation on the level of the </w:t>
      </w:r>
      <w:r w:rsidR="007959F9">
        <w:t>sixth carbon budget for the UK.</w:t>
      </w:r>
    </w:p>
    <w:sectPr w:rsidR="003F6031" w:rsidRPr="008B7AC0" w:rsidSect="006A50A8">
      <w:headerReference w:type="even" r:id="rId22"/>
      <w:footerReference w:type="default" r:id="rId23"/>
      <w:footnotePr>
        <w:numRestart w:val="eachSect"/>
      </w:footnotePr>
      <w:pgSz w:w="11907" w:h="16840" w:code="9"/>
      <w:pgMar w:top="680" w:right="851" w:bottom="680" w:left="851" w:header="284" w:footer="283"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25B59" w14:textId="77777777" w:rsidR="002B1584" w:rsidRDefault="002B1584">
      <w:r>
        <w:separator/>
      </w:r>
    </w:p>
  </w:endnote>
  <w:endnote w:type="continuationSeparator" w:id="0">
    <w:p w14:paraId="3F3E8FF6" w14:textId="77777777" w:rsidR="002B1584" w:rsidRDefault="002B1584">
      <w:r>
        <w:continuationSeparator/>
      </w:r>
    </w:p>
  </w:endnote>
  <w:endnote w:type="continuationNotice" w:id="1">
    <w:p w14:paraId="67CE501A" w14:textId="77777777" w:rsidR="002B1584" w:rsidRDefault="002B15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UI">
    <w:altName w:val="Segoe UI"/>
    <w:panose1 w:val="00000000000000000000"/>
    <w:charset w:val="00"/>
    <w:family w:val="swiss"/>
    <w:notTrueType/>
    <w:pitch w:val="default"/>
    <w:sig w:usb0="00000003" w:usb1="00000000" w:usb2="00000000" w:usb3="00000000" w:csb0="00000001" w:csb1="00000000"/>
  </w:font>
  <w:font w:name="Arial Bold">
    <w:altName w:val="Arial"/>
    <w:panose1 w:val="020B0704020202020204"/>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umnst777 Lt BT">
    <w:altName w:val="Calibri"/>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5BC29" w14:textId="52D6B3DC" w:rsidR="00D50448" w:rsidRDefault="00D504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708B" w14:textId="0624630E" w:rsidR="00D50448" w:rsidRPr="00EB43FD" w:rsidRDefault="00D50448" w:rsidP="005A3880">
    <w:pPr>
      <w:pStyle w:val="Footer"/>
    </w:pPr>
    <w:r w:rsidRPr="00EB43FD">
      <w:rPr>
        <w:rStyle w:val="PageNumber"/>
        <w:rFonts w:eastAsia="MS Mincho"/>
        <w:b w:val="0"/>
        <w:szCs w:val="18"/>
      </w:rPr>
      <w:fldChar w:fldCharType="begin"/>
    </w:r>
    <w:r w:rsidRPr="00EB43FD">
      <w:rPr>
        <w:rStyle w:val="PageNumber"/>
        <w:rFonts w:eastAsia="MS Mincho"/>
        <w:b w:val="0"/>
        <w:szCs w:val="18"/>
      </w:rPr>
      <w:instrText xml:space="preserve"> PAGE </w:instrText>
    </w:r>
    <w:r w:rsidRPr="00EB43FD">
      <w:rPr>
        <w:rStyle w:val="PageNumber"/>
        <w:rFonts w:eastAsia="MS Mincho"/>
        <w:b w:val="0"/>
        <w:szCs w:val="18"/>
      </w:rPr>
      <w:fldChar w:fldCharType="separate"/>
    </w:r>
    <w:r>
      <w:rPr>
        <w:rStyle w:val="PageNumber"/>
        <w:rFonts w:eastAsia="MS Mincho"/>
        <w:b w:val="0"/>
        <w:szCs w:val="18"/>
      </w:rPr>
      <w:t>1</w:t>
    </w:r>
    <w:r w:rsidRPr="00EB43FD">
      <w:rPr>
        <w:rStyle w:val="PageNumber"/>
        <w:rFonts w:eastAsia="MS Mincho"/>
        <w:b w:val="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3C603" w14:textId="6285B763" w:rsidR="00D50448" w:rsidRDefault="00D5044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FB72B" w14:textId="77777777" w:rsidR="00D50448" w:rsidRDefault="00D50448" w:rsidP="00A6485B">
    <w:pPr>
      <w:pStyle w:val="Footer"/>
      <w:jc w:val="left"/>
      <w:rPr>
        <w:rStyle w:val="PageNumber"/>
        <w:b w:val="0"/>
        <w:szCs w:val="18"/>
      </w:rPr>
    </w:pPr>
  </w:p>
  <w:p w14:paraId="28DEA0DF" w14:textId="3ED94794" w:rsidR="00D50448" w:rsidRPr="00EB43FD" w:rsidRDefault="00D50448" w:rsidP="000407D8">
    <w:pPr>
      <w:pStyle w:val="Footer"/>
    </w:pPr>
    <w:r w:rsidRPr="00EB43FD">
      <w:rPr>
        <w:rStyle w:val="PageNumber"/>
        <w:b w:val="0"/>
        <w:szCs w:val="18"/>
      </w:rPr>
      <w:fldChar w:fldCharType="begin"/>
    </w:r>
    <w:r w:rsidRPr="00EB43FD">
      <w:rPr>
        <w:rStyle w:val="PageNumber"/>
        <w:b w:val="0"/>
        <w:szCs w:val="18"/>
      </w:rPr>
      <w:instrText xml:space="preserve"> PAGE </w:instrText>
    </w:r>
    <w:r w:rsidRPr="00EB43FD">
      <w:rPr>
        <w:rStyle w:val="PageNumber"/>
        <w:b w:val="0"/>
        <w:szCs w:val="18"/>
      </w:rPr>
      <w:fldChar w:fldCharType="separate"/>
    </w:r>
    <w:r>
      <w:rPr>
        <w:rStyle w:val="PageNumber"/>
        <w:b w:val="0"/>
        <w:noProof/>
        <w:szCs w:val="18"/>
      </w:rPr>
      <w:t>3</w:t>
    </w:r>
    <w:r w:rsidRPr="00EB43FD">
      <w:rPr>
        <w:rStyle w:val="PageNumber"/>
        <w:b w:val="0"/>
        <w:szCs w:val="18"/>
      </w:rPr>
      <w:fldChar w:fldCharType="end"/>
    </w:r>
  </w:p>
  <w:p w14:paraId="7FCE54BD" w14:textId="77777777" w:rsidR="00D50448" w:rsidRDefault="00D50448"/>
  <w:p w14:paraId="2995CCAD" w14:textId="309BC0D9" w:rsidR="00D50448" w:rsidRDefault="00D50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DBAFC" w14:textId="77777777" w:rsidR="002B1584" w:rsidRDefault="002B1584">
      <w:r>
        <w:separator/>
      </w:r>
    </w:p>
  </w:footnote>
  <w:footnote w:type="continuationSeparator" w:id="0">
    <w:p w14:paraId="74FC6EE2" w14:textId="77777777" w:rsidR="002B1584" w:rsidRDefault="002B1584">
      <w:r>
        <w:continuationSeparator/>
      </w:r>
    </w:p>
  </w:footnote>
  <w:footnote w:type="continuationNotice" w:id="1">
    <w:p w14:paraId="35F4EEB1" w14:textId="77777777" w:rsidR="002B1584" w:rsidRDefault="002B1584"/>
  </w:footnote>
  <w:footnote w:id="2">
    <w:p w14:paraId="1163827A" w14:textId="56D6944B" w:rsidR="00D50448" w:rsidRDefault="00D50448">
      <w:pPr>
        <w:pStyle w:val="FootnoteText"/>
      </w:pPr>
      <w:r w:rsidRPr="006A0C4B">
        <w:rPr>
          <w:rStyle w:val="FootnoteReference"/>
          <w:sz w:val="16"/>
          <w:szCs w:val="16"/>
        </w:rPr>
        <w:footnoteRef/>
      </w:r>
      <w:r>
        <w:t xml:space="preserve"> </w:t>
      </w:r>
      <w:r w:rsidRPr="00456B0D">
        <w:t>The Climate Change Act also contains a mechanism for amending a carbon budget after it has been set, if it appears to the Secretary of State that significant changes have taken place that affect the basis on which the budget was set.</w:t>
      </w:r>
    </w:p>
  </w:footnote>
  <w:footnote w:id="3">
    <w:p w14:paraId="11136F3D" w14:textId="16D8CBE7" w:rsidR="00D50448" w:rsidRPr="0065303C" w:rsidRDefault="00D50448" w:rsidP="001C4454">
      <w:pPr>
        <w:autoSpaceDE w:val="0"/>
        <w:autoSpaceDN w:val="0"/>
        <w:adjustRightInd w:val="0"/>
        <w:spacing w:after="200"/>
        <w:rPr>
          <w:rFonts w:eastAsia="Calibri" w:cs="Arial"/>
          <w:b/>
          <w:color w:val="000000"/>
          <w:sz w:val="16"/>
          <w:szCs w:val="16"/>
          <w:lang w:eastAsia="en-US"/>
        </w:rPr>
      </w:pPr>
      <w:r w:rsidRPr="0065303C">
        <w:rPr>
          <w:rStyle w:val="FootnoteReference"/>
          <w:sz w:val="16"/>
          <w:szCs w:val="16"/>
        </w:rPr>
        <w:footnoteRef/>
      </w:r>
      <w:r w:rsidRPr="0065303C">
        <w:rPr>
          <w:sz w:val="16"/>
          <w:szCs w:val="16"/>
        </w:rPr>
        <w:t xml:space="preserve"> 1990 comparison uses the 1990-2019 GHG Inventory and assumptions on the impact of forthcoming changes to GHG estimates for long-term targets. UK GHG emissions estimates are revised annually to incorporate methodological improvements, updated data and changes to international guidelines. The percentage reductions are therefore subject to change.</w:t>
      </w:r>
    </w:p>
    <w:p w14:paraId="319F2EAF" w14:textId="77777777" w:rsidR="00D50448" w:rsidRDefault="00D50448" w:rsidP="001C4454">
      <w:pPr>
        <w:pStyle w:val="FootnoteText"/>
      </w:pPr>
    </w:p>
  </w:footnote>
  <w:footnote w:id="4">
    <w:p w14:paraId="7E721D91" w14:textId="6820ABFF" w:rsidR="00D50448" w:rsidRDefault="00D50448">
      <w:pPr>
        <w:pStyle w:val="FootnoteText"/>
      </w:pPr>
      <w:r w:rsidRPr="0065303C">
        <w:rPr>
          <w:rStyle w:val="FootnoteReference"/>
          <w:sz w:val="16"/>
          <w:szCs w:val="16"/>
        </w:rPr>
        <w:footnoteRef/>
      </w:r>
      <w:r w:rsidRPr="0065303C">
        <w:rPr>
          <w:szCs w:val="16"/>
        </w:rPr>
        <w:t xml:space="preserve"> CCC 6</w:t>
      </w:r>
      <w:r w:rsidRPr="0065303C">
        <w:rPr>
          <w:szCs w:val="16"/>
          <w:vertAlign w:val="superscript"/>
        </w:rPr>
        <w:t>th</w:t>
      </w:r>
      <w:r w:rsidRPr="0065303C">
        <w:rPr>
          <w:szCs w:val="16"/>
        </w:rPr>
        <w:t xml:space="preserve"> Carbon</w:t>
      </w:r>
      <w:r>
        <w:t xml:space="preserve"> Budget Advice: </w:t>
      </w:r>
      <w:r w:rsidRPr="00AF0F38">
        <w:t>https://www.theccc.org.uk/publication/sixth-carbon-budget/</w:t>
      </w:r>
    </w:p>
  </w:footnote>
  <w:footnote w:id="5">
    <w:p w14:paraId="28B9730B" w14:textId="0C1AEC02" w:rsidR="00D50448" w:rsidRDefault="00D50448">
      <w:pPr>
        <w:pStyle w:val="FootnoteText"/>
      </w:pPr>
      <w:r w:rsidRPr="003575A2">
        <w:rPr>
          <w:rStyle w:val="FootnoteReference"/>
          <w:sz w:val="16"/>
          <w:szCs w:val="16"/>
        </w:rPr>
        <w:footnoteRef/>
      </w:r>
      <w:r>
        <w:t xml:space="preserve"> NDC excludes IAS emissions: </w:t>
      </w:r>
      <w:r w:rsidRPr="00150997">
        <w:t>/www.gov.uk/</w:t>
      </w:r>
      <w:r>
        <w:t>government</w:t>
      </w:r>
      <w:r w:rsidRPr="00150997">
        <w:t>/publications/the-uks-nationally-determined-contribution-communication-to-the-unfccc</w:t>
      </w:r>
    </w:p>
  </w:footnote>
  <w:footnote w:id="6">
    <w:p w14:paraId="364F6044" w14:textId="43B95688" w:rsidR="00D50448" w:rsidRDefault="00D50448">
      <w:pPr>
        <w:pStyle w:val="FootnoteText"/>
      </w:pPr>
      <w:r w:rsidRPr="00A61D4F">
        <w:rPr>
          <w:rStyle w:val="FootnoteReference"/>
          <w:rFonts w:cs="Arial"/>
          <w:sz w:val="16"/>
          <w:szCs w:val="16"/>
        </w:rPr>
        <w:footnoteRef/>
      </w:r>
      <w:r>
        <w:t xml:space="preserve"> Percentage reductions are indicative based on latest estimates of base year emissions (812 MtCO</w:t>
      </w:r>
      <w:r w:rsidRPr="006A0C4B">
        <w:rPr>
          <w:vertAlign w:val="subscript"/>
        </w:rPr>
        <w:t>2</w:t>
      </w:r>
      <w:r>
        <w:t xml:space="preserve">e) from the </w:t>
      </w:r>
      <w:r w:rsidRPr="00B01ACF">
        <w:t>UK 1990</w:t>
      </w:r>
      <w:r>
        <w:t>-</w:t>
      </w:r>
      <w:r w:rsidRPr="00B01ACF">
        <w:t>2019</w:t>
      </w:r>
      <w:r>
        <w:t xml:space="preserve"> GHG Inventory. </w:t>
      </w:r>
      <w:hyperlink r:id="rId1" w:history="1">
        <w:r w:rsidRPr="002D4EB9">
          <w:rPr>
            <w:rStyle w:val="Hyperlink"/>
          </w:rPr>
          <w:t>https://www.gov.uk/</w:t>
        </w:r>
        <w:r>
          <w:rPr>
            <w:rStyle w:val="Hyperlink"/>
          </w:rPr>
          <w:t>government</w:t>
        </w:r>
        <w:r w:rsidRPr="002D4EB9">
          <w:rPr>
            <w:rStyle w:val="Hyperlink"/>
          </w:rPr>
          <w:t>/statistics/final-uk-greenhouse-gas-emissions-national-statistics-1990-to-2019</w:t>
        </w:r>
      </w:hyperlink>
      <w:r>
        <w:t xml:space="preserve"> (table 2.1). Carbon Budget base year emissions are calculated as emissions of CO</w:t>
      </w:r>
      <w:r w:rsidRPr="006A0C4B">
        <w:rPr>
          <w:vertAlign w:val="subscript"/>
        </w:rPr>
        <w:t>2</w:t>
      </w:r>
      <w:r>
        <w:t>, CH</w:t>
      </w:r>
      <w:r w:rsidRPr="00E81E7E">
        <w:rPr>
          <w:vertAlign w:val="subscript"/>
        </w:rPr>
        <w:t>4</w:t>
      </w:r>
      <w:r>
        <w:t xml:space="preserve"> and N</w:t>
      </w:r>
      <w:r w:rsidRPr="00E81E7E">
        <w:rPr>
          <w:vertAlign w:val="subscript"/>
        </w:rPr>
        <w:t>2</w:t>
      </w:r>
      <w:r>
        <w:t xml:space="preserve">O in 1990, and fluorinated gases in 1995. Base year emissions and equivalent percentage reductions are subject to change following annual changes to GHG emissions estimates in the GHG Inventory. This is not the same base year used to calculate the percentage reduction of the sixth carbon budget option (see paragraph 37). </w:t>
      </w:r>
    </w:p>
  </w:footnote>
  <w:footnote w:id="7">
    <w:p w14:paraId="230CDE61" w14:textId="066D19E2" w:rsidR="00D50448" w:rsidRDefault="00D50448">
      <w:pPr>
        <w:pStyle w:val="FootnoteText"/>
      </w:pPr>
      <w:r w:rsidRPr="00A61D4F">
        <w:rPr>
          <w:rStyle w:val="FootnoteReference"/>
          <w:rFonts w:cs="Arial"/>
          <w:sz w:val="16"/>
          <w:szCs w:val="16"/>
        </w:rPr>
        <w:footnoteRef/>
      </w:r>
      <w:r>
        <w:t xml:space="preserve"> </w:t>
      </w:r>
      <w:r w:rsidRPr="006E60A5">
        <w:rPr>
          <w:rFonts w:cs="Arial"/>
          <w:color w:val="181817"/>
          <w:szCs w:val="16"/>
        </w:rPr>
        <w:t>Stern, N. (2007). </w:t>
      </w:r>
      <w:r w:rsidRPr="006E60A5">
        <w:rPr>
          <w:rFonts w:cs="Arial"/>
          <w:i/>
          <w:color w:val="181817"/>
          <w:szCs w:val="16"/>
          <w:bdr w:val="none" w:sz="0" w:space="0" w:color="auto" w:frame="1"/>
        </w:rPr>
        <w:t>The Economics of Climate Change: The Stern Review</w:t>
      </w:r>
      <w:r w:rsidRPr="006E60A5">
        <w:rPr>
          <w:rFonts w:cs="Arial"/>
          <w:color w:val="181817"/>
          <w:szCs w:val="16"/>
        </w:rPr>
        <w:t>. Cambridge: Cambridge University Press. doi:10.1017/CBO9780511817434</w:t>
      </w:r>
    </w:p>
  </w:footnote>
  <w:footnote w:id="8">
    <w:p w14:paraId="5B857FCA" w14:textId="7F5BE4F8" w:rsidR="00D50448" w:rsidRPr="006A0C4B" w:rsidRDefault="00D50448" w:rsidP="00B5116B">
      <w:pPr>
        <w:autoSpaceDE w:val="0"/>
        <w:autoSpaceDN w:val="0"/>
        <w:adjustRightInd w:val="0"/>
        <w:spacing w:after="200"/>
        <w:rPr>
          <w:rFonts w:eastAsia="Calibri" w:cs="Arial"/>
          <w:b/>
          <w:color w:val="000000"/>
          <w:sz w:val="16"/>
          <w:szCs w:val="16"/>
          <w:lang w:eastAsia="en-US"/>
        </w:rPr>
      </w:pPr>
      <w:r w:rsidRPr="006A0C4B">
        <w:rPr>
          <w:rStyle w:val="FootnoteReference"/>
          <w:sz w:val="16"/>
          <w:szCs w:val="18"/>
        </w:rPr>
        <w:footnoteRef/>
      </w:r>
      <w:r w:rsidRPr="006A0C4B">
        <w:rPr>
          <w:sz w:val="20"/>
          <w:szCs w:val="20"/>
        </w:rPr>
        <w:t xml:space="preserve"> </w:t>
      </w:r>
      <w:r w:rsidRPr="00E11503">
        <w:rPr>
          <w:sz w:val="16"/>
          <w:szCs w:val="16"/>
        </w:rPr>
        <w:t>For the purpose of this analysis, base year (1990) emissions of 88</w:t>
      </w:r>
      <w:r>
        <w:rPr>
          <w:sz w:val="16"/>
          <w:szCs w:val="16"/>
        </w:rPr>
        <w:t>7</w:t>
      </w:r>
      <w:r w:rsidRPr="00E11503">
        <w:rPr>
          <w:sz w:val="16"/>
          <w:szCs w:val="16"/>
        </w:rPr>
        <w:t>MtCO</w:t>
      </w:r>
      <w:r w:rsidRPr="00541042">
        <w:rPr>
          <w:sz w:val="16"/>
          <w:szCs w:val="16"/>
          <w:vertAlign w:val="subscript"/>
        </w:rPr>
        <w:t>2</w:t>
      </w:r>
      <w:r w:rsidRPr="00E11503">
        <w:rPr>
          <w:sz w:val="16"/>
          <w:szCs w:val="16"/>
        </w:rPr>
        <w:t>e are assumed. This is on the accounting basis set out in section 1.4.</w:t>
      </w:r>
      <w:r>
        <w:rPr>
          <w:sz w:val="16"/>
          <w:szCs w:val="16"/>
        </w:rPr>
        <w:t xml:space="preserve"> </w:t>
      </w:r>
      <w:r w:rsidRPr="006A0C4B">
        <w:rPr>
          <w:sz w:val="16"/>
          <w:szCs w:val="16"/>
        </w:rPr>
        <w:t>Baseline uses 1990-2019 GHG Inventory and assumptions on the impact of forthcoming changes to GHG estimates for long-term targets. UK GHG emissions estimates are revised annually to incorporate methodological improvements, updated data and changes to international guidelines.</w:t>
      </w:r>
      <w:r w:rsidRPr="006A0C4B">
        <w:rPr>
          <w:sz w:val="18"/>
          <w:szCs w:val="18"/>
        </w:rPr>
        <w:t xml:space="preserve"> </w:t>
      </w:r>
      <w:r w:rsidRPr="006A0C4B">
        <w:rPr>
          <w:sz w:val="16"/>
          <w:szCs w:val="16"/>
        </w:rPr>
        <w:t>The percentage reductions are therefore subject to change.</w:t>
      </w:r>
    </w:p>
    <w:p w14:paraId="2B845DA6" w14:textId="77777777" w:rsidR="00D50448" w:rsidRDefault="00D50448" w:rsidP="00B5116B">
      <w:pPr>
        <w:pStyle w:val="FootnoteText"/>
      </w:pPr>
    </w:p>
  </w:footnote>
  <w:footnote w:id="9">
    <w:p w14:paraId="4DFFE6A4" w14:textId="6DD394B5" w:rsidR="00D50448" w:rsidRDefault="00D50448">
      <w:pPr>
        <w:pStyle w:val="FootnoteText"/>
      </w:pPr>
      <w:r w:rsidRPr="0065303C">
        <w:rPr>
          <w:rStyle w:val="FootnoteReference"/>
          <w:sz w:val="16"/>
          <w:szCs w:val="16"/>
        </w:rPr>
        <w:footnoteRef/>
      </w:r>
      <w:r w:rsidRPr="0065303C">
        <w:rPr>
          <w:szCs w:val="16"/>
        </w:rPr>
        <w:t xml:space="preserve"> AR5 Synthesis</w:t>
      </w:r>
      <w:r>
        <w:t xml:space="preserve"> Report: Climate Change 2014, </w:t>
      </w:r>
      <w:r w:rsidRPr="001840A4">
        <w:t>https://www.ipcc.ch/report/ar5/syr/</w:t>
      </w:r>
    </w:p>
  </w:footnote>
  <w:footnote w:id="10">
    <w:p w14:paraId="350EC2F8" w14:textId="512068F5" w:rsidR="00D50448" w:rsidRPr="0065303C" w:rsidRDefault="00D50448" w:rsidP="006641A9">
      <w:pPr>
        <w:pStyle w:val="FootnoteText"/>
        <w:rPr>
          <w:szCs w:val="16"/>
        </w:rPr>
      </w:pPr>
      <w:r w:rsidRPr="0065303C">
        <w:rPr>
          <w:rStyle w:val="FootnoteReference"/>
          <w:sz w:val="16"/>
          <w:szCs w:val="16"/>
        </w:rPr>
        <w:footnoteRef/>
      </w:r>
      <w:r w:rsidRPr="0065303C">
        <w:rPr>
          <w:szCs w:val="16"/>
        </w:rPr>
        <w:t xml:space="preserve"> Planned methodology changes for UK greenhouse gas emissions, 2021,</w:t>
      </w:r>
    </w:p>
    <w:p w14:paraId="4D08891F" w14:textId="57A23B5E" w:rsidR="00D50448" w:rsidRPr="0065303C" w:rsidRDefault="0014392E" w:rsidP="006641A9">
      <w:pPr>
        <w:pStyle w:val="FootnoteText"/>
        <w:rPr>
          <w:szCs w:val="16"/>
        </w:rPr>
      </w:pPr>
      <w:hyperlink r:id="rId2" w:history="1">
        <w:r w:rsidR="00D50448" w:rsidRPr="0065303C">
          <w:rPr>
            <w:rStyle w:val="Hyperlink"/>
            <w:rFonts w:cs="Tahoma"/>
            <w:szCs w:val="16"/>
          </w:rPr>
          <w:t>https://www.gov.uk/government/publications/planned-methodology-changes-for-uk-greenhouse-gas-emissions</w:t>
        </w:r>
      </w:hyperlink>
      <w:r w:rsidR="00D50448" w:rsidRPr="0065303C">
        <w:rPr>
          <w:szCs w:val="16"/>
        </w:rPr>
        <w:t xml:space="preserve"> </w:t>
      </w:r>
    </w:p>
  </w:footnote>
  <w:footnote w:id="11">
    <w:p w14:paraId="46522FEF" w14:textId="255BAB84" w:rsidR="00D50448" w:rsidRPr="0065303C" w:rsidRDefault="00D50448" w:rsidP="004C4AA3">
      <w:pPr>
        <w:pStyle w:val="FootnoteText"/>
        <w:rPr>
          <w:szCs w:val="16"/>
        </w:rPr>
      </w:pPr>
      <w:r w:rsidRPr="0065303C">
        <w:rPr>
          <w:rStyle w:val="FootnoteReference"/>
          <w:sz w:val="16"/>
          <w:szCs w:val="16"/>
        </w:rPr>
        <w:footnoteRef/>
      </w:r>
      <w:r w:rsidRPr="0065303C">
        <w:rPr>
          <w:szCs w:val="16"/>
        </w:rPr>
        <w:t xml:space="preserve"> Final UK greenhouse gas emissions national statistics: 1990 to 2019</w:t>
      </w:r>
    </w:p>
    <w:p w14:paraId="6597B746" w14:textId="5A05BD10" w:rsidR="00D50448" w:rsidRPr="0065303C" w:rsidRDefault="00D50448" w:rsidP="004C4AA3">
      <w:pPr>
        <w:pStyle w:val="FootnoteText"/>
        <w:rPr>
          <w:szCs w:val="16"/>
        </w:rPr>
      </w:pPr>
      <w:r w:rsidRPr="0065303C">
        <w:rPr>
          <w:szCs w:val="16"/>
        </w:rPr>
        <w:t>https://www.gov.uk/government/statistics/final-uk-greenhouse-gas-emissions-national-statistics-1990-to-2019</w:t>
      </w:r>
    </w:p>
  </w:footnote>
  <w:footnote w:id="12">
    <w:p w14:paraId="2F5A6FA1" w14:textId="1211832F" w:rsidR="00D50448" w:rsidRPr="0065303C" w:rsidRDefault="00D50448">
      <w:pPr>
        <w:pStyle w:val="FootnoteText"/>
        <w:rPr>
          <w:szCs w:val="16"/>
        </w:rPr>
      </w:pPr>
      <w:r w:rsidRPr="0065303C">
        <w:rPr>
          <w:rStyle w:val="FootnoteReference"/>
          <w:sz w:val="16"/>
          <w:szCs w:val="16"/>
        </w:rPr>
        <w:footnoteRef/>
      </w:r>
      <w:r w:rsidRPr="0065303C">
        <w:rPr>
          <w:szCs w:val="16"/>
        </w:rPr>
        <w:t xml:space="preserve"> 2013 Supplement to the 2006 IPCC Guidelines for National Greenhouse Gas Inventories: Wetlands, https://www.ipcc.ch/site/assets/uploads/2018/03/Wetlands_Supplement_Entire_Report.pdf</w:t>
      </w:r>
    </w:p>
  </w:footnote>
  <w:footnote w:id="13">
    <w:p w14:paraId="47752E4C" w14:textId="4005B1C3" w:rsidR="00D50448" w:rsidRPr="0065303C" w:rsidRDefault="00D50448">
      <w:pPr>
        <w:pStyle w:val="FootnoteText"/>
        <w:rPr>
          <w:szCs w:val="16"/>
        </w:rPr>
      </w:pPr>
      <w:r w:rsidRPr="0065303C">
        <w:rPr>
          <w:rStyle w:val="FootnoteReference"/>
          <w:sz w:val="16"/>
          <w:szCs w:val="16"/>
        </w:rPr>
        <w:footnoteRef/>
      </w:r>
      <w:r w:rsidRPr="0065303C">
        <w:rPr>
          <w:szCs w:val="16"/>
        </w:rPr>
        <w:t>Using “Tier 2” emission factors for forestry, https://naei.beis.gov.uk/reports/reports?report_id=980</w:t>
      </w:r>
    </w:p>
  </w:footnote>
  <w:footnote w:id="14">
    <w:p w14:paraId="54E7C6B3" w14:textId="77777777" w:rsidR="00D50448" w:rsidRDefault="00D50448" w:rsidP="00D64DFA">
      <w:pPr>
        <w:pStyle w:val="FootnoteText"/>
      </w:pPr>
      <w:r w:rsidRPr="007B4DAD">
        <w:rPr>
          <w:rStyle w:val="FootnoteReference"/>
          <w:sz w:val="16"/>
          <w:szCs w:val="14"/>
        </w:rPr>
        <w:footnoteRef/>
      </w:r>
      <w:r>
        <w:t xml:space="preserve"> </w:t>
      </w:r>
      <w:r w:rsidRPr="004D0E1E">
        <w:t>A large container or compartment that stores fuel for ships or aircraft.</w:t>
      </w:r>
    </w:p>
  </w:footnote>
  <w:footnote w:id="15">
    <w:p w14:paraId="5ABEA3A2" w14:textId="6A417EFF" w:rsidR="00D50448" w:rsidRDefault="00D50448" w:rsidP="00D64DFA">
      <w:pPr>
        <w:pStyle w:val="FootnoteText"/>
      </w:pPr>
      <w:r w:rsidRPr="007B4DAD">
        <w:rPr>
          <w:rStyle w:val="FootnoteReference"/>
          <w:sz w:val="16"/>
          <w:szCs w:val="14"/>
        </w:rPr>
        <w:footnoteRef/>
      </w:r>
      <w:hyperlink r:id="rId3" w:history="1">
        <w:r w:rsidRPr="00F0745E">
          <w:rPr>
            <w:rStyle w:val="Hyperlink"/>
            <w:rFonts w:cs="Tahoma"/>
          </w:rPr>
          <w:t>https://assets.publishing.service.gov.uk/government/uploads/system/uploads/attachment_data/file/957887/2019_Final_greenhouse_gas_emissions_statistical_release.pdf</w:t>
        </w:r>
      </w:hyperlink>
      <w:r>
        <w:t xml:space="preserve"> </w:t>
      </w:r>
    </w:p>
  </w:footnote>
  <w:footnote w:id="16">
    <w:p w14:paraId="515464A0" w14:textId="74F28C56" w:rsidR="00D50448" w:rsidRDefault="00D50448">
      <w:pPr>
        <w:pStyle w:val="FootnoteText"/>
      </w:pPr>
      <w:r w:rsidRPr="005B4E5A">
        <w:rPr>
          <w:rStyle w:val="FootnoteReference"/>
          <w:sz w:val="16"/>
          <w:szCs w:val="16"/>
        </w:rPr>
        <w:footnoteRef/>
      </w:r>
      <w:r>
        <w:t xml:space="preserve"> Updated energy and emissions projections: 2019, </w:t>
      </w:r>
      <w:r w:rsidRPr="009A03ED">
        <w:t>www.gov.uk/</w:t>
      </w:r>
      <w:r>
        <w:t>government</w:t>
      </w:r>
      <w:r w:rsidRPr="009A03ED">
        <w:t>/publications/updated-energy-and-emissions-projections-2019</w:t>
      </w:r>
    </w:p>
  </w:footnote>
  <w:footnote w:id="17">
    <w:p w14:paraId="5EE2F793" w14:textId="5924E6A5" w:rsidR="00D50448" w:rsidRDefault="00D50448">
      <w:pPr>
        <w:pStyle w:val="FootnoteText"/>
      </w:pPr>
      <w:r w:rsidRPr="005B4E5A">
        <w:rPr>
          <w:rStyle w:val="FootnoteReference"/>
          <w:sz w:val="16"/>
          <w:szCs w:val="16"/>
        </w:rPr>
        <w:footnoteRef/>
      </w:r>
      <w:r>
        <w:t xml:space="preserve"> Economic and fiscal outlook, OBR, </w:t>
      </w:r>
      <w:r w:rsidRPr="009A03ED">
        <w:t>https://obr.uk/efo/economic-and-fiscal-outlook-march-2020/</w:t>
      </w:r>
    </w:p>
  </w:footnote>
  <w:footnote w:id="18">
    <w:p w14:paraId="61D586F9" w14:textId="5E5E4C07" w:rsidR="00D50448" w:rsidRDefault="00D50448">
      <w:pPr>
        <w:pStyle w:val="FootnoteText"/>
      </w:pPr>
      <w:r w:rsidRPr="005B4E5A">
        <w:rPr>
          <w:rStyle w:val="FootnoteReference"/>
          <w:sz w:val="16"/>
          <w:szCs w:val="16"/>
        </w:rPr>
        <w:footnoteRef/>
      </w:r>
      <w:r>
        <w:t xml:space="preserve"> Fiscal sustainability report, OBR, </w:t>
      </w:r>
      <w:hyperlink r:id="rId4" w:history="1">
        <w:r w:rsidRPr="003A5405">
          <w:rPr>
            <w:rStyle w:val="Hyperlink"/>
            <w:rFonts w:cs="Tahoma"/>
          </w:rPr>
          <w:t>https://obr.uk/fsr/fiscal-sustainability-report-july-2020/</w:t>
        </w:r>
      </w:hyperlink>
      <w:r>
        <w:t xml:space="preserve">. The OBR also published a short-term forecast alongside Spending Review 2020 in November 2020. </w:t>
      </w:r>
    </w:p>
  </w:footnote>
  <w:footnote w:id="19">
    <w:p w14:paraId="4C334DBC" w14:textId="34DA5A08" w:rsidR="00D50448" w:rsidRDefault="00D50448">
      <w:pPr>
        <w:pStyle w:val="FootnoteText"/>
      </w:pPr>
      <w:r w:rsidRPr="005B4E5A">
        <w:rPr>
          <w:rStyle w:val="FootnoteReference"/>
          <w:sz w:val="16"/>
          <w:szCs w:val="16"/>
        </w:rPr>
        <w:footnoteRef/>
      </w:r>
      <w:r>
        <w:t xml:space="preserve"> Economic and fiscal outlook, OBR, </w:t>
      </w:r>
      <w:r w:rsidRPr="006B1106">
        <w:t>https://obr.uk/efo/economic-fiscal-outlook-march-2019/</w:t>
      </w:r>
    </w:p>
  </w:footnote>
  <w:footnote w:id="20">
    <w:p w14:paraId="0E2A2C7E" w14:textId="03F50532" w:rsidR="00D50448" w:rsidRDefault="00D50448" w:rsidP="00107316">
      <w:pPr>
        <w:pStyle w:val="FootnoteText"/>
      </w:pPr>
      <w:r w:rsidRPr="005B4E5A">
        <w:rPr>
          <w:rStyle w:val="FootnoteReference"/>
          <w:sz w:val="16"/>
          <w:szCs w:val="16"/>
        </w:rPr>
        <w:footnoteRef/>
      </w:r>
      <w:r>
        <w:t xml:space="preserve"> </w:t>
      </w:r>
      <w:r w:rsidRPr="0093734E">
        <w:t>Examples of policies announced or in consultation since August 2019 (and hence not included) are the introduction of the Green Home Grant, a consultation on changes to the taxation of red diesel and a green gas levy, and also a consultation on bringing forward the phase-out date for internal-combustion engine sales from 2040</w:t>
      </w:r>
      <w:r>
        <w:t>, and other measures announced in HMG’s 10 point plan and as part of Spending Review 2020 (e.g. 40GW offshore wind target)</w:t>
      </w:r>
      <w:r w:rsidRPr="0093734E">
        <w:t>. If these were included, the projected level of emissions would be lower</w:t>
      </w:r>
      <w:r>
        <w:t xml:space="preserve"> and the incremental cost of action also lower, however this would not change the relative assessment of options considered in this Impact Assessment. </w:t>
      </w:r>
    </w:p>
  </w:footnote>
  <w:footnote w:id="21">
    <w:p w14:paraId="1A9B53B6" w14:textId="74579E37" w:rsidR="00D50448" w:rsidRDefault="00D50448">
      <w:pPr>
        <w:pStyle w:val="FootnoteText"/>
      </w:pPr>
      <w:r w:rsidRPr="005B4E5A">
        <w:rPr>
          <w:rStyle w:val="FootnoteReference"/>
          <w:sz w:val="16"/>
          <w:szCs w:val="16"/>
        </w:rPr>
        <w:footnoteRef/>
      </w:r>
      <w:r>
        <w:t xml:space="preserve"> The ten point plan for a green industrial revolution, 2020, </w:t>
      </w:r>
      <w:r w:rsidRPr="009F0153">
        <w:t>https://www.gov.uk/</w:t>
      </w:r>
      <w:r>
        <w:t>government</w:t>
      </w:r>
      <w:r w:rsidRPr="009F0153">
        <w:t>/publications/the-ten-point-plan-for-a-green-industrial-revolution</w:t>
      </w:r>
    </w:p>
  </w:footnote>
  <w:footnote w:id="22">
    <w:p w14:paraId="6094A955" w14:textId="0209168C" w:rsidR="00D50448" w:rsidRDefault="00D50448">
      <w:pPr>
        <w:pStyle w:val="FootnoteText"/>
      </w:pPr>
      <w:r w:rsidRPr="005B4E5A">
        <w:rPr>
          <w:rStyle w:val="FootnoteReference"/>
          <w:sz w:val="16"/>
          <w:szCs w:val="16"/>
        </w:rPr>
        <w:footnoteRef/>
      </w:r>
      <w:r>
        <w:t xml:space="preserve"> Energy white paper: Powering our net zero future, 2020, </w:t>
      </w:r>
      <w:r w:rsidRPr="00C40DF8">
        <w:t>www.gov.uk/</w:t>
      </w:r>
      <w:r>
        <w:t>government</w:t>
      </w:r>
      <w:r w:rsidRPr="00C40DF8">
        <w:t>/publications/energy-white-paper-powering-our-net-zero-future</w:t>
      </w:r>
    </w:p>
  </w:footnote>
  <w:footnote w:id="23">
    <w:p w14:paraId="64DC55A8" w14:textId="3FFA7AF1" w:rsidR="00D50448" w:rsidRPr="00E65615" w:rsidRDefault="00D50448" w:rsidP="0056650A">
      <w:pPr>
        <w:pStyle w:val="FootnoteText"/>
        <w:rPr>
          <w:rFonts w:cs="Arial"/>
          <w:szCs w:val="16"/>
        </w:rPr>
      </w:pPr>
      <w:r w:rsidRPr="00E65615">
        <w:rPr>
          <w:rStyle w:val="FootnoteReference"/>
          <w:rFonts w:cs="Arial"/>
          <w:sz w:val="16"/>
          <w:szCs w:val="16"/>
        </w:rPr>
        <w:footnoteRef/>
      </w:r>
      <w:r w:rsidRPr="00E65615">
        <w:rPr>
          <w:rFonts w:cs="Arial"/>
          <w:szCs w:val="16"/>
        </w:rPr>
        <w:t xml:space="preserve"> https://www.legislation.gov.uk/ukpga/2010/15/section/149</w:t>
      </w:r>
    </w:p>
  </w:footnote>
  <w:footnote w:id="24">
    <w:p w14:paraId="73CEF820" w14:textId="0BFD8F1C" w:rsidR="00D50448" w:rsidRPr="006A0C4B" w:rsidRDefault="00D50448" w:rsidP="0056650A">
      <w:pPr>
        <w:pStyle w:val="FootnoteText"/>
        <w:rPr>
          <w:rFonts w:cs="Arial"/>
          <w:szCs w:val="16"/>
        </w:rPr>
      </w:pPr>
      <w:r w:rsidRPr="006A0C4B">
        <w:rPr>
          <w:rStyle w:val="FootnoteReference"/>
          <w:rFonts w:cs="Arial"/>
          <w:sz w:val="16"/>
          <w:szCs w:val="14"/>
        </w:rPr>
        <w:footnoteRef/>
      </w:r>
      <w:r w:rsidRPr="0087442D">
        <w:rPr>
          <w:rStyle w:val="normaltextrun"/>
          <w:rFonts w:cs="Arial"/>
          <w:position w:val="1"/>
          <w:szCs w:val="16"/>
        </w:rPr>
        <w:t xml:space="preserve"> C</w:t>
      </w:r>
      <w:r w:rsidRPr="006A0C4B">
        <w:rPr>
          <w:rStyle w:val="normaltextrun"/>
          <w:rFonts w:cs="Arial"/>
          <w:position w:val="1"/>
          <w:szCs w:val="16"/>
        </w:rPr>
        <w:t>ameron, Shine and Bevins</w:t>
      </w:r>
      <w:r w:rsidRPr="006A0C4B">
        <w:rPr>
          <w:rFonts w:cs="Arial"/>
          <w:szCs w:val="16"/>
        </w:rPr>
        <w:t xml:space="preserve"> (2013), </w:t>
      </w:r>
      <w:r w:rsidRPr="006A0C4B">
        <w:rPr>
          <w:rStyle w:val="normaltextrun"/>
          <w:rFonts w:cs="Arial"/>
          <w:i/>
          <w:iCs/>
          <w:position w:val="1"/>
          <w:szCs w:val="16"/>
        </w:rPr>
        <w:t>Climate Justice: Equity and Justice informing  a new climate agreement</w:t>
      </w:r>
      <w:r w:rsidRPr="006A0C4B">
        <w:rPr>
          <w:rStyle w:val="normaltextrun"/>
          <w:rFonts w:cs="Arial"/>
          <w:position w:val="1"/>
          <w:szCs w:val="16"/>
        </w:rPr>
        <w:t>, Working paper</w:t>
      </w:r>
      <w:r w:rsidRPr="006A0C4B">
        <w:rPr>
          <w:rFonts w:cs="Arial"/>
          <w:szCs w:val="16"/>
        </w:rPr>
        <w:t>,</w:t>
      </w:r>
      <w:r w:rsidRPr="008D6252">
        <w:rPr>
          <w:rFonts w:cs="Arial"/>
          <w:szCs w:val="16"/>
        </w:rPr>
        <w:t xml:space="preserve"> </w:t>
      </w:r>
      <w:r w:rsidRPr="006A0C4B">
        <w:rPr>
          <w:rFonts w:cs="Arial"/>
          <w:szCs w:val="16"/>
        </w:rPr>
        <w:t>published by MRFCJ and WRI  (</w:t>
      </w:r>
      <w:hyperlink r:id="rId5" w:history="1">
        <w:r w:rsidRPr="006A0C4B">
          <w:rPr>
            <w:rStyle w:val="Hyperlink"/>
            <w:rFonts w:cs="Arial"/>
            <w:szCs w:val="16"/>
          </w:rPr>
          <w:t>http://pdf.wri.org/climate_justice_equity_and_justice_informing_a_new_climate_agreement.pdf</w:t>
        </w:r>
      </w:hyperlink>
      <w:r w:rsidRPr="0087442D">
        <w:rPr>
          <w:rFonts w:cs="Arial"/>
          <w:szCs w:val="16"/>
        </w:rPr>
        <w:t>)</w:t>
      </w:r>
    </w:p>
  </w:footnote>
  <w:footnote w:id="25">
    <w:p w14:paraId="6611EB9E" w14:textId="09A14ADC" w:rsidR="00D50448" w:rsidRPr="006A0C4B" w:rsidRDefault="00D50448" w:rsidP="0056650A">
      <w:pPr>
        <w:pStyle w:val="FootnoteText"/>
        <w:rPr>
          <w:rFonts w:cs="Arial"/>
          <w:szCs w:val="16"/>
        </w:rPr>
      </w:pPr>
      <w:r w:rsidRPr="0087442D">
        <w:rPr>
          <w:rFonts w:cs="Arial"/>
          <w:szCs w:val="16"/>
          <w:shd w:val="clear" w:color="auto" w:fill="FFFFFF"/>
          <w:vertAlign w:val="superscript"/>
        </w:rPr>
        <w:t>2</w:t>
      </w:r>
      <w:r w:rsidR="003F517F">
        <w:rPr>
          <w:rFonts w:cs="Arial"/>
          <w:szCs w:val="16"/>
          <w:shd w:val="clear" w:color="auto" w:fill="FFFFFF"/>
          <w:vertAlign w:val="superscript"/>
        </w:rPr>
        <w:t>3</w:t>
      </w:r>
      <w:r>
        <w:rPr>
          <w:rFonts w:cs="Arial"/>
          <w:szCs w:val="16"/>
          <w:shd w:val="clear" w:color="auto" w:fill="FFFFFF"/>
          <w:vertAlign w:val="superscript"/>
        </w:rPr>
        <w:t xml:space="preserve"> </w:t>
      </w:r>
      <w:r w:rsidRPr="0087442D">
        <w:rPr>
          <w:rFonts w:cs="Arial"/>
          <w:szCs w:val="16"/>
          <w:shd w:val="clear" w:color="auto" w:fill="FFFFFF"/>
        </w:rPr>
        <w:t>Islam</w:t>
      </w:r>
      <w:r w:rsidRPr="006A0C4B">
        <w:rPr>
          <w:rFonts w:cs="Arial"/>
          <w:szCs w:val="16"/>
          <w:shd w:val="clear" w:color="auto" w:fill="FFFFFF"/>
        </w:rPr>
        <w:t xml:space="preserve">, N. and J. Winkel (2017), </w:t>
      </w:r>
      <w:r w:rsidRPr="006A0C4B">
        <w:rPr>
          <w:rFonts w:cs="Arial"/>
          <w:i/>
          <w:iCs/>
          <w:szCs w:val="16"/>
          <w:shd w:val="clear" w:color="auto" w:fill="FFFFFF"/>
        </w:rPr>
        <w:t>Climate Change and Social Inequality</w:t>
      </w:r>
      <w:r w:rsidRPr="006A0C4B">
        <w:rPr>
          <w:rFonts w:cs="Arial"/>
          <w:szCs w:val="16"/>
          <w:shd w:val="clear" w:color="auto" w:fill="FFFFFF"/>
        </w:rPr>
        <w:t>, </w:t>
      </w:r>
      <w:r w:rsidRPr="006A0C4B">
        <w:rPr>
          <w:rFonts w:cs="Arial"/>
          <w:iCs/>
          <w:szCs w:val="16"/>
          <w:shd w:val="clear" w:color="auto" w:fill="FFFFFF"/>
        </w:rPr>
        <w:t>UN Department of Economic and Social Affairs (DESA) Working Papers, No. 152, UN, New York (</w:t>
      </w:r>
      <w:hyperlink r:id="rId6" w:history="1">
        <w:r w:rsidRPr="006A0C4B">
          <w:rPr>
            <w:rStyle w:val="Hyperlink"/>
            <w:rFonts w:cs="Arial"/>
            <w:iCs/>
            <w:szCs w:val="16"/>
            <w:shd w:val="clear" w:color="auto" w:fill="FFFFFF"/>
          </w:rPr>
          <w:t>https://www.un.org/development/desa/publications/working-paper/wp152</w:t>
        </w:r>
      </w:hyperlink>
      <w:r w:rsidRPr="006A0C4B">
        <w:rPr>
          <w:rFonts w:cs="Arial"/>
          <w:iCs/>
          <w:szCs w:val="16"/>
          <w:shd w:val="clear" w:color="auto" w:fill="FFFFFF"/>
        </w:rPr>
        <w:t xml:space="preserve">) </w:t>
      </w:r>
    </w:p>
  </w:footnote>
  <w:footnote w:id="26">
    <w:p w14:paraId="58890050" w14:textId="29DE07A3" w:rsidR="00D50448" w:rsidRPr="008D6252" w:rsidRDefault="00D50448" w:rsidP="0056650A">
      <w:pPr>
        <w:pStyle w:val="FootnoteText"/>
        <w:rPr>
          <w:rFonts w:cs="Arial"/>
          <w:szCs w:val="16"/>
        </w:rPr>
      </w:pPr>
      <w:r w:rsidRPr="006A0C4B">
        <w:rPr>
          <w:rStyle w:val="FootnoteReference"/>
          <w:rFonts w:cs="Arial"/>
          <w:sz w:val="16"/>
          <w:szCs w:val="16"/>
        </w:rPr>
        <w:footnoteRef/>
      </w:r>
      <w:r w:rsidRPr="006A0C4B">
        <w:rPr>
          <w:lang w:val="de-DE"/>
        </w:rPr>
        <w:t xml:space="preserve"> </w:t>
      </w:r>
      <w:r w:rsidRPr="006A0C4B">
        <w:rPr>
          <w:rFonts w:cs="Arial"/>
          <w:szCs w:val="16"/>
          <w:shd w:val="clear" w:color="auto" w:fill="FFFFFF"/>
          <w:lang w:val="de-DE"/>
        </w:rPr>
        <w:t>Markkanen, S., &amp; Anger-Kraavi, A. (2019). </w:t>
      </w:r>
      <w:r w:rsidRPr="006A0C4B">
        <w:rPr>
          <w:rFonts w:cs="Arial"/>
          <w:i/>
          <w:iCs/>
          <w:szCs w:val="16"/>
          <w:shd w:val="clear" w:color="auto" w:fill="FFFFFF"/>
        </w:rPr>
        <w:t>Social impacts of climate change mitigation policies and their implications for inequality</w:t>
      </w:r>
      <w:r w:rsidRPr="006A0C4B">
        <w:rPr>
          <w:rFonts w:cs="Arial"/>
          <w:szCs w:val="16"/>
          <w:shd w:val="clear" w:color="auto" w:fill="FFFFFF"/>
        </w:rPr>
        <w:t>, Climate Policy</w:t>
      </w:r>
      <w:r w:rsidRPr="006A0C4B">
        <w:rPr>
          <w:rFonts w:cs="Arial"/>
          <w:i/>
          <w:iCs/>
          <w:szCs w:val="16"/>
          <w:shd w:val="clear" w:color="auto" w:fill="FFFFFF"/>
        </w:rPr>
        <w:t> (</w:t>
      </w:r>
      <w:hyperlink r:id="rId7" w:history="1">
        <w:r w:rsidRPr="006A0C4B">
          <w:rPr>
            <w:rStyle w:val="Hyperlink"/>
            <w:rFonts w:cs="Arial"/>
            <w:szCs w:val="16"/>
            <w:shd w:val="clear" w:color="auto" w:fill="FFFFFF"/>
          </w:rPr>
          <w:t>https://doi.org/10.1080/14693062.2019.1596873</w:t>
        </w:r>
      </w:hyperlink>
      <w:r w:rsidRPr="006A0C4B">
        <w:rPr>
          <w:rFonts w:cs="Arial"/>
          <w:szCs w:val="16"/>
          <w:shd w:val="clear" w:color="auto" w:fill="FFFFFF"/>
        </w:rPr>
        <w:t xml:space="preserve">) </w:t>
      </w:r>
    </w:p>
  </w:footnote>
  <w:footnote w:id="27">
    <w:p w14:paraId="1ADDD6D4" w14:textId="39486882" w:rsidR="00D50448" w:rsidRPr="008D6252" w:rsidRDefault="00D50448" w:rsidP="0056650A">
      <w:pPr>
        <w:pStyle w:val="FootnoteText"/>
        <w:rPr>
          <w:rFonts w:cs="Arial"/>
          <w:szCs w:val="16"/>
        </w:rPr>
      </w:pPr>
      <w:r w:rsidRPr="006A0C4B">
        <w:rPr>
          <w:rStyle w:val="FootnoteReference"/>
          <w:rFonts w:cs="Arial"/>
          <w:sz w:val="16"/>
          <w:szCs w:val="16"/>
        </w:rPr>
        <w:footnoteRef/>
      </w:r>
      <w:r w:rsidRPr="008D6252">
        <w:rPr>
          <w:rFonts w:cs="Arial"/>
          <w:szCs w:val="16"/>
        </w:rPr>
        <w:t xml:space="preserve"> </w:t>
      </w:r>
      <w:r w:rsidRPr="006A0C4B">
        <w:rPr>
          <w:rFonts w:cs="Arial"/>
          <w:szCs w:val="16"/>
        </w:rPr>
        <w:t>Roy, Tschakert, Waisman (2018) ‘Sustainable Development, Poverty Eradication and Reducing Inequalities’, IPCC</w:t>
      </w:r>
    </w:p>
  </w:footnote>
  <w:footnote w:id="28">
    <w:p w14:paraId="4B874DB8" w14:textId="7421381B" w:rsidR="00D50448" w:rsidRDefault="00D50448" w:rsidP="0056650A">
      <w:pPr>
        <w:pStyle w:val="FootnoteText"/>
      </w:pPr>
      <w:r w:rsidRPr="006A0C4B">
        <w:rPr>
          <w:rStyle w:val="FootnoteReference"/>
          <w:rFonts w:cs="Arial"/>
          <w:sz w:val="16"/>
          <w:szCs w:val="16"/>
        </w:rPr>
        <w:footnoteRef/>
      </w:r>
      <w:r w:rsidRPr="008D6252">
        <w:rPr>
          <w:rFonts w:cs="Arial"/>
          <w:szCs w:val="16"/>
        </w:rPr>
        <w:t xml:space="preserve"> </w:t>
      </w:r>
      <w:r w:rsidRPr="006A0C4B">
        <w:rPr>
          <w:rFonts w:cs="Arial"/>
          <w:szCs w:val="16"/>
        </w:rPr>
        <w:t xml:space="preserve">UK notification to the European Commission to extend the compliance deadline for meeting PM10 limit values in ambient air to 2011, Racial equality impact assessment (England) </w:t>
      </w:r>
      <w:r w:rsidR="00210E24">
        <w:rPr>
          <w:rFonts w:cs="Arial"/>
          <w:szCs w:val="16"/>
        </w:rPr>
        <w:t>(</w:t>
      </w:r>
      <w:hyperlink r:id="rId8" w:history="1">
        <w:r w:rsidR="009E507D" w:rsidRPr="005D0719">
          <w:rPr>
            <w:rStyle w:val="Hyperlink"/>
          </w:rPr>
          <w:t>https://web.archive.org/web/20110710192634if_/http://www.endsreport.com/docs/20090820a.pdf</w:t>
        </w:r>
      </w:hyperlink>
      <w:r w:rsidR="00210E24">
        <w:t>)</w:t>
      </w:r>
    </w:p>
  </w:footnote>
  <w:footnote w:id="29">
    <w:p w14:paraId="19430718" w14:textId="2F73A832" w:rsidR="00C24C93" w:rsidRDefault="00C24C93">
      <w:pPr>
        <w:pStyle w:val="FootnoteText"/>
      </w:pPr>
      <w:r w:rsidRPr="0050672F">
        <w:rPr>
          <w:rStyle w:val="FootnoteReference"/>
          <w:sz w:val="16"/>
          <w:szCs w:val="16"/>
        </w:rPr>
        <w:footnoteRef/>
      </w:r>
      <w:r w:rsidRPr="0050672F">
        <w:rPr>
          <w:szCs w:val="16"/>
        </w:rPr>
        <w:t xml:space="preserve"> </w:t>
      </w:r>
      <w:r w:rsidR="005E2CBB">
        <w:t xml:space="preserve">The </w:t>
      </w:r>
      <w:r>
        <w:rPr>
          <w:rFonts w:ascii="Helvetica" w:hAnsi="Helvetica" w:cs="Helvetica"/>
          <w:color w:val="000000"/>
          <w:shd w:val="clear" w:color="auto" w:fill="FFFFFF"/>
        </w:rPr>
        <w:t>UK TIMES</w:t>
      </w:r>
      <w:r w:rsidR="000709C6">
        <w:rPr>
          <w:rFonts w:ascii="Helvetica" w:hAnsi="Helvetica" w:cs="Helvetica"/>
          <w:color w:val="000000"/>
          <w:shd w:val="clear" w:color="auto" w:fill="FFFFFF"/>
        </w:rPr>
        <w:t xml:space="preserve"> model</w:t>
      </w:r>
      <w:r>
        <w:rPr>
          <w:rFonts w:ascii="Helvetica" w:hAnsi="Helvetica" w:cs="Helvetica"/>
          <w:color w:val="000000"/>
          <w:shd w:val="clear" w:color="auto" w:fill="FFFFFF"/>
        </w:rPr>
        <w:t xml:space="preserve"> has been developed by</w:t>
      </w:r>
      <w:r w:rsidR="008D1AA7">
        <w:rPr>
          <w:rFonts w:ascii="Helvetica" w:hAnsi="Helvetica" w:cs="Helvetica"/>
          <w:color w:val="000000"/>
          <w:shd w:val="clear" w:color="auto" w:fill="FFFFFF"/>
        </w:rPr>
        <w:t xml:space="preserve"> </w:t>
      </w:r>
      <w:r w:rsidR="00C911CC">
        <w:rPr>
          <w:rFonts w:ascii="Helvetica" w:hAnsi="Helvetica" w:cs="Helvetica"/>
          <w:color w:val="000000"/>
          <w:shd w:val="clear" w:color="auto" w:fill="FFFFFF"/>
        </w:rPr>
        <w:t>BEIS</w:t>
      </w:r>
      <w:r w:rsidR="008D1AA7">
        <w:rPr>
          <w:rFonts w:ascii="Helvetica" w:hAnsi="Helvetica" w:cs="Helvetica"/>
          <w:color w:val="000000"/>
          <w:shd w:val="clear" w:color="auto" w:fill="FFFFFF"/>
        </w:rPr>
        <w:t xml:space="preserve"> and UCL</w:t>
      </w:r>
      <w:r>
        <w:rPr>
          <w:rFonts w:ascii="Helvetica" w:hAnsi="Helvetica" w:cs="Helvetica"/>
          <w:color w:val="000000"/>
          <w:shd w:val="clear" w:color="auto" w:fill="FFFFFF"/>
        </w:rPr>
        <w:t>.  It is based on the </w:t>
      </w:r>
      <w:hyperlink r:id="rId9" w:tgtFrame="_self" w:history="1">
        <w:r>
          <w:rPr>
            <w:rStyle w:val="Hyperlink"/>
            <w:rFonts w:ascii="Helvetica" w:hAnsi="Helvetica" w:cs="Helvetica"/>
            <w:color w:val="3366CC"/>
            <w:shd w:val="clear" w:color="auto" w:fill="FFFFFF"/>
          </w:rPr>
          <w:t>TIMES model generator</w:t>
        </w:r>
      </w:hyperlink>
      <w:r w:rsidR="005E2CBB">
        <w:t>.</w:t>
      </w:r>
    </w:p>
  </w:footnote>
  <w:footnote w:id="30">
    <w:p w14:paraId="0F4C3335" w14:textId="1965F2C0" w:rsidR="00D50448" w:rsidRDefault="00D50448">
      <w:pPr>
        <w:pStyle w:val="FootnoteText"/>
      </w:pPr>
      <w:r w:rsidRPr="008B0494">
        <w:rPr>
          <w:rStyle w:val="FootnoteReference"/>
          <w:sz w:val="16"/>
          <w:szCs w:val="16"/>
        </w:rPr>
        <w:footnoteRef/>
      </w:r>
      <w:r>
        <w:t xml:space="preserve"> </w:t>
      </w:r>
      <w:r w:rsidRPr="001F473F">
        <w:t>The model takes account of the direct cost of purchasing, installing, running and maintaining the abatement technologies. The cost of purchasing and installing includes assumed capital costs and the cost of borrowing to pay for the capital. Running costs include the cost of energy supplies</w:t>
      </w:r>
      <w:r>
        <w:t>,</w:t>
      </w:r>
      <w:r w:rsidRPr="001F473F">
        <w:t xml:space="preserve"> both domestic and any imports.</w:t>
      </w:r>
    </w:p>
  </w:footnote>
  <w:footnote w:id="31">
    <w:p w14:paraId="451B7BAB" w14:textId="47BA3C89" w:rsidR="00D50448" w:rsidRDefault="00D50448">
      <w:pPr>
        <w:pStyle w:val="FootnoteText"/>
      </w:pPr>
      <w:r w:rsidRPr="00AF532B">
        <w:rPr>
          <w:rStyle w:val="FootnoteReference"/>
          <w:sz w:val="16"/>
          <w:szCs w:val="16"/>
        </w:rPr>
        <w:footnoteRef/>
      </w:r>
      <w:r>
        <w:t xml:space="preserve"> This refers to traditional afforestation, biomass planting rates are the same across all pathways.</w:t>
      </w:r>
    </w:p>
  </w:footnote>
  <w:footnote w:id="32">
    <w:p w14:paraId="7CCA4C18" w14:textId="28A4DC78" w:rsidR="00D50448" w:rsidRPr="00826475" w:rsidRDefault="00D50448" w:rsidP="006A0C4B">
      <w:pPr>
        <w:rPr>
          <w:rFonts w:cs="Arial"/>
          <w:sz w:val="16"/>
          <w:szCs w:val="16"/>
        </w:rPr>
      </w:pPr>
      <w:r w:rsidRPr="006A0C4B">
        <w:rPr>
          <w:rStyle w:val="FootnoteReference"/>
          <w:rFonts w:cs="Arial"/>
          <w:sz w:val="16"/>
          <w:szCs w:val="16"/>
        </w:rPr>
        <w:footnoteRef/>
      </w:r>
      <w:r w:rsidRPr="006A0C4B">
        <w:rPr>
          <w:rFonts w:cs="Arial"/>
          <w:sz w:val="16"/>
          <w:szCs w:val="16"/>
        </w:rPr>
        <w:t xml:space="preserve"> </w:t>
      </w:r>
      <w:r w:rsidRPr="006A0C4B">
        <w:rPr>
          <w:rFonts w:eastAsia="Segoe UI" w:cs="Arial"/>
          <w:color w:val="000000" w:themeColor="text1"/>
          <w:sz w:val="16"/>
          <w:szCs w:val="16"/>
        </w:rPr>
        <w:t>Analysis of UK 1990-2019 GHG Inventory, with adjustments to reflect assumptions on the CB6 accounting basis as described in section 1.4 ‘accounting and scope’.</w:t>
      </w:r>
      <w:r w:rsidRPr="006A0C4B">
        <w:rPr>
          <w:rFonts w:eastAsia="Calibri" w:cs="Arial"/>
          <w:color w:val="000000" w:themeColor="text1"/>
          <w:sz w:val="16"/>
          <w:szCs w:val="16"/>
        </w:rPr>
        <w:t xml:space="preserve"> </w:t>
      </w:r>
      <w:r w:rsidRPr="006A0C4B">
        <w:rPr>
          <w:rFonts w:eastAsia="Segoe UI" w:cs="Arial"/>
          <w:color w:val="000000" w:themeColor="text1"/>
          <w:sz w:val="16"/>
          <w:szCs w:val="16"/>
        </w:rPr>
        <w:t xml:space="preserve">Sectoral definitions broadly aligned with the taxonomy presented in the CCC’s advice on Carbon Budget 6 except for energy from waste emissions, which have predominantly been reported against the electricity sector instead of the waste sector. Where it has not been possible to allocate emissions between sectors (fuel supply/industry) based on the latest GHG Inventory consistently, an allocation has been inferred from CCC advice based on the 1990-2018 GHG Inventory. </w:t>
      </w:r>
      <w:r>
        <w:rPr>
          <w:rFonts w:eastAsia="Segoe UI" w:cs="Arial"/>
          <w:color w:val="000000" w:themeColor="text1"/>
          <w:sz w:val="16"/>
          <w:szCs w:val="16"/>
        </w:rPr>
        <w:t xml:space="preserve"> </w:t>
      </w:r>
      <w:r w:rsidRPr="006A0C4B">
        <w:rPr>
          <w:rFonts w:eastAsia="Segoe UI" w:cs="Arial"/>
          <w:color w:val="000000" w:themeColor="text1"/>
          <w:sz w:val="16"/>
          <w:szCs w:val="16"/>
        </w:rPr>
        <w:t>For information on UKTIMES sector definitions, see</w:t>
      </w:r>
      <w:r>
        <w:rPr>
          <w:rFonts w:eastAsia="Segoe UI" w:cs="Arial"/>
          <w:color w:val="000000" w:themeColor="text1"/>
          <w:sz w:val="16"/>
          <w:szCs w:val="16"/>
        </w:rPr>
        <w:t xml:space="preserve"> </w:t>
      </w:r>
      <w:r w:rsidRPr="006A0C4B">
        <w:rPr>
          <w:rFonts w:eastAsia="Segoe UI" w:cs="Arial"/>
          <w:color w:val="000000" w:themeColor="text1"/>
          <w:sz w:val="16"/>
          <w:szCs w:val="16"/>
        </w:rPr>
        <w:t>Annex A.</w:t>
      </w:r>
      <w:r>
        <w:rPr>
          <w:rFonts w:eastAsia="Segoe UI" w:cs="Arial"/>
          <w:color w:val="000000" w:themeColor="text1"/>
          <w:sz w:val="16"/>
          <w:szCs w:val="16"/>
        </w:rPr>
        <w:t>2</w:t>
      </w:r>
      <w:r w:rsidRPr="006A0C4B">
        <w:rPr>
          <w:rFonts w:eastAsia="Segoe UI" w:cs="Arial"/>
          <w:color w:val="000000" w:themeColor="text1"/>
          <w:sz w:val="16"/>
          <w:szCs w:val="16"/>
        </w:rPr>
        <w:t>.</w:t>
      </w:r>
    </w:p>
  </w:footnote>
  <w:footnote w:id="33">
    <w:p w14:paraId="520A36D4" w14:textId="5CAFAC3E" w:rsidR="00D50448" w:rsidRDefault="00D50448" w:rsidP="000E01DB">
      <w:pPr>
        <w:pStyle w:val="FootnoteText"/>
      </w:pPr>
      <w:r w:rsidRPr="00826475">
        <w:rPr>
          <w:rStyle w:val="FootnoteReference"/>
          <w:sz w:val="16"/>
          <w:szCs w:val="16"/>
        </w:rPr>
        <w:footnoteRef/>
      </w:r>
      <w:r>
        <w:t xml:space="preserve"> These ranges only reflect the uncertainty captured in the modelled pathways. There is additional uncertainty that is not reflected here, including in respect to aviation and shipping and waste.</w:t>
      </w:r>
    </w:p>
  </w:footnote>
  <w:footnote w:id="34">
    <w:p w14:paraId="34FC4A39" w14:textId="2D6F6898" w:rsidR="00D50448" w:rsidRDefault="00D50448">
      <w:pPr>
        <w:pStyle w:val="FootnoteText"/>
      </w:pPr>
      <w:r w:rsidRPr="006A0C4B">
        <w:rPr>
          <w:rStyle w:val="FootnoteReference"/>
          <w:rFonts w:cs="Arial"/>
          <w:sz w:val="16"/>
          <w:szCs w:val="16"/>
        </w:rPr>
        <w:footnoteRef/>
      </w:r>
      <w:r w:rsidRPr="008D6252">
        <w:rPr>
          <w:rFonts w:cs="Arial"/>
          <w:szCs w:val="16"/>
        </w:rPr>
        <w:t xml:space="preserve"> Figures in brac</w:t>
      </w:r>
      <w:r w:rsidRPr="00623D10">
        <w:rPr>
          <w:rFonts w:cs="Arial"/>
          <w:szCs w:val="16"/>
        </w:rPr>
        <w:t>kets indicate adjustment for Tier 2 peat emissions in line with the accounting scope of this Impact Assessment.</w:t>
      </w:r>
    </w:p>
  </w:footnote>
  <w:footnote w:id="35">
    <w:p w14:paraId="30AD63BE" w14:textId="0DB6715E" w:rsidR="00D50448" w:rsidRDefault="00D50448">
      <w:pPr>
        <w:pStyle w:val="FootnoteText"/>
      </w:pPr>
      <w:r w:rsidRPr="006A0C4B">
        <w:rPr>
          <w:rStyle w:val="FootnoteReference"/>
          <w:sz w:val="16"/>
          <w:szCs w:val="16"/>
        </w:rPr>
        <w:footnoteRef/>
      </w:r>
      <w:r w:rsidRPr="008D6252">
        <w:rPr>
          <w:szCs w:val="16"/>
        </w:rPr>
        <w:t xml:space="preserve"> </w:t>
      </w:r>
      <w:r w:rsidRPr="0060777A">
        <w:rPr>
          <w:szCs w:val="16"/>
        </w:rPr>
        <w:t>Excludes imports</w:t>
      </w:r>
      <w:r>
        <w:t>.</w:t>
      </w:r>
    </w:p>
  </w:footnote>
  <w:footnote w:id="36">
    <w:p w14:paraId="03C557AF" w14:textId="47F4A8BC" w:rsidR="00D50448" w:rsidRDefault="00D50448">
      <w:pPr>
        <w:pStyle w:val="FootnoteText"/>
      </w:pPr>
      <w:r w:rsidRPr="00405207">
        <w:rPr>
          <w:rStyle w:val="FootnoteReference"/>
          <w:rFonts w:cs="Arial"/>
          <w:sz w:val="16"/>
          <w:szCs w:val="16"/>
        </w:rPr>
        <w:footnoteRef/>
      </w:r>
      <w:r>
        <w:t xml:space="preserve"> UKTM hydrogen cost assumptions </w:t>
      </w:r>
      <w:r w:rsidDel="001D5071">
        <w:t xml:space="preserve">are based on the </w:t>
      </w:r>
      <w:r>
        <w:t xml:space="preserve">assumption that a new hydrogen grid is built and costs for decommissioning or repurposing the gas grid are not included. </w:t>
      </w:r>
      <w:r w:rsidRPr="00A0720D">
        <w:t xml:space="preserve">If this is </w:t>
      </w:r>
      <w:r>
        <w:t xml:space="preserve">more or less </w:t>
      </w:r>
      <w:r w:rsidRPr="00A0720D">
        <w:t>costly</w:t>
      </w:r>
      <w:r>
        <w:t xml:space="preserve"> than assumed in the modelling</w:t>
      </w:r>
      <w:r w:rsidRPr="00A0720D">
        <w:t xml:space="preserve">, findings from the UKTM modelling presented here could </w:t>
      </w:r>
      <w:r>
        <w:t>understate or</w:t>
      </w:r>
      <w:r w:rsidRPr="00A0720D">
        <w:t xml:space="preserve"> overstate the role for hydrogen in meeting 2050 targets.</w:t>
      </w:r>
    </w:p>
  </w:footnote>
  <w:footnote w:id="37">
    <w:p w14:paraId="6061D4C7" w14:textId="2639AD34" w:rsidR="00D50448" w:rsidRDefault="00D50448" w:rsidP="00E50C17">
      <w:pPr>
        <w:pStyle w:val="FootnoteText"/>
      </w:pPr>
      <w:r w:rsidRPr="00490346">
        <w:rPr>
          <w:rStyle w:val="FootnoteReference"/>
          <w:sz w:val="16"/>
          <w:szCs w:val="16"/>
        </w:rPr>
        <w:footnoteRef/>
      </w:r>
      <w:r>
        <w:t xml:space="preserve"> These ranges only reflect the uncertainty captured in the modelled pathways. There is additional uncertainty that is not reflected here, including in respect to aviation and shipping and waste.</w:t>
      </w:r>
    </w:p>
  </w:footnote>
  <w:footnote w:id="38">
    <w:p w14:paraId="2C738468" w14:textId="44C5468F" w:rsidR="00D50448" w:rsidRDefault="00D50448" w:rsidP="004B2744">
      <w:pPr>
        <w:pStyle w:val="FootnoteText"/>
      </w:pPr>
      <w:r w:rsidRPr="00490346">
        <w:rPr>
          <w:rStyle w:val="FootnoteReference"/>
          <w:sz w:val="16"/>
          <w:szCs w:val="16"/>
        </w:rPr>
        <w:footnoteRef/>
      </w:r>
      <w:r>
        <w:t xml:space="preserve"> </w:t>
      </w:r>
      <w:r>
        <w:rPr>
          <w:szCs w:val="16"/>
        </w:rPr>
        <w:t>i</w:t>
      </w:r>
      <w:r>
        <w:t>.e. diverting the following municipal waste from landfill: food, paper/card, wood, textiles and garden waste.</w:t>
      </w:r>
    </w:p>
  </w:footnote>
  <w:footnote w:id="39">
    <w:p w14:paraId="0DD518A1" w14:textId="7EB56D8A" w:rsidR="00D50448" w:rsidRDefault="00D50448" w:rsidP="004B12BD">
      <w:pPr>
        <w:pStyle w:val="FootnoteText"/>
      </w:pPr>
      <w:r w:rsidRPr="004A26BA">
        <w:rPr>
          <w:rStyle w:val="FootnoteReference"/>
          <w:sz w:val="16"/>
          <w:szCs w:val="16"/>
        </w:rPr>
        <w:footnoteRef/>
      </w:r>
      <w:r>
        <w:t xml:space="preserve"> These ranges only reflect the uncertainty captured in the modelled pathways. There is additional uncertainty that is not reflected here, including in respect to aviation and shipping, and power and waste. Specifically, UKTM power sector modelling assumes some abatement from electricity from waste plants that would require a change to current policy. </w:t>
      </w:r>
    </w:p>
  </w:footnote>
  <w:footnote w:id="40">
    <w:p w14:paraId="40E80E43" w14:textId="13A8F2AD" w:rsidR="00D50448" w:rsidRDefault="00D50448">
      <w:pPr>
        <w:pStyle w:val="FootnoteText"/>
      </w:pPr>
      <w:r w:rsidRPr="00D10D5D">
        <w:rPr>
          <w:rStyle w:val="FootnoteReference"/>
          <w:sz w:val="16"/>
          <w:szCs w:val="16"/>
        </w:rPr>
        <w:footnoteRef/>
      </w:r>
      <w:r>
        <w:t xml:space="preserve"> Variable renewable and low carbon generation metrics relate to the expected percentage of domestic generation. </w:t>
      </w:r>
    </w:p>
  </w:footnote>
  <w:footnote w:id="41">
    <w:p w14:paraId="254B21F0" w14:textId="52545CD8" w:rsidR="00D50448" w:rsidRDefault="00D50448">
      <w:pPr>
        <w:pStyle w:val="FootnoteText"/>
      </w:pPr>
      <w:r w:rsidRPr="00D10D5D">
        <w:rPr>
          <w:rStyle w:val="FootnoteReference"/>
          <w:sz w:val="16"/>
          <w:szCs w:val="16"/>
        </w:rPr>
        <w:footnoteRef/>
      </w:r>
      <w:r>
        <w:t xml:space="preserve"> Excludes imports.</w:t>
      </w:r>
    </w:p>
  </w:footnote>
  <w:footnote w:id="42">
    <w:p w14:paraId="45D178E7" w14:textId="64BC72E5" w:rsidR="00D50448" w:rsidRDefault="00D50448" w:rsidP="009642DB">
      <w:pPr>
        <w:pStyle w:val="FootnoteText"/>
      </w:pPr>
      <w:r w:rsidRPr="00D10D5D">
        <w:rPr>
          <w:rStyle w:val="FootnoteReference"/>
          <w:sz w:val="16"/>
          <w:szCs w:val="16"/>
        </w:rPr>
        <w:footnoteRef/>
      </w:r>
      <w:r>
        <w:t xml:space="preserve"> These ranges only reflect the uncertainty captured in the modelled pathways. There is additional uncertainty that is not reflected here, including in respect to aviation and shipping and waste.</w:t>
      </w:r>
    </w:p>
  </w:footnote>
  <w:footnote w:id="43">
    <w:p w14:paraId="0E11A31D" w14:textId="5F4B7717" w:rsidR="00D50448" w:rsidRDefault="00D50448">
      <w:pPr>
        <w:pStyle w:val="FootnoteText"/>
      </w:pPr>
      <w:r w:rsidRPr="00E41628">
        <w:rPr>
          <w:rStyle w:val="FootnoteReference"/>
          <w:sz w:val="16"/>
          <w:szCs w:val="16"/>
        </w:rPr>
        <w:footnoteRef/>
      </w:r>
      <w:r>
        <w:t xml:space="preserve"> </w:t>
      </w:r>
      <w:r>
        <w:rPr>
          <w:szCs w:val="16"/>
        </w:rPr>
        <w:t>i</w:t>
      </w:r>
      <w:r>
        <w:t>.e. diverting the following municipal waste from landfill: food, paper/card, wood, textiles and garden waste.</w:t>
      </w:r>
    </w:p>
  </w:footnote>
  <w:footnote w:id="44">
    <w:p w14:paraId="409BB534" w14:textId="0F3189DF" w:rsidR="00D50448" w:rsidRDefault="00D50448">
      <w:pPr>
        <w:pStyle w:val="FootnoteText"/>
      </w:pPr>
      <w:r w:rsidRPr="00E41628">
        <w:rPr>
          <w:rStyle w:val="FootnoteReference"/>
          <w:sz w:val="16"/>
          <w:szCs w:val="16"/>
        </w:rPr>
        <w:footnoteRef/>
      </w:r>
      <w:r>
        <w:t xml:space="preserve"> BEIS 2019 Fossil fuel price assumptions. </w:t>
      </w:r>
      <w:r w:rsidRPr="00C3564A">
        <w:t>https://www.gov.uk/government/publications/fossil-fuel-price-assumptions-2019</w:t>
      </w:r>
    </w:p>
  </w:footnote>
  <w:footnote w:id="45">
    <w:p w14:paraId="38B35770" w14:textId="77777777" w:rsidR="00D50448" w:rsidRDefault="00D50448" w:rsidP="00CF1D5C">
      <w:pPr>
        <w:pStyle w:val="FootnoteText"/>
      </w:pPr>
      <w:r w:rsidRPr="00FE6621">
        <w:rPr>
          <w:rStyle w:val="FootnoteReference"/>
          <w:sz w:val="16"/>
          <w:szCs w:val="16"/>
        </w:rPr>
        <w:footnoteRef/>
      </w:r>
      <w:r>
        <w:t xml:space="preserve"> IPCC, 2018: Global Warming of 1.5°C. An IPCC Special Report on the impacts of global warming of 1.5°C above pre-industrial levels and</w:t>
      </w:r>
    </w:p>
    <w:p w14:paraId="532E23E6" w14:textId="77777777" w:rsidR="00D50448" w:rsidRDefault="00D50448" w:rsidP="00CF1D5C">
      <w:pPr>
        <w:pStyle w:val="FootnoteText"/>
      </w:pPr>
      <w:r>
        <w:t>related global greenhouse gas emission pathways, in the context of strengthening the global response to the threat of climate change,</w:t>
      </w:r>
    </w:p>
    <w:p w14:paraId="2C2421F2" w14:textId="77777777" w:rsidR="00D50448" w:rsidRDefault="00D50448" w:rsidP="00CF1D5C">
      <w:pPr>
        <w:pStyle w:val="FootnoteText"/>
      </w:pPr>
      <w:r>
        <w:t>sustainable development, and efforts to eradicate poverty [Masson-Delmotte, V., P. Zhai, H.-O. Pörtner, D. Roberts, J. Skea, P.R. Shukla,</w:t>
      </w:r>
    </w:p>
    <w:p w14:paraId="01371044" w14:textId="77777777" w:rsidR="00D50448" w:rsidRDefault="00D50448" w:rsidP="00CF1D5C">
      <w:pPr>
        <w:pStyle w:val="FootnoteText"/>
      </w:pPr>
      <w:r>
        <w:t>A. Pirani, W. Moufouma-Okia, C. Péan, R. Pidcock, S. Connors, J.B.R. Matthews, Y. Chen, X. Zhou, M.I. Gomis, E. Lonnoy, T. Maycock,</w:t>
      </w:r>
    </w:p>
    <w:p w14:paraId="4C98C387" w14:textId="68B7B4D5" w:rsidR="00D50448" w:rsidRDefault="00D50448" w:rsidP="00CF1D5C">
      <w:pPr>
        <w:pStyle w:val="FootnoteText"/>
      </w:pPr>
      <w:r>
        <w:t xml:space="preserve">M. Tignor, and T. Waterfield (eds.)]. In Press. </w:t>
      </w:r>
    </w:p>
  </w:footnote>
  <w:footnote w:id="46">
    <w:p w14:paraId="5D39C083" w14:textId="42261C00" w:rsidR="00D50448" w:rsidRDefault="00D50448">
      <w:pPr>
        <w:pStyle w:val="FootnoteText"/>
      </w:pPr>
      <w:r w:rsidRPr="00D136D3">
        <w:rPr>
          <w:rStyle w:val="FootnoteReference"/>
          <w:sz w:val="16"/>
          <w:szCs w:val="16"/>
        </w:rPr>
        <w:footnoteRef/>
      </w:r>
      <w:r>
        <w:t xml:space="preserve"> 2019 emissions figures from UNEP Gap Report 2020. All other emission figures from IPCC Special Report on 1.5 degrees of Global Warming. </w:t>
      </w:r>
    </w:p>
  </w:footnote>
  <w:footnote w:id="47">
    <w:p w14:paraId="039D58A9" w14:textId="2BB0C282" w:rsidR="00D50448" w:rsidRDefault="00D50448">
      <w:pPr>
        <w:pStyle w:val="FootnoteText"/>
      </w:pPr>
      <w:r w:rsidRPr="005827D2">
        <w:rPr>
          <w:rStyle w:val="FootnoteReference"/>
          <w:sz w:val="16"/>
          <w:szCs w:val="16"/>
        </w:rPr>
        <w:footnoteRef/>
      </w:r>
      <w:r>
        <w:t xml:space="preserve"> Median values presented with uncertainty range (10</w:t>
      </w:r>
      <w:r w:rsidRPr="006A0C4B">
        <w:rPr>
          <w:vertAlign w:val="superscript"/>
        </w:rPr>
        <w:t>th</w:t>
      </w:r>
      <w:r>
        <w:t>-90</w:t>
      </w:r>
      <w:r w:rsidRPr="006A0C4B">
        <w:rPr>
          <w:vertAlign w:val="superscript"/>
        </w:rPr>
        <w:t>th</w:t>
      </w:r>
      <w:r>
        <w:t xml:space="preserve"> percentile) in brackets.</w:t>
      </w:r>
    </w:p>
  </w:footnote>
  <w:footnote w:id="48">
    <w:p w14:paraId="1F520890" w14:textId="77777777" w:rsidR="00D50448" w:rsidRPr="00A9525F" w:rsidRDefault="00D50448" w:rsidP="007E34F8">
      <w:pPr>
        <w:pStyle w:val="FootnoteText"/>
        <w:rPr>
          <w:szCs w:val="16"/>
        </w:rPr>
      </w:pPr>
      <w:r w:rsidRPr="00A9525F">
        <w:rPr>
          <w:rStyle w:val="FootnoteReference"/>
          <w:sz w:val="16"/>
          <w:szCs w:val="16"/>
        </w:rPr>
        <w:footnoteRef/>
      </w:r>
      <w:r w:rsidRPr="00A9525F">
        <w:rPr>
          <w:szCs w:val="16"/>
        </w:rPr>
        <w:t xml:space="preserve"> A review and summary of results of different effort shares approaches is presented in the IPCC Working Group III Fifth Assessment Report. IPCC, 2014: Climate Change 2014: Mitigation of Climate Change. Contribution of Working Group III to the Fifth Assessment</w:t>
      </w:r>
    </w:p>
    <w:p w14:paraId="291F45D2" w14:textId="77777777" w:rsidR="00D50448" w:rsidRPr="00A9525F" w:rsidRDefault="00D50448" w:rsidP="007E34F8">
      <w:pPr>
        <w:pStyle w:val="FootnoteText"/>
        <w:rPr>
          <w:szCs w:val="16"/>
        </w:rPr>
      </w:pPr>
      <w:r w:rsidRPr="00A9525F">
        <w:rPr>
          <w:szCs w:val="16"/>
        </w:rPr>
        <w:t>Report of the Intergovernmental Panel on Climate Change [Edenhofer, O., R. Pichs-Madruga, Y. Sokona, E. Farahani, S. Kadner, K.</w:t>
      </w:r>
    </w:p>
    <w:p w14:paraId="2FC64409" w14:textId="77777777" w:rsidR="00D50448" w:rsidRPr="00A9525F" w:rsidRDefault="00D50448" w:rsidP="007E34F8">
      <w:pPr>
        <w:pStyle w:val="FootnoteText"/>
        <w:rPr>
          <w:szCs w:val="16"/>
          <w:lang w:val="de-DE"/>
        </w:rPr>
      </w:pPr>
      <w:r w:rsidRPr="00A9525F">
        <w:rPr>
          <w:szCs w:val="16"/>
          <w:lang w:val="de-DE"/>
        </w:rPr>
        <w:t>Seyboth, A. Adler, I. Baum, S. Brunner, P. Eickemeier, B. Kriemann, J. Savolainen, S. Schlömer, C. von Stechow, T. Zwickel and J.C.</w:t>
      </w:r>
    </w:p>
    <w:p w14:paraId="538FD215" w14:textId="642CD054" w:rsidR="00D50448" w:rsidRDefault="00D50448" w:rsidP="007E34F8">
      <w:pPr>
        <w:pStyle w:val="FootnoteText"/>
      </w:pPr>
      <w:r w:rsidRPr="00A9525F">
        <w:rPr>
          <w:szCs w:val="16"/>
        </w:rPr>
        <w:t>Minx (eds.)]. Cambridge University Press, Cambridge, United Kingdom and New York, NY, USA</w:t>
      </w:r>
      <w:r>
        <w:t>.</w:t>
      </w:r>
    </w:p>
  </w:footnote>
  <w:footnote w:id="49">
    <w:p w14:paraId="35C58441" w14:textId="3722C57A" w:rsidR="00D50448" w:rsidRPr="002D691E" w:rsidRDefault="00D50448" w:rsidP="002A3477">
      <w:pPr>
        <w:pStyle w:val="FootnoteText"/>
        <w:rPr>
          <w:szCs w:val="16"/>
        </w:rPr>
      </w:pPr>
      <w:r w:rsidRPr="002D691E">
        <w:rPr>
          <w:rStyle w:val="FootnoteReference"/>
          <w:sz w:val="16"/>
          <w:szCs w:val="16"/>
        </w:rPr>
        <w:footnoteRef/>
      </w:r>
      <w:r w:rsidRPr="002D691E">
        <w:rPr>
          <w:szCs w:val="16"/>
        </w:rPr>
        <w:t xml:space="preserve"> </w:t>
      </w:r>
      <w:hyperlink r:id="rId10" w:history="1">
        <w:r w:rsidRPr="002D691E">
          <w:rPr>
            <w:rStyle w:val="Hyperlink"/>
            <w:rFonts w:cs="Tahoma"/>
            <w:szCs w:val="16"/>
            <w:u w:val="none"/>
          </w:rPr>
          <w:t>Energy</w:t>
        </w:r>
      </w:hyperlink>
      <w:r w:rsidRPr="002D691E">
        <w:rPr>
          <w:szCs w:val="16"/>
        </w:rPr>
        <w:t xml:space="preserve"> and Climate Intelligence Unit Net Zero Tracker and UNFCCC submissions.</w:t>
      </w:r>
    </w:p>
  </w:footnote>
  <w:footnote w:id="50">
    <w:p w14:paraId="5F13EA3F" w14:textId="2789BC1A" w:rsidR="00D50448" w:rsidRDefault="00D50448">
      <w:pPr>
        <w:pStyle w:val="FootnoteText"/>
      </w:pPr>
      <w:r w:rsidRPr="00612192">
        <w:rPr>
          <w:rStyle w:val="FootnoteReference"/>
          <w:sz w:val="16"/>
          <w:szCs w:val="16"/>
        </w:rPr>
        <w:footnoteRef/>
      </w:r>
      <w:r>
        <w:t xml:space="preserve"> Green Book supplementary guidance: valuation of energy use and greenhouse gas emissions for appraisal, </w:t>
      </w:r>
      <w:hyperlink r:id="rId11" w:history="1">
        <w:r w:rsidRPr="002601F3">
          <w:rPr>
            <w:rStyle w:val="Hyperlink"/>
            <w:rFonts w:cs="Tahoma"/>
          </w:rPr>
          <w:t>https://www.gov.uk/</w:t>
        </w:r>
        <w:r>
          <w:rPr>
            <w:rStyle w:val="Hyperlink"/>
            <w:rFonts w:cs="Tahoma"/>
          </w:rPr>
          <w:t>government</w:t>
        </w:r>
        <w:r w:rsidRPr="002601F3">
          <w:rPr>
            <w:rStyle w:val="Hyperlink"/>
            <w:rFonts w:cs="Tahoma"/>
          </w:rPr>
          <w:t>/publications/valuation-of-energy-use-and-greenhouse-gas-emissions-for-appraisal</w:t>
        </w:r>
      </w:hyperlink>
      <w:r>
        <w:t xml:space="preserve"> </w:t>
      </w:r>
    </w:p>
  </w:footnote>
  <w:footnote w:id="51">
    <w:p w14:paraId="1D97D336" w14:textId="11BEC412" w:rsidR="00D50448" w:rsidRDefault="00D50448" w:rsidP="00221CDF">
      <w:pPr>
        <w:pStyle w:val="FootnoteText"/>
      </w:pPr>
      <w:r>
        <w:rPr>
          <w:rStyle w:val="FootnoteReference"/>
        </w:rPr>
        <w:footnoteRef/>
      </w:r>
      <w:r>
        <w:t xml:space="preserve"> The central NPVs use the current high carbon value series, reflecting that the UK’s climate ambition has increased since these values were calculated. The low NPVs use the current central carbon value series. </w:t>
      </w:r>
    </w:p>
  </w:footnote>
  <w:footnote w:id="52">
    <w:p w14:paraId="648E9143" w14:textId="413C7764" w:rsidR="00D50448" w:rsidRDefault="00D50448" w:rsidP="00221CDF">
      <w:pPr>
        <w:pStyle w:val="FootnoteText"/>
      </w:pPr>
      <w:r>
        <w:rPr>
          <w:rStyle w:val="FootnoteReference"/>
        </w:rPr>
        <w:footnoteRef/>
      </w:r>
      <w:r>
        <w:t xml:space="preserve"> The central NPVs use the current Green Book guidance and discount monetised carbon savings by 3.5%. We tested a reduced discount rate for environmental project of 1.5% by removing the wealth element of the discount rate, mirroring the approach for valuing health benefits.  </w:t>
      </w:r>
    </w:p>
  </w:footnote>
  <w:footnote w:id="53">
    <w:p w14:paraId="55236DEA" w14:textId="7AE436B7" w:rsidR="00D50448" w:rsidRDefault="0063477F" w:rsidP="00802D1D">
      <w:pPr>
        <w:pStyle w:val="FootnoteText"/>
      </w:pPr>
      <w:r>
        <w:rPr>
          <w:rStyle w:val="FootnoteReference"/>
          <w:sz w:val="18"/>
          <w:szCs w:val="18"/>
        </w:rPr>
        <w:t>50</w:t>
      </w:r>
      <w:r w:rsidR="00D50448">
        <w:t xml:space="preserve"> </w:t>
      </w:r>
      <w:r w:rsidR="00D50448" w:rsidRPr="001E5E3A">
        <w:t>https://www.metoffice.gov.uk/pub/data/weather/uk/ukcp18/science-reports/UKCP18-Overview-report.pdf</w:t>
      </w:r>
    </w:p>
  </w:footnote>
  <w:footnote w:id="54">
    <w:p w14:paraId="15CCA28E" w14:textId="6C9BC210" w:rsidR="00D50448" w:rsidRDefault="00D50448">
      <w:pPr>
        <w:pStyle w:val="FootnoteText"/>
      </w:pPr>
      <w:r w:rsidRPr="008F2889">
        <w:rPr>
          <w:rStyle w:val="FootnoteReference"/>
          <w:sz w:val="18"/>
          <w:szCs w:val="18"/>
        </w:rPr>
        <w:footnoteRef/>
      </w:r>
      <w:r w:rsidRPr="008F2889">
        <w:rPr>
          <w:szCs w:val="16"/>
        </w:rPr>
        <w:t xml:space="preserve"> Preparing for a drier future, National Infrastructure Commission, 2018, https://nic.org.uk/studies-reports/national-infrastructure-assessment/national-infrastructure-assessment-1/preparing-for-a-drier-future/</w:t>
      </w:r>
    </w:p>
  </w:footnote>
  <w:footnote w:id="55">
    <w:p w14:paraId="4F5ACFAF" w14:textId="47BD0D92" w:rsidR="00D50448" w:rsidRDefault="00D50448" w:rsidP="00802D1D">
      <w:pPr>
        <w:pStyle w:val="FootnoteText"/>
      </w:pPr>
      <w:r w:rsidRPr="008F2889">
        <w:rPr>
          <w:rStyle w:val="FootnoteReference"/>
          <w:sz w:val="18"/>
          <w:szCs w:val="18"/>
        </w:rPr>
        <w:footnoteRef/>
      </w:r>
      <w:r w:rsidRPr="008F2889">
        <w:rPr>
          <w:sz w:val="18"/>
          <w:szCs w:val="18"/>
        </w:rPr>
        <w:t xml:space="preserve"> </w:t>
      </w:r>
      <w:r w:rsidRPr="008F2889">
        <w:rPr>
          <w:color w:val="000000"/>
          <w:szCs w:val="16"/>
        </w:rPr>
        <w:t xml:space="preserve">Based on information presented in Economics of Climate Resilience, </w:t>
      </w:r>
      <w:r w:rsidRPr="008F2889" w:rsidDel="00213ECE">
        <w:rPr>
          <w:color w:val="000000"/>
          <w:szCs w:val="16"/>
        </w:rPr>
        <w:t>Agriculture and Forestry Theme: Forestry</w:t>
      </w:r>
      <w:r w:rsidRPr="008F2889">
        <w:rPr>
          <w:color w:val="000000"/>
          <w:szCs w:val="16"/>
        </w:rPr>
        <w:t>, 2013, http://randd.defra.gov.uk/Default.aspx?Module=More&amp;Location=None&amp;ProjectID=18016</w:t>
      </w:r>
    </w:p>
  </w:footnote>
  <w:footnote w:id="56">
    <w:p w14:paraId="42A46B00" w14:textId="77777777" w:rsidR="00D50448" w:rsidRDefault="00D50448" w:rsidP="00132AA6">
      <w:pPr>
        <w:pStyle w:val="FootnoteText"/>
      </w:pPr>
      <w:r w:rsidRPr="00962373">
        <w:rPr>
          <w:rStyle w:val="FootnoteReference"/>
          <w:sz w:val="18"/>
          <w:szCs w:val="16"/>
        </w:rPr>
        <w:footnoteRef/>
      </w:r>
      <w:r>
        <w:t xml:space="preserve"> </w:t>
      </w:r>
      <w:r w:rsidRPr="00387C4D">
        <w:t>https://www.gov.uk/government/publications/net-zero-review-interim-report</w:t>
      </w:r>
    </w:p>
  </w:footnote>
  <w:footnote w:id="57">
    <w:p w14:paraId="43581E64" w14:textId="047555F3" w:rsidR="00D50448" w:rsidRDefault="00D50448">
      <w:pPr>
        <w:pStyle w:val="FootnoteText"/>
      </w:pPr>
      <w:r>
        <w:rPr>
          <w:rStyle w:val="FootnoteReference"/>
        </w:rPr>
        <w:footnoteRef/>
      </w:r>
      <w:r>
        <w:t xml:space="preserve"> </w:t>
      </w:r>
      <w:r w:rsidRPr="006A0C4B">
        <w:rPr>
          <w:rStyle w:val="normaltextrun"/>
          <w:rFonts w:cs="Arial"/>
          <w:szCs w:val="16"/>
          <w:shd w:val="clear" w:color="auto" w:fill="FFFFFF"/>
        </w:rPr>
        <w:t>UK business competitiveness and the role of carbon pricing, p24-25 </w:t>
      </w:r>
      <w:hyperlink r:id="rId12" w:tgtFrame="_blank" w:history="1">
        <w:r w:rsidRPr="006A0C4B">
          <w:rPr>
            <w:rStyle w:val="normaltextrun"/>
            <w:rFonts w:cs="Arial"/>
            <w:color w:val="0563C1"/>
            <w:szCs w:val="16"/>
            <w:u w:val="single"/>
            <w:shd w:val="clear" w:color="auto" w:fill="FFFFFF"/>
          </w:rPr>
          <w:t>https://www.gov.uk/</w:t>
        </w:r>
        <w:r>
          <w:rPr>
            <w:rStyle w:val="normaltextrun"/>
            <w:rFonts w:cs="Arial"/>
            <w:color w:val="0563C1"/>
            <w:szCs w:val="16"/>
            <w:u w:val="single"/>
            <w:shd w:val="clear" w:color="auto" w:fill="FFFFFF"/>
          </w:rPr>
          <w:t>government</w:t>
        </w:r>
        <w:r w:rsidRPr="006A0C4B">
          <w:rPr>
            <w:rStyle w:val="normaltextrun"/>
            <w:rFonts w:cs="Arial"/>
            <w:color w:val="0563C1"/>
            <w:szCs w:val="16"/>
            <w:u w:val="single"/>
            <w:shd w:val="clear" w:color="auto" w:fill="FFFFFF"/>
          </w:rPr>
          <w:t>/publications/business-competitiveness-in-industrial-sectors-and-the-role-of-carbon-pricing-policy-in-the-uk</w:t>
        </w:r>
      </w:hyperlink>
      <w:r>
        <w:rPr>
          <w:rStyle w:val="normaltextrun"/>
          <w:rFonts w:cs="Arial"/>
          <w:sz w:val="20"/>
          <w:shd w:val="clear" w:color="auto" w:fill="FFFFFF"/>
        </w:rPr>
        <w:t> </w:t>
      </w:r>
    </w:p>
  </w:footnote>
  <w:footnote w:id="58">
    <w:p w14:paraId="30C7F642" w14:textId="77777777" w:rsidR="00D50448" w:rsidRDefault="00D50448" w:rsidP="00850CB2">
      <w:pPr>
        <w:pStyle w:val="FootnoteText"/>
        <w:rPr>
          <w:bCs/>
        </w:rPr>
      </w:pPr>
      <w:r>
        <w:rPr>
          <w:rStyle w:val="FootnoteReference"/>
        </w:rPr>
        <w:footnoteRef/>
      </w:r>
      <w:r>
        <w:t xml:space="preserve"> </w:t>
      </w:r>
      <w:r w:rsidRPr="000F3EB0">
        <w:rPr>
          <w:bCs/>
        </w:rPr>
        <w:t>The modelling includes the following assumptions:</w:t>
      </w:r>
    </w:p>
    <w:p w14:paraId="466EFCE3" w14:textId="77777777" w:rsidR="00D50448" w:rsidRPr="000F3EB0" w:rsidRDefault="00D50448" w:rsidP="00850CB2">
      <w:pPr>
        <w:pStyle w:val="FootnoteText"/>
        <w:numPr>
          <w:ilvl w:val="0"/>
          <w:numId w:val="191"/>
        </w:numPr>
        <w:rPr>
          <w:bCs/>
        </w:rPr>
      </w:pPr>
      <w:r w:rsidRPr="000F3EB0">
        <w:rPr>
          <w:bCs/>
        </w:rPr>
        <w:t>Hydrogen wholesale costs are assumed to be equal to gas wholesale costs</w:t>
      </w:r>
    </w:p>
    <w:p w14:paraId="2AE86EBB" w14:textId="77777777" w:rsidR="00D50448" w:rsidRPr="000F3EB0" w:rsidRDefault="00D50448" w:rsidP="00850CB2">
      <w:pPr>
        <w:pStyle w:val="FootnoteText"/>
        <w:numPr>
          <w:ilvl w:val="0"/>
          <w:numId w:val="191"/>
        </w:numPr>
        <w:rPr>
          <w:bCs/>
        </w:rPr>
      </w:pPr>
      <w:r w:rsidRPr="000F3EB0">
        <w:rPr>
          <w:bCs/>
        </w:rPr>
        <w:t>Current supply side policy support mechanisms</w:t>
      </w:r>
      <w:r>
        <w:rPr>
          <w:bCs/>
        </w:rPr>
        <w:t>, such as the CfD and Capacity Market,</w:t>
      </w:r>
      <w:r w:rsidRPr="000F3EB0">
        <w:rPr>
          <w:bCs/>
        </w:rPr>
        <w:t xml:space="preserve"> remain unchanged and alter</w:t>
      </w:r>
      <w:r>
        <w:rPr>
          <w:bCs/>
        </w:rPr>
        <w:t>n</w:t>
      </w:r>
      <w:r w:rsidRPr="000F3EB0">
        <w:rPr>
          <w:bCs/>
        </w:rPr>
        <w:t xml:space="preserve">ative funding models are not considered </w:t>
      </w:r>
    </w:p>
    <w:p w14:paraId="31ECB362" w14:textId="3CE3FF1D" w:rsidR="00D50448" w:rsidRDefault="00D50448" w:rsidP="00850CB2">
      <w:pPr>
        <w:pStyle w:val="FootnoteText"/>
        <w:numPr>
          <w:ilvl w:val="0"/>
          <w:numId w:val="191"/>
        </w:numPr>
      </w:pPr>
      <w:r w:rsidRPr="00DC56E4">
        <w:rPr>
          <w:bCs/>
        </w:rPr>
        <w:t>Additional policy cost associated with supporting measures that lead to increased demand (e.g. electrification of transport and heat) are not accounted for as they are subject to future funding decisions</w:t>
      </w:r>
    </w:p>
  </w:footnote>
  <w:footnote w:id="59">
    <w:p w14:paraId="496281C6" w14:textId="62324092" w:rsidR="00D50448" w:rsidRDefault="00D50448" w:rsidP="009350E8">
      <w:pPr>
        <w:pStyle w:val="FootnoteText"/>
      </w:pPr>
      <w:r>
        <w:rPr>
          <w:rStyle w:val="FootnoteReference"/>
        </w:rPr>
        <w:footnoteRef/>
      </w:r>
      <w:r>
        <w:t xml:space="preserve"> Assumed to consume between 2,000 and 19,999MWh per year</w:t>
      </w:r>
    </w:p>
  </w:footnote>
  <w:footnote w:id="60">
    <w:p w14:paraId="63195774" w14:textId="07730277" w:rsidR="00D50448" w:rsidRDefault="00D50448" w:rsidP="009350E8">
      <w:pPr>
        <w:pStyle w:val="FootnoteText"/>
      </w:pPr>
      <w:r>
        <w:rPr>
          <w:rStyle w:val="FootnoteReference"/>
        </w:rPr>
        <w:footnoteRef/>
      </w:r>
      <w:r>
        <w:t xml:space="preserve"> Assumed to consume between 40,000 to 160,000MWh per year, qualify for 85% exemptions from renewables obligation, feed-in-tariffs and contracts-for-difference support costs, and 60% compensation from indirect carbon costs (emissions trading scheme and carbon price support).</w:t>
      </w:r>
    </w:p>
  </w:footnote>
  <w:footnote w:id="61">
    <w:p w14:paraId="5E3CE4C4" w14:textId="289F6F06" w:rsidR="00D50448" w:rsidRDefault="00D50448" w:rsidP="009350E8">
      <w:pPr>
        <w:pStyle w:val="FootnoteText"/>
      </w:pPr>
      <w:r>
        <w:rPr>
          <w:rStyle w:val="FootnoteReference"/>
        </w:rPr>
        <w:footnoteRef/>
      </w:r>
      <w:r>
        <w:t xml:space="preserve"> Assumed to consume between 40,000 to 160,000MWh per year</w:t>
      </w:r>
    </w:p>
  </w:footnote>
  <w:footnote w:id="62">
    <w:p w14:paraId="5747CC6F" w14:textId="4EF649BA" w:rsidR="00D50448" w:rsidRPr="00D5058C" w:rsidRDefault="00D50448">
      <w:pPr>
        <w:pStyle w:val="FootnoteText"/>
        <w:rPr>
          <w:rFonts w:cs="Arial"/>
          <w:szCs w:val="16"/>
        </w:rPr>
      </w:pPr>
      <w:r w:rsidRPr="006A0C4B">
        <w:rPr>
          <w:rStyle w:val="FootnoteReference"/>
          <w:rFonts w:cs="Arial"/>
          <w:sz w:val="20"/>
        </w:rPr>
        <w:footnoteRef/>
      </w:r>
      <w:r w:rsidRPr="006A0C4B">
        <w:rPr>
          <w:rFonts w:cs="Arial"/>
          <w:sz w:val="20"/>
        </w:rPr>
        <w:t xml:space="preserve"> </w:t>
      </w:r>
      <w:r w:rsidRPr="006A0C4B">
        <w:rPr>
          <w:rFonts w:cs="Arial"/>
          <w:color w:val="201F1E"/>
          <w:szCs w:val="16"/>
          <w:shd w:val="clear" w:color="auto" w:fill="FFFFFF"/>
        </w:rPr>
        <w:t>Fuel Poverty (England) Regulations 2014 </w:t>
      </w:r>
      <w:hyperlink r:id="rId13" w:tgtFrame="_blank" w:tooltip="Original URL: https://www.legislation.gov.uk/ukdsi/2014/9780111118900/contents. Click or tap if you trust this link." w:history="1">
        <w:r w:rsidRPr="006A0C4B">
          <w:rPr>
            <w:rStyle w:val="Hyperlink"/>
            <w:rFonts w:cs="Arial"/>
            <w:szCs w:val="16"/>
            <w:bdr w:val="none" w:sz="0" w:space="0" w:color="auto" w:frame="1"/>
            <w:shd w:val="clear" w:color="auto" w:fill="FFFFFF"/>
          </w:rPr>
          <w:t>https://www.legislation.gov.uk/ukdsi/2014/9780111118900/contents</w:t>
        </w:r>
      </w:hyperlink>
    </w:p>
  </w:footnote>
  <w:footnote w:id="63">
    <w:p w14:paraId="4F874DE3" w14:textId="2096BBB8" w:rsidR="00D50448" w:rsidRDefault="00D50448">
      <w:pPr>
        <w:pStyle w:val="FootnoteText"/>
      </w:pPr>
      <w:r>
        <w:rPr>
          <w:rStyle w:val="FootnoteReference"/>
        </w:rPr>
        <w:footnoteRef/>
      </w:r>
      <w:r>
        <w:t xml:space="preserve"> </w:t>
      </w:r>
      <w:r w:rsidRPr="000500F7">
        <w:t>https://www.gov.uk/government/groups/green-jobs-taskforce</w:t>
      </w:r>
    </w:p>
  </w:footnote>
  <w:footnote w:id="64">
    <w:p w14:paraId="397FC8B3" w14:textId="7C86DC55" w:rsidR="00D50448" w:rsidRDefault="00D50448">
      <w:pPr>
        <w:pStyle w:val="FootnoteText"/>
      </w:pPr>
      <w:r>
        <w:rPr>
          <w:rStyle w:val="FootnoteReference"/>
        </w:rPr>
        <w:footnoteRef/>
      </w:r>
      <w:r>
        <w:t xml:space="preserve"> Latest OBR GDP growth assumptions are used to estimate GDP in 2035. Short-term forecast published alongside Spending Review 2020, and long-term forecast published in March 2020. Final energy demands are consistent with core long-term pathways presented in section 2.2. </w:t>
      </w:r>
    </w:p>
  </w:footnote>
  <w:footnote w:id="65">
    <w:p w14:paraId="7D38968D" w14:textId="7491F192" w:rsidR="00D50448" w:rsidRDefault="00D50448">
      <w:pPr>
        <w:pStyle w:val="FootnoteText"/>
      </w:pPr>
      <w:r>
        <w:rPr>
          <w:rStyle w:val="FootnoteReference"/>
        </w:rPr>
        <w:footnoteRef/>
      </w:r>
      <w:r>
        <w:t xml:space="preserve"> This analysis assumed no impact on economic growth from undertaking actions to meet the level of carbon budget six. Depending on the scale of impacts discussed in the section on Economic circumstances these values could be higher (in case of negative impact on economic growth) or higher (in case of negative impact on economic growth). </w:t>
      </w:r>
    </w:p>
  </w:footnote>
  <w:footnote w:id="66">
    <w:p w14:paraId="746859B2" w14:textId="77777777" w:rsidR="00D50448" w:rsidRDefault="00D50448" w:rsidP="001C673B">
      <w:pPr>
        <w:pStyle w:val="FootnoteText"/>
      </w:pPr>
      <w:r>
        <w:rPr>
          <w:rStyle w:val="FootnoteReference"/>
        </w:rPr>
        <w:footnoteRef/>
      </w:r>
      <w:r>
        <w:t xml:space="preserve"> Note: </w:t>
      </w:r>
      <w:r w:rsidRPr="00F339B2">
        <w:t xml:space="preserve">1990-2019 UK GHG emissions published Feb 2021. </w:t>
      </w:r>
      <w:r>
        <w:t>E</w:t>
      </w:r>
      <w:r w:rsidRPr="00F339B2">
        <w:t>quivalent DA GHG emissions esti</w:t>
      </w:r>
      <w:r>
        <w:t>m</w:t>
      </w:r>
      <w:r w:rsidRPr="00F339B2">
        <w:t>ates due to be published June 2021</w:t>
      </w:r>
      <w:r>
        <w:t>.</w:t>
      </w:r>
    </w:p>
  </w:footnote>
  <w:footnote w:id="67">
    <w:p w14:paraId="6D8C1F20" w14:textId="75D6CEE7" w:rsidR="00D50448" w:rsidRPr="006A0C4B" w:rsidRDefault="00D50448" w:rsidP="00615870">
      <w:pPr>
        <w:spacing w:line="257" w:lineRule="auto"/>
        <w:rPr>
          <w:sz w:val="16"/>
          <w:szCs w:val="16"/>
        </w:rPr>
      </w:pPr>
      <w:r w:rsidRPr="00861D79">
        <w:rPr>
          <w:rStyle w:val="FootnoteReference"/>
          <w:rFonts w:eastAsiaTheme="majorEastAsia" w:cs="Tahoma"/>
          <w:sz w:val="20"/>
          <w:szCs w:val="20"/>
        </w:rPr>
        <w:footnoteRef/>
      </w:r>
      <w:r w:rsidRPr="00861D79">
        <w:rPr>
          <w:sz w:val="20"/>
          <w:szCs w:val="20"/>
        </w:rPr>
        <w:t xml:space="preserve"> </w:t>
      </w:r>
      <w:r w:rsidRPr="006A0C4B">
        <w:rPr>
          <w:rFonts w:eastAsia="Humnst777 Lt BT"/>
          <w:sz w:val="16"/>
          <w:szCs w:val="16"/>
          <w:lang w:val="en-US"/>
        </w:rPr>
        <w:t xml:space="preserve">See </w:t>
      </w:r>
      <w:hyperlink r:id="rId14">
        <w:r w:rsidRPr="006A0C4B">
          <w:rPr>
            <w:rStyle w:val="Hyperlink"/>
            <w:rFonts w:eastAsia="Humnst777 Lt BT" w:cs="Tahoma"/>
            <w:sz w:val="16"/>
            <w:szCs w:val="16"/>
            <w:lang w:val="en-US"/>
          </w:rPr>
          <w:t>https://www.gov.uk/</w:t>
        </w:r>
        <w:r>
          <w:rPr>
            <w:rStyle w:val="Hyperlink"/>
            <w:rFonts w:eastAsia="Humnst777 Lt BT" w:cs="Tahoma"/>
            <w:sz w:val="16"/>
            <w:szCs w:val="16"/>
            <w:lang w:val="en-US"/>
          </w:rPr>
          <w:t>government</w:t>
        </w:r>
        <w:r w:rsidRPr="006A0C4B">
          <w:rPr>
            <w:rStyle w:val="Hyperlink"/>
            <w:rFonts w:eastAsia="Humnst777 Lt BT" w:cs="Tahoma"/>
            <w:sz w:val="16"/>
            <w:szCs w:val="16"/>
            <w:lang w:val="en-US"/>
          </w:rPr>
          <w:t>/groups/natural-capital-committee</w:t>
        </w:r>
      </w:hyperlink>
      <w:r w:rsidRPr="006A0C4B">
        <w:rPr>
          <w:rFonts w:eastAsia="Humnst777 Lt BT"/>
          <w:sz w:val="16"/>
          <w:szCs w:val="16"/>
          <w:lang w:val="en-US"/>
        </w:rPr>
        <w:t xml:space="preserve"> The Natural Capital Committee is an independent advisory body, set up in 2012. It provides advice to the </w:t>
      </w:r>
      <w:r>
        <w:rPr>
          <w:rFonts w:eastAsia="Humnst777 Lt BT"/>
          <w:sz w:val="16"/>
          <w:szCs w:val="16"/>
          <w:lang w:val="en-US"/>
        </w:rPr>
        <w:t>government</w:t>
      </w:r>
      <w:r w:rsidRPr="006A0C4B">
        <w:rPr>
          <w:rFonts w:eastAsia="Humnst777 Lt BT"/>
          <w:sz w:val="16"/>
          <w:szCs w:val="16"/>
          <w:lang w:val="en-US"/>
        </w:rPr>
        <w:t xml:space="preserve"> on the state of England’s natural capital - that is, our natural assets include forests, rivers, land, minerals and oceans.</w:t>
      </w:r>
    </w:p>
  </w:footnote>
  <w:footnote w:id="68">
    <w:p w14:paraId="339304A4" w14:textId="6291737A" w:rsidR="00D50448" w:rsidRDefault="00D50448" w:rsidP="00615870">
      <w:pPr>
        <w:pStyle w:val="FootnoteText"/>
        <w:rPr>
          <w:rFonts w:ascii="Humnst777 Lt BT" w:hAnsi="Humnst777 Lt BT" w:cs="Humnst777 Lt BT"/>
          <w:lang w:val="en-US"/>
        </w:rPr>
      </w:pPr>
      <w:r w:rsidRPr="006A0C4B">
        <w:rPr>
          <w:rStyle w:val="FootnoteReference"/>
          <w:rFonts w:cs="Tahoma"/>
          <w:sz w:val="16"/>
          <w:szCs w:val="16"/>
        </w:rPr>
        <w:footnoteRef/>
      </w:r>
      <w:r w:rsidRPr="006A0C4B">
        <w:rPr>
          <w:szCs w:val="16"/>
        </w:rPr>
        <w:t xml:space="preserve"> </w:t>
      </w:r>
      <w:r w:rsidRPr="006A0C4B">
        <w:rPr>
          <w:szCs w:val="16"/>
          <w:lang w:val="en-US"/>
        </w:rPr>
        <w:t>ONS (2020). Environmental Good and services sector estimate</w:t>
      </w:r>
    </w:p>
  </w:footnote>
  <w:footnote w:id="69">
    <w:p w14:paraId="5C3326FC" w14:textId="0B254B49" w:rsidR="00D50448" w:rsidRDefault="00D50448">
      <w:pPr>
        <w:pStyle w:val="FootnoteText"/>
      </w:pPr>
      <w:r>
        <w:rPr>
          <w:rStyle w:val="FootnoteReference"/>
        </w:rPr>
        <w:footnoteRef/>
      </w:r>
      <w:r>
        <w:t xml:space="preserve"> Green Book: appraisal and evaluation in central government,</w:t>
      </w:r>
      <w:r w:rsidRPr="00E21196">
        <w:t xml:space="preserve"> https://www.gov.uk/</w:t>
      </w:r>
      <w:r>
        <w:t>government</w:t>
      </w:r>
      <w:r w:rsidRPr="00E21196">
        <w:t>/publications/the-green-book-appraisal-and-evaluation-in-central-governent</w:t>
      </w:r>
    </w:p>
  </w:footnote>
  <w:footnote w:id="70">
    <w:p w14:paraId="38F59A4F" w14:textId="30C5E817" w:rsidR="00D50448" w:rsidRDefault="00D50448">
      <w:pPr>
        <w:pStyle w:val="FootnoteText"/>
      </w:pPr>
      <w:r>
        <w:rPr>
          <w:rStyle w:val="FootnoteReference"/>
        </w:rPr>
        <w:footnoteRef/>
      </w:r>
      <w:r>
        <w:t xml:space="preserve"> Green Book supplementary guidance: valuation of energy use and greenhouse gas emissions for appraisal, </w:t>
      </w:r>
      <w:r w:rsidRPr="00E21196">
        <w:t>https://www.gov.uk/</w:t>
      </w:r>
      <w:r>
        <w:t>government</w:t>
      </w:r>
      <w:r w:rsidRPr="00E21196">
        <w:t>/publications/valuation-of-energy-use-and-greenhouse-gas-emissions-for-appraisal</w:t>
      </w:r>
      <w:r>
        <w:t xml:space="preserve"> </w:t>
      </w:r>
    </w:p>
  </w:footnote>
  <w:footnote w:id="71">
    <w:p w14:paraId="538F42E5" w14:textId="11200373" w:rsidR="00D50448" w:rsidRDefault="00D50448">
      <w:pPr>
        <w:pStyle w:val="FootnoteText"/>
      </w:pPr>
      <w:r>
        <w:rPr>
          <w:rStyle w:val="FootnoteReference"/>
        </w:rPr>
        <w:footnoteRef/>
      </w:r>
      <w:r>
        <w:t xml:space="preserve"> </w:t>
      </w:r>
      <w:hyperlink r:id="rId15" w:tgtFrame="_blank" w:history="1">
        <w:r w:rsidRPr="00E047A8">
          <w:rPr>
            <w:rStyle w:val="Hyperlink"/>
            <w:rFonts w:cs="Arial"/>
            <w:color w:val="000000"/>
            <w:szCs w:val="24"/>
          </w:rPr>
          <w:t>https://www.gov.uk/</w:t>
        </w:r>
        <w:r>
          <w:rPr>
            <w:rStyle w:val="Hyperlink"/>
            <w:rFonts w:cs="Arial"/>
            <w:color w:val="000000"/>
            <w:szCs w:val="24"/>
          </w:rPr>
          <w:t>government</w:t>
        </w:r>
        <w:r w:rsidRPr="00E047A8">
          <w:rPr>
            <w:rStyle w:val="Hyperlink"/>
            <w:rFonts w:cs="Arial"/>
            <w:color w:val="000000"/>
            <w:szCs w:val="24"/>
          </w:rPr>
          <w:t>/publications/uk-and-global-bioenergy-resource-model</w:t>
        </w:r>
      </w:hyperlink>
      <w:r w:rsidRPr="00463FBE">
        <w:rPr>
          <w:rFonts w:cs="Arial"/>
        </w:rPr>
        <w:t>.</w:t>
      </w:r>
    </w:p>
  </w:footnote>
  <w:footnote w:id="72">
    <w:p w14:paraId="74F1ACC3" w14:textId="4FD4305E" w:rsidR="00D50448" w:rsidRDefault="00D50448" w:rsidP="006A0C4B">
      <w:pPr>
        <w:pStyle w:val="CommentText"/>
      </w:pPr>
      <w:r>
        <w:rPr>
          <w:rStyle w:val="FootnoteReference"/>
        </w:rPr>
        <w:footnoteRef/>
      </w:r>
      <w:r>
        <w:t xml:space="preserve"> </w:t>
      </w:r>
      <w:hyperlink r:id="rId16">
        <w:r w:rsidRPr="006A0C4B">
          <w:rPr>
            <w:rStyle w:val="Hyperlink"/>
            <w:rFonts w:ascii="Arial" w:hAnsi="Arial" w:cs="Arial"/>
            <w:sz w:val="16"/>
            <w:szCs w:val="16"/>
          </w:rPr>
          <w:t>https://www.gov.uk/</w:t>
        </w:r>
        <w:r>
          <w:rPr>
            <w:rStyle w:val="Hyperlink"/>
            <w:rFonts w:ascii="Arial" w:hAnsi="Arial" w:cs="Arial"/>
            <w:sz w:val="16"/>
            <w:szCs w:val="16"/>
          </w:rPr>
          <w:t>government</w:t>
        </w:r>
        <w:r w:rsidRPr="006A0C4B">
          <w:rPr>
            <w:rStyle w:val="Hyperlink"/>
            <w:rFonts w:ascii="Arial" w:hAnsi="Arial" w:cs="Arial"/>
            <w:sz w:val="16"/>
            <w:szCs w:val="16"/>
          </w:rPr>
          <w:t>/publications/beis-electricity-generation-costs-2020</w:t>
        </w:r>
      </w:hyperlink>
      <w:r w:rsidRPr="006A0C4B">
        <w:rPr>
          <w:rFonts w:ascii="Arial" w:hAnsi="Arial" w:cs="Arial"/>
          <w:sz w:val="16"/>
          <w:szCs w:val="16"/>
        </w:rPr>
        <w:t xml:space="preserve"> </w:t>
      </w:r>
    </w:p>
  </w:footnote>
  <w:footnote w:id="73">
    <w:p w14:paraId="19EE3464" w14:textId="77777777" w:rsidR="00D50448" w:rsidRDefault="00D50448" w:rsidP="00D2406C">
      <w:pPr>
        <w:pStyle w:val="FootnoteText"/>
      </w:pPr>
      <w:r>
        <w:rPr>
          <w:rStyle w:val="FootnoteReference"/>
        </w:rPr>
        <w:footnoteRef/>
      </w:r>
      <w:r>
        <w:t xml:space="preserve"> </w:t>
      </w:r>
      <w:hyperlink r:id="rId17" w:history="1">
        <w:r>
          <w:rPr>
            <w:rStyle w:val="Hyperlink"/>
          </w:rPr>
          <w:t>https://assets.publishing.service.gov.uk/government/uploads/system/uploads/attachment_data/file/816018/scenario-analysis-take-up-of-emissions-reduction-options-impacts-on-emissions-costs.pdf</w:t>
        </w:r>
      </w:hyperlink>
    </w:p>
  </w:footnote>
  <w:footnote w:id="74">
    <w:p w14:paraId="38210F62" w14:textId="09FF1DC4" w:rsidR="00D50448" w:rsidRPr="00D40A11" w:rsidRDefault="00D50448">
      <w:pPr>
        <w:pStyle w:val="FootnoteText"/>
      </w:pPr>
      <w:r>
        <w:rPr>
          <w:rStyle w:val="FootnoteReference"/>
        </w:rPr>
        <w:footnoteRef/>
      </w:r>
      <w:r>
        <w:t xml:space="preserve"> Industrial energy use from a bottom-up perspective: developing the usable energy database, 2013, Griffin et al </w:t>
      </w:r>
      <w:r w:rsidRPr="00D40A11">
        <w:t>https://data.ukedc.rl.ac.uk/simplebrowse/edc/efficiency/industry/EnergyConsumption/UED_Documentation.pdf</w:t>
      </w:r>
      <w:r>
        <w:t xml:space="preserve"> </w:t>
      </w:r>
    </w:p>
  </w:footnote>
  <w:footnote w:id="75">
    <w:p w14:paraId="133C19A3" w14:textId="178BA04D" w:rsidR="00D50448" w:rsidRDefault="00D50448" w:rsidP="00792E62">
      <w:pPr>
        <w:pStyle w:val="FootnoteText"/>
      </w:pPr>
      <w:r>
        <w:rPr>
          <w:rStyle w:val="FootnoteReference"/>
        </w:rPr>
        <w:footnoteRef/>
      </w:r>
      <w:r>
        <w:t xml:space="preserve"> Figures in brackets indicate adjustment for Tier 2 peat emissions in line with the accounting scope of this Impact Assessment.</w:t>
      </w:r>
    </w:p>
  </w:footnote>
  <w:footnote w:id="76">
    <w:p w14:paraId="3E690967" w14:textId="52EC27C8" w:rsidR="00D50448" w:rsidRDefault="00D50448">
      <w:pPr>
        <w:pStyle w:val="FootnoteText"/>
      </w:pPr>
      <w:r>
        <w:rPr>
          <w:rStyle w:val="FootnoteReference"/>
        </w:rPr>
        <w:footnoteRef/>
      </w:r>
      <w:r>
        <w:t xml:space="preserve"> </w:t>
      </w:r>
      <w:r w:rsidR="007E7496">
        <w:t xml:space="preserve"> </w:t>
      </w:r>
      <w:hyperlink r:id="rId18" w:history="1">
        <w:r w:rsidR="007E7496" w:rsidRPr="00F0745E">
          <w:rPr>
            <w:rStyle w:val="Hyperlink"/>
            <w:rFonts w:cs="Tahoma"/>
          </w:rPr>
          <w:t>https://assets.publishing.service.gov.uk/government/uploads/system/uploads/attachment_data/file/816018/scenario-analysis-take-up-of-emissions-reduction-options-impacts-on-emissions-costs.pdf</w:t>
        </w:r>
      </w:hyperlink>
      <w:r w:rsidR="007E7496">
        <w:t xml:space="preserve"> </w:t>
      </w:r>
    </w:p>
  </w:footnote>
  <w:footnote w:id="77">
    <w:p w14:paraId="5EFB5485" w14:textId="00180D74" w:rsidR="00C116E0" w:rsidRDefault="00C116E0">
      <w:pPr>
        <w:pStyle w:val="FootnoteText"/>
      </w:pPr>
      <w:r>
        <w:rPr>
          <w:rStyle w:val="FootnoteReference"/>
        </w:rPr>
        <w:footnoteRef/>
      </w:r>
      <w:r>
        <w:t xml:space="preserve"> See Section </w:t>
      </w:r>
      <w:r w:rsidRPr="00AF33DE">
        <w:t xml:space="preserve">7.3.1 </w:t>
      </w:r>
      <w:r>
        <w:t xml:space="preserve">of </w:t>
      </w:r>
      <w:hyperlink r:id="rId19" w:history="1">
        <w:r w:rsidRPr="00786EB7">
          <w:rPr>
            <w:rStyle w:val="Hyperlink"/>
            <w:rFonts w:cs="Tahoma"/>
          </w:rPr>
          <w:t>https://assets.publishing.service.gov.uk/government/uploads/system/uploads/attachment_data/file/816019/scenario-analysis-take-up-of-emissions-reduction-options-impacts-on-emissions-costs-technical-annexes.pdf</w:t>
        </w:r>
      </w:hyperlink>
      <w:r>
        <w:t xml:space="preserve"> for further details.</w:t>
      </w:r>
    </w:p>
  </w:footnote>
  <w:footnote w:id="78">
    <w:p w14:paraId="1A247E28" w14:textId="54507E5C" w:rsidR="00D50448" w:rsidRDefault="00D50448">
      <w:pPr>
        <w:pStyle w:val="FootnoteText"/>
      </w:pPr>
      <w:r>
        <w:rPr>
          <w:rStyle w:val="FootnoteReference"/>
        </w:rPr>
        <w:footnoteRef/>
      </w:r>
      <w:r>
        <w:t xml:space="preserve"> </w:t>
      </w:r>
      <w:hyperlink r:id="rId20" w:history="1">
        <w:r w:rsidRPr="00EA4BD8">
          <w:rPr>
            <w:rStyle w:val="Hyperlink"/>
            <w:rFonts w:cs="Tahoma"/>
          </w:rPr>
          <w:t>https://assets.publishing.service.gov.uk/</w:t>
        </w:r>
        <w:r>
          <w:rPr>
            <w:rStyle w:val="Hyperlink"/>
            <w:rFonts w:cs="Tahoma"/>
          </w:rPr>
          <w:t>government</w:t>
        </w:r>
        <w:r w:rsidRPr="00EA4BD8">
          <w:rPr>
            <w:rStyle w:val="Hyperlink"/>
            <w:rFonts w:cs="Tahoma"/>
          </w:rPr>
          <w:t>/uploads/system/uploads/attachment_data/file/943714/Modelling-2050-Electricity-System-Analysis.pdf</w:t>
        </w:r>
      </w:hyperlink>
      <w:r>
        <w:t xml:space="preserve"> </w:t>
      </w:r>
    </w:p>
  </w:footnote>
  <w:footnote w:id="79">
    <w:p w14:paraId="60B2644C" w14:textId="43BF7CC4" w:rsidR="00D50448" w:rsidRDefault="00D50448">
      <w:pPr>
        <w:pStyle w:val="FootnoteText"/>
      </w:pPr>
      <w:r>
        <w:rPr>
          <w:rStyle w:val="FootnoteReference"/>
        </w:rPr>
        <w:footnoteRef/>
      </w:r>
      <w:r>
        <w:t xml:space="preserve"> </w:t>
      </w:r>
      <w:r w:rsidRPr="00963BCB">
        <w:t>https://www.legislation.gov.uk/uksi/2018/129/contents/made</w:t>
      </w:r>
    </w:p>
  </w:footnote>
  <w:footnote w:id="80">
    <w:p w14:paraId="12E04AE9" w14:textId="58126DA7" w:rsidR="00D50448" w:rsidRDefault="00D50448">
      <w:pPr>
        <w:pStyle w:val="FootnoteText"/>
      </w:pPr>
      <w:r>
        <w:rPr>
          <w:rStyle w:val="FootnoteReference"/>
        </w:rPr>
        <w:footnoteRef/>
      </w:r>
      <w:r>
        <w:t xml:space="preserve"> The Economics of Biodiversity: The Dasgupta Review, 2021, </w:t>
      </w:r>
      <w:r w:rsidRPr="00A65D6E">
        <w:t>https://www.gov.uk/</w:t>
      </w:r>
      <w:r>
        <w:t>government</w:t>
      </w:r>
      <w:r w:rsidRPr="00A65D6E">
        <w:t>/publications/final-report-the-economics-of-biodiversity-the-dasgupta-review</w:t>
      </w:r>
    </w:p>
  </w:footnote>
  <w:footnote w:id="81">
    <w:p w14:paraId="7747909D" w14:textId="6B97CB7D" w:rsidR="00D50448" w:rsidRDefault="00D50448">
      <w:pPr>
        <w:pStyle w:val="FootnoteText"/>
      </w:pPr>
      <w:r>
        <w:rPr>
          <w:rStyle w:val="FootnoteReference"/>
        </w:rPr>
        <w:footnoteRef/>
      </w:r>
      <w:r>
        <w:t xml:space="preserve"> Note: </w:t>
      </w:r>
      <w:r w:rsidRPr="00F339B2">
        <w:t xml:space="preserve">1990-2019 UK GHG emissions published Feb 2021. </w:t>
      </w:r>
      <w:r>
        <w:t>E</w:t>
      </w:r>
      <w:r w:rsidRPr="00F339B2">
        <w:t>quivalent DA GHG emissions esti</w:t>
      </w:r>
      <w:r>
        <w:t>m</w:t>
      </w:r>
      <w:r w:rsidRPr="00F339B2">
        <w:t>ates due to be published June 2021</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30D8" w14:textId="77777777" w:rsidR="00D50448" w:rsidRDefault="00D504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920D" w14:textId="16E3B14A" w:rsidR="00D50448" w:rsidRDefault="00D50448">
    <w:pPr>
      <w:pStyle w:val="Header"/>
    </w:pPr>
    <w:r>
      <w:fldChar w:fldCharType="begin"/>
    </w:r>
    <w:r>
      <w:instrText xml:space="preserve"> DOCPROPERTY  Classification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E5421" w14:textId="11BEDF35" w:rsidR="00D50448" w:rsidRDefault="00D5044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7460" w14:textId="77777777" w:rsidR="00D50448" w:rsidRDefault="00D50448"/>
  <w:p w14:paraId="13C35FD1" w14:textId="77777777" w:rsidR="00D50448" w:rsidRDefault="00D50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C02EAC8"/>
    <w:lvl w:ilvl="0">
      <w:start w:val="1"/>
      <w:numFmt w:val="decimal"/>
      <w:lvlText w:val="%1."/>
      <w:lvlJc w:val="left"/>
      <w:pPr>
        <w:tabs>
          <w:tab w:val="num" w:pos="1492"/>
        </w:tabs>
        <w:ind w:left="1492" w:hanging="360"/>
      </w:pPr>
      <w:rPr>
        <w:rFonts w:cs="SegoeUI"/>
      </w:rPr>
    </w:lvl>
  </w:abstractNum>
  <w:abstractNum w:abstractNumId="1" w15:restartNumberingAfterBreak="0">
    <w:nsid w:val="FFFFFF7D"/>
    <w:multiLevelType w:val="hybridMultilevel"/>
    <w:tmpl w:val="3438C8F0"/>
    <w:lvl w:ilvl="0" w:tplc="B6EE5B36">
      <w:start w:val="1"/>
      <w:numFmt w:val="decimal"/>
      <w:lvlText w:val="%1."/>
      <w:lvlJc w:val="left"/>
      <w:pPr>
        <w:tabs>
          <w:tab w:val="num" w:pos="1209"/>
        </w:tabs>
        <w:ind w:left="1209" w:hanging="360"/>
      </w:pPr>
      <w:rPr>
        <w:rFonts w:cs="SegoeUI"/>
      </w:rPr>
    </w:lvl>
    <w:lvl w:ilvl="1" w:tplc="82C2C03A">
      <w:numFmt w:val="decimal"/>
      <w:lvlText w:val=""/>
      <w:lvlJc w:val="left"/>
    </w:lvl>
    <w:lvl w:ilvl="2" w:tplc="FBEC22E8">
      <w:numFmt w:val="decimal"/>
      <w:lvlText w:val=""/>
      <w:lvlJc w:val="left"/>
    </w:lvl>
    <w:lvl w:ilvl="3" w:tplc="6F94E1FE">
      <w:numFmt w:val="decimal"/>
      <w:lvlText w:val=""/>
      <w:lvlJc w:val="left"/>
    </w:lvl>
    <w:lvl w:ilvl="4" w:tplc="72D610B0">
      <w:numFmt w:val="decimal"/>
      <w:lvlText w:val=""/>
      <w:lvlJc w:val="left"/>
    </w:lvl>
    <w:lvl w:ilvl="5" w:tplc="88E43BAC">
      <w:numFmt w:val="decimal"/>
      <w:lvlText w:val=""/>
      <w:lvlJc w:val="left"/>
    </w:lvl>
    <w:lvl w:ilvl="6" w:tplc="7E1EA190">
      <w:numFmt w:val="decimal"/>
      <w:lvlText w:val=""/>
      <w:lvlJc w:val="left"/>
    </w:lvl>
    <w:lvl w:ilvl="7" w:tplc="ABDCC706">
      <w:numFmt w:val="decimal"/>
      <w:lvlText w:val=""/>
      <w:lvlJc w:val="left"/>
    </w:lvl>
    <w:lvl w:ilvl="8" w:tplc="BD527840">
      <w:numFmt w:val="decimal"/>
      <w:lvlText w:val=""/>
      <w:lvlJc w:val="left"/>
    </w:lvl>
  </w:abstractNum>
  <w:abstractNum w:abstractNumId="2" w15:restartNumberingAfterBreak="0">
    <w:nsid w:val="FFFFFF7E"/>
    <w:multiLevelType w:val="hybridMultilevel"/>
    <w:tmpl w:val="D742A838"/>
    <w:lvl w:ilvl="0" w:tplc="90C8DCC2">
      <w:start w:val="1"/>
      <w:numFmt w:val="decimal"/>
      <w:lvlText w:val="%1."/>
      <w:lvlJc w:val="left"/>
      <w:pPr>
        <w:tabs>
          <w:tab w:val="num" w:pos="926"/>
        </w:tabs>
        <w:ind w:left="926" w:hanging="360"/>
      </w:pPr>
      <w:rPr>
        <w:rFonts w:cs="SegoeUI"/>
      </w:rPr>
    </w:lvl>
    <w:lvl w:ilvl="1" w:tplc="ACA81798">
      <w:numFmt w:val="decimal"/>
      <w:lvlText w:val=""/>
      <w:lvlJc w:val="left"/>
    </w:lvl>
    <w:lvl w:ilvl="2" w:tplc="789091EC">
      <w:numFmt w:val="decimal"/>
      <w:lvlText w:val=""/>
      <w:lvlJc w:val="left"/>
    </w:lvl>
    <w:lvl w:ilvl="3" w:tplc="B2DC4CA6">
      <w:numFmt w:val="decimal"/>
      <w:lvlText w:val=""/>
      <w:lvlJc w:val="left"/>
    </w:lvl>
    <w:lvl w:ilvl="4" w:tplc="FC40BC96">
      <w:numFmt w:val="decimal"/>
      <w:lvlText w:val=""/>
      <w:lvlJc w:val="left"/>
    </w:lvl>
    <w:lvl w:ilvl="5" w:tplc="4176DFAA">
      <w:numFmt w:val="decimal"/>
      <w:lvlText w:val=""/>
      <w:lvlJc w:val="left"/>
    </w:lvl>
    <w:lvl w:ilvl="6" w:tplc="07BC2462">
      <w:numFmt w:val="decimal"/>
      <w:lvlText w:val=""/>
      <w:lvlJc w:val="left"/>
    </w:lvl>
    <w:lvl w:ilvl="7" w:tplc="0638DDA2">
      <w:numFmt w:val="decimal"/>
      <w:lvlText w:val=""/>
      <w:lvlJc w:val="left"/>
    </w:lvl>
    <w:lvl w:ilvl="8" w:tplc="234A4642">
      <w:numFmt w:val="decimal"/>
      <w:lvlText w:val=""/>
      <w:lvlJc w:val="left"/>
    </w:lvl>
  </w:abstractNum>
  <w:abstractNum w:abstractNumId="3" w15:restartNumberingAfterBreak="0">
    <w:nsid w:val="FFFFFF7F"/>
    <w:multiLevelType w:val="hybridMultilevel"/>
    <w:tmpl w:val="23A4D59C"/>
    <w:lvl w:ilvl="0" w:tplc="F11A2C88">
      <w:start w:val="1"/>
      <w:numFmt w:val="decimal"/>
      <w:lvlText w:val="%1."/>
      <w:lvlJc w:val="left"/>
      <w:pPr>
        <w:tabs>
          <w:tab w:val="num" w:pos="643"/>
        </w:tabs>
        <w:ind w:left="643" w:hanging="360"/>
      </w:pPr>
      <w:rPr>
        <w:rFonts w:cs="SegoeUI"/>
      </w:rPr>
    </w:lvl>
    <w:lvl w:ilvl="1" w:tplc="B89CAD30">
      <w:numFmt w:val="decimal"/>
      <w:lvlText w:val=""/>
      <w:lvlJc w:val="left"/>
    </w:lvl>
    <w:lvl w:ilvl="2" w:tplc="89F4E0DE">
      <w:numFmt w:val="decimal"/>
      <w:lvlText w:val=""/>
      <w:lvlJc w:val="left"/>
    </w:lvl>
    <w:lvl w:ilvl="3" w:tplc="6286309E">
      <w:numFmt w:val="decimal"/>
      <w:lvlText w:val=""/>
      <w:lvlJc w:val="left"/>
    </w:lvl>
    <w:lvl w:ilvl="4" w:tplc="9384D33A">
      <w:numFmt w:val="decimal"/>
      <w:lvlText w:val=""/>
      <w:lvlJc w:val="left"/>
    </w:lvl>
    <w:lvl w:ilvl="5" w:tplc="FDB234B8">
      <w:numFmt w:val="decimal"/>
      <w:lvlText w:val=""/>
      <w:lvlJc w:val="left"/>
    </w:lvl>
    <w:lvl w:ilvl="6" w:tplc="D6A65348">
      <w:numFmt w:val="decimal"/>
      <w:lvlText w:val=""/>
      <w:lvlJc w:val="left"/>
    </w:lvl>
    <w:lvl w:ilvl="7" w:tplc="6BF88E1E">
      <w:numFmt w:val="decimal"/>
      <w:lvlText w:val=""/>
      <w:lvlJc w:val="left"/>
    </w:lvl>
    <w:lvl w:ilvl="8" w:tplc="815C2A06">
      <w:numFmt w:val="decimal"/>
      <w:lvlText w:val=""/>
      <w:lvlJc w:val="left"/>
    </w:lvl>
  </w:abstractNum>
  <w:abstractNum w:abstractNumId="4" w15:restartNumberingAfterBreak="0">
    <w:nsid w:val="FFFFFF80"/>
    <w:multiLevelType w:val="hybridMultilevel"/>
    <w:tmpl w:val="ACBC2C1C"/>
    <w:lvl w:ilvl="0" w:tplc="5A5E1CB6">
      <w:start w:val="1"/>
      <w:numFmt w:val="bullet"/>
      <w:lvlText w:val=""/>
      <w:lvlJc w:val="left"/>
      <w:pPr>
        <w:tabs>
          <w:tab w:val="num" w:pos="1492"/>
        </w:tabs>
        <w:ind w:left="1492" w:hanging="360"/>
      </w:pPr>
      <w:rPr>
        <w:rFonts w:ascii="Arial Bold" w:hAnsi="Arial Bold" w:hint="default"/>
      </w:rPr>
    </w:lvl>
    <w:lvl w:ilvl="1" w:tplc="E9EA5D96">
      <w:numFmt w:val="decimal"/>
      <w:lvlText w:val=""/>
      <w:lvlJc w:val="left"/>
    </w:lvl>
    <w:lvl w:ilvl="2" w:tplc="B63C983E">
      <w:numFmt w:val="decimal"/>
      <w:lvlText w:val=""/>
      <w:lvlJc w:val="left"/>
    </w:lvl>
    <w:lvl w:ilvl="3" w:tplc="0D60892C">
      <w:numFmt w:val="decimal"/>
      <w:lvlText w:val=""/>
      <w:lvlJc w:val="left"/>
    </w:lvl>
    <w:lvl w:ilvl="4" w:tplc="CE74F422">
      <w:numFmt w:val="decimal"/>
      <w:lvlText w:val=""/>
      <w:lvlJc w:val="left"/>
    </w:lvl>
    <w:lvl w:ilvl="5" w:tplc="667AEDDA">
      <w:numFmt w:val="decimal"/>
      <w:lvlText w:val=""/>
      <w:lvlJc w:val="left"/>
    </w:lvl>
    <w:lvl w:ilvl="6" w:tplc="53AA0DB4">
      <w:numFmt w:val="decimal"/>
      <w:lvlText w:val=""/>
      <w:lvlJc w:val="left"/>
    </w:lvl>
    <w:lvl w:ilvl="7" w:tplc="02E8B6CC">
      <w:numFmt w:val="decimal"/>
      <w:lvlText w:val=""/>
      <w:lvlJc w:val="left"/>
    </w:lvl>
    <w:lvl w:ilvl="8" w:tplc="3A16C574">
      <w:numFmt w:val="decimal"/>
      <w:lvlText w:val=""/>
      <w:lvlJc w:val="left"/>
    </w:lvl>
  </w:abstractNum>
  <w:abstractNum w:abstractNumId="5" w15:restartNumberingAfterBreak="0">
    <w:nsid w:val="FFFFFF81"/>
    <w:multiLevelType w:val="hybridMultilevel"/>
    <w:tmpl w:val="2A7E6D12"/>
    <w:lvl w:ilvl="0" w:tplc="B7B8B118">
      <w:start w:val="1"/>
      <w:numFmt w:val="bullet"/>
      <w:lvlText w:val=""/>
      <w:lvlJc w:val="left"/>
      <w:pPr>
        <w:tabs>
          <w:tab w:val="num" w:pos="1209"/>
        </w:tabs>
        <w:ind w:left="1209" w:hanging="360"/>
      </w:pPr>
      <w:rPr>
        <w:rFonts w:ascii="Arial Bold" w:hAnsi="Arial Bold" w:hint="default"/>
      </w:rPr>
    </w:lvl>
    <w:lvl w:ilvl="1" w:tplc="750A818C">
      <w:numFmt w:val="decimal"/>
      <w:lvlText w:val=""/>
      <w:lvlJc w:val="left"/>
    </w:lvl>
    <w:lvl w:ilvl="2" w:tplc="55F29D2A">
      <w:numFmt w:val="decimal"/>
      <w:lvlText w:val=""/>
      <w:lvlJc w:val="left"/>
    </w:lvl>
    <w:lvl w:ilvl="3" w:tplc="F7F8AC8C">
      <w:numFmt w:val="decimal"/>
      <w:lvlText w:val=""/>
      <w:lvlJc w:val="left"/>
    </w:lvl>
    <w:lvl w:ilvl="4" w:tplc="F9F6E772">
      <w:numFmt w:val="decimal"/>
      <w:lvlText w:val=""/>
      <w:lvlJc w:val="left"/>
    </w:lvl>
    <w:lvl w:ilvl="5" w:tplc="885258E6">
      <w:numFmt w:val="decimal"/>
      <w:lvlText w:val=""/>
      <w:lvlJc w:val="left"/>
    </w:lvl>
    <w:lvl w:ilvl="6" w:tplc="D95C1BAC">
      <w:numFmt w:val="decimal"/>
      <w:lvlText w:val=""/>
      <w:lvlJc w:val="left"/>
    </w:lvl>
    <w:lvl w:ilvl="7" w:tplc="1852846A">
      <w:numFmt w:val="decimal"/>
      <w:lvlText w:val=""/>
      <w:lvlJc w:val="left"/>
    </w:lvl>
    <w:lvl w:ilvl="8" w:tplc="7930A334">
      <w:numFmt w:val="decimal"/>
      <w:lvlText w:val=""/>
      <w:lvlJc w:val="left"/>
    </w:lvl>
  </w:abstractNum>
  <w:abstractNum w:abstractNumId="6" w15:restartNumberingAfterBreak="0">
    <w:nsid w:val="FFFFFF82"/>
    <w:multiLevelType w:val="hybridMultilevel"/>
    <w:tmpl w:val="649C09E0"/>
    <w:lvl w:ilvl="0" w:tplc="8F7855F8">
      <w:start w:val="1"/>
      <w:numFmt w:val="bullet"/>
      <w:lvlText w:val=""/>
      <w:lvlJc w:val="left"/>
      <w:pPr>
        <w:tabs>
          <w:tab w:val="num" w:pos="926"/>
        </w:tabs>
        <w:ind w:left="926" w:hanging="360"/>
      </w:pPr>
      <w:rPr>
        <w:rFonts w:ascii="Arial Bold" w:hAnsi="Arial Bold" w:hint="default"/>
      </w:rPr>
    </w:lvl>
    <w:lvl w:ilvl="1" w:tplc="A3C2C602">
      <w:numFmt w:val="decimal"/>
      <w:lvlText w:val=""/>
      <w:lvlJc w:val="left"/>
    </w:lvl>
    <w:lvl w:ilvl="2" w:tplc="DA0A5C96">
      <w:numFmt w:val="decimal"/>
      <w:lvlText w:val=""/>
      <w:lvlJc w:val="left"/>
    </w:lvl>
    <w:lvl w:ilvl="3" w:tplc="7CE49BB2">
      <w:numFmt w:val="decimal"/>
      <w:lvlText w:val=""/>
      <w:lvlJc w:val="left"/>
    </w:lvl>
    <w:lvl w:ilvl="4" w:tplc="7A127844">
      <w:numFmt w:val="decimal"/>
      <w:lvlText w:val=""/>
      <w:lvlJc w:val="left"/>
    </w:lvl>
    <w:lvl w:ilvl="5" w:tplc="43127D18">
      <w:numFmt w:val="decimal"/>
      <w:lvlText w:val=""/>
      <w:lvlJc w:val="left"/>
    </w:lvl>
    <w:lvl w:ilvl="6" w:tplc="8340CCD2">
      <w:numFmt w:val="decimal"/>
      <w:lvlText w:val=""/>
      <w:lvlJc w:val="left"/>
    </w:lvl>
    <w:lvl w:ilvl="7" w:tplc="19401866">
      <w:numFmt w:val="decimal"/>
      <w:lvlText w:val=""/>
      <w:lvlJc w:val="left"/>
    </w:lvl>
    <w:lvl w:ilvl="8" w:tplc="4686DBCC">
      <w:numFmt w:val="decimal"/>
      <w:lvlText w:val=""/>
      <w:lvlJc w:val="left"/>
    </w:lvl>
  </w:abstractNum>
  <w:abstractNum w:abstractNumId="7" w15:restartNumberingAfterBreak="0">
    <w:nsid w:val="FFFFFF83"/>
    <w:multiLevelType w:val="hybridMultilevel"/>
    <w:tmpl w:val="1DE075D6"/>
    <w:lvl w:ilvl="0" w:tplc="CD86305C">
      <w:start w:val="1"/>
      <w:numFmt w:val="bullet"/>
      <w:lvlText w:val=""/>
      <w:lvlJc w:val="left"/>
      <w:pPr>
        <w:tabs>
          <w:tab w:val="num" w:pos="643"/>
        </w:tabs>
        <w:ind w:left="643" w:hanging="360"/>
      </w:pPr>
      <w:rPr>
        <w:rFonts w:ascii="Arial Bold" w:hAnsi="Arial Bold" w:hint="default"/>
      </w:rPr>
    </w:lvl>
    <w:lvl w:ilvl="1" w:tplc="7EAC2D26">
      <w:numFmt w:val="decimal"/>
      <w:lvlText w:val=""/>
      <w:lvlJc w:val="left"/>
    </w:lvl>
    <w:lvl w:ilvl="2" w:tplc="9808E06E">
      <w:numFmt w:val="decimal"/>
      <w:lvlText w:val=""/>
      <w:lvlJc w:val="left"/>
    </w:lvl>
    <w:lvl w:ilvl="3" w:tplc="72D27C98">
      <w:numFmt w:val="decimal"/>
      <w:lvlText w:val=""/>
      <w:lvlJc w:val="left"/>
    </w:lvl>
    <w:lvl w:ilvl="4" w:tplc="58820694">
      <w:numFmt w:val="decimal"/>
      <w:lvlText w:val=""/>
      <w:lvlJc w:val="left"/>
    </w:lvl>
    <w:lvl w:ilvl="5" w:tplc="B48269FA">
      <w:numFmt w:val="decimal"/>
      <w:lvlText w:val=""/>
      <w:lvlJc w:val="left"/>
    </w:lvl>
    <w:lvl w:ilvl="6" w:tplc="2034B6A8">
      <w:numFmt w:val="decimal"/>
      <w:lvlText w:val=""/>
      <w:lvlJc w:val="left"/>
    </w:lvl>
    <w:lvl w:ilvl="7" w:tplc="ECB6A24C">
      <w:numFmt w:val="decimal"/>
      <w:lvlText w:val=""/>
      <w:lvlJc w:val="left"/>
    </w:lvl>
    <w:lvl w:ilvl="8" w:tplc="AEDCA4BA">
      <w:numFmt w:val="decimal"/>
      <w:lvlText w:val=""/>
      <w:lvlJc w:val="left"/>
    </w:lvl>
  </w:abstractNum>
  <w:abstractNum w:abstractNumId="8" w15:restartNumberingAfterBreak="0">
    <w:nsid w:val="FFFFFF88"/>
    <w:multiLevelType w:val="hybridMultilevel"/>
    <w:tmpl w:val="1B587AE4"/>
    <w:lvl w:ilvl="0" w:tplc="DB48FCD8">
      <w:start w:val="1"/>
      <w:numFmt w:val="decimal"/>
      <w:lvlText w:val="%1."/>
      <w:lvlJc w:val="left"/>
      <w:pPr>
        <w:tabs>
          <w:tab w:val="num" w:pos="360"/>
        </w:tabs>
        <w:ind w:left="360" w:hanging="360"/>
      </w:pPr>
      <w:rPr>
        <w:rFonts w:cs="SegoeUI"/>
      </w:rPr>
    </w:lvl>
    <w:lvl w:ilvl="1" w:tplc="ACC0DB6E">
      <w:numFmt w:val="decimal"/>
      <w:lvlText w:val=""/>
      <w:lvlJc w:val="left"/>
    </w:lvl>
    <w:lvl w:ilvl="2" w:tplc="A7CA6138">
      <w:numFmt w:val="decimal"/>
      <w:lvlText w:val=""/>
      <w:lvlJc w:val="left"/>
    </w:lvl>
    <w:lvl w:ilvl="3" w:tplc="152EF0D6">
      <w:numFmt w:val="decimal"/>
      <w:lvlText w:val=""/>
      <w:lvlJc w:val="left"/>
    </w:lvl>
    <w:lvl w:ilvl="4" w:tplc="FC8E8060">
      <w:numFmt w:val="decimal"/>
      <w:lvlText w:val=""/>
      <w:lvlJc w:val="left"/>
    </w:lvl>
    <w:lvl w:ilvl="5" w:tplc="7F6CD41A">
      <w:numFmt w:val="decimal"/>
      <w:lvlText w:val=""/>
      <w:lvlJc w:val="left"/>
    </w:lvl>
    <w:lvl w:ilvl="6" w:tplc="8D6496B6">
      <w:numFmt w:val="decimal"/>
      <w:lvlText w:val=""/>
      <w:lvlJc w:val="left"/>
    </w:lvl>
    <w:lvl w:ilvl="7" w:tplc="653C36B4">
      <w:numFmt w:val="decimal"/>
      <w:lvlText w:val=""/>
      <w:lvlJc w:val="left"/>
    </w:lvl>
    <w:lvl w:ilvl="8" w:tplc="2104EFFE">
      <w:numFmt w:val="decimal"/>
      <w:lvlText w:val=""/>
      <w:lvlJc w:val="left"/>
    </w:lvl>
  </w:abstractNum>
  <w:abstractNum w:abstractNumId="9" w15:restartNumberingAfterBreak="0">
    <w:nsid w:val="FFFFFF89"/>
    <w:multiLevelType w:val="hybridMultilevel"/>
    <w:tmpl w:val="9644316A"/>
    <w:lvl w:ilvl="0" w:tplc="623ADFDA">
      <w:start w:val="1"/>
      <w:numFmt w:val="bullet"/>
      <w:lvlText w:val=""/>
      <w:lvlJc w:val="left"/>
      <w:pPr>
        <w:tabs>
          <w:tab w:val="num" w:pos="360"/>
        </w:tabs>
        <w:ind w:left="360" w:hanging="360"/>
      </w:pPr>
      <w:rPr>
        <w:rFonts w:ascii="Arial Bold" w:hAnsi="Arial Bold" w:hint="default"/>
      </w:rPr>
    </w:lvl>
    <w:lvl w:ilvl="1" w:tplc="36EA051C">
      <w:numFmt w:val="decimal"/>
      <w:lvlText w:val=""/>
      <w:lvlJc w:val="left"/>
    </w:lvl>
    <w:lvl w:ilvl="2" w:tplc="42542528">
      <w:numFmt w:val="decimal"/>
      <w:lvlText w:val=""/>
      <w:lvlJc w:val="left"/>
    </w:lvl>
    <w:lvl w:ilvl="3" w:tplc="B3A2ECEC">
      <w:numFmt w:val="decimal"/>
      <w:lvlText w:val=""/>
      <w:lvlJc w:val="left"/>
    </w:lvl>
    <w:lvl w:ilvl="4" w:tplc="D7741060">
      <w:numFmt w:val="decimal"/>
      <w:lvlText w:val=""/>
      <w:lvlJc w:val="left"/>
    </w:lvl>
    <w:lvl w:ilvl="5" w:tplc="797E7862">
      <w:numFmt w:val="decimal"/>
      <w:lvlText w:val=""/>
      <w:lvlJc w:val="left"/>
    </w:lvl>
    <w:lvl w:ilvl="6" w:tplc="B2A85042">
      <w:numFmt w:val="decimal"/>
      <w:lvlText w:val=""/>
      <w:lvlJc w:val="left"/>
    </w:lvl>
    <w:lvl w:ilvl="7" w:tplc="8E4EDAE6">
      <w:numFmt w:val="decimal"/>
      <w:lvlText w:val=""/>
      <w:lvlJc w:val="left"/>
    </w:lvl>
    <w:lvl w:ilvl="8" w:tplc="4E6E2D64">
      <w:numFmt w:val="decimal"/>
      <w:lvlText w:val=""/>
      <w:lvlJc w:val="left"/>
    </w:lvl>
  </w:abstractNum>
  <w:abstractNum w:abstractNumId="10" w15:restartNumberingAfterBreak="0">
    <w:nsid w:val="001131D5"/>
    <w:multiLevelType w:val="hybridMultilevel"/>
    <w:tmpl w:val="7E8654E2"/>
    <w:lvl w:ilvl="0" w:tplc="C37C2482">
      <w:start w:val="1"/>
      <w:numFmt w:val="decimal"/>
      <w:lvlText w:val="%1"/>
      <w:lvlJc w:val="left"/>
      <w:pPr>
        <w:tabs>
          <w:tab w:val="num" w:pos="0"/>
        </w:tabs>
      </w:pPr>
      <w:rPr>
        <w:rFonts w:cs="SegoeUI" w:hint="default"/>
      </w:rPr>
    </w:lvl>
    <w:lvl w:ilvl="1" w:tplc="EEB6634C">
      <w:start w:val="1"/>
      <w:numFmt w:val="lowerLetter"/>
      <w:lvlText w:val="%2."/>
      <w:lvlJc w:val="left"/>
      <w:pPr>
        <w:tabs>
          <w:tab w:val="num" w:pos="1440"/>
        </w:tabs>
        <w:ind w:left="1440" w:hanging="360"/>
      </w:pPr>
      <w:rPr>
        <w:rFonts w:cs="SegoeUI"/>
      </w:rPr>
    </w:lvl>
    <w:lvl w:ilvl="2" w:tplc="D1AC63FC">
      <w:start w:val="1"/>
      <w:numFmt w:val="lowerRoman"/>
      <w:lvlText w:val="%3."/>
      <w:lvlJc w:val="right"/>
      <w:pPr>
        <w:tabs>
          <w:tab w:val="num" w:pos="2160"/>
        </w:tabs>
        <w:ind w:left="2160" w:hanging="180"/>
      </w:pPr>
      <w:rPr>
        <w:rFonts w:cs="SegoeUI"/>
      </w:rPr>
    </w:lvl>
    <w:lvl w:ilvl="3" w:tplc="4D58AA8E">
      <w:start w:val="1"/>
      <w:numFmt w:val="decimal"/>
      <w:lvlText w:val="%4."/>
      <w:lvlJc w:val="left"/>
      <w:pPr>
        <w:tabs>
          <w:tab w:val="num" w:pos="2880"/>
        </w:tabs>
        <w:ind w:left="2880" w:hanging="360"/>
      </w:pPr>
      <w:rPr>
        <w:rFonts w:cs="SegoeUI"/>
      </w:rPr>
    </w:lvl>
    <w:lvl w:ilvl="4" w:tplc="77B61044">
      <w:start w:val="1"/>
      <w:numFmt w:val="lowerLetter"/>
      <w:lvlText w:val="%5."/>
      <w:lvlJc w:val="left"/>
      <w:pPr>
        <w:tabs>
          <w:tab w:val="num" w:pos="3600"/>
        </w:tabs>
        <w:ind w:left="3600" w:hanging="360"/>
      </w:pPr>
      <w:rPr>
        <w:rFonts w:cs="SegoeUI"/>
      </w:rPr>
    </w:lvl>
    <w:lvl w:ilvl="5" w:tplc="834ED388">
      <w:start w:val="1"/>
      <w:numFmt w:val="lowerRoman"/>
      <w:lvlText w:val="%6."/>
      <w:lvlJc w:val="right"/>
      <w:pPr>
        <w:tabs>
          <w:tab w:val="num" w:pos="4320"/>
        </w:tabs>
        <w:ind w:left="4320" w:hanging="180"/>
      </w:pPr>
      <w:rPr>
        <w:rFonts w:cs="SegoeUI"/>
      </w:rPr>
    </w:lvl>
    <w:lvl w:ilvl="6" w:tplc="89AE7438">
      <w:start w:val="1"/>
      <w:numFmt w:val="decimal"/>
      <w:lvlText w:val="%7."/>
      <w:lvlJc w:val="left"/>
      <w:pPr>
        <w:tabs>
          <w:tab w:val="num" w:pos="5040"/>
        </w:tabs>
        <w:ind w:left="5040" w:hanging="360"/>
      </w:pPr>
      <w:rPr>
        <w:rFonts w:cs="SegoeUI"/>
      </w:rPr>
    </w:lvl>
    <w:lvl w:ilvl="7" w:tplc="FB50ADC6">
      <w:start w:val="1"/>
      <w:numFmt w:val="lowerLetter"/>
      <w:lvlText w:val="%8."/>
      <w:lvlJc w:val="left"/>
      <w:pPr>
        <w:tabs>
          <w:tab w:val="num" w:pos="5760"/>
        </w:tabs>
        <w:ind w:left="5760" w:hanging="360"/>
      </w:pPr>
      <w:rPr>
        <w:rFonts w:cs="SegoeUI"/>
      </w:rPr>
    </w:lvl>
    <w:lvl w:ilvl="8" w:tplc="28EC3564">
      <w:start w:val="1"/>
      <w:numFmt w:val="lowerRoman"/>
      <w:lvlText w:val="%9."/>
      <w:lvlJc w:val="right"/>
      <w:pPr>
        <w:tabs>
          <w:tab w:val="num" w:pos="6480"/>
        </w:tabs>
        <w:ind w:left="6480" w:hanging="180"/>
      </w:pPr>
      <w:rPr>
        <w:rFonts w:cs="SegoeUI"/>
      </w:rPr>
    </w:lvl>
  </w:abstractNum>
  <w:abstractNum w:abstractNumId="11" w15:restartNumberingAfterBreak="0">
    <w:nsid w:val="00F73D47"/>
    <w:multiLevelType w:val="hybridMultilevel"/>
    <w:tmpl w:val="13DC26F6"/>
    <w:lvl w:ilvl="0" w:tplc="08090001">
      <w:start w:val="1"/>
      <w:numFmt w:val="bullet"/>
      <w:lvlText w:val=""/>
      <w:lvlJc w:val="left"/>
      <w:pPr>
        <w:ind w:left="1505" w:hanging="360"/>
      </w:pPr>
      <w:rPr>
        <w:rFonts w:ascii="Arial Bold" w:hAnsi="Arial Bold" w:hint="default"/>
      </w:rPr>
    </w:lvl>
    <w:lvl w:ilvl="1" w:tplc="08090003" w:tentative="1">
      <w:start w:val="1"/>
      <w:numFmt w:val="bullet"/>
      <w:lvlText w:val="o"/>
      <w:lvlJc w:val="left"/>
      <w:pPr>
        <w:ind w:left="2225" w:hanging="360"/>
      </w:pPr>
      <w:rPr>
        <w:rFonts w:ascii="Helvetica" w:hAnsi="Helvetica" w:cs="Helvetica" w:hint="default"/>
      </w:rPr>
    </w:lvl>
    <w:lvl w:ilvl="2" w:tplc="08090005" w:tentative="1">
      <w:start w:val="1"/>
      <w:numFmt w:val="bullet"/>
      <w:lvlText w:val=""/>
      <w:lvlJc w:val="left"/>
      <w:pPr>
        <w:ind w:left="2945" w:hanging="360"/>
      </w:pPr>
      <w:rPr>
        <w:rFonts w:ascii="SimSun" w:hAnsi="SimSun" w:hint="default"/>
      </w:rPr>
    </w:lvl>
    <w:lvl w:ilvl="3" w:tplc="08090001" w:tentative="1">
      <w:start w:val="1"/>
      <w:numFmt w:val="bullet"/>
      <w:lvlText w:val=""/>
      <w:lvlJc w:val="left"/>
      <w:pPr>
        <w:ind w:left="3665" w:hanging="360"/>
      </w:pPr>
      <w:rPr>
        <w:rFonts w:ascii="Arial Bold" w:hAnsi="Arial Bold" w:hint="default"/>
      </w:rPr>
    </w:lvl>
    <w:lvl w:ilvl="4" w:tplc="08090003" w:tentative="1">
      <w:start w:val="1"/>
      <w:numFmt w:val="bullet"/>
      <w:lvlText w:val="o"/>
      <w:lvlJc w:val="left"/>
      <w:pPr>
        <w:ind w:left="4385" w:hanging="360"/>
      </w:pPr>
      <w:rPr>
        <w:rFonts w:ascii="Helvetica" w:hAnsi="Helvetica" w:cs="Helvetica" w:hint="default"/>
      </w:rPr>
    </w:lvl>
    <w:lvl w:ilvl="5" w:tplc="08090005" w:tentative="1">
      <w:start w:val="1"/>
      <w:numFmt w:val="bullet"/>
      <w:lvlText w:val=""/>
      <w:lvlJc w:val="left"/>
      <w:pPr>
        <w:ind w:left="5105" w:hanging="360"/>
      </w:pPr>
      <w:rPr>
        <w:rFonts w:ascii="SimSun" w:hAnsi="SimSun" w:hint="default"/>
      </w:rPr>
    </w:lvl>
    <w:lvl w:ilvl="6" w:tplc="08090001" w:tentative="1">
      <w:start w:val="1"/>
      <w:numFmt w:val="bullet"/>
      <w:lvlText w:val=""/>
      <w:lvlJc w:val="left"/>
      <w:pPr>
        <w:ind w:left="5825" w:hanging="360"/>
      </w:pPr>
      <w:rPr>
        <w:rFonts w:ascii="Arial Bold" w:hAnsi="Arial Bold" w:hint="default"/>
      </w:rPr>
    </w:lvl>
    <w:lvl w:ilvl="7" w:tplc="08090003" w:tentative="1">
      <w:start w:val="1"/>
      <w:numFmt w:val="bullet"/>
      <w:lvlText w:val="o"/>
      <w:lvlJc w:val="left"/>
      <w:pPr>
        <w:ind w:left="6545" w:hanging="360"/>
      </w:pPr>
      <w:rPr>
        <w:rFonts w:ascii="Helvetica" w:hAnsi="Helvetica" w:cs="Helvetica" w:hint="default"/>
      </w:rPr>
    </w:lvl>
    <w:lvl w:ilvl="8" w:tplc="08090005" w:tentative="1">
      <w:start w:val="1"/>
      <w:numFmt w:val="bullet"/>
      <w:lvlText w:val=""/>
      <w:lvlJc w:val="left"/>
      <w:pPr>
        <w:ind w:left="7265" w:hanging="360"/>
      </w:pPr>
      <w:rPr>
        <w:rFonts w:ascii="SimSun" w:hAnsi="SimSun" w:hint="default"/>
      </w:rPr>
    </w:lvl>
  </w:abstractNum>
  <w:abstractNum w:abstractNumId="12" w15:restartNumberingAfterBreak="0">
    <w:nsid w:val="02576336"/>
    <w:multiLevelType w:val="hybridMultilevel"/>
    <w:tmpl w:val="99EC936C"/>
    <w:lvl w:ilvl="0" w:tplc="08090001">
      <w:start w:val="1"/>
      <w:numFmt w:val="bullet"/>
      <w:lvlText w:val=""/>
      <w:lvlJc w:val="left"/>
      <w:pPr>
        <w:ind w:left="720" w:hanging="360"/>
      </w:pPr>
      <w:rPr>
        <w:rFonts w:ascii="Arial Bold" w:hAnsi="Arial Bold" w:hint="default"/>
      </w:rPr>
    </w:lvl>
    <w:lvl w:ilvl="1" w:tplc="08090003">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3" w15:restartNumberingAfterBreak="0">
    <w:nsid w:val="031D22C5"/>
    <w:multiLevelType w:val="hybridMultilevel"/>
    <w:tmpl w:val="2C40DBA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04AC762F"/>
    <w:multiLevelType w:val="hybridMultilevel"/>
    <w:tmpl w:val="844000FE"/>
    <w:lvl w:ilvl="0" w:tplc="D1AC63FC">
      <w:start w:val="1"/>
      <w:numFmt w:val="lowerRoman"/>
      <w:lvlText w:val="%1."/>
      <w:lvlJc w:val="right"/>
      <w:pPr>
        <w:ind w:left="1570" w:hanging="360"/>
      </w:pPr>
      <w:rPr>
        <w:rFonts w:cs="SegoeUI"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5" w15:restartNumberingAfterBreak="0">
    <w:nsid w:val="04BB3B20"/>
    <w:multiLevelType w:val="hybridMultilevel"/>
    <w:tmpl w:val="008C53B8"/>
    <w:lvl w:ilvl="0" w:tplc="08090001">
      <w:start w:val="1"/>
      <w:numFmt w:val="bullet"/>
      <w:lvlText w:val=""/>
      <w:lvlJc w:val="left"/>
      <w:pPr>
        <w:ind w:left="720" w:hanging="360"/>
      </w:pPr>
      <w:rPr>
        <w:rFonts w:ascii="Arial Bold" w:hAnsi="Arial Bold" w:hint="default"/>
      </w:rPr>
    </w:lvl>
    <w:lvl w:ilvl="1" w:tplc="08090003">
      <w:start w:val="1"/>
      <w:numFmt w:val="bullet"/>
      <w:lvlText w:val="o"/>
      <w:lvlJc w:val="left"/>
      <w:pPr>
        <w:ind w:left="1440" w:hanging="360"/>
      </w:pPr>
      <w:rPr>
        <w:rFonts w:ascii="Helvetica" w:hAnsi="Helvetica" w:cs="Helvetica" w:hint="default"/>
      </w:rPr>
    </w:lvl>
    <w:lvl w:ilvl="2" w:tplc="08090005">
      <w:start w:val="1"/>
      <w:numFmt w:val="bullet"/>
      <w:lvlText w:val=""/>
      <w:lvlJc w:val="left"/>
      <w:pPr>
        <w:ind w:left="2160" w:hanging="360"/>
      </w:pPr>
      <w:rPr>
        <w:rFonts w:ascii="SimSun" w:hAnsi="SimSun" w:hint="default"/>
      </w:rPr>
    </w:lvl>
    <w:lvl w:ilvl="3" w:tplc="08090001">
      <w:start w:val="1"/>
      <w:numFmt w:val="bullet"/>
      <w:lvlText w:val=""/>
      <w:lvlJc w:val="left"/>
      <w:pPr>
        <w:ind w:left="2880" w:hanging="360"/>
      </w:pPr>
      <w:rPr>
        <w:rFonts w:ascii="Arial Bold" w:hAnsi="Arial Bold" w:hint="default"/>
      </w:rPr>
    </w:lvl>
    <w:lvl w:ilvl="4" w:tplc="08090003">
      <w:start w:val="1"/>
      <w:numFmt w:val="bullet"/>
      <w:lvlText w:val="o"/>
      <w:lvlJc w:val="left"/>
      <w:pPr>
        <w:ind w:left="3600" w:hanging="360"/>
      </w:pPr>
      <w:rPr>
        <w:rFonts w:ascii="Helvetica" w:hAnsi="Helvetica" w:cs="Helvetica" w:hint="default"/>
      </w:rPr>
    </w:lvl>
    <w:lvl w:ilvl="5" w:tplc="08090005">
      <w:start w:val="1"/>
      <w:numFmt w:val="bullet"/>
      <w:lvlText w:val=""/>
      <w:lvlJc w:val="left"/>
      <w:pPr>
        <w:ind w:left="4320" w:hanging="360"/>
      </w:pPr>
      <w:rPr>
        <w:rFonts w:ascii="SimSun" w:hAnsi="SimSun" w:hint="default"/>
      </w:rPr>
    </w:lvl>
    <w:lvl w:ilvl="6" w:tplc="08090001">
      <w:start w:val="1"/>
      <w:numFmt w:val="bullet"/>
      <w:lvlText w:val=""/>
      <w:lvlJc w:val="left"/>
      <w:pPr>
        <w:ind w:left="5040" w:hanging="360"/>
      </w:pPr>
      <w:rPr>
        <w:rFonts w:ascii="Arial Bold" w:hAnsi="Arial Bold" w:hint="default"/>
      </w:rPr>
    </w:lvl>
    <w:lvl w:ilvl="7" w:tplc="08090003">
      <w:start w:val="1"/>
      <w:numFmt w:val="bullet"/>
      <w:lvlText w:val="o"/>
      <w:lvlJc w:val="left"/>
      <w:pPr>
        <w:ind w:left="5760" w:hanging="360"/>
      </w:pPr>
      <w:rPr>
        <w:rFonts w:ascii="Helvetica" w:hAnsi="Helvetica" w:cs="Helvetica" w:hint="default"/>
      </w:rPr>
    </w:lvl>
    <w:lvl w:ilvl="8" w:tplc="08090005">
      <w:start w:val="1"/>
      <w:numFmt w:val="bullet"/>
      <w:lvlText w:val=""/>
      <w:lvlJc w:val="left"/>
      <w:pPr>
        <w:ind w:left="6480" w:hanging="360"/>
      </w:pPr>
      <w:rPr>
        <w:rFonts w:ascii="SimSun" w:hAnsi="SimSun" w:hint="default"/>
      </w:rPr>
    </w:lvl>
  </w:abstractNum>
  <w:abstractNum w:abstractNumId="16" w15:restartNumberingAfterBreak="0">
    <w:nsid w:val="05B050EB"/>
    <w:multiLevelType w:val="hybridMultilevel"/>
    <w:tmpl w:val="39E8EAB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05F25122"/>
    <w:multiLevelType w:val="hybridMultilevel"/>
    <w:tmpl w:val="7AE4E0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0721348A"/>
    <w:multiLevelType w:val="hybridMultilevel"/>
    <w:tmpl w:val="A94E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78B1464"/>
    <w:multiLevelType w:val="hybridMultilevel"/>
    <w:tmpl w:val="339C6ED0"/>
    <w:lvl w:ilvl="0" w:tplc="802CB7AE">
      <w:numFmt w:val="bullet"/>
      <w:lvlText w:val=""/>
      <w:lvlJc w:val="left"/>
      <w:pPr>
        <w:ind w:left="720" w:hanging="360"/>
      </w:pPr>
      <w:rPr>
        <w:rFonts w:ascii="Symbol" w:eastAsia="Calibri" w:hAnsi="Symbol"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0A0E65FD"/>
    <w:multiLevelType w:val="hybridMultilevel"/>
    <w:tmpl w:val="C70EE4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AE94C71"/>
    <w:multiLevelType w:val="hybridMultilevel"/>
    <w:tmpl w:val="0809001D"/>
    <w:lvl w:ilvl="0" w:tplc="0BCE41B6">
      <w:start w:val="1"/>
      <w:numFmt w:val="lowerRoman"/>
      <w:lvlText w:val="%1)"/>
      <w:lvlJc w:val="left"/>
      <w:pPr>
        <w:ind w:left="360" w:hanging="360"/>
      </w:pPr>
      <w:rPr>
        <w:rFonts w:ascii="Tahoma" w:hAnsi="Tahoma"/>
        <w:sz w:val="24"/>
      </w:rPr>
    </w:lvl>
    <w:lvl w:ilvl="1" w:tplc="4C32889C">
      <w:start w:val="1"/>
      <w:numFmt w:val="lowerLetter"/>
      <w:lvlText w:val="%2)"/>
      <w:lvlJc w:val="left"/>
      <w:pPr>
        <w:ind w:left="720" w:hanging="360"/>
      </w:pPr>
    </w:lvl>
    <w:lvl w:ilvl="2" w:tplc="5CD02D1C">
      <w:start w:val="1"/>
      <w:numFmt w:val="lowerRoman"/>
      <w:lvlText w:val="%3)"/>
      <w:lvlJc w:val="left"/>
      <w:pPr>
        <w:ind w:left="1080" w:hanging="360"/>
      </w:pPr>
    </w:lvl>
    <w:lvl w:ilvl="3" w:tplc="E0BAFF68">
      <w:start w:val="1"/>
      <w:numFmt w:val="decimal"/>
      <w:lvlText w:val="(%4)"/>
      <w:lvlJc w:val="left"/>
      <w:pPr>
        <w:ind w:left="1440" w:hanging="360"/>
      </w:pPr>
    </w:lvl>
    <w:lvl w:ilvl="4" w:tplc="C7A81CE8">
      <w:start w:val="1"/>
      <w:numFmt w:val="lowerLetter"/>
      <w:lvlText w:val="(%5)"/>
      <w:lvlJc w:val="left"/>
      <w:pPr>
        <w:ind w:left="1800" w:hanging="360"/>
      </w:pPr>
    </w:lvl>
    <w:lvl w:ilvl="5" w:tplc="5734F272">
      <w:start w:val="1"/>
      <w:numFmt w:val="lowerRoman"/>
      <w:lvlText w:val="(%6)"/>
      <w:lvlJc w:val="left"/>
      <w:pPr>
        <w:ind w:left="2160" w:hanging="360"/>
      </w:pPr>
    </w:lvl>
    <w:lvl w:ilvl="6" w:tplc="85EE8CD4">
      <w:start w:val="1"/>
      <w:numFmt w:val="decimal"/>
      <w:lvlText w:val="%7."/>
      <w:lvlJc w:val="left"/>
      <w:pPr>
        <w:ind w:left="2520" w:hanging="360"/>
      </w:pPr>
    </w:lvl>
    <w:lvl w:ilvl="7" w:tplc="11CE5274">
      <w:start w:val="1"/>
      <w:numFmt w:val="lowerLetter"/>
      <w:lvlText w:val="%8."/>
      <w:lvlJc w:val="left"/>
      <w:pPr>
        <w:ind w:left="2880" w:hanging="360"/>
      </w:pPr>
    </w:lvl>
    <w:lvl w:ilvl="8" w:tplc="BD7CEB86">
      <w:start w:val="1"/>
      <w:numFmt w:val="lowerRoman"/>
      <w:lvlText w:val="%9."/>
      <w:lvlJc w:val="left"/>
      <w:pPr>
        <w:ind w:left="3240" w:hanging="360"/>
      </w:pPr>
    </w:lvl>
  </w:abstractNum>
  <w:abstractNum w:abstractNumId="22" w15:restartNumberingAfterBreak="0">
    <w:nsid w:val="0D48242C"/>
    <w:multiLevelType w:val="hybridMultilevel"/>
    <w:tmpl w:val="EB0245BC"/>
    <w:lvl w:ilvl="0" w:tplc="6EFE61D6">
      <w:start w:val="1"/>
      <w:numFmt w:val="bullet"/>
      <w:lvlText w:val=""/>
      <w:lvlJc w:val="left"/>
      <w:pPr>
        <w:tabs>
          <w:tab w:val="num" w:pos="720"/>
        </w:tabs>
        <w:ind w:left="720" w:hanging="360"/>
      </w:pPr>
      <w:rPr>
        <w:rFonts w:ascii="Symbol" w:hAnsi="Symbol" w:hint="default"/>
        <w:sz w:val="20"/>
      </w:rPr>
    </w:lvl>
    <w:lvl w:ilvl="1" w:tplc="C52CC9F6" w:tentative="1">
      <w:start w:val="1"/>
      <w:numFmt w:val="bullet"/>
      <w:lvlText w:val=""/>
      <w:lvlJc w:val="left"/>
      <w:pPr>
        <w:tabs>
          <w:tab w:val="num" w:pos="1440"/>
        </w:tabs>
        <w:ind w:left="1440" w:hanging="360"/>
      </w:pPr>
      <w:rPr>
        <w:rFonts w:ascii="Symbol" w:hAnsi="Symbol" w:hint="default"/>
        <w:sz w:val="20"/>
      </w:rPr>
    </w:lvl>
    <w:lvl w:ilvl="2" w:tplc="5AB0788A" w:tentative="1">
      <w:start w:val="1"/>
      <w:numFmt w:val="bullet"/>
      <w:lvlText w:val=""/>
      <w:lvlJc w:val="left"/>
      <w:pPr>
        <w:tabs>
          <w:tab w:val="num" w:pos="2160"/>
        </w:tabs>
        <w:ind w:left="2160" w:hanging="360"/>
      </w:pPr>
      <w:rPr>
        <w:rFonts w:ascii="Symbol" w:hAnsi="Symbol" w:hint="default"/>
        <w:sz w:val="20"/>
      </w:rPr>
    </w:lvl>
    <w:lvl w:ilvl="3" w:tplc="DB027B74" w:tentative="1">
      <w:start w:val="1"/>
      <w:numFmt w:val="bullet"/>
      <w:lvlText w:val=""/>
      <w:lvlJc w:val="left"/>
      <w:pPr>
        <w:tabs>
          <w:tab w:val="num" w:pos="2880"/>
        </w:tabs>
        <w:ind w:left="2880" w:hanging="360"/>
      </w:pPr>
      <w:rPr>
        <w:rFonts w:ascii="Symbol" w:hAnsi="Symbol" w:hint="default"/>
        <w:sz w:val="20"/>
      </w:rPr>
    </w:lvl>
    <w:lvl w:ilvl="4" w:tplc="A2587840" w:tentative="1">
      <w:start w:val="1"/>
      <w:numFmt w:val="bullet"/>
      <w:lvlText w:val=""/>
      <w:lvlJc w:val="left"/>
      <w:pPr>
        <w:tabs>
          <w:tab w:val="num" w:pos="3600"/>
        </w:tabs>
        <w:ind w:left="3600" w:hanging="360"/>
      </w:pPr>
      <w:rPr>
        <w:rFonts w:ascii="Symbol" w:hAnsi="Symbol" w:hint="default"/>
        <w:sz w:val="20"/>
      </w:rPr>
    </w:lvl>
    <w:lvl w:ilvl="5" w:tplc="B36A8720" w:tentative="1">
      <w:start w:val="1"/>
      <w:numFmt w:val="bullet"/>
      <w:lvlText w:val=""/>
      <w:lvlJc w:val="left"/>
      <w:pPr>
        <w:tabs>
          <w:tab w:val="num" w:pos="4320"/>
        </w:tabs>
        <w:ind w:left="4320" w:hanging="360"/>
      </w:pPr>
      <w:rPr>
        <w:rFonts w:ascii="Symbol" w:hAnsi="Symbol" w:hint="default"/>
        <w:sz w:val="20"/>
      </w:rPr>
    </w:lvl>
    <w:lvl w:ilvl="6" w:tplc="77486D58" w:tentative="1">
      <w:start w:val="1"/>
      <w:numFmt w:val="bullet"/>
      <w:lvlText w:val=""/>
      <w:lvlJc w:val="left"/>
      <w:pPr>
        <w:tabs>
          <w:tab w:val="num" w:pos="5040"/>
        </w:tabs>
        <w:ind w:left="5040" w:hanging="360"/>
      </w:pPr>
      <w:rPr>
        <w:rFonts w:ascii="Symbol" w:hAnsi="Symbol" w:hint="default"/>
        <w:sz w:val="20"/>
      </w:rPr>
    </w:lvl>
    <w:lvl w:ilvl="7" w:tplc="2FDC7D30" w:tentative="1">
      <w:start w:val="1"/>
      <w:numFmt w:val="bullet"/>
      <w:lvlText w:val=""/>
      <w:lvlJc w:val="left"/>
      <w:pPr>
        <w:tabs>
          <w:tab w:val="num" w:pos="5760"/>
        </w:tabs>
        <w:ind w:left="5760" w:hanging="360"/>
      </w:pPr>
      <w:rPr>
        <w:rFonts w:ascii="Symbol" w:hAnsi="Symbol" w:hint="default"/>
        <w:sz w:val="20"/>
      </w:rPr>
    </w:lvl>
    <w:lvl w:ilvl="8" w:tplc="2A30FC7A"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341303"/>
    <w:multiLevelType w:val="hybridMultilevel"/>
    <w:tmpl w:val="15C68A06"/>
    <w:lvl w:ilvl="0" w:tplc="08090017">
      <w:start w:val="1"/>
      <w:numFmt w:val="lowerLetter"/>
      <w:lvlText w:val="%1)"/>
      <w:lvlJc w:val="left"/>
      <w:pPr>
        <w:ind w:left="720" w:hanging="360"/>
      </w:pPr>
    </w:lvl>
    <w:lvl w:ilvl="1" w:tplc="9E2C85C6">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F392736"/>
    <w:multiLevelType w:val="hybridMultilevel"/>
    <w:tmpl w:val="0AEE96DC"/>
    <w:lvl w:ilvl="0" w:tplc="08090001">
      <w:start w:val="1"/>
      <w:numFmt w:val="bullet"/>
      <w:lvlText w:val=""/>
      <w:lvlJc w:val="left"/>
      <w:pPr>
        <w:ind w:left="720" w:hanging="360"/>
      </w:pPr>
      <w:rPr>
        <w:rFonts w:ascii="Arial Bold" w:hAnsi="Arial Bold" w:hint="default"/>
      </w:rPr>
    </w:lvl>
    <w:lvl w:ilvl="1" w:tplc="08090003">
      <w:start w:val="1"/>
      <w:numFmt w:val="bullet"/>
      <w:lvlText w:val="o"/>
      <w:lvlJc w:val="left"/>
      <w:pPr>
        <w:ind w:left="1440" w:hanging="360"/>
      </w:pPr>
      <w:rPr>
        <w:rFonts w:ascii="Helvetica" w:hAnsi="Helvetica" w:cs="Helvetica" w:hint="default"/>
      </w:rPr>
    </w:lvl>
    <w:lvl w:ilvl="2" w:tplc="08090005">
      <w:start w:val="1"/>
      <w:numFmt w:val="bullet"/>
      <w:lvlText w:val=""/>
      <w:lvlJc w:val="left"/>
      <w:pPr>
        <w:ind w:left="2160" w:hanging="360"/>
      </w:pPr>
      <w:rPr>
        <w:rFonts w:ascii="SimSun" w:hAnsi="SimSun" w:hint="default"/>
      </w:rPr>
    </w:lvl>
    <w:lvl w:ilvl="3" w:tplc="08090001">
      <w:start w:val="1"/>
      <w:numFmt w:val="bullet"/>
      <w:lvlText w:val=""/>
      <w:lvlJc w:val="left"/>
      <w:pPr>
        <w:ind w:left="2880" w:hanging="360"/>
      </w:pPr>
      <w:rPr>
        <w:rFonts w:ascii="Arial Bold" w:hAnsi="Arial Bold" w:hint="default"/>
      </w:rPr>
    </w:lvl>
    <w:lvl w:ilvl="4" w:tplc="08090003">
      <w:start w:val="1"/>
      <w:numFmt w:val="bullet"/>
      <w:lvlText w:val="o"/>
      <w:lvlJc w:val="left"/>
      <w:pPr>
        <w:ind w:left="3600" w:hanging="360"/>
      </w:pPr>
      <w:rPr>
        <w:rFonts w:ascii="Helvetica" w:hAnsi="Helvetica" w:cs="Helvetica" w:hint="default"/>
      </w:rPr>
    </w:lvl>
    <w:lvl w:ilvl="5" w:tplc="08090005">
      <w:start w:val="1"/>
      <w:numFmt w:val="bullet"/>
      <w:lvlText w:val=""/>
      <w:lvlJc w:val="left"/>
      <w:pPr>
        <w:ind w:left="4320" w:hanging="360"/>
      </w:pPr>
      <w:rPr>
        <w:rFonts w:ascii="SimSun" w:hAnsi="SimSun" w:hint="default"/>
      </w:rPr>
    </w:lvl>
    <w:lvl w:ilvl="6" w:tplc="08090001">
      <w:start w:val="1"/>
      <w:numFmt w:val="bullet"/>
      <w:lvlText w:val=""/>
      <w:lvlJc w:val="left"/>
      <w:pPr>
        <w:ind w:left="5040" w:hanging="360"/>
      </w:pPr>
      <w:rPr>
        <w:rFonts w:ascii="Arial Bold" w:hAnsi="Arial Bold" w:hint="default"/>
      </w:rPr>
    </w:lvl>
    <w:lvl w:ilvl="7" w:tplc="08090003">
      <w:start w:val="1"/>
      <w:numFmt w:val="bullet"/>
      <w:lvlText w:val="o"/>
      <w:lvlJc w:val="left"/>
      <w:pPr>
        <w:ind w:left="5760" w:hanging="360"/>
      </w:pPr>
      <w:rPr>
        <w:rFonts w:ascii="Helvetica" w:hAnsi="Helvetica" w:cs="Helvetica" w:hint="default"/>
      </w:rPr>
    </w:lvl>
    <w:lvl w:ilvl="8" w:tplc="08090005">
      <w:start w:val="1"/>
      <w:numFmt w:val="bullet"/>
      <w:lvlText w:val=""/>
      <w:lvlJc w:val="left"/>
      <w:pPr>
        <w:ind w:left="6480" w:hanging="360"/>
      </w:pPr>
      <w:rPr>
        <w:rFonts w:ascii="SimSun" w:hAnsi="SimSun" w:hint="default"/>
      </w:rPr>
    </w:lvl>
  </w:abstractNum>
  <w:abstractNum w:abstractNumId="25" w15:restartNumberingAfterBreak="0">
    <w:nsid w:val="10263736"/>
    <w:multiLevelType w:val="hybridMultilevel"/>
    <w:tmpl w:val="C30EA204"/>
    <w:lvl w:ilvl="0" w:tplc="08090001">
      <w:start w:val="1"/>
      <w:numFmt w:val="bullet"/>
      <w:lvlText w:val=""/>
      <w:lvlJc w:val="left"/>
      <w:pPr>
        <w:ind w:left="1145" w:hanging="360"/>
      </w:pPr>
      <w:rPr>
        <w:rFonts w:ascii="Arial Bold" w:hAnsi="Arial Bold" w:hint="default"/>
      </w:rPr>
    </w:lvl>
    <w:lvl w:ilvl="1" w:tplc="08090003" w:tentative="1">
      <w:start w:val="1"/>
      <w:numFmt w:val="bullet"/>
      <w:lvlText w:val="o"/>
      <w:lvlJc w:val="left"/>
      <w:pPr>
        <w:ind w:left="1865" w:hanging="360"/>
      </w:pPr>
      <w:rPr>
        <w:rFonts w:ascii="Helvetica" w:hAnsi="Helvetica" w:cs="Helvetica" w:hint="default"/>
      </w:rPr>
    </w:lvl>
    <w:lvl w:ilvl="2" w:tplc="08090005" w:tentative="1">
      <w:start w:val="1"/>
      <w:numFmt w:val="bullet"/>
      <w:lvlText w:val=""/>
      <w:lvlJc w:val="left"/>
      <w:pPr>
        <w:ind w:left="2585" w:hanging="360"/>
      </w:pPr>
      <w:rPr>
        <w:rFonts w:ascii="SimSun" w:hAnsi="SimSun" w:hint="default"/>
      </w:rPr>
    </w:lvl>
    <w:lvl w:ilvl="3" w:tplc="08090001" w:tentative="1">
      <w:start w:val="1"/>
      <w:numFmt w:val="bullet"/>
      <w:lvlText w:val=""/>
      <w:lvlJc w:val="left"/>
      <w:pPr>
        <w:ind w:left="3305" w:hanging="360"/>
      </w:pPr>
      <w:rPr>
        <w:rFonts w:ascii="Arial Bold" w:hAnsi="Arial Bold" w:hint="default"/>
      </w:rPr>
    </w:lvl>
    <w:lvl w:ilvl="4" w:tplc="08090003" w:tentative="1">
      <w:start w:val="1"/>
      <w:numFmt w:val="bullet"/>
      <w:lvlText w:val="o"/>
      <w:lvlJc w:val="left"/>
      <w:pPr>
        <w:ind w:left="4025" w:hanging="360"/>
      </w:pPr>
      <w:rPr>
        <w:rFonts w:ascii="Helvetica" w:hAnsi="Helvetica" w:cs="Helvetica" w:hint="default"/>
      </w:rPr>
    </w:lvl>
    <w:lvl w:ilvl="5" w:tplc="08090005" w:tentative="1">
      <w:start w:val="1"/>
      <w:numFmt w:val="bullet"/>
      <w:lvlText w:val=""/>
      <w:lvlJc w:val="left"/>
      <w:pPr>
        <w:ind w:left="4745" w:hanging="360"/>
      </w:pPr>
      <w:rPr>
        <w:rFonts w:ascii="SimSun" w:hAnsi="SimSun" w:hint="default"/>
      </w:rPr>
    </w:lvl>
    <w:lvl w:ilvl="6" w:tplc="08090001" w:tentative="1">
      <w:start w:val="1"/>
      <w:numFmt w:val="bullet"/>
      <w:lvlText w:val=""/>
      <w:lvlJc w:val="left"/>
      <w:pPr>
        <w:ind w:left="5465" w:hanging="360"/>
      </w:pPr>
      <w:rPr>
        <w:rFonts w:ascii="Arial Bold" w:hAnsi="Arial Bold" w:hint="default"/>
      </w:rPr>
    </w:lvl>
    <w:lvl w:ilvl="7" w:tplc="08090003" w:tentative="1">
      <w:start w:val="1"/>
      <w:numFmt w:val="bullet"/>
      <w:lvlText w:val="o"/>
      <w:lvlJc w:val="left"/>
      <w:pPr>
        <w:ind w:left="6185" w:hanging="360"/>
      </w:pPr>
      <w:rPr>
        <w:rFonts w:ascii="Helvetica" w:hAnsi="Helvetica" w:cs="Helvetica" w:hint="default"/>
      </w:rPr>
    </w:lvl>
    <w:lvl w:ilvl="8" w:tplc="08090005" w:tentative="1">
      <w:start w:val="1"/>
      <w:numFmt w:val="bullet"/>
      <w:lvlText w:val=""/>
      <w:lvlJc w:val="left"/>
      <w:pPr>
        <w:ind w:left="6905" w:hanging="360"/>
      </w:pPr>
      <w:rPr>
        <w:rFonts w:ascii="SimSun" w:hAnsi="SimSun" w:hint="default"/>
      </w:rPr>
    </w:lvl>
  </w:abstractNum>
  <w:abstractNum w:abstractNumId="26" w15:restartNumberingAfterBreak="0">
    <w:nsid w:val="10B17770"/>
    <w:multiLevelType w:val="hybridMultilevel"/>
    <w:tmpl w:val="930A53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110C28B1"/>
    <w:multiLevelType w:val="hybridMultilevel"/>
    <w:tmpl w:val="7EA2A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1D414D8"/>
    <w:multiLevelType w:val="hybridMultilevel"/>
    <w:tmpl w:val="50A656B4"/>
    <w:lvl w:ilvl="0" w:tplc="BE60DFF8">
      <w:start w:val="1"/>
      <w:numFmt w:val="lowerRoman"/>
      <w:lvlText w:val="%1)"/>
      <w:lvlJc w:val="left"/>
      <w:pPr>
        <w:ind w:left="1080" w:hanging="720"/>
      </w:pPr>
      <w:rPr>
        <w:rFonts w:cs="Tahom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911C5538">
      <w:start w:val="1"/>
      <w:numFmt w:val="bullet"/>
      <w:lvlText w:val="-"/>
      <w:lvlJc w:val="left"/>
      <w:pPr>
        <w:ind w:left="2880" w:hanging="360"/>
      </w:pPr>
      <w:rPr>
        <w:rFonts w:ascii="Tahoma" w:eastAsia="SegoeUI" w:hAnsi="Tahoma" w:cs="Tahoma"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21A3087"/>
    <w:multiLevelType w:val="hybridMultilevel"/>
    <w:tmpl w:val="EB8CE0AE"/>
    <w:lvl w:ilvl="0" w:tplc="08090001">
      <w:start w:val="1"/>
      <w:numFmt w:val="bullet"/>
      <w:lvlText w:val=""/>
      <w:lvlJc w:val="left"/>
      <w:pPr>
        <w:ind w:left="787" w:hanging="360"/>
      </w:pPr>
      <w:rPr>
        <w:rFonts w:ascii="Arial Bold" w:hAnsi="Arial Bold" w:hint="default"/>
      </w:rPr>
    </w:lvl>
    <w:lvl w:ilvl="1" w:tplc="08090003" w:tentative="1">
      <w:start w:val="1"/>
      <w:numFmt w:val="bullet"/>
      <w:lvlText w:val="o"/>
      <w:lvlJc w:val="left"/>
      <w:pPr>
        <w:ind w:left="1507" w:hanging="360"/>
      </w:pPr>
      <w:rPr>
        <w:rFonts w:ascii="Helvetica" w:hAnsi="Helvetica" w:cs="Helvetica" w:hint="default"/>
      </w:rPr>
    </w:lvl>
    <w:lvl w:ilvl="2" w:tplc="08090005" w:tentative="1">
      <w:start w:val="1"/>
      <w:numFmt w:val="bullet"/>
      <w:lvlText w:val=""/>
      <w:lvlJc w:val="left"/>
      <w:pPr>
        <w:ind w:left="2227" w:hanging="360"/>
      </w:pPr>
      <w:rPr>
        <w:rFonts w:ascii="SimSun" w:hAnsi="SimSun" w:hint="default"/>
      </w:rPr>
    </w:lvl>
    <w:lvl w:ilvl="3" w:tplc="08090001" w:tentative="1">
      <w:start w:val="1"/>
      <w:numFmt w:val="bullet"/>
      <w:lvlText w:val=""/>
      <w:lvlJc w:val="left"/>
      <w:pPr>
        <w:ind w:left="2947" w:hanging="360"/>
      </w:pPr>
      <w:rPr>
        <w:rFonts w:ascii="Arial Bold" w:hAnsi="Arial Bold" w:hint="default"/>
      </w:rPr>
    </w:lvl>
    <w:lvl w:ilvl="4" w:tplc="08090003" w:tentative="1">
      <w:start w:val="1"/>
      <w:numFmt w:val="bullet"/>
      <w:lvlText w:val="o"/>
      <w:lvlJc w:val="left"/>
      <w:pPr>
        <w:ind w:left="3667" w:hanging="360"/>
      </w:pPr>
      <w:rPr>
        <w:rFonts w:ascii="Helvetica" w:hAnsi="Helvetica" w:cs="Helvetica" w:hint="default"/>
      </w:rPr>
    </w:lvl>
    <w:lvl w:ilvl="5" w:tplc="08090005" w:tentative="1">
      <w:start w:val="1"/>
      <w:numFmt w:val="bullet"/>
      <w:lvlText w:val=""/>
      <w:lvlJc w:val="left"/>
      <w:pPr>
        <w:ind w:left="4387" w:hanging="360"/>
      </w:pPr>
      <w:rPr>
        <w:rFonts w:ascii="SimSun" w:hAnsi="SimSun" w:hint="default"/>
      </w:rPr>
    </w:lvl>
    <w:lvl w:ilvl="6" w:tplc="08090001" w:tentative="1">
      <w:start w:val="1"/>
      <w:numFmt w:val="bullet"/>
      <w:lvlText w:val=""/>
      <w:lvlJc w:val="left"/>
      <w:pPr>
        <w:ind w:left="5107" w:hanging="360"/>
      </w:pPr>
      <w:rPr>
        <w:rFonts w:ascii="Arial Bold" w:hAnsi="Arial Bold" w:hint="default"/>
      </w:rPr>
    </w:lvl>
    <w:lvl w:ilvl="7" w:tplc="08090003" w:tentative="1">
      <w:start w:val="1"/>
      <w:numFmt w:val="bullet"/>
      <w:lvlText w:val="o"/>
      <w:lvlJc w:val="left"/>
      <w:pPr>
        <w:ind w:left="5827" w:hanging="360"/>
      </w:pPr>
      <w:rPr>
        <w:rFonts w:ascii="Helvetica" w:hAnsi="Helvetica" w:cs="Helvetica" w:hint="default"/>
      </w:rPr>
    </w:lvl>
    <w:lvl w:ilvl="8" w:tplc="08090005" w:tentative="1">
      <w:start w:val="1"/>
      <w:numFmt w:val="bullet"/>
      <w:lvlText w:val=""/>
      <w:lvlJc w:val="left"/>
      <w:pPr>
        <w:ind w:left="6547" w:hanging="360"/>
      </w:pPr>
      <w:rPr>
        <w:rFonts w:ascii="SimSun" w:hAnsi="SimSun" w:hint="default"/>
      </w:rPr>
    </w:lvl>
  </w:abstractNum>
  <w:abstractNum w:abstractNumId="30" w15:restartNumberingAfterBreak="0">
    <w:nsid w:val="12D110A7"/>
    <w:multiLevelType w:val="hybridMultilevel"/>
    <w:tmpl w:val="14625D44"/>
    <w:lvl w:ilvl="0" w:tplc="F794767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12FE5A4A"/>
    <w:multiLevelType w:val="hybridMultilevel"/>
    <w:tmpl w:val="444A1B78"/>
    <w:lvl w:ilvl="0" w:tplc="08090001">
      <w:start w:val="1"/>
      <w:numFmt w:val="bullet"/>
      <w:lvlText w:val=""/>
      <w:lvlJc w:val="left"/>
      <w:pPr>
        <w:ind w:left="720" w:hanging="360"/>
      </w:pPr>
      <w:rPr>
        <w:rFonts w:ascii="Arial Bold" w:hAnsi="Arial Bold" w:hint="default"/>
      </w:rPr>
    </w:lvl>
    <w:lvl w:ilvl="1" w:tplc="08090003">
      <w:start w:val="1"/>
      <w:numFmt w:val="bullet"/>
      <w:lvlText w:val="o"/>
      <w:lvlJc w:val="left"/>
      <w:pPr>
        <w:ind w:left="1440" w:hanging="360"/>
      </w:pPr>
      <w:rPr>
        <w:rFonts w:ascii="Helvetica" w:hAnsi="Helvetica" w:cs="Helvetica" w:hint="default"/>
      </w:rPr>
    </w:lvl>
    <w:lvl w:ilvl="2" w:tplc="08090005">
      <w:start w:val="1"/>
      <w:numFmt w:val="bullet"/>
      <w:lvlText w:val=""/>
      <w:lvlJc w:val="left"/>
      <w:pPr>
        <w:ind w:left="2160" w:hanging="360"/>
      </w:pPr>
      <w:rPr>
        <w:rFonts w:ascii="SimSun" w:hAnsi="SimSun" w:hint="default"/>
      </w:rPr>
    </w:lvl>
    <w:lvl w:ilvl="3" w:tplc="08090001">
      <w:start w:val="1"/>
      <w:numFmt w:val="bullet"/>
      <w:lvlText w:val=""/>
      <w:lvlJc w:val="left"/>
      <w:pPr>
        <w:ind w:left="2880" w:hanging="360"/>
      </w:pPr>
      <w:rPr>
        <w:rFonts w:ascii="Arial Bold" w:hAnsi="Arial Bold" w:hint="default"/>
      </w:rPr>
    </w:lvl>
    <w:lvl w:ilvl="4" w:tplc="08090003">
      <w:start w:val="1"/>
      <w:numFmt w:val="bullet"/>
      <w:lvlText w:val="o"/>
      <w:lvlJc w:val="left"/>
      <w:pPr>
        <w:ind w:left="3600" w:hanging="360"/>
      </w:pPr>
      <w:rPr>
        <w:rFonts w:ascii="Helvetica" w:hAnsi="Helvetica" w:cs="Helvetica" w:hint="default"/>
      </w:rPr>
    </w:lvl>
    <w:lvl w:ilvl="5" w:tplc="08090005">
      <w:start w:val="1"/>
      <w:numFmt w:val="bullet"/>
      <w:lvlText w:val=""/>
      <w:lvlJc w:val="left"/>
      <w:pPr>
        <w:ind w:left="4320" w:hanging="360"/>
      </w:pPr>
      <w:rPr>
        <w:rFonts w:ascii="SimSun" w:hAnsi="SimSun" w:hint="default"/>
      </w:rPr>
    </w:lvl>
    <w:lvl w:ilvl="6" w:tplc="08090001">
      <w:start w:val="1"/>
      <w:numFmt w:val="bullet"/>
      <w:lvlText w:val=""/>
      <w:lvlJc w:val="left"/>
      <w:pPr>
        <w:ind w:left="5040" w:hanging="360"/>
      </w:pPr>
      <w:rPr>
        <w:rFonts w:ascii="Arial Bold" w:hAnsi="Arial Bold" w:hint="default"/>
      </w:rPr>
    </w:lvl>
    <w:lvl w:ilvl="7" w:tplc="08090003">
      <w:start w:val="1"/>
      <w:numFmt w:val="bullet"/>
      <w:lvlText w:val="o"/>
      <w:lvlJc w:val="left"/>
      <w:pPr>
        <w:ind w:left="5760" w:hanging="360"/>
      </w:pPr>
      <w:rPr>
        <w:rFonts w:ascii="Helvetica" w:hAnsi="Helvetica" w:cs="Helvetica" w:hint="default"/>
      </w:rPr>
    </w:lvl>
    <w:lvl w:ilvl="8" w:tplc="08090005">
      <w:start w:val="1"/>
      <w:numFmt w:val="bullet"/>
      <w:lvlText w:val=""/>
      <w:lvlJc w:val="left"/>
      <w:pPr>
        <w:ind w:left="6480" w:hanging="360"/>
      </w:pPr>
      <w:rPr>
        <w:rFonts w:ascii="SimSun" w:hAnsi="SimSun" w:hint="default"/>
      </w:rPr>
    </w:lvl>
  </w:abstractNum>
  <w:abstractNum w:abstractNumId="32" w15:restartNumberingAfterBreak="0">
    <w:nsid w:val="1315515C"/>
    <w:multiLevelType w:val="hybridMultilevel"/>
    <w:tmpl w:val="D6B8F66A"/>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33" w15:restartNumberingAfterBreak="0">
    <w:nsid w:val="14397952"/>
    <w:multiLevelType w:val="hybridMultilevel"/>
    <w:tmpl w:val="0809001D"/>
    <w:lvl w:ilvl="0" w:tplc="3740F1A0">
      <w:start w:val="1"/>
      <w:numFmt w:val="decimal"/>
      <w:lvlText w:val="%1)"/>
      <w:lvlJc w:val="left"/>
      <w:pPr>
        <w:ind w:left="360" w:hanging="360"/>
      </w:pPr>
    </w:lvl>
    <w:lvl w:ilvl="1" w:tplc="3FE6C96C">
      <w:start w:val="1"/>
      <w:numFmt w:val="lowerLetter"/>
      <w:lvlText w:val="%2)"/>
      <w:lvlJc w:val="left"/>
      <w:pPr>
        <w:ind w:left="720" w:hanging="360"/>
      </w:pPr>
    </w:lvl>
    <w:lvl w:ilvl="2" w:tplc="DAA0AF50">
      <w:start w:val="1"/>
      <w:numFmt w:val="lowerRoman"/>
      <w:lvlText w:val="%3)"/>
      <w:lvlJc w:val="left"/>
      <w:pPr>
        <w:ind w:left="1080" w:hanging="360"/>
      </w:pPr>
    </w:lvl>
    <w:lvl w:ilvl="3" w:tplc="0178BF44">
      <w:start w:val="1"/>
      <w:numFmt w:val="decimal"/>
      <w:lvlText w:val="(%4)"/>
      <w:lvlJc w:val="left"/>
      <w:pPr>
        <w:ind w:left="1440" w:hanging="360"/>
      </w:pPr>
    </w:lvl>
    <w:lvl w:ilvl="4" w:tplc="4F44646C">
      <w:start w:val="1"/>
      <w:numFmt w:val="lowerLetter"/>
      <w:lvlText w:val="(%5)"/>
      <w:lvlJc w:val="left"/>
      <w:pPr>
        <w:ind w:left="1800" w:hanging="360"/>
      </w:pPr>
    </w:lvl>
    <w:lvl w:ilvl="5" w:tplc="F6C812F4">
      <w:start w:val="1"/>
      <w:numFmt w:val="lowerRoman"/>
      <w:lvlText w:val="(%6)"/>
      <w:lvlJc w:val="left"/>
      <w:pPr>
        <w:ind w:left="2160" w:hanging="360"/>
      </w:pPr>
    </w:lvl>
    <w:lvl w:ilvl="6" w:tplc="8B7EECCA">
      <w:start w:val="1"/>
      <w:numFmt w:val="decimal"/>
      <w:lvlText w:val="%7."/>
      <w:lvlJc w:val="left"/>
      <w:pPr>
        <w:ind w:left="2520" w:hanging="360"/>
      </w:pPr>
    </w:lvl>
    <w:lvl w:ilvl="7" w:tplc="80022FC6">
      <w:start w:val="1"/>
      <w:numFmt w:val="lowerLetter"/>
      <w:lvlText w:val="%8."/>
      <w:lvlJc w:val="left"/>
      <w:pPr>
        <w:ind w:left="2880" w:hanging="360"/>
      </w:pPr>
    </w:lvl>
    <w:lvl w:ilvl="8" w:tplc="29C60282">
      <w:start w:val="1"/>
      <w:numFmt w:val="lowerRoman"/>
      <w:lvlText w:val="%9."/>
      <w:lvlJc w:val="left"/>
      <w:pPr>
        <w:ind w:left="3240" w:hanging="360"/>
      </w:pPr>
    </w:lvl>
  </w:abstractNum>
  <w:abstractNum w:abstractNumId="34" w15:restartNumberingAfterBreak="0">
    <w:nsid w:val="14E37ACB"/>
    <w:multiLevelType w:val="hybridMultilevel"/>
    <w:tmpl w:val="01CAF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80B255E"/>
    <w:multiLevelType w:val="hybridMultilevel"/>
    <w:tmpl w:val="AEBE5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9EE059B"/>
    <w:multiLevelType w:val="hybridMultilevel"/>
    <w:tmpl w:val="5ED478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A2943E7"/>
    <w:multiLevelType w:val="hybridMultilevel"/>
    <w:tmpl w:val="3604C19E"/>
    <w:lvl w:ilvl="0" w:tplc="F0962F28">
      <w:start w:val="1"/>
      <w:numFmt w:val="bullet"/>
      <w:lvlText w:val=""/>
      <w:lvlJc w:val="left"/>
      <w:pPr>
        <w:tabs>
          <w:tab w:val="num" w:pos="284"/>
        </w:tabs>
        <w:ind w:left="284" w:hanging="284"/>
      </w:pPr>
      <w:rPr>
        <w:rFonts w:ascii="SimSun" w:hAnsi="SimSun" w:hint="default"/>
      </w:rPr>
    </w:lvl>
    <w:lvl w:ilvl="1" w:tplc="8BE8CD46">
      <w:start w:val="1"/>
      <w:numFmt w:val="bullet"/>
      <w:lvlText w:val=""/>
      <w:lvlJc w:val="left"/>
      <w:pPr>
        <w:tabs>
          <w:tab w:val="num" w:pos="567"/>
        </w:tabs>
        <w:ind w:left="567" w:hanging="283"/>
      </w:pPr>
      <w:rPr>
        <w:rFonts w:ascii="SimSun" w:hAnsi="SimSun" w:hint="default"/>
      </w:rPr>
    </w:lvl>
    <w:lvl w:ilvl="2" w:tplc="B2FAA1C4">
      <w:start w:val="1"/>
      <w:numFmt w:val="bullet"/>
      <w:lvlText w:val=""/>
      <w:lvlJc w:val="left"/>
      <w:pPr>
        <w:tabs>
          <w:tab w:val="num" w:pos="1080"/>
        </w:tabs>
        <w:ind w:left="1080" w:hanging="360"/>
      </w:pPr>
      <w:rPr>
        <w:rFonts w:ascii="SimSun" w:hAnsi="SimSun" w:hint="default"/>
      </w:rPr>
    </w:lvl>
    <w:lvl w:ilvl="3" w:tplc="875AFCAC">
      <w:start w:val="1"/>
      <w:numFmt w:val="bullet"/>
      <w:lvlText w:val=""/>
      <w:lvlJc w:val="left"/>
      <w:pPr>
        <w:tabs>
          <w:tab w:val="num" w:pos="1440"/>
        </w:tabs>
        <w:ind w:left="1440" w:hanging="360"/>
      </w:pPr>
      <w:rPr>
        <w:rFonts w:ascii="Arial Bold" w:hAnsi="Arial Bold" w:hint="default"/>
      </w:rPr>
    </w:lvl>
    <w:lvl w:ilvl="4" w:tplc="EF1EDDFE">
      <w:start w:val="1"/>
      <w:numFmt w:val="bullet"/>
      <w:lvlText w:val=""/>
      <w:lvlJc w:val="left"/>
      <w:pPr>
        <w:tabs>
          <w:tab w:val="num" w:pos="1800"/>
        </w:tabs>
        <w:ind w:left="1800" w:hanging="360"/>
      </w:pPr>
      <w:rPr>
        <w:rFonts w:ascii="Arial Bold" w:hAnsi="Arial Bold" w:hint="default"/>
      </w:rPr>
    </w:lvl>
    <w:lvl w:ilvl="5" w:tplc="FFD89B80">
      <w:start w:val="1"/>
      <w:numFmt w:val="bullet"/>
      <w:lvlText w:val=""/>
      <w:lvlJc w:val="left"/>
      <w:pPr>
        <w:tabs>
          <w:tab w:val="num" w:pos="2160"/>
        </w:tabs>
        <w:ind w:left="2160" w:hanging="360"/>
      </w:pPr>
      <w:rPr>
        <w:rFonts w:ascii="SimSun" w:hAnsi="SimSun" w:hint="default"/>
      </w:rPr>
    </w:lvl>
    <w:lvl w:ilvl="6" w:tplc="E8441FC0">
      <w:start w:val="1"/>
      <w:numFmt w:val="bullet"/>
      <w:lvlText w:val=""/>
      <w:lvlJc w:val="left"/>
      <w:pPr>
        <w:tabs>
          <w:tab w:val="num" w:pos="2520"/>
        </w:tabs>
        <w:ind w:left="2520" w:hanging="360"/>
      </w:pPr>
      <w:rPr>
        <w:rFonts w:ascii="SimSun" w:hAnsi="SimSun" w:hint="default"/>
      </w:rPr>
    </w:lvl>
    <w:lvl w:ilvl="7" w:tplc="82F2ECEA">
      <w:start w:val="1"/>
      <w:numFmt w:val="bullet"/>
      <w:lvlText w:val=""/>
      <w:lvlJc w:val="left"/>
      <w:pPr>
        <w:tabs>
          <w:tab w:val="num" w:pos="2880"/>
        </w:tabs>
        <w:ind w:left="2880" w:hanging="360"/>
      </w:pPr>
      <w:rPr>
        <w:rFonts w:ascii="Arial Bold" w:hAnsi="Arial Bold" w:hint="default"/>
      </w:rPr>
    </w:lvl>
    <w:lvl w:ilvl="8" w:tplc="544076D6">
      <w:start w:val="1"/>
      <w:numFmt w:val="bullet"/>
      <w:lvlText w:val=""/>
      <w:lvlJc w:val="left"/>
      <w:pPr>
        <w:tabs>
          <w:tab w:val="num" w:pos="3240"/>
        </w:tabs>
        <w:ind w:left="3240" w:hanging="360"/>
      </w:pPr>
      <w:rPr>
        <w:rFonts w:ascii="Arial Bold" w:hAnsi="Arial Bold" w:hint="default"/>
      </w:rPr>
    </w:lvl>
  </w:abstractNum>
  <w:abstractNum w:abstractNumId="38" w15:restartNumberingAfterBreak="0">
    <w:nsid w:val="1ACC3339"/>
    <w:multiLevelType w:val="hybridMultilevel"/>
    <w:tmpl w:val="850E0D3C"/>
    <w:lvl w:ilvl="0" w:tplc="08090001">
      <w:start w:val="1"/>
      <w:numFmt w:val="bullet"/>
      <w:lvlText w:val=""/>
      <w:lvlJc w:val="left"/>
      <w:pPr>
        <w:ind w:left="1635" w:hanging="360"/>
      </w:pPr>
      <w:rPr>
        <w:rFonts w:ascii="Symbol" w:hAnsi="Symbol"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39" w15:restartNumberingAfterBreak="0">
    <w:nsid w:val="1B4B4304"/>
    <w:multiLevelType w:val="hybridMultilevel"/>
    <w:tmpl w:val="8688B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C633AB2"/>
    <w:multiLevelType w:val="hybridMultilevel"/>
    <w:tmpl w:val="1136A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1D243592"/>
    <w:multiLevelType w:val="hybridMultilevel"/>
    <w:tmpl w:val="674C629C"/>
    <w:lvl w:ilvl="0" w:tplc="E0E0ABA2">
      <w:start w:val="1"/>
      <w:numFmt w:val="decimal"/>
      <w:lvlText w:val="%1."/>
      <w:lvlJc w:val="left"/>
      <w:pPr>
        <w:ind w:left="1211" w:hanging="360"/>
      </w:pPr>
      <w:rPr>
        <w:rFonts w:ascii="Arial" w:hAnsi="Arial" w:cs="Arial"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D4F1940"/>
    <w:multiLevelType w:val="hybridMultilevel"/>
    <w:tmpl w:val="AE823D24"/>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43" w15:restartNumberingAfterBreak="0">
    <w:nsid w:val="1E926BC8"/>
    <w:multiLevelType w:val="hybridMultilevel"/>
    <w:tmpl w:val="18525062"/>
    <w:lvl w:ilvl="0" w:tplc="EF82E514">
      <w:start w:val="1"/>
      <w:numFmt w:val="decimal"/>
      <w:lvlText w:val="%1."/>
      <w:lvlJc w:val="left"/>
      <w:pPr>
        <w:ind w:left="720" w:hanging="720"/>
      </w:pPr>
      <w:rPr>
        <w:rFonts w:ascii="Arial" w:hAnsi="Arial" w:cs="Arial" w:hint="default"/>
        <w:b w:val="0"/>
        <w:bCs w:val="0"/>
        <w:i w:val="0"/>
        <w:iCs w:val="0"/>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EDF01F0"/>
    <w:multiLevelType w:val="hybridMultilevel"/>
    <w:tmpl w:val="1954F590"/>
    <w:lvl w:ilvl="0" w:tplc="08090001">
      <w:start w:val="1"/>
      <w:numFmt w:val="bullet"/>
      <w:lvlText w:val=""/>
      <w:lvlJc w:val="left"/>
      <w:pPr>
        <w:ind w:left="1635" w:hanging="360"/>
      </w:pPr>
      <w:rPr>
        <w:rFonts w:ascii="Symbol" w:hAnsi="Symbol"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45" w15:restartNumberingAfterBreak="0">
    <w:nsid w:val="21987737"/>
    <w:multiLevelType w:val="hybridMultilevel"/>
    <w:tmpl w:val="86F28810"/>
    <w:lvl w:ilvl="0" w:tplc="08090001">
      <w:start w:val="1"/>
      <w:numFmt w:val="bullet"/>
      <w:lvlText w:val=""/>
      <w:lvlJc w:val="left"/>
      <w:pPr>
        <w:ind w:left="780" w:hanging="360"/>
      </w:pPr>
      <w:rPr>
        <w:rFonts w:ascii="Arial Bold" w:hAnsi="Arial Bold" w:hint="default"/>
      </w:rPr>
    </w:lvl>
    <w:lvl w:ilvl="1" w:tplc="08090003" w:tentative="1">
      <w:start w:val="1"/>
      <w:numFmt w:val="bullet"/>
      <w:lvlText w:val="o"/>
      <w:lvlJc w:val="left"/>
      <w:pPr>
        <w:ind w:left="1500" w:hanging="360"/>
      </w:pPr>
      <w:rPr>
        <w:rFonts w:ascii="Helvetica" w:hAnsi="Helvetica" w:cs="Helvetica" w:hint="default"/>
      </w:rPr>
    </w:lvl>
    <w:lvl w:ilvl="2" w:tplc="08090005" w:tentative="1">
      <w:start w:val="1"/>
      <w:numFmt w:val="bullet"/>
      <w:lvlText w:val=""/>
      <w:lvlJc w:val="left"/>
      <w:pPr>
        <w:ind w:left="2220" w:hanging="360"/>
      </w:pPr>
      <w:rPr>
        <w:rFonts w:ascii="SimSun" w:hAnsi="SimSun" w:hint="default"/>
      </w:rPr>
    </w:lvl>
    <w:lvl w:ilvl="3" w:tplc="08090001" w:tentative="1">
      <w:start w:val="1"/>
      <w:numFmt w:val="bullet"/>
      <w:lvlText w:val=""/>
      <w:lvlJc w:val="left"/>
      <w:pPr>
        <w:ind w:left="2940" w:hanging="360"/>
      </w:pPr>
      <w:rPr>
        <w:rFonts w:ascii="Arial Bold" w:hAnsi="Arial Bold" w:hint="default"/>
      </w:rPr>
    </w:lvl>
    <w:lvl w:ilvl="4" w:tplc="08090003" w:tentative="1">
      <w:start w:val="1"/>
      <w:numFmt w:val="bullet"/>
      <w:lvlText w:val="o"/>
      <w:lvlJc w:val="left"/>
      <w:pPr>
        <w:ind w:left="3660" w:hanging="360"/>
      </w:pPr>
      <w:rPr>
        <w:rFonts w:ascii="Helvetica" w:hAnsi="Helvetica" w:cs="Helvetica" w:hint="default"/>
      </w:rPr>
    </w:lvl>
    <w:lvl w:ilvl="5" w:tplc="08090005" w:tentative="1">
      <w:start w:val="1"/>
      <w:numFmt w:val="bullet"/>
      <w:lvlText w:val=""/>
      <w:lvlJc w:val="left"/>
      <w:pPr>
        <w:ind w:left="4380" w:hanging="360"/>
      </w:pPr>
      <w:rPr>
        <w:rFonts w:ascii="SimSun" w:hAnsi="SimSun" w:hint="default"/>
      </w:rPr>
    </w:lvl>
    <w:lvl w:ilvl="6" w:tplc="08090001" w:tentative="1">
      <w:start w:val="1"/>
      <w:numFmt w:val="bullet"/>
      <w:lvlText w:val=""/>
      <w:lvlJc w:val="left"/>
      <w:pPr>
        <w:ind w:left="5100" w:hanging="360"/>
      </w:pPr>
      <w:rPr>
        <w:rFonts w:ascii="Arial Bold" w:hAnsi="Arial Bold" w:hint="default"/>
      </w:rPr>
    </w:lvl>
    <w:lvl w:ilvl="7" w:tplc="08090003" w:tentative="1">
      <w:start w:val="1"/>
      <w:numFmt w:val="bullet"/>
      <w:lvlText w:val="o"/>
      <w:lvlJc w:val="left"/>
      <w:pPr>
        <w:ind w:left="5820" w:hanging="360"/>
      </w:pPr>
      <w:rPr>
        <w:rFonts w:ascii="Helvetica" w:hAnsi="Helvetica" w:cs="Helvetica" w:hint="default"/>
      </w:rPr>
    </w:lvl>
    <w:lvl w:ilvl="8" w:tplc="08090005" w:tentative="1">
      <w:start w:val="1"/>
      <w:numFmt w:val="bullet"/>
      <w:lvlText w:val=""/>
      <w:lvlJc w:val="left"/>
      <w:pPr>
        <w:ind w:left="6540" w:hanging="360"/>
      </w:pPr>
      <w:rPr>
        <w:rFonts w:ascii="SimSun" w:hAnsi="SimSun" w:hint="default"/>
      </w:rPr>
    </w:lvl>
  </w:abstractNum>
  <w:abstractNum w:abstractNumId="46" w15:restartNumberingAfterBreak="0">
    <w:nsid w:val="21D522C9"/>
    <w:multiLevelType w:val="hybridMultilevel"/>
    <w:tmpl w:val="1F78A69A"/>
    <w:lvl w:ilvl="0" w:tplc="E0E0ABA2">
      <w:start w:val="1"/>
      <w:numFmt w:val="decimal"/>
      <w:lvlText w:val="%1."/>
      <w:lvlJc w:val="left"/>
      <w:pPr>
        <w:ind w:left="1211" w:hanging="360"/>
      </w:pPr>
      <w:rPr>
        <w:rFonts w:ascii="Arial" w:hAnsi="Arial" w:cs="Arial"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23B45E41"/>
    <w:multiLevelType w:val="hybridMultilevel"/>
    <w:tmpl w:val="5B9AB6EA"/>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8" w15:restartNumberingAfterBreak="0">
    <w:nsid w:val="248418AC"/>
    <w:multiLevelType w:val="hybridMultilevel"/>
    <w:tmpl w:val="5D10B694"/>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49" w15:restartNumberingAfterBreak="0">
    <w:nsid w:val="25A55648"/>
    <w:multiLevelType w:val="hybridMultilevel"/>
    <w:tmpl w:val="FFFFFFFF"/>
    <w:lvl w:ilvl="0" w:tplc="063A42B8">
      <w:start w:val="1"/>
      <w:numFmt w:val="decimal"/>
      <w:lvlText w:val="%1."/>
      <w:lvlJc w:val="left"/>
      <w:pPr>
        <w:tabs>
          <w:tab w:val="num" w:pos="720"/>
        </w:tabs>
        <w:ind w:left="720" w:hanging="720"/>
      </w:pPr>
    </w:lvl>
    <w:lvl w:ilvl="1" w:tplc="0448AB22">
      <w:start w:val="1"/>
      <w:numFmt w:val="decimal"/>
      <w:lvlText w:val="%2."/>
      <w:lvlJc w:val="left"/>
      <w:pPr>
        <w:tabs>
          <w:tab w:val="num" w:pos="1440"/>
        </w:tabs>
        <w:ind w:left="1440" w:hanging="720"/>
      </w:pPr>
    </w:lvl>
    <w:lvl w:ilvl="2" w:tplc="CAFE2476">
      <w:start w:val="1"/>
      <w:numFmt w:val="decimal"/>
      <w:lvlText w:val="%3."/>
      <w:lvlJc w:val="left"/>
      <w:pPr>
        <w:tabs>
          <w:tab w:val="num" w:pos="2160"/>
        </w:tabs>
        <w:ind w:left="2160" w:hanging="720"/>
      </w:pPr>
    </w:lvl>
    <w:lvl w:ilvl="3" w:tplc="2E3E4E16">
      <w:start w:val="1"/>
      <w:numFmt w:val="decimal"/>
      <w:lvlText w:val="%4."/>
      <w:lvlJc w:val="left"/>
      <w:pPr>
        <w:tabs>
          <w:tab w:val="num" w:pos="2880"/>
        </w:tabs>
        <w:ind w:left="2880" w:hanging="720"/>
      </w:pPr>
    </w:lvl>
    <w:lvl w:ilvl="4" w:tplc="0038A794">
      <w:start w:val="1"/>
      <w:numFmt w:val="decimal"/>
      <w:lvlText w:val="%5."/>
      <w:lvlJc w:val="left"/>
      <w:pPr>
        <w:tabs>
          <w:tab w:val="num" w:pos="3600"/>
        </w:tabs>
        <w:ind w:left="3600" w:hanging="720"/>
      </w:pPr>
    </w:lvl>
    <w:lvl w:ilvl="5" w:tplc="76D8D282">
      <w:start w:val="1"/>
      <w:numFmt w:val="decimal"/>
      <w:lvlText w:val="%6."/>
      <w:lvlJc w:val="left"/>
      <w:pPr>
        <w:tabs>
          <w:tab w:val="num" w:pos="4320"/>
        </w:tabs>
        <w:ind w:left="4320" w:hanging="720"/>
      </w:pPr>
    </w:lvl>
    <w:lvl w:ilvl="6" w:tplc="80C0A346">
      <w:start w:val="1"/>
      <w:numFmt w:val="decimal"/>
      <w:lvlText w:val="%7."/>
      <w:lvlJc w:val="left"/>
      <w:pPr>
        <w:tabs>
          <w:tab w:val="num" w:pos="5040"/>
        </w:tabs>
        <w:ind w:left="5040" w:hanging="720"/>
      </w:pPr>
    </w:lvl>
    <w:lvl w:ilvl="7" w:tplc="58145F52">
      <w:start w:val="1"/>
      <w:numFmt w:val="decimal"/>
      <w:lvlText w:val="%8."/>
      <w:lvlJc w:val="left"/>
      <w:pPr>
        <w:tabs>
          <w:tab w:val="num" w:pos="5760"/>
        </w:tabs>
        <w:ind w:left="5760" w:hanging="720"/>
      </w:pPr>
    </w:lvl>
    <w:lvl w:ilvl="8" w:tplc="2F9A6DC4">
      <w:start w:val="1"/>
      <w:numFmt w:val="decimal"/>
      <w:lvlText w:val="%9."/>
      <w:lvlJc w:val="left"/>
      <w:pPr>
        <w:tabs>
          <w:tab w:val="num" w:pos="6480"/>
        </w:tabs>
        <w:ind w:left="6480" w:hanging="720"/>
      </w:pPr>
    </w:lvl>
  </w:abstractNum>
  <w:abstractNum w:abstractNumId="50" w15:restartNumberingAfterBreak="0">
    <w:nsid w:val="2B330A69"/>
    <w:multiLevelType w:val="hybridMultilevel"/>
    <w:tmpl w:val="8E828DFE"/>
    <w:lvl w:ilvl="0" w:tplc="65B65B4A">
      <w:start w:val="2"/>
      <w:numFmt w:val="decimal"/>
      <w:lvlText w:val="%1"/>
      <w:lvlJc w:val="left"/>
      <w:pPr>
        <w:ind w:left="862" w:hanging="720"/>
      </w:pPr>
      <w:rPr>
        <w:rFonts w:hint="default"/>
      </w:rPr>
    </w:lvl>
    <w:lvl w:ilvl="1" w:tplc="A412E01E">
      <w:start w:val="1"/>
      <w:numFmt w:val="decimal"/>
      <w:lvlText w:val="%1.%2"/>
      <w:lvlJc w:val="left"/>
      <w:pPr>
        <w:ind w:left="862" w:hanging="720"/>
      </w:pPr>
      <w:rPr>
        <w:rFonts w:hint="default"/>
      </w:rPr>
    </w:lvl>
    <w:lvl w:ilvl="2" w:tplc="9A949022">
      <w:start w:val="1"/>
      <w:numFmt w:val="decimal"/>
      <w:lvlText w:val="%1.%2.%3"/>
      <w:lvlJc w:val="left"/>
      <w:pPr>
        <w:ind w:left="862" w:hanging="720"/>
      </w:pPr>
      <w:rPr>
        <w:rFonts w:hint="default"/>
      </w:rPr>
    </w:lvl>
    <w:lvl w:ilvl="3" w:tplc="F38A8942">
      <w:start w:val="1"/>
      <w:numFmt w:val="decimal"/>
      <w:lvlText w:val="%1.%2.%3.%4"/>
      <w:lvlJc w:val="left"/>
      <w:pPr>
        <w:ind w:left="1222" w:hanging="1080"/>
      </w:pPr>
      <w:rPr>
        <w:rFonts w:hint="default"/>
      </w:rPr>
    </w:lvl>
    <w:lvl w:ilvl="4" w:tplc="43660FE6">
      <w:start w:val="1"/>
      <w:numFmt w:val="decimal"/>
      <w:lvlText w:val="%1.%2.%3.%4.%5"/>
      <w:lvlJc w:val="left"/>
      <w:pPr>
        <w:ind w:left="1222" w:hanging="1080"/>
      </w:pPr>
      <w:rPr>
        <w:rFonts w:hint="default"/>
      </w:rPr>
    </w:lvl>
    <w:lvl w:ilvl="5" w:tplc="71D2FB1A">
      <w:start w:val="1"/>
      <w:numFmt w:val="decimal"/>
      <w:lvlText w:val="%1.%2.%3.%4.%5.%6"/>
      <w:lvlJc w:val="left"/>
      <w:pPr>
        <w:ind w:left="1582" w:hanging="1440"/>
      </w:pPr>
      <w:rPr>
        <w:rFonts w:hint="default"/>
      </w:rPr>
    </w:lvl>
    <w:lvl w:ilvl="6" w:tplc="D5B8A5DC">
      <w:start w:val="1"/>
      <w:numFmt w:val="decimal"/>
      <w:lvlText w:val="%1.%2.%3.%4.%5.%6.%7"/>
      <w:lvlJc w:val="left"/>
      <w:pPr>
        <w:ind w:left="1582" w:hanging="1440"/>
      </w:pPr>
      <w:rPr>
        <w:rFonts w:hint="default"/>
      </w:rPr>
    </w:lvl>
    <w:lvl w:ilvl="7" w:tplc="54581C16">
      <w:start w:val="1"/>
      <w:numFmt w:val="decimal"/>
      <w:lvlText w:val="%1.%2.%3.%4.%5.%6.%7.%8"/>
      <w:lvlJc w:val="left"/>
      <w:pPr>
        <w:ind w:left="1942" w:hanging="1800"/>
      </w:pPr>
      <w:rPr>
        <w:rFonts w:hint="default"/>
      </w:rPr>
    </w:lvl>
    <w:lvl w:ilvl="8" w:tplc="C69C009E">
      <w:start w:val="1"/>
      <w:numFmt w:val="decimal"/>
      <w:lvlText w:val="%1.%2.%3.%4.%5.%6.%7.%8.%9"/>
      <w:lvlJc w:val="left"/>
      <w:pPr>
        <w:ind w:left="1942" w:hanging="1800"/>
      </w:pPr>
      <w:rPr>
        <w:rFonts w:hint="default"/>
      </w:rPr>
    </w:lvl>
  </w:abstractNum>
  <w:abstractNum w:abstractNumId="51" w15:restartNumberingAfterBreak="0">
    <w:nsid w:val="2B353E41"/>
    <w:multiLevelType w:val="hybridMultilevel"/>
    <w:tmpl w:val="B234FD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2" w15:restartNumberingAfterBreak="0">
    <w:nsid w:val="2B3F39F8"/>
    <w:multiLevelType w:val="hybridMultilevel"/>
    <w:tmpl w:val="130ADDBA"/>
    <w:lvl w:ilvl="0" w:tplc="EF481F98">
      <w:start w:val="1"/>
      <w:numFmt w:val="bullet"/>
      <w:pStyle w:val="EBBullet"/>
      <w:lvlText w:val=""/>
      <w:lvlJc w:val="left"/>
      <w:pPr>
        <w:tabs>
          <w:tab w:val="num" w:pos="284"/>
        </w:tabs>
        <w:ind w:left="284" w:hanging="284"/>
      </w:pPr>
      <w:rPr>
        <w:rFonts w:ascii="Arial Bold" w:hAnsi="Arial Bold" w:hint="default"/>
      </w:rPr>
    </w:lvl>
    <w:lvl w:ilvl="1" w:tplc="5AC25A66">
      <w:start w:val="1"/>
      <w:numFmt w:val="bullet"/>
      <w:lvlText w:val=""/>
      <w:lvlJc w:val="left"/>
      <w:pPr>
        <w:tabs>
          <w:tab w:val="num" w:pos="567"/>
        </w:tabs>
        <w:ind w:left="567" w:hanging="283"/>
      </w:pPr>
      <w:rPr>
        <w:rFonts w:ascii="Arial Bold" w:hAnsi="Arial Bold" w:hint="default"/>
      </w:rPr>
    </w:lvl>
    <w:lvl w:ilvl="2" w:tplc="66066134">
      <w:start w:val="1"/>
      <w:numFmt w:val="bullet"/>
      <w:lvlText w:val=""/>
      <w:lvlJc w:val="left"/>
      <w:pPr>
        <w:tabs>
          <w:tab w:val="num" w:pos="1080"/>
        </w:tabs>
        <w:ind w:left="1080" w:hanging="360"/>
      </w:pPr>
      <w:rPr>
        <w:rFonts w:ascii="SimSun" w:hAnsi="SimSun" w:hint="default"/>
      </w:rPr>
    </w:lvl>
    <w:lvl w:ilvl="3" w:tplc="A3069D8A">
      <w:start w:val="1"/>
      <w:numFmt w:val="bullet"/>
      <w:lvlText w:val=""/>
      <w:lvlJc w:val="left"/>
      <w:pPr>
        <w:tabs>
          <w:tab w:val="num" w:pos="1440"/>
        </w:tabs>
        <w:ind w:left="1440" w:hanging="360"/>
      </w:pPr>
      <w:rPr>
        <w:rFonts w:ascii="Arial Bold" w:hAnsi="Arial Bold" w:hint="default"/>
      </w:rPr>
    </w:lvl>
    <w:lvl w:ilvl="4" w:tplc="300CA446">
      <w:start w:val="1"/>
      <w:numFmt w:val="bullet"/>
      <w:lvlText w:val=""/>
      <w:lvlJc w:val="left"/>
      <w:pPr>
        <w:tabs>
          <w:tab w:val="num" w:pos="1800"/>
        </w:tabs>
        <w:ind w:left="1800" w:hanging="360"/>
      </w:pPr>
      <w:rPr>
        <w:rFonts w:ascii="Arial Bold" w:hAnsi="Arial Bold" w:hint="default"/>
      </w:rPr>
    </w:lvl>
    <w:lvl w:ilvl="5" w:tplc="9692CFB8">
      <w:start w:val="1"/>
      <w:numFmt w:val="bullet"/>
      <w:lvlText w:val=""/>
      <w:lvlJc w:val="left"/>
      <w:pPr>
        <w:tabs>
          <w:tab w:val="num" w:pos="2160"/>
        </w:tabs>
        <w:ind w:left="2160" w:hanging="360"/>
      </w:pPr>
      <w:rPr>
        <w:rFonts w:ascii="SimSun" w:hAnsi="SimSun" w:hint="default"/>
      </w:rPr>
    </w:lvl>
    <w:lvl w:ilvl="6" w:tplc="67606856">
      <w:start w:val="1"/>
      <w:numFmt w:val="bullet"/>
      <w:lvlText w:val=""/>
      <w:lvlJc w:val="left"/>
      <w:pPr>
        <w:tabs>
          <w:tab w:val="num" w:pos="2520"/>
        </w:tabs>
        <w:ind w:left="2520" w:hanging="360"/>
      </w:pPr>
      <w:rPr>
        <w:rFonts w:ascii="SimSun" w:hAnsi="SimSun" w:hint="default"/>
      </w:rPr>
    </w:lvl>
    <w:lvl w:ilvl="7" w:tplc="29BC588C">
      <w:start w:val="1"/>
      <w:numFmt w:val="bullet"/>
      <w:lvlText w:val=""/>
      <w:lvlJc w:val="left"/>
      <w:pPr>
        <w:tabs>
          <w:tab w:val="num" w:pos="2880"/>
        </w:tabs>
        <w:ind w:left="2880" w:hanging="360"/>
      </w:pPr>
      <w:rPr>
        <w:rFonts w:ascii="Arial Bold" w:hAnsi="Arial Bold" w:hint="default"/>
      </w:rPr>
    </w:lvl>
    <w:lvl w:ilvl="8" w:tplc="5B2AE0CE">
      <w:start w:val="1"/>
      <w:numFmt w:val="bullet"/>
      <w:lvlText w:val=""/>
      <w:lvlJc w:val="left"/>
      <w:pPr>
        <w:tabs>
          <w:tab w:val="num" w:pos="3240"/>
        </w:tabs>
        <w:ind w:left="3240" w:hanging="360"/>
      </w:pPr>
      <w:rPr>
        <w:rFonts w:ascii="Arial Bold" w:hAnsi="Arial Bold" w:hint="default"/>
      </w:rPr>
    </w:lvl>
  </w:abstractNum>
  <w:abstractNum w:abstractNumId="53" w15:restartNumberingAfterBreak="0">
    <w:nsid w:val="2DB65973"/>
    <w:multiLevelType w:val="hybridMultilevel"/>
    <w:tmpl w:val="C8B8D496"/>
    <w:lvl w:ilvl="0" w:tplc="3134FCA2">
      <w:start w:val="1"/>
      <w:numFmt w:val="lowerRoman"/>
      <w:lvlText w:val="%1."/>
      <w:lvlJc w:val="right"/>
      <w:pPr>
        <w:ind w:left="1635" w:hanging="360"/>
      </w:pPr>
      <w:rPr>
        <w:rFonts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54" w15:restartNumberingAfterBreak="0">
    <w:nsid w:val="2EC320C1"/>
    <w:multiLevelType w:val="hybridMultilevel"/>
    <w:tmpl w:val="74F43962"/>
    <w:lvl w:ilvl="0" w:tplc="840E7A8A">
      <w:start w:val="10"/>
      <w:numFmt w:val="bullet"/>
      <w:lvlText w:val="-"/>
      <w:lvlJc w:val="left"/>
      <w:pPr>
        <w:ind w:left="720" w:hanging="360"/>
      </w:pPr>
      <w:rPr>
        <w:rFonts w:ascii="Tahoma" w:eastAsia="SegoeUI" w:hAnsi="Tahoma" w:cs="Tahoma"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55" w15:restartNumberingAfterBreak="0">
    <w:nsid w:val="2EE3725B"/>
    <w:multiLevelType w:val="hybridMultilevel"/>
    <w:tmpl w:val="3EA243CC"/>
    <w:lvl w:ilvl="0" w:tplc="53A2077C">
      <w:start w:val="1"/>
      <w:numFmt w:val="decimal"/>
      <w:lvlText w:val="%1."/>
      <w:lvlJc w:val="left"/>
      <w:pPr>
        <w:ind w:left="720" w:hanging="360"/>
      </w:pPr>
      <w:rPr>
        <w:rFonts w:ascii="Tahoma" w:hAnsi="Tahoma" w:cs="Tahoma"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F296C68"/>
    <w:multiLevelType w:val="hybridMultilevel"/>
    <w:tmpl w:val="6A6642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2F3A73B2"/>
    <w:multiLevelType w:val="hybridMultilevel"/>
    <w:tmpl w:val="69963236"/>
    <w:lvl w:ilvl="0" w:tplc="0809001B">
      <w:start w:val="1"/>
      <w:numFmt w:val="lowerRoman"/>
      <w:lvlText w:val="%1."/>
      <w:lvlJc w:val="right"/>
      <w:pPr>
        <w:ind w:left="1635" w:hanging="360"/>
      </w:pPr>
      <w:rPr>
        <w:rFonts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58" w15:restartNumberingAfterBreak="0">
    <w:nsid w:val="31874C94"/>
    <w:multiLevelType w:val="hybridMultilevel"/>
    <w:tmpl w:val="1B76E036"/>
    <w:lvl w:ilvl="0" w:tplc="99086BA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22E3CA3"/>
    <w:multiLevelType w:val="hybridMultilevel"/>
    <w:tmpl w:val="0FAA688C"/>
    <w:lvl w:ilvl="0" w:tplc="08090001">
      <w:start w:val="1"/>
      <w:numFmt w:val="bullet"/>
      <w:lvlText w:val=""/>
      <w:lvlJc w:val="left"/>
      <w:pPr>
        <w:ind w:left="2215" w:hanging="360"/>
      </w:pPr>
      <w:rPr>
        <w:rFonts w:ascii="Symbol" w:hAnsi="Symbol"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60" w15:restartNumberingAfterBreak="0">
    <w:nsid w:val="325A655E"/>
    <w:multiLevelType w:val="hybridMultilevel"/>
    <w:tmpl w:val="41F82C30"/>
    <w:lvl w:ilvl="0" w:tplc="08090001">
      <w:start w:val="1"/>
      <w:numFmt w:val="bullet"/>
      <w:lvlText w:val=""/>
      <w:lvlJc w:val="left"/>
      <w:pPr>
        <w:ind w:left="720" w:hanging="360"/>
      </w:pPr>
      <w:rPr>
        <w:rFonts w:ascii="Arial Bold" w:hAnsi="Arial Bold" w:hint="default"/>
      </w:rPr>
    </w:lvl>
    <w:lvl w:ilvl="1" w:tplc="08090003">
      <w:start w:val="1"/>
      <w:numFmt w:val="bullet"/>
      <w:lvlText w:val="o"/>
      <w:lvlJc w:val="left"/>
      <w:pPr>
        <w:ind w:left="1440" w:hanging="360"/>
      </w:pPr>
      <w:rPr>
        <w:rFonts w:ascii="Helvetica" w:hAnsi="Helvetica" w:cs="Helvetica" w:hint="default"/>
      </w:rPr>
    </w:lvl>
    <w:lvl w:ilvl="2" w:tplc="08090005">
      <w:start w:val="1"/>
      <w:numFmt w:val="bullet"/>
      <w:lvlText w:val=""/>
      <w:lvlJc w:val="left"/>
      <w:pPr>
        <w:ind w:left="2160" w:hanging="360"/>
      </w:pPr>
      <w:rPr>
        <w:rFonts w:ascii="SimSun" w:hAnsi="SimSun" w:hint="default"/>
      </w:rPr>
    </w:lvl>
    <w:lvl w:ilvl="3" w:tplc="08090001">
      <w:start w:val="1"/>
      <w:numFmt w:val="bullet"/>
      <w:lvlText w:val=""/>
      <w:lvlJc w:val="left"/>
      <w:pPr>
        <w:ind w:left="2880" w:hanging="360"/>
      </w:pPr>
      <w:rPr>
        <w:rFonts w:ascii="Arial Bold" w:hAnsi="Arial Bold" w:hint="default"/>
      </w:rPr>
    </w:lvl>
    <w:lvl w:ilvl="4" w:tplc="08090003">
      <w:start w:val="1"/>
      <w:numFmt w:val="bullet"/>
      <w:lvlText w:val="o"/>
      <w:lvlJc w:val="left"/>
      <w:pPr>
        <w:ind w:left="3600" w:hanging="360"/>
      </w:pPr>
      <w:rPr>
        <w:rFonts w:ascii="Helvetica" w:hAnsi="Helvetica" w:cs="Helvetica" w:hint="default"/>
      </w:rPr>
    </w:lvl>
    <w:lvl w:ilvl="5" w:tplc="08090005">
      <w:start w:val="1"/>
      <w:numFmt w:val="bullet"/>
      <w:lvlText w:val=""/>
      <w:lvlJc w:val="left"/>
      <w:pPr>
        <w:ind w:left="4320" w:hanging="360"/>
      </w:pPr>
      <w:rPr>
        <w:rFonts w:ascii="SimSun" w:hAnsi="SimSun" w:hint="default"/>
      </w:rPr>
    </w:lvl>
    <w:lvl w:ilvl="6" w:tplc="08090001">
      <w:start w:val="1"/>
      <w:numFmt w:val="bullet"/>
      <w:lvlText w:val=""/>
      <w:lvlJc w:val="left"/>
      <w:pPr>
        <w:ind w:left="5040" w:hanging="360"/>
      </w:pPr>
      <w:rPr>
        <w:rFonts w:ascii="Arial Bold" w:hAnsi="Arial Bold" w:hint="default"/>
      </w:rPr>
    </w:lvl>
    <w:lvl w:ilvl="7" w:tplc="08090003">
      <w:start w:val="1"/>
      <w:numFmt w:val="bullet"/>
      <w:lvlText w:val="o"/>
      <w:lvlJc w:val="left"/>
      <w:pPr>
        <w:ind w:left="5760" w:hanging="360"/>
      </w:pPr>
      <w:rPr>
        <w:rFonts w:ascii="Helvetica" w:hAnsi="Helvetica" w:cs="Helvetica" w:hint="default"/>
      </w:rPr>
    </w:lvl>
    <w:lvl w:ilvl="8" w:tplc="08090005">
      <w:start w:val="1"/>
      <w:numFmt w:val="bullet"/>
      <w:lvlText w:val=""/>
      <w:lvlJc w:val="left"/>
      <w:pPr>
        <w:ind w:left="6480" w:hanging="360"/>
      </w:pPr>
      <w:rPr>
        <w:rFonts w:ascii="SimSun" w:hAnsi="SimSun" w:hint="default"/>
      </w:rPr>
    </w:lvl>
  </w:abstractNum>
  <w:abstractNum w:abstractNumId="61" w15:restartNumberingAfterBreak="0">
    <w:nsid w:val="335C07EC"/>
    <w:multiLevelType w:val="hybridMultilevel"/>
    <w:tmpl w:val="240C53B4"/>
    <w:lvl w:ilvl="0" w:tplc="5010D2A2">
      <w:start w:val="1"/>
      <w:numFmt w:val="bullet"/>
      <w:lvlText w:val=""/>
      <w:lvlJc w:val="left"/>
      <w:pPr>
        <w:tabs>
          <w:tab w:val="num" w:pos="720"/>
        </w:tabs>
        <w:ind w:left="720" w:hanging="360"/>
      </w:pPr>
      <w:rPr>
        <w:rFonts w:ascii="Symbol" w:hAnsi="Symbol" w:hint="default"/>
        <w:sz w:val="20"/>
      </w:rPr>
    </w:lvl>
    <w:lvl w:ilvl="1" w:tplc="416408A2" w:tentative="1">
      <w:start w:val="1"/>
      <w:numFmt w:val="bullet"/>
      <w:lvlText w:val=""/>
      <w:lvlJc w:val="left"/>
      <w:pPr>
        <w:tabs>
          <w:tab w:val="num" w:pos="1440"/>
        </w:tabs>
        <w:ind w:left="1440" w:hanging="360"/>
      </w:pPr>
      <w:rPr>
        <w:rFonts w:ascii="Symbol" w:hAnsi="Symbol" w:hint="default"/>
        <w:sz w:val="20"/>
      </w:rPr>
    </w:lvl>
    <w:lvl w:ilvl="2" w:tplc="A5649A60" w:tentative="1">
      <w:start w:val="1"/>
      <w:numFmt w:val="bullet"/>
      <w:lvlText w:val=""/>
      <w:lvlJc w:val="left"/>
      <w:pPr>
        <w:tabs>
          <w:tab w:val="num" w:pos="2160"/>
        </w:tabs>
        <w:ind w:left="2160" w:hanging="360"/>
      </w:pPr>
      <w:rPr>
        <w:rFonts w:ascii="Symbol" w:hAnsi="Symbol" w:hint="default"/>
        <w:sz w:val="20"/>
      </w:rPr>
    </w:lvl>
    <w:lvl w:ilvl="3" w:tplc="E5520B2C" w:tentative="1">
      <w:start w:val="1"/>
      <w:numFmt w:val="bullet"/>
      <w:lvlText w:val=""/>
      <w:lvlJc w:val="left"/>
      <w:pPr>
        <w:tabs>
          <w:tab w:val="num" w:pos="2880"/>
        </w:tabs>
        <w:ind w:left="2880" w:hanging="360"/>
      </w:pPr>
      <w:rPr>
        <w:rFonts w:ascii="Symbol" w:hAnsi="Symbol" w:hint="default"/>
        <w:sz w:val="20"/>
      </w:rPr>
    </w:lvl>
    <w:lvl w:ilvl="4" w:tplc="DA489906" w:tentative="1">
      <w:start w:val="1"/>
      <w:numFmt w:val="bullet"/>
      <w:lvlText w:val=""/>
      <w:lvlJc w:val="left"/>
      <w:pPr>
        <w:tabs>
          <w:tab w:val="num" w:pos="3600"/>
        </w:tabs>
        <w:ind w:left="3600" w:hanging="360"/>
      </w:pPr>
      <w:rPr>
        <w:rFonts w:ascii="Symbol" w:hAnsi="Symbol" w:hint="default"/>
        <w:sz w:val="20"/>
      </w:rPr>
    </w:lvl>
    <w:lvl w:ilvl="5" w:tplc="2BA47B5C" w:tentative="1">
      <w:start w:val="1"/>
      <w:numFmt w:val="bullet"/>
      <w:lvlText w:val=""/>
      <w:lvlJc w:val="left"/>
      <w:pPr>
        <w:tabs>
          <w:tab w:val="num" w:pos="4320"/>
        </w:tabs>
        <w:ind w:left="4320" w:hanging="360"/>
      </w:pPr>
      <w:rPr>
        <w:rFonts w:ascii="Symbol" w:hAnsi="Symbol" w:hint="default"/>
        <w:sz w:val="20"/>
      </w:rPr>
    </w:lvl>
    <w:lvl w:ilvl="6" w:tplc="E0B05648" w:tentative="1">
      <w:start w:val="1"/>
      <w:numFmt w:val="bullet"/>
      <w:lvlText w:val=""/>
      <w:lvlJc w:val="left"/>
      <w:pPr>
        <w:tabs>
          <w:tab w:val="num" w:pos="5040"/>
        </w:tabs>
        <w:ind w:left="5040" w:hanging="360"/>
      </w:pPr>
      <w:rPr>
        <w:rFonts w:ascii="Symbol" w:hAnsi="Symbol" w:hint="default"/>
        <w:sz w:val="20"/>
      </w:rPr>
    </w:lvl>
    <w:lvl w:ilvl="7" w:tplc="6AE651F8" w:tentative="1">
      <w:start w:val="1"/>
      <w:numFmt w:val="bullet"/>
      <w:lvlText w:val=""/>
      <w:lvlJc w:val="left"/>
      <w:pPr>
        <w:tabs>
          <w:tab w:val="num" w:pos="5760"/>
        </w:tabs>
        <w:ind w:left="5760" w:hanging="360"/>
      </w:pPr>
      <w:rPr>
        <w:rFonts w:ascii="Symbol" w:hAnsi="Symbol" w:hint="default"/>
        <w:sz w:val="20"/>
      </w:rPr>
    </w:lvl>
    <w:lvl w:ilvl="8" w:tplc="1A324794"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3613BC7"/>
    <w:multiLevelType w:val="hybridMultilevel"/>
    <w:tmpl w:val="22E64FA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3" w15:restartNumberingAfterBreak="0">
    <w:nsid w:val="343758B2"/>
    <w:multiLevelType w:val="hybridMultilevel"/>
    <w:tmpl w:val="E31A2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3478275A"/>
    <w:multiLevelType w:val="hybridMultilevel"/>
    <w:tmpl w:val="C108E670"/>
    <w:lvl w:ilvl="0" w:tplc="08090001">
      <w:start w:val="1"/>
      <w:numFmt w:val="bullet"/>
      <w:lvlText w:val=""/>
      <w:lvlJc w:val="left"/>
      <w:pPr>
        <w:ind w:left="2160" w:hanging="720"/>
      </w:pPr>
      <w:rPr>
        <w:rFonts w:ascii="Symbol" w:hAnsi="Symbol"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5" w15:restartNumberingAfterBreak="0">
    <w:nsid w:val="369820B8"/>
    <w:multiLevelType w:val="hybridMultilevel"/>
    <w:tmpl w:val="B714090A"/>
    <w:lvl w:ilvl="0" w:tplc="191EF22E">
      <w:start w:val="1"/>
      <w:numFmt w:val="lowerRoman"/>
      <w:lvlText w:val="%1."/>
      <w:lvlJc w:val="right"/>
      <w:pPr>
        <w:ind w:left="1635" w:hanging="360"/>
      </w:pPr>
      <w:rPr>
        <w:rFonts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66" w15:restartNumberingAfterBreak="0">
    <w:nsid w:val="37241593"/>
    <w:multiLevelType w:val="hybridMultilevel"/>
    <w:tmpl w:val="BFB8933C"/>
    <w:lvl w:ilvl="0" w:tplc="08090001">
      <w:start w:val="1"/>
      <w:numFmt w:val="bullet"/>
      <w:lvlText w:val=""/>
      <w:lvlJc w:val="left"/>
      <w:pPr>
        <w:ind w:left="720" w:hanging="360"/>
      </w:pPr>
      <w:rPr>
        <w:rFonts w:ascii="Arial Bold" w:hAnsi="Arial Bold" w:hint="default"/>
      </w:rPr>
    </w:lvl>
    <w:lvl w:ilvl="1" w:tplc="08090003">
      <w:start w:val="1"/>
      <w:numFmt w:val="bullet"/>
      <w:lvlText w:val="o"/>
      <w:lvlJc w:val="left"/>
      <w:pPr>
        <w:ind w:left="1440" w:hanging="360"/>
      </w:pPr>
      <w:rPr>
        <w:rFonts w:ascii="Helvetica" w:hAnsi="Helvetica" w:cs="Helvetica" w:hint="default"/>
      </w:rPr>
    </w:lvl>
    <w:lvl w:ilvl="2" w:tplc="08090005">
      <w:start w:val="1"/>
      <w:numFmt w:val="bullet"/>
      <w:lvlText w:val=""/>
      <w:lvlJc w:val="left"/>
      <w:pPr>
        <w:ind w:left="2160" w:hanging="360"/>
      </w:pPr>
      <w:rPr>
        <w:rFonts w:ascii="SimSun" w:hAnsi="SimSun" w:hint="default"/>
      </w:rPr>
    </w:lvl>
    <w:lvl w:ilvl="3" w:tplc="08090001">
      <w:start w:val="1"/>
      <w:numFmt w:val="bullet"/>
      <w:lvlText w:val=""/>
      <w:lvlJc w:val="left"/>
      <w:pPr>
        <w:ind w:left="2880" w:hanging="360"/>
      </w:pPr>
      <w:rPr>
        <w:rFonts w:ascii="Arial Bold" w:hAnsi="Arial Bold" w:hint="default"/>
      </w:rPr>
    </w:lvl>
    <w:lvl w:ilvl="4" w:tplc="08090003">
      <w:start w:val="1"/>
      <w:numFmt w:val="bullet"/>
      <w:lvlText w:val="o"/>
      <w:lvlJc w:val="left"/>
      <w:pPr>
        <w:ind w:left="3600" w:hanging="360"/>
      </w:pPr>
      <w:rPr>
        <w:rFonts w:ascii="Helvetica" w:hAnsi="Helvetica" w:cs="Helvetica" w:hint="default"/>
      </w:rPr>
    </w:lvl>
    <w:lvl w:ilvl="5" w:tplc="08090005">
      <w:start w:val="1"/>
      <w:numFmt w:val="bullet"/>
      <w:lvlText w:val=""/>
      <w:lvlJc w:val="left"/>
      <w:pPr>
        <w:ind w:left="4320" w:hanging="360"/>
      </w:pPr>
      <w:rPr>
        <w:rFonts w:ascii="SimSun" w:hAnsi="SimSun" w:hint="default"/>
      </w:rPr>
    </w:lvl>
    <w:lvl w:ilvl="6" w:tplc="08090001">
      <w:start w:val="1"/>
      <w:numFmt w:val="bullet"/>
      <w:lvlText w:val=""/>
      <w:lvlJc w:val="left"/>
      <w:pPr>
        <w:ind w:left="5040" w:hanging="360"/>
      </w:pPr>
      <w:rPr>
        <w:rFonts w:ascii="Arial Bold" w:hAnsi="Arial Bold" w:hint="default"/>
      </w:rPr>
    </w:lvl>
    <w:lvl w:ilvl="7" w:tplc="08090003">
      <w:start w:val="1"/>
      <w:numFmt w:val="bullet"/>
      <w:lvlText w:val="o"/>
      <w:lvlJc w:val="left"/>
      <w:pPr>
        <w:ind w:left="5760" w:hanging="360"/>
      </w:pPr>
      <w:rPr>
        <w:rFonts w:ascii="Helvetica" w:hAnsi="Helvetica" w:cs="Helvetica" w:hint="default"/>
      </w:rPr>
    </w:lvl>
    <w:lvl w:ilvl="8" w:tplc="08090005">
      <w:start w:val="1"/>
      <w:numFmt w:val="bullet"/>
      <w:lvlText w:val=""/>
      <w:lvlJc w:val="left"/>
      <w:pPr>
        <w:ind w:left="6480" w:hanging="360"/>
      </w:pPr>
      <w:rPr>
        <w:rFonts w:ascii="SimSun" w:hAnsi="SimSun" w:hint="default"/>
      </w:rPr>
    </w:lvl>
  </w:abstractNum>
  <w:abstractNum w:abstractNumId="67" w15:restartNumberingAfterBreak="0">
    <w:nsid w:val="3777104D"/>
    <w:multiLevelType w:val="hybridMultilevel"/>
    <w:tmpl w:val="02B2DD8E"/>
    <w:lvl w:ilvl="0" w:tplc="FF9243E0">
      <w:start w:val="1"/>
      <w:numFmt w:val="decimal"/>
      <w:suff w:val="nothing"/>
      <w:lvlText w:val="%1"/>
      <w:lvlJc w:val="left"/>
      <w:rPr>
        <w:rFonts w:cs="SegoeUI" w:hint="default"/>
      </w:rPr>
    </w:lvl>
    <w:lvl w:ilvl="1" w:tplc="56509C18">
      <w:start w:val="1"/>
      <w:numFmt w:val="decimal"/>
      <w:lvlText w:val="%1.%2."/>
      <w:lvlJc w:val="left"/>
      <w:pPr>
        <w:tabs>
          <w:tab w:val="num" w:pos="1080"/>
        </w:tabs>
        <w:ind w:left="792" w:hanging="432"/>
      </w:pPr>
      <w:rPr>
        <w:rFonts w:cs="SegoeUI" w:hint="default"/>
      </w:rPr>
    </w:lvl>
    <w:lvl w:ilvl="2" w:tplc="C45A45E0">
      <w:start w:val="1"/>
      <w:numFmt w:val="decimal"/>
      <w:lvlText w:val="%1.%2.%3."/>
      <w:lvlJc w:val="left"/>
      <w:pPr>
        <w:tabs>
          <w:tab w:val="num" w:pos="1800"/>
        </w:tabs>
        <w:ind w:left="1224" w:hanging="504"/>
      </w:pPr>
      <w:rPr>
        <w:rFonts w:cs="SegoeUI" w:hint="default"/>
      </w:rPr>
    </w:lvl>
    <w:lvl w:ilvl="3" w:tplc="312A7EAC">
      <w:start w:val="1"/>
      <w:numFmt w:val="decimal"/>
      <w:lvlText w:val="%1.%2.%3.%4."/>
      <w:lvlJc w:val="left"/>
      <w:pPr>
        <w:tabs>
          <w:tab w:val="num" w:pos="2520"/>
        </w:tabs>
        <w:ind w:left="1728" w:hanging="648"/>
      </w:pPr>
      <w:rPr>
        <w:rFonts w:cs="SegoeUI" w:hint="default"/>
      </w:rPr>
    </w:lvl>
    <w:lvl w:ilvl="4" w:tplc="EB06DCF2">
      <w:start w:val="1"/>
      <w:numFmt w:val="decimal"/>
      <w:lvlText w:val="%1.%2.%3.%4.%5."/>
      <w:lvlJc w:val="left"/>
      <w:pPr>
        <w:tabs>
          <w:tab w:val="num" w:pos="2880"/>
        </w:tabs>
        <w:ind w:left="2232" w:hanging="792"/>
      </w:pPr>
      <w:rPr>
        <w:rFonts w:cs="SegoeUI" w:hint="default"/>
      </w:rPr>
    </w:lvl>
    <w:lvl w:ilvl="5" w:tplc="AC2229D0">
      <w:start w:val="1"/>
      <w:numFmt w:val="decimal"/>
      <w:lvlText w:val="%1.%2.%3.%4.%5.%6."/>
      <w:lvlJc w:val="left"/>
      <w:pPr>
        <w:tabs>
          <w:tab w:val="num" w:pos="3600"/>
        </w:tabs>
        <w:ind w:left="2736" w:hanging="936"/>
      </w:pPr>
      <w:rPr>
        <w:rFonts w:cs="SegoeUI" w:hint="default"/>
      </w:rPr>
    </w:lvl>
    <w:lvl w:ilvl="6" w:tplc="794CB326">
      <w:start w:val="1"/>
      <w:numFmt w:val="decimal"/>
      <w:lvlText w:val="%1.%2.%3.%4.%5.%6.%7."/>
      <w:lvlJc w:val="left"/>
      <w:pPr>
        <w:tabs>
          <w:tab w:val="num" w:pos="4320"/>
        </w:tabs>
        <w:ind w:left="3240" w:hanging="1080"/>
      </w:pPr>
      <w:rPr>
        <w:rFonts w:cs="SegoeUI" w:hint="default"/>
      </w:rPr>
    </w:lvl>
    <w:lvl w:ilvl="7" w:tplc="27DECF1E">
      <w:start w:val="1"/>
      <w:numFmt w:val="decimal"/>
      <w:lvlText w:val="%1.%2.%3.%4.%5.%6.%7.%8."/>
      <w:lvlJc w:val="left"/>
      <w:pPr>
        <w:tabs>
          <w:tab w:val="num" w:pos="5040"/>
        </w:tabs>
        <w:ind w:left="3744" w:hanging="1224"/>
      </w:pPr>
      <w:rPr>
        <w:rFonts w:cs="SegoeUI" w:hint="default"/>
      </w:rPr>
    </w:lvl>
    <w:lvl w:ilvl="8" w:tplc="4DAC5024">
      <w:start w:val="1"/>
      <w:numFmt w:val="decimal"/>
      <w:lvlText w:val="%1.%2.%3.%4.%5.%6.%7.%8.%9."/>
      <w:lvlJc w:val="left"/>
      <w:pPr>
        <w:tabs>
          <w:tab w:val="num" w:pos="5760"/>
        </w:tabs>
        <w:ind w:left="4320" w:hanging="1440"/>
      </w:pPr>
      <w:rPr>
        <w:rFonts w:cs="SegoeUI" w:hint="default"/>
      </w:rPr>
    </w:lvl>
  </w:abstractNum>
  <w:abstractNum w:abstractNumId="68" w15:restartNumberingAfterBreak="0">
    <w:nsid w:val="39D560B2"/>
    <w:multiLevelType w:val="hybridMultilevel"/>
    <w:tmpl w:val="9C1ECBD0"/>
    <w:lvl w:ilvl="0" w:tplc="8D0A534E">
      <w:start w:val="1"/>
      <w:numFmt w:val="bullet"/>
      <w:lvlText w:val=""/>
      <w:lvlJc w:val="left"/>
      <w:pPr>
        <w:tabs>
          <w:tab w:val="num" w:pos="720"/>
        </w:tabs>
        <w:ind w:left="720" w:hanging="360"/>
      </w:pPr>
      <w:rPr>
        <w:rFonts w:ascii="Symbol" w:hAnsi="Symbol" w:hint="default"/>
        <w:sz w:val="20"/>
      </w:rPr>
    </w:lvl>
    <w:lvl w:ilvl="1" w:tplc="45D4576A" w:tentative="1">
      <w:start w:val="1"/>
      <w:numFmt w:val="bullet"/>
      <w:lvlText w:val=""/>
      <w:lvlJc w:val="left"/>
      <w:pPr>
        <w:tabs>
          <w:tab w:val="num" w:pos="1440"/>
        </w:tabs>
        <w:ind w:left="1440" w:hanging="360"/>
      </w:pPr>
      <w:rPr>
        <w:rFonts w:ascii="Symbol" w:hAnsi="Symbol" w:hint="default"/>
        <w:sz w:val="20"/>
      </w:rPr>
    </w:lvl>
    <w:lvl w:ilvl="2" w:tplc="0E80A4D2" w:tentative="1">
      <w:start w:val="1"/>
      <w:numFmt w:val="bullet"/>
      <w:lvlText w:val=""/>
      <w:lvlJc w:val="left"/>
      <w:pPr>
        <w:tabs>
          <w:tab w:val="num" w:pos="2160"/>
        </w:tabs>
        <w:ind w:left="2160" w:hanging="360"/>
      </w:pPr>
      <w:rPr>
        <w:rFonts w:ascii="Symbol" w:hAnsi="Symbol" w:hint="default"/>
        <w:sz w:val="20"/>
      </w:rPr>
    </w:lvl>
    <w:lvl w:ilvl="3" w:tplc="76D42818" w:tentative="1">
      <w:start w:val="1"/>
      <w:numFmt w:val="bullet"/>
      <w:lvlText w:val=""/>
      <w:lvlJc w:val="left"/>
      <w:pPr>
        <w:tabs>
          <w:tab w:val="num" w:pos="2880"/>
        </w:tabs>
        <w:ind w:left="2880" w:hanging="360"/>
      </w:pPr>
      <w:rPr>
        <w:rFonts w:ascii="Symbol" w:hAnsi="Symbol" w:hint="default"/>
        <w:sz w:val="20"/>
      </w:rPr>
    </w:lvl>
    <w:lvl w:ilvl="4" w:tplc="A02094F6" w:tentative="1">
      <w:start w:val="1"/>
      <w:numFmt w:val="bullet"/>
      <w:lvlText w:val=""/>
      <w:lvlJc w:val="left"/>
      <w:pPr>
        <w:tabs>
          <w:tab w:val="num" w:pos="3600"/>
        </w:tabs>
        <w:ind w:left="3600" w:hanging="360"/>
      </w:pPr>
      <w:rPr>
        <w:rFonts w:ascii="Symbol" w:hAnsi="Symbol" w:hint="default"/>
        <w:sz w:val="20"/>
      </w:rPr>
    </w:lvl>
    <w:lvl w:ilvl="5" w:tplc="1182F19A" w:tentative="1">
      <w:start w:val="1"/>
      <w:numFmt w:val="bullet"/>
      <w:lvlText w:val=""/>
      <w:lvlJc w:val="left"/>
      <w:pPr>
        <w:tabs>
          <w:tab w:val="num" w:pos="4320"/>
        </w:tabs>
        <w:ind w:left="4320" w:hanging="360"/>
      </w:pPr>
      <w:rPr>
        <w:rFonts w:ascii="Symbol" w:hAnsi="Symbol" w:hint="default"/>
        <w:sz w:val="20"/>
      </w:rPr>
    </w:lvl>
    <w:lvl w:ilvl="6" w:tplc="37B6A018" w:tentative="1">
      <w:start w:val="1"/>
      <w:numFmt w:val="bullet"/>
      <w:lvlText w:val=""/>
      <w:lvlJc w:val="left"/>
      <w:pPr>
        <w:tabs>
          <w:tab w:val="num" w:pos="5040"/>
        </w:tabs>
        <w:ind w:left="5040" w:hanging="360"/>
      </w:pPr>
      <w:rPr>
        <w:rFonts w:ascii="Symbol" w:hAnsi="Symbol" w:hint="default"/>
        <w:sz w:val="20"/>
      </w:rPr>
    </w:lvl>
    <w:lvl w:ilvl="7" w:tplc="4B266A4A" w:tentative="1">
      <w:start w:val="1"/>
      <w:numFmt w:val="bullet"/>
      <w:lvlText w:val=""/>
      <w:lvlJc w:val="left"/>
      <w:pPr>
        <w:tabs>
          <w:tab w:val="num" w:pos="5760"/>
        </w:tabs>
        <w:ind w:left="5760" w:hanging="360"/>
      </w:pPr>
      <w:rPr>
        <w:rFonts w:ascii="Symbol" w:hAnsi="Symbol" w:hint="default"/>
        <w:sz w:val="20"/>
      </w:rPr>
    </w:lvl>
    <w:lvl w:ilvl="8" w:tplc="0192887C"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A1B4C9B"/>
    <w:multiLevelType w:val="hybridMultilevel"/>
    <w:tmpl w:val="334415AA"/>
    <w:lvl w:ilvl="0" w:tplc="FF62F876">
      <w:start w:val="1"/>
      <w:numFmt w:val="bullet"/>
      <w:lvlText w:val=""/>
      <w:lvlJc w:val="left"/>
      <w:pPr>
        <w:tabs>
          <w:tab w:val="num" w:pos="284"/>
        </w:tabs>
        <w:ind w:left="284" w:hanging="284"/>
      </w:pPr>
      <w:rPr>
        <w:rFonts w:ascii="Arial Bold" w:hAnsi="Arial Bold" w:hint="default"/>
      </w:rPr>
    </w:lvl>
    <w:lvl w:ilvl="1" w:tplc="7F1830F2">
      <w:start w:val="1"/>
      <w:numFmt w:val="bullet"/>
      <w:lvlText w:val=""/>
      <w:lvlJc w:val="left"/>
      <w:pPr>
        <w:tabs>
          <w:tab w:val="num" w:pos="567"/>
        </w:tabs>
        <w:ind w:left="567" w:hanging="283"/>
      </w:pPr>
      <w:rPr>
        <w:rFonts w:ascii="Arial Bold" w:hAnsi="Arial Bold" w:hint="default"/>
      </w:rPr>
    </w:lvl>
    <w:lvl w:ilvl="2" w:tplc="37E47464">
      <w:start w:val="1"/>
      <w:numFmt w:val="bullet"/>
      <w:lvlText w:val=""/>
      <w:lvlJc w:val="left"/>
      <w:pPr>
        <w:tabs>
          <w:tab w:val="num" w:pos="1080"/>
        </w:tabs>
        <w:ind w:left="1080" w:hanging="360"/>
      </w:pPr>
      <w:rPr>
        <w:rFonts w:ascii="SimSun" w:hAnsi="SimSun" w:hint="default"/>
      </w:rPr>
    </w:lvl>
    <w:lvl w:ilvl="3" w:tplc="7A325070">
      <w:start w:val="1"/>
      <w:numFmt w:val="bullet"/>
      <w:lvlText w:val=""/>
      <w:lvlJc w:val="left"/>
      <w:pPr>
        <w:tabs>
          <w:tab w:val="num" w:pos="1440"/>
        </w:tabs>
        <w:ind w:left="1440" w:hanging="360"/>
      </w:pPr>
      <w:rPr>
        <w:rFonts w:ascii="Arial Bold" w:hAnsi="Arial Bold" w:hint="default"/>
      </w:rPr>
    </w:lvl>
    <w:lvl w:ilvl="4" w:tplc="6BD2D400">
      <w:start w:val="1"/>
      <w:numFmt w:val="bullet"/>
      <w:lvlText w:val=""/>
      <w:lvlJc w:val="left"/>
      <w:pPr>
        <w:tabs>
          <w:tab w:val="num" w:pos="1800"/>
        </w:tabs>
        <w:ind w:left="1800" w:hanging="360"/>
      </w:pPr>
      <w:rPr>
        <w:rFonts w:ascii="Arial Bold" w:hAnsi="Arial Bold" w:hint="default"/>
      </w:rPr>
    </w:lvl>
    <w:lvl w:ilvl="5" w:tplc="ACF4A15E">
      <w:start w:val="1"/>
      <w:numFmt w:val="bullet"/>
      <w:lvlText w:val=""/>
      <w:lvlJc w:val="left"/>
      <w:pPr>
        <w:tabs>
          <w:tab w:val="num" w:pos="2160"/>
        </w:tabs>
        <w:ind w:left="2160" w:hanging="360"/>
      </w:pPr>
      <w:rPr>
        <w:rFonts w:ascii="SimSun" w:hAnsi="SimSun" w:hint="default"/>
      </w:rPr>
    </w:lvl>
    <w:lvl w:ilvl="6" w:tplc="16200990">
      <w:start w:val="1"/>
      <w:numFmt w:val="bullet"/>
      <w:lvlText w:val=""/>
      <w:lvlJc w:val="left"/>
      <w:pPr>
        <w:tabs>
          <w:tab w:val="num" w:pos="2520"/>
        </w:tabs>
        <w:ind w:left="2520" w:hanging="360"/>
      </w:pPr>
      <w:rPr>
        <w:rFonts w:ascii="SimSun" w:hAnsi="SimSun" w:hint="default"/>
      </w:rPr>
    </w:lvl>
    <w:lvl w:ilvl="7" w:tplc="46DA7C60">
      <w:start w:val="1"/>
      <w:numFmt w:val="bullet"/>
      <w:lvlText w:val=""/>
      <w:lvlJc w:val="left"/>
      <w:pPr>
        <w:tabs>
          <w:tab w:val="num" w:pos="2880"/>
        </w:tabs>
        <w:ind w:left="2880" w:hanging="360"/>
      </w:pPr>
      <w:rPr>
        <w:rFonts w:ascii="Arial Bold" w:hAnsi="Arial Bold" w:hint="default"/>
      </w:rPr>
    </w:lvl>
    <w:lvl w:ilvl="8" w:tplc="E3303C28">
      <w:start w:val="1"/>
      <w:numFmt w:val="bullet"/>
      <w:lvlText w:val=""/>
      <w:lvlJc w:val="left"/>
      <w:pPr>
        <w:tabs>
          <w:tab w:val="num" w:pos="3240"/>
        </w:tabs>
        <w:ind w:left="3240" w:hanging="360"/>
      </w:pPr>
      <w:rPr>
        <w:rFonts w:ascii="Arial Bold" w:hAnsi="Arial Bold" w:hint="default"/>
      </w:rPr>
    </w:lvl>
  </w:abstractNum>
  <w:abstractNum w:abstractNumId="70" w15:restartNumberingAfterBreak="0">
    <w:nsid w:val="3AE94609"/>
    <w:multiLevelType w:val="hybridMultilevel"/>
    <w:tmpl w:val="DAF0DBFC"/>
    <w:lvl w:ilvl="0" w:tplc="66E6F59E">
      <w:start w:val="1"/>
      <w:numFmt w:val="decimal"/>
      <w:lvlText w:val="%1."/>
      <w:lvlJc w:val="left"/>
      <w:pPr>
        <w:ind w:left="720" w:hanging="360"/>
      </w:pPr>
    </w:lvl>
    <w:lvl w:ilvl="1" w:tplc="4C1A041C">
      <w:start w:val="1"/>
      <w:numFmt w:val="decimal"/>
      <w:lvlText w:val="%2."/>
      <w:lvlJc w:val="left"/>
      <w:pPr>
        <w:ind w:left="1440" w:hanging="360"/>
      </w:pPr>
      <w:rPr>
        <w:rFonts w:ascii="SegoeUI" w:eastAsiaTheme="minorHAnsi" w:hAnsi="SegoeUI" w:cs="SegoeUI" w:hint="default"/>
      </w:rPr>
    </w:lvl>
    <w:lvl w:ilvl="2" w:tplc="0018F93C">
      <w:start w:val="1"/>
      <w:numFmt w:val="lowerRoman"/>
      <w:lvlText w:val="%3."/>
      <w:lvlJc w:val="right"/>
      <w:pPr>
        <w:ind w:left="2160" w:hanging="180"/>
      </w:pPr>
    </w:lvl>
    <w:lvl w:ilvl="3" w:tplc="FCE803C2">
      <w:start w:val="1"/>
      <w:numFmt w:val="lowerLetter"/>
      <w:lvlText w:val="%4."/>
      <w:lvlJc w:val="left"/>
      <w:pPr>
        <w:ind w:left="2880" w:hanging="360"/>
      </w:pPr>
      <w:rPr>
        <w:color w:val="auto"/>
      </w:rPr>
    </w:lvl>
    <w:lvl w:ilvl="4" w:tplc="8206BB30">
      <w:start w:val="1"/>
      <w:numFmt w:val="decimal"/>
      <w:lvlText w:val="%5."/>
      <w:lvlJc w:val="left"/>
      <w:pPr>
        <w:ind w:left="3600" w:hanging="360"/>
      </w:pPr>
    </w:lvl>
    <w:lvl w:ilvl="5" w:tplc="B106BCA4">
      <w:start w:val="1"/>
      <w:numFmt w:val="lowerLetter"/>
      <w:lvlText w:val="%6."/>
      <w:lvlJc w:val="right"/>
      <w:pPr>
        <w:ind w:left="4320" w:hanging="180"/>
      </w:pPr>
    </w:lvl>
    <w:lvl w:ilvl="6" w:tplc="7FEABEB8">
      <w:start w:val="1"/>
      <w:numFmt w:val="lowerRoman"/>
      <w:lvlText w:val="%7."/>
      <w:lvlJc w:val="left"/>
      <w:pPr>
        <w:ind w:left="5040" w:hanging="360"/>
      </w:pPr>
    </w:lvl>
    <w:lvl w:ilvl="7" w:tplc="420888F4">
      <w:start w:val="1"/>
      <w:numFmt w:val="upperRoman"/>
      <w:lvlText w:val="%8."/>
      <w:lvlJc w:val="left"/>
      <w:pPr>
        <w:ind w:left="5760" w:hanging="360"/>
      </w:pPr>
    </w:lvl>
    <w:lvl w:ilvl="8" w:tplc="6810AA0A">
      <w:start w:val="1"/>
      <w:numFmt w:val="decimal"/>
      <w:lvlText w:val="%9."/>
      <w:lvlJc w:val="right"/>
      <w:pPr>
        <w:ind w:left="6480" w:hanging="180"/>
      </w:pPr>
    </w:lvl>
  </w:abstractNum>
  <w:abstractNum w:abstractNumId="71" w15:restartNumberingAfterBreak="0">
    <w:nsid w:val="3B42182C"/>
    <w:multiLevelType w:val="hybridMultilevel"/>
    <w:tmpl w:val="00D09298"/>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72" w15:restartNumberingAfterBreak="0">
    <w:nsid w:val="3B6B29D6"/>
    <w:multiLevelType w:val="hybridMultilevel"/>
    <w:tmpl w:val="7666B82A"/>
    <w:lvl w:ilvl="0" w:tplc="BA6A0586">
      <w:start w:val="1"/>
      <w:numFmt w:val="bullet"/>
      <w:lvlText w:val="•"/>
      <w:lvlJc w:val="left"/>
      <w:pPr>
        <w:ind w:left="862"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1" w:tplc="4446AE10">
      <w:start w:val="1"/>
      <w:numFmt w:val="bullet"/>
      <w:lvlText w:val="o"/>
      <w:lvlJc w:val="left"/>
      <w:pPr>
        <w:ind w:left="1440" w:firstLine="0"/>
      </w:pPr>
      <w:rPr>
        <w:rFonts w:ascii="Segoe UI Emoji" w:eastAsia="Segoe UI Emoji" w:hAnsi="Segoe UI Emoji" w:cs="Segoe UI Emoji"/>
        <w:b w:val="0"/>
        <w:i w:val="0"/>
        <w:strike w:val="0"/>
        <w:dstrike w:val="0"/>
        <w:color w:val="000000"/>
        <w:sz w:val="20"/>
        <w:szCs w:val="20"/>
        <w:u w:val="none" w:color="000000"/>
        <w:effect w:val="none"/>
        <w:bdr w:val="none" w:sz="0" w:space="0" w:color="auto" w:frame="1"/>
        <w:vertAlign w:val="baseline"/>
      </w:rPr>
    </w:lvl>
    <w:lvl w:ilvl="2" w:tplc="1A381924">
      <w:start w:val="1"/>
      <w:numFmt w:val="bullet"/>
      <w:lvlText w:val="▪"/>
      <w:lvlJc w:val="left"/>
      <w:pPr>
        <w:ind w:left="2160" w:firstLine="0"/>
      </w:pPr>
      <w:rPr>
        <w:rFonts w:ascii="Segoe UI Emoji" w:eastAsia="Segoe UI Emoji" w:hAnsi="Segoe UI Emoji" w:cs="Segoe UI Emoji"/>
        <w:b w:val="0"/>
        <w:i w:val="0"/>
        <w:strike w:val="0"/>
        <w:dstrike w:val="0"/>
        <w:color w:val="000000"/>
        <w:sz w:val="20"/>
        <w:szCs w:val="20"/>
        <w:u w:val="none" w:color="000000"/>
        <w:effect w:val="none"/>
        <w:bdr w:val="none" w:sz="0" w:space="0" w:color="auto" w:frame="1"/>
        <w:vertAlign w:val="baseline"/>
      </w:rPr>
    </w:lvl>
    <w:lvl w:ilvl="3" w:tplc="CC3828BA">
      <w:start w:val="1"/>
      <w:numFmt w:val="bullet"/>
      <w:lvlText w:val="•"/>
      <w:lvlJc w:val="left"/>
      <w:pPr>
        <w:ind w:left="288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4" w:tplc="B6347B2A">
      <w:start w:val="1"/>
      <w:numFmt w:val="bullet"/>
      <w:lvlText w:val="o"/>
      <w:lvlJc w:val="left"/>
      <w:pPr>
        <w:ind w:left="3600" w:firstLine="0"/>
      </w:pPr>
      <w:rPr>
        <w:rFonts w:ascii="Segoe UI Emoji" w:eastAsia="Segoe UI Emoji" w:hAnsi="Segoe UI Emoji" w:cs="Segoe UI Emoji"/>
        <w:b w:val="0"/>
        <w:i w:val="0"/>
        <w:strike w:val="0"/>
        <w:dstrike w:val="0"/>
        <w:color w:val="000000"/>
        <w:sz w:val="20"/>
        <w:szCs w:val="20"/>
        <w:u w:val="none" w:color="000000"/>
        <w:effect w:val="none"/>
        <w:bdr w:val="none" w:sz="0" w:space="0" w:color="auto" w:frame="1"/>
        <w:vertAlign w:val="baseline"/>
      </w:rPr>
    </w:lvl>
    <w:lvl w:ilvl="5" w:tplc="59B628AA">
      <w:start w:val="1"/>
      <w:numFmt w:val="bullet"/>
      <w:lvlText w:val="▪"/>
      <w:lvlJc w:val="left"/>
      <w:pPr>
        <w:ind w:left="4320" w:firstLine="0"/>
      </w:pPr>
      <w:rPr>
        <w:rFonts w:ascii="Segoe UI Emoji" w:eastAsia="Segoe UI Emoji" w:hAnsi="Segoe UI Emoji" w:cs="Segoe UI Emoji"/>
        <w:b w:val="0"/>
        <w:i w:val="0"/>
        <w:strike w:val="0"/>
        <w:dstrike w:val="0"/>
        <w:color w:val="000000"/>
        <w:sz w:val="20"/>
        <w:szCs w:val="20"/>
        <w:u w:val="none" w:color="000000"/>
        <w:effect w:val="none"/>
        <w:bdr w:val="none" w:sz="0" w:space="0" w:color="auto" w:frame="1"/>
        <w:vertAlign w:val="baseline"/>
      </w:rPr>
    </w:lvl>
    <w:lvl w:ilvl="6" w:tplc="50FC2EA0">
      <w:start w:val="1"/>
      <w:numFmt w:val="bullet"/>
      <w:lvlText w:val="•"/>
      <w:lvlJc w:val="left"/>
      <w:pPr>
        <w:ind w:left="504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7" w:tplc="3B00E400">
      <w:start w:val="1"/>
      <w:numFmt w:val="bullet"/>
      <w:lvlText w:val="o"/>
      <w:lvlJc w:val="left"/>
      <w:pPr>
        <w:ind w:left="5760" w:firstLine="0"/>
      </w:pPr>
      <w:rPr>
        <w:rFonts w:ascii="Segoe UI Emoji" w:eastAsia="Segoe UI Emoji" w:hAnsi="Segoe UI Emoji" w:cs="Segoe UI Emoji"/>
        <w:b w:val="0"/>
        <w:i w:val="0"/>
        <w:strike w:val="0"/>
        <w:dstrike w:val="0"/>
        <w:color w:val="000000"/>
        <w:sz w:val="20"/>
        <w:szCs w:val="20"/>
        <w:u w:val="none" w:color="000000"/>
        <w:effect w:val="none"/>
        <w:bdr w:val="none" w:sz="0" w:space="0" w:color="auto" w:frame="1"/>
        <w:vertAlign w:val="baseline"/>
      </w:rPr>
    </w:lvl>
    <w:lvl w:ilvl="8" w:tplc="6DA619AC">
      <w:start w:val="1"/>
      <w:numFmt w:val="bullet"/>
      <w:lvlText w:val="▪"/>
      <w:lvlJc w:val="left"/>
      <w:pPr>
        <w:ind w:left="6480" w:firstLine="0"/>
      </w:pPr>
      <w:rPr>
        <w:rFonts w:ascii="Segoe UI Emoji" w:eastAsia="Segoe UI Emoji" w:hAnsi="Segoe UI Emoji" w:cs="Segoe UI Emoji"/>
        <w:b w:val="0"/>
        <w:i w:val="0"/>
        <w:strike w:val="0"/>
        <w:dstrike w:val="0"/>
        <w:color w:val="000000"/>
        <w:sz w:val="20"/>
        <w:szCs w:val="20"/>
        <w:u w:val="none" w:color="000000"/>
        <w:effect w:val="none"/>
        <w:bdr w:val="none" w:sz="0" w:space="0" w:color="auto" w:frame="1"/>
        <w:vertAlign w:val="baseline"/>
      </w:rPr>
    </w:lvl>
  </w:abstractNum>
  <w:abstractNum w:abstractNumId="73" w15:restartNumberingAfterBreak="0">
    <w:nsid w:val="3C054192"/>
    <w:multiLevelType w:val="hybridMultilevel"/>
    <w:tmpl w:val="01B83FD8"/>
    <w:lvl w:ilvl="0" w:tplc="6140612A">
      <w:start w:val="249"/>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415220D0"/>
    <w:multiLevelType w:val="multilevel"/>
    <w:tmpl w:val="23222342"/>
    <w:lvl w:ilvl="0">
      <w:start w:val="1"/>
      <w:numFmt w:val="decimal"/>
      <w:lvlText w:val="%1"/>
      <w:lvlJc w:val="left"/>
      <w:pPr>
        <w:ind w:left="387" w:hanging="387"/>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5" w15:restartNumberingAfterBreak="0">
    <w:nsid w:val="415E70B4"/>
    <w:multiLevelType w:val="hybridMultilevel"/>
    <w:tmpl w:val="21D678EA"/>
    <w:lvl w:ilvl="0" w:tplc="4852F3A0">
      <w:start w:val="1"/>
      <w:numFmt w:val="decimal"/>
      <w:lvlText w:val="%1."/>
      <w:lvlJc w:val="left"/>
      <w:pPr>
        <w:ind w:left="1440" w:hanging="360"/>
      </w:pPr>
      <w:rPr>
        <w:rFonts w:ascii="SegoeUI" w:eastAsiaTheme="minorHAnsi" w:hAnsi="SegoeUI" w:cs="SegoeUI"/>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76" w15:restartNumberingAfterBreak="0">
    <w:nsid w:val="41CC77AE"/>
    <w:multiLevelType w:val="hybridMultilevel"/>
    <w:tmpl w:val="3D348540"/>
    <w:lvl w:ilvl="0" w:tplc="0809001B">
      <w:start w:val="1"/>
      <w:numFmt w:val="lowerRoman"/>
      <w:lvlText w:val="%1."/>
      <w:lvlJc w:val="right"/>
      <w:pPr>
        <w:ind w:left="1570"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77" w15:restartNumberingAfterBreak="0">
    <w:nsid w:val="41F2340F"/>
    <w:multiLevelType w:val="hybridMultilevel"/>
    <w:tmpl w:val="34CAA546"/>
    <w:lvl w:ilvl="0" w:tplc="083C2006">
      <w:start w:val="1"/>
      <w:numFmt w:val="decimal"/>
      <w:lvlText w:val="%1."/>
      <w:lvlJc w:val="left"/>
      <w:pPr>
        <w:ind w:left="7731" w:hanging="360"/>
      </w:pPr>
      <w:rPr>
        <w:rFonts w:ascii="Arial" w:hAnsi="Arial" w:cs="Arial" w:hint="default"/>
        <w:b w:val="0"/>
        <w:bCs w:val="0"/>
        <w:i w:val="0"/>
        <w:iCs/>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2143066"/>
    <w:multiLevelType w:val="hybridMultilevel"/>
    <w:tmpl w:val="0408E5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43BB2DFD"/>
    <w:multiLevelType w:val="hybridMultilevel"/>
    <w:tmpl w:val="E5DCB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43EB450C"/>
    <w:multiLevelType w:val="hybridMultilevel"/>
    <w:tmpl w:val="DAF0DBFC"/>
    <w:lvl w:ilvl="0" w:tplc="66E6F59E">
      <w:start w:val="1"/>
      <w:numFmt w:val="decimal"/>
      <w:lvlText w:val="%1."/>
      <w:lvlJc w:val="left"/>
      <w:pPr>
        <w:ind w:left="720" w:hanging="360"/>
      </w:pPr>
    </w:lvl>
    <w:lvl w:ilvl="1" w:tplc="4C1A041C">
      <w:start w:val="1"/>
      <w:numFmt w:val="decimal"/>
      <w:lvlText w:val="%2."/>
      <w:lvlJc w:val="left"/>
      <w:pPr>
        <w:ind w:left="1440" w:hanging="360"/>
      </w:pPr>
      <w:rPr>
        <w:rFonts w:ascii="SegoeUI" w:eastAsiaTheme="minorHAnsi" w:hAnsi="SegoeUI" w:cs="SegoeUI" w:hint="default"/>
      </w:rPr>
    </w:lvl>
    <w:lvl w:ilvl="2" w:tplc="0018F93C">
      <w:start w:val="1"/>
      <w:numFmt w:val="lowerRoman"/>
      <w:lvlText w:val="%3."/>
      <w:lvlJc w:val="right"/>
      <w:pPr>
        <w:ind w:left="2160" w:hanging="180"/>
      </w:pPr>
    </w:lvl>
    <w:lvl w:ilvl="3" w:tplc="FCE803C2">
      <w:start w:val="1"/>
      <w:numFmt w:val="lowerLetter"/>
      <w:lvlText w:val="%4."/>
      <w:lvlJc w:val="left"/>
      <w:pPr>
        <w:ind w:left="2880" w:hanging="360"/>
      </w:pPr>
      <w:rPr>
        <w:color w:val="auto"/>
      </w:rPr>
    </w:lvl>
    <w:lvl w:ilvl="4" w:tplc="8206BB30">
      <w:start w:val="1"/>
      <w:numFmt w:val="decimal"/>
      <w:lvlText w:val="%5."/>
      <w:lvlJc w:val="left"/>
      <w:pPr>
        <w:ind w:left="3600" w:hanging="360"/>
      </w:pPr>
    </w:lvl>
    <w:lvl w:ilvl="5" w:tplc="B106BCA4">
      <w:start w:val="1"/>
      <w:numFmt w:val="lowerLetter"/>
      <w:lvlText w:val="%6."/>
      <w:lvlJc w:val="right"/>
      <w:pPr>
        <w:ind w:left="4320" w:hanging="180"/>
      </w:pPr>
    </w:lvl>
    <w:lvl w:ilvl="6" w:tplc="7FEABEB8">
      <w:start w:val="1"/>
      <w:numFmt w:val="lowerRoman"/>
      <w:lvlText w:val="%7."/>
      <w:lvlJc w:val="left"/>
      <w:pPr>
        <w:ind w:left="5040" w:hanging="360"/>
      </w:pPr>
    </w:lvl>
    <w:lvl w:ilvl="7" w:tplc="420888F4">
      <w:start w:val="1"/>
      <w:numFmt w:val="upperRoman"/>
      <w:lvlText w:val="%8."/>
      <w:lvlJc w:val="left"/>
      <w:pPr>
        <w:ind w:left="5760" w:hanging="360"/>
      </w:pPr>
    </w:lvl>
    <w:lvl w:ilvl="8" w:tplc="6810AA0A">
      <w:start w:val="1"/>
      <w:numFmt w:val="decimal"/>
      <w:lvlText w:val="%9."/>
      <w:lvlJc w:val="right"/>
      <w:pPr>
        <w:ind w:left="6480" w:hanging="180"/>
      </w:pPr>
    </w:lvl>
  </w:abstractNum>
  <w:abstractNum w:abstractNumId="81" w15:restartNumberingAfterBreak="0">
    <w:nsid w:val="444F4CD7"/>
    <w:multiLevelType w:val="hybridMultilevel"/>
    <w:tmpl w:val="C33EA312"/>
    <w:lvl w:ilvl="0" w:tplc="95DE1016">
      <w:start w:val="1"/>
      <w:numFmt w:val="decimal"/>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start w:val="1"/>
      <w:numFmt w:val="lowerLetter"/>
      <w:lvlText w:val="%2."/>
      <w:lvlJc w:val="left"/>
      <w:pPr>
        <w:ind w:left="730" w:hanging="360"/>
      </w:pPr>
    </w:lvl>
    <w:lvl w:ilvl="2" w:tplc="7CA0AE1E">
      <w:numFmt w:val="bullet"/>
      <w:lvlText w:val="•"/>
      <w:lvlJc w:val="left"/>
      <w:pPr>
        <w:ind w:left="1990" w:hanging="720"/>
      </w:pPr>
      <w:rPr>
        <w:rFonts w:ascii="Tahoma" w:eastAsia="SegoeUI" w:hAnsi="Tahoma" w:cs="Tahoma" w:hint="default"/>
      </w:rPr>
    </w:lvl>
    <w:lvl w:ilvl="3" w:tplc="0809000F" w:tentative="1">
      <w:start w:val="1"/>
      <w:numFmt w:val="decimal"/>
      <w:lvlText w:val="%4."/>
      <w:lvlJc w:val="left"/>
      <w:pPr>
        <w:ind w:left="2170" w:hanging="360"/>
      </w:pPr>
    </w:lvl>
    <w:lvl w:ilvl="4" w:tplc="08090019" w:tentative="1">
      <w:start w:val="1"/>
      <w:numFmt w:val="lowerLetter"/>
      <w:lvlText w:val="%5."/>
      <w:lvlJc w:val="left"/>
      <w:pPr>
        <w:ind w:left="2890" w:hanging="360"/>
      </w:pPr>
    </w:lvl>
    <w:lvl w:ilvl="5" w:tplc="0809001B" w:tentative="1">
      <w:start w:val="1"/>
      <w:numFmt w:val="lowerRoman"/>
      <w:lvlText w:val="%6."/>
      <w:lvlJc w:val="right"/>
      <w:pPr>
        <w:ind w:left="3610" w:hanging="180"/>
      </w:pPr>
    </w:lvl>
    <w:lvl w:ilvl="6" w:tplc="0809000F" w:tentative="1">
      <w:start w:val="1"/>
      <w:numFmt w:val="decimal"/>
      <w:lvlText w:val="%7."/>
      <w:lvlJc w:val="left"/>
      <w:pPr>
        <w:ind w:left="4330" w:hanging="360"/>
      </w:pPr>
    </w:lvl>
    <w:lvl w:ilvl="7" w:tplc="08090019" w:tentative="1">
      <w:start w:val="1"/>
      <w:numFmt w:val="lowerLetter"/>
      <w:lvlText w:val="%8."/>
      <w:lvlJc w:val="left"/>
      <w:pPr>
        <w:ind w:left="5050" w:hanging="360"/>
      </w:pPr>
    </w:lvl>
    <w:lvl w:ilvl="8" w:tplc="0809001B" w:tentative="1">
      <w:start w:val="1"/>
      <w:numFmt w:val="lowerRoman"/>
      <w:lvlText w:val="%9."/>
      <w:lvlJc w:val="right"/>
      <w:pPr>
        <w:ind w:left="5770" w:hanging="180"/>
      </w:pPr>
    </w:lvl>
  </w:abstractNum>
  <w:abstractNum w:abstractNumId="82" w15:restartNumberingAfterBreak="0">
    <w:nsid w:val="44E420EC"/>
    <w:multiLevelType w:val="hybridMultilevel"/>
    <w:tmpl w:val="6D18C71C"/>
    <w:lvl w:ilvl="0" w:tplc="6DD022E4">
      <w:start w:val="3"/>
      <w:numFmt w:val="decimal"/>
      <w:lvlText w:val="%1."/>
      <w:lvlJc w:val="left"/>
      <w:pPr>
        <w:ind w:left="720" w:hanging="360"/>
      </w:pPr>
    </w:lvl>
    <w:lvl w:ilvl="1" w:tplc="D73A5E56">
      <w:start w:val="1"/>
      <w:numFmt w:val="decimal"/>
      <w:lvlText w:val="%2."/>
      <w:lvlJc w:val="left"/>
      <w:pPr>
        <w:ind w:left="1440" w:hanging="360"/>
      </w:pPr>
      <w:rPr>
        <w:rFonts w:ascii="SegoeUI" w:eastAsiaTheme="minorHAnsi" w:hAnsi="SegoeUI" w:cs="SegoeUI" w:hint="default"/>
      </w:rPr>
    </w:lvl>
    <w:lvl w:ilvl="2" w:tplc="64826BCA">
      <w:start w:val="1"/>
      <w:numFmt w:val="lowerRoman"/>
      <w:lvlText w:val="%3."/>
      <w:lvlJc w:val="right"/>
      <w:pPr>
        <w:ind w:left="2160" w:hanging="180"/>
      </w:pPr>
    </w:lvl>
    <w:lvl w:ilvl="3" w:tplc="93E0A2F0">
      <w:start w:val="1"/>
      <w:numFmt w:val="lowerLetter"/>
      <w:lvlText w:val="%4."/>
      <w:lvlJc w:val="left"/>
      <w:pPr>
        <w:ind w:left="2880" w:hanging="360"/>
      </w:pPr>
      <w:rPr>
        <w:color w:val="auto"/>
      </w:rPr>
    </w:lvl>
    <w:lvl w:ilvl="4" w:tplc="809A0B00">
      <w:start w:val="1"/>
      <w:numFmt w:val="decimal"/>
      <w:lvlText w:val="%5."/>
      <w:lvlJc w:val="left"/>
      <w:pPr>
        <w:ind w:left="3600" w:hanging="360"/>
      </w:pPr>
    </w:lvl>
    <w:lvl w:ilvl="5" w:tplc="53822EEC">
      <w:start w:val="1"/>
      <w:numFmt w:val="lowerLetter"/>
      <w:lvlText w:val="%6."/>
      <w:lvlJc w:val="right"/>
      <w:pPr>
        <w:ind w:left="4320" w:hanging="180"/>
      </w:pPr>
    </w:lvl>
    <w:lvl w:ilvl="6" w:tplc="6400D44A">
      <w:start w:val="1"/>
      <w:numFmt w:val="lowerRoman"/>
      <w:lvlText w:val="%7."/>
      <w:lvlJc w:val="left"/>
      <w:pPr>
        <w:ind w:left="5040" w:hanging="360"/>
      </w:pPr>
    </w:lvl>
    <w:lvl w:ilvl="7" w:tplc="CA9EB4BE">
      <w:start w:val="1"/>
      <w:numFmt w:val="upperRoman"/>
      <w:lvlText w:val="%8."/>
      <w:lvlJc w:val="left"/>
      <w:pPr>
        <w:ind w:left="5760" w:hanging="360"/>
      </w:pPr>
    </w:lvl>
    <w:lvl w:ilvl="8" w:tplc="53822C1E">
      <w:start w:val="1"/>
      <w:numFmt w:val="decimal"/>
      <w:lvlText w:val="%9."/>
      <w:lvlJc w:val="right"/>
      <w:pPr>
        <w:ind w:left="6480" w:hanging="180"/>
      </w:pPr>
    </w:lvl>
  </w:abstractNum>
  <w:abstractNum w:abstractNumId="83" w15:restartNumberingAfterBreak="0">
    <w:nsid w:val="45730F12"/>
    <w:multiLevelType w:val="hybridMultilevel"/>
    <w:tmpl w:val="1F4863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4" w15:restartNumberingAfterBreak="0">
    <w:nsid w:val="457B4954"/>
    <w:multiLevelType w:val="hybridMultilevel"/>
    <w:tmpl w:val="C30ADA12"/>
    <w:lvl w:ilvl="0" w:tplc="08090001">
      <w:start w:val="1"/>
      <w:numFmt w:val="bullet"/>
      <w:lvlText w:val=""/>
      <w:lvlJc w:val="left"/>
      <w:pPr>
        <w:ind w:left="1505" w:hanging="360"/>
      </w:pPr>
      <w:rPr>
        <w:rFonts w:ascii="Arial Bold" w:hAnsi="Arial Bold" w:hint="default"/>
      </w:rPr>
    </w:lvl>
    <w:lvl w:ilvl="1" w:tplc="08090003" w:tentative="1">
      <w:start w:val="1"/>
      <w:numFmt w:val="bullet"/>
      <w:lvlText w:val="o"/>
      <w:lvlJc w:val="left"/>
      <w:pPr>
        <w:ind w:left="2225" w:hanging="360"/>
      </w:pPr>
      <w:rPr>
        <w:rFonts w:ascii="Helvetica" w:hAnsi="Helvetica" w:cs="Helvetica" w:hint="default"/>
      </w:rPr>
    </w:lvl>
    <w:lvl w:ilvl="2" w:tplc="08090005" w:tentative="1">
      <w:start w:val="1"/>
      <w:numFmt w:val="bullet"/>
      <w:lvlText w:val=""/>
      <w:lvlJc w:val="left"/>
      <w:pPr>
        <w:ind w:left="2945" w:hanging="360"/>
      </w:pPr>
      <w:rPr>
        <w:rFonts w:ascii="SimSun" w:hAnsi="SimSun" w:hint="default"/>
      </w:rPr>
    </w:lvl>
    <w:lvl w:ilvl="3" w:tplc="08090001" w:tentative="1">
      <w:start w:val="1"/>
      <w:numFmt w:val="bullet"/>
      <w:lvlText w:val=""/>
      <w:lvlJc w:val="left"/>
      <w:pPr>
        <w:ind w:left="3665" w:hanging="360"/>
      </w:pPr>
      <w:rPr>
        <w:rFonts w:ascii="Arial Bold" w:hAnsi="Arial Bold" w:hint="default"/>
      </w:rPr>
    </w:lvl>
    <w:lvl w:ilvl="4" w:tplc="08090003" w:tentative="1">
      <w:start w:val="1"/>
      <w:numFmt w:val="bullet"/>
      <w:lvlText w:val="o"/>
      <w:lvlJc w:val="left"/>
      <w:pPr>
        <w:ind w:left="4385" w:hanging="360"/>
      </w:pPr>
      <w:rPr>
        <w:rFonts w:ascii="Helvetica" w:hAnsi="Helvetica" w:cs="Helvetica" w:hint="default"/>
      </w:rPr>
    </w:lvl>
    <w:lvl w:ilvl="5" w:tplc="08090005" w:tentative="1">
      <w:start w:val="1"/>
      <w:numFmt w:val="bullet"/>
      <w:lvlText w:val=""/>
      <w:lvlJc w:val="left"/>
      <w:pPr>
        <w:ind w:left="5105" w:hanging="360"/>
      </w:pPr>
      <w:rPr>
        <w:rFonts w:ascii="SimSun" w:hAnsi="SimSun" w:hint="default"/>
      </w:rPr>
    </w:lvl>
    <w:lvl w:ilvl="6" w:tplc="08090001" w:tentative="1">
      <w:start w:val="1"/>
      <w:numFmt w:val="bullet"/>
      <w:lvlText w:val=""/>
      <w:lvlJc w:val="left"/>
      <w:pPr>
        <w:ind w:left="5825" w:hanging="360"/>
      </w:pPr>
      <w:rPr>
        <w:rFonts w:ascii="Arial Bold" w:hAnsi="Arial Bold" w:hint="default"/>
      </w:rPr>
    </w:lvl>
    <w:lvl w:ilvl="7" w:tplc="08090003" w:tentative="1">
      <w:start w:val="1"/>
      <w:numFmt w:val="bullet"/>
      <w:lvlText w:val="o"/>
      <w:lvlJc w:val="left"/>
      <w:pPr>
        <w:ind w:left="6545" w:hanging="360"/>
      </w:pPr>
      <w:rPr>
        <w:rFonts w:ascii="Helvetica" w:hAnsi="Helvetica" w:cs="Helvetica" w:hint="default"/>
      </w:rPr>
    </w:lvl>
    <w:lvl w:ilvl="8" w:tplc="08090005" w:tentative="1">
      <w:start w:val="1"/>
      <w:numFmt w:val="bullet"/>
      <w:lvlText w:val=""/>
      <w:lvlJc w:val="left"/>
      <w:pPr>
        <w:ind w:left="7265" w:hanging="360"/>
      </w:pPr>
      <w:rPr>
        <w:rFonts w:ascii="SimSun" w:hAnsi="SimSun" w:hint="default"/>
      </w:rPr>
    </w:lvl>
  </w:abstractNum>
  <w:abstractNum w:abstractNumId="85" w15:restartNumberingAfterBreak="0">
    <w:nsid w:val="47281A7C"/>
    <w:multiLevelType w:val="hybridMultilevel"/>
    <w:tmpl w:val="1F5C891E"/>
    <w:lvl w:ilvl="0" w:tplc="C80E3DB8">
      <w:start w:val="1"/>
      <w:numFmt w:val="decimal"/>
      <w:lvlText w:val="%1."/>
      <w:lvlJc w:val="left"/>
      <w:pPr>
        <w:ind w:left="360" w:hanging="360"/>
      </w:pPr>
    </w:lvl>
    <w:lvl w:ilvl="1" w:tplc="343A01BA">
      <w:start w:val="1"/>
      <w:numFmt w:val="decimal"/>
      <w:lvlText w:val="%2."/>
      <w:lvlJc w:val="left"/>
      <w:pPr>
        <w:ind w:left="1080" w:hanging="360"/>
      </w:pPr>
      <w:rPr>
        <w:rFonts w:ascii="SegoeUI" w:eastAsiaTheme="minorHAnsi" w:hAnsi="SegoeUI" w:cs="SegoeUI"/>
      </w:rPr>
    </w:lvl>
    <w:lvl w:ilvl="2" w:tplc="75D83F16">
      <w:start w:val="1"/>
      <w:numFmt w:val="lowerRoman"/>
      <w:lvlText w:val="%3."/>
      <w:lvlJc w:val="right"/>
      <w:pPr>
        <w:ind w:left="1800" w:hanging="180"/>
      </w:pPr>
    </w:lvl>
    <w:lvl w:ilvl="3" w:tplc="98DCAD4A">
      <w:start w:val="1"/>
      <w:numFmt w:val="lowerLetter"/>
      <w:lvlText w:val="%4."/>
      <w:lvlJc w:val="left"/>
      <w:pPr>
        <w:ind w:left="2520" w:hanging="360"/>
      </w:pPr>
      <w:rPr>
        <w:color w:val="auto"/>
      </w:rPr>
    </w:lvl>
    <w:lvl w:ilvl="4" w:tplc="6E122870">
      <w:start w:val="1"/>
      <w:numFmt w:val="decimal"/>
      <w:lvlText w:val="%5."/>
      <w:lvlJc w:val="left"/>
      <w:pPr>
        <w:ind w:left="3240" w:hanging="360"/>
      </w:pPr>
    </w:lvl>
    <w:lvl w:ilvl="5" w:tplc="9F400816">
      <w:start w:val="1"/>
      <w:numFmt w:val="lowerLetter"/>
      <w:lvlText w:val="%6."/>
      <w:lvlJc w:val="right"/>
      <w:pPr>
        <w:ind w:left="3960" w:hanging="180"/>
      </w:pPr>
    </w:lvl>
    <w:lvl w:ilvl="6" w:tplc="A006794C">
      <w:start w:val="1"/>
      <w:numFmt w:val="lowerRoman"/>
      <w:lvlText w:val="%7."/>
      <w:lvlJc w:val="left"/>
      <w:pPr>
        <w:ind w:left="4680" w:hanging="360"/>
      </w:pPr>
    </w:lvl>
    <w:lvl w:ilvl="7" w:tplc="F3F0C5C6">
      <w:start w:val="1"/>
      <w:numFmt w:val="upperRoman"/>
      <w:lvlText w:val="%8."/>
      <w:lvlJc w:val="left"/>
      <w:pPr>
        <w:ind w:left="5400" w:hanging="360"/>
      </w:pPr>
    </w:lvl>
    <w:lvl w:ilvl="8" w:tplc="E0FE1A16">
      <w:start w:val="1"/>
      <w:numFmt w:val="decimal"/>
      <w:lvlText w:val="%9."/>
      <w:lvlJc w:val="right"/>
      <w:pPr>
        <w:ind w:left="6120" w:hanging="180"/>
      </w:pPr>
    </w:lvl>
  </w:abstractNum>
  <w:abstractNum w:abstractNumId="86" w15:restartNumberingAfterBreak="0">
    <w:nsid w:val="479265CD"/>
    <w:multiLevelType w:val="hybridMultilevel"/>
    <w:tmpl w:val="85D6F642"/>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87" w15:restartNumberingAfterBreak="0">
    <w:nsid w:val="49EB0635"/>
    <w:multiLevelType w:val="multilevel"/>
    <w:tmpl w:val="A10C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FB3AF0"/>
    <w:multiLevelType w:val="hybridMultilevel"/>
    <w:tmpl w:val="0809001D"/>
    <w:styleLink w:val="Bullet"/>
    <w:lvl w:ilvl="0" w:tplc="0ECAD25C">
      <w:start w:val="1"/>
      <w:numFmt w:val="bullet"/>
      <w:lvlText w:val=""/>
      <w:lvlJc w:val="left"/>
      <w:pPr>
        <w:ind w:left="360" w:hanging="360"/>
      </w:pPr>
      <w:rPr>
        <w:rFonts w:ascii="Arial Bold" w:hAnsi="Arial Bold" w:hint="default"/>
        <w:sz w:val="24"/>
      </w:rPr>
    </w:lvl>
    <w:lvl w:ilvl="1" w:tplc="CFD6E842">
      <w:start w:val="1"/>
      <w:numFmt w:val="lowerLetter"/>
      <w:lvlText w:val="%2)"/>
      <w:lvlJc w:val="left"/>
      <w:pPr>
        <w:ind w:left="720" w:hanging="360"/>
      </w:pPr>
    </w:lvl>
    <w:lvl w:ilvl="2" w:tplc="AC1A14D6">
      <w:start w:val="1"/>
      <w:numFmt w:val="lowerRoman"/>
      <w:lvlText w:val="%3)"/>
      <w:lvlJc w:val="left"/>
      <w:pPr>
        <w:ind w:left="1080" w:hanging="360"/>
      </w:pPr>
    </w:lvl>
    <w:lvl w:ilvl="3" w:tplc="CE1A57FE">
      <w:start w:val="1"/>
      <w:numFmt w:val="decimal"/>
      <w:lvlText w:val="(%4)"/>
      <w:lvlJc w:val="left"/>
      <w:pPr>
        <w:ind w:left="1440" w:hanging="360"/>
      </w:pPr>
    </w:lvl>
    <w:lvl w:ilvl="4" w:tplc="1C36CB3C">
      <w:start w:val="1"/>
      <w:numFmt w:val="lowerLetter"/>
      <w:lvlText w:val="(%5)"/>
      <w:lvlJc w:val="left"/>
      <w:pPr>
        <w:ind w:left="1800" w:hanging="360"/>
      </w:pPr>
    </w:lvl>
    <w:lvl w:ilvl="5" w:tplc="7408E6F8">
      <w:start w:val="1"/>
      <w:numFmt w:val="lowerRoman"/>
      <w:lvlText w:val="(%6)"/>
      <w:lvlJc w:val="left"/>
      <w:pPr>
        <w:ind w:left="2160" w:hanging="360"/>
      </w:pPr>
    </w:lvl>
    <w:lvl w:ilvl="6" w:tplc="737CE108">
      <w:start w:val="1"/>
      <w:numFmt w:val="decimal"/>
      <w:lvlText w:val="%7."/>
      <w:lvlJc w:val="left"/>
      <w:pPr>
        <w:ind w:left="2520" w:hanging="360"/>
      </w:pPr>
    </w:lvl>
    <w:lvl w:ilvl="7" w:tplc="99A242D4">
      <w:start w:val="1"/>
      <w:numFmt w:val="lowerLetter"/>
      <w:lvlText w:val="%8."/>
      <w:lvlJc w:val="left"/>
      <w:pPr>
        <w:ind w:left="2880" w:hanging="360"/>
      </w:pPr>
    </w:lvl>
    <w:lvl w:ilvl="8" w:tplc="14706F66">
      <w:start w:val="1"/>
      <w:numFmt w:val="lowerRoman"/>
      <w:lvlText w:val="%9."/>
      <w:lvlJc w:val="left"/>
      <w:pPr>
        <w:ind w:left="3240" w:hanging="360"/>
      </w:pPr>
    </w:lvl>
  </w:abstractNum>
  <w:abstractNum w:abstractNumId="89" w15:restartNumberingAfterBreak="0">
    <w:nsid w:val="4B7A45DE"/>
    <w:multiLevelType w:val="hybridMultilevel"/>
    <w:tmpl w:val="52C277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0" w15:restartNumberingAfterBreak="0">
    <w:nsid w:val="4C122640"/>
    <w:multiLevelType w:val="hybridMultilevel"/>
    <w:tmpl w:val="1F5C891E"/>
    <w:lvl w:ilvl="0" w:tplc="9A9CCE10">
      <w:start w:val="1"/>
      <w:numFmt w:val="decimal"/>
      <w:lvlText w:val="%1."/>
      <w:lvlJc w:val="left"/>
      <w:pPr>
        <w:ind w:left="720" w:hanging="360"/>
      </w:pPr>
    </w:lvl>
    <w:lvl w:ilvl="1" w:tplc="F81CF2B2">
      <w:start w:val="1"/>
      <w:numFmt w:val="decimal"/>
      <w:lvlText w:val="%2."/>
      <w:lvlJc w:val="left"/>
      <w:pPr>
        <w:ind w:left="1440" w:hanging="360"/>
      </w:pPr>
      <w:rPr>
        <w:rFonts w:ascii="SegoeUI" w:eastAsiaTheme="minorHAnsi" w:hAnsi="SegoeUI" w:cs="SegoeUI"/>
      </w:rPr>
    </w:lvl>
    <w:lvl w:ilvl="2" w:tplc="FFFFFFFF">
      <w:start w:val="1"/>
      <w:numFmt w:val="lowerRoman"/>
      <w:lvlText w:val="%3."/>
      <w:lvlJc w:val="right"/>
      <w:pPr>
        <w:ind w:left="2160" w:hanging="180"/>
      </w:pPr>
    </w:lvl>
    <w:lvl w:ilvl="3" w:tplc="9272B22E">
      <w:start w:val="1"/>
      <w:numFmt w:val="lowerLetter"/>
      <w:lvlText w:val="%4."/>
      <w:lvlJc w:val="left"/>
      <w:pPr>
        <w:ind w:left="2880" w:hanging="360"/>
      </w:pPr>
      <w:rPr>
        <w:color w:val="auto"/>
      </w:rPr>
    </w:lvl>
    <w:lvl w:ilvl="4" w:tplc="45CC209E">
      <w:start w:val="1"/>
      <w:numFmt w:val="decimal"/>
      <w:lvlText w:val="%5."/>
      <w:lvlJc w:val="left"/>
      <w:pPr>
        <w:ind w:left="3600" w:hanging="360"/>
      </w:pPr>
    </w:lvl>
    <w:lvl w:ilvl="5" w:tplc="B91CDB62">
      <w:start w:val="1"/>
      <w:numFmt w:val="lowerLetter"/>
      <w:lvlText w:val="%6."/>
      <w:lvlJc w:val="right"/>
      <w:pPr>
        <w:ind w:left="4320" w:hanging="180"/>
      </w:pPr>
    </w:lvl>
    <w:lvl w:ilvl="6" w:tplc="C6146612">
      <w:start w:val="1"/>
      <w:numFmt w:val="lowerRoman"/>
      <w:lvlText w:val="%7."/>
      <w:lvlJc w:val="left"/>
      <w:pPr>
        <w:ind w:left="5040" w:hanging="360"/>
      </w:pPr>
    </w:lvl>
    <w:lvl w:ilvl="7" w:tplc="1E8AFD6A">
      <w:start w:val="1"/>
      <w:numFmt w:val="upperRoman"/>
      <w:lvlText w:val="%8."/>
      <w:lvlJc w:val="left"/>
      <w:pPr>
        <w:ind w:left="5760" w:hanging="360"/>
      </w:pPr>
    </w:lvl>
    <w:lvl w:ilvl="8" w:tplc="958A7B5A">
      <w:start w:val="1"/>
      <w:numFmt w:val="decimal"/>
      <w:lvlText w:val="%9."/>
      <w:lvlJc w:val="right"/>
      <w:pPr>
        <w:ind w:left="6480" w:hanging="180"/>
      </w:pPr>
    </w:lvl>
  </w:abstractNum>
  <w:abstractNum w:abstractNumId="91" w15:restartNumberingAfterBreak="0">
    <w:nsid w:val="4C8978A9"/>
    <w:multiLevelType w:val="hybridMultilevel"/>
    <w:tmpl w:val="7AC67392"/>
    <w:lvl w:ilvl="0" w:tplc="08090001">
      <w:start w:val="1"/>
      <w:numFmt w:val="bullet"/>
      <w:lvlText w:val=""/>
      <w:lvlJc w:val="left"/>
      <w:pPr>
        <w:ind w:left="787" w:hanging="360"/>
      </w:pPr>
      <w:rPr>
        <w:rFonts w:ascii="Arial Bold" w:hAnsi="Arial Bold" w:hint="default"/>
      </w:rPr>
    </w:lvl>
    <w:lvl w:ilvl="1" w:tplc="08090003" w:tentative="1">
      <w:start w:val="1"/>
      <w:numFmt w:val="bullet"/>
      <w:lvlText w:val="o"/>
      <w:lvlJc w:val="left"/>
      <w:pPr>
        <w:ind w:left="1507" w:hanging="360"/>
      </w:pPr>
      <w:rPr>
        <w:rFonts w:ascii="Helvetica" w:hAnsi="Helvetica" w:cs="Helvetica" w:hint="default"/>
      </w:rPr>
    </w:lvl>
    <w:lvl w:ilvl="2" w:tplc="08090005" w:tentative="1">
      <w:start w:val="1"/>
      <w:numFmt w:val="bullet"/>
      <w:lvlText w:val=""/>
      <w:lvlJc w:val="left"/>
      <w:pPr>
        <w:ind w:left="2227" w:hanging="360"/>
      </w:pPr>
      <w:rPr>
        <w:rFonts w:ascii="SimSun" w:hAnsi="SimSun" w:hint="default"/>
      </w:rPr>
    </w:lvl>
    <w:lvl w:ilvl="3" w:tplc="08090001" w:tentative="1">
      <w:start w:val="1"/>
      <w:numFmt w:val="bullet"/>
      <w:lvlText w:val=""/>
      <w:lvlJc w:val="left"/>
      <w:pPr>
        <w:ind w:left="2947" w:hanging="360"/>
      </w:pPr>
      <w:rPr>
        <w:rFonts w:ascii="Arial Bold" w:hAnsi="Arial Bold" w:hint="default"/>
      </w:rPr>
    </w:lvl>
    <w:lvl w:ilvl="4" w:tplc="08090003" w:tentative="1">
      <w:start w:val="1"/>
      <w:numFmt w:val="bullet"/>
      <w:lvlText w:val="o"/>
      <w:lvlJc w:val="left"/>
      <w:pPr>
        <w:ind w:left="3667" w:hanging="360"/>
      </w:pPr>
      <w:rPr>
        <w:rFonts w:ascii="Helvetica" w:hAnsi="Helvetica" w:cs="Helvetica" w:hint="default"/>
      </w:rPr>
    </w:lvl>
    <w:lvl w:ilvl="5" w:tplc="08090005" w:tentative="1">
      <w:start w:val="1"/>
      <w:numFmt w:val="bullet"/>
      <w:lvlText w:val=""/>
      <w:lvlJc w:val="left"/>
      <w:pPr>
        <w:ind w:left="4387" w:hanging="360"/>
      </w:pPr>
      <w:rPr>
        <w:rFonts w:ascii="SimSun" w:hAnsi="SimSun" w:hint="default"/>
      </w:rPr>
    </w:lvl>
    <w:lvl w:ilvl="6" w:tplc="08090001" w:tentative="1">
      <w:start w:val="1"/>
      <w:numFmt w:val="bullet"/>
      <w:lvlText w:val=""/>
      <w:lvlJc w:val="left"/>
      <w:pPr>
        <w:ind w:left="5107" w:hanging="360"/>
      </w:pPr>
      <w:rPr>
        <w:rFonts w:ascii="Arial Bold" w:hAnsi="Arial Bold" w:hint="default"/>
      </w:rPr>
    </w:lvl>
    <w:lvl w:ilvl="7" w:tplc="08090003" w:tentative="1">
      <w:start w:val="1"/>
      <w:numFmt w:val="bullet"/>
      <w:lvlText w:val="o"/>
      <w:lvlJc w:val="left"/>
      <w:pPr>
        <w:ind w:left="5827" w:hanging="360"/>
      </w:pPr>
      <w:rPr>
        <w:rFonts w:ascii="Helvetica" w:hAnsi="Helvetica" w:cs="Helvetica" w:hint="default"/>
      </w:rPr>
    </w:lvl>
    <w:lvl w:ilvl="8" w:tplc="08090005" w:tentative="1">
      <w:start w:val="1"/>
      <w:numFmt w:val="bullet"/>
      <w:lvlText w:val=""/>
      <w:lvlJc w:val="left"/>
      <w:pPr>
        <w:ind w:left="6547" w:hanging="360"/>
      </w:pPr>
      <w:rPr>
        <w:rFonts w:ascii="SimSun" w:hAnsi="SimSun" w:hint="default"/>
      </w:rPr>
    </w:lvl>
  </w:abstractNum>
  <w:abstractNum w:abstractNumId="92" w15:restartNumberingAfterBreak="0">
    <w:nsid w:val="4DC42DB9"/>
    <w:multiLevelType w:val="multilevel"/>
    <w:tmpl w:val="A2C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C6570E"/>
    <w:multiLevelType w:val="hybridMultilevel"/>
    <w:tmpl w:val="64323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4F5F32C3"/>
    <w:multiLevelType w:val="hybridMultilevel"/>
    <w:tmpl w:val="27A65722"/>
    <w:lvl w:ilvl="0" w:tplc="29C85BF8">
      <w:start w:val="1"/>
      <w:numFmt w:val="bullet"/>
      <w:lvlText w:val=""/>
      <w:lvlJc w:val="left"/>
      <w:pPr>
        <w:tabs>
          <w:tab w:val="num" w:pos="284"/>
        </w:tabs>
        <w:ind w:left="284" w:hanging="284"/>
      </w:pPr>
      <w:rPr>
        <w:rFonts w:ascii="Arial Bold" w:hAnsi="Arial Bold" w:hint="default"/>
      </w:rPr>
    </w:lvl>
    <w:lvl w:ilvl="1" w:tplc="A4445E18">
      <w:start w:val="1"/>
      <w:numFmt w:val="bullet"/>
      <w:lvlText w:val=""/>
      <w:lvlJc w:val="left"/>
      <w:pPr>
        <w:tabs>
          <w:tab w:val="num" w:pos="567"/>
        </w:tabs>
        <w:ind w:left="567" w:hanging="283"/>
      </w:pPr>
      <w:rPr>
        <w:rFonts w:ascii="Arial Bold" w:hAnsi="Arial Bold" w:hint="default"/>
      </w:rPr>
    </w:lvl>
    <w:lvl w:ilvl="2" w:tplc="206668A6">
      <w:start w:val="1"/>
      <w:numFmt w:val="bullet"/>
      <w:lvlText w:val=""/>
      <w:lvlJc w:val="left"/>
      <w:pPr>
        <w:tabs>
          <w:tab w:val="num" w:pos="1080"/>
        </w:tabs>
        <w:ind w:left="1080" w:hanging="360"/>
      </w:pPr>
      <w:rPr>
        <w:rFonts w:ascii="SimSun" w:hAnsi="SimSun" w:hint="default"/>
      </w:rPr>
    </w:lvl>
    <w:lvl w:ilvl="3" w:tplc="29CCBEC4">
      <w:start w:val="1"/>
      <w:numFmt w:val="bullet"/>
      <w:lvlText w:val=""/>
      <w:lvlJc w:val="left"/>
      <w:pPr>
        <w:tabs>
          <w:tab w:val="num" w:pos="1440"/>
        </w:tabs>
        <w:ind w:left="1440" w:hanging="360"/>
      </w:pPr>
      <w:rPr>
        <w:rFonts w:ascii="Arial Bold" w:hAnsi="Arial Bold" w:hint="default"/>
      </w:rPr>
    </w:lvl>
    <w:lvl w:ilvl="4" w:tplc="20A4A732">
      <w:start w:val="1"/>
      <w:numFmt w:val="bullet"/>
      <w:lvlText w:val=""/>
      <w:lvlJc w:val="left"/>
      <w:pPr>
        <w:tabs>
          <w:tab w:val="num" w:pos="1800"/>
        </w:tabs>
        <w:ind w:left="1800" w:hanging="360"/>
      </w:pPr>
      <w:rPr>
        <w:rFonts w:ascii="Arial Bold" w:hAnsi="Arial Bold" w:hint="default"/>
      </w:rPr>
    </w:lvl>
    <w:lvl w:ilvl="5" w:tplc="9C04C8F6">
      <w:start w:val="1"/>
      <w:numFmt w:val="bullet"/>
      <w:lvlText w:val=""/>
      <w:lvlJc w:val="left"/>
      <w:pPr>
        <w:tabs>
          <w:tab w:val="num" w:pos="2160"/>
        </w:tabs>
        <w:ind w:left="2160" w:hanging="360"/>
      </w:pPr>
      <w:rPr>
        <w:rFonts w:ascii="SimSun" w:hAnsi="SimSun" w:hint="default"/>
      </w:rPr>
    </w:lvl>
    <w:lvl w:ilvl="6" w:tplc="2766F8A6">
      <w:start w:val="1"/>
      <w:numFmt w:val="bullet"/>
      <w:lvlText w:val=""/>
      <w:lvlJc w:val="left"/>
      <w:pPr>
        <w:tabs>
          <w:tab w:val="num" w:pos="2520"/>
        </w:tabs>
        <w:ind w:left="2520" w:hanging="360"/>
      </w:pPr>
      <w:rPr>
        <w:rFonts w:ascii="SimSun" w:hAnsi="SimSun" w:hint="default"/>
      </w:rPr>
    </w:lvl>
    <w:lvl w:ilvl="7" w:tplc="BC14D5D2">
      <w:start w:val="1"/>
      <w:numFmt w:val="bullet"/>
      <w:lvlText w:val=""/>
      <w:lvlJc w:val="left"/>
      <w:pPr>
        <w:tabs>
          <w:tab w:val="num" w:pos="2880"/>
        </w:tabs>
        <w:ind w:left="2880" w:hanging="360"/>
      </w:pPr>
      <w:rPr>
        <w:rFonts w:ascii="Arial Bold" w:hAnsi="Arial Bold" w:hint="default"/>
      </w:rPr>
    </w:lvl>
    <w:lvl w:ilvl="8" w:tplc="53960346">
      <w:start w:val="1"/>
      <w:numFmt w:val="bullet"/>
      <w:lvlText w:val=""/>
      <w:lvlJc w:val="left"/>
      <w:pPr>
        <w:tabs>
          <w:tab w:val="num" w:pos="3240"/>
        </w:tabs>
        <w:ind w:left="3240" w:hanging="360"/>
      </w:pPr>
      <w:rPr>
        <w:rFonts w:ascii="Arial Bold" w:hAnsi="Arial Bold" w:hint="default"/>
      </w:rPr>
    </w:lvl>
  </w:abstractNum>
  <w:abstractNum w:abstractNumId="95" w15:restartNumberingAfterBreak="0">
    <w:nsid w:val="4F7A4E5C"/>
    <w:multiLevelType w:val="hybridMultilevel"/>
    <w:tmpl w:val="EEF60A22"/>
    <w:lvl w:ilvl="0" w:tplc="0388AFD0">
      <w:start w:val="360"/>
      <w:numFmt w:val="decimal"/>
      <w:lvlText w:val="%1."/>
      <w:lvlJc w:val="left"/>
      <w:pPr>
        <w:ind w:left="492"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1" w:tplc="641E6814">
      <w:start w:val="1"/>
      <w:numFmt w:val="lowerLetter"/>
      <w:lvlText w:val="%2"/>
      <w:lvlJc w:val="left"/>
      <w:pPr>
        <w:ind w:left="108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2" w:tplc="4B349FCC">
      <w:start w:val="1"/>
      <w:numFmt w:val="lowerRoman"/>
      <w:lvlText w:val="%3"/>
      <w:lvlJc w:val="left"/>
      <w:pPr>
        <w:ind w:left="180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3" w:tplc="C414B278">
      <w:start w:val="1"/>
      <w:numFmt w:val="decimal"/>
      <w:lvlText w:val="%4"/>
      <w:lvlJc w:val="left"/>
      <w:pPr>
        <w:ind w:left="252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4" w:tplc="54665096">
      <w:start w:val="1"/>
      <w:numFmt w:val="lowerLetter"/>
      <w:lvlText w:val="%5"/>
      <w:lvlJc w:val="left"/>
      <w:pPr>
        <w:ind w:left="324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5" w:tplc="16644AC2">
      <w:start w:val="1"/>
      <w:numFmt w:val="lowerRoman"/>
      <w:lvlText w:val="%6"/>
      <w:lvlJc w:val="left"/>
      <w:pPr>
        <w:ind w:left="396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6" w:tplc="65443970">
      <w:start w:val="1"/>
      <w:numFmt w:val="decimal"/>
      <w:lvlText w:val="%7"/>
      <w:lvlJc w:val="left"/>
      <w:pPr>
        <w:ind w:left="468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7" w:tplc="DE505F22">
      <w:start w:val="1"/>
      <w:numFmt w:val="lowerLetter"/>
      <w:lvlText w:val="%8"/>
      <w:lvlJc w:val="left"/>
      <w:pPr>
        <w:ind w:left="540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lvl w:ilvl="8" w:tplc="2844186E">
      <w:start w:val="1"/>
      <w:numFmt w:val="lowerRoman"/>
      <w:lvlText w:val="%9"/>
      <w:lvlJc w:val="left"/>
      <w:pPr>
        <w:ind w:left="6120" w:firstLine="0"/>
      </w:pPr>
      <w:rPr>
        <w:rFonts w:ascii="Tahoma" w:eastAsia="Tahoma" w:hAnsi="Tahoma" w:cs="Tahoma"/>
        <w:b w:val="0"/>
        <w:i w:val="0"/>
        <w:strike w:val="0"/>
        <w:dstrike w:val="0"/>
        <w:color w:val="000000"/>
        <w:sz w:val="20"/>
        <w:szCs w:val="20"/>
        <w:u w:val="none" w:color="000000"/>
        <w:effect w:val="none"/>
        <w:bdr w:val="none" w:sz="0" w:space="0" w:color="auto" w:frame="1"/>
        <w:vertAlign w:val="baseline"/>
      </w:rPr>
    </w:lvl>
  </w:abstractNum>
  <w:abstractNum w:abstractNumId="96" w15:restartNumberingAfterBreak="0">
    <w:nsid w:val="511028CC"/>
    <w:multiLevelType w:val="hybridMultilevel"/>
    <w:tmpl w:val="2EE2E8DC"/>
    <w:lvl w:ilvl="0" w:tplc="663C906E">
      <w:numFmt w:val="bullet"/>
      <w:lvlText w:val="-"/>
      <w:lvlJc w:val="left"/>
      <w:pPr>
        <w:ind w:left="720" w:hanging="360"/>
      </w:pPr>
      <w:rPr>
        <w:rFonts w:ascii="Tahoma" w:eastAsia="SegoeUI" w:hAnsi="Tahoma" w:cs="Tahoma"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97" w15:restartNumberingAfterBreak="0">
    <w:nsid w:val="51364D5A"/>
    <w:multiLevelType w:val="hybridMultilevel"/>
    <w:tmpl w:val="0809001D"/>
    <w:styleLink w:val="Style1"/>
    <w:lvl w:ilvl="0" w:tplc="52B68142">
      <w:start w:val="1"/>
      <w:numFmt w:val="bullet"/>
      <w:lvlText w:val=""/>
      <w:lvlJc w:val="left"/>
      <w:pPr>
        <w:ind w:left="360" w:hanging="360"/>
      </w:pPr>
      <w:rPr>
        <w:rFonts w:ascii="Arial Bold" w:hAnsi="Arial Bold" w:hint="default"/>
        <w:sz w:val="24"/>
      </w:rPr>
    </w:lvl>
    <w:lvl w:ilvl="1" w:tplc="4852C98A">
      <w:start w:val="1"/>
      <w:numFmt w:val="lowerLetter"/>
      <w:lvlText w:val="%2)"/>
      <w:lvlJc w:val="left"/>
      <w:pPr>
        <w:ind w:left="720" w:hanging="360"/>
      </w:pPr>
    </w:lvl>
    <w:lvl w:ilvl="2" w:tplc="2ADE0B5A">
      <w:start w:val="1"/>
      <w:numFmt w:val="lowerRoman"/>
      <w:lvlText w:val="%3)"/>
      <w:lvlJc w:val="left"/>
      <w:pPr>
        <w:ind w:left="1080" w:hanging="360"/>
      </w:pPr>
    </w:lvl>
    <w:lvl w:ilvl="3" w:tplc="BBFEB388">
      <w:start w:val="1"/>
      <w:numFmt w:val="decimal"/>
      <w:lvlText w:val="(%4)"/>
      <w:lvlJc w:val="left"/>
      <w:pPr>
        <w:ind w:left="1440" w:hanging="360"/>
      </w:pPr>
    </w:lvl>
    <w:lvl w:ilvl="4" w:tplc="0FBC1DC4">
      <w:start w:val="1"/>
      <w:numFmt w:val="lowerLetter"/>
      <w:lvlText w:val="(%5)"/>
      <w:lvlJc w:val="left"/>
      <w:pPr>
        <w:ind w:left="1800" w:hanging="360"/>
      </w:pPr>
    </w:lvl>
    <w:lvl w:ilvl="5" w:tplc="6BC4BF26">
      <w:start w:val="1"/>
      <w:numFmt w:val="lowerRoman"/>
      <w:lvlText w:val="(%6)"/>
      <w:lvlJc w:val="left"/>
      <w:pPr>
        <w:ind w:left="2160" w:hanging="360"/>
      </w:pPr>
    </w:lvl>
    <w:lvl w:ilvl="6" w:tplc="AF72304C">
      <w:start w:val="1"/>
      <w:numFmt w:val="decimal"/>
      <w:lvlText w:val="%7."/>
      <w:lvlJc w:val="left"/>
      <w:pPr>
        <w:ind w:left="2520" w:hanging="360"/>
      </w:pPr>
    </w:lvl>
    <w:lvl w:ilvl="7" w:tplc="21D4396C">
      <w:start w:val="1"/>
      <w:numFmt w:val="lowerLetter"/>
      <w:lvlText w:val="%8."/>
      <w:lvlJc w:val="left"/>
      <w:pPr>
        <w:ind w:left="2880" w:hanging="360"/>
      </w:pPr>
    </w:lvl>
    <w:lvl w:ilvl="8" w:tplc="70587C58">
      <w:start w:val="1"/>
      <w:numFmt w:val="lowerRoman"/>
      <w:lvlText w:val="%9."/>
      <w:lvlJc w:val="left"/>
      <w:pPr>
        <w:ind w:left="3240" w:hanging="360"/>
      </w:pPr>
    </w:lvl>
  </w:abstractNum>
  <w:abstractNum w:abstractNumId="98" w15:restartNumberingAfterBreak="0">
    <w:nsid w:val="51B67766"/>
    <w:multiLevelType w:val="hybridMultilevel"/>
    <w:tmpl w:val="A99E7D84"/>
    <w:lvl w:ilvl="0" w:tplc="C096AC74">
      <w:start w:val="1"/>
      <w:numFmt w:val="bullet"/>
      <w:lvlText w:val=""/>
      <w:lvlJc w:val="left"/>
      <w:pPr>
        <w:tabs>
          <w:tab w:val="num" w:pos="720"/>
        </w:tabs>
        <w:ind w:left="720" w:hanging="360"/>
      </w:pPr>
      <w:rPr>
        <w:rFonts w:ascii="Symbol" w:hAnsi="Symbol" w:hint="default"/>
        <w:sz w:val="20"/>
      </w:rPr>
    </w:lvl>
    <w:lvl w:ilvl="1" w:tplc="79041C60">
      <w:start w:val="1"/>
      <w:numFmt w:val="bullet"/>
      <w:lvlText w:val="o"/>
      <w:lvlJc w:val="left"/>
      <w:pPr>
        <w:tabs>
          <w:tab w:val="num" w:pos="1440"/>
        </w:tabs>
        <w:ind w:left="1440" w:hanging="360"/>
      </w:pPr>
      <w:rPr>
        <w:rFonts w:ascii="Courier New" w:hAnsi="Courier New" w:cs="Times New Roman" w:hint="default"/>
        <w:sz w:val="20"/>
      </w:rPr>
    </w:lvl>
    <w:lvl w:ilvl="2" w:tplc="ED24478A">
      <w:start w:val="1"/>
      <w:numFmt w:val="bullet"/>
      <w:lvlText w:val=""/>
      <w:lvlJc w:val="left"/>
      <w:pPr>
        <w:tabs>
          <w:tab w:val="num" w:pos="2160"/>
        </w:tabs>
        <w:ind w:left="2160" w:hanging="360"/>
      </w:pPr>
      <w:rPr>
        <w:rFonts w:ascii="Symbol" w:hAnsi="Symbol" w:hint="default"/>
        <w:sz w:val="20"/>
      </w:rPr>
    </w:lvl>
    <w:lvl w:ilvl="3" w:tplc="0BC02F40">
      <w:start w:val="1"/>
      <w:numFmt w:val="bullet"/>
      <w:lvlText w:val=""/>
      <w:lvlJc w:val="left"/>
      <w:pPr>
        <w:tabs>
          <w:tab w:val="num" w:pos="2880"/>
        </w:tabs>
        <w:ind w:left="2880" w:hanging="360"/>
      </w:pPr>
      <w:rPr>
        <w:rFonts w:ascii="Symbol" w:hAnsi="Symbol" w:hint="default"/>
        <w:sz w:val="20"/>
      </w:rPr>
    </w:lvl>
    <w:lvl w:ilvl="4" w:tplc="EF80B5E8">
      <w:start w:val="1"/>
      <w:numFmt w:val="bullet"/>
      <w:lvlText w:val=""/>
      <w:lvlJc w:val="left"/>
      <w:pPr>
        <w:tabs>
          <w:tab w:val="num" w:pos="3600"/>
        </w:tabs>
        <w:ind w:left="3600" w:hanging="360"/>
      </w:pPr>
      <w:rPr>
        <w:rFonts w:ascii="Symbol" w:hAnsi="Symbol" w:hint="default"/>
        <w:sz w:val="20"/>
      </w:rPr>
    </w:lvl>
    <w:lvl w:ilvl="5" w:tplc="FA065AA2">
      <w:start w:val="1"/>
      <w:numFmt w:val="bullet"/>
      <w:lvlText w:val=""/>
      <w:lvlJc w:val="left"/>
      <w:pPr>
        <w:tabs>
          <w:tab w:val="num" w:pos="4320"/>
        </w:tabs>
        <w:ind w:left="4320" w:hanging="360"/>
      </w:pPr>
      <w:rPr>
        <w:rFonts w:ascii="Symbol" w:hAnsi="Symbol" w:hint="default"/>
        <w:sz w:val="20"/>
      </w:rPr>
    </w:lvl>
    <w:lvl w:ilvl="6" w:tplc="606ECF26">
      <w:start w:val="1"/>
      <w:numFmt w:val="bullet"/>
      <w:lvlText w:val=""/>
      <w:lvlJc w:val="left"/>
      <w:pPr>
        <w:tabs>
          <w:tab w:val="num" w:pos="5040"/>
        </w:tabs>
        <w:ind w:left="5040" w:hanging="360"/>
      </w:pPr>
      <w:rPr>
        <w:rFonts w:ascii="Symbol" w:hAnsi="Symbol" w:hint="default"/>
        <w:sz w:val="20"/>
      </w:rPr>
    </w:lvl>
    <w:lvl w:ilvl="7" w:tplc="8EC47DB4">
      <w:start w:val="1"/>
      <w:numFmt w:val="bullet"/>
      <w:lvlText w:val=""/>
      <w:lvlJc w:val="left"/>
      <w:pPr>
        <w:tabs>
          <w:tab w:val="num" w:pos="5760"/>
        </w:tabs>
        <w:ind w:left="5760" w:hanging="360"/>
      </w:pPr>
      <w:rPr>
        <w:rFonts w:ascii="Symbol" w:hAnsi="Symbol" w:hint="default"/>
        <w:sz w:val="20"/>
      </w:rPr>
    </w:lvl>
    <w:lvl w:ilvl="8" w:tplc="E51AA7FA">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3D55180"/>
    <w:multiLevelType w:val="hybridMultilevel"/>
    <w:tmpl w:val="C1AECAB8"/>
    <w:lvl w:ilvl="0" w:tplc="B3C64742">
      <w:start w:val="2"/>
      <w:numFmt w:val="decimal"/>
      <w:lvlText w:val="%1."/>
      <w:lvlJc w:val="left"/>
      <w:pPr>
        <w:ind w:left="720" w:hanging="360"/>
      </w:pPr>
    </w:lvl>
    <w:lvl w:ilvl="1" w:tplc="FF7A712A">
      <w:start w:val="1"/>
      <w:numFmt w:val="lowerLetter"/>
      <w:lvlText w:val="%2."/>
      <w:lvlJc w:val="left"/>
      <w:pPr>
        <w:ind w:left="1211" w:hanging="360"/>
      </w:pPr>
    </w:lvl>
    <w:lvl w:ilvl="2" w:tplc="B8FE8B4C">
      <w:start w:val="1"/>
      <w:numFmt w:val="lowerRoman"/>
      <w:lvlText w:val="%3."/>
      <w:lvlJc w:val="right"/>
      <w:pPr>
        <w:ind w:left="2160" w:hanging="180"/>
      </w:pPr>
    </w:lvl>
    <w:lvl w:ilvl="3" w:tplc="5E3827D2">
      <w:start w:val="1"/>
      <w:numFmt w:val="lowerLetter"/>
      <w:lvlText w:val="%4."/>
      <w:lvlJc w:val="left"/>
      <w:pPr>
        <w:ind w:left="2880" w:hanging="360"/>
      </w:pPr>
      <w:rPr>
        <w:color w:val="auto"/>
      </w:rPr>
    </w:lvl>
    <w:lvl w:ilvl="4" w:tplc="F4C6F93C">
      <w:start w:val="1"/>
      <w:numFmt w:val="decimal"/>
      <w:lvlText w:val="%5."/>
      <w:lvlJc w:val="left"/>
      <w:pPr>
        <w:ind w:left="3600" w:hanging="360"/>
      </w:pPr>
    </w:lvl>
    <w:lvl w:ilvl="5" w:tplc="14E4BA92">
      <w:start w:val="1"/>
      <w:numFmt w:val="lowerLetter"/>
      <w:lvlText w:val="%6."/>
      <w:lvlJc w:val="right"/>
      <w:pPr>
        <w:ind w:left="4320" w:hanging="180"/>
      </w:pPr>
    </w:lvl>
    <w:lvl w:ilvl="6" w:tplc="04AA4DD0">
      <w:start w:val="1"/>
      <w:numFmt w:val="lowerRoman"/>
      <w:lvlText w:val="%7."/>
      <w:lvlJc w:val="left"/>
      <w:pPr>
        <w:ind w:left="5040" w:hanging="360"/>
      </w:pPr>
    </w:lvl>
    <w:lvl w:ilvl="7" w:tplc="BB3C9D4C">
      <w:start w:val="1"/>
      <w:numFmt w:val="upperRoman"/>
      <w:lvlText w:val="%8."/>
      <w:lvlJc w:val="left"/>
      <w:pPr>
        <w:ind w:left="5760" w:hanging="360"/>
      </w:pPr>
    </w:lvl>
    <w:lvl w:ilvl="8" w:tplc="06262F66">
      <w:start w:val="1"/>
      <w:numFmt w:val="decimal"/>
      <w:lvlText w:val="%9."/>
      <w:lvlJc w:val="right"/>
      <w:pPr>
        <w:ind w:left="6480" w:hanging="180"/>
      </w:pPr>
    </w:lvl>
  </w:abstractNum>
  <w:abstractNum w:abstractNumId="100" w15:restartNumberingAfterBreak="0">
    <w:nsid w:val="53E955FF"/>
    <w:multiLevelType w:val="hybridMultilevel"/>
    <w:tmpl w:val="B06E16BA"/>
    <w:lvl w:ilvl="0" w:tplc="3AA65052">
      <w:start w:val="1"/>
      <w:numFmt w:val="bullet"/>
      <w:pStyle w:val="Bullets"/>
      <w:lvlText w:val=""/>
      <w:lvlJc w:val="left"/>
      <w:pPr>
        <w:ind w:left="1635" w:hanging="360"/>
      </w:pPr>
      <w:rPr>
        <w:rFonts w:ascii="Symbol" w:hAnsi="Symbol"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101" w15:restartNumberingAfterBreak="0">
    <w:nsid w:val="54447E8C"/>
    <w:multiLevelType w:val="hybridMultilevel"/>
    <w:tmpl w:val="0809001F"/>
    <w:lvl w:ilvl="0" w:tplc="7B6EC356">
      <w:start w:val="1"/>
      <w:numFmt w:val="decimal"/>
      <w:lvlText w:val="%1."/>
      <w:lvlJc w:val="left"/>
      <w:pPr>
        <w:ind w:left="360" w:hanging="360"/>
      </w:pPr>
    </w:lvl>
    <w:lvl w:ilvl="1" w:tplc="4DAAFCBC">
      <w:start w:val="1"/>
      <w:numFmt w:val="decimal"/>
      <w:lvlText w:val="%1.%2."/>
      <w:lvlJc w:val="left"/>
      <w:pPr>
        <w:ind w:left="792" w:hanging="432"/>
      </w:pPr>
    </w:lvl>
    <w:lvl w:ilvl="2" w:tplc="71BA6F38">
      <w:start w:val="1"/>
      <w:numFmt w:val="decimal"/>
      <w:lvlText w:val="%1.%2.%3."/>
      <w:lvlJc w:val="left"/>
      <w:pPr>
        <w:ind w:left="1224" w:hanging="504"/>
      </w:pPr>
    </w:lvl>
    <w:lvl w:ilvl="3" w:tplc="2012A900">
      <w:start w:val="1"/>
      <w:numFmt w:val="decimal"/>
      <w:lvlText w:val="%1.%2.%3.%4."/>
      <w:lvlJc w:val="left"/>
      <w:pPr>
        <w:ind w:left="1728" w:hanging="648"/>
      </w:pPr>
    </w:lvl>
    <w:lvl w:ilvl="4" w:tplc="FF9C9BE8">
      <w:start w:val="1"/>
      <w:numFmt w:val="decimal"/>
      <w:lvlText w:val="%1.%2.%3.%4.%5."/>
      <w:lvlJc w:val="left"/>
      <w:pPr>
        <w:ind w:left="2232" w:hanging="792"/>
      </w:pPr>
    </w:lvl>
    <w:lvl w:ilvl="5" w:tplc="9DCE7CD2">
      <w:start w:val="1"/>
      <w:numFmt w:val="decimal"/>
      <w:lvlText w:val="%1.%2.%3.%4.%5.%6."/>
      <w:lvlJc w:val="left"/>
      <w:pPr>
        <w:ind w:left="2736" w:hanging="936"/>
      </w:pPr>
    </w:lvl>
    <w:lvl w:ilvl="6" w:tplc="EA2E78D8">
      <w:start w:val="1"/>
      <w:numFmt w:val="decimal"/>
      <w:lvlText w:val="%1.%2.%3.%4.%5.%6.%7."/>
      <w:lvlJc w:val="left"/>
      <w:pPr>
        <w:ind w:left="3240" w:hanging="1080"/>
      </w:pPr>
    </w:lvl>
    <w:lvl w:ilvl="7" w:tplc="5CD6FB04">
      <w:start w:val="1"/>
      <w:numFmt w:val="decimal"/>
      <w:lvlText w:val="%1.%2.%3.%4.%5.%6.%7.%8."/>
      <w:lvlJc w:val="left"/>
      <w:pPr>
        <w:ind w:left="3744" w:hanging="1224"/>
      </w:pPr>
    </w:lvl>
    <w:lvl w:ilvl="8" w:tplc="63424356">
      <w:start w:val="1"/>
      <w:numFmt w:val="decimal"/>
      <w:lvlText w:val="%1.%2.%3.%4.%5.%6.%7.%8.%9."/>
      <w:lvlJc w:val="left"/>
      <w:pPr>
        <w:ind w:left="4320" w:hanging="1440"/>
      </w:pPr>
    </w:lvl>
  </w:abstractNum>
  <w:abstractNum w:abstractNumId="102" w15:restartNumberingAfterBreak="0">
    <w:nsid w:val="54FA45FE"/>
    <w:multiLevelType w:val="hybridMultilevel"/>
    <w:tmpl w:val="DBFC1342"/>
    <w:lvl w:ilvl="0" w:tplc="C3CE71BC">
      <w:start w:val="1"/>
      <w:numFmt w:val="lowerRoman"/>
      <w:lvlText w:val="(%1)"/>
      <w:lvlJc w:val="left"/>
      <w:pPr>
        <w:ind w:left="2160" w:hanging="720"/>
      </w:pPr>
      <w:rPr>
        <w:rFonts w:hint="default"/>
      </w:rPr>
    </w:lvl>
    <w:lvl w:ilvl="1" w:tplc="08090001">
      <w:start w:val="1"/>
      <w:numFmt w:val="bullet"/>
      <w:lvlText w:val=""/>
      <w:lvlJc w:val="left"/>
      <w:pPr>
        <w:ind w:left="2520" w:hanging="360"/>
      </w:pPr>
      <w:rPr>
        <w:rFonts w:ascii="Symbol" w:hAnsi="Symbol"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3" w15:restartNumberingAfterBreak="0">
    <w:nsid w:val="55210EE7"/>
    <w:multiLevelType w:val="hybridMultilevel"/>
    <w:tmpl w:val="C734A3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6FF4F97"/>
    <w:multiLevelType w:val="hybridMultilevel"/>
    <w:tmpl w:val="1362E794"/>
    <w:lvl w:ilvl="0" w:tplc="B7BE79CE">
      <w:start w:val="1"/>
      <w:numFmt w:val="decimal"/>
      <w:lvlText w:val="%1"/>
      <w:lvlJc w:val="left"/>
      <w:pPr>
        <w:ind w:left="360" w:hanging="360"/>
      </w:pPr>
      <w:rPr>
        <w:rFonts w:hint="default"/>
      </w:rPr>
    </w:lvl>
    <w:lvl w:ilvl="1" w:tplc="45703DAC">
      <w:start w:val="3"/>
      <w:numFmt w:val="decimal"/>
      <w:lvlText w:val="%1.%2"/>
      <w:lvlJc w:val="left"/>
      <w:pPr>
        <w:ind w:left="644" w:hanging="360"/>
      </w:pPr>
      <w:rPr>
        <w:rFonts w:hint="default"/>
      </w:rPr>
    </w:lvl>
    <w:lvl w:ilvl="2" w:tplc="611025F6">
      <w:start w:val="1"/>
      <w:numFmt w:val="decimal"/>
      <w:lvlText w:val="%1.%2.%3"/>
      <w:lvlJc w:val="left"/>
      <w:pPr>
        <w:ind w:left="1288" w:hanging="720"/>
      </w:pPr>
      <w:rPr>
        <w:rFonts w:hint="default"/>
      </w:rPr>
    </w:lvl>
    <w:lvl w:ilvl="3" w:tplc="D15A08B4">
      <w:start w:val="1"/>
      <w:numFmt w:val="decimal"/>
      <w:lvlText w:val="%1.%2.%3.%4"/>
      <w:lvlJc w:val="left"/>
      <w:pPr>
        <w:ind w:left="1932" w:hanging="1080"/>
      </w:pPr>
      <w:rPr>
        <w:rFonts w:hint="default"/>
      </w:rPr>
    </w:lvl>
    <w:lvl w:ilvl="4" w:tplc="46220162">
      <w:start w:val="1"/>
      <w:numFmt w:val="decimal"/>
      <w:lvlText w:val="%1.%2.%3.%4.%5"/>
      <w:lvlJc w:val="left"/>
      <w:pPr>
        <w:ind w:left="2216" w:hanging="1080"/>
      </w:pPr>
      <w:rPr>
        <w:rFonts w:hint="default"/>
      </w:rPr>
    </w:lvl>
    <w:lvl w:ilvl="5" w:tplc="68B0AEB6">
      <w:start w:val="1"/>
      <w:numFmt w:val="decimal"/>
      <w:lvlText w:val="%1.%2.%3.%4.%5.%6"/>
      <w:lvlJc w:val="left"/>
      <w:pPr>
        <w:ind w:left="2860" w:hanging="1440"/>
      </w:pPr>
      <w:rPr>
        <w:rFonts w:hint="default"/>
      </w:rPr>
    </w:lvl>
    <w:lvl w:ilvl="6" w:tplc="1C621C98">
      <w:start w:val="1"/>
      <w:numFmt w:val="decimal"/>
      <w:lvlText w:val="%1.%2.%3.%4.%5.%6.%7"/>
      <w:lvlJc w:val="left"/>
      <w:pPr>
        <w:ind w:left="3144" w:hanging="1440"/>
      </w:pPr>
      <w:rPr>
        <w:rFonts w:hint="default"/>
      </w:rPr>
    </w:lvl>
    <w:lvl w:ilvl="7" w:tplc="3CDE9446">
      <w:start w:val="1"/>
      <w:numFmt w:val="decimal"/>
      <w:lvlText w:val="%1.%2.%3.%4.%5.%6.%7.%8"/>
      <w:lvlJc w:val="left"/>
      <w:pPr>
        <w:ind w:left="3788" w:hanging="1800"/>
      </w:pPr>
      <w:rPr>
        <w:rFonts w:hint="default"/>
      </w:rPr>
    </w:lvl>
    <w:lvl w:ilvl="8" w:tplc="E51E6A08">
      <w:start w:val="1"/>
      <w:numFmt w:val="decimal"/>
      <w:lvlText w:val="%1.%2.%3.%4.%5.%6.%7.%8.%9"/>
      <w:lvlJc w:val="left"/>
      <w:pPr>
        <w:ind w:left="4072" w:hanging="1800"/>
      </w:pPr>
      <w:rPr>
        <w:rFonts w:hint="default"/>
      </w:rPr>
    </w:lvl>
  </w:abstractNum>
  <w:abstractNum w:abstractNumId="105" w15:restartNumberingAfterBreak="0">
    <w:nsid w:val="58394F6D"/>
    <w:multiLevelType w:val="hybridMultilevel"/>
    <w:tmpl w:val="0809001D"/>
    <w:numStyleLink w:val="Bullet"/>
  </w:abstractNum>
  <w:abstractNum w:abstractNumId="106" w15:restartNumberingAfterBreak="0">
    <w:nsid w:val="58E51697"/>
    <w:multiLevelType w:val="hybridMultilevel"/>
    <w:tmpl w:val="0809001D"/>
    <w:lvl w:ilvl="0" w:tplc="BCDCB33A">
      <w:start w:val="1"/>
      <w:numFmt w:val="decimal"/>
      <w:lvlText w:val="%1)"/>
      <w:lvlJc w:val="left"/>
      <w:pPr>
        <w:ind w:left="360" w:hanging="360"/>
      </w:pPr>
    </w:lvl>
    <w:lvl w:ilvl="1" w:tplc="41A279AA">
      <w:start w:val="1"/>
      <w:numFmt w:val="lowerLetter"/>
      <w:lvlText w:val="%2)"/>
      <w:lvlJc w:val="left"/>
      <w:pPr>
        <w:ind w:left="720" w:hanging="360"/>
      </w:pPr>
    </w:lvl>
    <w:lvl w:ilvl="2" w:tplc="CD445594">
      <w:start w:val="1"/>
      <w:numFmt w:val="lowerRoman"/>
      <w:lvlText w:val="%3)"/>
      <w:lvlJc w:val="left"/>
      <w:pPr>
        <w:ind w:left="1080" w:hanging="360"/>
      </w:pPr>
    </w:lvl>
    <w:lvl w:ilvl="3" w:tplc="7DB03524">
      <w:start w:val="1"/>
      <w:numFmt w:val="decimal"/>
      <w:lvlText w:val="(%4)"/>
      <w:lvlJc w:val="left"/>
      <w:pPr>
        <w:ind w:left="1440" w:hanging="360"/>
      </w:pPr>
    </w:lvl>
    <w:lvl w:ilvl="4" w:tplc="0ABC2E70">
      <w:start w:val="1"/>
      <w:numFmt w:val="lowerLetter"/>
      <w:lvlText w:val="(%5)"/>
      <w:lvlJc w:val="left"/>
      <w:pPr>
        <w:ind w:left="1800" w:hanging="360"/>
      </w:pPr>
    </w:lvl>
    <w:lvl w:ilvl="5" w:tplc="E1BECD9C">
      <w:start w:val="1"/>
      <w:numFmt w:val="lowerRoman"/>
      <w:lvlText w:val="(%6)"/>
      <w:lvlJc w:val="left"/>
      <w:pPr>
        <w:ind w:left="2160" w:hanging="360"/>
      </w:pPr>
    </w:lvl>
    <w:lvl w:ilvl="6" w:tplc="562EAA1A">
      <w:start w:val="1"/>
      <w:numFmt w:val="decimal"/>
      <w:lvlText w:val="%7."/>
      <w:lvlJc w:val="left"/>
      <w:pPr>
        <w:ind w:left="2520" w:hanging="360"/>
      </w:pPr>
    </w:lvl>
    <w:lvl w:ilvl="7" w:tplc="5964D1E2">
      <w:start w:val="1"/>
      <w:numFmt w:val="lowerLetter"/>
      <w:lvlText w:val="%8."/>
      <w:lvlJc w:val="left"/>
      <w:pPr>
        <w:ind w:left="2880" w:hanging="360"/>
      </w:pPr>
    </w:lvl>
    <w:lvl w:ilvl="8" w:tplc="8466B09C">
      <w:start w:val="1"/>
      <w:numFmt w:val="lowerRoman"/>
      <w:lvlText w:val="%9."/>
      <w:lvlJc w:val="left"/>
      <w:pPr>
        <w:ind w:left="3240" w:hanging="360"/>
      </w:pPr>
    </w:lvl>
  </w:abstractNum>
  <w:abstractNum w:abstractNumId="107" w15:restartNumberingAfterBreak="0">
    <w:nsid w:val="596005E4"/>
    <w:multiLevelType w:val="hybridMultilevel"/>
    <w:tmpl w:val="64C44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A2B6EBE"/>
    <w:multiLevelType w:val="hybridMultilevel"/>
    <w:tmpl w:val="50A656B4"/>
    <w:lvl w:ilvl="0" w:tplc="BE60DFF8">
      <w:start w:val="1"/>
      <w:numFmt w:val="lowerRoman"/>
      <w:lvlText w:val="%1)"/>
      <w:lvlJc w:val="left"/>
      <w:pPr>
        <w:ind w:left="1080" w:hanging="720"/>
      </w:pPr>
      <w:rPr>
        <w:rFonts w:cs="Tahoma"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911C5538">
      <w:start w:val="1"/>
      <w:numFmt w:val="bullet"/>
      <w:lvlText w:val="-"/>
      <w:lvlJc w:val="left"/>
      <w:pPr>
        <w:ind w:left="2880" w:hanging="360"/>
      </w:pPr>
      <w:rPr>
        <w:rFonts w:ascii="Tahoma" w:eastAsia="SegoeUI" w:hAnsi="Tahoma" w:cs="Tahoma"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5A4024AF"/>
    <w:multiLevelType w:val="hybridMultilevel"/>
    <w:tmpl w:val="04B041BA"/>
    <w:lvl w:ilvl="0" w:tplc="08090001">
      <w:start w:val="1"/>
      <w:numFmt w:val="bullet"/>
      <w:lvlText w:val=""/>
      <w:lvlJc w:val="left"/>
      <w:pPr>
        <w:ind w:left="1635" w:hanging="360"/>
      </w:pPr>
      <w:rPr>
        <w:rFonts w:ascii="Symbol" w:hAnsi="Symbol"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110" w15:restartNumberingAfterBreak="0">
    <w:nsid w:val="5C9F119A"/>
    <w:multiLevelType w:val="hybridMultilevel"/>
    <w:tmpl w:val="C5980120"/>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11" w15:restartNumberingAfterBreak="0">
    <w:nsid w:val="5D8A2EA1"/>
    <w:multiLevelType w:val="hybridMultilevel"/>
    <w:tmpl w:val="FFD05C64"/>
    <w:lvl w:ilvl="0" w:tplc="00ECA294">
      <w:start w:val="2"/>
      <w:numFmt w:val="decimal"/>
      <w:lvlText w:val="%1"/>
      <w:lvlJc w:val="left"/>
      <w:pPr>
        <w:ind w:left="360" w:hanging="360"/>
      </w:pPr>
      <w:rPr>
        <w:rFonts w:hint="default"/>
      </w:rPr>
    </w:lvl>
    <w:lvl w:ilvl="1" w:tplc="B6F6A930">
      <w:start w:val="2"/>
      <w:numFmt w:val="decimal"/>
      <w:lvlText w:val="%1.%2"/>
      <w:lvlJc w:val="left"/>
      <w:pPr>
        <w:ind w:left="644" w:hanging="360"/>
      </w:pPr>
      <w:rPr>
        <w:rFonts w:hint="default"/>
      </w:rPr>
    </w:lvl>
    <w:lvl w:ilvl="2" w:tplc="08EC96DC">
      <w:start w:val="1"/>
      <w:numFmt w:val="decimal"/>
      <w:lvlText w:val="%1.%2.%3"/>
      <w:lvlJc w:val="left"/>
      <w:pPr>
        <w:ind w:left="720" w:hanging="720"/>
      </w:pPr>
      <w:rPr>
        <w:rFonts w:hint="default"/>
      </w:rPr>
    </w:lvl>
    <w:lvl w:ilvl="3" w:tplc="DED067BE">
      <w:start w:val="1"/>
      <w:numFmt w:val="decimal"/>
      <w:lvlText w:val="%1.%2.%3.%4"/>
      <w:lvlJc w:val="left"/>
      <w:pPr>
        <w:ind w:left="720" w:hanging="720"/>
      </w:pPr>
      <w:rPr>
        <w:rFonts w:hint="default"/>
      </w:rPr>
    </w:lvl>
    <w:lvl w:ilvl="4" w:tplc="8410C4D0">
      <w:start w:val="1"/>
      <w:numFmt w:val="decimal"/>
      <w:lvlText w:val="%1.%2.%3.%4.%5"/>
      <w:lvlJc w:val="left"/>
      <w:pPr>
        <w:ind w:left="720" w:hanging="720"/>
      </w:pPr>
      <w:rPr>
        <w:rFonts w:hint="default"/>
      </w:rPr>
    </w:lvl>
    <w:lvl w:ilvl="5" w:tplc="EFE6066C">
      <w:start w:val="1"/>
      <w:numFmt w:val="decimal"/>
      <w:lvlText w:val="%1.%2.%3.%4.%5.%6"/>
      <w:lvlJc w:val="left"/>
      <w:pPr>
        <w:ind w:left="1080" w:hanging="1080"/>
      </w:pPr>
      <w:rPr>
        <w:rFonts w:hint="default"/>
      </w:rPr>
    </w:lvl>
    <w:lvl w:ilvl="6" w:tplc="AEC8BB62">
      <w:start w:val="1"/>
      <w:numFmt w:val="decimal"/>
      <w:lvlText w:val="%1.%2.%3.%4.%5.%6.%7"/>
      <w:lvlJc w:val="left"/>
      <w:pPr>
        <w:ind w:left="1080" w:hanging="1080"/>
      </w:pPr>
      <w:rPr>
        <w:rFonts w:hint="default"/>
      </w:rPr>
    </w:lvl>
    <w:lvl w:ilvl="7" w:tplc="0DACEC0E">
      <w:start w:val="1"/>
      <w:numFmt w:val="decimal"/>
      <w:lvlText w:val="%1.%2.%3.%4.%5.%6.%7.%8"/>
      <w:lvlJc w:val="left"/>
      <w:pPr>
        <w:ind w:left="1440" w:hanging="1440"/>
      </w:pPr>
      <w:rPr>
        <w:rFonts w:hint="default"/>
      </w:rPr>
    </w:lvl>
    <w:lvl w:ilvl="8" w:tplc="6F463DEC">
      <w:start w:val="1"/>
      <w:numFmt w:val="decimal"/>
      <w:lvlText w:val="%1.%2.%3.%4.%5.%6.%7.%8.%9"/>
      <w:lvlJc w:val="left"/>
      <w:pPr>
        <w:ind w:left="1440" w:hanging="1440"/>
      </w:pPr>
      <w:rPr>
        <w:rFonts w:hint="default"/>
      </w:rPr>
    </w:lvl>
  </w:abstractNum>
  <w:abstractNum w:abstractNumId="112" w15:restartNumberingAfterBreak="0">
    <w:nsid w:val="5EBE61AC"/>
    <w:multiLevelType w:val="hybridMultilevel"/>
    <w:tmpl w:val="8F1E0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5F104316"/>
    <w:multiLevelType w:val="hybridMultilevel"/>
    <w:tmpl w:val="B5561E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Helvetica" w:hAnsi="Helvetica" w:cs="Helvetica" w:hint="default"/>
      </w:rPr>
    </w:lvl>
    <w:lvl w:ilvl="2" w:tplc="08090005">
      <w:start w:val="1"/>
      <w:numFmt w:val="bullet"/>
      <w:lvlText w:val=""/>
      <w:lvlJc w:val="left"/>
      <w:pPr>
        <w:ind w:left="2160" w:hanging="360"/>
      </w:pPr>
      <w:rPr>
        <w:rFonts w:ascii="SimSun" w:hAnsi="SimSun" w:hint="default"/>
      </w:rPr>
    </w:lvl>
    <w:lvl w:ilvl="3" w:tplc="08090001">
      <w:start w:val="1"/>
      <w:numFmt w:val="bullet"/>
      <w:lvlText w:val=""/>
      <w:lvlJc w:val="left"/>
      <w:pPr>
        <w:ind w:left="2880" w:hanging="360"/>
      </w:pPr>
      <w:rPr>
        <w:rFonts w:ascii="Arial Bold" w:hAnsi="Arial Bold" w:hint="default"/>
      </w:rPr>
    </w:lvl>
    <w:lvl w:ilvl="4" w:tplc="08090003">
      <w:start w:val="1"/>
      <w:numFmt w:val="bullet"/>
      <w:lvlText w:val="o"/>
      <w:lvlJc w:val="left"/>
      <w:pPr>
        <w:ind w:left="3600" w:hanging="360"/>
      </w:pPr>
      <w:rPr>
        <w:rFonts w:ascii="Helvetica" w:hAnsi="Helvetica" w:cs="Helvetica" w:hint="default"/>
      </w:rPr>
    </w:lvl>
    <w:lvl w:ilvl="5" w:tplc="08090005">
      <w:start w:val="1"/>
      <w:numFmt w:val="bullet"/>
      <w:lvlText w:val=""/>
      <w:lvlJc w:val="left"/>
      <w:pPr>
        <w:ind w:left="4320" w:hanging="360"/>
      </w:pPr>
      <w:rPr>
        <w:rFonts w:ascii="SimSun" w:hAnsi="SimSun" w:hint="default"/>
      </w:rPr>
    </w:lvl>
    <w:lvl w:ilvl="6" w:tplc="08090001">
      <w:start w:val="1"/>
      <w:numFmt w:val="bullet"/>
      <w:lvlText w:val=""/>
      <w:lvlJc w:val="left"/>
      <w:pPr>
        <w:ind w:left="5040" w:hanging="360"/>
      </w:pPr>
      <w:rPr>
        <w:rFonts w:ascii="Arial Bold" w:hAnsi="Arial Bold" w:hint="default"/>
      </w:rPr>
    </w:lvl>
    <w:lvl w:ilvl="7" w:tplc="08090003">
      <w:start w:val="1"/>
      <w:numFmt w:val="bullet"/>
      <w:lvlText w:val="o"/>
      <w:lvlJc w:val="left"/>
      <w:pPr>
        <w:ind w:left="5760" w:hanging="360"/>
      </w:pPr>
      <w:rPr>
        <w:rFonts w:ascii="Helvetica" w:hAnsi="Helvetica" w:cs="Helvetica" w:hint="default"/>
      </w:rPr>
    </w:lvl>
    <w:lvl w:ilvl="8" w:tplc="08090005">
      <w:start w:val="1"/>
      <w:numFmt w:val="bullet"/>
      <w:lvlText w:val=""/>
      <w:lvlJc w:val="left"/>
      <w:pPr>
        <w:ind w:left="6480" w:hanging="360"/>
      </w:pPr>
      <w:rPr>
        <w:rFonts w:ascii="SimSun" w:hAnsi="SimSun" w:hint="default"/>
      </w:rPr>
    </w:lvl>
  </w:abstractNum>
  <w:abstractNum w:abstractNumId="114" w15:restartNumberingAfterBreak="0">
    <w:nsid w:val="5F5878B5"/>
    <w:multiLevelType w:val="hybridMultilevel"/>
    <w:tmpl w:val="362E13A2"/>
    <w:lvl w:ilvl="0" w:tplc="2E42FD30">
      <w:start w:val="1"/>
      <w:numFmt w:val="lowerRoman"/>
      <w:lvlText w:val="(%1)"/>
      <w:lvlJc w:val="left"/>
      <w:pPr>
        <w:ind w:left="216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5F730FD3"/>
    <w:multiLevelType w:val="hybridMultilevel"/>
    <w:tmpl w:val="783C0DF4"/>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16" w15:restartNumberingAfterBreak="0">
    <w:nsid w:val="5FAA443F"/>
    <w:multiLevelType w:val="hybridMultilevel"/>
    <w:tmpl w:val="D6FADC82"/>
    <w:lvl w:ilvl="0" w:tplc="F738C1C0">
      <w:start w:val="1"/>
      <w:numFmt w:val="decimal"/>
      <w:lvlText w:val="%1."/>
      <w:lvlJc w:val="left"/>
      <w:pPr>
        <w:ind w:left="360" w:hanging="360"/>
      </w:pPr>
      <w:rPr>
        <w:rFonts w:ascii="Tahoma" w:hAnsi="Tahoma" w:hint="default"/>
        <w:b w:val="0"/>
        <w:bCs w:val="0"/>
        <w:i w:val="0"/>
        <w:iCs/>
        <w:color w:val="auto"/>
        <w:sz w:val="24"/>
      </w:rPr>
    </w:lvl>
    <w:lvl w:ilvl="1" w:tplc="0809001B">
      <w:start w:val="1"/>
      <w:numFmt w:val="lowerRoman"/>
      <w:lvlText w:val="%2."/>
      <w:lvlJc w:val="right"/>
      <w:pPr>
        <w:ind w:left="730" w:hanging="360"/>
      </w:pPr>
    </w:lvl>
    <w:lvl w:ilvl="2" w:tplc="7CA0AE1E">
      <w:numFmt w:val="bullet"/>
      <w:lvlText w:val="•"/>
      <w:lvlJc w:val="left"/>
      <w:pPr>
        <w:ind w:left="1990" w:hanging="720"/>
      </w:pPr>
      <w:rPr>
        <w:rFonts w:ascii="Tahoma" w:eastAsia="SegoeUI" w:hAnsi="Tahoma" w:cs="Tahoma" w:hint="default"/>
      </w:rPr>
    </w:lvl>
    <w:lvl w:ilvl="3" w:tplc="0809000F" w:tentative="1">
      <w:start w:val="1"/>
      <w:numFmt w:val="decimal"/>
      <w:lvlText w:val="%4."/>
      <w:lvlJc w:val="left"/>
      <w:pPr>
        <w:ind w:left="2170" w:hanging="360"/>
      </w:pPr>
    </w:lvl>
    <w:lvl w:ilvl="4" w:tplc="08090019" w:tentative="1">
      <w:start w:val="1"/>
      <w:numFmt w:val="lowerLetter"/>
      <w:lvlText w:val="%5."/>
      <w:lvlJc w:val="left"/>
      <w:pPr>
        <w:ind w:left="2890" w:hanging="360"/>
      </w:pPr>
    </w:lvl>
    <w:lvl w:ilvl="5" w:tplc="0809001B" w:tentative="1">
      <w:start w:val="1"/>
      <w:numFmt w:val="lowerRoman"/>
      <w:lvlText w:val="%6."/>
      <w:lvlJc w:val="right"/>
      <w:pPr>
        <w:ind w:left="3610" w:hanging="180"/>
      </w:pPr>
    </w:lvl>
    <w:lvl w:ilvl="6" w:tplc="0809000F" w:tentative="1">
      <w:start w:val="1"/>
      <w:numFmt w:val="decimal"/>
      <w:lvlText w:val="%7."/>
      <w:lvlJc w:val="left"/>
      <w:pPr>
        <w:ind w:left="4330" w:hanging="360"/>
      </w:pPr>
    </w:lvl>
    <w:lvl w:ilvl="7" w:tplc="08090019" w:tentative="1">
      <w:start w:val="1"/>
      <w:numFmt w:val="lowerLetter"/>
      <w:lvlText w:val="%8."/>
      <w:lvlJc w:val="left"/>
      <w:pPr>
        <w:ind w:left="5050" w:hanging="360"/>
      </w:pPr>
    </w:lvl>
    <w:lvl w:ilvl="8" w:tplc="0809001B" w:tentative="1">
      <w:start w:val="1"/>
      <w:numFmt w:val="lowerRoman"/>
      <w:lvlText w:val="%9."/>
      <w:lvlJc w:val="right"/>
      <w:pPr>
        <w:ind w:left="5770" w:hanging="180"/>
      </w:pPr>
    </w:lvl>
  </w:abstractNum>
  <w:abstractNum w:abstractNumId="117" w15:restartNumberingAfterBreak="0">
    <w:nsid w:val="5FAF758A"/>
    <w:multiLevelType w:val="hybridMultilevel"/>
    <w:tmpl w:val="75A01B3A"/>
    <w:lvl w:ilvl="0" w:tplc="E0E0ABA2">
      <w:start w:val="1"/>
      <w:numFmt w:val="decimal"/>
      <w:lvlText w:val="%1."/>
      <w:lvlJc w:val="left"/>
      <w:pPr>
        <w:ind w:left="1211" w:hanging="360"/>
      </w:pPr>
      <w:rPr>
        <w:rFonts w:ascii="Arial" w:hAnsi="Arial" w:cs="Arial"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60166F47"/>
    <w:multiLevelType w:val="hybridMultilevel"/>
    <w:tmpl w:val="70FABC9C"/>
    <w:lvl w:ilvl="0" w:tplc="C6B6E6F6">
      <w:start w:val="1"/>
      <w:numFmt w:val="bullet"/>
      <w:lvlText w:val=""/>
      <w:lvlJc w:val="left"/>
      <w:pPr>
        <w:tabs>
          <w:tab w:val="num" w:pos="720"/>
        </w:tabs>
        <w:ind w:left="720" w:hanging="360"/>
      </w:pPr>
      <w:rPr>
        <w:rFonts w:ascii="Symbol" w:hAnsi="Symbol" w:hint="default"/>
        <w:sz w:val="20"/>
      </w:rPr>
    </w:lvl>
    <w:lvl w:ilvl="1" w:tplc="1540A172" w:tentative="1">
      <w:start w:val="1"/>
      <w:numFmt w:val="bullet"/>
      <w:lvlText w:val=""/>
      <w:lvlJc w:val="left"/>
      <w:pPr>
        <w:tabs>
          <w:tab w:val="num" w:pos="1440"/>
        </w:tabs>
        <w:ind w:left="1440" w:hanging="360"/>
      </w:pPr>
      <w:rPr>
        <w:rFonts w:ascii="Symbol" w:hAnsi="Symbol" w:hint="default"/>
        <w:sz w:val="20"/>
      </w:rPr>
    </w:lvl>
    <w:lvl w:ilvl="2" w:tplc="1268648E" w:tentative="1">
      <w:start w:val="1"/>
      <w:numFmt w:val="bullet"/>
      <w:lvlText w:val=""/>
      <w:lvlJc w:val="left"/>
      <w:pPr>
        <w:tabs>
          <w:tab w:val="num" w:pos="2160"/>
        </w:tabs>
        <w:ind w:left="2160" w:hanging="360"/>
      </w:pPr>
      <w:rPr>
        <w:rFonts w:ascii="Symbol" w:hAnsi="Symbol" w:hint="default"/>
        <w:sz w:val="20"/>
      </w:rPr>
    </w:lvl>
    <w:lvl w:ilvl="3" w:tplc="06EE5AF6" w:tentative="1">
      <w:start w:val="1"/>
      <w:numFmt w:val="bullet"/>
      <w:lvlText w:val=""/>
      <w:lvlJc w:val="left"/>
      <w:pPr>
        <w:tabs>
          <w:tab w:val="num" w:pos="2880"/>
        </w:tabs>
        <w:ind w:left="2880" w:hanging="360"/>
      </w:pPr>
      <w:rPr>
        <w:rFonts w:ascii="Symbol" w:hAnsi="Symbol" w:hint="default"/>
        <w:sz w:val="20"/>
      </w:rPr>
    </w:lvl>
    <w:lvl w:ilvl="4" w:tplc="07883EC8" w:tentative="1">
      <w:start w:val="1"/>
      <w:numFmt w:val="bullet"/>
      <w:lvlText w:val=""/>
      <w:lvlJc w:val="left"/>
      <w:pPr>
        <w:tabs>
          <w:tab w:val="num" w:pos="3600"/>
        </w:tabs>
        <w:ind w:left="3600" w:hanging="360"/>
      </w:pPr>
      <w:rPr>
        <w:rFonts w:ascii="Symbol" w:hAnsi="Symbol" w:hint="default"/>
        <w:sz w:val="20"/>
      </w:rPr>
    </w:lvl>
    <w:lvl w:ilvl="5" w:tplc="CE7CF9E8" w:tentative="1">
      <w:start w:val="1"/>
      <w:numFmt w:val="bullet"/>
      <w:lvlText w:val=""/>
      <w:lvlJc w:val="left"/>
      <w:pPr>
        <w:tabs>
          <w:tab w:val="num" w:pos="4320"/>
        </w:tabs>
        <w:ind w:left="4320" w:hanging="360"/>
      </w:pPr>
      <w:rPr>
        <w:rFonts w:ascii="Symbol" w:hAnsi="Symbol" w:hint="default"/>
        <w:sz w:val="20"/>
      </w:rPr>
    </w:lvl>
    <w:lvl w:ilvl="6" w:tplc="BF0E01CC" w:tentative="1">
      <w:start w:val="1"/>
      <w:numFmt w:val="bullet"/>
      <w:lvlText w:val=""/>
      <w:lvlJc w:val="left"/>
      <w:pPr>
        <w:tabs>
          <w:tab w:val="num" w:pos="5040"/>
        </w:tabs>
        <w:ind w:left="5040" w:hanging="360"/>
      </w:pPr>
      <w:rPr>
        <w:rFonts w:ascii="Symbol" w:hAnsi="Symbol" w:hint="default"/>
        <w:sz w:val="20"/>
      </w:rPr>
    </w:lvl>
    <w:lvl w:ilvl="7" w:tplc="71AC5656" w:tentative="1">
      <w:start w:val="1"/>
      <w:numFmt w:val="bullet"/>
      <w:lvlText w:val=""/>
      <w:lvlJc w:val="left"/>
      <w:pPr>
        <w:tabs>
          <w:tab w:val="num" w:pos="5760"/>
        </w:tabs>
        <w:ind w:left="5760" w:hanging="360"/>
      </w:pPr>
      <w:rPr>
        <w:rFonts w:ascii="Symbol" w:hAnsi="Symbol" w:hint="default"/>
        <w:sz w:val="20"/>
      </w:rPr>
    </w:lvl>
    <w:lvl w:ilvl="8" w:tplc="B3067CD2"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02A697B"/>
    <w:multiLevelType w:val="hybridMultilevel"/>
    <w:tmpl w:val="E2A8CA38"/>
    <w:lvl w:ilvl="0" w:tplc="08090001">
      <w:start w:val="1"/>
      <w:numFmt w:val="bullet"/>
      <w:lvlText w:val=""/>
      <w:lvlJc w:val="left"/>
      <w:pPr>
        <w:ind w:left="1635" w:hanging="360"/>
      </w:pPr>
      <w:rPr>
        <w:rFonts w:ascii="Symbol" w:hAnsi="Symbol" w:hint="default"/>
        <w:b w:val="0"/>
        <w:bCs w:val="0"/>
        <w:sz w:val="24"/>
        <w:szCs w:val="24"/>
      </w:rPr>
    </w:lvl>
    <w:lvl w:ilvl="1" w:tplc="08090019" w:tentative="1">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120" w15:restartNumberingAfterBreak="0">
    <w:nsid w:val="605C01BE"/>
    <w:multiLevelType w:val="hybridMultilevel"/>
    <w:tmpl w:val="57D048E0"/>
    <w:lvl w:ilvl="0" w:tplc="C3CE71B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1" w15:restartNumberingAfterBreak="0">
    <w:nsid w:val="606D1097"/>
    <w:multiLevelType w:val="hybridMultilevel"/>
    <w:tmpl w:val="4D005376"/>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22" w15:restartNumberingAfterBreak="0">
    <w:nsid w:val="61233FD2"/>
    <w:multiLevelType w:val="hybridMultilevel"/>
    <w:tmpl w:val="42A4F130"/>
    <w:lvl w:ilvl="0" w:tplc="9934E48A">
      <w:start w:val="1"/>
      <w:numFmt w:val="bullet"/>
      <w:lvlText w:val=""/>
      <w:lvlJc w:val="left"/>
      <w:pPr>
        <w:tabs>
          <w:tab w:val="num" w:pos="720"/>
        </w:tabs>
        <w:ind w:left="720" w:hanging="360"/>
      </w:pPr>
      <w:rPr>
        <w:rFonts w:ascii="Symbol" w:hAnsi="Symbol" w:hint="default"/>
        <w:sz w:val="20"/>
      </w:rPr>
    </w:lvl>
    <w:lvl w:ilvl="1" w:tplc="3DA428C2" w:tentative="1">
      <w:start w:val="1"/>
      <w:numFmt w:val="bullet"/>
      <w:lvlText w:val=""/>
      <w:lvlJc w:val="left"/>
      <w:pPr>
        <w:tabs>
          <w:tab w:val="num" w:pos="1440"/>
        </w:tabs>
        <w:ind w:left="1440" w:hanging="360"/>
      </w:pPr>
      <w:rPr>
        <w:rFonts w:ascii="Symbol" w:hAnsi="Symbol" w:hint="default"/>
        <w:sz w:val="20"/>
      </w:rPr>
    </w:lvl>
    <w:lvl w:ilvl="2" w:tplc="DE060CC2" w:tentative="1">
      <w:start w:val="1"/>
      <w:numFmt w:val="bullet"/>
      <w:lvlText w:val=""/>
      <w:lvlJc w:val="left"/>
      <w:pPr>
        <w:tabs>
          <w:tab w:val="num" w:pos="2160"/>
        </w:tabs>
        <w:ind w:left="2160" w:hanging="360"/>
      </w:pPr>
      <w:rPr>
        <w:rFonts w:ascii="Symbol" w:hAnsi="Symbol" w:hint="default"/>
        <w:sz w:val="20"/>
      </w:rPr>
    </w:lvl>
    <w:lvl w:ilvl="3" w:tplc="AE209676" w:tentative="1">
      <w:start w:val="1"/>
      <w:numFmt w:val="bullet"/>
      <w:lvlText w:val=""/>
      <w:lvlJc w:val="left"/>
      <w:pPr>
        <w:tabs>
          <w:tab w:val="num" w:pos="2880"/>
        </w:tabs>
        <w:ind w:left="2880" w:hanging="360"/>
      </w:pPr>
      <w:rPr>
        <w:rFonts w:ascii="Symbol" w:hAnsi="Symbol" w:hint="default"/>
        <w:sz w:val="20"/>
      </w:rPr>
    </w:lvl>
    <w:lvl w:ilvl="4" w:tplc="DB0E4712" w:tentative="1">
      <w:start w:val="1"/>
      <w:numFmt w:val="bullet"/>
      <w:lvlText w:val=""/>
      <w:lvlJc w:val="left"/>
      <w:pPr>
        <w:tabs>
          <w:tab w:val="num" w:pos="3600"/>
        </w:tabs>
        <w:ind w:left="3600" w:hanging="360"/>
      </w:pPr>
      <w:rPr>
        <w:rFonts w:ascii="Symbol" w:hAnsi="Symbol" w:hint="default"/>
        <w:sz w:val="20"/>
      </w:rPr>
    </w:lvl>
    <w:lvl w:ilvl="5" w:tplc="FEC6796E" w:tentative="1">
      <w:start w:val="1"/>
      <w:numFmt w:val="bullet"/>
      <w:lvlText w:val=""/>
      <w:lvlJc w:val="left"/>
      <w:pPr>
        <w:tabs>
          <w:tab w:val="num" w:pos="4320"/>
        </w:tabs>
        <w:ind w:left="4320" w:hanging="360"/>
      </w:pPr>
      <w:rPr>
        <w:rFonts w:ascii="Symbol" w:hAnsi="Symbol" w:hint="default"/>
        <w:sz w:val="20"/>
      </w:rPr>
    </w:lvl>
    <w:lvl w:ilvl="6" w:tplc="114CD650" w:tentative="1">
      <w:start w:val="1"/>
      <w:numFmt w:val="bullet"/>
      <w:lvlText w:val=""/>
      <w:lvlJc w:val="left"/>
      <w:pPr>
        <w:tabs>
          <w:tab w:val="num" w:pos="5040"/>
        </w:tabs>
        <w:ind w:left="5040" w:hanging="360"/>
      </w:pPr>
      <w:rPr>
        <w:rFonts w:ascii="Symbol" w:hAnsi="Symbol" w:hint="default"/>
        <w:sz w:val="20"/>
      </w:rPr>
    </w:lvl>
    <w:lvl w:ilvl="7" w:tplc="4B80C1C0" w:tentative="1">
      <w:start w:val="1"/>
      <w:numFmt w:val="bullet"/>
      <w:lvlText w:val=""/>
      <w:lvlJc w:val="left"/>
      <w:pPr>
        <w:tabs>
          <w:tab w:val="num" w:pos="5760"/>
        </w:tabs>
        <w:ind w:left="5760" w:hanging="360"/>
      </w:pPr>
      <w:rPr>
        <w:rFonts w:ascii="Symbol" w:hAnsi="Symbol" w:hint="default"/>
        <w:sz w:val="20"/>
      </w:rPr>
    </w:lvl>
    <w:lvl w:ilvl="8" w:tplc="65A6EF3E"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2680C71"/>
    <w:multiLevelType w:val="hybridMultilevel"/>
    <w:tmpl w:val="3A7619E8"/>
    <w:lvl w:ilvl="0" w:tplc="3C3411D4">
      <w:start w:val="27"/>
      <w:numFmt w:val="bullet"/>
      <w:lvlText w:val="-"/>
      <w:lvlJc w:val="left"/>
      <w:pPr>
        <w:ind w:left="1713" w:hanging="360"/>
      </w:pPr>
      <w:rPr>
        <w:rFonts w:ascii="Arial" w:eastAsia="SegoeUI" w:hAnsi="Arial" w:cs="Aria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124" w15:restartNumberingAfterBreak="0">
    <w:nsid w:val="62786E85"/>
    <w:multiLevelType w:val="hybridMultilevel"/>
    <w:tmpl w:val="C5B2DF56"/>
    <w:lvl w:ilvl="0" w:tplc="81AC2E44">
      <w:start w:val="1"/>
      <w:numFmt w:val="decimal"/>
      <w:lvlText w:val="%1."/>
      <w:lvlJc w:val="left"/>
      <w:pPr>
        <w:ind w:left="720" w:hanging="360"/>
      </w:pPr>
      <w:rPr>
        <w:rFonts w:ascii="Tahoma" w:hAnsi="Tahoma" w:cs="Tahoma"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62B207AE"/>
    <w:multiLevelType w:val="hybridMultilevel"/>
    <w:tmpl w:val="983E0624"/>
    <w:lvl w:ilvl="0" w:tplc="E1CE3A24">
      <w:start w:val="34"/>
      <w:numFmt w:val="decimal"/>
      <w:pStyle w:val="Numberedparagraphs"/>
      <w:lvlText w:val="%1."/>
      <w:lvlJc w:val="left"/>
      <w:pPr>
        <w:ind w:left="720" w:hanging="720"/>
      </w:pPr>
      <w:rPr>
        <w:rFonts w:ascii="Arial" w:hAnsi="Arial" w:cs="Arial" w:hint="default"/>
        <w:b w:val="0"/>
        <w:bCs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6" w15:restartNumberingAfterBreak="0">
    <w:nsid w:val="63411030"/>
    <w:multiLevelType w:val="hybridMultilevel"/>
    <w:tmpl w:val="7A4890CA"/>
    <w:lvl w:ilvl="0" w:tplc="F782EA20">
      <w:start w:val="1"/>
      <w:numFmt w:val="decimal"/>
      <w:lvlText w:val="%1."/>
      <w:lvlJc w:val="left"/>
      <w:pPr>
        <w:ind w:left="720" w:hanging="360"/>
      </w:pPr>
    </w:lvl>
    <w:lvl w:ilvl="1" w:tplc="6032D220">
      <w:start w:val="1"/>
      <w:numFmt w:val="decimal"/>
      <w:lvlText w:val="%2."/>
      <w:lvlJc w:val="left"/>
      <w:pPr>
        <w:ind w:left="1440" w:hanging="360"/>
      </w:pPr>
      <w:rPr>
        <w:rFonts w:ascii="SegoeUI" w:eastAsiaTheme="minorHAnsi" w:hAnsi="SegoeUI" w:cs="SegoeUI"/>
      </w:rPr>
    </w:lvl>
    <w:lvl w:ilvl="2" w:tplc="31DAC6BA">
      <w:start w:val="1"/>
      <w:numFmt w:val="lowerRoman"/>
      <w:lvlText w:val="%3."/>
      <w:lvlJc w:val="right"/>
      <w:pPr>
        <w:ind w:left="2024" w:hanging="180"/>
      </w:pPr>
      <w:rPr>
        <w:sz w:val="24"/>
        <w:szCs w:val="24"/>
      </w:rPr>
    </w:lvl>
    <w:lvl w:ilvl="3" w:tplc="F8069FE2">
      <w:start w:val="1"/>
      <w:numFmt w:val="lowerLetter"/>
      <w:lvlText w:val="%4."/>
      <w:lvlJc w:val="left"/>
      <w:pPr>
        <w:ind w:left="2880" w:hanging="360"/>
      </w:pPr>
      <w:rPr>
        <w:color w:val="auto"/>
      </w:rPr>
    </w:lvl>
    <w:lvl w:ilvl="4" w:tplc="269C86C8">
      <w:start w:val="1"/>
      <w:numFmt w:val="decimal"/>
      <w:lvlText w:val="%5."/>
      <w:lvlJc w:val="left"/>
      <w:pPr>
        <w:ind w:left="3600" w:hanging="360"/>
      </w:pPr>
    </w:lvl>
    <w:lvl w:ilvl="5" w:tplc="2FB8F7DC">
      <w:start w:val="1"/>
      <w:numFmt w:val="lowerLetter"/>
      <w:lvlText w:val="%6."/>
      <w:lvlJc w:val="right"/>
      <w:pPr>
        <w:ind w:left="4320" w:hanging="180"/>
      </w:pPr>
    </w:lvl>
    <w:lvl w:ilvl="6" w:tplc="66E242D4">
      <w:start w:val="1"/>
      <w:numFmt w:val="lowerRoman"/>
      <w:lvlText w:val="%7."/>
      <w:lvlJc w:val="left"/>
      <w:pPr>
        <w:ind w:left="5040" w:hanging="360"/>
      </w:pPr>
    </w:lvl>
    <w:lvl w:ilvl="7" w:tplc="35EAB9E0">
      <w:start w:val="1"/>
      <w:numFmt w:val="upperRoman"/>
      <w:lvlText w:val="%8."/>
      <w:lvlJc w:val="left"/>
      <w:pPr>
        <w:ind w:left="5760" w:hanging="360"/>
      </w:pPr>
    </w:lvl>
    <w:lvl w:ilvl="8" w:tplc="465ED5E6">
      <w:start w:val="1"/>
      <w:numFmt w:val="decimal"/>
      <w:lvlText w:val="%9."/>
      <w:lvlJc w:val="right"/>
      <w:pPr>
        <w:ind w:left="6480" w:hanging="180"/>
      </w:pPr>
    </w:lvl>
  </w:abstractNum>
  <w:abstractNum w:abstractNumId="127" w15:restartNumberingAfterBreak="0">
    <w:nsid w:val="63C019A8"/>
    <w:multiLevelType w:val="hybridMultilevel"/>
    <w:tmpl w:val="CF9E9D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8" w15:restartNumberingAfterBreak="0">
    <w:nsid w:val="63C434C8"/>
    <w:multiLevelType w:val="hybridMultilevel"/>
    <w:tmpl w:val="29CE480E"/>
    <w:lvl w:ilvl="0" w:tplc="08090001">
      <w:start w:val="1"/>
      <w:numFmt w:val="bullet"/>
      <w:lvlText w:val=""/>
      <w:lvlJc w:val="left"/>
      <w:pPr>
        <w:ind w:left="1635" w:hanging="360"/>
      </w:pPr>
      <w:rPr>
        <w:rFonts w:ascii="Symbol" w:hAnsi="Symbol"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129" w15:restartNumberingAfterBreak="0">
    <w:nsid w:val="646D6D33"/>
    <w:multiLevelType w:val="hybridMultilevel"/>
    <w:tmpl w:val="F344394A"/>
    <w:lvl w:ilvl="0" w:tplc="08090001">
      <w:start w:val="1"/>
      <w:numFmt w:val="bullet"/>
      <w:lvlText w:val=""/>
      <w:lvlJc w:val="left"/>
      <w:pPr>
        <w:ind w:left="1635" w:hanging="360"/>
      </w:pPr>
      <w:rPr>
        <w:rFonts w:ascii="Symbol" w:hAnsi="Symbol" w:hint="default"/>
        <w:b w:val="0"/>
        <w:bCs w:val="0"/>
        <w:sz w:val="24"/>
        <w:szCs w:val="24"/>
      </w:rPr>
    </w:lvl>
    <w:lvl w:ilvl="1" w:tplc="08090019">
      <w:start w:val="1"/>
      <w:numFmt w:val="lowerLetter"/>
      <w:lvlText w:val="%2."/>
      <w:lvlJc w:val="left"/>
      <w:pPr>
        <w:ind w:left="2584" w:hanging="360"/>
      </w:pPr>
    </w:lvl>
    <w:lvl w:ilvl="2" w:tplc="0809001B" w:tentative="1">
      <w:start w:val="1"/>
      <w:numFmt w:val="lowerRoman"/>
      <w:lvlText w:val="%3."/>
      <w:lvlJc w:val="right"/>
      <w:pPr>
        <w:ind w:left="3304" w:hanging="180"/>
      </w:pPr>
    </w:lvl>
    <w:lvl w:ilvl="3" w:tplc="0809000F" w:tentative="1">
      <w:start w:val="1"/>
      <w:numFmt w:val="decimal"/>
      <w:lvlText w:val="%4."/>
      <w:lvlJc w:val="left"/>
      <w:pPr>
        <w:ind w:left="4024" w:hanging="360"/>
      </w:pPr>
    </w:lvl>
    <w:lvl w:ilvl="4" w:tplc="08090019" w:tentative="1">
      <w:start w:val="1"/>
      <w:numFmt w:val="lowerLetter"/>
      <w:lvlText w:val="%5."/>
      <w:lvlJc w:val="left"/>
      <w:pPr>
        <w:ind w:left="4744" w:hanging="360"/>
      </w:pPr>
    </w:lvl>
    <w:lvl w:ilvl="5" w:tplc="0809001B" w:tentative="1">
      <w:start w:val="1"/>
      <w:numFmt w:val="lowerRoman"/>
      <w:lvlText w:val="%6."/>
      <w:lvlJc w:val="right"/>
      <w:pPr>
        <w:ind w:left="5464" w:hanging="180"/>
      </w:pPr>
    </w:lvl>
    <w:lvl w:ilvl="6" w:tplc="0809000F" w:tentative="1">
      <w:start w:val="1"/>
      <w:numFmt w:val="decimal"/>
      <w:lvlText w:val="%7."/>
      <w:lvlJc w:val="left"/>
      <w:pPr>
        <w:ind w:left="6184" w:hanging="360"/>
      </w:pPr>
    </w:lvl>
    <w:lvl w:ilvl="7" w:tplc="08090019" w:tentative="1">
      <w:start w:val="1"/>
      <w:numFmt w:val="lowerLetter"/>
      <w:lvlText w:val="%8."/>
      <w:lvlJc w:val="left"/>
      <w:pPr>
        <w:ind w:left="6904" w:hanging="360"/>
      </w:pPr>
    </w:lvl>
    <w:lvl w:ilvl="8" w:tplc="0809001B" w:tentative="1">
      <w:start w:val="1"/>
      <w:numFmt w:val="lowerRoman"/>
      <w:lvlText w:val="%9."/>
      <w:lvlJc w:val="right"/>
      <w:pPr>
        <w:ind w:left="7624" w:hanging="180"/>
      </w:pPr>
    </w:lvl>
  </w:abstractNum>
  <w:abstractNum w:abstractNumId="130" w15:restartNumberingAfterBreak="0">
    <w:nsid w:val="65C92BF8"/>
    <w:multiLevelType w:val="hybridMultilevel"/>
    <w:tmpl w:val="58F29786"/>
    <w:lvl w:ilvl="0" w:tplc="8D602A80">
      <w:start w:val="1"/>
      <w:numFmt w:val="decimal"/>
      <w:lvlText w:val="%1."/>
      <w:lvlJc w:val="left"/>
      <w:pPr>
        <w:ind w:left="3506" w:hanging="360"/>
      </w:pPr>
      <w:rPr>
        <w:rFonts w:ascii="Arial" w:hAnsi="Arial" w:hint="default"/>
        <w:b w:val="0"/>
        <w:bCs w:val="0"/>
        <w:i w:val="0"/>
        <w:iCs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65DA2D88"/>
    <w:multiLevelType w:val="hybridMultilevel"/>
    <w:tmpl w:val="FFFFFFFF"/>
    <w:lvl w:ilvl="0" w:tplc="DC2AE7F2">
      <w:start w:val="1"/>
      <w:numFmt w:val="bullet"/>
      <w:lvlText w:val=""/>
      <w:lvlJc w:val="left"/>
      <w:pPr>
        <w:ind w:left="720" w:hanging="360"/>
      </w:pPr>
      <w:rPr>
        <w:rFonts w:ascii="Symbol" w:hAnsi="Symbol" w:hint="default"/>
      </w:rPr>
    </w:lvl>
    <w:lvl w:ilvl="1" w:tplc="B600B010">
      <w:start w:val="1"/>
      <w:numFmt w:val="bullet"/>
      <w:lvlText w:val="o"/>
      <w:lvlJc w:val="left"/>
      <w:pPr>
        <w:ind w:left="1440" w:hanging="360"/>
      </w:pPr>
      <w:rPr>
        <w:rFonts w:ascii="Courier New" w:hAnsi="Courier New" w:hint="default"/>
      </w:rPr>
    </w:lvl>
    <w:lvl w:ilvl="2" w:tplc="F58A5BD2">
      <w:start w:val="1"/>
      <w:numFmt w:val="bullet"/>
      <w:lvlText w:val=""/>
      <w:lvlJc w:val="left"/>
      <w:pPr>
        <w:ind w:left="2160" w:hanging="360"/>
      </w:pPr>
      <w:rPr>
        <w:rFonts w:ascii="Wingdings" w:hAnsi="Wingdings" w:hint="default"/>
      </w:rPr>
    </w:lvl>
    <w:lvl w:ilvl="3" w:tplc="12D01684">
      <w:start w:val="1"/>
      <w:numFmt w:val="bullet"/>
      <w:lvlText w:val=""/>
      <w:lvlJc w:val="left"/>
      <w:pPr>
        <w:ind w:left="2880" w:hanging="360"/>
      </w:pPr>
      <w:rPr>
        <w:rFonts w:ascii="Symbol" w:hAnsi="Symbol" w:hint="default"/>
      </w:rPr>
    </w:lvl>
    <w:lvl w:ilvl="4" w:tplc="3E7EE39A">
      <w:start w:val="1"/>
      <w:numFmt w:val="bullet"/>
      <w:lvlText w:val="o"/>
      <w:lvlJc w:val="left"/>
      <w:pPr>
        <w:ind w:left="3600" w:hanging="360"/>
      </w:pPr>
      <w:rPr>
        <w:rFonts w:ascii="Courier New" w:hAnsi="Courier New" w:hint="default"/>
      </w:rPr>
    </w:lvl>
    <w:lvl w:ilvl="5" w:tplc="1B946808">
      <w:start w:val="1"/>
      <w:numFmt w:val="bullet"/>
      <w:lvlText w:val=""/>
      <w:lvlJc w:val="left"/>
      <w:pPr>
        <w:ind w:left="4320" w:hanging="360"/>
      </w:pPr>
      <w:rPr>
        <w:rFonts w:ascii="Wingdings" w:hAnsi="Wingdings" w:hint="default"/>
      </w:rPr>
    </w:lvl>
    <w:lvl w:ilvl="6" w:tplc="974CCDFA">
      <w:start w:val="1"/>
      <w:numFmt w:val="bullet"/>
      <w:lvlText w:val=""/>
      <w:lvlJc w:val="left"/>
      <w:pPr>
        <w:ind w:left="5040" w:hanging="360"/>
      </w:pPr>
      <w:rPr>
        <w:rFonts w:ascii="Symbol" w:hAnsi="Symbol" w:hint="default"/>
      </w:rPr>
    </w:lvl>
    <w:lvl w:ilvl="7" w:tplc="74681FD0">
      <w:start w:val="1"/>
      <w:numFmt w:val="bullet"/>
      <w:lvlText w:val="o"/>
      <w:lvlJc w:val="left"/>
      <w:pPr>
        <w:ind w:left="5760" w:hanging="360"/>
      </w:pPr>
      <w:rPr>
        <w:rFonts w:ascii="Courier New" w:hAnsi="Courier New" w:hint="default"/>
      </w:rPr>
    </w:lvl>
    <w:lvl w:ilvl="8" w:tplc="E2DA46AE">
      <w:start w:val="1"/>
      <w:numFmt w:val="bullet"/>
      <w:lvlText w:val=""/>
      <w:lvlJc w:val="left"/>
      <w:pPr>
        <w:ind w:left="6480" w:hanging="360"/>
      </w:pPr>
      <w:rPr>
        <w:rFonts w:ascii="Wingdings" w:hAnsi="Wingdings" w:hint="default"/>
      </w:rPr>
    </w:lvl>
  </w:abstractNum>
  <w:abstractNum w:abstractNumId="132" w15:restartNumberingAfterBreak="0">
    <w:nsid w:val="661A3E16"/>
    <w:multiLevelType w:val="hybridMultilevel"/>
    <w:tmpl w:val="3910A1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672B2D82"/>
    <w:multiLevelType w:val="hybridMultilevel"/>
    <w:tmpl w:val="21725724"/>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34" w15:restartNumberingAfterBreak="0">
    <w:nsid w:val="67305A26"/>
    <w:multiLevelType w:val="hybridMultilevel"/>
    <w:tmpl w:val="7F4631F6"/>
    <w:lvl w:ilvl="0" w:tplc="08090001">
      <w:start w:val="1"/>
      <w:numFmt w:val="bullet"/>
      <w:lvlText w:val=""/>
      <w:lvlJc w:val="left"/>
      <w:pPr>
        <w:ind w:left="1080" w:hanging="360"/>
      </w:pPr>
      <w:rPr>
        <w:rFonts w:ascii="Arial Bold" w:hAnsi="Arial Bold" w:hint="default"/>
      </w:rPr>
    </w:lvl>
    <w:lvl w:ilvl="1" w:tplc="08090003" w:tentative="1">
      <w:start w:val="1"/>
      <w:numFmt w:val="bullet"/>
      <w:lvlText w:val="o"/>
      <w:lvlJc w:val="left"/>
      <w:pPr>
        <w:ind w:left="1800" w:hanging="360"/>
      </w:pPr>
      <w:rPr>
        <w:rFonts w:ascii="Helvetica" w:hAnsi="Helvetica" w:cs="Helvetica" w:hint="default"/>
      </w:rPr>
    </w:lvl>
    <w:lvl w:ilvl="2" w:tplc="08090005" w:tentative="1">
      <w:start w:val="1"/>
      <w:numFmt w:val="bullet"/>
      <w:lvlText w:val=""/>
      <w:lvlJc w:val="left"/>
      <w:pPr>
        <w:ind w:left="2520" w:hanging="360"/>
      </w:pPr>
      <w:rPr>
        <w:rFonts w:ascii="SimSun" w:hAnsi="SimSun" w:hint="default"/>
      </w:rPr>
    </w:lvl>
    <w:lvl w:ilvl="3" w:tplc="08090001" w:tentative="1">
      <w:start w:val="1"/>
      <w:numFmt w:val="bullet"/>
      <w:lvlText w:val=""/>
      <w:lvlJc w:val="left"/>
      <w:pPr>
        <w:ind w:left="3240" w:hanging="360"/>
      </w:pPr>
      <w:rPr>
        <w:rFonts w:ascii="Arial Bold" w:hAnsi="Arial Bold" w:hint="default"/>
      </w:rPr>
    </w:lvl>
    <w:lvl w:ilvl="4" w:tplc="08090003" w:tentative="1">
      <w:start w:val="1"/>
      <w:numFmt w:val="bullet"/>
      <w:lvlText w:val="o"/>
      <w:lvlJc w:val="left"/>
      <w:pPr>
        <w:ind w:left="3960" w:hanging="360"/>
      </w:pPr>
      <w:rPr>
        <w:rFonts w:ascii="Helvetica" w:hAnsi="Helvetica" w:cs="Helvetica" w:hint="default"/>
      </w:rPr>
    </w:lvl>
    <w:lvl w:ilvl="5" w:tplc="08090005" w:tentative="1">
      <w:start w:val="1"/>
      <w:numFmt w:val="bullet"/>
      <w:lvlText w:val=""/>
      <w:lvlJc w:val="left"/>
      <w:pPr>
        <w:ind w:left="4680" w:hanging="360"/>
      </w:pPr>
      <w:rPr>
        <w:rFonts w:ascii="SimSun" w:hAnsi="SimSun" w:hint="default"/>
      </w:rPr>
    </w:lvl>
    <w:lvl w:ilvl="6" w:tplc="08090001" w:tentative="1">
      <w:start w:val="1"/>
      <w:numFmt w:val="bullet"/>
      <w:lvlText w:val=""/>
      <w:lvlJc w:val="left"/>
      <w:pPr>
        <w:ind w:left="5400" w:hanging="360"/>
      </w:pPr>
      <w:rPr>
        <w:rFonts w:ascii="Arial Bold" w:hAnsi="Arial Bold" w:hint="default"/>
      </w:rPr>
    </w:lvl>
    <w:lvl w:ilvl="7" w:tplc="08090003" w:tentative="1">
      <w:start w:val="1"/>
      <w:numFmt w:val="bullet"/>
      <w:lvlText w:val="o"/>
      <w:lvlJc w:val="left"/>
      <w:pPr>
        <w:ind w:left="6120" w:hanging="360"/>
      </w:pPr>
      <w:rPr>
        <w:rFonts w:ascii="Helvetica" w:hAnsi="Helvetica" w:cs="Helvetica" w:hint="default"/>
      </w:rPr>
    </w:lvl>
    <w:lvl w:ilvl="8" w:tplc="08090005" w:tentative="1">
      <w:start w:val="1"/>
      <w:numFmt w:val="bullet"/>
      <w:lvlText w:val=""/>
      <w:lvlJc w:val="left"/>
      <w:pPr>
        <w:ind w:left="6840" w:hanging="360"/>
      </w:pPr>
      <w:rPr>
        <w:rFonts w:ascii="SimSun" w:hAnsi="SimSun" w:hint="default"/>
      </w:rPr>
    </w:lvl>
  </w:abstractNum>
  <w:abstractNum w:abstractNumId="135" w15:restartNumberingAfterBreak="0">
    <w:nsid w:val="67806B8A"/>
    <w:multiLevelType w:val="hybridMultilevel"/>
    <w:tmpl w:val="19041CA0"/>
    <w:lvl w:ilvl="0" w:tplc="08090001">
      <w:start w:val="1"/>
      <w:numFmt w:val="bullet"/>
      <w:lvlText w:val=""/>
      <w:lvlJc w:val="left"/>
      <w:pPr>
        <w:ind w:left="747" w:hanging="180"/>
      </w:pPr>
      <w:rPr>
        <w:rFonts w:ascii="Arial Bold" w:hAnsi="Arial Bold" w:hint="default"/>
      </w:rPr>
    </w:lvl>
    <w:lvl w:ilvl="1" w:tplc="67769034">
      <w:numFmt w:val="bullet"/>
      <w:lvlText w:val="•"/>
      <w:lvlJc w:val="left"/>
      <w:pPr>
        <w:ind w:left="1440" w:hanging="360"/>
      </w:pPr>
      <w:rPr>
        <w:rFonts w:ascii="Tahoma" w:eastAsia="SegoeUI" w:hAnsi="Tahoma" w:cs="Tahoma"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67D8152D"/>
    <w:multiLevelType w:val="hybridMultilevel"/>
    <w:tmpl w:val="4DA63E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68595E67"/>
    <w:multiLevelType w:val="hybridMultilevel"/>
    <w:tmpl w:val="A2CC0B98"/>
    <w:lvl w:ilvl="0" w:tplc="08090001">
      <w:start w:val="1"/>
      <w:numFmt w:val="bullet"/>
      <w:lvlText w:val=""/>
      <w:lvlJc w:val="left"/>
      <w:pPr>
        <w:ind w:left="720" w:hanging="360"/>
      </w:pPr>
      <w:rPr>
        <w:rFonts w:ascii="Arial Bold" w:hAnsi="Arial Bold" w:hint="default"/>
      </w:rPr>
    </w:lvl>
    <w:lvl w:ilvl="1" w:tplc="08090003">
      <w:start w:val="1"/>
      <w:numFmt w:val="bullet"/>
      <w:lvlText w:val="o"/>
      <w:lvlJc w:val="left"/>
      <w:pPr>
        <w:ind w:left="1440" w:hanging="360"/>
      </w:pPr>
      <w:rPr>
        <w:rFonts w:ascii="Helvetica" w:hAnsi="Helvetica" w:cs="Helvetica" w:hint="default"/>
      </w:rPr>
    </w:lvl>
    <w:lvl w:ilvl="2" w:tplc="08090005">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38" w15:restartNumberingAfterBreak="0">
    <w:nsid w:val="687A60E9"/>
    <w:multiLevelType w:val="hybridMultilevel"/>
    <w:tmpl w:val="4F4ECB92"/>
    <w:lvl w:ilvl="0" w:tplc="3098C2F0">
      <w:start w:val="1"/>
      <w:numFmt w:val="bullet"/>
      <w:lvlText w:val="·"/>
      <w:lvlJc w:val="left"/>
      <w:pPr>
        <w:ind w:left="720" w:hanging="360"/>
      </w:pPr>
      <w:rPr>
        <w:rFonts w:ascii="Arial Bold" w:hAnsi="Arial Bold" w:hint="default"/>
      </w:rPr>
    </w:lvl>
    <w:lvl w:ilvl="1" w:tplc="F31400B8">
      <w:start w:val="1"/>
      <w:numFmt w:val="bullet"/>
      <w:lvlText w:val="o"/>
      <w:lvlJc w:val="left"/>
      <w:pPr>
        <w:ind w:left="1440" w:hanging="360"/>
      </w:pPr>
      <w:rPr>
        <w:rFonts w:ascii="Helvetica" w:hAnsi="Helvetica" w:hint="default"/>
      </w:rPr>
    </w:lvl>
    <w:lvl w:ilvl="2" w:tplc="E6168C70">
      <w:start w:val="1"/>
      <w:numFmt w:val="bullet"/>
      <w:lvlText w:val=""/>
      <w:lvlJc w:val="left"/>
      <w:pPr>
        <w:ind w:left="2160" w:hanging="360"/>
      </w:pPr>
      <w:rPr>
        <w:rFonts w:ascii="SimSun" w:hAnsi="SimSun" w:hint="default"/>
      </w:rPr>
    </w:lvl>
    <w:lvl w:ilvl="3" w:tplc="2F6A613A">
      <w:start w:val="1"/>
      <w:numFmt w:val="bullet"/>
      <w:lvlText w:val=""/>
      <w:lvlJc w:val="left"/>
      <w:pPr>
        <w:ind w:left="2880" w:hanging="360"/>
      </w:pPr>
      <w:rPr>
        <w:rFonts w:ascii="Arial Bold" w:hAnsi="Arial Bold" w:hint="default"/>
      </w:rPr>
    </w:lvl>
    <w:lvl w:ilvl="4" w:tplc="44CE157E">
      <w:start w:val="1"/>
      <w:numFmt w:val="bullet"/>
      <w:lvlText w:val="o"/>
      <w:lvlJc w:val="left"/>
      <w:pPr>
        <w:ind w:left="3600" w:hanging="360"/>
      </w:pPr>
      <w:rPr>
        <w:rFonts w:ascii="Helvetica" w:hAnsi="Helvetica" w:hint="default"/>
      </w:rPr>
    </w:lvl>
    <w:lvl w:ilvl="5" w:tplc="C502953A">
      <w:start w:val="1"/>
      <w:numFmt w:val="bullet"/>
      <w:lvlText w:val=""/>
      <w:lvlJc w:val="left"/>
      <w:pPr>
        <w:ind w:left="4320" w:hanging="360"/>
      </w:pPr>
      <w:rPr>
        <w:rFonts w:ascii="SimSun" w:hAnsi="SimSun" w:hint="default"/>
      </w:rPr>
    </w:lvl>
    <w:lvl w:ilvl="6" w:tplc="4044E55C">
      <w:start w:val="1"/>
      <w:numFmt w:val="bullet"/>
      <w:lvlText w:val=""/>
      <w:lvlJc w:val="left"/>
      <w:pPr>
        <w:ind w:left="5040" w:hanging="360"/>
      </w:pPr>
      <w:rPr>
        <w:rFonts w:ascii="Arial Bold" w:hAnsi="Arial Bold" w:hint="default"/>
      </w:rPr>
    </w:lvl>
    <w:lvl w:ilvl="7" w:tplc="BB508784">
      <w:start w:val="1"/>
      <w:numFmt w:val="bullet"/>
      <w:lvlText w:val="o"/>
      <w:lvlJc w:val="left"/>
      <w:pPr>
        <w:ind w:left="5760" w:hanging="360"/>
      </w:pPr>
      <w:rPr>
        <w:rFonts w:ascii="Helvetica" w:hAnsi="Helvetica" w:hint="default"/>
      </w:rPr>
    </w:lvl>
    <w:lvl w:ilvl="8" w:tplc="57CA638A">
      <w:start w:val="1"/>
      <w:numFmt w:val="bullet"/>
      <w:lvlText w:val=""/>
      <w:lvlJc w:val="left"/>
      <w:pPr>
        <w:ind w:left="6480" w:hanging="360"/>
      </w:pPr>
      <w:rPr>
        <w:rFonts w:ascii="SimSun" w:hAnsi="SimSun" w:hint="default"/>
      </w:rPr>
    </w:lvl>
  </w:abstractNum>
  <w:abstractNum w:abstractNumId="139" w15:restartNumberingAfterBreak="0">
    <w:nsid w:val="69B932E6"/>
    <w:multiLevelType w:val="hybridMultilevel"/>
    <w:tmpl w:val="0792AA56"/>
    <w:lvl w:ilvl="0" w:tplc="8F4A835C">
      <w:start w:val="1"/>
      <w:numFmt w:val="decimal"/>
      <w:lvlText w:val="%1."/>
      <w:lvlJc w:val="left"/>
      <w:pPr>
        <w:ind w:left="720" w:hanging="360"/>
      </w:pPr>
    </w:lvl>
    <w:lvl w:ilvl="1" w:tplc="02605EF6">
      <w:start w:val="1"/>
      <w:numFmt w:val="decimal"/>
      <w:isLgl/>
      <w:lvlText w:val="%1.%2"/>
      <w:lvlJc w:val="left"/>
      <w:pPr>
        <w:ind w:left="760" w:hanging="400"/>
      </w:pPr>
      <w:rPr>
        <w:rFonts w:hint="default"/>
      </w:rPr>
    </w:lvl>
    <w:lvl w:ilvl="2" w:tplc="67B86578">
      <w:start w:val="1"/>
      <w:numFmt w:val="decimal"/>
      <w:isLgl/>
      <w:lvlText w:val="%1.%2.%3"/>
      <w:lvlJc w:val="left"/>
      <w:pPr>
        <w:ind w:left="1080" w:hanging="720"/>
      </w:pPr>
      <w:rPr>
        <w:rFonts w:hint="default"/>
      </w:rPr>
    </w:lvl>
    <w:lvl w:ilvl="3" w:tplc="3170F77C">
      <w:start w:val="1"/>
      <w:numFmt w:val="decimal"/>
      <w:isLgl/>
      <w:lvlText w:val="%1.%2.%3.%4"/>
      <w:lvlJc w:val="left"/>
      <w:pPr>
        <w:ind w:left="1080" w:hanging="720"/>
      </w:pPr>
      <w:rPr>
        <w:rFonts w:hint="default"/>
      </w:rPr>
    </w:lvl>
    <w:lvl w:ilvl="4" w:tplc="FA06673E">
      <w:start w:val="1"/>
      <w:numFmt w:val="decimal"/>
      <w:isLgl/>
      <w:lvlText w:val="%1.%2.%3.%4.%5"/>
      <w:lvlJc w:val="left"/>
      <w:pPr>
        <w:ind w:left="1440" w:hanging="1080"/>
      </w:pPr>
      <w:rPr>
        <w:rFonts w:hint="default"/>
      </w:rPr>
    </w:lvl>
    <w:lvl w:ilvl="5" w:tplc="547C6F46">
      <w:start w:val="1"/>
      <w:numFmt w:val="decimal"/>
      <w:isLgl/>
      <w:lvlText w:val="%1.%2.%3.%4.%5.%6"/>
      <w:lvlJc w:val="left"/>
      <w:pPr>
        <w:ind w:left="1440" w:hanging="1080"/>
      </w:pPr>
      <w:rPr>
        <w:rFonts w:hint="default"/>
      </w:rPr>
    </w:lvl>
    <w:lvl w:ilvl="6" w:tplc="4648A8A2">
      <w:start w:val="1"/>
      <w:numFmt w:val="decimal"/>
      <w:isLgl/>
      <w:lvlText w:val="%1.%2.%3.%4.%5.%6.%7"/>
      <w:lvlJc w:val="left"/>
      <w:pPr>
        <w:ind w:left="1800" w:hanging="1440"/>
      </w:pPr>
      <w:rPr>
        <w:rFonts w:hint="default"/>
      </w:rPr>
    </w:lvl>
    <w:lvl w:ilvl="7" w:tplc="DF4E61C0">
      <w:start w:val="1"/>
      <w:numFmt w:val="decimal"/>
      <w:isLgl/>
      <w:lvlText w:val="%1.%2.%3.%4.%5.%6.%7.%8"/>
      <w:lvlJc w:val="left"/>
      <w:pPr>
        <w:ind w:left="1800" w:hanging="1440"/>
      </w:pPr>
      <w:rPr>
        <w:rFonts w:hint="default"/>
      </w:rPr>
    </w:lvl>
    <w:lvl w:ilvl="8" w:tplc="60C84930">
      <w:start w:val="1"/>
      <w:numFmt w:val="decimal"/>
      <w:isLgl/>
      <w:lvlText w:val="%1.%2.%3.%4.%5.%6.%7.%8.%9"/>
      <w:lvlJc w:val="left"/>
      <w:pPr>
        <w:ind w:left="1800" w:hanging="1440"/>
      </w:pPr>
      <w:rPr>
        <w:rFonts w:hint="default"/>
      </w:rPr>
    </w:lvl>
  </w:abstractNum>
  <w:abstractNum w:abstractNumId="140" w15:restartNumberingAfterBreak="0">
    <w:nsid w:val="6B030EF0"/>
    <w:multiLevelType w:val="hybridMultilevel"/>
    <w:tmpl w:val="6130EB8C"/>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41" w15:restartNumberingAfterBreak="0">
    <w:nsid w:val="6CBE0BA4"/>
    <w:multiLevelType w:val="hybridMultilevel"/>
    <w:tmpl w:val="77A8F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6F2A6BAA"/>
    <w:multiLevelType w:val="hybridMultilevel"/>
    <w:tmpl w:val="6AAE29F8"/>
    <w:lvl w:ilvl="0" w:tplc="08090001">
      <w:start w:val="1"/>
      <w:numFmt w:val="bullet"/>
      <w:lvlText w:val=""/>
      <w:lvlJc w:val="left"/>
      <w:pPr>
        <w:ind w:left="833" w:hanging="360"/>
      </w:pPr>
      <w:rPr>
        <w:rFonts w:ascii="Arial Bold" w:hAnsi="Arial Bold" w:hint="default"/>
      </w:rPr>
    </w:lvl>
    <w:lvl w:ilvl="1" w:tplc="08090003" w:tentative="1">
      <w:start w:val="1"/>
      <w:numFmt w:val="bullet"/>
      <w:lvlText w:val="o"/>
      <w:lvlJc w:val="left"/>
      <w:pPr>
        <w:ind w:left="1553" w:hanging="360"/>
      </w:pPr>
      <w:rPr>
        <w:rFonts w:ascii="Helvetica" w:hAnsi="Helvetica" w:cs="Helvetica" w:hint="default"/>
      </w:rPr>
    </w:lvl>
    <w:lvl w:ilvl="2" w:tplc="08090005" w:tentative="1">
      <w:start w:val="1"/>
      <w:numFmt w:val="bullet"/>
      <w:lvlText w:val=""/>
      <w:lvlJc w:val="left"/>
      <w:pPr>
        <w:ind w:left="2273" w:hanging="360"/>
      </w:pPr>
      <w:rPr>
        <w:rFonts w:ascii="SimSun" w:hAnsi="SimSun" w:hint="default"/>
      </w:rPr>
    </w:lvl>
    <w:lvl w:ilvl="3" w:tplc="08090001" w:tentative="1">
      <w:start w:val="1"/>
      <w:numFmt w:val="bullet"/>
      <w:lvlText w:val=""/>
      <w:lvlJc w:val="left"/>
      <w:pPr>
        <w:ind w:left="2993" w:hanging="360"/>
      </w:pPr>
      <w:rPr>
        <w:rFonts w:ascii="Arial Bold" w:hAnsi="Arial Bold" w:hint="default"/>
      </w:rPr>
    </w:lvl>
    <w:lvl w:ilvl="4" w:tplc="08090003" w:tentative="1">
      <w:start w:val="1"/>
      <w:numFmt w:val="bullet"/>
      <w:lvlText w:val="o"/>
      <w:lvlJc w:val="left"/>
      <w:pPr>
        <w:ind w:left="3713" w:hanging="360"/>
      </w:pPr>
      <w:rPr>
        <w:rFonts w:ascii="Helvetica" w:hAnsi="Helvetica" w:cs="Helvetica" w:hint="default"/>
      </w:rPr>
    </w:lvl>
    <w:lvl w:ilvl="5" w:tplc="08090005" w:tentative="1">
      <w:start w:val="1"/>
      <w:numFmt w:val="bullet"/>
      <w:lvlText w:val=""/>
      <w:lvlJc w:val="left"/>
      <w:pPr>
        <w:ind w:left="4433" w:hanging="360"/>
      </w:pPr>
      <w:rPr>
        <w:rFonts w:ascii="SimSun" w:hAnsi="SimSun" w:hint="default"/>
      </w:rPr>
    </w:lvl>
    <w:lvl w:ilvl="6" w:tplc="08090001" w:tentative="1">
      <w:start w:val="1"/>
      <w:numFmt w:val="bullet"/>
      <w:lvlText w:val=""/>
      <w:lvlJc w:val="left"/>
      <w:pPr>
        <w:ind w:left="5153" w:hanging="360"/>
      </w:pPr>
      <w:rPr>
        <w:rFonts w:ascii="Arial Bold" w:hAnsi="Arial Bold" w:hint="default"/>
      </w:rPr>
    </w:lvl>
    <w:lvl w:ilvl="7" w:tplc="08090003" w:tentative="1">
      <w:start w:val="1"/>
      <w:numFmt w:val="bullet"/>
      <w:lvlText w:val="o"/>
      <w:lvlJc w:val="left"/>
      <w:pPr>
        <w:ind w:left="5873" w:hanging="360"/>
      </w:pPr>
      <w:rPr>
        <w:rFonts w:ascii="Helvetica" w:hAnsi="Helvetica" w:cs="Helvetica" w:hint="default"/>
      </w:rPr>
    </w:lvl>
    <w:lvl w:ilvl="8" w:tplc="08090005" w:tentative="1">
      <w:start w:val="1"/>
      <w:numFmt w:val="bullet"/>
      <w:lvlText w:val=""/>
      <w:lvlJc w:val="left"/>
      <w:pPr>
        <w:ind w:left="6593" w:hanging="360"/>
      </w:pPr>
      <w:rPr>
        <w:rFonts w:ascii="SimSun" w:hAnsi="SimSun" w:hint="default"/>
      </w:rPr>
    </w:lvl>
  </w:abstractNum>
  <w:abstractNum w:abstractNumId="143" w15:restartNumberingAfterBreak="0">
    <w:nsid w:val="70331805"/>
    <w:multiLevelType w:val="multilevel"/>
    <w:tmpl w:val="761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03D18A8"/>
    <w:multiLevelType w:val="hybridMultilevel"/>
    <w:tmpl w:val="4CF0028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5" w15:restartNumberingAfterBreak="0">
    <w:nsid w:val="70BD5FFC"/>
    <w:multiLevelType w:val="hybridMultilevel"/>
    <w:tmpl w:val="2F58B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6" w15:restartNumberingAfterBreak="0">
    <w:nsid w:val="710A58DD"/>
    <w:multiLevelType w:val="hybridMultilevel"/>
    <w:tmpl w:val="B6D6D436"/>
    <w:lvl w:ilvl="0" w:tplc="663C906E">
      <w:numFmt w:val="bullet"/>
      <w:lvlText w:val="-"/>
      <w:lvlJc w:val="left"/>
      <w:pPr>
        <w:ind w:left="720" w:hanging="360"/>
      </w:pPr>
      <w:rPr>
        <w:rFonts w:ascii="Tahoma" w:eastAsia="SegoeUI" w:hAnsi="Tahoma" w:cs="Tahoma"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47" w15:restartNumberingAfterBreak="0">
    <w:nsid w:val="718851C2"/>
    <w:multiLevelType w:val="hybridMultilevel"/>
    <w:tmpl w:val="3626DD9A"/>
    <w:lvl w:ilvl="0" w:tplc="95DCAF20">
      <w:start w:val="1"/>
      <w:numFmt w:val="decimal"/>
      <w:pStyle w:val="IARefNumber"/>
      <w:suff w:val="nothing"/>
      <w:lvlText w:val="%1"/>
      <w:lvlJc w:val="left"/>
      <w:pPr>
        <w:ind w:firstLine="113"/>
      </w:pPr>
      <w:rPr>
        <w:rFonts w:cs="SegoeUI" w:hint="default"/>
      </w:rPr>
    </w:lvl>
    <w:lvl w:ilvl="1" w:tplc="D3C6D3EA">
      <w:start w:val="1"/>
      <w:numFmt w:val="decimal"/>
      <w:lvlText w:val="%1.%2."/>
      <w:lvlJc w:val="left"/>
      <w:pPr>
        <w:tabs>
          <w:tab w:val="num" w:pos="1080"/>
        </w:tabs>
        <w:ind w:left="792" w:hanging="432"/>
      </w:pPr>
      <w:rPr>
        <w:rFonts w:cs="SegoeUI" w:hint="default"/>
      </w:rPr>
    </w:lvl>
    <w:lvl w:ilvl="2" w:tplc="3C7025C0">
      <w:start w:val="1"/>
      <w:numFmt w:val="decimal"/>
      <w:lvlText w:val="%1.%2.%3."/>
      <w:lvlJc w:val="left"/>
      <w:pPr>
        <w:tabs>
          <w:tab w:val="num" w:pos="1800"/>
        </w:tabs>
        <w:ind w:left="1224" w:hanging="504"/>
      </w:pPr>
      <w:rPr>
        <w:rFonts w:cs="SegoeUI" w:hint="default"/>
      </w:rPr>
    </w:lvl>
    <w:lvl w:ilvl="3" w:tplc="88AA628E">
      <w:start w:val="1"/>
      <w:numFmt w:val="decimal"/>
      <w:lvlText w:val="%1.%2.%3.%4."/>
      <w:lvlJc w:val="left"/>
      <w:pPr>
        <w:tabs>
          <w:tab w:val="num" w:pos="2520"/>
        </w:tabs>
        <w:ind w:left="1728" w:hanging="648"/>
      </w:pPr>
      <w:rPr>
        <w:rFonts w:cs="SegoeUI" w:hint="default"/>
      </w:rPr>
    </w:lvl>
    <w:lvl w:ilvl="4" w:tplc="52502792">
      <w:start w:val="1"/>
      <w:numFmt w:val="decimal"/>
      <w:lvlText w:val="%1.%2.%3.%4.%5."/>
      <w:lvlJc w:val="left"/>
      <w:pPr>
        <w:tabs>
          <w:tab w:val="num" w:pos="2880"/>
        </w:tabs>
        <w:ind w:left="2232" w:hanging="792"/>
      </w:pPr>
      <w:rPr>
        <w:rFonts w:cs="SegoeUI" w:hint="default"/>
      </w:rPr>
    </w:lvl>
    <w:lvl w:ilvl="5" w:tplc="8856ADEC">
      <w:start w:val="1"/>
      <w:numFmt w:val="decimal"/>
      <w:lvlText w:val="%1.%2.%3.%4.%5.%6."/>
      <w:lvlJc w:val="left"/>
      <w:pPr>
        <w:tabs>
          <w:tab w:val="num" w:pos="3600"/>
        </w:tabs>
        <w:ind w:left="2736" w:hanging="936"/>
      </w:pPr>
      <w:rPr>
        <w:rFonts w:cs="SegoeUI" w:hint="default"/>
      </w:rPr>
    </w:lvl>
    <w:lvl w:ilvl="6" w:tplc="D98A36E8">
      <w:start w:val="1"/>
      <w:numFmt w:val="decimal"/>
      <w:lvlText w:val="%1.%2.%3.%4.%5.%6.%7."/>
      <w:lvlJc w:val="left"/>
      <w:pPr>
        <w:tabs>
          <w:tab w:val="num" w:pos="4320"/>
        </w:tabs>
        <w:ind w:left="3240" w:hanging="1080"/>
      </w:pPr>
      <w:rPr>
        <w:rFonts w:cs="SegoeUI" w:hint="default"/>
      </w:rPr>
    </w:lvl>
    <w:lvl w:ilvl="7" w:tplc="DE562CF4">
      <w:start w:val="1"/>
      <w:numFmt w:val="decimal"/>
      <w:lvlText w:val="%1.%2.%3.%4.%5.%6.%7.%8."/>
      <w:lvlJc w:val="left"/>
      <w:pPr>
        <w:tabs>
          <w:tab w:val="num" w:pos="5040"/>
        </w:tabs>
        <w:ind w:left="3744" w:hanging="1224"/>
      </w:pPr>
      <w:rPr>
        <w:rFonts w:cs="SegoeUI" w:hint="default"/>
      </w:rPr>
    </w:lvl>
    <w:lvl w:ilvl="8" w:tplc="02CEE86E">
      <w:start w:val="1"/>
      <w:numFmt w:val="decimal"/>
      <w:lvlText w:val="%1.%2.%3.%4.%5.%6.%7.%8.%9."/>
      <w:lvlJc w:val="left"/>
      <w:pPr>
        <w:tabs>
          <w:tab w:val="num" w:pos="5760"/>
        </w:tabs>
        <w:ind w:left="4320" w:hanging="1440"/>
      </w:pPr>
      <w:rPr>
        <w:rFonts w:cs="SegoeUI" w:hint="default"/>
      </w:rPr>
    </w:lvl>
  </w:abstractNum>
  <w:abstractNum w:abstractNumId="148" w15:restartNumberingAfterBreak="0">
    <w:nsid w:val="75435ED5"/>
    <w:multiLevelType w:val="hybridMultilevel"/>
    <w:tmpl w:val="CB40F67A"/>
    <w:lvl w:ilvl="0" w:tplc="08090001">
      <w:start w:val="1"/>
      <w:numFmt w:val="bullet"/>
      <w:lvlText w:val=""/>
      <w:lvlJc w:val="left"/>
      <w:pPr>
        <w:ind w:left="720" w:hanging="360"/>
      </w:pPr>
      <w:rPr>
        <w:rFonts w:ascii="Arial Bold" w:hAnsi="Arial Bold" w:hint="default"/>
      </w:rPr>
    </w:lvl>
    <w:lvl w:ilvl="1" w:tplc="08090003" w:tentative="1">
      <w:start w:val="1"/>
      <w:numFmt w:val="bullet"/>
      <w:lvlText w:val="o"/>
      <w:lvlJc w:val="left"/>
      <w:pPr>
        <w:ind w:left="1440" w:hanging="360"/>
      </w:pPr>
      <w:rPr>
        <w:rFonts w:ascii="Helvetica" w:hAnsi="Helvetica" w:cs="Helvetica" w:hint="default"/>
      </w:rPr>
    </w:lvl>
    <w:lvl w:ilvl="2" w:tplc="08090005" w:tentative="1">
      <w:start w:val="1"/>
      <w:numFmt w:val="bullet"/>
      <w:lvlText w:val=""/>
      <w:lvlJc w:val="left"/>
      <w:pPr>
        <w:ind w:left="2160" w:hanging="360"/>
      </w:pPr>
      <w:rPr>
        <w:rFonts w:ascii="SimSun" w:hAnsi="SimSun" w:hint="default"/>
      </w:rPr>
    </w:lvl>
    <w:lvl w:ilvl="3" w:tplc="08090001" w:tentative="1">
      <w:start w:val="1"/>
      <w:numFmt w:val="bullet"/>
      <w:lvlText w:val=""/>
      <w:lvlJc w:val="left"/>
      <w:pPr>
        <w:ind w:left="2880" w:hanging="360"/>
      </w:pPr>
      <w:rPr>
        <w:rFonts w:ascii="Arial Bold" w:hAnsi="Arial Bold" w:hint="default"/>
      </w:rPr>
    </w:lvl>
    <w:lvl w:ilvl="4" w:tplc="08090003" w:tentative="1">
      <w:start w:val="1"/>
      <w:numFmt w:val="bullet"/>
      <w:lvlText w:val="o"/>
      <w:lvlJc w:val="left"/>
      <w:pPr>
        <w:ind w:left="3600" w:hanging="360"/>
      </w:pPr>
      <w:rPr>
        <w:rFonts w:ascii="Helvetica" w:hAnsi="Helvetica" w:cs="Helvetica" w:hint="default"/>
      </w:rPr>
    </w:lvl>
    <w:lvl w:ilvl="5" w:tplc="08090005" w:tentative="1">
      <w:start w:val="1"/>
      <w:numFmt w:val="bullet"/>
      <w:lvlText w:val=""/>
      <w:lvlJc w:val="left"/>
      <w:pPr>
        <w:ind w:left="4320" w:hanging="360"/>
      </w:pPr>
      <w:rPr>
        <w:rFonts w:ascii="SimSun" w:hAnsi="SimSun" w:hint="default"/>
      </w:rPr>
    </w:lvl>
    <w:lvl w:ilvl="6" w:tplc="08090001" w:tentative="1">
      <w:start w:val="1"/>
      <w:numFmt w:val="bullet"/>
      <w:lvlText w:val=""/>
      <w:lvlJc w:val="left"/>
      <w:pPr>
        <w:ind w:left="5040" w:hanging="360"/>
      </w:pPr>
      <w:rPr>
        <w:rFonts w:ascii="Arial Bold" w:hAnsi="Arial Bold" w:hint="default"/>
      </w:rPr>
    </w:lvl>
    <w:lvl w:ilvl="7" w:tplc="08090003" w:tentative="1">
      <w:start w:val="1"/>
      <w:numFmt w:val="bullet"/>
      <w:lvlText w:val="o"/>
      <w:lvlJc w:val="left"/>
      <w:pPr>
        <w:ind w:left="5760" w:hanging="360"/>
      </w:pPr>
      <w:rPr>
        <w:rFonts w:ascii="Helvetica" w:hAnsi="Helvetica" w:cs="Helvetica" w:hint="default"/>
      </w:rPr>
    </w:lvl>
    <w:lvl w:ilvl="8" w:tplc="08090005" w:tentative="1">
      <w:start w:val="1"/>
      <w:numFmt w:val="bullet"/>
      <w:lvlText w:val=""/>
      <w:lvlJc w:val="left"/>
      <w:pPr>
        <w:ind w:left="6480" w:hanging="360"/>
      </w:pPr>
      <w:rPr>
        <w:rFonts w:ascii="SimSun" w:hAnsi="SimSun" w:hint="default"/>
      </w:rPr>
    </w:lvl>
  </w:abstractNum>
  <w:abstractNum w:abstractNumId="149" w15:restartNumberingAfterBreak="0">
    <w:nsid w:val="75674064"/>
    <w:multiLevelType w:val="hybridMultilevel"/>
    <w:tmpl w:val="1288617E"/>
    <w:lvl w:ilvl="0" w:tplc="08090001">
      <w:start w:val="1"/>
      <w:numFmt w:val="bullet"/>
      <w:lvlText w:val=""/>
      <w:lvlJc w:val="left"/>
      <w:pPr>
        <w:ind w:left="1855" w:hanging="360"/>
      </w:pPr>
      <w:rPr>
        <w:rFonts w:ascii="Symbol" w:hAnsi="Symbol" w:hint="default"/>
      </w:rPr>
    </w:lvl>
    <w:lvl w:ilvl="1" w:tplc="08090003" w:tentative="1">
      <w:start w:val="1"/>
      <w:numFmt w:val="bullet"/>
      <w:lvlText w:val="o"/>
      <w:lvlJc w:val="left"/>
      <w:pPr>
        <w:ind w:left="2575" w:hanging="360"/>
      </w:pPr>
      <w:rPr>
        <w:rFonts w:ascii="Courier New" w:hAnsi="Courier New" w:cs="Courier New" w:hint="default"/>
      </w:rPr>
    </w:lvl>
    <w:lvl w:ilvl="2" w:tplc="08090005" w:tentative="1">
      <w:start w:val="1"/>
      <w:numFmt w:val="bullet"/>
      <w:lvlText w:val=""/>
      <w:lvlJc w:val="left"/>
      <w:pPr>
        <w:ind w:left="3295" w:hanging="360"/>
      </w:pPr>
      <w:rPr>
        <w:rFonts w:ascii="Wingdings" w:hAnsi="Wingdings" w:hint="default"/>
      </w:rPr>
    </w:lvl>
    <w:lvl w:ilvl="3" w:tplc="08090001" w:tentative="1">
      <w:start w:val="1"/>
      <w:numFmt w:val="bullet"/>
      <w:lvlText w:val=""/>
      <w:lvlJc w:val="left"/>
      <w:pPr>
        <w:ind w:left="4015" w:hanging="360"/>
      </w:pPr>
      <w:rPr>
        <w:rFonts w:ascii="Symbol" w:hAnsi="Symbol" w:hint="default"/>
      </w:rPr>
    </w:lvl>
    <w:lvl w:ilvl="4" w:tplc="08090003" w:tentative="1">
      <w:start w:val="1"/>
      <w:numFmt w:val="bullet"/>
      <w:lvlText w:val="o"/>
      <w:lvlJc w:val="left"/>
      <w:pPr>
        <w:ind w:left="4735" w:hanging="360"/>
      </w:pPr>
      <w:rPr>
        <w:rFonts w:ascii="Courier New" w:hAnsi="Courier New" w:cs="Courier New" w:hint="default"/>
      </w:rPr>
    </w:lvl>
    <w:lvl w:ilvl="5" w:tplc="08090005" w:tentative="1">
      <w:start w:val="1"/>
      <w:numFmt w:val="bullet"/>
      <w:lvlText w:val=""/>
      <w:lvlJc w:val="left"/>
      <w:pPr>
        <w:ind w:left="5455" w:hanging="360"/>
      </w:pPr>
      <w:rPr>
        <w:rFonts w:ascii="Wingdings" w:hAnsi="Wingdings" w:hint="default"/>
      </w:rPr>
    </w:lvl>
    <w:lvl w:ilvl="6" w:tplc="08090001" w:tentative="1">
      <w:start w:val="1"/>
      <w:numFmt w:val="bullet"/>
      <w:lvlText w:val=""/>
      <w:lvlJc w:val="left"/>
      <w:pPr>
        <w:ind w:left="6175" w:hanging="360"/>
      </w:pPr>
      <w:rPr>
        <w:rFonts w:ascii="Symbol" w:hAnsi="Symbol" w:hint="default"/>
      </w:rPr>
    </w:lvl>
    <w:lvl w:ilvl="7" w:tplc="08090003" w:tentative="1">
      <w:start w:val="1"/>
      <w:numFmt w:val="bullet"/>
      <w:lvlText w:val="o"/>
      <w:lvlJc w:val="left"/>
      <w:pPr>
        <w:ind w:left="6895" w:hanging="360"/>
      </w:pPr>
      <w:rPr>
        <w:rFonts w:ascii="Courier New" w:hAnsi="Courier New" w:cs="Courier New" w:hint="default"/>
      </w:rPr>
    </w:lvl>
    <w:lvl w:ilvl="8" w:tplc="08090005" w:tentative="1">
      <w:start w:val="1"/>
      <w:numFmt w:val="bullet"/>
      <w:lvlText w:val=""/>
      <w:lvlJc w:val="left"/>
      <w:pPr>
        <w:ind w:left="7615" w:hanging="360"/>
      </w:pPr>
      <w:rPr>
        <w:rFonts w:ascii="Wingdings" w:hAnsi="Wingdings" w:hint="default"/>
      </w:rPr>
    </w:lvl>
  </w:abstractNum>
  <w:abstractNum w:abstractNumId="150" w15:restartNumberingAfterBreak="0">
    <w:nsid w:val="766E218C"/>
    <w:multiLevelType w:val="hybridMultilevel"/>
    <w:tmpl w:val="BF025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76FC608F"/>
    <w:multiLevelType w:val="multilevel"/>
    <w:tmpl w:val="0D2A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7E307DB"/>
    <w:multiLevelType w:val="hybridMultilevel"/>
    <w:tmpl w:val="DAF0DBFC"/>
    <w:lvl w:ilvl="0" w:tplc="E5EACD9A">
      <w:start w:val="1"/>
      <w:numFmt w:val="decimal"/>
      <w:lvlText w:val="%1."/>
      <w:lvlJc w:val="left"/>
      <w:pPr>
        <w:ind w:left="720" w:hanging="360"/>
      </w:pPr>
    </w:lvl>
    <w:lvl w:ilvl="1" w:tplc="014C0B86">
      <w:start w:val="1"/>
      <w:numFmt w:val="decimal"/>
      <w:lvlText w:val="%2."/>
      <w:lvlJc w:val="left"/>
      <w:pPr>
        <w:ind w:left="1440" w:hanging="360"/>
      </w:pPr>
      <w:rPr>
        <w:rFonts w:ascii="SegoeUI" w:eastAsiaTheme="minorHAnsi" w:hAnsi="SegoeUI" w:cs="SegoeUI" w:hint="default"/>
      </w:rPr>
    </w:lvl>
    <w:lvl w:ilvl="2" w:tplc="8FE4A904">
      <w:start w:val="1"/>
      <w:numFmt w:val="lowerRoman"/>
      <w:lvlText w:val="%3."/>
      <w:lvlJc w:val="right"/>
      <w:pPr>
        <w:ind w:left="2160" w:hanging="180"/>
      </w:pPr>
    </w:lvl>
    <w:lvl w:ilvl="3" w:tplc="7A7EC86A">
      <w:start w:val="1"/>
      <w:numFmt w:val="lowerLetter"/>
      <w:lvlText w:val="%4."/>
      <w:lvlJc w:val="left"/>
      <w:pPr>
        <w:ind w:left="2880" w:hanging="360"/>
      </w:pPr>
      <w:rPr>
        <w:color w:val="auto"/>
      </w:rPr>
    </w:lvl>
    <w:lvl w:ilvl="4" w:tplc="3D5AFB6C">
      <w:start w:val="1"/>
      <w:numFmt w:val="decimal"/>
      <w:lvlText w:val="%5."/>
      <w:lvlJc w:val="left"/>
      <w:pPr>
        <w:ind w:left="3600" w:hanging="360"/>
      </w:pPr>
    </w:lvl>
    <w:lvl w:ilvl="5" w:tplc="28B65662">
      <w:start w:val="1"/>
      <w:numFmt w:val="lowerLetter"/>
      <w:lvlText w:val="%6."/>
      <w:lvlJc w:val="right"/>
      <w:pPr>
        <w:ind w:left="4320" w:hanging="180"/>
      </w:pPr>
    </w:lvl>
    <w:lvl w:ilvl="6" w:tplc="434AE5EA">
      <w:start w:val="1"/>
      <w:numFmt w:val="lowerRoman"/>
      <w:lvlText w:val="%7."/>
      <w:lvlJc w:val="left"/>
      <w:pPr>
        <w:ind w:left="5040" w:hanging="360"/>
      </w:pPr>
    </w:lvl>
    <w:lvl w:ilvl="7" w:tplc="02A02950">
      <w:start w:val="1"/>
      <w:numFmt w:val="upperRoman"/>
      <w:lvlText w:val="%8."/>
      <w:lvlJc w:val="left"/>
      <w:pPr>
        <w:ind w:left="5760" w:hanging="360"/>
      </w:pPr>
    </w:lvl>
    <w:lvl w:ilvl="8" w:tplc="5EEAC230">
      <w:start w:val="1"/>
      <w:numFmt w:val="decimal"/>
      <w:lvlText w:val="%9."/>
      <w:lvlJc w:val="right"/>
      <w:pPr>
        <w:ind w:left="6480" w:hanging="180"/>
      </w:pPr>
    </w:lvl>
  </w:abstractNum>
  <w:abstractNum w:abstractNumId="153" w15:restartNumberingAfterBreak="0">
    <w:nsid w:val="78385188"/>
    <w:multiLevelType w:val="hybridMultilevel"/>
    <w:tmpl w:val="0792AA56"/>
    <w:lvl w:ilvl="0" w:tplc="23246626">
      <w:start w:val="1"/>
      <w:numFmt w:val="decimal"/>
      <w:lvlText w:val="%1."/>
      <w:lvlJc w:val="left"/>
      <w:pPr>
        <w:ind w:left="720" w:hanging="360"/>
      </w:pPr>
    </w:lvl>
    <w:lvl w:ilvl="1" w:tplc="27B6FB7A">
      <w:start w:val="1"/>
      <w:numFmt w:val="decimal"/>
      <w:isLgl/>
      <w:lvlText w:val="%1.%2"/>
      <w:lvlJc w:val="left"/>
      <w:pPr>
        <w:ind w:left="760" w:hanging="400"/>
      </w:pPr>
      <w:rPr>
        <w:rFonts w:hint="default"/>
      </w:rPr>
    </w:lvl>
    <w:lvl w:ilvl="2" w:tplc="16B2FE4E">
      <w:start w:val="1"/>
      <w:numFmt w:val="decimal"/>
      <w:isLgl/>
      <w:lvlText w:val="%1.%2.%3"/>
      <w:lvlJc w:val="left"/>
      <w:pPr>
        <w:ind w:left="1080" w:hanging="720"/>
      </w:pPr>
      <w:rPr>
        <w:rFonts w:hint="default"/>
      </w:rPr>
    </w:lvl>
    <w:lvl w:ilvl="3" w:tplc="B5865B9E">
      <w:start w:val="1"/>
      <w:numFmt w:val="decimal"/>
      <w:isLgl/>
      <w:lvlText w:val="%1.%2.%3.%4"/>
      <w:lvlJc w:val="left"/>
      <w:pPr>
        <w:ind w:left="1080" w:hanging="720"/>
      </w:pPr>
      <w:rPr>
        <w:rFonts w:hint="default"/>
      </w:rPr>
    </w:lvl>
    <w:lvl w:ilvl="4" w:tplc="37BEFF32">
      <w:start w:val="1"/>
      <w:numFmt w:val="decimal"/>
      <w:isLgl/>
      <w:lvlText w:val="%1.%2.%3.%4.%5"/>
      <w:lvlJc w:val="left"/>
      <w:pPr>
        <w:ind w:left="1440" w:hanging="1080"/>
      </w:pPr>
      <w:rPr>
        <w:rFonts w:hint="default"/>
      </w:rPr>
    </w:lvl>
    <w:lvl w:ilvl="5" w:tplc="E376E994">
      <w:start w:val="1"/>
      <w:numFmt w:val="decimal"/>
      <w:isLgl/>
      <w:lvlText w:val="%1.%2.%3.%4.%5.%6"/>
      <w:lvlJc w:val="left"/>
      <w:pPr>
        <w:ind w:left="1440" w:hanging="1080"/>
      </w:pPr>
      <w:rPr>
        <w:rFonts w:hint="default"/>
      </w:rPr>
    </w:lvl>
    <w:lvl w:ilvl="6" w:tplc="9434F210">
      <w:start w:val="1"/>
      <w:numFmt w:val="decimal"/>
      <w:isLgl/>
      <w:lvlText w:val="%1.%2.%3.%4.%5.%6.%7"/>
      <w:lvlJc w:val="left"/>
      <w:pPr>
        <w:ind w:left="1800" w:hanging="1440"/>
      </w:pPr>
      <w:rPr>
        <w:rFonts w:hint="default"/>
      </w:rPr>
    </w:lvl>
    <w:lvl w:ilvl="7" w:tplc="F6E422FE">
      <w:start w:val="1"/>
      <w:numFmt w:val="decimal"/>
      <w:isLgl/>
      <w:lvlText w:val="%1.%2.%3.%4.%5.%6.%7.%8"/>
      <w:lvlJc w:val="left"/>
      <w:pPr>
        <w:ind w:left="1800" w:hanging="1440"/>
      </w:pPr>
      <w:rPr>
        <w:rFonts w:hint="default"/>
      </w:rPr>
    </w:lvl>
    <w:lvl w:ilvl="8" w:tplc="E30CF188">
      <w:start w:val="1"/>
      <w:numFmt w:val="decimal"/>
      <w:isLgl/>
      <w:lvlText w:val="%1.%2.%3.%4.%5.%6.%7.%8.%9"/>
      <w:lvlJc w:val="left"/>
      <w:pPr>
        <w:ind w:left="1800" w:hanging="1440"/>
      </w:pPr>
      <w:rPr>
        <w:rFonts w:hint="default"/>
      </w:rPr>
    </w:lvl>
  </w:abstractNum>
  <w:abstractNum w:abstractNumId="154" w15:restartNumberingAfterBreak="0">
    <w:nsid w:val="7A9F6EF6"/>
    <w:multiLevelType w:val="hybridMultilevel"/>
    <w:tmpl w:val="3A924C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7B540F1B"/>
    <w:multiLevelType w:val="hybridMultilevel"/>
    <w:tmpl w:val="645213CC"/>
    <w:lvl w:ilvl="0" w:tplc="6B74C5FC">
      <w:start w:val="1"/>
      <w:numFmt w:val="decimal"/>
      <w:lvlText w:val="%1."/>
      <w:lvlJc w:val="left"/>
      <w:pPr>
        <w:ind w:left="720" w:hanging="360"/>
      </w:pPr>
    </w:lvl>
    <w:lvl w:ilvl="1" w:tplc="D1F059C2">
      <w:start w:val="1"/>
      <w:numFmt w:val="lowerLetter"/>
      <w:lvlText w:val="%2."/>
      <w:lvlJc w:val="left"/>
      <w:pPr>
        <w:ind w:left="1440" w:hanging="360"/>
      </w:pPr>
    </w:lvl>
    <w:lvl w:ilvl="2" w:tplc="D5688C76">
      <w:start w:val="1"/>
      <w:numFmt w:val="lowerRoman"/>
      <w:lvlText w:val="%3."/>
      <w:lvlJc w:val="right"/>
      <w:pPr>
        <w:ind w:left="2160" w:hanging="180"/>
      </w:pPr>
    </w:lvl>
    <w:lvl w:ilvl="3" w:tplc="340E7242">
      <w:start w:val="1"/>
      <w:numFmt w:val="lowerLetter"/>
      <w:lvlText w:val="%4."/>
      <w:lvlJc w:val="left"/>
      <w:pPr>
        <w:ind w:left="2880" w:hanging="360"/>
      </w:pPr>
      <w:rPr>
        <w:color w:val="auto"/>
      </w:rPr>
    </w:lvl>
    <w:lvl w:ilvl="4" w:tplc="E856E94C">
      <w:start w:val="1"/>
      <w:numFmt w:val="decimal"/>
      <w:lvlText w:val="%5."/>
      <w:lvlJc w:val="left"/>
      <w:pPr>
        <w:ind w:left="3600" w:hanging="360"/>
      </w:pPr>
    </w:lvl>
    <w:lvl w:ilvl="5" w:tplc="A6C6ACD6">
      <w:start w:val="1"/>
      <w:numFmt w:val="lowerLetter"/>
      <w:lvlText w:val="%6."/>
      <w:lvlJc w:val="right"/>
      <w:pPr>
        <w:ind w:left="4320" w:hanging="180"/>
      </w:pPr>
    </w:lvl>
    <w:lvl w:ilvl="6" w:tplc="3A984270">
      <w:start w:val="1"/>
      <w:numFmt w:val="lowerRoman"/>
      <w:lvlText w:val="%7."/>
      <w:lvlJc w:val="left"/>
      <w:pPr>
        <w:ind w:left="5040" w:hanging="360"/>
      </w:pPr>
    </w:lvl>
    <w:lvl w:ilvl="7" w:tplc="1C02F294">
      <w:start w:val="1"/>
      <w:numFmt w:val="upperRoman"/>
      <w:lvlText w:val="%8."/>
      <w:lvlJc w:val="left"/>
      <w:pPr>
        <w:ind w:left="5760" w:hanging="360"/>
      </w:pPr>
    </w:lvl>
    <w:lvl w:ilvl="8" w:tplc="A826297C">
      <w:start w:val="1"/>
      <w:numFmt w:val="decimal"/>
      <w:lvlText w:val="%9."/>
      <w:lvlJc w:val="right"/>
      <w:pPr>
        <w:ind w:left="6480" w:hanging="180"/>
      </w:pPr>
    </w:lvl>
  </w:abstractNum>
  <w:abstractNum w:abstractNumId="156" w15:restartNumberingAfterBreak="0">
    <w:nsid w:val="7B541D5C"/>
    <w:multiLevelType w:val="hybridMultilevel"/>
    <w:tmpl w:val="6B4A81A0"/>
    <w:lvl w:ilvl="0" w:tplc="5E5EB85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57" w15:restartNumberingAfterBreak="0">
    <w:nsid w:val="7B9C6925"/>
    <w:multiLevelType w:val="hybridMultilevel"/>
    <w:tmpl w:val="FDCE7C2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58" w15:restartNumberingAfterBreak="0">
    <w:nsid w:val="7BBA5AB2"/>
    <w:multiLevelType w:val="hybridMultilevel"/>
    <w:tmpl w:val="FFFFFFFF"/>
    <w:lvl w:ilvl="0" w:tplc="A3709CEA">
      <w:start w:val="1"/>
      <w:numFmt w:val="decimal"/>
      <w:lvlText w:val="%1."/>
      <w:lvlJc w:val="left"/>
      <w:pPr>
        <w:tabs>
          <w:tab w:val="num" w:pos="720"/>
        </w:tabs>
        <w:ind w:left="720" w:hanging="720"/>
      </w:pPr>
    </w:lvl>
    <w:lvl w:ilvl="1" w:tplc="5970B756">
      <w:start w:val="1"/>
      <w:numFmt w:val="decimal"/>
      <w:lvlText w:val="%2."/>
      <w:lvlJc w:val="left"/>
      <w:pPr>
        <w:tabs>
          <w:tab w:val="num" w:pos="1440"/>
        </w:tabs>
        <w:ind w:left="1440" w:hanging="720"/>
      </w:pPr>
    </w:lvl>
    <w:lvl w:ilvl="2" w:tplc="0A3E323A">
      <w:start w:val="1"/>
      <w:numFmt w:val="decimal"/>
      <w:lvlText w:val="%3."/>
      <w:lvlJc w:val="left"/>
      <w:pPr>
        <w:tabs>
          <w:tab w:val="num" w:pos="2160"/>
        </w:tabs>
        <w:ind w:left="2160" w:hanging="720"/>
      </w:pPr>
    </w:lvl>
    <w:lvl w:ilvl="3" w:tplc="259E9E8C">
      <w:start w:val="1"/>
      <w:numFmt w:val="decimal"/>
      <w:lvlText w:val="%4."/>
      <w:lvlJc w:val="left"/>
      <w:pPr>
        <w:tabs>
          <w:tab w:val="num" w:pos="2880"/>
        </w:tabs>
        <w:ind w:left="2880" w:hanging="720"/>
      </w:pPr>
    </w:lvl>
    <w:lvl w:ilvl="4" w:tplc="D1D21C48">
      <w:start w:val="1"/>
      <w:numFmt w:val="decimal"/>
      <w:lvlText w:val="%5."/>
      <w:lvlJc w:val="left"/>
      <w:pPr>
        <w:tabs>
          <w:tab w:val="num" w:pos="3600"/>
        </w:tabs>
        <w:ind w:left="3600" w:hanging="720"/>
      </w:pPr>
    </w:lvl>
    <w:lvl w:ilvl="5" w:tplc="57921550">
      <w:start w:val="1"/>
      <w:numFmt w:val="decimal"/>
      <w:lvlText w:val="%6."/>
      <w:lvlJc w:val="left"/>
      <w:pPr>
        <w:tabs>
          <w:tab w:val="num" w:pos="4320"/>
        </w:tabs>
        <w:ind w:left="4320" w:hanging="720"/>
      </w:pPr>
    </w:lvl>
    <w:lvl w:ilvl="6" w:tplc="0AEEA6B6">
      <w:start w:val="1"/>
      <w:numFmt w:val="decimal"/>
      <w:lvlText w:val="%7."/>
      <w:lvlJc w:val="left"/>
      <w:pPr>
        <w:tabs>
          <w:tab w:val="num" w:pos="5040"/>
        </w:tabs>
        <w:ind w:left="5040" w:hanging="720"/>
      </w:pPr>
    </w:lvl>
    <w:lvl w:ilvl="7" w:tplc="42DAF5AA">
      <w:start w:val="1"/>
      <w:numFmt w:val="decimal"/>
      <w:lvlText w:val="%8."/>
      <w:lvlJc w:val="left"/>
      <w:pPr>
        <w:tabs>
          <w:tab w:val="num" w:pos="5760"/>
        </w:tabs>
        <w:ind w:left="5760" w:hanging="720"/>
      </w:pPr>
    </w:lvl>
    <w:lvl w:ilvl="8" w:tplc="316EC124">
      <w:start w:val="1"/>
      <w:numFmt w:val="decimal"/>
      <w:lvlText w:val="%9."/>
      <w:lvlJc w:val="left"/>
      <w:pPr>
        <w:tabs>
          <w:tab w:val="num" w:pos="6480"/>
        </w:tabs>
        <w:ind w:left="6480" w:hanging="720"/>
      </w:pPr>
    </w:lvl>
  </w:abstractNum>
  <w:abstractNum w:abstractNumId="159" w15:restartNumberingAfterBreak="0">
    <w:nsid w:val="7C8A1B77"/>
    <w:multiLevelType w:val="hybridMultilevel"/>
    <w:tmpl w:val="AEFA32D4"/>
    <w:lvl w:ilvl="0" w:tplc="0809000F">
      <w:start w:val="1"/>
      <w:numFmt w:val="decimal"/>
      <w:lvlText w:val="%1."/>
      <w:lvlJc w:val="left"/>
      <w:pPr>
        <w:ind w:left="1128" w:hanging="360"/>
      </w:p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160" w15:restartNumberingAfterBreak="0">
    <w:nsid w:val="7D0570F7"/>
    <w:multiLevelType w:val="hybridMultilevel"/>
    <w:tmpl w:val="691CBBDC"/>
    <w:lvl w:ilvl="0" w:tplc="D1AC63FC">
      <w:start w:val="1"/>
      <w:numFmt w:val="lowerRoman"/>
      <w:lvlText w:val="%1."/>
      <w:lvlJc w:val="right"/>
      <w:pPr>
        <w:ind w:left="2160" w:hanging="720"/>
      </w:pPr>
      <w:rPr>
        <w:rFonts w:cs="SegoeUI"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1" w15:restartNumberingAfterBreak="0">
    <w:nsid w:val="7D74178A"/>
    <w:multiLevelType w:val="hybridMultilevel"/>
    <w:tmpl w:val="6D18C71C"/>
    <w:lvl w:ilvl="0" w:tplc="8C66BDB2">
      <w:start w:val="3"/>
      <w:numFmt w:val="decimal"/>
      <w:lvlText w:val="%1."/>
      <w:lvlJc w:val="left"/>
      <w:pPr>
        <w:ind w:left="720" w:hanging="360"/>
      </w:pPr>
    </w:lvl>
    <w:lvl w:ilvl="1" w:tplc="CDD618E2">
      <w:start w:val="1"/>
      <w:numFmt w:val="decimal"/>
      <w:lvlText w:val="%2."/>
      <w:lvlJc w:val="left"/>
      <w:pPr>
        <w:ind w:left="1440" w:hanging="360"/>
      </w:pPr>
      <w:rPr>
        <w:rFonts w:ascii="SegoeUI" w:eastAsiaTheme="minorHAnsi" w:hAnsi="SegoeUI" w:cs="SegoeUI" w:hint="default"/>
      </w:rPr>
    </w:lvl>
    <w:lvl w:ilvl="2" w:tplc="F3B4D514">
      <w:start w:val="1"/>
      <w:numFmt w:val="lowerRoman"/>
      <w:lvlText w:val="%3."/>
      <w:lvlJc w:val="right"/>
      <w:pPr>
        <w:ind w:left="2160" w:hanging="180"/>
      </w:pPr>
    </w:lvl>
    <w:lvl w:ilvl="3" w:tplc="F48C3E00">
      <w:start w:val="1"/>
      <w:numFmt w:val="lowerLetter"/>
      <w:lvlText w:val="%4."/>
      <w:lvlJc w:val="left"/>
      <w:pPr>
        <w:ind w:left="2880" w:hanging="360"/>
      </w:pPr>
      <w:rPr>
        <w:color w:val="auto"/>
      </w:rPr>
    </w:lvl>
    <w:lvl w:ilvl="4" w:tplc="D8F8518E">
      <w:start w:val="1"/>
      <w:numFmt w:val="decimal"/>
      <w:lvlText w:val="%5."/>
      <w:lvlJc w:val="left"/>
      <w:pPr>
        <w:ind w:left="3600" w:hanging="360"/>
      </w:pPr>
    </w:lvl>
    <w:lvl w:ilvl="5" w:tplc="2A5EC38A">
      <w:start w:val="1"/>
      <w:numFmt w:val="lowerLetter"/>
      <w:lvlText w:val="%6."/>
      <w:lvlJc w:val="right"/>
      <w:pPr>
        <w:ind w:left="4320" w:hanging="180"/>
      </w:pPr>
    </w:lvl>
    <w:lvl w:ilvl="6" w:tplc="FA9CF2B6">
      <w:start w:val="1"/>
      <w:numFmt w:val="lowerRoman"/>
      <w:lvlText w:val="%7."/>
      <w:lvlJc w:val="left"/>
      <w:pPr>
        <w:ind w:left="5040" w:hanging="360"/>
      </w:pPr>
    </w:lvl>
    <w:lvl w:ilvl="7" w:tplc="B1D836FA">
      <w:start w:val="1"/>
      <w:numFmt w:val="upperRoman"/>
      <w:lvlText w:val="%8."/>
      <w:lvlJc w:val="left"/>
      <w:pPr>
        <w:ind w:left="5760" w:hanging="360"/>
      </w:pPr>
    </w:lvl>
    <w:lvl w:ilvl="8" w:tplc="75AA82FA">
      <w:start w:val="1"/>
      <w:numFmt w:val="decimal"/>
      <w:lvlText w:val="%9."/>
      <w:lvlJc w:val="right"/>
      <w:pPr>
        <w:ind w:left="6480" w:hanging="180"/>
      </w:pPr>
    </w:lvl>
  </w:abstractNum>
  <w:abstractNum w:abstractNumId="162" w15:restartNumberingAfterBreak="0">
    <w:nsid w:val="7D782DA4"/>
    <w:multiLevelType w:val="hybridMultilevel"/>
    <w:tmpl w:val="4DCE632E"/>
    <w:lvl w:ilvl="0" w:tplc="08090001">
      <w:start w:val="1"/>
      <w:numFmt w:val="bullet"/>
      <w:lvlText w:val=""/>
      <w:lvlJc w:val="left"/>
      <w:pPr>
        <w:ind w:left="1210" w:hanging="360"/>
      </w:pPr>
      <w:rPr>
        <w:rFonts w:ascii="Symbol" w:hAnsi="Symbol"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63" w15:restartNumberingAfterBreak="0">
    <w:nsid w:val="7DB13A1D"/>
    <w:multiLevelType w:val="hybridMultilevel"/>
    <w:tmpl w:val="350EBA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7DDD613E"/>
    <w:multiLevelType w:val="hybridMultilevel"/>
    <w:tmpl w:val="A4829510"/>
    <w:lvl w:ilvl="0" w:tplc="FBD60204">
      <w:start w:val="1"/>
      <w:numFmt w:val="bullet"/>
      <w:lvlText w:val="·"/>
      <w:lvlJc w:val="left"/>
      <w:pPr>
        <w:ind w:left="720" w:hanging="360"/>
      </w:pPr>
      <w:rPr>
        <w:rFonts w:ascii="Arial Bold" w:hAnsi="Arial Bold" w:hint="default"/>
      </w:rPr>
    </w:lvl>
    <w:lvl w:ilvl="1" w:tplc="B4F4A7DC">
      <w:start w:val="1"/>
      <w:numFmt w:val="bullet"/>
      <w:lvlText w:val="o"/>
      <w:lvlJc w:val="left"/>
      <w:pPr>
        <w:ind w:left="1440" w:hanging="360"/>
      </w:pPr>
      <w:rPr>
        <w:rFonts w:ascii="Helvetica" w:hAnsi="Helvetica" w:hint="default"/>
      </w:rPr>
    </w:lvl>
    <w:lvl w:ilvl="2" w:tplc="1DA00024">
      <w:start w:val="1"/>
      <w:numFmt w:val="bullet"/>
      <w:lvlText w:val=""/>
      <w:lvlJc w:val="left"/>
      <w:pPr>
        <w:ind w:left="2160" w:hanging="360"/>
      </w:pPr>
      <w:rPr>
        <w:rFonts w:ascii="SimSun" w:hAnsi="SimSun" w:hint="default"/>
      </w:rPr>
    </w:lvl>
    <w:lvl w:ilvl="3" w:tplc="CF2A1AB0">
      <w:start w:val="1"/>
      <w:numFmt w:val="bullet"/>
      <w:lvlText w:val=""/>
      <w:lvlJc w:val="left"/>
      <w:pPr>
        <w:ind w:left="2880" w:hanging="360"/>
      </w:pPr>
      <w:rPr>
        <w:rFonts w:ascii="Arial Bold" w:hAnsi="Arial Bold" w:hint="default"/>
      </w:rPr>
    </w:lvl>
    <w:lvl w:ilvl="4" w:tplc="4E16FEBA">
      <w:start w:val="1"/>
      <w:numFmt w:val="bullet"/>
      <w:lvlText w:val="o"/>
      <w:lvlJc w:val="left"/>
      <w:pPr>
        <w:ind w:left="3600" w:hanging="360"/>
      </w:pPr>
      <w:rPr>
        <w:rFonts w:ascii="Helvetica" w:hAnsi="Helvetica" w:hint="default"/>
      </w:rPr>
    </w:lvl>
    <w:lvl w:ilvl="5" w:tplc="E92E503E">
      <w:start w:val="1"/>
      <w:numFmt w:val="bullet"/>
      <w:lvlText w:val=""/>
      <w:lvlJc w:val="left"/>
      <w:pPr>
        <w:ind w:left="4320" w:hanging="360"/>
      </w:pPr>
      <w:rPr>
        <w:rFonts w:ascii="SimSun" w:hAnsi="SimSun" w:hint="default"/>
      </w:rPr>
    </w:lvl>
    <w:lvl w:ilvl="6" w:tplc="B9C2DA94">
      <w:start w:val="1"/>
      <w:numFmt w:val="bullet"/>
      <w:lvlText w:val=""/>
      <w:lvlJc w:val="left"/>
      <w:pPr>
        <w:ind w:left="5040" w:hanging="360"/>
      </w:pPr>
      <w:rPr>
        <w:rFonts w:ascii="Arial Bold" w:hAnsi="Arial Bold" w:hint="default"/>
      </w:rPr>
    </w:lvl>
    <w:lvl w:ilvl="7" w:tplc="14DCA292">
      <w:start w:val="1"/>
      <w:numFmt w:val="bullet"/>
      <w:lvlText w:val="o"/>
      <w:lvlJc w:val="left"/>
      <w:pPr>
        <w:ind w:left="5760" w:hanging="360"/>
      </w:pPr>
      <w:rPr>
        <w:rFonts w:ascii="Helvetica" w:hAnsi="Helvetica" w:hint="default"/>
      </w:rPr>
    </w:lvl>
    <w:lvl w:ilvl="8" w:tplc="2828F942">
      <w:start w:val="1"/>
      <w:numFmt w:val="bullet"/>
      <w:lvlText w:val=""/>
      <w:lvlJc w:val="left"/>
      <w:pPr>
        <w:ind w:left="6480" w:hanging="360"/>
      </w:pPr>
      <w:rPr>
        <w:rFonts w:ascii="SimSun" w:hAnsi="SimSun" w:hint="default"/>
      </w:rPr>
    </w:lvl>
  </w:abstractNum>
  <w:abstractNum w:abstractNumId="165" w15:restartNumberingAfterBreak="0">
    <w:nsid w:val="7E3330DD"/>
    <w:multiLevelType w:val="hybridMultilevel"/>
    <w:tmpl w:val="85326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6" w15:restartNumberingAfterBreak="0">
    <w:nsid w:val="7FB75C1D"/>
    <w:multiLevelType w:val="hybridMultilevel"/>
    <w:tmpl w:val="533C8F46"/>
    <w:lvl w:ilvl="0" w:tplc="9A60EF8C">
      <w:start w:val="1"/>
      <w:numFmt w:val="none"/>
      <w:pStyle w:val="EBNumberRestart"/>
      <w:suff w:val="nothing"/>
      <w:lvlText w:val="%1"/>
      <w:lvlJc w:val="left"/>
      <w:rPr>
        <w:rFonts w:cs="SegoeUI" w:hint="default"/>
      </w:rPr>
    </w:lvl>
    <w:lvl w:ilvl="1" w:tplc="DF567D2E">
      <w:start w:val="1"/>
      <w:numFmt w:val="decimal"/>
      <w:pStyle w:val="EBNumber"/>
      <w:lvlText w:val="%1%2."/>
      <w:lvlJc w:val="left"/>
      <w:pPr>
        <w:tabs>
          <w:tab w:val="num" w:pos="425"/>
        </w:tabs>
        <w:ind w:left="425" w:hanging="425"/>
      </w:pPr>
      <w:rPr>
        <w:rFonts w:cs="SegoeUI" w:hint="default"/>
      </w:rPr>
    </w:lvl>
    <w:lvl w:ilvl="2" w:tplc="9868447C">
      <w:start w:val="1"/>
      <w:numFmt w:val="lowerLetter"/>
      <w:lvlText w:val="%1%3."/>
      <w:lvlJc w:val="left"/>
      <w:pPr>
        <w:tabs>
          <w:tab w:val="num" w:pos="851"/>
        </w:tabs>
        <w:ind w:left="851" w:hanging="426"/>
      </w:pPr>
      <w:rPr>
        <w:rFonts w:cs="SegoeUI" w:hint="default"/>
      </w:rPr>
    </w:lvl>
    <w:lvl w:ilvl="3" w:tplc="AD681D18">
      <w:start w:val="1"/>
      <w:numFmt w:val="none"/>
      <w:lvlText w:val="%1"/>
      <w:lvlJc w:val="left"/>
      <w:pPr>
        <w:tabs>
          <w:tab w:val="num" w:pos="2880"/>
        </w:tabs>
        <w:ind w:left="1728" w:hanging="648"/>
      </w:pPr>
      <w:rPr>
        <w:rFonts w:cs="SegoeUI" w:hint="default"/>
      </w:rPr>
    </w:lvl>
    <w:lvl w:ilvl="4" w:tplc="648226E4">
      <w:start w:val="1"/>
      <w:numFmt w:val="none"/>
      <w:lvlText w:val="%1"/>
      <w:lvlJc w:val="left"/>
      <w:pPr>
        <w:tabs>
          <w:tab w:val="num" w:pos="3600"/>
        </w:tabs>
        <w:ind w:left="2232" w:hanging="792"/>
      </w:pPr>
      <w:rPr>
        <w:rFonts w:cs="SegoeUI" w:hint="default"/>
      </w:rPr>
    </w:lvl>
    <w:lvl w:ilvl="5" w:tplc="52B67A8A">
      <w:start w:val="1"/>
      <w:numFmt w:val="none"/>
      <w:lvlText w:val="%1"/>
      <w:lvlJc w:val="left"/>
      <w:pPr>
        <w:tabs>
          <w:tab w:val="num" w:pos="4320"/>
        </w:tabs>
        <w:ind w:left="2736" w:hanging="936"/>
      </w:pPr>
      <w:rPr>
        <w:rFonts w:cs="SegoeUI" w:hint="default"/>
      </w:rPr>
    </w:lvl>
    <w:lvl w:ilvl="6" w:tplc="6FF20C3A">
      <w:start w:val="1"/>
      <w:numFmt w:val="none"/>
      <w:lvlText w:val="%1"/>
      <w:lvlJc w:val="left"/>
      <w:pPr>
        <w:tabs>
          <w:tab w:val="num" w:pos="5040"/>
        </w:tabs>
        <w:ind w:left="3240" w:hanging="1080"/>
      </w:pPr>
      <w:rPr>
        <w:rFonts w:cs="SegoeUI" w:hint="default"/>
      </w:rPr>
    </w:lvl>
    <w:lvl w:ilvl="7" w:tplc="60F89984">
      <w:start w:val="1"/>
      <w:numFmt w:val="decimal"/>
      <w:lvlText w:val="%1.%2.%3.%4.%5.%6.%7.%8."/>
      <w:lvlJc w:val="left"/>
      <w:pPr>
        <w:tabs>
          <w:tab w:val="num" w:pos="5760"/>
        </w:tabs>
        <w:ind w:left="3744" w:hanging="1224"/>
      </w:pPr>
      <w:rPr>
        <w:rFonts w:cs="SegoeUI" w:hint="default"/>
      </w:rPr>
    </w:lvl>
    <w:lvl w:ilvl="8" w:tplc="089CB1B4">
      <w:start w:val="1"/>
      <w:numFmt w:val="decimal"/>
      <w:lvlText w:val="%1.%2.%3.%4.%5.%6.%7.%8.%9."/>
      <w:lvlJc w:val="left"/>
      <w:pPr>
        <w:tabs>
          <w:tab w:val="num" w:pos="6480"/>
        </w:tabs>
        <w:ind w:left="4320" w:hanging="1440"/>
      </w:pPr>
      <w:rPr>
        <w:rFonts w:cs="SegoeUI" w:hint="default"/>
      </w:rPr>
    </w:lvl>
  </w:abstractNum>
  <w:num w:numId="1">
    <w:abstractNumId w:val="166"/>
  </w:num>
  <w:num w:numId="2">
    <w:abstractNumId w:val="147"/>
  </w:num>
  <w:num w:numId="3">
    <w:abstractNumId w:val="52"/>
  </w:num>
  <w:num w:numId="4">
    <w:abstractNumId w:val="90"/>
  </w:num>
  <w:num w:numId="5">
    <w:abstractNumId w:val="11"/>
  </w:num>
  <w:num w:numId="6">
    <w:abstractNumId w:val="108"/>
  </w:num>
  <w:num w:numId="7">
    <w:abstractNumId w:val="134"/>
  </w:num>
  <w:num w:numId="8">
    <w:abstractNumId w:val="148"/>
  </w:num>
  <w:num w:numId="9">
    <w:abstractNumId w:val="121"/>
  </w:num>
  <w:num w:numId="10">
    <w:abstractNumId w:val="30"/>
  </w:num>
  <w:num w:numId="11">
    <w:abstractNumId w:val="142"/>
  </w:num>
  <w:num w:numId="12">
    <w:abstractNumId w:val="135"/>
  </w:num>
  <w:num w:numId="13">
    <w:abstractNumId w:val="66"/>
  </w:num>
  <w:num w:numId="14">
    <w:abstractNumId w:val="31"/>
  </w:num>
  <w:num w:numId="15">
    <w:abstractNumId w:val="113"/>
  </w:num>
  <w:num w:numId="16">
    <w:abstractNumId w:val="24"/>
  </w:num>
  <w:num w:numId="17">
    <w:abstractNumId w:val="15"/>
  </w:num>
  <w:num w:numId="18">
    <w:abstractNumId w:val="60"/>
  </w:num>
  <w:num w:numId="19">
    <w:abstractNumId w:val="153"/>
  </w:num>
  <w:num w:numId="20">
    <w:abstractNumId w:val="25"/>
  </w:num>
  <w:num w:numId="2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0"/>
  </w:num>
  <w:num w:numId="23">
    <w:abstractNumId w:val="100"/>
    <w:lvlOverride w:ilvl="0">
      <w:startOverride w:val="1"/>
    </w:lvlOverride>
  </w:num>
  <w:num w:numId="24">
    <w:abstractNumId w:val="100"/>
    <w:lvlOverride w:ilvl="0">
      <w:startOverride w:val="1"/>
    </w:lvlOverride>
  </w:num>
  <w:num w:numId="25">
    <w:abstractNumId w:val="100"/>
    <w:lvlOverride w:ilvl="0">
      <w:startOverride w:val="1"/>
    </w:lvlOverride>
  </w:num>
  <w:num w:numId="26">
    <w:abstractNumId w:val="100"/>
    <w:lvlOverride w:ilvl="0">
      <w:startOverride w:val="1"/>
    </w:lvlOverride>
  </w:num>
  <w:num w:numId="27">
    <w:abstractNumId w:val="100"/>
    <w:lvlOverride w:ilvl="0">
      <w:startOverride w:val="1"/>
    </w:lvlOverride>
  </w:num>
  <w:num w:numId="28">
    <w:abstractNumId w:val="100"/>
    <w:lvlOverride w:ilvl="0">
      <w:startOverride w:val="1"/>
    </w:lvlOverride>
  </w:num>
  <w:num w:numId="29">
    <w:abstractNumId w:val="100"/>
    <w:lvlOverride w:ilvl="0">
      <w:startOverride w:val="1"/>
    </w:lvlOverride>
  </w:num>
  <w:num w:numId="30">
    <w:abstractNumId w:val="81"/>
  </w:num>
  <w:num w:numId="31">
    <w:abstractNumId w:val="24"/>
  </w:num>
  <w:num w:numId="3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1"/>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10"/>
  </w:num>
  <w:num w:numId="45">
    <w:abstractNumId w:val="67"/>
  </w:num>
  <w:num w:numId="46">
    <w:abstractNumId w:val="37"/>
  </w:num>
  <w:num w:numId="47">
    <w:abstractNumId w:val="69"/>
  </w:num>
  <w:num w:numId="48">
    <w:abstractNumId w:val="94"/>
  </w:num>
  <w:num w:numId="49">
    <w:abstractNumId w:val="50"/>
  </w:num>
  <w:num w:numId="50">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5"/>
  </w:num>
  <w:num w:numId="53">
    <w:abstractNumId w:val="12"/>
  </w:num>
  <w:num w:numId="54">
    <w:abstractNumId w:val="9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0"/>
  </w:num>
  <w:num w:numId="56">
    <w:abstractNumId w:val="1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37"/>
  </w:num>
  <w:num w:numId="58">
    <w:abstractNumId w:val="16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2"/>
  </w:num>
  <w:num w:numId="60">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3"/>
  </w:num>
  <w:num w:numId="62">
    <w:abstractNumId w:val="78"/>
  </w:num>
  <w:num w:numId="63">
    <w:abstractNumId w:val="85"/>
  </w:num>
  <w:num w:numId="64">
    <w:abstractNumId w:val="140"/>
  </w:num>
  <w:num w:numId="65">
    <w:abstractNumId w:val="29"/>
  </w:num>
  <w:num w:numId="66">
    <w:abstractNumId w:val="91"/>
  </w:num>
  <w:num w:numId="67">
    <w:abstractNumId w:val="133"/>
  </w:num>
  <w:num w:numId="68">
    <w:abstractNumId w:val="86"/>
  </w:num>
  <w:num w:numId="69">
    <w:abstractNumId w:val="71"/>
  </w:num>
  <w:num w:numId="70">
    <w:abstractNumId w:val="110"/>
  </w:num>
  <w:num w:numId="71">
    <w:abstractNumId w:val="150"/>
  </w:num>
  <w:num w:numId="72">
    <w:abstractNumId w:val="124"/>
  </w:num>
  <w:num w:numId="73">
    <w:abstractNumId w:val="70"/>
  </w:num>
  <w:num w:numId="74">
    <w:abstractNumId w:val="63"/>
  </w:num>
  <w:num w:numId="75">
    <w:abstractNumId w:val="42"/>
  </w:num>
  <w:num w:numId="76">
    <w:abstractNumId w:val="55"/>
  </w:num>
  <w:num w:numId="77">
    <w:abstractNumId w:val="132"/>
  </w:num>
  <w:num w:numId="7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15"/>
  </w:num>
  <w:num w:numId="80">
    <w:abstractNumId w:val="95"/>
    <w:lvlOverride w:ilvl="0">
      <w:startOverride w:val="36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72"/>
  </w:num>
  <w:num w:numId="82">
    <w:abstractNumId w:val="138"/>
  </w:num>
  <w:num w:numId="83">
    <w:abstractNumId w:val="164"/>
  </w:num>
  <w:num w:numId="84">
    <w:abstractNumId w:val="159"/>
  </w:num>
  <w:num w:numId="85">
    <w:abstractNumId w:val="139"/>
  </w:num>
  <w:num w:numId="86">
    <w:abstractNumId w:val="72"/>
  </w:num>
  <w:num w:numId="87">
    <w:abstractNumId w:val="66"/>
  </w:num>
  <w:num w:numId="88">
    <w:abstractNumId w:val="31"/>
  </w:num>
  <w:num w:numId="89">
    <w:abstractNumId w:val="113"/>
  </w:num>
  <w:num w:numId="90">
    <w:abstractNumId w:val="15"/>
  </w:num>
  <w:num w:numId="91">
    <w:abstractNumId w:val="60"/>
  </w:num>
  <w:num w:numId="92">
    <w:abstractNumId w:val="96"/>
  </w:num>
  <w:num w:numId="93">
    <w:abstractNumId w:val="146"/>
  </w:num>
  <w:num w:numId="94">
    <w:abstractNumId w:val="45"/>
  </w:num>
  <w:num w:numId="95">
    <w:abstractNumId w:val="54"/>
  </w:num>
  <w:num w:numId="96">
    <w:abstractNumId w:val="88"/>
  </w:num>
  <w:num w:numId="97">
    <w:abstractNumId w:val="106"/>
  </w:num>
  <w:num w:numId="98">
    <w:abstractNumId w:val="88"/>
    <w:lvlOverride w:ilvl="0">
      <w:lvl w:ilvl="0" w:tplc="0ECAD25C">
        <w:start w:val="1"/>
        <w:numFmt w:val="bullet"/>
        <w:lvlText w:val=""/>
        <w:lvlJc w:val="left"/>
        <w:pPr>
          <w:ind w:left="360" w:hanging="360"/>
        </w:pPr>
        <w:rPr>
          <w:rFonts w:ascii="Symbol" w:hAnsi="Symbol"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99">
    <w:abstractNumId w:val="28"/>
  </w:num>
  <w:num w:numId="100">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8"/>
  </w:num>
  <w:num w:numId="102">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8"/>
    <w:lvlOverride w:ilvl="0">
      <w:lvl w:ilvl="0" w:tplc="0ECAD25C">
        <w:start w:val="1"/>
        <w:numFmt w:val="bullet"/>
        <w:lvlText w:val=""/>
        <w:lvlJc w:val="left"/>
        <w:pPr>
          <w:ind w:left="360" w:hanging="360"/>
        </w:pPr>
        <w:rPr>
          <w:rFonts w:ascii="Symbol" w:hAnsi="Symbol"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105">
    <w:abstractNumId w:val="88"/>
    <w:lvlOverride w:ilvl="0">
      <w:lvl w:ilvl="0" w:tplc="0ECAD25C">
        <w:start w:val="1"/>
        <w:numFmt w:val="bullet"/>
        <w:lvlText w:val=""/>
        <w:lvlJc w:val="left"/>
        <w:pPr>
          <w:ind w:left="360" w:hanging="360"/>
        </w:pPr>
        <w:rPr>
          <w:rFonts w:ascii="Symbol" w:hAnsi="Symbol"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106">
    <w:abstractNumId w:val="88"/>
    <w:lvlOverride w:ilvl="0">
      <w:lvl w:ilvl="0" w:tplc="0ECAD25C">
        <w:start w:val="1"/>
        <w:numFmt w:val="bullet"/>
        <w:lvlText w:val=""/>
        <w:lvlJc w:val="left"/>
        <w:pPr>
          <w:ind w:left="360" w:hanging="360"/>
        </w:pPr>
        <w:rPr>
          <w:rFonts w:ascii="Symbol" w:hAnsi="Symbol"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rPr>
          <w:sz w:val="24"/>
          <w:szCs w:val="24"/>
        </w:r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107">
    <w:abstractNumId w:val="105"/>
  </w:num>
  <w:num w:numId="108">
    <w:abstractNumId w:val="33"/>
  </w:num>
  <w:num w:numId="109">
    <w:abstractNumId w:val="100"/>
    <w:lvlOverride w:ilvl="0">
      <w:startOverride w:val="1"/>
    </w:lvlOverride>
  </w:num>
  <w:num w:numId="110">
    <w:abstractNumId w:val="88"/>
  </w:num>
  <w:num w:numId="111">
    <w:abstractNumId w:val="154"/>
  </w:num>
  <w:num w:numId="112">
    <w:abstractNumId w:val="27"/>
  </w:num>
  <w:num w:numId="113">
    <w:abstractNumId w:val="21"/>
  </w:num>
  <w:num w:numId="114">
    <w:abstractNumId w:val="97"/>
  </w:num>
  <w:num w:numId="115">
    <w:abstractNumId w:val="141"/>
  </w:num>
  <w:num w:numId="116">
    <w:abstractNumId w:val="163"/>
  </w:num>
  <w:num w:numId="117">
    <w:abstractNumId w:val="34"/>
  </w:num>
  <w:num w:numId="118">
    <w:abstractNumId w:val="158"/>
  </w:num>
  <w:num w:numId="119">
    <w:abstractNumId w:val="81"/>
    <w:lvlOverride w:ilvl="0">
      <w:startOverride w:val="1"/>
    </w:lvlOverride>
  </w:num>
  <w:num w:numId="120">
    <w:abstractNumId w:val="47"/>
  </w:num>
  <w:num w:numId="121">
    <w:abstractNumId w:val="32"/>
  </w:num>
  <w:num w:numId="122">
    <w:abstractNumId w:val="84"/>
  </w:num>
  <w:num w:numId="123">
    <w:abstractNumId w:val="100"/>
    <w:lvlOverride w:ilvl="0">
      <w:startOverride w:val="1"/>
    </w:lvlOverride>
  </w:num>
  <w:num w:numId="124">
    <w:abstractNumId w:val="81"/>
    <w:lvlOverride w:ilvl="0">
      <w:startOverride w:val="1"/>
    </w:lvlOverride>
  </w:num>
  <w:num w:numId="125">
    <w:abstractNumId w:val="72"/>
  </w:num>
  <w:num w:numId="126">
    <w:abstractNumId w:val="66"/>
  </w:num>
  <w:num w:numId="127">
    <w:abstractNumId w:val="31"/>
  </w:num>
  <w:num w:numId="128">
    <w:abstractNumId w:val="113"/>
  </w:num>
  <w:num w:numId="129">
    <w:abstractNumId w:val="24"/>
  </w:num>
  <w:num w:numId="130">
    <w:abstractNumId w:val="15"/>
  </w:num>
  <w:num w:numId="131">
    <w:abstractNumId w:val="60"/>
  </w:num>
  <w:num w:numId="132">
    <w:abstractNumId w:val="88"/>
  </w:num>
  <w:num w:numId="133">
    <w:abstractNumId w:val="100"/>
    <w:lvlOverride w:ilvl="0">
      <w:startOverride w:val="1"/>
    </w:lvlOverride>
  </w:num>
  <w:num w:numId="134">
    <w:abstractNumId w:val="100"/>
    <w:lvlOverride w:ilvl="0">
      <w:startOverride w:val="1"/>
    </w:lvlOverride>
  </w:num>
  <w:num w:numId="135">
    <w:abstractNumId w:val="20"/>
  </w:num>
  <w:num w:numId="136">
    <w:abstractNumId w:val="100"/>
    <w:lvlOverride w:ilvl="0">
      <w:startOverride w:val="1"/>
    </w:lvlOverride>
  </w:num>
  <w:num w:numId="137">
    <w:abstractNumId w:val="100"/>
    <w:lvlOverride w:ilvl="0">
      <w:startOverride w:val="1"/>
    </w:lvlOverride>
  </w:num>
  <w:num w:numId="138">
    <w:abstractNumId w:val="100"/>
    <w:lvlOverride w:ilvl="0">
      <w:startOverride w:val="1"/>
    </w:lvlOverride>
  </w:num>
  <w:num w:numId="139">
    <w:abstractNumId w:val="72"/>
  </w:num>
  <w:num w:numId="140">
    <w:abstractNumId w:val="66"/>
  </w:num>
  <w:num w:numId="141">
    <w:abstractNumId w:val="31"/>
  </w:num>
  <w:num w:numId="142">
    <w:abstractNumId w:val="113"/>
  </w:num>
  <w:num w:numId="143">
    <w:abstractNumId w:val="24"/>
  </w:num>
  <w:num w:numId="144">
    <w:abstractNumId w:val="15"/>
  </w:num>
  <w:num w:numId="145">
    <w:abstractNumId w:val="60"/>
  </w:num>
  <w:num w:numId="146">
    <w:abstractNumId w:val="88"/>
  </w:num>
  <w:num w:numId="147">
    <w:abstractNumId w:val="81"/>
    <w:lvlOverride w:ilvl="0">
      <w:startOverride w:val="1"/>
    </w:lvlOverride>
  </w:num>
  <w:num w:numId="148">
    <w:abstractNumId w:val="81"/>
  </w:num>
  <w:num w:numId="149">
    <w:abstractNumId w:val="81"/>
    <w:lvlOverride w:ilvl="0">
      <w:startOverride w:val="1"/>
    </w:lvlOverride>
  </w:num>
  <w:num w:numId="150">
    <w:abstractNumId w:val="120"/>
  </w:num>
  <w:num w:numId="151">
    <w:abstractNumId w:val="81"/>
  </w:num>
  <w:num w:numId="152">
    <w:abstractNumId w:val="81"/>
    <w:lvlOverride w:ilvl="0">
      <w:startOverride w:val="1"/>
    </w:lvlOverride>
  </w:num>
  <w:num w:numId="153">
    <w:abstractNumId w:val="81"/>
  </w:num>
  <w:num w:numId="154">
    <w:abstractNumId w:val="81"/>
    <w:lvlOverride w:ilvl="0">
      <w:startOverride w:val="1"/>
    </w:lvlOverride>
  </w:num>
  <w:num w:numId="155">
    <w:abstractNumId w:val="136"/>
  </w:num>
  <w:num w:numId="156">
    <w:abstractNumId w:val="101"/>
  </w:num>
  <w:num w:numId="157">
    <w:abstractNumId w:val="72"/>
  </w:num>
  <w:num w:numId="158">
    <w:abstractNumId w:val="66"/>
  </w:num>
  <w:num w:numId="159">
    <w:abstractNumId w:val="31"/>
  </w:num>
  <w:num w:numId="160">
    <w:abstractNumId w:val="113"/>
  </w:num>
  <w:num w:numId="161">
    <w:abstractNumId w:val="24"/>
  </w:num>
  <w:num w:numId="162">
    <w:abstractNumId w:val="15"/>
  </w:num>
  <w:num w:numId="163">
    <w:abstractNumId w:val="60"/>
  </w:num>
  <w:num w:numId="164">
    <w:abstractNumId w:val="88"/>
  </w:num>
  <w:num w:numId="165">
    <w:abstractNumId w:val="100"/>
    <w:lvlOverride w:ilvl="0">
      <w:startOverride w:val="1"/>
    </w:lvlOverride>
  </w:num>
  <w:num w:numId="166">
    <w:abstractNumId w:val="72"/>
  </w:num>
  <w:num w:numId="167">
    <w:abstractNumId w:val="66"/>
  </w:num>
  <w:num w:numId="168">
    <w:abstractNumId w:val="31"/>
  </w:num>
  <w:num w:numId="169">
    <w:abstractNumId w:val="113"/>
  </w:num>
  <w:num w:numId="170">
    <w:abstractNumId w:val="24"/>
  </w:num>
  <w:num w:numId="171">
    <w:abstractNumId w:val="15"/>
  </w:num>
  <w:num w:numId="172">
    <w:abstractNumId w:val="60"/>
  </w:num>
  <w:num w:numId="173">
    <w:abstractNumId w:val="88"/>
  </w:num>
  <w:num w:numId="174">
    <w:abstractNumId w:val="88"/>
    <w:lvlOverride w:ilvl="0">
      <w:lvl w:ilvl="0" w:tplc="0ECAD25C">
        <w:start w:val="1"/>
        <w:numFmt w:val="bullet"/>
        <w:lvlText w:val=""/>
        <w:lvlJc w:val="left"/>
        <w:pPr>
          <w:ind w:left="360" w:hanging="360"/>
        </w:pPr>
        <w:rPr>
          <w:rFonts w:ascii="Arial Bold" w:hAnsi="Arial Bold"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175">
    <w:abstractNumId w:val="88"/>
    <w:lvlOverride w:ilvl="0">
      <w:lvl w:ilvl="0" w:tplc="0ECAD25C">
        <w:start w:val="1"/>
        <w:numFmt w:val="bullet"/>
        <w:lvlText w:val=""/>
        <w:lvlJc w:val="left"/>
        <w:pPr>
          <w:ind w:left="360" w:hanging="360"/>
        </w:pPr>
        <w:rPr>
          <w:rFonts w:ascii="Arial Bold" w:hAnsi="Arial Bold"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176">
    <w:abstractNumId w:val="88"/>
    <w:lvlOverride w:ilvl="0">
      <w:lvl w:ilvl="0" w:tplc="0ECAD25C">
        <w:start w:val="1"/>
        <w:numFmt w:val="bullet"/>
        <w:lvlText w:val=""/>
        <w:lvlJc w:val="left"/>
        <w:pPr>
          <w:ind w:left="360" w:hanging="360"/>
        </w:pPr>
        <w:rPr>
          <w:rFonts w:ascii="Arial Bold" w:hAnsi="Arial Bold"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177">
    <w:abstractNumId w:val="88"/>
    <w:lvlOverride w:ilvl="0">
      <w:lvl w:ilvl="0" w:tplc="0ECAD25C">
        <w:start w:val="1"/>
        <w:numFmt w:val="bullet"/>
        <w:lvlText w:val=""/>
        <w:lvlJc w:val="left"/>
        <w:pPr>
          <w:ind w:left="360" w:hanging="360"/>
        </w:pPr>
        <w:rPr>
          <w:rFonts w:ascii="Arial Bold" w:hAnsi="Arial Bold"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rPr>
          <w:sz w:val="24"/>
          <w:szCs w:val="24"/>
        </w:r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178">
    <w:abstractNumId w:val="100"/>
    <w:lvlOverride w:ilvl="0">
      <w:startOverride w:val="1"/>
    </w:lvlOverride>
  </w:num>
  <w:num w:numId="179">
    <w:abstractNumId w:val="72"/>
  </w:num>
  <w:num w:numId="180">
    <w:abstractNumId w:val="66"/>
  </w:num>
  <w:num w:numId="181">
    <w:abstractNumId w:val="31"/>
  </w:num>
  <w:num w:numId="182">
    <w:abstractNumId w:val="113"/>
  </w:num>
  <w:num w:numId="183">
    <w:abstractNumId w:val="24"/>
  </w:num>
  <w:num w:numId="184">
    <w:abstractNumId w:val="15"/>
  </w:num>
  <w:num w:numId="185">
    <w:abstractNumId w:val="60"/>
  </w:num>
  <w:num w:numId="186">
    <w:abstractNumId w:val="88"/>
  </w:num>
  <w:num w:numId="187">
    <w:abstractNumId w:val="81"/>
    <w:lvlOverride w:ilvl="0">
      <w:startOverride w:val="1"/>
    </w:lvlOverride>
  </w:num>
  <w:num w:numId="188">
    <w:abstractNumId w:val="81"/>
    <w:lvlOverride w:ilvl="0">
      <w:startOverride w:val="1"/>
    </w:lvlOverride>
  </w:num>
  <w:num w:numId="189">
    <w:abstractNumId w:val="81"/>
    <w:lvlOverride w:ilvl="0">
      <w:startOverride w:val="1"/>
    </w:lvlOverride>
  </w:num>
  <w:num w:numId="190">
    <w:abstractNumId w:val="81"/>
    <w:lvlOverride w:ilvl="0">
      <w:startOverride w:val="1"/>
    </w:lvlOverride>
  </w:num>
  <w:num w:numId="191">
    <w:abstractNumId w:val="93"/>
  </w:num>
  <w:num w:numId="192">
    <w:abstractNumId w:val="123"/>
  </w:num>
  <w:num w:numId="193">
    <w:abstractNumId w:val="89"/>
  </w:num>
  <w:num w:numId="194">
    <w:abstractNumId w:val="102"/>
  </w:num>
  <w:num w:numId="195">
    <w:abstractNumId w:val="103"/>
  </w:num>
  <w:num w:numId="19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64"/>
  </w:num>
  <w:num w:numId="19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00"/>
    <w:lvlOverride w:ilvl="0">
      <w:startOverride w:val="1"/>
    </w:lvlOverride>
  </w:num>
  <w:num w:numId="22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72"/>
  </w:num>
  <w:num w:numId="248">
    <w:abstractNumId w:val="66"/>
  </w:num>
  <w:num w:numId="249">
    <w:abstractNumId w:val="31"/>
  </w:num>
  <w:num w:numId="250">
    <w:abstractNumId w:val="113"/>
  </w:num>
  <w:num w:numId="251">
    <w:abstractNumId w:val="24"/>
  </w:num>
  <w:num w:numId="252">
    <w:abstractNumId w:val="15"/>
  </w:num>
  <w:num w:numId="253">
    <w:abstractNumId w:val="60"/>
  </w:num>
  <w:num w:numId="254">
    <w:abstractNumId w:val="88"/>
  </w:num>
  <w:num w:numId="25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00"/>
    <w:lvlOverride w:ilvl="0">
      <w:startOverride w:val="1"/>
    </w:lvlOverride>
  </w:num>
  <w:num w:numId="27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119"/>
  </w:num>
  <w:num w:numId="30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2">
    <w:abstractNumId w:val="79"/>
  </w:num>
  <w:num w:numId="31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8"/>
  </w:num>
  <w:num w:numId="35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59"/>
  </w:num>
  <w:num w:numId="360">
    <w:abstractNumId w:val="149"/>
  </w:num>
  <w:num w:numId="36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0">
    <w:abstractNumId w:val="160"/>
  </w:num>
  <w:num w:numId="48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3">
    <w:abstractNumId w:val="116"/>
  </w:num>
  <w:num w:numId="48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6">
    <w:abstractNumId w:val="118"/>
  </w:num>
  <w:num w:numId="487">
    <w:abstractNumId w:val="16"/>
  </w:num>
  <w:num w:numId="488">
    <w:abstractNumId w:val="26"/>
  </w:num>
  <w:num w:numId="489">
    <w:abstractNumId w:val="43"/>
  </w:num>
  <w:num w:numId="490">
    <w:abstractNumId w:val="49"/>
  </w:num>
  <w:num w:numId="491">
    <w:abstractNumId w:val="131"/>
  </w:num>
  <w:num w:numId="492">
    <w:abstractNumId w:val="36"/>
  </w:num>
  <w:num w:numId="493">
    <w:abstractNumId w:val="157"/>
  </w:num>
  <w:num w:numId="494">
    <w:abstractNumId w:val="77"/>
  </w:num>
  <w:num w:numId="495">
    <w:abstractNumId w:val="19"/>
  </w:num>
  <w:num w:numId="496">
    <w:abstractNumId w:val="19"/>
  </w:num>
  <w:num w:numId="497">
    <w:abstractNumId w:val="68"/>
  </w:num>
  <w:num w:numId="498">
    <w:abstractNumId w:val="127"/>
  </w:num>
  <w:num w:numId="499">
    <w:abstractNumId w:val="127"/>
  </w:num>
  <w:num w:numId="500">
    <w:abstractNumId w:val="156"/>
  </w:num>
  <w:num w:numId="501">
    <w:abstractNumId w:val="156"/>
  </w:num>
  <w:num w:numId="502">
    <w:abstractNumId w:val="81"/>
  </w:num>
  <w:num w:numId="503">
    <w:abstractNumId w:val="81"/>
  </w:num>
  <w:num w:numId="504">
    <w:abstractNumId w:val="19"/>
  </w:num>
  <w:num w:numId="505">
    <w:abstractNumId w:val="127"/>
  </w:num>
  <w:num w:numId="506">
    <w:abstractNumId w:val="156"/>
  </w:num>
  <w:num w:numId="507">
    <w:abstractNumId w:val="98"/>
  </w:num>
  <w:num w:numId="508">
    <w:abstractNumId w:val="19"/>
  </w:num>
  <w:num w:numId="509">
    <w:abstractNumId w:val="127"/>
  </w:num>
  <w:num w:numId="510">
    <w:abstractNumId w:val="156"/>
  </w:num>
  <w:num w:numId="511">
    <w:abstractNumId w:val="98"/>
  </w:num>
  <w:num w:numId="51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2">
    <w:abstractNumId w:val="88"/>
    <w:lvlOverride w:ilvl="0">
      <w:lvl w:ilvl="0" w:tplc="0ECAD25C">
        <w:start w:val="1"/>
        <w:numFmt w:val="bullet"/>
        <w:lvlText w:val=""/>
        <w:lvlJc w:val="left"/>
        <w:pPr>
          <w:ind w:left="360" w:hanging="360"/>
        </w:pPr>
        <w:rPr>
          <w:rFonts w:ascii="Segoe UI Emoji" w:hAnsi="Segoe UI Emoji"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83">
    <w:abstractNumId w:val="88"/>
    <w:lvlOverride w:ilvl="0">
      <w:lvl w:ilvl="0" w:tplc="0ECAD25C">
        <w:start w:val="1"/>
        <w:numFmt w:val="bullet"/>
        <w:lvlText w:val=""/>
        <w:lvlJc w:val="left"/>
        <w:pPr>
          <w:ind w:left="360" w:hanging="360"/>
        </w:pPr>
        <w:rPr>
          <w:rFonts w:ascii="Segoe UI Emoji" w:hAnsi="Segoe UI Emoji"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84">
    <w:abstractNumId w:val="88"/>
    <w:lvlOverride w:ilvl="0">
      <w:lvl w:ilvl="0" w:tplc="0ECAD25C">
        <w:start w:val="1"/>
        <w:numFmt w:val="bullet"/>
        <w:lvlText w:val=""/>
        <w:lvlJc w:val="left"/>
        <w:pPr>
          <w:ind w:left="360" w:hanging="360"/>
        </w:pPr>
        <w:rPr>
          <w:rFonts w:ascii="Segoe UI Emoji" w:hAnsi="Segoe UI Emoji"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85">
    <w:abstractNumId w:val="88"/>
    <w:lvlOverride w:ilvl="0">
      <w:lvl w:ilvl="0" w:tplc="0ECAD25C">
        <w:start w:val="1"/>
        <w:numFmt w:val="bullet"/>
        <w:lvlText w:val=""/>
        <w:lvlJc w:val="left"/>
        <w:pPr>
          <w:ind w:left="360" w:hanging="360"/>
        </w:pPr>
        <w:rPr>
          <w:rFonts w:ascii="Segoe UI Emoji" w:hAnsi="Segoe UI Emoji"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rPr>
          <w:sz w:val="24"/>
          <w:szCs w:val="24"/>
        </w:r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86">
    <w:abstractNumId w:val="88"/>
    <w:lvlOverride w:ilvl="0">
      <w:lvl w:ilvl="0" w:tplc="0ECAD25C">
        <w:start w:val="1"/>
        <w:numFmt w:val="bullet"/>
        <w:lvlText w:val=""/>
        <w:lvlJc w:val="left"/>
        <w:pPr>
          <w:ind w:left="360" w:hanging="360"/>
        </w:pPr>
        <w:rPr>
          <w:rFonts w:ascii="Cambria Math" w:hAnsi="Cambria Math"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87">
    <w:abstractNumId w:val="88"/>
    <w:lvlOverride w:ilvl="0">
      <w:lvl w:ilvl="0" w:tplc="0ECAD25C">
        <w:start w:val="1"/>
        <w:numFmt w:val="bullet"/>
        <w:lvlText w:val=""/>
        <w:lvlJc w:val="left"/>
        <w:pPr>
          <w:ind w:left="360" w:hanging="360"/>
        </w:pPr>
        <w:rPr>
          <w:rFonts w:ascii="Cambria Math" w:hAnsi="Cambria Math"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88">
    <w:abstractNumId w:val="88"/>
    <w:lvlOverride w:ilvl="0">
      <w:lvl w:ilvl="0" w:tplc="0ECAD25C">
        <w:start w:val="1"/>
        <w:numFmt w:val="bullet"/>
        <w:lvlText w:val=""/>
        <w:lvlJc w:val="left"/>
        <w:pPr>
          <w:ind w:left="360" w:hanging="360"/>
        </w:pPr>
        <w:rPr>
          <w:rFonts w:ascii="Cambria Math" w:hAnsi="Cambria Math"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89">
    <w:abstractNumId w:val="88"/>
    <w:lvlOverride w:ilvl="0">
      <w:lvl w:ilvl="0" w:tplc="0ECAD25C">
        <w:start w:val="1"/>
        <w:numFmt w:val="bullet"/>
        <w:lvlText w:val=""/>
        <w:lvlJc w:val="left"/>
        <w:pPr>
          <w:ind w:left="360" w:hanging="360"/>
        </w:pPr>
        <w:rPr>
          <w:rFonts w:ascii="Cambria Math" w:hAnsi="Cambria Math" w:hint="default"/>
          <w:sz w:val="24"/>
        </w:rPr>
      </w:lvl>
    </w:lvlOverride>
    <w:lvlOverride w:ilvl="1">
      <w:lvl w:ilvl="1" w:tplc="CFD6E842">
        <w:start w:val="1"/>
        <w:numFmt w:val="lowerLetter"/>
        <w:lvlText w:val="%2)"/>
        <w:lvlJc w:val="left"/>
        <w:pPr>
          <w:ind w:left="720" w:hanging="360"/>
        </w:pPr>
      </w:lvl>
    </w:lvlOverride>
    <w:lvlOverride w:ilvl="2">
      <w:lvl w:ilvl="2" w:tplc="AC1A14D6">
        <w:start w:val="1"/>
        <w:numFmt w:val="lowerRoman"/>
        <w:lvlText w:val="%3)"/>
        <w:lvlJc w:val="left"/>
        <w:pPr>
          <w:ind w:left="1080" w:hanging="360"/>
        </w:pPr>
        <w:rPr>
          <w:sz w:val="24"/>
          <w:szCs w:val="24"/>
        </w:rPr>
      </w:lvl>
    </w:lvlOverride>
    <w:lvlOverride w:ilvl="3">
      <w:lvl w:ilvl="3" w:tplc="CE1A57FE">
        <w:start w:val="1"/>
        <w:numFmt w:val="decimal"/>
        <w:lvlText w:val="(%4)"/>
        <w:lvlJc w:val="left"/>
        <w:pPr>
          <w:ind w:left="1440" w:hanging="360"/>
        </w:pPr>
      </w:lvl>
    </w:lvlOverride>
    <w:lvlOverride w:ilvl="4">
      <w:lvl w:ilvl="4" w:tplc="1C36CB3C">
        <w:start w:val="1"/>
        <w:numFmt w:val="lowerLetter"/>
        <w:lvlText w:val="(%5)"/>
        <w:lvlJc w:val="left"/>
        <w:pPr>
          <w:ind w:left="1800" w:hanging="360"/>
        </w:pPr>
      </w:lvl>
    </w:lvlOverride>
    <w:lvlOverride w:ilvl="5">
      <w:lvl w:ilvl="5" w:tplc="7408E6F8">
        <w:start w:val="1"/>
        <w:numFmt w:val="lowerRoman"/>
        <w:lvlText w:val="(%6)"/>
        <w:lvlJc w:val="left"/>
        <w:pPr>
          <w:ind w:left="2160" w:hanging="360"/>
        </w:pPr>
      </w:lvl>
    </w:lvlOverride>
    <w:lvlOverride w:ilvl="6">
      <w:lvl w:ilvl="6" w:tplc="737CE108">
        <w:start w:val="1"/>
        <w:numFmt w:val="decimal"/>
        <w:lvlText w:val="%7."/>
        <w:lvlJc w:val="left"/>
        <w:pPr>
          <w:ind w:left="2520" w:hanging="360"/>
        </w:pPr>
      </w:lvl>
    </w:lvlOverride>
    <w:lvlOverride w:ilvl="7">
      <w:lvl w:ilvl="7" w:tplc="99A242D4">
        <w:start w:val="1"/>
        <w:numFmt w:val="lowerLetter"/>
        <w:lvlText w:val="%8."/>
        <w:lvlJc w:val="left"/>
        <w:pPr>
          <w:ind w:left="2880" w:hanging="360"/>
        </w:pPr>
      </w:lvl>
    </w:lvlOverride>
    <w:lvlOverride w:ilvl="8">
      <w:lvl w:ilvl="8" w:tplc="14706F66">
        <w:start w:val="1"/>
        <w:numFmt w:val="lowerRoman"/>
        <w:lvlText w:val="%9."/>
        <w:lvlJc w:val="left"/>
        <w:pPr>
          <w:ind w:left="3240" w:hanging="360"/>
        </w:pPr>
      </w:lvl>
    </w:lvlOverride>
  </w:num>
  <w:num w:numId="59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1">
    <w:abstractNumId w:val="100"/>
    <w:lvlOverride w:ilvl="0">
      <w:startOverride w:val="1"/>
    </w:lvlOverride>
  </w:num>
  <w:num w:numId="60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3">
    <w:abstractNumId w:val="22"/>
  </w:num>
  <w:num w:numId="614">
    <w:abstractNumId w:val="122"/>
  </w:num>
  <w:num w:numId="615">
    <w:abstractNumId w:val="61"/>
  </w:num>
  <w:num w:numId="616">
    <w:abstractNumId w:val="100"/>
    <w:lvlOverride w:ilvl="0">
      <w:startOverride w:val="1"/>
    </w:lvlOverride>
  </w:num>
  <w:num w:numId="617">
    <w:abstractNumId w:val="111"/>
  </w:num>
  <w:num w:numId="61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9">
    <w:abstractNumId w:val="100"/>
    <w:lvlOverride w:ilvl="0">
      <w:startOverride w:val="1"/>
    </w:lvlOverride>
  </w:num>
  <w:num w:numId="62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2">
    <w:abstractNumId w:val="104"/>
  </w:num>
  <w:num w:numId="633">
    <w:abstractNumId w:val="100"/>
    <w:lvlOverride w:ilvl="0">
      <w:startOverride w:val="1"/>
    </w:lvlOverride>
  </w:num>
  <w:num w:numId="634">
    <w:abstractNumId w:val="100"/>
    <w:lvlOverride w:ilvl="0">
      <w:startOverride w:val="1"/>
    </w:lvlOverride>
  </w:num>
  <w:num w:numId="635">
    <w:abstractNumId w:val="100"/>
    <w:lvlOverride w:ilvl="0">
      <w:startOverride w:val="1"/>
    </w:lvlOverride>
  </w:num>
  <w:num w:numId="63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1">
    <w:abstractNumId w:val="100"/>
    <w:lvlOverride w:ilvl="0">
      <w:startOverride w:val="1"/>
    </w:lvlOverride>
  </w:num>
  <w:num w:numId="64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5">
    <w:abstractNumId w:val="100"/>
    <w:lvlOverride w:ilvl="0">
      <w:startOverride w:val="1"/>
    </w:lvlOverride>
  </w:num>
  <w:num w:numId="64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7">
    <w:abstractNumId w:val="100"/>
    <w:lvlOverride w:ilvl="0">
      <w:startOverride w:val="1"/>
    </w:lvlOverride>
  </w:num>
  <w:num w:numId="64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4">
    <w:abstractNumId w:val="114"/>
  </w:num>
  <w:num w:numId="655">
    <w:abstractNumId w:val="100"/>
    <w:lvlOverride w:ilvl="0">
      <w:startOverride w:val="1"/>
    </w:lvlOverride>
  </w:num>
  <w:num w:numId="65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7">
    <w:abstractNumId w:val="117"/>
  </w:num>
  <w:num w:numId="66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3">
    <w:abstractNumId w:val="41"/>
  </w:num>
  <w:num w:numId="67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3">
    <w:abstractNumId w:val="46"/>
  </w:num>
  <w:num w:numId="71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9">
    <w:abstractNumId w:val="19"/>
  </w:num>
  <w:num w:numId="750">
    <w:abstractNumId w:val="127"/>
  </w:num>
  <w:num w:numId="751">
    <w:abstractNumId w:val="156"/>
  </w:num>
  <w:num w:numId="752">
    <w:abstractNumId w:val="98"/>
  </w:num>
  <w:num w:numId="75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5">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6">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7">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8">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5">
    <w:abstractNumId w:val="165"/>
  </w:num>
  <w:num w:numId="766">
    <w:abstractNumId w:val="107"/>
  </w:num>
  <w:num w:numId="767">
    <w:abstractNumId w:val="56"/>
  </w:num>
  <w:num w:numId="768">
    <w:abstractNumId w:val="112"/>
  </w:num>
  <w:num w:numId="76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1">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2">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3">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5">
    <w:abstractNumId w:val="13"/>
  </w:num>
  <w:num w:numId="776">
    <w:abstractNumId w:val="39"/>
  </w:num>
  <w:num w:numId="777">
    <w:abstractNumId w:val="145"/>
  </w:num>
  <w:num w:numId="778">
    <w:abstractNumId w:val="62"/>
  </w:num>
  <w:num w:numId="77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1">
    <w:abstractNumId w:val="100"/>
    <w:lvlOverride w:ilvl="0">
      <w:startOverride w:val="1"/>
    </w:lvlOverride>
  </w:num>
  <w:num w:numId="782">
    <w:abstractNumId w:val="100"/>
    <w:lvlOverride w:ilvl="0">
      <w:startOverride w:val="1"/>
    </w:lvlOverride>
  </w:num>
  <w:num w:numId="783">
    <w:abstractNumId w:val="100"/>
    <w:lvlOverride w:ilvl="0">
      <w:startOverride w:val="1"/>
    </w:lvlOverride>
  </w:num>
  <w:num w:numId="784">
    <w:abstractNumId w:val="100"/>
    <w:lvlOverride w:ilvl="0">
      <w:startOverride w:val="1"/>
    </w:lvlOverride>
  </w:num>
  <w:num w:numId="785">
    <w:abstractNumId w:val="100"/>
    <w:lvlOverride w:ilvl="0">
      <w:startOverride w:val="1"/>
    </w:lvlOverride>
  </w:num>
  <w:num w:numId="786">
    <w:abstractNumId w:val="100"/>
    <w:lvlOverride w:ilvl="0">
      <w:startOverride w:val="1"/>
    </w:lvlOverride>
  </w:num>
  <w:num w:numId="787">
    <w:abstractNumId w:val="100"/>
    <w:lvlOverride w:ilvl="0">
      <w:startOverride w:val="1"/>
    </w:lvlOverride>
  </w:num>
  <w:num w:numId="788">
    <w:abstractNumId w:val="100"/>
    <w:lvlOverride w:ilvl="0">
      <w:startOverride w:val="1"/>
    </w:lvlOverride>
  </w:num>
  <w:num w:numId="789">
    <w:abstractNumId w:val="100"/>
    <w:lvlOverride w:ilvl="0">
      <w:startOverride w:val="1"/>
    </w:lvlOverride>
  </w:num>
  <w:num w:numId="790">
    <w:abstractNumId w:val="100"/>
    <w:lvlOverride w:ilvl="0">
      <w:startOverride w:val="1"/>
    </w:lvlOverride>
  </w:num>
  <w:num w:numId="791">
    <w:abstractNumId w:val="100"/>
    <w:lvlOverride w:ilvl="0">
      <w:startOverride w:val="1"/>
    </w:lvlOverride>
  </w:num>
  <w:num w:numId="792">
    <w:abstractNumId w:val="100"/>
    <w:lvlOverride w:ilvl="0">
      <w:startOverride w:val="1"/>
    </w:lvlOverride>
  </w:num>
  <w:num w:numId="793">
    <w:abstractNumId w:val="100"/>
    <w:lvlOverride w:ilvl="0">
      <w:startOverride w:val="1"/>
    </w:lvlOverride>
  </w:num>
  <w:num w:numId="794">
    <w:abstractNumId w:val="100"/>
    <w:lvlOverride w:ilvl="0">
      <w:startOverride w:val="1"/>
    </w:lvlOverride>
  </w:num>
  <w:num w:numId="795">
    <w:abstractNumId w:val="100"/>
    <w:lvlOverride w:ilvl="0">
      <w:startOverride w:val="1"/>
    </w:lvlOverride>
  </w:num>
  <w:num w:numId="796">
    <w:abstractNumId w:val="100"/>
    <w:lvlOverride w:ilvl="0">
      <w:startOverride w:val="1"/>
    </w:lvlOverride>
  </w:num>
  <w:num w:numId="797">
    <w:abstractNumId w:val="100"/>
    <w:lvlOverride w:ilvl="0">
      <w:startOverride w:val="1"/>
    </w:lvlOverride>
  </w:num>
  <w:num w:numId="798">
    <w:abstractNumId w:val="100"/>
    <w:lvlOverride w:ilvl="0">
      <w:startOverride w:val="1"/>
    </w:lvlOverride>
  </w:num>
  <w:num w:numId="799">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0">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1">
    <w:abstractNumId w:val="53"/>
  </w:num>
  <w:num w:numId="802">
    <w:abstractNumId w:val="38"/>
  </w:num>
  <w:num w:numId="803">
    <w:abstractNumId w:val="129"/>
  </w:num>
  <w:num w:numId="804">
    <w:abstractNumId w:val="57"/>
  </w:num>
  <w:num w:numId="805">
    <w:abstractNumId w:val="14"/>
  </w:num>
  <w:num w:numId="806">
    <w:abstractNumId w:val="76"/>
  </w:num>
  <w:num w:numId="807">
    <w:abstractNumId w:val="162"/>
  </w:num>
  <w:num w:numId="808">
    <w:abstractNumId w:val="48"/>
  </w:num>
  <w:num w:numId="809">
    <w:abstractNumId w:val="128"/>
  </w:num>
  <w:num w:numId="810">
    <w:abstractNumId w:val="44"/>
  </w:num>
  <w:num w:numId="811">
    <w:abstractNumId w:val="65"/>
  </w:num>
  <w:num w:numId="812">
    <w:abstractNumId w:val="109"/>
  </w:num>
  <w:num w:numId="813">
    <w:abstractNumId w:val="58"/>
  </w:num>
  <w:num w:numId="814">
    <w:abstractNumId w:val="8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5">
    <w:abstractNumId w:val="35"/>
  </w:num>
  <w:num w:numId="816">
    <w:abstractNumId w:val="151"/>
  </w:num>
  <w:num w:numId="817">
    <w:abstractNumId w:val="92"/>
  </w:num>
  <w:num w:numId="818">
    <w:abstractNumId w:val="87"/>
  </w:num>
  <w:num w:numId="819">
    <w:abstractNumId w:val="143"/>
  </w:num>
  <w:num w:numId="820">
    <w:abstractNumId w:val="73"/>
  </w:num>
  <w:num w:numId="821">
    <w:abstractNumId w:val="17"/>
  </w:num>
  <w:num w:numId="822">
    <w:abstractNumId w:val="17"/>
  </w:num>
  <w:num w:numId="823">
    <w:abstractNumId w:val="74"/>
  </w:num>
  <w:num w:numId="824">
    <w:abstractNumId w:val="130"/>
  </w:num>
  <w:num w:numId="825">
    <w:abstractNumId w:val="144"/>
  </w:num>
  <w:num w:numId="826">
    <w:abstractNumId w:val="144"/>
  </w:num>
  <w:num w:numId="827">
    <w:abstractNumId w:val="40"/>
  </w:num>
  <w:num w:numId="828">
    <w:abstractNumId w:val="125"/>
  </w:num>
  <w:numIdMacAtCleanup w:val="8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doNotShadeFormData/>
  <w:characterSpacingControl w:val="doNotCompress"/>
  <w:hdrShapeDefaults>
    <o:shapedefaults v:ext="edit" spidmax="8193"/>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91DCD25-0132-4759-942C-01808CB98B8C}"/>
    <w:docVar w:name="dgnword-eventsink" w:val="952041016"/>
    <w:docVar w:name="NewDoc" w:val="Created"/>
    <w:docVar w:name="VerNumber" w:val="3.9.0"/>
  </w:docVars>
  <w:rsids>
    <w:rsidRoot w:val="00044FE7"/>
    <w:rsid w:val="0000035E"/>
    <w:rsid w:val="000003C6"/>
    <w:rsid w:val="00000492"/>
    <w:rsid w:val="0000050D"/>
    <w:rsid w:val="00000766"/>
    <w:rsid w:val="00000950"/>
    <w:rsid w:val="0000097D"/>
    <w:rsid w:val="00000AC8"/>
    <w:rsid w:val="00000D82"/>
    <w:rsid w:val="0000106C"/>
    <w:rsid w:val="00001123"/>
    <w:rsid w:val="000011D8"/>
    <w:rsid w:val="000011EB"/>
    <w:rsid w:val="00001243"/>
    <w:rsid w:val="000012EA"/>
    <w:rsid w:val="00001300"/>
    <w:rsid w:val="000013B6"/>
    <w:rsid w:val="0000173F"/>
    <w:rsid w:val="000019B2"/>
    <w:rsid w:val="00001A8F"/>
    <w:rsid w:val="00001AF9"/>
    <w:rsid w:val="00001E72"/>
    <w:rsid w:val="00001EFA"/>
    <w:rsid w:val="00001FED"/>
    <w:rsid w:val="00002514"/>
    <w:rsid w:val="00002561"/>
    <w:rsid w:val="000025A1"/>
    <w:rsid w:val="0000267C"/>
    <w:rsid w:val="000026C1"/>
    <w:rsid w:val="0000279C"/>
    <w:rsid w:val="00002810"/>
    <w:rsid w:val="00002835"/>
    <w:rsid w:val="00002A46"/>
    <w:rsid w:val="00002A7C"/>
    <w:rsid w:val="00002CF3"/>
    <w:rsid w:val="00002DB3"/>
    <w:rsid w:val="00002DE2"/>
    <w:rsid w:val="00002E1F"/>
    <w:rsid w:val="00002FA7"/>
    <w:rsid w:val="00003111"/>
    <w:rsid w:val="000031BF"/>
    <w:rsid w:val="000032E1"/>
    <w:rsid w:val="00003348"/>
    <w:rsid w:val="000036DD"/>
    <w:rsid w:val="000039B2"/>
    <w:rsid w:val="00003A70"/>
    <w:rsid w:val="00003DC7"/>
    <w:rsid w:val="00003F2C"/>
    <w:rsid w:val="00003FAD"/>
    <w:rsid w:val="00004139"/>
    <w:rsid w:val="000044CD"/>
    <w:rsid w:val="000046FE"/>
    <w:rsid w:val="00004772"/>
    <w:rsid w:val="000047E8"/>
    <w:rsid w:val="00004845"/>
    <w:rsid w:val="0000490A"/>
    <w:rsid w:val="00004A33"/>
    <w:rsid w:val="00004B8D"/>
    <w:rsid w:val="00004DA9"/>
    <w:rsid w:val="0000505F"/>
    <w:rsid w:val="000050DF"/>
    <w:rsid w:val="0000519F"/>
    <w:rsid w:val="000053E2"/>
    <w:rsid w:val="0000549D"/>
    <w:rsid w:val="000054E1"/>
    <w:rsid w:val="00005702"/>
    <w:rsid w:val="00005779"/>
    <w:rsid w:val="000058EA"/>
    <w:rsid w:val="00005916"/>
    <w:rsid w:val="000059DD"/>
    <w:rsid w:val="000059EB"/>
    <w:rsid w:val="00005E11"/>
    <w:rsid w:val="00005E2E"/>
    <w:rsid w:val="000064B5"/>
    <w:rsid w:val="000064EC"/>
    <w:rsid w:val="000065C3"/>
    <w:rsid w:val="00006767"/>
    <w:rsid w:val="000067DC"/>
    <w:rsid w:val="00007010"/>
    <w:rsid w:val="00007097"/>
    <w:rsid w:val="00007118"/>
    <w:rsid w:val="00007177"/>
    <w:rsid w:val="000071A5"/>
    <w:rsid w:val="000071C3"/>
    <w:rsid w:val="000072AA"/>
    <w:rsid w:val="00007581"/>
    <w:rsid w:val="000077BB"/>
    <w:rsid w:val="0000783B"/>
    <w:rsid w:val="0000787E"/>
    <w:rsid w:val="000079C0"/>
    <w:rsid w:val="00007A47"/>
    <w:rsid w:val="00007A52"/>
    <w:rsid w:val="00007CFB"/>
    <w:rsid w:val="00007FC3"/>
    <w:rsid w:val="000101DF"/>
    <w:rsid w:val="00010306"/>
    <w:rsid w:val="00010475"/>
    <w:rsid w:val="00010604"/>
    <w:rsid w:val="000107D5"/>
    <w:rsid w:val="000108CD"/>
    <w:rsid w:val="00010950"/>
    <w:rsid w:val="00010B51"/>
    <w:rsid w:val="00010BB6"/>
    <w:rsid w:val="00010BF1"/>
    <w:rsid w:val="00010EE1"/>
    <w:rsid w:val="00010F37"/>
    <w:rsid w:val="000112FC"/>
    <w:rsid w:val="0001143F"/>
    <w:rsid w:val="0001145A"/>
    <w:rsid w:val="00011497"/>
    <w:rsid w:val="0001160E"/>
    <w:rsid w:val="00011956"/>
    <w:rsid w:val="00011A6B"/>
    <w:rsid w:val="00011A97"/>
    <w:rsid w:val="00011B4F"/>
    <w:rsid w:val="00011BDC"/>
    <w:rsid w:val="00011BE0"/>
    <w:rsid w:val="00011D39"/>
    <w:rsid w:val="00011E1B"/>
    <w:rsid w:val="0001220C"/>
    <w:rsid w:val="00012458"/>
    <w:rsid w:val="000124C4"/>
    <w:rsid w:val="0001267A"/>
    <w:rsid w:val="000126A9"/>
    <w:rsid w:val="000127A2"/>
    <w:rsid w:val="00012A6E"/>
    <w:rsid w:val="00012BEC"/>
    <w:rsid w:val="0001319A"/>
    <w:rsid w:val="0001322F"/>
    <w:rsid w:val="0001367C"/>
    <w:rsid w:val="000137F4"/>
    <w:rsid w:val="0001382A"/>
    <w:rsid w:val="00013C12"/>
    <w:rsid w:val="00013E29"/>
    <w:rsid w:val="00013E85"/>
    <w:rsid w:val="00013FEA"/>
    <w:rsid w:val="000142F1"/>
    <w:rsid w:val="000143BB"/>
    <w:rsid w:val="0001444F"/>
    <w:rsid w:val="00014563"/>
    <w:rsid w:val="0001460A"/>
    <w:rsid w:val="0001460F"/>
    <w:rsid w:val="0001462F"/>
    <w:rsid w:val="00014CF4"/>
    <w:rsid w:val="00014CFB"/>
    <w:rsid w:val="00014DF1"/>
    <w:rsid w:val="000150A8"/>
    <w:rsid w:val="000150D3"/>
    <w:rsid w:val="000150DD"/>
    <w:rsid w:val="0001538A"/>
    <w:rsid w:val="000154F1"/>
    <w:rsid w:val="00015789"/>
    <w:rsid w:val="000158D0"/>
    <w:rsid w:val="000158E4"/>
    <w:rsid w:val="000159AE"/>
    <w:rsid w:val="00015C88"/>
    <w:rsid w:val="00015CEC"/>
    <w:rsid w:val="00015D4B"/>
    <w:rsid w:val="00016036"/>
    <w:rsid w:val="000161CE"/>
    <w:rsid w:val="00016262"/>
    <w:rsid w:val="00016605"/>
    <w:rsid w:val="000166B7"/>
    <w:rsid w:val="00016C46"/>
    <w:rsid w:val="00016CBC"/>
    <w:rsid w:val="00016EFA"/>
    <w:rsid w:val="0001711C"/>
    <w:rsid w:val="000171D9"/>
    <w:rsid w:val="0001721B"/>
    <w:rsid w:val="000177A6"/>
    <w:rsid w:val="00017AEB"/>
    <w:rsid w:val="00017B21"/>
    <w:rsid w:val="00017B41"/>
    <w:rsid w:val="00017B43"/>
    <w:rsid w:val="00017CA5"/>
    <w:rsid w:val="00020027"/>
    <w:rsid w:val="0002020A"/>
    <w:rsid w:val="0002020B"/>
    <w:rsid w:val="00020487"/>
    <w:rsid w:val="00020593"/>
    <w:rsid w:val="00020689"/>
    <w:rsid w:val="000206AC"/>
    <w:rsid w:val="0002077E"/>
    <w:rsid w:val="000207AD"/>
    <w:rsid w:val="00020C1B"/>
    <w:rsid w:val="00020CAC"/>
    <w:rsid w:val="00020ED3"/>
    <w:rsid w:val="00020EFD"/>
    <w:rsid w:val="0002119A"/>
    <w:rsid w:val="00021233"/>
    <w:rsid w:val="00021267"/>
    <w:rsid w:val="000212E0"/>
    <w:rsid w:val="00021306"/>
    <w:rsid w:val="000215A1"/>
    <w:rsid w:val="000217BD"/>
    <w:rsid w:val="0002188C"/>
    <w:rsid w:val="000218AE"/>
    <w:rsid w:val="00021A75"/>
    <w:rsid w:val="00021C82"/>
    <w:rsid w:val="00021CD0"/>
    <w:rsid w:val="00021D4F"/>
    <w:rsid w:val="0002209C"/>
    <w:rsid w:val="000221BE"/>
    <w:rsid w:val="000221E5"/>
    <w:rsid w:val="000222F1"/>
    <w:rsid w:val="00022308"/>
    <w:rsid w:val="0002256B"/>
    <w:rsid w:val="0002261C"/>
    <w:rsid w:val="00022A0E"/>
    <w:rsid w:val="00022B9B"/>
    <w:rsid w:val="00022BE0"/>
    <w:rsid w:val="00022D03"/>
    <w:rsid w:val="00022F52"/>
    <w:rsid w:val="00023077"/>
    <w:rsid w:val="00023080"/>
    <w:rsid w:val="00023087"/>
    <w:rsid w:val="00023088"/>
    <w:rsid w:val="000234B3"/>
    <w:rsid w:val="000236A4"/>
    <w:rsid w:val="0002370C"/>
    <w:rsid w:val="00023735"/>
    <w:rsid w:val="0002389B"/>
    <w:rsid w:val="000239A7"/>
    <w:rsid w:val="00023B8D"/>
    <w:rsid w:val="00023C42"/>
    <w:rsid w:val="00023E62"/>
    <w:rsid w:val="0002406F"/>
    <w:rsid w:val="0002408E"/>
    <w:rsid w:val="000243E7"/>
    <w:rsid w:val="0002479D"/>
    <w:rsid w:val="00024868"/>
    <w:rsid w:val="00024B16"/>
    <w:rsid w:val="00024C7B"/>
    <w:rsid w:val="00024CA8"/>
    <w:rsid w:val="00024E2B"/>
    <w:rsid w:val="00024FCE"/>
    <w:rsid w:val="0002506B"/>
    <w:rsid w:val="000250AD"/>
    <w:rsid w:val="0002512B"/>
    <w:rsid w:val="000251D0"/>
    <w:rsid w:val="00025259"/>
    <w:rsid w:val="0002530C"/>
    <w:rsid w:val="00025313"/>
    <w:rsid w:val="00025728"/>
    <w:rsid w:val="00025AEA"/>
    <w:rsid w:val="00025CC4"/>
    <w:rsid w:val="00025D07"/>
    <w:rsid w:val="00025E04"/>
    <w:rsid w:val="00025EC4"/>
    <w:rsid w:val="000261FE"/>
    <w:rsid w:val="00026231"/>
    <w:rsid w:val="000262F4"/>
    <w:rsid w:val="0002646C"/>
    <w:rsid w:val="00026555"/>
    <w:rsid w:val="00026633"/>
    <w:rsid w:val="00026A60"/>
    <w:rsid w:val="00026A6D"/>
    <w:rsid w:val="00026AC0"/>
    <w:rsid w:val="00026C2D"/>
    <w:rsid w:val="00026C41"/>
    <w:rsid w:val="00026CC4"/>
    <w:rsid w:val="00026F02"/>
    <w:rsid w:val="000270AD"/>
    <w:rsid w:val="000270E7"/>
    <w:rsid w:val="000274B2"/>
    <w:rsid w:val="000275B1"/>
    <w:rsid w:val="00027723"/>
    <w:rsid w:val="000279BF"/>
    <w:rsid w:val="00027A94"/>
    <w:rsid w:val="00027AEF"/>
    <w:rsid w:val="00027EEE"/>
    <w:rsid w:val="00027F4A"/>
    <w:rsid w:val="00027FA6"/>
    <w:rsid w:val="000304D4"/>
    <w:rsid w:val="000304DC"/>
    <w:rsid w:val="000304EB"/>
    <w:rsid w:val="00030591"/>
    <w:rsid w:val="000307A0"/>
    <w:rsid w:val="000308AD"/>
    <w:rsid w:val="000308B1"/>
    <w:rsid w:val="00030A71"/>
    <w:rsid w:val="00030A9C"/>
    <w:rsid w:val="00030B6C"/>
    <w:rsid w:val="00030BBB"/>
    <w:rsid w:val="00030C10"/>
    <w:rsid w:val="00030D51"/>
    <w:rsid w:val="0003101D"/>
    <w:rsid w:val="000312EF"/>
    <w:rsid w:val="00031685"/>
    <w:rsid w:val="00031845"/>
    <w:rsid w:val="000318B0"/>
    <w:rsid w:val="00031921"/>
    <w:rsid w:val="00031933"/>
    <w:rsid w:val="000319CC"/>
    <w:rsid w:val="00031A48"/>
    <w:rsid w:val="00031BD2"/>
    <w:rsid w:val="00031D4B"/>
    <w:rsid w:val="00031FF1"/>
    <w:rsid w:val="000324DC"/>
    <w:rsid w:val="0003254A"/>
    <w:rsid w:val="000327F7"/>
    <w:rsid w:val="00032824"/>
    <w:rsid w:val="0003289C"/>
    <w:rsid w:val="00032917"/>
    <w:rsid w:val="0003296B"/>
    <w:rsid w:val="00032AC4"/>
    <w:rsid w:val="00032B0D"/>
    <w:rsid w:val="00032B1A"/>
    <w:rsid w:val="00032BE0"/>
    <w:rsid w:val="00032C0F"/>
    <w:rsid w:val="00032C7F"/>
    <w:rsid w:val="00032E7C"/>
    <w:rsid w:val="00032E9C"/>
    <w:rsid w:val="000330C2"/>
    <w:rsid w:val="0003313A"/>
    <w:rsid w:val="000332F1"/>
    <w:rsid w:val="000333EE"/>
    <w:rsid w:val="00033454"/>
    <w:rsid w:val="00033477"/>
    <w:rsid w:val="000334D7"/>
    <w:rsid w:val="00033656"/>
    <w:rsid w:val="00033922"/>
    <w:rsid w:val="00033950"/>
    <w:rsid w:val="00033BA2"/>
    <w:rsid w:val="0003433A"/>
    <w:rsid w:val="000344F3"/>
    <w:rsid w:val="00034724"/>
    <w:rsid w:val="00034B3F"/>
    <w:rsid w:val="00034D81"/>
    <w:rsid w:val="00034FED"/>
    <w:rsid w:val="000350B6"/>
    <w:rsid w:val="000350F9"/>
    <w:rsid w:val="00035281"/>
    <w:rsid w:val="000353BD"/>
    <w:rsid w:val="000356EB"/>
    <w:rsid w:val="000356EE"/>
    <w:rsid w:val="0003574A"/>
    <w:rsid w:val="000357DC"/>
    <w:rsid w:val="0003599A"/>
    <w:rsid w:val="00035A7E"/>
    <w:rsid w:val="00035B91"/>
    <w:rsid w:val="00035BF3"/>
    <w:rsid w:val="00035CDC"/>
    <w:rsid w:val="00035DFD"/>
    <w:rsid w:val="00035F4A"/>
    <w:rsid w:val="00035F69"/>
    <w:rsid w:val="00035FD5"/>
    <w:rsid w:val="00035FF1"/>
    <w:rsid w:val="000361A1"/>
    <w:rsid w:val="000363EE"/>
    <w:rsid w:val="000364A5"/>
    <w:rsid w:val="000364A8"/>
    <w:rsid w:val="00036605"/>
    <w:rsid w:val="00036920"/>
    <w:rsid w:val="00036933"/>
    <w:rsid w:val="000369FF"/>
    <w:rsid w:val="00036D8C"/>
    <w:rsid w:val="00036DC8"/>
    <w:rsid w:val="00036FD1"/>
    <w:rsid w:val="000370F8"/>
    <w:rsid w:val="0003726D"/>
    <w:rsid w:val="000373B8"/>
    <w:rsid w:val="00037541"/>
    <w:rsid w:val="00037563"/>
    <w:rsid w:val="000375E2"/>
    <w:rsid w:val="00037635"/>
    <w:rsid w:val="000376A1"/>
    <w:rsid w:val="000376C4"/>
    <w:rsid w:val="000377DE"/>
    <w:rsid w:val="0003786A"/>
    <w:rsid w:val="0003786D"/>
    <w:rsid w:val="00037DA4"/>
    <w:rsid w:val="0004016B"/>
    <w:rsid w:val="00040510"/>
    <w:rsid w:val="00040569"/>
    <w:rsid w:val="000405A3"/>
    <w:rsid w:val="0004060F"/>
    <w:rsid w:val="0004075E"/>
    <w:rsid w:val="000407D8"/>
    <w:rsid w:val="000408E7"/>
    <w:rsid w:val="0004097E"/>
    <w:rsid w:val="000409BD"/>
    <w:rsid w:val="00040B3F"/>
    <w:rsid w:val="00040CAC"/>
    <w:rsid w:val="00040D36"/>
    <w:rsid w:val="00040D6C"/>
    <w:rsid w:val="00041014"/>
    <w:rsid w:val="000410C0"/>
    <w:rsid w:val="0004110E"/>
    <w:rsid w:val="000411FE"/>
    <w:rsid w:val="00041248"/>
    <w:rsid w:val="000414C5"/>
    <w:rsid w:val="0004189C"/>
    <w:rsid w:val="00041A33"/>
    <w:rsid w:val="00041A51"/>
    <w:rsid w:val="00041A94"/>
    <w:rsid w:val="00041C05"/>
    <w:rsid w:val="00041D2B"/>
    <w:rsid w:val="00041FE8"/>
    <w:rsid w:val="00042024"/>
    <w:rsid w:val="000420C7"/>
    <w:rsid w:val="0004221A"/>
    <w:rsid w:val="0004230E"/>
    <w:rsid w:val="000425BE"/>
    <w:rsid w:val="00042775"/>
    <w:rsid w:val="00042783"/>
    <w:rsid w:val="0004293B"/>
    <w:rsid w:val="00042A9B"/>
    <w:rsid w:val="00042CF8"/>
    <w:rsid w:val="00042F77"/>
    <w:rsid w:val="00043451"/>
    <w:rsid w:val="0004359D"/>
    <w:rsid w:val="000435B5"/>
    <w:rsid w:val="000435F3"/>
    <w:rsid w:val="0004367B"/>
    <w:rsid w:val="00043941"/>
    <w:rsid w:val="00043C8F"/>
    <w:rsid w:val="00043C9D"/>
    <w:rsid w:val="00043DA8"/>
    <w:rsid w:val="00043E40"/>
    <w:rsid w:val="00043EC8"/>
    <w:rsid w:val="000440C9"/>
    <w:rsid w:val="000441C2"/>
    <w:rsid w:val="0004470A"/>
    <w:rsid w:val="000447A4"/>
    <w:rsid w:val="000447F7"/>
    <w:rsid w:val="00044BB4"/>
    <w:rsid w:val="00044E03"/>
    <w:rsid w:val="00044E57"/>
    <w:rsid w:val="00044FE7"/>
    <w:rsid w:val="00045026"/>
    <w:rsid w:val="00045045"/>
    <w:rsid w:val="0004520D"/>
    <w:rsid w:val="0004523E"/>
    <w:rsid w:val="00045262"/>
    <w:rsid w:val="000454CB"/>
    <w:rsid w:val="000456C3"/>
    <w:rsid w:val="000456D3"/>
    <w:rsid w:val="00045828"/>
    <w:rsid w:val="00045957"/>
    <w:rsid w:val="00045BAD"/>
    <w:rsid w:val="00045BC5"/>
    <w:rsid w:val="00045EA9"/>
    <w:rsid w:val="00045F9E"/>
    <w:rsid w:val="00046044"/>
    <w:rsid w:val="00046511"/>
    <w:rsid w:val="00046562"/>
    <w:rsid w:val="0004678B"/>
    <w:rsid w:val="00046852"/>
    <w:rsid w:val="00046A8C"/>
    <w:rsid w:val="00046CA2"/>
    <w:rsid w:val="00046E96"/>
    <w:rsid w:val="00047367"/>
    <w:rsid w:val="00047375"/>
    <w:rsid w:val="000473F7"/>
    <w:rsid w:val="00047591"/>
    <w:rsid w:val="000475C3"/>
    <w:rsid w:val="00047736"/>
    <w:rsid w:val="00047A47"/>
    <w:rsid w:val="00047AEC"/>
    <w:rsid w:val="00047B5B"/>
    <w:rsid w:val="00047B5F"/>
    <w:rsid w:val="00047B8A"/>
    <w:rsid w:val="00047E19"/>
    <w:rsid w:val="00047EE2"/>
    <w:rsid w:val="00047FE6"/>
    <w:rsid w:val="000500D8"/>
    <w:rsid w:val="000500F7"/>
    <w:rsid w:val="000502ED"/>
    <w:rsid w:val="000503AA"/>
    <w:rsid w:val="0005050E"/>
    <w:rsid w:val="00050600"/>
    <w:rsid w:val="000506D4"/>
    <w:rsid w:val="00050730"/>
    <w:rsid w:val="000508D8"/>
    <w:rsid w:val="00050900"/>
    <w:rsid w:val="00050AD6"/>
    <w:rsid w:val="00050B0E"/>
    <w:rsid w:val="00050E34"/>
    <w:rsid w:val="00050E56"/>
    <w:rsid w:val="00051403"/>
    <w:rsid w:val="00051530"/>
    <w:rsid w:val="0005185D"/>
    <w:rsid w:val="000519A3"/>
    <w:rsid w:val="000519D0"/>
    <w:rsid w:val="00052027"/>
    <w:rsid w:val="00052061"/>
    <w:rsid w:val="0005218F"/>
    <w:rsid w:val="000522D2"/>
    <w:rsid w:val="000525D2"/>
    <w:rsid w:val="0005269B"/>
    <w:rsid w:val="00052936"/>
    <w:rsid w:val="00052BCD"/>
    <w:rsid w:val="00052DBA"/>
    <w:rsid w:val="00052F44"/>
    <w:rsid w:val="00052FDA"/>
    <w:rsid w:val="00053059"/>
    <w:rsid w:val="00053196"/>
    <w:rsid w:val="00053258"/>
    <w:rsid w:val="00053429"/>
    <w:rsid w:val="00053454"/>
    <w:rsid w:val="00053944"/>
    <w:rsid w:val="00053A3A"/>
    <w:rsid w:val="00053C80"/>
    <w:rsid w:val="00053CC9"/>
    <w:rsid w:val="000542A6"/>
    <w:rsid w:val="0005439A"/>
    <w:rsid w:val="000544D8"/>
    <w:rsid w:val="00054674"/>
    <w:rsid w:val="000549BE"/>
    <w:rsid w:val="00054C92"/>
    <w:rsid w:val="000550E6"/>
    <w:rsid w:val="0005525A"/>
    <w:rsid w:val="00055272"/>
    <w:rsid w:val="000552B3"/>
    <w:rsid w:val="00055391"/>
    <w:rsid w:val="000553E3"/>
    <w:rsid w:val="0005543F"/>
    <w:rsid w:val="00055683"/>
    <w:rsid w:val="0005569D"/>
    <w:rsid w:val="000557C5"/>
    <w:rsid w:val="00055C7C"/>
    <w:rsid w:val="00055C7E"/>
    <w:rsid w:val="00055D45"/>
    <w:rsid w:val="00055E8F"/>
    <w:rsid w:val="00055F89"/>
    <w:rsid w:val="00056156"/>
    <w:rsid w:val="00056393"/>
    <w:rsid w:val="000563DA"/>
    <w:rsid w:val="000563F1"/>
    <w:rsid w:val="000565EE"/>
    <w:rsid w:val="00056606"/>
    <w:rsid w:val="000567C0"/>
    <w:rsid w:val="0005689C"/>
    <w:rsid w:val="00056908"/>
    <w:rsid w:val="00056A11"/>
    <w:rsid w:val="00056A44"/>
    <w:rsid w:val="00056B9A"/>
    <w:rsid w:val="00056DB6"/>
    <w:rsid w:val="00056DFC"/>
    <w:rsid w:val="00056EE6"/>
    <w:rsid w:val="00057331"/>
    <w:rsid w:val="0005762E"/>
    <w:rsid w:val="00057888"/>
    <w:rsid w:val="00057970"/>
    <w:rsid w:val="00057A8B"/>
    <w:rsid w:val="00057AE7"/>
    <w:rsid w:val="00057BAE"/>
    <w:rsid w:val="00057CA4"/>
    <w:rsid w:val="00057CCE"/>
    <w:rsid w:val="00057DE2"/>
    <w:rsid w:val="00057E5A"/>
    <w:rsid w:val="00057E83"/>
    <w:rsid w:val="0006001A"/>
    <w:rsid w:val="00060163"/>
    <w:rsid w:val="0006029D"/>
    <w:rsid w:val="00060379"/>
    <w:rsid w:val="00060468"/>
    <w:rsid w:val="0006047F"/>
    <w:rsid w:val="00060511"/>
    <w:rsid w:val="0006053F"/>
    <w:rsid w:val="0006066A"/>
    <w:rsid w:val="00060673"/>
    <w:rsid w:val="000606E8"/>
    <w:rsid w:val="00060743"/>
    <w:rsid w:val="00060812"/>
    <w:rsid w:val="00060A6D"/>
    <w:rsid w:val="00060AAF"/>
    <w:rsid w:val="00060C16"/>
    <w:rsid w:val="00060C2F"/>
    <w:rsid w:val="00060CAF"/>
    <w:rsid w:val="00060E7D"/>
    <w:rsid w:val="00060F24"/>
    <w:rsid w:val="00060F32"/>
    <w:rsid w:val="0006102F"/>
    <w:rsid w:val="000611C0"/>
    <w:rsid w:val="000611D9"/>
    <w:rsid w:val="00061429"/>
    <w:rsid w:val="000614A8"/>
    <w:rsid w:val="00061585"/>
    <w:rsid w:val="0006159E"/>
    <w:rsid w:val="0006177B"/>
    <w:rsid w:val="000617E2"/>
    <w:rsid w:val="00061A28"/>
    <w:rsid w:val="00061AE0"/>
    <w:rsid w:val="00061B87"/>
    <w:rsid w:val="00061D9C"/>
    <w:rsid w:val="00062445"/>
    <w:rsid w:val="000624DE"/>
    <w:rsid w:val="00062AD8"/>
    <w:rsid w:val="00062DE8"/>
    <w:rsid w:val="00062FD1"/>
    <w:rsid w:val="00063258"/>
    <w:rsid w:val="000632CF"/>
    <w:rsid w:val="0006353D"/>
    <w:rsid w:val="00063596"/>
    <w:rsid w:val="00063666"/>
    <w:rsid w:val="0006372E"/>
    <w:rsid w:val="00063778"/>
    <w:rsid w:val="0006381F"/>
    <w:rsid w:val="0006382D"/>
    <w:rsid w:val="0006387C"/>
    <w:rsid w:val="000639AE"/>
    <w:rsid w:val="00063B3E"/>
    <w:rsid w:val="00063B96"/>
    <w:rsid w:val="00063BBD"/>
    <w:rsid w:val="00063C83"/>
    <w:rsid w:val="00063D81"/>
    <w:rsid w:val="0006431F"/>
    <w:rsid w:val="000643AB"/>
    <w:rsid w:val="00064467"/>
    <w:rsid w:val="00064556"/>
    <w:rsid w:val="000645AD"/>
    <w:rsid w:val="00064611"/>
    <w:rsid w:val="00064697"/>
    <w:rsid w:val="00064B76"/>
    <w:rsid w:val="00064C2A"/>
    <w:rsid w:val="00064CDB"/>
    <w:rsid w:val="0006504B"/>
    <w:rsid w:val="000650AB"/>
    <w:rsid w:val="00065187"/>
    <w:rsid w:val="000653DB"/>
    <w:rsid w:val="000653DF"/>
    <w:rsid w:val="0006552D"/>
    <w:rsid w:val="000655C6"/>
    <w:rsid w:val="000655E2"/>
    <w:rsid w:val="000655F7"/>
    <w:rsid w:val="000656D6"/>
    <w:rsid w:val="000659EC"/>
    <w:rsid w:val="00065DD6"/>
    <w:rsid w:val="00065EC7"/>
    <w:rsid w:val="00066037"/>
    <w:rsid w:val="0006645A"/>
    <w:rsid w:val="00066482"/>
    <w:rsid w:val="000664F2"/>
    <w:rsid w:val="00066674"/>
    <w:rsid w:val="000666D3"/>
    <w:rsid w:val="000667C5"/>
    <w:rsid w:val="00066926"/>
    <w:rsid w:val="00066A1C"/>
    <w:rsid w:val="00066AA1"/>
    <w:rsid w:val="00066AB0"/>
    <w:rsid w:val="00066D52"/>
    <w:rsid w:val="00066E05"/>
    <w:rsid w:val="0006705F"/>
    <w:rsid w:val="00067145"/>
    <w:rsid w:val="000671A2"/>
    <w:rsid w:val="0006722D"/>
    <w:rsid w:val="00067848"/>
    <w:rsid w:val="00067850"/>
    <w:rsid w:val="000678B7"/>
    <w:rsid w:val="0006793A"/>
    <w:rsid w:val="00067B84"/>
    <w:rsid w:val="00067BE5"/>
    <w:rsid w:val="00067C98"/>
    <w:rsid w:val="00067C9B"/>
    <w:rsid w:val="00067DAD"/>
    <w:rsid w:val="00067EEA"/>
    <w:rsid w:val="00067EFC"/>
    <w:rsid w:val="00067F2A"/>
    <w:rsid w:val="00067F47"/>
    <w:rsid w:val="0006A845"/>
    <w:rsid w:val="000700DF"/>
    <w:rsid w:val="000701AD"/>
    <w:rsid w:val="000702AC"/>
    <w:rsid w:val="000703BD"/>
    <w:rsid w:val="00070549"/>
    <w:rsid w:val="000708DB"/>
    <w:rsid w:val="000709C6"/>
    <w:rsid w:val="00070AF8"/>
    <w:rsid w:val="00070C0E"/>
    <w:rsid w:val="00070E55"/>
    <w:rsid w:val="00070EEB"/>
    <w:rsid w:val="00070F48"/>
    <w:rsid w:val="000710AF"/>
    <w:rsid w:val="000710CE"/>
    <w:rsid w:val="00071299"/>
    <w:rsid w:val="00071376"/>
    <w:rsid w:val="00071689"/>
    <w:rsid w:val="000718AD"/>
    <w:rsid w:val="00071ABE"/>
    <w:rsid w:val="00071B4B"/>
    <w:rsid w:val="00071B6E"/>
    <w:rsid w:val="0007204E"/>
    <w:rsid w:val="0007221E"/>
    <w:rsid w:val="00072272"/>
    <w:rsid w:val="0007262C"/>
    <w:rsid w:val="0007270A"/>
    <w:rsid w:val="00072864"/>
    <w:rsid w:val="00072BC2"/>
    <w:rsid w:val="00072BFD"/>
    <w:rsid w:val="00072E9D"/>
    <w:rsid w:val="0007301E"/>
    <w:rsid w:val="0007314A"/>
    <w:rsid w:val="000733F0"/>
    <w:rsid w:val="000735CD"/>
    <w:rsid w:val="000736A0"/>
    <w:rsid w:val="00073A51"/>
    <w:rsid w:val="00073BB4"/>
    <w:rsid w:val="00073BEF"/>
    <w:rsid w:val="00073C11"/>
    <w:rsid w:val="0007424A"/>
    <w:rsid w:val="00074530"/>
    <w:rsid w:val="000748E0"/>
    <w:rsid w:val="00074924"/>
    <w:rsid w:val="00074A16"/>
    <w:rsid w:val="00074E06"/>
    <w:rsid w:val="0007500C"/>
    <w:rsid w:val="0007501B"/>
    <w:rsid w:val="0007524C"/>
    <w:rsid w:val="00075265"/>
    <w:rsid w:val="0007532E"/>
    <w:rsid w:val="000756B5"/>
    <w:rsid w:val="000758BB"/>
    <w:rsid w:val="00075B8F"/>
    <w:rsid w:val="00075CC1"/>
    <w:rsid w:val="00075E2A"/>
    <w:rsid w:val="00075E88"/>
    <w:rsid w:val="00075F4E"/>
    <w:rsid w:val="00075F76"/>
    <w:rsid w:val="00075F8F"/>
    <w:rsid w:val="000762A1"/>
    <w:rsid w:val="0007653A"/>
    <w:rsid w:val="00076594"/>
    <w:rsid w:val="000766C9"/>
    <w:rsid w:val="000767AC"/>
    <w:rsid w:val="0007683D"/>
    <w:rsid w:val="00076924"/>
    <w:rsid w:val="00076935"/>
    <w:rsid w:val="0007695E"/>
    <w:rsid w:val="000769D3"/>
    <w:rsid w:val="00076A78"/>
    <w:rsid w:val="00076BAB"/>
    <w:rsid w:val="00076C08"/>
    <w:rsid w:val="00076CF3"/>
    <w:rsid w:val="00076D1F"/>
    <w:rsid w:val="00076D57"/>
    <w:rsid w:val="000770A0"/>
    <w:rsid w:val="000770D4"/>
    <w:rsid w:val="000773C9"/>
    <w:rsid w:val="00077589"/>
    <w:rsid w:val="00077598"/>
    <w:rsid w:val="00077790"/>
    <w:rsid w:val="00077848"/>
    <w:rsid w:val="00077907"/>
    <w:rsid w:val="0007793B"/>
    <w:rsid w:val="00077DF7"/>
    <w:rsid w:val="00077E4B"/>
    <w:rsid w:val="00080012"/>
    <w:rsid w:val="00080114"/>
    <w:rsid w:val="0008017C"/>
    <w:rsid w:val="00080217"/>
    <w:rsid w:val="000802AD"/>
    <w:rsid w:val="000802CC"/>
    <w:rsid w:val="000802D7"/>
    <w:rsid w:val="00080494"/>
    <w:rsid w:val="00080688"/>
    <w:rsid w:val="0008077E"/>
    <w:rsid w:val="00080917"/>
    <w:rsid w:val="00080AA8"/>
    <w:rsid w:val="00080DFE"/>
    <w:rsid w:val="00080E38"/>
    <w:rsid w:val="00080F1B"/>
    <w:rsid w:val="00080FCA"/>
    <w:rsid w:val="00081130"/>
    <w:rsid w:val="00081195"/>
    <w:rsid w:val="000811D3"/>
    <w:rsid w:val="000813E9"/>
    <w:rsid w:val="0008146B"/>
    <w:rsid w:val="00081ADC"/>
    <w:rsid w:val="00081B76"/>
    <w:rsid w:val="00081D55"/>
    <w:rsid w:val="00081D73"/>
    <w:rsid w:val="00081DDC"/>
    <w:rsid w:val="00081EB8"/>
    <w:rsid w:val="00082144"/>
    <w:rsid w:val="00082343"/>
    <w:rsid w:val="0008247B"/>
    <w:rsid w:val="00082659"/>
    <w:rsid w:val="000826B5"/>
    <w:rsid w:val="000828AD"/>
    <w:rsid w:val="000829D1"/>
    <w:rsid w:val="00082B09"/>
    <w:rsid w:val="00082B2E"/>
    <w:rsid w:val="00082BAC"/>
    <w:rsid w:val="00082E49"/>
    <w:rsid w:val="0008301F"/>
    <w:rsid w:val="0008317E"/>
    <w:rsid w:val="0008346E"/>
    <w:rsid w:val="00083874"/>
    <w:rsid w:val="00083A67"/>
    <w:rsid w:val="00083E7C"/>
    <w:rsid w:val="00083FE8"/>
    <w:rsid w:val="000846D1"/>
    <w:rsid w:val="00084BE9"/>
    <w:rsid w:val="00084D38"/>
    <w:rsid w:val="00084E13"/>
    <w:rsid w:val="00085001"/>
    <w:rsid w:val="00085029"/>
    <w:rsid w:val="000850C5"/>
    <w:rsid w:val="00085174"/>
    <w:rsid w:val="000853A3"/>
    <w:rsid w:val="000853DC"/>
    <w:rsid w:val="000855CE"/>
    <w:rsid w:val="000857E5"/>
    <w:rsid w:val="000859F0"/>
    <w:rsid w:val="00085B02"/>
    <w:rsid w:val="00085FA1"/>
    <w:rsid w:val="000860CC"/>
    <w:rsid w:val="00086128"/>
    <w:rsid w:val="00086239"/>
    <w:rsid w:val="000862EB"/>
    <w:rsid w:val="00086377"/>
    <w:rsid w:val="0008649D"/>
    <w:rsid w:val="000865BF"/>
    <w:rsid w:val="00086681"/>
    <w:rsid w:val="00086742"/>
    <w:rsid w:val="00086A23"/>
    <w:rsid w:val="00086A2B"/>
    <w:rsid w:val="00086AC7"/>
    <w:rsid w:val="00086B70"/>
    <w:rsid w:val="00086C63"/>
    <w:rsid w:val="00086C7F"/>
    <w:rsid w:val="00086D52"/>
    <w:rsid w:val="00086DCA"/>
    <w:rsid w:val="00086F3F"/>
    <w:rsid w:val="00087115"/>
    <w:rsid w:val="0008723B"/>
    <w:rsid w:val="0008731F"/>
    <w:rsid w:val="00087339"/>
    <w:rsid w:val="00087448"/>
    <w:rsid w:val="000879B8"/>
    <w:rsid w:val="00087E89"/>
    <w:rsid w:val="000901FF"/>
    <w:rsid w:val="00090213"/>
    <w:rsid w:val="0009035A"/>
    <w:rsid w:val="000903A4"/>
    <w:rsid w:val="000903B4"/>
    <w:rsid w:val="000903C0"/>
    <w:rsid w:val="0009045D"/>
    <w:rsid w:val="000904A9"/>
    <w:rsid w:val="000904D6"/>
    <w:rsid w:val="00090629"/>
    <w:rsid w:val="00090760"/>
    <w:rsid w:val="000909C6"/>
    <w:rsid w:val="00090A73"/>
    <w:rsid w:val="00090B67"/>
    <w:rsid w:val="00090CBE"/>
    <w:rsid w:val="00090FCB"/>
    <w:rsid w:val="00091012"/>
    <w:rsid w:val="000910D0"/>
    <w:rsid w:val="00091435"/>
    <w:rsid w:val="000914E1"/>
    <w:rsid w:val="000914EC"/>
    <w:rsid w:val="000917C1"/>
    <w:rsid w:val="00091F36"/>
    <w:rsid w:val="00092403"/>
    <w:rsid w:val="000924F4"/>
    <w:rsid w:val="00092502"/>
    <w:rsid w:val="00092566"/>
    <w:rsid w:val="000925B8"/>
    <w:rsid w:val="00092A24"/>
    <w:rsid w:val="00092A41"/>
    <w:rsid w:val="00092E04"/>
    <w:rsid w:val="00092E63"/>
    <w:rsid w:val="00092E8D"/>
    <w:rsid w:val="00092EBA"/>
    <w:rsid w:val="00092F6B"/>
    <w:rsid w:val="000932D3"/>
    <w:rsid w:val="0009349A"/>
    <w:rsid w:val="00093598"/>
    <w:rsid w:val="00093662"/>
    <w:rsid w:val="00093689"/>
    <w:rsid w:val="00093773"/>
    <w:rsid w:val="0009381F"/>
    <w:rsid w:val="00093996"/>
    <w:rsid w:val="00093A71"/>
    <w:rsid w:val="00093B04"/>
    <w:rsid w:val="00093C64"/>
    <w:rsid w:val="00093CDC"/>
    <w:rsid w:val="00093F01"/>
    <w:rsid w:val="00093F9D"/>
    <w:rsid w:val="00094015"/>
    <w:rsid w:val="00094072"/>
    <w:rsid w:val="00094282"/>
    <w:rsid w:val="000945CC"/>
    <w:rsid w:val="00094680"/>
    <w:rsid w:val="00094892"/>
    <w:rsid w:val="00094A75"/>
    <w:rsid w:val="00094AB3"/>
    <w:rsid w:val="00094CB3"/>
    <w:rsid w:val="00094D45"/>
    <w:rsid w:val="00094D49"/>
    <w:rsid w:val="00094E3A"/>
    <w:rsid w:val="00095126"/>
    <w:rsid w:val="00095172"/>
    <w:rsid w:val="0009519A"/>
    <w:rsid w:val="000951F4"/>
    <w:rsid w:val="00095295"/>
    <w:rsid w:val="000952D5"/>
    <w:rsid w:val="00095328"/>
    <w:rsid w:val="00095354"/>
    <w:rsid w:val="000953C2"/>
    <w:rsid w:val="00095574"/>
    <w:rsid w:val="000956FD"/>
    <w:rsid w:val="00095B2B"/>
    <w:rsid w:val="00095C0D"/>
    <w:rsid w:val="00095CEB"/>
    <w:rsid w:val="00095D50"/>
    <w:rsid w:val="00095D7B"/>
    <w:rsid w:val="00095E5C"/>
    <w:rsid w:val="00095F6D"/>
    <w:rsid w:val="000961FF"/>
    <w:rsid w:val="000963D3"/>
    <w:rsid w:val="00096AA5"/>
    <w:rsid w:val="00096B74"/>
    <w:rsid w:val="00096BEE"/>
    <w:rsid w:val="00096C61"/>
    <w:rsid w:val="00096CEC"/>
    <w:rsid w:val="00096E77"/>
    <w:rsid w:val="00096EE5"/>
    <w:rsid w:val="00096F32"/>
    <w:rsid w:val="000970E2"/>
    <w:rsid w:val="0009721F"/>
    <w:rsid w:val="00097487"/>
    <w:rsid w:val="0009794E"/>
    <w:rsid w:val="00097998"/>
    <w:rsid w:val="0009799D"/>
    <w:rsid w:val="00097A38"/>
    <w:rsid w:val="00097B97"/>
    <w:rsid w:val="00097C1D"/>
    <w:rsid w:val="00097E00"/>
    <w:rsid w:val="00097E25"/>
    <w:rsid w:val="0009FDBE"/>
    <w:rsid w:val="000A0003"/>
    <w:rsid w:val="000A0200"/>
    <w:rsid w:val="000A0231"/>
    <w:rsid w:val="000A0538"/>
    <w:rsid w:val="000A0596"/>
    <w:rsid w:val="000A080A"/>
    <w:rsid w:val="000A0826"/>
    <w:rsid w:val="000A0A7E"/>
    <w:rsid w:val="000A0B19"/>
    <w:rsid w:val="000A0C78"/>
    <w:rsid w:val="000A11BA"/>
    <w:rsid w:val="000A13A5"/>
    <w:rsid w:val="000A13BC"/>
    <w:rsid w:val="000A14C1"/>
    <w:rsid w:val="000A15E9"/>
    <w:rsid w:val="000A1630"/>
    <w:rsid w:val="000A1657"/>
    <w:rsid w:val="000A1814"/>
    <w:rsid w:val="000A194D"/>
    <w:rsid w:val="000A1AD6"/>
    <w:rsid w:val="000A1B36"/>
    <w:rsid w:val="000A1B89"/>
    <w:rsid w:val="000A1CE8"/>
    <w:rsid w:val="000A1DE4"/>
    <w:rsid w:val="000A1F97"/>
    <w:rsid w:val="000A22F4"/>
    <w:rsid w:val="000A23DF"/>
    <w:rsid w:val="000A241D"/>
    <w:rsid w:val="000A2425"/>
    <w:rsid w:val="000A26AB"/>
    <w:rsid w:val="000A2703"/>
    <w:rsid w:val="000A2926"/>
    <w:rsid w:val="000A29B1"/>
    <w:rsid w:val="000A2A81"/>
    <w:rsid w:val="000A2B29"/>
    <w:rsid w:val="000A2B5C"/>
    <w:rsid w:val="000A2B5E"/>
    <w:rsid w:val="000A2D28"/>
    <w:rsid w:val="000A2DDF"/>
    <w:rsid w:val="000A2E12"/>
    <w:rsid w:val="000A2F44"/>
    <w:rsid w:val="000A2F4D"/>
    <w:rsid w:val="000A3128"/>
    <w:rsid w:val="000A3177"/>
    <w:rsid w:val="000A320C"/>
    <w:rsid w:val="000A3334"/>
    <w:rsid w:val="000A35DF"/>
    <w:rsid w:val="000A36A8"/>
    <w:rsid w:val="000A36EE"/>
    <w:rsid w:val="000A390C"/>
    <w:rsid w:val="000A3A19"/>
    <w:rsid w:val="000A3AD6"/>
    <w:rsid w:val="000A3B62"/>
    <w:rsid w:val="000A3BF8"/>
    <w:rsid w:val="000A3CA2"/>
    <w:rsid w:val="000A3E2F"/>
    <w:rsid w:val="000A3F03"/>
    <w:rsid w:val="000A4066"/>
    <w:rsid w:val="000A411A"/>
    <w:rsid w:val="000A41EC"/>
    <w:rsid w:val="000A4412"/>
    <w:rsid w:val="000A45C4"/>
    <w:rsid w:val="000A461E"/>
    <w:rsid w:val="000A46E2"/>
    <w:rsid w:val="000A4708"/>
    <w:rsid w:val="000A4824"/>
    <w:rsid w:val="000A4A56"/>
    <w:rsid w:val="000A4ADF"/>
    <w:rsid w:val="000A4C04"/>
    <w:rsid w:val="000A4DB0"/>
    <w:rsid w:val="000A4F16"/>
    <w:rsid w:val="000A4F19"/>
    <w:rsid w:val="000A579E"/>
    <w:rsid w:val="000A5858"/>
    <w:rsid w:val="000A587B"/>
    <w:rsid w:val="000A5C5D"/>
    <w:rsid w:val="000A5D60"/>
    <w:rsid w:val="000A5E93"/>
    <w:rsid w:val="000A6372"/>
    <w:rsid w:val="000A63A4"/>
    <w:rsid w:val="000A6503"/>
    <w:rsid w:val="000A6590"/>
    <w:rsid w:val="000A6707"/>
    <w:rsid w:val="000A699A"/>
    <w:rsid w:val="000A6A0C"/>
    <w:rsid w:val="000A6A49"/>
    <w:rsid w:val="000A6A72"/>
    <w:rsid w:val="000A6B27"/>
    <w:rsid w:val="000A6B8B"/>
    <w:rsid w:val="000A6E4B"/>
    <w:rsid w:val="000A6F8B"/>
    <w:rsid w:val="000A7124"/>
    <w:rsid w:val="000A72B9"/>
    <w:rsid w:val="000A743A"/>
    <w:rsid w:val="000A74BC"/>
    <w:rsid w:val="000A7563"/>
    <w:rsid w:val="000A75EB"/>
    <w:rsid w:val="000A76F4"/>
    <w:rsid w:val="000A781C"/>
    <w:rsid w:val="000A7927"/>
    <w:rsid w:val="000A79C1"/>
    <w:rsid w:val="000A79FC"/>
    <w:rsid w:val="000A7B79"/>
    <w:rsid w:val="000A7E2A"/>
    <w:rsid w:val="000A7E65"/>
    <w:rsid w:val="000A7E7A"/>
    <w:rsid w:val="000A7EA8"/>
    <w:rsid w:val="000A7FE7"/>
    <w:rsid w:val="000B0028"/>
    <w:rsid w:val="000B00DF"/>
    <w:rsid w:val="000B026A"/>
    <w:rsid w:val="000B0355"/>
    <w:rsid w:val="000B0359"/>
    <w:rsid w:val="000B03D8"/>
    <w:rsid w:val="000B045D"/>
    <w:rsid w:val="000B04BC"/>
    <w:rsid w:val="000B074C"/>
    <w:rsid w:val="000B07A1"/>
    <w:rsid w:val="000B0939"/>
    <w:rsid w:val="000B09E8"/>
    <w:rsid w:val="000B0D41"/>
    <w:rsid w:val="000B0E0C"/>
    <w:rsid w:val="000B0F83"/>
    <w:rsid w:val="000B1176"/>
    <w:rsid w:val="000B1338"/>
    <w:rsid w:val="000B191A"/>
    <w:rsid w:val="000B1A29"/>
    <w:rsid w:val="000B1A2E"/>
    <w:rsid w:val="000B1A54"/>
    <w:rsid w:val="000B1FA4"/>
    <w:rsid w:val="000B2160"/>
    <w:rsid w:val="000B2166"/>
    <w:rsid w:val="000B21E1"/>
    <w:rsid w:val="000B2287"/>
    <w:rsid w:val="000B22BD"/>
    <w:rsid w:val="000B2903"/>
    <w:rsid w:val="000B292F"/>
    <w:rsid w:val="000B2A8E"/>
    <w:rsid w:val="000B2B22"/>
    <w:rsid w:val="000B2CE6"/>
    <w:rsid w:val="000B2DD3"/>
    <w:rsid w:val="000B2E5C"/>
    <w:rsid w:val="000B320B"/>
    <w:rsid w:val="000B325F"/>
    <w:rsid w:val="000B3423"/>
    <w:rsid w:val="000B3431"/>
    <w:rsid w:val="000B343F"/>
    <w:rsid w:val="000B3574"/>
    <w:rsid w:val="000B362E"/>
    <w:rsid w:val="000B3E49"/>
    <w:rsid w:val="000B3E63"/>
    <w:rsid w:val="000B3E70"/>
    <w:rsid w:val="000B3F30"/>
    <w:rsid w:val="000B4016"/>
    <w:rsid w:val="000B4070"/>
    <w:rsid w:val="000B41A4"/>
    <w:rsid w:val="000B41BA"/>
    <w:rsid w:val="000B42C0"/>
    <w:rsid w:val="000B42CB"/>
    <w:rsid w:val="000B44C9"/>
    <w:rsid w:val="000B4E04"/>
    <w:rsid w:val="000B52B4"/>
    <w:rsid w:val="000B5423"/>
    <w:rsid w:val="000B59A0"/>
    <w:rsid w:val="000B5C1F"/>
    <w:rsid w:val="000B5C72"/>
    <w:rsid w:val="000B5CEE"/>
    <w:rsid w:val="000B5D27"/>
    <w:rsid w:val="000B5E3E"/>
    <w:rsid w:val="000B5F8C"/>
    <w:rsid w:val="000B618B"/>
    <w:rsid w:val="000B64CE"/>
    <w:rsid w:val="000B65D6"/>
    <w:rsid w:val="000B6688"/>
    <w:rsid w:val="000B673B"/>
    <w:rsid w:val="000B69A5"/>
    <w:rsid w:val="000B6C87"/>
    <w:rsid w:val="000B6FAD"/>
    <w:rsid w:val="000B704C"/>
    <w:rsid w:val="000B70CA"/>
    <w:rsid w:val="000B7183"/>
    <w:rsid w:val="000B72B4"/>
    <w:rsid w:val="000B7336"/>
    <w:rsid w:val="000B73F2"/>
    <w:rsid w:val="000B76E8"/>
    <w:rsid w:val="000B781A"/>
    <w:rsid w:val="000B799A"/>
    <w:rsid w:val="000B7A79"/>
    <w:rsid w:val="000B7AE5"/>
    <w:rsid w:val="000B7B18"/>
    <w:rsid w:val="000B7BB2"/>
    <w:rsid w:val="000B7BBA"/>
    <w:rsid w:val="000B7CA6"/>
    <w:rsid w:val="000B7DC2"/>
    <w:rsid w:val="000B7E6E"/>
    <w:rsid w:val="000B7F75"/>
    <w:rsid w:val="000C006C"/>
    <w:rsid w:val="000C024B"/>
    <w:rsid w:val="000C031E"/>
    <w:rsid w:val="000C0569"/>
    <w:rsid w:val="000C05E0"/>
    <w:rsid w:val="000C07E5"/>
    <w:rsid w:val="000C0AAD"/>
    <w:rsid w:val="000C0BDE"/>
    <w:rsid w:val="000C0F2E"/>
    <w:rsid w:val="000C0F6F"/>
    <w:rsid w:val="000C0FA5"/>
    <w:rsid w:val="000C11B5"/>
    <w:rsid w:val="000C11E5"/>
    <w:rsid w:val="000C1317"/>
    <w:rsid w:val="000C1384"/>
    <w:rsid w:val="000C138F"/>
    <w:rsid w:val="000C1542"/>
    <w:rsid w:val="000C1566"/>
    <w:rsid w:val="000C1650"/>
    <w:rsid w:val="000C165A"/>
    <w:rsid w:val="000C1A9A"/>
    <w:rsid w:val="000C1D45"/>
    <w:rsid w:val="000C1D82"/>
    <w:rsid w:val="000C1E20"/>
    <w:rsid w:val="000C1F2A"/>
    <w:rsid w:val="000C2077"/>
    <w:rsid w:val="000C2186"/>
    <w:rsid w:val="000C2341"/>
    <w:rsid w:val="000C2446"/>
    <w:rsid w:val="000C26DF"/>
    <w:rsid w:val="000C2734"/>
    <w:rsid w:val="000C279B"/>
    <w:rsid w:val="000C2BA1"/>
    <w:rsid w:val="000C2FAD"/>
    <w:rsid w:val="000C30D8"/>
    <w:rsid w:val="000C320F"/>
    <w:rsid w:val="000C35F3"/>
    <w:rsid w:val="000C37B3"/>
    <w:rsid w:val="000C3934"/>
    <w:rsid w:val="000C3C1F"/>
    <w:rsid w:val="000C3C4B"/>
    <w:rsid w:val="000C3FA7"/>
    <w:rsid w:val="000C3FE2"/>
    <w:rsid w:val="000C402E"/>
    <w:rsid w:val="000C4192"/>
    <w:rsid w:val="000C42F0"/>
    <w:rsid w:val="000C4589"/>
    <w:rsid w:val="000C45EA"/>
    <w:rsid w:val="000C46BA"/>
    <w:rsid w:val="000C47E5"/>
    <w:rsid w:val="000C483B"/>
    <w:rsid w:val="000C484D"/>
    <w:rsid w:val="000C48CC"/>
    <w:rsid w:val="000C4939"/>
    <w:rsid w:val="000C4956"/>
    <w:rsid w:val="000C4AA0"/>
    <w:rsid w:val="000C4AE9"/>
    <w:rsid w:val="000C4BB6"/>
    <w:rsid w:val="000C4BD2"/>
    <w:rsid w:val="000C4E57"/>
    <w:rsid w:val="000C501E"/>
    <w:rsid w:val="000C51A4"/>
    <w:rsid w:val="000C5348"/>
    <w:rsid w:val="000C5670"/>
    <w:rsid w:val="000C57D5"/>
    <w:rsid w:val="000C58B3"/>
    <w:rsid w:val="000C58E2"/>
    <w:rsid w:val="000C59A9"/>
    <w:rsid w:val="000C5A44"/>
    <w:rsid w:val="000C5A62"/>
    <w:rsid w:val="000C5C90"/>
    <w:rsid w:val="000C5EE3"/>
    <w:rsid w:val="000C5F40"/>
    <w:rsid w:val="000C6057"/>
    <w:rsid w:val="000C6306"/>
    <w:rsid w:val="000C64D2"/>
    <w:rsid w:val="000C660E"/>
    <w:rsid w:val="000C68E2"/>
    <w:rsid w:val="000C6991"/>
    <w:rsid w:val="000C69B1"/>
    <w:rsid w:val="000C6A67"/>
    <w:rsid w:val="000C6A87"/>
    <w:rsid w:val="000C6B99"/>
    <w:rsid w:val="000C6C27"/>
    <w:rsid w:val="000C6DA8"/>
    <w:rsid w:val="000C6DC5"/>
    <w:rsid w:val="000C6EB3"/>
    <w:rsid w:val="000C6FA8"/>
    <w:rsid w:val="000C7146"/>
    <w:rsid w:val="000C717C"/>
    <w:rsid w:val="000C765C"/>
    <w:rsid w:val="000C782E"/>
    <w:rsid w:val="000C789A"/>
    <w:rsid w:val="000C798F"/>
    <w:rsid w:val="000C79FC"/>
    <w:rsid w:val="000C7C16"/>
    <w:rsid w:val="000D0005"/>
    <w:rsid w:val="000D000E"/>
    <w:rsid w:val="000D0043"/>
    <w:rsid w:val="000D0056"/>
    <w:rsid w:val="000D0206"/>
    <w:rsid w:val="000D0342"/>
    <w:rsid w:val="000D0400"/>
    <w:rsid w:val="000D08F6"/>
    <w:rsid w:val="000D09BB"/>
    <w:rsid w:val="000D0D69"/>
    <w:rsid w:val="000D1173"/>
    <w:rsid w:val="000D1295"/>
    <w:rsid w:val="000D15D2"/>
    <w:rsid w:val="000D170B"/>
    <w:rsid w:val="000D1A10"/>
    <w:rsid w:val="000D1ABB"/>
    <w:rsid w:val="000D1CB0"/>
    <w:rsid w:val="000D1E22"/>
    <w:rsid w:val="000D1E48"/>
    <w:rsid w:val="000D2168"/>
    <w:rsid w:val="000D2252"/>
    <w:rsid w:val="000D2299"/>
    <w:rsid w:val="000D24D2"/>
    <w:rsid w:val="000D25B1"/>
    <w:rsid w:val="000D25FB"/>
    <w:rsid w:val="000D2640"/>
    <w:rsid w:val="000D284D"/>
    <w:rsid w:val="000D2AFB"/>
    <w:rsid w:val="000D2DDD"/>
    <w:rsid w:val="000D2E42"/>
    <w:rsid w:val="000D2F52"/>
    <w:rsid w:val="000D2F68"/>
    <w:rsid w:val="000D2FB3"/>
    <w:rsid w:val="000D30DD"/>
    <w:rsid w:val="000D313E"/>
    <w:rsid w:val="000D3147"/>
    <w:rsid w:val="000D3291"/>
    <w:rsid w:val="000D32AB"/>
    <w:rsid w:val="000D3724"/>
    <w:rsid w:val="000D38F7"/>
    <w:rsid w:val="000D3CC2"/>
    <w:rsid w:val="000D3DB1"/>
    <w:rsid w:val="000D3EBE"/>
    <w:rsid w:val="000D40AD"/>
    <w:rsid w:val="000D40CD"/>
    <w:rsid w:val="000D4159"/>
    <w:rsid w:val="000D428E"/>
    <w:rsid w:val="000D4335"/>
    <w:rsid w:val="000D4415"/>
    <w:rsid w:val="000D4734"/>
    <w:rsid w:val="000D479C"/>
    <w:rsid w:val="000D485F"/>
    <w:rsid w:val="000D49EB"/>
    <w:rsid w:val="000D4AC5"/>
    <w:rsid w:val="000D4CDC"/>
    <w:rsid w:val="000D4E13"/>
    <w:rsid w:val="000D4E89"/>
    <w:rsid w:val="000D4F65"/>
    <w:rsid w:val="000D4F83"/>
    <w:rsid w:val="000D50D5"/>
    <w:rsid w:val="000D50DE"/>
    <w:rsid w:val="000D5111"/>
    <w:rsid w:val="000D5209"/>
    <w:rsid w:val="000D540B"/>
    <w:rsid w:val="000D556F"/>
    <w:rsid w:val="000D55A1"/>
    <w:rsid w:val="000D55B5"/>
    <w:rsid w:val="000D56D3"/>
    <w:rsid w:val="000D5761"/>
    <w:rsid w:val="000D57EA"/>
    <w:rsid w:val="000D587A"/>
    <w:rsid w:val="000D58BD"/>
    <w:rsid w:val="000D595D"/>
    <w:rsid w:val="000D5A36"/>
    <w:rsid w:val="000D5A8A"/>
    <w:rsid w:val="000D5B81"/>
    <w:rsid w:val="000D5C3D"/>
    <w:rsid w:val="000D5D59"/>
    <w:rsid w:val="000D5D9B"/>
    <w:rsid w:val="000D5E44"/>
    <w:rsid w:val="000D5E74"/>
    <w:rsid w:val="000D5ED5"/>
    <w:rsid w:val="000D61CA"/>
    <w:rsid w:val="000D61CD"/>
    <w:rsid w:val="000D62FD"/>
    <w:rsid w:val="000D66AD"/>
    <w:rsid w:val="000D6865"/>
    <w:rsid w:val="000D6920"/>
    <w:rsid w:val="000D6AEC"/>
    <w:rsid w:val="000D707E"/>
    <w:rsid w:val="000D70AA"/>
    <w:rsid w:val="000D72D0"/>
    <w:rsid w:val="000D73D6"/>
    <w:rsid w:val="000D742C"/>
    <w:rsid w:val="000D7525"/>
    <w:rsid w:val="000D78EA"/>
    <w:rsid w:val="000D7AC8"/>
    <w:rsid w:val="000D7ADB"/>
    <w:rsid w:val="000D7B90"/>
    <w:rsid w:val="000D7D5B"/>
    <w:rsid w:val="000D7DCB"/>
    <w:rsid w:val="000D7F7C"/>
    <w:rsid w:val="000E0030"/>
    <w:rsid w:val="000E01DB"/>
    <w:rsid w:val="000E02BE"/>
    <w:rsid w:val="000E0330"/>
    <w:rsid w:val="000E058C"/>
    <w:rsid w:val="000E08B3"/>
    <w:rsid w:val="000E0964"/>
    <w:rsid w:val="000E0AEB"/>
    <w:rsid w:val="000E0B13"/>
    <w:rsid w:val="000E0C11"/>
    <w:rsid w:val="000E0CB9"/>
    <w:rsid w:val="000E1143"/>
    <w:rsid w:val="000E1152"/>
    <w:rsid w:val="000E1249"/>
    <w:rsid w:val="000E131E"/>
    <w:rsid w:val="000E148D"/>
    <w:rsid w:val="000E15E6"/>
    <w:rsid w:val="000E177F"/>
    <w:rsid w:val="000E183C"/>
    <w:rsid w:val="000E19DE"/>
    <w:rsid w:val="000E1ECC"/>
    <w:rsid w:val="000E1ED3"/>
    <w:rsid w:val="000E1EDD"/>
    <w:rsid w:val="000E1F61"/>
    <w:rsid w:val="000E202F"/>
    <w:rsid w:val="000E20B0"/>
    <w:rsid w:val="000E20B8"/>
    <w:rsid w:val="000E220F"/>
    <w:rsid w:val="000E24F5"/>
    <w:rsid w:val="000E2513"/>
    <w:rsid w:val="000E26CC"/>
    <w:rsid w:val="000E26EE"/>
    <w:rsid w:val="000E2939"/>
    <w:rsid w:val="000E293C"/>
    <w:rsid w:val="000E2958"/>
    <w:rsid w:val="000E29B9"/>
    <w:rsid w:val="000E2B15"/>
    <w:rsid w:val="000E3019"/>
    <w:rsid w:val="000E3125"/>
    <w:rsid w:val="000E3308"/>
    <w:rsid w:val="000E3326"/>
    <w:rsid w:val="000E349C"/>
    <w:rsid w:val="000E38AD"/>
    <w:rsid w:val="000E3A73"/>
    <w:rsid w:val="000E3D5C"/>
    <w:rsid w:val="000E3F85"/>
    <w:rsid w:val="000E3FD7"/>
    <w:rsid w:val="000E40C0"/>
    <w:rsid w:val="000E4228"/>
    <w:rsid w:val="000E4431"/>
    <w:rsid w:val="000E44EF"/>
    <w:rsid w:val="000E44FA"/>
    <w:rsid w:val="000E452D"/>
    <w:rsid w:val="000E49C3"/>
    <w:rsid w:val="000E49E9"/>
    <w:rsid w:val="000E4CBC"/>
    <w:rsid w:val="000E4DCC"/>
    <w:rsid w:val="000E4E6F"/>
    <w:rsid w:val="000E4F09"/>
    <w:rsid w:val="000E50E2"/>
    <w:rsid w:val="000E5122"/>
    <w:rsid w:val="000E512F"/>
    <w:rsid w:val="000E536D"/>
    <w:rsid w:val="000E545C"/>
    <w:rsid w:val="000E553F"/>
    <w:rsid w:val="000E5D3C"/>
    <w:rsid w:val="000E5D96"/>
    <w:rsid w:val="000E5E83"/>
    <w:rsid w:val="000E5F18"/>
    <w:rsid w:val="000E6066"/>
    <w:rsid w:val="000E6131"/>
    <w:rsid w:val="000E6157"/>
    <w:rsid w:val="000E61E7"/>
    <w:rsid w:val="000E6493"/>
    <w:rsid w:val="000E66FF"/>
    <w:rsid w:val="000E6B1C"/>
    <w:rsid w:val="000E6BB2"/>
    <w:rsid w:val="000E6BC2"/>
    <w:rsid w:val="000E6C20"/>
    <w:rsid w:val="000E6FB3"/>
    <w:rsid w:val="000E7661"/>
    <w:rsid w:val="000E7879"/>
    <w:rsid w:val="000E7928"/>
    <w:rsid w:val="000E7B09"/>
    <w:rsid w:val="000E7E01"/>
    <w:rsid w:val="000E7E4C"/>
    <w:rsid w:val="000E7EB2"/>
    <w:rsid w:val="000F004E"/>
    <w:rsid w:val="000F01CA"/>
    <w:rsid w:val="000F0295"/>
    <w:rsid w:val="000F045C"/>
    <w:rsid w:val="000F0822"/>
    <w:rsid w:val="000F0840"/>
    <w:rsid w:val="000F0944"/>
    <w:rsid w:val="000F0AF2"/>
    <w:rsid w:val="000F0C2A"/>
    <w:rsid w:val="000F0D48"/>
    <w:rsid w:val="000F0DB2"/>
    <w:rsid w:val="000F0E1B"/>
    <w:rsid w:val="000F0F8A"/>
    <w:rsid w:val="000F0FBF"/>
    <w:rsid w:val="000F123B"/>
    <w:rsid w:val="000F126D"/>
    <w:rsid w:val="000F1351"/>
    <w:rsid w:val="000F15F4"/>
    <w:rsid w:val="000F1650"/>
    <w:rsid w:val="000F16CA"/>
    <w:rsid w:val="000F176C"/>
    <w:rsid w:val="000F1911"/>
    <w:rsid w:val="000F197A"/>
    <w:rsid w:val="000F19B1"/>
    <w:rsid w:val="000F19F6"/>
    <w:rsid w:val="000F1B0C"/>
    <w:rsid w:val="000F1CD4"/>
    <w:rsid w:val="000F1F5A"/>
    <w:rsid w:val="000F219C"/>
    <w:rsid w:val="000F282E"/>
    <w:rsid w:val="000F287F"/>
    <w:rsid w:val="000F2B77"/>
    <w:rsid w:val="000F2BBD"/>
    <w:rsid w:val="000F2BE4"/>
    <w:rsid w:val="000F2CF9"/>
    <w:rsid w:val="000F2F55"/>
    <w:rsid w:val="000F3077"/>
    <w:rsid w:val="000F30F8"/>
    <w:rsid w:val="000F361F"/>
    <w:rsid w:val="000F37BB"/>
    <w:rsid w:val="000F389C"/>
    <w:rsid w:val="000F38D6"/>
    <w:rsid w:val="000F3A69"/>
    <w:rsid w:val="000F3A76"/>
    <w:rsid w:val="000F3BA4"/>
    <w:rsid w:val="000F3BED"/>
    <w:rsid w:val="000F3E26"/>
    <w:rsid w:val="000F40A5"/>
    <w:rsid w:val="000F4115"/>
    <w:rsid w:val="000F42A9"/>
    <w:rsid w:val="000F4325"/>
    <w:rsid w:val="000F4475"/>
    <w:rsid w:val="000F4481"/>
    <w:rsid w:val="000F44F9"/>
    <w:rsid w:val="000F45FC"/>
    <w:rsid w:val="000F466B"/>
    <w:rsid w:val="000F473A"/>
    <w:rsid w:val="000F48BA"/>
    <w:rsid w:val="000F48C7"/>
    <w:rsid w:val="000F48D7"/>
    <w:rsid w:val="000F4A0A"/>
    <w:rsid w:val="000F4D77"/>
    <w:rsid w:val="000F4DEE"/>
    <w:rsid w:val="000F5023"/>
    <w:rsid w:val="000F5033"/>
    <w:rsid w:val="000F50CB"/>
    <w:rsid w:val="000F51C7"/>
    <w:rsid w:val="000F5412"/>
    <w:rsid w:val="000F5448"/>
    <w:rsid w:val="000F5651"/>
    <w:rsid w:val="000F5693"/>
    <w:rsid w:val="000F5758"/>
    <w:rsid w:val="000F57BB"/>
    <w:rsid w:val="000F5802"/>
    <w:rsid w:val="000F590D"/>
    <w:rsid w:val="000F5981"/>
    <w:rsid w:val="000F5986"/>
    <w:rsid w:val="000F59D3"/>
    <w:rsid w:val="000F5A67"/>
    <w:rsid w:val="000F5B1C"/>
    <w:rsid w:val="000F5B2E"/>
    <w:rsid w:val="000F5D90"/>
    <w:rsid w:val="000F5DBB"/>
    <w:rsid w:val="000F5E01"/>
    <w:rsid w:val="000F5ECB"/>
    <w:rsid w:val="000F5F3B"/>
    <w:rsid w:val="000F5F98"/>
    <w:rsid w:val="000F6025"/>
    <w:rsid w:val="000F620B"/>
    <w:rsid w:val="000F624D"/>
    <w:rsid w:val="000F659E"/>
    <w:rsid w:val="000F66E6"/>
    <w:rsid w:val="000F66EE"/>
    <w:rsid w:val="000F67BE"/>
    <w:rsid w:val="000F68E8"/>
    <w:rsid w:val="000F6AB4"/>
    <w:rsid w:val="000F6B16"/>
    <w:rsid w:val="000F6C35"/>
    <w:rsid w:val="000F6DF8"/>
    <w:rsid w:val="000F6F29"/>
    <w:rsid w:val="000F708C"/>
    <w:rsid w:val="000F7197"/>
    <w:rsid w:val="000F7654"/>
    <w:rsid w:val="000F76C0"/>
    <w:rsid w:val="000F77AB"/>
    <w:rsid w:val="000F7A31"/>
    <w:rsid w:val="000F7A86"/>
    <w:rsid w:val="000F7AFB"/>
    <w:rsid w:val="000F7D9C"/>
    <w:rsid w:val="000F7DFB"/>
    <w:rsid w:val="000F7E2E"/>
    <w:rsid w:val="000F7E2F"/>
    <w:rsid w:val="00100076"/>
    <w:rsid w:val="001001DA"/>
    <w:rsid w:val="00100219"/>
    <w:rsid w:val="001002C6"/>
    <w:rsid w:val="00100453"/>
    <w:rsid w:val="001005D4"/>
    <w:rsid w:val="001006A4"/>
    <w:rsid w:val="001006AF"/>
    <w:rsid w:val="00100CA9"/>
    <w:rsid w:val="00100DB3"/>
    <w:rsid w:val="00100E2E"/>
    <w:rsid w:val="00100F49"/>
    <w:rsid w:val="00101162"/>
    <w:rsid w:val="0010156D"/>
    <w:rsid w:val="00101652"/>
    <w:rsid w:val="00101731"/>
    <w:rsid w:val="00101789"/>
    <w:rsid w:val="0010180F"/>
    <w:rsid w:val="00101961"/>
    <w:rsid w:val="00101B32"/>
    <w:rsid w:val="00101FCB"/>
    <w:rsid w:val="001020C6"/>
    <w:rsid w:val="001022A4"/>
    <w:rsid w:val="001022CC"/>
    <w:rsid w:val="0010233C"/>
    <w:rsid w:val="0010234D"/>
    <w:rsid w:val="00102369"/>
    <w:rsid w:val="001024BF"/>
    <w:rsid w:val="001025C6"/>
    <w:rsid w:val="00102678"/>
    <w:rsid w:val="001026DD"/>
    <w:rsid w:val="00102768"/>
    <w:rsid w:val="001027DF"/>
    <w:rsid w:val="00102870"/>
    <w:rsid w:val="001028D7"/>
    <w:rsid w:val="00102934"/>
    <w:rsid w:val="00102D07"/>
    <w:rsid w:val="0010300B"/>
    <w:rsid w:val="00103133"/>
    <w:rsid w:val="00103211"/>
    <w:rsid w:val="0010367F"/>
    <w:rsid w:val="0010381C"/>
    <w:rsid w:val="001038B8"/>
    <w:rsid w:val="00103BBF"/>
    <w:rsid w:val="00103DA4"/>
    <w:rsid w:val="00103E59"/>
    <w:rsid w:val="001041B5"/>
    <w:rsid w:val="001041FF"/>
    <w:rsid w:val="001042DA"/>
    <w:rsid w:val="00104403"/>
    <w:rsid w:val="001046F7"/>
    <w:rsid w:val="001046FA"/>
    <w:rsid w:val="0010475F"/>
    <w:rsid w:val="00104863"/>
    <w:rsid w:val="00104A03"/>
    <w:rsid w:val="00104A40"/>
    <w:rsid w:val="00104AE3"/>
    <w:rsid w:val="00104C90"/>
    <w:rsid w:val="00104D8F"/>
    <w:rsid w:val="00104D96"/>
    <w:rsid w:val="00104E01"/>
    <w:rsid w:val="00104E95"/>
    <w:rsid w:val="001052F1"/>
    <w:rsid w:val="001054F8"/>
    <w:rsid w:val="001056AF"/>
    <w:rsid w:val="0010575F"/>
    <w:rsid w:val="0010588B"/>
    <w:rsid w:val="00105ABF"/>
    <w:rsid w:val="00105C29"/>
    <w:rsid w:val="00105DA0"/>
    <w:rsid w:val="00105E93"/>
    <w:rsid w:val="00105F18"/>
    <w:rsid w:val="00105F80"/>
    <w:rsid w:val="001060EE"/>
    <w:rsid w:val="001061D9"/>
    <w:rsid w:val="001065B3"/>
    <w:rsid w:val="001067C6"/>
    <w:rsid w:val="001068B5"/>
    <w:rsid w:val="00106A96"/>
    <w:rsid w:val="00106B20"/>
    <w:rsid w:val="00106B25"/>
    <w:rsid w:val="00106B2F"/>
    <w:rsid w:val="00106D0F"/>
    <w:rsid w:val="00106D10"/>
    <w:rsid w:val="00106D61"/>
    <w:rsid w:val="00106DA2"/>
    <w:rsid w:val="00106DDB"/>
    <w:rsid w:val="00107064"/>
    <w:rsid w:val="0010706E"/>
    <w:rsid w:val="001071C2"/>
    <w:rsid w:val="00107251"/>
    <w:rsid w:val="00107316"/>
    <w:rsid w:val="00107317"/>
    <w:rsid w:val="00107386"/>
    <w:rsid w:val="0010771F"/>
    <w:rsid w:val="00107867"/>
    <w:rsid w:val="001078E9"/>
    <w:rsid w:val="00107B91"/>
    <w:rsid w:val="00107BD5"/>
    <w:rsid w:val="00107C37"/>
    <w:rsid w:val="00107C90"/>
    <w:rsid w:val="00107CA1"/>
    <w:rsid w:val="00107CE0"/>
    <w:rsid w:val="00107E50"/>
    <w:rsid w:val="00107FF1"/>
    <w:rsid w:val="00110034"/>
    <w:rsid w:val="00110396"/>
    <w:rsid w:val="00110399"/>
    <w:rsid w:val="0011057C"/>
    <w:rsid w:val="0011060E"/>
    <w:rsid w:val="00110616"/>
    <w:rsid w:val="001106E8"/>
    <w:rsid w:val="001108CB"/>
    <w:rsid w:val="001109E6"/>
    <w:rsid w:val="001110DB"/>
    <w:rsid w:val="0011128D"/>
    <w:rsid w:val="001112D7"/>
    <w:rsid w:val="001113CB"/>
    <w:rsid w:val="0011141E"/>
    <w:rsid w:val="001115A0"/>
    <w:rsid w:val="001115E2"/>
    <w:rsid w:val="00111601"/>
    <w:rsid w:val="00111958"/>
    <w:rsid w:val="00111AE8"/>
    <w:rsid w:val="00111B71"/>
    <w:rsid w:val="00111E37"/>
    <w:rsid w:val="00111EF8"/>
    <w:rsid w:val="00111F45"/>
    <w:rsid w:val="00111F82"/>
    <w:rsid w:val="00112163"/>
    <w:rsid w:val="0011229E"/>
    <w:rsid w:val="00112333"/>
    <w:rsid w:val="0011236A"/>
    <w:rsid w:val="001123B8"/>
    <w:rsid w:val="00112563"/>
    <w:rsid w:val="001125B4"/>
    <w:rsid w:val="001125F7"/>
    <w:rsid w:val="001128CB"/>
    <w:rsid w:val="00112D4C"/>
    <w:rsid w:val="00112E5B"/>
    <w:rsid w:val="001131CE"/>
    <w:rsid w:val="001132EE"/>
    <w:rsid w:val="001133B0"/>
    <w:rsid w:val="00113686"/>
    <w:rsid w:val="00113844"/>
    <w:rsid w:val="00113B61"/>
    <w:rsid w:val="00114060"/>
    <w:rsid w:val="0011427F"/>
    <w:rsid w:val="001143ED"/>
    <w:rsid w:val="00114482"/>
    <w:rsid w:val="001144A3"/>
    <w:rsid w:val="00114742"/>
    <w:rsid w:val="00114B80"/>
    <w:rsid w:val="00114BCD"/>
    <w:rsid w:val="00114F1D"/>
    <w:rsid w:val="00114F5F"/>
    <w:rsid w:val="001156FD"/>
    <w:rsid w:val="001158FE"/>
    <w:rsid w:val="00115D70"/>
    <w:rsid w:val="00116104"/>
    <w:rsid w:val="001162C3"/>
    <w:rsid w:val="001164AB"/>
    <w:rsid w:val="001164F0"/>
    <w:rsid w:val="0011654E"/>
    <w:rsid w:val="001166C1"/>
    <w:rsid w:val="00116729"/>
    <w:rsid w:val="001168B8"/>
    <w:rsid w:val="00116A77"/>
    <w:rsid w:val="00116AEE"/>
    <w:rsid w:val="00116C0F"/>
    <w:rsid w:val="00116C83"/>
    <w:rsid w:val="00116E08"/>
    <w:rsid w:val="00116E9D"/>
    <w:rsid w:val="00116EA8"/>
    <w:rsid w:val="001170E0"/>
    <w:rsid w:val="001172EA"/>
    <w:rsid w:val="001175BC"/>
    <w:rsid w:val="001178C3"/>
    <w:rsid w:val="001179BC"/>
    <w:rsid w:val="00117D19"/>
    <w:rsid w:val="00117FE9"/>
    <w:rsid w:val="00120113"/>
    <w:rsid w:val="00120174"/>
    <w:rsid w:val="001201F4"/>
    <w:rsid w:val="001203BC"/>
    <w:rsid w:val="00120458"/>
    <w:rsid w:val="00120485"/>
    <w:rsid w:val="001207BC"/>
    <w:rsid w:val="00120802"/>
    <w:rsid w:val="00120E1A"/>
    <w:rsid w:val="00120E1F"/>
    <w:rsid w:val="00120E23"/>
    <w:rsid w:val="00121120"/>
    <w:rsid w:val="001211FE"/>
    <w:rsid w:val="001213E4"/>
    <w:rsid w:val="0012151D"/>
    <w:rsid w:val="001215BC"/>
    <w:rsid w:val="0012164D"/>
    <w:rsid w:val="001216E3"/>
    <w:rsid w:val="0012171A"/>
    <w:rsid w:val="001217B3"/>
    <w:rsid w:val="0012183C"/>
    <w:rsid w:val="00121C7D"/>
    <w:rsid w:val="0012218A"/>
    <w:rsid w:val="001223DC"/>
    <w:rsid w:val="0012241A"/>
    <w:rsid w:val="00122445"/>
    <w:rsid w:val="0012246B"/>
    <w:rsid w:val="001224EC"/>
    <w:rsid w:val="00122685"/>
    <w:rsid w:val="001227AC"/>
    <w:rsid w:val="001227EB"/>
    <w:rsid w:val="001228C6"/>
    <w:rsid w:val="00122A1D"/>
    <w:rsid w:val="00122A8A"/>
    <w:rsid w:val="00122E73"/>
    <w:rsid w:val="001230F9"/>
    <w:rsid w:val="001232BF"/>
    <w:rsid w:val="001233AF"/>
    <w:rsid w:val="0012341D"/>
    <w:rsid w:val="001235DD"/>
    <w:rsid w:val="0012369A"/>
    <w:rsid w:val="00123709"/>
    <w:rsid w:val="001237CA"/>
    <w:rsid w:val="00123AE3"/>
    <w:rsid w:val="00123DD6"/>
    <w:rsid w:val="001240AC"/>
    <w:rsid w:val="00124310"/>
    <w:rsid w:val="001243CD"/>
    <w:rsid w:val="001244EA"/>
    <w:rsid w:val="00124532"/>
    <w:rsid w:val="0012455D"/>
    <w:rsid w:val="0012459C"/>
    <w:rsid w:val="0012460B"/>
    <w:rsid w:val="0012483C"/>
    <w:rsid w:val="001249B2"/>
    <w:rsid w:val="00124B96"/>
    <w:rsid w:val="00124BEC"/>
    <w:rsid w:val="00124C17"/>
    <w:rsid w:val="00124C6D"/>
    <w:rsid w:val="00124DB4"/>
    <w:rsid w:val="00124E3D"/>
    <w:rsid w:val="00124FE0"/>
    <w:rsid w:val="00125148"/>
    <w:rsid w:val="0012542E"/>
    <w:rsid w:val="001254F8"/>
    <w:rsid w:val="0012551A"/>
    <w:rsid w:val="0012556B"/>
    <w:rsid w:val="001258D7"/>
    <w:rsid w:val="00125B81"/>
    <w:rsid w:val="00125B97"/>
    <w:rsid w:val="00125C6E"/>
    <w:rsid w:val="00125DC2"/>
    <w:rsid w:val="00125E5C"/>
    <w:rsid w:val="00125E69"/>
    <w:rsid w:val="00125F2D"/>
    <w:rsid w:val="00126027"/>
    <w:rsid w:val="001260EE"/>
    <w:rsid w:val="001260FF"/>
    <w:rsid w:val="00126353"/>
    <w:rsid w:val="0012643D"/>
    <w:rsid w:val="001266D5"/>
    <w:rsid w:val="001268F9"/>
    <w:rsid w:val="001269AB"/>
    <w:rsid w:val="001269B0"/>
    <w:rsid w:val="00126B4A"/>
    <w:rsid w:val="00126F74"/>
    <w:rsid w:val="00126FB0"/>
    <w:rsid w:val="0012702D"/>
    <w:rsid w:val="00127069"/>
    <w:rsid w:val="0012709E"/>
    <w:rsid w:val="0012718F"/>
    <w:rsid w:val="001272EE"/>
    <w:rsid w:val="00127373"/>
    <w:rsid w:val="001273C7"/>
    <w:rsid w:val="00127427"/>
    <w:rsid w:val="001274A0"/>
    <w:rsid w:val="00127559"/>
    <w:rsid w:val="00127CFF"/>
    <w:rsid w:val="00127DA9"/>
    <w:rsid w:val="0013010F"/>
    <w:rsid w:val="001304C4"/>
    <w:rsid w:val="00130547"/>
    <w:rsid w:val="00130574"/>
    <w:rsid w:val="0013080A"/>
    <w:rsid w:val="001308DA"/>
    <w:rsid w:val="0013091B"/>
    <w:rsid w:val="0013091F"/>
    <w:rsid w:val="00130B02"/>
    <w:rsid w:val="00130BA2"/>
    <w:rsid w:val="00130BCE"/>
    <w:rsid w:val="00130BD6"/>
    <w:rsid w:val="00130C28"/>
    <w:rsid w:val="00130E47"/>
    <w:rsid w:val="00130F07"/>
    <w:rsid w:val="00131196"/>
    <w:rsid w:val="0013149A"/>
    <w:rsid w:val="0013157E"/>
    <w:rsid w:val="00131753"/>
    <w:rsid w:val="001317E0"/>
    <w:rsid w:val="00131ADF"/>
    <w:rsid w:val="00131C42"/>
    <w:rsid w:val="00131CE4"/>
    <w:rsid w:val="00131D63"/>
    <w:rsid w:val="00131E39"/>
    <w:rsid w:val="00131E4A"/>
    <w:rsid w:val="00131E72"/>
    <w:rsid w:val="00131F51"/>
    <w:rsid w:val="00131F53"/>
    <w:rsid w:val="00132030"/>
    <w:rsid w:val="001322CE"/>
    <w:rsid w:val="00132368"/>
    <w:rsid w:val="0013239B"/>
    <w:rsid w:val="001324D9"/>
    <w:rsid w:val="00132620"/>
    <w:rsid w:val="0013268E"/>
    <w:rsid w:val="00132A1C"/>
    <w:rsid w:val="00132AA6"/>
    <w:rsid w:val="00132C25"/>
    <w:rsid w:val="00132C76"/>
    <w:rsid w:val="00132E7C"/>
    <w:rsid w:val="00132FCC"/>
    <w:rsid w:val="0013301D"/>
    <w:rsid w:val="00133070"/>
    <w:rsid w:val="001331CC"/>
    <w:rsid w:val="00133279"/>
    <w:rsid w:val="00133335"/>
    <w:rsid w:val="0013334C"/>
    <w:rsid w:val="001336E5"/>
    <w:rsid w:val="0013389C"/>
    <w:rsid w:val="00133941"/>
    <w:rsid w:val="00133A17"/>
    <w:rsid w:val="00133AD4"/>
    <w:rsid w:val="00133C58"/>
    <w:rsid w:val="00133DB2"/>
    <w:rsid w:val="00133E35"/>
    <w:rsid w:val="00134178"/>
    <w:rsid w:val="00134183"/>
    <w:rsid w:val="00134198"/>
    <w:rsid w:val="00134420"/>
    <w:rsid w:val="0013454C"/>
    <w:rsid w:val="0013470C"/>
    <w:rsid w:val="0013470D"/>
    <w:rsid w:val="001348CE"/>
    <w:rsid w:val="00134968"/>
    <w:rsid w:val="00134A5D"/>
    <w:rsid w:val="00134D7A"/>
    <w:rsid w:val="00134E91"/>
    <w:rsid w:val="00134EA8"/>
    <w:rsid w:val="00134ED9"/>
    <w:rsid w:val="00134F44"/>
    <w:rsid w:val="001350AF"/>
    <w:rsid w:val="0013510E"/>
    <w:rsid w:val="00135236"/>
    <w:rsid w:val="001354A4"/>
    <w:rsid w:val="001354E8"/>
    <w:rsid w:val="001354FC"/>
    <w:rsid w:val="001359A9"/>
    <w:rsid w:val="00135B2C"/>
    <w:rsid w:val="00135FD9"/>
    <w:rsid w:val="001360D0"/>
    <w:rsid w:val="00136120"/>
    <w:rsid w:val="0013643C"/>
    <w:rsid w:val="0013645B"/>
    <w:rsid w:val="001364D5"/>
    <w:rsid w:val="001365E1"/>
    <w:rsid w:val="001365F4"/>
    <w:rsid w:val="00136634"/>
    <w:rsid w:val="0013667C"/>
    <w:rsid w:val="00136905"/>
    <w:rsid w:val="00136AA5"/>
    <w:rsid w:val="00136B5B"/>
    <w:rsid w:val="00136C49"/>
    <w:rsid w:val="00136D3C"/>
    <w:rsid w:val="0013712C"/>
    <w:rsid w:val="001371D4"/>
    <w:rsid w:val="00137254"/>
    <w:rsid w:val="001372A2"/>
    <w:rsid w:val="00137332"/>
    <w:rsid w:val="001373C3"/>
    <w:rsid w:val="00137531"/>
    <w:rsid w:val="001375FA"/>
    <w:rsid w:val="00137758"/>
    <w:rsid w:val="0013779F"/>
    <w:rsid w:val="001378A1"/>
    <w:rsid w:val="00137953"/>
    <w:rsid w:val="00137971"/>
    <w:rsid w:val="00137C22"/>
    <w:rsid w:val="00137CB5"/>
    <w:rsid w:val="00137EAA"/>
    <w:rsid w:val="00137FF4"/>
    <w:rsid w:val="001400B7"/>
    <w:rsid w:val="001403A2"/>
    <w:rsid w:val="0014075C"/>
    <w:rsid w:val="0014088C"/>
    <w:rsid w:val="001408A0"/>
    <w:rsid w:val="00140A53"/>
    <w:rsid w:val="001410FA"/>
    <w:rsid w:val="001410FB"/>
    <w:rsid w:val="001411F7"/>
    <w:rsid w:val="0014135B"/>
    <w:rsid w:val="001413D0"/>
    <w:rsid w:val="0014140D"/>
    <w:rsid w:val="0014141D"/>
    <w:rsid w:val="001417AC"/>
    <w:rsid w:val="0014188D"/>
    <w:rsid w:val="001418E7"/>
    <w:rsid w:val="00141923"/>
    <w:rsid w:val="00141A1C"/>
    <w:rsid w:val="00141B6F"/>
    <w:rsid w:val="00141BEC"/>
    <w:rsid w:val="00141C21"/>
    <w:rsid w:val="001423CB"/>
    <w:rsid w:val="00142586"/>
    <w:rsid w:val="001425CB"/>
    <w:rsid w:val="00142672"/>
    <w:rsid w:val="001427C3"/>
    <w:rsid w:val="00142925"/>
    <w:rsid w:val="001429AD"/>
    <w:rsid w:val="00142CB5"/>
    <w:rsid w:val="00142D81"/>
    <w:rsid w:val="00142E8B"/>
    <w:rsid w:val="0014306F"/>
    <w:rsid w:val="0014329B"/>
    <w:rsid w:val="0014336D"/>
    <w:rsid w:val="00143492"/>
    <w:rsid w:val="001434CD"/>
    <w:rsid w:val="0014382B"/>
    <w:rsid w:val="0014392E"/>
    <w:rsid w:val="00143A0F"/>
    <w:rsid w:val="00143AA4"/>
    <w:rsid w:val="00143B06"/>
    <w:rsid w:val="00143B68"/>
    <w:rsid w:val="00143F91"/>
    <w:rsid w:val="001442EE"/>
    <w:rsid w:val="00144381"/>
    <w:rsid w:val="00144397"/>
    <w:rsid w:val="00144503"/>
    <w:rsid w:val="00144673"/>
    <w:rsid w:val="00144813"/>
    <w:rsid w:val="00144902"/>
    <w:rsid w:val="00144BC1"/>
    <w:rsid w:val="00144C6C"/>
    <w:rsid w:val="00144CE6"/>
    <w:rsid w:val="00144ECF"/>
    <w:rsid w:val="00144F84"/>
    <w:rsid w:val="00144FAF"/>
    <w:rsid w:val="00145068"/>
    <w:rsid w:val="00145626"/>
    <w:rsid w:val="0014573C"/>
    <w:rsid w:val="00145838"/>
    <w:rsid w:val="001458FC"/>
    <w:rsid w:val="0014597A"/>
    <w:rsid w:val="00145C75"/>
    <w:rsid w:val="00145D8E"/>
    <w:rsid w:val="00145E2D"/>
    <w:rsid w:val="00145E94"/>
    <w:rsid w:val="00145EAE"/>
    <w:rsid w:val="0014616D"/>
    <w:rsid w:val="00146200"/>
    <w:rsid w:val="00146616"/>
    <w:rsid w:val="001466A8"/>
    <w:rsid w:val="00146750"/>
    <w:rsid w:val="0014692A"/>
    <w:rsid w:val="00146B6C"/>
    <w:rsid w:val="00146D08"/>
    <w:rsid w:val="00146DA5"/>
    <w:rsid w:val="00146DAA"/>
    <w:rsid w:val="0014700A"/>
    <w:rsid w:val="001472BF"/>
    <w:rsid w:val="001477D1"/>
    <w:rsid w:val="00147998"/>
    <w:rsid w:val="00147A68"/>
    <w:rsid w:val="00147AED"/>
    <w:rsid w:val="00147FB0"/>
    <w:rsid w:val="00147FDE"/>
    <w:rsid w:val="0015000B"/>
    <w:rsid w:val="00150038"/>
    <w:rsid w:val="001501FA"/>
    <w:rsid w:val="001502BE"/>
    <w:rsid w:val="0015031C"/>
    <w:rsid w:val="0015036C"/>
    <w:rsid w:val="001504E3"/>
    <w:rsid w:val="00150571"/>
    <w:rsid w:val="001507E3"/>
    <w:rsid w:val="00150997"/>
    <w:rsid w:val="00150AC5"/>
    <w:rsid w:val="00150B26"/>
    <w:rsid w:val="00150B39"/>
    <w:rsid w:val="00150DAE"/>
    <w:rsid w:val="00151297"/>
    <w:rsid w:val="001512CB"/>
    <w:rsid w:val="00151300"/>
    <w:rsid w:val="00151479"/>
    <w:rsid w:val="00151544"/>
    <w:rsid w:val="00151659"/>
    <w:rsid w:val="0015166B"/>
    <w:rsid w:val="0015179C"/>
    <w:rsid w:val="001517CB"/>
    <w:rsid w:val="001518D2"/>
    <w:rsid w:val="00151A25"/>
    <w:rsid w:val="00151A62"/>
    <w:rsid w:val="00151C8D"/>
    <w:rsid w:val="00151D82"/>
    <w:rsid w:val="00151DC6"/>
    <w:rsid w:val="00151FD3"/>
    <w:rsid w:val="00151FFA"/>
    <w:rsid w:val="001520D9"/>
    <w:rsid w:val="001521FA"/>
    <w:rsid w:val="001524FA"/>
    <w:rsid w:val="0015254E"/>
    <w:rsid w:val="00152646"/>
    <w:rsid w:val="001526A8"/>
    <w:rsid w:val="001527DB"/>
    <w:rsid w:val="00152850"/>
    <w:rsid w:val="001528A7"/>
    <w:rsid w:val="00152907"/>
    <w:rsid w:val="00152ADA"/>
    <w:rsid w:val="00152BA2"/>
    <w:rsid w:val="00152C60"/>
    <w:rsid w:val="00152C7D"/>
    <w:rsid w:val="00152D90"/>
    <w:rsid w:val="00152E5B"/>
    <w:rsid w:val="00152F62"/>
    <w:rsid w:val="001530AF"/>
    <w:rsid w:val="00153255"/>
    <w:rsid w:val="001532C9"/>
    <w:rsid w:val="001535A0"/>
    <w:rsid w:val="001535F3"/>
    <w:rsid w:val="001535FD"/>
    <w:rsid w:val="00153850"/>
    <w:rsid w:val="0015391B"/>
    <w:rsid w:val="0015392C"/>
    <w:rsid w:val="00153C34"/>
    <w:rsid w:val="00153CDC"/>
    <w:rsid w:val="00153ECC"/>
    <w:rsid w:val="001540B5"/>
    <w:rsid w:val="0015426E"/>
    <w:rsid w:val="001542AE"/>
    <w:rsid w:val="001542EF"/>
    <w:rsid w:val="001544DB"/>
    <w:rsid w:val="00154786"/>
    <w:rsid w:val="001549B7"/>
    <w:rsid w:val="00154A27"/>
    <w:rsid w:val="00154A73"/>
    <w:rsid w:val="00154B2F"/>
    <w:rsid w:val="00154BD1"/>
    <w:rsid w:val="00154CB5"/>
    <w:rsid w:val="00154CC4"/>
    <w:rsid w:val="00154EF5"/>
    <w:rsid w:val="00154FE4"/>
    <w:rsid w:val="00155012"/>
    <w:rsid w:val="00155033"/>
    <w:rsid w:val="001550C8"/>
    <w:rsid w:val="0015558F"/>
    <w:rsid w:val="001555B1"/>
    <w:rsid w:val="00155999"/>
    <w:rsid w:val="00155ABD"/>
    <w:rsid w:val="00155B4E"/>
    <w:rsid w:val="00155D4A"/>
    <w:rsid w:val="00155D50"/>
    <w:rsid w:val="00155DBF"/>
    <w:rsid w:val="00155E47"/>
    <w:rsid w:val="00155EAF"/>
    <w:rsid w:val="00155F15"/>
    <w:rsid w:val="00156056"/>
    <w:rsid w:val="001560BF"/>
    <w:rsid w:val="001560CD"/>
    <w:rsid w:val="001560E6"/>
    <w:rsid w:val="00156212"/>
    <w:rsid w:val="0015635E"/>
    <w:rsid w:val="00156389"/>
    <w:rsid w:val="0015647D"/>
    <w:rsid w:val="001564B9"/>
    <w:rsid w:val="001564C6"/>
    <w:rsid w:val="0015676E"/>
    <w:rsid w:val="00156821"/>
    <w:rsid w:val="00156B95"/>
    <w:rsid w:val="00156D01"/>
    <w:rsid w:val="00156E0C"/>
    <w:rsid w:val="001570C2"/>
    <w:rsid w:val="00157354"/>
    <w:rsid w:val="00157413"/>
    <w:rsid w:val="00157528"/>
    <w:rsid w:val="00157540"/>
    <w:rsid w:val="001575C7"/>
    <w:rsid w:val="001577FA"/>
    <w:rsid w:val="0015780B"/>
    <w:rsid w:val="0015781B"/>
    <w:rsid w:val="00157EE7"/>
    <w:rsid w:val="00157F2D"/>
    <w:rsid w:val="00157F46"/>
    <w:rsid w:val="0015EFD8"/>
    <w:rsid w:val="001601DA"/>
    <w:rsid w:val="00160447"/>
    <w:rsid w:val="0016068C"/>
    <w:rsid w:val="00160691"/>
    <w:rsid w:val="00160827"/>
    <w:rsid w:val="00160955"/>
    <w:rsid w:val="00160C29"/>
    <w:rsid w:val="00160E04"/>
    <w:rsid w:val="00160E90"/>
    <w:rsid w:val="00160FEC"/>
    <w:rsid w:val="001611AF"/>
    <w:rsid w:val="00161363"/>
    <w:rsid w:val="001616F8"/>
    <w:rsid w:val="00161710"/>
    <w:rsid w:val="0016172B"/>
    <w:rsid w:val="00161752"/>
    <w:rsid w:val="001618B7"/>
    <w:rsid w:val="0016194D"/>
    <w:rsid w:val="001619A8"/>
    <w:rsid w:val="001619DD"/>
    <w:rsid w:val="001619E6"/>
    <w:rsid w:val="00161A0B"/>
    <w:rsid w:val="00161AF9"/>
    <w:rsid w:val="00161B6B"/>
    <w:rsid w:val="00161C30"/>
    <w:rsid w:val="00161DA4"/>
    <w:rsid w:val="00161E22"/>
    <w:rsid w:val="00162007"/>
    <w:rsid w:val="001620C5"/>
    <w:rsid w:val="00162320"/>
    <w:rsid w:val="00162375"/>
    <w:rsid w:val="001623F6"/>
    <w:rsid w:val="001624CE"/>
    <w:rsid w:val="00162983"/>
    <w:rsid w:val="001629B0"/>
    <w:rsid w:val="00162C02"/>
    <w:rsid w:val="00162D69"/>
    <w:rsid w:val="00162DD0"/>
    <w:rsid w:val="00163162"/>
    <w:rsid w:val="00163355"/>
    <w:rsid w:val="00163380"/>
    <w:rsid w:val="00163493"/>
    <w:rsid w:val="001634BB"/>
    <w:rsid w:val="00163749"/>
    <w:rsid w:val="001638BA"/>
    <w:rsid w:val="0016399B"/>
    <w:rsid w:val="001639C1"/>
    <w:rsid w:val="00163B69"/>
    <w:rsid w:val="00163C8F"/>
    <w:rsid w:val="00163D92"/>
    <w:rsid w:val="00163DE4"/>
    <w:rsid w:val="00163F2F"/>
    <w:rsid w:val="00163FDC"/>
    <w:rsid w:val="001641D1"/>
    <w:rsid w:val="00164220"/>
    <w:rsid w:val="00164233"/>
    <w:rsid w:val="00164278"/>
    <w:rsid w:val="0016462E"/>
    <w:rsid w:val="00164673"/>
    <w:rsid w:val="001646BC"/>
    <w:rsid w:val="00164810"/>
    <w:rsid w:val="00164B76"/>
    <w:rsid w:val="00164D6F"/>
    <w:rsid w:val="00165048"/>
    <w:rsid w:val="00165113"/>
    <w:rsid w:val="0016550F"/>
    <w:rsid w:val="0016562B"/>
    <w:rsid w:val="00165655"/>
    <w:rsid w:val="0016579D"/>
    <w:rsid w:val="00165849"/>
    <w:rsid w:val="00165AB6"/>
    <w:rsid w:val="00165B41"/>
    <w:rsid w:val="00166322"/>
    <w:rsid w:val="001664C7"/>
    <w:rsid w:val="001666D1"/>
    <w:rsid w:val="00166754"/>
    <w:rsid w:val="0016681B"/>
    <w:rsid w:val="001668F4"/>
    <w:rsid w:val="00166B3C"/>
    <w:rsid w:val="00166B54"/>
    <w:rsid w:val="00166CA5"/>
    <w:rsid w:val="00166D30"/>
    <w:rsid w:val="00167095"/>
    <w:rsid w:val="00167166"/>
    <w:rsid w:val="0016731F"/>
    <w:rsid w:val="0016739E"/>
    <w:rsid w:val="001673E7"/>
    <w:rsid w:val="001674D3"/>
    <w:rsid w:val="00167624"/>
    <w:rsid w:val="00167715"/>
    <w:rsid w:val="00167855"/>
    <w:rsid w:val="001678BC"/>
    <w:rsid w:val="00167BB5"/>
    <w:rsid w:val="00167E3E"/>
    <w:rsid w:val="00167F16"/>
    <w:rsid w:val="00167FC5"/>
    <w:rsid w:val="001700A4"/>
    <w:rsid w:val="00170139"/>
    <w:rsid w:val="00170685"/>
    <w:rsid w:val="00170864"/>
    <w:rsid w:val="001709E2"/>
    <w:rsid w:val="00170A10"/>
    <w:rsid w:val="00170C47"/>
    <w:rsid w:val="00170C7E"/>
    <w:rsid w:val="00170EC3"/>
    <w:rsid w:val="0017119C"/>
    <w:rsid w:val="001711B1"/>
    <w:rsid w:val="001711DD"/>
    <w:rsid w:val="0017122B"/>
    <w:rsid w:val="0017138B"/>
    <w:rsid w:val="00171444"/>
    <w:rsid w:val="00171732"/>
    <w:rsid w:val="0017175D"/>
    <w:rsid w:val="0017180E"/>
    <w:rsid w:val="00171AA6"/>
    <w:rsid w:val="00171D53"/>
    <w:rsid w:val="00171E3E"/>
    <w:rsid w:val="00171E42"/>
    <w:rsid w:val="001720FC"/>
    <w:rsid w:val="00172519"/>
    <w:rsid w:val="00172559"/>
    <w:rsid w:val="001726D5"/>
    <w:rsid w:val="001728AE"/>
    <w:rsid w:val="00172C04"/>
    <w:rsid w:val="00172EAD"/>
    <w:rsid w:val="00172F32"/>
    <w:rsid w:val="00172F4D"/>
    <w:rsid w:val="001732AE"/>
    <w:rsid w:val="00173567"/>
    <w:rsid w:val="00173568"/>
    <w:rsid w:val="00173840"/>
    <w:rsid w:val="0017399A"/>
    <w:rsid w:val="00173EA0"/>
    <w:rsid w:val="00174056"/>
    <w:rsid w:val="00174153"/>
    <w:rsid w:val="00174270"/>
    <w:rsid w:val="001742A6"/>
    <w:rsid w:val="0017441D"/>
    <w:rsid w:val="001745AC"/>
    <w:rsid w:val="00174613"/>
    <w:rsid w:val="00174897"/>
    <w:rsid w:val="001748FB"/>
    <w:rsid w:val="00174958"/>
    <w:rsid w:val="00174A1B"/>
    <w:rsid w:val="00174C10"/>
    <w:rsid w:val="00174D30"/>
    <w:rsid w:val="00174E50"/>
    <w:rsid w:val="00174F6D"/>
    <w:rsid w:val="00174F8E"/>
    <w:rsid w:val="00175095"/>
    <w:rsid w:val="00175301"/>
    <w:rsid w:val="00175447"/>
    <w:rsid w:val="0017569C"/>
    <w:rsid w:val="0017574D"/>
    <w:rsid w:val="00175762"/>
    <w:rsid w:val="00175860"/>
    <w:rsid w:val="00175FC1"/>
    <w:rsid w:val="00175FD1"/>
    <w:rsid w:val="00175FFE"/>
    <w:rsid w:val="0017601D"/>
    <w:rsid w:val="00176169"/>
    <w:rsid w:val="00176380"/>
    <w:rsid w:val="001763FC"/>
    <w:rsid w:val="0017654E"/>
    <w:rsid w:val="00176577"/>
    <w:rsid w:val="001765B9"/>
    <w:rsid w:val="0017670D"/>
    <w:rsid w:val="00176B5D"/>
    <w:rsid w:val="00176CD0"/>
    <w:rsid w:val="00176FAB"/>
    <w:rsid w:val="0017703A"/>
    <w:rsid w:val="0017716E"/>
    <w:rsid w:val="00177314"/>
    <w:rsid w:val="00177324"/>
    <w:rsid w:val="001774A2"/>
    <w:rsid w:val="001778BA"/>
    <w:rsid w:val="001778BC"/>
    <w:rsid w:val="001778C2"/>
    <w:rsid w:val="00177949"/>
    <w:rsid w:val="00177A6A"/>
    <w:rsid w:val="00177A85"/>
    <w:rsid w:val="00177DF7"/>
    <w:rsid w:val="00180182"/>
    <w:rsid w:val="001801F2"/>
    <w:rsid w:val="001801FD"/>
    <w:rsid w:val="001804EE"/>
    <w:rsid w:val="001805A0"/>
    <w:rsid w:val="00180604"/>
    <w:rsid w:val="0018076F"/>
    <w:rsid w:val="0018089B"/>
    <w:rsid w:val="00180A5F"/>
    <w:rsid w:val="00180AF2"/>
    <w:rsid w:val="00180BEC"/>
    <w:rsid w:val="00180C25"/>
    <w:rsid w:val="00180CAE"/>
    <w:rsid w:val="00180D4F"/>
    <w:rsid w:val="0018105E"/>
    <w:rsid w:val="00181133"/>
    <w:rsid w:val="00181533"/>
    <w:rsid w:val="0018168E"/>
    <w:rsid w:val="001817BE"/>
    <w:rsid w:val="00181B3C"/>
    <w:rsid w:val="00181C6F"/>
    <w:rsid w:val="00181F13"/>
    <w:rsid w:val="001820F0"/>
    <w:rsid w:val="001821BD"/>
    <w:rsid w:val="0018229B"/>
    <w:rsid w:val="0018255C"/>
    <w:rsid w:val="00182788"/>
    <w:rsid w:val="00182B85"/>
    <w:rsid w:val="00182C69"/>
    <w:rsid w:val="00182E02"/>
    <w:rsid w:val="00182E21"/>
    <w:rsid w:val="00182E2B"/>
    <w:rsid w:val="00182E40"/>
    <w:rsid w:val="00183038"/>
    <w:rsid w:val="0018344B"/>
    <w:rsid w:val="001834B0"/>
    <w:rsid w:val="001836C2"/>
    <w:rsid w:val="00183882"/>
    <w:rsid w:val="00183A06"/>
    <w:rsid w:val="00183B48"/>
    <w:rsid w:val="00183C0C"/>
    <w:rsid w:val="00183E3A"/>
    <w:rsid w:val="00183EA5"/>
    <w:rsid w:val="0018406E"/>
    <w:rsid w:val="001840A4"/>
    <w:rsid w:val="00184100"/>
    <w:rsid w:val="00184155"/>
    <w:rsid w:val="001844B6"/>
    <w:rsid w:val="001846BE"/>
    <w:rsid w:val="00184747"/>
    <w:rsid w:val="0018489A"/>
    <w:rsid w:val="001848F1"/>
    <w:rsid w:val="00184A3E"/>
    <w:rsid w:val="00184A75"/>
    <w:rsid w:val="00184B47"/>
    <w:rsid w:val="00184B9F"/>
    <w:rsid w:val="00184CF1"/>
    <w:rsid w:val="00184E8D"/>
    <w:rsid w:val="001850E3"/>
    <w:rsid w:val="001851A3"/>
    <w:rsid w:val="001851B9"/>
    <w:rsid w:val="001853B4"/>
    <w:rsid w:val="001855B1"/>
    <w:rsid w:val="00185775"/>
    <w:rsid w:val="001859C9"/>
    <w:rsid w:val="00185E86"/>
    <w:rsid w:val="001863B8"/>
    <w:rsid w:val="0018659E"/>
    <w:rsid w:val="00186653"/>
    <w:rsid w:val="0018678F"/>
    <w:rsid w:val="00186843"/>
    <w:rsid w:val="00186895"/>
    <w:rsid w:val="00186A1B"/>
    <w:rsid w:val="00186D01"/>
    <w:rsid w:val="00186F0C"/>
    <w:rsid w:val="00186FDE"/>
    <w:rsid w:val="00187301"/>
    <w:rsid w:val="001874C5"/>
    <w:rsid w:val="001876B6"/>
    <w:rsid w:val="0018797C"/>
    <w:rsid w:val="001879C0"/>
    <w:rsid w:val="00187B67"/>
    <w:rsid w:val="00187E18"/>
    <w:rsid w:val="00187E8D"/>
    <w:rsid w:val="001900AF"/>
    <w:rsid w:val="0019021E"/>
    <w:rsid w:val="0019026A"/>
    <w:rsid w:val="00190460"/>
    <w:rsid w:val="001905D7"/>
    <w:rsid w:val="00190616"/>
    <w:rsid w:val="00190635"/>
    <w:rsid w:val="00190821"/>
    <w:rsid w:val="001908BC"/>
    <w:rsid w:val="00190AA4"/>
    <w:rsid w:val="00190AC5"/>
    <w:rsid w:val="00190AD2"/>
    <w:rsid w:val="00190C70"/>
    <w:rsid w:val="00190CA6"/>
    <w:rsid w:val="00190CD2"/>
    <w:rsid w:val="00190CE8"/>
    <w:rsid w:val="00190EB3"/>
    <w:rsid w:val="00190F9A"/>
    <w:rsid w:val="00191057"/>
    <w:rsid w:val="00191083"/>
    <w:rsid w:val="001911DB"/>
    <w:rsid w:val="001913FA"/>
    <w:rsid w:val="001914ED"/>
    <w:rsid w:val="00191911"/>
    <w:rsid w:val="00191B03"/>
    <w:rsid w:val="00191BB7"/>
    <w:rsid w:val="00191C1D"/>
    <w:rsid w:val="00191C31"/>
    <w:rsid w:val="00191C80"/>
    <w:rsid w:val="00191F0A"/>
    <w:rsid w:val="00191F60"/>
    <w:rsid w:val="00192036"/>
    <w:rsid w:val="001920C1"/>
    <w:rsid w:val="001923E3"/>
    <w:rsid w:val="0019248F"/>
    <w:rsid w:val="00192F2A"/>
    <w:rsid w:val="00192FA8"/>
    <w:rsid w:val="0019312F"/>
    <w:rsid w:val="0019324F"/>
    <w:rsid w:val="00193482"/>
    <w:rsid w:val="001936BC"/>
    <w:rsid w:val="001936F2"/>
    <w:rsid w:val="001939F5"/>
    <w:rsid w:val="00193B2A"/>
    <w:rsid w:val="00193E5A"/>
    <w:rsid w:val="0019403D"/>
    <w:rsid w:val="00194050"/>
    <w:rsid w:val="00194122"/>
    <w:rsid w:val="00194135"/>
    <w:rsid w:val="00194344"/>
    <w:rsid w:val="00194624"/>
    <w:rsid w:val="00194745"/>
    <w:rsid w:val="001947AA"/>
    <w:rsid w:val="00194899"/>
    <w:rsid w:val="00194C7E"/>
    <w:rsid w:val="00194E4C"/>
    <w:rsid w:val="00194E63"/>
    <w:rsid w:val="00194E96"/>
    <w:rsid w:val="00194F9E"/>
    <w:rsid w:val="00195163"/>
    <w:rsid w:val="00195317"/>
    <w:rsid w:val="001954BA"/>
    <w:rsid w:val="0019570F"/>
    <w:rsid w:val="001958EB"/>
    <w:rsid w:val="00195AAD"/>
    <w:rsid w:val="00195AE9"/>
    <w:rsid w:val="00195D0E"/>
    <w:rsid w:val="0019602F"/>
    <w:rsid w:val="0019604A"/>
    <w:rsid w:val="00196241"/>
    <w:rsid w:val="001962B3"/>
    <w:rsid w:val="00196553"/>
    <w:rsid w:val="0019690B"/>
    <w:rsid w:val="001969B6"/>
    <w:rsid w:val="00196A43"/>
    <w:rsid w:val="00196ACC"/>
    <w:rsid w:val="00196B20"/>
    <w:rsid w:val="00196CC0"/>
    <w:rsid w:val="00196D5B"/>
    <w:rsid w:val="00196FA9"/>
    <w:rsid w:val="00197095"/>
    <w:rsid w:val="00197234"/>
    <w:rsid w:val="00197269"/>
    <w:rsid w:val="001973FC"/>
    <w:rsid w:val="001974B4"/>
    <w:rsid w:val="001974CC"/>
    <w:rsid w:val="0019760C"/>
    <w:rsid w:val="001976EA"/>
    <w:rsid w:val="00197934"/>
    <w:rsid w:val="00197973"/>
    <w:rsid w:val="00197B88"/>
    <w:rsid w:val="00197BDC"/>
    <w:rsid w:val="001A0004"/>
    <w:rsid w:val="001A004C"/>
    <w:rsid w:val="001A0136"/>
    <w:rsid w:val="001A03A2"/>
    <w:rsid w:val="001A0428"/>
    <w:rsid w:val="001A050B"/>
    <w:rsid w:val="001A05C5"/>
    <w:rsid w:val="001A0747"/>
    <w:rsid w:val="001A076A"/>
    <w:rsid w:val="001A07E7"/>
    <w:rsid w:val="001A07F1"/>
    <w:rsid w:val="001A0839"/>
    <w:rsid w:val="001A0B12"/>
    <w:rsid w:val="001A0C5B"/>
    <w:rsid w:val="001A0DA2"/>
    <w:rsid w:val="001A0F83"/>
    <w:rsid w:val="001A11C8"/>
    <w:rsid w:val="001A1696"/>
    <w:rsid w:val="001A192D"/>
    <w:rsid w:val="001A1B5F"/>
    <w:rsid w:val="001A1B7C"/>
    <w:rsid w:val="001A1C45"/>
    <w:rsid w:val="001A1CF1"/>
    <w:rsid w:val="001A1D9B"/>
    <w:rsid w:val="001A1EAB"/>
    <w:rsid w:val="001A1F4D"/>
    <w:rsid w:val="001A1F6B"/>
    <w:rsid w:val="001A2035"/>
    <w:rsid w:val="001A2057"/>
    <w:rsid w:val="001A2535"/>
    <w:rsid w:val="001A2617"/>
    <w:rsid w:val="001A2625"/>
    <w:rsid w:val="001A262D"/>
    <w:rsid w:val="001A27F3"/>
    <w:rsid w:val="001A280F"/>
    <w:rsid w:val="001A2832"/>
    <w:rsid w:val="001A2B38"/>
    <w:rsid w:val="001A2CF1"/>
    <w:rsid w:val="001A2D81"/>
    <w:rsid w:val="001A2F12"/>
    <w:rsid w:val="001A2FD7"/>
    <w:rsid w:val="001A31FD"/>
    <w:rsid w:val="001A32DE"/>
    <w:rsid w:val="001A3317"/>
    <w:rsid w:val="001A33A8"/>
    <w:rsid w:val="001A3425"/>
    <w:rsid w:val="001A351F"/>
    <w:rsid w:val="001A3621"/>
    <w:rsid w:val="001A3775"/>
    <w:rsid w:val="001A37E8"/>
    <w:rsid w:val="001A382C"/>
    <w:rsid w:val="001A390F"/>
    <w:rsid w:val="001A3B0B"/>
    <w:rsid w:val="001A3B43"/>
    <w:rsid w:val="001A40D9"/>
    <w:rsid w:val="001A4180"/>
    <w:rsid w:val="001A41C1"/>
    <w:rsid w:val="001A4332"/>
    <w:rsid w:val="001A4355"/>
    <w:rsid w:val="001A43A8"/>
    <w:rsid w:val="001A43B8"/>
    <w:rsid w:val="001A43D8"/>
    <w:rsid w:val="001A4432"/>
    <w:rsid w:val="001A4434"/>
    <w:rsid w:val="001A453E"/>
    <w:rsid w:val="001A478E"/>
    <w:rsid w:val="001A47B5"/>
    <w:rsid w:val="001A4968"/>
    <w:rsid w:val="001A4BD1"/>
    <w:rsid w:val="001A4D26"/>
    <w:rsid w:val="001A4F68"/>
    <w:rsid w:val="001A4FCA"/>
    <w:rsid w:val="001A509E"/>
    <w:rsid w:val="001A512A"/>
    <w:rsid w:val="001A53AB"/>
    <w:rsid w:val="001A5476"/>
    <w:rsid w:val="001A54C6"/>
    <w:rsid w:val="001A55B9"/>
    <w:rsid w:val="001A56E8"/>
    <w:rsid w:val="001A56FC"/>
    <w:rsid w:val="001A5834"/>
    <w:rsid w:val="001A58F7"/>
    <w:rsid w:val="001A59F0"/>
    <w:rsid w:val="001A5EA2"/>
    <w:rsid w:val="001A618D"/>
    <w:rsid w:val="001A65B1"/>
    <w:rsid w:val="001A6A8F"/>
    <w:rsid w:val="001A6B52"/>
    <w:rsid w:val="001A6C3E"/>
    <w:rsid w:val="001A6E3B"/>
    <w:rsid w:val="001A6FE6"/>
    <w:rsid w:val="001A70B5"/>
    <w:rsid w:val="001A71F9"/>
    <w:rsid w:val="001A7435"/>
    <w:rsid w:val="001A74DB"/>
    <w:rsid w:val="001A74EC"/>
    <w:rsid w:val="001A7558"/>
    <w:rsid w:val="001A78F6"/>
    <w:rsid w:val="001A7B61"/>
    <w:rsid w:val="001A7D6D"/>
    <w:rsid w:val="001A7D94"/>
    <w:rsid w:val="001A7E6F"/>
    <w:rsid w:val="001A7FAF"/>
    <w:rsid w:val="001B001C"/>
    <w:rsid w:val="001B0023"/>
    <w:rsid w:val="001B00DA"/>
    <w:rsid w:val="001B01F9"/>
    <w:rsid w:val="001B03C0"/>
    <w:rsid w:val="001B0469"/>
    <w:rsid w:val="001B05B5"/>
    <w:rsid w:val="001B05E1"/>
    <w:rsid w:val="001B0B65"/>
    <w:rsid w:val="001B1063"/>
    <w:rsid w:val="001B1210"/>
    <w:rsid w:val="001B12C2"/>
    <w:rsid w:val="001B12EC"/>
    <w:rsid w:val="001B132C"/>
    <w:rsid w:val="001B19C1"/>
    <w:rsid w:val="001B1C5B"/>
    <w:rsid w:val="001B1E26"/>
    <w:rsid w:val="001B1F06"/>
    <w:rsid w:val="001B2154"/>
    <w:rsid w:val="001B220D"/>
    <w:rsid w:val="001B2397"/>
    <w:rsid w:val="001B23B0"/>
    <w:rsid w:val="001B23B8"/>
    <w:rsid w:val="001B2681"/>
    <w:rsid w:val="001B2803"/>
    <w:rsid w:val="001B2942"/>
    <w:rsid w:val="001B2A6A"/>
    <w:rsid w:val="001B2AAD"/>
    <w:rsid w:val="001B2B81"/>
    <w:rsid w:val="001B2D0E"/>
    <w:rsid w:val="001B3031"/>
    <w:rsid w:val="001B305C"/>
    <w:rsid w:val="001B320C"/>
    <w:rsid w:val="001B33D0"/>
    <w:rsid w:val="001B34E8"/>
    <w:rsid w:val="001B34EB"/>
    <w:rsid w:val="001B352A"/>
    <w:rsid w:val="001B3682"/>
    <w:rsid w:val="001B36B1"/>
    <w:rsid w:val="001B36BF"/>
    <w:rsid w:val="001B38ED"/>
    <w:rsid w:val="001B3942"/>
    <w:rsid w:val="001B3990"/>
    <w:rsid w:val="001B3A08"/>
    <w:rsid w:val="001B3B6E"/>
    <w:rsid w:val="001B3D29"/>
    <w:rsid w:val="001B3D44"/>
    <w:rsid w:val="001B3D6E"/>
    <w:rsid w:val="001B3D79"/>
    <w:rsid w:val="001B41FB"/>
    <w:rsid w:val="001B462C"/>
    <w:rsid w:val="001B4643"/>
    <w:rsid w:val="001B46AE"/>
    <w:rsid w:val="001B4945"/>
    <w:rsid w:val="001B4B16"/>
    <w:rsid w:val="001B4D13"/>
    <w:rsid w:val="001B5067"/>
    <w:rsid w:val="001B50ED"/>
    <w:rsid w:val="001B5424"/>
    <w:rsid w:val="001B576B"/>
    <w:rsid w:val="001B5810"/>
    <w:rsid w:val="001B5860"/>
    <w:rsid w:val="001B5B11"/>
    <w:rsid w:val="001B5B2C"/>
    <w:rsid w:val="001B5D05"/>
    <w:rsid w:val="001B6153"/>
    <w:rsid w:val="001B6CDB"/>
    <w:rsid w:val="001B6E02"/>
    <w:rsid w:val="001B709F"/>
    <w:rsid w:val="001B711F"/>
    <w:rsid w:val="001B71DC"/>
    <w:rsid w:val="001B75A4"/>
    <w:rsid w:val="001B7746"/>
    <w:rsid w:val="001B785F"/>
    <w:rsid w:val="001B7A0C"/>
    <w:rsid w:val="001B7A59"/>
    <w:rsid w:val="001B7B53"/>
    <w:rsid w:val="001B7C56"/>
    <w:rsid w:val="001B7D9D"/>
    <w:rsid w:val="001B7EE3"/>
    <w:rsid w:val="001B7F76"/>
    <w:rsid w:val="001B7FA8"/>
    <w:rsid w:val="001C0034"/>
    <w:rsid w:val="001C02C5"/>
    <w:rsid w:val="001C0443"/>
    <w:rsid w:val="001C055E"/>
    <w:rsid w:val="001C05C9"/>
    <w:rsid w:val="001C05FA"/>
    <w:rsid w:val="001C062F"/>
    <w:rsid w:val="001C0641"/>
    <w:rsid w:val="001C0644"/>
    <w:rsid w:val="001C073C"/>
    <w:rsid w:val="001C08E4"/>
    <w:rsid w:val="001C0A55"/>
    <w:rsid w:val="001C0A9F"/>
    <w:rsid w:val="001C0B53"/>
    <w:rsid w:val="001C0B58"/>
    <w:rsid w:val="001C0CC3"/>
    <w:rsid w:val="001C0F90"/>
    <w:rsid w:val="001C1025"/>
    <w:rsid w:val="001C12EF"/>
    <w:rsid w:val="001C1424"/>
    <w:rsid w:val="001C1477"/>
    <w:rsid w:val="001C14DA"/>
    <w:rsid w:val="001C183F"/>
    <w:rsid w:val="001C1865"/>
    <w:rsid w:val="001C1ACD"/>
    <w:rsid w:val="001C1CC7"/>
    <w:rsid w:val="001C216B"/>
    <w:rsid w:val="001C222B"/>
    <w:rsid w:val="001C2231"/>
    <w:rsid w:val="001C2434"/>
    <w:rsid w:val="001C255F"/>
    <w:rsid w:val="001C2827"/>
    <w:rsid w:val="001C29AD"/>
    <w:rsid w:val="001C29BE"/>
    <w:rsid w:val="001C2B94"/>
    <w:rsid w:val="001C3326"/>
    <w:rsid w:val="001C3363"/>
    <w:rsid w:val="001C3675"/>
    <w:rsid w:val="001C37C8"/>
    <w:rsid w:val="001C37F5"/>
    <w:rsid w:val="001C3838"/>
    <w:rsid w:val="001C3C29"/>
    <w:rsid w:val="001C3EF6"/>
    <w:rsid w:val="001C3F4A"/>
    <w:rsid w:val="001C4172"/>
    <w:rsid w:val="001C426E"/>
    <w:rsid w:val="001C4326"/>
    <w:rsid w:val="001C438B"/>
    <w:rsid w:val="001C4395"/>
    <w:rsid w:val="001C4454"/>
    <w:rsid w:val="001C4468"/>
    <w:rsid w:val="001C478E"/>
    <w:rsid w:val="001C490A"/>
    <w:rsid w:val="001C493A"/>
    <w:rsid w:val="001C4A01"/>
    <w:rsid w:val="001C4B08"/>
    <w:rsid w:val="001C4B4D"/>
    <w:rsid w:val="001C4CD3"/>
    <w:rsid w:val="001C4E8C"/>
    <w:rsid w:val="001C4F26"/>
    <w:rsid w:val="001C4FDD"/>
    <w:rsid w:val="001C5317"/>
    <w:rsid w:val="001C56AD"/>
    <w:rsid w:val="001C5815"/>
    <w:rsid w:val="001C5932"/>
    <w:rsid w:val="001C594B"/>
    <w:rsid w:val="001C5A24"/>
    <w:rsid w:val="001C5A5C"/>
    <w:rsid w:val="001C5D73"/>
    <w:rsid w:val="001C5E7A"/>
    <w:rsid w:val="001C5E9E"/>
    <w:rsid w:val="001C5F4C"/>
    <w:rsid w:val="001C60B3"/>
    <w:rsid w:val="001C6118"/>
    <w:rsid w:val="001C61B3"/>
    <w:rsid w:val="001C63F9"/>
    <w:rsid w:val="001C6572"/>
    <w:rsid w:val="001C66E4"/>
    <w:rsid w:val="001C673B"/>
    <w:rsid w:val="001C6827"/>
    <w:rsid w:val="001C6AD9"/>
    <w:rsid w:val="001C6C2E"/>
    <w:rsid w:val="001C6CD5"/>
    <w:rsid w:val="001C711C"/>
    <w:rsid w:val="001C71AF"/>
    <w:rsid w:val="001C7237"/>
    <w:rsid w:val="001C72BA"/>
    <w:rsid w:val="001C72F9"/>
    <w:rsid w:val="001C7360"/>
    <w:rsid w:val="001C748C"/>
    <w:rsid w:val="001C7573"/>
    <w:rsid w:val="001C76CB"/>
    <w:rsid w:val="001C77B9"/>
    <w:rsid w:val="001C788A"/>
    <w:rsid w:val="001C7C30"/>
    <w:rsid w:val="001C7C39"/>
    <w:rsid w:val="001C7C45"/>
    <w:rsid w:val="001C7D67"/>
    <w:rsid w:val="001C7DAC"/>
    <w:rsid w:val="001C7DDB"/>
    <w:rsid w:val="001C7FE6"/>
    <w:rsid w:val="001D0022"/>
    <w:rsid w:val="001D0069"/>
    <w:rsid w:val="001D0124"/>
    <w:rsid w:val="001D0232"/>
    <w:rsid w:val="001D0317"/>
    <w:rsid w:val="001D0348"/>
    <w:rsid w:val="001D04BD"/>
    <w:rsid w:val="001D0522"/>
    <w:rsid w:val="001D055E"/>
    <w:rsid w:val="001D0726"/>
    <w:rsid w:val="001D0945"/>
    <w:rsid w:val="001D09CC"/>
    <w:rsid w:val="001D0AF4"/>
    <w:rsid w:val="001D0C44"/>
    <w:rsid w:val="001D0E01"/>
    <w:rsid w:val="001D0F16"/>
    <w:rsid w:val="001D0FE7"/>
    <w:rsid w:val="001D1024"/>
    <w:rsid w:val="001D10C7"/>
    <w:rsid w:val="001D123F"/>
    <w:rsid w:val="001D12D6"/>
    <w:rsid w:val="001D148A"/>
    <w:rsid w:val="001D17C2"/>
    <w:rsid w:val="001D182C"/>
    <w:rsid w:val="001D18DA"/>
    <w:rsid w:val="001D1FC0"/>
    <w:rsid w:val="001D1FF9"/>
    <w:rsid w:val="001D2050"/>
    <w:rsid w:val="001D2096"/>
    <w:rsid w:val="001D20C7"/>
    <w:rsid w:val="001D21B4"/>
    <w:rsid w:val="001D225C"/>
    <w:rsid w:val="001D23DC"/>
    <w:rsid w:val="001D2469"/>
    <w:rsid w:val="001D2636"/>
    <w:rsid w:val="001D274C"/>
    <w:rsid w:val="001D291D"/>
    <w:rsid w:val="001D2A0F"/>
    <w:rsid w:val="001D2B2B"/>
    <w:rsid w:val="001D2C93"/>
    <w:rsid w:val="001D2CB3"/>
    <w:rsid w:val="001D309A"/>
    <w:rsid w:val="001D3224"/>
    <w:rsid w:val="001D3357"/>
    <w:rsid w:val="001D3551"/>
    <w:rsid w:val="001D3841"/>
    <w:rsid w:val="001D38B3"/>
    <w:rsid w:val="001D391E"/>
    <w:rsid w:val="001D39B1"/>
    <w:rsid w:val="001D3A43"/>
    <w:rsid w:val="001D3AB7"/>
    <w:rsid w:val="001D3C11"/>
    <w:rsid w:val="001D3F6C"/>
    <w:rsid w:val="001D426B"/>
    <w:rsid w:val="001D428D"/>
    <w:rsid w:val="001D42BB"/>
    <w:rsid w:val="001D4304"/>
    <w:rsid w:val="001D431E"/>
    <w:rsid w:val="001D456C"/>
    <w:rsid w:val="001D457C"/>
    <w:rsid w:val="001D4589"/>
    <w:rsid w:val="001D4592"/>
    <w:rsid w:val="001D4A9A"/>
    <w:rsid w:val="001D4AA8"/>
    <w:rsid w:val="001D4B0E"/>
    <w:rsid w:val="001D4B1C"/>
    <w:rsid w:val="001D4CC9"/>
    <w:rsid w:val="001D4D42"/>
    <w:rsid w:val="001D4E3C"/>
    <w:rsid w:val="001D4FA9"/>
    <w:rsid w:val="001D5071"/>
    <w:rsid w:val="001D55A7"/>
    <w:rsid w:val="001D572E"/>
    <w:rsid w:val="001D59E8"/>
    <w:rsid w:val="001D5B1C"/>
    <w:rsid w:val="001D5DE2"/>
    <w:rsid w:val="001D5EC9"/>
    <w:rsid w:val="001D5FB0"/>
    <w:rsid w:val="001D631B"/>
    <w:rsid w:val="001D6986"/>
    <w:rsid w:val="001D6A83"/>
    <w:rsid w:val="001D6B74"/>
    <w:rsid w:val="001D6B90"/>
    <w:rsid w:val="001D6E1E"/>
    <w:rsid w:val="001D6F80"/>
    <w:rsid w:val="001D6FA6"/>
    <w:rsid w:val="001D7051"/>
    <w:rsid w:val="001D7124"/>
    <w:rsid w:val="001D71E3"/>
    <w:rsid w:val="001D7705"/>
    <w:rsid w:val="001D7A20"/>
    <w:rsid w:val="001D7A4B"/>
    <w:rsid w:val="001D7AF3"/>
    <w:rsid w:val="001D7C31"/>
    <w:rsid w:val="001D7C39"/>
    <w:rsid w:val="001D7F3A"/>
    <w:rsid w:val="001E017D"/>
    <w:rsid w:val="001E0575"/>
    <w:rsid w:val="001E0A64"/>
    <w:rsid w:val="001E0B1A"/>
    <w:rsid w:val="001E0D5C"/>
    <w:rsid w:val="001E0DAC"/>
    <w:rsid w:val="001E0DE8"/>
    <w:rsid w:val="001E10CA"/>
    <w:rsid w:val="001E1279"/>
    <w:rsid w:val="001E1397"/>
    <w:rsid w:val="001E1508"/>
    <w:rsid w:val="001E152A"/>
    <w:rsid w:val="001E1713"/>
    <w:rsid w:val="001E174D"/>
    <w:rsid w:val="001E18C2"/>
    <w:rsid w:val="001E18FB"/>
    <w:rsid w:val="001E1D4A"/>
    <w:rsid w:val="001E1DA0"/>
    <w:rsid w:val="001E1E0C"/>
    <w:rsid w:val="001E22B7"/>
    <w:rsid w:val="001E24BD"/>
    <w:rsid w:val="001E24F9"/>
    <w:rsid w:val="001E29A0"/>
    <w:rsid w:val="001E2C13"/>
    <w:rsid w:val="001E2D6E"/>
    <w:rsid w:val="001E2DA0"/>
    <w:rsid w:val="001E2EEE"/>
    <w:rsid w:val="001E3355"/>
    <w:rsid w:val="001E355C"/>
    <w:rsid w:val="001E35D6"/>
    <w:rsid w:val="001E3619"/>
    <w:rsid w:val="001E361B"/>
    <w:rsid w:val="001E365C"/>
    <w:rsid w:val="001E370E"/>
    <w:rsid w:val="001E373A"/>
    <w:rsid w:val="001E3A17"/>
    <w:rsid w:val="001E3C4C"/>
    <w:rsid w:val="001E3DE8"/>
    <w:rsid w:val="001E3E1F"/>
    <w:rsid w:val="001E3F2A"/>
    <w:rsid w:val="001E3F41"/>
    <w:rsid w:val="001E3F6A"/>
    <w:rsid w:val="001E3F73"/>
    <w:rsid w:val="001E410F"/>
    <w:rsid w:val="001E4197"/>
    <w:rsid w:val="001E4442"/>
    <w:rsid w:val="001E451A"/>
    <w:rsid w:val="001E454C"/>
    <w:rsid w:val="001E4969"/>
    <w:rsid w:val="001E49A3"/>
    <w:rsid w:val="001E49F0"/>
    <w:rsid w:val="001E4C01"/>
    <w:rsid w:val="001E4D37"/>
    <w:rsid w:val="001E4D79"/>
    <w:rsid w:val="001E4F98"/>
    <w:rsid w:val="001E5538"/>
    <w:rsid w:val="001E5750"/>
    <w:rsid w:val="001E58B0"/>
    <w:rsid w:val="001E5A04"/>
    <w:rsid w:val="001E5B9C"/>
    <w:rsid w:val="001E5BD8"/>
    <w:rsid w:val="001E5CDB"/>
    <w:rsid w:val="001E611F"/>
    <w:rsid w:val="001E61C5"/>
    <w:rsid w:val="001E6239"/>
    <w:rsid w:val="001E64AB"/>
    <w:rsid w:val="001E64CF"/>
    <w:rsid w:val="001E680E"/>
    <w:rsid w:val="001E687D"/>
    <w:rsid w:val="001E69A2"/>
    <w:rsid w:val="001E6C28"/>
    <w:rsid w:val="001E6C9D"/>
    <w:rsid w:val="001E6D02"/>
    <w:rsid w:val="001E6ECA"/>
    <w:rsid w:val="001E6F37"/>
    <w:rsid w:val="001E6F6F"/>
    <w:rsid w:val="001E6FC2"/>
    <w:rsid w:val="001E6FD2"/>
    <w:rsid w:val="001E712A"/>
    <w:rsid w:val="001E716B"/>
    <w:rsid w:val="001E72FB"/>
    <w:rsid w:val="001E7371"/>
    <w:rsid w:val="001E7520"/>
    <w:rsid w:val="001E7A46"/>
    <w:rsid w:val="001E7A84"/>
    <w:rsid w:val="001E7B72"/>
    <w:rsid w:val="001E7C31"/>
    <w:rsid w:val="001F0270"/>
    <w:rsid w:val="001F0330"/>
    <w:rsid w:val="001F036F"/>
    <w:rsid w:val="001F05BB"/>
    <w:rsid w:val="001F073D"/>
    <w:rsid w:val="001F09D3"/>
    <w:rsid w:val="001F108B"/>
    <w:rsid w:val="001F11B3"/>
    <w:rsid w:val="001F14D5"/>
    <w:rsid w:val="001F15F2"/>
    <w:rsid w:val="001F1AA2"/>
    <w:rsid w:val="001F1BB4"/>
    <w:rsid w:val="001F1C11"/>
    <w:rsid w:val="001F1EEA"/>
    <w:rsid w:val="001F2060"/>
    <w:rsid w:val="001F2125"/>
    <w:rsid w:val="001F2330"/>
    <w:rsid w:val="001F238B"/>
    <w:rsid w:val="001F2485"/>
    <w:rsid w:val="001F268C"/>
    <w:rsid w:val="001F26A8"/>
    <w:rsid w:val="001F2788"/>
    <w:rsid w:val="001F29B9"/>
    <w:rsid w:val="001F2A96"/>
    <w:rsid w:val="001F2AA7"/>
    <w:rsid w:val="001F2ABE"/>
    <w:rsid w:val="001F2FDA"/>
    <w:rsid w:val="001F32A8"/>
    <w:rsid w:val="001F349A"/>
    <w:rsid w:val="001F35A4"/>
    <w:rsid w:val="001F3693"/>
    <w:rsid w:val="001F3B57"/>
    <w:rsid w:val="001F3D6E"/>
    <w:rsid w:val="001F3EB4"/>
    <w:rsid w:val="001F4043"/>
    <w:rsid w:val="001F4352"/>
    <w:rsid w:val="001F43BD"/>
    <w:rsid w:val="001F45B3"/>
    <w:rsid w:val="001F4669"/>
    <w:rsid w:val="001F473F"/>
    <w:rsid w:val="001F47BE"/>
    <w:rsid w:val="001F4847"/>
    <w:rsid w:val="001F4932"/>
    <w:rsid w:val="001F49D3"/>
    <w:rsid w:val="001F4B0F"/>
    <w:rsid w:val="001F4BE3"/>
    <w:rsid w:val="001F4F2E"/>
    <w:rsid w:val="001F508D"/>
    <w:rsid w:val="001F511A"/>
    <w:rsid w:val="001F5282"/>
    <w:rsid w:val="001F5423"/>
    <w:rsid w:val="001F5459"/>
    <w:rsid w:val="001F5506"/>
    <w:rsid w:val="001F559C"/>
    <w:rsid w:val="001F5904"/>
    <w:rsid w:val="001F5A07"/>
    <w:rsid w:val="001F5A11"/>
    <w:rsid w:val="001F5A58"/>
    <w:rsid w:val="001F5A70"/>
    <w:rsid w:val="001F5B00"/>
    <w:rsid w:val="001F5C10"/>
    <w:rsid w:val="001F5C2C"/>
    <w:rsid w:val="001F5DD9"/>
    <w:rsid w:val="001F5EF7"/>
    <w:rsid w:val="001F60F4"/>
    <w:rsid w:val="001F619E"/>
    <w:rsid w:val="001F61A7"/>
    <w:rsid w:val="001F624B"/>
    <w:rsid w:val="001F62BC"/>
    <w:rsid w:val="001F6521"/>
    <w:rsid w:val="001F6712"/>
    <w:rsid w:val="001F6791"/>
    <w:rsid w:val="001F69E9"/>
    <w:rsid w:val="001F6AD6"/>
    <w:rsid w:val="001F6C88"/>
    <w:rsid w:val="001F6CD8"/>
    <w:rsid w:val="001F6D51"/>
    <w:rsid w:val="001F7032"/>
    <w:rsid w:val="001F7037"/>
    <w:rsid w:val="001F71C9"/>
    <w:rsid w:val="001F7689"/>
    <w:rsid w:val="001F776A"/>
    <w:rsid w:val="001F7A5E"/>
    <w:rsid w:val="001F7CB9"/>
    <w:rsid w:val="001F7CE0"/>
    <w:rsid w:val="001F7CF8"/>
    <w:rsid w:val="001F7D0B"/>
    <w:rsid w:val="001F7D3C"/>
    <w:rsid w:val="001F7E1B"/>
    <w:rsid w:val="001F7E40"/>
    <w:rsid w:val="00200117"/>
    <w:rsid w:val="0020017C"/>
    <w:rsid w:val="002001E4"/>
    <w:rsid w:val="00200237"/>
    <w:rsid w:val="002002A9"/>
    <w:rsid w:val="00200359"/>
    <w:rsid w:val="002003B6"/>
    <w:rsid w:val="00200782"/>
    <w:rsid w:val="002007B7"/>
    <w:rsid w:val="00200CDB"/>
    <w:rsid w:val="00200E63"/>
    <w:rsid w:val="00200F8D"/>
    <w:rsid w:val="0020101A"/>
    <w:rsid w:val="0020104C"/>
    <w:rsid w:val="0020133D"/>
    <w:rsid w:val="00201473"/>
    <w:rsid w:val="0020151D"/>
    <w:rsid w:val="00201532"/>
    <w:rsid w:val="00201603"/>
    <w:rsid w:val="00201617"/>
    <w:rsid w:val="002019FD"/>
    <w:rsid w:val="00201A96"/>
    <w:rsid w:val="00201B79"/>
    <w:rsid w:val="00201CF3"/>
    <w:rsid w:val="00201DDA"/>
    <w:rsid w:val="0020210D"/>
    <w:rsid w:val="00202208"/>
    <w:rsid w:val="002022B8"/>
    <w:rsid w:val="002024D8"/>
    <w:rsid w:val="002025B1"/>
    <w:rsid w:val="002025B7"/>
    <w:rsid w:val="00202674"/>
    <w:rsid w:val="00202705"/>
    <w:rsid w:val="00202980"/>
    <w:rsid w:val="00202A0D"/>
    <w:rsid w:val="00202E56"/>
    <w:rsid w:val="00202E84"/>
    <w:rsid w:val="002031A1"/>
    <w:rsid w:val="002032D8"/>
    <w:rsid w:val="002033CD"/>
    <w:rsid w:val="002033D6"/>
    <w:rsid w:val="00203523"/>
    <w:rsid w:val="0020360D"/>
    <w:rsid w:val="00203683"/>
    <w:rsid w:val="0020374F"/>
    <w:rsid w:val="00203758"/>
    <w:rsid w:val="0020393B"/>
    <w:rsid w:val="002039E1"/>
    <w:rsid w:val="00203A6E"/>
    <w:rsid w:val="00203AB0"/>
    <w:rsid w:val="00203F34"/>
    <w:rsid w:val="00204043"/>
    <w:rsid w:val="0020454C"/>
    <w:rsid w:val="00204770"/>
    <w:rsid w:val="00204852"/>
    <w:rsid w:val="0020489F"/>
    <w:rsid w:val="00204AB1"/>
    <w:rsid w:val="00204DEF"/>
    <w:rsid w:val="00204F78"/>
    <w:rsid w:val="00204FD2"/>
    <w:rsid w:val="0020513B"/>
    <w:rsid w:val="002052AC"/>
    <w:rsid w:val="002052B9"/>
    <w:rsid w:val="002052D6"/>
    <w:rsid w:val="00205305"/>
    <w:rsid w:val="002054B4"/>
    <w:rsid w:val="00205567"/>
    <w:rsid w:val="00205615"/>
    <w:rsid w:val="00205682"/>
    <w:rsid w:val="0020572C"/>
    <w:rsid w:val="002057A6"/>
    <w:rsid w:val="002057BE"/>
    <w:rsid w:val="00205BFD"/>
    <w:rsid w:val="00205D55"/>
    <w:rsid w:val="00205E05"/>
    <w:rsid w:val="00205F26"/>
    <w:rsid w:val="00205FA7"/>
    <w:rsid w:val="0020613A"/>
    <w:rsid w:val="002061E5"/>
    <w:rsid w:val="0020626E"/>
    <w:rsid w:val="002062DF"/>
    <w:rsid w:val="002063DB"/>
    <w:rsid w:val="0020646B"/>
    <w:rsid w:val="002064CA"/>
    <w:rsid w:val="002067F4"/>
    <w:rsid w:val="00206819"/>
    <w:rsid w:val="0020692C"/>
    <w:rsid w:val="00206931"/>
    <w:rsid w:val="002069A7"/>
    <w:rsid w:val="00206B3B"/>
    <w:rsid w:val="00206C47"/>
    <w:rsid w:val="00206D17"/>
    <w:rsid w:val="00206E00"/>
    <w:rsid w:val="00206ED6"/>
    <w:rsid w:val="00206F2C"/>
    <w:rsid w:val="00207080"/>
    <w:rsid w:val="0020708B"/>
    <w:rsid w:val="0020751C"/>
    <w:rsid w:val="00207614"/>
    <w:rsid w:val="00207884"/>
    <w:rsid w:val="00207B21"/>
    <w:rsid w:val="00207B68"/>
    <w:rsid w:val="00207BBE"/>
    <w:rsid w:val="00207D2A"/>
    <w:rsid w:val="00207DF2"/>
    <w:rsid w:val="00207E55"/>
    <w:rsid w:val="00207E92"/>
    <w:rsid w:val="00207EC1"/>
    <w:rsid w:val="00207F33"/>
    <w:rsid w:val="002101FF"/>
    <w:rsid w:val="002103A1"/>
    <w:rsid w:val="002105DA"/>
    <w:rsid w:val="0021076F"/>
    <w:rsid w:val="00210A64"/>
    <w:rsid w:val="00210B67"/>
    <w:rsid w:val="00210C6B"/>
    <w:rsid w:val="00210C85"/>
    <w:rsid w:val="00210D1C"/>
    <w:rsid w:val="00210E24"/>
    <w:rsid w:val="00210F72"/>
    <w:rsid w:val="00210FA9"/>
    <w:rsid w:val="002110F7"/>
    <w:rsid w:val="00211257"/>
    <w:rsid w:val="0021151E"/>
    <w:rsid w:val="0021183C"/>
    <w:rsid w:val="00211935"/>
    <w:rsid w:val="00211992"/>
    <w:rsid w:val="00211A80"/>
    <w:rsid w:val="00211AF4"/>
    <w:rsid w:val="00211AF7"/>
    <w:rsid w:val="00211CA4"/>
    <w:rsid w:val="00212087"/>
    <w:rsid w:val="0021232F"/>
    <w:rsid w:val="0021239B"/>
    <w:rsid w:val="0021255C"/>
    <w:rsid w:val="0021261F"/>
    <w:rsid w:val="00212660"/>
    <w:rsid w:val="002127D2"/>
    <w:rsid w:val="002129D3"/>
    <w:rsid w:val="00212C31"/>
    <w:rsid w:val="00212C75"/>
    <w:rsid w:val="00212F80"/>
    <w:rsid w:val="00213223"/>
    <w:rsid w:val="00213312"/>
    <w:rsid w:val="002134B0"/>
    <w:rsid w:val="00213552"/>
    <w:rsid w:val="002136B0"/>
    <w:rsid w:val="002138FF"/>
    <w:rsid w:val="00213A6B"/>
    <w:rsid w:val="00213D20"/>
    <w:rsid w:val="00213D53"/>
    <w:rsid w:val="00213E5E"/>
    <w:rsid w:val="00213ECE"/>
    <w:rsid w:val="00213F82"/>
    <w:rsid w:val="00214129"/>
    <w:rsid w:val="00214218"/>
    <w:rsid w:val="002142C2"/>
    <w:rsid w:val="002144F0"/>
    <w:rsid w:val="002144F9"/>
    <w:rsid w:val="0021455C"/>
    <w:rsid w:val="00214777"/>
    <w:rsid w:val="002149EE"/>
    <w:rsid w:val="00214A69"/>
    <w:rsid w:val="00214BA3"/>
    <w:rsid w:val="00214E7C"/>
    <w:rsid w:val="00214EC1"/>
    <w:rsid w:val="00214F8E"/>
    <w:rsid w:val="0021506B"/>
    <w:rsid w:val="002150DC"/>
    <w:rsid w:val="002151B6"/>
    <w:rsid w:val="00215670"/>
    <w:rsid w:val="0021575E"/>
    <w:rsid w:val="00215984"/>
    <w:rsid w:val="00215B3E"/>
    <w:rsid w:val="00215CE1"/>
    <w:rsid w:val="00215DA5"/>
    <w:rsid w:val="00215E95"/>
    <w:rsid w:val="00215F29"/>
    <w:rsid w:val="0021604E"/>
    <w:rsid w:val="00216082"/>
    <w:rsid w:val="002160A5"/>
    <w:rsid w:val="00216101"/>
    <w:rsid w:val="002161F7"/>
    <w:rsid w:val="002166D0"/>
    <w:rsid w:val="002166D1"/>
    <w:rsid w:val="002169D2"/>
    <w:rsid w:val="00216A6F"/>
    <w:rsid w:val="00216F02"/>
    <w:rsid w:val="0021702C"/>
    <w:rsid w:val="002170F1"/>
    <w:rsid w:val="002172D6"/>
    <w:rsid w:val="00217316"/>
    <w:rsid w:val="0021731F"/>
    <w:rsid w:val="00217336"/>
    <w:rsid w:val="002174B9"/>
    <w:rsid w:val="0021773F"/>
    <w:rsid w:val="0021776F"/>
    <w:rsid w:val="002177FD"/>
    <w:rsid w:val="002178DF"/>
    <w:rsid w:val="00217B0E"/>
    <w:rsid w:val="00217C1D"/>
    <w:rsid w:val="00217CA1"/>
    <w:rsid w:val="00217D1E"/>
    <w:rsid w:val="00217F58"/>
    <w:rsid w:val="00217FF4"/>
    <w:rsid w:val="0021ADC9"/>
    <w:rsid w:val="00220136"/>
    <w:rsid w:val="002201D9"/>
    <w:rsid w:val="002203F3"/>
    <w:rsid w:val="002206C1"/>
    <w:rsid w:val="0022072C"/>
    <w:rsid w:val="00220882"/>
    <w:rsid w:val="00220A6C"/>
    <w:rsid w:val="00220EC9"/>
    <w:rsid w:val="00220F29"/>
    <w:rsid w:val="00220F3C"/>
    <w:rsid w:val="00221294"/>
    <w:rsid w:val="00221460"/>
    <w:rsid w:val="002214A2"/>
    <w:rsid w:val="00221598"/>
    <w:rsid w:val="002216B2"/>
    <w:rsid w:val="002216BA"/>
    <w:rsid w:val="002217D9"/>
    <w:rsid w:val="002218A3"/>
    <w:rsid w:val="00221B97"/>
    <w:rsid w:val="00221CDF"/>
    <w:rsid w:val="00221D83"/>
    <w:rsid w:val="00221EEC"/>
    <w:rsid w:val="00221FAD"/>
    <w:rsid w:val="00222205"/>
    <w:rsid w:val="00222515"/>
    <w:rsid w:val="002226A4"/>
    <w:rsid w:val="00222AF1"/>
    <w:rsid w:val="00222CD8"/>
    <w:rsid w:val="00222E4C"/>
    <w:rsid w:val="0022321E"/>
    <w:rsid w:val="002233CA"/>
    <w:rsid w:val="0022344F"/>
    <w:rsid w:val="00223675"/>
    <w:rsid w:val="002239B1"/>
    <w:rsid w:val="00223B7C"/>
    <w:rsid w:val="00223C67"/>
    <w:rsid w:val="0022482F"/>
    <w:rsid w:val="0022490F"/>
    <w:rsid w:val="0022496B"/>
    <w:rsid w:val="00224A08"/>
    <w:rsid w:val="00224BAF"/>
    <w:rsid w:val="00224C51"/>
    <w:rsid w:val="00224C87"/>
    <w:rsid w:val="00224CD3"/>
    <w:rsid w:val="00224E9C"/>
    <w:rsid w:val="00224F5B"/>
    <w:rsid w:val="00225252"/>
    <w:rsid w:val="002254E8"/>
    <w:rsid w:val="002259A0"/>
    <w:rsid w:val="00225A2E"/>
    <w:rsid w:val="00225B61"/>
    <w:rsid w:val="00225B6F"/>
    <w:rsid w:val="00225CA8"/>
    <w:rsid w:val="00225D6E"/>
    <w:rsid w:val="00225F79"/>
    <w:rsid w:val="00225F9C"/>
    <w:rsid w:val="002260CF"/>
    <w:rsid w:val="0022639E"/>
    <w:rsid w:val="00226481"/>
    <w:rsid w:val="00226751"/>
    <w:rsid w:val="002268E6"/>
    <w:rsid w:val="002269EB"/>
    <w:rsid w:val="00226C34"/>
    <w:rsid w:val="00226D68"/>
    <w:rsid w:val="00226DE1"/>
    <w:rsid w:val="00226F7D"/>
    <w:rsid w:val="00226F8C"/>
    <w:rsid w:val="002270E5"/>
    <w:rsid w:val="0022732F"/>
    <w:rsid w:val="002273BC"/>
    <w:rsid w:val="002274E5"/>
    <w:rsid w:val="002274EC"/>
    <w:rsid w:val="0022767B"/>
    <w:rsid w:val="002278B5"/>
    <w:rsid w:val="002278BA"/>
    <w:rsid w:val="00227C69"/>
    <w:rsid w:val="00227CAB"/>
    <w:rsid w:val="00227E02"/>
    <w:rsid w:val="00227EA5"/>
    <w:rsid w:val="00227EBE"/>
    <w:rsid w:val="00227FCB"/>
    <w:rsid w:val="00230500"/>
    <w:rsid w:val="00230533"/>
    <w:rsid w:val="002306B7"/>
    <w:rsid w:val="00230909"/>
    <w:rsid w:val="00230997"/>
    <w:rsid w:val="00230CAB"/>
    <w:rsid w:val="002312D2"/>
    <w:rsid w:val="00231331"/>
    <w:rsid w:val="0023184A"/>
    <w:rsid w:val="00231B10"/>
    <w:rsid w:val="00231B47"/>
    <w:rsid w:val="00231CB6"/>
    <w:rsid w:val="00231D92"/>
    <w:rsid w:val="00231E9F"/>
    <w:rsid w:val="00231FEB"/>
    <w:rsid w:val="00232040"/>
    <w:rsid w:val="00232723"/>
    <w:rsid w:val="00232763"/>
    <w:rsid w:val="002327C9"/>
    <w:rsid w:val="002328AD"/>
    <w:rsid w:val="00232D1E"/>
    <w:rsid w:val="00232E1C"/>
    <w:rsid w:val="00232FD7"/>
    <w:rsid w:val="002330A3"/>
    <w:rsid w:val="0023355B"/>
    <w:rsid w:val="002335E9"/>
    <w:rsid w:val="00233755"/>
    <w:rsid w:val="00233A0A"/>
    <w:rsid w:val="00233ACD"/>
    <w:rsid w:val="00233AD5"/>
    <w:rsid w:val="00233CED"/>
    <w:rsid w:val="00233D5C"/>
    <w:rsid w:val="00233E35"/>
    <w:rsid w:val="00233FBB"/>
    <w:rsid w:val="0023413B"/>
    <w:rsid w:val="002341FC"/>
    <w:rsid w:val="002347A2"/>
    <w:rsid w:val="002348E3"/>
    <w:rsid w:val="00234D4D"/>
    <w:rsid w:val="00234F87"/>
    <w:rsid w:val="00235071"/>
    <w:rsid w:val="0023511D"/>
    <w:rsid w:val="002351E7"/>
    <w:rsid w:val="0023524E"/>
    <w:rsid w:val="0023539F"/>
    <w:rsid w:val="002353C4"/>
    <w:rsid w:val="00235543"/>
    <w:rsid w:val="002357F6"/>
    <w:rsid w:val="0023585D"/>
    <w:rsid w:val="00235A26"/>
    <w:rsid w:val="00235DF3"/>
    <w:rsid w:val="00235DFC"/>
    <w:rsid w:val="00235FE6"/>
    <w:rsid w:val="00236272"/>
    <w:rsid w:val="002363AD"/>
    <w:rsid w:val="0023640B"/>
    <w:rsid w:val="0023652F"/>
    <w:rsid w:val="0023661E"/>
    <w:rsid w:val="0023680A"/>
    <w:rsid w:val="00236888"/>
    <w:rsid w:val="002368E8"/>
    <w:rsid w:val="00236C66"/>
    <w:rsid w:val="00236EBF"/>
    <w:rsid w:val="00236F8B"/>
    <w:rsid w:val="002370E1"/>
    <w:rsid w:val="00237303"/>
    <w:rsid w:val="0023736C"/>
    <w:rsid w:val="002374B2"/>
    <w:rsid w:val="002375F4"/>
    <w:rsid w:val="0023786C"/>
    <w:rsid w:val="00237993"/>
    <w:rsid w:val="00237A47"/>
    <w:rsid w:val="00237AB2"/>
    <w:rsid w:val="00237B28"/>
    <w:rsid w:val="00237BF5"/>
    <w:rsid w:val="00237D9E"/>
    <w:rsid w:val="00237EA2"/>
    <w:rsid w:val="00237FEB"/>
    <w:rsid w:val="002403CD"/>
    <w:rsid w:val="00240418"/>
    <w:rsid w:val="0024055E"/>
    <w:rsid w:val="002405A6"/>
    <w:rsid w:val="00240654"/>
    <w:rsid w:val="00240A92"/>
    <w:rsid w:val="00240B29"/>
    <w:rsid w:val="00240CA5"/>
    <w:rsid w:val="00240DD0"/>
    <w:rsid w:val="00240E4F"/>
    <w:rsid w:val="00240F03"/>
    <w:rsid w:val="00240F40"/>
    <w:rsid w:val="0024134C"/>
    <w:rsid w:val="002413B5"/>
    <w:rsid w:val="002413D6"/>
    <w:rsid w:val="002413D9"/>
    <w:rsid w:val="00241454"/>
    <w:rsid w:val="00241679"/>
    <w:rsid w:val="00241738"/>
    <w:rsid w:val="00241A11"/>
    <w:rsid w:val="00241A1C"/>
    <w:rsid w:val="00241ABD"/>
    <w:rsid w:val="00241C9F"/>
    <w:rsid w:val="00241CBD"/>
    <w:rsid w:val="00241F9C"/>
    <w:rsid w:val="00242086"/>
    <w:rsid w:val="00242098"/>
    <w:rsid w:val="002420D6"/>
    <w:rsid w:val="002421C8"/>
    <w:rsid w:val="002421CE"/>
    <w:rsid w:val="002422DD"/>
    <w:rsid w:val="0024257A"/>
    <w:rsid w:val="002425C2"/>
    <w:rsid w:val="00242A4C"/>
    <w:rsid w:val="00242B00"/>
    <w:rsid w:val="00242B0F"/>
    <w:rsid w:val="00242C41"/>
    <w:rsid w:val="00242D9B"/>
    <w:rsid w:val="00243185"/>
    <w:rsid w:val="002432CF"/>
    <w:rsid w:val="002437A8"/>
    <w:rsid w:val="002437FE"/>
    <w:rsid w:val="002439A8"/>
    <w:rsid w:val="002439E2"/>
    <w:rsid w:val="00243A11"/>
    <w:rsid w:val="00243E7F"/>
    <w:rsid w:val="00243EA7"/>
    <w:rsid w:val="00243ED4"/>
    <w:rsid w:val="00243EF2"/>
    <w:rsid w:val="00244022"/>
    <w:rsid w:val="00244328"/>
    <w:rsid w:val="002443A4"/>
    <w:rsid w:val="0024461B"/>
    <w:rsid w:val="002446E2"/>
    <w:rsid w:val="00244789"/>
    <w:rsid w:val="0024479B"/>
    <w:rsid w:val="00244D6B"/>
    <w:rsid w:val="00244DF4"/>
    <w:rsid w:val="00244F13"/>
    <w:rsid w:val="002450B8"/>
    <w:rsid w:val="0024515B"/>
    <w:rsid w:val="002453FA"/>
    <w:rsid w:val="002454B2"/>
    <w:rsid w:val="00245778"/>
    <w:rsid w:val="0024591A"/>
    <w:rsid w:val="00245A3D"/>
    <w:rsid w:val="00245B0C"/>
    <w:rsid w:val="00245CC7"/>
    <w:rsid w:val="00245DE7"/>
    <w:rsid w:val="00246190"/>
    <w:rsid w:val="002461B0"/>
    <w:rsid w:val="00246360"/>
    <w:rsid w:val="0024637C"/>
    <w:rsid w:val="002464BD"/>
    <w:rsid w:val="0024670C"/>
    <w:rsid w:val="002467E7"/>
    <w:rsid w:val="00246914"/>
    <w:rsid w:val="002469CB"/>
    <w:rsid w:val="002469E6"/>
    <w:rsid w:val="00246AAB"/>
    <w:rsid w:val="00246AF8"/>
    <w:rsid w:val="00246B15"/>
    <w:rsid w:val="00246BFF"/>
    <w:rsid w:val="00246C46"/>
    <w:rsid w:val="00246D64"/>
    <w:rsid w:val="00246EBD"/>
    <w:rsid w:val="00246ED8"/>
    <w:rsid w:val="00246F3D"/>
    <w:rsid w:val="0024717D"/>
    <w:rsid w:val="002471A0"/>
    <w:rsid w:val="002473F7"/>
    <w:rsid w:val="00247466"/>
    <w:rsid w:val="00247669"/>
    <w:rsid w:val="00247C07"/>
    <w:rsid w:val="00247C64"/>
    <w:rsid w:val="00250259"/>
    <w:rsid w:val="0025027B"/>
    <w:rsid w:val="0025048B"/>
    <w:rsid w:val="002504C1"/>
    <w:rsid w:val="00250583"/>
    <w:rsid w:val="002506D0"/>
    <w:rsid w:val="0025099F"/>
    <w:rsid w:val="00250B89"/>
    <w:rsid w:val="00250DA4"/>
    <w:rsid w:val="00250DFA"/>
    <w:rsid w:val="00250E19"/>
    <w:rsid w:val="00250EB8"/>
    <w:rsid w:val="00250F62"/>
    <w:rsid w:val="002510FE"/>
    <w:rsid w:val="00251175"/>
    <w:rsid w:val="0025123F"/>
    <w:rsid w:val="00251280"/>
    <w:rsid w:val="002513BF"/>
    <w:rsid w:val="0025146C"/>
    <w:rsid w:val="002515B0"/>
    <w:rsid w:val="002515D9"/>
    <w:rsid w:val="002517D2"/>
    <w:rsid w:val="002518F8"/>
    <w:rsid w:val="0025190C"/>
    <w:rsid w:val="002519D9"/>
    <w:rsid w:val="002519DC"/>
    <w:rsid w:val="002519F7"/>
    <w:rsid w:val="00251A21"/>
    <w:rsid w:val="00251ED1"/>
    <w:rsid w:val="00251F17"/>
    <w:rsid w:val="00251F19"/>
    <w:rsid w:val="00251F8D"/>
    <w:rsid w:val="00251FE2"/>
    <w:rsid w:val="00252285"/>
    <w:rsid w:val="0025253C"/>
    <w:rsid w:val="00252C62"/>
    <w:rsid w:val="00252CCE"/>
    <w:rsid w:val="0025306F"/>
    <w:rsid w:val="002530A8"/>
    <w:rsid w:val="00253225"/>
    <w:rsid w:val="002532DC"/>
    <w:rsid w:val="00253303"/>
    <w:rsid w:val="00253356"/>
    <w:rsid w:val="00253709"/>
    <w:rsid w:val="0025375A"/>
    <w:rsid w:val="00253768"/>
    <w:rsid w:val="002537AB"/>
    <w:rsid w:val="00253809"/>
    <w:rsid w:val="00253960"/>
    <w:rsid w:val="002539B3"/>
    <w:rsid w:val="00253BFA"/>
    <w:rsid w:val="00253F4D"/>
    <w:rsid w:val="002540C7"/>
    <w:rsid w:val="00254208"/>
    <w:rsid w:val="002543D6"/>
    <w:rsid w:val="002543F3"/>
    <w:rsid w:val="0025464F"/>
    <w:rsid w:val="002547FC"/>
    <w:rsid w:val="00254817"/>
    <w:rsid w:val="002549D1"/>
    <w:rsid w:val="00254C14"/>
    <w:rsid w:val="00254D12"/>
    <w:rsid w:val="00254E25"/>
    <w:rsid w:val="00254E86"/>
    <w:rsid w:val="00254F82"/>
    <w:rsid w:val="00255079"/>
    <w:rsid w:val="00255095"/>
    <w:rsid w:val="002551F1"/>
    <w:rsid w:val="002551F4"/>
    <w:rsid w:val="0025541A"/>
    <w:rsid w:val="00255441"/>
    <w:rsid w:val="0025551B"/>
    <w:rsid w:val="002555AC"/>
    <w:rsid w:val="002555C0"/>
    <w:rsid w:val="002556F3"/>
    <w:rsid w:val="0025572C"/>
    <w:rsid w:val="00255751"/>
    <w:rsid w:val="002557AB"/>
    <w:rsid w:val="00255B70"/>
    <w:rsid w:val="00255DE2"/>
    <w:rsid w:val="00255EF8"/>
    <w:rsid w:val="00256301"/>
    <w:rsid w:val="00256619"/>
    <w:rsid w:val="00256667"/>
    <w:rsid w:val="00256692"/>
    <w:rsid w:val="002567C4"/>
    <w:rsid w:val="002568BE"/>
    <w:rsid w:val="00256BB0"/>
    <w:rsid w:val="00256BDD"/>
    <w:rsid w:val="00256BE7"/>
    <w:rsid w:val="00256D8F"/>
    <w:rsid w:val="00256DC0"/>
    <w:rsid w:val="00256DF9"/>
    <w:rsid w:val="00256E1E"/>
    <w:rsid w:val="00256F63"/>
    <w:rsid w:val="002570A0"/>
    <w:rsid w:val="002570CB"/>
    <w:rsid w:val="00257269"/>
    <w:rsid w:val="00257316"/>
    <w:rsid w:val="0025743F"/>
    <w:rsid w:val="002574A3"/>
    <w:rsid w:val="002576F6"/>
    <w:rsid w:val="002578CE"/>
    <w:rsid w:val="00257B29"/>
    <w:rsid w:val="00257BCE"/>
    <w:rsid w:val="00257BDD"/>
    <w:rsid w:val="00257C3B"/>
    <w:rsid w:val="00257D15"/>
    <w:rsid w:val="00257D1F"/>
    <w:rsid w:val="00257D90"/>
    <w:rsid w:val="00257E76"/>
    <w:rsid w:val="002602FD"/>
    <w:rsid w:val="002604ED"/>
    <w:rsid w:val="00260536"/>
    <w:rsid w:val="0026082D"/>
    <w:rsid w:val="00260950"/>
    <w:rsid w:val="00260970"/>
    <w:rsid w:val="00260BD2"/>
    <w:rsid w:val="00260BD3"/>
    <w:rsid w:val="00260CC2"/>
    <w:rsid w:val="0026160F"/>
    <w:rsid w:val="00261650"/>
    <w:rsid w:val="00261762"/>
    <w:rsid w:val="0026191F"/>
    <w:rsid w:val="00261D32"/>
    <w:rsid w:val="00261FA9"/>
    <w:rsid w:val="002620EC"/>
    <w:rsid w:val="002621F0"/>
    <w:rsid w:val="00262437"/>
    <w:rsid w:val="00262457"/>
    <w:rsid w:val="00262949"/>
    <w:rsid w:val="00262B0D"/>
    <w:rsid w:val="00262B63"/>
    <w:rsid w:val="00262C7D"/>
    <w:rsid w:val="00262DBE"/>
    <w:rsid w:val="00262E47"/>
    <w:rsid w:val="00262EF4"/>
    <w:rsid w:val="00262FE5"/>
    <w:rsid w:val="00263319"/>
    <w:rsid w:val="00263411"/>
    <w:rsid w:val="00263731"/>
    <w:rsid w:val="0026379C"/>
    <w:rsid w:val="002637CE"/>
    <w:rsid w:val="0026388F"/>
    <w:rsid w:val="00263D70"/>
    <w:rsid w:val="00263EC9"/>
    <w:rsid w:val="002643F9"/>
    <w:rsid w:val="002644F3"/>
    <w:rsid w:val="002645BE"/>
    <w:rsid w:val="0026460E"/>
    <w:rsid w:val="0026481F"/>
    <w:rsid w:val="00264B00"/>
    <w:rsid w:val="00264DEC"/>
    <w:rsid w:val="00265043"/>
    <w:rsid w:val="00265153"/>
    <w:rsid w:val="002651F5"/>
    <w:rsid w:val="0026553C"/>
    <w:rsid w:val="00265541"/>
    <w:rsid w:val="0026564E"/>
    <w:rsid w:val="0026569A"/>
    <w:rsid w:val="002656AB"/>
    <w:rsid w:val="00265ADF"/>
    <w:rsid w:val="00265D49"/>
    <w:rsid w:val="00265E19"/>
    <w:rsid w:val="00265EBA"/>
    <w:rsid w:val="0026604F"/>
    <w:rsid w:val="002664F4"/>
    <w:rsid w:val="00266540"/>
    <w:rsid w:val="00266AD3"/>
    <w:rsid w:val="00266BB6"/>
    <w:rsid w:val="00266D38"/>
    <w:rsid w:val="00266D81"/>
    <w:rsid w:val="00266F56"/>
    <w:rsid w:val="00267842"/>
    <w:rsid w:val="0026784A"/>
    <w:rsid w:val="002678A0"/>
    <w:rsid w:val="00267995"/>
    <w:rsid w:val="00267A4A"/>
    <w:rsid w:val="00267C9D"/>
    <w:rsid w:val="00267D52"/>
    <w:rsid w:val="00267D83"/>
    <w:rsid w:val="00267DAD"/>
    <w:rsid w:val="002703B2"/>
    <w:rsid w:val="00270438"/>
    <w:rsid w:val="00270498"/>
    <w:rsid w:val="002705D5"/>
    <w:rsid w:val="0027069B"/>
    <w:rsid w:val="002706AB"/>
    <w:rsid w:val="0027074E"/>
    <w:rsid w:val="002707A5"/>
    <w:rsid w:val="00270A3A"/>
    <w:rsid w:val="00270D13"/>
    <w:rsid w:val="00270D1E"/>
    <w:rsid w:val="0027107E"/>
    <w:rsid w:val="00271274"/>
    <w:rsid w:val="002712B1"/>
    <w:rsid w:val="00271680"/>
    <w:rsid w:val="002718D6"/>
    <w:rsid w:val="00271AB7"/>
    <w:rsid w:val="00271C29"/>
    <w:rsid w:val="00271D2F"/>
    <w:rsid w:val="00271D70"/>
    <w:rsid w:val="00271FAD"/>
    <w:rsid w:val="0027225E"/>
    <w:rsid w:val="00272371"/>
    <w:rsid w:val="00272539"/>
    <w:rsid w:val="0027267A"/>
    <w:rsid w:val="00272A8C"/>
    <w:rsid w:val="00272CF7"/>
    <w:rsid w:val="00272D35"/>
    <w:rsid w:val="00272F62"/>
    <w:rsid w:val="00272FA0"/>
    <w:rsid w:val="00273320"/>
    <w:rsid w:val="00273493"/>
    <w:rsid w:val="00273495"/>
    <w:rsid w:val="002734BE"/>
    <w:rsid w:val="0027352D"/>
    <w:rsid w:val="00273566"/>
    <w:rsid w:val="00273609"/>
    <w:rsid w:val="00273700"/>
    <w:rsid w:val="00273795"/>
    <w:rsid w:val="00273A3C"/>
    <w:rsid w:val="00273AE5"/>
    <w:rsid w:val="00273B9C"/>
    <w:rsid w:val="00273C80"/>
    <w:rsid w:val="00273CD4"/>
    <w:rsid w:val="00273E59"/>
    <w:rsid w:val="00274176"/>
    <w:rsid w:val="002741AD"/>
    <w:rsid w:val="002743E1"/>
    <w:rsid w:val="0027469A"/>
    <w:rsid w:val="00274726"/>
    <w:rsid w:val="00274AE5"/>
    <w:rsid w:val="00274EE3"/>
    <w:rsid w:val="0027514E"/>
    <w:rsid w:val="00275179"/>
    <w:rsid w:val="00275187"/>
    <w:rsid w:val="0027522C"/>
    <w:rsid w:val="002752E8"/>
    <w:rsid w:val="00275665"/>
    <w:rsid w:val="002757EA"/>
    <w:rsid w:val="0027597A"/>
    <w:rsid w:val="00275BF3"/>
    <w:rsid w:val="00275F21"/>
    <w:rsid w:val="00275F75"/>
    <w:rsid w:val="00276400"/>
    <w:rsid w:val="00276531"/>
    <w:rsid w:val="002766E8"/>
    <w:rsid w:val="00276769"/>
    <w:rsid w:val="002769B4"/>
    <w:rsid w:val="00276B36"/>
    <w:rsid w:val="00276C24"/>
    <w:rsid w:val="00276F11"/>
    <w:rsid w:val="002773BD"/>
    <w:rsid w:val="00277430"/>
    <w:rsid w:val="00277453"/>
    <w:rsid w:val="0027779A"/>
    <w:rsid w:val="00277A6E"/>
    <w:rsid w:val="00277AF5"/>
    <w:rsid w:val="00277BCE"/>
    <w:rsid w:val="00277CE1"/>
    <w:rsid w:val="00277D56"/>
    <w:rsid w:val="00277EEC"/>
    <w:rsid w:val="00277FF5"/>
    <w:rsid w:val="002802A2"/>
    <w:rsid w:val="002805A1"/>
    <w:rsid w:val="00280788"/>
    <w:rsid w:val="00280950"/>
    <w:rsid w:val="00280A38"/>
    <w:rsid w:val="00280B50"/>
    <w:rsid w:val="00280BED"/>
    <w:rsid w:val="00280C30"/>
    <w:rsid w:val="00280CCA"/>
    <w:rsid w:val="00280D02"/>
    <w:rsid w:val="00280DF8"/>
    <w:rsid w:val="0028121B"/>
    <w:rsid w:val="0028125B"/>
    <w:rsid w:val="002812A1"/>
    <w:rsid w:val="00281350"/>
    <w:rsid w:val="0028142D"/>
    <w:rsid w:val="002815D0"/>
    <w:rsid w:val="0028162A"/>
    <w:rsid w:val="00281665"/>
    <w:rsid w:val="00281744"/>
    <w:rsid w:val="00281945"/>
    <w:rsid w:val="00281A10"/>
    <w:rsid w:val="00281BB4"/>
    <w:rsid w:val="00281C6B"/>
    <w:rsid w:val="00281C98"/>
    <w:rsid w:val="00281D31"/>
    <w:rsid w:val="00281E7E"/>
    <w:rsid w:val="00281EA7"/>
    <w:rsid w:val="00281FAF"/>
    <w:rsid w:val="002820DB"/>
    <w:rsid w:val="00282127"/>
    <w:rsid w:val="002824DB"/>
    <w:rsid w:val="002825F2"/>
    <w:rsid w:val="002826C7"/>
    <w:rsid w:val="0028278C"/>
    <w:rsid w:val="002827CB"/>
    <w:rsid w:val="00282818"/>
    <w:rsid w:val="00282A48"/>
    <w:rsid w:val="00282A6E"/>
    <w:rsid w:val="00282B64"/>
    <w:rsid w:val="00282CED"/>
    <w:rsid w:val="00282D31"/>
    <w:rsid w:val="00282DE4"/>
    <w:rsid w:val="00282EFA"/>
    <w:rsid w:val="00282F31"/>
    <w:rsid w:val="00282F56"/>
    <w:rsid w:val="0028319A"/>
    <w:rsid w:val="00283348"/>
    <w:rsid w:val="0028339C"/>
    <w:rsid w:val="00283576"/>
    <w:rsid w:val="002836DD"/>
    <w:rsid w:val="002837FC"/>
    <w:rsid w:val="00283C0A"/>
    <w:rsid w:val="00283DE2"/>
    <w:rsid w:val="00283EFE"/>
    <w:rsid w:val="00283F3B"/>
    <w:rsid w:val="00283F3C"/>
    <w:rsid w:val="002840EE"/>
    <w:rsid w:val="002842BB"/>
    <w:rsid w:val="002843BA"/>
    <w:rsid w:val="00284405"/>
    <w:rsid w:val="00284415"/>
    <w:rsid w:val="00284697"/>
    <w:rsid w:val="002846DC"/>
    <w:rsid w:val="00284880"/>
    <w:rsid w:val="0028498B"/>
    <w:rsid w:val="00284A0E"/>
    <w:rsid w:val="00284C30"/>
    <w:rsid w:val="00284D69"/>
    <w:rsid w:val="00284E2E"/>
    <w:rsid w:val="00285162"/>
    <w:rsid w:val="0028536F"/>
    <w:rsid w:val="0028539A"/>
    <w:rsid w:val="0028541B"/>
    <w:rsid w:val="00285461"/>
    <w:rsid w:val="0028547D"/>
    <w:rsid w:val="00285533"/>
    <w:rsid w:val="00285773"/>
    <w:rsid w:val="002857ED"/>
    <w:rsid w:val="00285BFB"/>
    <w:rsid w:val="00285CD7"/>
    <w:rsid w:val="00285FF6"/>
    <w:rsid w:val="00286282"/>
    <w:rsid w:val="0028641C"/>
    <w:rsid w:val="00286572"/>
    <w:rsid w:val="002867F3"/>
    <w:rsid w:val="00286B5D"/>
    <w:rsid w:val="00286CEF"/>
    <w:rsid w:val="00286D18"/>
    <w:rsid w:val="00286DA1"/>
    <w:rsid w:val="00286DFF"/>
    <w:rsid w:val="0028708D"/>
    <w:rsid w:val="002871D9"/>
    <w:rsid w:val="002871FD"/>
    <w:rsid w:val="00287200"/>
    <w:rsid w:val="0028720C"/>
    <w:rsid w:val="0028755A"/>
    <w:rsid w:val="002876F8"/>
    <w:rsid w:val="00287747"/>
    <w:rsid w:val="00287AEF"/>
    <w:rsid w:val="00287BA8"/>
    <w:rsid w:val="00287C5C"/>
    <w:rsid w:val="00287DF9"/>
    <w:rsid w:val="00290149"/>
    <w:rsid w:val="002901DE"/>
    <w:rsid w:val="002902B6"/>
    <w:rsid w:val="00290335"/>
    <w:rsid w:val="002905B8"/>
    <w:rsid w:val="0029075E"/>
    <w:rsid w:val="002908C7"/>
    <w:rsid w:val="00290AC0"/>
    <w:rsid w:val="00290ACD"/>
    <w:rsid w:val="00290C67"/>
    <w:rsid w:val="00290CF3"/>
    <w:rsid w:val="00290EF0"/>
    <w:rsid w:val="0029106B"/>
    <w:rsid w:val="002912EF"/>
    <w:rsid w:val="002914BB"/>
    <w:rsid w:val="002914D6"/>
    <w:rsid w:val="00291505"/>
    <w:rsid w:val="0029158C"/>
    <w:rsid w:val="002915A1"/>
    <w:rsid w:val="00291616"/>
    <w:rsid w:val="002917FA"/>
    <w:rsid w:val="0029198D"/>
    <w:rsid w:val="00291D44"/>
    <w:rsid w:val="00291EA2"/>
    <w:rsid w:val="00291EF8"/>
    <w:rsid w:val="00292148"/>
    <w:rsid w:val="002927A7"/>
    <w:rsid w:val="002928AB"/>
    <w:rsid w:val="00292A8F"/>
    <w:rsid w:val="00292D1A"/>
    <w:rsid w:val="00292FFC"/>
    <w:rsid w:val="00293631"/>
    <w:rsid w:val="0029372B"/>
    <w:rsid w:val="00293CBB"/>
    <w:rsid w:val="00293CD7"/>
    <w:rsid w:val="00293DA6"/>
    <w:rsid w:val="00293DF7"/>
    <w:rsid w:val="00293EFB"/>
    <w:rsid w:val="00294067"/>
    <w:rsid w:val="00294082"/>
    <w:rsid w:val="0029410F"/>
    <w:rsid w:val="00294432"/>
    <w:rsid w:val="0029443F"/>
    <w:rsid w:val="00294683"/>
    <w:rsid w:val="002946B8"/>
    <w:rsid w:val="00294702"/>
    <w:rsid w:val="002948C7"/>
    <w:rsid w:val="00294972"/>
    <w:rsid w:val="00294A92"/>
    <w:rsid w:val="00294C76"/>
    <w:rsid w:val="00294D1B"/>
    <w:rsid w:val="00294D69"/>
    <w:rsid w:val="00294DD5"/>
    <w:rsid w:val="00294EED"/>
    <w:rsid w:val="00294F13"/>
    <w:rsid w:val="0029529C"/>
    <w:rsid w:val="002952E9"/>
    <w:rsid w:val="00295366"/>
    <w:rsid w:val="0029541E"/>
    <w:rsid w:val="002954FC"/>
    <w:rsid w:val="0029554D"/>
    <w:rsid w:val="002956FC"/>
    <w:rsid w:val="00295709"/>
    <w:rsid w:val="00295AAB"/>
    <w:rsid w:val="00295ACD"/>
    <w:rsid w:val="00295B1B"/>
    <w:rsid w:val="00295B59"/>
    <w:rsid w:val="00295C88"/>
    <w:rsid w:val="00295ED4"/>
    <w:rsid w:val="00295F3A"/>
    <w:rsid w:val="00295F74"/>
    <w:rsid w:val="00295F79"/>
    <w:rsid w:val="002961DF"/>
    <w:rsid w:val="0029633B"/>
    <w:rsid w:val="0029650B"/>
    <w:rsid w:val="00296939"/>
    <w:rsid w:val="00296A07"/>
    <w:rsid w:val="00296A7A"/>
    <w:rsid w:val="00296CC2"/>
    <w:rsid w:val="00296CD3"/>
    <w:rsid w:val="00296F77"/>
    <w:rsid w:val="00296FA4"/>
    <w:rsid w:val="00297127"/>
    <w:rsid w:val="002973A1"/>
    <w:rsid w:val="002973CF"/>
    <w:rsid w:val="002973FD"/>
    <w:rsid w:val="00297518"/>
    <w:rsid w:val="00297666"/>
    <w:rsid w:val="002978A8"/>
    <w:rsid w:val="00297EF8"/>
    <w:rsid w:val="002A00CE"/>
    <w:rsid w:val="002A01FA"/>
    <w:rsid w:val="002A0306"/>
    <w:rsid w:val="002A038A"/>
    <w:rsid w:val="002A039A"/>
    <w:rsid w:val="002A05CA"/>
    <w:rsid w:val="002A05FF"/>
    <w:rsid w:val="002A0670"/>
    <w:rsid w:val="002A06CC"/>
    <w:rsid w:val="002A06DA"/>
    <w:rsid w:val="002A092B"/>
    <w:rsid w:val="002A0A74"/>
    <w:rsid w:val="002A0CD0"/>
    <w:rsid w:val="002A0E09"/>
    <w:rsid w:val="002A0E62"/>
    <w:rsid w:val="002A0F2C"/>
    <w:rsid w:val="002A10D5"/>
    <w:rsid w:val="002A130C"/>
    <w:rsid w:val="002A136B"/>
    <w:rsid w:val="002A1385"/>
    <w:rsid w:val="002A1715"/>
    <w:rsid w:val="002A1AA9"/>
    <w:rsid w:val="002A1B45"/>
    <w:rsid w:val="002A1C0E"/>
    <w:rsid w:val="002A1EEF"/>
    <w:rsid w:val="002A1FA1"/>
    <w:rsid w:val="002A202A"/>
    <w:rsid w:val="002A2067"/>
    <w:rsid w:val="002A2278"/>
    <w:rsid w:val="002A2385"/>
    <w:rsid w:val="002A2392"/>
    <w:rsid w:val="002A23B3"/>
    <w:rsid w:val="002A23F1"/>
    <w:rsid w:val="002A244B"/>
    <w:rsid w:val="002A26D2"/>
    <w:rsid w:val="002A27B1"/>
    <w:rsid w:val="002A2872"/>
    <w:rsid w:val="002A2891"/>
    <w:rsid w:val="002A2905"/>
    <w:rsid w:val="002A2916"/>
    <w:rsid w:val="002A2BF7"/>
    <w:rsid w:val="002A2DA0"/>
    <w:rsid w:val="002A2E07"/>
    <w:rsid w:val="002A2E4B"/>
    <w:rsid w:val="002A3196"/>
    <w:rsid w:val="002A31C0"/>
    <w:rsid w:val="002A33CA"/>
    <w:rsid w:val="002A3477"/>
    <w:rsid w:val="002A3478"/>
    <w:rsid w:val="002A3577"/>
    <w:rsid w:val="002A3969"/>
    <w:rsid w:val="002A39E9"/>
    <w:rsid w:val="002A3BE6"/>
    <w:rsid w:val="002A3C54"/>
    <w:rsid w:val="002A3CE3"/>
    <w:rsid w:val="002A3D20"/>
    <w:rsid w:val="002A3DF2"/>
    <w:rsid w:val="002A3ECC"/>
    <w:rsid w:val="002A4148"/>
    <w:rsid w:val="002A456F"/>
    <w:rsid w:val="002A45A0"/>
    <w:rsid w:val="002A45DF"/>
    <w:rsid w:val="002A48D3"/>
    <w:rsid w:val="002A49DA"/>
    <w:rsid w:val="002A4C08"/>
    <w:rsid w:val="002A4DD5"/>
    <w:rsid w:val="002A4E7D"/>
    <w:rsid w:val="002A4EB9"/>
    <w:rsid w:val="002A5385"/>
    <w:rsid w:val="002A53F8"/>
    <w:rsid w:val="002A5462"/>
    <w:rsid w:val="002A5555"/>
    <w:rsid w:val="002A5974"/>
    <w:rsid w:val="002A5A5B"/>
    <w:rsid w:val="002A5B81"/>
    <w:rsid w:val="002A5D11"/>
    <w:rsid w:val="002A5D74"/>
    <w:rsid w:val="002A6116"/>
    <w:rsid w:val="002A64F5"/>
    <w:rsid w:val="002A696A"/>
    <w:rsid w:val="002A6B53"/>
    <w:rsid w:val="002A6BA5"/>
    <w:rsid w:val="002A6C20"/>
    <w:rsid w:val="002A6E2B"/>
    <w:rsid w:val="002A6F07"/>
    <w:rsid w:val="002A724F"/>
    <w:rsid w:val="002A7330"/>
    <w:rsid w:val="002A736D"/>
    <w:rsid w:val="002A73CF"/>
    <w:rsid w:val="002A73FE"/>
    <w:rsid w:val="002A772D"/>
    <w:rsid w:val="002A77C1"/>
    <w:rsid w:val="002A797B"/>
    <w:rsid w:val="002A7D14"/>
    <w:rsid w:val="002B03AF"/>
    <w:rsid w:val="002B04FB"/>
    <w:rsid w:val="002B061B"/>
    <w:rsid w:val="002B06FD"/>
    <w:rsid w:val="002B0783"/>
    <w:rsid w:val="002B0878"/>
    <w:rsid w:val="002B0B27"/>
    <w:rsid w:val="002B0E24"/>
    <w:rsid w:val="002B10BF"/>
    <w:rsid w:val="002B10DE"/>
    <w:rsid w:val="002B1285"/>
    <w:rsid w:val="002B1357"/>
    <w:rsid w:val="002B1584"/>
    <w:rsid w:val="002B15E6"/>
    <w:rsid w:val="002B16F9"/>
    <w:rsid w:val="002B18B8"/>
    <w:rsid w:val="002B18F5"/>
    <w:rsid w:val="002B19A1"/>
    <w:rsid w:val="002B19D1"/>
    <w:rsid w:val="002B1A6B"/>
    <w:rsid w:val="002B1B2D"/>
    <w:rsid w:val="002B1D67"/>
    <w:rsid w:val="002B1ED5"/>
    <w:rsid w:val="002B2149"/>
    <w:rsid w:val="002B2455"/>
    <w:rsid w:val="002B2488"/>
    <w:rsid w:val="002B2572"/>
    <w:rsid w:val="002B2813"/>
    <w:rsid w:val="002B289E"/>
    <w:rsid w:val="002B29FF"/>
    <w:rsid w:val="002B2BF1"/>
    <w:rsid w:val="002B2E66"/>
    <w:rsid w:val="002B2EBC"/>
    <w:rsid w:val="002B2F20"/>
    <w:rsid w:val="002B2F4D"/>
    <w:rsid w:val="002B32EB"/>
    <w:rsid w:val="002B33B3"/>
    <w:rsid w:val="002B34F5"/>
    <w:rsid w:val="002B36D6"/>
    <w:rsid w:val="002B37C3"/>
    <w:rsid w:val="002B39F1"/>
    <w:rsid w:val="002B3C41"/>
    <w:rsid w:val="002B3CFF"/>
    <w:rsid w:val="002B3DE8"/>
    <w:rsid w:val="002B3E14"/>
    <w:rsid w:val="002B3E7F"/>
    <w:rsid w:val="002B3F2E"/>
    <w:rsid w:val="002B4119"/>
    <w:rsid w:val="002B41A6"/>
    <w:rsid w:val="002B41C4"/>
    <w:rsid w:val="002B4233"/>
    <w:rsid w:val="002B434D"/>
    <w:rsid w:val="002B4402"/>
    <w:rsid w:val="002B45D8"/>
    <w:rsid w:val="002B4821"/>
    <w:rsid w:val="002B48CE"/>
    <w:rsid w:val="002B498D"/>
    <w:rsid w:val="002B4A3F"/>
    <w:rsid w:val="002B4C51"/>
    <w:rsid w:val="002B4CB6"/>
    <w:rsid w:val="002B4CF9"/>
    <w:rsid w:val="002B4D79"/>
    <w:rsid w:val="002B4F03"/>
    <w:rsid w:val="002B4F92"/>
    <w:rsid w:val="002B5131"/>
    <w:rsid w:val="002B51CA"/>
    <w:rsid w:val="002B58F0"/>
    <w:rsid w:val="002B5EC5"/>
    <w:rsid w:val="002B5EEE"/>
    <w:rsid w:val="002B5F78"/>
    <w:rsid w:val="002B6100"/>
    <w:rsid w:val="002B62D4"/>
    <w:rsid w:val="002B6430"/>
    <w:rsid w:val="002B64AC"/>
    <w:rsid w:val="002B66B0"/>
    <w:rsid w:val="002B68DF"/>
    <w:rsid w:val="002B68F8"/>
    <w:rsid w:val="002B693D"/>
    <w:rsid w:val="002B6A14"/>
    <w:rsid w:val="002B6C75"/>
    <w:rsid w:val="002B70DA"/>
    <w:rsid w:val="002B729F"/>
    <w:rsid w:val="002B7335"/>
    <w:rsid w:val="002B74B0"/>
    <w:rsid w:val="002B76EB"/>
    <w:rsid w:val="002B77F5"/>
    <w:rsid w:val="002B7902"/>
    <w:rsid w:val="002B7A0F"/>
    <w:rsid w:val="002B7C36"/>
    <w:rsid w:val="002BEC7D"/>
    <w:rsid w:val="002C00D3"/>
    <w:rsid w:val="002C0346"/>
    <w:rsid w:val="002C06D5"/>
    <w:rsid w:val="002C07EA"/>
    <w:rsid w:val="002C08A2"/>
    <w:rsid w:val="002C08B1"/>
    <w:rsid w:val="002C08C0"/>
    <w:rsid w:val="002C0B17"/>
    <w:rsid w:val="002C0D29"/>
    <w:rsid w:val="002C0DE7"/>
    <w:rsid w:val="002C0DFC"/>
    <w:rsid w:val="002C0ED8"/>
    <w:rsid w:val="002C0FD8"/>
    <w:rsid w:val="002C10B4"/>
    <w:rsid w:val="002C113A"/>
    <w:rsid w:val="002C12F0"/>
    <w:rsid w:val="002C15F3"/>
    <w:rsid w:val="002C1736"/>
    <w:rsid w:val="002C183F"/>
    <w:rsid w:val="002C18C5"/>
    <w:rsid w:val="002C19DF"/>
    <w:rsid w:val="002C1A97"/>
    <w:rsid w:val="002C1D0C"/>
    <w:rsid w:val="002C1DB8"/>
    <w:rsid w:val="002C1EC2"/>
    <w:rsid w:val="002C1FCE"/>
    <w:rsid w:val="002C215E"/>
    <w:rsid w:val="002C224C"/>
    <w:rsid w:val="002C2262"/>
    <w:rsid w:val="002C22F1"/>
    <w:rsid w:val="002C2790"/>
    <w:rsid w:val="002C29B9"/>
    <w:rsid w:val="002C2C87"/>
    <w:rsid w:val="002C2E1F"/>
    <w:rsid w:val="002C2E7D"/>
    <w:rsid w:val="002C309B"/>
    <w:rsid w:val="002C331D"/>
    <w:rsid w:val="002C332D"/>
    <w:rsid w:val="002C33AB"/>
    <w:rsid w:val="002C33B7"/>
    <w:rsid w:val="002C349F"/>
    <w:rsid w:val="002C34C1"/>
    <w:rsid w:val="002C3A1A"/>
    <w:rsid w:val="002C4027"/>
    <w:rsid w:val="002C40A3"/>
    <w:rsid w:val="002C4131"/>
    <w:rsid w:val="002C4245"/>
    <w:rsid w:val="002C436B"/>
    <w:rsid w:val="002C43B6"/>
    <w:rsid w:val="002C43EF"/>
    <w:rsid w:val="002C48C4"/>
    <w:rsid w:val="002C4ADD"/>
    <w:rsid w:val="002C4C12"/>
    <w:rsid w:val="002C4DD4"/>
    <w:rsid w:val="002C4E1C"/>
    <w:rsid w:val="002C4F8C"/>
    <w:rsid w:val="002C50F0"/>
    <w:rsid w:val="002C51B9"/>
    <w:rsid w:val="002C51BC"/>
    <w:rsid w:val="002C533B"/>
    <w:rsid w:val="002C54FC"/>
    <w:rsid w:val="002C5586"/>
    <w:rsid w:val="002C5594"/>
    <w:rsid w:val="002C55F6"/>
    <w:rsid w:val="002C562D"/>
    <w:rsid w:val="002C5A66"/>
    <w:rsid w:val="002C5C38"/>
    <w:rsid w:val="002C5C88"/>
    <w:rsid w:val="002C5D6A"/>
    <w:rsid w:val="002C60E5"/>
    <w:rsid w:val="002C62EF"/>
    <w:rsid w:val="002C634A"/>
    <w:rsid w:val="002C643E"/>
    <w:rsid w:val="002C65CE"/>
    <w:rsid w:val="002C66A9"/>
    <w:rsid w:val="002C66E4"/>
    <w:rsid w:val="002C677B"/>
    <w:rsid w:val="002C67EF"/>
    <w:rsid w:val="002C6C42"/>
    <w:rsid w:val="002C6D01"/>
    <w:rsid w:val="002C75BC"/>
    <w:rsid w:val="002C75CA"/>
    <w:rsid w:val="002C7698"/>
    <w:rsid w:val="002C7AAD"/>
    <w:rsid w:val="002C7E37"/>
    <w:rsid w:val="002C7FD7"/>
    <w:rsid w:val="002D0083"/>
    <w:rsid w:val="002D045C"/>
    <w:rsid w:val="002D058E"/>
    <w:rsid w:val="002D088D"/>
    <w:rsid w:val="002D108C"/>
    <w:rsid w:val="002D130B"/>
    <w:rsid w:val="002D1365"/>
    <w:rsid w:val="002D15BD"/>
    <w:rsid w:val="002D15F4"/>
    <w:rsid w:val="002D1AE9"/>
    <w:rsid w:val="002D1B6B"/>
    <w:rsid w:val="002D1CA1"/>
    <w:rsid w:val="002D1CB4"/>
    <w:rsid w:val="002D1E0C"/>
    <w:rsid w:val="002D1E8E"/>
    <w:rsid w:val="002D1FC5"/>
    <w:rsid w:val="002D21A2"/>
    <w:rsid w:val="002D2549"/>
    <w:rsid w:val="002D256A"/>
    <w:rsid w:val="002D25B4"/>
    <w:rsid w:val="002D266D"/>
    <w:rsid w:val="002D26DA"/>
    <w:rsid w:val="002D2A27"/>
    <w:rsid w:val="002D2A30"/>
    <w:rsid w:val="002D2ACD"/>
    <w:rsid w:val="002D2C3A"/>
    <w:rsid w:val="002D2D7E"/>
    <w:rsid w:val="002D3051"/>
    <w:rsid w:val="002D3103"/>
    <w:rsid w:val="002D35A1"/>
    <w:rsid w:val="002D36FC"/>
    <w:rsid w:val="002D380F"/>
    <w:rsid w:val="002D3AF2"/>
    <w:rsid w:val="002D3E2E"/>
    <w:rsid w:val="002D4104"/>
    <w:rsid w:val="002D4177"/>
    <w:rsid w:val="002D431C"/>
    <w:rsid w:val="002D46F3"/>
    <w:rsid w:val="002D471D"/>
    <w:rsid w:val="002D476E"/>
    <w:rsid w:val="002D49A0"/>
    <w:rsid w:val="002D49D8"/>
    <w:rsid w:val="002D49E0"/>
    <w:rsid w:val="002D4CD8"/>
    <w:rsid w:val="002D4EED"/>
    <w:rsid w:val="002D4F05"/>
    <w:rsid w:val="002D504C"/>
    <w:rsid w:val="002D50B2"/>
    <w:rsid w:val="002D5170"/>
    <w:rsid w:val="002D51A3"/>
    <w:rsid w:val="002D5231"/>
    <w:rsid w:val="002D52C4"/>
    <w:rsid w:val="002D53A5"/>
    <w:rsid w:val="002D542C"/>
    <w:rsid w:val="002D548A"/>
    <w:rsid w:val="002D548B"/>
    <w:rsid w:val="002D55EF"/>
    <w:rsid w:val="002D5877"/>
    <w:rsid w:val="002D597D"/>
    <w:rsid w:val="002D5B24"/>
    <w:rsid w:val="002D5FD9"/>
    <w:rsid w:val="002D632D"/>
    <w:rsid w:val="002D6537"/>
    <w:rsid w:val="002D66B1"/>
    <w:rsid w:val="002D691E"/>
    <w:rsid w:val="002D6920"/>
    <w:rsid w:val="002D6B25"/>
    <w:rsid w:val="002D6B41"/>
    <w:rsid w:val="002D6C25"/>
    <w:rsid w:val="002D6CFA"/>
    <w:rsid w:val="002D6DB3"/>
    <w:rsid w:val="002D6F6D"/>
    <w:rsid w:val="002D713C"/>
    <w:rsid w:val="002D713E"/>
    <w:rsid w:val="002D7169"/>
    <w:rsid w:val="002D71AA"/>
    <w:rsid w:val="002D71EC"/>
    <w:rsid w:val="002D7257"/>
    <w:rsid w:val="002D746D"/>
    <w:rsid w:val="002D7507"/>
    <w:rsid w:val="002D7562"/>
    <w:rsid w:val="002D7616"/>
    <w:rsid w:val="002D781D"/>
    <w:rsid w:val="002D78E1"/>
    <w:rsid w:val="002D7CA3"/>
    <w:rsid w:val="002D7CFB"/>
    <w:rsid w:val="002D7ECF"/>
    <w:rsid w:val="002E00E7"/>
    <w:rsid w:val="002E07A4"/>
    <w:rsid w:val="002E086F"/>
    <w:rsid w:val="002E0A57"/>
    <w:rsid w:val="002E0A86"/>
    <w:rsid w:val="002E0ADF"/>
    <w:rsid w:val="002E0B30"/>
    <w:rsid w:val="002E0C02"/>
    <w:rsid w:val="002E0CC1"/>
    <w:rsid w:val="002E0D65"/>
    <w:rsid w:val="002E0D77"/>
    <w:rsid w:val="002E0E08"/>
    <w:rsid w:val="002E0F41"/>
    <w:rsid w:val="002E104A"/>
    <w:rsid w:val="002E10BA"/>
    <w:rsid w:val="002E10BD"/>
    <w:rsid w:val="002E10E0"/>
    <w:rsid w:val="002E12FF"/>
    <w:rsid w:val="002E1345"/>
    <w:rsid w:val="002E151C"/>
    <w:rsid w:val="002E162D"/>
    <w:rsid w:val="002E1675"/>
    <w:rsid w:val="002E17E0"/>
    <w:rsid w:val="002E17F8"/>
    <w:rsid w:val="002E198D"/>
    <w:rsid w:val="002E1B60"/>
    <w:rsid w:val="002E1C94"/>
    <w:rsid w:val="002E2021"/>
    <w:rsid w:val="002E20AF"/>
    <w:rsid w:val="002E2405"/>
    <w:rsid w:val="002E245A"/>
    <w:rsid w:val="002E2509"/>
    <w:rsid w:val="002E2738"/>
    <w:rsid w:val="002E278B"/>
    <w:rsid w:val="002E2964"/>
    <w:rsid w:val="002E29DE"/>
    <w:rsid w:val="002E2BB7"/>
    <w:rsid w:val="002E2DB0"/>
    <w:rsid w:val="002E2ED5"/>
    <w:rsid w:val="002E2F2F"/>
    <w:rsid w:val="002E2F89"/>
    <w:rsid w:val="002E31C2"/>
    <w:rsid w:val="002E3383"/>
    <w:rsid w:val="002E354C"/>
    <w:rsid w:val="002E3809"/>
    <w:rsid w:val="002E3A21"/>
    <w:rsid w:val="002E3AA1"/>
    <w:rsid w:val="002E3AAC"/>
    <w:rsid w:val="002E3AFB"/>
    <w:rsid w:val="002E3C61"/>
    <w:rsid w:val="002E3DC1"/>
    <w:rsid w:val="002E400D"/>
    <w:rsid w:val="002E41F7"/>
    <w:rsid w:val="002E4382"/>
    <w:rsid w:val="002E44BA"/>
    <w:rsid w:val="002E45D8"/>
    <w:rsid w:val="002E45F9"/>
    <w:rsid w:val="002E46DE"/>
    <w:rsid w:val="002E48A7"/>
    <w:rsid w:val="002E4A3E"/>
    <w:rsid w:val="002E4AFA"/>
    <w:rsid w:val="002E4B06"/>
    <w:rsid w:val="002E4CB2"/>
    <w:rsid w:val="002E4CE5"/>
    <w:rsid w:val="002E4F3D"/>
    <w:rsid w:val="002E505C"/>
    <w:rsid w:val="002E516D"/>
    <w:rsid w:val="002E5258"/>
    <w:rsid w:val="002E53BE"/>
    <w:rsid w:val="002E5406"/>
    <w:rsid w:val="002E542C"/>
    <w:rsid w:val="002E57B6"/>
    <w:rsid w:val="002E5921"/>
    <w:rsid w:val="002E5B39"/>
    <w:rsid w:val="002E5BC4"/>
    <w:rsid w:val="002E5C13"/>
    <w:rsid w:val="002E5C49"/>
    <w:rsid w:val="002E5F3F"/>
    <w:rsid w:val="002E6074"/>
    <w:rsid w:val="002E61CC"/>
    <w:rsid w:val="002E6217"/>
    <w:rsid w:val="002E6452"/>
    <w:rsid w:val="002E67E5"/>
    <w:rsid w:val="002E68BD"/>
    <w:rsid w:val="002E6C27"/>
    <w:rsid w:val="002E6CF2"/>
    <w:rsid w:val="002E6F6C"/>
    <w:rsid w:val="002E7427"/>
    <w:rsid w:val="002E7585"/>
    <w:rsid w:val="002E76A0"/>
    <w:rsid w:val="002E7735"/>
    <w:rsid w:val="002E78AE"/>
    <w:rsid w:val="002E78D7"/>
    <w:rsid w:val="002E7931"/>
    <w:rsid w:val="002E7D03"/>
    <w:rsid w:val="002E7D6A"/>
    <w:rsid w:val="002E7DAA"/>
    <w:rsid w:val="002E7EEF"/>
    <w:rsid w:val="002E7F21"/>
    <w:rsid w:val="002E7F49"/>
    <w:rsid w:val="002E7F67"/>
    <w:rsid w:val="002E7FD3"/>
    <w:rsid w:val="002F0042"/>
    <w:rsid w:val="002F01A8"/>
    <w:rsid w:val="002F0360"/>
    <w:rsid w:val="002F0551"/>
    <w:rsid w:val="002F05C1"/>
    <w:rsid w:val="002F0631"/>
    <w:rsid w:val="002F0676"/>
    <w:rsid w:val="002F0BAD"/>
    <w:rsid w:val="002F0DB3"/>
    <w:rsid w:val="002F1154"/>
    <w:rsid w:val="002F135A"/>
    <w:rsid w:val="002F1631"/>
    <w:rsid w:val="002F16FE"/>
    <w:rsid w:val="002F1749"/>
    <w:rsid w:val="002F188C"/>
    <w:rsid w:val="002F1A88"/>
    <w:rsid w:val="002F1C56"/>
    <w:rsid w:val="002F1CB1"/>
    <w:rsid w:val="002F1F02"/>
    <w:rsid w:val="002F206F"/>
    <w:rsid w:val="002F2281"/>
    <w:rsid w:val="002F25AD"/>
    <w:rsid w:val="002F25CA"/>
    <w:rsid w:val="002F2681"/>
    <w:rsid w:val="002F290D"/>
    <w:rsid w:val="002F2BF5"/>
    <w:rsid w:val="002F2CE1"/>
    <w:rsid w:val="002F2E26"/>
    <w:rsid w:val="002F2E68"/>
    <w:rsid w:val="002F3099"/>
    <w:rsid w:val="002F30E8"/>
    <w:rsid w:val="002F3102"/>
    <w:rsid w:val="002F337B"/>
    <w:rsid w:val="002F3380"/>
    <w:rsid w:val="002F3383"/>
    <w:rsid w:val="002F349C"/>
    <w:rsid w:val="002F34CD"/>
    <w:rsid w:val="002F3616"/>
    <w:rsid w:val="002F3633"/>
    <w:rsid w:val="002F37F4"/>
    <w:rsid w:val="002F3814"/>
    <w:rsid w:val="002F38A5"/>
    <w:rsid w:val="002F3A8B"/>
    <w:rsid w:val="002F3ACB"/>
    <w:rsid w:val="002F3BE3"/>
    <w:rsid w:val="002F3C99"/>
    <w:rsid w:val="002F3D8D"/>
    <w:rsid w:val="002F3EA9"/>
    <w:rsid w:val="002F3EC8"/>
    <w:rsid w:val="002F3FDF"/>
    <w:rsid w:val="002F41C9"/>
    <w:rsid w:val="002F438F"/>
    <w:rsid w:val="002F447C"/>
    <w:rsid w:val="002F4511"/>
    <w:rsid w:val="002F462B"/>
    <w:rsid w:val="002F4A00"/>
    <w:rsid w:val="002F4A2B"/>
    <w:rsid w:val="002F4A7B"/>
    <w:rsid w:val="002F4C44"/>
    <w:rsid w:val="002F4F23"/>
    <w:rsid w:val="002F4F6C"/>
    <w:rsid w:val="002F4FB9"/>
    <w:rsid w:val="002F5065"/>
    <w:rsid w:val="002F50C8"/>
    <w:rsid w:val="002F5303"/>
    <w:rsid w:val="002F54CA"/>
    <w:rsid w:val="002F5639"/>
    <w:rsid w:val="002F5931"/>
    <w:rsid w:val="002F59B7"/>
    <w:rsid w:val="002F5B37"/>
    <w:rsid w:val="002F5B67"/>
    <w:rsid w:val="002F5D8A"/>
    <w:rsid w:val="002F5F7C"/>
    <w:rsid w:val="002F5F7D"/>
    <w:rsid w:val="002F616D"/>
    <w:rsid w:val="002F6176"/>
    <w:rsid w:val="002F653C"/>
    <w:rsid w:val="002F679F"/>
    <w:rsid w:val="002F6A82"/>
    <w:rsid w:val="002F6AC1"/>
    <w:rsid w:val="002F6B2B"/>
    <w:rsid w:val="002F6C49"/>
    <w:rsid w:val="002F6CA7"/>
    <w:rsid w:val="002F6D2A"/>
    <w:rsid w:val="002F6E9B"/>
    <w:rsid w:val="002F6FF7"/>
    <w:rsid w:val="002F73B2"/>
    <w:rsid w:val="002F743C"/>
    <w:rsid w:val="002F7579"/>
    <w:rsid w:val="002F7958"/>
    <w:rsid w:val="002F7A60"/>
    <w:rsid w:val="002F7A71"/>
    <w:rsid w:val="002F7AE9"/>
    <w:rsid w:val="002F7B7D"/>
    <w:rsid w:val="002F7C17"/>
    <w:rsid w:val="002F7D4C"/>
    <w:rsid w:val="002F7E88"/>
    <w:rsid w:val="002F7F75"/>
    <w:rsid w:val="00300120"/>
    <w:rsid w:val="003002B6"/>
    <w:rsid w:val="003003FD"/>
    <w:rsid w:val="00300477"/>
    <w:rsid w:val="00300842"/>
    <w:rsid w:val="00300A30"/>
    <w:rsid w:val="00300AEC"/>
    <w:rsid w:val="00300B7C"/>
    <w:rsid w:val="00300CED"/>
    <w:rsid w:val="00300D77"/>
    <w:rsid w:val="00300D85"/>
    <w:rsid w:val="003010AB"/>
    <w:rsid w:val="00301339"/>
    <w:rsid w:val="0030134C"/>
    <w:rsid w:val="003019AA"/>
    <w:rsid w:val="00301B66"/>
    <w:rsid w:val="00301BDA"/>
    <w:rsid w:val="00301CC3"/>
    <w:rsid w:val="00301EC6"/>
    <w:rsid w:val="00302073"/>
    <w:rsid w:val="00302319"/>
    <w:rsid w:val="0030286B"/>
    <w:rsid w:val="00302C30"/>
    <w:rsid w:val="00302D52"/>
    <w:rsid w:val="00302D8F"/>
    <w:rsid w:val="00302F4C"/>
    <w:rsid w:val="003030A0"/>
    <w:rsid w:val="003030E1"/>
    <w:rsid w:val="0030317A"/>
    <w:rsid w:val="0030327C"/>
    <w:rsid w:val="003032FE"/>
    <w:rsid w:val="003035C6"/>
    <w:rsid w:val="00303663"/>
    <w:rsid w:val="00303688"/>
    <w:rsid w:val="003036E2"/>
    <w:rsid w:val="003038A7"/>
    <w:rsid w:val="00303B56"/>
    <w:rsid w:val="00303D7A"/>
    <w:rsid w:val="00304227"/>
    <w:rsid w:val="003042BA"/>
    <w:rsid w:val="00304304"/>
    <w:rsid w:val="0030433A"/>
    <w:rsid w:val="0030461A"/>
    <w:rsid w:val="00304677"/>
    <w:rsid w:val="003048A2"/>
    <w:rsid w:val="00304AB1"/>
    <w:rsid w:val="00304BF3"/>
    <w:rsid w:val="00304C1D"/>
    <w:rsid w:val="00304C31"/>
    <w:rsid w:val="00304C3D"/>
    <w:rsid w:val="00304CA7"/>
    <w:rsid w:val="00304F69"/>
    <w:rsid w:val="003051EF"/>
    <w:rsid w:val="00305219"/>
    <w:rsid w:val="00305549"/>
    <w:rsid w:val="00305669"/>
    <w:rsid w:val="003057A9"/>
    <w:rsid w:val="0030585C"/>
    <w:rsid w:val="003058A8"/>
    <w:rsid w:val="00305B5E"/>
    <w:rsid w:val="00305BB7"/>
    <w:rsid w:val="00305E92"/>
    <w:rsid w:val="00305F6F"/>
    <w:rsid w:val="00306036"/>
    <w:rsid w:val="0030605E"/>
    <w:rsid w:val="003060D2"/>
    <w:rsid w:val="00306138"/>
    <w:rsid w:val="00306340"/>
    <w:rsid w:val="00306367"/>
    <w:rsid w:val="00306491"/>
    <w:rsid w:val="003064E1"/>
    <w:rsid w:val="003065E8"/>
    <w:rsid w:val="00306760"/>
    <w:rsid w:val="003069E8"/>
    <w:rsid w:val="00306BCD"/>
    <w:rsid w:val="00306EE7"/>
    <w:rsid w:val="00306F8D"/>
    <w:rsid w:val="00306FAC"/>
    <w:rsid w:val="00306FB3"/>
    <w:rsid w:val="00306FD3"/>
    <w:rsid w:val="00307022"/>
    <w:rsid w:val="003073CF"/>
    <w:rsid w:val="00307426"/>
    <w:rsid w:val="003074B1"/>
    <w:rsid w:val="00307535"/>
    <w:rsid w:val="00307737"/>
    <w:rsid w:val="003078E8"/>
    <w:rsid w:val="00307B26"/>
    <w:rsid w:val="00307B48"/>
    <w:rsid w:val="00307BD5"/>
    <w:rsid w:val="00307CD9"/>
    <w:rsid w:val="00307D98"/>
    <w:rsid w:val="00307E3D"/>
    <w:rsid w:val="00307E85"/>
    <w:rsid w:val="00307E8C"/>
    <w:rsid w:val="00307F9E"/>
    <w:rsid w:val="00307FC0"/>
    <w:rsid w:val="003085C4"/>
    <w:rsid w:val="003100C8"/>
    <w:rsid w:val="00310269"/>
    <w:rsid w:val="00310350"/>
    <w:rsid w:val="00310437"/>
    <w:rsid w:val="0031080E"/>
    <w:rsid w:val="0031085E"/>
    <w:rsid w:val="00310BBC"/>
    <w:rsid w:val="00310CD9"/>
    <w:rsid w:val="00310D80"/>
    <w:rsid w:val="00310E67"/>
    <w:rsid w:val="00310FA5"/>
    <w:rsid w:val="00311070"/>
    <w:rsid w:val="0031114B"/>
    <w:rsid w:val="00311168"/>
    <w:rsid w:val="003111DB"/>
    <w:rsid w:val="00311373"/>
    <w:rsid w:val="0031147C"/>
    <w:rsid w:val="003114A3"/>
    <w:rsid w:val="0031168B"/>
    <w:rsid w:val="003117DD"/>
    <w:rsid w:val="0031189B"/>
    <w:rsid w:val="00311C0C"/>
    <w:rsid w:val="00311CCB"/>
    <w:rsid w:val="00311CF1"/>
    <w:rsid w:val="0031201F"/>
    <w:rsid w:val="00312263"/>
    <w:rsid w:val="00312319"/>
    <w:rsid w:val="0031239E"/>
    <w:rsid w:val="0031260A"/>
    <w:rsid w:val="00312697"/>
    <w:rsid w:val="00312815"/>
    <w:rsid w:val="00312AC2"/>
    <w:rsid w:val="00312B50"/>
    <w:rsid w:val="00312BA7"/>
    <w:rsid w:val="00312D14"/>
    <w:rsid w:val="00312F3C"/>
    <w:rsid w:val="00312F64"/>
    <w:rsid w:val="00312FC6"/>
    <w:rsid w:val="003130A3"/>
    <w:rsid w:val="00313112"/>
    <w:rsid w:val="003132BC"/>
    <w:rsid w:val="0031350B"/>
    <w:rsid w:val="0031358C"/>
    <w:rsid w:val="003135A0"/>
    <w:rsid w:val="0031366C"/>
    <w:rsid w:val="003136B6"/>
    <w:rsid w:val="0031373D"/>
    <w:rsid w:val="00313773"/>
    <w:rsid w:val="00313937"/>
    <w:rsid w:val="00313B70"/>
    <w:rsid w:val="00313BDD"/>
    <w:rsid w:val="00313C1F"/>
    <w:rsid w:val="00313C56"/>
    <w:rsid w:val="00313D24"/>
    <w:rsid w:val="00313E78"/>
    <w:rsid w:val="0031429F"/>
    <w:rsid w:val="00314449"/>
    <w:rsid w:val="00314466"/>
    <w:rsid w:val="0031486D"/>
    <w:rsid w:val="0031495B"/>
    <w:rsid w:val="003149E9"/>
    <w:rsid w:val="00314DA8"/>
    <w:rsid w:val="00314DEF"/>
    <w:rsid w:val="00314EBD"/>
    <w:rsid w:val="0031507D"/>
    <w:rsid w:val="003151EE"/>
    <w:rsid w:val="003152A9"/>
    <w:rsid w:val="003152BC"/>
    <w:rsid w:val="0031539A"/>
    <w:rsid w:val="003154B5"/>
    <w:rsid w:val="00315518"/>
    <w:rsid w:val="00315606"/>
    <w:rsid w:val="003159E3"/>
    <w:rsid w:val="00315A49"/>
    <w:rsid w:val="00315B31"/>
    <w:rsid w:val="00315CF9"/>
    <w:rsid w:val="00315DA4"/>
    <w:rsid w:val="00316044"/>
    <w:rsid w:val="0031615F"/>
    <w:rsid w:val="0031632F"/>
    <w:rsid w:val="00316333"/>
    <w:rsid w:val="0031638E"/>
    <w:rsid w:val="00316495"/>
    <w:rsid w:val="003165C3"/>
    <w:rsid w:val="003166F0"/>
    <w:rsid w:val="00316996"/>
    <w:rsid w:val="00316AC5"/>
    <w:rsid w:val="00316AF9"/>
    <w:rsid w:val="00316B3D"/>
    <w:rsid w:val="00316B83"/>
    <w:rsid w:val="00316C6B"/>
    <w:rsid w:val="00316D51"/>
    <w:rsid w:val="00316E4A"/>
    <w:rsid w:val="00316EF2"/>
    <w:rsid w:val="00317191"/>
    <w:rsid w:val="003172D5"/>
    <w:rsid w:val="00317432"/>
    <w:rsid w:val="0031782B"/>
    <w:rsid w:val="0031785A"/>
    <w:rsid w:val="0031788B"/>
    <w:rsid w:val="003179F9"/>
    <w:rsid w:val="00317AA7"/>
    <w:rsid w:val="00317AF3"/>
    <w:rsid w:val="00317B33"/>
    <w:rsid w:val="00317DAD"/>
    <w:rsid w:val="00317E5F"/>
    <w:rsid w:val="00317F59"/>
    <w:rsid w:val="00320027"/>
    <w:rsid w:val="003201D8"/>
    <w:rsid w:val="00320207"/>
    <w:rsid w:val="003202E4"/>
    <w:rsid w:val="00320389"/>
    <w:rsid w:val="003203C7"/>
    <w:rsid w:val="00320415"/>
    <w:rsid w:val="003204D6"/>
    <w:rsid w:val="00320710"/>
    <w:rsid w:val="00320B9E"/>
    <w:rsid w:val="00320D45"/>
    <w:rsid w:val="00320E51"/>
    <w:rsid w:val="00321132"/>
    <w:rsid w:val="0032128B"/>
    <w:rsid w:val="00321535"/>
    <w:rsid w:val="00321601"/>
    <w:rsid w:val="003219A3"/>
    <w:rsid w:val="00321A7E"/>
    <w:rsid w:val="00321A8A"/>
    <w:rsid w:val="00321D08"/>
    <w:rsid w:val="00321E3F"/>
    <w:rsid w:val="00321F7C"/>
    <w:rsid w:val="003220D6"/>
    <w:rsid w:val="003221C9"/>
    <w:rsid w:val="003223EF"/>
    <w:rsid w:val="003228BF"/>
    <w:rsid w:val="00322988"/>
    <w:rsid w:val="003229DA"/>
    <w:rsid w:val="00322B8F"/>
    <w:rsid w:val="00322BCE"/>
    <w:rsid w:val="00322E0B"/>
    <w:rsid w:val="00323107"/>
    <w:rsid w:val="00323132"/>
    <w:rsid w:val="003232C4"/>
    <w:rsid w:val="00323452"/>
    <w:rsid w:val="00323470"/>
    <w:rsid w:val="00323BFF"/>
    <w:rsid w:val="00323C0C"/>
    <w:rsid w:val="00323C5A"/>
    <w:rsid w:val="00323CEE"/>
    <w:rsid w:val="00323D47"/>
    <w:rsid w:val="00323E8D"/>
    <w:rsid w:val="0032400C"/>
    <w:rsid w:val="003240E2"/>
    <w:rsid w:val="0032418E"/>
    <w:rsid w:val="00324206"/>
    <w:rsid w:val="003242DD"/>
    <w:rsid w:val="0032445C"/>
    <w:rsid w:val="00324485"/>
    <w:rsid w:val="0032477F"/>
    <w:rsid w:val="003248D1"/>
    <w:rsid w:val="00324C40"/>
    <w:rsid w:val="00324C4C"/>
    <w:rsid w:val="00324D2F"/>
    <w:rsid w:val="00324D44"/>
    <w:rsid w:val="00324F96"/>
    <w:rsid w:val="00324FC4"/>
    <w:rsid w:val="0032502B"/>
    <w:rsid w:val="00325210"/>
    <w:rsid w:val="003252F0"/>
    <w:rsid w:val="003254C3"/>
    <w:rsid w:val="003254E3"/>
    <w:rsid w:val="003255EB"/>
    <w:rsid w:val="003258C0"/>
    <w:rsid w:val="003258D2"/>
    <w:rsid w:val="00325902"/>
    <w:rsid w:val="003259EB"/>
    <w:rsid w:val="00325B7C"/>
    <w:rsid w:val="00325D4A"/>
    <w:rsid w:val="003263BB"/>
    <w:rsid w:val="00326510"/>
    <w:rsid w:val="0032667C"/>
    <w:rsid w:val="00326764"/>
    <w:rsid w:val="003268CA"/>
    <w:rsid w:val="00326BC1"/>
    <w:rsid w:val="00326CFA"/>
    <w:rsid w:val="00327133"/>
    <w:rsid w:val="003271E3"/>
    <w:rsid w:val="0032776D"/>
    <w:rsid w:val="0032784D"/>
    <w:rsid w:val="0032788B"/>
    <w:rsid w:val="003279D0"/>
    <w:rsid w:val="00327BD0"/>
    <w:rsid w:val="00327CCD"/>
    <w:rsid w:val="00327E0A"/>
    <w:rsid w:val="00327E43"/>
    <w:rsid w:val="00330669"/>
    <w:rsid w:val="003307CA"/>
    <w:rsid w:val="00330815"/>
    <w:rsid w:val="0033083A"/>
    <w:rsid w:val="00330991"/>
    <w:rsid w:val="00330B61"/>
    <w:rsid w:val="00330BDD"/>
    <w:rsid w:val="00330DB5"/>
    <w:rsid w:val="00330FE0"/>
    <w:rsid w:val="00331108"/>
    <w:rsid w:val="00331276"/>
    <w:rsid w:val="00331355"/>
    <w:rsid w:val="003313B2"/>
    <w:rsid w:val="0033145D"/>
    <w:rsid w:val="00331945"/>
    <w:rsid w:val="00331CB9"/>
    <w:rsid w:val="00331DCE"/>
    <w:rsid w:val="00331E16"/>
    <w:rsid w:val="00331E22"/>
    <w:rsid w:val="00332055"/>
    <w:rsid w:val="00332280"/>
    <w:rsid w:val="003322AC"/>
    <w:rsid w:val="003323DB"/>
    <w:rsid w:val="003324E0"/>
    <w:rsid w:val="00332525"/>
    <w:rsid w:val="003325CF"/>
    <w:rsid w:val="0033265C"/>
    <w:rsid w:val="0033272C"/>
    <w:rsid w:val="003327C1"/>
    <w:rsid w:val="00332B05"/>
    <w:rsid w:val="00332B38"/>
    <w:rsid w:val="00332C49"/>
    <w:rsid w:val="00333062"/>
    <w:rsid w:val="00333086"/>
    <w:rsid w:val="0033308C"/>
    <w:rsid w:val="003330C7"/>
    <w:rsid w:val="0033316E"/>
    <w:rsid w:val="003337FA"/>
    <w:rsid w:val="00333AC2"/>
    <w:rsid w:val="00333B49"/>
    <w:rsid w:val="00333CF9"/>
    <w:rsid w:val="00333CFD"/>
    <w:rsid w:val="00333D18"/>
    <w:rsid w:val="00334287"/>
    <w:rsid w:val="003342C0"/>
    <w:rsid w:val="0033438A"/>
    <w:rsid w:val="0033444F"/>
    <w:rsid w:val="00334528"/>
    <w:rsid w:val="0033463A"/>
    <w:rsid w:val="00334676"/>
    <w:rsid w:val="00334779"/>
    <w:rsid w:val="003347B8"/>
    <w:rsid w:val="00334882"/>
    <w:rsid w:val="003348CC"/>
    <w:rsid w:val="00334CAD"/>
    <w:rsid w:val="003350D0"/>
    <w:rsid w:val="00335186"/>
    <w:rsid w:val="003351B8"/>
    <w:rsid w:val="00335329"/>
    <w:rsid w:val="003355EF"/>
    <w:rsid w:val="00335C9A"/>
    <w:rsid w:val="00335DC4"/>
    <w:rsid w:val="00335DFF"/>
    <w:rsid w:val="00335F67"/>
    <w:rsid w:val="00335F73"/>
    <w:rsid w:val="003362B5"/>
    <w:rsid w:val="003368A6"/>
    <w:rsid w:val="00336945"/>
    <w:rsid w:val="00336CEF"/>
    <w:rsid w:val="00336D7F"/>
    <w:rsid w:val="00336DAD"/>
    <w:rsid w:val="00336E0A"/>
    <w:rsid w:val="00336E5E"/>
    <w:rsid w:val="00336E63"/>
    <w:rsid w:val="00336F82"/>
    <w:rsid w:val="0033707A"/>
    <w:rsid w:val="0033718F"/>
    <w:rsid w:val="00337396"/>
    <w:rsid w:val="00337AAC"/>
    <w:rsid w:val="00337BD3"/>
    <w:rsid w:val="00337DD4"/>
    <w:rsid w:val="00337FA0"/>
    <w:rsid w:val="00340154"/>
    <w:rsid w:val="0034031E"/>
    <w:rsid w:val="003405A6"/>
    <w:rsid w:val="003405F6"/>
    <w:rsid w:val="00340677"/>
    <w:rsid w:val="0034083E"/>
    <w:rsid w:val="003409BF"/>
    <w:rsid w:val="00340C79"/>
    <w:rsid w:val="00340C95"/>
    <w:rsid w:val="00340CA4"/>
    <w:rsid w:val="00340D09"/>
    <w:rsid w:val="00340DAE"/>
    <w:rsid w:val="00340DBE"/>
    <w:rsid w:val="00340DE7"/>
    <w:rsid w:val="00340E01"/>
    <w:rsid w:val="00340E73"/>
    <w:rsid w:val="00340EB4"/>
    <w:rsid w:val="003412B6"/>
    <w:rsid w:val="00341522"/>
    <w:rsid w:val="00341597"/>
    <w:rsid w:val="00341603"/>
    <w:rsid w:val="00341C17"/>
    <w:rsid w:val="00341C7F"/>
    <w:rsid w:val="0034209D"/>
    <w:rsid w:val="00342471"/>
    <w:rsid w:val="00342506"/>
    <w:rsid w:val="003427C8"/>
    <w:rsid w:val="00342833"/>
    <w:rsid w:val="00342A82"/>
    <w:rsid w:val="00342E60"/>
    <w:rsid w:val="00342F6B"/>
    <w:rsid w:val="00342FE2"/>
    <w:rsid w:val="00343139"/>
    <w:rsid w:val="00343469"/>
    <w:rsid w:val="0034390A"/>
    <w:rsid w:val="003439E3"/>
    <w:rsid w:val="00343B7F"/>
    <w:rsid w:val="00343C26"/>
    <w:rsid w:val="00343E6C"/>
    <w:rsid w:val="00343E84"/>
    <w:rsid w:val="003440D3"/>
    <w:rsid w:val="00344154"/>
    <w:rsid w:val="00344276"/>
    <w:rsid w:val="003442E8"/>
    <w:rsid w:val="003444C6"/>
    <w:rsid w:val="00344603"/>
    <w:rsid w:val="0034467D"/>
    <w:rsid w:val="003447C6"/>
    <w:rsid w:val="00344BA7"/>
    <w:rsid w:val="00344C81"/>
    <w:rsid w:val="00344DF1"/>
    <w:rsid w:val="00344F26"/>
    <w:rsid w:val="003454EF"/>
    <w:rsid w:val="00345525"/>
    <w:rsid w:val="003455C8"/>
    <w:rsid w:val="00345690"/>
    <w:rsid w:val="00345817"/>
    <w:rsid w:val="00345BD4"/>
    <w:rsid w:val="00345D9A"/>
    <w:rsid w:val="0034612F"/>
    <w:rsid w:val="0034620D"/>
    <w:rsid w:val="00346356"/>
    <w:rsid w:val="00346410"/>
    <w:rsid w:val="0034657B"/>
    <w:rsid w:val="003465CE"/>
    <w:rsid w:val="003466B5"/>
    <w:rsid w:val="00346884"/>
    <w:rsid w:val="0034699D"/>
    <w:rsid w:val="00346B43"/>
    <w:rsid w:val="00346D96"/>
    <w:rsid w:val="00346E0C"/>
    <w:rsid w:val="00346FAE"/>
    <w:rsid w:val="00347039"/>
    <w:rsid w:val="00347089"/>
    <w:rsid w:val="003470FD"/>
    <w:rsid w:val="00347186"/>
    <w:rsid w:val="00347234"/>
    <w:rsid w:val="003473F8"/>
    <w:rsid w:val="003474AE"/>
    <w:rsid w:val="00347760"/>
    <w:rsid w:val="0034776A"/>
    <w:rsid w:val="00347784"/>
    <w:rsid w:val="00347836"/>
    <w:rsid w:val="00347A47"/>
    <w:rsid w:val="00347BE7"/>
    <w:rsid w:val="00347D03"/>
    <w:rsid w:val="00347E25"/>
    <w:rsid w:val="00347F82"/>
    <w:rsid w:val="00350170"/>
    <w:rsid w:val="00350246"/>
    <w:rsid w:val="0035036B"/>
    <w:rsid w:val="003505DD"/>
    <w:rsid w:val="0035074A"/>
    <w:rsid w:val="0035081D"/>
    <w:rsid w:val="00350AB4"/>
    <w:rsid w:val="00350C60"/>
    <w:rsid w:val="00350ECE"/>
    <w:rsid w:val="00350F0E"/>
    <w:rsid w:val="00350F25"/>
    <w:rsid w:val="003510FD"/>
    <w:rsid w:val="003511F0"/>
    <w:rsid w:val="00351302"/>
    <w:rsid w:val="003514DB"/>
    <w:rsid w:val="00351BE2"/>
    <w:rsid w:val="00351E1B"/>
    <w:rsid w:val="00351EB0"/>
    <w:rsid w:val="00351F6D"/>
    <w:rsid w:val="0035220B"/>
    <w:rsid w:val="003523A6"/>
    <w:rsid w:val="00352826"/>
    <w:rsid w:val="00352933"/>
    <w:rsid w:val="003529B8"/>
    <w:rsid w:val="00352ABD"/>
    <w:rsid w:val="00352C0D"/>
    <w:rsid w:val="00352C88"/>
    <w:rsid w:val="00352EE8"/>
    <w:rsid w:val="00352F30"/>
    <w:rsid w:val="0035303E"/>
    <w:rsid w:val="003535B6"/>
    <w:rsid w:val="0035365F"/>
    <w:rsid w:val="003539DF"/>
    <w:rsid w:val="00353B0D"/>
    <w:rsid w:val="00353CA0"/>
    <w:rsid w:val="00353F4A"/>
    <w:rsid w:val="00353FE2"/>
    <w:rsid w:val="00354298"/>
    <w:rsid w:val="00354357"/>
    <w:rsid w:val="003543E2"/>
    <w:rsid w:val="003544F0"/>
    <w:rsid w:val="003545C1"/>
    <w:rsid w:val="003546F4"/>
    <w:rsid w:val="0035485C"/>
    <w:rsid w:val="003549CD"/>
    <w:rsid w:val="003549D2"/>
    <w:rsid w:val="00354ABF"/>
    <w:rsid w:val="00354BF4"/>
    <w:rsid w:val="00354FD6"/>
    <w:rsid w:val="003551A4"/>
    <w:rsid w:val="003551C8"/>
    <w:rsid w:val="00355378"/>
    <w:rsid w:val="0035576A"/>
    <w:rsid w:val="003558AC"/>
    <w:rsid w:val="00355A6B"/>
    <w:rsid w:val="00355D3B"/>
    <w:rsid w:val="00355D8C"/>
    <w:rsid w:val="00355E73"/>
    <w:rsid w:val="00355FA7"/>
    <w:rsid w:val="00356130"/>
    <w:rsid w:val="0035629E"/>
    <w:rsid w:val="0035640B"/>
    <w:rsid w:val="00356410"/>
    <w:rsid w:val="00356841"/>
    <w:rsid w:val="00356A44"/>
    <w:rsid w:val="00356A7D"/>
    <w:rsid w:val="00356D1F"/>
    <w:rsid w:val="00357247"/>
    <w:rsid w:val="003575A2"/>
    <w:rsid w:val="003577E8"/>
    <w:rsid w:val="003579C1"/>
    <w:rsid w:val="00357C19"/>
    <w:rsid w:val="00357C71"/>
    <w:rsid w:val="00357CBA"/>
    <w:rsid w:val="00357DAD"/>
    <w:rsid w:val="00357EF0"/>
    <w:rsid w:val="0036050D"/>
    <w:rsid w:val="003606A9"/>
    <w:rsid w:val="00360769"/>
    <w:rsid w:val="00360BF0"/>
    <w:rsid w:val="00360F69"/>
    <w:rsid w:val="00360FC2"/>
    <w:rsid w:val="00360FD2"/>
    <w:rsid w:val="0036118A"/>
    <w:rsid w:val="00361335"/>
    <w:rsid w:val="00361405"/>
    <w:rsid w:val="00361536"/>
    <w:rsid w:val="003615AD"/>
    <w:rsid w:val="003615CC"/>
    <w:rsid w:val="003616DE"/>
    <w:rsid w:val="003619B5"/>
    <w:rsid w:val="00361E85"/>
    <w:rsid w:val="003625EF"/>
    <w:rsid w:val="00362613"/>
    <w:rsid w:val="00362657"/>
    <w:rsid w:val="003627DB"/>
    <w:rsid w:val="003627FD"/>
    <w:rsid w:val="00362C55"/>
    <w:rsid w:val="003631CC"/>
    <w:rsid w:val="0036328B"/>
    <w:rsid w:val="003632C3"/>
    <w:rsid w:val="003633E8"/>
    <w:rsid w:val="003633F0"/>
    <w:rsid w:val="0036346C"/>
    <w:rsid w:val="00363752"/>
    <w:rsid w:val="00363AF4"/>
    <w:rsid w:val="00363C1E"/>
    <w:rsid w:val="00363D0A"/>
    <w:rsid w:val="00363EA2"/>
    <w:rsid w:val="00364050"/>
    <w:rsid w:val="003640B6"/>
    <w:rsid w:val="00364167"/>
    <w:rsid w:val="00364374"/>
    <w:rsid w:val="0036458A"/>
    <w:rsid w:val="003646F2"/>
    <w:rsid w:val="00364715"/>
    <w:rsid w:val="0036475F"/>
    <w:rsid w:val="0036484F"/>
    <w:rsid w:val="003649BA"/>
    <w:rsid w:val="00364C3C"/>
    <w:rsid w:val="00364CA1"/>
    <w:rsid w:val="00364EF2"/>
    <w:rsid w:val="00364F44"/>
    <w:rsid w:val="003652AE"/>
    <w:rsid w:val="00365687"/>
    <w:rsid w:val="003657AB"/>
    <w:rsid w:val="003657C9"/>
    <w:rsid w:val="003659B5"/>
    <w:rsid w:val="00365B2C"/>
    <w:rsid w:val="00365BCB"/>
    <w:rsid w:val="00365EE6"/>
    <w:rsid w:val="00365F2C"/>
    <w:rsid w:val="00365FDD"/>
    <w:rsid w:val="0036609B"/>
    <w:rsid w:val="00366457"/>
    <w:rsid w:val="0036650E"/>
    <w:rsid w:val="00366580"/>
    <w:rsid w:val="003665CD"/>
    <w:rsid w:val="003665CE"/>
    <w:rsid w:val="003665F1"/>
    <w:rsid w:val="003666C0"/>
    <w:rsid w:val="00366AEE"/>
    <w:rsid w:val="00366BF8"/>
    <w:rsid w:val="00366D78"/>
    <w:rsid w:val="00366DC3"/>
    <w:rsid w:val="00366F02"/>
    <w:rsid w:val="003670F8"/>
    <w:rsid w:val="00367100"/>
    <w:rsid w:val="003672A4"/>
    <w:rsid w:val="00367337"/>
    <w:rsid w:val="00367597"/>
    <w:rsid w:val="003676DE"/>
    <w:rsid w:val="00367B75"/>
    <w:rsid w:val="00367BAD"/>
    <w:rsid w:val="00367BFA"/>
    <w:rsid w:val="00367C12"/>
    <w:rsid w:val="00367EF4"/>
    <w:rsid w:val="00370153"/>
    <w:rsid w:val="00370225"/>
    <w:rsid w:val="00370480"/>
    <w:rsid w:val="0037062F"/>
    <w:rsid w:val="0037072A"/>
    <w:rsid w:val="003708F0"/>
    <w:rsid w:val="00370A03"/>
    <w:rsid w:val="00370B36"/>
    <w:rsid w:val="00370BAC"/>
    <w:rsid w:val="00370F9F"/>
    <w:rsid w:val="00371332"/>
    <w:rsid w:val="0037156E"/>
    <w:rsid w:val="00371687"/>
    <w:rsid w:val="00371814"/>
    <w:rsid w:val="003719D2"/>
    <w:rsid w:val="00371B2B"/>
    <w:rsid w:val="00371D0C"/>
    <w:rsid w:val="00371EAC"/>
    <w:rsid w:val="00372097"/>
    <w:rsid w:val="003720AE"/>
    <w:rsid w:val="003724E9"/>
    <w:rsid w:val="003726ED"/>
    <w:rsid w:val="003727DC"/>
    <w:rsid w:val="00372826"/>
    <w:rsid w:val="00372865"/>
    <w:rsid w:val="003728C8"/>
    <w:rsid w:val="00372A69"/>
    <w:rsid w:val="00372E9D"/>
    <w:rsid w:val="00372EEC"/>
    <w:rsid w:val="00372F4B"/>
    <w:rsid w:val="00372FF7"/>
    <w:rsid w:val="00373183"/>
    <w:rsid w:val="00373317"/>
    <w:rsid w:val="003733D1"/>
    <w:rsid w:val="0037360C"/>
    <w:rsid w:val="00373731"/>
    <w:rsid w:val="00373833"/>
    <w:rsid w:val="00373B88"/>
    <w:rsid w:val="00373DF3"/>
    <w:rsid w:val="0037406B"/>
    <w:rsid w:val="00374095"/>
    <w:rsid w:val="00374153"/>
    <w:rsid w:val="0037447E"/>
    <w:rsid w:val="003746EF"/>
    <w:rsid w:val="003747C1"/>
    <w:rsid w:val="0037490A"/>
    <w:rsid w:val="00374913"/>
    <w:rsid w:val="00374992"/>
    <w:rsid w:val="00374A50"/>
    <w:rsid w:val="00374C34"/>
    <w:rsid w:val="00374E3B"/>
    <w:rsid w:val="00374F13"/>
    <w:rsid w:val="00374F70"/>
    <w:rsid w:val="003754BE"/>
    <w:rsid w:val="003759BC"/>
    <w:rsid w:val="00375BDE"/>
    <w:rsid w:val="00375CAF"/>
    <w:rsid w:val="00375CD1"/>
    <w:rsid w:val="00375E84"/>
    <w:rsid w:val="00375F80"/>
    <w:rsid w:val="003760F0"/>
    <w:rsid w:val="0037640A"/>
    <w:rsid w:val="00376491"/>
    <w:rsid w:val="00376501"/>
    <w:rsid w:val="003765E5"/>
    <w:rsid w:val="00376640"/>
    <w:rsid w:val="0037665E"/>
    <w:rsid w:val="0037676A"/>
    <w:rsid w:val="0037685A"/>
    <w:rsid w:val="00376869"/>
    <w:rsid w:val="00376BD9"/>
    <w:rsid w:val="00376C44"/>
    <w:rsid w:val="00377223"/>
    <w:rsid w:val="00377323"/>
    <w:rsid w:val="003775B0"/>
    <w:rsid w:val="00377662"/>
    <w:rsid w:val="00377788"/>
    <w:rsid w:val="0037787B"/>
    <w:rsid w:val="00377905"/>
    <w:rsid w:val="0037790B"/>
    <w:rsid w:val="00377A52"/>
    <w:rsid w:val="00377BAA"/>
    <w:rsid w:val="00377D57"/>
    <w:rsid w:val="00377D77"/>
    <w:rsid w:val="00377D88"/>
    <w:rsid w:val="00377D98"/>
    <w:rsid w:val="00377F14"/>
    <w:rsid w:val="00377F5F"/>
    <w:rsid w:val="00377F6A"/>
    <w:rsid w:val="0037B72A"/>
    <w:rsid w:val="00380189"/>
    <w:rsid w:val="00380207"/>
    <w:rsid w:val="0038025A"/>
    <w:rsid w:val="0038032B"/>
    <w:rsid w:val="00380A15"/>
    <w:rsid w:val="00380AC5"/>
    <w:rsid w:val="00380CCC"/>
    <w:rsid w:val="00380EA1"/>
    <w:rsid w:val="00381040"/>
    <w:rsid w:val="00381107"/>
    <w:rsid w:val="00381263"/>
    <w:rsid w:val="00381308"/>
    <w:rsid w:val="0038138A"/>
    <w:rsid w:val="00381580"/>
    <w:rsid w:val="0038158C"/>
    <w:rsid w:val="0038175A"/>
    <w:rsid w:val="0038185B"/>
    <w:rsid w:val="003818E8"/>
    <w:rsid w:val="00381BF5"/>
    <w:rsid w:val="00381C07"/>
    <w:rsid w:val="003821AB"/>
    <w:rsid w:val="003823B1"/>
    <w:rsid w:val="00382434"/>
    <w:rsid w:val="00382440"/>
    <w:rsid w:val="00382456"/>
    <w:rsid w:val="00382470"/>
    <w:rsid w:val="003826AA"/>
    <w:rsid w:val="00382748"/>
    <w:rsid w:val="00382884"/>
    <w:rsid w:val="003828EF"/>
    <w:rsid w:val="00382DD5"/>
    <w:rsid w:val="003831DC"/>
    <w:rsid w:val="0038325E"/>
    <w:rsid w:val="00383295"/>
    <w:rsid w:val="003832DF"/>
    <w:rsid w:val="003832E2"/>
    <w:rsid w:val="003838B7"/>
    <w:rsid w:val="003838EF"/>
    <w:rsid w:val="00383C5D"/>
    <w:rsid w:val="00383E70"/>
    <w:rsid w:val="00384071"/>
    <w:rsid w:val="0038430C"/>
    <w:rsid w:val="00384686"/>
    <w:rsid w:val="0038470B"/>
    <w:rsid w:val="0038478F"/>
    <w:rsid w:val="0038482E"/>
    <w:rsid w:val="003848CD"/>
    <w:rsid w:val="003848EF"/>
    <w:rsid w:val="00384905"/>
    <w:rsid w:val="00384911"/>
    <w:rsid w:val="0038492E"/>
    <w:rsid w:val="0038493D"/>
    <w:rsid w:val="00384D7D"/>
    <w:rsid w:val="00385275"/>
    <w:rsid w:val="00385284"/>
    <w:rsid w:val="0038530A"/>
    <w:rsid w:val="00385346"/>
    <w:rsid w:val="0038542C"/>
    <w:rsid w:val="0038553B"/>
    <w:rsid w:val="00385743"/>
    <w:rsid w:val="00385880"/>
    <w:rsid w:val="0038588F"/>
    <w:rsid w:val="00385909"/>
    <w:rsid w:val="00385A3C"/>
    <w:rsid w:val="00385BF8"/>
    <w:rsid w:val="00385CBF"/>
    <w:rsid w:val="00385D88"/>
    <w:rsid w:val="00385E79"/>
    <w:rsid w:val="003861AA"/>
    <w:rsid w:val="0038630E"/>
    <w:rsid w:val="0038636F"/>
    <w:rsid w:val="00386560"/>
    <w:rsid w:val="00386606"/>
    <w:rsid w:val="003866C1"/>
    <w:rsid w:val="00386730"/>
    <w:rsid w:val="00386802"/>
    <w:rsid w:val="00386880"/>
    <w:rsid w:val="003868F6"/>
    <w:rsid w:val="00386A46"/>
    <w:rsid w:val="00386BCD"/>
    <w:rsid w:val="00386F26"/>
    <w:rsid w:val="00386FB1"/>
    <w:rsid w:val="003870F8"/>
    <w:rsid w:val="003871BB"/>
    <w:rsid w:val="00387224"/>
    <w:rsid w:val="00387363"/>
    <w:rsid w:val="0038755B"/>
    <w:rsid w:val="003875B6"/>
    <w:rsid w:val="003879EE"/>
    <w:rsid w:val="00387BF0"/>
    <w:rsid w:val="00387C4D"/>
    <w:rsid w:val="00387DB1"/>
    <w:rsid w:val="00387DE9"/>
    <w:rsid w:val="00387EC0"/>
    <w:rsid w:val="00387F83"/>
    <w:rsid w:val="00387FC3"/>
    <w:rsid w:val="0039013D"/>
    <w:rsid w:val="00390325"/>
    <w:rsid w:val="003904FE"/>
    <w:rsid w:val="0039053B"/>
    <w:rsid w:val="003909C7"/>
    <w:rsid w:val="00390AFA"/>
    <w:rsid w:val="00390D1F"/>
    <w:rsid w:val="00390DDE"/>
    <w:rsid w:val="003911CD"/>
    <w:rsid w:val="003913ED"/>
    <w:rsid w:val="003914B1"/>
    <w:rsid w:val="00391617"/>
    <w:rsid w:val="00391979"/>
    <w:rsid w:val="003919DB"/>
    <w:rsid w:val="00391B45"/>
    <w:rsid w:val="00391DFD"/>
    <w:rsid w:val="00391EBB"/>
    <w:rsid w:val="003921A5"/>
    <w:rsid w:val="003922CA"/>
    <w:rsid w:val="00392301"/>
    <w:rsid w:val="003924EE"/>
    <w:rsid w:val="0039250A"/>
    <w:rsid w:val="00392533"/>
    <w:rsid w:val="0039262D"/>
    <w:rsid w:val="00392958"/>
    <w:rsid w:val="00392A4F"/>
    <w:rsid w:val="00392A66"/>
    <w:rsid w:val="00392A9D"/>
    <w:rsid w:val="00392ADD"/>
    <w:rsid w:val="00392CCB"/>
    <w:rsid w:val="00392CDE"/>
    <w:rsid w:val="00392D35"/>
    <w:rsid w:val="00392DFE"/>
    <w:rsid w:val="00392E5A"/>
    <w:rsid w:val="00392FBB"/>
    <w:rsid w:val="00393014"/>
    <w:rsid w:val="0039314E"/>
    <w:rsid w:val="00393308"/>
    <w:rsid w:val="00393405"/>
    <w:rsid w:val="0039353A"/>
    <w:rsid w:val="0039356B"/>
    <w:rsid w:val="003936B4"/>
    <w:rsid w:val="00393710"/>
    <w:rsid w:val="00393937"/>
    <w:rsid w:val="003939FA"/>
    <w:rsid w:val="00393BA5"/>
    <w:rsid w:val="00393FC3"/>
    <w:rsid w:val="00393FD0"/>
    <w:rsid w:val="003940B0"/>
    <w:rsid w:val="003940BF"/>
    <w:rsid w:val="0039416F"/>
    <w:rsid w:val="00394178"/>
    <w:rsid w:val="00394201"/>
    <w:rsid w:val="00394431"/>
    <w:rsid w:val="0039447F"/>
    <w:rsid w:val="00394498"/>
    <w:rsid w:val="0039449B"/>
    <w:rsid w:val="00394647"/>
    <w:rsid w:val="003946A1"/>
    <w:rsid w:val="00394925"/>
    <w:rsid w:val="00394ADF"/>
    <w:rsid w:val="00394BB4"/>
    <w:rsid w:val="00394D29"/>
    <w:rsid w:val="00394D60"/>
    <w:rsid w:val="00394EA6"/>
    <w:rsid w:val="00395031"/>
    <w:rsid w:val="003951B0"/>
    <w:rsid w:val="003951B1"/>
    <w:rsid w:val="003953BD"/>
    <w:rsid w:val="003955BE"/>
    <w:rsid w:val="00395825"/>
    <w:rsid w:val="0039593E"/>
    <w:rsid w:val="00395B5F"/>
    <w:rsid w:val="00395C92"/>
    <w:rsid w:val="00395D69"/>
    <w:rsid w:val="00395DFD"/>
    <w:rsid w:val="00395EA9"/>
    <w:rsid w:val="00395EE9"/>
    <w:rsid w:val="00395EFC"/>
    <w:rsid w:val="00395F86"/>
    <w:rsid w:val="00395F95"/>
    <w:rsid w:val="00395F9F"/>
    <w:rsid w:val="00396222"/>
    <w:rsid w:val="0039622C"/>
    <w:rsid w:val="00396273"/>
    <w:rsid w:val="003963F2"/>
    <w:rsid w:val="0039675D"/>
    <w:rsid w:val="003967F2"/>
    <w:rsid w:val="00396988"/>
    <w:rsid w:val="003969B6"/>
    <w:rsid w:val="003969B7"/>
    <w:rsid w:val="00396C1A"/>
    <w:rsid w:val="00396CC4"/>
    <w:rsid w:val="0039703B"/>
    <w:rsid w:val="00397042"/>
    <w:rsid w:val="00397062"/>
    <w:rsid w:val="00397110"/>
    <w:rsid w:val="00397224"/>
    <w:rsid w:val="0039722B"/>
    <w:rsid w:val="003972F5"/>
    <w:rsid w:val="00397408"/>
    <w:rsid w:val="003976C5"/>
    <w:rsid w:val="003979FA"/>
    <w:rsid w:val="003979FF"/>
    <w:rsid w:val="00397A47"/>
    <w:rsid w:val="00397D96"/>
    <w:rsid w:val="00397EAE"/>
    <w:rsid w:val="003A0286"/>
    <w:rsid w:val="003A0324"/>
    <w:rsid w:val="003A03A4"/>
    <w:rsid w:val="003A04E7"/>
    <w:rsid w:val="003A051F"/>
    <w:rsid w:val="003A08DC"/>
    <w:rsid w:val="003A0A1E"/>
    <w:rsid w:val="003A0BC0"/>
    <w:rsid w:val="003A0C74"/>
    <w:rsid w:val="003A0D48"/>
    <w:rsid w:val="003A0EA3"/>
    <w:rsid w:val="003A101C"/>
    <w:rsid w:val="003A11C1"/>
    <w:rsid w:val="003A12B1"/>
    <w:rsid w:val="003A14AE"/>
    <w:rsid w:val="003A151C"/>
    <w:rsid w:val="003A1675"/>
    <w:rsid w:val="003A188D"/>
    <w:rsid w:val="003A19DF"/>
    <w:rsid w:val="003A1BA6"/>
    <w:rsid w:val="003A1DA7"/>
    <w:rsid w:val="003A1F34"/>
    <w:rsid w:val="003A2115"/>
    <w:rsid w:val="003A2482"/>
    <w:rsid w:val="003A269A"/>
    <w:rsid w:val="003A276D"/>
    <w:rsid w:val="003A28C4"/>
    <w:rsid w:val="003A29A0"/>
    <w:rsid w:val="003A2ADA"/>
    <w:rsid w:val="003A2C4B"/>
    <w:rsid w:val="003A2C6D"/>
    <w:rsid w:val="003A2CE9"/>
    <w:rsid w:val="003A2DD3"/>
    <w:rsid w:val="003A31BC"/>
    <w:rsid w:val="003A31E4"/>
    <w:rsid w:val="003A31FB"/>
    <w:rsid w:val="003A3383"/>
    <w:rsid w:val="003A361E"/>
    <w:rsid w:val="003A3628"/>
    <w:rsid w:val="003A39A9"/>
    <w:rsid w:val="003A3A05"/>
    <w:rsid w:val="003A3BD8"/>
    <w:rsid w:val="003A3E69"/>
    <w:rsid w:val="003A3F03"/>
    <w:rsid w:val="003A40C0"/>
    <w:rsid w:val="003A40D1"/>
    <w:rsid w:val="003A40E4"/>
    <w:rsid w:val="003A4214"/>
    <w:rsid w:val="003A44A3"/>
    <w:rsid w:val="003A4504"/>
    <w:rsid w:val="003A4853"/>
    <w:rsid w:val="003A4E7D"/>
    <w:rsid w:val="003A50E2"/>
    <w:rsid w:val="003A513C"/>
    <w:rsid w:val="003A53C5"/>
    <w:rsid w:val="003A5403"/>
    <w:rsid w:val="003A56D8"/>
    <w:rsid w:val="003A596D"/>
    <w:rsid w:val="003A5ADD"/>
    <w:rsid w:val="003A5B76"/>
    <w:rsid w:val="003A5C62"/>
    <w:rsid w:val="003A5DFA"/>
    <w:rsid w:val="003A5EEC"/>
    <w:rsid w:val="003A5F91"/>
    <w:rsid w:val="003A6072"/>
    <w:rsid w:val="003A6079"/>
    <w:rsid w:val="003A6157"/>
    <w:rsid w:val="003A6208"/>
    <w:rsid w:val="003A6508"/>
    <w:rsid w:val="003A65EF"/>
    <w:rsid w:val="003A660F"/>
    <w:rsid w:val="003A67C8"/>
    <w:rsid w:val="003A67D2"/>
    <w:rsid w:val="003A68AB"/>
    <w:rsid w:val="003A6A3E"/>
    <w:rsid w:val="003A6A8A"/>
    <w:rsid w:val="003A6BCB"/>
    <w:rsid w:val="003A6CDA"/>
    <w:rsid w:val="003A6D3A"/>
    <w:rsid w:val="003A6D7B"/>
    <w:rsid w:val="003A6DFB"/>
    <w:rsid w:val="003A6E91"/>
    <w:rsid w:val="003A723B"/>
    <w:rsid w:val="003A73A3"/>
    <w:rsid w:val="003A74C7"/>
    <w:rsid w:val="003A7572"/>
    <w:rsid w:val="003A75BF"/>
    <w:rsid w:val="003A778F"/>
    <w:rsid w:val="003A7940"/>
    <w:rsid w:val="003A7EB3"/>
    <w:rsid w:val="003A7F20"/>
    <w:rsid w:val="003A7F3C"/>
    <w:rsid w:val="003AC273"/>
    <w:rsid w:val="003B0012"/>
    <w:rsid w:val="003B00FB"/>
    <w:rsid w:val="003B0179"/>
    <w:rsid w:val="003B04F0"/>
    <w:rsid w:val="003B0750"/>
    <w:rsid w:val="003B0B00"/>
    <w:rsid w:val="003B0B63"/>
    <w:rsid w:val="003B0FC6"/>
    <w:rsid w:val="003B0FE1"/>
    <w:rsid w:val="003B12CE"/>
    <w:rsid w:val="003B1336"/>
    <w:rsid w:val="003B160E"/>
    <w:rsid w:val="003B1630"/>
    <w:rsid w:val="003B16C8"/>
    <w:rsid w:val="003B1A45"/>
    <w:rsid w:val="003B1B4D"/>
    <w:rsid w:val="003B1C46"/>
    <w:rsid w:val="003B1F8D"/>
    <w:rsid w:val="003B20FC"/>
    <w:rsid w:val="003B2279"/>
    <w:rsid w:val="003B25F0"/>
    <w:rsid w:val="003B2642"/>
    <w:rsid w:val="003B2808"/>
    <w:rsid w:val="003B28C4"/>
    <w:rsid w:val="003B2C02"/>
    <w:rsid w:val="003B2C14"/>
    <w:rsid w:val="003B2C5C"/>
    <w:rsid w:val="003B2C78"/>
    <w:rsid w:val="003B2CA3"/>
    <w:rsid w:val="003B2CFF"/>
    <w:rsid w:val="003B2E2C"/>
    <w:rsid w:val="003B2EB9"/>
    <w:rsid w:val="003B2F5B"/>
    <w:rsid w:val="003B2FBA"/>
    <w:rsid w:val="003B2FEE"/>
    <w:rsid w:val="003B30AE"/>
    <w:rsid w:val="003B30DD"/>
    <w:rsid w:val="003B313D"/>
    <w:rsid w:val="003B32A6"/>
    <w:rsid w:val="003B32E8"/>
    <w:rsid w:val="003B3339"/>
    <w:rsid w:val="003B3378"/>
    <w:rsid w:val="003B358F"/>
    <w:rsid w:val="003B363B"/>
    <w:rsid w:val="003B37D3"/>
    <w:rsid w:val="003B3A26"/>
    <w:rsid w:val="003B3C09"/>
    <w:rsid w:val="003B3D5B"/>
    <w:rsid w:val="003B3E18"/>
    <w:rsid w:val="003B42B3"/>
    <w:rsid w:val="003B4563"/>
    <w:rsid w:val="003B45D8"/>
    <w:rsid w:val="003B45D9"/>
    <w:rsid w:val="003B4808"/>
    <w:rsid w:val="003B4AED"/>
    <w:rsid w:val="003B4B67"/>
    <w:rsid w:val="003B4FD2"/>
    <w:rsid w:val="003B4FF1"/>
    <w:rsid w:val="003B514C"/>
    <w:rsid w:val="003B5237"/>
    <w:rsid w:val="003B5334"/>
    <w:rsid w:val="003B53D0"/>
    <w:rsid w:val="003B54EA"/>
    <w:rsid w:val="003B5780"/>
    <w:rsid w:val="003B5831"/>
    <w:rsid w:val="003B5B3F"/>
    <w:rsid w:val="003B5BD1"/>
    <w:rsid w:val="003B5BFD"/>
    <w:rsid w:val="003B5C6A"/>
    <w:rsid w:val="003B5CD4"/>
    <w:rsid w:val="003B5E21"/>
    <w:rsid w:val="003B5F34"/>
    <w:rsid w:val="003B60C9"/>
    <w:rsid w:val="003B6188"/>
    <w:rsid w:val="003B65C2"/>
    <w:rsid w:val="003B66B5"/>
    <w:rsid w:val="003B67C3"/>
    <w:rsid w:val="003B6D9E"/>
    <w:rsid w:val="003B713E"/>
    <w:rsid w:val="003B72CF"/>
    <w:rsid w:val="003B73FD"/>
    <w:rsid w:val="003B74E9"/>
    <w:rsid w:val="003B752F"/>
    <w:rsid w:val="003B7540"/>
    <w:rsid w:val="003B7888"/>
    <w:rsid w:val="003B78AB"/>
    <w:rsid w:val="003B7DC9"/>
    <w:rsid w:val="003C00A9"/>
    <w:rsid w:val="003C0228"/>
    <w:rsid w:val="003C0486"/>
    <w:rsid w:val="003C04C8"/>
    <w:rsid w:val="003C0653"/>
    <w:rsid w:val="003C07C5"/>
    <w:rsid w:val="003C0A51"/>
    <w:rsid w:val="003C0BA9"/>
    <w:rsid w:val="003C100B"/>
    <w:rsid w:val="003C1047"/>
    <w:rsid w:val="003C10B0"/>
    <w:rsid w:val="003C10B3"/>
    <w:rsid w:val="003C12F4"/>
    <w:rsid w:val="003C162C"/>
    <w:rsid w:val="003C17DF"/>
    <w:rsid w:val="003C1958"/>
    <w:rsid w:val="003C198C"/>
    <w:rsid w:val="003C19A2"/>
    <w:rsid w:val="003C1B56"/>
    <w:rsid w:val="003C1D69"/>
    <w:rsid w:val="003C1DBA"/>
    <w:rsid w:val="003C1FA5"/>
    <w:rsid w:val="003C2145"/>
    <w:rsid w:val="003C24D5"/>
    <w:rsid w:val="003C257B"/>
    <w:rsid w:val="003C25A7"/>
    <w:rsid w:val="003C2636"/>
    <w:rsid w:val="003C296D"/>
    <w:rsid w:val="003C2B5E"/>
    <w:rsid w:val="003C2BFF"/>
    <w:rsid w:val="003C2D32"/>
    <w:rsid w:val="003C2DEE"/>
    <w:rsid w:val="003C2E83"/>
    <w:rsid w:val="003C3113"/>
    <w:rsid w:val="003C31C9"/>
    <w:rsid w:val="003C3287"/>
    <w:rsid w:val="003C32ED"/>
    <w:rsid w:val="003C34F2"/>
    <w:rsid w:val="003C3684"/>
    <w:rsid w:val="003C3926"/>
    <w:rsid w:val="003C3C5A"/>
    <w:rsid w:val="003C3C73"/>
    <w:rsid w:val="003C3D7E"/>
    <w:rsid w:val="003C3D93"/>
    <w:rsid w:val="003C4033"/>
    <w:rsid w:val="003C4286"/>
    <w:rsid w:val="003C42C5"/>
    <w:rsid w:val="003C432A"/>
    <w:rsid w:val="003C449C"/>
    <w:rsid w:val="003C4677"/>
    <w:rsid w:val="003C4873"/>
    <w:rsid w:val="003C4913"/>
    <w:rsid w:val="003C4C18"/>
    <w:rsid w:val="003C4C35"/>
    <w:rsid w:val="003C4FA9"/>
    <w:rsid w:val="003C5163"/>
    <w:rsid w:val="003C5359"/>
    <w:rsid w:val="003C537B"/>
    <w:rsid w:val="003C54A8"/>
    <w:rsid w:val="003C5506"/>
    <w:rsid w:val="003C56E0"/>
    <w:rsid w:val="003C5DD9"/>
    <w:rsid w:val="003C5E8F"/>
    <w:rsid w:val="003C5F0C"/>
    <w:rsid w:val="003C5FB5"/>
    <w:rsid w:val="003C6127"/>
    <w:rsid w:val="003C61BF"/>
    <w:rsid w:val="003C6552"/>
    <w:rsid w:val="003C688F"/>
    <w:rsid w:val="003C6B0D"/>
    <w:rsid w:val="003C6C81"/>
    <w:rsid w:val="003C6D35"/>
    <w:rsid w:val="003C6ED4"/>
    <w:rsid w:val="003C6F54"/>
    <w:rsid w:val="003C701B"/>
    <w:rsid w:val="003C71CE"/>
    <w:rsid w:val="003C7274"/>
    <w:rsid w:val="003C7290"/>
    <w:rsid w:val="003C73DC"/>
    <w:rsid w:val="003C7419"/>
    <w:rsid w:val="003C7660"/>
    <w:rsid w:val="003C79F9"/>
    <w:rsid w:val="003C7A26"/>
    <w:rsid w:val="003C7BD0"/>
    <w:rsid w:val="003C7E71"/>
    <w:rsid w:val="003C7EC1"/>
    <w:rsid w:val="003D0048"/>
    <w:rsid w:val="003D00B6"/>
    <w:rsid w:val="003D029B"/>
    <w:rsid w:val="003D0576"/>
    <w:rsid w:val="003D060C"/>
    <w:rsid w:val="003D0ACB"/>
    <w:rsid w:val="003D0C0B"/>
    <w:rsid w:val="003D0CB3"/>
    <w:rsid w:val="003D1066"/>
    <w:rsid w:val="003D10B9"/>
    <w:rsid w:val="003D11C0"/>
    <w:rsid w:val="003D11E7"/>
    <w:rsid w:val="003D12CA"/>
    <w:rsid w:val="003D14D6"/>
    <w:rsid w:val="003D15A4"/>
    <w:rsid w:val="003D1BDD"/>
    <w:rsid w:val="003D1C5F"/>
    <w:rsid w:val="003D1F67"/>
    <w:rsid w:val="003D1FFC"/>
    <w:rsid w:val="003D202B"/>
    <w:rsid w:val="003D20AD"/>
    <w:rsid w:val="003D2102"/>
    <w:rsid w:val="003D2341"/>
    <w:rsid w:val="003D246E"/>
    <w:rsid w:val="003D2505"/>
    <w:rsid w:val="003D2688"/>
    <w:rsid w:val="003D2760"/>
    <w:rsid w:val="003D27A7"/>
    <w:rsid w:val="003D27D7"/>
    <w:rsid w:val="003D28CD"/>
    <w:rsid w:val="003D2D82"/>
    <w:rsid w:val="003D2DB5"/>
    <w:rsid w:val="003D2EE8"/>
    <w:rsid w:val="003D2FF6"/>
    <w:rsid w:val="003D3113"/>
    <w:rsid w:val="003D314E"/>
    <w:rsid w:val="003D318D"/>
    <w:rsid w:val="003D3333"/>
    <w:rsid w:val="003D33A3"/>
    <w:rsid w:val="003D358B"/>
    <w:rsid w:val="003D35A4"/>
    <w:rsid w:val="003D37DD"/>
    <w:rsid w:val="003D3B11"/>
    <w:rsid w:val="003D3C7B"/>
    <w:rsid w:val="003D3D2F"/>
    <w:rsid w:val="003D3DB2"/>
    <w:rsid w:val="003D403E"/>
    <w:rsid w:val="003D4338"/>
    <w:rsid w:val="003D43C2"/>
    <w:rsid w:val="003D46C8"/>
    <w:rsid w:val="003D4839"/>
    <w:rsid w:val="003D4A9F"/>
    <w:rsid w:val="003D4CA9"/>
    <w:rsid w:val="003D4CD1"/>
    <w:rsid w:val="003D4DC5"/>
    <w:rsid w:val="003D4E1C"/>
    <w:rsid w:val="003D4EBC"/>
    <w:rsid w:val="003D4EC1"/>
    <w:rsid w:val="003D541F"/>
    <w:rsid w:val="003D5567"/>
    <w:rsid w:val="003D572E"/>
    <w:rsid w:val="003D57B2"/>
    <w:rsid w:val="003D5896"/>
    <w:rsid w:val="003D5AB3"/>
    <w:rsid w:val="003D5D47"/>
    <w:rsid w:val="003D5DE0"/>
    <w:rsid w:val="003D5E91"/>
    <w:rsid w:val="003D5EE3"/>
    <w:rsid w:val="003D5F84"/>
    <w:rsid w:val="003D6098"/>
    <w:rsid w:val="003D60A8"/>
    <w:rsid w:val="003D623D"/>
    <w:rsid w:val="003D638E"/>
    <w:rsid w:val="003D6960"/>
    <w:rsid w:val="003D6A30"/>
    <w:rsid w:val="003D6B70"/>
    <w:rsid w:val="003D6BD9"/>
    <w:rsid w:val="003D6FED"/>
    <w:rsid w:val="003D72B8"/>
    <w:rsid w:val="003D72BD"/>
    <w:rsid w:val="003D759D"/>
    <w:rsid w:val="003D75B8"/>
    <w:rsid w:val="003D7733"/>
    <w:rsid w:val="003D77E9"/>
    <w:rsid w:val="003D77EE"/>
    <w:rsid w:val="003D7840"/>
    <w:rsid w:val="003D79AB"/>
    <w:rsid w:val="003D7A86"/>
    <w:rsid w:val="003D7B8E"/>
    <w:rsid w:val="003D7E05"/>
    <w:rsid w:val="003D7E0F"/>
    <w:rsid w:val="003D7F1C"/>
    <w:rsid w:val="003E003C"/>
    <w:rsid w:val="003E013A"/>
    <w:rsid w:val="003E031D"/>
    <w:rsid w:val="003E03FE"/>
    <w:rsid w:val="003E04DA"/>
    <w:rsid w:val="003E0510"/>
    <w:rsid w:val="003E0D49"/>
    <w:rsid w:val="003E0F7E"/>
    <w:rsid w:val="003E1078"/>
    <w:rsid w:val="003E1339"/>
    <w:rsid w:val="003E1419"/>
    <w:rsid w:val="003E15B0"/>
    <w:rsid w:val="003E15F5"/>
    <w:rsid w:val="003E17F7"/>
    <w:rsid w:val="003E18E3"/>
    <w:rsid w:val="003E1A60"/>
    <w:rsid w:val="003E1BBB"/>
    <w:rsid w:val="003E1BEE"/>
    <w:rsid w:val="003E1DA7"/>
    <w:rsid w:val="003E2040"/>
    <w:rsid w:val="003E209F"/>
    <w:rsid w:val="003E2155"/>
    <w:rsid w:val="003E2295"/>
    <w:rsid w:val="003E2413"/>
    <w:rsid w:val="003E246B"/>
    <w:rsid w:val="003E255C"/>
    <w:rsid w:val="003E25D4"/>
    <w:rsid w:val="003E2651"/>
    <w:rsid w:val="003E2746"/>
    <w:rsid w:val="003E2930"/>
    <w:rsid w:val="003E2A42"/>
    <w:rsid w:val="003E2D76"/>
    <w:rsid w:val="003E3463"/>
    <w:rsid w:val="003E3464"/>
    <w:rsid w:val="003E3499"/>
    <w:rsid w:val="003E34A6"/>
    <w:rsid w:val="003E34EE"/>
    <w:rsid w:val="003E37D2"/>
    <w:rsid w:val="003E37F3"/>
    <w:rsid w:val="003E3AEE"/>
    <w:rsid w:val="003E3B27"/>
    <w:rsid w:val="003E3B39"/>
    <w:rsid w:val="003E3E10"/>
    <w:rsid w:val="003E41EE"/>
    <w:rsid w:val="003E4371"/>
    <w:rsid w:val="003E4372"/>
    <w:rsid w:val="003E4662"/>
    <w:rsid w:val="003E48BC"/>
    <w:rsid w:val="003E49A8"/>
    <w:rsid w:val="003E4B29"/>
    <w:rsid w:val="003E4C29"/>
    <w:rsid w:val="003E4ED0"/>
    <w:rsid w:val="003E4F31"/>
    <w:rsid w:val="003E4FA8"/>
    <w:rsid w:val="003E4FB7"/>
    <w:rsid w:val="003E4FD3"/>
    <w:rsid w:val="003E5055"/>
    <w:rsid w:val="003E521F"/>
    <w:rsid w:val="003E524F"/>
    <w:rsid w:val="003E5411"/>
    <w:rsid w:val="003E54B6"/>
    <w:rsid w:val="003E56E8"/>
    <w:rsid w:val="003E58BD"/>
    <w:rsid w:val="003E594D"/>
    <w:rsid w:val="003E59AD"/>
    <w:rsid w:val="003E5A09"/>
    <w:rsid w:val="003E5AC3"/>
    <w:rsid w:val="003E5C7E"/>
    <w:rsid w:val="003E5EF5"/>
    <w:rsid w:val="003E6024"/>
    <w:rsid w:val="003E6062"/>
    <w:rsid w:val="003E621A"/>
    <w:rsid w:val="003E64FA"/>
    <w:rsid w:val="003E66BB"/>
    <w:rsid w:val="003E6904"/>
    <w:rsid w:val="003E69AA"/>
    <w:rsid w:val="003E7002"/>
    <w:rsid w:val="003E70AB"/>
    <w:rsid w:val="003E70B3"/>
    <w:rsid w:val="003E70FD"/>
    <w:rsid w:val="003E71D7"/>
    <w:rsid w:val="003E7230"/>
    <w:rsid w:val="003E7298"/>
    <w:rsid w:val="003E732F"/>
    <w:rsid w:val="003E7673"/>
    <w:rsid w:val="003E7695"/>
    <w:rsid w:val="003E78FE"/>
    <w:rsid w:val="003E7916"/>
    <w:rsid w:val="003E7968"/>
    <w:rsid w:val="003E7A4D"/>
    <w:rsid w:val="003E7AFC"/>
    <w:rsid w:val="003E7BBA"/>
    <w:rsid w:val="003E7CFE"/>
    <w:rsid w:val="003F007F"/>
    <w:rsid w:val="003F013E"/>
    <w:rsid w:val="003F0529"/>
    <w:rsid w:val="003F06EA"/>
    <w:rsid w:val="003F0A23"/>
    <w:rsid w:val="003F0AA1"/>
    <w:rsid w:val="003F0E63"/>
    <w:rsid w:val="003F102A"/>
    <w:rsid w:val="003F10FE"/>
    <w:rsid w:val="003F118D"/>
    <w:rsid w:val="003F12B2"/>
    <w:rsid w:val="003F130B"/>
    <w:rsid w:val="003F1361"/>
    <w:rsid w:val="003F14E0"/>
    <w:rsid w:val="003F162F"/>
    <w:rsid w:val="003F16F5"/>
    <w:rsid w:val="003F19DB"/>
    <w:rsid w:val="003F1A86"/>
    <w:rsid w:val="003F1ADD"/>
    <w:rsid w:val="003F1B89"/>
    <w:rsid w:val="003F1D29"/>
    <w:rsid w:val="003F1E1E"/>
    <w:rsid w:val="003F1F49"/>
    <w:rsid w:val="003F20C0"/>
    <w:rsid w:val="003F2143"/>
    <w:rsid w:val="003F2491"/>
    <w:rsid w:val="003F2644"/>
    <w:rsid w:val="003F2714"/>
    <w:rsid w:val="003F278A"/>
    <w:rsid w:val="003F298D"/>
    <w:rsid w:val="003F2AE3"/>
    <w:rsid w:val="003F2BB8"/>
    <w:rsid w:val="003F2FA0"/>
    <w:rsid w:val="003F313B"/>
    <w:rsid w:val="003F347C"/>
    <w:rsid w:val="003F3602"/>
    <w:rsid w:val="003F39B6"/>
    <w:rsid w:val="003F3BF9"/>
    <w:rsid w:val="003F3C9F"/>
    <w:rsid w:val="003F3FF0"/>
    <w:rsid w:val="003F4075"/>
    <w:rsid w:val="003F4077"/>
    <w:rsid w:val="003F40CB"/>
    <w:rsid w:val="003F41D0"/>
    <w:rsid w:val="003F42A7"/>
    <w:rsid w:val="003F4345"/>
    <w:rsid w:val="003F46DB"/>
    <w:rsid w:val="003F4775"/>
    <w:rsid w:val="003F48A4"/>
    <w:rsid w:val="003F4925"/>
    <w:rsid w:val="003F4934"/>
    <w:rsid w:val="003F495A"/>
    <w:rsid w:val="003F4AA9"/>
    <w:rsid w:val="003F4CA0"/>
    <w:rsid w:val="003F4DB3"/>
    <w:rsid w:val="003F4E45"/>
    <w:rsid w:val="003F4EF4"/>
    <w:rsid w:val="003F4FDD"/>
    <w:rsid w:val="003F4FEC"/>
    <w:rsid w:val="003F517F"/>
    <w:rsid w:val="003F52BD"/>
    <w:rsid w:val="003F5612"/>
    <w:rsid w:val="003F5B03"/>
    <w:rsid w:val="003F5CFD"/>
    <w:rsid w:val="003F5EC3"/>
    <w:rsid w:val="003F5EEC"/>
    <w:rsid w:val="003F6031"/>
    <w:rsid w:val="003F6045"/>
    <w:rsid w:val="003F607D"/>
    <w:rsid w:val="003F6083"/>
    <w:rsid w:val="003F61A3"/>
    <w:rsid w:val="003F6377"/>
    <w:rsid w:val="003F675A"/>
    <w:rsid w:val="003F684D"/>
    <w:rsid w:val="003F6928"/>
    <w:rsid w:val="003F6962"/>
    <w:rsid w:val="003F6B78"/>
    <w:rsid w:val="003F6D8E"/>
    <w:rsid w:val="003F6DD9"/>
    <w:rsid w:val="003F701B"/>
    <w:rsid w:val="003F71C5"/>
    <w:rsid w:val="003F72A9"/>
    <w:rsid w:val="003F73C4"/>
    <w:rsid w:val="003F76F5"/>
    <w:rsid w:val="003F7891"/>
    <w:rsid w:val="003F7D8A"/>
    <w:rsid w:val="003F7D97"/>
    <w:rsid w:val="003F7E7A"/>
    <w:rsid w:val="003F7F4D"/>
    <w:rsid w:val="003F7FC8"/>
    <w:rsid w:val="003F7FD7"/>
    <w:rsid w:val="0040010F"/>
    <w:rsid w:val="004003E3"/>
    <w:rsid w:val="00400735"/>
    <w:rsid w:val="004008C2"/>
    <w:rsid w:val="004008D4"/>
    <w:rsid w:val="004009AC"/>
    <w:rsid w:val="00400A6D"/>
    <w:rsid w:val="00400B10"/>
    <w:rsid w:val="00400DC9"/>
    <w:rsid w:val="00400FBA"/>
    <w:rsid w:val="00401154"/>
    <w:rsid w:val="00401201"/>
    <w:rsid w:val="00401461"/>
    <w:rsid w:val="004015CC"/>
    <w:rsid w:val="00401601"/>
    <w:rsid w:val="004016DE"/>
    <w:rsid w:val="004019E9"/>
    <w:rsid w:val="00401AD6"/>
    <w:rsid w:val="00401BB4"/>
    <w:rsid w:val="00401E64"/>
    <w:rsid w:val="00402122"/>
    <w:rsid w:val="0040229D"/>
    <w:rsid w:val="0040253B"/>
    <w:rsid w:val="004025DC"/>
    <w:rsid w:val="004027FE"/>
    <w:rsid w:val="0040293D"/>
    <w:rsid w:val="0040296F"/>
    <w:rsid w:val="00402B29"/>
    <w:rsid w:val="00402C1F"/>
    <w:rsid w:val="00402CC1"/>
    <w:rsid w:val="00402DC4"/>
    <w:rsid w:val="00402E80"/>
    <w:rsid w:val="00402F77"/>
    <w:rsid w:val="00402FF7"/>
    <w:rsid w:val="00403117"/>
    <w:rsid w:val="00403167"/>
    <w:rsid w:val="00403273"/>
    <w:rsid w:val="00403499"/>
    <w:rsid w:val="004035E9"/>
    <w:rsid w:val="004035F0"/>
    <w:rsid w:val="004036FE"/>
    <w:rsid w:val="0040395A"/>
    <w:rsid w:val="00403C85"/>
    <w:rsid w:val="00403DD5"/>
    <w:rsid w:val="004041B8"/>
    <w:rsid w:val="00404201"/>
    <w:rsid w:val="004042F7"/>
    <w:rsid w:val="00404448"/>
    <w:rsid w:val="004044E6"/>
    <w:rsid w:val="00404643"/>
    <w:rsid w:val="00404676"/>
    <w:rsid w:val="004046BD"/>
    <w:rsid w:val="0040473D"/>
    <w:rsid w:val="00404784"/>
    <w:rsid w:val="0040496E"/>
    <w:rsid w:val="004049B3"/>
    <w:rsid w:val="00404EAD"/>
    <w:rsid w:val="00405207"/>
    <w:rsid w:val="00405274"/>
    <w:rsid w:val="004052EC"/>
    <w:rsid w:val="0040545A"/>
    <w:rsid w:val="0040559C"/>
    <w:rsid w:val="0040567B"/>
    <w:rsid w:val="00405ACA"/>
    <w:rsid w:val="00405ACB"/>
    <w:rsid w:val="00405B6D"/>
    <w:rsid w:val="00405B86"/>
    <w:rsid w:val="00405C06"/>
    <w:rsid w:val="00405CCA"/>
    <w:rsid w:val="00405DFE"/>
    <w:rsid w:val="00405EE7"/>
    <w:rsid w:val="00405FF5"/>
    <w:rsid w:val="00406227"/>
    <w:rsid w:val="004064FF"/>
    <w:rsid w:val="00406722"/>
    <w:rsid w:val="00406A52"/>
    <w:rsid w:val="00406C20"/>
    <w:rsid w:val="00406CD2"/>
    <w:rsid w:val="00406D37"/>
    <w:rsid w:val="00406E3B"/>
    <w:rsid w:val="004071F6"/>
    <w:rsid w:val="004073A3"/>
    <w:rsid w:val="0040741C"/>
    <w:rsid w:val="00407563"/>
    <w:rsid w:val="00407614"/>
    <w:rsid w:val="00407B4D"/>
    <w:rsid w:val="00410319"/>
    <w:rsid w:val="00410432"/>
    <w:rsid w:val="00410664"/>
    <w:rsid w:val="004106A3"/>
    <w:rsid w:val="004109CE"/>
    <w:rsid w:val="004109D7"/>
    <w:rsid w:val="00410EDF"/>
    <w:rsid w:val="004114B2"/>
    <w:rsid w:val="00411579"/>
    <w:rsid w:val="004115E0"/>
    <w:rsid w:val="0041184C"/>
    <w:rsid w:val="004118BC"/>
    <w:rsid w:val="004118DB"/>
    <w:rsid w:val="004118DC"/>
    <w:rsid w:val="00411959"/>
    <w:rsid w:val="00411A6F"/>
    <w:rsid w:val="00411B0E"/>
    <w:rsid w:val="00411B5E"/>
    <w:rsid w:val="0041208C"/>
    <w:rsid w:val="00412134"/>
    <w:rsid w:val="00412153"/>
    <w:rsid w:val="00412192"/>
    <w:rsid w:val="00412218"/>
    <w:rsid w:val="0041238D"/>
    <w:rsid w:val="004123D9"/>
    <w:rsid w:val="00412575"/>
    <w:rsid w:val="0041281A"/>
    <w:rsid w:val="004128F7"/>
    <w:rsid w:val="00412947"/>
    <w:rsid w:val="004129B6"/>
    <w:rsid w:val="00412AA7"/>
    <w:rsid w:val="00412B6A"/>
    <w:rsid w:val="00412CA7"/>
    <w:rsid w:val="00412D7F"/>
    <w:rsid w:val="00412E0F"/>
    <w:rsid w:val="00412E64"/>
    <w:rsid w:val="00412EE2"/>
    <w:rsid w:val="00413368"/>
    <w:rsid w:val="004133E1"/>
    <w:rsid w:val="004134C3"/>
    <w:rsid w:val="00413702"/>
    <w:rsid w:val="004137D1"/>
    <w:rsid w:val="00413956"/>
    <w:rsid w:val="004139F8"/>
    <w:rsid w:val="00413C7C"/>
    <w:rsid w:val="00413C80"/>
    <w:rsid w:val="0041444C"/>
    <w:rsid w:val="00414551"/>
    <w:rsid w:val="00414A36"/>
    <w:rsid w:val="00414BAE"/>
    <w:rsid w:val="00414BFC"/>
    <w:rsid w:val="00414F99"/>
    <w:rsid w:val="00415062"/>
    <w:rsid w:val="004150D1"/>
    <w:rsid w:val="004151AF"/>
    <w:rsid w:val="004151E2"/>
    <w:rsid w:val="0041540C"/>
    <w:rsid w:val="004154BF"/>
    <w:rsid w:val="00415552"/>
    <w:rsid w:val="0041580C"/>
    <w:rsid w:val="00415B4D"/>
    <w:rsid w:val="00415B7F"/>
    <w:rsid w:val="00415BB0"/>
    <w:rsid w:val="00415CF0"/>
    <w:rsid w:val="00415E1A"/>
    <w:rsid w:val="00415EE4"/>
    <w:rsid w:val="00415F6D"/>
    <w:rsid w:val="00416050"/>
    <w:rsid w:val="0041676A"/>
    <w:rsid w:val="0041687D"/>
    <w:rsid w:val="004169DA"/>
    <w:rsid w:val="00416A02"/>
    <w:rsid w:val="00416BB0"/>
    <w:rsid w:val="00416C11"/>
    <w:rsid w:val="00416CEF"/>
    <w:rsid w:val="00416D02"/>
    <w:rsid w:val="00416D34"/>
    <w:rsid w:val="00416D9D"/>
    <w:rsid w:val="00416FE6"/>
    <w:rsid w:val="00417091"/>
    <w:rsid w:val="004170BE"/>
    <w:rsid w:val="00417259"/>
    <w:rsid w:val="004173A0"/>
    <w:rsid w:val="004175D4"/>
    <w:rsid w:val="00417757"/>
    <w:rsid w:val="004177E8"/>
    <w:rsid w:val="00417841"/>
    <w:rsid w:val="00417991"/>
    <w:rsid w:val="00417AEC"/>
    <w:rsid w:val="00417C41"/>
    <w:rsid w:val="004200C7"/>
    <w:rsid w:val="00420130"/>
    <w:rsid w:val="00420145"/>
    <w:rsid w:val="00420581"/>
    <w:rsid w:val="0042085C"/>
    <w:rsid w:val="00420A1E"/>
    <w:rsid w:val="00420AF8"/>
    <w:rsid w:val="00420AFF"/>
    <w:rsid w:val="00420CEC"/>
    <w:rsid w:val="00420E4E"/>
    <w:rsid w:val="00420F20"/>
    <w:rsid w:val="00420FFA"/>
    <w:rsid w:val="0042116B"/>
    <w:rsid w:val="00421187"/>
    <w:rsid w:val="00421275"/>
    <w:rsid w:val="004212BF"/>
    <w:rsid w:val="00421474"/>
    <w:rsid w:val="00421559"/>
    <w:rsid w:val="00421607"/>
    <w:rsid w:val="00421886"/>
    <w:rsid w:val="004218A3"/>
    <w:rsid w:val="0042198F"/>
    <w:rsid w:val="00421E5C"/>
    <w:rsid w:val="00421EAF"/>
    <w:rsid w:val="00421EB9"/>
    <w:rsid w:val="00421F42"/>
    <w:rsid w:val="00422238"/>
    <w:rsid w:val="00422298"/>
    <w:rsid w:val="004223BF"/>
    <w:rsid w:val="00422509"/>
    <w:rsid w:val="004225B5"/>
    <w:rsid w:val="00422731"/>
    <w:rsid w:val="00422963"/>
    <w:rsid w:val="00422B52"/>
    <w:rsid w:val="00423093"/>
    <w:rsid w:val="004230C8"/>
    <w:rsid w:val="0042313F"/>
    <w:rsid w:val="00423211"/>
    <w:rsid w:val="0042321F"/>
    <w:rsid w:val="00423240"/>
    <w:rsid w:val="00423343"/>
    <w:rsid w:val="004233DA"/>
    <w:rsid w:val="00423488"/>
    <w:rsid w:val="004234DE"/>
    <w:rsid w:val="004236C1"/>
    <w:rsid w:val="0042379B"/>
    <w:rsid w:val="00423899"/>
    <w:rsid w:val="00423916"/>
    <w:rsid w:val="004239C7"/>
    <w:rsid w:val="00423A4E"/>
    <w:rsid w:val="00423B5C"/>
    <w:rsid w:val="00423CCC"/>
    <w:rsid w:val="00423DA5"/>
    <w:rsid w:val="004240A9"/>
    <w:rsid w:val="004240C3"/>
    <w:rsid w:val="004241B9"/>
    <w:rsid w:val="004241FB"/>
    <w:rsid w:val="004242FE"/>
    <w:rsid w:val="00424309"/>
    <w:rsid w:val="00424469"/>
    <w:rsid w:val="00424588"/>
    <w:rsid w:val="004246B0"/>
    <w:rsid w:val="004246FE"/>
    <w:rsid w:val="004247CE"/>
    <w:rsid w:val="00424858"/>
    <w:rsid w:val="0042494E"/>
    <w:rsid w:val="00424A28"/>
    <w:rsid w:val="00424B0D"/>
    <w:rsid w:val="00424B9B"/>
    <w:rsid w:val="00424BFF"/>
    <w:rsid w:val="00424CA8"/>
    <w:rsid w:val="00424D6A"/>
    <w:rsid w:val="00424DCC"/>
    <w:rsid w:val="00425088"/>
    <w:rsid w:val="004255EC"/>
    <w:rsid w:val="00425745"/>
    <w:rsid w:val="0042599B"/>
    <w:rsid w:val="004259A8"/>
    <w:rsid w:val="00425A84"/>
    <w:rsid w:val="00425B1C"/>
    <w:rsid w:val="00425B3A"/>
    <w:rsid w:val="00425C54"/>
    <w:rsid w:val="00425E13"/>
    <w:rsid w:val="00425E3F"/>
    <w:rsid w:val="00425F4D"/>
    <w:rsid w:val="00425F50"/>
    <w:rsid w:val="00425FCC"/>
    <w:rsid w:val="004260AC"/>
    <w:rsid w:val="004260D1"/>
    <w:rsid w:val="0042610E"/>
    <w:rsid w:val="0042619E"/>
    <w:rsid w:val="0042636A"/>
    <w:rsid w:val="0042643D"/>
    <w:rsid w:val="0042652A"/>
    <w:rsid w:val="004267E2"/>
    <w:rsid w:val="00426AB3"/>
    <w:rsid w:val="00426F41"/>
    <w:rsid w:val="004273D4"/>
    <w:rsid w:val="004274C4"/>
    <w:rsid w:val="004274E4"/>
    <w:rsid w:val="0042750C"/>
    <w:rsid w:val="00427679"/>
    <w:rsid w:val="00427911"/>
    <w:rsid w:val="0042793E"/>
    <w:rsid w:val="004279BD"/>
    <w:rsid w:val="00427A62"/>
    <w:rsid w:val="00427C46"/>
    <w:rsid w:val="00427C66"/>
    <w:rsid w:val="00427CAB"/>
    <w:rsid w:val="00427F64"/>
    <w:rsid w:val="00427F7F"/>
    <w:rsid w:val="00427F81"/>
    <w:rsid w:val="00430215"/>
    <w:rsid w:val="00430279"/>
    <w:rsid w:val="0043028C"/>
    <w:rsid w:val="00430397"/>
    <w:rsid w:val="00430458"/>
    <w:rsid w:val="004305C2"/>
    <w:rsid w:val="00430788"/>
    <w:rsid w:val="00430834"/>
    <w:rsid w:val="00430A6C"/>
    <w:rsid w:val="00430B20"/>
    <w:rsid w:val="00430C6A"/>
    <w:rsid w:val="00430D68"/>
    <w:rsid w:val="00430DB0"/>
    <w:rsid w:val="00430F75"/>
    <w:rsid w:val="00430FC8"/>
    <w:rsid w:val="0043104A"/>
    <w:rsid w:val="0043118E"/>
    <w:rsid w:val="00431197"/>
    <w:rsid w:val="004311AB"/>
    <w:rsid w:val="00431275"/>
    <w:rsid w:val="004313E5"/>
    <w:rsid w:val="004314DA"/>
    <w:rsid w:val="0043161C"/>
    <w:rsid w:val="00431740"/>
    <w:rsid w:val="00431BE8"/>
    <w:rsid w:val="00431BF1"/>
    <w:rsid w:val="00432330"/>
    <w:rsid w:val="00432445"/>
    <w:rsid w:val="00432471"/>
    <w:rsid w:val="0043266F"/>
    <w:rsid w:val="00432676"/>
    <w:rsid w:val="0043278F"/>
    <w:rsid w:val="0043283C"/>
    <w:rsid w:val="00432856"/>
    <w:rsid w:val="004328D7"/>
    <w:rsid w:val="0043290C"/>
    <w:rsid w:val="00432A5E"/>
    <w:rsid w:val="00432A98"/>
    <w:rsid w:val="00432BB9"/>
    <w:rsid w:val="00432E9D"/>
    <w:rsid w:val="00432FBB"/>
    <w:rsid w:val="004330B2"/>
    <w:rsid w:val="0043338F"/>
    <w:rsid w:val="00433391"/>
    <w:rsid w:val="00433486"/>
    <w:rsid w:val="0043350F"/>
    <w:rsid w:val="00433533"/>
    <w:rsid w:val="004335D2"/>
    <w:rsid w:val="00433734"/>
    <w:rsid w:val="004338D0"/>
    <w:rsid w:val="00433C1A"/>
    <w:rsid w:val="00433DB6"/>
    <w:rsid w:val="00433FEA"/>
    <w:rsid w:val="00434007"/>
    <w:rsid w:val="0043434C"/>
    <w:rsid w:val="0043444F"/>
    <w:rsid w:val="0043446F"/>
    <w:rsid w:val="004345A8"/>
    <w:rsid w:val="004347DA"/>
    <w:rsid w:val="004348C5"/>
    <w:rsid w:val="00434A44"/>
    <w:rsid w:val="00434A9A"/>
    <w:rsid w:val="00434CBE"/>
    <w:rsid w:val="00434CF6"/>
    <w:rsid w:val="00434D5F"/>
    <w:rsid w:val="00434F98"/>
    <w:rsid w:val="00435033"/>
    <w:rsid w:val="004351CE"/>
    <w:rsid w:val="004351EF"/>
    <w:rsid w:val="00435212"/>
    <w:rsid w:val="00435457"/>
    <w:rsid w:val="00435652"/>
    <w:rsid w:val="004356DF"/>
    <w:rsid w:val="00435A26"/>
    <w:rsid w:val="00435A77"/>
    <w:rsid w:val="00435B0D"/>
    <w:rsid w:val="00435CFD"/>
    <w:rsid w:val="00435EF3"/>
    <w:rsid w:val="00435F69"/>
    <w:rsid w:val="0043638F"/>
    <w:rsid w:val="004364BF"/>
    <w:rsid w:val="00436549"/>
    <w:rsid w:val="0043669C"/>
    <w:rsid w:val="0043671A"/>
    <w:rsid w:val="004367C9"/>
    <w:rsid w:val="00436800"/>
    <w:rsid w:val="0043683F"/>
    <w:rsid w:val="004368B0"/>
    <w:rsid w:val="00436AC7"/>
    <w:rsid w:val="00436C8F"/>
    <w:rsid w:val="00436D44"/>
    <w:rsid w:val="00436F3A"/>
    <w:rsid w:val="00436F81"/>
    <w:rsid w:val="0043701E"/>
    <w:rsid w:val="004370E8"/>
    <w:rsid w:val="00437171"/>
    <w:rsid w:val="004371B0"/>
    <w:rsid w:val="004371B2"/>
    <w:rsid w:val="004372A8"/>
    <w:rsid w:val="004372CA"/>
    <w:rsid w:val="00437300"/>
    <w:rsid w:val="00437319"/>
    <w:rsid w:val="0043737A"/>
    <w:rsid w:val="00437560"/>
    <w:rsid w:val="004375A8"/>
    <w:rsid w:val="0043768C"/>
    <w:rsid w:val="004376D6"/>
    <w:rsid w:val="004377D2"/>
    <w:rsid w:val="00437A39"/>
    <w:rsid w:val="00437B49"/>
    <w:rsid w:val="00437F1A"/>
    <w:rsid w:val="00437F9C"/>
    <w:rsid w:val="0043CF4E"/>
    <w:rsid w:val="00440127"/>
    <w:rsid w:val="004402F6"/>
    <w:rsid w:val="00440325"/>
    <w:rsid w:val="004405C5"/>
    <w:rsid w:val="004406D1"/>
    <w:rsid w:val="004409F5"/>
    <w:rsid w:val="00440A77"/>
    <w:rsid w:val="00440B87"/>
    <w:rsid w:val="00440FEB"/>
    <w:rsid w:val="00440FFF"/>
    <w:rsid w:val="00441328"/>
    <w:rsid w:val="00441894"/>
    <w:rsid w:val="00441963"/>
    <w:rsid w:val="00441AFC"/>
    <w:rsid w:val="00441F93"/>
    <w:rsid w:val="004422A6"/>
    <w:rsid w:val="00442343"/>
    <w:rsid w:val="0044238F"/>
    <w:rsid w:val="0044246F"/>
    <w:rsid w:val="00442501"/>
    <w:rsid w:val="00442793"/>
    <w:rsid w:val="00442989"/>
    <w:rsid w:val="00442A15"/>
    <w:rsid w:val="00442ABB"/>
    <w:rsid w:val="00442CD0"/>
    <w:rsid w:val="00442D93"/>
    <w:rsid w:val="00442DC9"/>
    <w:rsid w:val="00442F17"/>
    <w:rsid w:val="00443151"/>
    <w:rsid w:val="004431B5"/>
    <w:rsid w:val="0044337A"/>
    <w:rsid w:val="004433BA"/>
    <w:rsid w:val="004433E8"/>
    <w:rsid w:val="004438DA"/>
    <w:rsid w:val="00443902"/>
    <w:rsid w:val="0044392E"/>
    <w:rsid w:val="00443BC5"/>
    <w:rsid w:val="00443D0B"/>
    <w:rsid w:val="00443D46"/>
    <w:rsid w:val="00443D4E"/>
    <w:rsid w:val="00444034"/>
    <w:rsid w:val="004442E2"/>
    <w:rsid w:val="004445AF"/>
    <w:rsid w:val="0044472A"/>
    <w:rsid w:val="00444AD7"/>
    <w:rsid w:val="00444D46"/>
    <w:rsid w:val="00444DA8"/>
    <w:rsid w:val="00444FB8"/>
    <w:rsid w:val="004450B7"/>
    <w:rsid w:val="004453B2"/>
    <w:rsid w:val="0044555B"/>
    <w:rsid w:val="00445615"/>
    <w:rsid w:val="00445627"/>
    <w:rsid w:val="00445634"/>
    <w:rsid w:val="0044567B"/>
    <w:rsid w:val="004456EC"/>
    <w:rsid w:val="00445759"/>
    <w:rsid w:val="00445766"/>
    <w:rsid w:val="004457C0"/>
    <w:rsid w:val="004457FF"/>
    <w:rsid w:val="004459C7"/>
    <w:rsid w:val="00445BD9"/>
    <w:rsid w:val="00445EC6"/>
    <w:rsid w:val="00446282"/>
    <w:rsid w:val="00446665"/>
    <w:rsid w:val="00446729"/>
    <w:rsid w:val="0044698B"/>
    <w:rsid w:val="00446A68"/>
    <w:rsid w:val="00446B0C"/>
    <w:rsid w:val="00446F6B"/>
    <w:rsid w:val="0044706A"/>
    <w:rsid w:val="00447152"/>
    <w:rsid w:val="00447245"/>
    <w:rsid w:val="004473B6"/>
    <w:rsid w:val="0044763B"/>
    <w:rsid w:val="00447672"/>
    <w:rsid w:val="00447814"/>
    <w:rsid w:val="004479A5"/>
    <w:rsid w:val="00447B15"/>
    <w:rsid w:val="00447B58"/>
    <w:rsid w:val="00447C17"/>
    <w:rsid w:val="00447CC6"/>
    <w:rsid w:val="00447F0D"/>
    <w:rsid w:val="00450071"/>
    <w:rsid w:val="00450226"/>
    <w:rsid w:val="00450316"/>
    <w:rsid w:val="00450366"/>
    <w:rsid w:val="00450416"/>
    <w:rsid w:val="004506A3"/>
    <w:rsid w:val="0045070C"/>
    <w:rsid w:val="00450812"/>
    <w:rsid w:val="00450880"/>
    <w:rsid w:val="004509A3"/>
    <w:rsid w:val="00450BB1"/>
    <w:rsid w:val="00450D05"/>
    <w:rsid w:val="00450E7E"/>
    <w:rsid w:val="00450FF1"/>
    <w:rsid w:val="0045139C"/>
    <w:rsid w:val="00451547"/>
    <w:rsid w:val="0045182E"/>
    <w:rsid w:val="00451855"/>
    <w:rsid w:val="00451B99"/>
    <w:rsid w:val="00451BDB"/>
    <w:rsid w:val="00451CB7"/>
    <w:rsid w:val="00451DD6"/>
    <w:rsid w:val="00451F2A"/>
    <w:rsid w:val="00451F45"/>
    <w:rsid w:val="00451F47"/>
    <w:rsid w:val="00451FFE"/>
    <w:rsid w:val="004520C6"/>
    <w:rsid w:val="00452239"/>
    <w:rsid w:val="004524C0"/>
    <w:rsid w:val="0045253C"/>
    <w:rsid w:val="0045262C"/>
    <w:rsid w:val="00452643"/>
    <w:rsid w:val="0045277A"/>
    <w:rsid w:val="00452913"/>
    <w:rsid w:val="00452A10"/>
    <w:rsid w:val="00452B35"/>
    <w:rsid w:val="00452BE3"/>
    <w:rsid w:val="00452C58"/>
    <w:rsid w:val="00452D5A"/>
    <w:rsid w:val="00452EFB"/>
    <w:rsid w:val="00452FC8"/>
    <w:rsid w:val="0045300D"/>
    <w:rsid w:val="0045338A"/>
    <w:rsid w:val="00453527"/>
    <w:rsid w:val="00453840"/>
    <w:rsid w:val="0045386A"/>
    <w:rsid w:val="00453952"/>
    <w:rsid w:val="00453CE9"/>
    <w:rsid w:val="00453EF1"/>
    <w:rsid w:val="00453F28"/>
    <w:rsid w:val="00453F47"/>
    <w:rsid w:val="00454182"/>
    <w:rsid w:val="00454452"/>
    <w:rsid w:val="00454471"/>
    <w:rsid w:val="004544DC"/>
    <w:rsid w:val="00454573"/>
    <w:rsid w:val="00454594"/>
    <w:rsid w:val="0045465B"/>
    <w:rsid w:val="00454706"/>
    <w:rsid w:val="00454782"/>
    <w:rsid w:val="004547EA"/>
    <w:rsid w:val="0045493D"/>
    <w:rsid w:val="004549F6"/>
    <w:rsid w:val="00454ACB"/>
    <w:rsid w:val="00454B7E"/>
    <w:rsid w:val="00454BBC"/>
    <w:rsid w:val="00454C11"/>
    <w:rsid w:val="00454C5C"/>
    <w:rsid w:val="00454E08"/>
    <w:rsid w:val="00454F24"/>
    <w:rsid w:val="00454F3D"/>
    <w:rsid w:val="00455018"/>
    <w:rsid w:val="004550B5"/>
    <w:rsid w:val="004552FC"/>
    <w:rsid w:val="004553A1"/>
    <w:rsid w:val="004556E8"/>
    <w:rsid w:val="00455801"/>
    <w:rsid w:val="00455895"/>
    <w:rsid w:val="0045594C"/>
    <w:rsid w:val="00455A21"/>
    <w:rsid w:val="00455C75"/>
    <w:rsid w:val="00455D9A"/>
    <w:rsid w:val="00455E20"/>
    <w:rsid w:val="00455EAA"/>
    <w:rsid w:val="00455F0A"/>
    <w:rsid w:val="0045620C"/>
    <w:rsid w:val="00456261"/>
    <w:rsid w:val="00456270"/>
    <w:rsid w:val="00456348"/>
    <w:rsid w:val="0045638B"/>
    <w:rsid w:val="00456494"/>
    <w:rsid w:val="004565D8"/>
    <w:rsid w:val="00456671"/>
    <w:rsid w:val="004567D0"/>
    <w:rsid w:val="0045681C"/>
    <w:rsid w:val="00456AA0"/>
    <w:rsid w:val="00456B0D"/>
    <w:rsid w:val="00456BF6"/>
    <w:rsid w:val="00456CCD"/>
    <w:rsid w:val="00456D7F"/>
    <w:rsid w:val="00456FA3"/>
    <w:rsid w:val="004570F6"/>
    <w:rsid w:val="004571A3"/>
    <w:rsid w:val="004572E5"/>
    <w:rsid w:val="00457408"/>
    <w:rsid w:val="00457776"/>
    <w:rsid w:val="0045778F"/>
    <w:rsid w:val="004577A8"/>
    <w:rsid w:val="004577E1"/>
    <w:rsid w:val="004577EA"/>
    <w:rsid w:val="0045783C"/>
    <w:rsid w:val="004578A5"/>
    <w:rsid w:val="0045799A"/>
    <w:rsid w:val="00457B48"/>
    <w:rsid w:val="00457BB6"/>
    <w:rsid w:val="00457C82"/>
    <w:rsid w:val="004600A4"/>
    <w:rsid w:val="004605BC"/>
    <w:rsid w:val="004605DE"/>
    <w:rsid w:val="004607C6"/>
    <w:rsid w:val="0046085D"/>
    <w:rsid w:val="00460D91"/>
    <w:rsid w:val="00460E4C"/>
    <w:rsid w:val="00460E85"/>
    <w:rsid w:val="00461107"/>
    <w:rsid w:val="0046117B"/>
    <w:rsid w:val="00461200"/>
    <w:rsid w:val="0046142A"/>
    <w:rsid w:val="0046155D"/>
    <w:rsid w:val="00461863"/>
    <w:rsid w:val="00461B12"/>
    <w:rsid w:val="00461B68"/>
    <w:rsid w:val="00461DAF"/>
    <w:rsid w:val="00461E9A"/>
    <w:rsid w:val="00461FC2"/>
    <w:rsid w:val="0046201E"/>
    <w:rsid w:val="00462053"/>
    <w:rsid w:val="004620F9"/>
    <w:rsid w:val="004622A6"/>
    <w:rsid w:val="0046234C"/>
    <w:rsid w:val="0046247E"/>
    <w:rsid w:val="00462598"/>
    <w:rsid w:val="004626B5"/>
    <w:rsid w:val="004626F9"/>
    <w:rsid w:val="00462D52"/>
    <w:rsid w:val="004630E4"/>
    <w:rsid w:val="00463119"/>
    <w:rsid w:val="004632B1"/>
    <w:rsid w:val="00463410"/>
    <w:rsid w:val="00463490"/>
    <w:rsid w:val="00463593"/>
    <w:rsid w:val="0046360F"/>
    <w:rsid w:val="004637A5"/>
    <w:rsid w:val="00463813"/>
    <w:rsid w:val="004638CC"/>
    <w:rsid w:val="00463A84"/>
    <w:rsid w:val="00463ABB"/>
    <w:rsid w:val="00463CDA"/>
    <w:rsid w:val="00463FBE"/>
    <w:rsid w:val="00464017"/>
    <w:rsid w:val="00464484"/>
    <w:rsid w:val="00464685"/>
    <w:rsid w:val="00464847"/>
    <w:rsid w:val="0046496A"/>
    <w:rsid w:val="00464A80"/>
    <w:rsid w:val="00464ABE"/>
    <w:rsid w:val="00464C7E"/>
    <w:rsid w:val="00464D40"/>
    <w:rsid w:val="00464EF4"/>
    <w:rsid w:val="00464F24"/>
    <w:rsid w:val="00464F4A"/>
    <w:rsid w:val="004650B7"/>
    <w:rsid w:val="004652E5"/>
    <w:rsid w:val="004652EF"/>
    <w:rsid w:val="004654CC"/>
    <w:rsid w:val="004659F1"/>
    <w:rsid w:val="00465BCA"/>
    <w:rsid w:val="00465DCC"/>
    <w:rsid w:val="00465E0D"/>
    <w:rsid w:val="00465F48"/>
    <w:rsid w:val="00465F65"/>
    <w:rsid w:val="004662B8"/>
    <w:rsid w:val="004662D3"/>
    <w:rsid w:val="00466326"/>
    <w:rsid w:val="0046644D"/>
    <w:rsid w:val="0046665D"/>
    <w:rsid w:val="00466664"/>
    <w:rsid w:val="004666F9"/>
    <w:rsid w:val="00466722"/>
    <w:rsid w:val="00466805"/>
    <w:rsid w:val="00466B66"/>
    <w:rsid w:val="00466BE0"/>
    <w:rsid w:val="00466D93"/>
    <w:rsid w:val="00466E84"/>
    <w:rsid w:val="00466ECE"/>
    <w:rsid w:val="00466F30"/>
    <w:rsid w:val="0046710E"/>
    <w:rsid w:val="00467269"/>
    <w:rsid w:val="0046729B"/>
    <w:rsid w:val="00467391"/>
    <w:rsid w:val="00467485"/>
    <w:rsid w:val="004676C7"/>
    <w:rsid w:val="00467917"/>
    <w:rsid w:val="00467B1D"/>
    <w:rsid w:val="00467BFE"/>
    <w:rsid w:val="00467CB7"/>
    <w:rsid w:val="00467EB1"/>
    <w:rsid w:val="00470048"/>
    <w:rsid w:val="0047010F"/>
    <w:rsid w:val="0047045F"/>
    <w:rsid w:val="00470494"/>
    <w:rsid w:val="004704E6"/>
    <w:rsid w:val="00470690"/>
    <w:rsid w:val="004708DF"/>
    <w:rsid w:val="004708EB"/>
    <w:rsid w:val="004709C6"/>
    <w:rsid w:val="00470AE3"/>
    <w:rsid w:val="00470BEA"/>
    <w:rsid w:val="00470D92"/>
    <w:rsid w:val="00470DF7"/>
    <w:rsid w:val="00470E48"/>
    <w:rsid w:val="00470F1A"/>
    <w:rsid w:val="00470FE3"/>
    <w:rsid w:val="00471060"/>
    <w:rsid w:val="00471143"/>
    <w:rsid w:val="0047126F"/>
    <w:rsid w:val="00471290"/>
    <w:rsid w:val="004713CA"/>
    <w:rsid w:val="004713DD"/>
    <w:rsid w:val="0047156F"/>
    <w:rsid w:val="004716AC"/>
    <w:rsid w:val="00471708"/>
    <w:rsid w:val="00471720"/>
    <w:rsid w:val="004719E6"/>
    <w:rsid w:val="00471A3B"/>
    <w:rsid w:val="00471ABE"/>
    <w:rsid w:val="00471BAD"/>
    <w:rsid w:val="00471C8B"/>
    <w:rsid w:val="00471CD1"/>
    <w:rsid w:val="00471CDE"/>
    <w:rsid w:val="00471D08"/>
    <w:rsid w:val="00471DF0"/>
    <w:rsid w:val="00471E07"/>
    <w:rsid w:val="00472336"/>
    <w:rsid w:val="0047242D"/>
    <w:rsid w:val="004724E9"/>
    <w:rsid w:val="004725AC"/>
    <w:rsid w:val="004727F1"/>
    <w:rsid w:val="004729C5"/>
    <w:rsid w:val="00472AAD"/>
    <w:rsid w:val="00472AAE"/>
    <w:rsid w:val="00472B92"/>
    <w:rsid w:val="00472BA0"/>
    <w:rsid w:val="00472BEF"/>
    <w:rsid w:val="00472C89"/>
    <w:rsid w:val="00472FED"/>
    <w:rsid w:val="00473108"/>
    <w:rsid w:val="00473517"/>
    <w:rsid w:val="00473694"/>
    <w:rsid w:val="004736F8"/>
    <w:rsid w:val="00473A32"/>
    <w:rsid w:val="00473E2E"/>
    <w:rsid w:val="00473E88"/>
    <w:rsid w:val="004742B6"/>
    <w:rsid w:val="004742B7"/>
    <w:rsid w:val="00474397"/>
    <w:rsid w:val="004744A0"/>
    <w:rsid w:val="0047462A"/>
    <w:rsid w:val="0047462D"/>
    <w:rsid w:val="004746D0"/>
    <w:rsid w:val="00474C10"/>
    <w:rsid w:val="00474D79"/>
    <w:rsid w:val="00474DF7"/>
    <w:rsid w:val="00474E15"/>
    <w:rsid w:val="00474FED"/>
    <w:rsid w:val="0047530C"/>
    <w:rsid w:val="00475382"/>
    <w:rsid w:val="00475626"/>
    <w:rsid w:val="00475693"/>
    <w:rsid w:val="00475794"/>
    <w:rsid w:val="004759F4"/>
    <w:rsid w:val="00475AFF"/>
    <w:rsid w:val="00475BAE"/>
    <w:rsid w:val="00475C0A"/>
    <w:rsid w:val="00475CA1"/>
    <w:rsid w:val="00475F42"/>
    <w:rsid w:val="004763AF"/>
    <w:rsid w:val="0047657D"/>
    <w:rsid w:val="004766FC"/>
    <w:rsid w:val="0047676D"/>
    <w:rsid w:val="0047678A"/>
    <w:rsid w:val="004768C7"/>
    <w:rsid w:val="004769B9"/>
    <w:rsid w:val="00476A79"/>
    <w:rsid w:val="00476B69"/>
    <w:rsid w:val="00476DC9"/>
    <w:rsid w:val="0047708B"/>
    <w:rsid w:val="0047715B"/>
    <w:rsid w:val="00477168"/>
    <w:rsid w:val="00477202"/>
    <w:rsid w:val="004774BB"/>
    <w:rsid w:val="0047750D"/>
    <w:rsid w:val="00477887"/>
    <w:rsid w:val="00477965"/>
    <w:rsid w:val="00477976"/>
    <w:rsid w:val="00477980"/>
    <w:rsid w:val="00477A92"/>
    <w:rsid w:val="00477B87"/>
    <w:rsid w:val="00477BCE"/>
    <w:rsid w:val="00477D56"/>
    <w:rsid w:val="00480002"/>
    <w:rsid w:val="004800D7"/>
    <w:rsid w:val="004804D1"/>
    <w:rsid w:val="00480676"/>
    <w:rsid w:val="0048101F"/>
    <w:rsid w:val="00481216"/>
    <w:rsid w:val="00481238"/>
    <w:rsid w:val="00481468"/>
    <w:rsid w:val="004814F6"/>
    <w:rsid w:val="00481512"/>
    <w:rsid w:val="00481803"/>
    <w:rsid w:val="0048196D"/>
    <w:rsid w:val="004819E9"/>
    <w:rsid w:val="004819EC"/>
    <w:rsid w:val="00481DBF"/>
    <w:rsid w:val="00481F30"/>
    <w:rsid w:val="0048229E"/>
    <w:rsid w:val="004822A7"/>
    <w:rsid w:val="004824ED"/>
    <w:rsid w:val="004825E4"/>
    <w:rsid w:val="004828C4"/>
    <w:rsid w:val="00482919"/>
    <w:rsid w:val="00482BDD"/>
    <w:rsid w:val="00482E1C"/>
    <w:rsid w:val="00482E7A"/>
    <w:rsid w:val="00483464"/>
    <w:rsid w:val="00483833"/>
    <w:rsid w:val="004838CB"/>
    <w:rsid w:val="00483A1D"/>
    <w:rsid w:val="00483B60"/>
    <w:rsid w:val="00483D1D"/>
    <w:rsid w:val="00483E1A"/>
    <w:rsid w:val="00483F2B"/>
    <w:rsid w:val="00483FB7"/>
    <w:rsid w:val="00483FC2"/>
    <w:rsid w:val="00484034"/>
    <w:rsid w:val="00484186"/>
    <w:rsid w:val="0048426D"/>
    <w:rsid w:val="00484445"/>
    <w:rsid w:val="00484520"/>
    <w:rsid w:val="00484733"/>
    <w:rsid w:val="00484802"/>
    <w:rsid w:val="004848C2"/>
    <w:rsid w:val="00484C66"/>
    <w:rsid w:val="00485114"/>
    <w:rsid w:val="00485370"/>
    <w:rsid w:val="00485394"/>
    <w:rsid w:val="0048544D"/>
    <w:rsid w:val="004855D1"/>
    <w:rsid w:val="00485642"/>
    <w:rsid w:val="004856E9"/>
    <w:rsid w:val="00485741"/>
    <w:rsid w:val="004858D3"/>
    <w:rsid w:val="00485B50"/>
    <w:rsid w:val="00485D3E"/>
    <w:rsid w:val="00485DC3"/>
    <w:rsid w:val="00485FA8"/>
    <w:rsid w:val="004860C0"/>
    <w:rsid w:val="004864D8"/>
    <w:rsid w:val="00486547"/>
    <w:rsid w:val="004865D1"/>
    <w:rsid w:val="00486849"/>
    <w:rsid w:val="0048688C"/>
    <w:rsid w:val="004868AB"/>
    <w:rsid w:val="00486A7E"/>
    <w:rsid w:val="00486B50"/>
    <w:rsid w:val="00486D09"/>
    <w:rsid w:val="00486E9C"/>
    <w:rsid w:val="00486F54"/>
    <w:rsid w:val="00486FE8"/>
    <w:rsid w:val="00487074"/>
    <w:rsid w:val="004870B5"/>
    <w:rsid w:val="004870BA"/>
    <w:rsid w:val="00487291"/>
    <w:rsid w:val="00487718"/>
    <w:rsid w:val="00487885"/>
    <w:rsid w:val="00487B3F"/>
    <w:rsid w:val="00487B8F"/>
    <w:rsid w:val="00487CDD"/>
    <w:rsid w:val="00487EC4"/>
    <w:rsid w:val="00487ED2"/>
    <w:rsid w:val="0049020A"/>
    <w:rsid w:val="00490346"/>
    <w:rsid w:val="004903C6"/>
    <w:rsid w:val="004904EF"/>
    <w:rsid w:val="0049072A"/>
    <w:rsid w:val="004907BA"/>
    <w:rsid w:val="00490FCE"/>
    <w:rsid w:val="00490FF7"/>
    <w:rsid w:val="004913AD"/>
    <w:rsid w:val="00491420"/>
    <w:rsid w:val="004914D9"/>
    <w:rsid w:val="004915FF"/>
    <w:rsid w:val="004917D4"/>
    <w:rsid w:val="004919A6"/>
    <w:rsid w:val="00491A28"/>
    <w:rsid w:val="00491C5A"/>
    <w:rsid w:val="00491C9D"/>
    <w:rsid w:val="00491CA6"/>
    <w:rsid w:val="00491DA3"/>
    <w:rsid w:val="0049203E"/>
    <w:rsid w:val="004922A8"/>
    <w:rsid w:val="004924EC"/>
    <w:rsid w:val="00492597"/>
    <w:rsid w:val="00492684"/>
    <w:rsid w:val="00492700"/>
    <w:rsid w:val="00492763"/>
    <w:rsid w:val="004927B3"/>
    <w:rsid w:val="0049285E"/>
    <w:rsid w:val="00492A9A"/>
    <w:rsid w:val="00492AB5"/>
    <w:rsid w:val="00492ABC"/>
    <w:rsid w:val="00492B73"/>
    <w:rsid w:val="00492D2E"/>
    <w:rsid w:val="00492FE3"/>
    <w:rsid w:val="004930A7"/>
    <w:rsid w:val="004930F6"/>
    <w:rsid w:val="004931DD"/>
    <w:rsid w:val="00493306"/>
    <w:rsid w:val="0049345F"/>
    <w:rsid w:val="004937E2"/>
    <w:rsid w:val="00493919"/>
    <w:rsid w:val="00493942"/>
    <w:rsid w:val="00493B5E"/>
    <w:rsid w:val="00493CB2"/>
    <w:rsid w:val="00493CF5"/>
    <w:rsid w:val="00493D3E"/>
    <w:rsid w:val="00493E7D"/>
    <w:rsid w:val="00494105"/>
    <w:rsid w:val="0049416F"/>
    <w:rsid w:val="00494195"/>
    <w:rsid w:val="004942D1"/>
    <w:rsid w:val="004942D6"/>
    <w:rsid w:val="004942DD"/>
    <w:rsid w:val="00494347"/>
    <w:rsid w:val="004945C6"/>
    <w:rsid w:val="00494761"/>
    <w:rsid w:val="004947D2"/>
    <w:rsid w:val="004948C9"/>
    <w:rsid w:val="00494B34"/>
    <w:rsid w:val="00494CB2"/>
    <w:rsid w:val="00494DC2"/>
    <w:rsid w:val="00494E24"/>
    <w:rsid w:val="00494E89"/>
    <w:rsid w:val="00495025"/>
    <w:rsid w:val="00495104"/>
    <w:rsid w:val="00495404"/>
    <w:rsid w:val="00495470"/>
    <w:rsid w:val="00495688"/>
    <w:rsid w:val="00495791"/>
    <w:rsid w:val="004959D4"/>
    <w:rsid w:val="00495ADC"/>
    <w:rsid w:val="00495BEF"/>
    <w:rsid w:val="00495C92"/>
    <w:rsid w:val="00495F9F"/>
    <w:rsid w:val="00495FD8"/>
    <w:rsid w:val="00495FEC"/>
    <w:rsid w:val="00496174"/>
    <w:rsid w:val="00496207"/>
    <w:rsid w:val="00496296"/>
    <w:rsid w:val="00496301"/>
    <w:rsid w:val="004963EB"/>
    <w:rsid w:val="00496693"/>
    <w:rsid w:val="004966A6"/>
    <w:rsid w:val="0049674D"/>
    <w:rsid w:val="0049681F"/>
    <w:rsid w:val="00496DE3"/>
    <w:rsid w:val="00496FBE"/>
    <w:rsid w:val="0049750A"/>
    <w:rsid w:val="00497750"/>
    <w:rsid w:val="00497931"/>
    <w:rsid w:val="00497965"/>
    <w:rsid w:val="00497B87"/>
    <w:rsid w:val="00497D32"/>
    <w:rsid w:val="004A021A"/>
    <w:rsid w:val="004A033F"/>
    <w:rsid w:val="004A0549"/>
    <w:rsid w:val="004A0791"/>
    <w:rsid w:val="004A08CF"/>
    <w:rsid w:val="004A0953"/>
    <w:rsid w:val="004A0B57"/>
    <w:rsid w:val="004A0E32"/>
    <w:rsid w:val="004A0ED6"/>
    <w:rsid w:val="004A0EFA"/>
    <w:rsid w:val="004A0F8F"/>
    <w:rsid w:val="004A1028"/>
    <w:rsid w:val="004A108D"/>
    <w:rsid w:val="004A1183"/>
    <w:rsid w:val="004A122C"/>
    <w:rsid w:val="004A1252"/>
    <w:rsid w:val="004A1285"/>
    <w:rsid w:val="004A13C4"/>
    <w:rsid w:val="004A1410"/>
    <w:rsid w:val="004A14BC"/>
    <w:rsid w:val="004A15B8"/>
    <w:rsid w:val="004A1801"/>
    <w:rsid w:val="004A1886"/>
    <w:rsid w:val="004A1B77"/>
    <w:rsid w:val="004A1C4B"/>
    <w:rsid w:val="004A1C56"/>
    <w:rsid w:val="004A1D11"/>
    <w:rsid w:val="004A1FF8"/>
    <w:rsid w:val="004A2073"/>
    <w:rsid w:val="004A22D7"/>
    <w:rsid w:val="004A22E7"/>
    <w:rsid w:val="004A250F"/>
    <w:rsid w:val="004A2692"/>
    <w:rsid w:val="004A26BA"/>
    <w:rsid w:val="004A2880"/>
    <w:rsid w:val="004A2899"/>
    <w:rsid w:val="004A28E1"/>
    <w:rsid w:val="004A28FD"/>
    <w:rsid w:val="004A2903"/>
    <w:rsid w:val="004A2930"/>
    <w:rsid w:val="004A2935"/>
    <w:rsid w:val="004A2937"/>
    <w:rsid w:val="004A2AA1"/>
    <w:rsid w:val="004A2ACE"/>
    <w:rsid w:val="004A2B62"/>
    <w:rsid w:val="004A2C1F"/>
    <w:rsid w:val="004A2E34"/>
    <w:rsid w:val="004A2E65"/>
    <w:rsid w:val="004A2EB0"/>
    <w:rsid w:val="004A311E"/>
    <w:rsid w:val="004A3121"/>
    <w:rsid w:val="004A35E5"/>
    <w:rsid w:val="004A35E7"/>
    <w:rsid w:val="004A38F2"/>
    <w:rsid w:val="004A3904"/>
    <w:rsid w:val="004A3A7F"/>
    <w:rsid w:val="004A3CBD"/>
    <w:rsid w:val="004A3D93"/>
    <w:rsid w:val="004A3EFD"/>
    <w:rsid w:val="004A3F27"/>
    <w:rsid w:val="004A40B8"/>
    <w:rsid w:val="004A41CF"/>
    <w:rsid w:val="004A428A"/>
    <w:rsid w:val="004A444A"/>
    <w:rsid w:val="004A47C0"/>
    <w:rsid w:val="004A487C"/>
    <w:rsid w:val="004A4912"/>
    <w:rsid w:val="004A4989"/>
    <w:rsid w:val="004A4B8C"/>
    <w:rsid w:val="004A4CC7"/>
    <w:rsid w:val="004A4FF6"/>
    <w:rsid w:val="004A50C3"/>
    <w:rsid w:val="004A5236"/>
    <w:rsid w:val="004A54B3"/>
    <w:rsid w:val="004A5548"/>
    <w:rsid w:val="004A5591"/>
    <w:rsid w:val="004A5596"/>
    <w:rsid w:val="004A56D9"/>
    <w:rsid w:val="004A57E1"/>
    <w:rsid w:val="004A5906"/>
    <w:rsid w:val="004A59C3"/>
    <w:rsid w:val="004A5A88"/>
    <w:rsid w:val="004A5BA6"/>
    <w:rsid w:val="004A60A2"/>
    <w:rsid w:val="004A61D5"/>
    <w:rsid w:val="004A6321"/>
    <w:rsid w:val="004A6322"/>
    <w:rsid w:val="004A6666"/>
    <w:rsid w:val="004A66D3"/>
    <w:rsid w:val="004A6718"/>
    <w:rsid w:val="004A69A0"/>
    <w:rsid w:val="004A6AF7"/>
    <w:rsid w:val="004A6D85"/>
    <w:rsid w:val="004A70ED"/>
    <w:rsid w:val="004A71AC"/>
    <w:rsid w:val="004A71E2"/>
    <w:rsid w:val="004A75BC"/>
    <w:rsid w:val="004A75BF"/>
    <w:rsid w:val="004A7725"/>
    <w:rsid w:val="004A787B"/>
    <w:rsid w:val="004A7A2C"/>
    <w:rsid w:val="004A7A4A"/>
    <w:rsid w:val="004A7C5B"/>
    <w:rsid w:val="004A7D0C"/>
    <w:rsid w:val="004A7D8E"/>
    <w:rsid w:val="004A7DEC"/>
    <w:rsid w:val="004A7E39"/>
    <w:rsid w:val="004B0250"/>
    <w:rsid w:val="004B02A6"/>
    <w:rsid w:val="004B0389"/>
    <w:rsid w:val="004B0552"/>
    <w:rsid w:val="004B05E7"/>
    <w:rsid w:val="004B0AE9"/>
    <w:rsid w:val="004B0B18"/>
    <w:rsid w:val="004B0B91"/>
    <w:rsid w:val="004B0BAD"/>
    <w:rsid w:val="004B0D1C"/>
    <w:rsid w:val="004B0DDA"/>
    <w:rsid w:val="004B1082"/>
    <w:rsid w:val="004B1230"/>
    <w:rsid w:val="004B1289"/>
    <w:rsid w:val="004B12BD"/>
    <w:rsid w:val="004B1307"/>
    <w:rsid w:val="004B1329"/>
    <w:rsid w:val="004B13E1"/>
    <w:rsid w:val="004B1408"/>
    <w:rsid w:val="004B1481"/>
    <w:rsid w:val="004B171A"/>
    <w:rsid w:val="004B1773"/>
    <w:rsid w:val="004B1880"/>
    <w:rsid w:val="004B1923"/>
    <w:rsid w:val="004B1A3A"/>
    <w:rsid w:val="004B1BD5"/>
    <w:rsid w:val="004B20C7"/>
    <w:rsid w:val="004B2122"/>
    <w:rsid w:val="004B215E"/>
    <w:rsid w:val="004B256A"/>
    <w:rsid w:val="004B25BA"/>
    <w:rsid w:val="004B2645"/>
    <w:rsid w:val="004B26E0"/>
    <w:rsid w:val="004B2744"/>
    <w:rsid w:val="004B2976"/>
    <w:rsid w:val="004B2A46"/>
    <w:rsid w:val="004B2F4B"/>
    <w:rsid w:val="004B3034"/>
    <w:rsid w:val="004B310D"/>
    <w:rsid w:val="004B35F1"/>
    <w:rsid w:val="004B383D"/>
    <w:rsid w:val="004B395C"/>
    <w:rsid w:val="004B399B"/>
    <w:rsid w:val="004B3B18"/>
    <w:rsid w:val="004B3B7B"/>
    <w:rsid w:val="004B3B87"/>
    <w:rsid w:val="004B3DC4"/>
    <w:rsid w:val="004B3E0D"/>
    <w:rsid w:val="004B41DC"/>
    <w:rsid w:val="004B422B"/>
    <w:rsid w:val="004B428A"/>
    <w:rsid w:val="004B42DB"/>
    <w:rsid w:val="004B4650"/>
    <w:rsid w:val="004B470F"/>
    <w:rsid w:val="004B4A19"/>
    <w:rsid w:val="004B4A35"/>
    <w:rsid w:val="004B4A7C"/>
    <w:rsid w:val="004B4E11"/>
    <w:rsid w:val="004B4FD6"/>
    <w:rsid w:val="004B4FDB"/>
    <w:rsid w:val="004B5032"/>
    <w:rsid w:val="004B5251"/>
    <w:rsid w:val="004B533A"/>
    <w:rsid w:val="004B5394"/>
    <w:rsid w:val="004B5479"/>
    <w:rsid w:val="004B55D2"/>
    <w:rsid w:val="004B56B1"/>
    <w:rsid w:val="004B578A"/>
    <w:rsid w:val="004B5D00"/>
    <w:rsid w:val="004B5DE9"/>
    <w:rsid w:val="004B5ED9"/>
    <w:rsid w:val="004B6114"/>
    <w:rsid w:val="004B616B"/>
    <w:rsid w:val="004B6256"/>
    <w:rsid w:val="004B62B5"/>
    <w:rsid w:val="004B62C7"/>
    <w:rsid w:val="004B63A6"/>
    <w:rsid w:val="004B65FC"/>
    <w:rsid w:val="004B6632"/>
    <w:rsid w:val="004B6850"/>
    <w:rsid w:val="004B6A4E"/>
    <w:rsid w:val="004B6E44"/>
    <w:rsid w:val="004B6E77"/>
    <w:rsid w:val="004B6EFB"/>
    <w:rsid w:val="004B7237"/>
    <w:rsid w:val="004B7338"/>
    <w:rsid w:val="004B7509"/>
    <w:rsid w:val="004B7572"/>
    <w:rsid w:val="004B76C3"/>
    <w:rsid w:val="004B7746"/>
    <w:rsid w:val="004B7841"/>
    <w:rsid w:val="004B78AD"/>
    <w:rsid w:val="004B7C8F"/>
    <w:rsid w:val="004B7D42"/>
    <w:rsid w:val="004B7EC6"/>
    <w:rsid w:val="004C01BD"/>
    <w:rsid w:val="004C0700"/>
    <w:rsid w:val="004C0982"/>
    <w:rsid w:val="004C0AD5"/>
    <w:rsid w:val="004C0B6C"/>
    <w:rsid w:val="004C0BC5"/>
    <w:rsid w:val="004C0DDA"/>
    <w:rsid w:val="004C0FF2"/>
    <w:rsid w:val="004C11BB"/>
    <w:rsid w:val="004C1246"/>
    <w:rsid w:val="004C1281"/>
    <w:rsid w:val="004C1324"/>
    <w:rsid w:val="004C157B"/>
    <w:rsid w:val="004C1617"/>
    <w:rsid w:val="004C16BE"/>
    <w:rsid w:val="004C16E9"/>
    <w:rsid w:val="004C1770"/>
    <w:rsid w:val="004C17C9"/>
    <w:rsid w:val="004C1AA2"/>
    <w:rsid w:val="004C1B6C"/>
    <w:rsid w:val="004C1BBB"/>
    <w:rsid w:val="004C1CB3"/>
    <w:rsid w:val="004C1D3B"/>
    <w:rsid w:val="004C20E2"/>
    <w:rsid w:val="004C23D5"/>
    <w:rsid w:val="004C2477"/>
    <w:rsid w:val="004C24C1"/>
    <w:rsid w:val="004C275A"/>
    <w:rsid w:val="004C27F4"/>
    <w:rsid w:val="004C28B0"/>
    <w:rsid w:val="004C2B9B"/>
    <w:rsid w:val="004C2D6D"/>
    <w:rsid w:val="004C3228"/>
    <w:rsid w:val="004C33CE"/>
    <w:rsid w:val="004C3444"/>
    <w:rsid w:val="004C3474"/>
    <w:rsid w:val="004C377D"/>
    <w:rsid w:val="004C3A28"/>
    <w:rsid w:val="004C3AFE"/>
    <w:rsid w:val="004C3BA4"/>
    <w:rsid w:val="004C3BF0"/>
    <w:rsid w:val="004C3CF1"/>
    <w:rsid w:val="004C3E4B"/>
    <w:rsid w:val="004C3EFF"/>
    <w:rsid w:val="004C414C"/>
    <w:rsid w:val="004C4433"/>
    <w:rsid w:val="004C4662"/>
    <w:rsid w:val="004C4863"/>
    <w:rsid w:val="004C4AA3"/>
    <w:rsid w:val="004C4C8F"/>
    <w:rsid w:val="004C4D78"/>
    <w:rsid w:val="004C4DC9"/>
    <w:rsid w:val="004C4E12"/>
    <w:rsid w:val="004C4EF8"/>
    <w:rsid w:val="004C4FC2"/>
    <w:rsid w:val="004C4FFF"/>
    <w:rsid w:val="004C505B"/>
    <w:rsid w:val="004C50B2"/>
    <w:rsid w:val="004C5122"/>
    <w:rsid w:val="004C5290"/>
    <w:rsid w:val="004C543C"/>
    <w:rsid w:val="004C54D5"/>
    <w:rsid w:val="004C5530"/>
    <w:rsid w:val="004C5641"/>
    <w:rsid w:val="004C5754"/>
    <w:rsid w:val="004C583B"/>
    <w:rsid w:val="004C5A2A"/>
    <w:rsid w:val="004C5A6D"/>
    <w:rsid w:val="004C5BD9"/>
    <w:rsid w:val="004C5C5E"/>
    <w:rsid w:val="004C5E7D"/>
    <w:rsid w:val="004C5F9B"/>
    <w:rsid w:val="004C637A"/>
    <w:rsid w:val="004C6492"/>
    <w:rsid w:val="004C6589"/>
    <w:rsid w:val="004C66A2"/>
    <w:rsid w:val="004C66B8"/>
    <w:rsid w:val="004C6925"/>
    <w:rsid w:val="004C6C99"/>
    <w:rsid w:val="004C6E53"/>
    <w:rsid w:val="004C6ED4"/>
    <w:rsid w:val="004C72C4"/>
    <w:rsid w:val="004C731E"/>
    <w:rsid w:val="004C7348"/>
    <w:rsid w:val="004C7483"/>
    <w:rsid w:val="004C763A"/>
    <w:rsid w:val="004C778E"/>
    <w:rsid w:val="004C78E0"/>
    <w:rsid w:val="004C78ED"/>
    <w:rsid w:val="004C7D32"/>
    <w:rsid w:val="004C7D5C"/>
    <w:rsid w:val="004C7DF3"/>
    <w:rsid w:val="004C7EFE"/>
    <w:rsid w:val="004D00F5"/>
    <w:rsid w:val="004D0335"/>
    <w:rsid w:val="004D0377"/>
    <w:rsid w:val="004D03FD"/>
    <w:rsid w:val="004D0574"/>
    <w:rsid w:val="004D05B8"/>
    <w:rsid w:val="004D05C7"/>
    <w:rsid w:val="004D078C"/>
    <w:rsid w:val="004D078D"/>
    <w:rsid w:val="004D07F0"/>
    <w:rsid w:val="004D0B34"/>
    <w:rsid w:val="004D0C5D"/>
    <w:rsid w:val="004D0C7C"/>
    <w:rsid w:val="004D0DAF"/>
    <w:rsid w:val="004D0FCA"/>
    <w:rsid w:val="004D10AE"/>
    <w:rsid w:val="004D118B"/>
    <w:rsid w:val="004D1481"/>
    <w:rsid w:val="004D14E8"/>
    <w:rsid w:val="004D15C1"/>
    <w:rsid w:val="004D18D1"/>
    <w:rsid w:val="004D1AF5"/>
    <w:rsid w:val="004D1D7C"/>
    <w:rsid w:val="004D2030"/>
    <w:rsid w:val="004D2141"/>
    <w:rsid w:val="004D2387"/>
    <w:rsid w:val="004D24A0"/>
    <w:rsid w:val="004D2614"/>
    <w:rsid w:val="004D268A"/>
    <w:rsid w:val="004D2824"/>
    <w:rsid w:val="004D2A93"/>
    <w:rsid w:val="004D2B59"/>
    <w:rsid w:val="004D2C12"/>
    <w:rsid w:val="004D2D65"/>
    <w:rsid w:val="004D2F67"/>
    <w:rsid w:val="004D2FF4"/>
    <w:rsid w:val="004D304A"/>
    <w:rsid w:val="004D30A3"/>
    <w:rsid w:val="004D30AC"/>
    <w:rsid w:val="004D355C"/>
    <w:rsid w:val="004D383E"/>
    <w:rsid w:val="004D3A11"/>
    <w:rsid w:val="004D3A65"/>
    <w:rsid w:val="004D3C78"/>
    <w:rsid w:val="004D3CE2"/>
    <w:rsid w:val="004D3DB5"/>
    <w:rsid w:val="004D3E89"/>
    <w:rsid w:val="004D423D"/>
    <w:rsid w:val="004D42D2"/>
    <w:rsid w:val="004D4372"/>
    <w:rsid w:val="004D442B"/>
    <w:rsid w:val="004D4563"/>
    <w:rsid w:val="004D45F4"/>
    <w:rsid w:val="004D46E4"/>
    <w:rsid w:val="004D4F8B"/>
    <w:rsid w:val="004D4F9F"/>
    <w:rsid w:val="004D4FFD"/>
    <w:rsid w:val="004D5427"/>
    <w:rsid w:val="004D5767"/>
    <w:rsid w:val="004D57AD"/>
    <w:rsid w:val="004D5897"/>
    <w:rsid w:val="004D5C8E"/>
    <w:rsid w:val="004D5D03"/>
    <w:rsid w:val="004D5D1F"/>
    <w:rsid w:val="004D5E72"/>
    <w:rsid w:val="004D5EF9"/>
    <w:rsid w:val="004D6131"/>
    <w:rsid w:val="004D649B"/>
    <w:rsid w:val="004D662E"/>
    <w:rsid w:val="004D665C"/>
    <w:rsid w:val="004D6675"/>
    <w:rsid w:val="004D67F7"/>
    <w:rsid w:val="004D6A72"/>
    <w:rsid w:val="004D6AC4"/>
    <w:rsid w:val="004D6F94"/>
    <w:rsid w:val="004D7483"/>
    <w:rsid w:val="004D74ED"/>
    <w:rsid w:val="004D75EE"/>
    <w:rsid w:val="004D768F"/>
    <w:rsid w:val="004D7767"/>
    <w:rsid w:val="004D781E"/>
    <w:rsid w:val="004D78E1"/>
    <w:rsid w:val="004D79C0"/>
    <w:rsid w:val="004D7CA3"/>
    <w:rsid w:val="004D7DBD"/>
    <w:rsid w:val="004D7ED9"/>
    <w:rsid w:val="004E0192"/>
    <w:rsid w:val="004E0218"/>
    <w:rsid w:val="004E05CE"/>
    <w:rsid w:val="004E0609"/>
    <w:rsid w:val="004E0884"/>
    <w:rsid w:val="004E0B5E"/>
    <w:rsid w:val="004E0E46"/>
    <w:rsid w:val="004E103C"/>
    <w:rsid w:val="004E10E6"/>
    <w:rsid w:val="004E1174"/>
    <w:rsid w:val="004E14FC"/>
    <w:rsid w:val="004E1551"/>
    <w:rsid w:val="004E16AC"/>
    <w:rsid w:val="004E1B5E"/>
    <w:rsid w:val="004E1BA3"/>
    <w:rsid w:val="004E1C70"/>
    <w:rsid w:val="004E1EBD"/>
    <w:rsid w:val="004E20D5"/>
    <w:rsid w:val="004E21A0"/>
    <w:rsid w:val="004E2236"/>
    <w:rsid w:val="004E2284"/>
    <w:rsid w:val="004E2429"/>
    <w:rsid w:val="004E242F"/>
    <w:rsid w:val="004E246A"/>
    <w:rsid w:val="004E24ED"/>
    <w:rsid w:val="004E265F"/>
    <w:rsid w:val="004E2689"/>
    <w:rsid w:val="004E27DB"/>
    <w:rsid w:val="004E29AC"/>
    <w:rsid w:val="004E29C6"/>
    <w:rsid w:val="004E2A9C"/>
    <w:rsid w:val="004E2B4D"/>
    <w:rsid w:val="004E2DA9"/>
    <w:rsid w:val="004E2E7D"/>
    <w:rsid w:val="004E2FC1"/>
    <w:rsid w:val="004E3001"/>
    <w:rsid w:val="004E30A1"/>
    <w:rsid w:val="004E30E7"/>
    <w:rsid w:val="004E31F7"/>
    <w:rsid w:val="004E3364"/>
    <w:rsid w:val="004E374E"/>
    <w:rsid w:val="004E3A2C"/>
    <w:rsid w:val="004E3C45"/>
    <w:rsid w:val="004E3CC6"/>
    <w:rsid w:val="004E3DFF"/>
    <w:rsid w:val="004E3E8F"/>
    <w:rsid w:val="004E4095"/>
    <w:rsid w:val="004E4298"/>
    <w:rsid w:val="004E42A4"/>
    <w:rsid w:val="004E42B1"/>
    <w:rsid w:val="004E4355"/>
    <w:rsid w:val="004E4371"/>
    <w:rsid w:val="004E46DD"/>
    <w:rsid w:val="004E4833"/>
    <w:rsid w:val="004E4993"/>
    <w:rsid w:val="004E49CF"/>
    <w:rsid w:val="004E4A0E"/>
    <w:rsid w:val="004E5099"/>
    <w:rsid w:val="004E5257"/>
    <w:rsid w:val="004E561F"/>
    <w:rsid w:val="004E56CD"/>
    <w:rsid w:val="004E5931"/>
    <w:rsid w:val="004E5A86"/>
    <w:rsid w:val="004E5E14"/>
    <w:rsid w:val="004E5E6C"/>
    <w:rsid w:val="004E62C2"/>
    <w:rsid w:val="004E6483"/>
    <w:rsid w:val="004E6683"/>
    <w:rsid w:val="004E6985"/>
    <w:rsid w:val="004E698D"/>
    <w:rsid w:val="004E6A0C"/>
    <w:rsid w:val="004E6B47"/>
    <w:rsid w:val="004E7137"/>
    <w:rsid w:val="004E74E0"/>
    <w:rsid w:val="004E75F7"/>
    <w:rsid w:val="004E7739"/>
    <w:rsid w:val="004E77DE"/>
    <w:rsid w:val="004E7918"/>
    <w:rsid w:val="004E795D"/>
    <w:rsid w:val="004E7A38"/>
    <w:rsid w:val="004E7BF5"/>
    <w:rsid w:val="004E7EAF"/>
    <w:rsid w:val="004F022F"/>
    <w:rsid w:val="004F054E"/>
    <w:rsid w:val="004F095F"/>
    <w:rsid w:val="004F0CBA"/>
    <w:rsid w:val="004F0F5C"/>
    <w:rsid w:val="004F12AA"/>
    <w:rsid w:val="004F13BB"/>
    <w:rsid w:val="004F140F"/>
    <w:rsid w:val="004F14CE"/>
    <w:rsid w:val="004F1796"/>
    <w:rsid w:val="004F1808"/>
    <w:rsid w:val="004F1913"/>
    <w:rsid w:val="004F19C2"/>
    <w:rsid w:val="004F1A2D"/>
    <w:rsid w:val="004F1AB9"/>
    <w:rsid w:val="004F1B82"/>
    <w:rsid w:val="004F1CE2"/>
    <w:rsid w:val="004F1D5B"/>
    <w:rsid w:val="004F201A"/>
    <w:rsid w:val="004F20EE"/>
    <w:rsid w:val="004F217D"/>
    <w:rsid w:val="004F238D"/>
    <w:rsid w:val="004F23BF"/>
    <w:rsid w:val="004F2541"/>
    <w:rsid w:val="004F2696"/>
    <w:rsid w:val="004F26ED"/>
    <w:rsid w:val="004F28F1"/>
    <w:rsid w:val="004F2E19"/>
    <w:rsid w:val="004F2E72"/>
    <w:rsid w:val="004F2F7E"/>
    <w:rsid w:val="004F30D8"/>
    <w:rsid w:val="004F3215"/>
    <w:rsid w:val="004F33B7"/>
    <w:rsid w:val="004F3600"/>
    <w:rsid w:val="004F37BE"/>
    <w:rsid w:val="004F3B6B"/>
    <w:rsid w:val="004F3BC5"/>
    <w:rsid w:val="004F3CB3"/>
    <w:rsid w:val="004F3DA7"/>
    <w:rsid w:val="004F3DF2"/>
    <w:rsid w:val="004F3E41"/>
    <w:rsid w:val="004F3EAC"/>
    <w:rsid w:val="004F3EAE"/>
    <w:rsid w:val="004F3F9C"/>
    <w:rsid w:val="004F404C"/>
    <w:rsid w:val="004F4252"/>
    <w:rsid w:val="004F458C"/>
    <w:rsid w:val="004F4613"/>
    <w:rsid w:val="004F4660"/>
    <w:rsid w:val="004F46D1"/>
    <w:rsid w:val="004F477B"/>
    <w:rsid w:val="004F486C"/>
    <w:rsid w:val="004F4D70"/>
    <w:rsid w:val="004F4FC2"/>
    <w:rsid w:val="004F5093"/>
    <w:rsid w:val="004F513E"/>
    <w:rsid w:val="004F5174"/>
    <w:rsid w:val="004F526E"/>
    <w:rsid w:val="004F58D9"/>
    <w:rsid w:val="004F5929"/>
    <w:rsid w:val="004F5A43"/>
    <w:rsid w:val="004F5A71"/>
    <w:rsid w:val="004F5B44"/>
    <w:rsid w:val="004F5D2F"/>
    <w:rsid w:val="004F5DE2"/>
    <w:rsid w:val="004F5E43"/>
    <w:rsid w:val="004F5F36"/>
    <w:rsid w:val="004F5FBA"/>
    <w:rsid w:val="004F5FC4"/>
    <w:rsid w:val="004F60A6"/>
    <w:rsid w:val="004F6108"/>
    <w:rsid w:val="004F615E"/>
    <w:rsid w:val="004F619E"/>
    <w:rsid w:val="004F61D3"/>
    <w:rsid w:val="004F620E"/>
    <w:rsid w:val="004F62CB"/>
    <w:rsid w:val="004F6370"/>
    <w:rsid w:val="004F64E2"/>
    <w:rsid w:val="004F652F"/>
    <w:rsid w:val="004F661A"/>
    <w:rsid w:val="004F680C"/>
    <w:rsid w:val="004F68E5"/>
    <w:rsid w:val="004F6C5E"/>
    <w:rsid w:val="004F7009"/>
    <w:rsid w:val="004F70E1"/>
    <w:rsid w:val="004F71AC"/>
    <w:rsid w:val="004F72B9"/>
    <w:rsid w:val="004F72C6"/>
    <w:rsid w:val="004F7753"/>
    <w:rsid w:val="004F77A8"/>
    <w:rsid w:val="004F79E7"/>
    <w:rsid w:val="004F7B7D"/>
    <w:rsid w:val="004F7BA3"/>
    <w:rsid w:val="004F7DB6"/>
    <w:rsid w:val="004F7F2F"/>
    <w:rsid w:val="0050004A"/>
    <w:rsid w:val="00500283"/>
    <w:rsid w:val="005003AC"/>
    <w:rsid w:val="005004ED"/>
    <w:rsid w:val="005004F7"/>
    <w:rsid w:val="00500698"/>
    <w:rsid w:val="005008C3"/>
    <w:rsid w:val="00500902"/>
    <w:rsid w:val="00500942"/>
    <w:rsid w:val="00500985"/>
    <w:rsid w:val="005009BA"/>
    <w:rsid w:val="00500B6C"/>
    <w:rsid w:val="00500C9D"/>
    <w:rsid w:val="00500D4A"/>
    <w:rsid w:val="00500E0A"/>
    <w:rsid w:val="00500F0A"/>
    <w:rsid w:val="0050111B"/>
    <w:rsid w:val="00501171"/>
    <w:rsid w:val="005016D3"/>
    <w:rsid w:val="00501863"/>
    <w:rsid w:val="00501871"/>
    <w:rsid w:val="005018A0"/>
    <w:rsid w:val="00501C5D"/>
    <w:rsid w:val="00501C72"/>
    <w:rsid w:val="00501D2D"/>
    <w:rsid w:val="00501F98"/>
    <w:rsid w:val="00502253"/>
    <w:rsid w:val="0050235D"/>
    <w:rsid w:val="0050237B"/>
    <w:rsid w:val="0050245A"/>
    <w:rsid w:val="005026F5"/>
    <w:rsid w:val="00502A5C"/>
    <w:rsid w:val="00502E2B"/>
    <w:rsid w:val="00503042"/>
    <w:rsid w:val="0050312A"/>
    <w:rsid w:val="00503135"/>
    <w:rsid w:val="0050318B"/>
    <w:rsid w:val="005032D8"/>
    <w:rsid w:val="00503312"/>
    <w:rsid w:val="005033E9"/>
    <w:rsid w:val="005033FC"/>
    <w:rsid w:val="00503AB9"/>
    <w:rsid w:val="00503C39"/>
    <w:rsid w:val="00503EB4"/>
    <w:rsid w:val="00503ED5"/>
    <w:rsid w:val="0050434E"/>
    <w:rsid w:val="0050454A"/>
    <w:rsid w:val="0050484B"/>
    <w:rsid w:val="0050485B"/>
    <w:rsid w:val="0050486E"/>
    <w:rsid w:val="00504B8D"/>
    <w:rsid w:val="00504E35"/>
    <w:rsid w:val="00505406"/>
    <w:rsid w:val="005054B9"/>
    <w:rsid w:val="00505BF6"/>
    <w:rsid w:val="00505ED2"/>
    <w:rsid w:val="00505FC1"/>
    <w:rsid w:val="005060B8"/>
    <w:rsid w:val="005060BE"/>
    <w:rsid w:val="00506528"/>
    <w:rsid w:val="0050672F"/>
    <w:rsid w:val="00506838"/>
    <w:rsid w:val="005068AD"/>
    <w:rsid w:val="005068E6"/>
    <w:rsid w:val="005068EB"/>
    <w:rsid w:val="00506B22"/>
    <w:rsid w:val="00506CCB"/>
    <w:rsid w:val="00506D9A"/>
    <w:rsid w:val="00506E77"/>
    <w:rsid w:val="005071B3"/>
    <w:rsid w:val="005071C9"/>
    <w:rsid w:val="005072F7"/>
    <w:rsid w:val="00507478"/>
    <w:rsid w:val="00507655"/>
    <w:rsid w:val="005078D3"/>
    <w:rsid w:val="00507986"/>
    <w:rsid w:val="00507A2D"/>
    <w:rsid w:val="00507A32"/>
    <w:rsid w:val="00507A8B"/>
    <w:rsid w:val="00507BA8"/>
    <w:rsid w:val="00507C2A"/>
    <w:rsid w:val="00507C2F"/>
    <w:rsid w:val="00507D7E"/>
    <w:rsid w:val="00507E15"/>
    <w:rsid w:val="00507E2B"/>
    <w:rsid w:val="00507EF3"/>
    <w:rsid w:val="005102F6"/>
    <w:rsid w:val="0051038B"/>
    <w:rsid w:val="0051039C"/>
    <w:rsid w:val="00510907"/>
    <w:rsid w:val="00510990"/>
    <w:rsid w:val="00510AC6"/>
    <w:rsid w:val="00510DDB"/>
    <w:rsid w:val="00510F5C"/>
    <w:rsid w:val="0051107D"/>
    <w:rsid w:val="00511201"/>
    <w:rsid w:val="0051123D"/>
    <w:rsid w:val="005112A9"/>
    <w:rsid w:val="005115A0"/>
    <w:rsid w:val="005116B1"/>
    <w:rsid w:val="00511764"/>
    <w:rsid w:val="0051184E"/>
    <w:rsid w:val="0051188B"/>
    <w:rsid w:val="005118C4"/>
    <w:rsid w:val="0051196E"/>
    <w:rsid w:val="00511A1B"/>
    <w:rsid w:val="00511A2E"/>
    <w:rsid w:val="00511A56"/>
    <w:rsid w:val="00511B65"/>
    <w:rsid w:val="00511CB3"/>
    <w:rsid w:val="00511DF5"/>
    <w:rsid w:val="00511E98"/>
    <w:rsid w:val="005120BF"/>
    <w:rsid w:val="00512129"/>
    <w:rsid w:val="0051288E"/>
    <w:rsid w:val="005128CC"/>
    <w:rsid w:val="00512937"/>
    <w:rsid w:val="00512B20"/>
    <w:rsid w:val="00512B61"/>
    <w:rsid w:val="00512BAB"/>
    <w:rsid w:val="00512DB0"/>
    <w:rsid w:val="00512DD5"/>
    <w:rsid w:val="00512EFA"/>
    <w:rsid w:val="00513066"/>
    <w:rsid w:val="005130AF"/>
    <w:rsid w:val="005131C4"/>
    <w:rsid w:val="005135A1"/>
    <w:rsid w:val="00513618"/>
    <w:rsid w:val="00513792"/>
    <w:rsid w:val="00513A4C"/>
    <w:rsid w:val="00513C6A"/>
    <w:rsid w:val="00513E45"/>
    <w:rsid w:val="00513E7B"/>
    <w:rsid w:val="00513F60"/>
    <w:rsid w:val="00513FBE"/>
    <w:rsid w:val="0051406B"/>
    <w:rsid w:val="0051415A"/>
    <w:rsid w:val="0051429A"/>
    <w:rsid w:val="00514429"/>
    <w:rsid w:val="005147EC"/>
    <w:rsid w:val="0051490E"/>
    <w:rsid w:val="0051493D"/>
    <w:rsid w:val="00514AE3"/>
    <w:rsid w:val="00514C57"/>
    <w:rsid w:val="00514C58"/>
    <w:rsid w:val="00514ECD"/>
    <w:rsid w:val="005150B1"/>
    <w:rsid w:val="005150C8"/>
    <w:rsid w:val="005150F8"/>
    <w:rsid w:val="005151E5"/>
    <w:rsid w:val="005152DB"/>
    <w:rsid w:val="00515423"/>
    <w:rsid w:val="005154EF"/>
    <w:rsid w:val="00515565"/>
    <w:rsid w:val="005155B0"/>
    <w:rsid w:val="005155EE"/>
    <w:rsid w:val="00515677"/>
    <w:rsid w:val="0051567E"/>
    <w:rsid w:val="00515689"/>
    <w:rsid w:val="00515A97"/>
    <w:rsid w:val="00515B27"/>
    <w:rsid w:val="00515B81"/>
    <w:rsid w:val="00515B83"/>
    <w:rsid w:val="00515BFC"/>
    <w:rsid w:val="00515BFE"/>
    <w:rsid w:val="00515F96"/>
    <w:rsid w:val="00515FC0"/>
    <w:rsid w:val="005160AE"/>
    <w:rsid w:val="005161F9"/>
    <w:rsid w:val="005162D9"/>
    <w:rsid w:val="00516356"/>
    <w:rsid w:val="0051642A"/>
    <w:rsid w:val="0051643F"/>
    <w:rsid w:val="005167CE"/>
    <w:rsid w:val="005168C3"/>
    <w:rsid w:val="00516AC1"/>
    <w:rsid w:val="00516B17"/>
    <w:rsid w:val="00516BF1"/>
    <w:rsid w:val="00516C0B"/>
    <w:rsid w:val="00516C1A"/>
    <w:rsid w:val="00516D71"/>
    <w:rsid w:val="00516DAE"/>
    <w:rsid w:val="00516E7A"/>
    <w:rsid w:val="00516F77"/>
    <w:rsid w:val="005170C3"/>
    <w:rsid w:val="005172A1"/>
    <w:rsid w:val="00517351"/>
    <w:rsid w:val="005176B4"/>
    <w:rsid w:val="005178AA"/>
    <w:rsid w:val="005178C5"/>
    <w:rsid w:val="00517A0D"/>
    <w:rsid w:val="00517A59"/>
    <w:rsid w:val="00517AD2"/>
    <w:rsid w:val="00517CBF"/>
    <w:rsid w:val="00520395"/>
    <w:rsid w:val="00520444"/>
    <w:rsid w:val="005204A1"/>
    <w:rsid w:val="005205B8"/>
    <w:rsid w:val="005207AF"/>
    <w:rsid w:val="005207CC"/>
    <w:rsid w:val="005207E9"/>
    <w:rsid w:val="00520B2C"/>
    <w:rsid w:val="00520E64"/>
    <w:rsid w:val="00520EF1"/>
    <w:rsid w:val="00521062"/>
    <w:rsid w:val="00521145"/>
    <w:rsid w:val="00521253"/>
    <w:rsid w:val="005214C0"/>
    <w:rsid w:val="00521558"/>
    <w:rsid w:val="005216AE"/>
    <w:rsid w:val="00521994"/>
    <w:rsid w:val="005219DA"/>
    <w:rsid w:val="00521A1C"/>
    <w:rsid w:val="00521EA6"/>
    <w:rsid w:val="00521F0F"/>
    <w:rsid w:val="00521F65"/>
    <w:rsid w:val="00521FB5"/>
    <w:rsid w:val="00522109"/>
    <w:rsid w:val="00522347"/>
    <w:rsid w:val="005224B7"/>
    <w:rsid w:val="00522597"/>
    <w:rsid w:val="00522725"/>
    <w:rsid w:val="0052274F"/>
    <w:rsid w:val="005228E6"/>
    <w:rsid w:val="00522924"/>
    <w:rsid w:val="0052294B"/>
    <w:rsid w:val="005229E3"/>
    <w:rsid w:val="00522B6D"/>
    <w:rsid w:val="00522EA9"/>
    <w:rsid w:val="005231D2"/>
    <w:rsid w:val="00523340"/>
    <w:rsid w:val="005233D1"/>
    <w:rsid w:val="005234C0"/>
    <w:rsid w:val="005236D1"/>
    <w:rsid w:val="005238F6"/>
    <w:rsid w:val="00523C03"/>
    <w:rsid w:val="00523C33"/>
    <w:rsid w:val="00523D12"/>
    <w:rsid w:val="00523D5A"/>
    <w:rsid w:val="005241FA"/>
    <w:rsid w:val="00524328"/>
    <w:rsid w:val="0052433A"/>
    <w:rsid w:val="00524442"/>
    <w:rsid w:val="00524558"/>
    <w:rsid w:val="0052463E"/>
    <w:rsid w:val="005247ED"/>
    <w:rsid w:val="00524886"/>
    <w:rsid w:val="00524B93"/>
    <w:rsid w:val="005250E6"/>
    <w:rsid w:val="00525511"/>
    <w:rsid w:val="005255C1"/>
    <w:rsid w:val="00525635"/>
    <w:rsid w:val="00525660"/>
    <w:rsid w:val="00525666"/>
    <w:rsid w:val="00525AFB"/>
    <w:rsid w:val="00525B87"/>
    <w:rsid w:val="00525E97"/>
    <w:rsid w:val="00525F56"/>
    <w:rsid w:val="00525FB8"/>
    <w:rsid w:val="00526028"/>
    <w:rsid w:val="00526259"/>
    <w:rsid w:val="005262A1"/>
    <w:rsid w:val="005263B1"/>
    <w:rsid w:val="00526599"/>
    <w:rsid w:val="00526805"/>
    <w:rsid w:val="0052694F"/>
    <w:rsid w:val="00526AF2"/>
    <w:rsid w:val="00526B28"/>
    <w:rsid w:val="00526BDB"/>
    <w:rsid w:val="00526C6C"/>
    <w:rsid w:val="00526D0F"/>
    <w:rsid w:val="00526D24"/>
    <w:rsid w:val="00526F4A"/>
    <w:rsid w:val="00527026"/>
    <w:rsid w:val="00527359"/>
    <w:rsid w:val="00527387"/>
    <w:rsid w:val="005276C8"/>
    <w:rsid w:val="0052791C"/>
    <w:rsid w:val="005279C0"/>
    <w:rsid w:val="005279DB"/>
    <w:rsid w:val="00527A6C"/>
    <w:rsid w:val="00527A7D"/>
    <w:rsid w:val="00527B8C"/>
    <w:rsid w:val="00527C04"/>
    <w:rsid w:val="00527E40"/>
    <w:rsid w:val="00527EA0"/>
    <w:rsid w:val="00527EC3"/>
    <w:rsid w:val="0053013B"/>
    <w:rsid w:val="005301E5"/>
    <w:rsid w:val="005301F7"/>
    <w:rsid w:val="005304A7"/>
    <w:rsid w:val="00530505"/>
    <w:rsid w:val="005308DD"/>
    <w:rsid w:val="00530A79"/>
    <w:rsid w:val="00530BB4"/>
    <w:rsid w:val="00530C5B"/>
    <w:rsid w:val="00530D87"/>
    <w:rsid w:val="0053101F"/>
    <w:rsid w:val="005311FE"/>
    <w:rsid w:val="00531298"/>
    <w:rsid w:val="005315E5"/>
    <w:rsid w:val="005318BD"/>
    <w:rsid w:val="005318F2"/>
    <w:rsid w:val="0053193F"/>
    <w:rsid w:val="005319DD"/>
    <w:rsid w:val="005319EA"/>
    <w:rsid w:val="00531C31"/>
    <w:rsid w:val="00531CA6"/>
    <w:rsid w:val="00531CB5"/>
    <w:rsid w:val="00531DA1"/>
    <w:rsid w:val="00531FDB"/>
    <w:rsid w:val="00532042"/>
    <w:rsid w:val="00532092"/>
    <w:rsid w:val="0053217D"/>
    <w:rsid w:val="005322C6"/>
    <w:rsid w:val="005323D1"/>
    <w:rsid w:val="00532474"/>
    <w:rsid w:val="00532656"/>
    <w:rsid w:val="00532780"/>
    <w:rsid w:val="0053287C"/>
    <w:rsid w:val="005329A0"/>
    <w:rsid w:val="00532A3E"/>
    <w:rsid w:val="00532A74"/>
    <w:rsid w:val="00532AD2"/>
    <w:rsid w:val="00532B34"/>
    <w:rsid w:val="00533020"/>
    <w:rsid w:val="0053323D"/>
    <w:rsid w:val="0053331F"/>
    <w:rsid w:val="00533946"/>
    <w:rsid w:val="0053398A"/>
    <w:rsid w:val="00533A87"/>
    <w:rsid w:val="00533A92"/>
    <w:rsid w:val="00533C08"/>
    <w:rsid w:val="00533D7B"/>
    <w:rsid w:val="0053437E"/>
    <w:rsid w:val="00534388"/>
    <w:rsid w:val="005344E7"/>
    <w:rsid w:val="005344F1"/>
    <w:rsid w:val="00534630"/>
    <w:rsid w:val="0053467E"/>
    <w:rsid w:val="00534BEB"/>
    <w:rsid w:val="00534E7F"/>
    <w:rsid w:val="00534EFF"/>
    <w:rsid w:val="00534FAC"/>
    <w:rsid w:val="005351A9"/>
    <w:rsid w:val="00535433"/>
    <w:rsid w:val="00535743"/>
    <w:rsid w:val="00535827"/>
    <w:rsid w:val="00535992"/>
    <w:rsid w:val="00535997"/>
    <w:rsid w:val="00535A83"/>
    <w:rsid w:val="00535AB8"/>
    <w:rsid w:val="00535BC3"/>
    <w:rsid w:val="00535C21"/>
    <w:rsid w:val="00535EC7"/>
    <w:rsid w:val="00535F9D"/>
    <w:rsid w:val="00536038"/>
    <w:rsid w:val="00536096"/>
    <w:rsid w:val="005360E1"/>
    <w:rsid w:val="005361C4"/>
    <w:rsid w:val="00536327"/>
    <w:rsid w:val="005365C3"/>
    <w:rsid w:val="005365E5"/>
    <w:rsid w:val="00536733"/>
    <w:rsid w:val="00536752"/>
    <w:rsid w:val="00536F09"/>
    <w:rsid w:val="005370F8"/>
    <w:rsid w:val="0053717F"/>
    <w:rsid w:val="0053734F"/>
    <w:rsid w:val="005375AA"/>
    <w:rsid w:val="00537D80"/>
    <w:rsid w:val="00537EA4"/>
    <w:rsid w:val="005401E6"/>
    <w:rsid w:val="005402A6"/>
    <w:rsid w:val="005402FB"/>
    <w:rsid w:val="00540457"/>
    <w:rsid w:val="005406C4"/>
    <w:rsid w:val="005409C5"/>
    <w:rsid w:val="00540A7C"/>
    <w:rsid w:val="00540B75"/>
    <w:rsid w:val="00540D62"/>
    <w:rsid w:val="00540E47"/>
    <w:rsid w:val="00541042"/>
    <w:rsid w:val="0054106B"/>
    <w:rsid w:val="00541176"/>
    <w:rsid w:val="005411E1"/>
    <w:rsid w:val="00541350"/>
    <w:rsid w:val="005414E2"/>
    <w:rsid w:val="00541509"/>
    <w:rsid w:val="0054158F"/>
    <w:rsid w:val="005417CE"/>
    <w:rsid w:val="005418D2"/>
    <w:rsid w:val="0054197F"/>
    <w:rsid w:val="00541EBB"/>
    <w:rsid w:val="00541FD1"/>
    <w:rsid w:val="0054200D"/>
    <w:rsid w:val="00542064"/>
    <w:rsid w:val="00542279"/>
    <w:rsid w:val="0054227A"/>
    <w:rsid w:val="005422E4"/>
    <w:rsid w:val="005422FC"/>
    <w:rsid w:val="005426A9"/>
    <w:rsid w:val="0054270B"/>
    <w:rsid w:val="00542978"/>
    <w:rsid w:val="00542DBE"/>
    <w:rsid w:val="00542ECE"/>
    <w:rsid w:val="00542ED5"/>
    <w:rsid w:val="00542F2A"/>
    <w:rsid w:val="00543066"/>
    <w:rsid w:val="00543208"/>
    <w:rsid w:val="00543432"/>
    <w:rsid w:val="00543550"/>
    <w:rsid w:val="0054355A"/>
    <w:rsid w:val="0054384B"/>
    <w:rsid w:val="0054399A"/>
    <w:rsid w:val="00543B9E"/>
    <w:rsid w:val="00543CAF"/>
    <w:rsid w:val="00543D17"/>
    <w:rsid w:val="00543D84"/>
    <w:rsid w:val="00543E05"/>
    <w:rsid w:val="00543EF4"/>
    <w:rsid w:val="00544004"/>
    <w:rsid w:val="005440B0"/>
    <w:rsid w:val="00544214"/>
    <w:rsid w:val="00544279"/>
    <w:rsid w:val="00544292"/>
    <w:rsid w:val="00544479"/>
    <w:rsid w:val="005445F5"/>
    <w:rsid w:val="00544702"/>
    <w:rsid w:val="005448AD"/>
    <w:rsid w:val="00544BAF"/>
    <w:rsid w:val="00544F49"/>
    <w:rsid w:val="00544F75"/>
    <w:rsid w:val="0054517E"/>
    <w:rsid w:val="0054522F"/>
    <w:rsid w:val="00545295"/>
    <w:rsid w:val="0054529A"/>
    <w:rsid w:val="00545583"/>
    <w:rsid w:val="0054565E"/>
    <w:rsid w:val="005456C2"/>
    <w:rsid w:val="005456EC"/>
    <w:rsid w:val="00545878"/>
    <w:rsid w:val="005459E0"/>
    <w:rsid w:val="00545A15"/>
    <w:rsid w:val="00545B73"/>
    <w:rsid w:val="00545FCA"/>
    <w:rsid w:val="00545FF5"/>
    <w:rsid w:val="00545FFF"/>
    <w:rsid w:val="00546031"/>
    <w:rsid w:val="00546398"/>
    <w:rsid w:val="00546694"/>
    <w:rsid w:val="005467EB"/>
    <w:rsid w:val="00546854"/>
    <w:rsid w:val="00546C14"/>
    <w:rsid w:val="00546F0F"/>
    <w:rsid w:val="00547154"/>
    <w:rsid w:val="0054718F"/>
    <w:rsid w:val="0054735E"/>
    <w:rsid w:val="0054777B"/>
    <w:rsid w:val="005477F9"/>
    <w:rsid w:val="00547911"/>
    <w:rsid w:val="00547943"/>
    <w:rsid w:val="00547A1F"/>
    <w:rsid w:val="00547BC9"/>
    <w:rsid w:val="00547BFB"/>
    <w:rsid w:val="00547D0D"/>
    <w:rsid w:val="0054E5DC"/>
    <w:rsid w:val="005500D1"/>
    <w:rsid w:val="005506F2"/>
    <w:rsid w:val="00550880"/>
    <w:rsid w:val="005508CF"/>
    <w:rsid w:val="005509E8"/>
    <w:rsid w:val="00550A3E"/>
    <w:rsid w:val="00550B13"/>
    <w:rsid w:val="00550CEE"/>
    <w:rsid w:val="00550D0D"/>
    <w:rsid w:val="00550DB1"/>
    <w:rsid w:val="005511D1"/>
    <w:rsid w:val="005513CB"/>
    <w:rsid w:val="00551497"/>
    <w:rsid w:val="0055149C"/>
    <w:rsid w:val="005514D2"/>
    <w:rsid w:val="0055159C"/>
    <w:rsid w:val="0055171F"/>
    <w:rsid w:val="0055174F"/>
    <w:rsid w:val="00551A1A"/>
    <w:rsid w:val="00551AD5"/>
    <w:rsid w:val="00551E51"/>
    <w:rsid w:val="00551EAA"/>
    <w:rsid w:val="0055206B"/>
    <w:rsid w:val="0055206D"/>
    <w:rsid w:val="005521DB"/>
    <w:rsid w:val="00552254"/>
    <w:rsid w:val="005522C0"/>
    <w:rsid w:val="005524F0"/>
    <w:rsid w:val="0055250F"/>
    <w:rsid w:val="00552764"/>
    <w:rsid w:val="005527D8"/>
    <w:rsid w:val="005529C8"/>
    <w:rsid w:val="00552E48"/>
    <w:rsid w:val="00552E85"/>
    <w:rsid w:val="00552E88"/>
    <w:rsid w:val="00552EE7"/>
    <w:rsid w:val="00553011"/>
    <w:rsid w:val="0055311B"/>
    <w:rsid w:val="00553214"/>
    <w:rsid w:val="00553286"/>
    <w:rsid w:val="0055329A"/>
    <w:rsid w:val="00553339"/>
    <w:rsid w:val="00553370"/>
    <w:rsid w:val="00553492"/>
    <w:rsid w:val="00553916"/>
    <w:rsid w:val="0055395F"/>
    <w:rsid w:val="005539C8"/>
    <w:rsid w:val="00553A04"/>
    <w:rsid w:val="00553B14"/>
    <w:rsid w:val="00553C7F"/>
    <w:rsid w:val="00553F73"/>
    <w:rsid w:val="00553FD1"/>
    <w:rsid w:val="00553FEE"/>
    <w:rsid w:val="0055411D"/>
    <w:rsid w:val="00554160"/>
    <w:rsid w:val="005541B2"/>
    <w:rsid w:val="005542F5"/>
    <w:rsid w:val="0055430A"/>
    <w:rsid w:val="005545AA"/>
    <w:rsid w:val="005545F9"/>
    <w:rsid w:val="00554795"/>
    <w:rsid w:val="00554A4C"/>
    <w:rsid w:val="00554F33"/>
    <w:rsid w:val="00554FB6"/>
    <w:rsid w:val="00554FC8"/>
    <w:rsid w:val="00554FCA"/>
    <w:rsid w:val="0055518F"/>
    <w:rsid w:val="005554CC"/>
    <w:rsid w:val="0055565B"/>
    <w:rsid w:val="00555681"/>
    <w:rsid w:val="00555772"/>
    <w:rsid w:val="00555B3E"/>
    <w:rsid w:val="00555C3F"/>
    <w:rsid w:val="00555E98"/>
    <w:rsid w:val="00555EA9"/>
    <w:rsid w:val="00555EF4"/>
    <w:rsid w:val="00556123"/>
    <w:rsid w:val="00556576"/>
    <w:rsid w:val="00556583"/>
    <w:rsid w:val="00556645"/>
    <w:rsid w:val="00556706"/>
    <w:rsid w:val="0055671B"/>
    <w:rsid w:val="005567A5"/>
    <w:rsid w:val="005568A1"/>
    <w:rsid w:val="0055694B"/>
    <w:rsid w:val="00556A1B"/>
    <w:rsid w:val="00556ADF"/>
    <w:rsid w:val="00556B3D"/>
    <w:rsid w:val="00556C64"/>
    <w:rsid w:val="00556C7E"/>
    <w:rsid w:val="00556D3F"/>
    <w:rsid w:val="00556DEA"/>
    <w:rsid w:val="00556DF2"/>
    <w:rsid w:val="00556E57"/>
    <w:rsid w:val="00556FD8"/>
    <w:rsid w:val="00557023"/>
    <w:rsid w:val="0055708C"/>
    <w:rsid w:val="00557119"/>
    <w:rsid w:val="00557343"/>
    <w:rsid w:val="005573C0"/>
    <w:rsid w:val="00557491"/>
    <w:rsid w:val="005574CC"/>
    <w:rsid w:val="00557565"/>
    <w:rsid w:val="005575A7"/>
    <w:rsid w:val="00557822"/>
    <w:rsid w:val="0055782D"/>
    <w:rsid w:val="00557857"/>
    <w:rsid w:val="005578A2"/>
    <w:rsid w:val="005578E5"/>
    <w:rsid w:val="00557AD8"/>
    <w:rsid w:val="00557C3D"/>
    <w:rsid w:val="00557F77"/>
    <w:rsid w:val="005601C0"/>
    <w:rsid w:val="005602BC"/>
    <w:rsid w:val="00560465"/>
    <w:rsid w:val="0056070C"/>
    <w:rsid w:val="00560776"/>
    <w:rsid w:val="005608A3"/>
    <w:rsid w:val="00560972"/>
    <w:rsid w:val="00560C12"/>
    <w:rsid w:val="00560D38"/>
    <w:rsid w:val="00560D97"/>
    <w:rsid w:val="00560E36"/>
    <w:rsid w:val="0056110F"/>
    <w:rsid w:val="00561252"/>
    <w:rsid w:val="005614C0"/>
    <w:rsid w:val="005615E0"/>
    <w:rsid w:val="005617BC"/>
    <w:rsid w:val="00561914"/>
    <w:rsid w:val="00561ACA"/>
    <w:rsid w:val="00561C27"/>
    <w:rsid w:val="00561E70"/>
    <w:rsid w:val="00561EF7"/>
    <w:rsid w:val="00562237"/>
    <w:rsid w:val="00562377"/>
    <w:rsid w:val="00562392"/>
    <w:rsid w:val="00562485"/>
    <w:rsid w:val="0056262E"/>
    <w:rsid w:val="005626FB"/>
    <w:rsid w:val="005627AF"/>
    <w:rsid w:val="00562CC8"/>
    <w:rsid w:val="00562FFE"/>
    <w:rsid w:val="0056322F"/>
    <w:rsid w:val="00563352"/>
    <w:rsid w:val="00563372"/>
    <w:rsid w:val="0056338E"/>
    <w:rsid w:val="005633CB"/>
    <w:rsid w:val="005633F1"/>
    <w:rsid w:val="005636C4"/>
    <w:rsid w:val="00563823"/>
    <w:rsid w:val="00563CE9"/>
    <w:rsid w:val="00563E05"/>
    <w:rsid w:val="00563E5B"/>
    <w:rsid w:val="00563EB8"/>
    <w:rsid w:val="00563F04"/>
    <w:rsid w:val="00563F7B"/>
    <w:rsid w:val="005640A6"/>
    <w:rsid w:val="0056412F"/>
    <w:rsid w:val="00564316"/>
    <w:rsid w:val="005643AF"/>
    <w:rsid w:val="005643FF"/>
    <w:rsid w:val="0056459C"/>
    <w:rsid w:val="005649DC"/>
    <w:rsid w:val="00564A5E"/>
    <w:rsid w:val="00564A9A"/>
    <w:rsid w:val="00564B58"/>
    <w:rsid w:val="00564B7E"/>
    <w:rsid w:val="00564E99"/>
    <w:rsid w:val="00565166"/>
    <w:rsid w:val="00565339"/>
    <w:rsid w:val="00565398"/>
    <w:rsid w:val="005653D5"/>
    <w:rsid w:val="00565484"/>
    <w:rsid w:val="00565683"/>
    <w:rsid w:val="00565A18"/>
    <w:rsid w:val="00565E28"/>
    <w:rsid w:val="00565E29"/>
    <w:rsid w:val="00565E6E"/>
    <w:rsid w:val="0056601E"/>
    <w:rsid w:val="00566050"/>
    <w:rsid w:val="0056617D"/>
    <w:rsid w:val="0056630F"/>
    <w:rsid w:val="0056650A"/>
    <w:rsid w:val="00566511"/>
    <w:rsid w:val="00566602"/>
    <w:rsid w:val="0056664A"/>
    <w:rsid w:val="0056669B"/>
    <w:rsid w:val="00566802"/>
    <w:rsid w:val="0056687F"/>
    <w:rsid w:val="00566919"/>
    <w:rsid w:val="00566982"/>
    <w:rsid w:val="00566C1A"/>
    <w:rsid w:val="00566F2E"/>
    <w:rsid w:val="00566FAB"/>
    <w:rsid w:val="0056705B"/>
    <w:rsid w:val="005670DF"/>
    <w:rsid w:val="005673FA"/>
    <w:rsid w:val="0056756D"/>
    <w:rsid w:val="00567623"/>
    <w:rsid w:val="005676DA"/>
    <w:rsid w:val="00567871"/>
    <w:rsid w:val="00567B61"/>
    <w:rsid w:val="00567D30"/>
    <w:rsid w:val="005700C4"/>
    <w:rsid w:val="005704C8"/>
    <w:rsid w:val="00570644"/>
    <w:rsid w:val="00570785"/>
    <w:rsid w:val="0057079A"/>
    <w:rsid w:val="005708CC"/>
    <w:rsid w:val="00570A0A"/>
    <w:rsid w:val="00570C46"/>
    <w:rsid w:val="00570DAE"/>
    <w:rsid w:val="00570F8E"/>
    <w:rsid w:val="005710C7"/>
    <w:rsid w:val="005714CB"/>
    <w:rsid w:val="005716C8"/>
    <w:rsid w:val="00571772"/>
    <w:rsid w:val="0057199B"/>
    <w:rsid w:val="005719BE"/>
    <w:rsid w:val="005719FD"/>
    <w:rsid w:val="00571AE4"/>
    <w:rsid w:val="00571B06"/>
    <w:rsid w:val="00571B4F"/>
    <w:rsid w:val="00571BF0"/>
    <w:rsid w:val="00571C0A"/>
    <w:rsid w:val="00571D68"/>
    <w:rsid w:val="00571DDD"/>
    <w:rsid w:val="00571E8A"/>
    <w:rsid w:val="00571EFA"/>
    <w:rsid w:val="00572118"/>
    <w:rsid w:val="0057213D"/>
    <w:rsid w:val="0057224D"/>
    <w:rsid w:val="00572258"/>
    <w:rsid w:val="00572506"/>
    <w:rsid w:val="00572507"/>
    <w:rsid w:val="0057274E"/>
    <w:rsid w:val="00572837"/>
    <w:rsid w:val="0057284B"/>
    <w:rsid w:val="0057285E"/>
    <w:rsid w:val="00572A8E"/>
    <w:rsid w:val="00572B25"/>
    <w:rsid w:val="00572B5D"/>
    <w:rsid w:val="00572B66"/>
    <w:rsid w:val="00572D8E"/>
    <w:rsid w:val="00572DF8"/>
    <w:rsid w:val="00572E18"/>
    <w:rsid w:val="0057317E"/>
    <w:rsid w:val="00573359"/>
    <w:rsid w:val="00573537"/>
    <w:rsid w:val="005735F5"/>
    <w:rsid w:val="0057360C"/>
    <w:rsid w:val="00573628"/>
    <w:rsid w:val="0057396F"/>
    <w:rsid w:val="00573A72"/>
    <w:rsid w:val="00573A7D"/>
    <w:rsid w:val="00573B9D"/>
    <w:rsid w:val="00573F2E"/>
    <w:rsid w:val="00573F39"/>
    <w:rsid w:val="00574264"/>
    <w:rsid w:val="0057454A"/>
    <w:rsid w:val="0057462D"/>
    <w:rsid w:val="005747DF"/>
    <w:rsid w:val="005748D7"/>
    <w:rsid w:val="00574A89"/>
    <w:rsid w:val="00574B11"/>
    <w:rsid w:val="00574D65"/>
    <w:rsid w:val="00574F2A"/>
    <w:rsid w:val="00574F8F"/>
    <w:rsid w:val="00574FB8"/>
    <w:rsid w:val="00575051"/>
    <w:rsid w:val="00575535"/>
    <w:rsid w:val="005755A1"/>
    <w:rsid w:val="00575765"/>
    <w:rsid w:val="0057578E"/>
    <w:rsid w:val="00575916"/>
    <w:rsid w:val="005759A6"/>
    <w:rsid w:val="00575A0F"/>
    <w:rsid w:val="00575C4E"/>
    <w:rsid w:val="00575F19"/>
    <w:rsid w:val="00575FFA"/>
    <w:rsid w:val="00576069"/>
    <w:rsid w:val="0057613D"/>
    <w:rsid w:val="00576276"/>
    <w:rsid w:val="005762CF"/>
    <w:rsid w:val="005764BB"/>
    <w:rsid w:val="0057664C"/>
    <w:rsid w:val="00576687"/>
    <w:rsid w:val="005766A9"/>
    <w:rsid w:val="0057693F"/>
    <w:rsid w:val="00576B24"/>
    <w:rsid w:val="00576C5E"/>
    <w:rsid w:val="00576C9C"/>
    <w:rsid w:val="00576D64"/>
    <w:rsid w:val="00576DBD"/>
    <w:rsid w:val="00576F30"/>
    <w:rsid w:val="0057704B"/>
    <w:rsid w:val="0057714D"/>
    <w:rsid w:val="00577392"/>
    <w:rsid w:val="005773CC"/>
    <w:rsid w:val="005774C2"/>
    <w:rsid w:val="00577518"/>
    <w:rsid w:val="005778C5"/>
    <w:rsid w:val="00577947"/>
    <w:rsid w:val="0057798D"/>
    <w:rsid w:val="00577C9C"/>
    <w:rsid w:val="00577CFD"/>
    <w:rsid w:val="00577DC6"/>
    <w:rsid w:val="00580330"/>
    <w:rsid w:val="0058033C"/>
    <w:rsid w:val="00580461"/>
    <w:rsid w:val="005805E6"/>
    <w:rsid w:val="00580753"/>
    <w:rsid w:val="005807D6"/>
    <w:rsid w:val="005808A8"/>
    <w:rsid w:val="00580FA8"/>
    <w:rsid w:val="00580FDE"/>
    <w:rsid w:val="00581326"/>
    <w:rsid w:val="005817A1"/>
    <w:rsid w:val="005817DB"/>
    <w:rsid w:val="00581834"/>
    <w:rsid w:val="0058183D"/>
    <w:rsid w:val="005818D9"/>
    <w:rsid w:val="00581A91"/>
    <w:rsid w:val="00581CA8"/>
    <w:rsid w:val="00581E0B"/>
    <w:rsid w:val="00581EA6"/>
    <w:rsid w:val="00581ECA"/>
    <w:rsid w:val="0058217C"/>
    <w:rsid w:val="005827D2"/>
    <w:rsid w:val="0058293C"/>
    <w:rsid w:val="00582997"/>
    <w:rsid w:val="00582BA5"/>
    <w:rsid w:val="0058304E"/>
    <w:rsid w:val="0058306A"/>
    <w:rsid w:val="00583403"/>
    <w:rsid w:val="0058347F"/>
    <w:rsid w:val="0058360D"/>
    <w:rsid w:val="00583731"/>
    <w:rsid w:val="00583826"/>
    <w:rsid w:val="005838F3"/>
    <w:rsid w:val="0058396D"/>
    <w:rsid w:val="00583B50"/>
    <w:rsid w:val="00583C07"/>
    <w:rsid w:val="00583D4E"/>
    <w:rsid w:val="00583ED3"/>
    <w:rsid w:val="00583F80"/>
    <w:rsid w:val="00583FAF"/>
    <w:rsid w:val="00584043"/>
    <w:rsid w:val="00584282"/>
    <w:rsid w:val="00584369"/>
    <w:rsid w:val="005843E9"/>
    <w:rsid w:val="005844C8"/>
    <w:rsid w:val="00584735"/>
    <w:rsid w:val="00584CC5"/>
    <w:rsid w:val="00584EA4"/>
    <w:rsid w:val="00584EA8"/>
    <w:rsid w:val="00584EC2"/>
    <w:rsid w:val="00584FFA"/>
    <w:rsid w:val="00585206"/>
    <w:rsid w:val="00585223"/>
    <w:rsid w:val="0058524A"/>
    <w:rsid w:val="00585256"/>
    <w:rsid w:val="005852A2"/>
    <w:rsid w:val="0058550A"/>
    <w:rsid w:val="005859B9"/>
    <w:rsid w:val="00585A13"/>
    <w:rsid w:val="00585A15"/>
    <w:rsid w:val="00585AFE"/>
    <w:rsid w:val="00585B40"/>
    <w:rsid w:val="0058641E"/>
    <w:rsid w:val="00586510"/>
    <w:rsid w:val="00586512"/>
    <w:rsid w:val="005865A8"/>
    <w:rsid w:val="005865FB"/>
    <w:rsid w:val="0058665A"/>
    <w:rsid w:val="00586707"/>
    <w:rsid w:val="0058676F"/>
    <w:rsid w:val="0058683D"/>
    <w:rsid w:val="0058683F"/>
    <w:rsid w:val="00586842"/>
    <w:rsid w:val="0058690F"/>
    <w:rsid w:val="00586B3D"/>
    <w:rsid w:val="00586CE4"/>
    <w:rsid w:val="00586D82"/>
    <w:rsid w:val="00586E4B"/>
    <w:rsid w:val="0058717C"/>
    <w:rsid w:val="0058758E"/>
    <w:rsid w:val="005875FD"/>
    <w:rsid w:val="0058761D"/>
    <w:rsid w:val="00587752"/>
    <w:rsid w:val="00587932"/>
    <w:rsid w:val="005879B8"/>
    <w:rsid w:val="00587B29"/>
    <w:rsid w:val="00587CD8"/>
    <w:rsid w:val="00587EED"/>
    <w:rsid w:val="00587FF5"/>
    <w:rsid w:val="00590025"/>
    <w:rsid w:val="0059051B"/>
    <w:rsid w:val="005905D0"/>
    <w:rsid w:val="0059069D"/>
    <w:rsid w:val="005908DE"/>
    <w:rsid w:val="005909A9"/>
    <w:rsid w:val="00590CB0"/>
    <w:rsid w:val="00591082"/>
    <w:rsid w:val="00591130"/>
    <w:rsid w:val="0059122F"/>
    <w:rsid w:val="00591775"/>
    <w:rsid w:val="0059178A"/>
    <w:rsid w:val="005918C3"/>
    <w:rsid w:val="005918D2"/>
    <w:rsid w:val="00591CC5"/>
    <w:rsid w:val="00591E38"/>
    <w:rsid w:val="00591FC5"/>
    <w:rsid w:val="00592249"/>
    <w:rsid w:val="005923B1"/>
    <w:rsid w:val="0059255F"/>
    <w:rsid w:val="00592713"/>
    <w:rsid w:val="0059285A"/>
    <w:rsid w:val="005928C4"/>
    <w:rsid w:val="00592A39"/>
    <w:rsid w:val="00592C3C"/>
    <w:rsid w:val="00592D25"/>
    <w:rsid w:val="005930C1"/>
    <w:rsid w:val="00593236"/>
    <w:rsid w:val="0059326D"/>
    <w:rsid w:val="0059338A"/>
    <w:rsid w:val="005933CA"/>
    <w:rsid w:val="0059341F"/>
    <w:rsid w:val="00593563"/>
    <w:rsid w:val="00593648"/>
    <w:rsid w:val="0059371D"/>
    <w:rsid w:val="00593919"/>
    <w:rsid w:val="00593A5A"/>
    <w:rsid w:val="00593B8E"/>
    <w:rsid w:val="00594095"/>
    <w:rsid w:val="0059409B"/>
    <w:rsid w:val="00594141"/>
    <w:rsid w:val="0059482A"/>
    <w:rsid w:val="0059494E"/>
    <w:rsid w:val="00594AC6"/>
    <w:rsid w:val="00594B1C"/>
    <w:rsid w:val="00594B5C"/>
    <w:rsid w:val="00594B5E"/>
    <w:rsid w:val="00594BD6"/>
    <w:rsid w:val="00594BF2"/>
    <w:rsid w:val="00594BFF"/>
    <w:rsid w:val="00594D86"/>
    <w:rsid w:val="00594DEC"/>
    <w:rsid w:val="00594F1B"/>
    <w:rsid w:val="00594F99"/>
    <w:rsid w:val="005954C2"/>
    <w:rsid w:val="00595715"/>
    <w:rsid w:val="00595721"/>
    <w:rsid w:val="005959C2"/>
    <w:rsid w:val="00595B05"/>
    <w:rsid w:val="00595B85"/>
    <w:rsid w:val="00595C40"/>
    <w:rsid w:val="00595D21"/>
    <w:rsid w:val="0059608B"/>
    <w:rsid w:val="00596213"/>
    <w:rsid w:val="00596229"/>
    <w:rsid w:val="00596332"/>
    <w:rsid w:val="0059679F"/>
    <w:rsid w:val="00596A90"/>
    <w:rsid w:val="00596AD1"/>
    <w:rsid w:val="00596B89"/>
    <w:rsid w:val="00596C13"/>
    <w:rsid w:val="00596C15"/>
    <w:rsid w:val="00596D6A"/>
    <w:rsid w:val="00596F19"/>
    <w:rsid w:val="00596F74"/>
    <w:rsid w:val="005970B5"/>
    <w:rsid w:val="00597149"/>
    <w:rsid w:val="005971B0"/>
    <w:rsid w:val="0059727A"/>
    <w:rsid w:val="00597483"/>
    <w:rsid w:val="00597600"/>
    <w:rsid w:val="005976D0"/>
    <w:rsid w:val="005978D0"/>
    <w:rsid w:val="00597919"/>
    <w:rsid w:val="00597ECF"/>
    <w:rsid w:val="00597F0B"/>
    <w:rsid w:val="00597F0D"/>
    <w:rsid w:val="00597F4B"/>
    <w:rsid w:val="005A0026"/>
    <w:rsid w:val="005A0034"/>
    <w:rsid w:val="005A0394"/>
    <w:rsid w:val="005A0396"/>
    <w:rsid w:val="005A051F"/>
    <w:rsid w:val="005A0663"/>
    <w:rsid w:val="005A08FC"/>
    <w:rsid w:val="005A0B86"/>
    <w:rsid w:val="005A13AE"/>
    <w:rsid w:val="005A15D5"/>
    <w:rsid w:val="005A18F7"/>
    <w:rsid w:val="005A197A"/>
    <w:rsid w:val="005A19E1"/>
    <w:rsid w:val="005A1F18"/>
    <w:rsid w:val="005A206F"/>
    <w:rsid w:val="005A26C5"/>
    <w:rsid w:val="005A27C2"/>
    <w:rsid w:val="005A281B"/>
    <w:rsid w:val="005A2A10"/>
    <w:rsid w:val="005A2EB1"/>
    <w:rsid w:val="005A2FC0"/>
    <w:rsid w:val="005A317D"/>
    <w:rsid w:val="005A31C9"/>
    <w:rsid w:val="005A32CA"/>
    <w:rsid w:val="005A344C"/>
    <w:rsid w:val="005A3551"/>
    <w:rsid w:val="005A3880"/>
    <w:rsid w:val="005A38F0"/>
    <w:rsid w:val="005A3AAD"/>
    <w:rsid w:val="005A3BD1"/>
    <w:rsid w:val="005A3D7B"/>
    <w:rsid w:val="005A3DBF"/>
    <w:rsid w:val="005A3DC3"/>
    <w:rsid w:val="005A3DDF"/>
    <w:rsid w:val="005A3EA6"/>
    <w:rsid w:val="005A3F69"/>
    <w:rsid w:val="005A44FE"/>
    <w:rsid w:val="005A45F7"/>
    <w:rsid w:val="005A47E8"/>
    <w:rsid w:val="005A4A66"/>
    <w:rsid w:val="005A4BF3"/>
    <w:rsid w:val="005A4F98"/>
    <w:rsid w:val="005A4F9F"/>
    <w:rsid w:val="005A4FCE"/>
    <w:rsid w:val="005A51C9"/>
    <w:rsid w:val="005A5263"/>
    <w:rsid w:val="005A526C"/>
    <w:rsid w:val="005A55E0"/>
    <w:rsid w:val="005A55F0"/>
    <w:rsid w:val="005A5949"/>
    <w:rsid w:val="005A5C63"/>
    <w:rsid w:val="005A5EED"/>
    <w:rsid w:val="005A604D"/>
    <w:rsid w:val="005A618E"/>
    <w:rsid w:val="005A61A5"/>
    <w:rsid w:val="005A63CA"/>
    <w:rsid w:val="005A6575"/>
    <w:rsid w:val="005A66F6"/>
    <w:rsid w:val="005A698E"/>
    <w:rsid w:val="005A69F4"/>
    <w:rsid w:val="005A6A89"/>
    <w:rsid w:val="005A6B21"/>
    <w:rsid w:val="005A6CCB"/>
    <w:rsid w:val="005A6EAE"/>
    <w:rsid w:val="005A6F5C"/>
    <w:rsid w:val="005A7000"/>
    <w:rsid w:val="005A70F8"/>
    <w:rsid w:val="005A73CF"/>
    <w:rsid w:val="005A7609"/>
    <w:rsid w:val="005A76BD"/>
    <w:rsid w:val="005A7968"/>
    <w:rsid w:val="005A79EE"/>
    <w:rsid w:val="005A7A14"/>
    <w:rsid w:val="005A7AEA"/>
    <w:rsid w:val="005A7B3C"/>
    <w:rsid w:val="005A7B8A"/>
    <w:rsid w:val="005A7BE1"/>
    <w:rsid w:val="005ABCE6"/>
    <w:rsid w:val="005B0010"/>
    <w:rsid w:val="005B01DF"/>
    <w:rsid w:val="005B0468"/>
    <w:rsid w:val="005B0688"/>
    <w:rsid w:val="005B0727"/>
    <w:rsid w:val="005B0818"/>
    <w:rsid w:val="005B0934"/>
    <w:rsid w:val="005B099B"/>
    <w:rsid w:val="005B0A92"/>
    <w:rsid w:val="005B0AAC"/>
    <w:rsid w:val="005B0B37"/>
    <w:rsid w:val="005B0B66"/>
    <w:rsid w:val="005B0E28"/>
    <w:rsid w:val="005B0E6C"/>
    <w:rsid w:val="005B0F2E"/>
    <w:rsid w:val="005B1083"/>
    <w:rsid w:val="005B1113"/>
    <w:rsid w:val="005B13F1"/>
    <w:rsid w:val="005B143E"/>
    <w:rsid w:val="005B14C7"/>
    <w:rsid w:val="005B14F1"/>
    <w:rsid w:val="005B1582"/>
    <w:rsid w:val="005B161F"/>
    <w:rsid w:val="005B164F"/>
    <w:rsid w:val="005B1674"/>
    <w:rsid w:val="005B170E"/>
    <w:rsid w:val="005B1A5D"/>
    <w:rsid w:val="005B1A63"/>
    <w:rsid w:val="005B1AB8"/>
    <w:rsid w:val="005B1D3E"/>
    <w:rsid w:val="005B1E2B"/>
    <w:rsid w:val="005B2042"/>
    <w:rsid w:val="005B2075"/>
    <w:rsid w:val="005B217B"/>
    <w:rsid w:val="005B2304"/>
    <w:rsid w:val="005B2351"/>
    <w:rsid w:val="005B2469"/>
    <w:rsid w:val="005B24CD"/>
    <w:rsid w:val="005B26B0"/>
    <w:rsid w:val="005B2776"/>
    <w:rsid w:val="005B294D"/>
    <w:rsid w:val="005B2B06"/>
    <w:rsid w:val="005B2D34"/>
    <w:rsid w:val="005B2FAB"/>
    <w:rsid w:val="005B341F"/>
    <w:rsid w:val="005B351F"/>
    <w:rsid w:val="005B3521"/>
    <w:rsid w:val="005B358F"/>
    <w:rsid w:val="005B36E0"/>
    <w:rsid w:val="005B39F8"/>
    <w:rsid w:val="005B3B0F"/>
    <w:rsid w:val="005B3B49"/>
    <w:rsid w:val="005B3B8D"/>
    <w:rsid w:val="005B3BDA"/>
    <w:rsid w:val="005B3C1B"/>
    <w:rsid w:val="005B3F8B"/>
    <w:rsid w:val="005B3F9E"/>
    <w:rsid w:val="005B40FF"/>
    <w:rsid w:val="005B4177"/>
    <w:rsid w:val="005B423B"/>
    <w:rsid w:val="005B4370"/>
    <w:rsid w:val="005B4389"/>
    <w:rsid w:val="005B44D6"/>
    <w:rsid w:val="005B4516"/>
    <w:rsid w:val="005B4722"/>
    <w:rsid w:val="005B4899"/>
    <w:rsid w:val="005B4AE7"/>
    <w:rsid w:val="005B4C03"/>
    <w:rsid w:val="005B4E5A"/>
    <w:rsid w:val="005B4F67"/>
    <w:rsid w:val="005B5058"/>
    <w:rsid w:val="005B50F1"/>
    <w:rsid w:val="005B50FA"/>
    <w:rsid w:val="005B5209"/>
    <w:rsid w:val="005B5424"/>
    <w:rsid w:val="005B5548"/>
    <w:rsid w:val="005B55C7"/>
    <w:rsid w:val="005B5616"/>
    <w:rsid w:val="005B5651"/>
    <w:rsid w:val="005B56A9"/>
    <w:rsid w:val="005B5892"/>
    <w:rsid w:val="005B5A95"/>
    <w:rsid w:val="005B5AD5"/>
    <w:rsid w:val="005B5B31"/>
    <w:rsid w:val="005B5BA0"/>
    <w:rsid w:val="005B5E8F"/>
    <w:rsid w:val="005B613F"/>
    <w:rsid w:val="005B614C"/>
    <w:rsid w:val="005B6182"/>
    <w:rsid w:val="005B6202"/>
    <w:rsid w:val="005B66D2"/>
    <w:rsid w:val="005B66F7"/>
    <w:rsid w:val="005B6790"/>
    <w:rsid w:val="005B6841"/>
    <w:rsid w:val="005B6AC8"/>
    <w:rsid w:val="005B6BAA"/>
    <w:rsid w:val="005B6F1E"/>
    <w:rsid w:val="005B6F6D"/>
    <w:rsid w:val="005B6FE7"/>
    <w:rsid w:val="005B7006"/>
    <w:rsid w:val="005B7369"/>
    <w:rsid w:val="005B744A"/>
    <w:rsid w:val="005B74D4"/>
    <w:rsid w:val="005B76A1"/>
    <w:rsid w:val="005B7787"/>
    <w:rsid w:val="005B7852"/>
    <w:rsid w:val="005B7B38"/>
    <w:rsid w:val="005B7D2C"/>
    <w:rsid w:val="005B7DA9"/>
    <w:rsid w:val="005B7F5A"/>
    <w:rsid w:val="005B7FF6"/>
    <w:rsid w:val="005C010D"/>
    <w:rsid w:val="005C0653"/>
    <w:rsid w:val="005C0667"/>
    <w:rsid w:val="005C07A9"/>
    <w:rsid w:val="005C0A2C"/>
    <w:rsid w:val="005C0B58"/>
    <w:rsid w:val="005C0DDC"/>
    <w:rsid w:val="005C0E57"/>
    <w:rsid w:val="005C0E7F"/>
    <w:rsid w:val="005C1165"/>
    <w:rsid w:val="005C11AA"/>
    <w:rsid w:val="005C123D"/>
    <w:rsid w:val="005C1444"/>
    <w:rsid w:val="005C14E4"/>
    <w:rsid w:val="005C1553"/>
    <w:rsid w:val="005C16CB"/>
    <w:rsid w:val="005C1955"/>
    <w:rsid w:val="005C1AB6"/>
    <w:rsid w:val="005C1AE0"/>
    <w:rsid w:val="005C1C46"/>
    <w:rsid w:val="005C1E24"/>
    <w:rsid w:val="005C2029"/>
    <w:rsid w:val="005C2069"/>
    <w:rsid w:val="005C21A7"/>
    <w:rsid w:val="005C21B7"/>
    <w:rsid w:val="005C243F"/>
    <w:rsid w:val="005C271B"/>
    <w:rsid w:val="005C28F7"/>
    <w:rsid w:val="005C2990"/>
    <w:rsid w:val="005C2A5C"/>
    <w:rsid w:val="005C2B4C"/>
    <w:rsid w:val="005C2C5C"/>
    <w:rsid w:val="005C31DD"/>
    <w:rsid w:val="005C3229"/>
    <w:rsid w:val="005C334A"/>
    <w:rsid w:val="005C33D5"/>
    <w:rsid w:val="005C34A3"/>
    <w:rsid w:val="005C3724"/>
    <w:rsid w:val="005C37B0"/>
    <w:rsid w:val="005C37E7"/>
    <w:rsid w:val="005C3B37"/>
    <w:rsid w:val="005C3B88"/>
    <w:rsid w:val="005C3B8E"/>
    <w:rsid w:val="005C3BE4"/>
    <w:rsid w:val="005C3EDE"/>
    <w:rsid w:val="005C3FB5"/>
    <w:rsid w:val="005C3FEB"/>
    <w:rsid w:val="005C40DC"/>
    <w:rsid w:val="005C430A"/>
    <w:rsid w:val="005C43C3"/>
    <w:rsid w:val="005C443B"/>
    <w:rsid w:val="005C44AB"/>
    <w:rsid w:val="005C4773"/>
    <w:rsid w:val="005C4A5B"/>
    <w:rsid w:val="005C4ACF"/>
    <w:rsid w:val="005C4D17"/>
    <w:rsid w:val="005C4D1E"/>
    <w:rsid w:val="005C50E0"/>
    <w:rsid w:val="005C5108"/>
    <w:rsid w:val="005C5146"/>
    <w:rsid w:val="005C5175"/>
    <w:rsid w:val="005C51EA"/>
    <w:rsid w:val="005C5347"/>
    <w:rsid w:val="005C55C8"/>
    <w:rsid w:val="005C560E"/>
    <w:rsid w:val="005C59CB"/>
    <w:rsid w:val="005C5A24"/>
    <w:rsid w:val="005C5A59"/>
    <w:rsid w:val="005C5B25"/>
    <w:rsid w:val="005C5B72"/>
    <w:rsid w:val="005C5CDA"/>
    <w:rsid w:val="005C5DD7"/>
    <w:rsid w:val="005C5EE4"/>
    <w:rsid w:val="005C600F"/>
    <w:rsid w:val="005C601B"/>
    <w:rsid w:val="005C6094"/>
    <w:rsid w:val="005C6095"/>
    <w:rsid w:val="005C61DA"/>
    <w:rsid w:val="005C633F"/>
    <w:rsid w:val="005C640E"/>
    <w:rsid w:val="005C647A"/>
    <w:rsid w:val="005C6798"/>
    <w:rsid w:val="005C67C6"/>
    <w:rsid w:val="005C6987"/>
    <w:rsid w:val="005C6AA4"/>
    <w:rsid w:val="005C6BC4"/>
    <w:rsid w:val="005C6BD0"/>
    <w:rsid w:val="005C6E4C"/>
    <w:rsid w:val="005C7090"/>
    <w:rsid w:val="005C71E5"/>
    <w:rsid w:val="005C7221"/>
    <w:rsid w:val="005C73C5"/>
    <w:rsid w:val="005C74F0"/>
    <w:rsid w:val="005C782C"/>
    <w:rsid w:val="005C7B0D"/>
    <w:rsid w:val="005C7B5F"/>
    <w:rsid w:val="005C7B63"/>
    <w:rsid w:val="005C7B6E"/>
    <w:rsid w:val="005C7C69"/>
    <w:rsid w:val="005D003E"/>
    <w:rsid w:val="005D006D"/>
    <w:rsid w:val="005D007B"/>
    <w:rsid w:val="005D0240"/>
    <w:rsid w:val="005D02DA"/>
    <w:rsid w:val="005D0510"/>
    <w:rsid w:val="005D0562"/>
    <w:rsid w:val="005D0756"/>
    <w:rsid w:val="005D09EC"/>
    <w:rsid w:val="005D0BD1"/>
    <w:rsid w:val="005D0C39"/>
    <w:rsid w:val="005D0EDC"/>
    <w:rsid w:val="005D0F83"/>
    <w:rsid w:val="005D15EE"/>
    <w:rsid w:val="005D16E6"/>
    <w:rsid w:val="005D171D"/>
    <w:rsid w:val="005D18E2"/>
    <w:rsid w:val="005D1A4A"/>
    <w:rsid w:val="005D1E27"/>
    <w:rsid w:val="005D1E8E"/>
    <w:rsid w:val="005D1F00"/>
    <w:rsid w:val="005D200E"/>
    <w:rsid w:val="005D22ED"/>
    <w:rsid w:val="005D24A8"/>
    <w:rsid w:val="005D24D5"/>
    <w:rsid w:val="005D2513"/>
    <w:rsid w:val="005D2727"/>
    <w:rsid w:val="005D27B8"/>
    <w:rsid w:val="005D29BF"/>
    <w:rsid w:val="005D2A45"/>
    <w:rsid w:val="005D2AAA"/>
    <w:rsid w:val="005D2E03"/>
    <w:rsid w:val="005D2E4D"/>
    <w:rsid w:val="005D3149"/>
    <w:rsid w:val="005D3247"/>
    <w:rsid w:val="005D3262"/>
    <w:rsid w:val="005D3308"/>
    <w:rsid w:val="005D3504"/>
    <w:rsid w:val="005D35F6"/>
    <w:rsid w:val="005D36C2"/>
    <w:rsid w:val="005D3C9E"/>
    <w:rsid w:val="005D3DE9"/>
    <w:rsid w:val="005D3E03"/>
    <w:rsid w:val="005D4014"/>
    <w:rsid w:val="005D40B8"/>
    <w:rsid w:val="005D412A"/>
    <w:rsid w:val="005D434B"/>
    <w:rsid w:val="005D438B"/>
    <w:rsid w:val="005D4407"/>
    <w:rsid w:val="005D4544"/>
    <w:rsid w:val="005D4802"/>
    <w:rsid w:val="005D48FC"/>
    <w:rsid w:val="005D4B60"/>
    <w:rsid w:val="005D4E24"/>
    <w:rsid w:val="005D4F09"/>
    <w:rsid w:val="005D5079"/>
    <w:rsid w:val="005D507D"/>
    <w:rsid w:val="005D5178"/>
    <w:rsid w:val="005D5211"/>
    <w:rsid w:val="005D52C8"/>
    <w:rsid w:val="005D52FE"/>
    <w:rsid w:val="005D58C2"/>
    <w:rsid w:val="005D58C8"/>
    <w:rsid w:val="005D5AE3"/>
    <w:rsid w:val="005D5B55"/>
    <w:rsid w:val="005D5C4F"/>
    <w:rsid w:val="005D5C7C"/>
    <w:rsid w:val="005D5EBF"/>
    <w:rsid w:val="005D5EFB"/>
    <w:rsid w:val="005D6156"/>
    <w:rsid w:val="005D6184"/>
    <w:rsid w:val="005D633D"/>
    <w:rsid w:val="005D65D4"/>
    <w:rsid w:val="005D69D6"/>
    <w:rsid w:val="005D6AEC"/>
    <w:rsid w:val="005D6B8B"/>
    <w:rsid w:val="005D6CB4"/>
    <w:rsid w:val="005D6EA8"/>
    <w:rsid w:val="005D6F05"/>
    <w:rsid w:val="005D6FF4"/>
    <w:rsid w:val="005D710D"/>
    <w:rsid w:val="005D76B2"/>
    <w:rsid w:val="005D7762"/>
    <w:rsid w:val="005D7867"/>
    <w:rsid w:val="005D7919"/>
    <w:rsid w:val="005D7968"/>
    <w:rsid w:val="005D7A1D"/>
    <w:rsid w:val="005D7AB1"/>
    <w:rsid w:val="005D7CB7"/>
    <w:rsid w:val="005D7E05"/>
    <w:rsid w:val="005D7E9E"/>
    <w:rsid w:val="005D7F69"/>
    <w:rsid w:val="005E02D2"/>
    <w:rsid w:val="005E0696"/>
    <w:rsid w:val="005E0810"/>
    <w:rsid w:val="005E09D0"/>
    <w:rsid w:val="005E0B5A"/>
    <w:rsid w:val="005E0E0A"/>
    <w:rsid w:val="005E0F45"/>
    <w:rsid w:val="005E10E3"/>
    <w:rsid w:val="005E12B0"/>
    <w:rsid w:val="005E1567"/>
    <w:rsid w:val="005E18E0"/>
    <w:rsid w:val="005E1921"/>
    <w:rsid w:val="005E1A1A"/>
    <w:rsid w:val="005E1C3F"/>
    <w:rsid w:val="005E1E0E"/>
    <w:rsid w:val="005E1E1F"/>
    <w:rsid w:val="005E1F8C"/>
    <w:rsid w:val="005E1FC7"/>
    <w:rsid w:val="005E214A"/>
    <w:rsid w:val="005E216B"/>
    <w:rsid w:val="005E217F"/>
    <w:rsid w:val="005E219E"/>
    <w:rsid w:val="005E21B8"/>
    <w:rsid w:val="005E2277"/>
    <w:rsid w:val="005E22BB"/>
    <w:rsid w:val="005E26F0"/>
    <w:rsid w:val="005E2783"/>
    <w:rsid w:val="005E27BE"/>
    <w:rsid w:val="005E2876"/>
    <w:rsid w:val="005E2A48"/>
    <w:rsid w:val="005E2B73"/>
    <w:rsid w:val="005E2CBB"/>
    <w:rsid w:val="005E3168"/>
    <w:rsid w:val="005E3185"/>
    <w:rsid w:val="005E33AB"/>
    <w:rsid w:val="005E33DE"/>
    <w:rsid w:val="005E3A1C"/>
    <w:rsid w:val="005E3A4C"/>
    <w:rsid w:val="005E3B1F"/>
    <w:rsid w:val="005E3C2B"/>
    <w:rsid w:val="005E3C6E"/>
    <w:rsid w:val="005E3C74"/>
    <w:rsid w:val="005E3E7E"/>
    <w:rsid w:val="005E3FC7"/>
    <w:rsid w:val="005E4009"/>
    <w:rsid w:val="005E40E9"/>
    <w:rsid w:val="005E4298"/>
    <w:rsid w:val="005E4406"/>
    <w:rsid w:val="005E468C"/>
    <w:rsid w:val="005E4A8B"/>
    <w:rsid w:val="005E4AC1"/>
    <w:rsid w:val="005E4C3E"/>
    <w:rsid w:val="005E4D40"/>
    <w:rsid w:val="005E4D49"/>
    <w:rsid w:val="005E4FCB"/>
    <w:rsid w:val="005E5168"/>
    <w:rsid w:val="005E51C4"/>
    <w:rsid w:val="005E53B6"/>
    <w:rsid w:val="005E53FA"/>
    <w:rsid w:val="005E58F2"/>
    <w:rsid w:val="005E5931"/>
    <w:rsid w:val="005E5976"/>
    <w:rsid w:val="005E599A"/>
    <w:rsid w:val="005E59B1"/>
    <w:rsid w:val="005E5B38"/>
    <w:rsid w:val="005E5E63"/>
    <w:rsid w:val="005E5F5A"/>
    <w:rsid w:val="005E60F2"/>
    <w:rsid w:val="005E61DE"/>
    <w:rsid w:val="005E637F"/>
    <w:rsid w:val="005E643D"/>
    <w:rsid w:val="005E64FD"/>
    <w:rsid w:val="005E6545"/>
    <w:rsid w:val="005E660F"/>
    <w:rsid w:val="005E666E"/>
    <w:rsid w:val="005E67B6"/>
    <w:rsid w:val="005E67FA"/>
    <w:rsid w:val="005E6859"/>
    <w:rsid w:val="005E6B2D"/>
    <w:rsid w:val="005E6D61"/>
    <w:rsid w:val="005E6DA1"/>
    <w:rsid w:val="005E6DEF"/>
    <w:rsid w:val="005E6E6A"/>
    <w:rsid w:val="005E6E91"/>
    <w:rsid w:val="005E6F0E"/>
    <w:rsid w:val="005E6F65"/>
    <w:rsid w:val="005E70C4"/>
    <w:rsid w:val="005E70E5"/>
    <w:rsid w:val="005E71B8"/>
    <w:rsid w:val="005E7277"/>
    <w:rsid w:val="005E7572"/>
    <w:rsid w:val="005E7623"/>
    <w:rsid w:val="005E763A"/>
    <w:rsid w:val="005E76B2"/>
    <w:rsid w:val="005E76C1"/>
    <w:rsid w:val="005E7725"/>
    <w:rsid w:val="005E7A03"/>
    <w:rsid w:val="005E7AAA"/>
    <w:rsid w:val="005E7B71"/>
    <w:rsid w:val="005E7EE9"/>
    <w:rsid w:val="005EF70A"/>
    <w:rsid w:val="005F02C9"/>
    <w:rsid w:val="005F0420"/>
    <w:rsid w:val="005F0588"/>
    <w:rsid w:val="005F06C5"/>
    <w:rsid w:val="005F09EB"/>
    <w:rsid w:val="005F0B72"/>
    <w:rsid w:val="005F0CB2"/>
    <w:rsid w:val="005F0E4C"/>
    <w:rsid w:val="005F101E"/>
    <w:rsid w:val="005F1026"/>
    <w:rsid w:val="005F1330"/>
    <w:rsid w:val="005F147A"/>
    <w:rsid w:val="005F1654"/>
    <w:rsid w:val="005F1724"/>
    <w:rsid w:val="005F188F"/>
    <w:rsid w:val="005F1AB2"/>
    <w:rsid w:val="005F1B94"/>
    <w:rsid w:val="005F1E4B"/>
    <w:rsid w:val="005F1F8C"/>
    <w:rsid w:val="005F20AB"/>
    <w:rsid w:val="005F20EF"/>
    <w:rsid w:val="005F2106"/>
    <w:rsid w:val="005F210F"/>
    <w:rsid w:val="005F230C"/>
    <w:rsid w:val="005F2468"/>
    <w:rsid w:val="005F2842"/>
    <w:rsid w:val="005F28BA"/>
    <w:rsid w:val="005F28F5"/>
    <w:rsid w:val="005F29FD"/>
    <w:rsid w:val="005F2C53"/>
    <w:rsid w:val="005F2EDE"/>
    <w:rsid w:val="005F2FE7"/>
    <w:rsid w:val="005F31E4"/>
    <w:rsid w:val="005F3238"/>
    <w:rsid w:val="005F32E7"/>
    <w:rsid w:val="005F3332"/>
    <w:rsid w:val="005F37B0"/>
    <w:rsid w:val="005F3A1D"/>
    <w:rsid w:val="005F3AA5"/>
    <w:rsid w:val="005F3C74"/>
    <w:rsid w:val="005F3D43"/>
    <w:rsid w:val="005F3F36"/>
    <w:rsid w:val="005F4051"/>
    <w:rsid w:val="005F40F8"/>
    <w:rsid w:val="005F4313"/>
    <w:rsid w:val="005F471C"/>
    <w:rsid w:val="005F4786"/>
    <w:rsid w:val="005F4820"/>
    <w:rsid w:val="005F4863"/>
    <w:rsid w:val="005F4956"/>
    <w:rsid w:val="005F4B0F"/>
    <w:rsid w:val="005F4CD2"/>
    <w:rsid w:val="005F4D1D"/>
    <w:rsid w:val="005F4DD9"/>
    <w:rsid w:val="005F4F4F"/>
    <w:rsid w:val="005F5096"/>
    <w:rsid w:val="005F5371"/>
    <w:rsid w:val="005F5388"/>
    <w:rsid w:val="005F5436"/>
    <w:rsid w:val="005F54D7"/>
    <w:rsid w:val="005F54E0"/>
    <w:rsid w:val="005F55C6"/>
    <w:rsid w:val="005F581B"/>
    <w:rsid w:val="005F58C7"/>
    <w:rsid w:val="005F58FC"/>
    <w:rsid w:val="005F5943"/>
    <w:rsid w:val="005F5945"/>
    <w:rsid w:val="005F5B67"/>
    <w:rsid w:val="005F5BAB"/>
    <w:rsid w:val="005F5EBE"/>
    <w:rsid w:val="005F6074"/>
    <w:rsid w:val="005F6096"/>
    <w:rsid w:val="005F61D7"/>
    <w:rsid w:val="005F623F"/>
    <w:rsid w:val="005F6287"/>
    <w:rsid w:val="005F6580"/>
    <w:rsid w:val="005F667D"/>
    <w:rsid w:val="005F6920"/>
    <w:rsid w:val="005F698B"/>
    <w:rsid w:val="005F69DE"/>
    <w:rsid w:val="005F6A3E"/>
    <w:rsid w:val="005F6A6E"/>
    <w:rsid w:val="005F6A96"/>
    <w:rsid w:val="005F6B8F"/>
    <w:rsid w:val="005F6ECC"/>
    <w:rsid w:val="005F7033"/>
    <w:rsid w:val="005F71BE"/>
    <w:rsid w:val="005F72D3"/>
    <w:rsid w:val="005F73C6"/>
    <w:rsid w:val="005F741B"/>
    <w:rsid w:val="005F74BD"/>
    <w:rsid w:val="005F75B4"/>
    <w:rsid w:val="005F75E1"/>
    <w:rsid w:val="005F78A6"/>
    <w:rsid w:val="005F791A"/>
    <w:rsid w:val="005F79BA"/>
    <w:rsid w:val="005F7C48"/>
    <w:rsid w:val="005F7C93"/>
    <w:rsid w:val="005F7D2D"/>
    <w:rsid w:val="005F7E84"/>
    <w:rsid w:val="00600036"/>
    <w:rsid w:val="0060012D"/>
    <w:rsid w:val="00600179"/>
    <w:rsid w:val="0060024D"/>
    <w:rsid w:val="006006A2"/>
    <w:rsid w:val="00600779"/>
    <w:rsid w:val="00600956"/>
    <w:rsid w:val="006009A6"/>
    <w:rsid w:val="00600C2C"/>
    <w:rsid w:val="00600F53"/>
    <w:rsid w:val="00600F5C"/>
    <w:rsid w:val="00600FB3"/>
    <w:rsid w:val="006010AE"/>
    <w:rsid w:val="006011E1"/>
    <w:rsid w:val="00601344"/>
    <w:rsid w:val="0060136D"/>
    <w:rsid w:val="0060146A"/>
    <w:rsid w:val="0060159F"/>
    <w:rsid w:val="00601A22"/>
    <w:rsid w:val="00601AF2"/>
    <w:rsid w:val="00601AFC"/>
    <w:rsid w:val="00601C73"/>
    <w:rsid w:val="00601D2B"/>
    <w:rsid w:val="00601D96"/>
    <w:rsid w:val="00601E88"/>
    <w:rsid w:val="0060217F"/>
    <w:rsid w:val="00602401"/>
    <w:rsid w:val="0060279A"/>
    <w:rsid w:val="00602A67"/>
    <w:rsid w:val="00602DB2"/>
    <w:rsid w:val="00602F76"/>
    <w:rsid w:val="00603046"/>
    <w:rsid w:val="00603425"/>
    <w:rsid w:val="00603432"/>
    <w:rsid w:val="00603516"/>
    <w:rsid w:val="006037CD"/>
    <w:rsid w:val="006039C7"/>
    <w:rsid w:val="00603A42"/>
    <w:rsid w:val="00603B06"/>
    <w:rsid w:val="00603B6C"/>
    <w:rsid w:val="00603D0E"/>
    <w:rsid w:val="00603F4E"/>
    <w:rsid w:val="00604033"/>
    <w:rsid w:val="00604085"/>
    <w:rsid w:val="00604158"/>
    <w:rsid w:val="00604307"/>
    <w:rsid w:val="00604593"/>
    <w:rsid w:val="00604604"/>
    <w:rsid w:val="0060469B"/>
    <w:rsid w:val="0060477C"/>
    <w:rsid w:val="006047CE"/>
    <w:rsid w:val="006047D4"/>
    <w:rsid w:val="006047E4"/>
    <w:rsid w:val="00604A36"/>
    <w:rsid w:val="00604B6B"/>
    <w:rsid w:val="00604BA2"/>
    <w:rsid w:val="00604BC4"/>
    <w:rsid w:val="00604C3F"/>
    <w:rsid w:val="00605319"/>
    <w:rsid w:val="006053DC"/>
    <w:rsid w:val="0060568B"/>
    <w:rsid w:val="006056A8"/>
    <w:rsid w:val="006056F3"/>
    <w:rsid w:val="0060592F"/>
    <w:rsid w:val="00605C67"/>
    <w:rsid w:val="00605D4D"/>
    <w:rsid w:val="00605D6F"/>
    <w:rsid w:val="00605DF1"/>
    <w:rsid w:val="00605E99"/>
    <w:rsid w:val="00605F5E"/>
    <w:rsid w:val="00605FF8"/>
    <w:rsid w:val="00606172"/>
    <w:rsid w:val="006061FF"/>
    <w:rsid w:val="0060666C"/>
    <w:rsid w:val="00606796"/>
    <w:rsid w:val="00606940"/>
    <w:rsid w:val="00606AC8"/>
    <w:rsid w:val="00606AF4"/>
    <w:rsid w:val="00606C5F"/>
    <w:rsid w:val="0060703A"/>
    <w:rsid w:val="00607124"/>
    <w:rsid w:val="006072F6"/>
    <w:rsid w:val="006074C4"/>
    <w:rsid w:val="00607628"/>
    <w:rsid w:val="0060777A"/>
    <w:rsid w:val="006078D2"/>
    <w:rsid w:val="006078F5"/>
    <w:rsid w:val="00607EC3"/>
    <w:rsid w:val="00607F35"/>
    <w:rsid w:val="00610264"/>
    <w:rsid w:val="006102BB"/>
    <w:rsid w:val="00610316"/>
    <w:rsid w:val="006103D4"/>
    <w:rsid w:val="006109BB"/>
    <w:rsid w:val="00610AC5"/>
    <w:rsid w:val="00610C57"/>
    <w:rsid w:val="00610D91"/>
    <w:rsid w:val="00610E19"/>
    <w:rsid w:val="00611012"/>
    <w:rsid w:val="00611027"/>
    <w:rsid w:val="0061103F"/>
    <w:rsid w:val="006110D6"/>
    <w:rsid w:val="0061176B"/>
    <w:rsid w:val="00611794"/>
    <w:rsid w:val="006117A2"/>
    <w:rsid w:val="0061192F"/>
    <w:rsid w:val="00611A4C"/>
    <w:rsid w:val="00611B7A"/>
    <w:rsid w:val="00611E90"/>
    <w:rsid w:val="00611EF8"/>
    <w:rsid w:val="00612192"/>
    <w:rsid w:val="00612201"/>
    <w:rsid w:val="00612241"/>
    <w:rsid w:val="00612302"/>
    <w:rsid w:val="0061289C"/>
    <w:rsid w:val="006128FD"/>
    <w:rsid w:val="00612CC1"/>
    <w:rsid w:val="0061308E"/>
    <w:rsid w:val="00613314"/>
    <w:rsid w:val="0061351A"/>
    <w:rsid w:val="00613551"/>
    <w:rsid w:val="006135E5"/>
    <w:rsid w:val="006136E1"/>
    <w:rsid w:val="0061372D"/>
    <w:rsid w:val="00613868"/>
    <w:rsid w:val="00613915"/>
    <w:rsid w:val="0061396A"/>
    <w:rsid w:val="00613A70"/>
    <w:rsid w:val="00613A92"/>
    <w:rsid w:val="00613C5A"/>
    <w:rsid w:val="00613E57"/>
    <w:rsid w:val="00614011"/>
    <w:rsid w:val="00614121"/>
    <w:rsid w:val="00614249"/>
    <w:rsid w:val="006143C5"/>
    <w:rsid w:val="00614919"/>
    <w:rsid w:val="00614B1E"/>
    <w:rsid w:val="00614B7D"/>
    <w:rsid w:val="00614C14"/>
    <w:rsid w:val="00614CE6"/>
    <w:rsid w:val="00614D49"/>
    <w:rsid w:val="00615062"/>
    <w:rsid w:val="00615324"/>
    <w:rsid w:val="006153A7"/>
    <w:rsid w:val="006154DE"/>
    <w:rsid w:val="0061578F"/>
    <w:rsid w:val="0061579B"/>
    <w:rsid w:val="006157BB"/>
    <w:rsid w:val="00615870"/>
    <w:rsid w:val="006158B9"/>
    <w:rsid w:val="00615AEF"/>
    <w:rsid w:val="00615CA1"/>
    <w:rsid w:val="00615CA5"/>
    <w:rsid w:val="00615D43"/>
    <w:rsid w:val="00615D55"/>
    <w:rsid w:val="00615D9A"/>
    <w:rsid w:val="00615DF9"/>
    <w:rsid w:val="00615E60"/>
    <w:rsid w:val="00615E8C"/>
    <w:rsid w:val="00615FB3"/>
    <w:rsid w:val="00616144"/>
    <w:rsid w:val="00616237"/>
    <w:rsid w:val="006164C5"/>
    <w:rsid w:val="006164C7"/>
    <w:rsid w:val="006164F6"/>
    <w:rsid w:val="006165C4"/>
    <w:rsid w:val="006165F5"/>
    <w:rsid w:val="00616846"/>
    <w:rsid w:val="00616902"/>
    <w:rsid w:val="00616A90"/>
    <w:rsid w:val="00616BCC"/>
    <w:rsid w:val="00616C88"/>
    <w:rsid w:val="00616D25"/>
    <w:rsid w:val="00616E88"/>
    <w:rsid w:val="00616F75"/>
    <w:rsid w:val="00617050"/>
    <w:rsid w:val="006170B5"/>
    <w:rsid w:val="0061742E"/>
    <w:rsid w:val="00617453"/>
    <w:rsid w:val="0061761A"/>
    <w:rsid w:val="0061775F"/>
    <w:rsid w:val="0061781C"/>
    <w:rsid w:val="0061794C"/>
    <w:rsid w:val="00617A6F"/>
    <w:rsid w:val="00617B4E"/>
    <w:rsid w:val="00617BA7"/>
    <w:rsid w:val="00617C28"/>
    <w:rsid w:val="00617E52"/>
    <w:rsid w:val="0061C4C1"/>
    <w:rsid w:val="00620035"/>
    <w:rsid w:val="00620335"/>
    <w:rsid w:val="006204E6"/>
    <w:rsid w:val="00620C59"/>
    <w:rsid w:val="00620D7D"/>
    <w:rsid w:val="00620E21"/>
    <w:rsid w:val="00620E40"/>
    <w:rsid w:val="00621313"/>
    <w:rsid w:val="006214AF"/>
    <w:rsid w:val="00621570"/>
    <w:rsid w:val="0062157F"/>
    <w:rsid w:val="0062190B"/>
    <w:rsid w:val="00621AAB"/>
    <w:rsid w:val="00621C3C"/>
    <w:rsid w:val="00621FFC"/>
    <w:rsid w:val="0062228D"/>
    <w:rsid w:val="006222B9"/>
    <w:rsid w:val="00622358"/>
    <w:rsid w:val="00622359"/>
    <w:rsid w:val="00622448"/>
    <w:rsid w:val="0062276C"/>
    <w:rsid w:val="006227A8"/>
    <w:rsid w:val="00622E60"/>
    <w:rsid w:val="0062315D"/>
    <w:rsid w:val="006235CB"/>
    <w:rsid w:val="00623B61"/>
    <w:rsid w:val="00623C6D"/>
    <w:rsid w:val="00623D10"/>
    <w:rsid w:val="00623D3E"/>
    <w:rsid w:val="00623DAD"/>
    <w:rsid w:val="00623DFF"/>
    <w:rsid w:val="00623E05"/>
    <w:rsid w:val="00623E11"/>
    <w:rsid w:val="00623E5E"/>
    <w:rsid w:val="00623E68"/>
    <w:rsid w:val="00623FFB"/>
    <w:rsid w:val="00624001"/>
    <w:rsid w:val="00624299"/>
    <w:rsid w:val="006243EB"/>
    <w:rsid w:val="006244A3"/>
    <w:rsid w:val="006244D0"/>
    <w:rsid w:val="006245E2"/>
    <w:rsid w:val="00624743"/>
    <w:rsid w:val="006249FA"/>
    <w:rsid w:val="00624B9C"/>
    <w:rsid w:val="00624C6A"/>
    <w:rsid w:val="00624DBA"/>
    <w:rsid w:val="00624EB3"/>
    <w:rsid w:val="00624EF0"/>
    <w:rsid w:val="00624F95"/>
    <w:rsid w:val="00625005"/>
    <w:rsid w:val="00625046"/>
    <w:rsid w:val="006250C9"/>
    <w:rsid w:val="0062533C"/>
    <w:rsid w:val="00625385"/>
    <w:rsid w:val="006253AB"/>
    <w:rsid w:val="00625503"/>
    <w:rsid w:val="00625536"/>
    <w:rsid w:val="00625767"/>
    <w:rsid w:val="006258F0"/>
    <w:rsid w:val="00625AA7"/>
    <w:rsid w:val="00625AC1"/>
    <w:rsid w:val="00625B9B"/>
    <w:rsid w:val="00625BAA"/>
    <w:rsid w:val="00625D7F"/>
    <w:rsid w:val="00625E3E"/>
    <w:rsid w:val="00625EBF"/>
    <w:rsid w:val="00626014"/>
    <w:rsid w:val="0062626E"/>
    <w:rsid w:val="00626698"/>
    <w:rsid w:val="006266D7"/>
    <w:rsid w:val="006267F8"/>
    <w:rsid w:val="00626847"/>
    <w:rsid w:val="0062684E"/>
    <w:rsid w:val="00626936"/>
    <w:rsid w:val="00626966"/>
    <w:rsid w:val="00626981"/>
    <w:rsid w:val="00626A4B"/>
    <w:rsid w:val="00626CC6"/>
    <w:rsid w:val="00626F0D"/>
    <w:rsid w:val="00626F30"/>
    <w:rsid w:val="006271B0"/>
    <w:rsid w:val="0062734D"/>
    <w:rsid w:val="00627399"/>
    <w:rsid w:val="006279B1"/>
    <w:rsid w:val="006279F4"/>
    <w:rsid w:val="00627AA6"/>
    <w:rsid w:val="00627D33"/>
    <w:rsid w:val="00627E45"/>
    <w:rsid w:val="00630032"/>
    <w:rsid w:val="0063052B"/>
    <w:rsid w:val="0063053D"/>
    <w:rsid w:val="006307C1"/>
    <w:rsid w:val="0063094E"/>
    <w:rsid w:val="00630966"/>
    <w:rsid w:val="00630A5F"/>
    <w:rsid w:val="00630BFA"/>
    <w:rsid w:val="00630E33"/>
    <w:rsid w:val="00630E53"/>
    <w:rsid w:val="00630EC4"/>
    <w:rsid w:val="00630EC9"/>
    <w:rsid w:val="00630EF7"/>
    <w:rsid w:val="00630F2A"/>
    <w:rsid w:val="00631226"/>
    <w:rsid w:val="006312BC"/>
    <w:rsid w:val="006312FF"/>
    <w:rsid w:val="00631586"/>
    <w:rsid w:val="0063163C"/>
    <w:rsid w:val="0063177C"/>
    <w:rsid w:val="00631857"/>
    <w:rsid w:val="00631908"/>
    <w:rsid w:val="00631950"/>
    <w:rsid w:val="00631A9A"/>
    <w:rsid w:val="00631B4C"/>
    <w:rsid w:val="00631CCD"/>
    <w:rsid w:val="00631E50"/>
    <w:rsid w:val="00631EEC"/>
    <w:rsid w:val="0063201B"/>
    <w:rsid w:val="0063204B"/>
    <w:rsid w:val="006320A6"/>
    <w:rsid w:val="006321FC"/>
    <w:rsid w:val="00632522"/>
    <w:rsid w:val="0063265B"/>
    <w:rsid w:val="00632790"/>
    <w:rsid w:val="0063289F"/>
    <w:rsid w:val="006328B1"/>
    <w:rsid w:val="00632CB9"/>
    <w:rsid w:val="00632E64"/>
    <w:rsid w:val="00632E85"/>
    <w:rsid w:val="006330F1"/>
    <w:rsid w:val="00633227"/>
    <w:rsid w:val="00633478"/>
    <w:rsid w:val="00633715"/>
    <w:rsid w:val="00633773"/>
    <w:rsid w:val="0063385A"/>
    <w:rsid w:val="006339C3"/>
    <w:rsid w:val="006339CC"/>
    <w:rsid w:val="00633B14"/>
    <w:rsid w:val="00633B57"/>
    <w:rsid w:val="00633DE9"/>
    <w:rsid w:val="00633E16"/>
    <w:rsid w:val="00633E43"/>
    <w:rsid w:val="00634577"/>
    <w:rsid w:val="0063460B"/>
    <w:rsid w:val="0063477F"/>
    <w:rsid w:val="006348AF"/>
    <w:rsid w:val="006349AD"/>
    <w:rsid w:val="00634A04"/>
    <w:rsid w:val="00634ADF"/>
    <w:rsid w:val="00634D0B"/>
    <w:rsid w:val="00634DFC"/>
    <w:rsid w:val="006353D1"/>
    <w:rsid w:val="006353D4"/>
    <w:rsid w:val="0063562D"/>
    <w:rsid w:val="00635A24"/>
    <w:rsid w:val="00635BAE"/>
    <w:rsid w:val="00635CBE"/>
    <w:rsid w:val="00635D41"/>
    <w:rsid w:val="00635DA0"/>
    <w:rsid w:val="00635E16"/>
    <w:rsid w:val="00635F8A"/>
    <w:rsid w:val="00635FC8"/>
    <w:rsid w:val="006360EE"/>
    <w:rsid w:val="0063613B"/>
    <w:rsid w:val="0063614E"/>
    <w:rsid w:val="006362B1"/>
    <w:rsid w:val="006363D4"/>
    <w:rsid w:val="006363D7"/>
    <w:rsid w:val="00636417"/>
    <w:rsid w:val="006365CB"/>
    <w:rsid w:val="006366C0"/>
    <w:rsid w:val="00636840"/>
    <w:rsid w:val="00636B67"/>
    <w:rsid w:val="00636D1B"/>
    <w:rsid w:val="00636DDB"/>
    <w:rsid w:val="00636ED0"/>
    <w:rsid w:val="00636F1D"/>
    <w:rsid w:val="006372E2"/>
    <w:rsid w:val="006373E9"/>
    <w:rsid w:val="006373FB"/>
    <w:rsid w:val="006374C5"/>
    <w:rsid w:val="006378D0"/>
    <w:rsid w:val="006378F6"/>
    <w:rsid w:val="006379FC"/>
    <w:rsid w:val="00637A30"/>
    <w:rsid w:val="00637DC7"/>
    <w:rsid w:val="0064023D"/>
    <w:rsid w:val="0064048A"/>
    <w:rsid w:val="00640A48"/>
    <w:rsid w:val="00640C63"/>
    <w:rsid w:val="00640D92"/>
    <w:rsid w:val="00640EF7"/>
    <w:rsid w:val="006412B0"/>
    <w:rsid w:val="006412D6"/>
    <w:rsid w:val="00641385"/>
    <w:rsid w:val="00641722"/>
    <w:rsid w:val="00641873"/>
    <w:rsid w:val="006419AE"/>
    <w:rsid w:val="00641B00"/>
    <w:rsid w:val="00641C21"/>
    <w:rsid w:val="00641C30"/>
    <w:rsid w:val="00641D5A"/>
    <w:rsid w:val="00641D8D"/>
    <w:rsid w:val="0064204C"/>
    <w:rsid w:val="006420B3"/>
    <w:rsid w:val="006420EC"/>
    <w:rsid w:val="00642171"/>
    <w:rsid w:val="006422F7"/>
    <w:rsid w:val="0064244E"/>
    <w:rsid w:val="006424AD"/>
    <w:rsid w:val="0064266A"/>
    <w:rsid w:val="0064267C"/>
    <w:rsid w:val="00642777"/>
    <w:rsid w:val="00642801"/>
    <w:rsid w:val="0064281D"/>
    <w:rsid w:val="00642859"/>
    <w:rsid w:val="00642880"/>
    <w:rsid w:val="006428EC"/>
    <w:rsid w:val="00642983"/>
    <w:rsid w:val="00642A2C"/>
    <w:rsid w:val="00642D6D"/>
    <w:rsid w:val="00642F2C"/>
    <w:rsid w:val="00642F91"/>
    <w:rsid w:val="006433BD"/>
    <w:rsid w:val="006434B5"/>
    <w:rsid w:val="006435BF"/>
    <w:rsid w:val="006436C4"/>
    <w:rsid w:val="00643771"/>
    <w:rsid w:val="0064380D"/>
    <w:rsid w:val="00643A38"/>
    <w:rsid w:val="00643A85"/>
    <w:rsid w:val="00643B89"/>
    <w:rsid w:val="00643D06"/>
    <w:rsid w:val="00643E00"/>
    <w:rsid w:val="00644063"/>
    <w:rsid w:val="00644085"/>
    <w:rsid w:val="006441C7"/>
    <w:rsid w:val="0064422E"/>
    <w:rsid w:val="00644250"/>
    <w:rsid w:val="00644309"/>
    <w:rsid w:val="00644710"/>
    <w:rsid w:val="00644769"/>
    <w:rsid w:val="0064477F"/>
    <w:rsid w:val="006448AF"/>
    <w:rsid w:val="006448E5"/>
    <w:rsid w:val="00644AC3"/>
    <w:rsid w:val="00644ADA"/>
    <w:rsid w:val="00644C9A"/>
    <w:rsid w:val="00644E26"/>
    <w:rsid w:val="00644E6A"/>
    <w:rsid w:val="00644F37"/>
    <w:rsid w:val="00644F39"/>
    <w:rsid w:val="00644F9B"/>
    <w:rsid w:val="0064501D"/>
    <w:rsid w:val="00645051"/>
    <w:rsid w:val="006452DB"/>
    <w:rsid w:val="00645612"/>
    <w:rsid w:val="00645794"/>
    <w:rsid w:val="006457FA"/>
    <w:rsid w:val="00645936"/>
    <w:rsid w:val="0064598E"/>
    <w:rsid w:val="00645A4A"/>
    <w:rsid w:val="00645CCA"/>
    <w:rsid w:val="00645DF2"/>
    <w:rsid w:val="00645E3C"/>
    <w:rsid w:val="00645FF6"/>
    <w:rsid w:val="0064606F"/>
    <w:rsid w:val="0064607E"/>
    <w:rsid w:val="006460C8"/>
    <w:rsid w:val="0064612F"/>
    <w:rsid w:val="0064632C"/>
    <w:rsid w:val="006463E3"/>
    <w:rsid w:val="00646433"/>
    <w:rsid w:val="006465D2"/>
    <w:rsid w:val="00646658"/>
    <w:rsid w:val="00646911"/>
    <w:rsid w:val="00646978"/>
    <w:rsid w:val="00646A01"/>
    <w:rsid w:val="00646A0B"/>
    <w:rsid w:val="00646B92"/>
    <w:rsid w:val="00646DFC"/>
    <w:rsid w:val="00646EEA"/>
    <w:rsid w:val="00647175"/>
    <w:rsid w:val="006471B1"/>
    <w:rsid w:val="0064721F"/>
    <w:rsid w:val="00647402"/>
    <w:rsid w:val="006474A1"/>
    <w:rsid w:val="006474BE"/>
    <w:rsid w:val="00647504"/>
    <w:rsid w:val="00647519"/>
    <w:rsid w:val="006475D6"/>
    <w:rsid w:val="00647605"/>
    <w:rsid w:val="0064760B"/>
    <w:rsid w:val="006476E7"/>
    <w:rsid w:val="0064787F"/>
    <w:rsid w:val="00647944"/>
    <w:rsid w:val="00647A48"/>
    <w:rsid w:val="00647B10"/>
    <w:rsid w:val="00647C4B"/>
    <w:rsid w:val="00647C5C"/>
    <w:rsid w:val="00647E7E"/>
    <w:rsid w:val="006500E7"/>
    <w:rsid w:val="00650282"/>
    <w:rsid w:val="00650459"/>
    <w:rsid w:val="00650524"/>
    <w:rsid w:val="00650571"/>
    <w:rsid w:val="006508D1"/>
    <w:rsid w:val="00650997"/>
    <w:rsid w:val="00650A11"/>
    <w:rsid w:val="00650A1C"/>
    <w:rsid w:val="00650A24"/>
    <w:rsid w:val="00650AB4"/>
    <w:rsid w:val="00650CDA"/>
    <w:rsid w:val="00650F74"/>
    <w:rsid w:val="0065100D"/>
    <w:rsid w:val="0065105B"/>
    <w:rsid w:val="006511BB"/>
    <w:rsid w:val="006512CC"/>
    <w:rsid w:val="006513BB"/>
    <w:rsid w:val="00651465"/>
    <w:rsid w:val="006514F9"/>
    <w:rsid w:val="0065151F"/>
    <w:rsid w:val="006515ED"/>
    <w:rsid w:val="00651745"/>
    <w:rsid w:val="00651873"/>
    <w:rsid w:val="006518A9"/>
    <w:rsid w:val="006519C2"/>
    <w:rsid w:val="006519F2"/>
    <w:rsid w:val="00651AF6"/>
    <w:rsid w:val="00651C93"/>
    <w:rsid w:val="00651CD0"/>
    <w:rsid w:val="00651FF7"/>
    <w:rsid w:val="006520B4"/>
    <w:rsid w:val="00652279"/>
    <w:rsid w:val="006524D8"/>
    <w:rsid w:val="0065285E"/>
    <w:rsid w:val="006528DD"/>
    <w:rsid w:val="00652A59"/>
    <w:rsid w:val="00652C97"/>
    <w:rsid w:val="00652DCC"/>
    <w:rsid w:val="00652E4A"/>
    <w:rsid w:val="00652EE8"/>
    <w:rsid w:val="0065300A"/>
    <w:rsid w:val="0065303C"/>
    <w:rsid w:val="0065308F"/>
    <w:rsid w:val="00653143"/>
    <w:rsid w:val="0065314C"/>
    <w:rsid w:val="006531EF"/>
    <w:rsid w:val="0065335A"/>
    <w:rsid w:val="006533A5"/>
    <w:rsid w:val="0065345B"/>
    <w:rsid w:val="006534CE"/>
    <w:rsid w:val="0065354B"/>
    <w:rsid w:val="0065372E"/>
    <w:rsid w:val="006538C4"/>
    <w:rsid w:val="0065400F"/>
    <w:rsid w:val="006540C1"/>
    <w:rsid w:val="00654133"/>
    <w:rsid w:val="006544DB"/>
    <w:rsid w:val="006545E4"/>
    <w:rsid w:val="0065463A"/>
    <w:rsid w:val="0065463C"/>
    <w:rsid w:val="00654803"/>
    <w:rsid w:val="00654887"/>
    <w:rsid w:val="00654899"/>
    <w:rsid w:val="00654A19"/>
    <w:rsid w:val="00654D49"/>
    <w:rsid w:val="006550F8"/>
    <w:rsid w:val="00655410"/>
    <w:rsid w:val="0065563B"/>
    <w:rsid w:val="0065570D"/>
    <w:rsid w:val="00655996"/>
    <w:rsid w:val="00655A5A"/>
    <w:rsid w:val="00655BF3"/>
    <w:rsid w:val="00655C47"/>
    <w:rsid w:val="00655D05"/>
    <w:rsid w:val="00655DA0"/>
    <w:rsid w:val="00655DA6"/>
    <w:rsid w:val="00655DD8"/>
    <w:rsid w:val="00655DDC"/>
    <w:rsid w:val="0065605C"/>
    <w:rsid w:val="006562C5"/>
    <w:rsid w:val="00656305"/>
    <w:rsid w:val="006564BE"/>
    <w:rsid w:val="00656603"/>
    <w:rsid w:val="006566B1"/>
    <w:rsid w:val="0065678C"/>
    <w:rsid w:val="006567E2"/>
    <w:rsid w:val="006568CD"/>
    <w:rsid w:val="00656AA2"/>
    <w:rsid w:val="006571C7"/>
    <w:rsid w:val="00657806"/>
    <w:rsid w:val="00657A84"/>
    <w:rsid w:val="00657BDF"/>
    <w:rsid w:val="00657CB8"/>
    <w:rsid w:val="00657CCC"/>
    <w:rsid w:val="00657D48"/>
    <w:rsid w:val="00657EB8"/>
    <w:rsid w:val="00657EBB"/>
    <w:rsid w:val="00657F77"/>
    <w:rsid w:val="0065E94D"/>
    <w:rsid w:val="0066001F"/>
    <w:rsid w:val="0066034A"/>
    <w:rsid w:val="00660445"/>
    <w:rsid w:val="0066046F"/>
    <w:rsid w:val="00660792"/>
    <w:rsid w:val="00660881"/>
    <w:rsid w:val="006608D8"/>
    <w:rsid w:val="00660A3B"/>
    <w:rsid w:val="00660B41"/>
    <w:rsid w:val="00660C2C"/>
    <w:rsid w:val="00660C76"/>
    <w:rsid w:val="00660CC8"/>
    <w:rsid w:val="00660FED"/>
    <w:rsid w:val="0066105F"/>
    <w:rsid w:val="0066116D"/>
    <w:rsid w:val="006614AA"/>
    <w:rsid w:val="006614B9"/>
    <w:rsid w:val="00661511"/>
    <w:rsid w:val="006618FA"/>
    <w:rsid w:val="00661A80"/>
    <w:rsid w:val="00661AE7"/>
    <w:rsid w:val="00661E03"/>
    <w:rsid w:val="00661F8E"/>
    <w:rsid w:val="00661FBF"/>
    <w:rsid w:val="006621AB"/>
    <w:rsid w:val="006625C3"/>
    <w:rsid w:val="00662823"/>
    <w:rsid w:val="00662CA3"/>
    <w:rsid w:val="006631B8"/>
    <w:rsid w:val="00663D95"/>
    <w:rsid w:val="00663DC8"/>
    <w:rsid w:val="00663E30"/>
    <w:rsid w:val="00663E91"/>
    <w:rsid w:val="00663F88"/>
    <w:rsid w:val="006641A9"/>
    <w:rsid w:val="00664238"/>
    <w:rsid w:val="006643CB"/>
    <w:rsid w:val="006643FB"/>
    <w:rsid w:val="006644E8"/>
    <w:rsid w:val="00664619"/>
    <w:rsid w:val="00664631"/>
    <w:rsid w:val="006646AB"/>
    <w:rsid w:val="00664801"/>
    <w:rsid w:val="00664AFC"/>
    <w:rsid w:val="00664CED"/>
    <w:rsid w:val="00664D29"/>
    <w:rsid w:val="00664DDB"/>
    <w:rsid w:val="00664EF0"/>
    <w:rsid w:val="00664F41"/>
    <w:rsid w:val="00664FDE"/>
    <w:rsid w:val="006651FE"/>
    <w:rsid w:val="006656EC"/>
    <w:rsid w:val="006657F8"/>
    <w:rsid w:val="0066582E"/>
    <w:rsid w:val="00665859"/>
    <w:rsid w:val="006658D3"/>
    <w:rsid w:val="0066596B"/>
    <w:rsid w:val="00665A37"/>
    <w:rsid w:val="00665AA9"/>
    <w:rsid w:val="00665C1F"/>
    <w:rsid w:val="00665C78"/>
    <w:rsid w:val="00665CE8"/>
    <w:rsid w:val="00665E21"/>
    <w:rsid w:val="00665E94"/>
    <w:rsid w:val="00665ED5"/>
    <w:rsid w:val="00665F29"/>
    <w:rsid w:val="006661C1"/>
    <w:rsid w:val="006662EE"/>
    <w:rsid w:val="00666337"/>
    <w:rsid w:val="00666560"/>
    <w:rsid w:val="006665A3"/>
    <w:rsid w:val="00666654"/>
    <w:rsid w:val="0066668B"/>
    <w:rsid w:val="006666C5"/>
    <w:rsid w:val="00666ADB"/>
    <w:rsid w:val="00666B34"/>
    <w:rsid w:val="00666BAC"/>
    <w:rsid w:val="00666DB1"/>
    <w:rsid w:val="00666EFA"/>
    <w:rsid w:val="0066702C"/>
    <w:rsid w:val="006670C3"/>
    <w:rsid w:val="006671EF"/>
    <w:rsid w:val="00667270"/>
    <w:rsid w:val="006672FE"/>
    <w:rsid w:val="0066759E"/>
    <w:rsid w:val="006675F4"/>
    <w:rsid w:val="006675F7"/>
    <w:rsid w:val="0066766F"/>
    <w:rsid w:val="006676A9"/>
    <w:rsid w:val="0066771A"/>
    <w:rsid w:val="006677F6"/>
    <w:rsid w:val="00667977"/>
    <w:rsid w:val="00667C28"/>
    <w:rsid w:val="00667C8A"/>
    <w:rsid w:val="00667D27"/>
    <w:rsid w:val="00667D79"/>
    <w:rsid w:val="00667E29"/>
    <w:rsid w:val="00667E94"/>
    <w:rsid w:val="00667EB0"/>
    <w:rsid w:val="00670104"/>
    <w:rsid w:val="006701AF"/>
    <w:rsid w:val="006701B8"/>
    <w:rsid w:val="0067031D"/>
    <w:rsid w:val="00670380"/>
    <w:rsid w:val="006703A0"/>
    <w:rsid w:val="006706EF"/>
    <w:rsid w:val="0067075A"/>
    <w:rsid w:val="00670784"/>
    <w:rsid w:val="006709B8"/>
    <w:rsid w:val="00670BD8"/>
    <w:rsid w:val="00670D24"/>
    <w:rsid w:val="00670E37"/>
    <w:rsid w:val="00670E3A"/>
    <w:rsid w:val="00670FEA"/>
    <w:rsid w:val="006712A3"/>
    <w:rsid w:val="006712BA"/>
    <w:rsid w:val="0067156F"/>
    <w:rsid w:val="0067170D"/>
    <w:rsid w:val="0067174A"/>
    <w:rsid w:val="006718FB"/>
    <w:rsid w:val="00671D15"/>
    <w:rsid w:val="00671F09"/>
    <w:rsid w:val="00671F1F"/>
    <w:rsid w:val="00671FAE"/>
    <w:rsid w:val="00672010"/>
    <w:rsid w:val="006725A4"/>
    <w:rsid w:val="00672732"/>
    <w:rsid w:val="0067289E"/>
    <w:rsid w:val="0067298F"/>
    <w:rsid w:val="00672BA7"/>
    <w:rsid w:val="00672BD5"/>
    <w:rsid w:val="00672EA2"/>
    <w:rsid w:val="00672EFE"/>
    <w:rsid w:val="00672F08"/>
    <w:rsid w:val="00672FF4"/>
    <w:rsid w:val="006731F1"/>
    <w:rsid w:val="0067339C"/>
    <w:rsid w:val="006733E6"/>
    <w:rsid w:val="00673612"/>
    <w:rsid w:val="0067361E"/>
    <w:rsid w:val="0067376E"/>
    <w:rsid w:val="00673787"/>
    <w:rsid w:val="00673788"/>
    <w:rsid w:val="006738BA"/>
    <w:rsid w:val="00673911"/>
    <w:rsid w:val="00673BA9"/>
    <w:rsid w:val="00673DBA"/>
    <w:rsid w:val="00674043"/>
    <w:rsid w:val="00674252"/>
    <w:rsid w:val="006742FA"/>
    <w:rsid w:val="0067445F"/>
    <w:rsid w:val="006747B0"/>
    <w:rsid w:val="006748B7"/>
    <w:rsid w:val="00674AE0"/>
    <w:rsid w:val="00674EFC"/>
    <w:rsid w:val="00674F6A"/>
    <w:rsid w:val="00675238"/>
    <w:rsid w:val="0067524B"/>
    <w:rsid w:val="0067528B"/>
    <w:rsid w:val="006752D2"/>
    <w:rsid w:val="006753AD"/>
    <w:rsid w:val="00675427"/>
    <w:rsid w:val="006759A0"/>
    <w:rsid w:val="00675B2A"/>
    <w:rsid w:val="00675B45"/>
    <w:rsid w:val="00675B59"/>
    <w:rsid w:val="00675D17"/>
    <w:rsid w:val="00675D38"/>
    <w:rsid w:val="00675DCA"/>
    <w:rsid w:val="00675DFC"/>
    <w:rsid w:val="006760A6"/>
    <w:rsid w:val="006760E9"/>
    <w:rsid w:val="006764C3"/>
    <w:rsid w:val="0067650E"/>
    <w:rsid w:val="006766C9"/>
    <w:rsid w:val="00676813"/>
    <w:rsid w:val="00676AE8"/>
    <w:rsid w:val="00676BFD"/>
    <w:rsid w:val="00676CCB"/>
    <w:rsid w:val="00676E3B"/>
    <w:rsid w:val="00676E58"/>
    <w:rsid w:val="0067720E"/>
    <w:rsid w:val="00677335"/>
    <w:rsid w:val="00677703"/>
    <w:rsid w:val="0067770B"/>
    <w:rsid w:val="00677724"/>
    <w:rsid w:val="0067784F"/>
    <w:rsid w:val="00677874"/>
    <w:rsid w:val="00677A14"/>
    <w:rsid w:val="00677B53"/>
    <w:rsid w:val="00677C65"/>
    <w:rsid w:val="006800CB"/>
    <w:rsid w:val="006803AC"/>
    <w:rsid w:val="0068044D"/>
    <w:rsid w:val="0068051F"/>
    <w:rsid w:val="0068054D"/>
    <w:rsid w:val="00680837"/>
    <w:rsid w:val="006808F9"/>
    <w:rsid w:val="00680931"/>
    <w:rsid w:val="00680954"/>
    <w:rsid w:val="00680998"/>
    <w:rsid w:val="00680BBF"/>
    <w:rsid w:val="00680E2C"/>
    <w:rsid w:val="00680E46"/>
    <w:rsid w:val="00680E55"/>
    <w:rsid w:val="00681173"/>
    <w:rsid w:val="006812CF"/>
    <w:rsid w:val="00681348"/>
    <w:rsid w:val="00681599"/>
    <w:rsid w:val="0068163E"/>
    <w:rsid w:val="006816EE"/>
    <w:rsid w:val="00681761"/>
    <w:rsid w:val="00681986"/>
    <w:rsid w:val="00681A05"/>
    <w:rsid w:val="00681BE0"/>
    <w:rsid w:val="006820E6"/>
    <w:rsid w:val="0068224E"/>
    <w:rsid w:val="00682388"/>
    <w:rsid w:val="00682398"/>
    <w:rsid w:val="006824CC"/>
    <w:rsid w:val="006824EE"/>
    <w:rsid w:val="006825F7"/>
    <w:rsid w:val="006825FF"/>
    <w:rsid w:val="006826C9"/>
    <w:rsid w:val="006826E7"/>
    <w:rsid w:val="006827BD"/>
    <w:rsid w:val="00682802"/>
    <w:rsid w:val="00682985"/>
    <w:rsid w:val="00682A0D"/>
    <w:rsid w:val="00682A20"/>
    <w:rsid w:val="00682A4F"/>
    <w:rsid w:val="00682A69"/>
    <w:rsid w:val="00682B7F"/>
    <w:rsid w:val="00682BBC"/>
    <w:rsid w:val="00682CF4"/>
    <w:rsid w:val="00682FFE"/>
    <w:rsid w:val="006833AF"/>
    <w:rsid w:val="00683532"/>
    <w:rsid w:val="0068372E"/>
    <w:rsid w:val="006837C1"/>
    <w:rsid w:val="0068383A"/>
    <w:rsid w:val="00683A19"/>
    <w:rsid w:val="00683AEC"/>
    <w:rsid w:val="00683B4E"/>
    <w:rsid w:val="00683D97"/>
    <w:rsid w:val="00683DF7"/>
    <w:rsid w:val="006840D7"/>
    <w:rsid w:val="00684143"/>
    <w:rsid w:val="0068424E"/>
    <w:rsid w:val="006842BB"/>
    <w:rsid w:val="006842C6"/>
    <w:rsid w:val="006843F9"/>
    <w:rsid w:val="00684490"/>
    <w:rsid w:val="006844B2"/>
    <w:rsid w:val="00684609"/>
    <w:rsid w:val="00684E89"/>
    <w:rsid w:val="00684EF7"/>
    <w:rsid w:val="00684FBC"/>
    <w:rsid w:val="006850AF"/>
    <w:rsid w:val="0068559C"/>
    <w:rsid w:val="00685870"/>
    <w:rsid w:val="0068589D"/>
    <w:rsid w:val="00685BCD"/>
    <w:rsid w:val="00685BF0"/>
    <w:rsid w:val="00685CB3"/>
    <w:rsid w:val="00685D04"/>
    <w:rsid w:val="00685FA3"/>
    <w:rsid w:val="006861CA"/>
    <w:rsid w:val="006863C8"/>
    <w:rsid w:val="00686749"/>
    <w:rsid w:val="00686768"/>
    <w:rsid w:val="006867B7"/>
    <w:rsid w:val="0068680D"/>
    <w:rsid w:val="00686A51"/>
    <w:rsid w:val="00686F5E"/>
    <w:rsid w:val="0068701A"/>
    <w:rsid w:val="00687302"/>
    <w:rsid w:val="00687324"/>
    <w:rsid w:val="00687522"/>
    <w:rsid w:val="00687660"/>
    <w:rsid w:val="006876BD"/>
    <w:rsid w:val="0068783D"/>
    <w:rsid w:val="00687864"/>
    <w:rsid w:val="00687A83"/>
    <w:rsid w:val="0069027A"/>
    <w:rsid w:val="0069029E"/>
    <w:rsid w:val="0069053E"/>
    <w:rsid w:val="0069067D"/>
    <w:rsid w:val="0069080A"/>
    <w:rsid w:val="0069084F"/>
    <w:rsid w:val="00690B22"/>
    <w:rsid w:val="00690B71"/>
    <w:rsid w:val="00690D30"/>
    <w:rsid w:val="00690E29"/>
    <w:rsid w:val="006913D1"/>
    <w:rsid w:val="0069141C"/>
    <w:rsid w:val="006914EF"/>
    <w:rsid w:val="006915FC"/>
    <w:rsid w:val="0069171E"/>
    <w:rsid w:val="00691733"/>
    <w:rsid w:val="006919A8"/>
    <w:rsid w:val="0069210C"/>
    <w:rsid w:val="006921A6"/>
    <w:rsid w:val="00692294"/>
    <w:rsid w:val="006922FA"/>
    <w:rsid w:val="00692387"/>
    <w:rsid w:val="006923E0"/>
    <w:rsid w:val="0069249D"/>
    <w:rsid w:val="006928A9"/>
    <w:rsid w:val="00692A60"/>
    <w:rsid w:val="00692B6C"/>
    <w:rsid w:val="00692DE8"/>
    <w:rsid w:val="00692DEF"/>
    <w:rsid w:val="00692FB3"/>
    <w:rsid w:val="00692FCB"/>
    <w:rsid w:val="0069300A"/>
    <w:rsid w:val="00693058"/>
    <w:rsid w:val="00693295"/>
    <w:rsid w:val="006933DD"/>
    <w:rsid w:val="00693869"/>
    <w:rsid w:val="006939F2"/>
    <w:rsid w:val="00693B9C"/>
    <w:rsid w:val="00693BC8"/>
    <w:rsid w:val="00693D01"/>
    <w:rsid w:val="00694032"/>
    <w:rsid w:val="0069403E"/>
    <w:rsid w:val="00694093"/>
    <w:rsid w:val="0069411D"/>
    <w:rsid w:val="0069432F"/>
    <w:rsid w:val="006945C8"/>
    <w:rsid w:val="0069464E"/>
    <w:rsid w:val="00694713"/>
    <w:rsid w:val="006949B8"/>
    <w:rsid w:val="006949E2"/>
    <w:rsid w:val="00694A7F"/>
    <w:rsid w:val="00694CFF"/>
    <w:rsid w:val="00694E40"/>
    <w:rsid w:val="00694E6C"/>
    <w:rsid w:val="00694FAA"/>
    <w:rsid w:val="0069506B"/>
    <w:rsid w:val="006950EA"/>
    <w:rsid w:val="006950F3"/>
    <w:rsid w:val="00695444"/>
    <w:rsid w:val="0069556E"/>
    <w:rsid w:val="0069559A"/>
    <w:rsid w:val="006955C9"/>
    <w:rsid w:val="00695795"/>
    <w:rsid w:val="006958C8"/>
    <w:rsid w:val="00695924"/>
    <w:rsid w:val="00695AE8"/>
    <w:rsid w:val="00695D83"/>
    <w:rsid w:val="00695E94"/>
    <w:rsid w:val="00695FF0"/>
    <w:rsid w:val="00696137"/>
    <w:rsid w:val="00696198"/>
    <w:rsid w:val="006961CD"/>
    <w:rsid w:val="00696299"/>
    <w:rsid w:val="006963CC"/>
    <w:rsid w:val="006965F6"/>
    <w:rsid w:val="006967A9"/>
    <w:rsid w:val="0069687D"/>
    <w:rsid w:val="00696A58"/>
    <w:rsid w:val="00696B59"/>
    <w:rsid w:val="00696E5C"/>
    <w:rsid w:val="006971B8"/>
    <w:rsid w:val="0069749B"/>
    <w:rsid w:val="006976DC"/>
    <w:rsid w:val="00697736"/>
    <w:rsid w:val="00697ACA"/>
    <w:rsid w:val="00697B15"/>
    <w:rsid w:val="00697C60"/>
    <w:rsid w:val="00697DEE"/>
    <w:rsid w:val="00697DFC"/>
    <w:rsid w:val="00697EFE"/>
    <w:rsid w:val="006A00AD"/>
    <w:rsid w:val="006A00E1"/>
    <w:rsid w:val="006A00E3"/>
    <w:rsid w:val="006A0155"/>
    <w:rsid w:val="006A0211"/>
    <w:rsid w:val="006A02CA"/>
    <w:rsid w:val="006A0557"/>
    <w:rsid w:val="006A073D"/>
    <w:rsid w:val="006A076C"/>
    <w:rsid w:val="006A0782"/>
    <w:rsid w:val="006A08C5"/>
    <w:rsid w:val="006A0C4B"/>
    <w:rsid w:val="006A0D47"/>
    <w:rsid w:val="006A10C2"/>
    <w:rsid w:val="006A12FA"/>
    <w:rsid w:val="006A1476"/>
    <w:rsid w:val="006A1482"/>
    <w:rsid w:val="006A1565"/>
    <w:rsid w:val="006A18AD"/>
    <w:rsid w:val="006A1964"/>
    <w:rsid w:val="006A1A15"/>
    <w:rsid w:val="006A1B09"/>
    <w:rsid w:val="006A1E6C"/>
    <w:rsid w:val="006A20F9"/>
    <w:rsid w:val="006A250C"/>
    <w:rsid w:val="006A2613"/>
    <w:rsid w:val="006A26F3"/>
    <w:rsid w:val="006A2715"/>
    <w:rsid w:val="006A2A2C"/>
    <w:rsid w:val="006A2A68"/>
    <w:rsid w:val="006A2D12"/>
    <w:rsid w:val="006A2D92"/>
    <w:rsid w:val="006A310E"/>
    <w:rsid w:val="006A3227"/>
    <w:rsid w:val="006A33F1"/>
    <w:rsid w:val="006A34B0"/>
    <w:rsid w:val="006A36B3"/>
    <w:rsid w:val="006A3960"/>
    <w:rsid w:val="006A3A85"/>
    <w:rsid w:val="006A3B5D"/>
    <w:rsid w:val="006A3D2F"/>
    <w:rsid w:val="006A3D65"/>
    <w:rsid w:val="006A3EFE"/>
    <w:rsid w:val="006A4006"/>
    <w:rsid w:val="006A4156"/>
    <w:rsid w:val="006A41C7"/>
    <w:rsid w:val="006A430B"/>
    <w:rsid w:val="006A43AF"/>
    <w:rsid w:val="006A49CE"/>
    <w:rsid w:val="006A4F4F"/>
    <w:rsid w:val="006A50A8"/>
    <w:rsid w:val="006A5134"/>
    <w:rsid w:val="006A5238"/>
    <w:rsid w:val="006A5309"/>
    <w:rsid w:val="006A540D"/>
    <w:rsid w:val="006A544D"/>
    <w:rsid w:val="006A54E5"/>
    <w:rsid w:val="006A558C"/>
    <w:rsid w:val="006A5607"/>
    <w:rsid w:val="006A56C1"/>
    <w:rsid w:val="006A57ED"/>
    <w:rsid w:val="006A58A7"/>
    <w:rsid w:val="006A5A2E"/>
    <w:rsid w:val="006A5B86"/>
    <w:rsid w:val="006A5BB8"/>
    <w:rsid w:val="006A5C60"/>
    <w:rsid w:val="006A5E21"/>
    <w:rsid w:val="006A5FDC"/>
    <w:rsid w:val="006A64CC"/>
    <w:rsid w:val="006A64ED"/>
    <w:rsid w:val="006A65D0"/>
    <w:rsid w:val="006A679D"/>
    <w:rsid w:val="006A6922"/>
    <w:rsid w:val="006A6AB3"/>
    <w:rsid w:val="006A6D21"/>
    <w:rsid w:val="006A6D51"/>
    <w:rsid w:val="006A6D97"/>
    <w:rsid w:val="006A6F83"/>
    <w:rsid w:val="006A6FFD"/>
    <w:rsid w:val="006A70A7"/>
    <w:rsid w:val="006A732C"/>
    <w:rsid w:val="006A7476"/>
    <w:rsid w:val="006A79C9"/>
    <w:rsid w:val="006A7A8A"/>
    <w:rsid w:val="006A7D29"/>
    <w:rsid w:val="006A7DEE"/>
    <w:rsid w:val="006A7F47"/>
    <w:rsid w:val="006B0105"/>
    <w:rsid w:val="006B0138"/>
    <w:rsid w:val="006B04D1"/>
    <w:rsid w:val="006B06A2"/>
    <w:rsid w:val="006B07B4"/>
    <w:rsid w:val="006B08A6"/>
    <w:rsid w:val="006B09A9"/>
    <w:rsid w:val="006B0C1C"/>
    <w:rsid w:val="006B0C74"/>
    <w:rsid w:val="006B0EA1"/>
    <w:rsid w:val="006B0F78"/>
    <w:rsid w:val="006B0FB6"/>
    <w:rsid w:val="006B0FCA"/>
    <w:rsid w:val="006B1106"/>
    <w:rsid w:val="006B1189"/>
    <w:rsid w:val="006B1572"/>
    <w:rsid w:val="006B15CD"/>
    <w:rsid w:val="006B1668"/>
    <w:rsid w:val="006B16C8"/>
    <w:rsid w:val="006B16E3"/>
    <w:rsid w:val="006B17A3"/>
    <w:rsid w:val="006B1988"/>
    <w:rsid w:val="006B1D4A"/>
    <w:rsid w:val="006B1F12"/>
    <w:rsid w:val="006B1FB7"/>
    <w:rsid w:val="006B264A"/>
    <w:rsid w:val="006B28F9"/>
    <w:rsid w:val="006B2AE8"/>
    <w:rsid w:val="006B30CA"/>
    <w:rsid w:val="006B3189"/>
    <w:rsid w:val="006B31FB"/>
    <w:rsid w:val="006B32EA"/>
    <w:rsid w:val="006B3330"/>
    <w:rsid w:val="006B345A"/>
    <w:rsid w:val="006B35B6"/>
    <w:rsid w:val="006B35BF"/>
    <w:rsid w:val="006B372D"/>
    <w:rsid w:val="006B3811"/>
    <w:rsid w:val="006B392F"/>
    <w:rsid w:val="006B3AD9"/>
    <w:rsid w:val="006B3C41"/>
    <w:rsid w:val="006B3D8F"/>
    <w:rsid w:val="006B3E66"/>
    <w:rsid w:val="006B401B"/>
    <w:rsid w:val="006B419B"/>
    <w:rsid w:val="006B4257"/>
    <w:rsid w:val="006B42BA"/>
    <w:rsid w:val="006B453B"/>
    <w:rsid w:val="006B4559"/>
    <w:rsid w:val="006B48B7"/>
    <w:rsid w:val="006B4B5B"/>
    <w:rsid w:val="006B4CFA"/>
    <w:rsid w:val="006B4DA0"/>
    <w:rsid w:val="006B4E05"/>
    <w:rsid w:val="006B4FCC"/>
    <w:rsid w:val="006B51E0"/>
    <w:rsid w:val="006B52FC"/>
    <w:rsid w:val="006B536C"/>
    <w:rsid w:val="006B544B"/>
    <w:rsid w:val="006B54AB"/>
    <w:rsid w:val="006B5725"/>
    <w:rsid w:val="006B589D"/>
    <w:rsid w:val="006B596D"/>
    <w:rsid w:val="006B597E"/>
    <w:rsid w:val="006B59CA"/>
    <w:rsid w:val="006B59F2"/>
    <w:rsid w:val="006B5A44"/>
    <w:rsid w:val="006B5A74"/>
    <w:rsid w:val="006B5BF0"/>
    <w:rsid w:val="006B5C6A"/>
    <w:rsid w:val="006B5C8D"/>
    <w:rsid w:val="006B5CC4"/>
    <w:rsid w:val="006B5D23"/>
    <w:rsid w:val="006B5D30"/>
    <w:rsid w:val="006B5F08"/>
    <w:rsid w:val="006B5FC0"/>
    <w:rsid w:val="006B6030"/>
    <w:rsid w:val="006B63FF"/>
    <w:rsid w:val="006B64FD"/>
    <w:rsid w:val="006B68AD"/>
    <w:rsid w:val="006B68E0"/>
    <w:rsid w:val="006B6937"/>
    <w:rsid w:val="006B6980"/>
    <w:rsid w:val="006B6C8F"/>
    <w:rsid w:val="006B6DD5"/>
    <w:rsid w:val="006B6F40"/>
    <w:rsid w:val="006B70AF"/>
    <w:rsid w:val="006B74AD"/>
    <w:rsid w:val="006B752A"/>
    <w:rsid w:val="006B7836"/>
    <w:rsid w:val="006B786D"/>
    <w:rsid w:val="006B7AB9"/>
    <w:rsid w:val="006B7B8E"/>
    <w:rsid w:val="006B7E16"/>
    <w:rsid w:val="006B7F46"/>
    <w:rsid w:val="006C00E2"/>
    <w:rsid w:val="006C015D"/>
    <w:rsid w:val="006C0263"/>
    <w:rsid w:val="006C02C9"/>
    <w:rsid w:val="006C033F"/>
    <w:rsid w:val="006C0468"/>
    <w:rsid w:val="006C0521"/>
    <w:rsid w:val="006C06FC"/>
    <w:rsid w:val="006C093C"/>
    <w:rsid w:val="006C09CB"/>
    <w:rsid w:val="006C0A35"/>
    <w:rsid w:val="006C0A78"/>
    <w:rsid w:val="006C0C8E"/>
    <w:rsid w:val="006C0E08"/>
    <w:rsid w:val="006C1005"/>
    <w:rsid w:val="006C10F9"/>
    <w:rsid w:val="006C1132"/>
    <w:rsid w:val="006C1183"/>
    <w:rsid w:val="006C13D4"/>
    <w:rsid w:val="006C1480"/>
    <w:rsid w:val="006C14C9"/>
    <w:rsid w:val="006C1769"/>
    <w:rsid w:val="006C1774"/>
    <w:rsid w:val="006C17EA"/>
    <w:rsid w:val="006C19E4"/>
    <w:rsid w:val="006C1BE3"/>
    <w:rsid w:val="006C2666"/>
    <w:rsid w:val="006C28AE"/>
    <w:rsid w:val="006C299D"/>
    <w:rsid w:val="006C29CB"/>
    <w:rsid w:val="006C2AA1"/>
    <w:rsid w:val="006C2AE3"/>
    <w:rsid w:val="006C2CAF"/>
    <w:rsid w:val="006C2CC7"/>
    <w:rsid w:val="006C2F78"/>
    <w:rsid w:val="006C2FCA"/>
    <w:rsid w:val="006C317E"/>
    <w:rsid w:val="006C321A"/>
    <w:rsid w:val="006C3488"/>
    <w:rsid w:val="006C3568"/>
    <w:rsid w:val="006C3572"/>
    <w:rsid w:val="006C3751"/>
    <w:rsid w:val="006C37F8"/>
    <w:rsid w:val="006C382F"/>
    <w:rsid w:val="006C39D1"/>
    <w:rsid w:val="006C3A1F"/>
    <w:rsid w:val="006C3B70"/>
    <w:rsid w:val="006C3D61"/>
    <w:rsid w:val="006C3E62"/>
    <w:rsid w:val="006C3EC8"/>
    <w:rsid w:val="006C41AD"/>
    <w:rsid w:val="006C42E3"/>
    <w:rsid w:val="006C4551"/>
    <w:rsid w:val="006C4591"/>
    <w:rsid w:val="006C463A"/>
    <w:rsid w:val="006C46A6"/>
    <w:rsid w:val="006C475B"/>
    <w:rsid w:val="006C486C"/>
    <w:rsid w:val="006C48A6"/>
    <w:rsid w:val="006C4A17"/>
    <w:rsid w:val="006C4AED"/>
    <w:rsid w:val="006C4D75"/>
    <w:rsid w:val="006C4D85"/>
    <w:rsid w:val="006C4E10"/>
    <w:rsid w:val="006C4F8C"/>
    <w:rsid w:val="006C5001"/>
    <w:rsid w:val="006C5116"/>
    <w:rsid w:val="006C51C1"/>
    <w:rsid w:val="006C5261"/>
    <w:rsid w:val="006C5506"/>
    <w:rsid w:val="006C55EE"/>
    <w:rsid w:val="006C561F"/>
    <w:rsid w:val="006C5877"/>
    <w:rsid w:val="006C5A8F"/>
    <w:rsid w:val="006C5B0D"/>
    <w:rsid w:val="006C5B57"/>
    <w:rsid w:val="006C5BD5"/>
    <w:rsid w:val="006C5C34"/>
    <w:rsid w:val="006C5CE3"/>
    <w:rsid w:val="006C5DAB"/>
    <w:rsid w:val="006C5F9E"/>
    <w:rsid w:val="006C6483"/>
    <w:rsid w:val="006C662A"/>
    <w:rsid w:val="006C6684"/>
    <w:rsid w:val="006C6852"/>
    <w:rsid w:val="006C6E3C"/>
    <w:rsid w:val="006C6E51"/>
    <w:rsid w:val="006C6E8E"/>
    <w:rsid w:val="006C6FB9"/>
    <w:rsid w:val="006C7130"/>
    <w:rsid w:val="006C7323"/>
    <w:rsid w:val="006C7426"/>
    <w:rsid w:val="006C77A5"/>
    <w:rsid w:val="006C7A72"/>
    <w:rsid w:val="006C7B43"/>
    <w:rsid w:val="006C7E72"/>
    <w:rsid w:val="006C7F52"/>
    <w:rsid w:val="006D0407"/>
    <w:rsid w:val="006D040D"/>
    <w:rsid w:val="006D043E"/>
    <w:rsid w:val="006D05AA"/>
    <w:rsid w:val="006D05FD"/>
    <w:rsid w:val="006D0669"/>
    <w:rsid w:val="006D07C6"/>
    <w:rsid w:val="006D08DC"/>
    <w:rsid w:val="006D0916"/>
    <w:rsid w:val="006D09A3"/>
    <w:rsid w:val="006D0AE5"/>
    <w:rsid w:val="006D0B68"/>
    <w:rsid w:val="006D0C23"/>
    <w:rsid w:val="006D0D17"/>
    <w:rsid w:val="006D0ED1"/>
    <w:rsid w:val="006D0F55"/>
    <w:rsid w:val="006D1084"/>
    <w:rsid w:val="006D1117"/>
    <w:rsid w:val="006D11F7"/>
    <w:rsid w:val="006D13A3"/>
    <w:rsid w:val="006D1474"/>
    <w:rsid w:val="006D15C4"/>
    <w:rsid w:val="006D161E"/>
    <w:rsid w:val="006D17BC"/>
    <w:rsid w:val="006D17DE"/>
    <w:rsid w:val="006D17E2"/>
    <w:rsid w:val="006D1806"/>
    <w:rsid w:val="006D1810"/>
    <w:rsid w:val="006D1A2B"/>
    <w:rsid w:val="006D1A90"/>
    <w:rsid w:val="006D1B8B"/>
    <w:rsid w:val="006D1C25"/>
    <w:rsid w:val="006D1CE9"/>
    <w:rsid w:val="006D1F28"/>
    <w:rsid w:val="006D1F61"/>
    <w:rsid w:val="006D1F7D"/>
    <w:rsid w:val="006D207D"/>
    <w:rsid w:val="006D20C9"/>
    <w:rsid w:val="006D22F6"/>
    <w:rsid w:val="006D23B2"/>
    <w:rsid w:val="006D24B4"/>
    <w:rsid w:val="006D24BB"/>
    <w:rsid w:val="006D2636"/>
    <w:rsid w:val="006D288A"/>
    <w:rsid w:val="006D29CD"/>
    <w:rsid w:val="006D2A47"/>
    <w:rsid w:val="006D2BE3"/>
    <w:rsid w:val="006D2BEB"/>
    <w:rsid w:val="006D2BF3"/>
    <w:rsid w:val="006D2CAE"/>
    <w:rsid w:val="006D2D39"/>
    <w:rsid w:val="006D2E49"/>
    <w:rsid w:val="006D2F3E"/>
    <w:rsid w:val="006D303D"/>
    <w:rsid w:val="006D31E5"/>
    <w:rsid w:val="006D3387"/>
    <w:rsid w:val="006D33F6"/>
    <w:rsid w:val="006D37CF"/>
    <w:rsid w:val="006D382A"/>
    <w:rsid w:val="006D3999"/>
    <w:rsid w:val="006D3A32"/>
    <w:rsid w:val="006D3AC0"/>
    <w:rsid w:val="006D3D2B"/>
    <w:rsid w:val="006D3D7D"/>
    <w:rsid w:val="006D3D8B"/>
    <w:rsid w:val="006D3DB4"/>
    <w:rsid w:val="006D3DCE"/>
    <w:rsid w:val="006D3FBE"/>
    <w:rsid w:val="006D40FE"/>
    <w:rsid w:val="006D41A4"/>
    <w:rsid w:val="006D426E"/>
    <w:rsid w:val="006D4274"/>
    <w:rsid w:val="006D4441"/>
    <w:rsid w:val="006D46EE"/>
    <w:rsid w:val="006D471C"/>
    <w:rsid w:val="006D4876"/>
    <w:rsid w:val="006D4956"/>
    <w:rsid w:val="006D4962"/>
    <w:rsid w:val="006D49FB"/>
    <w:rsid w:val="006D4D3A"/>
    <w:rsid w:val="006D4FAA"/>
    <w:rsid w:val="006D50B9"/>
    <w:rsid w:val="006D5117"/>
    <w:rsid w:val="006D57F2"/>
    <w:rsid w:val="006D5A8F"/>
    <w:rsid w:val="006D5B14"/>
    <w:rsid w:val="006D5E75"/>
    <w:rsid w:val="006D5EE3"/>
    <w:rsid w:val="006D5F33"/>
    <w:rsid w:val="006D615A"/>
    <w:rsid w:val="006D6326"/>
    <w:rsid w:val="006D6371"/>
    <w:rsid w:val="006D640F"/>
    <w:rsid w:val="006D6497"/>
    <w:rsid w:val="006D662B"/>
    <w:rsid w:val="006D6868"/>
    <w:rsid w:val="006D6B14"/>
    <w:rsid w:val="006D6B6F"/>
    <w:rsid w:val="006D6C83"/>
    <w:rsid w:val="006D7061"/>
    <w:rsid w:val="006D70B0"/>
    <w:rsid w:val="006D7251"/>
    <w:rsid w:val="006D725C"/>
    <w:rsid w:val="006D74FD"/>
    <w:rsid w:val="006D75A9"/>
    <w:rsid w:val="006D78CD"/>
    <w:rsid w:val="006D7A2A"/>
    <w:rsid w:val="006D7B64"/>
    <w:rsid w:val="006D7FD7"/>
    <w:rsid w:val="006E0001"/>
    <w:rsid w:val="006E0173"/>
    <w:rsid w:val="006E018C"/>
    <w:rsid w:val="006E02FC"/>
    <w:rsid w:val="006E0301"/>
    <w:rsid w:val="006E03EC"/>
    <w:rsid w:val="006E045D"/>
    <w:rsid w:val="006E06DD"/>
    <w:rsid w:val="006E0847"/>
    <w:rsid w:val="006E0922"/>
    <w:rsid w:val="006E0962"/>
    <w:rsid w:val="006E09F8"/>
    <w:rsid w:val="006E0C5F"/>
    <w:rsid w:val="006E0CB2"/>
    <w:rsid w:val="006E0D44"/>
    <w:rsid w:val="006E0D8E"/>
    <w:rsid w:val="006E0DD5"/>
    <w:rsid w:val="006E0E4C"/>
    <w:rsid w:val="006E0F6C"/>
    <w:rsid w:val="006E10CF"/>
    <w:rsid w:val="006E1134"/>
    <w:rsid w:val="006E11EC"/>
    <w:rsid w:val="006E1275"/>
    <w:rsid w:val="006E127E"/>
    <w:rsid w:val="006E12AF"/>
    <w:rsid w:val="006E12B5"/>
    <w:rsid w:val="006E14D3"/>
    <w:rsid w:val="006E1528"/>
    <w:rsid w:val="006E167C"/>
    <w:rsid w:val="006E1784"/>
    <w:rsid w:val="006E17B6"/>
    <w:rsid w:val="006E196F"/>
    <w:rsid w:val="006E1AB1"/>
    <w:rsid w:val="006E1B3C"/>
    <w:rsid w:val="006E1DC5"/>
    <w:rsid w:val="006E20C2"/>
    <w:rsid w:val="006E2245"/>
    <w:rsid w:val="006E226D"/>
    <w:rsid w:val="006E25B4"/>
    <w:rsid w:val="006E26B5"/>
    <w:rsid w:val="006E2794"/>
    <w:rsid w:val="006E27C1"/>
    <w:rsid w:val="006E280D"/>
    <w:rsid w:val="006E29DC"/>
    <w:rsid w:val="006E2A41"/>
    <w:rsid w:val="006E2AE0"/>
    <w:rsid w:val="006E2CBD"/>
    <w:rsid w:val="006E2E46"/>
    <w:rsid w:val="006E2FF7"/>
    <w:rsid w:val="006E302C"/>
    <w:rsid w:val="006E321A"/>
    <w:rsid w:val="006E32CD"/>
    <w:rsid w:val="006E32E4"/>
    <w:rsid w:val="006E35A3"/>
    <w:rsid w:val="006E37BB"/>
    <w:rsid w:val="006E37FF"/>
    <w:rsid w:val="006E3B85"/>
    <w:rsid w:val="006E3B8D"/>
    <w:rsid w:val="006E3CD0"/>
    <w:rsid w:val="006E3DFA"/>
    <w:rsid w:val="006E3E3B"/>
    <w:rsid w:val="006E42AE"/>
    <w:rsid w:val="006E42C4"/>
    <w:rsid w:val="006E43A4"/>
    <w:rsid w:val="006E4404"/>
    <w:rsid w:val="006E459C"/>
    <w:rsid w:val="006E45C0"/>
    <w:rsid w:val="006E4629"/>
    <w:rsid w:val="006E46AA"/>
    <w:rsid w:val="006E495F"/>
    <w:rsid w:val="006E4BB4"/>
    <w:rsid w:val="006E4C14"/>
    <w:rsid w:val="006E4E0E"/>
    <w:rsid w:val="006E5010"/>
    <w:rsid w:val="006E51EC"/>
    <w:rsid w:val="006E51FF"/>
    <w:rsid w:val="006E5404"/>
    <w:rsid w:val="006E5481"/>
    <w:rsid w:val="006E5494"/>
    <w:rsid w:val="006E55E5"/>
    <w:rsid w:val="006E57AA"/>
    <w:rsid w:val="006E5B0D"/>
    <w:rsid w:val="006E5C98"/>
    <w:rsid w:val="006E5E4E"/>
    <w:rsid w:val="006E603D"/>
    <w:rsid w:val="006E60A5"/>
    <w:rsid w:val="006E60CD"/>
    <w:rsid w:val="006E6101"/>
    <w:rsid w:val="006E61DE"/>
    <w:rsid w:val="006E63F7"/>
    <w:rsid w:val="006E66DA"/>
    <w:rsid w:val="006E6757"/>
    <w:rsid w:val="006E68BF"/>
    <w:rsid w:val="006E69AE"/>
    <w:rsid w:val="006E6B28"/>
    <w:rsid w:val="006E6D11"/>
    <w:rsid w:val="006E6EDF"/>
    <w:rsid w:val="006E6F5F"/>
    <w:rsid w:val="006E7242"/>
    <w:rsid w:val="006E736D"/>
    <w:rsid w:val="006E73B7"/>
    <w:rsid w:val="006E7508"/>
    <w:rsid w:val="006E7728"/>
    <w:rsid w:val="006E7770"/>
    <w:rsid w:val="006E7908"/>
    <w:rsid w:val="006E7922"/>
    <w:rsid w:val="006E7B0D"/>
    <w:rsid w:val="006E7B1F"/>
    <w:rsid w:val="006E7CB7"/>
    <w:rsid w:val="006E7D4D"/>
    <w:rsid w:val="006E7E4E"/>
    <w:rsid w:val="006E7F20"/>
    <w:rsid w:val="006F006B"/>
    <w:rsid w:val="006F015A"/>
    <w:rsid w:val="006F0169"/>
    <w:rsid w:val="006F0279"/>
    <w:rsid w:val="006F0320"/>
    <w:rsid w:val="006F033D"/>
    <w:rsid w:val="006F0399"/>
    <w:rsid w:val="006F0683"/>
    <w:rsid w:val="006F0766"/>
    <w:rsid w:val="006F085E"/>
    <w:rsid w:val="006F08A7"/>
    <w:rsid w:val="006F0945"/>
    <w:rsid w:val="006F0C61"/>
    <w:rsid w:val="006F0ECE"/>
    <w:rsid w:val="006F0F50"/>
    <w:rsid w:val="006F1129"/>
    <w:rsid w:val="006F12D8"/>
    <w:rsid w:val="006F139A"/>
    <w:rsid w:val="006F14CF"/>
    <w:rsid w:val="006F1666"/>
    <w:rsid w:val="006F16A0"/>
    <w:rsid w:val="006F1A1D"/>
    <w:rsid w:val="006F1C55"/>
    <w:rsid w:val="006F1CBF"/>
    <w:rsid w:val="006F1CD0"/>
    <w:rsid w:val="006F1FC2"/>
    <w:rsid w:val="006F20BC"/>
    <w:rsid w:val="006F218E"/>
    <w:rsid w:val="006F22CC"/>
    <w:rsid w:val="006F22E7"/>
    <w:rsid w:val="006F22EC"/>
    <w:rsid w:val="006F23EE"/>
    <w:rsid w:val="006F2509"/>
    <w:rsid w:val="006F2719"/>
    <w:rsid w:val="006F2762"/>
    <w:rsid w:val="006F28B6"/>
    <w:rsid w:val="006F2947"/>
    <w:rsid w:val="006F2C0D"/>
    <w:rsid w:val="006F2E88"/>
    <w:rsid w:val="006F34BF"/>
    <w:rsid w:val="006F3667"/>
    <w:rsid w:val="006F367D"/>
    <w:rsid w:val="006F36A8"/>
    <w:rsid w:val="006F376B"/>
    <w:rsid w:val="006F3804"/>
    <w:rsid w:val="006F38C5"/>
    <w:rsid w:val="006F3BB8"/>
    <w:rsid w:val="006F3CD1"/>
    <w:rsid w:val="006F3D13"/>
    <w:rsid w:val="006F3D51"/>
    <w:rsid w:val="006F4063"/>
    <w:rsid w:val="006F44C3"/>
    <w:rsid w:val="006F45FF"/>
    <w:rsid w:val="006F4D1C"/>
    <w:rsid w:val="006F4E00"/>
    <w:rsid w:val="006F4F5A"/>
    <w:rsid w:val="006F4F5F"/>
    <w:rsid w:val="006F50BF"/>
    <w:rsid w:val="006F50F6"/>
    <w:rsid w:val="006F570F"/>
    <w:rsid w:val="006F58D1"/>
    <w:rsid w:val="006F58F3"/>
    <w:rsid w:val="006F5B43"/>
    <w:rsid w:val="006F5D26"/>
    <w:rsid w:val="006F5D67"/>
    <w:rsid w:val="006F5D91"/>
    <w:rsid w:val="006F5EE4"/>
    <w:rsid w:val="006F5F5E"/>
    <w:rsid w:val="006F640B"/>
    <w:rsid w:val="006F649F"/>
    <w:rsid w:val="006F6509"/>
    <w:rsid w:val="006F6510"/>
    <w:rsid w:val="006F654E"/>
    <w:rsid w:val="006F6647"/>
    <w:rsid w:val="006F67DF"/>
    <w:rsid w:val="006F69EA"/>
    <w:rsid w:val="006F6AA9"/>
    <w:rsid w:val="006F6AB4"/>
    <w:rsid w:val="006F6AFE"/>
    <w:rsid w:val="006F6D74"/>
    <w:rsid w:val="006F6DD5"/>
    <w:rsid w:val="006F6FEE"/>
    <w:rsid w:val="006F72E8"/>
    <w:rsid w:val="006F7462"/>
    <w:rsid w:val="006F76F0"/>
    <w:rsid w:val="006F7820"/>
    <w:rsid w:val="006F78E9"/>
    <w:rsid w:val="006F7C1D"/>
    <w:rsid w:val="006F7E14"/>
    <w:rsid w:val="006F9EA1"/>
    <w:rsid w:val="007000DA"/>
    <w:rsid w:val="0070036F"/>
    <w:rsid w:val="00700474"/>
    <w:rsid w:val="007004EB"/>
    <w:rsid w:val="00700731"/>
    <w:rsid w:val="0070095F"/>
    <w:rsid w:val="00700991"/>
    <w:rsid w:val="00700C6F"/>
    <w:rsid w:val="00700DB0"/>
    <w:rsid w:val="0070149F"/>
    <w:rsid w:val="007014F3"/>
    <w:rsid w:val="007018F4"/>
    <w:rsid w:val="00701B32"/>
    <w:rsid w:val="00702049"/>
    <w:rsid w:val="00702091"/>
    <w:rsid w:val="00702261"/>
    <w:rsid w:val="0070244D"/>
    <w:rsid w:val="007024F7"/>
    <w:rsid w:val="00702530"/>
    <w:rsid w:val="00702596"/>
    <w:rsid w:val="007028C7"/>
    <w:rsid w:val="00702AB1"/>
    <w:rsid w:val="00702B56"/>
    <w:rsid w:val="00702D14"/>
    <w:rsid w:val="00702D43"/>
    <w:rsid w:val="00702DCF"/>
    <w:rsid w:val="0070306E"/>
    <w:rsid w:val="00703086"/>
    <w:rsid w:val="00703555"/>
    <w:rsid w:val="00703667"/>
    <w:rsid w:val="007037ED"/>
    <w:rsid w:val="007038A6"/>
    <w:rsid w:val="007038B2"/>
    <w:rsid w:val="00703D2D"/>
    <w:rsid w:val="00703FBE"/>
    <w:rsid w:val="00704017"/>
    <w:rsid w:val="007041AF"/>
    <w:rsid w:val="00704200"/>
    <w:rsid w:val="007043DD"/>
    <w:rsid w:val="007044B6"/>
    <w:rsid w:val="0070450A"/>
    <w:rsid w:val="00704518"/>
    <w:rsid w:val="0070453F"/>
    <w:rsid w:val="007045C1"/>
    <w:rsid w:val="00704683"/>
    <w:rsid w:val="00704B0B"/>
    <w:rsid w:val="00704C31"/>
    <w:rsid w:val="00705289"/>
    <w:rsid w:val="0070543F"/>
    <w:rsid w:val="00705486"/>
    <w:rsid w:val="007055C2"/>
    <w:rsid w:val="00705771"/>
    <w:rsid w:val="0070584B"/>
    <w:rsid w:val="007058F8"/>
    <w:rsid w:val="00705C46"/>
    <w:rsid w:val="00705D57"/>
    <w:rsid w:val="00705DBF"/>
    <w:rsid w:val="00705E41"/>
    <w:rsid w:val="00705EC8"/>
    <w:rsid w:val="007060B2"/>
    <w:rsid w:val="0070620D"/>
    <w:rsid w:val="007062EC"/>
    <w:rsid w:val="007063BD"/>
    <w:rsid w:val="0070652A"/>
    <w:rsid w:val="0070657F"/>
    <w:rsid w:val="0070662E"/>
    <w:rsid w:val="00706ED1"/>
    <w:rsid w:val="00706ED5"/>
    <w:rsid w:val="00706EFC"/>
    <w:rsid w:val="00706FE9"/>
    <w:rsid w:val="0070715F"/>
    <w:rsid w:val="007075BC"/>
    <w:rsid w:val="007075DB"/>
    <w:rsid w:val="00707ABA"/>
    <w:rsid w:val="00707B35"/>
    <w:rsid w:val="00707DB8"/>
    <w:rsid w:val="00707FF8"/>
    <w:rsid w:val="0071001D"/>
    <w:rsid w:val="00710479"/>
    <w:rsid w:val="007104FD"/>
    <w:rsid w:val="00710512"/>
    <w:rsid w:val="0071054D"/>
    <w:rsid w:val="0071056B"/>
    <w:rsid w:val="007107B1"/>
    <w:rsid w:val="00710849"/>
    <w:rsid w:val="00710BF9"/>
    <w:rsid w:val="00710C36"/>
    <w:rsid w:val="00710F8B"/>
    <w:rsid w:val="00710FBD"/>
    <w:rsid w:val="00711012"/>
    <w:rsid w:val="0071108B"/>
    <w:rsid w:val="00711203"/>
    <w:rsid w:val="007112BA"/>
    <w:rsid w:val="0071181F"/>
    <w:rsid w:val="00711855"/>
    <w:rsid w:val="007118EC"/>
    <w:rsid w:val="0071191B"/>
    <w:rsid w:val="00711944"/>
    <w:rsid w:val="00711963"/>
    <w:rsid w:val="00711985"/>
    <w:rsid w:val="00711A9C"/>
    <w:rsid w:val="00711C18"/>
    <w:rsid w:val="00711D8B"/>
    <w:rsid w:val="00711E46"/>
    <w:rsid w:val="007120E6"/>
    <w:rsid w:val="00712281"/>
    <w:rsid w:val="00712411"/>
    <w:rsid w:val="00712496"/>
    <w:rsid w:val="00712633"/>
    <w:rsid w:val="00712695"/>
    <w:rsid w:val="007128CF"/>
    <w:rsid w:val="007128D6"/>
    <w:rsid w:val="007128DD"/>
    <w:rsid w:val="00712914"/>
    <w:rsid w:val="0071294F"/>
    <w:rsid w:val="00712A15"/>
    <w:rsid w:val="00712ED2"/>
    <w:rsid w:val="00712F05"/>
    <w:rsid w:val="007130C8"/>
    <w:rsid w:val="007131BB"/>
    <w:rsid w:val="007131BC"/>
    <w:rsid w:val="007132DF"/>
    <w:rsid w:val="007133A2"/>
    <w:rsid w:val="0071356E"/>
    <w:rsid w:val="0071360C"/>
    <w:rsid w:val="0071367B"/>
    <w:rsid w:val="007136DC"/>
    <w:rsid w:val="00713712"/>
    <w:rsid w:val="007137E3"/>
    <w:rsid w:val="007139B6"/>
    <w:rsid w:val="00713BBF"/>
    <w:rsid w:val="00713FF6"/>
    <w:rsid w:val="00714343"/>
    <w:rsid w:val="0071454E"/>
    <w:rsid w:val="0071468E"/>
    <w:rsid w:val="007146E7"/>
    <w:rsid w:val="0071483C"/>
    <w:rsid w:val="007148AA"/>
    <w:rsid w:val="0071496F"/>
    <w:rsid w:val="00714B0E"/>
    <w:rsid w:val="00714B54"/>
    <w:rsid w:val="00714D08"/>
    <w:rsid w:val="00714D74"/>
    <w:rsid w:val="00715033"/>
    <w:rsid w:val="0071508A"/>
    <w:rsid w:val="007150A7"/>
    <w:rsid w:val="007154EE"/>
    <w:rsid w:val="007157A4"/>
    <w:rsid w:val="0071589D"/>
    <w:rsid w:val="007158E8"/>
    <w:rsid w:val="00715A68"/>
    <w:rsid w:val="00715AD3"/>
    <w:rsid w:val="00715BF5"/>
    <w:rsid w:val="0071628E"/>
    <w:rsid w:val="007163A1"/>
    <w:rsid w:val="007164DA"/>
    <w:rsid w:val="00716740"/>
    <w:rsid w:val="007167B9"/>
    <w:rsid w:val="0071686F"/>
    <w:rsid w:val="00716A12"/>
    <w:rsid w:val="00716AAE"/>
    <w:rsid w:val="00716B5C"/>
    <w:rsid w:val="00716B9D"/>
    <w:rsid w:val="00716D06"/>
    <w:rsid w:val="00716D5C"/>
    <w:rsid w:val="00716E43"/>
    <w:rsid w:val="00716E66"/>
    <w:rsid w:val="00716F40"/>
    <w:rsid w:val="007171DC"/>
    <w:rsid w:val="00717200"/>
    <w:rsid w:val="0071729D"/>
    <w:rsid w:val="007172D6"/>
    <w:rsid w:val="0071742B"/>
    <w:rsid w:val="0071763D"/>
    <w:rsid w:val="00717760"/>
    <w:rsid w:val="00717800"/>
    <w:rsid w:val="0071784C"/>
    <w:rsid w:val="0071787B"/>
    <w:rsid w:val="00717A06"/>
    <w:rsid w:val="00717A8B"/>
    <w:rsid w:val="00717C3A"/>
    <w:rsid w:val="00717CCD"/>
    <w:rsid w:val="00717E6C"/>
    <w:rsid w:val="00717EAA"/>
    <w:rsid w:val="00717EF0"/>
    <w:rsid w:val="00717F50"/>
    <w:rsid w:val="00720083"/>
    <w:rsid w:val="007201E2"/>
    <w:rsid w:val="007202CE"/>
    <w:rsid w:val="0072032B"/>
    <w:rsid w:val="00720334"/>
    <w:rsid w:val="0072081E"/>
    <w:rsid w:val="00720860"/>
    <w:rsid w:val="007208D9"/>
    <w:rsid w:val="0072090C"/>
    <w:rsid w:val="0072097E"/>
    <w:rsid w:val="00720A00"/>
    <w:rsid w:val="00720AD9"/>
    <w:rsid w:val="00720AF5"/>
    <w:rsid w:val="00720BE6"/>
    <w:rsid w:val="00720C9D"/>
    <w:rsid w:val="00720FFE"/>
    <w:rsid w:val="007210FC"/>
    <w:rsid w:val="00721341"/>
    <w:rsid w:val="00721376"/>
    <w:rsid w:val="0072149C"/>
    <w:rsid w:val="007214D2"/>
    <w:rsid w:val="00721504"/>
    <w:rsid w:val="00721598"/>
    <w:rsid w:val="00721599"/>
    <w:rsid w:val="0072162E"/>
    <w:rsid w:val="00721667"/>
    <w:rsid w:val="00721CC3"/>
    <w:rsid w:val="0072206F"/>
    <w:rsid w:val="0072227B"/>
    <w:rsid w:val="00722780"/>
    <w:rsid w:val="007228EF"/>
    <w:rsid w:val="007229A8"/>
    <w:rsid w:val="00722AF6"/>
    <w:rsid w:val="00722D19"/>
    <w:rsid w:val="00722D73"/>
    <w:rsid w:val="00722EB3"/>
    <w:rsid w:val="00722F24"/>
    <w:rsid w:val="00722F56"/>
    <w:rsid w:val="00723006"/>
    <w:rsid w:val="00723296"/>
    <w:rsid w:val="0072331A"/>
    <w:rsid w:val="00723341"/>
    <w:rsid w:val="007234D8"/>
    <w:rsid w:val="0072378B"/>
    <w:rsid w:val="007238C6"/>
    <w:rsid w:val="00723A00"/>
    <w:rsid w:val="00723A03"/>
    <w:rsid w:val="00723A2B"/>
    <w:rsid w:val="00723A40"/>
    <w:rsid w:val="00723B82"/>
    <w:rsid w:val="00723C6D"/>
    <w:rsid w:val="00723D7A"/>
    <w:rsid w:val="00723F75"/>
    <w:rsid w:val="00724168"/>
    <w:rsid w:val="0072425A"/>
    <w:rsid w:val="00724278"/>
    <w:rsid w:val="00724389"/>
    <w:rsid w:val="0072439A"/>
    <w:rsid w:val="0072456D"/>
    <w:rsid w:val="0072469A"/>
    <w:rsid w:val="007246D7"/>
    <w:rsid w:val="0072474B"/>
    <w:rsid w:val="00724B32"/>
    <w:rsid w:val="00724C0F"/>
    <w:rsid w:val="00724D32"/>
    <w:rsid w:val="00724EB1"/>
    <w:rsid w:val="00724EB7"/>
    <w:rsid w:val="00724F51"/>
    <w:rsid w:val="00724FCF"/>
    <w:rsid w:val="0072536E"/>
    <w:rsid w:val="007254F3"/>
    <w:rsid w:val="0072555D"/>
    <w:rsid w:val="00725717"/>
    <w:rsid w:val="00725878"/>
    <w:rsid w:val="0072588A"/>
    <w:rsid w:val="00725895"/>
    <w:rsid w:val="00725AE2"/>
    <w:rsid w:val="00725C5B"/>
    <w:rsid w:val="00725CAB"/>
    <w:rsid w:val="00725D38"/>
    <w:rsid w:val="00725F0C"/>
    <w:rsid w:val="00726014"/>
    <w:rsid w:val="007261DD"/>
    <w:rsid w:val="00726251"/>
    <w:rsid w:val="0072633A"/>
    <w:rsid w:val="0072633B"/>
    <w:rsid w:val="007265FB"/>
    <w:rsid w:val="0072671F"/>
    <w:rsid w:val="00726790"/>
    <w:rsid w:val="007267FE"/>
    <w:rsid w:val="00726951"/>
    <w:rsid w:val="00726A03"/>
    <w:rsid w:val="00726CC9"/>
    <w:rsid w:val="00726CEF"/>
    <w:rsid w:val="007271DA"/>
    <w:rsid w:val="0072734A"/>
    <w:rsid w:val="0072745C"/>
    <w:rsid w:val="007274BC"/>
    <w:rsid w:val="00727549"/>
    <w:rsid w:val="007275AB"/>
    <w:rsid w:val="0072766E"/>
    <w:rsid w:val="00727786"/>
    <w:rsid w:val="007279C7"/>
    <w:rsid w:val="00727EF8"/>
    <w:rsid w:val="00727FB0"/>
    <w:rsid w:val="0072FA42"/>
    <w:rsid w:val="0073026A"/>
    <w:rsid w:val="007302A5"/>
    <w:rsid w:val="007304F7"/>
    <w:rsid w:val="007306A9"/>
    <w:rsid w:val="00730705"/>
    <w:rsid w:val="007308C3"/>
    <w:rsid w:val="007308D7"/>
    <w:rsid w:val="0073099E"/>
    <w:rsid w:val="007309EF"/>
    <w:rsid w:val="00730A1A"/>
    <w:rsid w:val="00730A4C"/>
    <w:rsid w:val="00730A51"/>
    <w:rsid w:val="00730DBB"/>
    <w:rsid w:val="00730EDE"/>
    <w:rsid w:val="00730FA6"/>
    <w:rsid w:val="00730FC4"/>
    <w:rsid w:val="00730FF6"/>
    <w:rsid w:val="00731217"/>
    <w:rsid w:val="0073149E"/>
    <w:rsid w:val="0073158F"/>
    <w:rsid w:val="0073173A"/>
    <w:rsid w:val="007318BD"/>
    <w:rsid w:val="00731DCF"/>
    <w:rsid w:val="00731EEA"/>
    <w:rsid w:val="00732185"/>
    <w:rsid w:val="00732203"/>
    <w:rsid w:val="0073234B"/>
    <w:rsid w:val="0073258B"/>
    <w:rsid w:val="007326FA"/>
    <w:rsid w:val="00732712"/>
    <w:rsid w:val="0073285E"/>
    <w:rsid w:val="00732986"/>
    <w:rsid w:val="00732A3F"/>
    <w:rsid w:val="00732A62"/>
    <w:rsid w:val="00732BA2"/>
    <w:rsid w:val="00732BA8"/>
    <w:rsid w:val="00732DE8"/>
    <w:rsid w:val="00732E9B"/>
    <w:rsid w:val="0073300F"/>
    <w:rsid w:val="00733013"/>
    <w:rsid w:val="007331E3"/>
    <w:rsid w:val="007334B1"/>
    <w:rsid w:val="0073350E"/>
    <w:rsid w:val="00733746"/>
    <w:rsid w:val="007337BB"/>
    <w:rsid w:val="00733876"/>
    <w:rsid w:val="007338E4"/>
    <w:rsid w:val="00733951"/>
    <w:rsid w:val="00733A46"/>
    <w:rsid w:val="00733C6F"/>
    <w:rsid w:val="00733F8C"/>
    <w:rsid w:val="00734165"/>
    <w:rsid w:val="00734175"/>
    <w:rsid w:val="0073433A"/>
    <w:rsid w:val="00734534"/>
    <w:rsid w:val="007345A4"/>
    <w:rsid w:val="007347D4"/>
    <w:rsid w:val="007348E3"/>
    <w:rsid w:val="007349A2"/>
    <w:rsid w:val="007349DF"/>
    <w:rsid w:val="00734A0D"/>
    <w:rsid w:val="00734B1E"/>
    <w:rsid w:val="00734C50"/>
    <w:rsid w:val="00734E67"/>
    <w:rsid w:val="00734E99"/>
    <w:rsid w:val="00734F92"/>
    <w:rsid w:val="0073553E"/>
    <w:rsid w:val="00735655"/>
    <w:rsid w:val="007356B5"/>
    <w:rsid w:val="007357C3"/>
    <w:rsid w:val="007358CE"/>
    <w:rsid w:val="007359A7"/>
    <w:rsid w:val="00735C3D"/>
    <w:rsid w:val="0073636E"/>
    <w:rsid w:val="0073650A"/>
    <w:rsid w:val="00736716"/>
    <w:rsid w:val="00736976"/>
    <w:rsid w:val="00736A54"/>
    <w:rsid w:val="00736C23"/>
    <w:rsid w:val="00736C8D"/>
    <w:rsid w:val="00736EFD"/>
    <w:rsid w:val="00736F1C"/>
    <w:rsid w:val="0073703F"/>
    <w:rsid w:val="007372AE"/>
    <w:rsid w:val="0073747A"/>
    <w:rsid w:val="00737529"/>
    <w:rsid w:val="00737584"/>
    <w:rsid w:val="0073784C"/>
    <w:rsid w:val="00737AE2"/>
    <w:rsid w:val="00737E3A"/>
    <w:rsid w:val="00737EE9"/>
    <w:rsid w:val="00737F1E"/>
    <w:rsid w:val="00740181"/>
    <w:rsid w:val="0074042D"/>
    <w:rsid w:val="0074075A"/>
    <w:rsid w:val="007408EB"/>
    <w:rsid w:val="00740A3B"/>
    <w:rsid w:val="00740A8C"/>
    <w:rsid w:val="00740AE2"/>
    <w:rsid w:val="00740C27"/>
    <w:rsid w:val="00740D04"/>
    <w:rsid w:val="00740D3B"/>
    <w:rsid w:val="00740DDF"/>
    <w:rsid w:val="00740FC0"/>
    <w:rsid w:val="00740FC2"/>
    <w:rsid w:val="0074121E"/>
    <w:rsid w:val="00741276"/>
    <w:rsid w:val="0074128D"/>
    <w:rsid w:val="0074132C"/>
    <w:rsid w:val="00741728"/>
    <w:rsid w:val="007417B4"/>
    <w:rsid w:val="00741921"/>
    <w:rsid w:val="00741988"/>
    <w:rsid w:val="00741A17"/>
    <w:rsid w:val="00741B80"/>
    <w:rsid w:val="00741DA0"/>
    <w:rsid w:val="00741E6D"/>
    <w:rsid w:val="00741EE0"/>
    <w:rsid w:val="007420AD"/>
    <w:rsid w:val="007421DE"/>
    <w:rsid w:val="00742685"/>
    <w:rsid w:val="007426E0"/>
    <w:rsid w:val="0074287D"/>
    <w:rsid w:val="0074296E"/>
    <w:rsid w:val="00742A58"/>
    <w:rsid w:val="00742AA8"/>
    <w:rsid w:val="00742AAA"/>
    <w:rsid w:val="00742BA4"/>
    <w:rsid w:val="00742C52"/>
    <w:rsid w:val="00742C97"/>
    <w:rsid w:val="00742D8F"/>
    <w:rsid w:val="0074300F"/>
    <w:rsid w:val="0074307E"/>
    <w:rsid w:val="0074320C"/>
    <w:rsid w:val="00743277"/>
    <w:rsid w:val="007432E9"/>
    <w:rsid w:val="00743472"/>
    <w:rsid w:val="00743697"/>
    <w:rsid w:val="00743779"/>
    <w:rsid w:val="007437DC"/>
    <w:rsid w:val="00743813"/>
    <w:rsid w:val="007439C0"/>
    <w:rsid w:val="00743BB3"/>
    <w:rsid w:val="00743BF2"/>
    <w:rsid w:val="00743C73"/>
    <w:rsid w:val="00743CDD"/>
    <w:rsid w:val="00743DDF"/>
    <w:rsid w:val="00743EEA"/>
    <w:rsid w:val="00743FB7"/>
    <w:rsid w:val="00743FEE"/>
    <w:rsid w:val="00744125"/>
    <w:rsid w:val="00744161"/>
    <w:rsid w:val="0074419E"/>
    <w:rsid w:val="00744265"/>
    <w:rsid w:val="00744274"/>
    <w:rsid w:val="0074437A"/>
    <w:rsid w:val="00744478"/>
    <w:rsid w:val="007445A2"/>
    <w:rsid w:val="00744612"/>
    <w:rsid w:val="00744844"/>
    <w:rsid w:val="00744A32"/>
    <w:rsid w:val="00744A81"/>
    <w:rsid w:val="00744ECC"/>
    <w:rsid w:val="007450D0"/>
    <w:rsid w:val="007451F9"/>
    <w:rsid w:val="007456D6"/>
    <w:rsid w:val="007456F2"/>
    <w:rsid w:val="00745B9A"/>
    <w:rsid w:val="00745FFA"/>
    <w:rsid w:val="007460A5"/>
    <w:rsid w:val="0074615E"/>
    <w:rsid w:val="007462DF"/>
    <w:rsid w:val="00746365"/>
    <w:rsid w:val="007463A3"/>
    <w:rsid w:val="007466DF"/>
    <w:rsid w:val="00746716"/>
    <w:rsid w:val="0074677C"/>
    <w:rsid w:val="00746D6E"/>
    <w:rsid w:val="00746E21"/>
    <w:rsid w:val="00746F0E"/>
    <w:rsid w:val="00747107"/>
    <w:rsid w:val="00747171"/>
    <w:rsid w:val="007472BC"/>
    <w:rsid w:val="00747320"/>
    <w:rsid w:val="007473D4"/>
    <w:rsid w:val="0074740B"/>
    <w:rsid w:val="0074740F"/>
    <w:rsid w:val="00747768"/>
    <w:rsid w:val="00747960"/>
    <w:rsid w:val="00747B23"/>
    <w:rsid w:val="00747CEA"/>
    <w:rsid w:val="00747E73"/>
    <w:rsid w:val="00747E95"/>
    <w:rsid w:val="00750059"/>
    <w:rsid w:val="00750233"/>
    <w:rsid w:val="0075027B"/>
    <w:rsid w:val="007503C7"/>
    <w:rsid w:val="0075042D"/>
    <w:rsid w:val="00750526"/>
    <w:rsid w:val="00750570"/>
    <w:rsid w:val="00750621"/>
    <w:rsid w:val="00750660"/>
    <w:rsid w:val="00750735"/>
    <w:rsid w:val="007507CC"/>
    <w:rsid w:val="0075083A"/>
    <w:rsid w:val="007508DF"/>
    <w:rsid w:val="0075090F"/>
    <w:rsid w:val="007509EE"/>
    <w:rsid w:val="00750B78"/>
    <w:rsid w:val="00750C8D"/>
    <w:rsid w:val="00750D31"/>
    <w:rsid w:val="007510D7"/>
    <w:rsid w:val="00751198"/>
    <w:rsid w:val="0075146C"/>
    <w:rsid w:val="007514DC"/>
    <w:rsid w:val="00751548"/>
    <w:rsid w:val="0075155D"/>
    <w:rsid w:val="00751704"/>
    <w:rsid w:val="0075187F"/>
    <w:rsid w:val="007518E6"/>
    <w:rsid w:val="00751A05"/>
    <w:rsid w:val="00751B01"/>
    <w:rsid w:val="00751C42"/>
    <w:rsid w:val="00751CEC"/>
    <w:rsid w:val="00751E4D"/>
    <w:rsid w:val="00751F82"/>
    <w:rsid w:val="00752192"/>
    <w:rsid w:val="00752402"/>
    <w:rsid w:val="00752497"/>
    <w:rsid w:val="00752849"/>
    <w:rsid w:val="007529CB"/>
    <w:rsid w:val="00752D60"/>
    <w:rsid w:val="00753089"/>
    <w:rsid w:val="007531D8"/>
    <w:rsid w:val="00753234"/>
    <w:rsid w:val="00753256"/>
    <w:rsid w:val="00753332"/>
    <w:rsid w:val="0075361A"/>
    <w:rsid w:val="0075393B"/>
    <w:rsid w:val="00753CF6"/>
    <w:rsid w:val="00753EBC"/>
    <w:rsid w:val="00753ED1"/>
    <w:rsid w:val="00753FC7"/>
    <w:rsid w:val="0075415A"/>
    <w:rsid w:val="00754200"/>
    <w:rsid w:val="00754326"/>
    <w:rsid w:val="00754329"/>
    <w:rsid w:val="00754526"/>
    <w:rsid w:val="0075458D"/>
    <w:rsid w:val="0075471A"/>
    <w:rsid w:val="00754798"/>
    <w:rsid w:val="007548F3"/>
    <w:rsid w:val="0075494E"/>
    <w:rsid w:val="00754A2F"/>
    <w:rsid w:val="00754B7C"/>
    <w:rsid w:val="00754B9F"/>
    <w:rsid w:val="00754C71"/>
    <w:rsid w:val="00754D93"/>
    <w:rsid w:val="00754E41"/>
    <w:rsid w:val="00754F46"/>
    <w:rsid w:val="00755024"/>
    <w:rsid w:val="00755185"/>
    <w:rsid w:val="00755211"/>
    <w:rsid w:val="00755423"/>
    <w:rsid w:val="007555F7"/>
    <w:rsid w:val="007557E6"/>
    <w:rsid w:val="00755810"/>
    <w:rsid w:val="00755C08"/>
    <w:rsid w:val="00755C5C"/>
    <w:rsid w:val="00755D56"/>
    <w:rsid w:val="00755E9A"/>
    <w:rsid w:val="00755F37"/>
    <w:rsid w:val="00756154"/>
    <w:rsid w:val="007564B3"/>
    <w:rsid w:val="00756654"/>
    <w:rsid w:val="0075671A"/>
    <w:rsid w:val="00756859"/>
    <w:rsid w:val="007568DE"/>
    <w:rsid w:val="00756A03"/>
    <w:rsid w:val="00756B2A"/>
    <w:rsid w:val="007570C6"/>
    <w:rsid w:val="00757162"/>
    <w:rsid w:val="007572AE"/>
    <w:rsid w:val="007572D5"/>
    <w:rsid w:val="00757492"/>
    <w:rsid w:val="00757570"/>
    <w:rsid w:val="0075771C"/>
    <w:rsid w:val="0075776B"/>
    <w:rsid w:val="00757860"/>
    <w:rsid w:val="0075788B"/>
    <w:rsid w:val="00757ED0"/>
    <w:rsid w:val="00757EDE"/>
    <w:rsid w:val="00757F3F"/>
    <w:rsid w:val="0076014D"/>
    <w:rsid w:val="00760225"/>
    <w:rsid w:val="00760436"/>
    <w:rsid w:val="00760613"/>
    <w:rsid w:val="00760881"/>
    <w:rsid w:val="007608D7"/>
    <w:rsid w:val="00760A2E"/>
    <w:rsid w:val="00760AB0"/>
    <w:rsid w:val="00760C7A"/>
    <w:rsid w:val="00761231"/>
    <w:rsid w:val="0076127D"/>
    <w:rsid w:val="00761345"/>
    <w:rsid w:val="00761374"/>
    <w:rsid w:val="00761398"/>
    <w:rsid w:val="007613A4"/>
    <w:rsid w:val="0076146A"/>
    <w:rsid w:val="0076178C"/>
    <w:rsid w:val="0076182A"/>
    <w:rsid w:val="00761BA5"/>
    <w:rsid w:val="00761DFC"/>
    <w:rsid w:val="00761FB0"/>
    <w:rsid w:val="00762299"/>
    <w:rsid w:val="007623C2"/>
    <w:rsid w:val="007623F1"/>
    <w:rsid w:val="0076244A"/>
    <w:rsid w:val="007626AE"/>
    <w:rsid w:val="007626B4"/>
    <w:rsid w:val="007629D0"/>
    <w:rsid w:val="00762A05"/>
    <w:rsid w:val="00762A60"/>
    <w:rsid w:val="00762CAB"/>
    <w:rsid w:val="00762CF4"/>
    <w:rsid w:val="00762F9B"/>
    <w:rsid w:val="007630FD"/>
    <w:rsid w:val="00763129"/>
    <w:rsid w:val="00763161"/>
    <w:rsid w:val="00763383"/>
    <w:rsid w:val="00763483"/>
    <w:rsid w:val="007635B8"/>
    <w:rsid w:val="007635ED"/>
    <w:rsid w:val="0076385A"/>
    <w:rsid w:val="007638F4"/>
    <w:rsid w:val="00763917"/>
    <w:rsid w:val="007639B5"/>
    <w:rsid w:val="00763A66"/>
    <w:rsid w:val="00763D76"/>
    <w:rsid w:val="00763F12"/>
    <w:rsid w:val="00763F4E"/>
    <w:rsid w:val="00763FBF"/>
    <w:rsid w:val="00764090"/>
    <w:rsid w:val="00764314"/>
    <w:rsid w:val="007645F6"/>
    <w:rsid w:val="007646C3"/>
    <w:rsid w:val="0076470E"/>
    <w:rsid w:val="007648D5"/>
    <w:rsid w:val="00764A95"/>
    <w:rsid w:val="00764BD2"/>
    <w:rsid w:val="00764BD6"/>
    <w:rsid w:val="00764C59"/>
    <w:rsid w:val="00764CA6"/>
    <w:rsid w:val="00764E23"/>
    <w:rsid w:val="00764FAA"/>
    <w:rsid w:val="00765059"/>
    <w:rsid w:val="007654CD"/>
    <w:rsid w:val="00765619"/>
    <w:rsid w:val="00765626"/>
    <w:rsid w:val="00765629"/>
    <w:rsid w:val="007657EB"/>
    <w:rsid w:val="007661B5"/>
    <w:rsid w:val="007662A5"/>
    <w:rsid w:val="00766442"/>
    <w:rsid w:val="00766619"/>
    <w:rsid w:val="007667D8"/>
    <w:rsid w:val="00766893"/>
    <w:rsid w:val="00766AEF"/>
    <w:rsid w:val="00766BE6"/>
    <w:rsid w:val="00766CD6"/>
    <w:rsid w:val="00766D2E"/>
    <w:rsid w:val="00766D51"/>
    <w:rsid w:val="00766FB7"/>
    <w:rsid w:val="00766FEF"/>
    <w:rsid w:val="0076704D"/>
    <w:rsid w:val="007673FD"/>
    <w:rsid w:val="007676D2"/>
    <w:rsid w:val="007676F9"/>
    <w:rsid w:val="00767A04"/>
    <w:rsid w:val="00767B71"/>
    <w:rsid w:val="00767CEA"/>
    <w:rsid w:val="00767DB3"/>
    <w:rsid w:val="007703B1"/>
    <w:rsid w:val="0077065B"/>
    <w:rsid w:val="007706FF"/>
    <w:rsid w:val="00770781"/>
    <w:rsid w:val="00770A06"/>
    <w:rsid w:val="00770B2A"/>
    <w:rsid w:val="00770C16"/>
    <w:rsid w:val="00770CEA"/>
    <w:rsid w:val="00770E79"/>
    <w:rsid w:val="00770E87"/>
    <w:rsid w:val="0077113A"/>
    <w:rsid w:val="007711A9"/>
    <w:rsid w:val="00771318"/>
    <w:rsid w:val="0077145A"/>
    <w:rsid w:val="0077164B"/>
    <w:rsid w:val="00771789"/>
    <w:rsid w:val="00771893"/>
    <w:rsid w:val="0077190A"/>
    <w:rsid w:val="007719BB"/>
    <w:rsid w:val="00771A26"/>
    <w:rsid w:val="00771C02"/>
    <w:rsid w:val="00771D42"/>
    <w:rsid w:val="00771E6F"/>
    <w:rsid w:val="00772139"/>
    <w:rsid w:val="00772516"/>
    <w:rsid w:val="00772679"/>
    <w:rsid w:val="0077288C"/>
    <w:rsid w:val="00772A52"/>
    <w:rsid w:val="00772E09"/>
    <w:rsid w:val="00772EEC"/>
    <w:rsid w:val="007733FD"/>
    <w:rsid w:val="00773437"/>
    <w:rsid w:val="0077364C"/>
    <w:rsid w:val="00773650"/>
    <w:rsid w:val="00773719"/>
    <w:rsid w:val="00773750"/>
    <w:rsid w:val="007737B1"/>
    <w:rsid w:val="00773902"/>
    <w:rsid w:val="00773B58"/>
    <w:rsid w:val="00773C70"/>
    <w:rsid w:val="00773CB3"/>
    <w:rsid w:val="00773CD0"/>
    <w:rsid w:val="00773D73"/>
    <w:rsid w:val="007740F3"/>
    <w:rsid w:val="00774242"/>
    <w:rsid w:val="0077429E"/>
    <w:rsid w:val="00774343"/>
    <w:rsid w:val="00774540"/>
    <w:rsid w:val="007745E2"/>
    <w:rsid w:val="00774663"/>
    <w:rsid w:val="0077466A"/>
    <w:rsid w:val="007746AE"/>
    <w:rsid w:val="0077484B"/>
    <w:rsid w:val="0077485A"/>
    <w:rsid w:val="0077488D"/>
    <w:rsid w:val="007748C1"/>
    <w:rsid w:val="007748C6"/>
    <w:rsid w:val="0077497A"/>
    <w:rsid w:val="00774A19"/>
    <w:rsid w:val="00775063"/>
    <w:rsid w:val="0077508B"/>
    <w:rsid w:val="007750EB"/>
    <w:rsid w:val="007754E1"/>
    <w:rsid w:val="007755B6"/>
    <w:rsid w:val="007755F3"/>
    <w:rsid w:val="00775630"/>
    <w:rsid w:val="007757FA"/>
    <w:rsid w:val="00775838"/>
    <w:rsid w:val="00775A00"/>
    <w:rsid w:val="00775A6C"/>
    <w:rsid w:val="00775A94"/>
    <w:rsid w:val="00775AC3"/>
    <w:rsid w:val="00775AF5"/>
    <w:rsid w:val="00775B25"/>
    <w:rsid w:val="00775BD2"/>
    <w:rsid w:val="007761F6"/>
    <w:rsid w:val="0077659B"/>
    <w:rsid w:val="007766C5"/>
    <w:rsid w:val="007767B3"/>
    <w:rsid w:val="00776A51"/>
    <w:rsid w:val="00776B0B"/>
    <w:rsid w:val="00776F64"/>
    <w:rsid w:val="0077711C"/>
    <w:rsid w:val="00777487"/>
    <w:rsid w:val="007774DE"/>
    <w:rsid w:val="0077760E"/>
    <w:rsid w:val="007777A1"/>
    <w:rsid w:val="00777D62"/>
    <w:rsid w:val="00777DE1"/>
    <w:rsid w:val="0078003D"/>
    <w:rsid w:val="00780076"/>
    <w:rsid w:val="00780299"/>
    <w:rsid w:val="00780416"/>
    <w:rsid w:val="007805AF"/>
    <w:rsid w:val="00780ABD"/>
    <w:rsid w:val="00780B4C"/>
    <w:rsid w:val="00780B55"/>
    <w:rsid w:val="00780D90"/>
    <w:rsid w:val="00780DF5"/>
    <w:rsid w:val="00780EA6"/>
    <w:rsid w:val="007810BC"/>
    <w:rsid w:val="007815EB"/>
    <w:rsid w:val="007817F9"/>
    <w:rsid w:val="00781831"/>
    <w:rsid w:val="00781925"/>
    <w:rsid w:val="007819A3"/>
    <w:rsid w:val="00781F58"/>
    <w:rsid w:val="00782097"/>
    <w:rsid w:val="00782107"/>
    <w:rsid w:val="0078210E"/>
    <w:rsid w:val="0078211C"/>
    <w:rsid w:val="007822A8"/>
    <w:rsid w:val="007822FE"/>
    <w:rsid w:val="00782490"/>
    <w:rsid w:val="007824ED"/>
    <w:rsid w:val="00782525"/>
    <w:rsid w:val="007826B8"/>
    <w:rsid w:val="0078273E"/>
    <w:rsid w:val="00782BD5"/>
    <w:rsid w:val="00782BD9"/>
    <w:rsid w:val="00782C78"/>
    <w:rsid w:val="00782DCD"/>
    <w:rsid w:val="00782ED4"/>
    <w:rsid w:val="00782F17"/>
    <w:rsid w:val="00782F88"/>
    <w:rsid w:val="007834F6"/>
    <w:rsid w:val="0078350D"/>
    <w:rsid w:val="00783527"/>
    <w:rsid w:val="007836DD"/>
    <w:rsid w:val="00783993"/>
    <w:rsid w:val="007839BD"/>
    <w:rsid w:val="007839FB"/>
    <w:rsid w:val="00783AA5"/>
    <w:rsid w:val="00783AB8"/>
    <w:rsid w:val="00783D00"/>
    <w:rsid w:val="00783F77"/>
    <w:rsid w:val="007841B0"/>
    <w:rsid w:val="00784204"/>
    <w:rsid w:val="00784216"/>
    <w:rsid w:val="0078427F"/>
    <w:rsid w:val="00784383"/>
    <w:rsid w:val="0078454D"/>
    <w:rsid w:val="007845A5"/>
    <w:rsid w:val="00784662"/>
    <w:rsid w:val="0078471D"/>
    <w:rsid w:val="00784830"/>
    <w:rsid w:val="00784AB1"/>
    <w:rsid w:val="00784CE9"/>
    <w:rsid w:val="00784D4C"/>
    <w:rsid w:val="00784E25"/>
    <w:rsid w:val="00784EC0"/>
    <w:rsid w:val="0078512D"/>
    <w:rsid w:val="007853D2"/>
    <w:rsid w:val="007858DE"/>
    <w:rsid w:val="0078593B"/>
    <w:rsid w:val="007859B4"/>
    <w:rsid w:val="00785B93"/>
    <w:rsid w:val="00785C9B"/>
    <w:rsid w:val="00785DDB"/>
    <w:rsid w:val="0078601E"/>
    <w:rsid w:val="0078626B"/>
    <w:rsid w:val="007863D3"/>
    <w:rsid w:val="00786472"/>
    <w:rsid w:val="00786522"/>
    <w:rsid w:val="00786576"/>
    <w:rsid w:val="0078677F"/>
    <w:rsid w:val="0078686F"/>
    <w:rsid w:val="0078688B"/>
    <w:rsid w:val="00786A8C"/>
    <w:rsid w:val="00786CCE"/>
    <w:rsid w:val="00786D3D"/>
    <w:rsid w:val="00786F08"/>
    <w:rsid w:val="007870B4"/>
    <w:rsid w:val="007870C0"/>
    <w:rsid w:val="007870D1"/>
    <w:rsid w:val="0078710B"/>
    <w:rsid w:val="0078730F"/>
    <w:rsid w:val="0078760F"/>
    <w:rsid w:val="0078782A"/>
    <w:rsid w:val="00787832"/>
    <w:rsid w:val="00787935"/>
    <w:rsid w:val="00787A79"/>
    <w:rsid w:val="00787D03"/>
    <w:rsid w:val="00787E6C"/>
    <w:rsid w:val="0078CC93"/>
    <w:rsid w:val="00790113"/>
    <w:rsid w:val="00790286"/>
    <w:rsid w:val="007903DE"/>
    <w:rsid w:val="00790421"/>
    <w:rsid w:val="00790430"/>
    <w:rsid w:val="00790943"/>
    <w:rsid w:val="00790BE0"/>
    <w:rsid w:val="00790DEC"/>
    <w:rsid w:val="00791014"/>
    <w:rsid w:val="00791136"/>
    <w:rsid w:val="007911B3"/>
    <w:rsid w:val="007911F2"/>
    <w:rsid w:val="00791382"/>
    <w:rsid w:val="007913FD"/>
    <w:rsid w:val="007914DC"/>
    <w:rsid w:val="00791500"/>
    <w:rsid w:val="007915F0"/>
    <w:rsid w:val="0079174F"/>
    <w:rsid w:val="0079175C"/>
    <w:rsid w:val="0079178B"/>
    <w:rsid w:val="00791919"/>
    <w:rsid w:val="00791A34"/>
    <w:rsid w:val="00791B4D"/>
    <w:rsid w:val="00791EB6"/>
    <w:rsid w:val="0079221B"/>
    <w:rsid w:val="0079241E"/>
    <w:rsid w:val="0079252C"/>
    <w:rsid w:val="00792599"/>
    <w:rsid w:val="007925BA"/>
    <w:rsid w:val="007925C2"/>
    <w:rsid w:val="00792701"/>
    <w:rsid w:val="00792B04"/>
    <w:rsid w:val="00792B6E"/>
    <w:rsid w:val="00792CEA"/>
    <w:rsid w:val="00792D2C"/>
    <w:rsid w:val="00792D65"/>
    <w:rsid w:val="00792E62"/>
    <w:rsid w:val="00792F02"/>
    <w:rsid w:val="0079319D"/>
    <w:rsid w:val="007931ED"/>
    <w:rsid w:val="007932D8"/>
    <w:rsid w:val="00793384"/>
    <w:rsid w:val="00793411"/>
    <w:rsid w:val="00793448"/>
    <w:rsid w:val="00793602"/>
    <w:rsid w:val="007936AE"/>
    <w:rsid w:val="0079376C"/>
    <w:rsid w:val="007937D5"/>
    <w:rsid w:val="00793968"/>
    <w:rsid w:val="007939CF"/>
    <w:rsid w:val="00793A83"/>
    <w:rsid w:val="00793D54"/>
    <w:rsid w:val="0079412E"/>
    <w:rsid w:val="0079420D"/>
    <w:rsid w:val="00794262"/>
    <w:rsid w:val="0079438D"/>
    <w:rsid w:val="007943F9"/>
    <w:rsid w:val="0079451C"/>
    <w:rsid w:val="007945AF"/>
    <w:rsid w:val="007945F1"/>
    <w:rsid w:val="0079478D"/>
    <w:rsid w:val="00794791"/>
    <w:rsid w:val="0079495A"/>
    <w:rsid w:val="00794BE7"/>
    <w:rsid w:val="00794CD7"/>
    <w:rsid w:val="00794D7B"/>
    <w:rsid w:val="00795098"/>
    <w:rsid w:val="0079568B"/>
    <w:rsid w:val="007956FE"/>
    <w:rsid w:val="007957B1"/>
    <w:rsid w:val="007957BE"/>
    <w:rsid w:val="007957FD"/>
    <w:rsid w:val="007959F9"/>
    <w:rsid w:val="00795A3D"/>
    <w:rsid w:val="00795C7D"/>
    <w:rsid w:val="00795EC8"/>
    <w:rsid w:val="00796009"/>
    <w:rsid w:val="0079626F"/>
    <w:rsid w:val="0079659E"/>
    <w:rsid w:val="0079660D"/>
    <w:rsid w:val="00796640"/>
    <w:rsid w:val="007968A6"/>
    <w:rsid w:val="0079693D"/>
    <w:rsid w:val="00796A50"/>
    <w:rsid w:val="00796CC5"/>
    <w:rsid w:val="00796F57"/>
    <w:rsid w:val="00796F78"/>
    <w:rsid w:val="00797102"/>
    <w:rsid w:val="007971CF"/>
    <w:rsid w:val="00797271"/>
    <w:rsid w:val="007977D4"/>
    <w:rsid w:val="007979D0"/>
    <w:rsid w:val="00797A4F"/>
    <w:rsid w:val="00797C48"/>
    <w:rsid w:val="00797C8A"/>
    <w:rsid w:val="00797DE6"/>
    <w:rsid w:val="00797DFC"/>
    <w:rsid w:val="007A0112"/>
    <w:rsid w:val="007A01E1"/>
    <w:rsid w:val="007A021E"/>
    <w:rsid w:val="007A0C8D"/>
    <w:rsid w:val="007A0CA2"/>
    <w:rsid w:val="007A0E38"/>
    <w:rsid w:val="007A0E84"/>
    <w:rsid w:val="007A104F"/>
    <w:rsid w:val="007A10EF"/>
    <w:rsid w:val="007A1168"/>
    <w:rsid w:val="007A116E"/>
    <w:rsid w:val="007A13C2"/>
    <w:rsid w:val="007A15DD"/>
    <w:rsid w:val="007A161B"/>
    <w:rsid w:val="007A19F9"/>
    <w:rsid w:val="007A1D1E"/>
    <w:rsid w:val="007A1D77"/>
    <w:rsid w:val="007A2140"/>
    <w:rsid w:val="007A2233"/>
    <w:rsid w:val="007A229D"/>
    <w:rsid w:val="007A247A"/>
    <w:rsid w:val="007A2494"/>
    <w:rsid w:val="007A25DC"/>
    <w:rsid w:val="007A26D5"/>
    <w:rsid w:val="007A26E5"/>
    <w:rsid w:val="007A28E7"/>
    <w:rsid w:val="007A2A82"/>
    <w:rsid w:val="007A2C64"/>
    <w:rsid w:val="007A2D4B"/>
    <w:rsid w:val="007A301A"/>
    <w:rsid w:val="007A31B6"/>
    <w:rsid w:val="007A34D4"/>
    <w:rsid w:val="007A3505"/>
    <w:rsid w:val="007A368A"/>
    <w:rsid w:val="007A3770"/>
    <w:rsid w:val="007A3808"/>
    <w:rsid w:val="007A386B"/>
    <w:rsid w:val="007A3971"/>
    <w:rsid w:val="007A3E0A"/>
    <w:rsid w:val="007A4496"/>
    <w:rsid w:val="007A451B"/>
    <w:rsid w:val="007A459A"/>
    <w:rsid w:val="007A46A2"/>
    <w:rsid w:val="007A484B"/>
    <w:rsid w:val="007A4879"/>
    <w:rsid w:val="007A49C2"/>
    <w:rsid w:val="007A4BDD"/>
    <w:rsid w:val="007A4BE2"/>
    <w:rsid w:val="007A4DE6"/>
    <w:rsid w:val="007A4E31"/>
    <w:rsid w:val="007A4E7C"/>
    <w:rsid w:val="007A4F59"/>
    <w:rsid w:val="007A4F69"/>
    <w:rsid w:val="007A54E8"/>
    <w:rsid w:val="007A551F"/>
    <w:rsid w:val="007A56BA"/>
    <w:rsid w:val="007A59A2"/>
    <w:rsid w:val="007A59A7"/>
    <w:rsid w:val="007A5C90"/>
    <w:rsid w:val="007A5DF1"/>
    <w:rsid w:val="007A5F31"/>
    <w:rsid w:val="007A6450"/>
    <w:rsid w:val="007A6842"/>
    <w:rsid w:val="007A68BD"/>
    <w:rsid w:val="007A6C42"/>
    <w:rsid w:val="007A71B2"/>
    <w:rsid w:val="007A722D"/>
    <w:rsid w:val="007A73E2"/>
    <w:rsid w:val="007A73EA"/>
    <w:rsid w:val="007A7965"/>
    <w:rsid w:val="007A796B"/>
    <w:rsid w:val="007A7C9C"/>
    <w:rsid w:val="007A7EAC"/>
    <w:rsid w:val="007A7ECD"/>
    <w:rsid w:val="007ADE00"/>
    <w:rsid w:val="007B0104"/>
    <w:rsid w:val="007B012E"/>
    <w:rsid w:val="007B02DC"/>
    <w:rsid w:val="007B02E5"/>
    <w:rsid w:val="007B035C"/>
    <w:rsid w:val="007B044E"/>
    <w:rsid w:val="007B05B3"/>
    <w:rsid w:val="007B068F"/>
    <w:rsid w:val="007B0739"/>
    <w:rsid w:val="007B0746"/>
    <w:rsid w:val="007B08B0"/>
    <w:rsid w:val="007B0A03"/>
    <w:rsid w:val="007B0B07"/>
    <w:rsid w:val="007B0B1A"/>
    <w:rsid w:val="007B0D21"/>
    <w:rsid w:val="007B0D55"/>
    <w:rsid w:val="007B0F0E"/>
    <w:rsid w:val="007B100D"/>
    <w:rsid w:val="007B107F"/>
    <w:rsid w:val="007B117D"/>
    <w:rsid w:val="007B1210"/>
    <w:rsid w:val="007B13D9"/>
    <w:rsid w:val="007B14CE"/>
    <w:rsid w:val="007B1968"/>
    <w:rsid w:val="007B1BE7"/>
    <w:rsid w:val="007B1D8D"/>
    <w:rsid w:val="007B1DA7"/>
    <w:rsid w:val="007B1EB9"/>
    <w:rsid w:val="007B2322"/>
    <w:rsid w:val="007B238A"/>
    <w:rsid w:val="007B2615"/>
    <w:rsid w:val="007B26B0"/>
    <w:rsid w:val="007B28E5"/>
    <w:rsid w:val="007B2ADC"/>
    <w:rsid w:val="007B2BD8"/>
    <w:rsid w:val="007B2C0A"/>
    <w:rsid w:val="007B2DA8"/>
    <w:rsid w:val="007B2DC6"/>
    <w:rsid w:val="007B2EA2"/>
    <w:rsid w:val="007B32BA"/>
    <w:rsid w:val="007B33D7"/>
    <w:rsid w:val="007B3576"/>
    <w:rsid w:val="007B3A5C"/>
    <w:rsid w:val="007B3A97"/>
    <w:rsid w:val="007B3BA0"/>
    <w:rsid w:val="007B40B4"/>
    <w:rsid w:val="007B4277"/>
    <w:rsid w:val="007B428B"/>
    <w:rsid w:val="007B42ED"/>
    <w:rsid w:val="007B43C3"/>
    <w:rsid w:val="007B44FE"/>
    <w:rsid w:val="007B4652"/>
    <w:rsid w:val="007B4667"/>
    <w:rsid w:val="007B47C6"/>
    <w:rsid w:val="007B49B4"/>
    <w:rsid w:val="007B4B2E"/>
    <w:rsid w:val="007B4DAD"/>
    <w:rsid w:val="007B4FCC"/>
    <w:rsid w:val="007B506A"/>
    <w:rsid w:val="007B50D0"/>
    <w:rsid w:val="007B51D5"/>
    <w:rsid w:val="007B535B"/>
    <w:rsid w:val="007B5595"/>
    <w:rsid w:val="007B562C"/>
    <w:rsid w:val="007B58DD"/>
    <w:rsid w:val="007B5B00"/>
    <w:rsid w:val="007B5CD9"/>
    <w:rsid w:val="007B5E7C"/>
    <w:rsid w:val="007B5F5C"/>
    <w:rsid w:val="007B6075"/>
    <w:rsid w:val="007B657C"/>
    <w:rsid w:val="007B6959"/>
    <w:rsid w:val="007B6986"/>
    <w:rsid w:val="007B6A2C"/>
    <w:rsid w:val="007B6AA7"/>
    <w:rsid w:val="007B6B11"/>
    <w:rsid w:val="007B6BEB"/>
    <w:rsid w:val="007B6D55"/>
    <w:rsid w:val="007B6EE1"/>
    <w:rsid w:val="007B71E1"/>
    <w:rsid w:val="007B7202"/>
    <w:rsid w:val="007B733E"/>
    <w:rsid w:val="007B7387"/>
    <w:rsid w:val="007B74EC"/>
    <w:rsid w:val="007B7868"/>
    <w:rsid w:val="007B7924"/>
    <w:rsid w:val="007B7E0F"/>
    <w:rsid w:val="007B7F0B"/>
    <w:rsid w:val="007C0066"/>
    <w:rsid w:val="007C0261"/>
    <w:rsid w:val="007C0462"/>
    <w:rsid w:val="007C04BA"/>
    <w:rsid w:val="007C0574"/>
    <w:rsid w:val="007C07DB"/>
    <w:rsid w:val="007C0813"/>
    <w:rsid w:val="007C0877"/>
    <w:rsid w:val="007C08F8"/>
    <w:rsid w:val="007C0A8C"/>
    <w:rsid w:val="007C0B86"/>
    <w:rsid w:val="007C0C10"/>
    <w:rsid w:val="007C0E8D"/>
    <w:rsid w:val="007C0FBD"/>
    <w:rsid w:val="007C0FDD"/>
    <w:rsid w:val="007C10F9"/>
    <w:rsid w:val="007C11F6"/>
    <w:rsid w:val="007C125F"/>
    <w:rsid w:val="007C132E"/>
    <w:rsid w:val="007C13D0"/>
    <w:rsid w:val="007C147C"/>
    <w:rsid w:val="007C175D"/>
    <w:rsid w:val="007C1837"/>
    <w:rsid w:val="007C18DC"/>
    <w:rsid w:val="007C1B9A"/>
    <w:rsid w:val="007C1C22"/>
    <w:rsid w:val="007C1C24"/>
    <w:rsid w:val="007C1D28"/>
    <w:rsid w:val="007C1D86"/>
    <w:rsid w:val="007C1E8D"/>
    <w:rsid w:val="007C1EA3"/>
    <w:rsid w:val="007C20B8"/>
    <w:rsid w:val="007C20DB"/>
    <w:rsid w:val="007C216C"/>
    <w:rsid w:val="007C2218"/>
    <w:rsid w:val="007C229A"/>
    <w:rsid w:val="007C2341"/>
    <w:rsid w:val="007C2377"/>
    <w:rsid w:val="007C239A"/>
    <w:rsid w:val="007C23F1"/>
    <w:rsid w:val="007C25BB"/>
    <w:rsid w:val="007C26E3"/>
    <w:rsid w:val="007C2809"/>
    <w:rsid w:val="007C293A"/>
    <w:rsid w:val="007C29E3"/>
    <w:rsid w:val="007C2A1B"/>
    <w:rsid w:val="007C2ABC"/>
    <w:rsid w:val="007C2ADA"/>
    <w:rsid w:val="007C2B66"/>
    <w:rsid w:val="007C2CA8"/>
    <w:rsid w:val="007C2EF5"/>
    <w:rsid w:val="007C3090"/>
    <w:rsid w:val="007C3260"/>
    <w:rsid w:val="007C3580"/>
    <w:rsid w:val="007C3593"/>
    <w:rsid w:val="007C383C"/>
    <w:rsid w:val="007C38C3"/>
    <w:rsid w:val="007C3B54"/>
    <w:rsid w:val="007C3C3C"/>
    <w:rsid w:val="007C3CAA"/>
    <w:rsid w:val="007C3D50"/>
    <w:rsid w:val="007C3DFE"/>
    <w:rsid w:val="007C3EB4"/>
    <w:rsid w:val="007C3EFA"/>
    <w:rsid w:val="007C44E6"/>
    <w:rsid w:val="007C46AA"/>
    <w:rsid w:val="007C470C"/>
    <w:rsid w:val="007C476E"/>
    <w:rsid w:val="007C48A8"/>
    <w:rsid w:val="007C4B67"/>
    <w:rsid w:val="007C4CA0"/>
    <w:rsid w:val="007C4EDC"/>
    <w:rsid w:val="007C5153"/>
    <w:rsid w:val="007C5294"/>
    <w:rsid w:val="007C52D6"/>
    <w:rsid w:val="007C535F"/>
    <w:rsid w:val="007C53FA"/>
    <w:rsid w:val="007C54B9"/>
    <w:rsid w:val="007C57B4"/>
    <w:rsid w:val="007C6041"/>
    <w:rsid w:val="007C622D"/>
    <w:rsid w:val="007C6246"/>
    <w:rsid w:val="007C6559"/>
    <w:rsid w:val="007C6560"/>
    <w:rsid w:val="007C662A"/>
    <w:rsid w:val="007C6654"/>
    <w:rsid w:val="007C66C9"/>
    <w:rsid w:val="007C67A4"/>
    <w:rsid w:val="007C69A9"/>
    <w:rsid w:val="007C69CC"/>
    <w:rsid w:val="007C6B6F"/>
    <w:rsid w:val="007C6CB8"/>
    <w:rsid w:val="007C6DF5"/>
    <w:rsid w:val="007C6FFC"/>
    <w:rsid w:val="007C7129"/>
    <w:rsid w:val="007C7550"/>
    <w:rsid w:val="007C75B7"/>
    <w:rsid w:val="007C7650"/>
    <w:rsid w:val="007C7976"/>
    <w:rsid w:val="007C7C46"/>
    <w:rsid w:val="007C7C59"/>
    <w:rsid w:val="007C7C5F"/>
    <w:rsid w:val="007C7C91"/>
    <w:rsid w:val="007C7E19"/>
    <w:rsid w:val="007D01CD"/>
    <w:rsid w:val="007D028E"/>
    <w:rsid w:val="007D02EE"/>
    <w:rsid w:val="007D040F"/>
    <w:rsid w:val="007D063B"/>
    <w:rsid w:val="007D08F1"/>
    <w:rsid w:val="007D0A6D"/>
    <w:rsid w:val="007D0B7A"/>
    <w:rsid w:val="007D0B7D"/>
    <w:rsid w:val="007D0CC0"/>
    <w:rsid w:val="007D1069"/>
    <w:rsid w:val="007D1206"/>
    <w:rsid w:val="007D15D0"/>
    <w:rsid w:val="007D17B2"/>
    <w:rsid w:val="007D193D"/>
    <w:rsid w:val="007D1A31"/>
    <w:rsid w:val="007D1C58"/>
    <w:rsid w:val="007D1E89"/>
    <w:rsid w:val="007D1F39"/>
    <w:rsid w:val="007D212C"/>
    <w:rsid w:val="007D223F"/>
    <w:rsid w:val="007D2370"/>
    <w:rsid w:val="007D23A4"/>
    <w:rsid w:val="007D2794"/>
    <w:rsid w:val="007D28A0"/>
    <w:rsid w:val="007D28FD"/>
    <w:rsid w:val="007D2AF9"/>
    <w:rsid w:val="007D32A7"/>
    <w:rsid w:val="007D3308"/>
    <w:rsid w:val="007D346D"/>
    <w:rsid w:val="007D3592"/>
    <w:rsid w:val="007D3598"/>
    <w:rsid w:val="007D37CD"/>
    <w:rsid w:val="007D3803"/>
    <w:rsid w:val="007D3D45"/>
    <w:rsid w:val="007D3DD6"/>
    <w:rsid w:val="007D3F62"/>
    <w:rsid w:val="007D40D4"/>
    <w:rsid w:val="007D4375"/>
    <w:rsid w:val="007D45DD"/>
    <w:rsid w:val="007D47D1"/>
    <w:rsid w:val="007D47E1"/>
    <w:rsid w:val="007D4808"/>
    <w:rsid w:val="007D49AB"/>
    <w:rsid w:val="007D4A63"/>
    <w:rsid w:val="007D4A8F"/>
    <w:rsid w:val="007D4AA6"/>
    <w:rsid w:val="007D4AD6"/>
    <w:rsid w:val="007D4E5C"/>
    <w:rsid w:val="007D4FCE"/>
    <w:rsid w:val="007D5015"/>
    <w:rsid w:val="007D537B"/>
    <w:rsid w:val="007D544E"/>
    <w:rsid w:val="007D54D8"/>
    <w:rsid w:val="007D585B"/>
    <w:rsid w:val="007D59A1"/>
    <w:rsid w:val="007D5BC7"/>
    <w:rsid w:val="007D5DEC"/>
    <w:rsid w:val="007D5DEE"/>
    <w:rsid w:val="007D5ED5"/>
    <w:rsid w:val="007D60C8"/>
    <w:rsid w:val="007D6104"/>
    <w:rsid w:val="007D6107"/>
    <w:rsid w:val="007D61A9"/>
    <w:rsid w:val="007D6254"/>
    <w:rsid w:val="007D6521"/>
    <w:rsid w:val="007D658F"/>
    <w:rsid w:val="007D6664"/>
    <w:rsid w:val="007D66BE"/>
    <w:rsid w:val="007D67E6"/>
    <w:rsid w:val="007D6B3E"/>
    <w:rsid w:val="007D6E5A"/>
    <w:rsid w:val="007D6F3F"/>
    <w:rsid w:val="007D6F44"/>
    <w:rsid w:val="007D72F1"/>
    <w:rsid w:val="007D7580"/>
    <w:rsid w:val="007D775D"/>
    <w:rsid w:val="007D7889"/>
    <w:rsid w:val="007D7BED"/>
    <w:rsid w:val="007D7D80"/>
    <w:rsid w:val="007D7F3F"/>
    <w:rsid w:val="007D7FE1"/>
    <w:rsid w:val="007DE9D5"/>
    <w:rsid w:val="007E01EE"/>
    <w:rsid w:val="007E02C1"/>
    <w:rsid w:val="007E04E5"/>
    <w:rsid w:val="007E080F"/>
    <w:rsid w:val="007E0995"/>
    <w:rsid w:val="007E0A68"/>
    <w:rsid w:val="007E0C2B"/>
    <w:rsid w:val="007E0D6B"/>
    <w:rsid w:val="007E0DCA"/>
    <w:rsid w:val="007E0E93"/>
    <w:rsid w:val="007E1116"/>
    <w:rsid w:val="007E1129"/>
    <w:rsid w:val="007E117B"/>
    <w:rsid w:val="007E1193"/>
    <w:rsid w:val="007E11F3"/>
    <w:rsid w:val="007E12BE"/>
    <w:rsid w:val="007E1337"/>
    <w:rsid w:val="007E1372"/>
    <w:rsid w:val="007E13AE"/>
    <w:rsid w:val="007E143B"/>
    <w:rsid w:val="007E1522"/>
    <w:rsid w:val="007E156A"/>
    <w:rsid w:val="007E15F4"/>
    <w:rsid w:val="007E1605"/>
    <w:rsid w:val="007E1688"/>
    <w:rsid w:val="007E1725"/>
    <w:rsid w:val="007E18AA"/>
    <w:rsid w:val="007E190E"/>
    <w:rsid w:val="007E1BB6"/>
    <w:rsid w:val="007E1C34"/>
    <w:rsid w:val="007E1CB5"/>
    <w:rsid w:val="007E1D2D"/>
    <w:rsid w:val="007E1D58"/>
    <w:rsid w:val="007E1E3E"/>
    <w:rsid w:val="007E2039"/>
    <w:rsid w:val="007E20E3"/>
    <w:rsid w:val="007E214F"/>
    <w:rsid w:val="007E2258"/>
    <w:rsid w:val="007E239F"/>
    <w:rsid w:val="007E2A0C"/>
    <w:rsid w:val="007E2CAD"/>
    <w:rsid w:val="007E2E90"/>
    <w:rsid w:val="007E2EB3"/>
    <w:rsid w:val="007E2F26"/>
    <w:rsid w:val="007E34F8"/>
    <w:rsid w:val="007E3517"/>
    <w:rsid w:val="007E356E"/>
    <w:rsid w:val="007E38A3"/>
    <w:rsid w:val="007E3B43"/>
    <w:rsid w:val="007E4066"/>
    <w:rsid w:val="007E4069"/>
    <w:rsid w:val="007E40DD"/>
    <w:rsid w:val="007E415A"/>
    <w:rsid w:val="007E416B"/>
    <w:rsid w:val="007E4389"/>
    <w:rsid w:val="007E4390"/>
    <w:rsid w:val="007E4402"/>
    <w:rsid w:val="007E44D8"/>
    <w:rsid w:val="007E467F"/>
    <w:rsid w:val="007E47EF"/>
    <w:rsid w:val="007E47F7"/>
    <w:rsid w:val="007E4835"/>
    <w:rsid w:val="007E49C3"/>
    <w:rsid w:val="007E4A20"/>
    <w:rsid w:val="007E4AE9"/>
    <w:rsid w:val="007E4C4F"/>
    <w:rsid w:val="007E4C52"/>
    <w:rsid w:val="007E4CA4"/>
    <w:rsid w:val="007E4D31"/>
    <w:rsid w:val="007E4D4D"/>
    <w:rsid w:val="007E4DED"/>
    <w:rsid w:val="007E4DF2"/>
    <w:rsid w:val="007E4FA4"/>
    <w:rsid w:val="007E4FB5"/>
    <w:rsid w:val="007E505C"/>
    <w:rsid w:val="007E5145"/>
    <w:rsid w:val="007E516A"/>
    <w:rsid w:val="007E528E"/>
    <w:rsid w:val="007E5440"/>
    <w:rsid w:val="007E546E"/>
    <w:rsid w:val="007E5498"/>
    <w:rsid w:val="007E57CC"/>
    <w:rsid w:val="007E58AB"/>
    <w:rsid w:val="007E5934"/>
    <w:rsid w:val="007E5C37"/>
    <w:rsid w:val="007E5CFD"/>
    <w:rsid w:val="007E5D8E"/>
    <w:rsid w:val="007E5E7E"/>
    <w:rsid w:val="007E60D8"/>
    <w:rsid w:val="007E60DB"/>
    <w:rsid w:val="007E6202"/>
    <w:rsid w:val="007E6292"/>
    <w:rsid w:val="007E633B"/>
    <w:rsid w:val="007E644E"/>
    <w:rsid w:val="007E6536"/>
    <w:rsid w:val="007E68E1"/>
    <w:rsid w:val="007E69A9"/>
    <w:rsid w:val="007E69D1"/>
    <w:rsid w:val="007E6C8E"/>
    <w:rsid w:val="007E6CF8"/>
    <w:rsid w:val="007E6ECC"/>
    <w:rsid w:val="007E6F08"/>
    <w:rsid w:val="007E6FBC"/>
    <w:rsid w:val="007E6FC1"/>
    <w:rsid w:val="007E6FE1"/>
    <w:rsid w:val="007E7390"/>
    <w:rsid w:val="007E7496"/>
    <w:rsid w:val="007E750E"/>
    <w:rsid w:val="007E753F"/>
    <w:rsid w:val="007E7788"/>
    <w:rsid w:val="007E78E0"/>
    <w:rsid w:val="007E7A4D"/>
    <w:rsid w:val="007E7D18"/>
    <w:rsid w:val="007F013F"/>
    <w:rsid w:val="007F026A"/>
    <w:rsid w:val="007F02A3"/>
    <w:rsid w:val="007F02CD"/>
    <w:rsid w:val="007F0629"/>
    <w:rsid w:val="007F0669"/>
    <w:rsid w:val="007F0779"/>
    <w:rsid w:val="007F077F"/>
    <w:rsid w:val="007F0901"/>
    <w:rsid w:val="007F0ABE"/>
    <w:rsid w:val="007F0E87"/>
    <w:rsid w:val="007F0ED9"/>
    <w:rsid w:val="007F0F57"/>
    <w:rsid w:val="007F1182"/>
    <w:rsid w:val="007F12B6"/>
    <w:rsid w:val="007F14E3"/>
    <w:rsid w:val="007F168B"/>
    <w:rsid w:val="007F1786"/>
    <w:rsid w:val="007F1B5A"/>
    <w:rsid w:val="007F1F25"/>
    <w:rsid w:val="007F20A0"/>
    <w:rsid w:val="007F215A"/>
    <w:rsid w:val="007F2367"/>
    <w:rsid w:val="007F23A4"/>
    <w:rsid w:val="007F24D5"/>
    <w:rsid w:val="007F252C"/>
    <w:rsid w:val="007F25A7"/>
    <w:rsid w:val="007F2645"/>
    <w:rsid w:val="007F2661"/>
    <w:rsid w:val="007F2663"/>
    <w:rsid w:val="007F281F"/>
    <w:rsid w:val="007F2C70"/>
    <w:rsid w:val="007F2D04"/>
    <w:rsid w:val="007F307D"/>
    <w:rsid w:val="007F345F"/>
    <w:rsid w:val="007F3607"/>
    <w:rsid w:val="007F3654"/>
    <w:rsid w:val="007F36A2"/>
    <w:rsid w:val="007F3A6A"/>
    <w:rsid w:val="007F3BA3"/>
    <w:rsid w:val="007F405B"/>
    <w:rsid w:val="007F41E7"/>
    <w:rsid w:val="007F4203"/>
    <w:rsid w:val="007F42C7"/>
    <w:rsid w:val="007F42CA"/>
    <w:rsid w:val="007F436B"/>
    <w:rsid w:val="007F4455"/>
    <w:rsid w:val="007F456E"/>
    <w:rsid w:val="007F4603"/>
    <w:rsid w:val="007F4668"/>
    <w:rsid w:val="007F46BD"/>
    <w:rsid w:val="007F4872"/>
    <w:rsid w:val="007F4A2F"/>
    <w:rsid w:val="007F4DB2"/>
    <w:rsid w:val="007F4E36"/>
    <w:rsid w:val="007F4EE0"/>
    <w:rsid w:val="007F4FD7"/>
    <w:rsid w:val="007F507E"/>
    <w:rsid w:val="007F5207"/>
    <w:rsid w:val="007F525A"/>
    <w:rsid w:val="007F5356"/>
    <w:rsid w:val="007F5610"/>
    <w:rsid w:val="007F571B"/>
    <w:rsid w:val="007F57C5"/>
    <w:rsid w:val="007F58DA"/>
    <w:rsid w:val="007F58ED"/>
    <w:rsid w:val="007F5B42"/>
    <w:rsid w:val="007F5C0A"/>
    <w:rsid w:val="007F5D0B"/>
    <w:rsid w:val="007F5DB8"/>
    <w:rsid w:val="007F5EA5"/>
    <w:rsid w:val="007F5EFE"/>
    <w:rsid w:val="007F60C7"/>
    <w:rsid w:val="007F63D4"/>
    <w:rsid w:val="007F644C"/>
    <w:rsid w:val="007F64C7"/>
    <w:rsid w:val="007F6547"/>
    <w:rsid w:val="007F6684"/>
    <w:rsid w:val="007F66EF"/>
    <w:rsid w:val="007F6AF4"/>
    <w:rsid w:val="007F6DB6"/>
    <w:rsid w:val="007F6DC1"/>
    <w:rsid w:val="007F6E0F"/>
    <w:rsid w:val="007F6ECA"/>
    <w:rsid w:val="007F6EEF"/>
    <w:rsid w:val="007F6F87"/>
    <w:rsid w:val="007F7401"/>
    <w:rsid w:val="007F742B"/>
    <w:rsid w:val="007F7511"/>
    <w:rsid w:val="007F7755"/>
    <w:rsid w:val="007F7B7C"/>
    <w:rsid w:val="007F7C64"/>
    <w:rsid w:val="007F7D8C"/>
    <w:rsid w:val="007F7F2D"/>
    <w:rsid w:val="00800187"/>
    <w:rsid w:val="008001E3"/>
    <w:rsid w:val="0080030E"/>
    <w:rsid w:val="00800521"/>
    <w:rsid w:val="008007AC"/>
    <w:rsid w:val="008009A8"/>
    <w:rsid w:val="008009B0"/>
    <w:rsid w:val="00800C8F"/>
    <w:rsid w:val="00801200"/>
    <w:rsid w:val="00801255"/>
    <w:rsid w:val="008012A4"/>
    <w:rsid w:val="0080130A"/>
    <w:rsid w:val="00801325"/>
    <w:rsid w:val="00801381"/>
    <w:rsid w:val="008014FE"/>
    <w:rsid w:val="00801540"/>
    <w:rsid w:val="0080168E"/>
    <w:rsid w:val="0080173E"/>
    <w:rsid w:val="00801B8E"/>
    <w:rsid w:val="00801D04"/>
    <w:rsid w:val="00801EDB"/>
    <w:rsid w:val="00801FB9"/>
    <w:rsid w:val="008020D1"/>
    <w:rsid w:val="008021C0"/>
    <w:rsid w:val="00802216"/>
    <w:rsid w:val="00802538"/>
    <w:rsid w:val="0080269C"/>
    <w:rsid w:val="008026F8"/>
    <w:rsid w:val="00802875"/>
    <w:rsid w:val="008028F7"/>
    <w:rsid w:val="00802988"/>
    <w:rsid w:val="0080298A"/>
    <w:rsid w:val="008029B5"/>
    <w:rsid w:val="00802A20"/>
    <w:rsid w:val="00802D1D"/>
    <w:rsid w:val="00802DB6"/>
    <w:rsid w:val="00802E75"/>
    <w:rsid w:val="008031EC"/>
    <w:rsid w:val="008031F9"/>
    <w:rsid w:val="00803393"/>
    <w:rsid w:val="008034D2"/>
    <w:rsid w:val="008034D8"/>
    <w:rsid w:val="0080352A"/>
    <w:rsid w:val="00803A40"/>
    <w:rsid w:val="00803BEC"/>
    <w:rsid w:val="00803E80"/>
    <w:rsid w:val="0080418E"/>
    <w:rsid w:val="00804431"/>
    <w:rsid w:val="00804801"/>
    <w:rsid w:val="008048D6"/>
    <w:rsid w:val="00804942"/>
    <w:rsid w:val="00804961"/>
    <w:rsid w:val="00804971"/>
    <w:rsid w:val="00804B1A"/>
    <w:rsid w:val="00804F2B"/>
    <w:rsid w:val="008051B3"/>
    <w:rsid w:val="008052B1"/>
    <w:rsid w:val="00805336"/>
    <w:rsid w:val="008054F0"/>
    <w:rsid w:val="0080582E"/>
    <w:rsid w:val="00805BD3"/>
    <w:rsid w:val="00805C19"/>
    <w:rsid w:val="00805D61"/>
    <w:rsid w:val="00806018"/>
    <w:rsid w:val="00806076"/>
    <w:rsid w:val="00806129"/>
    <w:rsid w:val="0080633A"/>
    <w:rsid w:val="00806395"/>
    <w:rsid w:val="00806670"/>
    <w:rsid w:val="00806773"/>
    <w:rsid w:val="00806AB1"/>
    <w:rsid w:val="00806B7B"/>
    <w:rsid w:val="00806BEE"/>
    <w:rsid w:val="00806E3B"/>
    <w:rsid w:val="0080700B"/>
    <w:rsid w:val="00807121"/>
    <w:rsid w:val="00807164"/>
    <w:rsid w:val="0080720A"/>
    <w:rsid w:val="00807307"/>
    <w:rsid w:val="008073D0"/>
    <w:rsid w:val="00807723"/>
    <w:rsid w:val="0080772C"/>
    <w:rsid w:val="00807915"/>
    <w:rsid w:val="00807B9C"/>
    <w:rsid w:val="00807D9D"/>
    <w:rsid w:val="00807DB6"/>
    <w:rsid w:val="00807FB4"/>
    <w:rsid w:val="0081001A"/>
    <w:rsid w:val="00810130"/>
    <w:rsid w:val="00810147"/>
    <w:rsid w:val="00810364"/>
    <w:rsid w:val="008103D7"/>
    <w:rsid w:val="00810762"/>
    <w:rsid w:val="0081076E"/>
    <w:rsid w:val="008108C5"/>
    <w:rsid w:val="0081097E"/>
    <w:rsid w:val="00810A5C"/>
    <w:rsid w:val="00810A71"/>
    <w:rsid w:val="00810A78"/>
    <w:rsid w:val="00810AA3"/>
    <w:rsid w:val="00810B54"/>
    <w:rsid w:val="00810C51"/>
    <w:rsid w:val="00810D42"/>
    <w:rsid w:val="00810D79"/>
    <w:rsid w:val="00810DE6"/>
    <w:rsid w:val="00810FB1"/>
    <w:rsid w:val="008110B5"/>
    <w:rsid w:val="008110DE"/>
    <w:rsid w:val="0081121D"/>
    <w:rsid w:val="00811340"/>
    <w:rsid w:val="008113CA"/>
    <w:rsid w:val="0081147C"/>
    <w:rsid w:val="008114A4"/>
    <w:rsid w:val="008114A9"/>
    <w:rsid w:val="00811647"/>
    <w:rsid w:val="00811C5E"/>
    <w:rsid w:val="00812203"/>
    <w:rsid w:val="008124FB"/>
    <w:rsid w:val="0081251B"/>
    <w:rsid w:val="00812792"/>
    <w:rsid w:val="0081282C"/>
    <w:rsid w:val="008128CC"/>
    <w:rsid w:val="008129FF"/>
    <w:rsid w:val="00812AD2"/>
    <w:rsid w:val="00812CB2"/>
    <w:rsid w:val="00812DED"/>
    <w:rsid w:val="00812E92"/>
    <w:rsid w:val="00812F01"/>
    <w:rsid w:val="008130D2"/>
    <w:rsid w:val="008130E5"/>
    <w:rsid w:val="00813184"/>
    <w:rsid w:val="008133D2"/>
    <w:rsid w:val="00813620"/>
    <w:rsid w:val="00813688"/>
    <w:rsid w:val="00813939"/>
    <w:rsid w:val="00813A6C"/>
    <w:rsid w:val="00813D1E"/>
    <w:rsid w:val="00813F29"/>
    <w:rsid w:val="0081403B"/>
    <w:rsid w:val="008140A5"/>
    <w:rsid w:val="0081435B"/>
    <w:rsid w:val="008144AD"/>
    <w:rsid w:val="0081458B"/>
    <w:rsid w:val="00814676"/>
    <w:rsid w:val="0081472C"/>
    <w:rsid w:val="00814774"/>
    <w:rsid w:val="008147B3"/>
    <w:rsid w:val="0081484C"/>
    <w:rsid w:val="00814935"/>
    <w:rsid w:val="00814A71"/>
    <w:rsid w:val="00814C9D"/>
    <w:rsid w:val="00814D6D"/>
    <w:rsid w:val="008152B5"/>
    <w:rsid w:val="008153E7"/>
    <w:rsid w:val="00815425"/>
    <w:rsid w:val="008154C5"/>
    <w:rsid w:val="008154F6"/>
    <w:rsid w:val="00815526"/>
    <w:rsid w:val="0081552A"/>
    <w:rsid w:val="008155E3"/>
    <w:rsid w:val="00815692"/>
    <w:rsid w:val="00815753"/>
    <w:rsid w:val="00815754"/>
    <w:rsid w:val="008158A1"/>
    <w:rsid w:val="008158EE"/>
    <w:rsid w:val="00815AB9"/>
    <w:rsid w:val="00815AF6"/>
    <w:rsid w:val="00815DA9"/>
    <w:rsid w:val="00815DDE"/>
    <w:rsid w:val="0081605E"/>
    <w:rsid w:val="0081617F"/>
    <w:rsid w:val="00816424"/>
    <w:rsid w:val="008164AF"/>
    <w:rsid w:val="0081654B"/>
    <w:rsid w:val="00816936"/>
    <w:rsid w:val="00816B0B"/>
    <w:rsid w:val="00816B4C"/>
    <w:rsid w:val="008171A0"/>
    <w:rsid w:val="008172EF"/>
    <w:rsid w:val="00817306"/>
    <w:rsid w:val="00817463"/>
    <w:rsid w:val="00817501"/>
    <w:rsid w:val="0081753A"/>
    <w:rsid w:val="00817638"/>
    <w:rsid w:val="00817669"/>
    <w:rsid w:val="0081769B"/>
    <w:rsid w:val="008177DD"/>
    <w:rsid w:val="0081787F"/>
    <w:rsid w:val="00817924"/>
    <w:rsid w:val="00817C09"/>
    <w:rsid w:val="00817DF4"/>
    <w:rsid w:val="00817FB2"/>
    <w:rsid w:val="0082004D"/>
    <w:rsid w:val="008200D6"/>
    <w:rsid w:val="0082013A"/>
    <w:rsid w:val="008201F0"/>
    <w:rsid w:val="008201F1"/>
    <w:rsid w:val="008204E3"/>
    <w:rsid w:val="008204E4"/>
    <w:rsid w:val="00820586"/>
    <w:rsid w:val="008207E4"/>
    <w:rsid w:val="008207E6"/>
    <w:rsid w:val="00820B58"/>
    <w:rsid w:val="00820BD5"/>
    <w:rsid w:val="00820DB3"/>
    <w:rsid w:val="00820E27"/>
    <w:rsid w:val="00820E89"/>
    <w:rsid w:val="00820E9A"/>
    <w:rsid w:val="00820F70"/>
    <w:rsid w:val="00821093"/>
    <w:rsid w:val="008210A5"/>
    <w:rsid w:val="0082110D"/>
    <w:rsid w:val="008211CE"/>
    <w:rsid w:val="0082143B"/>
    <w:rsid w:val="00821474"/>
    <w:rsid w:val="0082155E"/>
    <w:rsid w:val="00821743"/>
    <w:rsid w:val="008217FD"/>
    <w:rsid w:val="0082187E"/>
    <w:rsid w:val="0082188F"/>
    <w:rsid w:val="008218F8"/>
    <w:rsid w:val="0082192E"/>
    <w:rsid w:val="00821965"/>
    <w:rsid w:val="00821C1F"/>
    <w:rsid w:val="008220A6"/>
    <w:rsid w:val="008221F6"/>
    <w:rsid w:val="0082228A"/>
    <w:rsid w:val="00822327"/>
    <w:rsid w:val="0082236D"/>
    <w:rsid w:val="008227CF"/>
    <w:rsid w:val="008227E8"/>
    <w:rsid w:val="008228A5"/>
    <w:rsid w:val="00822B3C"/>
    <w:rsid w:val="00822E64"/>
    <w:rsid w:val="00822EB2"/>
    <w:rsid w:val="00822F0E"/>
    <w:rsid w:val="008230B1"/>
    <w:rsid w:val="008230ED"/>
    <w:rsid w:val="0082313F"/>
    <w:rsid w:val="00823153"/>
    <w:rsid w:val="008232BE"/>
    <w:rsid w:val="0082331A"/>
    <w:rsid w:val="008235C4"/>
    <w:rsid w:val="00823670"/>
    <w:rsid w:val="008238BF"/>
    <w:rsid w:val="008238D8"/>
    <w:rsid w:val="0082393F"/>
    <w:rsid w:val="00823D8E"/>
    <w:rsid w:val="00823FE8"/>
    <w:rsid w:val="00824027"/>
    <w:rsid w:val="0082425A"/>
    <w:rsid w:val="00824346"/>
    <w:rsid w:val="0082473B"/>
    <w:rsid w:val="0082490A"/>
    <w:rsid w:val="00824A3D"/>
    <w:rsid w:val="00824C9D"/>
    <w:rsid w:val="00824EDB"/>
    <w:rsid w:val="00824EE5"/>
    <w:rsid w:val="00824F04"/>
    <w:rsid w:val="0082508C"/>
    <w:rsid w:val="008251A6"/>
    <w:rsid w:val="008251E9"/>
    <w:rsid w:val="00825268"/>
    <w:rsid w:val="00825471"/>
    <w:rsid w:val="00825A66"/>
    <w:rsid w:val="00825C20"/>
    <w:rsid w:val="00825F73"/>
    <w:rsid w:val="00825FF4"/>
    <w:rsid w:val="0082615B"/>
    <w:rsid w:val="008261C5"/>
    <w:rsid w:val="0082627D"/>
    <w:rsid w:val="00826332"/>
    <w:rsid w:val="008263C1"/>
    <w:rsid w:val="008263D9"/>
    <w:rsid w:val="00826475"/>
    <w:rsid w:val="00826538"/>
    <w:rsid w:val="00826770"/>
    <w:rsid w:val="00826D06"/>
    <w:rsid w:val="00826ED0"/>
    <w:rsid w:val="00826F71"/>
    <w:rsid w:val="00827206"/>
    <w:rsid w:val="00827480"/>
    <w:rsid w:val="00827508"/>
    <w:rsid w:val="008275B0"/>
    <w:rsid w:val="0082786E"/>
    <w:rsid w:val="00827B9B"/>
    <w:rsid w:val="00827CC3"/>
    <w:rsid w:val="00827D6A"/>
    <w:rsid w:val="0082A2B8"/>
    <w:rsid w:val="0083040D"/>
    <w:rsid w:val="00830626"/>
    <w:rsid w:val="008307B0"/>
    <w:rsid w:val="00830869"/>
    <w:rsid w:val="008309FF"/>
    <w:rsid w:val="00830CC7"/>
    <w:rsid w:val="00830D11"/>
    <w:rsid w:val="00830D38"/>
    <w:rsid w:val="00830ED9"/>
    <w:rsid w:val="00830EDB"/>
    <w:rsid w:val="00830EFB"/>
    <w:rsid w:val="008311BF"/>
    <w:rsid w:val="008316D6"/>
    <w:rsid w:val="0083192E"/>
    <w:rsid w:val="0083194B"/>
    <w:rsid w:val="00831EF9"/>
    <w:rsid w:val="00831F21"/>
    <w:rsid w:val="008320F0"/>
    <w:rsid w:val="00832377"/>
    <w:rsid w:val="008323A2"/>
    <w:rsid w:val="0083269C"/>
    <w:rsid w:val="00832828"/>
    <w:rsid w:val="00832A81"/>
    <w:rsid w:val="00832E56"/>
    <w:rsid w:val="00832E97"/>
    <w:rsid w:val="00832EC6"/>
    <w:rsid w:val="00832F50"/>
    <w:rsid w:val="00833009"/>
    <w:rsid w:val="0083326E"/>
    <w:rsid w:val="0083347D"/>
    <w:rsid w:val="008334B8"/>
    <w:rsid w:val="008335AE"/>
    <w:rsid w:val="00833810"/>
    <w:rsid w:val="00833840"/>
    <w:rsid w:val="0083388E"/>
    <w:rsid w:val="00833CD6"/>
    <w:rsid w:val="00833E87"/>
    <w:rsid w:val="0083407D"/>
    <w:rsid w:val="00834367"/>
    <w:rsid w:val="008343E8"/>
    <w:rsid w:val="00834440"/>
    <w:rsid w:val="008346E4"/>
    <w:rsid w:val="00834769"/>
    <w:rsid w:val="00834AB9"/>
    <w:rsid w:val="00834B22"/>
    <w:rsid w:val="00834C53"/>
    <w:rsid w:val="00834D29"/>
    <w:rsid w:val="00834D7D"/>
    <w:rsid w:val="00834E0E"/>
    <w:rsid w:val="008351F0"/>
    <w:rsid w:val="0083521C"/>
    <w:rsid w:val="008353F5"/>
    <w:rsid w:val="00835470"/>
    <w:rsid w:val="008354AA"/>
    <w:rsid w:val="008354E3"/>
    <w:rsid w:val="0083570E"/>
    <w:rsid w:val="008357E4"/>
    <w:rsid w:val="0083603A"/>
    <w:rsid w:val="00836163"/>
    <w:rsid w:val="008361EA"/>
    <w:rsid w:val="008361FC"/>
    <w:rsid w:val="008364C5"/>
    <w:rsid w:val="0083678A"/>
    <w:rsid w:val="008369A3"/>
    <w:rsid w:val="00836C76"/>
    <w:rsid w:val="00836D47"/>
    <w:rsid w:val="00836D67"/>
    <w:rsid w:val="00836FF9"/>
    <w:rsid w:val="00837016"/>
    <w:rsid w:val="0083708B"/>
    <w:rsid w:val="0083714A"/>
    <w:rsid w:val="0083714E"/>
    <w:rsid w:val="00837269"/>
    <w:rsid w:val="00837300"/>
    <w:rsid w:val="00837381"/>
    <w:rsid w:val="00837402"/>
    <w:rsid w:val="00837582"/>
    <w:rsid w:val="00837586"/>
    <w:rsid w:val="0083760A"/>
    <w:rsid w:val="008377D9"/>
    <w:rsid w:val="0083786F"/>
    <w:rsid w:val="00837970"/>
    <w:rsid w:val="00837F65"/>
    <w:rsid w:val="00837FF6"/>
    <w:rsid w:val="00840139"/>
    <w:rsid w:val="0084014C"/>
    <w:rsid w:val="008403D3"/>
    <w:rsid w:val="00840706"/>
    <w:rsid w:val="008407E8"/>
    <w:rsid w:val="008409BF"/>
    <w:rsid w:val="00840A34"/>
    <w:rsid w:val="00840A54"/>
    <w:rsid w:val="00840DB9"/>
    <w:rsid w:val="008410B6"/>
    <w:rsid w:val="008412C3"/>
    <w:rsid w:val="0084134D"/>
    <w:rsid w:val="00841392"/>
    <w:rsid w:val="008413A7"/>
    <w:rsid w:val="008413D7"/>
    <w:rsid w:val="00841454"/>
    <w:rsid w:val="008414D2"/>
    <w:rsid w:val="0084178C"/>
    <w:rsid w:val="00841968"/>
    <w:rsid w:val="00841A93"/>
    <w:rsid w:val="00841B11"/>
    <w:rsid w:val="00841E34"/>
    <w:rsid w:val="00842154"/>
    <w:rsid w:val="008425A1"/>
    <w:rsid w:val="0084268B"/>
    <w:rsid w:val="00842861"/>
    <w:rsid w:val="008429A8"/>
    <w:rsid w:val="00842A44"/>
    <w:rsid w:val="00842A4C"/>
    <w:rsid w:val="00842AB9"/>
    <w:rsid w:val="00843263"/>
    <w:rsid w:val="00843373"/>
    <w:rsid w:val="0084337E"/>
    <w:rsid w:val="008433AF"/>
    <w:rsid w:val="00843465"/>
    <w:rsid w:val="0084394C"/>
    <w:rsid w:val="00843CAB"/>
    <w:rsid w:val="00843D06"/>
    <w:rsid w:val="00843F15"/>
    <w:rsid w:val="00843FF2"/>
    <w:rsid w:val="008442DE"/>
    <w:rsid w:val="008445C4"/>
    <w:rsid w:val="00844B5D"/>
    <w:rsid w:val="00844BA3"/>
    <w:rsid w:val="00844C14"/>
    <w:rsid w:val="00844C66"/>
    <w:rsid w:val="0084513F"/>
    <w:rsid w:val="008452DA"/>
    <w:rsid w:val="0084531B"/>
    <w:rsid w:val="00845879"/>
    <w:rsid w:val="00845924"/>
    <w:rsid w:val="0084596C"/>
    <w:rsid w:val="00845A68"/>
    <w:rsid w:val="00845B33"/>
    <w:rsid w:val="00845C44"/>
    <w:rsid w:val="00845C9B"/>
    <w:rsid w:val="00845CC4"/>
    <w:rsid w:val="00845E50"/>
    <w:rsid w:val="00845F3D"/>
    <w:rsid w:val="00846158"/>
    <w:rsid w:val="008463B3"/>
    <w:rsid w:val="0084643D"/>
    <w:rsid w:val="008464D3"/>
    <w:rsid w:val="00846504"/>
    <w:rsid w:val="00846634"/>
    <w:rsid w:val="0084670D"/>
    <w:rsid w:val="008468AA"/>
    <w:rsid w:val="0084696B"/>
    <w:rsid w:val="00846A41"/>
    <w:rsid w:val="00846A90"/>
    <w:rsid w:val="00846ADB"/>
    <w:rsid w:val="00846F53"/>
    <w:rsid w:val="00846F93"/>
    <w:rsid w:val="0084703D"/>
    <w:rsid w:val="00847239"/>
    <w:rsid w:val="00847255"/>
    <w:rsid w:val="00847328"/>
    <w:rsid w:val="008473BC"/>
    <w:rsid w:val="0084747F"/>
    <w:rsid w:val="008474C2"/>
    <w:rsid w:val="0084769E"/>
    <w:rsid w:val="00847765"/>
    <w:rsid w:val="008477D9"/>
    <w:rsid w:val="008478CE"/>
    <w:rsid w:val="0084795B"/>
    <w:rsid w:val="00847A97"/>
    <w:rsid w:val="00847BEE"/>
    <w:rsid w:val="00847C2B"/>
    <w:rsid w:val="00847C55"/>
    <w:rsid w:val="00847C8A"/>
    <w:rsid w:val="00847E7D"/>
    <w:rsid w:val="00847F14"/>
    <w:rsid w:val="00850115"/>
    <w:rsid w:val="008502F8"/>
    <w:rsid w:val="008503CA"/>
    <w:rsid w:val="00850409"/>
    <w:rsid w:val="008504F3"/>
    <w:rsid w:val="00850689"/>
    <w:rsid w:val="00850785"/>
    <w:rsid w:val="008507D0"/>
    <w:rsid w:val="0085091F"/>
    <w:rsid w:val="00850948"/>
    <w:rsid w:val="008509BB"/>
    <w:rsid w:val="00850B48"/>
    <w:rsid w:val="00850C1F"/>
    <w:rsid w:val="00850CB2"/>
    <w:rsid w:val="00850CF7"/>
    <w:rsid w:val="00850DEC"/>
    <w:rsid w:val="0085100E"/>
    <w:rsid w:val="00851151"/>
    <w:rsid w:val="008511DB"/>
    <w:rsid w:val="00851279"/>
    <w:rsid w:val="0085129F"/>
    <w:rsid w:val="008514AF"/>
    <w:rsid w:val="00851539"/>
    <w:rsid w:val="00851A24"/>
    <w:rsid w:val="00851B27"/>
    <w:rsid w:val="00851CCF"/>
    <w:rsid w:val="0085229E"/>
    <w:rsid w:val="008526D8"/>
    <w:rsid w:val="008527FE"/>
    <w:rsid w:val="00852B8A"/>
    <w:rsid w:val="00852CA3"/>
    <w:rsid w:val="00852DBC"/>
    <w:rsid w:val="00852DE6"/>
    <w:rsid w:val="00852E53"/>
    <w:rsid w:val="0085303E"/>
    <w:rsid w:val="0085312F"/>
    <w:rsid w:val="008534B3"/>
    <w:rsid w:val="0085365C"/>
    <w:rsid w:val="00853661"/>
    <w:rsid w:val="0085387A"/>
    <w:rsid w:val="00853913"/>
    <w:rsid w:val="008539B2"/>
    <w:rsid w:val="008539FA"/>
    <w:rsid w:val="00853A29"/>
    <w:rsid w:val="00853AD6"/>
    <w:rsid w:val="00853E77"/>
    <w:rsid w:val="00853F6A"/>
    <w:rsid w:val="00853FE0"/>
    <w:rsid w:val="00854130"/>
    <w:rsid w:val="00854157"/>
    <w:rsid w:val="008542DC"/>
    <w:rsid w:val="00854490"/>
    <w:rsid w:val="00854536"/>
    <w:rsid w:val="00854555"/>
    <w:rsid w:val="008547B4"/>
    <w:rsid w:val="00854989"/>
    <w:rsid w:val="008549AB"/>
    <w:rsid w:val="008549E9"/>
    <w:rsid w:val="00854A23"/>
    <w:rsid w:val="00854B31"/>
    <w:rsid w:val="00854B58"/>
    <w:rsid w:val="00854C0D"/>
    <w:rsid w:val="00854D9F"/>
    <w:rsid w:val="00854DCE"/>
    <w:rsid w:val="008553C3"/>
    <w:rsid w:val="00855465"/>
    <w:rsid w:val="00855488"/>
    <w:rsid w:val="008554CE"/>
    <w:rsid w:val="008554EF"/>
    <w:rsid w:val="008555E7"/>
    <w:rsid w:val="008557D0"/>
    <w:rsid w:val="00855837"/>
    <w:rsid w:val="0085583B"/>
    <w:rsid w:val="0085597E"/>
    <w:rsid w:val="008559DC"/>
    <w:rsid w:val="00855A4D"/>
    <w:rsid w:val="00855A8A"/>
    <w:rsid w:val="00855CA7"/>
    <w:rsid w:val="00855CB8"/>
    <w:rsid w:val="00855D2C"/>
    <w:rsid w:val="00855DCA"/>
    <w:rsid w:val="00855F15"/>
    <w:rsid w:val="00855FB5"/>
    <w:rsid w:val="00856067"/>
    <w:rsid w:val="00856428"/>
    <w:rsid w:val="00856450"/>
    <w:rsid w:val="00856485"/>
    <w:rsid w:val="00856592"/>
    <w:rsid w:val="008566ED"/>
    <w:rsid w:val="008566F7"/>
    <w:rsid w:val="00856976"/>
    <w:rsid w:val="00856A6A"/>
    <w:rsid w:val="00856C5E"/>
    <w:rsid w:val="00856CBD"/>
    <w:rsid w:val="00856D42"/>
    <w:rsid w:val="00856F00"/>
    <w:rsid w:val="00856F6D"/>
    <w:rsid w:val="008572C7"/>
    <w:rsid w:val="008572EB"/>
    <w:rsid w:val="00857325"/>
    <w:rsid w:val="0085735A"/>
    <w:rsid w:val="00857554"/>
    <w:rsid w:val="008578D5"/>
    <w:rsid w:val="008578D9"/>
    <w:rsid w:val="00857972"/>
    <w:rsid w:val="00857E4F"/>
    <w:rsid w:val="00857E85"/>
    <w:rsid w:val="008600D7"/>
    <w:rsid w:val="008603FA"/>
    <w:rsid w:val="0086046C"/>
    <w:rsid w:val="0086048B"/>
    <w:rsid w:val="008605E1"/>
    <w:rsid w:val="008607FE"/>
    <w:rsid w:val="00860A6D"/>
    <w:rsid w:val="00860C2C"/>
    <w:rsid w:val="00860E75"/>
    <w:rsid w:val="00860F91"/>
    <w:rsid w:val="0086103A"/>
    <w:rsid w:val="0086111F"/>
    <w:rsid w:val="008612A2"/>
    <w:rsid w:val="00861359"/>
    <w:rsid w:val="008617EA"/>
    <w:rsid w:val="00861D79"/>
    <w:rsid w:val="00861F58"/>
    <w:rsid w:val="0086201A"/>
    <w:rsid w:val="0086208D"/>
    <w:rsid w:val="00862100"/>
    <w:rsid w:val="0086212D"/>
    <w:rsid w:val="008623A3"/>
    <w:rsid w:val="008627AE"/>
    <w:rsid w:val="008628A8"/>
    <w:rsid w:val="008629DC"/>
    <w:rsid w:val="008629E3"/>
    <w:rsid w:val="00862B4D"/>
    <w:rsid w:val="00862D5B"/>
    <w:rsid w:val="00862F6B"/>
    <w:rsid w:val="0086321E"/>
    <w:rsid w:val="008632CD"/>
    <w:rsid w:val="00863798"/>
    <w:rsid w:val="00863882"/>
    <w:rsid w:val="0086394D"/>
    <w:rsid w:val="00863B0A"/>
    <w:rsid w:val="00863D28"/>
    <w:rsid w:val="00863DD3"/>
    <w:rsid w:val="008640AD"/>
    <w:rsid w:val="00864141"/>
    <w:rsid w:val="008642CD"/>
    <w:rsid w:val="00864321"/>
    <w:rsid w:val="00864462"/>
    <w:rsid w:val="0086446C"/>
    <w:rsid w:val="0086472B"/>
    <w:rsid w:val="008649D0"/>
    <w:rsid w:val="00864B5B"/>
    <w:rsid w:val="00864EA2"/>
    <w:rsid w:val="00864F53"/>
    <w:rsid w:val="0086549A"/>
    <w:rsid w:val="0086565F"/>
    <w:rsid w:val="0086594E"/>
    <w:rsid w:val="00865A30"/>
    <w:rsid w:val="00865AEE"/>
    <w:rsid w:val="00865DC8"/>
    <w:rsid w:val="00865ED5"/>
    <w:rsid w:val="00865ED8"/>
    <w:rsid w:val="00865F28"/>
    <w:rsid w:val="00865F3A"/>
    <w:rsid w:val="00865FAA"/>
    <w:rsid w:val="00865FF1"/>
    <w:rsid w:val="00866085"/>
    <w:rsid w:val="008661DC"/>
    <w:rsid w:val="008662CF"/>
    <w:rsid w:val="00866390"/>
    <w:rsid w:val="008668B3"/>
    <w:rsid w:val="008668C7"/>
    <w:rsid w:val="00866A9E"/>
    <w:rsid w:val="00866AFC"/>
    <w:rsid w:val="00866BB1"/>
    <w:rsid w:val="00866D31"/>
    <w:rsid w:val="00866D8A"/>
    <w:rsid w:val="00866EAF"/>
    <w:rsid w:val="00866FA7"/>
    <w:rsid w:val="00867312"/>
    <w:rsid w:val="00867396"/>
    <w:rsid w:val="0086758B"/>
    <w:rsid w:val="008675D5"/>
    <w:rsid w:val="0086770B"/>
    <w:rsid w:val="00867773"/>
    <w:rsid w:val="008678D0"/>
    <w:rsid w:val="00867907"/>
    <w:rsid w:val="008679F4"/>
    <w:rsid w:val="00867A2C"/>
    <w:rsid w:val="00867A8E"/>
    <w:rsid w:val="00867A98"/>
    <w:rsid w:val="00867D44"/>
    <w:rsid w:val="00867E2C"/>
    <w:rsid w:val="00867EF3"/>
    <w:rsid w:val="00867F5E"/>
    <w:rsid w:val="0087013B"/>
    <w:rsid w:val="008701BF"/>
    <w:rsid w:val="00870238"/>
    <w:rsid w:val="008702E4"/>
    <w:rsid w:val="00870573"/>
    <w:rsid w:val="00870615"/>
    <w:rsid w:val="00870627"/>
    <w:rsid w:val="00870771"/>
    <w:rsid w:val="00870C49"/>
    <w:rsid w:val="00870D21"/>
    <w:rsid w:val="00870D58"/>
    <w:rsid w:val="00870DF5"/>
    <w:rsid w:val="00870FA7"/>
    <w:rsid w:val="00871107"/>
    <w:rsid w:val="00871292"/>
    <w:rsid w:val="008712A0"/>
    <w:rsid w:val="008712AF"/>
    <w:rsid w:val="00871775"/>
    <w:rsid w:val="008717D4"/>
    <w:rsid w:val="008718A6"/>
    <w:rsid w:val="00871B2D"/>
    <w:rsid w:val="00871CF8"/>
    <w:rsid w:val="00871F0A"/>
    <w:rsid w:val="00871F23"/>
    <w:rsid w:val="00871FBB"/>
    <w:rsid w:val="008720C7"/>
    <w:rsid w:val="00872156"/>
    <w:rsid w:val="0087216D"/>
    <w:rsid w:val="00872366"/>
    <w:rsid w:val="008723F5"/>
    <w:rsid w:val="00872415"/>
    <w:rsid w:val="0087256B"/>
    <w:rsid w:val="00872621"/>
    <w:rsid w:val="008726D3"/>
    <w:rsid w:val="008727AA"/>
    <w:rsid w:val="00872870"/>
    <w:rsid w:val="00872959"/>
    <w:rsid w:val="008729DD"/>
    <w:rsid w:val="00872BEE"/>
    <w:rsid w:val="00872F2D"/>
    <w:rsid w:val="0087309D"/>
    <w:rsid w:val="00873250"/>
    <w:rsid w:val="008732CA"/>
    <w:rsid w:val="00873300"/>
    <w:rsid w:val="008736A9"/>
    <w:rsid w:val="00873773"/>
    <w:rsid w:val="00873813"/>
    <w:rsid w:val="00873825"/>
    <w:rsid w:val="0087385E"/>
    <w:rsid w:val="008738EA"/>
    <w:rsid w:val="00873927"/>
    <w:rsid w:val="0087398A"/>
    <w:rsid w:val="008739EF"/>
    <w:rsid w:val="00873A14"/>
    <w:rsid w:val="00873A2B"/>
    <w:rsid w:val="00873ADE"/>
    <w:rsid w:val="00873C5E"/>
    <w:rsid w:val="00873E98"/>
    <w:rsid w:val="00873EF4"/>
    <w:rsid w:val="008742AC"/>
    <w:rsid w:val="00874304"/>
    <w:rsid w:val="0087442D"/>
    <w:rsid w:val="00874439"/>
    <w:rsid w:val="008747CA"/>
    <w:rsid w:val="008747EE"/>
    <w:rsid w:val="00874A05"/>
    <w:rsid w:val="00874C4A"/>
    <w:rsid w:val="008750BF"/>
    <w:rsid w:val="008751D5"/>
    <w:rsid w:val="00875367"/>
    <w:rsid w:val="00875417"/>
    <w:rsid w:val="0087548B"/>
    <w:rsid w:val="008759AA"/>
    <w:rsid w:val="008759C0"/>
    <w:rsid w:val="00875B05"/>
    <w:rsid w:val="00875B99"/>
    <w:rsid w:val="00875C04"/>
    <w:rsid w:val="00875C15"/>
    <w:rsid w:val="00875C79"/>
    <w:rsid w:val="00875CB6"/>
    <w:rsid w:val="00875F3F"/>
    <w:rsid w:val="0087612D"/>
    <w:rsid w:val="00876233"/>
    <w:rsid w:val="0087626C"/>
    <w:rsid w:val="0087630C"/>
    <w:rsid w:val="0087658F"/>
    <w:rsid w:val="008765A7"/>
    <w:rsid w:val="00876728"/>
    <w:rsid w:val="008768B1"/>
    <w:rsid w:val="008768DD"/>
    <w:rsid w:val="0087692B"/>
    <w:rsid w:val="00876CDD"/>
    <w:rsid w:val="00876D80"/>
    <w:rsid w:val="00876DA0"/>
    <w:rsid w:val="00876DBA"/>
    <w:rsid w:val="00876F7D"/>
    <w:rsid w:val="00876F9A"/>
    <w:rsid w:val="00877067"/>
    <w:rsid w:val="0087732D"/>
    <w:rsid w:val="00877482"/>
    <w:rsid w:val="0087748D"/>
    <w:rsid w:val="0087762A"/>
    <w:rsid w:val="008776BA"/>
    <w:rsid w:val="0087775F"/>
    <w:rsid w:val="008777C9"/>
    <w:rsid w:val="00877B7D"/>
    <w:rsid w:val="00877C17"/>
    <w:rsid w:val="00877DB2"/>
    <w:rsid w:val="00877FDC"/>
    <w:rsid w:val="00880140"/>
    <w:rsid w:val="0088026E"/>
    <w:rsid w:val="00880677"/>
    <w:rsid w:val="0088072F"/>
    <w:rsid w:val="00880948"/>
    <w:rsid w:val="0088099A"/>
    <w:rsid w:val="00880BEB"/>
    <w:rsid w:val="008811F2"/>
    <w:rsid w:val="00881209"/>
    <w:rsid w:val="008814D0"/>
    <w:rsid w:val="008815A5"/>
    <w:rsid w:val="008815B6"/>
    <w:rsid w:val="0088175A"/>
    <w:rsid w:val="008819C2"/>
    <w:rsid w:val="00881B62"/>
    <w:rsid w:val="00881C69"/>
    <w:rsid w:val="00881D65"/>
    <w:rsid w:val="00881DDB"/>
    <w:rsid w:val="00882066"/>
    <w:rsid w:val="0088211D"/>
    <w:rsid w:val="008821DF"/>
    <w:rsid w:val="00882626"/>
    <w:rsid w:val="008827E3"/>
    <w:rsid w:val="008829EE"/>
    <w:rsid w:val="00882BB2"/>
    <w:rsid w:val="00882BB3"/>
    <w:rsid w:val="00882D3C"/>
    <w:rsid w:val="00882E5C"/>
    <w:rsid w:val="00883515"/>
    <w:rsid w:val="008835B4"/>
    <w:rsid w:val="00883654"/>
    <w:rsid w:val="0088366F"/>
    <w:rsid w:val="008839E5"/>
    <w:rsid w:val="00883B0C"/>
    <w:rsid w:val="00883B8E"/>
    <w:rsid w:val="00883C78"/>
    <w:rsid w:val="00883D80"/>
    <w:rsid w:val="00883DE2"/>
    <w:rsid w:val="00883F46"/>
    <w:rsid w:val="00883F5F"/>
    <w:rsid w:val="008840B1"/>
    <w:rsid w:val="00884205"/>
    <w:rsid w:val="0088422D"/>
    <w:rsid w:val="008844B0"/>
    <w:rsid w:val="00884541"/>
    <w:rsid w:val="008846ED"/>
    <w:rsid w:val="00884741"/>
    <w:rsid w:val="0088474C"/>
    <w:rsid w:val="00884867"/>
    <w:rsid w:val="008849A4"/>
    <w:rsid w:val="008849C0"/>
    <w:rsid w:val="00884ACE"/>
    <w:rsid w:val="00884C11"/>
    <w:rsid w:val="00884D5C"/>
    <w:rsid w:val="00884DA4"/>
    <w:rsid w:val="00884DF0"/>
    <w:rsid w:val="00884E41"/>
    <w:rsid w:val="00884E62"/>
    <w:rsid w:val="00884EA0"/>
    <w:rsid w:val="00885209"/>
    <w:rsid w:val="008852BE"/>
    <w:rsid w:val="008854E5"/>
    <w:rsid w:val="008855CD"/>
    <w:rsid w:val="00885682"/>
    <w:rsid w:val="0088570A"/>
    <w:rsid w:val="00885755"/>
    <w:rsid w:val="00885897"/>
    <w:rsid w:val="008859BE"/>
    <w:rsid w:val="00886098"/>
    <w:rsid w:val="0088624D"/>
    <w:rsid w:val="008862C1"/>
    <w:rsid w:val="008863FA"/>
    <w:rsid w:val="0088655E"/>
    <w:rsid w:val="008865C3"/>
    <w:rsid w:val="008866B8"/>
    <w:rsid w:val="0088677B"/>
    <w:rsid w:val="0088679E"/>
    <w:rsid w:val="00886975"/>
    <w:rsid w:val="00886C22"/>
    <w:rsid w:val="00886F4D"/>
    <w:rsid w:val="00886FA9"/>
    <w:rsid w:val="00886FF9"/>
    <w:rsid w:val="0088706C"/>
    <w:rsid w:val="008871E6"/>
    <w:rsid w:val="008873CC"/>
    <w:rsid w:val="00887405"/>
    <w:rsid w:val="0088761A"/>
    <w:rsid w:val="0088798E"/>
    <w:rsid w:val="00887AD3"/>
    <w:rsid w:val="00887C61"/>
    <w:rsid w:val="00887C94"/>
    <w:rsid w:val="00887D68"/>
    <w:rsid w:val="00887D88"/>
    <w:rsid w:val="00887E0D"/>
    <w:rsid w:val="00887F5C"/>
    <w:rsid w:val="00890099"/>
    <w:rsid w:val="008900CF"/>
    <w:rsid w:val="008901F6"/>
    <w:rsid w:val="008903B8"/>
    <w:rsid w:val="008903D9"/>
    <w:rsid w:val="00890438"/>
    <w:rsid w:val="008905B2"/>
    <w:rsid w:val="0089084C"/>
    <w:rsid w:val="00890A9E"/>
    <w:rsid w:val="00890B30"/>
    <w:rsid w:val="00890BEF"/>
    <w:rsid w:val="00890E2D"/>
    <w:rsid w:val="00890F25"/>
    <w:rsid w:val="00890F6E"/>
    <w:rsid w:val="0089143A"/>
    <w:rsid w:val="00891523"/>
    <w:rsid w:val="0089162C"/>
    <w:rsid w:val="008917CC"/>
    <w:rsid w:val="00891A35"/>
    <w:rsid w:val="00891ADA"/>
    <w:rsid w:val="00891B70"/>
    <w:rsid w:val="00891CBF"/>
    <w:rsid w:val="00891EAA"/>
    <w:rsid w:val="0089200E"/>
    <w:rsid w:val="008924BB"/>
    <w:rsid w:val="0089251B"/>
    <w:rsid w:val="00892576"/>
    <w:rsid w:val="00892862"/>
    <w:rsid w:val="00892EED"/>
    <w:rsid w:val="0089311C"/>
    <w:rsid w:val="00893240"/>
    <w:rsid w:val="008932A9"/>
    <w:rsid w:val="008935EF"/>
    <w:rsid w:val="0089364F"/>
    <w:rsid w:val="00893831"/>
    <w:rsid w:val="008938E9"/>
    <w:rsid w:val="00893B77"/>
    <w:rsid w:val="00893BBE"/>
    <w:rsid w:val="00893BDA"/>
    <w:rsid w:val="00893C84"/>
    <w:rsid w:val="00893E57"/>
    <w:rsid w:val="00893E59"/>
    <w:rsid w:val="00893E79"/>
    <w:rsid w:val="00894029"/>
    <w:rsid w:val="008941B5"/>
    <w:rsid w:val="0089452E"/>
    <w:rsid w:val="008945AE"/>
    <w:rsid w:val="00894601"/>
    <w:rsid w:val="008946D1"/>
    <w:rsid w:val="0089489A"/>
    <w:rsid w:val="0089492F"/>
    <w:rsid w:val="008949C7"/>
    <w:rsid w:val="00894AF8"/>
    <w:rsid w:val="00894BAD"/>
    <w:rsid w:val="00894C90"/>
    <w:rsid w:val="00894CD3"/>
    <w:rsid w:val="00894D3D"/>
    <w:rsid w:val="00894E43"/>
    <w:rsid w:val="00894FDC"/>
    <w:rsid w:val="00894FF7"/>
    <w:rsid w:val="008950D1"/>
    <w:rsid w:val="00895613"/>
    <w:rsid w:val="00895714"/>
    <w:rsid w:val="00895866"/>
    <w:rsid w:val="00895909"/>
    <w:rsid w:val="0089591B"/>
    <w:rsid w:val="00895922"/>
    <w:rsid w:val="00895AF1"/>
    <w:rsid w:val="00895CE3"/>
    <w:rsid w:val="00895D49"/>
    <w:rsid w:val="00896074"/>
    <w:rsid w:val="00896272"/>
    <w:rsid w:val="008962A0"/>
    <w:rsid w:val="00896371"/>
    <w:rsid w:val="008967C7"/>
    <w:rsid w:val="00896965"/>
    <w:rsid w:val="0089699B"/>
    <w:rsid w:val="00896B82"/>
    <w:rsid w:val="00896CDD"/>
    <w:rsid w:val="00896EF4"/>
    <w:rsid w:val="00896F78"/>
    <w:rsid w:val="00897018"/>
    <w:rsid w:val="008972DF"/>
    <w:rsid w:val="00897378"/>
    <w:rsid w:val="0089767F"/>
    <w:rsid w:val="00897742"/>
    <w:rsid w:val="00897B48"/>
    <w:rsid w:val="00897D07"/>
    <w:rsid w:val="008A0001"/>
    <w:rsid w:val="008A02CD"/>
    <w:rsid w:val="008A05A2"/>
    <w:rsid w:val="008A0A28"/>
    <w:rsid w:val="008A0FF2"/>
    <w:rsid w:val="008A102D"/>
    <w:rsid w:val="008A1039"/>
    <w:rsid w:val="008A118B"/>
    <w:rsid w:val="008A1226"/>
    <w:rsid w:val="008A134B"/>
    <w:rsid w:val="008A13EC"/>
    <w:rsid w:val="008A1530"/>
    <w:rsid w:val="008A1722"/>
    <w:rsid w:val="008A1781"/>
    <w:rsid w:val="008A17FE"/>
    <w:rsid w:val="008A1934"/>
    <w:rsid w:val="008A1A3D"/>
    <w:rsid w:val="008A1B22"/>
    <w:rsid w:val="008A1D98"/>
    <w:rsid w:val="008A1EE2"/>
    <w:rsid w:val="008A1EFE"/>
    <w:rsid w:val="008A21F3"/>
    <w:rsid w:val="008A227C"/>
    <w:rsid w:val="008A24F0"/>
    <w:rsid w:val="008A2654"/>
    <w:rsid w:val="008A26D9"/>
    <w:rsid w:val="008A279C"/>
    <w:rsid w:val="008A27EF"/>
    <w:rsid w:val="008A2B58"/>
    <w:rsid w:val="008A2C41"/>
    <w:rsid w:val="008A2D0B"/>
    <w:rsid w:val="008A2D15"/>
    <w:rsid w:val="008A2D52"/>
    <w:rsid w:val="008A2ECB"/>
    <w:rsid w:val="008A3181"/>
    <w:rsid w:val="008A3285"/>
    <w:rsid w:val="008A3417"/>
    <w:rsid w:val="008A35E2"/>
    <w:rsid w:val="008A3603"/>
    <w:rsid w:val="008A3653"/>
    <w:rsid w:val="008A3826"/>
    <w:rsid w:val="008A3C52"/>
    <w:rsid w:val="008A3FFC"/>
    <w:rsid w:val="008A42E2"/>
    <w:rsid w:val="008A44E4"/>
    <w:rsid w:val="008A452E"/>
    <w:rsid w:val="008A45BD"/>
    <w:rsid w:val="008A4654"/>
    <w:rsid w:val="008A46E7"/>
    <w:rsid w:val="008A4745"/>
    <w:rsid w:val="008A48E7"/>
    <w:rsid w:val="008A4CA6"/>
    <w:rsid w:val="008A4CBA"/>
    <w:rsid w:val="008A4CE6"/>
    <w:rsid w:val="008A4DDC"/>
    <w:rsid w:val="008A4F06"/>
    <w:rsid w:val="008A4F8B"/>
    <w:rsid w:val="008A4FEF"/>
    <w:rsid w:val="008A5124"/>
    <w:rsid w:val="008A54C2"/>
    <w:rsid w:val="008A57DC"/>
    <w:rsid w:val="008A5819"/>
    <w:rsid w:val="008A5981"/>
    <w:rsid w:val="008A59B0"/>
    <w:rsid w:val="008A5E07"/>
    <w:rsid w:val="008A5F89"/>
    <w:rsid w:val="008A60A9"/>
    <w:rsid w:val="008A621A"/>
    <w:rsid w:val="008A6241"/>
    <w:rsid w:val="008A62CD"/>
    <w:rsid w:val="008A6401"/>
    <w:rsid w:val="008A640F"/>
    <w:rsid w:val="008A6491"/>
    <w:rsid w:val="008A64D8"/>
    <w:rsid w:val="008A6658"/>
    <w:rsid w:val="008A6708"/>
    <w:rsid w:val="008A6723"/>
    <w:rsid w:val="008A687A"/>
    <w:rsid w:val="008A687B"/>
    <w:rsid w:val="008A68C5"/>
    <w:rsid w:val="008A6B84"/>
    <w:rsid w:val="008A6C8C"/>
    <w:rsid w:val="008A6E03"/>
    <w:rsid w:val="008A7021"/>
    <w:rsid w:val="008A709A"/>
    <w:rsid w:val="008A70C3"/>
    <w:rsid w:val="008A7164"/>
    <w:rsid w:val="008A71FB"/>
    <w:rsid w:val="008A727B"/>
    <w:rsid w:val="008A75AF"/>
    <w:rsid w:val="008A770A"/>
    <w:rsid w:val="008A7795"/>
    <w:rsid w:val="008A782E"/>
    <w:rsid w:val="008A78A4"/>
    <w:rsid w:val="008A79EF"/>
    <w:rsid w:val="008A7AFD"/>
    <w:rsid w:val="008A7B1D"/>
    <w:rsid w:val="008A7CF1"/>
    <w:rsid w:val="008A7E16"/>
    <w:rsid w:val="008A7E59"/>
    <w:rsid w:val="008B013E"/>
    <w:rsid w:val="008B01D0"/>
    <w:rsid w:val="008B0494"/>
    <w:rsid w:val="008B0674"/>
    <w:rsid w:val="008B07C3"/>
    <w:rsid w:val="008B08E4"/>
    <w:rsid w:val="008B0B60"/>
    <w:rsid w:val="008B0C3E"/>
    <w:rsid w:val="008B0CFF"/>
    <w:rsid w:val="008B0DAB"/>
    <w:rsid w:val="008B0F4B"/>
    <w:rsid w:val="008B0FB2"/>
    <w:rsid w:val="008B107F"/>
    <w:rsid w:val="008B1226"/>
    <w:rsid w:val="008B197E"/>
    <w:rsid w:val="008B1A32"/>
    <w:rsid w:val="008B1A38"/>
    <w:rsid w:val="008B1B23"/>
    <w:rsid w:val="008B1B62"/>
    <w:rsid w:val="008B1D55"/>
    <w:rsid w:val="008B1D5E"/>
    <w:rsid w:val="008B1EF6"/>
    <w:rsid w:val="008B20C2"/>
    <w:rsid w:val="008B2141"/>
    <w:rsid w:val="008B2202"/>
    <w:rsid w:val="008B230F"/>
    <w:rsid w:val="008B2326"/>
    <w:rsid w:val="008B24F1"/>
    <w:rsid w:val="008B2507"/>
    <w:rsid w:val="008B279F"/>
    <w:rsid w:val="008B2BDB"/>
    <w:rsid w:val="008B2C0D"/>
    <w:rsid w:val="008B2D00"/>
    <w:rsid w:val="008B2DDD"/>
    <w:rsid w:val="008B2F5F"/>
    <w:rsid w:val="008B301B"/>
    <w:rsid w:val="008B3085"/>
    <w:rsid w:val="008B3180"/>
    <w:rsid w:val="008B328F"/>
    <w:rsid w:val="008B3336"/>
    <w:rsid w:val="008B333C"/>
    <w:rsid w:val="008B3656"/>
    <w:rsid w:val="008B39ED"/>
    <w:rsid w:val="008B3A61"/>
    <w:rsid w:val="008B3CD2"/>
    <w:rsid w:val="008B3E71"/>
    <w:rsid w:val="008B4176"/>
    <w:rsid w:val="008B41AB"/>
    <w:rsid w:val="008B4257"/>
    <w:rsid w:val="008B45A9"/>
    <w:rsid w:val="008B48B8"/>
    <w:rsid w:val="008B4970"/>
    <w:rsid w:val="008B4A5A"/>
    <w:rsid w:val="008B4B56"/>
    <w:rsid w:val="008B4BF1"/>
    <w:rsid w:val="008B4E42"/>
    <w:rsid w:val="008B50EB"/>
    <w:rsid w:val="008B516D"/>
    <w:rsid w:val="008B533E"/>
    <w:rsid w:val="008B53A1"/>
    <w:rsid w:val="008B5526"/>
    <w:rsid w:val="008B5549"/>
    <w:rsid w:val="008B55D3"/>
    <w:rsid w:val="008B5B1F"/>
    <w:rsid w:val="008B5C6E"/>
    <w:rsid w:val="008B5D22"/>
    <w:rsid w:val="008B5EE9"/>
    <w:rsid w:val="008B5EED"/>
    <w:rsid w:val="008B6204"/>
    <w:rsid w:val="008B6216"/>
    <w:rsid w:val="008B63D3"/>
    <w:rsid w:val="008B6464"/>
    <w:rsid w:val="008B6679"/>
    <w:rsid w:val="008B67DA"/>
    <w:rsid w:val="008B68A1"/>
    <w:rsid w:val="008B6AD7"/>
    <w:rsid w:val="008B6C0C"/>
    <w:rsid w:val="008B6C31"/>
    <w:rsid w:val="008B6F3B"/>
    <w:rsid w:val="008B703C"/>
    <w:rsid w:val="008B70AC"/>
    <w:rsid w:val="008B72D7"/>
    <w:rsid w:val="008B75C3"/>
    <w:rsid w:val="008B75E1"/>
    <w:rsid w:val="008B7612"/>
    <w:rsid w:val="008B7702"/>
    <w:rsid w:val="008B77A6"/>
    <w:rsid w:val="008B7A58"/>
    <w:rsid w:val="008B7AC0"/>
    <w:rsid w:val="008B7EB5"/>
    <w:rsid w:val="008B7FFA"/>
    <w:rsid w:val="008BAE8D"/>
    <w:rsid w:val="008C011F"/>
    <w:rsid w:val="008C0171"/>
    <w:rsid w:val="008C04EB"/>
    <w:rsid w:val="008C07F8"/>
    <w:rsid w:val="008C0805"/>
    <w:rsid w:val="008C0926"/>
    <w:rsid w:val="008C096C"/>
    <w:rsid w:val="008C0AAC"/>
    <w:rsid w:val="008C0AEA"/>
    <w:rsid w:val="008C0B6E"/>
    <w:rsid w:val="008C0E76"/>
    <w:rsid w:val="008C108A"/>
    <w:rsid w:val="008C1114"/>
    <w:rsid w:val="008C1244"/>
    <w:rsid w:val="008C1392"/>
    <w:rsid w:val="008C15CC"/>
    <w:rsid w:val="008C169C"/>
    <w:rsid w:val="008C17D2"/>
    <w:rsid w:val="008C186A"/>
    <w:rsid w:val="008C1936"/>
    <w:rsid w:val="008C1AF2"/>
    <w:rsid w:val="008C1B18"/>
    <w:rsid w:val="008C1B40"/>
    <w:rsid w:val="008C1B72"/>
    <w:rsid w:val="008C1CAA"/>
    <w:rsid w:val="008C1D27"/>
    <w:rsid w:val="008C1DE6"/>
    <w:rsid w:val="008C20D8"/>
    <w:rsid w:val="008C23D7"/>
    <w:rsid w:val="008C2446"/>
    <w:rsid w:val="008C24C2"/>
    <w:rsid w:val="008C2553"/>
    <w:rsid w:val="008C2584"/>
    <w:rsid w:val="008C26F4"/>
    <w:rsid w:val="008C2729"/>
    <w:rsid w:val="008C277D"/>
    <w:rsid w:val="008C2A19"/>
    <w:rsid w:val="008C2B50"/>
    <w:rsid w:val="008C2D5B"/>
    <w:rsid w:val="008C2DEC"/>
    <w:rsid w:val="008C2E21"/>
    <w:rsid w:val="008C2FB9"/>
    <w:rsid w:val="008C3191"/>
    <w:rsid w:val="008C329A"/>
    <w:rsid w:val="008C32C0"/>
    <w:rsid w:val="008C336B"/>
    <w:rsid w:val="008C33C3"/>
    <w:rsid w:val="008C34A1"/>
    <w:rsid w:val="008C3539"/>
    <w:rsid w:val="008C3550"/>
    <w:rsid w:val="008C3636"/>
    <w:rsid w:val="008C3664"/>
    <w:rsid w:val="008C3B96"/>
    <w:rsid w:val="008C3D6D"/>
    <w:rsid w:val="008C3DA7"/>
    <w:rsid w:val="008C3E3D"/>
    <w:rsid w:val="008C3E82"/>
    <w:rsid w:val="008C3FB9"/>
    <w:rsid w:val="008C3FC1"/>
    <w:rsid w:val="008C3FC3"/>
    <w:rsid w:val="008C3FCC"/>
    <w:rsid w:val="008C4074"/>
    <w:rsid w:val="008C4117"/>
    <w:rsid w:val="008C4356"/>
    <w:rsid w:val="008C4362"/>
    <w:rsid w:val="008C45A8"/>
    <w:rsid w:val="008C4699"/>
    <w:rsid w:val="008C4888"/>
    <w:rsid w:val="008C4AA5"/>
    <w:rsid w:val="008C4BB4"/>
    <w:rsid w:val="008C4C45"/>
    <w:rsid w:val="008C4DAA"/>
    <w:rsid w:val="008C4EEC"/>
    <w:rsid w:val="008C4FE4"/>
    <w:rsid w:val="008C5155"/>
    <w:rsid w:val="008C5230"/>
    <w:rsid w:val="008C54D9"/>
    <w:rsid w:val="008C54DE"/>
    <w:rsid w:val="008C572B"/>
    <w:rsid w:val="008C578C"/>
    <w:rsid w:val="008C57ED"/>
    <w:rsid w:val="008C58AC"/>
    <w:rsid w:val="008C5936"/>
    <w:rsid w:val="008C59F2"/>
    <w:rsid w:val="008C5B35"/>
    <w:rsid w:val="008C5B95"/>
    <w:rsid w:val="008C5F36"/>
    <w:rsid w:val="008C5F5C"/>
    <w:rsid w:val="008C60B3"/>
    <w:rsid w:val="008C624A"/>
    <w:rsid w:val="008C6399"/>
    <w:rsid w:val="008C639A"/>
    <w:rsid w:val="008C653B"/>
    <w:rsid w:val="008C6627"/>
    <w:rsid w:val="008C678B"/>
    <w:rsid w:val="008C68C6"/>
    <w:rsid w:val="008C6931"/>
    <w:rsid w:val="008C697E"/>
    <w:rsid w:val="008C6B85"/>
    <w:rsid w:val="008C6CA8"/>
    <w:rsid w:val="008C6F77"/>
    <w:rsid w:val="008C7102"/>
    <w:rsid w:val="008C7131"/>
    <w:rsid w:val="008C71E8"/>
    <w:rsid w:val="008C7284"/>
    <w:rsid w:val="008C733C"/>
    <w:rsid w:val="008C74D5"/>
    <w:rsid w:val="008C75B1"/>
    <w:rsid w:val="008C77E7"/>
    <w:rsid w:val="008C7AA2"/>
    <w:rsid w:val="008C7AF3"/>
    <w:rsid w:val="008C7E58"/>
    <w:rsid w:val="008CF036"/>
    <w:rsid w:val="008D0375"/>
    <w:rsid w:val="008D0426"/>
    <w:rsid w:val="008D0429"/>
    <w:rsid w:val="008D08AC"/>
    <w:rsid w:val="008D0BAC"/>
    <w:rsid w:val="008D0C74"/>
    <w:rsid w:val="008D0EB4"/>
    <w:rsid w:val="008D1053"/>
    <w:rsid w:val="008D10DE"/>
    <w:rsid w:val="008D12F5"/>
    <w:rsid w:val="008D1332"/>
    <w:rsid w:val="008D13A0"/>
    <w:rsid w:val="008D1436"/>
    <w:rsid w:val="008D14B9"/>
    <w:rsid w:val="008D1587"/>
    <w:rsid w:val="008D1959"/>
    <w:rsid w:val="008D1AA7"/>
    <w:rsid w:val="008D1DB1"/>
    <w:rsid w:val="008D1DF0"/>
    <w:rsid w:val="008D1ECB"/>
    <w:rsid w:val="008D2027"/>
    <w:rsid w:val="008D2661"/>
    <w:rsid w:val="008D26B2"/>
    <w:rsid w:val="008D2897"/>
    <w:rsid w:val="008D2BF2"/>
    <w:rsid w:val="008D2CBB"/>
    <w:rsid w:val="008D2DC4"/>
    <w:rsid w:val="008D2E43"/>
    <w:rsid w:val="008D2E48"/>
    <w:rsid w:val="008D2E56"/>
    <w:rsid w:val="008D3714"/>
    <w:rsid w:val="008D385F"/>
    <w:rsid w:val="008D3892"/>
    <w:rsid w:val="008D39AA"/>
    <w:rsid w:val="008D39BF"/>
    <w:rsid w:val="008D39CE"/>
    <w:rsid w:val="008D3AA1"/>
    <w:rsid w:val="008D3BA8"/>
    <w:rsid w:val="008D3BDE"/>
    <w:rsid w:val="008D3CA0"/>
    <w:rsid w:val="008D3D36"/>
    <w:rsid w:val="008D406F"/>
    <w:rsid w:val="008D4194"/>
    <w:rsid w:val="008D4520"/>
    <w:rsid w:val="008D45D9"/>
    <w:rsid w:val="008D48F5"/>
    <w:rsid w:val="008D493B"/>
    <w:rsid w:val="008D4999"/>
    <w:rsid w:val="008D4B6C"/>
    <w:rsid w:val="008D4C02"/>
    <w:rsid w:val="008D5118"/>
    <w:rsid w:val="008D5587"/>
    <w:rsid w:val="008D5589"/>
    <w:rsid w:val="008D55F9"/>
    <w:rsid w:val="008D57DD"/>
    <w:rsid w:val="008D57DE"/>
    <w:rsid w:val="008D58AC"/>
    <w:rsid w:val="008D5950"/>
    <w:rsid w:val="008D5997"/>
    <w:rsid w:val="008D5AFC"/>
    <w:rsid w:val="008D5C4D"/>
    <w:rsid w:val="008D618E"/>
    <w:rsid w:val="008D6252"/>
    <w:rsid w:val="008D62BB"/>
    <w:rsid w:val="008D62FC"/>
    <w:rsid w:val="008D6399"/>
    <w:rsid w:val="008D63BF"/>
    <w:rsid w:val="008D65BD"/>
    <w:rsid w:val="008D680C"/>
    <w:rsid w:val="008D6A9C"/>
    <w:rsid w:val="008D6C66"/>
    <w:rsid w:val="008D6CD0"/>
    <w:rsid w:val="008D6E34"/>
    <w:rsid w:val="008D6E40"/>
    <w:rsid w:val="008D6F1E"/>
    <w:rsid w:val="008D6FD7"/>
    <w:rsid w:val="008D7129"/>
    <w:rsid w:val="008D71B5"/>
    <w:rsid w:val="008D7491"/>
    <w:rsid w:val="008D76DB"/>
    <w:rsid w:val="008D7851"/>
    <w:rsid w:val="008D7969"/>
    <w:rsid w:val="008D7A7A"/>
    <w:rsid w:val="008D7BB9"/>
    <w:rsid w:val="008D7C62"/>
    <w:rsid w:val="008D7D6A"/>
    <w:rsid w:val="008D7F45"/>
    <w:rsid w:val="008E0107"/>
    <w:rsid w:val="008E01A8"/>
    <w:rsid w:val="008E0305"/>
    <w:rsid w:val="008E06F3"/>
    <w:rsid w:val="008E0C51"/>
    <w:rsid w:val="008E0D38"/>
    <w:rsid w:val="008E0D56"/>
    <w:rsid w:val="008E0DF2"/>
    <w:rsid w:val="008E0E28"/>
    <w:rsid w:val="008E0ED3"/>
    <w:rsid w:val="008E0ED9"/>
    <w:rsid w:val="008E10E5"/>
    <w:rsid w:val="008E1334"/>
    <w:rsid w:val="008E1351"/>
    <w:rsid w:val="008E13D7"/>
    <w:rsid w:val="008E13DB"/>
    <w:rsid w:val="008E1474"/>
    <w:rsid w:val="008E14B7"/>
    <w:rsid w:val="008E163D"/>
    <w:rsid w:val="008E17BF"/>
    <w:rsid w:val="008E1B67"/>
    <w:rsid w:val="008E1E0E"/>
    <w:rsid w:val="008E1E8A"/>
    <w:rsid w:val="008E2020"/>
    <w:rsid w:val="008E211E"/>
    <w:rsid w:val="008E21F3"/>
    <w:rsid w:val="008E23D0"/>
    <w:rsid w:val="008E241C"/>
    <w:rsid w:val="008E24FE"/>
    <w:rsid w:val="008E264A"/>
    <w:rsid w:val="008E2A62"/>
    <w:rsid w:val="008E2B2F"/>
    <w:rsid w:val="008E2E3F"/>
    <w:rsid w:val="008E2F82"/>
    <w:rsid w:val="008E3350"/>
    <w:rsid w:val="008E33C3"/>
    <w:rsid w:val="008E348C"/>
    <w:rsid w:val="008E3606"/>
    <w:rsid w:val="008E37E0"/>
    <w:rsid w:val="008E3808"/>
    <w:rsid w:val="008E3851"/>
    <w:rsid w:val="008E38F0"/>
    <w:rsid w:val="008E3A96"/>
    <w:rsid w:val="008E3AE9"/>
    <w:rsid w:val="008E3C34"/>
    <w:rsid w:val="008E3D02"/>
    <w:rsid w:val="008E3E71"/>
    <w:rsid w:val="008E3EA3"/>
    <w:rsid w:val="008E4353"/>
    <w:rsid w:val="008E4397"/>
    <w:rsid w:val="008E43FA"/>
    <w:rsid w:val="008E4435"/>
    <w:rsid w:val="008E47A3"/>
    <w:rsid w:val="008E48B7"/>
    <w:rsid w:val="008E4A51"/>
    <w:rsid w:val="008E4A7B"/>
    <w:rsid w:val="008E4A7E"/>
    <w:rsid w:val="008E4DFF"/>
    <w:rsid w:val="008E4FB7"/>
    <w:rsid w:val="008E4FB8"/>
    <w:rsid w:val="008E53D9"/>
    <w:rsid w:val="008E5458"/>
    <w:rsid w:val="008E549E"/>
    <w:rsid w:val="008E54D0"/>
    <w:rsid w:val="008E557F"/>
    <w:rsid w:val="008E56EC"/>
    <w:rsid w:val="008E5784"/>
    <w:rsid w:val="008E58C8"/>
    <w:rsid w:val="008E5C89"/>
    <w:rsid w:val="008E5CFA"/>
    <w:rsid w:val="008E5E09"/>
    <w:rsid w:val="008E5E23"/>
    <w:rsid w:val="008E5F4E"/>
    <w:rsid w:val="008E5FFE"/>
    <w:rsid w:val="008E60C4"/>
    <w:rsid w:val="008E6248"/>
    <w:rsid w:val="008E641B"/>
    <w:rsid w:val="008E653A"/>
    <w:rsid w:val="008E67C0"/>
    <w:rsid w:val="008E6914"/>
    <w:rsid w:val="008E69A4"/>
    <w:rsid w:val="008E6A32"/>
    <w:rsid w:val="008E6C44"/>
    <w:rsid w:val="008E6D9F"/>
    <w:rsid w:val="008E6F53"/>
    <w:rsid w:val="008E6F57"/>
    <w:rsid w:val="008E732A"/>
    <w:rsid w:val="008E74EA"/>
    <w:rsid w:val="008E75A3"/>
    <w:rsid w:val="008E78BB"/>
    <w:rsid w:val="008E7A5A"/>
    <w:rsid w:val="008E7B5C"/>
    <w:rsid w:val="008E7C17"/>
    <w:rsid w:val="008E7D13"/>
    <w:rsid w:val="008E7EFD"/>
    <w:rsid w:val="008E7F88"/>
    <w:rsid w:val="008E7F9F"/>
    <w:rsid w:val="008F04D9"/>
    <w:rsid w:val="008F0543"/>
    <w:rsid w:val="008F05E0"/>
    <w:rsid w:val="008F08AC"/>
    <w:rsid w:val="008F09A0"/>
    <w:rsid w:val="008F09FE"/>
    <w:rsid w:val="008F0AD1"/>
    <w:rsid w:val="008F0AEA"/>
    <w:rsid w:val="008F0D3A"/>
    <w:rsid w:val="008F0F42"/>
    <w:rsid w:val="008F1046"/>
    <w:rsid w:val="008F1129"/>
    <w:rsid w:val="008F11E2"/>
    <w:rsid w:val="008F12CA"/>
    <w:rsid w:val="008F1394"/>
    <w:rsid w:val="008F1653"/>
    <w:rsid w:val="008F172F"/>
    <w:rsid w:val="008F17FE"/>
    <w:rsid w:val="008F18B3"/>
    <w:rsid w:val="008F1A45"/>
    <w:rsid w:val="008F1B16"/>
    <w:rsid w:val="008F1B30"/>
    <w:rsid w:val="008F1BC0"/>
    <w:rsid w:val="008F1C82"/>
    <w:rsid w:val="008F1C9E"/>
    <w:rsid w:val="008F1E40"/>
    <w:rsid w:val="008F2120"/>
    <w:rsid w:val="008F2148"/>
    <w:rsid w:val="008F21D6"/>
    <w:rsid w:val="008F22DD"/>
    <w:rsid w:val="008F234D"/>
    <w:rsid w:val="008F23E8"/>
    <w:rsid w:val="008F2407"/>
    <w:rsid w:val="008F24AA"/>
    <w:rsid w:val="008F2606"/>
    <w:rsid w:val="008F26BD"/>
    <w:rsid w:val="008F271C"/>
    <w:rsid w:val="008F281A"/>
    <w:rsid w:val="008F2889"/>
    <w:rsid w:val="008F28CB"/>
    <w:rsid w:val="008F29CA"/>
    <w:rsid w:val="008F29D7"/>
    <w:rsid w:val="008F2ACC"/>
    <w:rsid w:val="008F2B5C"/>
    <w:rsid w:val="008F2B77"/>
    <w:rsid w:val="008F2DC7"/>
    <w:rsid w:val="008F2EC0"/>
    <w:rsid w:val="008F2ED3"/>
    <w:rsid w:val="008F2F55"/>
    <w:rsid w:val="008F2F8D"/>
    <w:rsid w:val="008F3014"/>
    <w:rsid w:val="008F307D"/>
    <w:rsid w:val="008F3171"/>
    <w:rsid w:val="008F31AC"/>
    <w:rsid w:val="008F334B"/>
    <w:rsid w:val="008F345B"/>
    <w:rsid w:val="008F3728"/>
    <w:rsid w:val="008F3BAD"/>
    <w:rsid w:val="008F3DAB"/>
    <w:rsid w:val="008F40BD"/>
    <w:rsid w:val="008F42C3"/>
    <w:rsid w:val="008F4364"/>
    <w:rsid w:val="008F43C5"/>
    <w:rsid w:val="008F43E9"/>
    <w:rsid w:val="008F478C"/>
    <w:rsid w:val="008F48E6"/>
    <w:rsid w:val="008F4A6C"/>
    <w:rsid w:val="008F4B09"/>
    <w:rsid w:val="008F4E17"/>
    <w:rsid w:val="008F4F62"/>
    <w:rsid w:val="008F5057"/>
    <w:rsid w:val="008F52F2"/>
    <w:rsid w:val="008F536E"/>
    <w:rsid w:val="008F544C"/>
    <w:rsid w:val="008F54E1"/>
    <w:rsid w:val="008F554F"/>
    <w:rsid w:val="008F56BD"/>
    <w:rsid w:val="008F5890"/>
    <w:rsid w:val="008F58A1"/>
    <w:rsid w:val="008F58E3"/>
    <w:rsid w:val="008F5905"/>
    <w:rsid w:val="008F5AD3"/>
    <w:rsid w:val="008F5B59"/>
    <w:rsid w:val="008F5BC7"/>
    <w:rsid w:val="008F5E8C"/>
    <w:rsid w:val="008F5F87"/>
    <w:rsid w:val="008F5FFF"/>
    <w:rsid w:val="008F607E"/>
    <w:rsid w:val="008F610A"/>
    <w:rsid w:val="008F617F"/>
    <w:rsid w:val="008F61FE"/>
    <w:rsid w:val="008F6225"/>
    <w:rsid w:val="008F632F"/>
    <w:rsid w:val="008F64FA"/>
    <w:rsid w:val="008F650C"/>
    <w:rsid w:val="008F6865"/>
    <w:rsid w:val="008F6900"/>
    <w:rsid w:val="008F6A90"/>
    <w:rsid w:val="008F6BEE"/>
    <w:rsid w:val="008F6C4E"/>
    <w:rsid w:val="008F6E9D"/>
    <w:rsid w:val="008F6F51"/>
    <w:rsid w:val="008F6FDB"/>
    <w:rsid w:val="008F705C"/>
    <w:rsid w:val="008F7096"/>
    <w:rsid w:val="008F71AD"/>
    <w:rsid w:val="008F7207"/>
    <w:rsid w:val="008F72B3"/>
    <w:rsid w:val="008F732B"/>
    <w:rsid w:val="008F73F7"/>
    <w:rsid w:val="008F7442"/>
    <w:rsid w:val="008F74A6"/>
    <w:rsid w:val="008F7842"/>
    <w:rsid w:val="008F7B89"/>
    <w:rsid w:val="008F7C78"/>
    <w:rsid w:val="008F7C9D"/>
    <w:rsid w:val="008F7F5C"/>
    <w:rsid w:val="00900056"/>
    <w:rsid w:val="0090014E"/>
    <w:rsid w:val="00900153"/>
    <w:rsid w:val="00900363"/>
    <w:rsid w:val="009004C7"/>
    <w:rsid w:val="0090067E"/>
    <w:rsid w:val="0090095D"/>
    <w:rsid w:val="00900B3D"/>
    <w:rsid w:val="00900BD4"/>
    <w:rsid w:val="00900BE4"/>
    <w:rsid w:val="00900C12"/>
    <w:rsid w:val="00900FB4"/>
    <w:rsid w:val="009013F8"/>
    <w:rsid w:val="0090148A"/>
    <w:rsid w:val="0090149E"/>
    <w:rsid w:val="009015A6"/>
    <w:rsid w:val="009015F1"/>
    <w:rsid w:val="00901CC2"/>
    <w:rsid w:val="00901D2A"/>
    <w:rsid w:val="00901DE7"/>
    <w:rsid w:val="00901DF0"/>
    <w:rsid w:val="00901E19"/>
    <w:rsid w:val="00901EDF"/>
    <w:rsid w:val="00902055"/>
    <w:rsid w:val="009023A3"/>
    <w:rsid w:val="0090244E"/>
    <w:rsid w:val="009026A2"/>
    <w:rsid w:val="0090278B"/>
    <w:rsid w:val="00902B33"/>
    <w:rsid w:val="00902BA1"/>
    <w:rsid w:val="00902D5B"/>
    <w:rsid w:val="00902F5A"/>
    <w:rsid w:val="009030C0"/>
    <w:rsid w:val="009031DC"/>
    <w:rsid w:val="00903251"/>
    <w:rsid w:val="0090327D"/>
    <w:rsid w:val="009032A9"/>
    <w:rsid w:val="009032B1"/>
    <w:rsid w:val="00903353"/>
    <w:rsid w:val="0090336C"/>
    <w:rsid w:val="009034FB"/>
    <w:rsid w:val="009035CB"/>
    <w:rsid w:val="009038BF"/>
    <w:rsid w:val="00903A90"/>
    <w:rsid w:val="00903CAE"/>
    <w:rsid w:val="00903EB6"/>
    <w:rsid w:val="00903EF7"/>
    <w:rsid w:val="00904147"/>
    <w:rsid w:val="009041E7"/>
    <w:rsid w:val="0090423C"/>
    <w:rsid w:val="009046F3"/>
    <w:rsid w:val="00904806"/>
    <w:rsid w:val="00904899"/>
    <w:rsid w:val="009049C6"/>
    <w:rsid w:val="00904A97"/>
    <w:rsid w:val="00904B02"/>
    <w:rsid w:val="00904BBF"/>
    <w:rsid w:val="00904C74"/>
    <w:rsid w:val="00904D14"/>
    <w:rsid w:val="00904F95"/>
    <w:rsid w:val="009050AC"/>
    <w:rsid w:val="009050B9"/>
    <w:rsid w:val="00905104"/>
    <w:rsid w:val="00905248"/>
    <w:rsid w:val="009053E8"/>
    <w:rsid w:val="009054FC"/>
    <w:rsid w:val="00905551"/>
    <w:rsid w:val="009055B9"/>
    <w:rsid w:val="00905633"/>
    <w:rsid w:val="00905635"/>
    <w:rsid w:val="00905752"/>
    <w:rsid w:val="00905783"/>
    <w:rsid w:val="009057DA"/>
    <w:rsid w:val="009058EB"/>
    <w:rsid w:val="0090598D"/>
    <w:rsid w:val="00905B1C"/>
    <w:rsid w:val="00905B31"/>
    <w:rsid w:val="00905B4F"/>
    <w:rsid w:val="00905BC6"/>
    <w:rsid w:val="00905C89"/>
    <w:rsid w:val="00905D36"/>
    <w:rsid w:val="00905D5A"/>
    <w:rsid w:val="00905F11"/>
    <w:rsid w:val="00905F81"/>
    <w:rsid w:val="00905FAB"/>
    <w:rsid w:val="00906014"/>
    <w:rsid w:val="00906288"/>
    <w:rsid w:val="0090637F"/>
    <w:rsid w:val="0090645E"/>
    <w:rsid w:val="00906727"/>
    <w:rsid w:val="00906AA0"/>
    <w:rsid w:val="00906B5A"/>
    <w:rsid w:val="00906CF9"/>
    <w:rsid w:val="00906E14"/>
    <w:rsid w:val="009071C9"/>
    <w:rsid w:val="00907262"/>
    <w:rsid w:val="00907378"/>
    <w:rsid w:val="0090759E"/>
    <w:rsid w:val="009075B5"/>
    <w:rsid w:val="009076CB"/>
    <w:rsid w:val="009076FD"/>
    <w:rsid w:val="009077BB"/>
    <w:rsid w:val="009077C2"/>
    <w:rsid w:val="0090783B"/>
    <w:rsid w:val="0090790B"/>
    <w:rsid w:val="009079B4"/>
    <w:rsid w:val="00907C09"/>
    <w:rsid w:val="00907DE6"/>
    <w:rsid w:val="00907F52"/>
    <w:rsid w:val="0091024C"/>
    <w:rsid w:val="0091053B"/>
    <w:rsid w:val="00910570"/>
    <w:rsid w:val="00910741"/>
    <w:rsid w:val="00910997"/>
    <w:rsid w:val="009109F2"/>
    <w:rsid w:val="00910B2F"/>
    <w:rsid w:val="00910BDE"/>
    <w:rsid w:val="00910F46"/>
    <w:rsid w:val="0091113E"/>
    <w:rsid w:val="0091118E"/>
    <w:rsid w:val="0091187D"/>
    <w:rsid w:val="009118A7"/>
    <w:rsid w:val="009119BA"/>
    <w:rsid w:val="00911AC6"/>
    <w:rsid w:val="00911E5F"/>
    <w:rsid w:val="00911E9B"/>
    <w:rsid w:val="00911EAC"/>
    <w:rsid w:val="00912204"/>
    <w:rsid w:val="009122F7"/>
    <w:rsid w:val="00912345"/>
    <w:rsid w:val="009128E8"/>
    <w:rsid w:val="00912964"/>
    <w:rsid w:val="0091296E"/>
    <w:rsid w:val="009129F7"/>
    <w:rsid w:val="00912D41"/>
    <w:rsid w:val="00912D86"/>
    <w:rsid w:val="00912DC2"/>
    <w:rsid w:val="00912FA8"/>
    <w:rsid w:val="00913133"/>
    <w:rsid w:val="00913326"/>
    <w:rsid w:val="0091339A"/>
    <w:rsid w:val="00913411"/>
    <w:rsid w:val="0091352C"/>
    <w:rsid w:val="00913A69"/>
    <w:rsid w:val="00913B6D"/>
    <w:rsid w:val="00913BB3"/>
    <w:rsid w:val="00913CC9"/>
    <w:rsid w:val="009140A9"/>
    <w:rsid w:val="00914107"/>
    <w:rsid w:val="00914471"/>
    <w:rsid w:val="00914492"/>
    <w:rsid w:val="009145E7"/>
    <w:rsid w:val="00914876"/>
    <w:rsid w:val="00914A00"/>
    <w:rsid w:val="00914C88"/>
    <w:rsid w:val="00914F60"/>
    <w:rsid w:val="00915005"/>
    <w:rsid w:val="00915043"/>
    <w:rsid w:val="0091519F"/>
    <w:rsid w:val="00915207"/>
    <w:rsid w:val="00915379"/>
    <w:rsid w:val="00915391"/>
    <w:rsid w:val="009157D6"/>
    <w:rsid w:val="00915C37"/>
    <w:rsid w:val="00915C4D"/>
    <w:rsid w:val="00915C59"/>
    <w:rsid w:val="00915CD0"/>
    <w:rsid w:val="00915D12"/>
    <w:rsid w:val="00915DC6"/>
    <w:rsid w:val="00915F94"/>
    <w:rsid w:val="009160BA"/>
    <w:rsid w:val="009161A0"/>
    <w:rsid w:val="0091665C"/>
    <w:rsid w:val="009167E2"/>
    <w:rsid w:val="00916913"/>
    <w:rsid w:val="00916A7B"/>
    <w:rsid w:val="00916C40"/>
    <w:rsid w:val="00916D0E"/>
    <w:rsid w:val="00916EAC"/>
    <w:rsid w:val="0091764A"/>
    <w:rsid w:val="0091767F"/>
    <w:rsid w:val="009179A0"/>
    <w:rsid w:val="00917D74"/>
    <w:rsid w:val="00917D9D"/>
    <w:rsid w:val="00917F39"/>
    <w:rsid w:val="00920139"/>
    <w:rsid w:val="00920507"/>
    <w:rsid w:val="009207C8"/>
    <w:rsid w:val="00920962"/>
    <w:rsid w:val="00920A27"/>
    <w:rsid w:val="00920ADA"/>
    <w:rsid w:val="00920C83"/>
    <w:rsid w:val="00920E13"/>
    <w:rsid w:val="00920F83"/>
    <w:rsid w:val="00920F89"/>
    <w:rsid w:val="009210D8"/>
    <w:rsid w:val="00921376"/>
    <w:rsid w:val="009215A3"/>
    <w:rsid w:val="009215BF"/>
    <w:rsid w:val="009215E5"/>
    <w:rsid w:val="009215EE"/>
    <w:rsid w:val="009218D7"/>
    <w:rsid w:val="00921929"/>
    <w:rsid w:val="009219AA"/>
    <w:rsid w:val="009219F0"/>
    <w:rsid w:val="00921A6A"/>
    <w:rsid w:val="00921DC2"/>
    <w:rsid w:val="00922073"/>
    <w:rsid w:val="009220BD"/>
    <w:rsid w:val="009222DD"/>
    <w:rsid w:val="009223FF"/>
    <w:rsid w:val="009225CE"/>
    <w:rsid w:val="009226E2"/>
    <w:rsid w:val="0092289D"/>
    <w:rsid w:val="009229B3"/>
    <w:rsid w:val="009229FC"/>
    <w:rsid w:val="00922A17"/>
    <w:rsid w:val="00922C12"/>
    <w:rsid w:val="00922C52"/>
    <w:rsid w:val="00922F3E"/>
    <w:rsid w:val="00922FDB"/>
    <w:rsid w:val="00923108"/>
    <w:rsid w:val="009232BB"/>
    <w:rsid w:val="00923335"/>
    <w:rsid w:val="009237C8"/>
    <w:rsid w:val="0092385D"/>
    <w:rsid w:val="0092387E"/>
    <w:rsid w:val="009239FA"/>
    <w:rsid w:val="00923AE5"/>
    <w:rsid w:val="00923B27"/>
    <w:rsid w:val="00923C45"/>
    <w:rsid w:val="00923D77"/>
    <w:rsid w:val="00923D7B"/>
    <w:rsid w:val="00924536"/>
    <w:rsid w:val="009248A3"/>
    <w:rsid w:val="00924AC5"/>
    <w:rsid w:val="00925076"/>
    <w:rsid w:val="009250B3"/>
    <w:rsid w:val="009251C7"/>
    <w:rsid w:val="00925AAA"/>
    <w:rsid w:val="00925B9D"/>
    <w:rsid w:val="00925CD7"/>
    <w:rsid w:val="00925EC1"/>
    <w:rsid w:val="00925F8B"/>
    <w:rsid w:val="009263C8"/>
    <w:rsid w:val="0092669A"/>
    <w:rsid w:val="00926722"/>
    <w:rsid w:val="00926752"/>
    <w:rsid w:val="00926774"/>
    <w:rsid w:val="009267AB"/>
    <w:rsid w:val="009267AD"/>
    <w:rsid w:val="00926821"/>
    <w:rsid w:val="00926A24"/>
    <w:rsid w:val="009270AD"/>
    <w:rsid w:val="009270BC"/>
    <w:rsid w:val="00927163"/>
    <w:rsid w:val="0092718D"/>
    <w:rsid w:val="00927248"/>
    <w:rsid w:val="0092726F"/>
    <w:rsid w:val="009273DE"/>
    <w:rsid w:val="009274A4"/>
    <w:rsid w:val="009274D5"/>
    <w:rsid w:val="009276F4"/>
    <w:rsid w:val="00927A19"/>
    <w:rsid w:val="00927A2B"/>
    <w:rsid w:val="00927A90"/>
    <w:rsid w:val="00927B01"/>
    <w:rsid w:val="00930120"/>
    <w:rsid w:val="009301CF"/>
    <w:rsid w:val="00930250"/>
    <w:rsid w:val="009303E0"/>
    <w:rsid w:val="009304A5"/>
    <w:rsid w:val="00930554"/>
    <w:rsid w:val="00930598"/>
    <w:rsid w:val="009306BC"/>
    <w:rsid w:val="009308F0"/>
    <w:rsid w:val="00930908"/>
    <w:rsid w:val="00930945"/>
    <w:rsid w:val="00930B2E"/>
    <w:rsid w:val="0093119E"/>
    <w:rsid w:val="009311BF"/>
    <w:rsid w:val="00931220"/>
    <w:rsid w:val="009313E9"/>
    <w:rsid w:val="009316EB"/>
    <w:rsid w:val="00931752"/>
    <w:rsid w:val="00931962"/>
    <w:rsid w:val="009319AA"/>
    <w:rsid w:val="00931A5F"/>
    <w:rsid w:val="00931CEA"/>
    <w:rsid w:val="00931D6A"/>
    <w:rsid w:val="009323CF"/>
    <w:rsid w:val="0093251D"/>
    <w:rsid w:val="0093279E"/>
    <w:rsid w:val="00932841"/>
    <w:rsid w:val="009328BE"/>
    <w:rsid w:val="009329D7"/>
    <w:rsid w:val="00932CF8"/>
    <w:rsid w:val="00932D4E"/>
    <w:rsid w:val="00932F3C"/>
    <w:rsid w:val="00933012"/>
    <w:rsid w:val="0093301D"/>
    <w:rsid w:val="00933580"/>
    <w:rsid w:val="00933584"/>
    <w:rsid w:val="009337EC"/>
    <w:rsid w:val="00933998"/>
    <w:rsid w:val="00933AF7"/>
    <w:rsid w:val="00933B93"/>
    <w:rsid w:val="00933C1B"/>
    <w:rsid w:val="00933CE5"/>
    <w:rsid w:val="00933E21"/>
    <w:rsid w:val="0093405D"/>
    <w:rsid w:val="009340F4"/>
    <w:rsid w:val="00934114"/>
    <w:rsid w:val="00934131"/>
    <w:rsid w:val="009341F1"/>
    <w:rsid w:val="00934225"/>
    <w:rsid w:val="0093433C"/>
    <w:rsid w:val="009344BA"/>
    <w:rsid w:val="0093452D"/>
    <w:rsid w:val="009346A6"/>
    <w:rsid w:val="009347AB"/>
    <w:rsid w:val="009347E3"/>
    <w:rsid w:val="0093492F"/>
    <w:rsid w:val="009349D6"/>
    <w:rsid w:val="00934BCA"/>
    <w:rsid w:val="00934C71"/>
    <w:rsid w:val="00934D05"/>
    <w:rsid w:val="00934E19"/>
    <w:rsid w:val="00934E9E"/>
    <w:rsid w:val="00934F1A"/>
    <w:rsid w:val="009350E8"/>
    <w:rsid w:val="0093525E"/>
    <w:rsid w:val="009354D4"/>
    <w:rsid w:val="009355DF"/>
    <w:rsid w:val="00935895"/>
    <w:rsid w:val="009359F1"/>
    <w:rsid w:val="00935B99"/>
    <w:rsid w:val="00935C35"/>
    <w:rsid w:val="00935C57"/>
    <w:rsid w:val="00935C73"/>
    <w:rsid w:val="00935D32"/>
    <w:rsid w:val="00935F44"/>
    <w:rsid w:val="00935F8B"/>
    <w:rsid w:val="00935FBD"/>
    <w:rsid w:val="0093640D"/>
    <w:rsid w:val="0093668A"/>
    <w:rsid w:val="009367BA"/>
    <w:rsid w:val="009368DC"/>
    <w:rsid w:val="009368FA"/>
    <w:rsid w:val="009368FB"/>
    <w:rsid w:val="00936A4A"/>
    <w:rsid w:val="00936ADB"/>
    <w:rsid w:val="00936C94"/>
    <w:rsid w:val="00936E68"/>
    <w:rsid w:val="0093702D"/>
    <w:rsid w:val="009371A6"/>
    <w:rsid w:val="0093734E"/>
    <w:rsid w:val="0093756A"/>
    <w:rsid w:val="00937572"/>
    <w:rsid w:val="00937695"/>
    <w:rsid w:val="009377D7"/>
    <w:rsid w:val="009378E5"/>
    <w:rsid w:val="00937ABA"/>
    <w:rsid w:val="00937CD8"/>
    <w:rsid w:val="00937D64"/>
    <w:rsid w:val="00937DFB"/>
    <w:rsid w:val="00937E97"/>
    <w:rsid w:val="00937EC8"/>
    <w:rsid w:val="00937FD9"/>
    <w:rsid w:val="00937FF7"/>
    <w:rsid w:val="00940108"/>
    <w:rsid w:val="0094024F"/>
    <w:rsid w:val="009403AD"/>
    <w:rsid w:val="0094068B"/>
    <w:rsid w:val="0094069A"/>
    <w:rsid w:val="009407A5"/>
    <w:rsid w:val="009407EF"/>
    <w:rsid w:val="00940A39"/>
    <w:rsid w:val="00940BB9"/>
    <w:rsid w:val="00940D61"/>
    <w:rsid w:val="00940F0B"/>
    <w:rsid w:val="00940F44"/>
    <w:rsid w:val="00940FB5"/>
    <w:rsid w:val="00941501"/>
    <w:rsid w:val="009416BE"/>
    <w:rsid w:val="00941C04"/>
    <w:rsid w:val="00941D69"/>
    <w:rsid w:val="00941DA4"/>
    <w:rsid w:val="009420AC"/>
    <w:rsid w:val="009420DC"/>
    <w:rsid w:val="009420E5"/>
    <w:rsid w:val="0094220C"/>
    <w:rsid w:val="009423CC"/>
    <w:rsid w:val="009423E6"/>
    <w:rsid w:val="0094259C"/>
    <w:rsid w:val="009427C2"/>
    <w:rsid w:val="00942AAA"/>
    <w:rsid w:val="00942AEC"/>
    <w:rsid w:val="00942C2F"/>
    <w:rsid w:val="00942DE7"/>
    <w:rsid w:val="00942EB3"/>
    <w:rsid w:val="009434A6"/>
    <w:rsid w:val="00943672"/>
    <w:rsid w:val="00943755"/>
    <w:rsid w:val="009438B2"/>
    <w:rsid w:val="00943A50"/>
    <w:rsid w:val="00943DD5"/>
    <w:rsid w:val="00943F9F"/>
    <w:rsid w:val="00944218"/>
    <w:rsid w:val="00944295"/>
    <w:rsid w:val="00944590"/>
    <w:rsid w:val="00944597"/>
    <w:rsid w:val="00944617"/>
    <w:rsid w:val="00944769"/>
    <w:rsid w:val="009448AE"/>
    <w:rsid w:val="009448F6"/>
    <w:rsid w:val="00944936"/>
    <w:rsid w:val="00944AA7"/>
    <w:rsid w:val="00944C8A"/>
    <w:rsid w:val="00944DF2"/>
    <w:rsid w:val="00944E00"/>
    <w:rsid w:val="00944E7D"/>
    <w:rsid w:val="00944EB4"/>
    <w:rsid w:val="0094500C"/>
    <w:rsid w:val="009450EB"/>
    <w:rsid w:val="009451D6"/>
    <w:rsid w:val="00945408"/>
    <w:rsid w:val="00945425"/>
    <w:rsid w:val="00945475"/>
    <w:rsid w:val="009454D5"/>
    <w:rsid w:val="009455B9"/>
    <w:rsid w:val="009456FC"/>
    <w:rsid w:val="00945850"/>
    <w:rsid w:val="0094599B"/>
    <w:rsid w:val="009459E2"/>
    <w:rsid w:val="00945A57"/>
    <w:rsid w:val="00945AD7"/>
    <w:rsid w:val="00945DE1"/>
    <w:rsid w:val="00946368"/>
    <w:rsid w:val="0094637A"/>
    <w:rsid w:val="00946430"/>
    <w:rsid w:val="00946507"/>
    <w:rsid w:val="0094679D"/>
    <w:rsid w:val="009467C7"/>
    <w:rsid w:val="00946A35"/>
    <w:rsid w:val="00946AD7"/>
    <w:rsid w:val="00946C05"/>
    <w:rsid w:val="00946F3B"/>
    <w:rsid w:val="00946F66"/>
    <w:rsid w:val="00947438"/>
    <w:rsid w:val="0094752C"/>
    <w:rsid w:val="00947672"/>
    <w:rsid w:val="009476AE"/>
    <w:rsid w:val="0094790E"/>
    <w:rsid w:val="00947ACF"/>
    <w:rsid w:val="00947C10"/>
    <w:rsid w:val="00947C30"/>
    <w:rsid w:val="00947CF4"/>
    <w:rsid w:val="00947D70"/>
    <w:rsid w:val="00947F91"/>
    <w:rsid w:val="00950406"/>
    <w:rsid w:val="0095045E"/>
    <w:rsid w:val="00950571"/>
    <w:rsid w:val="009505C6"/>
    <w:rsid w:val="009508C2"/>
    <w:rsid w:val="00950C58"/>
    <w:rsid w:val="00950C7F"/>
    <w:rsid w:val="00950DDF"/>
    <w:rsid w:val="00950E5C"/>
    <w:rsid w:val="00951025"/>
    <w:rsid w:val="00951058"/>
    <w:rsid w:val="00951192"/>
    <w:rsid w:val="009511B9"/>
    <w:rsid w:val="00951247"/>
    <w:rsid w:val="0095134D"/>
    <w:rsid w:val="00951355"/>
    <w:rsid w:val="009514A7"/>
    <w:rsid w:val="0095161F"/>
    <w:rsid w:val="009516B3"/>
    <w:rsid w:val="009517A4"/>
    <w:rsid w:val="009517C1"/>
    <w:rsid w:val="009517F2"/>
    <w:rsid w:val="00951A33"/>
    <w:rsid w:val="00951B05"/>
    <w:rsid w:val="00951B38"/>
    <w:rsid w:val="00951C5D"/>
    <w:rsid w:val="00951C5F"/>
    <w:rsid w:val="00951D48"/>
    <w:rsid w:val="00951F08"/>
    <w:rsid w:val="00951F43"/>
    <w:rsid w:val="00952155"/>
    <w:rsid w:val="009525A4"/>
    <w:rsid w:val="009528D6"/>
    <w:rsid w:val="0095291A"/>
    <w:rsid w:val="00952CE6"/>
    <w:rsid w:val="00952D04"/>
    <w:rsid w:val="00952D7C"/>
    <w:rsid w:val="00952D88"/>
    <w:rsid w:val="00953415"/>
    <w:rsid w:val="00953464"/>
    <w:rsid w:val="0095357C"/>
    <w:rsid w:val="00953748"/>
    <w:rsid w:val="00953825"/>
    <w:rsid w:val="009538C8"/>
    <w:rsid w:val="009539D3"/>
    <w:rsid w:val="00953A06"/>
    <w:rsid w:val="00953A6C"/>
    <w:rsid w:val="00953B79"/>
    <w:rsid w:val="00953C34"/>
    <w:rsid w:val="00953E70"/>
    <w:rsid w:val="009540D9"/>
    <w:rsid w:val="0095427A"/>
    <w:rsid w:val="00954459"/>
    <w:rsid w:val="009546E4"/>
    <w:rsid w:val="009546F6"/>
    <w:rsid w:val="00954746"/>
    <w:rsid w:val="00954749"/>
    <w:rsid w:val="009548B2"/>
    <w:rsid w:val="009548C8"/>
    <w:rsid w:val="00954B8C"/>
    <w:rsid w:val="00954C43"/>
    <w:rsid w:val="00954C4C"/>
    <w:rsid w:val="00954C60"/>
    <w:rsid w:val="00954CA7"/>
    <w:rsid w:val="00954F74"/>
    <w:rsid w:val="0095546D"/>
    <w:rsid w:val="009556E3"/>
    <w:rsid w:val="009557CC"/>
    <w:rsid w:val="00955814"/>
    <w:rsid w:val="009558A4"/>
    <w:rsid w:val="00955B46"/>
    <w:rsid w:val="00955C90"/>
    <w:rsid w:val="00955CCA"/>
    <w:rsid w:val="00955DFF"/>
    <w:rsid w:val="00955E40"/>
    <w:rsid w:val="00955EC1"/>
    <w:rsid w:val="009560AA"/>
    <w:rsid w:val="00956107"/>
    <w:rsid w:val="0095626F"/>
    <w:rsid w:val="009563C9"/>
    <w:rsid w:val="009566E6"/>
    <w:rsid w:val="009569C9"/>
    <w:rsid w:val="00956B09"/>
    <w:rsid w:val="00956BA1"/>
    <w:rsid w:val="00956D1C"/>
    <w:rsid w:val="00956DA4"/>
    <w:rsid w:val="00956DAC"/>
    <w:rsid w:val="00956EF9"/>
    <w:rsid w:val="00956F07"/>
    <w:rsid w:val="0095723A"/>
    <w:rsid w:val="0095764F"/>
    <w:rsid w:val="00957D34"/>
    <w:rsid w:val="00960094"/>
    <w:rsid w:val="009603A6"/>
    <w:rsid w:val="0096065E"/>
    <w:rsid w:val="00960802"/>
    <w:rsid w:val="009609CF"/>
    <w:rsid w:val="00960AE5"/>
    <w:rsid w:val="00960BFE"/>
    <w:rsid w:val="00960C1B"/>
    <w:rsid w:val="00960C64"/>
    <w:rsid w:val="00960C67"/>
    <w:rsid w:val="00960D0F"/>
    <w:rsid w:val="00960FBE"/>
    <w:rsid w:val="00961037"/>
    <w:rsid w:val="009610C0"/>
    <w:rsid w:val="0096115C"/>
    <w:rsid w:val="00961356"/>
    <w:rsid w:val="009615BA"/>
    <w:rsid w:val="00961900"/>
    <w:rsid w:val="009619C4"/>
    <w:rsid w:val="00961B75"/>
    <w:rsid w:val="00961BDE"/>
    <w:rsid w:val="00961D07"/>
    <w:rsid w:val="00961E04"/>
    <w:rsid w:val="00961E1D"/>
    <w:rsid w:val="00961E5B"/>
    <w:rsid w:val="009620DC"/>
    <w:rsid w:val="0096212B"/>
    <w:rsid w:val="00962373"/>
    <w:rsid w:val="009624A9"/>
    <w:rsid w:val="009625E4"/>
    <w:rsid w:val="00962727"/>
    <w:rsid w:val="009628C1"/>
    <w:rsid w:val="00962A5F"/>
    <w:rsid w:val="00962A8B"/>
    <w:rsid w:val="00962AC1"/>
    <w:rsid w:val="00962BFD"/>
    <w:rsid w:val="00962C5D"/>
    <w:rsid w:val="00962C9F"/>
    <w:rsid w:val="00962F09"/>
    <w:rsid w:val="00963162"/>
    <w:rsid w:val="00963165"/>
    <w:rsid w:val="009634A2"/>
    <w:rsid w:val="009636A9"/>
    <w:rsid w:val="009636B8"/>
    <w:rsid w:val="00963BCB"/>
    <w:rsid w:val="00963C57"/>
    <w:rsid w:val="00963C7F"/>
    <w:rsid w:val="00963DA9"/>
    <w:rsid w:val="00963F96"/>
    <w:rsid w:val="009642DB"/>
    <w:rsid w:val="0096455D"/>
    <w:rsid w:val="009648C0"/>
    <w:rsid w:val="00964AFC"/>
    <w:rsid w:val="00964D9A"/>
    <w:rsid w:val="00964F55"/>
    <w:rsid w:val="00964FB4"/>
    <w:rsid w:val="00965286"/>
    <w:rsid w:val="0096567E"/>
    <w:rsid w:val="00965CBF"/>
    <w:rsid w:val="00965FE8"/>
    <w:rsid w:val="00966039"/>
    <w:rsid w:val="00966271"/>
    <w:rsid w:val="00966485"/>
    <w:rsid w:val="0096654A"/>
    <w:rsid w:val="009668F8"/>
    <w:rsid w:val="00966A8C"/>
    <w:rsid w:val="00966A9B"/>
    <w:rsid w:val="00966B09"/>
    <w:rsid w:val="00966B7B"/>
    <w:rsid w:val="00966B9D"/>
    <w:rsid w:val="00966CAC"/>
    <w:rsid w:val="00966CD1"/>
    <w:rsid w:val="00966E42"/>
    <w:rsid w:val="0096703A"/>
    <w:rsid w:val="0096707F"/>
    <w:rsid w:val="009670D9"/>
    <w:rsid w:val="009672A7"/>
    <w:rsid w:val="009672DD"/>
    <w:rsid w:val="00967328"/>
    <w:rsid w:val="00967363"/>
    <w:rsid w:val="00967414"/>
    <w:rsid w:val="0096744D"/>
    <w:rsid w:val="00967613"/>
    <w:rsid w:val="009676BC"/>
    <w:rsid w:val="0096770D"/>
    <w:rsid w:val="009677CE"/>
    <w:rsid w:val="00967812"/>
    <w:rsid w:val="0096789F"/>
    <w:rsid w:val="009679EA"/>
    <w:rsid w:val="00967A05"/>
    <w:rsid w:val="00967A51"/>
    <w:rsid w:val="00967BA4"/>
    <w:rsid w:val="00967DBF"/>
    <w:rsid w:val="00967E05"/>
    <w:rsid w:val="00967ED4"/>
    <w:rsid w:val="00970013"/>
    <w:rsid w:val="009701DA"/>
    <w:rsid w:val="0097085D"/>
    <w:rsid w:val="009709DA"/>
    <w:rsid w:val="00970BFA"/>
    <w:rsid w:val="00970C8B"/>
    <w:rsid w:val="00970CB5"/>
    <w:rsid w:val="00970E79"/>
    <w:rsid w:val="0097122D"/>
    <w:rsid w:val="0097125D"/>
    <w:rsid w:val="009712A4"/>
    <w:rsid w:val="009713EC"/>
    <w:rsid w:val="0097140A"/>
    <w:rsid w:val="009714FE"/>
    <w:rsid w:val="0097160E"/>
    <w:rsid w:val="00971817"/>
    <w:rsid w:val="00971912"/>
    <w:rsid w:val="00971C3B"/>
    <w:rsid w:val="00971C44"/>
    <w:rsid w:val="00971E8E"/>
    <w:rsid w:val="00971F43"/>
    <w:rsid w:val="009720B6"/>
    <w:rsid w:val="009721A4"/>
    <w:rsid w:val="00972311"/>
    <w:rsid w:val="009725FD"/>
    <w:rsid w:val="009726F4"/>
    <w:rsid w:val="009727D3"/>
    <w:rsid w:val="00972836"/>
    <w:rsid w:val="00972872"/>
    <w:rsid w:val="00972AB2"/>
    <w:rsid w:val="00972B32"/>
    <w:rsid w:val="00972CB3"/>
    <w:rsid w:val="00972D16"/>
    <w:rsid w:val="00972D70"/>
    <w:rsid w:val="00972E8B"/>
    <w:rsid w:val="009730A0"/>
    <w:rsid w:val="009731A3"/>
    <w:rsid w:val="00973273"/>
    <w:rsid w:val="009732A3"/>
    <w:rsid w:val="009733C8"/>
    <w:rsid w:val="0097350E"/>
    <w:rsid w:val="00973597"/>
    <w:rsid w:val="009735F9"/>
    <w:rsid w:val="00973664"/>
    <w:rsid w:val="009736A9"/>
    <w:rsid w:val="0097372C"/>
    <w:rsid w:val="00973881"/>
    <w:rsid w:val="009739E2"/>
    <w:rsid w:val="00973BA1"/>
    <w:rsid w:val="00973DB9"/>
    <w:rsid w:val="00973FF4"/>
    <w:rsid w:val="009740BB"/>
    <w:rsid w:val="0097417D"/>
    <w:rsid w:val="0097419B"/>
    <w:rsid w:val="00974247"/>
    <w:rsid w:val="00974700"/>
    <w:rsid w:val="0097476C"/>
    <w:rsid w:val="009747F6"/>
    <w:rsid w:val="0097499F"/>
    <w:rsid w:val="009749B9"/>
    <w:rsid w:val="00974AF3"/>
    <w:rsid w:val="00974B47"/>
    <w:rsid w:val="00974D96"/>
    <w:rsid w:val="00974DF0"/>
    <w:rsid w:val="00974F37"/>
    <w:rsid w:val="009750B0"/>
    <w:rsid w:val="00975152"/>
    <w:rsid w:val="0097528F"/>
    <w:rsid w:val="009753FA"/>
    <w:rsid w:val="00975575"/>
    <w:rsid w:val="00975756"/>
    <w:rsid w:val="0097586B"/>
    <w:rsid w:val="00975A04"/>
    <w:rsid w:val="00975C0C"/>
    <w:rsid w:val="00975E73"/>
    <w:rsid w:val="00976032"/>
    <w:rsid w:val="009760F0"/>
    <w:rsid w:val="00976226"/>
    <w:rsid w:val="009763A1"/>
    <w:rsid w:val="00976407"/>
    <w:rsid w:val="00976578"/>
    <w:rsid w:val="009765DE"/>
    <w:rsid w:val="0097694C"/>
    <w:rsid w:val="00976969"/>
    <w:rsid w:val="009769C6"/>
    <w:rsid w:val="00976A5C"/>
    <w:rsid w:val="00976B41"/>
    <w:rsid w:val="00976D45"/>
    <w:rsid w:val="00976D4E"/>
    <w:rsid w:val="00976DF2"/>
    <w:rsid w:val="00976FBF"/>
    <w:rsid w:val="009771AC"/>
    <w:rsid w:val="009771CC"/>
    <w:rsid w:val="00977390"/>
    <w:rsid w:val="009774AF"/>
    <w:rsid w:val="009775CE"/>
    <w:rsid w:val="00977727"/>
    <w:rsid w:val="00977B44"/>
    <w:rsid w:val="00977C56"/>
    <w:rsid w:val="00977C7D"/>
    <w:rsid w:val="00977F47"/>
    <w:rsid w:val="00980989"/>
    <w:rsid w:val="00980CC1"/>
    <w:rsid w:val="00980CC5"/>
    <w:rsid w:val="00980F10"/>
    <w:rsid w:val="00980FD2"/>
    <w:rsid w:val="00980FFC"/>
    <w:rsid w:val="00981881"/>
    <w:rsid w:val="00981CEA"/>
    <w:rsid w:val="00981D1C"/>
    <w:rsid w:val="00981D80"/>
    <w:rsid w:val="00981D96"/>
    <w:rsid w:val="0098207F"/>
    <w:rsid w:val="00982783"/>
    <w:rsid w:val="00982959"/>
    <w:rsid w:val="00982A9A"/>
    <w:rsid w:val="009830EB"/>
    <w:rsid w:val="0098318F"/>
    <w:rsid w:val="009831FD"/>
    <w:rsid w:val="0098340D"/>
    <w:rsid w:val="00983795"/>
    <w:rsid w:val="009837EF"/>
    <w:rsid w:val="0098382F"/>
    <w:rsid w:val="009839FA"/>
    <w:rsid w:val="00983B70"/>
    <w:rsid w:val="00983C51"/>
    <w:rsid w:val="00983F96"/>
    <w:rsid w:val="0098406D"/>
    <w:rsid w:val="0098481C"/>
    <w:rsid w:val="00984A2E"/>
    <w:rsid w:val="00984B47"/>
    <w:rsid w:val="00984BDC"/>
    <w:rsid w:val="00984D8B"/>
    <w:rsid w:val="00984EF7"/>
    <w:rsid w:val="00985130"/>
    <w:rsid w:val="0098540E"/>
    <w:rsid w:val="00985636"/>
    <w:rsid w:val="009857CC"/>
    <w:rsid w:val="009857E0"/>
    <w:rsid w:val="009858D4"/>
    <w:rsid w:val="00985A44"/>
    <w:rsid w:val="00985A93"/>
    <w:rsid w:val="00985AA5"/>
    <w:rsid w:val="00985ADD"/>
    <w:rsid w:val="00985B3D"/>
    <w:rsid w:val="00985B49"/>
    <w:rsid w:val="00985C1D"/>
    <w:rsid w:val="00985C85"/>
    <w:rsid w:val="00985D56"/>
    <w:rsid w:val="00985D8F"/>
    <w:rsid w:val="00985DAF"/>
    <w:rsid w:val="00985F1C"/>
    <w:rsid w:val="0098616C"/>
    <w:rsid w:val="0098623F"/>
    <w:rsid w:val="009864C1"/>
    <w:rsid w:val="009865D9"/>
    <w:rsid w:val="0098678F"/>
    <w:rsid w:val="00986A1D"/>
    <w:rsid w:val="00986D3B"/>
    <w:rsid w:val="00986D71"/>
    <w:rsid w:val="00986E3B"/>
    <w:rsid w:val="00986E9C"/>
    <w:rsid w:val="00987288"/>
    <w:rsid w:val="00987448"/>
    <w:rsid w:val="009874DA"/>
    <w:rsid w:val="00987889"/>
    <w:rsid w:val="009878D6"/>
    <w:rsid w:val="00987A1D"/>
    <w:rsid w:val="00987B7F"/>
    <w:rsid w:val="00987BAD"/>
    <w:rsid w:val="00987D2C"/>
    <w:rsid w:val="00987D82"/>
    <w:rsid w:val="00987F0B"/>
    <w:rsid w:val="00987F1C"/>
    <w:rsid w:val="0099024E"/>
    <w:rsid w:val="00990380"/>
    <w:rsid w:val="009906DC"/>
    <w:rsid w:val="009907C4"/>
    <w:rsid w:val="009907EF"/>
    <w:rsid w:val="00990918"/>
    <w:rsid w:val="00990987"/>
    <w:rsid w:val="00990B3F"/>
    <w:rsid w:val="00990D4C"/>
    <w:rsid w:val="00990DFB"/>
    <w:rsid w:val="00990EED"/>
    <w:rsid w:val="009911CC"/>
    <w:rsid w:val="0099122C"/>
    <w:rsid w:val="0099122E"/>
    <w:rsid w:val="0099128C"/>
    <w:rsid w:val="0099133C"/>
    <w:rsid w:val="00991413"/>
    <w:rsid w:val="009914C1"/>
    <w:rsid w:val="00991658"/>
    <w:rsid w:val="00991698"/>
    <w:rsid w:val="00991744"/>
    <w:rsid w:val="00991765"/>
    <w:rsid w:val="0099179B"/>
    <w:rsid w:val="009917C5"/>
    <w:rsid w:val="00991834"/>
    <w:rsid w:val="009918F9"/>
    <w:rsid w:val="009918FB"/>
    <w:rsid w:val="00991BDA"/>
    <w:rsid w:val="00991CE2"/>
    <w:rsid w:val="00991E8F"/>
    <w:rsid w:val="00991F9B"/>
    <w:rsid w:val="009920BE"/>
    <w:rsid w:val="009921E1"/>
    <w:rsid w:val="009924DD"/>
    <w:rsid w:val="009926F4"/>
    <w:rsid w:val="009929F8"/>
    <w:rsid w:val="00992B10"/>
    <w:rsid w:val="00992FAF"/>
    <w:rsid w:val="00992FB9"/>
    <w:rsid w:val="00993122"/>
    <w:rsid w:val="00993206"/>
    <w:rsid w:val="00993322"/>
    <w:rsid w:val="0099383B"/>
    <w:rsid w:val="0099399F"/>
    <w:rsid w:val="00993C66"/>
    <w:rsid w:val="00993C74"/>
    <w:rsid w:val="009940F1"/>
    <w:rsid w:val="0099438D"/>
    <w:rsid w:val="009945C2"/>
    <w:rsid w:val="00994609"/>
    <w:rsid w:val="009946BC"/>
    <w:rsid w:val="009946F4"/>
    <w:rsid w:val="00994845"/>
    <w:rsid w:val="00994DE3"/>
    <w:rsid w:val="00994FC1"/>
    <w:rsid w:val="00994FD6"/>
    <w:rsid w:val="0099500E"/>
    <w:rsid w:val="00995022"/>
    <w:rsid w:val="0099502D"/>
    <w:rsid w:val="009951B2"/>
    <w:rsid w:val="009951CB"/>
    <w:rsid w:val="0099547A"/>
    <w:rsid w:val="009955F2"/>
    <w:rsid w:val="009956C6"/>
    <w:rsid w:val="009956EA"/>
    <w:rsid w:val="009957B9"/>
    <w:rsid w:val="0099581F"/>
    <w:rsid w:val="009959B9"/>
    <w:rsid w:val="00995D30"/>
    <w:rsid w:val="00995E82"/>
    <w:rsid w:val="009960F1"/>
    <w:rsid w:val="00996183"/>
    <w:rsid w:val="00996456"/>
    <w:rsid w:val="0099647B"/>
    <w:rsid w:val="009964BE"/>
    <w:rsid w:val="009966F4"/>
    <w:rsid w:val="00996B39"/>
    <w:rsid w:val="00996D4E"/>
    <w:rsid w:val="00997170"/>
    <w:rsid w:val="009971BD"/>
    <w:rsid w:val="009977FD"/>
    <w:rsid w:val="00997811"/>
    <w:rsid w:val="009978DD"/>
    <w:rsid w:val="009978F6"/>
    <w:rsid w:val="00997AA2"/>
    <w:rsid w:val="00997ABA"/>
    <w:rsid w:val="00997CCF"/>
    <w:rsid w:val="00997D66"/>
    <w:rsid w:val="00997E65"/>
    <w:rsid w:val="0099F7CD"/>
    <w:rsid w:val="009A001A"/>
    <w:rsid w:val="009A0064"/>
    <w:rsid w:val="009A008B"/>
    <w:rsid w:val="009A010A"/>
    <w:rsid w:val="009A01F6"/>
    <w:rsid w:val="009A0226"/>
    <w:rsid w:val="009A0389"/>
    <w:rsid w:val="009A03ED"/>
    <w:rsid w:val="009A0497"/>
    <w:rsid w:val="009A055C"/>
    <w:rsid w:val="009A0655"/>
    <w:rsid w:val="009A08D8"/>
    <w:rsid w:val="009A09A9"/>
    <w:rsid w:val="009A0A22"/>
    <w:rsid w:val="009A0A54"/>
    <w:rsid w:val="009A0BC3"/>
    <w:rsid w:val="009A0C7B"/>
    <w:rsid w:val="009A0CB3"/>
    <w:rsid w:val="009A0F0A"/>
    <w:rsid w:val="009A0F7C"/>
    <w:rsid w:val="009A10D8"/>
    <w:rsid w:val="009A110A"/>
    <w:rsid w:val="009A1142"/>
    <w:rsid w:val="009A119B"/>
    <w:rsid w:val="009A15A8"/>
    <w:rsid w:val="009A1815"/>
    <w:rsid w:val="009A1931"/>
    <w:rsid w:val="009A1955"/>
    <w:rsid w:val="009A19E9"/>
    <w:rsid w:val="009A1A9A"/>
    <w:rsid w:val="009A1B77"/>
    <w:rsid w:val="009A1BC7"/>
    <w:rsid w:val="009A22A3"/>
    <w:rsid w:val="009A22B6"/>
    <w:rsid w:val="009A233F"/>
    <w:rsid w:val="009A23AD"/>
    <w:rsid w:val="009A23C3"/>
    <w:rsid w:val="009A241A"/>
    <w:rsid w:val="009A2444"/>
    <w:rsid w:val="009A2507"/>
    <w:rsid w:val="009A258C"/>
    <w:rsid w:val="009A25C5"/>
    <w:rsid w:val="009A26A2"/>
    <w:rsid w:val="009A27B1"/>
    <w:rsid w:val="009A2852"/>
    <w:rsid w:val="009A29EC"/>
    <w:rsid w:val="009A2A2A"/>
    <w:rsid w:val="009A2B97"/>
    <w:rsid w:val="009A2CD7"/>
    <w:rsid w:val="009A2D21"/>
    <w:rsid w:val="009A2DDD"/>
    <w:rsid w:val="009A2EA0"/>
    <w:rsid w:val="009A2F9F"/>
    <w:rsid w:val="009A3594"/>
    <w:rsid w:val="009A380A"/>
    <w:rsid w:val="009A38E7"/>
    <w:rsid w:val="009A391A"/>
    <w:rsid w:val="009A3969"/>
    <w:rsid w:val="009A3B83"/>
    <w:rsid w:val="009A3C03"/>
    <w:rsid w:val="009A3D55"/>
    <w:rsid w:val="009A3EB5"/>
    <w:rsid w:val="009A409C"/>
    <w:rsid w:val="009A413F"/>
    <w:rsid w:val="009A4688"/>
    <w:rsid w:val="009A46DE"/>
    <w:rsid w:val="009A4762"/>
    <w:rsid w:val="009A4891"/>
    <w:rsid w:val="009A4A59"/>
    <w:rsid w:val="009A4B44"/>
    <w:rsid w:val="009A4B55"/>
    <w:rsid w:val="009A4BFB"/>
    <w:rsid w:val="009A4F97"/>
    <w:rsid w:val="009A4FAA"/>
    <w:rsid w:val="009A5090"/>
    <w:rsid w:val="009A509D"/>
    <w:rsid w:val="009A542D"/>
    <w:rsid w:val="009A568C"/>
    <w:rsid w:val="009A56D3"/>
    <w:rsid w:val="009A56E4"/>
    <w:rsid w:val="009A56E9"/>
    <w:rsid w:val="009A59FB"/>
    <w:rsid w:val="009A5CA7"/>
    <w:rsid w:val="009A5E10"/>
    <w:rsid w:val="009A60C3"/>
    <w:rsid w:val="009A60FF"/>
    <w:rsid w:val="009A6195"/>
    <w:rsid w:val="009A61A1"/>
    <w:rsid w:val="009A61F1"/>
    <w:rsid w:val="009A650B"/>
    <w:rsid w:val="009A65D7"/>
    <w:rsid w:val="009A6A4E"/>
    <w:rsid w:val="009A6A76"/>
    <w:rsid w:val="009A6C9C"/>
    <w:rsid w:val="009A6CF2"/>
    <w:rsid w:val="009A6EB6"/>
    <w:rsid w:val="009A7193"/>
    <w:rsid w:val="009A73A4"/>
    <w:rsid w:val="009A73E2"/>
    <w:rsid w:val="009A7402"/>
    <w:rsid w:val="009A7576"/>
    <w:rsid w:val="009A75C4"/>
    <w:rsid w:val="009A7A16"/>
    <w:rsid w:val="009A7A90"/>
    <w:rsid w:val="009A7AA5"/>
    <w:rsid w:val="009A7B45"/>
    <w:rsid w:val="009A7BEB"/>
    <w:rsid w:val="009A7DE5"/>
    <w:rsid w:val="009A7E9E"/>
    <w:rsid w:val="009A7EB6"/>
    <w:rsid w:val="009A7EE4"/>
    <w:rsid w:val="009A7FC4"/>
    <w:rsid w:val="009B009D"/>
    <w:rsid w:val="009B01F1"/>
    <w:rsid w:val="009B0204"/>
    <w:rsid w:val="009B02C3"/>
    <w:rsid w:val="009B034E"/>
    <w:rsid w:val="009B0355"/>
    <w:rsid w:val="009B03A3"/>
    <w:rsid w:val="009B04CE"/>
    <w:rsid w:val="009B0642"/>
    <w:rsid w:val="009B0881"/>
    <w:rsid w:val="009B099D"/>
    <w:rsid w:val="009B0A1E"/>
    <w:rsid w:val="009B0A57"/>
    <w:rsid w:val="009B0A94"/>
    <w:rsid w:val="009B0B71"/>
    <w:rsid w:val="009B0C4E"/>
    <w:rsid w:val="009B0D59"/>
    <w:rsid w:val="009B0FBC"/>
    <w:rsid w:val="009B10AD"/>
    <w:rsid w:val="009B10E9"/>
    <w:rsid w:val="009B1401"/>
    <w:rsid w:val="009B1524"/>
    <w:rsid w:val="009B157C"/>
    <w:rsid w:val="009B1632"/>
    <w:rsid w:val="009B1653"/>
    <w:rsid w:val="009B1A32"/>
    <w:rsid w:val="009B1CF9"/>
    <w:rsid w:val="009B1EBC"/>
    <w:rsid w:val="009B1FA2"/>
    <w:rsid w:val="009B1FBA"/>
    <w:rsid w:val="009B2121"/>
    <w:rsid w:val="009B2293"/>
    <w:rsid w:val="009B2363"/>
    <w:rsid w:val="009B23D5"/>
    <w:rsid w:val="009B24AE"/>
    <w:rsid w:val="009B25BD"/>
    <w:rsid w:val="009B2679"/>
    <w:rsid w:val="009B27BF"/>
    <w:rsid w:val="009B27C1"/>
    <w:rsid w:val="009B28C2"/>
    <w:rsid w:val="009B291F"/>
    <w:rsid w:val="009B2983"/>
    <w:rsid w:val="009B2AE2"/>
    <w:rsid w:val="009B2B77"/>
    <w:rsid w:val="009B2C15"/>
    <w:rsid w:val="009B30DE"/>
    <w:rsid w:val="009B3166"/>
    <w:rsid w:val="009B35AD"/>
    <w:rsid w:val="009B3616"/>
    <w:rsid w:val="009B36BF"/>
    <w:rsid w:val="009B3728"/>
    <w:rsid w:val="009B3883"/>
    <w:rsid w:val="009B3AB9"/>
    <w:rsid w:val="009B3B65"/>
    <w:rsid w:val="009B3B90"/>
    <w:rsid w:val="009B3C0B"/>
    <w:rsid w:val="009B3D02"/>
    <w:rsid w:val="009B3D27"/>
    <w:rsid w:val="009B4086"/>
    <w:rsid w:val="009B40B4"/>
    <w:rsid w:val="009B40C3"/>
    <w:rsid w:val="009B4191"/>
    <w:rsid w:val="009B4370"/>
    <w:rsid w:val="009B445C"/>
    <w:rsid w:val="009B4495"/>
    <w:rsid w:val="009B458E"/>
    <w:rsid w:val="009B46DA"/>
    <w:rsid w:val="009B49A6"/>
    <w:rsid w:val="009B49BD"/>
    <w:rsid w:val="009B4D39"/>
    <w:rsid w:val="009B5087"/>
    <w:rsid w:val="009B50E2"/>
    <w:rsid w:val="009B50F1"/>
    <w:rsid w:val="009B529B"/>
    <w:rsid w:val="009B5344"/>
    <w:rsid w:val="009B54B8"/>
    <w:rsid w:val="009B56A5"/>
    <w:rsid w:val="009B5872"/>
    <w:rsid w:val="009B5891"/>
    <w:rsid w:val="009B5A80"/>
    <w:rsid w:val="009B5A91"/>
    <w:rsid w:val="009B5B04"/>
    <w:rsid w:val="009B5D88"/>
    <w:rsid w:val="009B5EBA"/>
    <w:rsid w:val="009B5F7F"/>
    <w:rsid w:val="009B5F9F"/>
    <w:rsid w:val="009B5FD9"/>
    <w:rsid w:val="009B603D"/>
    <w:rsid w:val="009B621F"/>
    <w:rsid w:val="009B642A"/>
    <w:rsid w:val="009B6626"/>
    <w:rsid w:val="009B667B"/>
    <w:rsid w:val="009B671B"/>
    <w:rsid w:val="009B683C"/>
    <w:rsid w:val="009B6844"/>
    <w:rsid w:val="009B6848"/>
    <w:rsid w:val="009B695D"/>
    <w:rsid w:val="009B6ACF"/>
    <w:rsid w:val="009B6B48"/>
    <w:rsid w:val="009B6D47"/>
    <w:rsid w:val="009B70FB"/>
    <w:rsid w:val="009B7123"/>
    <w:rsid w:val="009B713A"/>
    <w:rsid w:val="009B738B"/>
    <w:rsid w:val="009B73CE"/>
    <w:rsid w:val="009B73D8"/>
    <w:rsid w:val="009B7446"/>
    <w:rsid w:val="009B74EC"/>
    <w:rsid w:val="009B79B7"/>
    <w:rsid w:val="009B7ACE"/>
    <w:rsid w:val="009B7B3F"/>
    <w:rsid w:val="009B7B65"/>
    <w:rsid w:val="009B7BD5"/>
    <w:rsid w:val="009B7DE1"/>
    <w:rsid w:val="009C006B"/>
    <w:rsid w:val="009C02BC"/>
    <w:rsid w:val="009C0304"/>
    <w:rsid w:val="009C0559"/>
    <w:rsid w:val="009C05CC"/>
    <w:rsid w:val="009C06F8"/>
    <w:rsid w:val="009C0B1C"/>
    <w:rsid w:val="009C0CEB"/>
    <w:rsid w:val="009C0DE9"/>
    <w:rsid w:val="009C0E00"/>
    <w:rsid w:val="009C0E1B"/>
    <w:rsid w:val="009C0ED3"/>
    <w:rsid w:val="009C1310"/>
    <w:rsid w:val="009C1550"/>
    <w:rsid w:val="009C1663"/>
    <w:rsid w:val="009C16EC"/>
    <w:rsid w:val="009C1902"/>
    <w:rsid w:val="009C1B31"/>
    <w:rsid w:val="009C1B4A"/>
    <w:rsid w:val="009C1C3D"/>
    <w:rsid w:val="009C1DDA"/>
    <w:rsid w:val="009C2155"/>
    <w:rsid w:val="009C257E"/>
    <w:rsid w:val="009C25E7"/>
    <w:rsid w:val="009C2784"/>
    <w:rsid w:val="009C2878"/>
    <w:rsid w:val="009C298B"/>
    <w:rsid w:val="009C2A38"/>
    <w:rsid w:val="009C2C91"/>
    <w:rsid w:val="009C3073"/>
    <w:rsid w:val="009C30BE"/>
    <w:rsid w:val="009C3195"/>
    <w:rsid w:val="009C31EB"/>
    <w:rsid w:val="009C328A"/>
    <w:rsid w:val="009C32AA"/>
    <w:rsid w:val="009C339C"/>
    <w:rsid w:val="009C3402"/>
    <w:rsid w:val="009C35CE"/>
    <w:rsid w:val="009C37C6"/>
    <w:rsid w:val="009C3958"/>
    <w:rsid w:val="009C3ACB"/>
    <w:rsid w:val="009C3E19"/>
    <w:rsid w:val="009C407D"/>
    <w:rsid w:val="009C43FF"/>
    <w:rsid w:val="009C45DE"/>
    <w:rsid w:val="009C4847"/>
    <w:rsid w:val="009C4884"/>
    <w:rsid w:val="009C50AD"/>
    <w:rsid w:val="009C5374"/>
    <w:rsid w:val="009C54C6"/>
    <w:rsid w:val="009C55A5"/>
    <w:rsid w:val="009C55C6"/>
    <w:rsid w:val="009C55EF"/>
    <w:rsid w:val="009C5DA1"/>
    <w:rsid w:val="009C5E80"/>
    <w:rsid w:val="009C5F86"/>
    <w:rsid w:val="009C62BB"/>
    <w:rsid w:val="009C63ED"/>
    <w:rsid w:val="009C6432"/>
    <w:rsid w:val="009C64EF"/>
    <w:rsid w:val="009C652A"/>
    <w:rsid w:val="009C678D"/>
    <w:rsid w:val="009C67C6"/>
    <w:rsid w:val="009C67E5"/>
    <w:rsid w:val="009C6827"/>
    <w:rsid w:val="009C6A01"/>
    <w:rsid w:val="009C6A86"/>
    <w:rsid w:val="009C6B24"/>
    <w:rsid w:val="009C6C9B"/>
    <w:rsid w:val="009C6CAE"/>
    <w:rsid w:val="009C6D5A"/>
    <w:rsid w:val="009C6ED9"/>
    <w:rsid w:val="009C6FF6"/>
    <w:rsid w:val="009C7064"/>
    <w:rsid w:val="009C716D"/>
    <w:rsid w:val="009C7361"/>
    <w:rsid w:val="009C74B5"/>
    <w:rsid w:val="009C74CE"/>
    <w:rsid w:val="009C77F1"/>
    <w:rsid w:val="009C78B2"/>
    <w:rsid w:val="009C7BD2"/>
    <w:rsid w:val="009C7C3F"/>
    <w:rsid w:val="009C7C58"/>
    <w:rsid w:val="009C7CE2"/>
    <w:rsid w:val="009D004F"/>
    <w:rsid w:val="009D0054"/>
    <w:rsid w:val="009D0131"/>
    <w:rsid w:val="009D0133"/>
    <w:rsid w:val="009D014E"/>
    <w:rsid w:val="009D0223"/>
    <w:rsid w:val="009D029B"/>
    <w:rsid w:val="009D0786"/>
    <w:rsid w:val="009D090A"/>
    <w:rsid w:val="009D0B53"/>
    <w:rsid w:val="009D0E47"/>
    <w:rsid w:val="009D0F73"/>
    <w:rsid w:val="009D109E"/>
    <w:rsid w:val="009D1140"/>
    <w:rsid w:val="009D1185"/>
    <w:rsid w:val="009D11EC"/>
    <w:rsid w:val="009D12AC"/>
    <w:rsid w:val="009D1399"/>
    <w:rsid w:val="009D1638"/>
    <w:rsid w:val="009D174B"/>
    <w:rsid w:val="009D1768"/>
    <w:rsid w:val="009D18FE"/>
    <w:rsid w:val="009D1CB0"/>
    <w:rsid w:val="009D1D94"/>
    <w:rsid w:val="009D1F1C"/>
    <w:rsid w:val="009D1F74"/>
    <w:rsid w:val="009D20F6"/>
    <w:rsid w:val="009D2134"/>
    <w:rsid w:val="009D2191"/>
    <w:rsid w:val="009D23F5"/>
    <w:rsid w:val="009D2547"/>
    <w:rsid w:val="009D2640"/>
    <w:rsid w:val="009D26EF"/>
    <w:rsid w:val="009D2744"/>
    <w:rsid w:val="009D280C"/>
    <w:rsid w:val="009D2902"/>
    <w:rsid w:val="009D2935"/>
    <w:rsid w:val="009D2D5D"/>
    <w:rsid w:val="009D2D6B"/>
    <w:rsid w:val="009D2E49"/>
    <w:rsid w:val="009D2F22"/>
    <w:rsid w:val="009D30F5"/>
    <w:rsid w:val="009D3129"/>
    <w:rsid w:val="009D34D1"/>
    <w:rsid w:val="009D3626"/>
    <w:rsid w:val="009D38E5"/>
    <w:rsid w:val="009D3AEC"/>
    <w:rsid w:val="009D3C5F"/>
    <w:rsid w:val="009D3CFE"/>
    <w:rsid w:val="009D3F89"/>
    <w:rsid w:val="009D4376"/>
    <w:rsid w:val="009D43EE"/>
    <w:rsid w:val="009D4634"/>
    <w:rsid w:val="009D47FB"/>
    <w:rsid w:val="009D48BC"/>
    <w:rsid w:val="009D48CE"/>
    <w:rsid w:val="009D492F"/>
    <w:rsid w:val="009D4B12"/>
    <w:rsid w:val="009D4DC0"/>
    <w:rsid w:val="009D4E5B"/>
    <w:rsid w:val="009D4EB6"/>
    <w:rsid w:val="009D4EDA"/>
    <w:rsid w:val="009D4FAB"/>
    <w:rsid w:val="009D4FEB"/>
    <w:rsid w:val="009D50F9"/>
    <w:rsid w:val="009D5164"/>
    <w:rsid w:val="009D5180"/>
    <w:rsid w:val="009D51C5"/>
    <w:rsid w:val="009D52AD"/>
    <w:rsid w:val="009D559D"/>
    <w:rsid w:val="009D56C9"/>
    <w:rsid w:val="009D59A3"/>
    <w:rsid w:val="009D5B90"/>
    <w:rsid w:val="009D5C06"/>
    <w:rsid w:val="009D5CA1"/>
    <w:rsid w:val="009D5FDE"/>
    <w:rsid w:val="009D61D5"/>
    <w:rsid w:val="009D6ABC"/>
    <w:rsid w:val="009D6C11"/>
    <w:rsid w:val="009D6DD9"/>
    <w:rsid w:val="009D6E85"/>
    <w:rsid w:val="009D70DC"/>
    <w:rsid w:val="009D70E4"/>
    <w:rsid w:val="009D726D"/>
    <w:rsid w:val="009D743D"/>
    <w:rsid w:val="009D7755"/>
    <w:rsid w:val="009D7957"/>
    <w:rsid w:val="009D7B37"/>
    <w:rsid w:val="009D7C23"/>
    <w:rsid w:val="009D7CA8"/>
    <w:rsid w:val="009D7CBE"/>
    <w:rsid w:val="009D7CE6"/>
    <w:rsid w:val="009D7D1B"/>
    <w:rsid w:val="009D7DCC"/>
    <w:rsid w:val="009D7F45"/>
    <w:rsid w:val="009D7F5E"/>
    <w:rsid w:val="009E008F"/>
    <w:rsid w:val="009E00F9"/>
    <w:rsid w:val="009E01AA"/>
    <w:rsid w:val="009E02E3"/>
    <w:rsid w:val="009E0440"/>
    <w:rsid w:val="009E0479"/>
    <w:rsid w:val="009E0503"/>
    <w:rsid w:val="009E06C5"/>
    <w:rsid w:val="009E07F3"/>
    <w:rsid w:val="009E0870"/>
    <w:rsid w:val="009E0910"/>
    <w:rsid w:val="009E0B05"/>
    <w:rsid w:val="009E0B37"/>
    <w:rsid w:val="009E0B8E"/>
    <w:rsid w:val="009E0D56"/>
    <w:rsid w:val="009E0DD3"/>
    <w:rsid w:val="009E104A"/>
    <w:rsid w:val="009E105C"/>
    <w:rsid w:val="009E1319"/>
    <w:rsid w:val="009E137A"/>
    <w:rsid w:val="009E153E"/>
    <w:rsid w:val="009E1BC0"/>
    <w:rsid w:val="009E1E37"/>
    <w:rsid w:val="009E1EF8"/>
    <w:rsid w:val="009E2157"/>
    <w:rsid w:val="009E22B6"/>
    <w:rsid w:val="009E23A6"/>
    <w:rsid w:val="009E262C"/>
    <w:rsid w:val="009E2677"/>
    <w:rsid w:val="009E2988"/>
    <w:rsid w:val="009E2ACC"/>
    <w:rsid w:val="009E2B0C"/>
    <w:rsid w:val="009E2CE8"/>
    <w:rsid w:val="009E2D60"/>
    <w:rsid w:val="009E2E1E"/>
    <w:rsid w:val="009E2EC1"/>
    <w:rsid w:val="009E309C"/>
    <w:rsid w:val="009E3104"/>
    <w:rsid w:val="009E31AA"/>
    <w:rsid w:val="009E326C"/>
    <w:rsid w:val="009E3384"/>
    <w:rsid w:val="009E357D"/>
    <w:rsid w:val="009E3604"/>
    <w:rsid w:val="009E3828"/>
    <w:rsid w:val="009E3B03"/>
    <w:rsid w:val="009E3E39"/>
    <w:rsid w:val="009E3EDC"/>
    <w:rsid w:val="009E41D5"/>
    <w:rsid w:val="009E4209"/>
    <w:rsid w:val="009E4578"/>
    <w:rsid w:val="009E463C"/>
    <w:rsid w:val="009E4651"/>
    <w:rsid w:val="009E497C"/>
    <w:rsid w:val="009E4F31"/>
    <w:rsid w:val="009E507D"/>
    <w:rsid w:val="009E55C8"/>
    <w:rsid w:val="009E565A"/>
    <w:rsid w:val="009E5AD5"/>
    <w:rsid w:val="009E5BBC"/>
    <w:rsid w:val="009E5C10"/>
    <w:rsid w:val="009E5C39"/>
    <w:rsid w:val="009E5C63"/>
    <w:rsid w:val="009E5CBE"/>
    <w:rsid w:val="009E5D1C"/>
    <w:rsid w:val="009E5E22"/>
    <w:rsid w:val="009E6257"/>
    <w:rsid w:val="009E62AF"/>
    <w:rsid w:val="009E62C6"/>
    <w:rsid w:val="009E6430"/>
    <w:rsid w:val="009E643A"/>
    <w:rsid w:val="009E657C"/>
    <w:rsid w:val="009E65AB"/>
    <w:rsid w:val="009E6601"/>
    <w:rsid w:val="009E662C"/>
    <w:rsid w:val="009E6762"/>
    <w:rsid w:val="009E686B"/>
    <w:rsid w:val="009E68EE"/>
    <w:rsid w:val="009E6A9A"/>
    <w:rsid w:val="009E6BA4"/>
    <w:rsid w:val="009E6D49"/>
    <w:rsid w:val="009E720C"/>
    <w:rsid w:val="009E7227"/>
    <w:rsid w:val="009E74B7"/>
    <w:rsid w:val="009E764C"/>
    <w:rsid w:val="009E7669"/>
    <w:rsid w:val="009E771F"/>
    <w:rsid w:val="009E7863"/>
    <w:rsid w:val="009E7B7B"/>
    <w:rsid w:val="009E7E36"/>
    <w:rsid w:val="009E7F36"/>
    <w:rsid w:val="009EC18D"/>
    <w:rsid w:val="009F0153"/>
    <w:rsid w:val="009F0288"/>
    <w:rsid w:val="009F0518"/>
    <w:rsid w:val="009F052D"/>
    <w:rsid w:val="009F071C"/>
    <w:rsid w:val="009F07BB"/>
    <w:rsid w:val="009F0823"/>
    <w:rsid w:val="009F08C5"/>
    <w:rsid w:val="009F0A98"/>
    <w:rsid w:val="009F0AEB"/>
    <w:rsid w:val="009F0D8F"/>
    <w:rsid w:val="009F0DE2"/>
    <w:rsid w:val="009F0EE4"/>
    <w:rsid w:val="009F0FA8"/>
    <w:rsid w:val="009F1325"/>
    <w:rsid w:val="009F13B8"/>
    <w:rsid w:val="009F1495"/>
    <w:rsid w:val="009F149F"/>
    <w:rsid w:val="009F153F"/>
    <w:rsid w:val="009F1611"/>
    <w:rsid w:val="009F1660"/>
    <w:rsid w:val="009F1682"/>
    <w:rsid w:val="009F16B0"/>
    <w:rsid w:val="009F1D5A"/>
    <w:rsid w:val="009F1DD4"/>
    <w:rsid w:val="009F202F"/>
    <w:rsid w:val="009F216E"/>
    <w:rsid w:val="009F2181"/>
    <w:rsid w:val="009F21AA"/>
    <w:rsid w:val="009F2271"/>
    <w:rsid w:val="009F22E7"/>
    <w:rsid w:val="009F2346"/>
    <w:rsid w:val="009F266A"/>
    <w:rsid w:val="009F2694"/>
    <w:rsid w:val="009F26AF"/>
    <w:rsid w:val="009F2722"/>
    <w:rsid w:val="009F2A34"/>
    <w:rsid w:val="009F2A3D"/>
    <w:rsid w:val="009F2C1D"/>
    <w:rsid w:val="009F2C2C"/>
    <w:rsid w:val="009F2E42"/>
    <w:rsid w:val="009F2F82"/>
    <w:rsid w:val="009F301D"/>
    <w:rsid w:val="009F32EA"/>
    <w:rsid w:val="009F3421"/>
    <w:rsid w:val="009F361F"/>
    <w:rsid w:val="009F36EB"/>
    <w:rsid w:val="009F3707"/>
    <w:rsid w:val="009F39F7"/>
    <w:rsid w:val="009F3A38"/>
    <w:rsid w:val="009F3B74"/>
    <w:rsid w:val="009F3BA4"/>
    <w:rsid w:val="009F3BE8"/>
    <w:rsid w:val="009F3C71"/>
    <w:rsid w:val="009F3E85"/>
    <w:rsid w:val="009F3EBF"/>
    <w:rsid w:val="009F3F09"/>
    <w:rsid w:val="009F4002"/>
    <w:rsid w:val="009F401A"/>
    <w:rsid w:val="009F408D"/>
    <w:rsid w:val="009F423C"/>
    <w:rsid w:val="009F4242"/>
    <w:rsid w:val="009F4403"/>
    <w:rsid w:val="009F45F2"/>
    <w:rsid w:val="009F4716"/>
    <w:rsid w:val="009F472C"/>
    <w:rsid w:val="009F47E8"/>
    <w:rsid w:val="009F4827"/>
    <w:rsid w:val="009F48BD"/>
    <w:rsid w:val="009F48C3"/>
    <w:rsid w:val="009F4B4C"/>
    <w:rsid w:val="009F4B95"/>
    <w:rsid w:val="009F4C71"/>
    <w:rsid w:val="009F4C8E"/>
    <w:rsid w:val="009F4D72"/>
    <w:rsid w:val="009F503E"/>
    <w:rsid w:val="009F551B"/>
    <w:rsid w:val="009F56A0"/>
    <w:rsid w:val="009F58B3"/>
    <w:rsid w:val="009F59FA"/>
    <w:rsid w:val="009F5A77"/>
    <w:rsid w:val="009F5EA7"/>
    <w:rsid w:val="009F6172"/>
    <w:rsid w:val="009F62DD"/>
    <w:rsid w:val="009F6336"/>
    <w:rsid w:val="009F63BB"/>
    <w:rsid w:val="009F6550"/>
    <w:rsid w:val="009F6692"/>
    <w:rsid w:val="009F66A3"/>
    <w:rsid w:val="009F68FB"/>
    <w:rsid w:val="009F6B36"/>
    <w:rsid w:val="009F6D2B"/>
    <w:rsid w:val="009F6E2C"/>
    <w:rsid w:val="009F6E79"/>
    <w:rsid w:val="009F7150"/>
    <w:rsid w:val="009F71E5"/>
    <w:rsid w:val="009F7213"/>
    <w:rsid w:val="009F7523"/>
    <w:rsid w:val="009F7572"/>
    <w:rsid w:val="009F75DC"/>
    <w:rsid w:val="009F7789"/>
    <w:rsid w:val="009F7819"/>
    <w:rsid w:val="009F7950"/>
    <w:rsid w:val="009F7B31"/>
    <w:rsid w:val="009F7C52"/>
    <w:rsid w:val="009F7F07"/>
    <w:rsid w:val="009F7F83"/>
    <w:rsid w:val="00A00075"/>
    <w:rsid w:val="00A00085"/>
    <w:rsid w:val="00A000E6"/>
    <w:rsid w:val="00A003EC"/>
    <w:rsid w:val="00A0059F"/>
    <w:rsid w:val="00A0074B"/>
    <w:rsid w:val="00A008C5"/>
    <w:rsid w:val="00A00CE7"/>
    <w:rsid w:val="00A00F09"/>
    <w:rsid w:val="00A00F82"/>
    <w:rsid w:val="00A010AC"/>
    <w:rsid w:val="00A01298"/>
    <w:rsid w:val="00A01488"/>
    <w:rsid w:val="00A016C3"/>
    <w:rsid w:val="00A017DB"/>
    <w:rsid w:val="00A018FA"/>
    <w:rsid w:val="00A01A4B"/>
    <w:rsid w:val="00A01B30"/>
    <w:rsid w:val="00A01B47"/>
    <w:rsid w:val="00A01C06"/>
    <w:rsid w:val="00A01C97"/>
    <w:rsid w:val="00A01F03"/>
    <w:rsid w:val="00A020A0"/>
    <w:rsid w:val="00A02388"/>
    <w:rsid w:val="00A02484"/>
    <w:rsid w:val="00A02620"/>
    <w:rsid w:val="00A026CF"/>
    <w:rsid w:val="00A026D0"/>
    <w:rsid w:val="00A02756"/>
    <w:rsid w:val="00A02993"/>
    <w:rsid w:val="00A02AB8"/>
    <w:rsid w:val="00A02AD7"/>
    <w:rsid w:val="00A02B2A"/>
    <w:rsid w:val="00A02CCA"/>
    <w:rsid w:val="00A02D29"/>
    <w:rsid w:val="00A02E34"/>
    <w:rsid w:val="00A02F8B"/>
    <w:rsid w:val="00A02FA4"/>
    <w:rsid w:val="00A03019"/>
    <w:rsid w:val="00A03285"/>
    <w:rsid w:val="00A032CA"/>
    <w:rsid w:val="00A033CA"/>
    <w:rsid w:val="00A03425"/>
    <w:rsid w:val="00A0378F"/>
    <w:rsid w:val="00A038FB"/>
    <w:rsid w:val="00A03995"/>
    <w:rsid w:val="00A03E31"/>
    <w:rsid w:val="00A04223"/>
    <w:rsid w:val="00A0427E"/>
    <w:rsid w:val="00A043B3"/>
    <w:rsid w:val="00A043D3"/>
    <w:rsid w:val="00A0441F"/>
    <w:rsid w:val="00A0444F"/>
    <w:rsid w:val="00A0487C"/>
    <w:rsid w:val="00A04998"/>
    <w:rsid w:val="00A04C3E"/>
    <w:rsid w:val="00A04DBC"/>
    <w:rsid w:val="00A04EE4"/>
    <w:rsid w:val="00A05196"/>
    <w:rsid w:val="00A05339"/>
    <w:rsid w:val="00A05393"/>
    <w:rsid w:val="00A053EE"/>
    <w:rsid w:val="00A054D6"/>
    <w:rsid w:val="00A054D7"/>
    <w:rsid w:val="00A055BD"/>
    <w:rsid w:val="00A056DA"/>
    <w:rsid w:val="00A057E5"/>
    <w:rsid w:val="00A05924"/>
    <w:rsid w:val="00A05C28"/>
    <w:rsid w:val="00A05E1A"/>
    <w:rsid w:val="00A05EC4"/>
    <w:rsid w:val="00A05F85"/>
    <w:rsid w:val="00A06275"/>
    <w:rsid w:val="00A06586"/>
    <w:rsid w:val="00A06793"/>
    <w:rsid w:val="00A06831"/>
    <w:rsid w:val="00A06902"/>
    <w:rsid w:val="00A06A32"/>
    <w:rsid w:val="00A06C10"/>
    <w:rsid w:val="00A06D98"/>
    <w:rsid w:val="00A06E62"/>
    <w:rsid w:val="00A06F6C"/>
    <w:rsid w:val="00A06FD7"/>
    <w:rsid w:val="00A07025"/>
    <w:rsid w:val="00A071BE"/>
    <w:rsid w:val="00A071F5"/>
    <w:rsid w:val="00A071FB"/>
    <w:rsid w:val="00A07202"/>
    <w:rsid w:val="00A0720D"/>
    <w:rsid w:val="00A072D1"/>
    <w:rsid w:val="00A07402"/>
    <w:rsid w:val="00A0752F"/>
    <w:rsid w:val="00A0782C"/>
    <w:rsid w:val="00A0783F"/>
    <w:rsid w:val="00A078B3"/>
    <w:rsid w:val="00A0795F"/>
    <w:rsid w:val="00A079C2"/>
    <w:rsid w:val="00A07AA3"/>
    <w:rsid w:val="00A07D6F"/>
    <w:rsid w:val="00A07F85"/>
    <w:rsid w:val="00A07FD3"/>
    <w:rsid w:val="00A100FC"/>
    <w:rsid w:val="00A10128"/>
    <w:rsid w:val="00A10240"/>
    <w:rsid w:val="00A1026A"/>
    <w:rsid w:val="00A10382"/>
    <w:rsid w:val="00A10470"/>
    <w:rsid w:val="00A10569"/>
    <w:rsid w:val="00A105BF"/>
    <w:rsid w:val="00A106E5"/>
    <w:rsid w:val="00A10876"/>
    <w:rsid w:val="00A10D70"/>
    <w:rsid w:val="00A110CD"/>
    <w:rsid w:val="00A11250"/>
    <w:rsid w:val="00A114D6"/>
    <w:rsid w:val="00A11594"/>
    <w:rsid w:val="00A11898"/>
    <w:rsid w:val="00A1190F"/>
    <w:rsid w:val="00A119B8"/>
    <w:rsid w:val="00A11CC5"/>
    <w:rsid w:val="00A11CC7"/>
    <w:rsid w:val="00A11D2F"/>
    <w:rsid w:val="00A11D83"/>
    <w:rsid w:val="00A11F59"/>
    <w:rsid w:val="00A12206"/>
    <w:rsid w:val="00A12337"/>
    <w:rsid w:val="00A12413"/>
    <w:rsid w:val="00A127AE"/>
    <w:rsid w:val="00A128FC"/>
    <w:rsid w:val="00A129B5"/>
    <w:rsid w:val="00A12A38"/>
    <w:rsid w:val="00A12A58"/>
    <w:rsid w:val="00A12AB3"/>
    <w:rsid w:val="00A12F19"/>
    <w:rsid w:val="00A12F6A"/>
    <w:rsid w:val="00A13097"/>
    <w:rsid w:val="00A130EB"/>
    <w:rsid w:val="00A13372"/>
    <w:rsid w:val="00A13461"/>
    <w:rsid w:val="00A13522"/>
    <w:rsid w:val="00A13652"/>
    <w:rsid w:val="00A137EF"/>
    <w:rsid w:val="00A139C9"/>
    <w:rsid w:val="00A139EA"/>
    <w:rsid w:val="00A13A88"/>
    <w:rsid w:val="00A13C00"/>
    <w:rsid w:val="00A13C95"/>
    <w:rsid w:val="00A13CB0"/>
    <w:rsid w:val="00A13D19"/>
    <w:rsid w:val="00A13E4B"/>
    <w:rsid w:val="00A13E70"/>
    <w:rsid w:val="00A13EB6"/>
    <w:rsid w:val="00A1415F"/>
    <w:rsid w:val="00A141CC"/>
    <w:rsid w:val="00A141F0"/>
    <w:rsid w:val="00A142F9"/>
    <w:rsid w:val="00A143E0"/>
    <w:rsid w:val="00A14C32"/>
    <w:rsid w:val="00A14D91"/>
    <w:rsid w:val="00A14E38"/>
    <w:rsid w:val="00A15153"/>
    <w:rsid w:val="00A15228"/>
    <w:rsid w:val="00A153C3"/>
    <w:rsid w:val="00A15451"/>
    <w:rsid w:val="00A154E9"/>
    <w:rsid w:val="00A156E5"/>
    <w:rsid w:val="00A157C2"/>
    <w:rsid w:val="00A15837"/>
    <w:rsid w:val="00A15A36"/>
    <w:rsid w:val="00A15CA3"/>
    <w:rsid w:val="00A15DD5"/>
    <w:rsid w:val="00A15E0E"/>
    <w:rsid w:val="00A15E43"/>
    <w:rsid w:val="00A15E80"/>
    <w:rsid w:val="00A15F68"/>
    <w:rsid w:val="00A15FE3"/>
    <w:rsid w:val="00A16036"/>
    <w:rsid w:val="00A1606D"/>
    <w:rsid w:val="00A160D1"/>
    <w:rsid w:val="00A16141"/>
    <w:rsid w:val="00A166DE"/>
    <w:rsid w:val="00A16899"/>
    <w:rsid w:val="00A168E8"/>
    <w:rsid w:val="00A168F7"/>
    <w:rsid w:val="00A16984"/>
    <w:rsid w:val="00A16987"/>
    <w:rsid w:val="00A16B5C"/>
    <w:rsid w:val="00A16CDA"/>
    <w:rsid w:val="00A16D5A"/>
    <w:rsid w:val="00A1726F"/>
    <w:rsid w:val="00A1776A"/>
    <w:rsid w:val="00A1788B"/>
    <w:rsid w:val="00A178FE"/>
    <w:rsid w:val="00A17AFA"/>
    <w:rsid w:val="00A17C69"/>
    <w:rsid w:val="00A17C88"/>
    <w:rsid w:val="00A17DA1"/>
    <w:rsid w:val="00A17E63"/>
    <w:rsid w:val="00A17EE9"/>
    <w:rsid w:val="00A2006E"/>
    <w:rsid w:val="00A200E7"/>
    <w:rsid w:val="00A20180"/>
    <w:rsid w:val="00A20269"/>
    <w:rsid w:val="00A2029E"/>
    <w:rsid w:val="00A20372"/>
    <w:rsid w:val="00A20418"/>
    <w:rsid w:val="00A20A66"/>
    <w:rsid w:val="00A20A9C"/>
    <w:rsid w:val="00A20B3A"/>
    <w:rsid w:val="00A20DD1"/>
    <w:rsid w:val="00A20F5B"/>
    <w:rsid w:val="00A20F62"/>
    <w:rsid w:val="00A210C6"/>
    <w:rsid w:val="00A212FC"/>
    <w:rsid w:val="00A2149C"/>
    <w:rsid w:val="00A21583"/>
    <w:rsid w:val="00A215D1"/>
    <w:rsid w:val="00A21806"/>
    <w:rsid w:val="00A21844"/>
    <w:rsid w:val="00A21C3A"/>
    <w:rsid w:val="00A21EFE"/>
    <w:rsid w:val="00A221EB"/>
    <w:rsid w:val="00A22274"/>
    <w:rsid w:val="00A223AF"/>
    <w:rsid w:val="00A22625"/>
    <w:rsid w:val="00A2262E"/>
    <w:rsid w:val="00A2267C"/>
    <w:rsid w:val="00A22751"/>
    <w:rsid w:val="00A2286A"/>
    <w:rsid w:val="00A22940"/>
    <w:rsid w:val="00A22B2F"/>
    <w:rsid w:val="00A22D92"/>
    <w:rsid w:val="00A22DD4"/>
    <w:rsid w:val="00A22F04"/>
    <w:rsid w:val="00A22F9F"/>
    <w:rsid w:val="00A2310A"/>
    <w:rsid w:val="00A2315E"/>
    <w:rsid w:val="00A231AA"/>
    <w:rsid w:val="00A23340"/>
    <w:rsid w:val="00A23419"/>
    <w:rsid w:val="00A236B0"/>
    <w:rsid w:val="00A23BAD"/>
    <w:rsid w:val="00A23D9E"/>
    <w:rsid w:val="00A23EE0"/>
    <w:rsid w:val="00A23F17"/>
    <w:rsid w:val="00A23FDB"/>
    <w:rsid w:val="00A24001"/>
    <w:rsid w:val="00A24027"/>
    <w:rsid w:val="00A24202"/>
    <w:rsid w:val="00A24280"/>
    <w:rsid w:val="00A242F9"/>
    <w:rsid w:val="00A2440D"/>
    <w:rsid w:val="00A24456"/>
    <w:rsid w:val="00A24823"/>
    <w:rsid w:val="00A24950"/>
    <w:rsid w:val="00A24A0D"/>
    <w:rsid w:val="00A24B05"/>
    <w:rsid w:val="00A24C9F"/>
    <w:rsid w:val="00A2508F"/>
    <w:rsid w:val="00A250CF"/>
    <w:rsid w:val="00A253E7"/>
    <w:rsid w:val="00A2545D"/>
    <w:rsid w:val="00A25976"/>
    <w:rsid w:val="00A25A1C"/>
    <w:rsid w:val="00A25B60"/>
    <w:rsid w:val="00A25C27"/>
    <w:rsid w:val="00A25C4A"/>
    <w:rsid w:val="00A25CEC"/>
    <w:rsid w:val="00A25DD8"/>
    <w:rsid w:val="00A26019"/>
    <w:rsid w:val="00A26050"/>
    <w:rsid w:val="00A26053"/>
    <w:rsid w:val="00A2612C"/>
    <w:rsid w:val="00A26229"/>
    <w:rsid w:val="00A263B9"/>
    <w:rsid w:val="00A26654"/>
    <w:rsid w:val="00A26689"/>
    <w:rsid w:val="00A26B01"/>
    <w:rsid w:val="00A26B1C"/>
    <w:rsid w:val="00A26BB9"/>
    <w:rsid w:val="00A26C32"/>
    <w:rsid w:val="00A26C51"/>
    <w:rsid w:val="00A26D01"/>
    <w:rsid w:val="00A26D41"/>
    <w:rsid w:val="00A27334"/>
    <w:rsid w:val="00A274D9"/>
    <w:rsid w:val="00A27500"/>
    <w:rsid w:val="00A2754F"/>
    <w:rsid w:val="00A2795B"/>
    <w:rsid w:val="00A27B9B"/>
    <w:rsid w:val="00A27BC0"/>
    <w:rsid w:val="00A27C1B"/>
    <w:rsid w:val="00A27D20"/>
    <w:rsid w:val="00A27D37"/>
    <w:rsid w:val="00A27DEB"/>
    <w:rsid w:val="00A27EEC"/>
    <w:rsid w:val="00A27F22"/>
    <w:rsid w:val="00A30046"/>
    <w:rsid w:val="00A30342"/>
    <w:rsid w:val="00A30387"/>
    <w:rsid w:val="00A304B2"/>
    <w:rsid w:val="00A304BD"/>
    <w:rsid w:val="00A30789"/>
    <w:rsid w:val="00A30A67"/>
    <w:rsid w:val="00A30AA9"/>
    <w:rsid w:val="00A30ACB"/>
    <w:rsid w:val="00A30CC2"/>
    <w:rsid w:val="00A30F57"/>
    <w:rsid w:val="00A30F8D"/>
    <w:rsid w:val="00A30F99"/>
    <w:rsid w:val="00A315B0"/>
    <w:rsid w:val="00A3174B"/>
    <w:rsid w:val="00A31804"/>
    <w:rsid w:val="00A3192C"/>
    <w:rsid w:val="00A3194E"/>
    <w:rsid w:val="00A31C5D"/>
    <w:rsid w:val="00A31F0A"/>
    <w:rsid w:val="00A32120"/>
    <w:rsid w:val="00A32243"/>
    <w:rsid w:val="00A3247C"/>
    <w:rsid w:val="00A326EE"/>
    <w:rsid w:val="00A3272B"/>
    <w:rsid w:val="00A32793"/>
    <w:rsid w:val="00A327F7"/>
    <w:rsid w:val="00A329A8"/>
    <w:rsid w:val="00A329D7"/>
    <w:rsid w:val="00A32A20"/>
    <w:rsid w:val="00A32B40"/>
    <w:rsid w:val="00A32BE4"/>
    <w:rsid w:val="00A32CDD"/>
    <w:rsid w:val="00A32D10"/>
    <w:rsid w:val="00A32DBB"/>
    <w:rsid w:val="00A32F69"/>
    <w:rsid w:val="00A33384"/>
    <w:rsid w:val="00A3344F"/>
    <w:rsid w:val="00A33557"/>
    <w:rsid w:val="00A33614"/>
    <w:rsid w:val="00A33657"/>
    <w:rsid w:val="00A33746"/>
    <w:rsid w:val="00A33818"/>
    <w:rsid w:val="00A338DE"/>
    <w:rsid w:val="00A33AC6"/>
    <w:rsid w:val="00A33B6C"/>
    <w:rsid w:val="00A33FF9"/>
    <w:rsid w:val="00A34032"/>
    <w:rsid w:val="00A34101"/>
    <w:rsid w:val="00A3410D"/>
    <w:rsid w:val="00A34150"/>
    <w:rsid w:val="00A34436"/>
    <w:rsid w:val="00A34641"/>
    <w:rsid w:val="00A34731"/>
    <w:rsid w:val="00A3482E"/>
    <w:rsid w:val="00A34898"/>
    <w:rsid w:val="00A349A1"/>
    <w:rsid w:val="00A349E8"/>
    <w:rsid w:val="00A34A0B"/>
    <w:rsid w:val="00A34A99"/>
    <w:rsid w:val="00A34C06"/>
    <w:rsid w:val="00A34CB2"/>
    <w:rsid w:val="00A34E2A"/>
    <w:rsid w:val="00A34E94"/>
    <w:rsid w:val="00A35026"/>
    <w:rsid w:val="00A3506F"/>
    <w:rsid w:val="00A35538"/>
    <w:rsid w:val="00A35881"/>
    <w:rsid w:val="00A35A04"/>
    <w:rsid w:val="00A35F99"/>
    <w:rsid w:val="00A35FEF"/>
    <w:rsid w:val="00A36082"/>
    <w:rsid w:val="00A360C7"/>
    <w:rsid w:val="00A36189"/>
    <w:rsid w:val="00A362D1"/>
    <w:rsid w:val="00A36671"/>
    <w:rsid w:val="00A367B0"/>
    <w:rsid w:val="00A367E9"/>
    <w:rsid w:val="00A368B5"/>
    <w:rsid w:val="00A368E0"/>
    <w:rsid w:val="00A36A64"/>
    <w:rsid w:val="00A36AAB"/>
    <w:rsid w:val="00A36D8E"/>
    <w:rsid w:val="00A36E3F"/>
    <w:rsid w:val="00A36F89"/>
    <w:rsid w:val="00A37042"/>
    <w:rsid w:val="00A370C3"/>
    <w:rsid w:val="00A374CA"/>
    <w:rsid w:val="00A374CF"/>
    <w:rsid w:val="00A37502"/>
    <w:rsid w:val="00A376D1"/>
    <w:rsid w:val="00A3770E"/>
    <w:rsid w:val="00A378CC"/>
    <w:rsid w:val="00A378E7"/>
    <w:rsid w:val="00A37E32"/>
    <w:rsid w:val="00A37E9D"/>
    <w:rsid w:val="00A402D6"/>
    <w:rsid w:val="00A40441"/>
    <w:rsid w:val="00A40459"/>
    <w:rsid w:val="00A40E51"/>
    <w:rsid w:val="00A412A4"/>
    <w:rsid w:val="00A41301"/>
    <w:rsid w:val="00A41516"/>
    <w:rsid w:val="00A4163B"/>
    <w:rsid w:val="00A41AA6"/>
    <w:rsid w:val="00A41B32"/>
    <w:rsid w:val="00A41C78"/>
    <w:rsid w:val="00A41EBD"/>
    <w:rsid w:val="00A41EF8"/>
    <w:rsid w:val="00A41F9B"/>
    <w:rsid w:val="00A41FD7"/>
    <w:rsid w:val="00A42223"/>
    <w:rsid w:val="00A42267"/>
    <w:rsid w:val="00A4267C"/>
    <w:rsid w:val="00A42750"/>
    <w:rsid w:val="00A42755"/>
    <w:rsid w:val="00A42D05"/>
    <w:rsid w:val="00A42EBC"/>
    <w:rsid w:val="00A4304C"/>
    <w:rsid w:val="00A431DC"/>
    <w:rsid w:val="00A43240"/>
    <w:rsid w:val="00A43447"/>
    <w:rsid w:val="00A434F1"/>
    <w:rsid w:val="00A437F7"/>
    <w:rsid w:val="00A43896"/>
    <w:rsid w:val="00A439AF"/>
    <w:rsid w:val="00A43BC2"/>
    <w:rsid w:val="00A43C10"/>
    <w:rsid w:val="00A43D11"/>
    <w:rsid w:val="00A43D55"/>
    <w:rsid w:val="00A43D58"/>
    <w:rsid w:val="00A43E8E"/>
    <w:rsid w:val="00A43EFB"/>
    <w:rsid w:val="00A43F0C"/>
    <w:rsid w:val="00A4409D"/>
    <w:rsid w:val="00A440F0"/>
    <w:rsid w:val="00A443E2"/>
    <w:rsid w:val="00A445DF"/>
    <w:rsid w:val="00A4463B"/>
    <w:rsid w:val="00A446A7"/>
    <w:rsid w:val="00A446B3"/>
    <w:rsid w:val="00A447D1"/>
    <w:rsid w:val="00A4480F"/>
    <w:rsid w:val="00A4482F"/>
    <w:rsid w:val="00A44AD1"/>
    <w:rsid w:val="00A44C16"/>
    <w:rsid w:val="00A44E29"/>
    <w:rsid w:val="00A44FCD"/>
    <w:rsid w:val="00A450A8"/>
    <w:rsid w:val="00A4514B"/>
    <w:rsid w:val="00A451E4"/>
    <w:rsid w:val="00A45439"/>
    <w:rsid w:val="00A4545E"/>
    <w:rsid w:val="00A45557"/>
    <w:rsid w:val="00A45752"/>
    <w:rsid w:val="00A45810"/>
    <w:rsid w:val="00A45AD1"/>
    <w:rsid w:val="00A45BA9"/>
    <w:rsid w:val="00A45BF0"/>
    <w:rsid w:val="00A45C53"/>
    <w:rsid w:val="00A45CC8"/>
    <w:rsid w:val="00A45ED5"/>
    <w:rsid w:val="00A46242"/>
    <w:rsid w:val="00A462BF"/>
    <w:rsid w:val="00A46498"/>
    <w:rsid w:val="00A467A6"/>
    <w:rsid w:val="00A4687E"/>
    <w:rsid w:val="00A4699B"/>
    <w:rsid w:val="00A46AD9"/>
    <w:rsid w:val="00A46B49"/>
    <w:rsid w:val="00A46BA8"/>
    <w:rsid w:val="00A46BF7"/>
    <w:rsid w:val="00A46D82"/>
    <w:rsid w:val="00A46FEE"/>
    <w:rsid w:val="00A4717F"/>
    <w:rsid w:val="00A472DC"/>
    <w:rsid w:val="00A474D1"/>
    <w:rsid w:val="00A4758C"/>
    <w:rsid w:val="00A4778A"/>
    <w:rsid w:val="00A47804"/>
    <w:rsid w:val="00A47A65"/>
    <w:rsid w:val="00A47D31"/>
    <w:rsid w:val="00A47E31"/>
    <w:rsid w:val="00A47E7D"/>
    <w:rsid w:val="00A47E85"/>
    <w:rsid w:val="00A50432"/>
    <w:rsid w:val="00A5047E"/>
    <w:rsid w:val="00A5068B"/>
    <w:rsid w:val="00A506E0"/>
    <w:rsid w:val="00A50982"/>
    <w:rsid w:val="00A509B1"/>
    <w:rsid w:val="00A50B07"/>
    <w:rsid w:val="00A50D12"/>
    <w:rsid w:val="00A51049"/>
    <w:rsid w:val="00A5116A"/>
    <w:rsid w:val="00A51336"/>
    <w:rsid w:val="00A51413"/>
    <w:rsid w:val="00A51577"/>
    <w:rsid w:val="00A5158B"/>
    <w:rsid w:val="00A51804"/>
    <w:rsid w:val="00A519B8"/>
    <w:rsid w:val="00A51BFE"/>
    <w:rsid w:val="00A51F77"/>
    <w:rsid w:val="00A522B0"/>
    <w:rsid w:val="00A523C2"/>
    <w:rsid w:val="00A52407"/>
    <w:rsid w:val="00A52449"/>
    <w:rsid w:val="00A527BA"/>
    <w:rsid w:val="00A527F7"/>
    <w:rsid w:val="00A52BA5"/>
    <w:rsid w:val="00A52D62"/>
    <w:rsid w:val="00A52F9E"/>
    <w:rsid w:val="00A53318"/>
    <w:rsid w:val="00A534B5"/>
    <w:rsid w:val="00A534FC"/>
    <w:rsid w:val="00A537C8"/>
    <w:rsid w:val="00A5392C"/>
    <w:rsid w:val="00A53AD2"/>
    <w:rsid w:val="00A53D2C"/>
    <w:rsid w:val="00A53E9D"/>
    <w:rsid w:val="00A53F3F"/>
    <w:rsid w:val="00A53F48"/>
    <w:rsid w:val="00A5414A"/>
    <w:rsid w:val="00A54249"/>
    <w:rsid w:val="00A542C8"/>
    <w:rsid w:val="00A5432C"/>
    <w:rsid w:val="00A54515"/>
    <w:rsid w:val="00A54517"/>
    <w:rsid w:val="00A5458E"/>
    <w:rsid w:val="00A54607"/>
    <w:rsid w:val="00A54933"/>
    <w:rsid w:val="00A54A29"/>
    <w:rsid w:val="00A54A56"/>
    <w:rsid w:val="00A54E3E"/>
    <w:rsid w:val="00A54EBF"/>
    <w:rsid w:val="00A54FCD"/>
    <w:rsid w:val="00A55028"/>
    <w:rsid w:val="00A55145"/>
    <w:rsid w:val="00A5530A"/>
    <w:rsid w:val="00A5565F"/>
    <w:rsid w:val="00A556B4"/>
    <w:rsid w:val="00A55793"/>
    <w:rsid w:val="00A557A9"/>
    <w:rsid w:val="00A557F1"/>
    <w:rsid w:val="00A55A5F"/>
    <w:rsid w:val="00A55ABD"/>
    <w:rsid w:val="00A55C26"/>
    <w:rsid w:val="00A55C80"/>
    <w:rsid w:val="00A5615B"/>
    <w:rsid w:val="00A56168"/>
    <w:rsid w:val="00A561DC"/>
    <w:rsid w:val="00A56281"/>
    <w:rsid w:val="00A5657C"/>
    <w:rsid w:val="00A565FD"/>
    <w:rsid w:val="00A56692"/>
    <w:rsid w:val="00A566F1"/>
    <w:rsid w:val="00A566F7"/>
    <w:rsid w:val="00A56740"/>
    <w:rsid w:val="00A568DE"/>
    <w:rsid w:val="00A56A71"/>
    <w:rsid w:val="00A56C66"/>
    <w:rsid w:val="00A570C1"/>
    <w:rsid w:val="00A573F8"/>
    <w:rsid w:val="00A5769D"/>
    <w:rsid w:val="00A57872"/>
    <w:rsid w:val="00A5791E"/>
    <w:rsid w:val="00A57A15"/>
    <w:rsid w:val="00A57CFF"/>
    <w:rsid w:val="00A57E2E"/>
    <w:rsid w:val="00A57ED5"/>
    <w:rsid w:val="00A6008E"/>
    <w:rsid w:val="00A600CD"/>
    <w:rsid w:val="00A601C0"/>
    <w:rsid w:val="00A60610"/>
    <w:rsid w:val="00A60788"/>
    <w:rsid w:val="00A607CB"/>
    <w:rsid w:val="00A607D6"/>
    <w:rsid w:val="00A608CB"/>
    <w:rsid w:val="00A60D93"/>
    <w:rsid w:val="00A60DDA"/>
    <w:rsid w:val="00A60E33"/>
    <w:rsid w:val="00A61249"/>
    <w:rsid w:val="00A61314"/>
    <w:rsid w:val="00A61475"/>
    <w:rsid w:val="00A616B9"/>
    <w:rsid w:val="00A618B6"/>
    <w:rsid w:val="00A61D4F"/>
    <w:rsid w:val="00A61D67"/>
    <w:rsid w:val="00A61FA9"/>
    <w:rsid w:val="00A62090"/>
    <w:rsid w:val="00A62192"/>
    <w:rsid w:val="00A621CE"/>
    <w:rsid w:val="00A622FF"/>
    <w:rsid w:val="00A62353"/>
    <w:rsid w:val="00A623DC"/>
    <w:rsid w:val="00A624D4"/>
    <w:rsid w:val="00A626A0"/>
    <w:rsid w:val="00A62742"/>
    <w:rsid w:val="00A62888"/>
    <w:rsid w:val="00A62CE8"/>
    <w:rsid w:val="00A62E67"/>
    <w:rsid w:val="00A631B9"/>
    <w:rsid w:val="00A632DD"/>
    <w:rsid w:val="00A632EA"/>
    <w:rsid w:val="00A63492"/>
    <w:rsid w:val="00A63532"/>
    <w:rsid w:val="00A636A2"/>
    <w:rsid w:val="00A63795"/>
    <w:rsid w:val="00A63817"/>
    <w:rsid w:val="00A638C1"/>
    <w:rsid w:val="00A6391E"/>
    <w:rsid w:val="00A63987"/>
    <w:rsid w:val="00A63C70"/>
    <w:rsid w:val="00A63D5E"/>
    <w:rsid w:val="00A63D8C"/>
    <w:rsid w:val="00A63E0A"/>
    <w:rsid w:val="00A641E9"/>
    <w:rsid w:val="00A64313"/>
    <w:rsid w:val="00A64548"/>
    <w:rsid w:val="00A64563"/>
    <w:rsid w:val="00A6463B"/>
    <w:rsid w:val="00A6483C"/>
    <w:rsid w:val="00A6485B"/>
    <w:rsid w:val="00A648A3"/>
    <w:rsid w:val="00A648AE"/>
    <w:rsid w:val="00A64AB0"/>
    <w:rsid w:val="00A64AC7"/>
    <w:rsid w:val="00A64B0E"/>
    <w:rsid w:val="00A64BF6"/>
    <w:rsid w:val="00A64C7C"/>
    <w:rsid w:val="00A64DA6"/>
    <w:rsid w:val="00A64DFC"/>
    <w:rsid w:val="00A64E67"/>
    <w:rsid w:val="00A650F4"/>
    <w:rsid w:val="00A65215"/>
    <w:rsid w:val="00A65708"/>
    <w:rsid w:val="00A6593C"/>
    <w:rsid w:val="00A65A18"/>
    <w:rsid w:val="00A65D6E"/>
    <w:rsid w:val="00A65EAC"/>
    <w:rsid w:val="00A65FA4"/>
    <w:rsid w:val="00A66087"/>
    <w:rsid w:val="00A66218"/>
    <w:rsid w:val="00A66567"/>
    <w:rsid w:val="00A6667A"/>
    <w:rsid w:val="00A666A9"/>
    <w:rsid w:val="00A66761"/>
    <w:rsid w:val="00A66781"/>
    <w:rsid w:val="00A6682E"/>
    <w:rsid w:val="00A668DE"/>
    <w:rsid w:val="00A66B3A"/>
    <w:rsid w:val="00A66F9A"/>
    <w:rsid w:val="00A6725A"/>
    <w:rsid w:val="00A672BF"/>
    <w:rsid w:val="00A672D2"/>
    <w:rsid w:val="00A67347"/>
    <w:rsid w:val="00A67571"/>
    <w:rsid w:val="00A675A7"/>
    <w:rsid w:val="00A677BF"/>
    <w:rsid w:val="00A67B69"/>
    <w:rsid w:val="00A67C42"/>
    <w:rsid w:val="00A67D10"/>
    <w:rsid w:val="00A67DCA"/>
    <w:rsid w:val="00A67E83"/>
    <w:rsid w:val="00A67EFE"/>
    <w:rsid w:val="00A67F3D"/>
    <w:rsid w:val="00A67F49"/>
    <w:rsid w:val="00A67FD9"/>
    <w:rsid w:val="00A6DAAD"/>
    <w:rsid w:val="00A70067"/>
    <w:rsid w:val="00A700D2"/>
    <w:rsid w:val="00A702C9"/>
    <w:rsid w:val="00A70335"/>
    <w:rsid w:val="00A70356"/>
    <w:rsid w:val="00A704A6"/>
    <w:rsid w:val="00A705FC"/>
    <w:rsid w:val="00A708A1"/>
    <w:rsid w:val="00A70B26"/>
    <w:rsid w:val="00A70BAD"/>
    <w:rsid w:val="00A70D6C"/>
    <w:rsid w:val="00A70F6F"/>
    <w:rsid w:val="00A7107F"/>
    <w:rsid w:val="00A712A9"/>
    <w:rsid w:val="00A71554"/>
    <w:rsid w:val="00A717C0"/>
    <w:rsid w:val="00A7193B"/>
    <w:rsid w:val="00A71C20"/>
    <w:rsid w:val="00A71D68"/>
    <w:rsid w:val="00A71DF5"/>
    <w:rsid w:val="00A71E24"/>
    <w:rsid w:val="00A71E9E"/>
    <w:rsid w:val="00A71EE1"/>
    <w:rsid w:val="00A72743"/>
    <w:rsid w:val="00A72AED"/>
    <w:rsid w:val="00A72C01"/>
    <w:rsid w:val="00A72CE1"/>
    <w:rsid w:val="00A72E3A"/>
    <w:rsid w:val="00A730DE"/>
    <w:rsid w:val="00A73145"/>
    <w:rsid w:val="00A731D1"/>
    <w:rsid w:val="00A73217"/>
    <w:rsid w:val="00A73664"/>
    <w:rsid w:val="00A73D27"/>
    <w:rsid w:val="00A73DCC"/>
    <w:rsid w:val="00A744C7"/>
    <w:rsid w:val="00A74949"/>
    <w:rsid w:val="00A74A19"/>
    <w:rsid w:val="00A74C95"/>
    <w:rsid w:val="00A74D18"/>
    <w:rsid w:val="00A74E3F"/>
    <w:rsid w:val="00A74FE2"/>
    <w:rsid w:val="00A75037"/>
    <w:rsid w:val="00A75064"/>
    <w:rsid w:val="00A75092"/>
    <w:rsid w:val="00A750F1"/>
    <w:rsid w:val="00A75401"/>
    <w:rsid w:val="00A75580"/>
    <w:rsid w:val="00A755B3"/>
    <w:rsid w:val="00A7579A"/>
    <w:rsid w:val="00A75DAF"/>
    <w:rsid w:val="00A75DB9"/>
    <w:rsid w:val="00A75E1B"/>
    <w:rsid w:val="00A76161"/>
    <w:rsid w:val="00A762FE"/>
    <w:rsid w:val="00A764CA"/>
    <w:rsid w:val="00A7651A"/>
    <w:rsid w:val="00A765B2"/>
    <w:rsid w:val="00A767F9"/>
    <w:rsid w:val="00A76914"/>
    <w:rsid w:val="00A76948"/>
    <w:rsid w:val="00A769D7"/>
    <w:rsid w:val="00A76A3C"/>
    <w:rsid w:val="00A76A59"/>
    <w:rsid w:val="00A76ACC"/>
    <w:rsid w:val="00A76C2D"/>
    <w:rsid w:val="00A76CB4"/>
    <w:rsid w:val="00A76D1D"/>
    <w:rsid w:val="00A76E73"/>
    <w:rsid w:val="00A77068"/>
    <w:rsid w:val="00A772DD"/>
    <w:rsid w:val="00A77308"/>
    <w:rsid w:val="00A77564"/>
    <w:rsid w:val="00A77650"/>
    <w:rsid w:val="00A7773A"/>
    <w:rsid w:val="00A777C3"/>
    <w:rsid w:val="00A7780E"/>
    <w:rsid w:val="00A77841"/>
    <w:rsid w:val="00A7785D"/>
    <w:rsid w:val="00A7791A"/>
    <w:rsid w:val="00A77A1B"/>
    <w:rsid w:val="00A77A96"/>
    <w:rsid w:val="00A77DC0"/>
    <w:rsid w:val="00A77EB0"/>
    <w:rsid w:val="00A80006"/>
    <w:rsid w:val="00A800D8"/>
    <w:rsid w:val="00A801A5"/>
    <w:rsid w:val="00A80238"/>
    <w:rsid w:val="00A80316"/>
    <w:rsid w:val="00A80336"/>
    <w:rsid w:val="00A80595"/>
    <w:rsid w:val="00A80602"/>
    <w:rsid w:val="00A806B0"/>
    <w:rsid w:val="00A806B7"/>
    <w:rsid w:val="00A807A0"/>
    <w:rsid w:val="00A80A4D"/>
    <w:rsid w:val="00A80D00"/>
    <w:rsid w:val="00A80D8B"/>
    <w:rsid w:val="00A80DCD"/>
    <w:rsid w:val="00A80E9E"/>
    <w:rsid w:val="00A80FC6"/>
    <w:rsid w:val="00A810DC"/>
    <w:rsid w:val="00A81142"/>
    <w:rsid w:val="00A811AE"/>
    <w:rsid w:val="00A81272"/>
    <w:rsid w:val="00A81298"/>
    <w:rsid w:val="00A81366"/>
    <w:rsid w:val="00A813A7"/>
    <w:rsid w:val="00A81892"/>
    <w:rsid w:val="00A81A89"/>
    <w:rsid w:val="00A81A9E"/>
    <w:rsid w:val="00A82136"/>
    <w:rsid w:val="00A82187"/>
    <w:rsid w:val="00A82194"/>
    <w:rsid w:val="00A82558"/>
    <w:rsid w:val="00A82676"/>
    <w:rsid w:val="00A82784"/>
    <w:rsid w:val="00A827C1"/>
    <w:rsid w:val="00A82845"/>
    <w:rsid w:val="00A8285F"/>
    <w:rsid w:val="00A82D01"/>
    <w:rsid w:val="00A82D0C"/>
    <w:rsid w:val="00A82D63"/>
    <w:rsid w:val="00A82F4D"/>
    <w:rsid w:val="00A82FDF"/>
    <w:rsid w:val="00A831ED"/>
    <w:rsid w:val="00A83255"/>
    <w:rsid w:val="00A8334B"/>
    <w:rsid w:val="00A834E8"/>
    <w:rsid w:val="00A8356D"/>
    <w:rsid w:val="00A8360B"/>
    <w:rsid w:val="00A836C0"/>
    <w:rsid w:val="00A8378D"/>
    <w:rsid w:val="00A8379A"/>
    <w:rsid w:val="00A837C7"/>
    <w:rsid w:val="00A83AF5"/>
    <w:rsid w:val="00A83BA5"/>
    <w:rsid w:val="00A83C09"/>
    <w:rsid w:val="00A83C90"/>
    <w:rsid w:val="00A83D28"/>
    <w:rsid w:val="00A83E71"/>
    <w:rsid w:val="00A83F53"/>
    <w:rsid w:val="00A841B2"/>
    <w:rsid w:val="00A844DE"/>
    <w:rsid w:val="00A84531"/>
    <w:rsid w:val="00A8453B"/>
    <w:rsid w:val="00A845DF"/>
    <w:rsid w:val="00A84912"/>
    <w:rsid w:val="00A849DD"/>
    <w:rsid w:val="00A84C1A"/>
    <w:rsid w:val="00A84D51"/>
    <w:rsid w:val="00A84D55"/>
    <w:rsid w:val="00A85040"/>
    <w:rsid w:val="00A85350"/>
    <w:rsid w:val="00A854BF"/>
    <w:rsid w:val="00A854C9"/>
    <w:rsid w:val="00A8553D"/>
    <w:rsid w:val="00A855AC"/>
    <w:rsid w:val="00A8561C"/>
    <w:rsid w:val="00A85635"/>
    <w:rsid w:val="00A85736"/>
    <w:rsid w:val="00A857D9"/>
    <w:rsid w:val="00A85B61"/>
    <w:rsid w:val="00A85B6D"/>
    <w:rsid w:val="00A85D49"/>
    <w:rsid w:val="00A85EB7"/>
    <w:rsid w:val="00A85F82"/>
    <w:rsid w:val="00A860E0"/>
    <w:rsid w:val="00A863FE"/>
    <w:rsid w:val="00A86415"/>
    <w:rsid w:val="00A8660C"/>
    <w:rsid w:val="00A869B9"/>
    <w:rsid w:val="00A86F0F"/>
    <w:rsid w:val="00A87002"/>
    <w:rsid w:val="00A87208"/>
    <w:rsid w:val="00A87531"/>
    <w:rsid w:val="00A87592"/>
    <w:rsid w:val="00A87718"/>
    <w:rsid w:val="00A8783B"/>
    <w:rsid w:val="00A8790E"/>
    <w:rsid w:val="00A87929"/>
    <w:rsid w:val="00A87ABA"/>
    <w:rsid w:val="00A87B65"/>
    <w:rsid w:val="00A87D0E"/>
    <w:rsid w:val="00A87D66"/>
    <w:rsid w:val="00A87F82"/>
    <w:rsid w:val="00A893CB"/>
    <w:rsid w:val="00A9019C"/>
    <w:rsid w:val="00A901A2"/>
    <w:rsid w:val="00A90313"/>
    <w:rsid w:val="00A90315"/>
    <w:rsid w:val="00A90399"/>
    <w:rsid w:val="00A9045E"/>
    <w:rsid w:val="00A90545"/>
    <w:rsid w:val="00A9063A"/>
    <w:rsid w:val="00A906D5"/>
    <w:rsid w:val="00A907D4"/>
    <w:rsid w:val="00A90857"/>
    <w:rsid w:val="00A90A64"/>
    <w:rsid w:val="00A90AE8"/>
    <w:rsid w:val="00A90B6A"/>
    <w:rsid w:val="00A90B82"/>
    <w:rsid w:val="00A90C03"/>
    <w:rsid w:val="00A90DEA"/>
    <w:rsid w:val="00A90E15"/>
    <w:rsid w:val="00A91141"/>
    <w:rsid w:val="00A913CD"/>
    <w:rsid w:val="00A91448"/>
    <w:rsid w:val="00A91591"/>
    <w:rsid w:val="00A91A2C"/>
    <w:rsid w:val="00A91B2F"/>
    <w:rsid w:val="00A91CD0"/>
    <w:rsid w:val="00A91CF6"/>
    <w:rsid w:val="00A91D56"/>
    <w:rsid w:val="00A91E0A"/>
    <w:rsid w:val="00A91EA2"/>
    <w:rsid w:val="00A92044"/>
    <w:rsid w:val="00A920AA"/>
    <w:rsid w:val="00A9212D"/>
    <w:rsid w:val="00A92245"/>
    <w:rsid w:val="00A922FF"/>
    <w:rsid w:val="00A923BA"/>
    <w:rsid w:val="00A9256B"/>
    <w:rsid w:val="00A92C3B"/>
    <w:rsid w:val="00A92CF6"/>
    <w:rsid w:val="00A92F41"/>
    <w:rsid w:val="00A9309A"/>
    <w:rsid w:val="00A93169"/>
    <w:rsid w:val="00A9337E"/>
    <w:rsid w:val="00A933BD"/>
    <w:rsid w:val="00A936C5"/>
    <w:rsid w:val="00A93726"/>
    <w:rsid w:val="00A93815"/>
    <w:rsid w:val="00A93853"/>
    <w:rsid w:val="00A938DE"/>
    <w:rsid w:val="00A93A78"/>
    <w:rsid w:val="00A93AEE"/>
    <w:rsid w:val="00A93B2D"/>
    <w:rsid w:val="00A93CF9"/>
    <w:rsid w:val="00A93E10"/>
    <w:rsid w:val="00A94065"/>
    <w:rsid w:val="00A9413F"/>
    <w:rsid w:val="00A941CC"/>
    <w:rsid w:val="00A94311"/>
    <w:rsid w:val="00A944A1"/>
    <w:rsid w:val="00A94548"/>
    <w:rsid w:val="00A94671"/>
    <w:rsid w:val="00A94885"/>
    <w:rsid w:val="00A94976"/>
    <w:rsid w:val="00A94D08"/>
    <w:rsid w:val="00A94F0D"/>
    <w:rsid w:val="00A9522A"/>
    <w:rsid w:val="00A9525F"/>
    <w:rsid w:val="00A9527D"/>
    <w:rsid w:val="00A95497"/>
    <w:rsid w:val="00A954E2"/>
    <w:rsid w:val="00A955DD"/>
    <w:rsid w:val="00A958A3"/>
    <w:rsid w:val="00A95A66"/>
    <w:rsid w:val="00A95B77"/>
    <w:rsid w:val="00A95C21"/>
    <w:rsid w:val="00A95C3A"/>
    <w:rsid w:val="00A95DAB"/>
    <w:rsid w:val="00A95DB6"/>
    <w:rsid w:val="00A96062"/>
    <w:rsid w:val="00A961E9"/>
    <w:rsid w:val="00A96247"/>
    <w:rsid w:val="00A96474"/>
    <w:rsid w:val="00A9647F"/>
    <w:rsid w:val="00A96694"/>
    <w:rsid w:val="00A96746"/>
    <w:rsid w:val="00A9676A"/>
    <w:rsid w:val="00A969D0"/>
    <w:rsid w:val="00A96C10"/>
    <w:rsid w:val="00A96D19"/>
    <w:rsid w:val="00A97153"/>
    <w:rsid w:val="00A971AB"/>
    <w:rsid w:val="00A972B6"/>
    <w:rsid w:val="00A97344"/>
    <w:rsid w:val="00A976EA"/>
    <w:rsid w:val="00A97894"/>
    <w:rsid w:val="00A978AC"/>
    <w:rsid w:val="00A979F0"/>
    <w:rsid w:val="00A97BF3"/>
    <w:rsid w:val="00A97C2E"/>
    <w:rsid w:val="00A97C68"/>
    <w:rsid w:val="00A97DEA"/>
    <w:rsid w:val="00A9877D"/>
    <w:rsid w:val="00AA002C"/>
    <w:rsid w:val="00AA032D"/>
    <w:rsid w:val="00AA0672"/>
    <w:rsid w:val="00AA0690"/>
    <w:rsid w:val="00AA0750"/>
    <w:rsid w:val="00AA080F"/>
    <w:rsid w:val="00AA09BA"/>
    <w:rsid w:val="00AA0B8B"/>
    <w:rsid w:val="00AA0D52"/>
    <w:rsid w:val="00AA0DA9"/>
    <w:rsid w:val="00AA0E8F"/>
    <w:rsid w:val="00AA1036"/>
    <w:rsid w:val="00AA1208"/>
    <w:rsid w:val="00AA120D"/>
    <w:rsid w:val="00AA12AA"/>
    <w:rsid w:val="00AA13B9"/>
    <w:rsid w:val="00AA14AE"/>
    <w:rsid w:val="00AA1632"/>
    <w:rsid w:val="00AA1AC2"/>
    <w:rsid w:val="00AA1B1D"/>
    <w:rsid w:val="00AA1C73"/>
    <w:rsid w:val="00AA1CB0"/>
    <w:rsid w:val="00AA1DF3"/>
    <w:rsid w:val="00AA2066"/>
    <w:rsid w:val="00AA209C"/>
    <w:rsid w:val="00AA2101"/>
    <w:rsid w:val="00AA22CB"/>
    <w:rsid w:val="00AA2462"/>
    <w:rsid w:val="00AA2536"/>
    <w:rsid w:val="00AA25A1"/>
    <w:rsid w:val="00AA2A06"/>
    <w:rsid w:val="00AA2B0A"/>
    <w:rsid w:val="00AA2B6A"/>
    <w:rsid w:val="00AA2CA2"/>
    <w:rsid w:val="00AA2CF2"/>
    <w:rsid w:val="00AA2F22"/>
    <w:rsid w:val="00AA31F8"/>
    <w:rsid w:val="00AA3306"/>
    <w:rsid w:val="00AA3393"/>
    <w:rsid w:val="00AA33B1"/>
    <w:rsid w:val="00AA36DB"/>
    <w:rsid w:val="00AA3796"/>
    <w:rsid w:val="00AA3AB6"/>
    <w:rsid w:val="00AA40A9"/>
    <w:rsid w:val="00AA40DD"/>
    <w:rsid w:val="00AA430C"/>
    <w:rsid w:val="00AA49CD"/>
    <w:rsid w:val="00AA4B69"/>
    <w:rsid w:val="00AA4B70"/>
    <w:rsid w:val="00AA4D47"/>
    <w:rsid w:val="00AA5025"/>
    <w:rsid w:val="00AA5158"/>
    <w:rsid w:val="00AA55CF"/>
    <w:rsid w:val="00AA581C"/>
    <w:rsid w:val="00AA5B17"/>
    <w:rsid w:val="00AA5B2A"/>
    <w:rsid w:val="00AA5B89"/>
    <w:rsid w:val="00AA5BC2"/>
    <w:rsid w:val="00AA5D90"/>
    <w:rsid w:val="00AA5F67"/>
    <w:rsid w:val="00AA6030"/>
    <w:rsid w:val="00AA6087"/>
    <w:rsid w:val="00AA6220"/>
    <w:rsid w:val="00AA64DD"/>
    <w:rsid w:val="00AA66A2"/>
    <w:rsid w:val="00AA6933"/>
    <w:rsid w:val="00AA696B"/>
    <w:rsid w:val="00AA6A3B"/>
    <w:rsid w:val="00AA6ADD"/>
    <w:rsid w:val="00AA6C02"/>
    <w:rsid w:val="00AA6D08"/>
    <w:rsid w:val="00AA6D2F"/>
    <w:rsid w:val="00AA6E5C"/>
    <w:rsid w:val="00AA6EEF"/>
    <w:rsid w:val="00AA708F"/>
    <w:rsid w:val="00AA71EB"/>
    <w:rsid w:val="00AA725F"/>
    <w:rsid w:val="00AA74F6"/>
    <w:rsid w:val="00AA7633"/>
    <w:rsid w:val="00AA764D"/>
    <w:rsid w:val="00AA7756"/>
    <w:rsid w:val="00AA78A4"/>
    <w:rsid w:val="00AA794A"/>
    <w:rsid w:val="00AA7A01"/>
    <w:rsid w:val="00AA7A16"/>
    <w:rsid w:val="00AA7B36"/>
    <w:rsid w:val="00AA7BB4"/>
    <w:rsid w:val="00AA7D37"/>
    <w:rsid w:val="00AA7DDA"/>
    <w:rsid w:val="00AA7E55"/>
    <w:rsid w:val="00AA7E82"/>
    <w:rsid w:val="00AA7F0F"/>
    <w:rsid w:val="00AA7F58"/>
    <w:rsid w:val="00AB000E"/>
    <w:rsid w:val="00AB00C3"/>
    <w:rsid w:val="00AB018E"/>
    <w:rsid w:val="00AB019B"/>
    <w:rsid w:val="00AB05E6"/>
    <w:rsid w:val="00AB0629"/>
    <w:rsid w:val="00AB063B"/>
    <w:rsid w:val="00AB0688"/>
    <w:rsid w:val="00AB06BA"/>
    <w:rsid w:val="00AB0763"/>
    <w:rsid w:val="00AB0D1E"/>
    <w:rsid w:val="00AB0D3A"/>
    <w:rsid w:val="00AB0E73"/>
    <w:rsid w:val="00AB1128"/>
    <w:rsid w:val="00AB127E"/>
    <w:rsid w:val="00AB130B"/>
    <w:rsid w:val="00AB1351"/>
    <w:rsid w:val="00AB13BE"/>
    <w:rsid w:val="00AB13CD"/>
    <w:rsid w:val="00AB15F2"/>
    <w:rsid w:val="00AB175F"/>
    <w:rsid w:val="00AB1A37"/>
    <w:rsid w:val="00AB1C72"/>
    <w:rsid w:val="00AB1CB5"/>
    <w:rsid w:val="00AB1CD0"/>
    <w:rsid w:val="00AB1CDE"/>
    <w:rsid w:val="00AB1D95"/>
    <w:rsid w:val="00AB20CD"/>
    <w:rsid w:val="00AB214E"/>
    <w:rsid w:val="00AB23FB"/>
    <w:rsid w:val="00AB244B"/>
    <w:rsid w:val="00AB2635"/>
    <w:rsid w:val="00AB272A"/>
    <w:rsid w:val="00AB27AF"/>
    <w:rsid w:val="00AB27D8"/>
    <w:rsid w:val="00AB280C"/>
    <w:rsid w:val="00AB295C"/>
    <w:rsid w:val="00AB2960"/>
    <w:rsid w:val="00AB29F2"/>
    <w:rsid w:val="00AB2D13"/>
    <w:rsid w:val="00AB2DC7"/>
    <w:rsid w:val="00AB2DE8"/>
    <w:rsid w:val="00AB31B1"/>
    <w:rsid w:val="00AB3267"/>
    <w:rsid w:val="00AB358E"/>
    <w:rsid w:val="00AB38B2"/>
    <w:rsid w:val="00AB3C03"/>
    <w:rsid w:val="00AB3F4A"/>
    <w:rsid w:val="00AB40CD"/>
    <w:rsid w:val="00AB4264"/>
    <w:rsid w:val="00AB4369"/>
    <w:rsid w:val="00AB44C6"/>
    <w:rsid w:val="00AB45AE"/>
    <w:rsid w:val="00AB45B6"/>
    <w:rsid w:val="00AB45CE"/>
    <w:rsid w:val="00AB4A42"/>
    <w:rsid w:val="00AB4E44"/>
    <w:rsid w:val="00AB4EA3"/>
    <w:rsid w:val="00AB4FD1"/>
    <w:rsid w:val="00AB522B"/>
    <w:rsid w:val="00AB535F"/>
    <w:rsid w:val="00AB5480"/>
    <w:rsid w:val="00AB55B7"/>
    <w:rsid w:val="00AB574B"/>
    <w:rsid w:val="00AB5A8B"/>
    <w:rsid w:val="00AB5C28"/>
    <w:rsid w:val="00AB5CCA"/>
    <w:rsid w:val="00AB5E93"/>
    <w:rsid w:val="00AB5F30"/>
    <w:rsid w:val="00AB5F52"/>
    <w:rsid w:val="00AB5F64"/>
    <w:rsid w:val="00AB6029"/>
    <w:rsid w:val="00AB6076"/>
    <w:rsid w:val="00AB6188"/>
    <w:rsid w:val="00AB6222"/>
    <w:rsid w:val="00AB64FC"/>
    <w:rsid w:val="00AB676F"/>
    <w:rsid w:val="00AB67D8"/>
    <w:rsid w:val="00AB686B"/>
    <w:rsid w:val="00AB6A68"/>
    <w:rsid w:val="00AB6C0B"/>
    <w:rsid w:val="00AB6D2F"/>
    <w:rsid w:val="00AB6D38"/>
    <w:rsid w:val="00AB6DF3"/>
    <w:rsid w:val="00AB6E39"/>
    <w:rsid w:val="00AB6EB9"/>
    <w:rsid w:val="00AB6F50"/>
    <w:rsid w:val="00AB70B4"/>
    <w:rsid w:val="00AB73B4"/>
    <w:rsid w:val="00AB74AB"/>
    <w:rsid w:val="00AB74D7"/>
    <w:rsid w:val="00AB77CD"/>
    <w:rsid w:val="00AB7807"/>
    <w:rsid w:val="00AB78F8"/>
    <w:rsid w:val="00AB79EC"/>
    <w:rsid w:val="00AB7AE0"/>
    <w:rsid w:val="00AB7BCC"/>
    <w:rsid w:val="00AB7D35"/>
    <w:rsid w:val="00AB7DD0"/>
    <w:rsid w:val="00AB7E21"/>
    <w:rsid w:val="00AC007F"/>
    <w:rsid w:val="00AC024C"/>
    <w:rsid w:val="00AC02EF"/>
    <w:rsid w:val="00AC02FD"/>
    <w:rsid w:val="00AC0540"/>
    <w:rsid w:val="00AC0679"/>
    <w:rsid w:val="00AC06AD"/>
    <w:rsid w:val="00AC0873"/>
    <w:rsid w:val="00AC087C"/>
    <w:rsid w:val="00AC09A1"/>
    <w:rsid w:val="00AC0F1D"/>
    <w:rsid w:val="00AC1115"/>
    <w:rsid w:val="00AC121F"/>
    <w:rsid w:val="00AC144C"/>
    <w:rsid w:val="00AC1472"/>
    <w:rsid w:val="00AC167C"/>
    <w:rsid w:val="00AC16A8"/>
    <w:rsid w:val="00AC1728"/>
    <w:rsid w:val="00AC1742"/>
    <w:rsid w:val="00AC178A"/>
    <w:rsid w:val="00AC1849"/>
    <w:rsid w:val="00AC18E2"/>
    <w:rsid w:val="00AC1A18"/>
    <w:rsid w:val="00AC1DA6"/>
    <w:rsid w:val="00AC1DB2"/>
    <w:rsid w:val="00AC1DC9"/>
    <w:rsid w:val="00AC1E0F"/>
    <w:rsid w:val="00AC1E76"/>
    <w:rsid w:val="00AC236F"/>
    <w:rsid w:val="00AC23DD"/>
    <w:rsid w:val="00AC2425"/>
    <w:rsid w:val="00AC28F1"/>
    <w:rsid w:val="00AC294B"/>
    <w:rsid w:val="00AC295B"/>
    <w:rsid w:val="00AC2B93"/>
    <w:rsid w:val="00AC2C8A"/>
    <w:rsid w:val="00AC306F"/>
    <w:rsid w:val="00AC31B0"/>
    <w:rsid w:val="00AC3265"/>
    <w:rsid w:val="00AC350A"/>
    <w:rsid w:val="00AC3625"/>
    <w:rsid w:val="00AC37C6"/>
    <w:rsid w:val="00AC37F2"/>
    <w:rsid w:val="00AC3B4C"/>
    <w:rsid w:val="00AC3F40"/>
    <w:rsid w:val="00AC4086"/>
    <w:rsid w:val="00AC4112"/>
    <w:rsid w:val="00AC4436"/>
    <w:rsid w:val="00AC4713"/>
    <w:rsid w:val="00AC4759"/>
    <w:rsid w:val="00AC4802"/>
    <w:rsid w:val="00AC480D"/>
    <w:rsid w:val="00AC4935"/>
    <w:rsid w:val="00AC4995"/>
    <w:rsid w:val="00AC4A46"/>
    <w:rsid w:val="00AC4AE3"/>
    <w:rsid w:val="00AC4B49"/>
    <w:rsid w:val="00AC4BF1"/>
    <w:rsid w:val="00AC4EA5"/>
    <w:rsid w:val="00AC509C"/>
    <w:rsid w:val="00AC50DD"/>
    <w:rsid w:val="00AC50E8"/>
    <w:rsid w:val="00AC51DC"/>
    <w:rsid w:val="00AC524F"/>
    <w:rsid w:val="00AC5255"/>
    <w:rsid w:val="00AC527D"/>
    <w:rsid w:val="00AC54F4"/>
    <w:rsid w:val="00AC571A"/>
    <w:rsid w:val="00AC578F"/>
    <w:rsid w:val="00AC5A24"/>
    <w:rsid w:val="00AC5ADF"/>
    <w:rsid w:val="00AC5DBB"/>
    <w:rsid w:val="00AC5FDC"/>
    <w:rsid w:val="00AC60B8"/>
    <w:rsid w:val="00AC62BD"/>
    <w:rsid w:val="00AC63C2"/>
    <w:rsid w:val="00AC6ABA"/>
    <w:rsid w:val="00AC6AE7"/>
    <w:rsid w:val="00AC6C16"/>
    <w:rsid w:val="00AC6C82"/>
    <w:rsid w:val="00AC6C9C"/>
    <w:rsid w:val="00AC6D6C"/>
    <w:rsid w:val="00AC6D75"/>
    <w:rsid w:val="00AC6D7C"/>
    <w:rsid w:val="00AC700B"/>
    <w:rsid w:val="00AC705A"/>
    <w:rsid w:val="00AC71E9"/>
    <w:rsid w:val="00AC721B"/>
    <w:rsid w:val="00AC729C"/>
    <w:rsid w:val="00AC7387"/>
    <w:rsid w:val="00AC74A1"/>
    <w:rsid w:val="00AC74A5"/>
    <w:rsid w:val="00AC74ED"/>
    <w:rsid w:val="00AC7566"/>
    <w:rsid w:val="00AC758F"/>
    <w:rsid w:val="00AC75D7"/>
    <w:rsid w:val="00AC7615"/>
    <w:rsid w:val="00AC7675"/>
    <w:rsid w:val="00AC798C"/>
    <w:rsid w:val="00AC7B4D"/>
    <w:rsid w:val="00AC7B62"/>
    <w:rsid w:val="00AC7B96"/>
    <w:rsid w:val="00AC7D6B"/>
    <w:rsid w:val="00AC7D74"/>
    <w:rsid w:val="00AC7DBA"/>
    <w:rsid w:val="00AC7E16"/>
    <w:rsid w:val="00AD01BB"/>
    <w:rsid w:val="00AD01FA"/>
    <w:rsid w:val="00AD02B4"/>
    <w:rsid w:val="00AD02DE"/>
    <w:rsid w:val="00AD0482"/>
    <w:rsid w:val="00AD0894"/>
    <w:rsid w:val="00AD0B3B"/>
    <w:rsid w:val="00AD0B3F"/>
    <w:rsid w:val="00AD0C76"/>
    <w:rsid w:val="00AD0CC8"/>
    <w:rsid w:val="00AD0E61"/>
    <w:rsid w:val="00AD0FB7"/>
    <w:rsid w:val="00AD1045"/>
    <w:rsid w:val="00AD10B2"/>
    <w:rsid w:val="00AD12B2"/>
    <w:rsid w:val="00AD12E6"/>
    <w:rsid w:val="00AD1556"/>
    <w:rsid w:val="00AD1AD8"/>
    <w:rsid w:val="00AD1BA4"/>
    <w:rsid w:val="00AD1EA0"/>
    <w:rsid w:val="00AD2065"/>
    <w:rsid w:val="00AD25CE"/>
    <w:rsid w:val="00AD25ED"/>
    <w:rsid w:val="00AD260C"/>
    <w:rsid w:val="00AD2656"/>
    <w:rsid w:val="00AD2744"/>
    <w:rsid w:val="00AD28B9"/>
    <w:rsid w:val="00AD2937"/>
    <w:rsid w:val="00AD29C9"/>
    <w:rsid w:val="00AD29EC"/>
    <w:rsid w:val="00AD2BCA"/>
    <w:rsid w:val="00AD2BFF"/>
    <w:rsid w:val="00AD2FBC"/>
    <w:rsid w:val="00AD30B7"/>
    <w:rsid w:val="00AD31CB"/>
    <w:rsid w:val="00AD325A"/>
    <w:rsid w:val="00AD32D3"/>
    <w:rsid w:val="00AD331A"/>
    <w:rsid w:val="00AD35BF"/>
    <w:rsid w:val="00AD3811"/>
    <w:rsid w:val="00AD3B2E"/>
    <w:rsid w:val="00AD3E2B"/>
    <w:rsid w:val="00AD3ECC"/>
    <w:rsid w:val="00AD400F"/>
    <w:rsid w:val="00AD421B"/>
    <w:rsid w:val="00AD422A"/>
    <w:rsid w:val="00AD4278"/>
    <w:rsid w:val="00AD43A0"/>
    <w:rsid w:val="00AD43AF"/>
    <w:rsid w:val="00AD4463"/>
    <w:rsid w:val="00AD4A69"/>
    <w:rsid w:val="00AD4AAD"/>
    <w:rsid w:val="00AD4BC9"/>
    <w:rsid w:val="00AD4C0B"/>
    <w:rsid w:val="00AD4CDC"/>
    <w:rsid w:val="00AD4E06"/>
    <w:rsid w:val="00AD4E6E"/>
    <w:rsid w:val="00AD514A"/>
    <w:rsid w:val="00AD5411"/>
    <w:rsid w:val="00AD549B"/>
    <w:rsid w:val="00AD5620"/>
    <w:rsid w:val="00AD562F"/>
    <w:rsid w:val="00AD5809"/>
    <w:rsid w:val="00AD58D2"/>
    <w:rsid w:val="00AD5907"/>
    <w:rsid w:val="00AD5954"/>
    <w:rsid w:val="00AD59E5"/>
    <w:rsid w:val="00AD5C7A"/>
    <w:rsid w:val="00AD5D29"/>
    <w:rsid w:val="00AD5EF8"/>
    <w:rsid w:val="00AD5F80"/>
    <w:rsid w:val="00AD610A"/>
    <w:rsid w:val="00AD640D"/>
    <w:rsid w:val="00AD64CD"/>
    <w:rsid w:val="00AD670C"/>
    <w:rsid w:val="00AD67B1"/>
    <w:rsid w:val="00AD680E"/>
    <w:rsid w:val="00AD6B21"/>
    <w:rsid w:val="00AD6B44"/>
    <w:rsid w:val="00AD6C5C"/>
    <w:rsid w:val="00AD6D7F"/>
    <w:rsid w:val="00AD6E94"/>
    <w:rsid w:val="00AD7082"/>
    <w:rsid w:val="00AD7089"/>
    <w:rsid w:val="00AD70A7"/>
    <w:rsid w:val="00AD713F"/>
    <w:rsid w:val="00AD73B1"/>
    <w:rsid w:val="00AD74A1"/>
    <w:rsid w:val="00AD75BF"/>
    <w:rsid w:val="00AD7707"/>
    <w:rsid w:val="00AD771E"/>
    <w:rsid w:val="00AD7776"/>
    <w:rsid w:val="00AD7968"/>
    <w:rsid w:val="00AD7AFC"/>
    <w:rsid w:val="00AD7B19"/>
    <w:rsid w:val="00AD7B31"/>
    <w:rsid w:val="00AD7D80"/>
    <w:rsid w:val="00ADF2A8"/>
    <w:rsid w:val="00AE017C"/>
    <w:rsid w:val="00AE0268"/>
    <w:rsid w:val="00AE0496"/>
    <w:rsid w:val="00AE04B0"/>
    <w:rsid w:val="00AE04E0"/>
    <w:rsid w:val="00AE06E9"/>
    <w:rsid w:val="00AE087C"/>
    <w:rsid w:val="00AE0883"/>
    <w:rsid w:val="00AE0899"/>
    <w:rsid w:val="00AE08D5"/>
    <w:rsid w:val="00AE08ED"/>
    <w:rsid w:val="00AE0B5D"/>
    <w:rsid w:val="00AE0D6F"/>
    <w:rsid w:val="00AE0DAF"/>
    <w:rsid w:val="00AE0E5D"/>
    <w:rsid w:val="00AE0E81"/>
    <w:rsid w:val="00AE0EC6"/>
    <w:rsid w:val="00AE1209"/>
    <w:rsid w:val="00AE14FA"/>
    <w:rsid w:val="00AE1E49"/>
    <w:rsid w:val="00AE1E77"/>
    <w:rsid w:val="00AE1F5E"/>
    <w:rsid w:val="00AE217B"/>
    <w:rsid w:val="00AE21CE"/>
    <w:rsid w:val="00AE23BF"/>
    <w:rsid w:val="00AE2411"/>
    <w:rsid w:val="00AE27FA"/>
    <w:rsid w:val="00AE2980"/>
    <w:rsid w:val="00AE29FE"/>
    <w:rsid w:val="00AE2A14"/>
    <w:rsid w:val="00AE2A43"/>
    <w:rsid w:val="00AE2A5D"/>
    <w:rsid w:val="00AE2AE5"/>
    <w:rsid w:val="00AE2C11"/>
    <w:rsid w:val="00AE2D01"/>
    <w:rsid w:val="00AE2E69"/>
    <w:rsid w:val="00AE2FFD"/>
    <w:rsid w:val="00AE311C"/>
    <w:rsid w:val="00AE32FC"/>
    <w:rsid w:val="00AE340C"/>
    <w:rsid w:val="00AE347F"/>
    <w:rsid w:val="00AE3542"/>
    <w:rsid w:val="00AE35E1"/>
    <w:rsid w:val="00AE3610"/>
    <w:rsid w:val="00AE373F"/>
    <w:rsid w:val="00AE3926"/>
    <w:rsid w:val="00AE3C1A"/>
    <w:rsid w:val="00AE3D5D"/>
    <w:rsid w:val="00AE3F70"/>
    <w:rsid w:val="00AE406B"/>
    <w:rsid w:val="00AE4194"/>
    <w:rsid w:val="00AE4311"/>
    <w:rsid w:val="00AE4354"/>
    <w:rsid w:val="00AE46AA"/>
    <w:rsid w:val="00AE48C7"/>
    <w:rsid w:val="00AE49A9"/>
    <w:rsid w:val="00AE4A83"/>
    <w:rsid w:val="00AE4CED"/>
    <w:rsid w:val="00AE4E18"/>
    <w:rsid w:val="00AE4E8C"/>
    <w:rsid w:val="00AE4F76"/>
    <w:rsid w:val="00AE4FBB"/>
    <w:rsid w:val="00AE5028"/>
    <w:rsid w:val="00AE5074"/>
    <w:rsid w:val="00AE5100"/>
    <w:rsid w:val="00AE51DF"/>
    <w:rsid w:val="00AE53F4"/>
    <w:rsid w:val="00AE55A1"/>
    <w:rsid w:val="00AE5688"/>
    <w:rsid w:val="00AE578B"/>
    <w:rsid w:val="00AE5934"/>
    <w:rsid w:val="00AE5965"/>
    <w:rsid w:val="00AE5A4A"/>
    <w:rsid w:val="00AE5B2A"/>
    <w:rsid w:val="00AE5B89"/>
    <w:rsid w:val="00AE5C61"/>
    <w:rsid w:val="00AE5D38"/>
    <w:rsid w:val="00AE5E55"/>
    <w:rsid w:val="00AE5F2A"/>
    <w:rsid w:val="00AE5FA5"/>
    <w:rsid w:val="00AE5FAB"/>
    <w:rsid w:val="00AE5FAC"/>
    <w:rsid w:val="00AE6061"/>
    <w:rsid w:val="00AE60F3"/>
    <w:rsid w:val="00AE6157"/>
    <w:rsid w:val="00AE61AC"/>
    <w:rsid w:val="00AE63E3"/>
    <w:rsid w:val="00AE66F8"/>
    <w:rsid w:val="00AE68EA"/>
    <w:rsid w:val="00AE6E23"/>
    <w:rsid w:val="00AE71A5"/>
    <w:rsid w:val="00AE720E"/>
    <w:rsid w:val="00AE7259"/>
    <w:rsid w:val="00AE7302"/>
    <w:rsid w:val="00AE7492"/>
    <w:rsid w:val="00AE74B0"/>
    <w:rsid w:val="00AE7553"/>
    <w:rsid w:val="00AE7571"/>
    <w:rsid w:val="00AE762A"/>
    <w:rsid w:val="00AE76DF"/>
    <w:rsid w:val="00AE78EA"/>
    <w:rsid w:val="00AE7A21"/>
    <w:rsid w:val="00AE7A41"/>
    <w:rsid w:val="00AE7A6E"/>
    <w:rsid w:val="00AE7B35"/>
    <w:rsid w:val="00AE7D25"/>
    <w:rsid w:val="00AE7E1C"/>
    <w:rsid w:val="00AE7E7B"/>
    <w:rsid w:val="00AF00F1"/>
    <w:rsid w:val="00AF0323"/>
    <w:rsid w:val="00AF0336"/>
    <w:rsid w:val="00AF0388"/>
    <w:rsid w:val="00AF056E"/>
    <w:rsid w:val="00AF05EF"/>
    <w:rsid w:val="00AF0640"/>
    <w:rsid w:val="00AF07E7"/>
    <w:rsid w:val="00AF0863"/>
    <w:rsid w:val="00AF0956"/>
    <w:rsid w:val="00AF0D08"/>
    <w:rsid w:val="00AF0DB9"/>
    <w:rsid w:val="00AF0F38"/>
    <w:rsid w:val="00AF0F53"/>
    <w:rsid w:val="00AF0FEA"/>
    <w:rsid w:val="00AF10F8"/>
    <w:rsid w:val="00AF113C"/>
    <w:rsid w:val="00AF1271"/>
    <w:rsid w:val="00AF132F"/>
    <w:rsid w:val="00AF1585"/>
    <w:rsid w:val="00AF15A3"/>
    <w:rsid w:val="00AF1751"/>
    <w:rsid w:val="00AF1792"/>
    <w:rsid w:val="00AF17F4"/>
    <w:rsid w:val="00AF19F8"/>
    <w:rsid w:val="00AF1B00"/>
    <w:rsid w:val="00AF1D9A"/>
    <w:rsid w:val="00AF1DEA"/>
    <w:rsid w:val="00AF1E12"/>
    <w:rsid w:val="00AF1FAF"/>
    <w:rsid w:val="00AF1FBA"/>
    <w:rsid w:val="00AF1FC0"/>
    <w:rsid w:val="00AF1FCD"/>
    <w:rsid w:val="00AF2008"/>
    <w:rsid w:val="00AF22C4"/>
    <w:rsid w:val="00AF235D"/>
    <w:rsid w:val="00AF2515"/>
    <w:rsid w:val="00AF29BB"/>
    <w:rsid w:val="00AF2A00"/>
    <w:rsid w:val="00AF2B12"/>
    <w:rsid w:val="00AF2B3F"/>
    <w:rsid w:val="00AF2B88"/>
    <w:rsid w:val="00AF2CFB"/>
    <w:rsid w:val="00AF3043"/>
    <w:rsid w:val="00AF3347"/>
    <w:rsid w:val="00AF35F1"/>
    <w:rsid w:val="00AF36BF"/>
    <w:rsid w:val="00AF380E"/>
    <w:rsid w:val="00AF385A"/>
    <w:rsid w:val="00AF39D6"/>
    <w:rsid w:val="00AF3A23"/>
    <w:rsid w:val="00AF3F39"/>
    <w:rsid w:val="00AF3F69"/>
    <w:rsid w:val="00AF40B0"/>
    <w:rsid w:val="00AF40B6"/>
    <w:rsid w:val="00AF40CA"/>
    <w:rsid w:val="00AF4250"/>
    <w:rsid w:val="00AF43CB"/>
    <w:rsid w:val="00AF4677"/>
    <w:rsid w:val="00AF46C8"/>
    <w:rsid w:val="00AF4818"/>
    <w:rsid w:val="00AF4BE1"/>
    <w:rsid w:val="00AF4C86"/>
    <w:rsid w:val="00AF4ED5"/>
    <w:rsid w:val="00AF5034"/>
    <w:rsid w:val="00AF532B"/>
    <w:rsid w:val="00AF5360"/>
    <w:rsid w:val="00AF53B5"/>
    <w:rsid w:val="00AF5787"/>
    <w:rsid w:val="00AF57F3"/>
    <w:rsid w:val="00AF5B09"/>
    <w:rsid w:val="00AF5C23"/>
    <w:rsid w:val="00AF5C90"/>
    <w:rsid w:val="00AF5D08"/>
    <w:rsid w:val="00AF5F2E"/>
    <w:rsid w:val="00AF6107"/>
    <w:rsid w:val="00AF6126"/>
    <w:rsid w:val="00AF62FD"/>
    <w:rsid w:val="00AF63A9"/>
    <w:rsid w:val="00AF6435"/>
    <w:rsid w:val="00AF6755"/>
    <w:rsid w:val="00AF6872"/>
    <w:rsid w:val="00AF6B55"/>
    <w:rsid w:val="00AF6C21"/>
    <w:rsid w:val="00AF6E6F"/>
    <w:rsid w:val="00AF6E78"/>
    <w:rsid w:val="00AF726F"/>
    <w:rsid w:val="00AF7281"/>
    <w:rsid w:val="00AF72CE"/>
    <w:rsid w:val="00AF739D"/>
    <w:rsid w:val="00AF73A6"/>
    <w:rsid w:val="00AF75C6"/>
    <w:rsid w:val="00AF7777"/>
    <w:rsid w:val="00AF7820"/>
    <w:rsid w:val="00AF78C3"/>
    <w:rsid w:val="00AF7933"/>
    <w:rsid w:val="00AF7B52"/>
    <w:rsid w:val="00AF7C92"/>
    <w:rsid w:val="00AF7CAF"/>
    <w:rsid w:val="00AF7D3F"/>
    <w:rsid w:val="00AF7D94"/>
    <w:rsid w:val="00AF7DA8"/>
    <w:rsid w:val="00AF7E37"/>
    <w:rsid w:val="00AF7ED7"/>
    <w:rsid w:val="00AF7F0B"/>
    <w:rsid w:val="00AF7F3D"/>
    <w:rsid w:val="00AF7F62"/>
    <w:rsid w:val="00B00194"/>
    <w:rsid w:val="00B001E0"/>
    <w:rsid w:val="00B003A3"/>
    <w:rsid w:val="00B003C7"/>
    <w:rsid w:val="00B00414"/>
    <w:rsid w:val="00B004E4"/>
    <w:rsid w:val="00B00571"/>
    <w:rsid w:val="00B00697"/>
    <w:rsid w:val="00B006A9"/>
    <w:rsid w:val="00B0078C"/>
    <w:rsid w:val="00B007F4"/>
    <w:rsid w:val="00B0092C"/>
    <w:rsid w:val="00B00C0A"/>
    <w:rsid w:val="00B00C38"/>
    <w:rsid w:val="00B00D7A"/>
    <w:rsid w:val="00B00D95"/>
    <w:rsid w:val="00B00E12"/>
    <w:rsid w:val="00B010E7"/>
    <w:rsid w:val="00B0120E"/>
    <w:rsid w:val="00B0125E"/>
    <w:rsid w:val="00B01279"/>
    <w:rsid w:val="00B012F6"/>
    <w:rsid w:val="00B015C9"/>
    <w:rsid w:val="00B01646"/>
    <w:rsid w:val="00B0187A"/>
    <w:rsid w:val="00B0190A"/>
    <w:rsid w:val="00B019FC"/>
    <w:rsid w:val="00B01A8B"/>
    <w:rsid w:val="00B01ACF"/>
    <w:rsid w:val="00B01B03"/>
    <w:rsid w:val="00B01C0D"/>
    <w:rsid w:val="00B01ECE"/>
    <w:rsid w:val="00B02040"/>
    <w:rsid w:val="00B022AF"/>
    <w:rsid w:val="00B023B4"/>
    <w:rsid w:val="00B0259E"/>
    <w:rsid w:val="00B0270B"/>
    <w:rsid w:val="00B0282C"/>
    <w:rsid w:val="00B02833"/>
    <w:rsid w:val="00B02890"/>
    <w:rsid w:val="00B02AE9"/>
    <w:rsid w:val="00B02BCA"/>
    <w:rsid w:val="00B02C50"/>
    <w:rsid w:val="00B02D65"/>
    <w:rsid w:val="00B02D81"/>
    <w:rsid w:val="00B02ED0"/>
    <w:rsid w:val="00B02FC6"/>
    <w:rsid w:val="00B030B7"/>
    <w:rsid w:val="00B03120"/>
    <w:rsid w:val="00B032A3"/>
    <w:rsid w:val="00B038D5"/>
    <w:rsid w:val="00B0398B"/>
    <w:rsid w:val="00B039B1"/>
    <w:rsid w:val="00B03A21"/>
    <w:rsid w:val="00B03B45"/>
    <w:rsid w:val="00B03B60"/>
    <w:rsid w:val="00B03DA9"/>
    <w:rsid w:val="00B03F4F"/>
    <w:rsid w:val="00B040F9"/>
    <w:rsid w:val="00B0419A"/>
    <w:rsid w:val="00B0460F"/>
    <w:rsid w:val="00B048BB"/>
    <w:rsid w:val="00B04967"/>
    <w:rsid w:val="00B049A3"/>
    <w:rsid w:val="00B049D4"/>
    <w:rsid w:val="00B04A5E"/>
    <w:rsid w:val="00B04AC1"/>
    <w:rsid w:val="00B04BED"/>
    <w:rsid w:val="00B0525A"/>
    <w:rsid w:val="00B053B7"/>
    <w:rsid w:val="00B05478"/>
    <w:rsid w:val="00B054EC"/>
    <w:rsid w:val="00B05539"/>
    <w:rsid w:val="00B055ED"/>
    <w:rsid w:val="00B0563B"/>
    <w:rsid w:val="00B05868"/>
    <w:rsid w:val="00B0599A"/>
    <w:rsid w:val="00B059E2"/>
    <w:rsid w:val="00B05A45"/>
    <w:rsid w:val="00B05B5A"/>
    <w:rsid w:val="00B05C4F"/>
    <w:rsid w:val="00B05CC1"/>
    <w:rsid w:val="00B05D7F"/>
    <w:rsid w:val="00B05E05"/>
    <w:rsid w:val="00B05F94"/>
    <w:rsid w:val="00B05FD3"/>
    <w:rsid w:val="00B06148"/>
    <w:rsid w:val="00B062B3"/>
    <w:rsid w:val="00B06306"/>
    <w:rsid w:val="00B064EF"/>
    <w:rsid w:val="00B065AB"/>
    <w:rsid w:val="00B067CC"/>
    <w:rsid w:val="00B06827"/>
    <w:rsid w:val="00B068BD"/>
    <w:rsid w:val="00B068F2"/>
    <w:rsid w:val="00B068FB"/>
    <w:rsid w:val="00B06A27"/>
    <w:rsid w:val="00B06B68"/>
    <w:rsid w:val="00B06D7D"/>
    <w:rsid w:val="00B06ECC"/>
    <w:rsid w:val="00B0710C"/>
    <w:rsid w:val="00B07226"/>
    <w:rsid w:val="00B07293"/>
    <w:rsid w:val="00B073A5"/>
    <w:rsid w:val="00B079B5"/>
    <w:rsid w:val="00B079F6"/>
    <w:rsid w:val="00B07A02"/>
    <w:rsid w:val="00B07A37"/>
    <w:rsid w:val="00B07CA4"/>
    <w:rsid w:val="00B07DBB"/>
    <w:rsid w:val="00B07EE7"/>
    <w:rsid w:val="00B07F75"/>
    <w:rsid w:val="00B1004B"/>
    <w:rsid w:val="00B1008F"/>
    <w:rsid w:val="00B10278"/>
    <w:rsid w:val="00B102B4"/>
    <w:rsid w:val="00B10325"/>
    <w:rsid w:val="00B108D6"/>
    <w:rsid w:val="00B10BBA"/>
    <w:rsid w:val="00B10D24"/>
    <w:rsid w:val="00B10F27"/>
    <w:rsid w:val="00B11179"/>
    <w:rsid w:val="00B112C0"/>
    <w:rsid w:val="00B113BE"/>
    <w:rsid w:val="00B11543"/>
    <w:rsid w:val="00B11552"/>
    <w:rsid w:val="00B115E8"/>
    <w:rsid w:val="00B11758"/>
    <w:rsid w:val="00B11884"/>
    <w:rsid w:val="00B118C2"/>
    <w:rsid w:val="00B11A69"/>
    <w:rsid w:val="00B11B2A"/>
    <w:rsid w:val="00B11D79"/>
    <w:rsid w:val="00B1206C"/>
    <w:rsid w:val="00B120AB"/>
    <w:rsid w:val="00B12278"/>
    <w:rsid w:val="00B12295"/>
    <w:rsid w:val="00B124FD"/>
    <w:rsid w:val="00B12566"/>
    <w:rsid w:val="00B126E0"/>
    <w:rsid w:val="00B1278C"/>
    <w:rsid w:val="00B12922"/>
    <w:rsid w:val="00B12A2D"/>
    <w:rsid w:val="00B12C6D"/>
    <w:rsid w:val="00B13022"/>
    <w:rsid w:val="00B131BA"/>
    <w:rsid w:val="00B132F0"/>
    <w:rsid w:val="00B13310"/>
    <w:rsid w:val="00B13468"/>
    <w:rsid w:val="00B1346B"/>
    <w:rsid w:val="00B136E7"/>
    <w:rsid w:val="00B1372F"/>
    <w:rsid w:val="00B13854"/>
    <w:rsid w:val="00B13A79"/>
    <w:rsid w:val="00B13BBB"/>
    <w:rsid w:val="00B13FB0"/>
    <w:rsid w:val="00B140F9"/>
    <w:rsid w:val="00B140FC"/>
    <w:rsid w:val="00B14115"/>
    <w:rsid w:val="00B1419A"/>
    <w:rsid w:val="00B1434A"/>
    <w:rsid w:val="00B144C0"/>
    <w:rsid w:val="00B1455A"/>
    <w:rsid w:val="00B145B7"/>
    <w:rsid w:val="00B146F8"/>
    <w:rsid w:val="00B14D33"/>
    <w:rsid w:val="00B14E0C"/>
    <w:rsid w:val="00B14E60"/>
    <w:rsid w:val="00B14EAE"/>
    <w:rsid w:val="00B14FF6"/>
    <w:rsid w:val="00B150C0"/>
    <w:rsid w:val="00B15239"/>
    <w:rsid w:val="00B1529B"/>
    <w:rsid w:val="00B15414"/>
    <w:rsid w:val="00B154EA"/>
    <w:rsid w:val="00B155D6"/>
    <w:rsid w:val="00B15AB9"/>
    <w:rsid w:val="00B15AED"/>
    <w:rsid w:val="00B15B4F"/>
    <w:rsid w:val="00B15FDC"/>
    <w:rsid w:val="00B16090"/>
    <w:rsid w:val="00B1610E"/>
    <w:rsid w:val="00B16131"/>
    <w:rsid w:val="00B161DA"/>
    <w:rsid w:val="00B1630D"/>
    <w:rsid w:val="00B164E0"/>
    <w:rsid w:val="00B165D8"/>
    <w:rsid w:val="00B16678"/>
    <w:rsid w:val="00B166C7"/>
    <w:rsid w:val="00B16720"/>
    <w:rsid w:val="00B1682F"/>
    <w:rsid w:val="00B1690A"/>
    <w:rsid w:val="00B16A9E"/>
    <w:rsid w:val="00B16AA6"/>
    <w:rsid w:val="00B16BA0"/>
    <w:rsid w:val="00B16D45"/>
    <w:rsid w:val="00B17017"/>
    <w:rsid w:val="00B172EF"/>
    <w:rsid w:val="00B17330"/>
    <w:rsid w:val="00B17412"/>
    <w:rsid w:val="00B17582"/>
    <w:rsid w:val="00B17922"/>
    <w:rsid w:val="00B17985"/>
    <w:rsid w:val="00B17ACF"/>
    <w:rsid w:val="00B17EE0"/>
    <w:rsid w:val="00B2010C"/>
    <w:rsid w:val="00B20132"/>
    <w:rsid w:val="00B202A1"/>
    <w:rsid w:val="00B202F2"/>
    <w:rsid w:val="00B203B9"/>
    <w:rsid w:val="00B20819"/>
    <w:rsid w:val="00B208AF"/>
    <w:rsid w:val="00B20969"/>
    <w:rsid w:val="00B20C74"/>
    <w:rsid w:val="00B20CDB"/>
    <w:rsid w:val="00B20D86"/>
    <w:rsid w:val="00B20D9C"/>
    <w:rsid w:val="00B20DDA"/>
    <w:rsid w:val="00B20DEB"/>
    <w:rsid w:val="00B20EC2"/>
    <w:rsid w:val="00B20F09"/>
    <w:rsid w:val="00B21024"/>
    <w:rsid w:val="00B2109F"/>
    <w:rsid w:val="00B210E2"/>
    <w:rsid w:val="00B2122F"/>
    <w:rsid w:val="00B21256"/>
    <w:rsid w:val="00B214A0"/>
    <w:rsid w:val="00B214AD"/>
    <w:rsid w:val="00B2162C"/>
    <w:rsid w:val="00B2164B"/>
    <w:rsid w:val="00B21702"/>
    <w:rsid w:val="00B2173D"/>
    <w:rsid w:val="00B2184F"/>
    <w:rsid w:val="00B21B67"/>
    <w:rsid w:val="00B21D32"/>
    <w:rsid w:val="00B21DA7"/>
    <w:rsid w:val="00B22119"/>
    <w:rsid w:val="00B221AA"/>
    <w:rsid w:val="00B221ED"/>
    <w:rsid w:val="00B22238"/>
    <w:rsid w:val="00B2223F"/>
    <w:rsid w:val="00B22390"/>
    <w:rsid w:val="00B2258D"/>
    <w:rsid w:val="00B225B0"/>
    <w:rsid w:val="00B22821"/>
    <w:rsid w:val="00B22833"/>
    <w:rsid w:val="00B2283C"/>
    <w:rsid w:val="00B22951"/>
    <w:rsid w:val="00B229BB"/>
    <w:rsid w:val="00B22D4B"/>
    <w:rsid w:val="00B22D89"/>
    <w:rsid w:val="00B22E20"/>
    <w:rsid w:val="00B22E30"/>
    <w:rsid w:val="00B22E3D"/>
    <w:rsid w:val="00B22E41"/>
    <w:rsid w:val="00B2308E"/>
    <w:rsid w:val="00B23171"/>
    <w:rsid w:val="00B23199"/>
    <w:rsid w:val="00B232EB"/>
    <w:rsid w:val="00B23391"/>
    <w:rsid w:val="00B234BF"/>
    <w:rsid w:val="00B237AB"/>
    <w:rsid w:val="00B2380B"/>
    <w:rsid w:val="00B2387E"/>
    <w:rsid w:val="00B23AFE"/>
    <w:rsid w:val="00B23B68"/>
    <w:rsid w:val="00B23D10"/>
    <w:rsid w:val="00B23FC9"/>
    <w:rsid w:val="00B241F1"/>
    <w:rsid w:val="00B2423F"/>
    <w:rsid w:val="00B24280"/>
    <w:rsid w:val="00B243AA"/>
    <w:rsid w:val="00B244E1"/>
    <w:rsid w:val="00B24639"/>
    <w:rsid w:val="00B24854"/>
    <w:rsid w:val="00B2491F"/>
    <w:rsid w:val="00B24AF6"/>
    <w:rsid w:val="00B24C8B"/>
    <w:rsid w:val="00B24EC3"/>
    <w:rsid w:val="00B24FFB"/>
    <w:rsid w:val="00B25083"/>
    <w:rsid w:val="00B25144"/>
    <w:rsid w:val="00B25233"/>
    <w:rsid w:val="00B252D0"/>
    <w:rsid w:val="00B2538F"/>
    <w:rsid w:val="00B25495"/>
    <w:rsid w:val="00B254A5"/>
    <w:rsid w:val="00B254ED"/>
    <w:rsid w:val="00B25544"/>
    <w:rsid w:val="00B2598E"/>
    <w:rsid w:val="00B259D7"/>
    <w:rsid w:val="00B25CAA"/>
    <w:rsid w:val="00B25D38"/>
    <w:rsid w:val="00B25F8F"/>
    <w:rsid w:val="00B26465"/>
    <w:rsid w:val="00B2649D"/>
    <w:rsid w:val="00B2654B"/>
    <w:rsid w:val="00B265AD"/>
    <w:rsid w:val="00B266E9"/>
    <w:rsid w:val="00B26A18"/>
    <w:rsid w:val="00B26B02"/>
    <w:rsid w:val="00B26DA0"/>
    <w:rsid w:val="00B26F13"/>
    <w:rsid w:val="00B26FA4"/>
    <w:rsid w:val="00B2727B"/>
    <w:rsid w:val="00B273E8"/>
    <w:rsid w:val="00B273EE"/>
    <w:rsid w:val="00B27767"/>
    <w:rsid w:val="00B277BC"/>
    <w:rsid w:val="00B278CF"/>
    <w:rsid w:val="00B279E4"/>
    <w:rsid w:val="00B27AEC"/>
    <w:rsid w:val="00B300CC"/>
    <w:rsid w:val="00B300D5"/>
    <w:rsid w:val="00B3048F"/>
    <w:rsid w:val="00B30560"/>
    <w:rsid w:val="00B30563"/>
    <w:rsid w:val="00B30799"/>
    <w:rsid w:val="00B30A53"/>
    <w:rsid w:val="00B30A59"/>
    <w:rsid w:val="00B30ADE"/>
    <w:rsid w:val="00B30AF5"/>
    <w:rsid w:val="00B30BE9"/>
    <w:rsid w:val="00B30C9C"/>
    <w:rsid w:val="00B30CBE"/>
    <w:rsid w:val="00B30DF7"/>
    <w:rsid w:val="00B30F9D"/>
    <w:rsid w:val="00B31233"/>
    <w:rsid w:val="00B312C4"/>
    <w:rsid w:val="00B313D9"/>
    <w:rsid w:val="00B313DF"/>
    <w:rsid w:val="00B3144A"/>
    <w:rsid w:val="00B3177B"/>
    <w:rsid w:val="00B318B0"/>
    <w:rsid w:val="00B31BA8"/>
    <w:rsid w:val="00B31CED"/>
    <w:rsid w:val="00B31D32"/>
    <w:rsid w:val="00B31DB4"/>
    <w:rsid w:val="00B31E83"/>
    <w:rsid w:val="00B31F22"/>
    <w:rsid w:val="00B31FDB"/>
    <w:rsid w:val="00B32147"/>
    <w:rsid w:val="00B321F9"/>
    <w:rsid w:val="00B3230A"/>
    <w:rsid w:val="00B32345"/>
    <w:rsid w:val="00B32551"/>
    <w:rsid w:val="00B325B0"/>
    <w:rsid w:val="00B32627"/>
    <w:rsid w:val="00B328FC"/>
    <w:rsid w:val="00B329E5"/>
    <w:rsid w:val="00B32AB5"/>
    <w:rsid w:val="00B32AFA"/>
    <w:rsid w:val="00B32B74"/>
    <w:rsid w:val="00B32CE3"/>
    <w:rsid w:val="00B32D9A"/>
    <w:rsid w:val="00B33021"/>
    <w:rsid w:val="00B33044"/>
    <w:rsid w:val="00B33152"/>
    <w:rsid w:val="00B33344"/>
    <w:rsid w:val="00B333CD"/>
    <w:rsid w:val="00B33421"/>
    <w:rsid w:val="00B3342A"/>
    <w:rsid w:val="00B335E3"/>
    <w:rsid w:val="00B339AC"/>
    <w:rsid w:val="00B33AE3"/>
    <w:rsid w:val="00B33BF4"/>
    <w:rsid w:val="00B33C4F"/>
    <w:rsid w:val="00B33C6F"/>
    <w:rsid w:val="00B33CBC"/>
    <w:rsid w:val="00B33E47"/>
    <w:rsid w:val="00B3411C"/>
    <w:rsid w:val="00B341FF"/>
    <w:rsid w:val="00B342BD"/>
    <w:rsid w:val="00B3447B"/>
    <w:rsid w:val="00B345E2"/>
    <w:rsid w:val="00B3465A"/>
    <w:rsid w:val="00B346C7"/>
    <w:rsid w:val="00B346F8"/>
    <w:rsid w:val="00B34792"/>
    <w:rsid w:val="00B347ED"/>
    <w:rsid w:val="00B3492B"/>
    <w:rsid w:val="00B34949"/>
    <w:rsid w:val="00B34DBA"/>
    <w:rsid w:val="00B34EF7"/>
    <w:rsid w:val="00B34FBB"/>
    <w:rsid w:val="00B3502C"/>
    <w:rsid w:val="00B351BD"/>
    <w:rsid w:val="00B351DC"/>
    <w:rsid w:val="00B352BE"/>
    <w:rsid w:val="00B35322"/>
    <w:rsid w:val="00B35339"/>
    <w:rsid w:val="00B35464"/>
    <w:rsid w:val="00B3559B"/>
    <w:rsid w:val="00B35618"/>
    <w:rsid w:val="00B35736"/>
    <w:rsid w:val="00B357CD"/>
    <w:rsid w:val="00B35B2F"/>
    <w:rsid w:val="00B35B99"/>
    <w:rsid w:val="00B35BDE"/>
    <w:rsid w:val="00B35CE1"/>
    <w:rsid w:val="00B35FEA"/>
    <w:rsid w:val="00B35FF9"/>
    <w:rsid w:val="00B3604B"/>
    <w:rsid w:val="00B36121"/>
    <w:rsid w:val="00B36397"/>
    <w:rsid w:val="00B363FE"/>
    <w:rsid w:val="00B36412"/>
    <w:rsid w:val="00B36961"/>
    <w:rsid w:val="00B36D9B"/>
    <w:rsid w:val="00B36DBF"/>
    <w:rsid w:val="00B36FCF"/>
    <w:rsid w:val="00B36FD9"/>
    <w:rsid w:val="00B371F8"/>
    <w:rsid w:val="00B372FB"/>
    <w:rsid w:val="00B3746B"/>
    <w:rsid w:val="00B37559"/>
    <w:rsid w:val="00B37884"/>
    <w:rsid w:val="00B378A8"/>
    <w:rsid w:val="00B378F6"/>
    <w:rsid w:val="00B37A74"/>
    <w:rsid w:val="00B37CC6"/>
    <w:rsid w:val="00B37CF2"/>
    <w:rsid w:val="00B37DC4"/>
    <w:rsid w:val="00B37E27"/>
    <w:rsid w:val="00B37FC8"/>
    <w:rsid w:val="00B40043"/>
    <w:rsid w:val="00B40298"/>
    <w:rsid w:val="00B403B8"/>
    <w:rsid w:val="00B403DC"/>
    <w:rsid w:val="00B40889"/>
    <w:rsid w:val="00B408C2"/>
    <w:rsid w:val="00B408ED"/>
    <w:rsid w:val="00B408FC"/>
    <w:rsid w:val="00B40A40"/>
    <w:rsid w:val="00B40E22"/>
    <w:rsid w:val="00B4136C"/>
    <w:rsid w:val="00B416BC"/>
    <w:rsid w:val="00B416CC"/>
    <w:rsid w:val="00B416D0"/>
    <w:rsid w:val="00B41777"/>
    <w:rsid w:val="00B417A6"/>
    <w:rsid w:val="00B41879"/>
    <w:rsid w:val="00B41881"/>
    <w:rsid w:val="00B41895"/>
    <w:rsid w:val="00B418E4"/>
    <w:rsid w:val="00B41C90"/>
    <w:rsid w:val="00B41FF4"/>
    <w:rsid w:val="00B4203F"/>
    <w:rsid w:val="00B4213E"/>
    <w:rsid w:val="00B423E1"/>
    <w:rsid w:val="00B42441"/>
    <w:rsid w:val="00B4271C"/>
    <w:rsid w:val="00B427B8"/>
    <w:rsid w:val="00B42852"/>
    <w:rsid w:val="00B42941"/>
    <w:rsid w:val="00B42A04"/>
    <w:rsid w:val="00B42BF6"/>
    <w:rsid w:val="00B42C7D"/>
    <w:rsid w:val="00B42CBD"/>
    <w:rsid w:val="00B42D1F"/>
    <w:rsid w:val="00B42E4C"/>
    <w:rsid w:val="00B4329E"/>
    <w:rsid w:val="00B432D6"/>
    <w:rsid w:val="00B433B9"/>
    <w:rsid w:val="00B433ED"/>
    <w:rsid w:val="00B43453"/>
    <w:rsid w:val="00B43978"/>
    <w:rsid w:val="00B439A5"/>
    <w:rsid w:val="00B43B0C"/>
    <w:rsid w:val="00B43BC1"/>
    <w:rsid w:val="00B43D28"/>
    <w:rsid w:val="00B43DD9"/>
    <w:rsid w:val="00B43F62"/>
    <w:rsid w:val="00B43F73"/>
    <w:rsid w:val="00B4407D"/>
    <w:rsid w:val="00B44103"/>
    <w:rsid w:val="00B442EC"/>
    <w:rsid w:val="00B4440A"/>
    <w:rsid w:val="00B44501"/>
    <w:rsid w:val="00B446A0"/>
    <w:rsid w:val="00B446A1"/>
    <w:rsid w:val="00B446BB"/>
    <w:rsid w:val="00B44A6C"/>
    <w:rsid w:val="00B44AE3"/>
    <w:rsid w:val="00B44BFB"/>
    <w:rsid w:val="00B44EA1"/>
    <w:rsid w:val="00B450F8"/>
    <w:rsid w:val="00B451DD"/>
    <w:rsid w:val="00B456A7"/>
    <w:rsid w:val="00B4572B"/>
    <w:rsid w:val="00B45802"/>
    <w:rsid w:val="00B4586D"/>
    <w:rsid w:val="00B459CA"/>
    <w:rsid w:val="00B45D1F"/>
    <w:rsid w:val="00B45DE6"/>
    <w:rsid w:val="00B45F40"/>
    <w:rsid w:val="00B46030"/>
    <w:rsid w:val="00B4606E"/>
    <w:rsid w:val="00B4640E"/>
    <w:rsid w:val="00B46686"/>
    <w:rsid w:val="00B466E6"/>
    <w:rsid w:val="00B468C5"/>
    <w:rsid w:val="00B4695D"/>
    <w:rsid w:val="00B46C18"/>
    <w:rsid w:val="00B4705A"/>
    <w:rsid w:val="00B4719A"/>
    <w:rsid w:val="00B472E4"/>
    <w:rsid w:val="00B4766B"/>
    <w:rsid w:val="00B47A0F"/>
    <w:rsid w:val="00B47BD9"/>
    <w:rsid w:val="00B47C44"/>
    <w:rsid w:val="00B47CB9"/>
    <w:rsid w:val="00B47CFD"/>
    <w:rsid w:val="00B47D99"/>
    <w:rsid w:val="00B47FCA"/>
    <w:rsid w:val="00B50401"/>
    <w:rsid w:val="00B5044A"/>
    <w:rsid w:val="00B504AF"/>
    <w:rsid w:val="00B505C4"/>
    <w:rsid w:val="00B50649"/>
    <w:rsid w:val="00B50703"/>
    <w:rsid w:val="00B507BF"/>
    <w:rsid w:val="00B50934"/>
    <w:rsid w:val="00B5098A"/>
    <w:rsid w:val="00B510D3"/>
    <w:rsid w:val="00B5116B"/>
    <w:rsid w:val="00B51250"/>
    <w:rsid w:val="00B51422"/>
    <w:rsid w:val="00B5158D"/>
    <w:rsid w:val="00B518FE"/>
    <w:rsid w:val="00B51B4C"/>
    <w:rsid w:val="00B51B5E"/>
    <w:rsid w:val="00B51B9E"/>
    <w:rsid w:val="00B51BE1"/>
    <w:rsid w:val="00B51D43"/>
    <w:rsid w:val="00B51DCA"/>
    <w:rsid w:val="00B51E88"/>
    <w:rsid w:val="00B51EDA"/>
    <w:rsid w:val="00B51EE6"/>
    <w:rsid w:val="00B51EEA"/>
    <w:rsid w:val="00B51F0C"/>
    <w:rsid w:val="00B5231B"/>
    <w:rsid w:val="00B52414"/>
    <w:rsid w:val="00B524BA"/>
    <w:rsid w:val="00B524EB"/>
    <w:rsid w:val="00B5267C"/>
    <w:rsid w:val="00B52691"/>
    <w:rsid w:val="00B526AB"/>
    <w:rsid w:val="00B52A37"/>
    <w:rsid w:val="00B52AA0"/>
    <w:rsid w:val="00B52C05"/>
    <w:rsid w:val="00B52D87"/>
    <w:rsid w:val="00B52E65"/>
    <w:rsid w:val="00B52FCC"/>
    <w:rsid w:val="00B531CF"/>
    <w:rsid w:val="00B532D3"/>
    <w:rsid w:val="00B53300"/>
    <w:rsid w:val="00B53617"/>
    <w:rsid w:val="00B536FA"/>
    <w:rsid w:val="00B5378E"/>
    <w:rsid w:val="00B53864"/>
    <w:rsid w:val="00B53B5A"/>
    <w:rsid w:val="00B5400D"/>
    <w:rsid w:val="00B5427E"/>
    <w:rsid w:val="00B54608"/>
    <w:rsid w:val="00B54648"/>
    <w:rsid w:val="00B54657"/>
    <w:rsid w:val="00B5468D"/>
    <w:rsid w:val="00B54712"/>
    <w:rsid w:val="00B54764"/>
    <w:rsid w:val="00B5496D"/>
    <w:rsid w:val="00B549E8"/>
    <w:rsid w:val="00B54AB2"/>
    <w:rsid w:val="00B54AEF"/>
    <w:rsid w:val="00B54D9C"/>
    <w:rsid w:val="00B54F80"/>
    <w:rsid w:val="00B550BD"/>
    <w:rsid w:val="00B550D9"/>
    <w:rsid w:val="00B551D1"/>
    <w:rsid w:val="00B5529F"/>
    <w:rsid w:val="00B5535D"/>
    <w:rsid w:val="00B5545D"/>
    <w:rsid w:val="00B55516"/>
    <w:rsid w:val="00B55553"/>
    <w:rsid w:val="00B55588"/>
    <w:rsid w:val="00B557B6"/>
    <w:rsid w:val="00B55AE3"/>
    <w:rsid w:val="00B55AF5"/>
    <w:rsid w:val="00B55B7B"/>
    <w:rsid w:val="00B55E3F"/>
    <w:rsid w:val="00B56283"/>
    <w:rsid w:val="00B56483"/>
    <w:rsid w:val="00B564D2"/>
    <w:rsid w:val="00B56953"/>
    <w:rsid w:val="00B56B07"/>
    <w:rsid w:val="00B56D58"/>
    <w:rsid w:val="00B5709C"/>
    <w:rsid w:val="00B57112"/>
    <w:rsid w:val="00B57169"/>
    <w:rsid w:val="00B57193"/>
    <w:rsid w:val="00B571E3"/>
    <w:rsid w:val="00B5734A"/>
    <w:rsid w:val="00B574BD"/>
    <w:rsid w:val="00B5777E"/>
    <w:rsid w:val="00B57BA8"/>
    <w:rsid w:val="00B6005A"/>
    <w:rsid w:val="00B60067"/>
    <w:rsid w:val="00B6019A"/>
    <w:rsid w:val="00B60281"/>
    <w:rsid w:val="00B6033C"/>
    <w:rsid w:val="00B60423"/>
    <w:rsid w:val="00B604AA"/>
    <w:rsid w:val="00B604AF"/>
    <w:rsid w:val="00B6058E"/>
    <w:rsid w:val="00B60650"/>
    <w:rsid w:val="00B60659"/>
    <w:rsid w:val="00B60777"/>
    <w:rsid w:val="00B609E5"/>
    <w:rsid w:val="00B60A1E"/>
    <w:rsid w:val="00B60DAE"/>
    <w:rsid w:val="00B60F9B"/>
    <w:rsid w:val="00B61144"/>
    <w:rsid w:val="00B61168"/>
    <w:rsid w:val="00B61595"/>
    <w:rsid w:val="00B61689"/>
    <w:rsid w:val="00B618BF"/>
    <w:rsid w:val="00B618E4"/>
    <w:rsid w:val="00B619D5"/>
    <w:rsid w:val="00B61EC7"/>
    <w:rsid w:val="00B61F45"/>
    <w:rsid w:val="00B620E4"/>
    <w:rsid w:val="00B6210C"/>
    <w:rsid w:val="00B62161"/>
    <w:rsid w:val="00B623B5"/>
    <w:rsid w:val="00B624D0"/>
    <w:rsid w:val="00B62694"/>
    <w:rsid w:val="00B6297B"/>
    <w:rsid w:val="00B62ABE"/>
    <w:rsid w:val="00B62B82"/>
    <w:rsid w:val="00B62CA3"/>
    <w:rsid w:val="00B62EA2"/>
    <w:rsid w:val="00B62FA9"/>
    <w:rsid w:val="00B62FD3"/>
    <w:rsid w:val="00B63005"/>
    <w:rsid w:val="00B6327A"/>
    <w:rsid w:val="00B63444"/>
    <w:rsid w:val="00B6358D"/>
    <w:rsid w:val="00B63734"/>
    <w:rsid w:val="00B637A3"/>
    <w:rsid w:val="00B63A14"/>
    <w:rsid w:val="00B63A2D"/>
    <w:rsid w:val="00B63BD6"/>
    <w:rsid w:val="00B63DB0"/>
    <w:rsid w:val="00B63E5F"/>
    <w:rsid w:val="00B641BA"/>
    <w:rsid w:val="00B64220"/>
    <w:rsid w:val="00B643A3"/>
    <w:rsid w:val="00B643C2"/>
    <w:rsid w:val="00B6456E"/>
    <w:rsid w:val="00B6469E"/>
    <w:rsid w:val="00B64700"/>
    <w:rsid w:val="00B64904"/>
    <w:rsid w:val="00B64999"/>
    <w:rsid w:val="00B649C1"/>
    <w:rsid w:val="00B64A20"/>
    <w:rsid w:val="00B64A5D"/>
    <w:rsid w:val="00B64B51"/>
    <w:rsid w:val="00B64C46"/>
    <w:rsid w:val="00B64E78"/>
    <w:rsid w:val="00B6513E"/>
    <w:rsid w:val="00B65345"/>
    <w:rsid w:val="00B65545"/>
    <w:rsid w:val="00B6564E"/>
    <w:rsid w:val="00B6570C"/>
    <w:rsid w:val="00B657A0"/>
    <w:rsid w:val="00B65B86"/>
    <w:rsid w:val="00B65E6E"/>
    <w:rsid w:val="00B65FA8"/>
    <w:rsid w:val="00B66257"/>
    <w:rsid w:val="00B6626C"/>
    <w:rsid w:val="00B66384"/>
    <w:rsid w:val="00B66395"/>
    <w:rsid w:val="00B664D8"/>
    <w:rsid w:val="00B664F2"/>
    <w:rsid w:val="00B664F7"/>
    <w:rsid w:val="00B667E8"/>
    <w:rsid w:val="00B66A79"/>
    <w:rsid w:val="00B66AF0"/>
    <w:rsid w:val="00B66BA1"/>
    <w:rsid w:val="00B66F00"/>
    <w:rsid w:val="00B67183"/>
    <w:rsid w:val="00B671A4"/>
    <w:rsid w:val="00B6733A"/>
    <w:rsid w:val="00B67691"/>
    <w:rsid w:val="00B67A07"/>
    <w:rsid w:val="00B67A7B"/>
    <w:rsid w:val="00B67BB0"/>
    <w:rsid w:val="00B67BBE"/>
    <w:rsid w:val="00B67C98"/>
    <w:rsid w:val="00B67EB0"/>
    <w:rsid w:val="00B67F62"/>
    <w:rsid w:val="00B70113"/>
    <w:rsid w:val="00B7014D"/>
    <w:rsid w:val="00B7017B"/>
    <w:rsid w:val="00B701D1"/>
    <w:rsid w:val="00B7028B"/>
    <w:rsid w:val="00B702F3"/>
    <w:rsid w:val="00B70541"/>
    <w:rsid w:val="00B70569"/>
    <w:rsid w:val="00B70582"/>
    <w:rsid w:val="00B70686"/>
    <w:rsid w:val="00B709A2"/>
    <w:rsid w:val="00B70B72"/>
    <w:rsid w:val="00B70BB1"/>
    <w:rsid w:val="00B70D4F"/>
    <w:rsid w:val="00B70DA9"/>
    <w:rsid w:val="00B70F68"/>
    <w:rsid w:val="00B711F8"/>
    <w:rsid w:val="00B712F4"/>
    <w:rsid w:val="00B71768"/>
    <w:rsid w:val="00B71928"/>
    <w:rsid w:val="00B71A22"/>
    <w:rsid w:val="00B71B47"/>
    <w:rsid w:val="00B71CE8"/>
    <w:rsid w:val="00B71D95"/>
    <w:rsid w:val="00B71DA5"/>
    <w:rsid w:val="00B71EBE"/>
    <w:rsid w:val="00B71FA6"/>
    <w:rsid w:val="00B71FB0"/>
    <w:rsid w:val="00B72014"/>
    <w:rsid w:val="00B72073"/>
    <w:rsid w:val="00B72128"/>
    <w:rsid w:val="00B722B5"/>
    <w:rsid w:val="00B7262A"/>
    <w:rsid w:val="00B727C6"/>
    <w:rsid w:val="00B72854"/>
    <w:rsid w:val="00B72CAE"/>
    <w:rsid w:val="00B72D70"/>
    <w:rsid w:val="00B72F55"/>
    <w:rsid w:val="00B73418"/>
    <w:rsid w:val="00B73685"/>
    <w:rsid w:val="00B7368C"/>
    <w:rsid w:val="00B73A4D"/>
    <w:rsid w:val="00B73B2C"/>
    <w:rsid w:val="00B73C11"/>
    <w:rsid w:val="00B73D73"/>
    <w:rsid w:val="00B73EA2"/>
    <w:rsid w:val="00B73EC4"/>
    <w:rsid w:val="00B73F24"/>
    <w:rsid w:val="00B73F2E"/>
    <w:rsid w:val="00B74113"/>
    <w:rsid w:val="00B74176"/>
    <w:rsid w:val="00B741DD"/>
    <w:rsid w:val="00B742C3"/>
    <w:rsid w:val="00B74601"/>
    <w:rsid w:val="00B7478A"/>
    <w:rsid w:val="00B7479F"/>
    <w:rsid w:val="00B748FB"/>
    <w:rsid w:val="00B74BFB"/>
    <w:rsid w:val="00B74E58"/>
    <w:rsid w:val="00B75499"/>
    <w:rsid w:val="00B755E0"/>
    <w:rsid w:val="00B75957"/>
    <w:rsid w:val="00B75A99"/>
    <w:rsid w:val="00B76191"/>
    <w:rsid w:val="00B761A8"/>
    <w:rsid w:val="00B761F7"/>
    <w:rsid w:val="00B7648D"/>
    <w:rsid w:val="00B765F3"/>
    <w:rsid w:val="00B76718"/>
    <w:rsid w:val="00B767F2"/>
    <w:rsid w:val="00B7686F"/>
    <w:rsid w:val="00B76A28"/>
    <w:rsid w:val="00B76C64"/>
    <w:rsid w:val="00B76D1F"/>
    <w:rsid w:val="00B76E32"/>
    <w:rsid w:val="00B76E7D"/>
    <w:rsid w:val="00B76FCA"/>
    <w:rsid w:val="00B7714E"/>
    <w:rsid w:val="00B772FD"/>
    <w:rsid w:val="00B773FB"/>
    <w:rsid w:val="00B774E7"/>
    <w:rsid w:val="00B7785F"/>
    <w:rsid w:val="00B779A4"/>
    <w:rsid w:val="00B77AAC"/>
    <w:rsid w:val="00B77B51"/>
    <w:rsid w:val="00B77E96"/>
    <w:rsid w:val="00B77EA8"/>
    <w:rsid w:val="00B77FE0"/>
    <w:rsid w:val="00B8001E"/>
    <w:rsid w:val="00B801BB"/>
    <w:rsid w:val="00B80306"/>
    <w:rsid w:val="00B80BCB"/>
    <w:rsid w:val="00B80D38"/>
    <w:rsid w:val="00B80EB4"/>
    <w:rsid w:val="00B80FC0"/>
    <w:rsid w:val="00B80FD5"/>
    <w:rsid w:val="00B80FE4"/>
    <w:rsid w:val="00B81014"/>
    <w:rsid w:val="00B81731"/>
    <w:rsid w:val="00B81834"/>
    <w:rsid w:val="00B81931"/>
    <w:rsid w:val="00B81983"/>
    <w:rsid w:val="00B819E2"/>
    <w:rsid w:val="00B81AE3"/>
    <w:rsid w:val="00B81BAC"/>
    <w:rsid w:val="00B81BD0"/>
    <w:rsid w:val="00B81BEA"/>
    <w:rsid w:val="00B81CA2"/>
    <w:rsid w:val="00B81CD9"/>
    <w:rsid w:val="00B81F38"/>
    <w:rsid w:val="00B81F48"/>
    <w:rsid w:val="00B81F62"/>
    <w:rsid w:val="00B82049"/>
    <w:rsid w:val="00B82054"/>
    <w:rsid w:val="00B82183"/>
    <w:rsid w:val="00B821A7"/>
    <w:rsid w:val="00B821EA"/>
    <w:rsid w:val="00B8222A"/>
    <w:rsid w:val="00B82290"/>
    <w:rsid w:val="00B8237D"/>
    <w:rsid w:val="00B8238C"/>
    <w:rsid w:val="00B8242E"/>
    <w:rsid w:val="00B82553"/>
    <w:rsid w:val="00B82733"/>
    <w:rsid w:val="00B827C5"/>
    <w:rsid w:val="00B827F4"/>
    <w:rsid w:val="00B828CF"/>
    <w:rsid w:val="00B82A21"/>
    <w:rsid w:val="00B82AFC"/>
    <w:rsid w:val="00B82BE5"/>
    <w:rsid w:val="00B82CAD"/>
    <w:rsid w:val="00B82E4D"/>
    <w:rsid w:val="00B82E8E"/>
    <w:rsid w:val="00B83125"/>
    <w:rsid w:val="00B83187"/>
    <w:rsid w:val="00B8335E"/>
    <w:rsid w:val="00B834CA"/>
    <w:rsid w:val="00B8363C"/>
    <w:rsid w:val="00B836BB"/>
    <w:rsid w:val="00B838E4"/>
    <w:rsid w:val="00B839F2"/>
    <w:rsid w:val="00B83A98"/>
    <w:rsid w:val="00B83B44"/>
    <w:rsid w:val="00B83D1F"/>
    <w:rsid w:val="00B83DEC"/>
    <w:rsid w:val="00B83FDB"/>
    <w:rsid w:val="00B8410B"/>
    <w:rsid w:val="00B84190"/>
    <w:rsid w:val="00B844A5"/>
    <w:rsid w:val="00B8453A"/>
    <w:rsid w:val="00B84622"/>
    <w:rsid w:val="00B84681"/>
    <w:rsid w:val="00B8487D"/>
    <w:rsid w:val="00B848F1"/>
    <w:rsid w:val="00B84A88"/>
    <w:rsid w:val="00B84B1A"/>
    <w:rsid w:val="00B84D43"/>
    <w:rsid w:val="00B84D63"/>
    <w:rsid w:val="00B84D97"/>
    <w:rsid w:val="00B84E50"/>
    <w:rsid w:val="00B84F69"/>
    <w:rsid w:val="00B85084"/>
    <w:rsid w:val="00B850E1"/>
    <w:rsid w:val="00B852F6"/>
    <w:rsid w:val="00B85332"/>
    <w:rsid w:val="00B85377"/>
    <w:rsid w:val="00B8545C"/>
    <w:rsid w:val="00B85773"/>
    <w:rsid w:val="00B857ED"/>
    <w:rsid w:val="00B858EF"/>
    <w:rsid w:val="00B85995"/>
    <w:rsid w:val="00B85B82"/>
    <w:rsid w:val="00B85B8D"/>
    <w:rsid w:val="00B85CC5"/>
    <w:rsid w:val="00B85D9E"/>
    <w:rsid w:val="00B85FB5"/>
    <w:rsid w:val="00B8607C"/>
    <w:rsid w:val="00B861E8"/>
    <w:rsid w:val="00B86655"/>
    <w:rsid w:val="00B868D4"/>
    <w:rsid w:val="00B86CD9"/>
    <w:rsid w:val="00B86D9B"/>
    <w:rsid w:val="00B86FC0"/>
    <w:rsid w:val="00B872A6"/>
    <w:rsid w:val="00B873C9"/>
    <w:rsid w:val="00B8759B"/>
    <w:rsid w:val="00B876F1"/>
    <w:rsid w:val="00B877B9"/>
    <w:rsid w:val="00B87899"/>
    <w:rsid w:val="00B879C0"/>
    <w:rsid w:val="00B87A9D"/>
    <w:rsid w:val="00B87D51"/>
    <w:rsid w:val="00B87E33"/>
    <w:rsid w:val="00B87F72"/>
    <w:rsid w:val="00B90001"/>
    <w:rsid w:val="00B90067"/>
    <w:rsid w:val="00B901AF"/>
    <w:rsid w:val="00B90335"/>
    <w:rsid w:val="00B903D8"/>
    <w:rsid w:val="00B9050B"/>
    <w:rsid w:val="00B9057D"/>
    <w:rsid w:val="00B906E7"/>
    <w:rsid w:val="00B90B3B"/>
    <w:rsid w:val="00B90C83"/>
    <w:rsid w:val="00B90EA1"/>
    <w:rsid w:val="00B90EC9"/>
    <w:rsid w:val="00B91095"/>
    <w:rsid w:val="00B911CE"/>
    <w:rsid w:val="00B91546"/>
    <w:rsid w:val="00B9160F"/>
    <w:rsid w:val="00B9174F"/>
    <w:rsid w:val="00B917EA"/>
    <w:rsid w:val="00B919DC"/>
    <w:rsid w:val="00B91D00"/>
    <w:rsid w:val="00B91D3B"/>
    <w:rsid w:val="00B92365"/>
    <w:rsid w:val="00B92627"/>
    <w:rsid w:val="00B92643"/>
    <w:rsid w:val="00B926CA"/>
    <w:rsid w:val="00B927D6"/>
    <w:rsid w:val="00B92BEB"/>
    <w:rsid w:val="00B92D31"/>
    <w:rsid w:val="00B92D4F"/>
    <w:rsid w:val="00B92F3C"/>
    <w:rsid w:val="00B93189"/>
    <w:rsid w:val="00B93307"/>
    <w:rsid w:val="00B933AB"/>
    <w:rsid w:val="00B93460"/>
    <w:rsid w:val="00B93466"/>
    <w:rsid w:val="00B93491"/>
    <w:rsid w:val="00B9375E"/>
    <w:rsid w:val="00B93938"/>
    <w:rsid w:val="00B93B92"/>
    <w:rsid w:val="00B941AF"/>
    <w:rsid w:val="00B94293"/>
    <w:rsid w:val="00B94671"/>
    <w:rsid w:val="00B94728"/>
    <w:rsid w:val="00B94928"/>
    <w:rsid w:val="00B94A4B"/>
    <w:rsid w:val="00B94AD6"/>
    <w:rsid w:val="00B94B1E"/>
    <w:rsid w:val="00B94BF6"/>
    <w:rsid w:val="00B94CFA"/>
    <w:rsid w:val="00B94DAA"/>
    <w:rsid w:val="00B951E3"/>
    <w:rsid w:val="00B9579E"/>
    <w:rsid w:val="00B95820"/>
    <w:rsid w:val="00B958BB"/>
    <w:rsid w:val="00B95C57"/>
    <w:rsid w:val="00B95FC7"/>
    <w:rsid w:val="00B9601C"/>
    <w:rsid w:val="00B9628F"/>
    <w:rsid w:val="00B9680E"/>
    <w:rsid w:val="00B96996"/>
    <w:rsid w:val="00B96DBE"/>
    <w:rsid w:val="00B96F01"/>
    <w:rsid w:val="00B96F1E"/>
    <w:rsid w:val="00B96FD0"/>
    <w:rsid w:val="00B97090"/>
    <w:rsid w:val="00B9711B"/>
    <w:rsid w:val="00B97127"/>
    <w:rsid w:val="00B9718C"/>
    <w:rsid w:val="00B971DD"/>
    <w:rsid w:val="00B9744D"/>
    <w:rsid w:val="00B9752D"/>
    <w:rsid w:val="00B976BB"/>
    <w:rsid w:val="00B977C7"/>
    <w:rsid w:val="00B97909"/>
    <w:rsid w:val="00B9794D"/>
    <w:rsid w:val="00B979F8"/>
    <w:rsid w:val="00B97B7B"/>
    <w:rsid w:val="00B97C18"/>
    <w:rsid w:val="00B97E3D"/>
    <w:rsid w:val="00B97EA1"/>
    <w:rsid w:val="00B97EB3"/>
    <w:rsid w:val="00B97EFA"/>
    <w:rsid w:val="00BA0335"/>
    <w:rsid w:val="00BA0381"/>
    <w:rsid w:val="00BA039F"/>
    <w:rsid w:val="00BA03B0"/>
    <w:rsid w:val="00BA0866"/>
    <w:rsid w:val="00BA0995"/>
    <w:rsid w:val="00BA09A2"/>
    <w:rsid w:val="00BA09E3"/>
    <w:rsid w:val="00BA0BAD"/>
    <w:rsid w:val="00BA0C08"/>
    <w:rsid w:val="00BA0C90"/>
    <w:rsid w:val="00BA0D6E"/>
    <w:rsid w:val="00BA1111"/>
    <w:rsid w:val="00BA111C"/>
    <w:rsid w:val="00BA143E"/>
    <w:rsid w:val="00BA15A5"/>
    <w:rsid w:val="00BA1691"/>
    <w:rsid w:val="00BA16F8"/>
    <w:rsid w:val="00BA1712"/>
    <w:rsid w:val="00BA179E"/>
    <w:rsid w:val="00BA1A41"/>
    <w:rsid w:val="00BA1A87"/>
    <w:rsid w:val="00BA1AD7"/>
    <w:rsid w:val="00BA1BBC"/>
    <w:rsid w:val="00BA1DE0"/>
    <w:rsid w:val="00BA1FC8"/>
    <w:rsid w:val="00BA2000"/>
    <w:rsid w:val="00BA2148"/>
    <w:rsid w:val="00BA21BC"/>
    <w:rsid w:val="00BA24A6"/>
    <w:rsid w:val="00BA255A"/>
    <w:rsid w:val="00BA2756"/>
    <w:rsid w:val="00BA28AB"/>
    <w:rsid w:val="00BA29AE"/>
    <w:rsid w:val="00BA2BA1"/>
    <w:rsid w:val="00BA2BDD"/>
    <w:rsid w:val="00BA2C4C"/>
    <w:rsid w:val="00BA2D4B"/>
    <w:rsid w:val="00BA2EFF"/>
    <w:rsid w:val="00BA2F83"/>
    <w:rsid w:val="00BA326C"/>
    <w:rsid w:val="00BA3454"/>
    <w:rsid w:val="00BA3779"/>
    <w:rsid w:val="00BA3809"/>
    <w:rsid w:val="00BA39B5"/>
    <w:rsid w:val="00BA3A78"/>
    <w:rsid w:val="00BA3BA8"/>
    <w:rsid w:val="00BA3BF3"/>
    <w:rsid w:val="00BA3C3D"/>
    <w:rsid w:val="00BA3CD6"/>
    <w:rsid w:val="00BA3F2B"/>
    <w:rsid w:val="00BA416E"/>
    <w:rsid w:val="00BA4224"/>
    <w:rsid w:val="00BA4485"/>
    <w:rsid w:val="00BA44DF"/>
    <w:rsid w:val="00BA45C9"/>
    <w:rsid w:val="00BA49D8"/>
    <w:rsid w:val="00BA4AB0"/>
    <w:rsid w:val="00BA4F5A"/>
    <w:rsid w:val="00BA512C"/>
    <w:rsid w:val="00BA527B"/>
    <w:rsid w:val="00BA5466"/>
    <w:rsid w:val="00BA58F5"/>
    <w:rsid w:val="00BA590F"/>
    <w:rsid w:val="00BA5997"/>
    <w:rsid w:val="00BA5AA9"/>
    <w:rsid w:val="00BA5BFE"/>
    <w:rsid w:val="00BA6018"/>
    <w:rsid w:val="00BA60D4"/>
    <w:rsid w:val="00BA60E4"/>
    <w:rsid w:val="00BA60F3"/>
    <w:rsid w:val="00BA62C1"/>
    <w:rsid w:val="00BA6512"/>
    <w:rsid w:val="00BA6694"/>
    <w:rsid w:val="00BA67BE"/>
    <w:rsid w:val="00BA689C"/>
    <w:rsid w:val="00BA69A8"/>
    <w:rsid w:val="00BA69AE"/>
    <w:rsid w:val="00BA6A8C"/>
    <w:rsid w:val="00BA6BD0"/>
    <w:rsid w:val="00BA6BE4"/>
    <w:rsid w:val="00BA71AD"/>
    <w:rsid w:val="00BA735B"/>
    <w:rsid w:val="00BA74D5"/>
    <w:rsid w:val="00BA7522"/>
    <w:rsid w:val="00BA7729"/>
    <w:rsid w:val="00BA7830"/>
    <w:rsid w:val="00BA785A"/>
    <w:rsid w:val="00BA78DC"/>
    <w:rsid w:val="00BA7995"/>
    <w:rsid w:val="00BA7A73"/>
    <w:rsid w:val="00BA7AA2"/>
    <w:rsid w:val="00BA7B73"/>
    <w:rsid w:val="00BA7B8C"/>
    <w:rsid w:val="00BA7D7F"/>
    <w:rsid w:val="00BA7F11"/>
    <w:rsid w:val="00BA7FCA"/>
    <w:rsid w:val="00BB0068"/>
    <w:rsid w:val="00BB0093"/>
    <w:rsid w:val="00BB041E"/>
    <w:rsid w:val="00BB0421"/>
    <w:rsid w:val="00BB05C9"/>
    <w:rsid w:val="00BB0659"/>
    <w:rsid w:val="00BB06D7"/>
    <w:rsid w:val="00BB0953"/>
    <w:rsid w:val="00BB0A17"/>
    <w:rsid w:val="00BB0A4F"/>
    <w:rsid w:val="00BB0B8F"/>
    <w:rsid w:val="00BB0D53"/>
    <w:rsid w:val="00BB0F31"/>
    <w:rsid w:val="00BB123D"/>
    <w:rsid w:val="00BB13DC"/>
    <w:rsid w:val="00BB1477"/>
    <w:rsid w:val="00BB14A9"/>
    <w:rsid w:val="00BB1580"/>
    <w:rsid w:val="00BB161D"/>
    <w:rsid w:val="00BB16E6"/>
    <w:rsid w:val="00BB16FF"/>
    <w:rsid w:val="00BB1709"/>
    <w:rsid w:val="00BB17EF"/>
    <w:rsid w:val="00BB1825"/>
    <w:rsid w:val="00BB1833"/>
    <w:rsid w:val="00BB189E"/>
    <w:rsid w:val="00BB1C70"/>
    <w:rsid w:val="00BB1F78"/>
    <w:rsid w:val="00BB20BB"/>
    <w:rsid w:val="00BB2199"/>
    <w:rsid w:val="00BB2243"/>
    <w:rsid w:val="00BB2281"/>
    <w:rsid w:val="00BB249D"/>
    <w:rsid w:val="00BB251A"/>
    <w:rsid w:val="00BB2612"/>
    <w:rsid w:val="00BB2667"/>
    <w:rsid w:val="00BB26FE"/>
    <w:rsid w:val="00BB2848"/>
    <w:rsid w:val="00BB2879"/>
    <w:rsid w:val="00BB2A30"/>
    <w:rsid w:val="00BB2CD0"/>
    <w:rsid w:val="00BB2F29"/>
    <w:rsid w:val="00BB2F37"/>
    <w:rsid w:val="00BB3080"/>
    <w:rsid w:val="00BB3174"/>
    <w:rsid w:val="00BB3262"/>
    <w:rsid w:val="00BB327B"/>
    <w:rsid w:val="00BB33CD"/>
    <w:rsid w:val="00BB36BF"/>
    <w:rsid w:val="00BB36F2"/>
    <w:rsid w:val="00BB3732"/>
    <w:rsid w:val="00BB398D"/>
    <w:rsid w:val="00BB3A02"/>
    <w:rsid w:val="00BB3C1B"/>
    <w:rsid w:val="00BB3C5A"/>
    <w:rsid w:val="00BB3C8F"/>
    <w:rsid w:val="00BB3D11"/>
    <w:rsid w:val="00BB3D9E"/>
    <w:rsid w:val="00BB3E30"/>
    <w:rsid w:val="00BB3E61"/>
    <w:rsid w:val="00BB3E98"/>
    <w:rsid w:val="00BB3F09"/>
    <w:rsid w:val="00BB4000"/>
    <w:rsid w:val="00BB4067"/>
    <w:rsid w:val="00BB40E8"/>
    <w:rsid w:val="00BB428E"/>
    <w:rsid w:val="00BB435C"/>
    <w:rsid w:val="00BB4444"/>
    <w:rsid w:val="00BB445B"/>
    <w:rsid w:val="00BB449C"/>
    <w:rsid w:val="00BB464A"/>
    <w:rsid w:val="00BB4797"/>
    <w:rsid w:val="00BB48F4"/>
    <w:rsid w:val="00BB4C0A"/>
    <w:rsid w:val="00BB4EC5"/>
    <w:rsid w:val="00BB4F4F"/>
    <w:rsid w:val="00BB5152"/>
    <w:rsid w:val="00BB52F7"/>
    <w:rsid w:val="00BB5427"/>
    <w:rsid w:val="00BB54ED"/>
    <w:rsid w:val="00BB5509"/>
    <w:rsid w:val="00BB56F3"/>
    <w:rsid w:val="00BB5806"/>
    <w:rsid w:val="00BB58B2"/>
    <w:rsid w:val="00BB5BBB"/>
    <w:rsid w:val="00BB5BE3"/>
    <w:rsid w:val="00BB5CBF"/>
    <w:rsid w:val="00BB5CDC"/>
    <w:rsid w:val="00BB5F9A"/>
    <w:rsid w:val="00BB607F"/>
    <w:rsid w:val="00BB62CA"/>
    <w:rsid w:val="00BB6479"/>
    <w:rsid w:val="00BB657A"/>
    <w:rsid w:val="00BB66BD"/>
    <w:rsid w:val="00BB67EE"/>
    <w:rsid w:val="00BB6949"/>
    <w:rsid w:val="00BB69C9"/>
    <w:rsid w:val="00BB6A6C"/>
    <w:rsid w:val="00BB6DAC"/>
    <w:rsid w:val="00BB72C9"/>
    <w:rsid w:val="00BB748B"/>
    <w:rsid w:val="00BB75B9"/>
    <w:rsid w:val="00BB76DF"/>
    <w:rsid w:val="00BB7822"/>
    <w:rsid w:val="00BB78F4"/>
    <w:rsid w:val="00BB7C02"/>
    <w:rsid w:val="00BB7E4B"/>
    <w:rsid w:val="00BC011F"/>
    <w:rsid w:val="00BC016E"/>
    <w:rsid w:val="00BC0477"/>
    <w:rsid w:val="00BC09BF"/>
    <w:rsid w:val="00BC0A13"/>
    <w:rsid w:val="00BC0AD0"/>
    <w:rsid w:val="00BC0B19"/>
    <w:rsid w:val="00BC0B21"/>
    <w:rsid w:val="00BC0BD9"/>
    <w:rsid w:val="00BC0BDB"/>
    <w:rsid w:val="00BC0D2F"/>
    <w:rsid w:val="00BC0EF9"/>
    <w:rsid w:val="00BC0FA2"/>
    <w:rsid w:val="00BC11A6"/>
    <w:rsid w:val="00BC14F8"/>
    <w:rsid w:val="00BC1511"/>
    <w:rsid w:val="00BC17BE"/>
    <w:rsid w:val="00BC1AC8"/>
    <w:rsid w:val="00BC1CA5"/>
    <w:rsid w:val="00BC1F77"/>
    <w:rsid w:val="00BC20D2"/>
    <w:rsid w:val="00BC23CD"/>
    <w:rsid w:val="00BC241E"/>
    <w:rsid w:val="00BC24E0"/>
    <w:rsid w:val="00BC25B2"/>
    <w:rsid w:val="00BC2632"/>
    <w:rsid w:val="00BC2670"/>
    <w:rsid w:val="00BC2855"/>
    <w:rsid w:val="00BC2AD4"/>
    <w:rsid w:val="00BC2EFA"/>
    <w:rsid w:val="00BC2FC0"/>
    <w:rsid w:val="00BC2FCC"/>
    <w:rsid w:val="00BC300D"/>
    <w:rsid w:val="00BC30D4"/>
    <w:rsid w:val="00BC346F"/>
    <w:rsid w:val="00BC35B8"/>
    <w:rsid w:val="00BC36FA"/>
    <w:rsid w:val="00BC391F"/>
    <w:rsid w:val="00BC3A7C"/>
    <w:rsid w:val="00BC3EA9"/>
    <w:rsid w:val="00BC3EE7"/>
    <w:rsid w:val="00BC3FE2"/>
    <w:rsid w:val="00BC4031"/>
    <w:rsid w:val="00BC4197"/>
    <w:rsid w:val="00BC45CC"/>
    <w:rsid w:val="00BC468A"/>
    <w:rsid w:val="00BC46D0"/>
    <w:rsid w:val="00BC470A"/>
    <w:rsid w:val="00BC498D"/>
    <w:rsid w:val="00BC4B15"/>
    <w:rsid w:val="00BC4BC9"/>
    <w:rsid w:val="00BC4C36"/>
    <w:rsid w:val="00BC4ED2"/>
    <w:rsid w:val="00BC52EA"/>
    <w:rsid w:val="00BC54D0"/>
    <w:rsid w:val="00BC5742"/>
    <w:rsid w:val="00BC5821"/>
    <w:rsid w:val="00BC5916"/>
    <w:rsid w:val="00BC5A19"/>
    <w:rsid w:val="00BC5BD4"/>
    <w:rsid w:val="00BC5BE8"/>
    <w:rsid w:val="00BC5E25"/>
    <w:rsid w:val="00BC5ECD"/>
    <w:rsid w:val="00BC61F3"/>
    <w:rsid w:val="00BC62F1"/>
    <w:rsid w:val="00BC6344"/>
    <w:rsid w:val="00BC64CF"/>
    <w:rsid w:val="00BC6643"/>
    <w:rsid w:val="00BC69DE"/>
    <w:rsid w:val="00BC6B39"/>
    <w:rsid w:val="00BC6B77"/>
    <w:rsid w:val="00BC6CB9"/>
    <w:rsid w:val="00BC6D26"/>
    <w:rsid w:val="00BC6F36"/>
    <w:rsid w:val="00BC6F47"/>
    <w:rsid w:val="00BC703B"/>
    <w:rsid w:val="00BC709F"/>
    <w:rsid w:val="00BC7242"/>
    <w:rsid w:val="00BC743F"/>
    <w:rsid w:val="00BC75FC"/>
    <w:rsid w:val="00BC76C2"/>
    <w:rsid w:val="00BC786B"/>
    <w:rsid w:val="00BC7889"/>
    <w:rsid w:val="00BC78A6"/>
    <w:rsid w:val="00BC78C9"/>
    <w:rsid w:val="00BC7924"/>
    <w:rsid w:val="00BC7981"/>
    <w:rsid w:val="00BC79DC"/>
    <w:rsid w:val="00BC7A1C"/>
    <w:rsid w:val="00BC7A87"/>
    <w:rsid w:val="00BC7BFD"/>
    <w:rsid w:val="00BC7C2D"/>
    <w:rsid w:val="00BC7CC0"/>
    <w:rsid w:val="00BC7D24"/>
    <w:rsid w:val="00BC7D39"/>
    <w:rsid w:val="00BC7E80"/>
    <w:rsid w:val="00BC7FB4"/>
    <w:rsid w:val="00BD01A8"/>
    <w:rsid w:val="00BD02FF"/>
    <w:rsid w:val="00BD0385"/>
    <w:rsid w:val="00BD0413"/>
    <w:rsid w:val="00BD04AE"/>
    <w:rsid w:val="00BD0580"/>
    <w:rsid w:val="00BD0847"/>
    <w:rsid w:val="00BD086F"/>
    <w:rsid w:val="00BD0A21"/>
    <w:rsid w:val="00BD0B38"/>
    <w:rsid w:val="00BD0B96"/>
    <w:rsid w:val="00BD0C00"/>
    <w:rsid w:val="00BD0C3F"/>
    <w:rsid w:val="00BD0C80"/>
    <w:rsid w:val="00BD0C96"/>
    <w:rsid w:val="00BD0D2F"/>
    <w:rsid w:val="00BD0D74"/>
    <w:rsid w:val="00BD0E2E"/>
    <w:rsid w:val="00BD0F90"/>
    <w:rsid w:val="00BD100A"/>
    <w:rsid w:val="00BD1100"/>
    <w:rsid w:val="00BD113A"/>
    <w:rsid w:val="00BD11D1"/>
    <w:rsid w:val="00BD120C"/>
    <w:rsid w:val="00BD1309"/>
    <w:rsid w:val="00BD13A9"/>
    <w:rsid w:val="00BD160F"/>
    <w:rsid w:val="00BD1665"/>
    <w:rsid w:val="00BD1696"/>
    <w:rsid w:val="00BD171F"/>
    <w:rsid w:val="00BD174A"/>
    <w:rsid w:val="00BD183D"/>
    <w:rsid w:val="00BD1E35"/>
    <w:rsid w:val="00BD1EF1"/>
    <w:rsid w:val="00BD1F0A"/>
    <w:rsid w:val="00BD1FA5"/>
    <w:rsid w:val="00BD207B"/>
    <w:rsid w:val="00BD209D"/>
    <w:rsid w:val="00BD20F1"/>
    <w:rsid w:val="00BD21AE"/>
    <w:rsid w:val="00BD2993"/>
    <w:rsid w:val="00BD2A8E"/>
    <w:rsid w:val="00BD2AE1"/>
    <w:rsid w:val="00BD2E17"/>
    <w:rsid w:val="00BD3025"/>
    <w:rsid w:val="00BD3451"/>
    <w:rsid w:val="00BD3512"/>
    <w:rsid w:val="00BD36F0"/>
    <w:rsid w:val="00BD3BEB"/>
    <w:rsid w:val="00BD3C82"/>
    <w:rsid w:val="00BD3C8B"/>
    <w:rsid w:val="00BD3E04"/>
    <w:rsid w:val="00BD3E25"/>
    <w:rsid w:val="00BD4507"/>
    <w:rsid w:val="00BD483E"/>
    <w:rsid w:val="00BD48CB"/>
    <w:rsid w:val="00BD4913"/>
    <w:rsid w:val="00BD4B95"/>
    <w:rsid w:val="00BD4BCC"/>
    <w:rsid w:val="00BD4E1A"/>
    <w:rsid w:val="00BD4E32"/>
    <w:rsid w:val="00BD4E43"/>
    <w:rsid w:val="00BD4E9A"/>
    <w:rsid w:val="00BD55D4"/>
    <w:rsid w:val="00BD5620"/>
    <w:rsid w:val="00BD56E3"/>
    <w:rsid w:val="00BD5763"/>
    <w:rsid w:val="00BD5812"/>
    <w:rsid w:val="00BD5D12"/>
    <w:rsid w:val="00BD5E8D"/>
    <w:rsid w:val="00BD5F64"/>
    <w:rsid w:val="00BD605E"/>
    <w:rsid w:val="00BD618A"/>
    <w:rsid w:val="00BD6374"/>
    <w:rsid w:val="00BD65E7"/>
    <w:rsid w:val="00BD67E8"/>
    <w:rsid w:val="00BD694F"/>
    <w:rsid w:val="00BD6CCF"/>
    <w:rsid w:val="00BD6DF9"/>
    <w:rsid w:val="00BD6E3E"/>
    <w:rsid w:val="00BD6F57"/>
    <w:rsid w:val="00BD70B9"/>
    <w:rsid w:val="00BD71E7"/>
    <w:rsid w:val="00BD7214"/>
    <w:rsid w:val="00BD7757"/>
    <w:rsid w:val="00BD7824"/>
    <w:rsid w:val="00BD798B"/>
    <w:rsid w:val="00BD7B1A"/>
    <w:rsid w:val="00BD7E3A"/>
    <w:rsid w:val="00BD7E6A"/>
    <w:rsid w:val="00BD7F5B"/>
    <w:rsid w:val="00BE0256"/>
    <w:rsid w:val="00BE03B2"/>
    <w:rsid w:val="00BE0529"/>
    <w:rsid w:val="00BE057E"/>
    <w:rsid w:val="00BE0667"/>
    <w:rsid w:val="00BE084A"/>
    <w:rsid w:val="00BE0869"/>
    <w:rsid w:val="00BE0887"/>
    <w:rsid w:val="00BE0AF1"/>
    <w:rsid w:val="00BE0FC9"/>
    <w:rsid w:val="00BE1033"/>
    <w:rsid w:val="00BE105E"/>
    <w:rsid w:val="00BE129A"/>
    <w:rsid w:val="00BE1410"/>
    <w:rsid w:val="00BE1600"/>
    <w:rsid w:val="00BE1718"/>
    <w:rsid w:val="00BE1769"/>
    <w:rsid w:val="00BE1F34"/>
    <w:rsid w:val="00BE207D"/>
    <w:rsid w:val="00BE2248"/>
    <w:rsid w:val="00BE23CB"/>
    <w:rsid w:val="00BE23F3"/>
    <w:rsid w:val="00BE2429"/>
    <w:rsid w:val="00BE2454"/>
    <w:rsid w:val="00BE247F"/>
    <w:rsid w:val="00BE254D"/>
    <w:rsid w:val="00BE25D8"/>
    <w:rsid w:val="00BE2768"/>
    <w:rsid w:val="00BE2841"/>
    <w:rsid w:val="00BE2945"/>
    <w:rsid w:val="00BE2998"/>
    <w:rsid w:val="00BE29CE"/>
    <w:rsid w:val="00BE2A74"/>
    <w:rsid w:val="00BE2BF0"/>
    <w:rsid w:val="00BE2ED0"/>
    <w:rsid w:val="00BE317E"/>
    <w:rsid w:val="00BE3370"/>
    <w:rsid w:val="00BE3467"/>
    <w:rsid w:val="00BE36E4"/>
    <w:rsid w:val="00BE370C"/>
    <w:rsid w:val="00BE385C"/>
    <w:rsid w:val="00BE3888"/>
    <w:rsid w:val="00BE38EB"/>
    <w:rsid w:val="00BE3A49"/>
    <w:rsid w:val="00BE3A68"/>
    <w:rsid w:val="00BE3ACC"/>
    <w:rsid w:val="00BE3FA0"/>
    <w:rsid w:val="00BE40AF"/>
    <w:rsid w:val="00BE4190"/>
    <w:rsid w:val="00BE4286"/>
    <w:rsid w:val="00BE4622"/>
    <w:rsid w:val="00BE4651"/>
    <w:rsid w:val="00BE4AE8"/>
    <w:rsid w:val="00BE4DFE"/>
    <w:rsid w:val="00BE4EAB"/>
    <w:rsid w:val="00BE5000"/>
    <w:rsid w:val="00BE5453"/>
    <w:rsid w:val="00BE54D0"/>
    <w:rsid w:val="00BE5595"/>
    <w:rsid w:val="00BE57ED"/>
    <w:rsid w:val="00BE5810"/>
    <w:rsid w:val="00BE58DC"/>
    <w:rsid w:val="00BE598A"/>
    <w:rsid w:val="00BE5F0A"/>
    <w:rsid w:val="00BE5F6E"/>
    <w:rsid w:val="00BE5F9A"/>
    <w:rsid w:val="00BE5FB9"/>
    <w:rsid w:val="00BE5FFE"/>
    <w:rsid w:val="00BE63CE"/>
    <w:rsid w:val="00BE647C"/>
    <w:rsid w:val="00BE650A"/>
    <w:rsid w:val="00BE655B"/>
    <w:rsid w:val="00BE65FD"/>
    <w:rsid w:val="00BE66F0"/>
    <w:rsid w:val="00BE67E3"/>
    <w:rsid w:val="00BE67FA"/>
    <w:rsid w:val="00BE692B"/>
    <w:rsid w:val="00BE6B56"/>
    <w:rsid w:val="00BE6B8B"/>
    <w:rsid w:val="00BE6BFC"/>
    <w:rsid w:val="00BE6F6B"/>
    <w:rsid w:val="00BE6FBE"/>
    <w:rsid w:val="00BE6FE3"/>
    <w:rsid w:val="00BE7182"/>
    <w:rsid w:val="00BE7230"/>
    <w:rsid w:val="00BE73CD"/>
    <w:rsid w:val="00BE759D"/>
    <w:rsid w:val="00BE7651"/>
    <w:rsid w:val="00BE78DF"/>
    <w:rsid w:val="00BE7CC4"/>
    <w:rsid w:val="00BE7E9E"/>
    <w:rsid w:val="00BE7ED9"/>
    <w:rsid w:val="00BE7F96"/>
    <w:rsid w:val="00BF009D"/>
    <w:rsid w:val="00BF032C"/>
    <w:rsid w:val="00BF0448"/>
    <w:rsid w:val="00BF04D0"/>
    <w:rsid w:val="00BF05DD"/>
    <w:rsid w:val="00BF0714"/>
    <w:rsid w:val="00BF08A0"/>
    <w:rsid w:val="00BF08B4"/>
    <w:rsid w:val="00BF0901"/>
    <w:rsid w:val="00BF0A49"/>
    <w:rsid w:val="00BF0CCE"/>
    <w:rsid w:val="00BF0CEC"/>
    <w:rsid w:val="00BF0D94"/>
    <w:rsid w:val="00BF0E4C"/>
    <w:rsid w:val="00BF0F05"/>
    <w:rsid w:val="00BF0FF7"/>
    <w:rsid w:val="00BF105D"/>
    <w:rsid w:val="00BF1201"/>
    <w:rsid w:val="00BF1645"/>
    <w:rsid w:val="00BF1664"/>
    <w:rsid w:val="00BF18FA"/>
    <w:rsid w:val="00BF1A4C"/>
    <w:rsid w:val="00BF1A57"/>
    <w:rsid w:val="00BF1C2B"/>
    <w:rsid w:val="00BF1D01"/>
    <w:rsid w:val="00BF1D28"/>
    <w:rsid w:val="00BF1EA2"/>
    <w:rsid w:val="00BF1EAD"/>
    <w:rsid w:val="00BF1F25"/>
    <w:rsid w:val="00BF2038"/>
    <w:rsid w:val="00BF21A2"/>
    <w:rsid w:val="00BF250E"/>
    <w:rsid w:val="00BF264C"/>
    <w:rsid w:val="00BF268F"/>
    <w:rsid w:val="00BF26D3"/>
    <w:rsid w:val="00BF2806"/>
    <w:rsid w:val="00BF28BE"/>
    <w:rsid w:val="00BF28C6"/>
    <w:rsid w:val="00BF2B59"/>
    <w:rsid w:val="00BF2CCF"/>
    <w:rsid w:val="00BF2D92"/>
    <w:rsid w:val="00BF30C3"/>
    <w:rsid w:val="00BF339D"/>
    <w:rsid w:val="00BF3478"/>
    <w:rsid w:val="00BF3546"/>
    <w:rsid w:val="00BF3555"/>
    <w:rsid w:val="00BF385C"/>
    <w:rsid w:val="00BF3893"/>
    <w:rsid w:val="00BF389F"/>
    <w:rsid w:val="00BF398E"/>
    <w:rsid w:val="00BF3C57"/>
    <w:rsid w:val="00BF3D3F"/>
    <w:rsid w:val="00BF4111"/>
    <w:rsid w:val="00BF42DF"/>
    <w:rsid w:val="00BF42F1"/>
    <w:rsid w:val="00BF432C"/>
    <w:rsid w:val="00BF4345"/>
    <w:rsid w:val="00BF472C"/>
    <w:rsid w:val="00BF4BAC"/>
    <w:rsid w:val="00BF4E07"/>
    <w:rsid w:val="00BF4E91"/>
    <w:rsid w:val="00BF4FC9"/>
    <w:rsid w:val="00BF507F"/>
    <w:rsid w:val="00BF5146"/>
    <w:rsid w:val="00BF5426"/>
    <w:rsid w:val="00BF596B"/>
    <w:rsid w:val="00BF5CA8"/>
    <w:rsid w:val="00BF5E07"/>
    <w:rsid w:val="00BF628D"/>
    <w:rsid w:val="00BF6527"/>
    <w:rsid w:val="00BF6696"/>
    <w:rsid w:val="00BF66DE"/>
    <w:rsid w:val="00BF681E"/>
    <w:rsid w:val="00BF69FB"/>
    <w:rsid w:val="00BF6A4E"/>
    <w:rsid w:val="00BF6AFC"/>
    <w:rsid w:val="00BF6B71"/>
    <w:rsid w:val="00BF6B96"/>
    <w:rsid w:val="00BF6F9D"/>
    <w:rsid w:val="00BF70AD"/>
    <w:rsid w:val="00BF7148"/>
    <w:rsid w:val="00BF74D6"/>
    <w:rsid w:val="00BF7626"/>
    <w:rsid w:val="00BF771C"/>
    <w:rsid w:val="00BF7740"/>
    <w:rsid w:val="00BF7799"/>
    <w:rsid w:val="00BF7C0A"/>
    <w:rsid w:val="00BF7C79"/>
    <w:rsid w:val="00BF7CD4"/>
    <w:rsid w:val="00BF7CFC"/>
    <w:rsid w:val="00BF7E95"/>
    <w:rsid w:val="00C00026"/>
    <w:rsid w:val="00C002FD"/>
    <w:rsid w:val="00C00568"/>
    <w:rsid w:val="00C00691"/>
    <w:rsid w:val="00C006F6"/>
    <w:rsid w:val="00C00885"/>
    <w:rsid w:val="00C00917"/>
    <w:rsid w:val="00C009E3"/>
    <w:rsid w:val="00C00B96"/>
    <w:rsid w:val="00C00BC1"/>
    <w:rsid w:val="00C00C04"/>
    <w:rsid w:val="00C00C10"/>
    <w:rsid w:val="00C00E7C"/>
    <w:rsid w:val="00C00F2D"/>
    <w:rsid w:val="00C00F84"/>
    <w:rsid w:val="00C00FB2"/>
    <w:rsid w:val="00C010A8"/>
    <w:rsid w:val="00C0113A"/>
    <w:rsid w:val="00C01204"/>
    <w:rsid w:val="00C012C0"/>
    <w:rsid w:val="00C0139C"/>
    <w:rsid w:val="00C0167B"/>
    <w:rsid w:val="00C017F7"/>
    <w:rsid w:val="00C01830"/>
    <w:rsid w:val="00C019D4"/>
    <w:rsid w:val="00C01AF4"/>
    <w:rsid w:val="00C01AFC"/>
    <w:rsid w:val="00C01E9A"/>
    <w:rsid w:val="00C01EAE"/>
    <w:rsid w:val="00C01EB2"/>
    <w:rsid w:val="00C01FF0"/>
    <w:rsid w:val="00C0206B"/>
    <w:rsid w:val="00C02070"/>
    <w:rsid w:val="00C0217F"/>
    <w:rsid w:val="00C0240E"/>
    <w:rsid w:val="00C025EE"/>
    <w:rsid w:val="00C02A88"/>
    <w:rsid w:val="00C02C27"/>
    <w:rsid w:val="00C02E4A"/>
    <w:rsid w:val="00C02F19"/>
    <w:rsid w:val="00C03042"/>
    <w:rsid w:val="00C03246"/>
    <w:rsid w:val="00C03332"/>
    <w:rsid w:val="00C0333D"/>
    <w:rsid w:val="00C03341"/>
    <w:rsid w:val="00C0349A"/>
    <w:rsid w:val="00C03569"/>
    <w:rsid w:val="00C0382C"/>
    <w:rsid w:val="00C03940"/>
    <w:rsid w:val="00C0397E"/>
    <w:rsid w:val="00C03A2E"/>
    <w:rsid w:val="00C03A9E"/>
    <w:rsid w:val="00C03B88"/>
    <w:rsid w:val="00C03BA9"/>
    <w:rsid w:val="00C03BC4"/>
    <w:rsid w:val="00C03E54"/>
    <w:rsid w:val="00C04423"/>
    <w:rsid w:val="00C049AC"/>
    <w:rsid w:val="00C04A7D"/>
    <w:rsid w:val="00C04D8B"/>
    <w:rsid w:val="00C04F3B"/>
    <w:rsid w:val="00C0536C"/>
    <w:rsid w:val="00C05477"/>
    <w:rsid w:val="00C0548C"/>
    <w:rsid w:val="00C0551A"/>
    <w:rsid w:val="00C0575B"/>
    <w:rsid w:val="00C057B0"/>
    <w:rsid w:val="00C05856"/>
    <w:rsid w:val="00C05BF5"/>
    <w:rsid w:val="00C05CDF"/>
    <w:rsid w:val="00C05E27"/>
    <w:rsid w:val="00C0649F"/>
    <w:rsid w:val="00C064E1"/>
    <w:rsid w:val="00C06546"/>
    <w:rsid w:val="00C06653"/>
    <w:rsid w:val="00C06A01"/>
    <w:rsid w:val="00C06F99"/>
    <w:rsid w:val="00C07307"/>
    <w:rsid w:val="00C07651"/>
    <w:rsid w:val="00C0774E"/>
    <w:rsid w:val="00C078CD"/>
    <w:rsid w:val="00C079DC"/>
    <w:rsid w:val="00C07AE6"/>
    <w:rsid w:val="00C07AE8"/>
    <w:rsid w:val="00C07BD7"/>
    <w:rsid w:val="00C07DCD"/>
    <w:rsid w:val="00C07DD6"/>
    <w:rsid w:val="00C101A7"/>
    <w:rsid w:val="00C10A03"/>
    <w:rsid w:val="00C10B90"/>
    <w:rsid w:val="00C10C9D"/>
    <w:rsid w:val="00C10DFC"/>
    <w:rsid w:val="00C1103E"/>
    <w:rsid w:val="00C111A8"/>
    <w:rsid w:val="00C111D3"/>
    <w:rsid w:val="00C11451"/>
    <w:rsid w:val="00C11538"/>
    <w:rsid w:val="00C116D9"/>
    <w:rsid w:val="00C116E0"/>
    <w:rsid w:val="00C117D4"/>
    <w:rsid w:val="00C11A14"/>
    <w:rsid w:val="00C11A19"/>
    <w:rsid w:val="00C11C7E"/>
    <w:rsid w:val="00C11CB3"/>
    <w:rsid w:val="00C11EBF"/>
    <w:rsid w:val="00C11F51"/>
    <w:rsid w:val="00C120C0"/>
    <w:rsid w:val="00C12250"/>
    <w:rsid w:val="00C1247E"/>
    <w:rsid w:val="00C12494"/>
    <w:rsid w:val="00C1250F"/>
    <w:rsid w:val="00C12533"/>
    <w:rsid w:val="00C1288C"/>
    <w:rsid w:val="00C12C89"/>
    <w:rsid w:val="00C12EB1"/>
    <w:rsid w:val="00C12EB8"/>
    <w:rsid w:val="00C12FF4"/>
    <w:rsid w:val="00C13270"/>
    <w:rsid w:val="00C1337A"/>
    <w:rsid w:val="00C13610"/>
    <w:rsid w:val="00C137BD"/>
    <w:rsid w:val="00C1387B"/>
    <w:rsid w:val="00C13A0F"/>
    <w:rsid w:val="00C13A4C"/>
    <w:rsid w:val="00C13D2C"/>
    <w:rsid w:val="00C13DBC"/>
    <w:rsid w:val="00C13E37"/>
    <w:rsid w:val="00C13E54"/>
    <w:rsid w:val="00C13EF0"/>
    <w:rsid w:val="00C14137"/>
    <w:rsid w:val="00C14263"/>
    <w:rsid w:val="00C1427A"/>
    <w:rsid w:val="00C142AB"/>
    <w:rsid w:val="00C1480D"/>
    <w:rsid w:val="00C14AD4"/>
    <w:rsid w:val="00C14AF4"/>
    <w:rsid w:val="00C14D9B"/>
    <w:rsid w:val="00C14F39"/>
    <w:rsid w:val="00C14F53"/>
    <w:rsid w:val="00C150B4"/>
    <w:rsid w:val="00C151B9"/>
    <w:rsid w:val="00C1547F"/>
    <w:rsid w:val="00C1577B"/>
    <w:rsid w:val="00C1584E"/>
    <w:rsid w:val="00C158E9"/>
    <w:rsid w:val="00C15A21"/>
    <w:rsid w:val="00C15EFD"/>
    <w:rsid w:val="00C15F9F"/>
    <w:rsid w:val="00C16212"/>
    <w:rsid w:val="00C1628C"/>
    <w:rsid w:val="00C1629B"/>
    <w:rsid w:val="00C1635B"/>
    <w:rsid w:val="00C1655F"/>
    <w:rsid w:val="00C16575"/>
    <w:rsid w:val="00C16A3F"/>
    <w:rsid w:val="00C16ADB"/>
    <w:rsid w:val="00C16B23"/>
    <w:rsid w:val="00C16CDC"/>
    <w:rsid w:val="00C16F1A"/>
    <w:rsid w:val="00C1722C"/>
    <w:rsid w:val="00C1725D"/>
    <w:rsid w:val="00C172C9"/>
    <w:rsid w:val="00C172F2"/>
    <w:rsid w:val="00C17347"/>
    <w:rsid w:val="00C173CD"/>
    <w:rsid w:val="00C1760B"/>
    <w:rsid w:val="00C17664"/>
    <w:rsid w:val="00C176D2"/>
    <w:rsid w:val="00C178B0"/>
    <w:rsid w:val="00C179EF"/>
    <w:rsid w:val="00C17A08"/>
    <w:rsid w:val="00C17A24"/>
    <w:rsid w:val="00C17AAA"/>
    <w:rsid w:val="00C17B30"/>
    <w:rsid w:val="00C17BBB"/>
    <w:rsid w:val="00C17BD4"/>
    <w:rsid w:val="00C17BF1"/>
    <w:rsid w:val="00C17CFC"/>
    <w:rsid w:val="00C17DDD"/>
    <w:rsid w:val="00C17E56"/>
    <w:rsid w:val="00C17F67"/>
    <w:rsid w:val="00C20118"/>
    <w:rsid w:val="00C201D1"/>
    <w:rsid w:val="00C2020A"/>
    <w:rsid w:val="00C202C8"/>
    <w:rsid w:val="00C202D6"/>
    <w:rsid w:val="00C20351"/>
    <w:rsid w:val="00C20807"/>
    <w:rsid w:val="00C208CA"/>
    <w:rsid w:val="00C20931"/>
    <w:rsid w:val="00C209F4"/>
    <w:rsid w:val="00C20AAC"/>
    <w:rsid w:val="00C20D03"/>
    <w:rsid w:val="00C20D07"/>
    <w:rsid w:val="00C20D0E"/>
    <w:rsid w:val="00C20D45"/>
    <w:rsid w:val="00C20E7E"/>
    <w:rsid w:val="00C20E82"/>
    <w:rsid w:val="00C20E9F"/>
    <w:rsid w:val="00C20F24"/>
    <w:rsid w:val="00C21076"/>
    <w:rsid w:val="00C2118C"/>
    <w:rsid w:val="00C211E2"/>
    <w:rsid w:val="00C21278"/>
    <w:rsid w:val="00C2144D"/>
    <w:rsid w:val="00C217F9"/>
    <w:rsid w:val="00C21824"/>
    <w:rsid w:val="00C218C9"/>
    <w:rsid w:val="00C21A28"/>
    <w:rsid w:val="00C21CE1"/>
    <w:rsid w:val="00C21DD1"/>
    <w:rsid w:val="00C220F3"/>
    <w:rsid w:val="00C223FC"/>
    <w:rsid w:val="00C225E4"/>
    <w:rsid w:val="00C22761"/>
    <w:rsid w:val="00C227A9"/>
    <w:rsid w:val="00C227C9"/>
    <w:rsid w:val="00C2285F"/>
    <w:rsid w:val="00C22870"/>
    <w:rsid w:val="00C22916"/>
    <w:rsid w:val="00C229C4"/>
    <w:rsid w:val="00C22AA8"/>
    <w:rsid w:val="00C22EBB"/>
    <w:rsid w:val="00C22EDB"/>
    <w:rsid w:val="00C231EE"/>
    <w:rsid w:val="00C23236"/>
    <w:rsid w:val="00C2334D"/>
    <w:rsid w:val="00C2360F"/>
    <w:rsid w:val="00C23612"/>
    <w:rsid w:val="00C23651"/>
    <w:rsid w:val="00C23701"/>
    <w:rsid w:val="00C23703"/>
    <w:rsid w:val="00C23893"/>
    <w:rsid w:val="00C2389E"/>
    <w:rsid w:val="00C23D2F"/>
    <w:rsid w:val="00C23E18"/>
    <w:rsid w:val="00C24268"/>
    <w:rsid w:val="00C2451A"/>
    <w:rsid w:val="00C24700"/>
    <w:rsid w:val="00C2476A"/>
    <w:rsid w:val="00C247A3"/>
    <w:rsid w:val="00C247FA"/>
    <w:rsid w:val="00C2497C"/>
    <w:rsid w:val="00C249D5"/>
    <w:rsid w:val="00C24C93"/>
    <w:rsid w:val="00C24E2D"/>
    <w:rsid w:val="00C24E3E"/>
    <w:rsid w:val="00C24F42"/>
    <w:rsid w:val="00C24FE6"/>
    <w:rsid w:val="00C25034"/>
    <w:rsid w:val="00C251DB"/>
    <w:rsid w:val="00C2531F"/>
    <w:rsid w:val="00C2545A"/>
    <w:rsid w:val="00C256DA"/>
    <w:rsid w:val="00C259BF"/>
    <w:rsid w:val="00C25B64"/>
    <w:rsid w:val="00C25DBC"/>
    <w:rsid w:val="00C26015"/>
    <w:rsid w:val="00C26178"/>
    <w:rsid w:val="00C262B2"/>
    <w:rsid w:val="00C264CF"/>
    <w:rsid w:val="00C2671E"/>
    <w:rsid w:val="00C267DB"/>
    <w:rsid w:val="00C26910"/>
    <w:rsid w:val="00C26A64"/>
    <w:rsid w:val="00C26A76"/>
    <w:rsid w:val="00C26BA5"/>
    <w:rsid w:val="00C26DE2"/>
    <w:rsid w:val="00C26E15"/>
    <w:rsid w:val="00C270EB"/>
    <w:rsid w:val="00C27148"/>
    <w:rsid w:val="00C27235"/>
    <w:rsid w:val="00C27297"/>
    <w:rsid w:val="00C2742D"/>
    <w:rsid w:val="00C276E6"/>
    <w:rsid w:val="00C27A54"/>
    <w:rsid w:val="00C27B7F"/>
    <w:rsid w:val="00C27C0E"/>
    <w:rsid w:val="00C27DF6"/>
    <w:rsid w:val="00C3051B"/>
    <w:rsid w:val="00C30608"/>
    <w:rsid w:val="00C307B1"/>
    <w:rsid w:val="00C308E4"/>
    <w:rsid w:val="00C30A12"/>
    <w:rsid w:val="00C30AB4"/>
    <w:rsid w:val="00C30B41"/>
    <w:rsid w:val="00C30E9D"/>
    <w:rsid w:val="00C30F25"/>
    <w:rsid w:val="00C312DC"/>
    <w:rsid w:val="00C31395"/>
    <w:rsid w:val="00C314B6"/>
    <w:rsid w:val="00C3154A"/>
    <w:rsid w:val="00C317E8"/>
    <w:rsid w:val="00C31A5A"/>
    <w:rsid w:val="00C31C87"/>
    <w:rsid w:val="00C31C88"/>
    <w:rsid w:val="00C31CC0"/>
    <w:rsid w:val="00C31CFB"/>
    <w:rsid w:val="00C31D38"/>
    <w:rsid w:val="00C3203A"/>
    <w:rsid w:val="00C32082"/>
    <w:rsid w:val="00C321E4"/>
    <w:rsid w:val="00C325E0"/>
    <w:rsid w:val="00C32721"/>
    <w:rsid w:val="00C328CD"/>
    <w:rsid w:val="00C32A75"/>
    <w:rsid w:val="00C32D48"/>
    <w:rsid w:val="00C33045"/>
    <w:rsid w:val="00C33061"/>
    <w:rsid w:val="00C3321A"/>
    <w:rsid w:val="00C333A6"/>
    <w:rsid w:val="00C334F0"/>
    <w:rsid w:val="00C33512"/>
    <w:rsid w:val="00C336BD"/>
    <w:rsid w:val="00C336EC"/>
    <w:rsid w:val="00C33749"/>
    <w:rsid w:val="00C33774"/>
    <w:rsid w:val="00C33D41"/>
    <w:rsid w:val="00C33E8A"/>
    <w:rsid w:val="00C33F20"/>
    <w:rsid w:val="00C34032"/>
    <w:rsid w:val="00C340C4"/>
    <w:rsid w:val="00C3416D"/>
    <w:rsid w:val="00C34283"/>
    <w:rsid w:val="00C34290"/>
    <w:rsid w:val="00C3431A"/>
    <w:rsid w:val="00C346EB"/>
    <w:rsid w:val="00C347E8"/>
    <w:rsid w:val="00C347F1"/>
    <w:rsid w:val="00C3482A"/>
    <w:rsid w:val="00C349E7"/>
    <w:rsid w:val="00C34A2E"/>
    <w:rsid w:val="00C34B90"/>
    <w:rsid w:val="00C34CB7"/>
    <w:rsid w:val="00C34DFE"/>
    <w:rsid w:val="00C34EC6"/>
    <w:rsid w:val="00C34EEE"/>
    <w:rsid w:val="00C35037"/>
    <w:rsid w:val="00C350DA"/>
    <w:rsid w:val="00C352C4"/>
    <w:rsid w:val="00C3531E"/>
    <w:rsid w:val="00C353B3"/>
    <w:rsid w:val="00C354A0"/>
    <w:rsid w:val="00C3564A"/>
    <w:rsid w:val="00C358B6"/>
    <w:rsid w:val="00C35CC3"/>
    <w:rsid w:val="00C35D72"/>
    <w:rsid w:val="00C35FA4"/>
    <w:rsid w:val="00C35FE3"/>
    <w:rsid w:val="00C3604D"/>
    <w:rsid w:val="00C360B3"/>
    <w:rsid w:val="00C360D4"/>
    <w:rsid w:val="00C3616A"/>
    <w:rsid w:val="00C36380"/>
    <w:rsid w:val="00C364E9"/>
    <w:rsid w:val="00C364F8"/>
    <w:rsid w:val="00C365D4"/>
    <w:rsid w:val="00C36764"/>
    <w:rsid w:val="00C3681C"/>
    <w:rsid w:val="00C368EA"/>
    <w:rsid w:val="00C36A92"/>
    <w:rsid w:val="00C36A95"/>
    <w:rsid w:val="00C36C32"/>
    <w:rsid w:val="00C36D5E"/>
    <w:rsid w:val="00C3704B"/>
    <w:rsid w:val="00C370BC"/>
    <w:rsid w:val="00C370F1"/>
    <w:rsid w:val="00C371C9"/>
    <w:rsid w:val="00C374E8"/>
    <w:rsid w:val="00C37554"/>
    <w:rsid w:val="00C377E3"/>
    <w:rsid w:val="00C378B9"/>
    <w:rsid w:val="00C3791F"/>
    <w:rsid w:val="00C37A00"/>
    <w:rsid w:val="00C37A29"/>
    <w:rsid w:val="00C37CB8"/>
    <w:rsid w:val="00C37D2A"/>
    <w:rsid w:val="00C37E1D"/>
    <w:rsid w:val="00C37F34"/>
    <w:rsid w:val="00C37FA1"/>
    <w:rsid w:val="00C400F8"/>
    <w:rsid w:val="00C40222"/>
    <w:rsid w:val="00C40230"/>
    <w:rsid w:val="00C402B5"/>
    <w:rsid w:val="00C40306"/>
    <w:rsid w:val="00C40308"/>
    <w:rsid w:val="00C403A3"/>
    <w:rsid w:val="00C4040F"/>
    <w:rsid w:val="00C407CB"/>
    <w:rsid w:val="00C409D0"/>
    <w:rsid w:val="00C40ABC"/>
    <w:rsid w:val="00C40B8B"/>
    <w:rsid w:val="00C40C04"/>
    <w:rsid w:val="00C40DF8"/>
    <w:rsid w:val="00C40E2F"/>
    <w:rsid w:val="00C40EF7"/>
    <w:rsid w:val="00C40EFA"/>
    <w:rsid w:val="00C40F60"/>
    <w:rsid w:val="00C40F8A"/>
    <w:rsid w:val="00C410AA"/>
    <w:rsid w:val="00C41494"/>
    <w:rsid w:val="00C41646"/>
    <w:rsid w:val="00C41868"/>
    <w:rsid w:val="00C4189D"/>
    <w:rsid w:val="00C41989"/>
    <w:rsid w:val="00C41A41"/>
    <w:rsid w:val="00C41ED5"/>
    <w:rsid w:val="00C41F2F"/>
    <w:rsid w:val="00C41F70"/>
    <w:rsid w:val="00C42044"/>
    <w:rsid w:val="00C421F5"/>
    <w:rsid w:val="00C42400"/>
    <w:rsid w:val="00C424FC"/>
    <w:rsid w:val="00C42563"/>
    <w:rsid w:val="00C42574"/>
    <w:rsid w:val="00C426A3"/>
    <w:rsid w:val="00C4277C"/>
    <w:rsid w:val="00C42951"/>
    <w:rsid w:val="00C429E2"/>
    <w:rsid w:val="00C42A68"/>
    <w:rsid w:val="00C42A8A"/>
    <w:rsid w:val="00C42AF0"/>
    <w:rsid w:val="00C42BFD"/>
    <w:rsid w:val="00C42E45"/>
    <w:rsid w:val="00C42E86"/>
    <w:rsid w:val="00C4306B"/>
    <w:rsid w:val="00C432B7"/>
    <w:rsid w:val="00C433CB"/>
    <w:rsid w:val="00C43417"/>
    <w:rsid w:val="00C435FA"/>
    <w:rsid w:val="00C43A89"/>
    <w:rsid w:val="00C43D0E"/>
    <w:rsid w:val="00C44017"/>
    <w:rsid w:val="00C440B0"/>
    <w:rsid w:val="00C4416A"/>
    <w:rsid w:val="00C441A6"/>
    <w:rsid w:val="00C441BE"/>
    <w:rsid w:val="00C441CE"/>
    <w:rsid w:val="00C44254"/>
    <w:rsid w:val="00C4443E"/>
    <w:rsid w:val="00C44443"/>
    <w:rsid w:val="00C447A5"/>
    <w:rsid w:val="00C44884"/>
    <w:rsid w:val="00C449FC"/>
    <w:rsid w:val="00C44B47"/>
    <w:rsid w:val="00C44B70"/>
    <w:rsid w:val="00C44E71"/>
    <w:rsid w:val="00C44EBF"/>
    <w:rsid w:val="00C44F82"/>
    <w:rsid w:val="00C44F95"/>
    <w:rsid w:val="00C45035"/>
    <w:rsid w:val="00C450A6"/>
    <w:rsid w:val="00C45162"/>
    <w:rsid w:val="00C451B3"/>
    <w:rsid w:val="00C45492"/>
    <w:rsid w:val="00C454ED"/>
    <w:rsid w:val="00C45570"/>
    <w:rsid w:val="00C4559C"/>
    <w:rsid w:val="00C455CB"/>
    <w:rsid w:val="00C4581B"/>
    <w:rsid w:val="00C45BC3"/>
    <w:rsid w:val="00C45C87"/>
    <w:rsid w:val="00C45D1E"/>
    <w:rsid w:val="00C45D48"/>
    <w:rsid w:val="00C45DC0"/>
    <w:rsid w:val="00C45ECD"/>
    <w:rsid w:val="00C462F2"/>
    <w:rsid w:val="00C46520"/>
    <w:rsid w:val="00C466A5"/>
    <w:rsid w:val="00C466B6"/>
    <w:rsid w:val="00C46AD3"/>
    <w:rsid w:val="00C46E68"/>
    <w:rsid w:val="00C46EA7"/>
    <w:rsid w:val="00C47030"/>
    <w:rsid w:val="00C470D9"/>
    <w:rsid w:val="00C470F5"/>
    <w:rsid w:val="00C4718C"/>
    <w:rsid w:val="00C47259"/>
    <w:rsid w:val="00C474B4"/>
    <w:rsid w:val="00C474B8"/>
    <w:rsid w:val="00C4753E"/>
    <w:rsid w:val="00C47590"/>
    <w:rsid w:val="00C475ED"/>
    <w:rsid w:val="00C47627"/>
    <w:rsid w:val="00C47731"/>
    <w:rsid w:val="00C47851"/>
    <w:rsid w:val="00C47951"/>
    <w:rsid w:val="00C47CD0"/>
    <w:rsid w:val="00C47D3E"/>
    <w:rsid w:val="00C5003C"/>
    <w:rsid w:val="00C50071"/>
    <w:rsid w:val="00C501FB"/>
    <w:rsid w:val="00C50285"/>
    <w:rsid w:val="00C50374"/>
    <w:rsid w:val="00C50435"/>
    <w:rsid w:val="00C5047E"/>
    <w:rsid w:val="00C504C8"/>
    <w:rsid w:val="00C505CE"/>
    <w:rsid w:val="00C50606"/>
    <w:rsid w:val="00C509D3"/>
    <w:rsid w:val="00C50B9B"/>
    <w:rsid w:val="00C50DDF"/>
    <w:rsid w:val="00C50DF2"/>
    <w:rsid w:val="00C511C9"/>
    <w:rsid w:val="00C51214"/>
    <w:rsid w:val="00C51390"/>
    <w:rsid w:val="00C514F9"/>
    <w:rsid w:val="00C515E6"/>
    <w:rsid w:val="00C51610"/>
    <w:rsid w:val="00C51781"/>
    <w:rsid w:val="00C517C5"/>
    <w:rsid w:val="00C5193D"/>
    <w:rsid w:val="00C51A81"/>
    <w:rsid w:val="00C51C42"/>
    <w:rsid w:val="00C51E6B"/>
    <w:rsid w:val="00C51ED9"/>
    <w:rsid w:val="00C522A9"/>
    <w:rsid w:val="00C52410"/>
    <w:rsid w:val="00C52605"/>
    <w:rsid w:val="00C529EA"/>
    <w:rsid w:val="00C52B63"/>
    <w:rsid w:val="00C52DCC"/>
    <w:rsid w:val="00C52F9E"/>
    <w:rsid w:val="00C53151"/>
    <w:rsid w:val="00C53243"/>
    <w:rsid w:val="00C53273"/>
    <w:rsid w:val="00C532B5"/>
    <w:rsid w:val="00C5333A"/>
    <w:rsid w:val="00C534AD"/>
    <w:rsid w:val="00C5351F"/>
    <w:rsid w:val="00C53818"/>
    <w:rsid w:val="00C53A04"/>
    <w:rsid w:val="00C53A33"/>
    <w:rsid w:val="00C53F09"/>
    <w:rsid w:val="00C54043"/>
    <w:rsid w:val="00C540C7"/>
    <w:rsid w:val="00C54441"/>
    <w:rsid w:val="00C54575"/>
    <w:rsid w:val="00C545A0"/>
    <w:rsid w:val="00C547AE"/>
    <w:rsid w:val="00C5488A"/>
    <w:rsid w:val="00C548D5"/>
    <w:rsid w:val="00C54A02"/>
    <w:rsid w:val="00C54ABC"/>
    <w:rsid w:val="00C54B3D"/>
    <w:rsid w:val="00C54BC7"/>
    <w:rsid w:val="00C54E35"/>
    <w:rsid w:val="00C54E5E"/>
    <w:rsid w:val="00C54EC5"/>
    <w:rsid w:val="00C54EE6"/>
    <w:rsid w:val="00C55039"/>
    <w:rsid w:val="00C550E7"/>
    <w:rsid w:val="00C55287"/>
    <w:rsid w:val="00C55657"/>
    <w:rsid w:val="00C55A63"/>
    <w:rsid w:val="00C55B2A"/>
    <w:rsid w:val="00C55CCF"/>
    <w:rsid w:val="00C55D79"/>
    <w:rsid w:val="00C55E22"/>
    <w:rsid w:val="00C55F58"/>
    <w:rsid w:val="00C56097"/>
    <w:rsid w:val="00C5617D"/>
    <w:rsid w:val="00C5623F"/>
    <w:rsid w:val="00C562C8"/>
    <w:rsid w:val="00C564A7"/>
    <w:rsid w:val="00C5676E"/>
    <w:rsid w:val="00C5687E"/>
    <w:rsid w:val="00C56B68"/>
    <w:rsid w:val="00C56B7E"/>
    <w:rsid w:val="00C56C33"/>
    <w:rsid w:val="00C56DE5"/>
    <w:rsid w:val="00C57490"/>
    <w:rsid w:val="00C57574"/>
    <w:rsid w:val="00C576CE"/>
    <w:rsid w:val="00C5792F"/>
    <w:rsid w:val="00C57A21"/>
    <w:rsid w:val="00C57B0F"/>
    <w:rsid w:val="00C57B25"/>
    <w:rsid w:val="00C57EB5"/>
    <w:rsid w:val="00C60017"/>
    <w:rsid w:val="00C60191"/>
    <w:rsid w:val="00C601E6"/>
    <w:rsid w:val="00C60399"/>
    <w:rsid w:val="00C604B7"/>
    <w:rsid w:val="00C60578"/>
    <w:rsid w:val="00C6083D"/>
    <w:rsid w:val="00C6096B"/>
    <w:rsid w:val="00C60BBD"/>
    <w:rsid w:val="00C60CEE"/>
    <w:rsid w:val="00C60D94"/>
    <w:rsid w:val="00C60FAD"/>
    <w:rsid w:val="00C610B1"/>
    <w:rsid w:val="00C61346"/>
    <w:rsid w:val="00C6137D"/>
    <w:rsid w:val="00C6138A"/>
    <w:rsid w:val="00C614E3"/>
    <w:rsid w:val="00C615FE"/>
    <w:rsid w:val="00C619D0"/>
    <w:rsid w:val="00C61A0D"/>
    <w:rsid w:val="00C61C1A"/>
    <w:rsid w:val="00C61D09"/>
    <w:rsid w:val="00C61D0B"/>
    <w:rsid w:val="00C61D2E"/>
    <w:rsid w:val="00C61D49"/>
    <w:rsid w:val="00C61F8F"/>
    <w:rsid w:val="00C622C5"/>
    <w:rsid w:val="00C623A9"/>
    <w:rsid w:val="00C623D8"/>
    <w:rsid w:val="00C623FB"/>
    <w:rsid w:val="00C62503"/>
    <w:rsid w:val="00C625DF"/>
    <w:rsid w:val="00C626BA"/>
    <w:rsid w:val="00C629F4"/>
    <w:rsid w:val="00C62B8B"/>
    <w:rsid w:val="00C62BA1"/>
    <w:rsid w:val="00C62BE5"/>
    <w:rsid w:val="00C62D0F"/>
    <w:rsid w:val="00C62DE5"/>
    <w:rsid w:val="00C63324"/>
    <w:rsid w:val="00C633B6"/>
    <w:rsid w:val="00C633EC"/>
    <w:rsid w:val="00C6340F"/>
    <w:rsid w:val="00C6351A"/>
    <w:rsid w:val="00C63602"/>
    <w:rsid w:val="00C6393E"/>
    <w:rsid w:val="00C63C74"/>
    <w:rsid w:val="00C63CA5"/>
    <w:rsid w:val="00C63D15"/>
    <w:rsid w:val="00C63D66"/>
    <w:rsid w:val="00C63DC0"/>
    <w:rsid w:val="00C63F2F"/>
    <w:rsid w:val="00C63FEF"/>
    <w:rsid w:val="00C640D3"/>
    <w:rsid w:val="00C64116"/>
    <w:rsid w:val="00C643FA"/>
    <w:rsid w:val="00C645AE"/>
    <w:rsid w:val="00C64B9B"/>
    <w:rsid w:val="00C64C38"/>
    <w:rsid w:val="00C64D4E"/>
    <w:rsid w:val="00C64F56"/>
    <w:rsid w:val="00C651E1"/>
    <w:rsid w:val="00C6536E"/>
    <w:rsid w:val="00C65379"/>
    <w:rsid w:val="00C653F1"/>
    <w:rsid w:val="00C6548F"/>
    <w:rsid w:val="00C65769"/>
    <w:rsid w:val="00C658C7"/>
    <w:rsid w:val="00C65937"/>
    <w:rsid w:val="00C65E84"/>
    <w:rsid w:val="00C65EB5"/>
    <w:rsid w:val="00C65EEF"/>
    <w:rsid w:val="00C66018"/>
    <w:rsid w:val="00C663B1"/>
    <w:rsid w:val="00C6669D"/>
    <w:rsid w:val="00C667CC"/>
    <w:rsid w:val="00C66806"/>
    <w:rsid w:val="00C66903"/>
    <w:rsid w:val="00C66A86"/>
    <w:rsid w:val="00C66A90"/>
    <w:rsid w:val="00C66AC8"/>
    <w:rsid w:val="00C66C30"/>
    <w:rsid w:val="00C66CBE"/>
    <w:rsid w:val="00C66D1B"/>
    <w:rsid w:val="00C66F39"/>
    <w:rsid w:val="00C6722C"/>
    <w:rsid w:val="00C672C8"/>
    <w:rsid w:val="00C67916"/>
    <w:rsid w:val="00C67C31"/>
    <w:rsid w:val="00C67CDD"/>
    <w:rsid w:val="00C67E12"/>
    <w:rsid w:val="00C6FFF8"/>
    <w:rsid w:val="00C700B0"/>
    <w:rsid w:val="00C700EC"/>
    <w:rsid w:val="00C70125"/>
    <w:rsid w:val="00C70456"/>
    <w:rsid w:val="00C704DB"/>
    <w:rsid w:val="00C706B2"/>
    <w:rsid w:val="00C70843"/>
    <w:rsid w:val="00C709F6"/>
    <w:rsid w:val="00C70A7A"/>
    <w:rsid w:val="00C70CB3"/>
    <w:rsid w:val="00C710D0"/>
    <w:rsid w:val="00C7138F"/>
    <w:rsid w:val="00C7158E"/>
    <w:rsid w:val="00C71619"/>
    <w:rsid w:val="00C71662"/>
    <w:rsid w:val="00C71839"/>
    <w:rsid w:val="00C7187C"/>
    <w:rsid w:val="00C71A1F"/>
    <w:rsid w:val="00C71C23"/>
    <w:rsid w:val="00C71F0F"/>
    <w:rsid w:val="00C71F61"/>
    <w:rsid w:val="00C72065"/>
    <w:rsid w:val="00C720B7"/>
    <w:rsid w:val="00C720E1"/>
    <w:rsid w:val="00C7244A"/>
    <w:rsid w:val="00C7247E"/>
    <w:rsid w:val="00C724F5"/>
    <w:rsid w:val="00C72643"/>
    <w:rsid w:val="00C72674"/>
    <w:rsid w:val="00C728E4"/>
    <w:rsid w:val="00C72AE5"/>
    <w:rsid w:val="00C72B91"/>
    <w:rsid w:val="00C72F2A"/>
    <w:rsid w:val="00C73011"/>
    <w:rsid w:val="00C7306A"/>
    <w:rsid w:val="00C73352"/>
    <w:rsid w:val="00C7338A"/>
    <w:rsid w:val="00C734E1"/>
    <w:rsid w:val="00C7352F"/>
    <w:rsid w:val="00C73827"/>
    <w:rsid w:val="00C73921"/>
    <w:rsid w:val="00C73982"/>
    <w:rsid w:val="00C73A01"/>
    <w:rsid w:val="00C73B14"/>
    <w:rsid w:val="00C73B56"/>
    <w:rsid w:val="00C73C07"/>
    <w:rsid w:val="00C73C1E"/>
    <w:rsid w:val="00C73CC9"/>
    <w:rsid w:val="00C73D7F"/>
    <w:rsid w:val="00C74079"/>
    <w:rsid w:val="00C74296"/>
    <w:rsid w:val="00C744F5"/>
    <w:rsid w:val="00C74661"/>
    <w:rsid w:val="00C746AE"/>
    <w:rsid w:val="00C74741"/>
    <w:rsid w:val="00C74982"/>
    <w:rsid w:val="00C74C87"/>
    <w:rsid w:val="00C74CCB"/>
    <w:rsid w:val="00C74D12"/>
    <w:rsid w:val="00C74E2A"/>
    <w:rsid w:val="00C75071"/>
    <w:rsid w:val="00C750A0"/>
    <w:rsid w:val="00C75141"/>
    <w:rsid w:val="00C75200"/>
    <w:rsid w:val="00C7579D"/>
    <w:rsid w:val="00C75830"/>
    <w:rsid w:val="00C75876"/>
    <w:rsid w:val="00C75893"/>
    <w:rsid w:val="00C75950"/>
    <w:rsid w:val="00C75A65"/>
    <w:rsid w:val="00C75C12"/>
    <w:rsid w:val="00C75D01"/>
    <w:rsid w:val="00C75D44"/>
    <w:rsid w:val="00C761D3"/>
    <w:rsid w:val="00C76405"/>
    <w:rsid w:val="00C76409"/>
    <w:rsid w:val="00C7644A"/>
    <w:rsid w:val="00C764C0"/>
    <w:rsid w:val="00C764F3"/>
    <w:rsid w:val="00C766D3"/>
    <w:rsid w:val="00C7675B"/>
    <w:rsid w:val="00C76972"/>
    <w:rsid w:val="00C76B0F"/>
    <w:rsid w:val="00C76C94"/>
    <w:rsid w:val="00C770DD"/>
    <w:rsid w:val="00C77164"/>
    <w:rsid w:val="00C771A5"/>
    <w:rsid w:val="00C773F3"/>
    <w:rsid w:val="00C77455"/>
    <w:rsid w:val="00C776BA"/>
    <w:rsid w:val="00C77757"/>
    <w:rsid w:val="00C777BA"/>
    <w:rsid w:val="00C77935"/>
    <w:rsid w:val="00C77FF8"/>
    <w:rsid w:val="00C80024"/>
    <w:rsid w:val="00C80070"/>
    <w:rsid w:val="00C800FB"/>
    <w:rsid w:val="00C803D6"/>
    <w:rsid w:val="00C80507"/>
    <w:rsid w:val="00C80663"/>
    <w:rsid w:val="00C8068E"/>
    <w:rsid w:val="00C80818"/>
    <w:rsid w:val="00C80B07"/>
    <w:rsid w:val="00C80CAA"/>
    <w:rsid w:val="00C80E9F"/>
    <w:rsid w:val="00C80F93"/>
    <w:rsid w:val="00C81053"/>
    <w:rsid w:val="00C8152C"/>
    <w:rsid w:val="00C815F6"/>
    <w:rsid w:val="00C816CF"/>
    <w:rsid w:val="00C81AFD"/>
    <w:rsid w:val="00C81CA8"/>
    <w:rsid w:val="00C81DB3"/>
    <w:rsid w:val="00C8207D"/>
    <w:rsid w:val="00C8237B"/>
    <w:rsid w:val="00C82788"/>
    <w:rsid w:val="00C82801"/>
    <w:rsid w:val="00C82899"/>
    <w:rsid w:val="00C82901"/>
    <w:rsid w:val="00C82AB9"/>
    <w:rsid w:val="00C82AE7"/>
    <w:rsid w:val="00C82AFB"/>
    <w:rsid w:val="00C82B5C"/>
    <w:rsid w:val="00C82C2F"/>
    <w:rsid w:val="00C82C58"/>
    <w:rsid w:val="00C82CEE"/>
    <w:rsid w:val="00C82EF8"/>
    <w:rsid w:val="00C82F91"/>
    <w:rsid w:val="00C832C1"/>
    <w:rsid w:val="00C8330C"/>
    <w:rsid w:val="00C835E4"/>
    <w:rsid w:val="00C83647"/>
    <w:rsid w:val="00C8376A"/>
    <w:rsid w:val="00C83894"/>
    <w:rsid w:val="00C83B53"/>
    <w:rsid w:val="00C83F54"/>
    <w:rsid w:val="00C83FED"/>
    <w:rsid w:val="00C8415B"/>
    <w:rsid w:val="00C842DE"/>
    <w:rsid w:val="00C84334"/>
    <w:rsid w:val="00C84550"/>
    <w:rsid w:val="00C8459F"/>
    <w:rsid w:val="00C84748"/>
    <w:rsid w:val="00C848F0"/>
    <w:rsid w:val="00C84958"/>
    <w:rsid w:val="00C84962"/>
    <w:rsid w:val="00C84D82"/>
    <w:rsid w:val="00C84EF9"/>
    <w:rsid w:val="00C84F81"/>
    <w:rsid w:val="00C84F99"/>
    <w:rsid w:val="00C850F4"/>
    <w:rsid w:val="00C853EC"/>
    <w:rsid w:val="00C85507"/>
    <w:rsid w:val="00C85510"/>
    <w:rsid w:val="00C85762"/>
    <w:rsid w:val="00C857E6"/>
    <w:rsid w:val="00C85874"/>
    <w:rsid w:val="00C858A1"/>
    <w:rsid w:val="00C858EF"/>
    <w:rsid w:val="00C85905"/>
    <w:rsid w:val="00C85ADF"/>
    <w:rsid w:val="00C85BF6"/>
    <w:rsid w:val="00C85E7A"/>
    <w:rsid w:val="00C861F9"/>
    <w:rsid w:val="00C862C9"/>
    <w:rsid w:val="00C86616"/>
    <w:rsid w:val="00C86856"/>
    <w:rsid w:val="00C86B1D"/>
    <w:rsid w:val="00C86CA4"/>
    <w:rsid w:val="00C86D6C"/>
    <w:rsid w:val="00C87210"/>
    <w:rsid w:val="00C87231"/>
    <w:rsid w:val="00C87283"/>
    <w:rsid w:val="00C87388"/>
    <w:rsid w:val="00C87429"/>
    <w:rsid w:val="00C8747F"/>
    <w:rsid w:val="00C87598"/>
    <w:rsid w:val="00C87602"/>
    <w:rsid w:val="00C876EB"/>
    <w:rsid w:val="00C87714"/>
    <w:rsid w:val="00C87833"/>
    <w:rsid w:val="00C878C7"/>
    <w:rsid w:val="00C8797D"/>
    <w:rsid w:val="00C87A99"/>
    <w:rsid w:val="00C87AE0"/>
    <w:rsid w:val="00C87CC4"/>
    <w:rsid w:val="00C87E26"/>
    <w:rsid w:val="00C87EEC"/>
    <w:rsid w:val="00C9006B"/>
    <w:rsid w:val="00C900F5"/>
    <w:rsid w:val="00C902D7"/>
    <w:rsid w:val="00C9032F"/>
    <w:rsid w:val="00C903C3"/>
    <w:rsid w:val="00C90691"/>
    <w:rsid w:val="00C90699"/>
    <w:rsid w:val="00C9071D"/>
    <w:rsid w:val="00C90845"/>
    <w:rsid w:val="00C9084A"/>
    <w:rsid w:val="00C9096E"/>
    <w:rsid w:val="00C9096F"/>
    <w:rsid w:val="00C90A14"/>
    <w:rsid w:val="00C90D12"/>
    <w:rsid w:val="00C90FF4"/>
    <w:rsid w:val="00C91029"/>
    <w:rsid w:val="00C9105F"/>
    <w:rsid w:val="00C91072"/>
    <w:rsid w:val="00C9113D"/>
    <w:rsid w:val="00C911CC"/>
    <w:rsid w:val="00C9146E"/>
    <w:rsid w:val="00C915DC"/>
    <w:rsid w:val="00C915E8"/>
    <w:rsid w:val="00C916A7"/>
    <w:rsid w:val="00C91764"/>
    <w:rsid w:val="00C917E5"/>
    <w:rsid w:val="00C918C1"/>
    <w:rsid w:val="00C919FA"/>
    <w:rsid w:val="00C91FB4"/>
    <w:rsid w:val="00C92067"/>
    <w:rsid w:val="00C922E1"/>
    <w:rsid w:val="00C92595"/>
    <w:rsid w:val="00C92622"/>
    <w:rsid w:val="00C927BA"/>
    <w:rsid w:val="00C92853"/>
    <w:rsid w:val="00C92A3E"/>
    <w:rsid w:val="00C92AAF"/>
    <w:rsid w:val="00C92BF4"/>
    <w:rsid w:val="00C92C54"/>
    <w:rsid w:val="00C92D84"/>
    <w:rsid w:val="00C92DE1"/>
    <w:rsid w:val="00C9310B"/>
    <w:rsid w:val="00C933C5"/>
    <w:rsid w:val="00C9352C"/>
    <w:rsid w:val="00C935DB"/>
    <w:rsid w:val="00C93777"/>
    <w:rsid w:val="00C93799"/>
    <w:rsid w:val="00C9380C"/>
    <w:rsid w:val="00C9389A"/>
    <w:rsid w:val="00C938F1"/>
    <w:rsid w:val="00C93AC3"/>
    <w:rsid w:val="00C93B24"/>
    <w:rsid w:val="00C93C39"/>
    <w:rsid w:val="00C93E8F"/>
    <w:rsid w:val="00C93F98"/>
    <w:rsid w:val="00C93FCF"/>
    <w:rsid w:val="00C94300"/>
    <w:rsid w:val="00C94463"/>
    <w:rsid w:val="00C94578"/>
    <w:rsid w:val="00C94A7C"/>
    <w:rsid w:val="00C94C56"/>
    <w:rsid w:val="00C94CD6"/>
    <w:rsid w:val="00C94E44"/>
    <w:rsid w:val="00C94FAC"/>
    <w:rsid w:val="00C94FC4"/>
    <w:rsid w:val="00C9512C"/>
    <w:rsid w:val="00C955EC"/>
    <w:rsid w:val="00C9581E"/>
    <w:rsid w:val="00C959FF"/>
    <w:rsid w:val="00C95B80"/>
    <w:rsid w:val="00C95C4D"/>
    <w:rsid w:val="00C95CA4"/>
    <w:rsid w:val="00C95DE4"/>
    <w:rsid w:val="00C95E1B"/>
    <w:rsid w:val="00C95ECC"/>
    <w:rsid w:val="00C95F94"/>
    <w:rsid w:val="00C96011"/>
    <w:rsid w:val="00C96388"/>
    <w:rsid w:val="00C96482"/>
    <w:rsid w:val="00C96534"/>
    <w:rsid w:val="00C9661C"/>
    <w:rsid w:val="00C96666"/>
    <w:rsid w:val="00C96680"/>
    <w:rsid w:val="00C9673C"/>
    <w:rsid w:val="00C9693E"/>
    <w:rsid w:val="00C9697F"/>
    <w:rsid w:val="00C96A4E"/>
    <w:rsid w:val="00C96AC2"/>
    <w:rsid w:val="00C96C4A"/>
    <w:rsid w:val="00C96D7C"/>
    <w:rsid w:val="00C96F63"/>
    <w:rsid w:val="00C971CD"/>
    <w:rsid w:val="00C975B6"/>
    <w:rsid w:val="00C9761F"/>
    <w:rsid w:val="00C977D0"/>
    <w:rsid w:val="00C977F9"/>
    <w:rsid w:val="00C97835"/>
    <w:rsid w:val="00C97991"/>
    <w:rsid w:val="00C97CBB"/>
    <w:rsid w:val="00C97D15"/>
    <w:rsid w:val="00C97DD9"/>
    <w:rsid w:val="00C97E8A"/>
    <w:rsid w:val="00C97F6F"/>
    <w:rsid w:val="00C97F80"/>
    <w:rsid w:val="00CA0077"/>
    <w:rsid w:val="00CA03C5"/>
    <w:rsid w:val="00CA05A1"/>
    <w:rsid w:val="00CA067F"/>
    <w:rsid w:val="00CA06EB"/>
    <w:rsid w:val="00CA075A"/>
    <w:rsid w:val="00CA07F7"/>
    <w:rsid w:val="00CA08EF"/>
    <w:rsid w:val="00CA092E"/>
    <w:rsid w:val="00CA0AA5"/>
    <w:rsid w:val="00CA0B6C"/>
    <w:rsid w:val="00CA0BF3"/>
    <w:rsid w:val="00CA0D81"/>
    <w:rsid w:val="00CA0FAE"/>
    <w:rsid w:val="00CA10EB"/>
    <w:rsid w:val="00CA111A"/>
    <w:rsid w:val="00CA1297"/>
    <w:rsid w:val="00CA1410"/>
    <w:rsid w:val="00CA15D1"/>
    <w:rsid w:val="00CA1605"/>
    <w:rsid w:val="00CA17A8"/>
    <w:rsid w:val="00CA19D7"/>
    <w:rsid w:val="00CA1AC5"/>
    <w:rsid w:val="00CA1BC9"/>
    <w:rsid w:val="00CA1C93"/>
    <w:rsid w:val="00CA1D52"/>
    <w:rsid w:val="00CA1E4F"/>
    <w:rsid w:val="00CA1E72"/>
    <w:rsid w:val="00CA20F2"/>
    <w:rsid w:val="00CA21B8"/>
    <w:rsid w:val="00CA2362"/>
    <w:rsid w:val="00CA23C1"/>
    <w:rsid w:val="00CA23CF"/>
    <w:rsid w:val="00CA2456"/>
    <w:rsid w:val="00CA2581"/>
    <w:rsid w:val="00CA26BD"/>
    <w:rsid w:val="00CA28DF"/>
    <w:rsid w:val="00CA29D2"/>
    <w:rsid w:val="00CA2B62"/>
    <w:rsid w:val="00CA2C36"/>
    <w:rsid w:val="00CA2CAD"/>
    <w:rsid w:val="00CA2D8A"/>
    <w:rsid w:val="00CA2DA2"/>
    <w:rsid w:val="00CA2DBA"/>
    <w:rsid w:val="00CA302D"/>
    <w:rsid w:val="00CA31D5"/>
    <w:rsid w:val="00CA31FE"/>
    <w:rsid w:val="00CA32A0"/>
    <w:rsid w:val="00CA337F"/>
    <w:rsid w:val="00CA339A"/>
    <w:rsid w:val="00CA37EF"/>
    <w:rsid w:val="00CA3907"/>
    <w:rsid w:val="00CA394B"/>
    <w:rsid w:val="00CA3C5F"/>
    <w:rsid w:val="00CA3E7A"/>
    <w:rsid w:val="00CA4001"/>
    <w:rsid w:val="00CA4057"/>
    <w:rsid w:val="00CA4112"/>
    <w:rsid w:val="00CA454D"/>
    <w:rsid w:val="00CA45E4"/>
    <w:rsid w:val="00CA47C7"/>
    <w:rsid w:val="00CA48C7"/>
    <w:rsid w:val="00CA497A"/>
    <w:rsid w:val="00CA4F14"/>
    <w:rsid w:val="00CA5166"/>
    <w:rsid w:val="00CA5290"/>
    <w:rsid w:val="00CA5338"/>
    <w:rsid w:val="00CA544E"/>
    <w:rsid w:val="00CA5462"/>
    <w:rsid w:val="00CA553B"/>
    <w:rsid w:val="00CA553F"/>
    <w:rsid w:val="00CA562F"/>
    <w:rsid w:val="00CA56E9"/>
    <w:rsid w:val="00CA5950"/>
    <w:rsid w:val="00CA5972"/>
    <w:rsid w:val="00CA5B78"/>
    <w:rsid w:val="00CA5DDE"/>
    <w:rsid w:val="00CA5E77"/>
    <w:rsid w:val="00CA5EC0"/>
    <w:rsid w:val="00CA604F"/>
    <w:rsid w:val="00CA62CD"/>
    <w:rsid w:val="00CA645A"/>
    <w:rsid w:val="00CA6695"/>
    <w:rsid w:val="00CA6835"/>
    <w:rsid w:val="00CA69A2"/>
    <w:rsid w:val="00CA6A86"/>
    <w:rsid w:val="00CA6D34"/>
    <w:rsid w:val="00CA6D87"/>
    <w:rsid w:val="00CA6E02"/>
    <w:rsid w:val="00CA6E37"/>
    <w:rsid w:val="00CA6E74"/>
    <w:rsid w:val="00CA6EB4"/>
    <w:rsid w:val="00CA6F1E"/>
    <w:rsid w:val="00CA6FF9"/>
    <w:rsid w:val="00CA7055"/>
    <w:rsid w:val="00CA70B9"/>
    <w:rsid w:val="00CA71B2"/>
    <w:rsid w:val="00CA7244"/>
    <w:rsid w:val="00CA72A4"/>
    <w:rsid w:val="00CA73D3"/>
    <w:rsid w:val="00CA772D"/>
    <w:rsid w:val="00CA7745"/>
    <w:rsid w:val="00CA7748"/>
    <w:rsid w:val="00CA78CC"/>
    <w:rsid w:val="00CA79E9"/>
    <w:rsid w:val="00CA7A4B"/>
    <w:rsid w:val="00CA7A51"/>
    <w:rsid w:val="00CA7A89"/>
    <w:rsid w:val="00CA7A95"/>
    <w:rsid w:val="00CA7B52"/>
    <w:rsid w:val="00CA7D2F"/>
    <w:rsid w:val="00CA7D83"/>
    <w:rsid w:val="00CA7E1B"/>
    <w:rsid w:val="00CA7E6C"/>
    <w:rsid w:val="00CA7F8B"/>
    <w:rsid w:val="00CA7FF5"/>
    <w:rsid w:val="00CB00DF"/>
    <w:rsid w:val="00CB02AD"/>
    <w:rsid w:val="00CB034F"/>
    <w:rsid w:val="00CB03D2"/>
    <w:rsid w:val="00CB04C2"/>
    <w:rsid w:val="00CB05CE"/>
    <w:rsid w:val="00CB0658"/>
    <w:rsid w:val="00CB0755"/>
    <w:rsid w:val="00CB09A1"/>
    <w:rsid w:val="00CB09E4"/>
    <w:rsid w:val="00CB0D31"/>
    <w:rsid w:val="00CB0FA5"/>
    <w:rsid w:val="00CB0FE0"/>
    <w:rsid w:val="00CB0FFC"/>
    <w:rsid w:val="00CB143A"/>
    <w:rsid w:val="00CB16EB"/>
    <w:rsid w:val="00CB16ED"/>
    <w:rsid w:val="00CB1D36"/>
    <w:rsid w:val="00CB1D60"/>
    <w:rsid w:val="00CB1DD0"/>
    <w:rsid w:val="00CB2049"/>
    <w:rsid w:val="00CB21A0"/>
    <w:rsid w:val="00CB22AF"/>
    <w:rsid w:val="00CB230F"/>
    <w:rsid w:val="00CB246D"/>
    <w:rsid w:val="00CB254C"/>
    <w:rsid w:val="00CB257C"/>
    <w:rsid w:val="00CB2809"/>
    <w:rsid w:val="00CB2BE8"/>
    <w:rsid w:val="00CB2C97"/>
    <w:rsid w:val="00CB2DE3"/>
    <w:rsid w:val="00CB2E90"/>
    <w:rsid w:val="00CB3108"/>
    <w:rsid w:val="00CB343E"/>
    <w:rsid w:val="00CB3570"/>
    <w:rsid w:val="00CB3783"/>
    <w:rsid w:val="00CB3AB8"/>
    <w:rsid w:val="00CB3BAF"/>
    <w:rsid w:val="00CB40BC"/>
    <w:rsid w:val="00CB4159"/>
    <w:rsid w:val="00CB4288"/>
    <w:rsid w:val="00CB42C4"/>
    <w:rsid w:val="00CB42F9"/>
    <w:rsid w:val="00CB4677"/>
    <w:rsid w:val="00CB482B"/>
    <w:rsid w:val="00CB4B9F"/>
    <w:rsid w:val="00CB4F01"/>
    <w:rsid w:val="00CB4F1B"/>
    <w:rsid w:val="00CB505A"/>
    <w:rsid w:val="00CB511B"/>
    <w:rsid w:val="00CB5205"/>
    <w:rsid w:val="00CB52D8"/>
    <w:rsid w:val="00CB53EE"/>
    <w:rsid w:val="00CB553A"/>
    <w:rsid w:val="00CB5623"/>
    <w:rsid w:val="00CB569F"/>
    <w:rsid w:val="00CB56D0"/>
    <w:rsid w:val="00CB588F"/>
    <w:rsid w:val="00CB58A0"/>
    <w:rsid w:val="00CB59A5"/>
    <w:rsid w:val="00CB5A9D"/>
    <w:rsid w:val="00CB5C86"/>
    <w:rsid w:val="00CB5F6B"/>
    <w:rsid w:val="00CB62F7"/>
    <w:rsid w:val="00CB63F1"/>
    <w:rsid w:val="00CB650A"/>
    <w:rsid w:val="00CB6593"/>
    <w:rsid w:val="00CB6603"/>
    <w:rsid w:val="00CB6820"/>
    <w:rsid w:val="00CB6840"/>
    <w:rsid w:val="00CB6A22"/>
    <w:rsid w:val="00CB6B56"/>
    <w:rsid w:val="00CB6D30"/>
    <w:rsid w:val="00CB6DB3"/>
    <w:rsid w:val="00CB6F51"/>
    <w:rsid w:val="00CB6FE5"/>
    <w:rsid w:val="00CB70A6"/>
    <w:rsid w:val="00CB70CA"/>
    <w:rsid w:val="00CB7185"/>
    <w:rsid w:val="00CB720E"/>
    <w:rsid w:val="00CB739C"/>
    <w:rsid w:val="00CB7441"/>
    <w:rsid w:val="00CB7456"/>
    <w:rsid w:val="00CB7480"/>
    <w:rsid w:val="00CB7494"/>
    <w:rsid w:val="00CB754F"/>
    <w:rsid w:val="00CB7561"/>
    <w:rsid w:val="00CB7902"/>
    <w:rsid w:val="00CB7AF2"/>
    <w:rsid w:val="00CB7D32"/>
    <w:rsid w:val="00CB7D8E"/>
    <w:rsid w:val="00CB7E34"/>
    <w:rsid w:val="00CB7F51"/>
    <w:rsid w:val="00CC0059"/>
    <w:rsid w:val="00CC0426"/>
    <w:rsid w:val="00CC0525"/>
    <w:rsid w:val="00CC0584"/>
    <w:rsid w:val="00CC091F"/>
    <w:rsid w:val="00CC09E6"/>
    <w:rsid w:val="00CC0A03"/>
    <w:rsid w:val="00CC0B98"/>
    <w:rsid w:val="00CC0E72"/>
    <w:rsid w:val="00CC0EAE"/>
    <w:rsid w:val="00CC0F57"/>
    <w:rsid w:val="00CC11CE"/>
    <w:rsid w:val="00CC122F"/>
    <w:rsid w:val="00CC1457"/>
    <w:rsid w:val="00CC150A"/>
    <w:rsid w:val="00CC1649"/>
    <w:rsid w:val="00CC18B1"/>
    <w:rsid w:val="00CC19D7"/>
    <w:rsid w:val="00CC1A3C"/>
    <w:rsid w:val="00CC1B48"/>
    <w:rsid w:val="00CC1FFB"/>
    <w:rsid w:val="00CC201C"/>
    <w:rsid w:val="00CC22F1"/>
    <w:rsid w:val="00CC2460"/>
    <w:rsid w:val="00CC2616"/>
    <w:rsid w:val="00CC2784"/>
    <w:rsid w:val="00CC2788"/>
    <w:rsid w:val="00CC2A10"/>
    <w:rsid w:val="00CC2A3B"/>
    <w:rsid w:val="00CC2AD3"/>
    <w:rsid w:val="00CC2B0F"/>
    <w:rsid w:val="00CC2EA3"/>
    <w:rsid w:val="00CC2F7A"/>
    <w:rsid w:val="00CC3250"/>
    <w:rsid w:val="00CC34D8"/>
    <w:rsid w:val="00CC364F"/>
    <w:rsid w:val="00CC36C5"/>
    <w:rsid w:val="00CC374E"/>
    <w:rsid w:val="00CC3809"/>
    <w:rsid w:val="00CC3819"/>
    <w:rsid w:val="00CC38A3"/>
    <w:rsid w:val="00CC3BF8"/>
    <w:rsid w:val="00CC3CA4"/>
    <w:rsid w:val="00CC3CD0"/>
    <w:rsid w:val="00CC3D4F"/>
    <w:rsid w:val="00CC4027"/>
    <w:rsid w:val="00CC411F"/>
    <w:rsid w:val="00CC4444"/>
    <w:rsid w:val="00CC4453"/>
    <w:rsid w:val="00CC48C4"/>
    <w:rsid w:val="00CC496E"/>
    <w:rsid w:val="00CC4C32"/>
    <w:rsid w:val="00CC4D3F"/>
    <w:rsid w:val="00CC4DA5"/>
    <w:rsid w:val="00CC4F3E"/>
    <w:rsid w:val="00CC5138"/>
    <w:rsid w:val="00CC53AF"/>
    <w:rsid w:val="00CC5528"/>
    <w:rsid w:val="00CC55AC"/>
    <w:rsid w:val="00CC5821"/>
    <w:rsid w:val="00CC59C8"/>
    <w:rsid w:val="00CC5CF2"/>
    <w:rsid w:val="00CC5E23"/>
    <w:rsid w:val="00CC6049"/>
    <w:rsid w:val="00CC612F"/>
    <w:rsid w:val="00CC61F6"/>
    <w:rsid w:val="00CC66B8"/>
    <w:rsid w:val="00CC67F8"/>
    <w:rsid w:val="00CC693D"/>
    <w:rsid w:val="00CC6998"/>
    <w:rsid w:val="00CC6CA4"/>
    <w:rsid w:val="00CC6D4F"/>
    <w:rsid w:val="00CC6EAB"/>
    <w:rsid w:val="00CC7009"/>
    <w:rsid w:val="00CC71CE"/>
    <w:rsid w:val="00CC731C"/>
    <w:rsid w:val="00CC735B"/>
    <w:rsid w:val="00CC73A6"/>
    <w:rsid w:val="00CC7744"/>
    <w:rsid w:val="00CC7804"/>
    <w:rsid w:val="00CC786A"/>
    <w:rsid w:val="00CC7888"/>
    <w:rsid w:val="00CC789A"/>
    <w:rsid w:val="00CC78D2"/>
    <w:rsid w:val="00CC7950"/>
    <w:rsid w:val="00CC7A0C"/>
    <w:rsid w:val="00CC7C59"/>
    <w:rsid w:val="00CC7C7C"/>
    <w:rsid w:val="00CD007B"/>
    <w:rsid w:val="00CD058E"/>
    <w:rsid w:val="00CD05DE"/>
    <w:rsid w:val="00CD067D"/>
    <w:rsid w:val="00CD08FA"/>
    <w:rsid w:val="00CD0AD8"/>
    <w:rsid w:val="00CD0B00"/>
    <w:rsid w:val="00CD0F87"/>
    <w:rsid w:val="00CD1011"/>
    <w:rsid w:val="00CD10A2"/>
    <w:rsid w:val="00CD11DC"/>
    <w:rsid w:val="00CD12CC"/>
    <w:rsid w:val="00CD1359"/>
    <w:rsid w:val="00CD1370"/>
    <w:rsid w:val="00CD13A6"/>
    <w:rsid w:val="00CD16D1"/>
    <w:rsid w:val="00CD1721"/>
    <w:rsid w:val="00CD173E"/>
    <w:rsid w:val="00CD178E"/>
    <w:rsid w:val="00CD180E"/>
    <w:rsid w:val="00CD19CD"/>
    <w:rsid w:val="00CD1B89"/>
    <w:rsid w:val="00CD23BC"/>
    <w:rsid w:val="00CD25D3"/>
    <w:rsid w:val="00CD2604"/>
    <w:rsid w:val="00CD2987"/>
    <w:rsid w:val="00CD29BA"/>
    <w:rsid w:val="00CD2B30"/>
    <w:rsid w:val="00CD2C94"/>
    <w:rsid w:val="00CD2C9C"/>
    <w:rsid w:val="00CD30D5"/>
    <w:rsid w:val="00CD33EE"/>
    <w:rsid w:val="00CD3441"/>
    <w:rsid w:val="00CD35BF"/>
    <w:rsid w:val="00CD3692"/>
    <w:rsid w:val="00CD3978"/>
    <w:rsid w:val="00CD39B6"/>
    <w:rsid w:val="00CD39F4"/>
    <w:rsid w:val="00CD3AF4"/>
    <w:rsid w:val="00CD3BC4"/>
    <w:rsid w:val="00CD3C56"/>
    <w:rsid w:val="00CD3E71"/>
    <w:rsid w:val="00CD3F58"/>
    <w:rsid w:val="00CD426B"/>
    <w:rsid w:val="00CD429B"/>
    <w:rsid w:val="00CD44C8"/>
    <w:rsid w:val="00CD4691"/>
    <w:rsid w:val="00CD46FC"/>
    <w:rsid w:val="00CD4710"/>
    <w:rsid w:val="00CD4A0C"/>
    <w:rsid w:val="00CD4A9F"/>
    <w:rsid w:val="00CD4CA9"/>
    <w:rsid w:val="00CD4CBB"/>
    <w:rsid w:val="00CD4D2F"/>
    <w:rsid w:val="00CD4DDA"/>
    <w:rsid w:val="00CD4EA3"/>
    <w:rsid w:val="00CD4FE7"/>
    <w:rsid w:val="00CD555F"/>
    <w:rsid w:val="00CD5685"/>
    <w:rsid w:val="00CD56F0"/>
    <w:rsid w:val="00CD5710"/>
    <w:rsid w:val="00CD5750"/>
    <w:rsid w:val="00CD5875"/>
    <w:rsid w:val="00CD58A6"/>
    <w:rsid w:val="00CD5940"/>
    <w:rsid w:val="00CD59DB"/>
    <w:rsid w:val="00CD5A0E"/>
    <w:rsid w:val="00CD5B37"/>
    <w:rsid w:val="00CD5B42"/>
    <w:rsid w:val="00CD5B71"/>
    <w:rsid w:val="00CD5BDB"/>
    <w:rsid w:val="00CD5DBA"/>
    <w:rsid w:val="00CD5DC7"/>
    <w:rsid w:val="00CD5DF5"/>
    <w:rsid w:val="00CD5EAC"/>
    <w:rsid w:val="00CD60B1"/>
    <w:rsid w:val="00CD6377"/>
    <w:rsid w:val="00CD65E9"/>
    <w:rsid w:val="00CD671E"/>
    <w:rsid w:val="00CD6744"/>
    <w:rsid w:val="00CD67E0"/>
    <w:rsid w:val="00CD6B71"/>
    <w:rsid w:val="00CD7075"/>
    <w:rsid w:val="00CD70CE"/>
    <w:rsid w:val="00CD74A4"/>
    <w:rsid w:val="00CD74B8"/>
    <w:rsid w:val="00CD754D"/>
    <w:rsid w:val="00CD75DC"/>
    <w:rsid w:val="00CD766C"/>
    <w:rsid w:val="00CD7698"/>
    <w:rsid w:val="00CD7859"/>
    <w:rsid w:val="00CD7A47"/>
    <w:rsid w:val="00CD7A8E"/>
    <w:rsid w:val="00CD7AEB"/>
    <w:rsid w:val="00CD7B2D"/>
    <w:rsid w:val="00CD7B46"/>
    <w:rsid w:val="00CD7BC6"/>
    <w:rsid w:val="00CD7C25"/>
    <w:rsid w:val="00CD7CD5"/>
    <w:rsid w:val="00CD7D25"/>
    <w:rsid w:val="00CD7E5C"/>
    <w:rsid w:val="00CD7F97"/>
    <w:rsid w:val="00CD7FB2"/>
    <w:rsid w:val="00CE0239"/>
    <w:rsid w:val="00CE04C7"/>
    <w:rsid w:val="00CE0625"/>
    <w:rsid w:val="00CE08AB"/>
    <w:rsid w:val="00CE08FE"/>
    <w:rsid w:val="00CE099A"/>
    <w:rsid w:val="00CE09C3"/>
    <w:rsid w:val="00CE0B2F"/>
    <w:rsid w:val="00CE0C8C"/>
    <w:rsid w:val="00CE105D"/>
    <w:rsid w:val="00CE1212"/>
    <w:rsid w:val="00CE123E"/>
    <w:rsid w:val="00CE1458"/>
    <w:rsid w:val="00CE185A"/>
    <w:rsid w:val="00CE1B0F"/>
    <w:rsid w:val="00CE1D07"/>
    <w:rsid w:val="00CE1D23"/>
    <w:rsid w:val="00CE203A"/>
    <w:rsid w:val="00CE26BF"/>
    <w:rsid w:val="00CE2710"/>
    <w:rsid w:val="00CE279F"/>
    <w:rsid w:val="00CE29F3"/>
    <w:rsid w:val="00CE2A6D"/>
    <w:rsid w:val="00CE2AEE"/>
    <w:rsid w:val="00CE2B07"/>
    <w:rsid w:val="00CE2B11"/>
    <w:rsid w:val="00CE2BD3"/>
    <w:rsid w:val="00CE2DEA"/>
    <w:rsid w:val="00CE2E6C"/>
    <w:rsid w:val="00CE2EFA"/>
    <w:rsid w:val="00CE3023"/>
    <w:rsid w:val="00CE30A6"/>
    <w:rsid w:val="00CE33D6"/>
    <w:rsid w:val="00CE3503"/>
    <w:rsid w:val="00CE36B8"/>
    <w:rsid w:val="00CE36FF"/>
    <w:rsid w:val="00CE385D"/>
    <w:rsid w:val="00CE38C2"/>
    <w:rsid w:val="00CE38E1"/>
    <w:rsid w:val="00CE3A61"/>
    <w:rsid w:val="00CE3B56"/>
    <w:rsid w:val="00CE3DB3"/>
    <w:rsid w:val="00CE4006"/>
    <w:rsid w:val="00CE4044"/>
    <w:rsid w:val="00CE4083"/>
    <w:rsid w:val="00CE4216"/>
    <w:rsid w:val="00CE42A1"/>
    <w:rsid w:val="00CE42A6"/>
    <w:rsid w:val="00CE46CB"/>
    <w:rsid w:val="00CE4BC7"/>
    <w:rsid w:val="00CE4CC3"/>
    <w:rsid w:val="00CE4D57"/>
    <w:rsid w:val="00CE4FAD"/>
    <w:rsid w:val="00CE4FF9"/>
    <w:rsid w:val="00CE519C"/>
    <w:rsid w:val="00CE533C"/>
    <w:rsid w:val="00CE53B2"/>
    <w:rsid w:val="00CE579D"/>
    <w:rsid w:val="00CE57C7"/>
    <w:rsid w:val="00CE5B09"/>
    <w:rsid w:val="00CE5D12"/>
    <w:rsid w:val="00CE61E1"/>
    <w:rsid w:val="00CE632B"/>
    <w:rsid w:val="00CE6639"/>
    <w:rsid w:val="00CE6738"/>
    <w:rsid w:val="00CE67BC"/>
    <w:rsid w:val="00CE68AB"/>
    <w:rsid w:val="00CE6A49"/>
    <w:rsid w:val="00CE6B70"/>
    <w:rsid w:val="00CE6C32"/>
    <w:rsid w:val="00CE6CB5"/>
    <w:rsid w:val="00CE6EF9"/>
    <w:rsid w:val="00CE6FC0"/>
    <w:rsid w:val="00CE71CF"/>
    <w:rsid w:val="00CE72F7"/>
    <w:rsid w:val="00CE73BD"/>
    <w:rsid w:val="00CE7435"/>
    <w:rsid w:val="00CE745B"/>
    <w:rsid w:val="00CE752C"/>
    <w:rsid w:val="00CE7623"/>
    <w:rsid w:val="00CE76B6"/>
    <w:rsid w:val="00CE770C"/>
    <w:rsid w:val="00CE783F"/>
    <w:rsid w:val="00CE7987"/>
    <w:rsid w:val="00CE7A85"/>
    <w:rsid w:val="00CE7AE9"/>
    <w:rsid w:val="00CE7C01"/>
    <w:rsid w:val="00CF00ED"/>
    <w:rsid w:val="00CF03A9"/>
    <w:rsid w:val="00CF0537"/>
    <w:rsid w:val="00CF0551"/>
    <w:rsid w:val="00CF05A6"/>
    <w:rsid w:val="00CF0B90"/>
    <w:rsid w:val="00CF0BE5"/>
    <w:rsid w:val="00CF100E"/>
    <w:rsid w:val="00CF1035"/>
    <w:rsid w:val="00CF1042"/>
    <w:rsid w:val="00CF1059"/>
    <w:rsid w:val="00CF115A"/>
    <w:rsid w:val="00CF128B"/>
    <w:rsid w:val="00CF12C1"/>
    <w:rsid w:val="00CF139B"/>
    <w:rsid w:val="00CF13DE"/>
    <w:rsid w:val="00CF13FE"/>
    <w:rsid w:val="00CF14B6"/>
    <w:rsid w:val="00CF1746"/>
    <w:rsid w:val="00CF181C"/>
    <w:rsid w:val="00CF18A4"/>
    <w:rsid w:val="00CF1BF1"/>
    <w:rsid w:val="00CF1D5C"/>
    <w:rsid w:val="00CF1D81"/>
    <w:rsid w:val="00CF2024"/>
    <w:rsid w:val="00CF20A3"/>
    <w:rsid w:val="00CF22D0"/>
    <w:rsid w:val="00CF2498"/>
    <w:rsid w:val="00CF2648"/>
    <w:rsid w:val="00CF2664"/>
    <w:rsid w:val="00CF2680"/>
    <w:rsid w:val="00CF2683"/>
    <w:rsid w:val="00CF26F5"/>
    <w:rsid w:val="00CF279B"/>
    <w:rsid w:val="00CF2845"/>
    <w:rsid w:val="00CF2A4F"/>
    <w:rsid w:val="00CF2C93"/>
    <w:rsid w:val="00CF2DCB"/>
    <w:rsid w:val="00CF2DEE"/>
    <w:rsid w:val="00CF2ECB"/>
    <w:rsid w:val="00CF2F90"/>
    <w:rsid w:val="00CF3095"/>
    <w:rsid w:val="00CF3190"/>
    <w:rsid w:val="00CF32E4"/>
    <w:rsid w:val="00CF3302"/>
    <w:rsid w:val="00CF381F"/>
    <w:rsid w:val="00CF382B"/>
    <w:rsid w:val="00CF3871"/>
    <w:rsid w:val="00CF392C"/>
    <w:rsid w:val="00CF3991"/>
    <w:rsid w:val="00CF3A44"/>
    <w:rsid w:val="00CF3AD4"/>
    <w:rsid w:val="00CF3B09"/>
    <w:rsid w:val="00CF3C6E"/>
    <w:rsid w:val="00CF3D3A"/>
    <w:rsid w:val="00CF3FBF"/>
    <w:rsid w:val="00CF437D"/>
    <w:rsid w:val="00CF445B"/>
    <w:rsid w:val="00CF47D3"/>
    <w:rsid w:val="00CF4AD8"/>
    <w:rsid w:val="00CF4B68"/>
    <w:rsid w:val="00CF4C31"/>
    <w:rsid w:val="00CF50E5"/>
    <w:rsid w:val="00CF523A"/>
    <w:rsid w:val="00CF5301"/>
    <w:rsid w:val="00CF5369"/>
    <w:rsid w:val="00CF539A"/>
    <w:rsid w:val="00CF53E5"/>
    <w:rsid w:val="00CF54D5"/>
    <w:rsid w:val="00CF58BA"/>
    <w:rsid w:val="00CF59CF"/>
    <w:rsid w:val="00CF5A0F"/>
    <w:rsid w:val="00CF5C5B"/>
    <w:rsid w:val="00CF5F35"/>
    <w:rsid w:val="00CF61B6"/>
    <w:rsid w:val="00CF6281"/>
    <w:rsid w:val="00CF6475"/>
    <w:rsid w:val="00CF64A7"/>
    <w:rsid w:val="00CF659B"/>
    <w:rsid w:val="00CF6680"/>
    <w:rsid w:val="00CF6702"/>
    <w:rsid w:val="00CF671F"/>
    <w:rsid w:val="00CF6942"/>
    <w:rsid w:val="00CF69CD"/>
    <w:rsid w:val="00CF69DC"/>
    <w:rsid w:val="00CF6C49"/>
    <w:rsid w:val="00CF6CAC"/>
    <w:rsid w:val="00CF6D0A"/>
    <w:rsid w:val="00CF6D5A"/>
    <w:rsid w:val="00CF7090"/>
    <w:rsid w:val="00CF70FB"/>
    <w:rsid w:val="00CF7172"/>
    <w:rsid w:val="00CF7518"/>
    <w:rsid w:val="00CF7694"/>
    <w:rsid w:val="00CF76D0"/>
    <w:rsid w:val="00CF771A"/>
    <w:rsid w:val="00CF772C"/>
    <w:rsid w:val="00CF7756"/>
    <w:rsid w:val="00CF7951"/>
    <w:rsid w:val="00CF7966"/>
    <w:rsid w:val="00CF7A49"/>
    <w:rsid w:val="00CF7CA3"/>
    <w:rsid w:val="00CF7CEF"/>
    <w:rsid w:val="00D0000F"/>
    <w:rsid w:val="00D000CC"/>
    <w:rsid w:val="00D004F1"/>
    <w:rsid w:val="00D00503"/>
    <w:rsid w:val="00D005CF"/>
    <w:rsid w:val="00D00822"/>
    <w:rsid w:val="00D00846"/>
    <w:rsid w:val="00D00862"/>
    <w:rsid w:val="00D0092E"/>
    <w:rsid w:val="00D00AD7"/>
    <w:rsid w:val="00D00DBA"/>
    <w:rsid w:val="00D00E16"/>
    <w:rsid w:val="00D00F5D"/>
    <w:rsid w:val="00D01087"/>
    <w:rsid w:val="00D01227"/>
    <w:rsid w:val="00D016A8"/>
    <w:rsid w:val="00D016EC"/>
    <w:rsid w:val="00D018E0"/>
    <w:rsid w:val="00D0190C"/>
    <w:rsid w:val="00D01950"/>
    <w:rsid w:val="00D01A6F"/>
    <w:rsid w:val="00D02074"/>
    <w:rsid w:val="00D02130"/>
    <w:rsid w:val="00D02302"/>
    <w:rsid w:val="00D023E4"/>
    <w:rsid w:val="00D02446"/>
    <w:rsid w:val="00D025FC"/>
    <w:rsid w:val="00D0269B"/>
    <w:rsid w:val="00D027CB"/>
    <w:rsid w:val="00D02808"/>
    <w:rsid w:val="00D0281A"/>
    <w:rsid w:val="00D02964"/>
    <w:rsid w:val="00D02A07"/>
    <w:rsid w:val="00D02A71"/>
    <w:rsid w:val="00D02B14"/>
    <w:rsid w:val="00D02B71"/>
    <w:rsid w:val="00D02C89"/>
    <w:rsid w:val="00D02D20"/>
    <w:rsid w:val="00D02E63"/>
    <w:rsid w:val="00D02EB0"/>
    <w:rsid w:val="00D02EEF"/>
    <w:rsid w:val="00D0307B"/>
    <w:rsid w:val="00D03099"/>
    <w:rsid w:val="00D03217"/>
    <w:rsid w:val="00D03234"/>
    <w:rsid w:val="00D0326F"/>
    <w:rsid w:val="00D03434"/>
    <w:rsid w:val="00D034F7"/>
    <w:rsid w:val="00D03531"/>
    <w:rsid w:val="00D036AA"/>
    <w:rsid w:val="00D03792"/>
    <w:rsid w:val="00D037FA"/>
    <w:rsid w:val="00D03A46"/>
    <w:rsid w:val="00D03C6E"/>
    <w:rsid w:val="00D03DB1"/>
    <w:rsid w:val="00D03E4B"/>
    <w:rsid w:val="00D03FE5"/>
    <w:rsid w:val="00D04039"/>
    <w:rsid w:val="00D04090"/>
    <w:rsid w:val="00D04919"/>
    <w:rsid w:val="00D0496E"/>
    <w:rsid w:val="00D049FF"/>
    <w:rsid w:val="00D04A72"/>
    <w:rsid w:val="00D04BFF"/>
    <w:rsid w:val="00D04D9F"/>
    <w:rsid w:val="00D04ED2"/>
    <w:rsid w:val="00D0516D"/>
    <w:rsid w:val="00D051F6"/>
    <w:rsid w:val="00D052B4"/>
    <w:rsid w:val="00D0535E"/>
    <w:rsid w:val="00D0546E"/>
    <w:rsid w:val="00D05542"/>
    <w:rsid w:val="00D05553"/>
    <w:rsid w:val="00D0563B"/>
    <w:rsid w:val="00D057DC"/>
    <w:rsid w:val="00D05BF3"/>
    <w:rsid w:val="00D05D06"/>
    <w:rsid w:val="00D05FA5"/>
    <w:rsid w:val="00D06044"/>
    <w:rsid w:val="00D06050"/>
    <w:rsid w:val="00D060ED"/>
    <w:rsid w:val="00D0617B"/>
    <w:rsid w:val="00D062FF"/>
    <w:rsid w:val="00D064DA"/>
    <w:rsid w:val="00D0650E"/>
    <w:rsid w:val="00D0656D"/>
    <w:rsid w:val="00D06755"/>
    <w:rsid w:val="00D06AB8"/>
    <w:rsid w:val="00D06B21"/>
    <w:rsid w:val="00D06B30"/>
    <w:rsid w:val="00D06B47"/>
    <w:rsid w:val="00D06DF2"/>
    <w:rsid w:val="00D06E09"/>
    <w:rsid w:val="00D06E2E"/>
    <w:rsid w:val="00D06FF4"/>
    <w:rsid w:val="00D07046"/>
    <w:rsid w:val="00D0708F"/>
    <w:rsid w:val="00D07599"/>
    <w:rsid w:val="00D075BC"/>
    <w:rsid w:val="00D076B8"/>
    <w:rsid w:val="00D077B1"/>
    <w:rsid w:val="00D07DC5"/>
    <w:rsid w:val="00D07E33"/>
    <w:rsid w:val="00D10072"/>
    <w:rsid w:val="00D10076"/>
    <w:rsid w:val="00D1009E"/>
    <w:rsid w:val="00D100F0"/>
    <w:rsid w:val="00D10171"/>
    <w:rsid w:val="00D1037B"/>
    <w:rsid w:val="00D1049D"/>
    <w:rsid w:val="00D104D2"/>
    <w:rsid w:val="00D104FA"/>
    <w:rsid w:val="00D10692"/>
    <w:rsid w:val="00D1072B"/>
    <w:rsid w:val="00D10810"/>
    <w:rsid w:val="00D1081B"/>
    <w:rsid w:val="00D1087C"/>
    <w:rsid w:val="00D10906"/>
    <w:rsid w:val="00D1097B"/>
    <w:rsid w:val="00D109F8"/>
    <w:rsid w:val="00D10A7B"/>
    <w:rsid w:val="00D10D5D"/>
    <w:rsid w:val="00D110D3"/>
    <w:rsid w:val="00D11158"/>
    <w:rsid w:val="00D114E6"/>
    <w:rsid w:val="00D11551"/>
    <w:rsid w:val="00D1157F"/>
    <w:rsid w:val="00D1165C"/>
    <w:rsid w:val="00D11795"/>
    <w:rsid w:val="00D11833"/>
    <w:rsid w:val="00D11902"/>
    <w:rsid w:val="00D11A19"/>
    <w:rsid w:val="00D11C35"/>
    <w:rsid w:val="00D11FC4"/>
    <w:rsid w:val="00D11FC7"/>
    <w:rsid w:val="00D12065"/>
    <w:rsid w:val="00D1219C"/>
    <w:rsid w:val="00D121D0"/>
    <w:rsid w:val="00D12667"/>
    <w:rsid w:val="00D1267B"/>
    <w:rsid w:val="00D12778"/>
    <w:rsid w:val="00D127D7"/>
    <w:rsid w:val="00D128A8"/>
    <w:rsid w:val="00D12C2F"/>
    <w:rsid w:val="00D12F76"/>
    <w:rsid w:val="00D131A1"/>
    <w:rsid w:val="00D13351"/>
    <w:rsid w:val="00D1339B"/>
    <w:rsid w:val="00D134EE"/>
    <w:rsid w:val="00D135DC"/>
    <w:rsid w:val="00D1362B"/>
    <w:rsid w:val="00D136D3"/>
    <w:rsid w:val="00D1371C"/>
    <w:rsid w:val="00D139C0"/>
    <w:rsid w:val="00D13B5A"/>
    <w:rsid w:val="00D13CF9"/>
    <w:rsid w:val="00D13E01"/>
    <w:rsid w:val="00D13FE9"/>
    <w:rsid w:val="00D14214"/>
    <w:rsid w:val="00D142BE"/>
    <w:rsid w:val="00D14369"/>
    <w:rsid w:val="00D1455C"/>
    <w:rsid w:val="00D145D2"/>
    <w:rsid w:val="00D14767"/>
    <w:rsid w:val="00D147DA"/>
    <w:rsid w:val="00D1488F"/>
    <w:rsid w:val="00D14923"/>
    <w:rsid w:val="00D1499E"/>
    <w:rsid w:val="00D14A1F"/>
    <w:rsid w:val="00D14CEC"/>
    <w:rsid w:val="00D14E71"/>
    <w:rsid w:val="00D14E89"/>
    <w:rsid w:val="00D14EB3"/>
    <w:rsid w:val="00D14F0B"/>
    <w:rsid w:val="00D14F70"/>
    <w:rsid w:val="00D15127"/>
    <w:rsid w:val="00D151D5"/>
    <w:rsid w:val="00D15261"/>
    <w:rsid w:val="00D1564B"/>
    <w:rsid w:val="00D15739"/>
    <w:rsid w:val="00D15756"/>
    <w:rsid w:val="00D15767"/>
    <w:rsid w:val="00D15D80"/>
    <w:rsid w:val="00D15DDC"/>
    <w:rsid w:val="00D16093"/>
    <w:rsid w:val="00D1629C"/>
    <w:rsid w:val="00D1634C"/>
    <w:rsid w:val="00D164D6"/>
    <w:rsid w:val="00D164E9"/>
    <w:rsid w:val="00D165D1"/>
    <w:rsid w:val="00D16690"/>
    <w:rsid w:val="00D16716"/>
    <w:rsid w:val="00D16799"/>
    <w:rsid w:val="00D16880"/>
    <w:rsid w:val="00D16883"/>
    <w:rsid w:val="00D16912"/>
    <w:rsid w:val="00D16FDC"/>
    <w:rsid w:val="00D16FF9"/>
    <w:rsid w:val="00D170DC"/>
    <w:rsid w:val="00D173B0"/>
    <w:rsid w:val="00D174C7"/>
    <w:rsid w:val="00D1756D"/>
    <w:rsid w:val="00D175CC"/>
    <w:rsid w:val="00D175EC"/>
    <w:rsid w:val="00D176FE"/>
    <w:rsid w:val="00D178BC"/>
    <w:rsid w:val="00D179FD"/>
    <w:rsid w:val="00D17A4E"/>
    <w:rsid w:val="00D17AFB"/>
    <w:rsid w:val="00D17D54"/>
    <w:rsid w:val="00D17E71"/>
    <w:rsid w:val="00D17F68"/>
    <w:rsid w:val="00D17FA7"/>
    <w:rsid w:val="00D2049C"/>
    <w:rsid w:val="00D20645"/>
    <w:rsid w:val="00D206C0"/>
    <w:rsid w:val="00D20715"/>
    <w:rsid w:val="00D20B24"/>
    <w:rsid w:val="00D20B61"/>
    <w:rsid w:val="00D20C85"/>
    <w:rsid w:val="00D20C9B"/>
    <w:rsid w:val="00D20D4C"/>
    <w:rsid w:val="00D20E51"/>
    <w:rsid w:val="00D20F38"/>
    <w:rsid w:val="00D21062"/>
    <w:rsid w:val="00D210FB"/>
    <w:rsid w:val="00D2116C"/>
    <w:rsid w:val="00D211BC"/>
    <w:rsid w:val="00D21246"/>
    <w:rsid w:val="00D212D3"/>
    <w:rsid w:val="00D213B2"/>
    <w:rsid w:val="00D2152E"/>
    <w:rsid w:val="00D217A5"/>
    <w:rsid w:val="00D217BE"/>
    <w:rsid w:val="00D218E8"/>
    <w:rsid w:val="00D21947"/>
    <w:rsid w:val="00D21996"/>
    <w:rsid w:val="00D21A10"/>
    <w:rsid w:val="00D21EBF"/>
    <w:rsid w:val="00D21ECD"/>
    <w:rsid w:val="00D221AB"/>
    <w:rsid w:val="00D221C8"/>
    <w:rsid w:val="00D221FD"/>
    <w:rsid w:val="00D2227D"/>
    <w:rsid w:val="00D22301"/>
    <w:rsid w:val="00D2241E"/>
    <w:rsid w:val="00D2249D"/>
    <w:rsid w:val="00D224A3"/>
    <w:rsid w:val="00D227DD"/>
    <w:rsid w:val="00D227EB"/>
    <w:rsid w:val="00D22963"/>
    <w:rsid w:val="00D229C4"/>
    <w:rsid w:val="00D22AD5"/>
    <w:rsid w:val="00D22D90"/>
    <w:rsid w:val="00D22E19"/>
    <w:rsid w:val="00D23061"/>
    <w:rsid w:val="00D230B0"/>
    <w:rsid w:val="00D23234"/>
    <w:rsid w:val="00D232B7"/>
    <w:rsid w:val="00D23393"/>
    <w:rsid w:val="00D236BE"/>
    <w:rsid w:val="00D237B1"/>
    <w:rsid w:val="00D23824"/>
    <w:rsid w:val="00D23A87"/>
    <w:rsid w:val="00D23AB0"/>
    <w:rsid w:val="00D23DAF"/>
    <w:rsid w:val="00D2406C"/>
    <w:rsid w:val="00D24079"/>
    <w:rsid w:val="00D24086"/>
    <w:rsid w:val="00D2422A"/>
    <w:rsid w:val="00D24293"/>
    <w:rsid w:val="00D24419"/>
    <w:rsid w:val="00D2449C"/>
    <w:rsid w:val="00D246A8"/>
    <w:rsid w:val="00D24916"/>
    <w:rsid w:val="00D24A5B"/>
    <w:rsid w:val="00D24AAD"/>
    <w:rsid w:val="00D24AD7"/>
    <w:rsid w:val="00D24CF4"/>
    <w:rsid w:val="00D24F0F"/>
    <w:rsid w:val="00D24F29"/>
    <w:rsid w:val="00D2518E"/>
    <w:rsid w:val="00D251F9"/>
    <w:rsid w:val="00D25200"/>
    <w:rsid w:val="00D252D1"/>
    <w:rsid w:val="00D25438"/>
    <w:rsid w:val="00D25660"/>
    <w:rsid w:val="00D25A62"/>
    <w:rsid w:val="00D25BF7"/>
    <w:rsid w:val="00D25CA5"/>
    <w:rsid w:val="00D25D21"/>
    <w:rsid w:val="00D25F90"/>
    <w:rsid w:val="00D25FAB"/>
    <w:rsid w:val="00D261E1"/>
    <w:rsid w:val="00D2620B"/>
    <w:rsid w:val="00D26280"/>
    <w:rsid w:val="00D26334"/>
    <w:rsid w:val="00D26363"/>
    <w:rsid w:val="00D2657C"/>
    <w:rsid w:val="00D2668F"/>
    <w:rsid w:val="00D26DA0"/>
    <w:rsid w:val="00D26DF8"/>
    <w:rsid w:val="00D270B8"/>
    <w:rsid w:val="00D2716F"/>
    <w:rsid w:val="00D272A5"/>
    <w:rsid w:val="00D274C2"/>
    <w:rsid w:val="00D2758D"/>
    <w:rsid w:val="00D2759A"/>
    <w:rsid w:val="00D27626"/>
    <w:rsid w:val="00D27635"/>
    <w:rsid w:val="00D2779F"/>
    <w:rsid w:val="00D2792E"/>
    <w:rsid w:val="00D27BC0"/>
    <w:rsid w:val="00D27BE3"/>
    <w:rsid w:val="00D27C37"/>
    <w:rsid w:val="00D27CC5"/>
    <w:rsid w:val="00D27E5F"/>
    <w:rsid w:val="00D27F39"/>
    <w:rsid w:val="00D27FB6"/>
    <w:rsid w:val="00D3007A"/>
    <w:rsid w:val="00D30195"/>
    <w:rsid w:val="00D307C1"/>
    <w:rsid w:val="00D30B37"/>
    <w:rsid w:val="00D30BF4"/>
    <w:rsid w:val="00D30D3E"/>
    <w:rsid w:val="00D30FFE"/>
    <w:rsid w:val="00D31038"/>
    <w:rsid w:val="00D3109F"/>
    <w:rsid w:val="00D31295"/>
    <w:rsid w:val="00D31333"/>
    <w:rsid w:val="00D31455"/>
    <w:rsid w:val="00D31587"/>
    <w:rsid w:val="00D31650"/>
    <w:rsid w:val="00D3173E"/>
    <w:rsid w:val="00D3177D"/>
    <w:rsid w:val="00D31846"/>
    <w:rsid w:val="00D3184B"/>
    <w:rsid w:val="00D3185C"/>
    <w:rsid w:val="00D318B7"/>
    <w:rsid w:val="00D31B34"/>
    <w:rsid w:val="00D31CC3"/>
    <w:rsid w:val="00D32227"/>
    <w:rsid w:val="00D322EC"/>
    <w:rsid w:val="00D323FF"/>
    <w:rsid w:val="00D324AF"/>
    <w:rsid w:val="00D325F5"/>
    <w:rsid w:val="00D3270B"/>
    <w:rsid w:val="00D32769"/>
    <w:rsid w:val="00D32AA1"/>
    <w:rsid w:val="00D32BE5"/>
    <w:rsid w:val="00D32E3E"/>
    <w:rsid w:val="00D33079"/>
    <w:rsid w:val="00D332F0"/>
    <w:rsid w:val="00D333A5"/>
    <w:rsid w:val="00D33483"/>
    <w:rsid w:val="00D33517"/>
    <w:rsid w:val="00D3354C"/>
    <w:rsid w:val="00D335CA"/>
    <w:rsid w:val="00D337AA"/>
    <w:rsid w:val="00D337D1"/>
    <w:rsid w:val="00D337EE"/>
    <w:rsid w:val="00D33839"/>
    <w:rsid w:val="00D33856"/>
    <w:rsid w:val="00D338C6"/>
    <w:rsid w:val="00D338EC"/>
    <w:rsid w:val="00D339A4"/>
    <w:rsid w:val="00D33A2A"/>
    <w:rsid w:val="00D33A36"/>
    <w:rsid w:val="00D33B24"/>
    <w:rsid w:val="00D33DFC"/>
    <w:rsid w:val="00D33EBA"/>
    <w:rsid w:val="00D33EFF"/>
    <w:rsid w:val="00D33F17"/>
    <w:rsid w:val="00D34077"/>
    <w:rsid w:val="00D34231"/>
    <w:rsid w:val="00D34392"/>
    <w:rsid w:val="00D343D1"/>
    <w:rsid w:val="00D343E5"/>
    <w:rsid w:val="00D345BE"/>
    <w:rsid w:val="00D34633"/>
    <w:rsid w:val="00D346CE"/>
    <w:rsid w:val="00D346F0"/>
    <w:rsid w:val="00D347E8"/>
    <w:rsid w:val="00D34AC8"/>
    <w:rsid w:val="00D34C79"/>
    <w:rsid w:val="00D34D1F"/>
    <w:rsid w:val="00D34EC5"/>
    <w:rsid w:val="00D34FF9"/>
    <w:rsid w:val="00D350CE"/>
    <w:rsid w:val="00D35104"/>
    <w:rsid w:val="00D3523D"/>
    <w:rsid w:val="00D353EA"/>
    <w:rsid w:val="00D35425"/>
    <w:rsid w:val="00D35439"/>
    <w:rsid w:val="00D3546D"/>
    <w:rsid w:val="00D3577A"/>
    <w:rsid w:val="00D357D2"/>
    <w:rsid w:val="00D357F6"/>
    <w:rsid w:val="00D35822"/>
    <w:rsid w:val="00D35892"/>
    <w:rsid w:val="00D35B04"/>
    <w:rsid w:val="00D35E5E"/>
    <w:rsid w:val="00D35E65"/>
    <w:rsid w:val="00D35FB1"/>
    <w:rsid w:val="00D360CC"/>
    <w:rsid w:val="00D36232"/>
    <w:rsid w:val="00D36283"/>
    <w:rsid w:val="00D362E3"/>
    <w:rsid w:val="00D36328"/>
    <w:rsid w:val="00D365B7"/>
    <w:rsid w:val="00D36641"/>
    <w:rsid w:val="00D36823"/>
    <w:rsid w:val="00D36A14"/>
    <w:rsid w:val="00D36BED"/>
    <w:rsid w:val="00D36C97"/>
    <w:rsid w:val="00D36E56"/>
    <w:rsid w:val="00D36F99"/>
    <w:rsid w:val="00D370C2"/>
    <w:rsid w:val="00D3729D"/>
    <w:rsid w:val="00D37791"/>
    <w:rsid w:val="00D37996"/>
    <w:rsid w:val="00D37BF2"/>
    <w:rsid w:val="00D37E3F"/>
    <w:rsid w:val="00D4011E"/>
    <w:rsid w:val="00D404AE"/>
    <w:rsid w:val="00D404D2"/>
    <w:rsid w:val="00D4057D"/>
    <w:rsid w:val="00D405A3"/>
    <w:rsid w:val="00D406B9"/>
    <w:rsid w:val="00D406F5"/>
    <w:rsid w:val="00D409B8"/>
    <w:rsid w:val="00D40A11"/>
    <w:rsid w:val="00D40A80"/>
    <w:rsid w:val="00D40AF0"/>
    <w:rsid w:val="00D40B0F"/>
    <w:rsid w:val="00D40BF0"/>
    <w:rsid w:val="00D40E4E"/>
    <w:rsid w:val="00D40E89"/>
    <w:rsid w:val="00D414C1"/>
    <w:rsid w:val="00D41679"/>
    <w:rsid w:val="00D41851"/>
    <w:rsid w:val="00D419A8"/>
    <w:rsid w:val="00D41CE6"/>
    <w:rsid w:val="00D41F38"/>
    <w:rsid w:val="00D41FA2"/>
    <w:rsid w:val="00D420BD"/>
    <w:rsid w:val="00D420DA"/>
    <w:rsid w:val="00D420EB"/>
    <w:rsid w:val="00D421DE"/>
    <w:rsid w:val="00D422F4"/>
    <w:rsid w:val="00D42308"/>
    <w:rsid w:val="00D42491"/>
    <w:rsid w:val="00D42660"/>
    <w:rsid w:val="00D42715"/>
    <w:rsid w:val="00D42956"/>
    <w:rsid w:val="00D429C9"/>
    <w:rsid w:val="00D42B41"/>
    <w:rsid w:val="00D4304D"/>
    <w:rsid w:val="00D43111"/>
    <w:rsid w:val="00D43216"/>
    <w:rsid w:val="00D4331D"/>
    <w:rsid w:val="00D433DC"/>
    <w:rsid w:val="00D43A44"/>
    <w:rsid w:val="00D43A69"/>
    <w:rsid w:val="00D43BF1"/>
    <w:rsid w:val="00D43BFD"/>
    <w:rsid w:val="00D43CCC"/>
    <w:rsid w:val="00D43E31"/>
    <w:rsid w:val="00D43EED"/>
    <w:rsid w:val="00D43FD6"/>
    <w:rsid w:val="00D4405F"/>
    <w:rsid w:val="00D442B7"/>
    <w:rsid w:val="00D4459B"/>
    <w:rsid w:val="00D445D9"/>
    <w:rsid w:val="00D44627"/>
    <w:rsid w:val="00D446FC"/>
    <w:rsid w:val="00D447C6"/>
    <w:rsid w:val="00D448D9"/>
    <w:rsid w:val="00D44914"/>
    <w:rsid w:val="00D44BA6"/>
    <w:rsid w:val="00D44BB4"/>
    <w:rsid w:val="00D44BF2"/>
    <w:rsid w:val="00D44C1B"/>
    <w:rsid w:val="00D44C3F"/>
    <w:rsid w:val="00D44D77"/>
    <w:rsid w:val="00D450E5"/>
    <w:rsid w:val="00D45343"/>
    <w:rsid w:val="00D45543"/>
    <w:rsid w:val="00D45A2B"/>
    <w:rsid w:val="00D45A78"/>
    <w:rsid w:val="00D45C2D"/>
    <w:rsid w:val="00D45F9B"/>
    <w:rsid w:val="00D45FB9"/>
    <w:rsid w:val="00D460DD"/>
    <w:rsid w:val="00D461B3"/>
    <w:rsid w:val="00D461F1"/>
    <w:rsid w:val="00D46293"/>
    <w:rsid w:val="00D4634C"/>
    <w:rsid w:val="00D4646C"/>
    <w:rsid w:val="00D46577"/>
    <w:rsid w:val="00D4662B"/>
    <w:rsid w:val="00D46915"/>
    <w:rsid w:val="00D46BA6"/>
    <w:rsid w:val="00D46FF5"/>
    <w:rsid w:val="00D471EB"/>
    <w:rsid w:val="00D475B4"/>
    <w:rsid w:val="00D47607"/>
    <w:rsid w:val="00D477EC"/>
    <w:rsid w:val="00D4785B"/>
    <w:rsid w:val="00D478C3"/>
    <w:rsid w:val="00D478C9"/>
    <w:rsid w:val="00D47C2C"/>
    <w:rsid w:val="00D47C5F"/>
    <w:rsid w:val="00D47D57"/>
    <w:rsid w:val="00D47D65"/>
    <w:rsid w:val="00D47EE4"/>
    <w:rsid w:val="00D47F0B"/>
    <w:rsid w:val="00D47F8C"/>
    <w:rsid w:val="00D50099"/>
    <w:rsid w:val="00D5021A"/>
    <w:rsid w:val="00D50283"/>
    <w:rsid w:val="00D502E8"/>
    <w:rsid w:val="00D50339"/>
    <w:rsid w:val="00D50448"/>
    <w:rsid w:val="00D50511"/>
    <w:rsid w:val="00D5058C"/>
    <w:rsid w:val="00D506DC"/>
    <w:rsid w:val="00D509D5"/>
    <w:rsid w:val="00D50A34"/>
    <w:rsid w:val="00D50B80"/>
    <w:rsid w:val="00D50C12"/>
    <w:rsid w:val="00D50D58"/>
    <w:rsid w:val="00D50D70"/>
    <w:rsid w:val="00D5109B"/>
    <w:rsid w:val="00D5112F"/>
    <w:rsid w:val="00D5127D"/>
    <w:rsid w:val="00D5144F"/>
    <w:rsid w:val="00D51823"/>
    <w:rsid w:val="00D51CD3"/>
    <w:rsid w:val="00D51D6B"/>
    <w:rsid w:val="00D51E33"/>
    <w:rsid w:val="00D51E5D"/>
    <w:rsid w:val="00D51E93"/>
    <w:rsid w:val="00D520F9"/>
    <w:rsid w:val="00D524F6"/>
    <w:rsid w:val="00D52A5B"/>
    <w:rsid w:val="00D52B4F"/>
    <w:rsid w:val="00D52DD5"/>
    <w:rsid w:val="00D52E91"/>
    <w:rsid w:val="00D53117"/>
    <w:rsid w:val="00D5319A"/>
    <w:rsid w:val="00D531E9"/>
    <w:rsid w:val="00D532C5"/>
    <w:rsid w:val="00D53537"/>
    <w:rsid w:val="00D537BE"/>
    <w:rsid w:val="00D53830"/>
    <w:rsid w:val="00D5398B"/>
    <w:rsid w:val="00D53A6A"/>
    <w:rsid w:val="00D53A82"/>
    <w:rsid w:val="00D53CED"/>
    <w:rsid w:val="00D53E42"/>
    <w:rsid w:val="00D53F1C"/>
    <w:rsid w:val="00D543F3"/>
    <w:rsid w:val="00D544B3"/>
    <w:rsid w:val="00D547A2"/>
    <w:rsid w:val="00D5494B"/>
    <w:rsid w:val="00D5494E"/>
    <w:rsid w:val="00D54A3B"/>
    <w:rsid w:val="00D54BAA"/>
    <w:rsid w:val="00D54CFC"/>
    <w:rsid w:val="00D54D5A"/>
    <w:rsid w:val="00D54DF9"/>
    <w:rsid w:val="00D54EF1"/>
    <w:rsid w:val="00D55107"/>
    <w:rsid w:val="00D55213"/>
    <w:rsid w:val="00D55273"/>
    <w:rsid w:val="00D55422"/>
    <w:rsid w:val="00D55680"/>
    <w:rsid w:val="00D5580B"/>
    <w:rsid w:val="00D55C3F"/>
    <w:rsid w:val="00D55C90"/>
    <w:rsid w:val="00D55E34"/>
    <w:rsid w:val="00D55EFE"/>
    <w:rsid w:val="00D56022"/>
    <w:rsid w:val="00D560CC"/>
    <w:rsid w:val="00D56115"/>
    <w:rsid w:val="00D56196"/>
    <w:rsid w:val="00D563AA"/>
    <w:rsid w:val="00D5643E"/>
    <w:rsid w:val="00D56583"/>
    <w:rsid w:val="00D56684"/>
    <w:rsid w:val="00D56953"/>
    <w:rsid w:val="00D56A3E"/>
    <w:rsid w:val="00D56A99"/>
    <w:rsid w:val="00D56BEB"/>
    <w:rsid w:val="00D56BFC"/>
    <w:rsid w:val="00D56C46"/>
    <w:rsid w:val="00D56CFB"/>
    <w:rsid w:val="00D56D30"/>
    <w:rsid w:val="00D56EC3"/>
    <w:rsid w:val="00D573B9"/>
    <w:rsid w:val="00D574D2"/>
    <w:rsid w:val="00D57522"/>
    <w:rsid w:val="00D575F2"/>
    <w:rsid w:val="00D576E1"/>
    <w:rsid w:val="00D57755"/>
    <w:rsid w:val="00D57974"/>
    <w:rsid w:val="00D57DC8"/>
    <w:rsid w:val="00D57E95"/>
    <w:rsid w:val="00D57EE3"/>
    <w:rsid w:val="00D60090"/>
    <w:rsid w:val="00D601BF"/>
    <w:rsid w:val="00D601EB"/>
    <w:rsid w:val="00D602C3"/>
    <w:rsid w:val="00D60416"/>
    <w:rsid w:val="00D6059A"/>
    <w:rsid w:val="00D60604"/>
    <w:rsid w:val="00D60A49"/>
    <w:rsid w:val="00D60BD0"/>
    <w:rsid w:val="00D60C00"/>
    <w:rsid w:val="00D60CB8"/>
    <w:rsid w:val="00D60E0C"/>
    <w:rsid w:val="00D60EA7"/>
    <w:rsid w:val="00D6119E"/>
    <w:rsid w:val="00D61302"/>
    <w:rsid w:val="00D6132A"/>
    <w:rsid w:val="00D6146C"/>
    <w:rsid w:val="00D61500"/>
    <w:rsid w:val="00D615A1"/>
    <w:rsid w:val="00D61654"/>
    <w:rsid w:val="00D6166B"/>
    <w:rsid w:val="00D61679"/>
    <w:rsid w:val="00D6174E"/>
    <w:rsid w:val="00D617EC"/>
    <w:rsid w:val="00D619ED"/>
    <w:rsid w:val="00D61A2B"/>
    <w:rsid w:val="00D6206F"/>
    <w:rsid w:val="00D62168"/>
    <w:rsid w:val="00D6217E"/>
    <w:rsid w:val="00D621BE"/>
    <w:rsid w:val="00D62216"/>
    <w:rsid w:val="00D62452"/>
    <w:rsid w:val="00D6253A"/>
    <w:rsid w:val="00D625A3"/>
    <w:rsid w:val="00D62ABD"/>
    <w:rsid w:val="00D62C56"/>
    <w:rsid w:val="00D62E0D"/>
    <w:rsid w:val="00D62FA8"/>
    <w:rsid w:val="00D631CE"/>
    <w:rsid w:val="00D6341A"/>
    <w:rsid w:val="00D63430"/>
    <w:rsid w:val="00D634C3"/>
    <w:rsid w:val="00D636EF"/>
    <w:rsid w:val="00D63731"/>
    <w:rsid w:val="00D637C0"/>
    <w:rsid w:val="00D63843"/>
    <w:rsid w:val="00D63947"/>
    <w:rsid w:val="00D63A6F"/>
    <w:rsid w:val="00D63D73"/>
    <w:rsid w:val="00D63DDA"/>
    <w:rsid w:val="00D63DF5"/>
    <w:rsid w:val="00D63EAF"/>
    <w:rsid w:val="00D63EDB"/>
    <w:rsid w:val="00D64154"/>
    <w:rsid w:val="00D641E3"/>
    <w:rsid w:val="00D64253"/>
    <w:rsid w:val="00D6454F"/>
    <w:rsid w:val="00D646A2"/>
    <w:rsid w:val="00D64821"/>
    <w:rsid w:val="00D64CB3"/>
    <w:rsid w:val="00D64DA5"/>
    <w:rsid w:val="00D64DFA"/>
    <w:rsid w:val="00D651EC"/>
    <w:rsid w:val="00D6529E"/>
    <w:rsid w:val="00D652AC"/>
    <w:rsid w:val="00D65383"/>
    <w:rsid w:val="00D6552A"/>
    <w:rsid w:val="00D6564D"/>
    <w:rsid w:val="00D6571C"/>
    <w:rsid w:val="00D657D1"/>
    <w:rsid w:val="00D65B18"/>
    <w:rsid w:val="00D65FB1"/>
    <w:rsid w:val="00D66270"/>
    <w:rsid w:val="00D664B6"/>
    <w:rsid w:val="00D665BF"/>
    <w:rsid w:val="00D66927"/>
    <w:rsid w:val="00D6693A"/>
    <w:rsid w:val="00D669AD"/>
    <w:rsid w:val="00D669B2"/>
    <w:rsid w:val="00D66B2E"/>
    <w:rsid w:val="00D6708D"/>
    <w:rsid w:val="00D67092"/>
    <w:rsid w:val="00D6746C"/>
    <w:rsid w:val="00D6756D"/>
    <w:rsid w:val="00D67584"/>
    <w:rsid w:val="00D675C7"/>
    <w:rsid w:val="00D675F9"/>
    <w:rsid w:val="00D6772B"/>
    <w:rsid w:val="00D67CF5"/>
    <w:rsid w:val="00D67DD0"/>
    <w:rsid w:val="00D67E0B"/>
    <w:rsid w:val="00D70188"/>
    <w:rsid w:val="00D70203"/>
    <w:rsid w:val="00D702D9"/>
    <w:rsid w:val="00D70391"/>
    <w:rsid w:val="00D70428"/>
    <w:rsid w:val="00D70674"/>
    <w:rsid w:val="00D70711"/>
    <w:rsid w:val="00D708FA"/>
    <w:rsid w:val="00D70D46"/>
    <w:rsid w:val="00D70E2A"/>
    <w:rsid w:val="00D71332"/>
    <w:rsid w:val="00D71349"/>
    <w:rsid w:val="00D714D6"/>
    <w:rsid w:val="00D71562"/>
    <w:rsid w:val="00D7158F"/>
    <w:rsid w:val="00D71D25"/>
    <w:rsid w:val="00D71E30"/>
    <w:rsid w:val="00D71F7D"/>
    <w:rsid w:val="00D71F97"/>
    <w:rsid w:val="00D722CF"/>
    <w:rsid w:val="00D7239D"/>
    <w:rsid w:val="00D723D9"/>
    <w:rsid w:val="00D724E7"/>
    <w:rsid w:val="00D727BA"/>
    <w:rsid w:val="00D7291C"/>
    <w:rsid w:val="00D7291F"/>
    <w:rsid w:val="00D72ACB"/>
    <w:rsid w:val="00D72C63"/>
    <w:rsid w:val="00D72D6A"/>
    <w:rsid w:val="00D72D86"/>
    <w:rsid w:val="00D72E3D"/>
    <w:rsid w:val="00D730C6"/>
    <w:rsid w:val="00D73421"/>
    <w:rsid w:val="00D7347D"/>
    <w:rsid w:val="00D735EE"/>
    <w:rsid w:val="00D736D7"/>
    <w:rsid w:val="00D73733"/>
    <w:rsid w:val="00D738D9"/>
    <w:rsid w:val="00D73A8B"/>
    <w:rsid w:val="00D73BDB"/>
    <w:rsid w:val="00D74000"/>
    <w:rsid w:val="00D740F7"/>
    <w:rsid w:val="00D74151"/>
    <w:rsid w:val="00D741CE"/>
    <w:rsid w:val="00D7446C"/>
    <w:rsid w:val="00D744AA"/>
    <w:rsid w:val="00D744E1"/>
    <w:rsid w:val="00D7450E"/>
    <w:rsid w:val="00D7463E"/>
    <w:rsid w:val="00D74662"/>
    <w:rsid w:val="00D746C2"/>
    <w:rsid w:val="00D74780"/>
    <w:rsid w:val="00D747EB"/>
    <w:rsid w:val="00D74A41"/>
    <w:rsid w:val="00D74A61"/>
    <w:rsid w:val="00D74B21"/>
    <w:rsid w:val="00D74C2D"/>
    <w:rsid w:val="00D75233"/>
    <w:rsid w:val="00D7528B"/>
    <w:rsid w:val="00D75294"/>
    <w:rsid w:val="00D752F3"/>
    <w:rsid w:val="00D754E2"/>
    <w:rsid w:val="00D7554A"/>
    <w:rsid w:val="00D75568"/>
    <w:rsid w:val="00D756F4"/>
    <w:rsid w:val="00D757C0"/>
    <w:rsid w:val="00D75B92"/>
    <w:rsid w:val="00D75CC7"/>
    <w:rsid w:val="00D75D3E"/>
    <w:rsid w:val="00D75D63"/>
    <w:rsid w:val="00D75EC6"/>
    <w:rsid w:val="00D76033"/>
    <w:rsid w:val="00D7626F"/>
    <w:rsid w:val="00D76358"/>
    <w:rsid w:val="00D763B3"/>
    <w:rsid w:val="00D76437"/>
    <w:rsid w:val="00D76742"/>
    <w:rsid w:val="00D76907"/>
    <w:rsid w:val="00D76978"/>
    <w:rsid w:val="00D76AF9"/>
    <w:rsid w:val="00D76F70"/>
    <w:rsid w:val="00D77059"/>
    <w:rsid w:val="00D77742"/>
    <w:rsid w:val="00D77961"/>
    <w:rsid w:val="00D7798D"/>
    <w:rsid w:val="00D779FA"/>
    <w:rsid w:val="00D77A8B"/>
    <w:rsid w:val="00D77AED"/>
    <w:rsid w:val="00D77D2E"/>
    <w:rsid w:val="00D77D32"/>
    <w:rsid w:val="00D77DD0"/>
    <w:rsid w:val="00D801F4"/>
    <w:rsid w:val="00D802B0"/>
    <w:rsid w:val="00D80437"/>
    <w:rsid w:val="00D80689"/>
    <w:rsid w:val="00D8087E"/>
    <w:rsid w:val="00D808F9"/>
    <w:rsid w:val="00D80A23"/>
    <w:rsid w:val="00D81037"/>
    <w:rsid w:val="00D811C7"/>
    <w:rsid w:val="00D8120C"/>
    <w:rsid w:val="00D812F4"/>
    <w:rsid w:val="00D813DC"/>
    <w:rsid w:val="00D8155F"/>
    <w:rsid w:val="00D815D2"/>
    <w:rsid w:val="00D815FD"/>
    <w:rsid w:val="00D81644"/>
    <w:rsid w:val="00D81648"/>
    <w:rsid w:val="00D816A6"/>
    <w:rsid w:val="00D8177E"/>
    <w:rsid w:val="00D818D6"/>
    <w:rsid w:val="00D81934"/>
    <w:rsid w:val="00D81AC9"/>
    <w:rsid w:val="00D81B00"/>
    <w:rsid w:val="00D81B81"/>
    <w:rsid w:val="00D8250B"/>
    <w:rsid w:val="00D828C5"/>
    <w:rsid w:val="00D8292A"/>
    <w:rsid w:val="00D82C65"/>
    <w:rsid w:val="00D82D1B"/>
    <w:rsid w:val="00D82D34"/>
    <w:rsid w:val="00D82FED"/>
    <w:rsid w:val="00D82FF3"/>
    <w:rsid w:val="00D831B8"/>
    <w:rsid w:val="00D83247"/>
    <w:rsid w:val="00D835BC"/>
    <w:rsid w:val="00D83685"/>
    <w:rsid w:val="00D838D3"/>
    <w:rsid w:val="00D838F5"/>
    <w:rsid w:val="00D83A14"/>
    <w:rsid w:val="00D83A71"/>
    <w:rsid w:val="00D83ADF"/>
    <w:rsid w:val="00D83BDA"/>
    <w:rsid w:val="00D83CB7"/>
    <w:rsid w:val="00D83DE4"/>
    <w:rsid w:val="00D83F40"/>
    <w:rsid w:val="00D83FB0"/>
    <w:rsid w:val="00D84119"/>
    <w:rsid w:val="00D84201"/>
    <w:rsid w:val="00D8434E"/>
    <w:rsid w:val="00D843F4"/>
    <w:rsid w:val="00D8459F"/>
    <w:rsid w:val="00D846B7"/>
    <w:rsid w:val="00D84773"/>
    <w:rsid w:val="00D848F0"/>
    <w:rsid w:val="00D84ACA"/>
    <w:rsid w:val="00D84B39"/>
    <w:rsid w:val="00D84B40"/>
    <w:rsid w:val="00D84E5E"/>
    <w:rsid w:val="00D85218"/>
    <w:rsid w:val="00D8525C"/>
    <w:rsid w:val="00D85311"/>
    <w:rsid w:val="00D8535F"/>
    <w:rsid w:val="00D857B3"/>
    <w:rsid w:val="00D85A47"/>
    <w:rsid w:val="00D85A55"/>
    <w:rsid w:val="00D85A63"/>
    <w:rsid w:val="00D85AAA"/>
    <w:rsid w:val="00D85CA8"/>
    <w:rsid w:val="00D85D6C"/>
    <w:rsid w:val="00D85F7D"/>
    <w:rsid w:val="00D860E6"/>
    <w:rsid w:val="00D863A5"/>
    <w:rsid w:val="00D86676"/>
    <w:rsid w:val="00D86927"/>
    <w:rsid w:val="00D86948"/>
    <w:rsid w:val="00D8696F"/>
    <w:rsid w:val="00D86A51"/>
    <w:rsid w:val="00D86C4D"/>
    <w:rsid w:val="00D86DAD"/>
    <w:rsid w:val="00D86E83"/>
    <w:rsid w:val="00D86EDB"/>
    <w:rsid w:val="00D87088"/>
    <w:rsid w:val="00D873DB"/>
    <w:rsid w:val="00D8754E"/>
    <w:rsid w:val="00D876EA"/>
    <w:rsid w:val="00D877CC"/>
    <w:rsid w:val="00D8791F"/>
    <w:rsid w:val="00D87B2B"/>
    <w:rsid w:val="00D87C4E"/>
    <w:rsid w:val="00D87C4F"/>
    <w:rsid w:val="00D87DE1"/>
    <w:rsid w:val="00D90221"/>
    <w:rsid w:val="00D902D9"/>
    <w:rsid w:val="00D9036E"/>
    <w:rsid w:val="00D9096A"/>
    <w:rsid w:val="00D90AD8"/>
    <w:rsid w:val="00D90CB6"/>
    <w:rsid w:val="00D90F91"/>
    <w:rsid w:val="00D910F1"/>
    <w:rsid w:val="00D91258"/>
    <w:rsid w:val="00D913E3"/>
    <w:rsid w:val="00D91485"/>
    <w:rsid w:val="00D915F4"/>
    <w:rsid w:val="00D91710"/>
    <w:rsid w:val="00D91891"/>
    <w:rsid w:val="00D918CC"/>
    <w:rsid w:val="00D91AAA"/>
    <w:rsid w:val="00D91C27"/>
    <w:rsid w:val="00D91D0B"/>
    <w:rsid w:val="00D91F40"/>
    <w:rsid w:val="00D91F7C"/>
    <w:rsid w:val="00D9203E"/>
    <w:rsid w:val="00D9222B"/>
    <w:rsid w:val="00D92322"/>
    <w:rsid w:val="00D925CF"/>
    <w:rsid w:val="00D925FA"/>
    <w:rsid w:val="00D92681"/>
    <w:rsid w:val="00D928F2"/>
    <w:rsid w:val="00D929B4"/>
    <w:rsid w:val="00D92AFD"/>
    <w:rsid w:val="00D92B40"/>
    <w:rsid w:val="00D92B99"/>
    <w:rsid w:val="00D93069"/>
    <w:rsid w:val="00D932EF"/>
    <w:rsid w:val="00D9344D"/>
    <w:rsid w:val="00D939C8"/>
    <w:rsid w:val="00D93AE6"/>
    <w:rsid w:val="00D93BEE"/>
    <w:rsid w:val="00D93C7F"/>
    <w:rsid w:val="00D93CB7"/>
    <w:rsid w:val="00D93CC9"/>
    <w:rsid w:val="00D93D07"/>
    <w:rsid w:val="00D93D58"/>
    <w:rsid w:val="00D93E5B"/>
    <w:rsid w:val="00D93E8F"/>
    <w:rsid w:val="00D9414A"/>
    <w:rsid w:val="00D9441D"/>
    <w:rsid w:val="00D944A4"/>
    <w:rsid w:val="00D94618"/>
    <w:rsid w:val="00D947D5"/>
    <w:rsid w:val="00D94899"/>
    <w:rsid w:val="00D94A37"/>
    <w:rsid w:val="00D94D5A"/>
    <w:rsid w:val="00D94DE3"/>
    <w:rsid w:val="00D94E36"/>
    <w:rsid w:val="00D94E3A"/>
    <w:rsid w:val="00D94EA4"/>
    <w:rsid w:val="00D95148"/>
    <w:rsid w:val="00D95286"/>
    <w:rsid w:val="00D95294"/>
    <w:rsid w:val="00D95510"/>
    <w:rsid w:val="00D95570"/>
    <w:rsid w:val="00D95A42"/>
    <w:rsid w:val="00D95AEB"/>
    <w:rsid w:val="00D95B3D"/>
    <w:rsid w:val="00D95CC5"/>
    <w:rsid w:val="00D962BE"/>
    <w:rsid w:val="00D9646F"/>
    <w:rsid w:val="00D964F6"/>
    <w:rsid w:val="00D96676"/>
    <w:rsid w:val="00D967E7"/>
    <w:rsid w:val="00D9689E"/>
    <w:rsid w:val="00D968D5"/>
    <w:rsid w:val="00D96A4F"/>
    <w:rsid w:val="00D96F4C"/>
    <w:rsid w:val="00D9714D"/>
    <w:rsid w:val="00D97297"/>
    <w:rsid w:val="00D973D8"/>
    <w:rsid w:val="00D97758"/>
    <w:rsid w:val="00D977A3"/>
    <w:rsid w:val="00D979BC"/>
    <w:rsid w:val="00D97EBA"/>
    <w:rsid w:val="00D991E9"/>
    <w:rsid w:val="00DA0062"/>
    <w:rsid w:val="00DA009C"/>
    <w:rsid w:val="00DA00F2"/>
    <w:rsid w:val="00DA011C"/>
    <w:rsid w:val="00DA0133"/>
    <w:rsid w:val="00DA04ED"/>
    <w:rsid w:val="00DA0504"/>
    <w:rsid w:val="00DA0E0B"/>
    <w:rsid w:val="00DA0EC7"/>
    <w:rsid w:val="00DA0F75"/>
    <w:rsid w:val="00DA1179"/>
    <w:rsid w:val="00DA166D"/>
    <w:rsid w:val="00DA18EC"/>
    <w:rsid w:val="00DA193C"/>
    <w:rsid w:val="00DA1C20"/>
    <w:rsid w:val="00DA1CA8"/>
    <w:rsid w:val="00DA1D30"/>
    <w:rsid w:val="00DA220C"/>
    <w:rsid w:val="00DA2517"/>
    <w:rsid w:val="00DA26DC"/>
    <w:rsid w:val="00DA28CC"/>
    <w:rsid w:val="00DA2A8C"/>
    <w:rsid w:val="00DA2B75"/>
    <w:rsid w:val="00DA2CB9"/>
    <w:rsid w:val="00DA2E51"/>
    <w:rsid w:val="00DA3001"/>
    <w:rsid w:val="00DA3088"/>
    <w:rsid w:val="00DA31CB"/>
    <w:rsid w:val="00DA3247"/>
    <w:rsid w:val="00DA328C"/>
    <w:rsid w:val="00DA34C2"/>
    <w:rsid w:val="00DA3587"/>
    <w:rsid w:val="00DA35C2"/>
    <w:rsid w:val="00DA35CD"/>
    <w:rsid w:val="00DA365F"/>
    <w:rsid w:val="00DA3698"/>
    <w:rsid w:val="00DA3892"/>
    <w:rsid w:val="00DA38C0"/>
    <w:rsid w:val="00DA39A1"/>
    <w:rsid w:val="00DA3A15"/>
    <w:rsid w:val="00DA3A20"/>
    <w:rsid w:val="00DA3AFB"/>
    <w:rsid w:val="00DA3DCC"/>
    <w:rsid w:val="00DA3DD8"/>
    <w:rsid w:val="00DA3E5F"/>
    <w:rsid w:val="00DA3F7B"/>
    <w:rsid w:val="00DA4135"/>
    <w:rsid w:val="00DA4197"/>
    <w:rsid w:val="00DA43FC"/>
    <w:rsid w:val="00DA47DC"/>
    <w:rsid w:val="00DA490C"/>
    <w:rsid w:val="00DA4972"/>
    <w:rsid w:val="00DA4A50"/>
    <w:rsid w:val="00DA4A7C"/>
    <w:rsid w:val="00DA4CA5"/>
    <w:rsid w:val="00DA4CFC"/>
    <w:rsid w:val="00DA4E7A"/>
    <w:rsid w:val="00DA4E9F"/>
    <w:rsid w:val="00DA5432"/>
    <w:rsid w:val="00DA549F"/>
    <w:rsid w:val="00DA5615"/>
    <w:rsid w:val="00DA5668"/>
    <w:rsid w:val="00DA57AC"/>
    <w:rsid w:val="00DA58D4"/>
    <w:rsid w:val="00DA58F2"/>
    <w:rsid w:val="00DA5AA6"/>
    <w:rsid w:val="00DA5B57"/>
    <w:rsid w:val="00DA5D83"/>
    <w:rsid w:val="00DA5DBB"/>
    <w:rsid w:val="00DA5E0C"/>
    <w:rsid w:val="00DA628D"/>
    <w:rsid w:val="00DA63EB"/>
    <w:rsid w:val="00DA6447"/>
    <w:rsid w:val="00DA65EE"/>
    <w:rsid w:val="00DA6615"/>
    <w:rsid w:val="00DA664C"/>
    <w:rsid w:val="00DA6989"/>
    <w:rsid w:val="00DA6ACB"/>
    <w:rsid w:val="00DA6D9E"/>
    <w:rsid w:val="00DA6E92"/>
    <w:rsid w:val="00DA70F7"/>
    <w:rsid w:val="00DA7255"/>
    <w:rsid w:val="00DA7263"/>
    <w:rsid w:val="00DA74DC"/>
    <w:rsid w:val="00DA75E6"/>
    <w:rsid w:val="00DA7668"/>
    <w:rsid w:val="00DA7679"/>
    <w:rsid w:val="00DA76BA"/>
    <w:rsid w:val="00DA791C"/>
    <w:rsid w:val="00DA7A4D"/>
    <w:rsid w:val="00DA7ABB"/>
    <w:rsid w:val="00DA7C80"/>
    <w:rsid w:val="00DB0121"/>
    <w:rsid w:val="00DB020F"/>
    <w:rsid w:val="00DB0426"/>
    <w:rsid w:val="00DB0CE6"/>
    <w:rsid w:val="00DB0D24"/>
    <w:rsid w:val="00DB0D4C"/>
    <w:rsid w:val="00DB0E5B"/>
    <w:rsid w:val="00DB0EAE"/>
    <w:rsid w:val="00DB0EAF"/>
    <w:rsid w:val="00DB0EB7"/>
    <w:rsid w:val="00DB0F69"/>
    <w:rsid w:val="00DB1339"/>
    <w:rsid w:val="00DB133E"/>
    <w:rsid w:val="00DB13C1"/>
    <w:rsid w:val="00DB152F"/>
    <w:rsid w:val="00DB164A"/>
    <w:rsid w:val="00DB17A2"/>
    <w:rsid w:val="00DB17E4"/>
    <w:rsid w:val="00DB1851"/>
    <w:rsid w:val="00DB1AAD"/>
    <w:rsid w:val="00DB1B18"/>
    <w:rsid w:val="00DB1C57"/>
    <w:rsid w:val="00DB1C69"/>
    <w:rsid w:val="00DB1D74"/>
    <w:rsid w:val="00DB2324"/>
    <w:rsid w:val="00DB25E4"/>
    <w:rsid w:val="00DB2876"/>
    <w:rsid w:val="00DB28FE"/>
    <w:rsid w:val="00DB2963"/>
    <w:rsid w:val="00DB296A"/>
    <w:rsid w:val="00DB29DB"/>
    <w:rsid w:val="00DB2CE8"/>
    <w:rsid w:val="00DB2E74"/>
    <w:rsid w:val="00DB2ECD"/>
    <w:rsid w:val="00DB303E"/>
    <w:rsid w:val="00DB31CA"/>
    <w:rsid w:val="00DB3497"/>
    <w:rsid w:val="00DB3596"/>
    <w:rsid w:val="00DB369A"/>
    <w:rsid w:val="00DB36C2"/>
    <w:rsid w:val="00DB3870"/>
    <w:rsid w:val="00DB3915"/>
    <w:rsid w:val="00DB399D"/>
    <w:rsid w:val="00DB39F5"/>
    <w:rsid w:val="00DB3AE4"/>
    <w:rsid w:val="00DB3C87"/>
    <w:rsid w:val="00DB3F65"/>
    <w:rsid w:val="00DB41E8"/>
    <w:rsid w:val="00DB436D"/>
    <w:rsid w:val="00DB45D4"/>
    <w:rsid w:val="00DB45EC"/>
    <w:rsid w:val="00DB46EB"/>
    <w:rsid w:val="00DB485D"/>
    <w:rsid w:val="00DB4917"/>
    <w:rsid w:val="00DB4B2C"/>
    <w:rsid w:val="00DB4B7D"/>
    <w:rsid w:val="00DB4BAB"/>
    <w:rsid w:val="00DB4E34"/>
    <w:rsid w:val="00DB4E50"/>
    <w:rsid w:val="00DB4F8D"/>
    <w:rsid w:val="00DB50B6"/>
    <w:rsid w:val="00DB5188"/>
    <w:rsid w:val="00DB5275"/>
    <w:rsid w:val="00DB5458"/>
    <w:rsid w:val="00DB5588"/>
    <w:rsid w:val="00DB5625"/>
    <w:rsid w:val="00DB57BB"/>
    <w:rsid w:val="00DB594B"/>
    <w:rsid w:val="00DB5AEC"/>
    <w:rsid w:val="00DB5B7D"/>
    <w:rsid w:val="00DB5D9B"/>
    <w:rsid w:val="00DB5E50"/>
    <w:rsid w:val="00DB5E93"/>
    <w:rsid w:val="00DB5F07"/>
    <w:rsid w:val="00DB60E2"/>
    <w:rsid w:val="00DB623C"/>
    <w:rsid w:val="00DB62C8"/>
    <w:rsid w:val="00DB647A"/>
    <w:rsid w:val="00DB6524"/>
    <w:rsid w:val="00DB666C"/>
    <w:rsid w:val="00DB6673"/>
    <w:rsid w:val="00DB66A7"/>
    <w:rsid w:val="00DB67DD"/>
    <w:rsid w:val="00DB6884"/>
    <w:rsid w:val="00DB6885"/>
    <w:rsid w:val="00DB69BC"/>
    <w:rsid w:val="00DB6D0F"/>
    <w:rsid w:val="00DB6DB0"/>
    <w:rsid w:val="00DB705E"/>
    <w:rsid w:val="00DB71AF"/>
    <w:rsid w:val="00DB7456"/>
    <w:rsid w:val="00DB7469"/>
    <w:rsid w:val="00DB7494"/>
    <w:rsid w:val="00DB74B9"/>
    <w:rsid w:val="00DB7651"/>
    <w:rsid w:val="00DB76D7"/>
    <w:rsid w:val="00DB76EC"/>
    <w:rsid w:val="00DB7967"/>
    <w:rsid w:val="00DB7AA6"/>
    <w:rsid w:val="00DB7C04"/>
    <w:rsid w:val="00DB7CC4"/>
    <w:rsid w:val="00DB7E82"/>
    <w:rsid w:val="00DB7F8F"/>
    <w:rsid w:val="00DC0125"/>
    <w:rsid w:val="00DC0150"/>
    <w:rsid w:val="00DC02FF"/>
    <w:rsid w:val="00DC0496"/>
    <w:rsid w:val="00DC05B5"/>
    <w:rsid w:val="00DC0645"/>
    <w:rsid w:val="00DC0677"/>
    <w:rsid w:val="00DC09D4"/>
    <w:rsid w:val="00DC0B07"/>
    <w:rsid w:val="00DC0D08"/>
    <w:rsid w:val="00DC10A5"/>
    <w:rsid w:val="00DC13D7"/>
    <w:rsid w:val="00DC14F0"/>
    <w:rsid w:val="00DC16B5"/>
    <w:rsid w:val="00DC1751"/>
    <w:rsid w:val="00DC1945"/>
    <w:rsid w:val="00DC1B0D"/>
    <w:rsid w:val="00DC1DE5"/>
    <w:rsid w:val="00DC1E39"/>
    <w:rsid w:val="00DC20A9"/>
    <w:rsid w:val="00DC2180"/>
    <w:rsid w:val="00DC2334"/>
    <w:rsid w:val="00DC24AE"/>
    <w:rsid w:val="00DC251B"/>
    <w:rsid w:val="00DC261B"/>
    <w:rsid w:val="00DC2750"/>
    <w:rsid w:val="00DC2A41"/>
    <w:rsid w:val="00DC2ADE"/>
    <w:rsid w:val="00DC2B7D"/>
    <w:rsid w:val="00DC2E2F"/>
    <w:rsid w:val="00DC2EF6"/>
    <w:rsid w:val="00DC2F8E"/>
    <w:rsid w:val="00DC303C"/>
    <w:rsid w:val="00DC305B"/>
    <w:rsid w:val="00DC30A2"/>
    <w:rsid w:val="00DC3265"/>
    <w:rsid w:val="00DC35FC"/>
    <w:rsid w:val="00DC364B"/>
    <w:rsid w:val="00DC3AAF"/>
    <w:rsid w:val="00DC3BEA"/>
    <w:rsid w:val="00DC3C67"/>
    <w:rsid w:val="00DC3D84"/>
    <w:rsid w:val="00DC3DE0"/>
    <w:rsid w:val="00DC3FA1"/>
    <w:rsid w:val="00DC4390"/>
    <w:rsid w:val="00DC44FC"/>
    <w:rsid w:val="00DC494B"/>
    <w:rsid w:val="00DC49EF"/>
    <w:rsid w:val="00DC4A9C"/>
    <w:rsid w:val="00DC4B6A"/>
    <w:rsid w:val="00DC4CFE"/>
    <w:rsid w:val="00DC4D19"/>
    <w:rsid w:val="00DC504E"/>
    <w:rsid w:val="00DC52C5"/>
    <w:rsid w:val="00DC55EF"/>
    <w:rsid w:val="00DC583D"/>
    <w:rsid w:val="00DC5B9A"/>
    <w:rsid w:val="00DC5BC9"/>
    <w:rsid w:val="00DC5BCD"/>
    <w:rsid w:val="00DC5C6C"/>
    <w:rsid w:val="00DC5C72"/>
    <w:rsid w:val="00DC5C94"/>
    <w:rsid w:val="00DC5D05"/>
    <w:rsid w:val="00DC5D87"/>
    <w:rsid w:val="00DC5DE9"/>
    <w:rsid w:val="00DC633B"/>
    <w:rsid w:val="00DC640F"/>
    <w:rsid w:val="00DC6485"/>
    <w:rsid w:val="00DC6691"/>
    <w:rsid w:val="00DC68C9"/>
    <w:rsid w:val="00DC6A66"/>
    <w:rsid w:val="00DC6BC7"/>
    <w:rsid w:val="00DC7018"/>
    <w:rsid w:val="00DC7048"/>
    <w:rsid w:val="00DC70F8"/>
    <w:rsid w:val="00DC743E"/>
    <w:rsid w:val="00DC7479"/>
    <w:rsid w:val="00DC75BE"/>
    <w:rsid w:val="00DC7618"/>
    <w:rsid w:val="00DC771A"/>
    <w:rsid w:val="00DC772D"/>
    <w:rsid w:val="00DC79E9"/>
    <w:rsid w:val="00DC7A24"/>
    <w:rsid w:val="00DC7ECD"/>
    <w:rsid w:val="00DC7FAB"/>
    <w:rsid w:val="00DD0068"/>
    <w:rsid w:val="00DD0329"/>
    <w:rsid w:val="00DD0455"/>
    <w:rsid w:val="00DD0456"/>
    <w:rsid w:val="00DD04C8"/>
    <w:rsid w:val="00DD0833"/>
    <w:rsid w:val="00DD0A0F"/>
    <w:rsid w:val="00DD0C6C"/>
    <w:rsid w:val="00DD0CC3"/>
    <w:rsid w:val="00DD0DD8"/>
    <w:rsid w:val="00DD0DEF"/>
    <w:rsid w:val="00DD0F79"/>
    <w:rsid w:val="00DD0F8F"/>
    <w:rsid w:val="00DD0FB2"/>
    <w:rsid w:val="00DD1071"/>
    <w:rsid w:val="00DD1555"/>
    <w:rsid w:val="00DD16DB"/>
    <w:rsid w:val="00DD190D"/>
    <w:rsid w:val="00DD1981"/>
    <w:rsid w:val="00DD19A3"/>
    <w:rsid w:val="00DD1A7E"/>
    <w:rsid w:val="00DD1AD1"/>
    <w:rsid w:val="00DD1B1B"/>
    <w:rsid w:val="00DD1B85"/>
    <w:rsid w:val="00DD1D53"/>
    <w:rsid w:val="00DD1EB5"/>
    <w:rsid w:val="00DD1ECF"/>
    <w:rsid w:val="00DD22D8"/>
    <w:rsid w:val="00DD23C1"/>
    <w:rsid w:val="00DD252C"/>
    <w:rsid w:val="00DD2659"/>
    <w:rsid w:val="00DD2C4D"/>
    <w:rsid w:val="00DD2CC6"/>
    <w:rsid w:val="00DD2CEE"/>
    <w:rsid w:val="00DD2D5D"/>
    <w:rsid w:val="00DD3065"/>
    <w:rsid w:val="00DD30BB"/>
    <w:rsid w:val="00DD31D5"/>
    <w:rsid w:val="00DD32DC"/>
    <w:rsid w:val="00DD33C3"/>
    <w:rsid w:val="00DD33DB"/>
    <w:rsid w:val="00DD3543"/>
    <w:rsid w:val="00DD363A"/>
    <w:rsid w:val="00DD3787"/>
    <w:rsid w:val="00DD37AF"/>
    <w:rsid w:val="00DD391A"/>
    <w:rsid w:val="00DD3BA5"/>
    <w:rsid w:val="00DD3BF7"/>
    <w:rsid w:val="00DD3C9C"/>
    <w:rsid w:val="00DD3FB3"/>
    <w:rsid w:val="00DD3FDE"/>
    <w:rsid w:val="00DD416E"/>
    <w:rsid w:val="00DD4236"/>
    <w:rsid w:val="00DD42DC"/>
    <w:rsid w:val="00DD447D"/>
    <w:rsid w:val="00DD4682"/>
    <w:rsid w:val="00DD46DB"/>
    <w:rsid w:val="00DD4736"/>
    <w:rsid w:val="00DD4830"/>
    <w:rsid w:val="00DD4A2F"/>
    <w:rsid w:val="00DD4C21"/>
    <w:rsid w:val="00DD4D9C"/>
    <w:rsid w:val="00DD4E8D"/>
    <w:rsid w:val="00DD4EAB"/>
    <w:rsid w:val="00DD5128"/>
    <w:rsid w:val="00DD5376"/>
    <w:rsid w:val="00DD53E6"/>
    <w:rsid w:val="00DD5405"/>
    <w:rsid w:val="00DD5600"/>
    <w:rsid w:val="00DD5635"/>
    <w:rsid w:val="00DD5707"/>
    <w:rsid w:val="00DD5922"/>
    <w:rsid w:val="00DD5CED"/>
    <w:rsid w:val="00DD5F68"/>
    <w:rsid w:val="00DD60F2"/>
    <w:rsid w:val="00DD617D"/>
    <w:rsid w:val="00DD61BE"/>
    <w:rsid w:val="00DD621E"/>
    <w:rsid w:val="00DD6246"/>
    <w:rsid w:val="00DD6302"/>
    <w:rsid w:val="00DD6310"/>
    <w:rsid w:val="00DD63D8"/>
    <w:rsid w:val="00DD64A9"/>
    <w:rsid w:val="00DD6541"/>
    <w:rsid w:val="00DD6606"/>
    <w:rsid w:val="00DD6924"/>
    <w:rsid w:val="00DD692C"/>
    <w:rsid w:val="00DD69AD"/>
    <w:rsid w:val="00DD6B18"/>
    <w:rsid w:val="00DD6BF2"/>
    <w:rsid w:val="00DD6CCA"/>
    <w:rsid w:val="00DD6E4D"/>
    <w:rsid w:val="00DD6E74"/>
    <w:rsid w:val="00DD6F3C"/>
    <w:rsid w:val="00DD7847"/>
    <w:rsid w:val="00DD7965"/>
    <w:rsid w:val="00DD7990"/>
    <w:rsid w:val="00DD7B6D"/>
    <w:rsid w:val="00DD7E48"/>
    <w:rsid w:val="00DD7EFB"/>
    <w:rsid w:val="00DD7FDC"/>
    <w:rsid w:val="00DE0086"/>
    <w:rsid w:val="00DE0144"/>
    <w:rsid w:val="00DE01CD"/>
    <w:rsid w:val="00DE02A9"/>
    <w:rsid w:val="00DE033C"/>
    <w:rsid w:val="00DE04A8"/>
    <w:rsid w:val="00DE04E0"/>
    <w:rsid w:val="00DE057B"/>
    <w:rsid w:val="00DE05C2"/>
    <w:rsid w:val="00DE06E0"/>
    <w:rsid w:val="00DE070C"/>
    <w:rsid w:val="00DE07E3"/>
    <w:rsid w:val="00DE0B31"/>
    <w:rsid w:val="00DE0C15"/>
    <w:rsid w:val="00DE0CA9"/>
    <w:rsid w:val="00DE0EB7"/>
    <w:rsid w:val="00DE0EFD"/>
    <w:rsid w:val="00DE0F5B"/>
    <w:rsid w:val="00DE0FE2"/>
    <w:rsid w:val="00DE18EE"/>
    <w:rsid w:val="00DE18F7"/>
    <w:rsid w:val="00DE190A"/>
    <w:rsid w:val="00DE198A"/>
    <w:rsid w:val="00DE199B"/>
    <w:rsid w:val="00DE1F85"/>
    <w:rsid w:val="00DE1FDF"/>
    <w:rsid w:val="00DE20C1"/>
    <w:rsid w:val="00DE214A"/>
    <w:rsid w:val="00DE23CE"/>
    <w:rsid w:val="00DE25B1"/>
    <w:rsid w:val="00DE2628"/>
    <w:rsid w:val="00DE26E6"/>
    <w:rsid w:val="00DE278A"/>
    <w:rsid w:val="00DE2DF8"/>
    <w:rsid w:val="00DE2E16"/>
    <w:rsid w:val="00DE3050"/>
    <w:rsid w:val="00DE319D"/>
    <w:rsid w:val="00DE3299"/>
    <w:rsid w:val="00DE3343"/>
    <w:rsid w:val="00DE37D7"/>
    <w:rsid w:val="00DE39C4"/>
    <w:rsid w:val="00DE3A30"/>
    <w:rsid w:val="00DE3A48"/>
    <w:rsid w:val="00DE3AD4"/>
    <w:rsid w:val="00DE3BD9"/>
    <w:rsid w:val="00DE3E65"/>
    <w:rsid w:val="00DE3EE2"/>
    <w:rsid w:val="00DE42A4"/>
    <w:rsid w:val="00DE42A7"/>
    <w:rsid w:val="00DE42E2"/>
    <w:rsid w:val="00DE4360"/>
    <w:rsid w:val="00DE4536"/>
    <w:rsid w:val="00DE47BB"/>
    <w:rsid w:val="00DE484D"/>
    <w:rsid w:val="00DE4A82"/>
    <w:rsid w:val="00DE4B05"/>
    <w:rsid w:val="00DE4C4B"/>
    <w:rsid w:val="00DE4CD2"/>
    <w:rsid w:val="00DE4EC4"/>
    <w:rsid w:val="00DE4EE8"/>
    <w:rsid w:val="00DE4F99"/>
    <w:rsid w:val="00DE5158"/>
    <w:rsid w:val="00DE51B3"/>
    <w:rsid w:val="00DE55FF"/>
    <w:rsid w:val="00DE5612"/>
    <w:rsid w:val="00DE5828"/>
    <w:rsid w:val="00DE5BD9"/>
    <w:rsid w:val="00DE5EC2"/>
    <w:rsid w:val="00DE5EE3"/>
    <w:rsid w:val="00DE5F6F"/>
    <w:rsid w:val="00DE5FB0"/>
    <w:rsid w:val="00DE60B5"/>
    <w:rsid w:val="00DE6113"/>
    <w:rsid w:val="00DE63C4"/>
    <w:rsid w:val="00DE6682"/>
    <w:rsid w:val="00DE67FD"/>
    <w:rsid w:val="00DE6953"/>
    <w:rsid w:val="00DE69C7"/>
    <w:rsid w:val="00DE6A58"/>
    <w:rsid w:val="00DE6A7B"/>
    <w:rsid w:val="00DE6B5A"/>
    <w:rsid w:val="00DE6CC9"/>
    <w:rsid w:val="00DE6E61"/>
    <w:rsid w:val="00DE6FCC"/>
    <w:rsid w:val="00DE7042"/>
    <w:rsid w:val="00DE705A"/>
    <w:rsid w:val="00DE706B"/>
    <w:rsid w:val="00DE70AC"/>
    <w:rsid w:val="00DE70EE"/>
    <w:rsid w:val="00DE71B9"/>
    <w:rsid w:val="00DE7258"/>
    <w:rsid w:val="00DE7387"/>
    <w:rsid w:val="00DE7487"/>
    <w:rsid w:val="00DE756B"/>
    <w:rsid w:val="00DE78F3"/>
    <w:rsid w:val="00DE79D3"/>
    <w:rsid w:val="00DE7B39"/>
    <w:rsid w:val="00DE7F03"/>
    <w:rsid w:val="00DE7F7A"/>
    <w:rsid w:val="00DF0097"/>
    <w:rsid w:val="00DF0134"/>
    <w:rsid w:val="00DF0211"/>
    <w:rsid w:val="00DF071F"/>
    <w:rsid w:val="00DF0764"/>
    <w:rsid w:val="00DF083C"/>
    <w:rsid w:val="00DF085E"/>
    <w:rsid w:val="00DF0891"/>
    <w:rsid w:val="00DF0AF4"/>
    <w:rsid w:val="00DF0B82"/>
    <w:rsid w:val="00DF0ED6"/>
    <w:rsid w:val="00DF0F1F"/>
    <w:rsid w:val="00DF104C"/>
    <w:rsid w:val="00DF12AE"/>
    <w:rsid w:val="00DF1445"/>
    <w:rsid w:val="00DF1679"/>
    <w:rsid w:val="00DF1839"/>
    <w:rsid w:val="00DF188F"/>
    <w:rsid w:val="00DF1990"/>
    <w:rsid w:val="00DF1E1F"/>
    <w:rsid w:val="00DF1F9B"/>
    <w:rsid w:val="00DF1FE2"/>
    <w:rsid w:val="00DF2056"/>
    <w:rsid w:val="00DF2080"/>
    <w:rsid w:val="00DF22FD"/>
    <w:rsid w:val="00DF2333"/>
    <w:rsid w:val="00DF24D9"/>
    <w:rsid w:val="00DF2570"/>
    <w:rsid w:val="00DF2652"/>
    <w:rsid w:val="00DF2673"/>
    <w:rsid w:val="00DF2686"/>
    <w:rsid w:val="00DF2782"/>
    <w:rsid w:val="00DF2817"/>
    <w:rsid w:val="00DF297E"/>
    <w:rsid w:val="00DF2B2E"/>
    <w:rsid w:val="00DF2BA1"/>
    <w:rsid w:val="00DF2BF2"/>
    <w:rsid w:val="00DF2E82"/>
    <w:rsid w:val="00DF2F4B"/>
    <w:rsid w:val="00DF2F9D"/>
    <w:rsid w:val="00DF306D"/>
    <w:rsid w:val="00DF327C"/>
    <w:rsid w:val="00DF329E"/>
    <w:rsid w:val="00DF3358"/>
    <w:rsid w:val="00DF340A"/>
    <w:rsid w:val="00DF3A3F"/>
    <w:rsid w:val="00DF3B73"/>
    <w:rsid w:val="00DF3BB2"/>
    <w:rsid w:val="00DF3F0B"/>
    <w:rsid w:val="00DF45FD"/>
    <w:rsid w:val="00DF4630"/>
    <w:rsid w:val="00DF467E"/>
    <w:rsid w:val="00DF478B"/>
    <w:rsid w:val="00DF4836"/>
    <w:rsid w:val="00DF48E3"/>
    <w:rsid w:val="00DF49B0"/>
    <w:rsid w:val="00DF4C03"/>
    <w:rsid w:val="00DF4C56"/>
    <w:rsid w:val="00DF4D41"/>
    <w:rsid w:val="00DF4D73"/>
    <w:rsid w:val="00DF4E5D"/>
    <w:rsid w:val="00DF5175"/>
    <w:rsid w:val="00DF5186"/>
    <w:rsid w:val="00DF554A"/>
    <w:rsid w:val="00DF55C3"/>
    <w:rsid w:val="00DF55F1"/>
    <w:rsid w:val="00DF594B"/>
    <w:rsid w:val="00DF5A46"/>
    <w:rsid w:val="00DF602A"/>
    <w:rsid w:val="00DF6196"/>
    <w:rsid w:val="00DF6374"/>
    <w:rsid w:val="00DF652C"/>
    <w:rsid w:val="00DF65A3"/>
    <w:rsid w:val="00DF66C5"/>
    <w:rsid w:val="00DF6700"/>
    <w:rsid w:val="00DF69D1"/>
    <w:rsid w:val="00DF6BD4"/>
    <w:rsid w:val="00DF6C2B"/>
    <w:rsid w:val="00DF6EAF"/>
    <w:rsid w:val="00DF6EFE"/>
    <w:rsid w:val="00DF6F4D"/>
    <w:rsid w:val="00DF7087"/>
    <w:rsid w:val="00DF71A3"/>
    <w:rsid w:val="00DF77A2"/>
    <w:rsid w:val="00DF784A"/>
    <w:rsid w:val="00DF78AB"/>
    <w:rsid w:val="00DF798A"/>
    <w:rsid w:val="00DF7A3A"/>
    <w:rsid w:val="00DF7AD0"/>
    <w:rsid w:val="00DF7F7F"/>
    <w:rsid w:val="00E00448"/>
    <w:rsid w:val="00E005CC"/>
    <w:rsid w:val="00E007E8"/>
    <w:rsid w:val="00E00983"/>
    <w:rsid w:val="00E00A6B"/>
    <w:rsid w:val="00E00B23"/>
    <w:rsid w:val="00E00B9B"/>
    <w:rsid w:val="00E00E73"/>
    <w:rsid w:val="00E00E82"/>
    <w:rsid w:val="00E01030"/>
    <w:rsid w:val="00E0117D"/>
    <w:rsid w:val="00E011BA"/>
    <w:rsid w:val="00E0131B"/>
    <w:rsid w:val="00E013CD"/>
    <w:rsid w:val="00E014C7"/>
    <w:rsid w:val="00E01610"/>
    <w:rsid w:val="00E01644"/>
    <w:rsid w:val="00E017FB"/>
    <w:rsid w:val="00E01857"/>
    <w:rsid w:val="00E018D5"/>
    <w:rsid w:val="00E019D4"/>
    <w:rsid w:val="00E01BFC"/>
    <w:rsid w:val="00E01C46"/>
    <w:rsid w:val="00E01C63"/>
    <w:rsid w:val="00E01FB0"/>
    <w:rsid w:val="00E02355"/>
    <w:rsid w:val="00E02382"/>
    <w:rsid w:val="00E02763"/>
    <w:rsid w:val="00E02813"/>
    <w:rsid w:val="00E0283F"/>
    <w:rsid w:val="00E02900"/>
    <w:rsid w:val="00E029D4"/>
    <w:rsid w:val="00E029F7"/>
    <w:rsid w:val="00E02A62"/>
    <w:rsid w:val="00E02B87"/>
    <w:rsid w:val="00E02CAC"/>
    <w:rsid w:val="00E0310F"/>
    <w:rsid w:val="00E03125"/>
    <w:rsid w:val="00E03184"/>
    <w:rsid w:val="00E03324"/>
    <w:rsid w:val="00E035DE"/>
    <w:rsid w:val="00E036B8"/>
    <w:rsid w:val="00E038B3"/>
    <w:rsid w:val="00E03977"/>
    <w:rsid w:val="00E03AEA"/>
    <w:rsid w:val="00E03B96"/>
    <w:rsid w:val="00E03C2E"/>
    <w:rsid w:val="00E03C98"/>
    <w:rsid w:val="00E03DE1"/>
    <w:rsid w:val="00E03F97"/>
    <w:rsid w:val="00E04140"/>
    <w:rsid w:val="00E0417F"/>
    <w:rsid w:val="00E041BD"/>
    <w:rsid w:val="00E04272"/>
    <w:rsid w:val="00E042F2"/>
    <w:rsid w:val="00E04362"/>
    <w:rsid w:val="00E04404"/>
    <w:rsid w:val="00E045D9"/>
    <w:rsid w:val="00E046C5"/>
    <w:rsid w:val="00E047A8"/>
    <w:rsid w:val="00E048D0"/>
    <w:rsid w:val="00E04B17"/>
    <w:rsid w:val="00E04B38"/>
    <w:rsid w:val="00E04B6E"/>
    <w:rsid w:val="00E04D95"/>
    <w:rsid w:val="00E04E37"/>
    <w:rsid w:val="00E05231"/>
    <w:rsid w:val="00E057F6"/>
    <w:rsid w:val="00E05864"/>
    <w:rsid w:val="00E058D4"/>
    <w:rsid w:val="00E05941"/>
    <w:rsid w:val="00E05FA6"/>
    <w:rsid w:val="00E05FFE"/>
    <w:rsid w:val="00E06220"/>
    <w:rsid w:val="00E063D7"/>
    <w:rsid w:val="00E063DE"/>
    <w:rsid w:val="00E063EA"/>
    <w:rsid w:val="00E0645F"/>
    <w:rsid w:val="00E06520"/>
    <w:rsid w:val="00E065AD"/>
    <w:rsid w:val="00E065DD"/>
    <w:rsid w:val="00E0675F"/>
    <w:rsid w:val="00E0677D"/>
    <w:rsid w:val="00E0679E"/>
    <w:rsid w:val="00E0690F"/>
    <w:rsid w:val="00E06916"/>
    <w:rsid w:val="00E06994"/>
    <w:rsid w:val="00E06B94"/>
    <w:rsid w:val="00E06C85"/>
    <w:rsid w:val="00E06D23"/>
    <w:rsid w:val="00E06EA6"/>
    <w:rsid w:val="00E07293"/>
    <w:rsid w:val="00E07343"/>
    <w:rsid w:val="00E073DC"/>
    <w:rsid w:val="00E07407"/>
    <w:rsid w:val="00E07689"/>
    <w:rsid w:val="00E0769B"/>
    <w:rsid w:val="00E07726"/>
    <w:rsid w:val="00E0776D"/>
    <w:rsid w:val="00E07837"/>
    <w:rsid w:val="00E07B84"/>
    <w:rsid w:val="00E07BD4"/>
    <w:rsid w:val="00E07BD5"/>
    <w:rsid w:val="00E07DA7"/>
    <w:rsid w:val="00E10174"/>
    <w:rsid w:val="00E102A7"/>
    <w:rsid w:val="00E10330"/>
    <w:rsid w:val="00E108BC"/>
    <w:rsid w:val="00E109B1"/>
    <w:rsid w:val="00E10A07"/>
    <w:rsid w:val="00E10AAD"/>
    <w:rsid w:val="00E10B5C"/>
    <w:rsid w:val="00E10CD3"/>
    <w:rsid w:val="00E113F9"/>
    <w:rsid w:val="00E11503"/>
    <w:rsid w:val="00E1166E"/>
    <w:rsid w:val="00E11760"/>
    <w:rsid w:val="00E11764"/>
    <w:rsid w:val="00E119E8"/>
    <w:rsid w:val="00E119E9"/>
    <w:rsid w:val="00E11CA1"/>
    <w:rsid w:val="00E11DB1"/>
    <w:rsid w:val="00E11DC3"/>
    <w:rsid w:val="00E11DE7"/>
    <w:rsid w:val="00E11FCF"/>
    <w:rsid w:val="00E1207F"/>
    <w:rsid w:val="00E1208E"/>
    <w:rsid w:val="00E12229"/>
    <w:rsid w:val="00E12343"/>
    <w:rsid w:val="00E1236D"/>
    <w:rsid w:val="00E12914"/>
    <w:rsid w:val="00E12973"/>
    <w:rsid w:val="00E129C3"/>
    <w:rsid w:val="00E129E7"/>
    <w:rsid w:val="00E12B9D"/>
    <w:rsid w:val="00E12BB7"/>
    <w:rsid w:val="00E12C10"/>
    <w:rsid w:val="00E12FB5"/>
    <w:rsid w:val="00E1326D"/>
    <w:rsid w:val="00E13466"/>
    <w:rsid w:val="00E136A5"/>
    <w:rsid w:val="00E136B1"/>
    <w:rsid w:val="00E139CE"/>
    <w:rsid w:val="00E13F61"/>
    <w:rsid w:val="00E13FFE"/>
    <w:rsid w:val="00E1412B"/>
    <w:rsid w:val="00E141EC"/>
    <w:rsid w:val="00E1421B"/>
    <w:rsid w:val="00E14266"/>
    <w:rsid w:val="00E14682"/>
    <w:rsid w:val="00E14792"/>
    <w:rsid w:val="00E147F8"/>
    <w:rsid w:val="00E14A03"/>
    <w:rsid w:val="00E14C33"/>
    <w:rsid w:val="00E14DAE"/>
    <w:rsid w:val="00E15009"/>
    <w:rsid w:val="00E15097"/>
    <w:rsid w:val="00E15193"/>
    <w:rsid w:val="00E151F0"/>
    <w:rsid w:val="00E151F7"/>
    <w:rsid w:val="00E155FA"/>
    <w:rsid w:val="00E1562E"/>
    <w:rsid w:val="00E15D23"/>
    <w:rsid w:val="00E15D82"/>
    <w:rsid w:val="00E15DD4"/>
    <w:rsid w:val="00E15DDF"/>
    <w:rsid w:val="00E15EF6"/>
    <w:rsid w:val="00E16061"/>
    <w:rsid w:val="00E16105"/>
    <w:rsid w:val="00E1625B"/>
    <w:rsid w:val="00E1637F"/>
    <w:rsid w:val="00E16600"/>
    <w:rsid w:val="00E1662F"/>
    <w:rsid w:val="00E166E4"/>
    <w:rsid w:val="00E1675A"/>
    <w:rsid w:val="00E16815"/>
    <w:rsid w:val="00E1683E"/>
    <w:rsid w:val="00E16864"/>
    <w:rsid w:val="00E16881"/>
    <w:rsid w:val="00E169CD"/>
    <w:rsid w:val="00E16C3E"/>
    <w:rsid w:val="00E16D30"/>
    <w:rsid w:val="00E16FD0"/>
    <w:rsid w:val="00E1708F"/>
    <w:rsid w:val="00E1735D"/>
    <w:rsid w:val="00E17519"/>
    <w:rsid w:val="00E17647"/>
    <w:rsid w:val="00E177AE"/>
    <w:rsid w:val="00E178DC"/>
    <w:rsid w:val="00E178F2"/>
    <w:rsid w:val="00E17AC0"/>
    <w:rsid w:val="00E17F51"/>
    <w:rsid w:val="00E20264"/>
    <w:rsid w:val="00E20293"/>
    <w:rsid w:val="00E205A2"/>
    <w:rsid w:val="00E205CF"/>
    <w:rsid w:val="00E209EA"/>
    <w:rsid w:val="00E20A76"/>
    <w:rsid w:val="00E20BDE"/>
    <w:rsid w:val="00E20C71"/>
    <w:rsid w:val="00E20D02"/>
    <w:rsid w:val="00E20D9A"/>
    <w:rsid w:val="00E2117B"/>
    <w:rsid w:val="00E21196"/>
    <w:rsid w:val="00E213FB"/>
    <w:rsid w:val="00E21428"/>
    <w:rsid w:val="00E214A0"/>
    <w:rsid w:val="00E21560"/>
    <w:rsid w:val="00E217A2"/>
    <w:rsid w:val="00E2186C"/>
    <w:rsid w:val="00E2192D"/>
    <w:rsid w:val="00E21A6A"/>
    <w:rsid w:val="00E21AFA"/>
    <w:rsid w:val="00E21C11"/>
    <w:rsid w:val="00E21C89"/>
    <w:rsid w:val="00E21E0E"/>
    <w:rsid w:val="00E22391"/>
    <w:rsid w:val="00E224F4"/>
    <w:rsid w:val="00E22581"/>
    <w:rsid w:val="00E22771"/>
    <w:rsid w:val="00E2280E"/>
    <w:rsid w:val="00E2283C"/>
    <w:rsid w:val="00E22895"/>
    <w:rsid w:val="00E228DE"/>
    <w:rsid w:val="00E22956"/>
    <w:rsid w:val="00E22989"/>
    <w:rsid w:val="00E22A64"/>
    <w:rsid w:val="00E22AFB"/>
    <w:rsid w:val="00E22FA5"/>
    <w:rsid w:val="00E23165"/>
    <w:rsid w:val="00E23208"/>
    <w:rsid w:val="00E23968"/>
    <w:rsid w:val="00E23A73"/>
    <w:rsid w:val="00E23AC0"/>
    <w:rsid w:val="00E23B7A"/>
    <w:rsid w:val="00E23DE3"/>
    <w:rsid w:val="00E23EBD"/>
    <w:rsid w:val="00E23F16"/>
    <w:rsid w:val="00E23F2D"/>
    <w:rsid w:val="00E24333"/>
    <w:rsid w:val="00E24393"/>
    <w:rsid w:val="00E243A2"/>
    <w:rsid w:val="00E24427"/>
    <w:rsid w:val="00E245C5"/>
    <w:rsid w:val="00E24758"/>
    <w:rsid w:val="00E24985"/>
    <w:rsid w:val="00E249C0"/>
    <w:rsid w:val="00E24A2A"/>
    <w:rsid w:val="00E24DF0"/>
    <w:rsid w:val="00E24E46"/>
    <w:rsid w:val="00E24FCD"/>
    <w:rsid w:val="00E2520C"/>
    <w:rsid w:val="00E2599A"/>
    <w:rsid w:val="00E25AEE"/>
    <w:rsid w:val="00E25CE5"/>
    <w:rsid w:val="00E25D9E"/>
    <w:rsid w:val="00E260DD"/>
    <w:rsid w:val="00E262A9"/>
    <w:rsid w:val="00E262EB"/>
    <w:rsid w:val="00E26345"/>
    <w:rsid w:val="00E26366"/>
    <w:rsid w:val="00E26378"/>
    <w:rsid w:val="00E2654D"/>
    <w:rsid w:val="00E2696D"/>
    <w:rsid w:val="00E27034"/>
    <w:rsid w:val="00E270AE"/>
    <w:rsid w:val="00E270CA"/>
    <w:rsid w:val="00E27279"/>
    <w:rsid w:val="00E272C7"/>
    <w:rsid w:val="00E27364"/>
    <w:rsid w:val="00E273A1"/>
    <w:rsid w:val="00E27628"/>
    <w:rsid w:val="00E2763D"/>
    <w:rsid w:val="00E2771C"/>
    <w:rsid w:val="00E27B23"/>
    <w:rsid w:val="00E27C84"/>
    <w:rsid w:val="00E2FEC4"/>
    <w:rsid w:val="00E30421"/>
    <w:rsid w:val="00E3055A"/>
    <w:rsid w:val="00E306B5"/>
    <w:rsid w:val="00E30A90"/>
    <w:rsid w:val="00E30C25"/>
    <w:rsid w:val="00E30F96"/>
    <w:rsid w:val="00E310C0"/>
    <w:rsid w:val="00E3112B"/>
    <w:rsid w:val="00E31483"/>
    <w:rsid w:val="00E314DD"/>
    <w:rsid w:val="00E3151A"/>
    <w:rsid w:val="00E317C2"/>
    <w:rsid w:val="00E31835"/>
    <w:rsid w:val="00E3193C"/>
    <w:rsid w:val="00E31990"/>
    <w:rsid w:val="00E319D7"/>
    <w:rsid w:val="00E31A20"/>
    <w:rsid w:val="00E31BCE"/>
    <w:rsid w:val="00E31BD4"/>
    <w:rsid w:val="00E31CFC"/>
    <w:rsid w:val="00E31E06"/>
    <w:rsid w:val="00E31EBF"/>
    <w:rsid w:val="00E32333"/>
    <w:rsid w:val="00E323CE"/>
    <w:rsid w:val="00E325E4"/>
    <w:rsid w:val="00E326F2"/>
    <w:rsid w:val="00E32962"/>
    <w:rsid w:val="00E32AEB"/>
    <w:rsid w:val="00E32B77"/>
    <w:rsid w:val="00E32D73"/>
    <w:rsid w:val="00E32DCC"/>
    <w:rsid w:val="00E32EA5"/>
    <w:rsid w:val="00E32EDE"/>
    <w:rsid w:val="00E32FA7"/>
    <w:rsid w:val="00E32FCE"/>
    <w:rsid w:val="00E33072"/>
    <w:rsid w:val="00E3307E"/>
    <w:rsid w:val="00E33086"/>
    <w:rsid w:val="00E3313C"/>
    <w:rsid w:val="00E3328E"/>
    <w:rsid w:val="00E33356"/>
    <w:rsid w:val="00E336EC"/>
    <w:rsid w:val="00E3374A"/>
    <w:rsid w:val="00E33788"/>
    <w:rsid w:val="00E33958"/>
    <w:rsid w:val="00E33C8F"/>
    <w:rsid w:val="00E33CA1"/>
    <w:rsid w:val="00E33CEA"/>
    <w:rsid w:val="00E33D37"/>
    <w:rsid w:val="00E33F9C"/>
    <w:rsid w:val="00E33F9E"/>
    <w:rsid w:val="00E34064"/>
    <w:rsid w:val="00E3417A"/>
    <w:rsid w:val="00E341BD"/>
    <w:rsid w:val="00E343D9"/>
    <w:rsid w:val="00E3457B"/>
    <w:rsid w:val="00E345DB"/>
    <w:rsid w:val="00E346A0"/>
    <w:rsid w:val="00E34842"/>
    <w:rsid w:val="00E34983"/>
    <w:rsid w:val="00E34CDD"/>
    <w:rsid w:val="00E34DA1"/>
    <w:rsid w:val="00E34E2D"/>
    <w:rsid w:val="00E34ED1"/>
    <w:rsid w:val="00E34F08"/>
    <w:rsid w:val="00E34F6C"/>
    <w:rsid w:val="00E34FDF"/>
    <w:rsid w:val="00E351C5"/>
    <w:rsid w:val="00E3528F"/>
    <w:rsid w:val="00E352DA"/>
    <w:rsid w:val="00E35349"/>
    <w:rsid w:val="00E3535C"/>
    <w:rsid w:val="00E353C3"/>
    <w:rsid w:val="00E3545D"/>
    <w:rsid w:val="00E355AE"/>
    <w:rsid w:val="00E356A3"/>
    <w:rsid w:val="00E3574A"/>
    <w:rsid w:val="00E35A3F"/>
    <w:rsid w:val="00E35A46"/>
    <w:rsid w:val="00E35B1B"/>
    <w:rsid w:val="00E35C02"/>
    <w:rsid w:val="00E35C67"/>
    <w:rsid w:val="00E35C79"/>
    <w:rsid w:val="00E35F1A"/>
    <w:rsid w:val="00E36086"/>
    <w:rsid w:val="00E3608B"/>
    <w:rsid w:val="00E36123"/>
    <w:rsid w:val="00E3618E"/>
    <w:rsid w:val="00E36225"/>
    <w:rsid w:val="00E36229"/>
    <w:rsid w:val="00E36236"/>
    <w:rsid w:val="00E3624A"/>
    <w:rsid w:val="00E363A2"/>
    <w:rsid w:val="00E363F8"/>
    <w:rsid w:val="00E3644D"/>
    <w:rsid w:val="00E365B2"/>
    <w:rsid w:val="00E36935"/>
    <w:rsid w:val="00E36942"/>
    <w:rsid w:val="00E36974"/>
    <w:rsid w:val="00E36C3E"/>
    <w:rsid w:val="00E36CCD"/>
    <w:rsid w:val="00E36D8B"/>
    <w:rsid w:val="00E3742A"/>
    <w:rsid w:val="00E37594"/>
    <w:rsid w:val="00E376DD"/>
    <w:rsid w:val="00E37945"/>
    <w:rsid w:val="00E37949"/>
    <w:rsid w:val="00E37B1A"/>
    <w:rsid w:val="00E37B90"/>
    <w:rsid w:val="00E37BFC"/>
    <w:rsid w:val="00E37D43"/>
    <w:rsid w:val="00E37F75"/>
    <w:rsid w:val="00E40109"/>
    <w:rsid w:val="00E401BA"/>
    <w:rsid w:val="00E40395"/>
    <w:rsid w:val="00E40533"/>
    <w:rsid w:val="00E405B8"/>
    <w:rsid w:val="00E407B3"/>
    <w:rsid w:val="00E408D2"/>
    <w:rsid w:val="00E408D4"/>
    <w:rsid w:val="00E4099A"/>
    <w:rsid w:val="00E40CEE"/>
    <w:rsid w:val="00E410A1"/>
    <w:rsid w:val="00E411D8"/>
    <w:rsid w:val="00E412D9"/>
    <w:rsid w:val="00E413C5"/>
    <w:rsid w:val="00E41498"/>
    <w:rsid w:val="00E4154E"/>
    <w:rsid w:val="00E41576"/>
    <w:rsid w:val="00E41628"/>
    <w:rsid w:val="00E418C2"/>
    <w:rsid w:val="00E4193B"/>
    <w:rsid w:val="00E41A0F"/>
    <w:rsid w:val="00E41C0C"/>
    <w:rsid w:val="00E41FDC"/>
    <w:rsid w:val="00E42281"/>
    <w:rsid w:val="00E422B9"/>
    <w:rsid w:val="00E423E4"/>
    <w:rsid w:val="00E426D6"/>
    <w:rsid w:val="00E426F0"/>
    <w:rsid w:val="00E42813"/>
    <w:rsid w:val="00E42A09"/>
    <w:rsid w:val="00E42C2C"/>
    <w:rsid w:val="00E42CB6"/>
    <w:rsid w:val="00E42CBF"/>
    <w:rsid w:val="00E42CE5"/>
    <w:rsid w:val="00E42D6B"/>
    <w:rsid w:val="00E42D9D"/>
    <w:rsid w:val="00E43231"/>
    <w:rsid w:val="00E43288"/>
    <w:rsid w:val="00E432F3"/>
    <w:rsid w:val="00E4330C"/>
    <w:rsid w:val="00E435D8"/>
    <w:rsid w:val="00E43766"/>
    <w:rsid w:val="00E43767"/>
    <w:rsid w:val="00E43AE1"/>
    <w:rsid w:val="00E43D71"/>
    <w:rsid w:val="00E43F9C"/>
    <w:rsid w:val="00E440ED"/>
    <w:rsid w:val="00E4448D"/>
    <w:rsid w:val="00E44512"/>
    <w:rsid w:val="00E446CB"/>
    <w:rsid w:val="00E446DF"/>
    <w:rsid w:val="00E4491A"/>
    <w:rsid w:val="00E449C0"/>
    <w:rsid w:val="00E44AFF"/>
    <w:rsid w:val="00E44E61"/>
    <w:rsid w:val="00E44E89"/>
    <w:rsid w:val="00E44FAE"/>
    <w:rsid w:val="00E44FAF"/>
    <w:rsid w:val="00E45210"/>
    <w:rsid w:val="00E45252"/>
    <w:rsid w:val="00E45270"/>
    <w:rsid w:val="00E453D5"/>
    <w:rsid w:val="00E454B2"/>
    <w:rsid w:val="00E45826"/>
    <w:rsid w:val="00E458B7"/>
    <w:rsid w:val="00E4592B"/>
    <w:rsid w:val="00E45985"/>
    <w:rsid w:val="00E45A36"/>
    <w:rsid w:val="00E45B82"/>
    <w:rsid w:val="00E45BCE"/>
    <w:rsid w:val="00E45CCA"/>
    <w:rsid w:val="00E45DB4"/>
    <w:rsid w:val="00E45DE1"/>
    <w:rsid w:val="00E45FE1"/>
    <w:rsid w:val="00E465F6"/>
    <w:rsid w:val="00E466C1"/>
    <w:rsid w:val="00E466EF"/>
    <w:rsid w:val="00E46BFF"/>
    <w:rsid w:val="00E46DCF"/>
    <w:rsid w:val="00E46F96"/>
    <w:rsid w:val="00E4707E"/>
    <w:rsid w:val="00E471A7"/>
    <w:rsid w:val="00E4740E"/>
    <w:rsid w:val="00E47487"/>
    <w:rsid w:val="00E475AC"/>
    <w:rsid w:val="00E47880"/>
    <w:rsid w:val="00E478F9"/>
    <w:rsid w:val="00E479C4"/>
    <w:rsid w:val="00E47B57"/>
    <w:rsid w:val="00E47EAC"/>
    <w:rsid w:val="00E50145"/>
    <w:rsid w:val="00E502C7"/>
    <w:rsid w:val="00E50551"/>
    <w:rsid w:val="00E50664"/>
    <w:rsid w:val="00E50AE5"/>
    <w:rsid w:val="00E50AEA"/>
    <w:rsid w:val="00E50B57"/>
    <w:rsid w:val="00E50B5D"/>
    <w:rsid w:val="00E50C17"/>
    <w:rsid w:val="00E50D28"/>
    <w:rsid w:val="00E50F44"/>
    <w:rsid w:val="00E5108D"/>
    <w:rsid w:val="00E51407"/>
    <w:rsid w:val="00E51513"/>
    <w:rsid w:val="00E51616"/>
    <w:rsid w:val="00E517E5"/>
    <w:rsid w:val="00E51807"/>
    <w:rsid w:val="00E51DDD"/>
    <w:rsid w:val="00E51FE8"/>
    <w:rsid w:val="00E52364"/>
    <w:rsid w:val="00E52452"/>
    <w:rsid w:val="00E5250A"/>
    <w:rsid w:val="00E5252E"/>
    <w:rsid w:val="00E5275D"/>
    <w:rsid w:val="00E52D06"/>
    <w:rsid w:val="00E53048"/>
    <w:rsid w:val="00E53213"/>
    <w:rsid w:val="00E53285"/>
    <w:rsid w:val="00E532C7"/>
    <w:rsid w:val="00E53559"/>
    <w:rsid w:val="00E53592"/>
    <w:rsid w:val="00E53595"/>
    <w:rsid w:val="00E535D3"/>
    <w:rsid w:val="00E53642"/>
    <w:rsid w:val="00E53770"/>
    <w:rsid w:val="00E53896"/>
    <w:rsid w:val="00E5389A"/>
    <w:rsid w:val="00E538B1"/>
    <w:rsid w:val="00E53A1F"/>
    <w:rsid w:val="00E53D42"/>
    <w:rsid w:val="00E53E0D"/>
    <w:rsid w:val="00E53FEA"/>
    <w:rsid w:val="00E5402F"/>
    <w:rsid w:val="00E5425A"/>
    <w:rsid w:val="00E542D4"/>
    <w:rsid w:val="00E54365"/>
    <w:rsid w:val="00E54516"/>
    <w:rsid w:val="00E54917"/>
    <w:rsid w:val="00E5492A"/>
    <w:rsid w:val="00E54973"/>
    <w:rsid w:val="00E54981"/>
    <w:rsid w:val="00E54AD0"/>
    <w:rsid w:val="00E54D50"/>
    <w:rsid w:val="00E54E01"/>
    <w:rsid w:val="00E54E63"/>
    <w:rsid w:val="00E54E77"/>
    <w:rsid w:val="00E54EA5"/>
    <w:rsid w:val="00E55068"/>
    <w:rsid w:val="00E55233"/>
    <w:rsid w:val="00E5537E"/>
    <w:rsid w:val="00E554B7"/>
    <w:rsid w:val="00E55543"/>
    <w:rsid w:val="00E5564E"/>
    <w:rsid w:val="00E55827"/>
    <w:rsid w:val="00E5592C"/>
    <w:rsid w:val="00E55934"/>
    <w:rsid w:val="00E55978"/>
    <w:rsid w:val="00E5597A"/>
    <w:rsid w:val="00E55A35"/>
    <w:rsid w:val="00E55ABB"/>
    <w:rsid w:val="00E55C1F"/>
    <w:rsid w:val="00E55E6E"/>
    <w:rsid w:val="00E55F29"/>
    <w:rsid w:val="00E561BA"/>
    <w:rsid w:val="00E561D1"/>
    <w:rsid w:val="00E56293"/>
    <w:rsid w:val="00E562D2"/>
    <w:rsid w:val="00E56393"/>
    <w:rsid w:val="00E5644F"/>
    <w:rsid w:val="00E564B6"/>
    <w:rsid w:val="00E5651C"/>
    <w:rsid w:val="00E565D7"/>
    <w:rsid w:val="00E566B5"/>
    <w:rsid w:val="00E566B8"/>
    <w:rsid w:val="00E5686D"/>
    <w:rsid w:val="00E568CA"/>
    <w:rsid w:val="00E569C7"/>
    <w:rsid w:val="00E56C7A"/>
    <w:rsid w:val="00E56D48"/>
    <w:rsid w:val="00E56DE3"/>
    <w:rsid w:val="00E57034"/>
    <w:rsid w:val="00E5731B"/>
    <w:rsid w:val="00E57463"/>
    <w:rsid w:val="00E5753D"/>
    <w:rsid w:val="00E5792D"/>
    <w:rsid w:val="00E57A2B"/>
    <w:rsid w:val="00E57C14"/>
    <w:rsid w:val="00E57C80"/>
    <w:rsid w:val="00E57D26"/>
    <w:rsid w:val="00E600B1"/>
    <w:rsid w:val="00E6038C"/>
    <w:rsid w:val="00E605DE"/>
    <w:rsid w:val="00E607DB"/>
    <w:rsid w:val="00E60824"/>
    <w:rsid w:val="00E60876"/>
    <w:rsid w:val="00E609F0"/>
    <w:rsid w:val="00E60A32"/>
    <w:rsid w:val="00E60BCA"/>
    <w:rsid w:val="00E60C57"/>
    <w:rsid w:val="00E60F52"/>
    <w:rsid w:val="00E60FA8"/>
    <w:rsid w:val="00E611F8"/>
    <w:rsid w:val="00E6121B"/>
    <w:rsid w:val="00E6134C"/>
    <w:rsid w:val="00E61F9E"/>
    <w:rsid w:val="00E61FC2"/>
    <w:rsid w:val="00E62260"/>
    <w:rsid w:val="00E62266"/>
    <w:rsid w:val="00E62510"/>
    <w:rsid w:val="00E62B3E"/>
    <w:rsid w:val="00E62C85"/>
    <w:rsid w:val="00E62D09"/>
    <w:rsid w:val="00E62D83"/>
    <w:rsid w:val="00E62F2D"/>
    <w:rsid w:val="00E62FEA"/>
    <w:rsid w:val="00E63134"/>
    <w:rsid w:val="00E633E8"/>
    <w:rsid w:val="00E6359F"/>
    <w:rsid w:val="00E63A38"/>
    <w:rsid w:val="00E63A73"/>
    <w:rsid w:val="00E63BAB"/>
    <w:rsid w:val="00E63D0E"/>
    <w:rsid w:val="00E63E77"/>
    <w:rsid w:val="00E644E0"/>
    <w:rsid w:val="00E64602"/>
    <w:rsid w:val="00E64621"/>
    <w:rsid w:val="00E64763"/>
    <w:rsid w:val="00E647AE"/>
    <w:rsid w:val="00E647DF"/>
    <w:rsid w:val="00E64A9A"/>
    <w:rsid w:val="00E64AF0"/>
    <w:rsid w:val="00E64B30"/>
    <w:rsid w:val="00E64BF2"/>
    <w:rsid w:val="00E64F13"/>
    <w:rsid w:val="00E6510E"/>
    <w:rsid w:val="00E6519D"/>
    <w:rsid w:val="00E651B0"/>
    <w:rsid w:val="00E65456"/>
    <w:rsid w:val="00E65615"/>
    <w:rsid w:val="00E656CC"/>
    <w:rsid w:val="00E658BF"/>
    <w:rsid w:val="00E659E5"/>
    <w:rsid w:val="00E65B6C"/>
    <w:rsid w:val="00E65D7D"/>
    <w:rsid w:val="00E66059"/>
    <w:rsid w:val="00E666EF"/>
    <w:rsid w:val="00E66BA0"/>
    <w:rsid w:val="00E66C3F"/>
    <w:rsid w:val="00E66F89"/>
    <w:rsid w:val="00E66FB9"/>
    <w:rsid w:val="00E6735D"/>
    <w:rsid w:val="00E6754A"/>
    <w:rsid w:val="00E67567"/>
    <w:rsid w:val="00E67903"/>
    <w:rsid w:val="00E67938"/>
    <w:rsid w:val="00E67999"/>
    <w:rsid w:val="00E67B1D"/>
    <w:rsid w:val="00E67B60"/>
    <w:rsid w:val="00E67D46"/>
    <w:rsid w:val="00E67D90"/>
    <w:rsid w:val="00E67F7F"/>
    <w:rsid w:val="00E67FA0"/>
    <w:rsid w:val="00E70123"/>
    <w:rsid w:val="00E702AF"/>
    <w:rsid w:val="00E705D7"/>
    <w:rsid w:val="00E70E0E"/>
    <w:rsid w:val="00E71040"/>
    <w:rsid w:val="00E71060"/>
    <w:rsid w:val="00E710FF"/>
    <w:rsid w:val="00E7129F"/>
    <w:rsid w:val="00E713D8"/>
    <w:rsid w:val="00E713E9"/>
    <w:rsid w:val="00E717EC"/>
    <w:rsid w:val="00E71A1F"/>
    <w:rsid w:val="00E71ABC"/>
    <w:rsid w:val="00E71CF5"/>
    <w:rsid w:val="00E71F73"/>
    <w:rsid w:val="00E72149"/>
    <w:rsid w:val="00E72335"/>
    <w:rsid w:val="00E725EA"/>
    <w:rsid w:val="00E726E8"/>
    <w:rsid w:val="00E72803"/>
    <w:rsid w:val="00E72931"/>
    <w:rsid w:val="00E7293B"/>
    <w:rsid w:val="00E729D8"/>
    <w:rsid w:val="00E72AB7"/>
    <w:rsid w:val="00E72B42"/>
    <w:rsid w:val="00E72B79"/>
    <w:rsid w:val="00E72E6E"/>
    <w:rsid w:val="00E72F66"/>
    <w:rsid w:val="00E7301B"/>
    <w:rsid w:val="00E7305D"/>
    <w:rsid w:val="00E73066"/>
    <w:rsid w:val="00E730A7"/>
    <w:rsid w:val="00E73258"/>
    <w:rsid w:val="00E7347D"/>
    <w:rsid w:val="00E73608"/>
    <w:rsid w:val="00E73678"/>
    <w:rsid w:val="00E73777"/>
    <w:rsid w:val="00E73831"/>
    <w:rsid w:val="00E7386E"/>
    <w:rsid w:val="00E73A03"/>
    <w:rsid w:val="00E73A82"/>
    <w:rsid w:val="00E73D69"/>
    <w:rsid w:val="00E73FD3"/>
    <w:rsid w:val="00E740CA"/>
    <w:rsid w:val="00E74485"/>
    <w:rsid w:val="00E744FF"/>
    <w:rsid w:val="00E74749"/>
    <w:rsid w:val="00E748B3"/>
    <w:rsid w:val="00E74D1C"/>
    <w:rsid w:val="00E74DC5"/>
    <w:rsid w:val="00E74ECA"/>
    <w:rsid w:val="00E7506F"/>
    <w:rsid w:val="00E751D0"/>
    <w:rsid w:val="00E751E5"/>
    <w:rsid w:val="00E75222"/>
    <w:rsid w:val="00E752E1"/>
    <w:rsid w:val="00E75380"/>
    <w:rsid w:val="00E75389"/>
    <w:rsid w:val="00E756CF"/>
    <w:rsid w:val="00E7578C"/>
    <w:rsid w:val="00E75901"/>
    <w:rsid w:val="00E75D7B"/>
    <w:rsid w:val="00E75DBB"/>
    <w:rsid w:val="00E76013"/>
    <w:rsid w:val="00E76115"/>
    <w:rsid w:val="00E762BF"/>
    <w:rsid w:val="00E7665D"/>
    <w:rsid w:val="00E76670"/>
    <w:rsid w:val="00E766DF"/>
    <w:rsid w:val="00E76738"/>
    <w:rsid w:val="00E7681A"/>
    <w:rsid w:val="00E76840"/>
    <w:rsid w:val="00E76964"/>
    <w:rsid w:val="00E76C7B"/>
    <w:rsid w:val="00E76F60"/>
    <w:rsid w:val="00E77593"/>
    <w:rsid w:val="00E7759E"/>
    <w:rsid w:val="00E776E0"/>
    <w:rsid w:val="00E77AB8"/>
    <w:rsid w:val="00E77AE6"/>
    <w:rsid w:val="00E77AEE"/>
    <w:rsid w:val="00E77BAF"/>
    <w:rsid w:val="00E77E9B"/>
    <w:rsid w:val="00E7B89D"/>
    <w:rsid w:val="00E8002B"/>
    <w:rsid w:val="00E8022C"/>
    <w:rsid w:val="00E802B3"/>
    <w:rsid w:val="00E80338"/>
    <w:rsid w:val="00E8042A"/>
    <w:rsid w:val="00E804F7"/>
    <w:rsid w:val="00E804F9"/>
    <w:rsid w:val="00E80ABC"/>
    <w:rsid w:val="00E80BBE"/>
    <w:rsid w:val="00E81090"/>
    <w:rsid w:val="00E81140"/>
    <w:rsid w:val="00E8116D"/>
    <w:rsid w:val="00E811D0"/>
    <w:rsid w:val="00E8147F"/>
    <w:rsid w:val="00E815E5"/>
    <w:rsid w:val="00E8172C"/>
    <w:rsid w:val="00E81B22"/>
    <w:rsid w:val="00E81E7E"/>
    <w:rsid w:val="00E81F35"/>
    <w:rsid w:val="00E81FBE"/>
    <w:rsid w:val="00E82002"/>
    <w:rsid w:val="00E8204B"/>
    <w:rsid w:val="00E82198"/>
    <w:rsid w:val="00E8220A"/>
    <w:rsid w:val="00E82219"/>
    <w:rsid w:val="00E823D5"/>
    <w:rsid w:val="00E82557"/>
    <w:rsid w:val="00E825E0"/>
    <w:rsid w:val="00E827BC"/>
    <w:rsid w:val="00E82A56"/>
    <w:rsid w:val="00E82B1A"/>
    <w:rsid w:val="00E82B3D"/>
    <w:rsid w:val="00E82B8E"/>
    <w:rsid w:val="00E82C9C"/>
    <w:rsid w:val="00E82CA8"/>
    <w:rsid w:val="00E82CDD"/>
    <w:rsid w:val="00E82D6B"/>
    <w:rsid w:val="00E82EB5"/>
    <w:rsid w:val="00E82F6D"/>
    <w:rsid w:val="00E837D1"/>
    <w:rsid w:val="00E8381A"/>
    <w:rsid w:val="00E83873"/>
    <w:rsid w:val="00E83D8A"/>
    <w:rsid w:val="00E83E22"/>
    <w:rsid w:val="00E83E8B"/>
    <w:rsid w:val="00E84100"/>
    <w:rsid w:val="00E84125"/>
    <w:rsid w:val="00E841D4"/>
    <w:rsid w:val="00E84384"/>
    <w:rsid w:val="00E84549"/>
    <w:rsid w:val="00E845D7"/>
    <w:rsid w:val="00E8468E"/>
    <w:rsid w:val="00E846E0"/>
    <w:rsid w:val="00E8475B"/>
    <w:rsid w:val="00E847D3"/>
    <w:rsid w:val="00E8485E"/>
    <w:rsid w:val="00E848E0"/>
    <w:rsid w:val="00E84D6F"/>
    <w:rsid w:val="00E84DC5"/>
    <w:rsid w:val="00E8503D"/>
    <w:rsid w:val="00E8523B"/>
    <w:rsid w:val="00E854E9"/>
    <w:rsid w:val="00E856D3"/>
    <w:rsid w:val="00E856FD"/>
    <w:rsid w:val="00E8599F"/>
    <w:rsid w:val="00E859B3"/>
    <w:rsid w:val="00E859E5"/>
    <w:rsid w:val="00E85A02"/>
    <w:rsid w:val="00E85CE6"/>
    <w:rsid w:val="00E85DFB"/>
    <w:rsid w:val="00E85EBB"/>
    <w:rsid w:val="00E85EDB"/>
    <w:rsid w:val="00E860B2"/>
    <w:rsid w:val="00E86334"/>
    <w:rsid w:val="00E86440"/>
    <w:rsid w:val="00E864A9"/>
    <w:rsid w:val="00E8655F"/>
    <w:rsid w:val="00E867E3"/>
    <w:rsid w:val="00E86802"/>
    <w:rsid w:val="00E8688D"/>
    <w:rsid w:val="00E8692C"/>
    <w:rsid w:val="00E86A49"/>
    <w:rsid w:val="00E86AE6"/>
    <w:rsid w:val="00E86B6A"/>
    <w:rsid w:val="00E86BBE"/>
    <w:rsid w:val="00E86E35"/>
    <w:rsid w:val="00E86FCE"/>
    <w:rsid w:val="00E87020"/>
    <w:rsid w:val="00E87051"/>
    <w:rsid w:val="00E87086"/>
    <w:rsid w:val="00E8725E"/>
    <w:rsid w:val="00E874D4"/>
    <w:rsid w:val="00E87790"/>
    <w:rsid w:val="00E87810"/>
    <w:rsid w:val="00E8783A"/>
    <w:rsid w:val="00E87B10"/>
    <w:rsid w:val="00E87C38"/>
    <w:rsid w:val="00E87C89"/>
    <w:rsid w:val="00E87D85"/>
    <w:rsid w:val="00E87DF3"/>
    <w:rsid w:val="00E87FA1"/>
    <w:rsid w:val="00E901C8"/>
    <w:rsid w:val="00E9031F"/>
    <w:rsid w:val="00E903C9"/>
    <w:rsid w:val="00E905A6"/>
    <w:rsid w:val="00E90677"/>
    <w:rsid w:val="00E90731"/>
    <w:rsid w:val="00E90793"/>
    <w:rsid w:val="00E90B6C"/>
    <w:rsid w:val="00E90D53"/>
    <w:rsid w:val="00E910CD"/>
    <w:rsid w:val="00E913E8"/>
    <w:rsid w:val="00E91469"/>
    <w:rsid w:val="00E914A8"/>
    <w:rsid w:val="00E916ED"/>
    <w:rsid w:val="00E91974"/>
    <w:rsid w:val="00E919B3"/>
    <w:rsid w:val="00E91C70"/>
    <w:rsid w:val="00E920D2"/>
    <w:rsid w:val="00E92533"/>
    <w:rsid w:val="00E9259D"/>
    <w:rsid w:val="00E928B6"/>
    <w:rsid w:val="00E92AFE"/>
    <w:rsid w:val="00E92BE5"/>
    <w:rsid w:val="00E92CE6"/>
    <w:rsid w:val="00E92DFE"/>
    <w:rsid w:val="00E92F7B"/>
    <w:rsid w:val="00E931BF"/>
    <w:rsid w:val="00E932D9"/>
    <w:rsid w:val="00E93371"/>
    <w:rsid w:val="00E9344F"/>
    <w:rsid w:val="00E93590"/>
    <w:rsid w:val="00E936D7"/>
    <w:rsid w:val="00E93958"/>
    <w:rsid w:val="00E93961"/>
    <w:rsid w:val="00E93EC1"/>
    <w:rsid w:val="00E94008"/>
    <w:rsid w:val="00E94245"/>
    <w:rsid w:val="00E94774"/>
    <w:rsid w:val="00E947BC"/>
    <w:rsid w:val="00E947DB"/>
    <w:rsid w:val="00E94C3C"/>
    <w:rsid w:val="00E94C45"/>
    <w:rsid w:val="00E94C47"/>
    <w:rsid w:val="00E94D15"/>
    <w:rsid w:val="00E9530F"/>
    <w:rsid w:val="00E9531B"/>
    <w:rsid w:val="00E95388"/>
    <w:rsid w:val="00E9548A"/>
    <w:rsid w:val="00E9548D"/>
    <w:rsid w:val="00E95571"/>
    <w:rsid w:val="00E95660"/>
    <w:rsid w:val="00E956BA"/>
    <w:rsid w:val="00E956CA"/>
    <w:rsid w:val="00E956CB"/>
    <w:rsid w:val="00E9595C"/>
    <w:rsid w:val="00E95A84"/>
    <w:rsid w:val="00E95B39"/>
    <w:rsid w:val="00E95D5B"/>
    <w:rsid w:val="00E9613F"/>
    <w:rsid w:val="00E96226"/>
    <w:rsid w:val="00E96325"/>
    <w:rsid w:val="00E96455"/>
    <w:rsid w:val="00E966D3"/>
    <w:rsid w:val="00E96797"/>
    <w:rsid w:val="00E96936"/>
    <w:rsid w:val="00E96C7E"/>
    <w:rsid w:val="00E96CB5"/>
    <w:rsid w:val="00E96CBD"/>
    <w:rsid w:val="00E96DA4"/>
    <w:rsid w:val="00E97066"/>
    <w:rsid w:val="00E9734C"/>
    <w:rsid w:val="00E97409"/>
    <w:rsid w:val="00E974A1"/>
    <w:rsid w:val="00E974AB"/>
    <w:rsid w:val="00E974BF"/>
    <w:rsid w:val="00E974D9"/>
    <w:rsid w:val="00E97513"/>
    <w:rsid w:val="00E9764A"/>
    <w:rsid w:val="00E976A7"/>
    <w:rsid w:val="00E9781A"/>
    <w:rsid w:val="00E9781F"/>
    <w:rsid w:val="00E9785D"/>
    <w:rsid w:val="00E97868"/>
    <w:rsid w:val="00E9789E"/>
    <w:rsid w:val="00E978EB"/>
    <w:rsid w:val="00E97961"/>
    <w:rsid w:val="00E97BF4"/>
    <w:rsid w:val="00E97DD4"/>
    <w:rsid w:val="00E97E0E"/>
    <w:rsid w:val="00EA01C0"/>
    <w:rsid w:val="00EA0517"/>
    <w:rsid w:val="00EA056D"/>
    <w:rsid w:val="00EA05A2"/>
    <w:rsid w:val="00EA06F1"/>
    <w:rsid w:val="00EA06F7"/>
    <w:rsid w:val="00EA082E"/>
    <w:rsid w:val="00EA096F"/>
    <w:rsid w:val="00EA0AA6"/>
    <w:rsid w:val="00EA0B74"/>
    <w:rsid w:val="00EA0C3E"/>
    <w:rsid w:val="00EA0E67"/>
    <w:rsid w:val="00EA0EC0"/>
    <w:rsid w:val="00EA0EF9"/>
    <w:rsid w:val="00EA10A5"/>
    <w:rsid w:val="00EA10D9"/>
    <w:rsid w:val="00EA11BD"/>
    <w:rsid w:val="00EA138A"/>
    <w:rsid w:val="00EA13D8"/>
    <w:rsid w:val="00EA1441"/>
    <w:rsid w:val="00EA161F"/>
    <w:rsid w:val="00EA17BC"/>
    <w:rsid w:val="00EA19C2"/>
    <w:rsid w:val="00EA1A98"/>
    <w:rsid w:val="00EA1D50"/>
    <w:rsid w:val="00EA1E9D"/>
    <w:rsid w:val="00EA1F75"/>
    <w:rsid w:val="00EA1FD2"/>
    <w:rsid w:val="00EA2177"/>
    <w:rsid w:val="00EA23C5"/>
    <w:rsid w:val="00EA2483"/>
    <w:rsid w:val="00EA2674"/>
    <w:rsid w:val="00EA28DA"/>
    <w:rsid w:val="00EA2949"/>
    <w:rsid w:val="00EA2A88"/>
    <w:rsid w:val="00EA2BAB"/>
    <w:rsid w:val="00EA2BC4"/>
    <w:rsid w:val="00EA2C84"/>
    <w:rsid w:val="00EA2CF0"/>
    <w:rsid w:val="00EA2D9B"/>
    <w:rsid w:val="00EA2E7F"/>
    <w:rsid w:val="00EA3038"/>
    <w:rsid w:val="00EA30EC"/>
    <w:rsid w:val="00EA33CB"/>
    <w:rsid w:val="00EA3528"/>
    <w:rsid w:val="00EA3593"/>
    <w:rsid w:val="00EA35A6"/>
    <w:rsid w:val="00EA3622"/>
    <w:rsid w:val="00EA38E7"/>
    <w:rsid w:val="00EA39BE"/>
    <w:rsid w:val="00EA3A79"/>
    <w:rsid w:val="00EA3ADE"/>
    <w:rsid w:val="00EA3AEF"/>
    <w:rsid w:val="00EA3B27"/>
    <w:rsid w:val="00EA3E1E"/>
    <w:rsid w:val="00EA3E93"/>
    <w:rsid w:val="00EA3FBE"/>
    <w:rsid w:val="00EA408B"/>
    <w:rsid w:val="00EA422B"/>
    <w:rsid w:val="00EA44A7"/>
    <w:rsid w:val="00EA493B"/>
    <w:rsid w:val="00EA4964"/>
    <w:rsid w:val="00EA4CC7"/>
    <w:rsid w:val="00EA4E55"/>
    <w:rsid w:val="00EA4E6B"/>
    <w:rsid w:val="00EA4F95"/>
    <w:rsid w:val="00EA5167"/>
    <w:rsid w:val="00EA51CD"/>
    <w:rsid w:val="00EA5254"/>
    <w:rsid w:val="00EA5573"/>
    <w:rsid w:val="00EA5789"/>
    <w:rsid w:val="00EA57AA"/>
    <w:rsid w:val="00EA5AE0"/>
    <w:rsid w:val="00EA5C64"/>
    <w:rsid w:val="00EA5C8B"/>
    <w:rsid w:val="00EA5ED6"/>
    <w:rsid w:val="00EA5EF3"/>
    <w:rsid w:val="00EA5F16"/>
    <w:rsid w:val="00EA6183"/>
    <w:rsid w:val="00EA61F2"/>
    <w:rsid w:val="00EA6278"/>
    <w:rsid w:val="00EA6485"/>
    <w:rsid w:val="00EA6497"/>
    <w:rsid w:val="00EA64CC"/>
    <w:rsid w:val="00EA69DC"/>
    <w:rsid w:val="00EA6B5D"/>
    <w:rsid w:val="00EA70D6"/>
    <w:rsid w:val="00EA712A"/>
    <w:rsid w:val="00EA7427"/>
    <w:rsid w:val="00EA7739"/>
    <w:rsid w:val="00EA78FF"/>
    <w:rsid w:val="00EA79DD"/>
    <w:rsid w:val="00EA7B81"/>
    <w:rsid w:val="00EA7BD7"/>
    <w:rsid w:val="00EA7D1C"/>
    <w:rsid w:val="00EA7EF6"/>
    <w:rsid w:val="00EB002B"/>
    <w:rsid w:val="00EB0047"/>
    <w:rsid w:val="00EB0059"/>
    <w:rsid w:val="00EB02E9"/>
    <w:rsid w:val="00EB0353"/>
    <w:rsid w:val="00EB038A"/>
    <w:rsid w:val="00EB0395"/>
    <w:rsid w:val="00EB03A7"/>
    <w:rsid w:val="00EB03D2"/>
    <w:rsid w:val="00EB045F"/>
    <w:rsid w:val="00EB048A"/>
    <w:rsid w:val="00EB05CA"/>
    <w:rsid w:val="00EB0683"/>
    <w:rsid w:val="00EB0796"/>
    <w:rsid w:val="00EB08AE"/>
    <w:rsid w:val="00EB094A"/>
    <w:rsid w:val="00EB0A22"/>
    <w:rsid w:val="00EB0BB6"/>
    <w:rsid w:val="00EB0D70"/>
    <w:rsid w:val="00EB0E6C"/>
    <w:rsid w:val="00EB0E94"/>
    <w:rsid w:val="00EB111B"/>
    <w:rsid w:val="00EB112F"/>
    <w:rsid w:val="00EB114F"/>
    <w:rsid w:val="00EB1285"/>
    <w:rsid w:val="00EB138F"/>
    <w:rsid w:val="00EB140D"/>
    <w:rsid w:val="00EB141C"/>
    <w:rsid w:val="00EB15AF"/>
    <w:rsid w:val="00EB1611"/>
    <w:rsid w:val="00EB16E0"/>
    <w:rsid w:val="00EB1713"/>
    <w:rsid w:val="00EB18DF"/>
    <w:rsid w:val="00EB19FD"/>
    <w:rsid w:val="00EB1D74"/>
    <w:rsid w:val="00EB1E9A"/>
    <w:rsid w:val="00EB22E7"/>
    <w:rsid w:val="00EB2322"/>
    <w:rsid w:val="00EB246E"/>
    <w:rsid w:val="00EB26C3"/>
    <w:rsid w:val="00EB279B"/>
    <w:rsid w:val="00EB2804"/>
    <w:rsid w:val="00EB2927"/>
    <w:rsid w:val="00EB2940"/>
    <w:rsid w:val="00EB29AE"/>
    <w:rsid w:val="00EB2A46"/>
    <w:rsid w:val="00EB2A8E"/>
    <w:rsid w:val="00EB2B6C"/>
    <w:rsid w:val="00EB2BE3"/>
    <w:rsid w:val="00EB2C8F"/>
    <w:rsid w:val="00EB2CA5"/>
    <w:rsid w:val="00EB2CE1"/>
    <w:rsid w:val="00EB2E59"/>
    <w:rsid w:val="00EB2EC7"/>
    <w:rsid w:val="00EB3040"/>
    <w:rsid w:val="00EB3148"/>
    <w:rsid w:val="00EB31A5"/>
    <w:rsid w:val="00EB328C"/>
    <w:rsid w:val="00EB32B0"/>
    <w:rsid w:val="00EB3402"/>
    <w:rsid w:val="00EB3427"/>
    <w:rsid w:val="00EB3464"/>
    <w:rsid w:val="00EB3519"/>
    <w:rsid w:val="00EB352E"/>
    <w:rsid w:val="00EB371A"/>
    <w:rsid w:val="00EB3833"/>
    <w:rsid w:val="00EB38CE"/>
    <w:rsid w:val="00EB3955"/>
    <w:rsid w:val="00EB3C57"/>
    <w:rsid w:val="00EB3E6F"/>
    <w:rsid w:val="00EB417B"/>
    <w:rsid w:val="00EB419C"/>
    <w:rsid w:val="00EB43A8"/>
    <w:rsid w:val="00EB43FD"/>
    <w:rsid w:val="00EB44BE"/>
    <w:rsid w:val="00EB4682"/>
    <w:rsid w:val="00EB470F"/>
    <w:rsid w:val="00EB4756"/>
    <w:rsid w:val="00EB477D"/>
    <w:rsid w:val="00EB47F4"/>
    <w:rsid w:val="00EB4884"/>
    <w:rsid w:val="00EB4D16"/>
    <w:rsid w:val="00EB4F82"/>
    <w:rsid w:val="00EB5291"/>
    <w:rsid w:val="00EB5308"/>
    <w:rsid w:val="00EB535C"/>
    <w:rsid w:val="00EB53E5"/>
    <w:rsid w:val="00EB53EE"/>
    <w:rsid w:val="00EB5490"/>
    <w:rsid w:val="00EB55D5"/>
    <w:rsid w:val="00EB569A"/>
    <w:rsid w:val="00EB5AE6"/>
    <w:rsid w:val="00EB5AE8"/>
    <w:rsid w:val="00EB5B51"/>
    <w:rsid w:val="00EB5C72"/>
    <w:rsid w:val="00EB5D4F"/>
    <w:rsid w:val="00EB5DCB"/>
    <w:rsid w:val="00EB605B"/>
    <w:rsid w:val="00EB61E9"/>
    <w:rsid w:val="00EB6300"/>
    <w:rsid w:val="00EB63C4"/>
    <w:rsid w:val="00EB64D0"/>
    <w:rsid w:val="00EB6620"/>
    <w:rsid w:val="00EB6849"/>
    <w:rsid w:val="00EB6ADF"/>
    <w:rsid w:val="00EB6C66"/>
    <w:rsid w:val="00EB6E07"/>
    <w:rsid w:val="00EB6F17"/>
    <w:rsid w:val="00EB70E5"/>
    <w:rsid w:val="00EB72B7"/>
    <w:rsid w:val="00EB74CF"/>
    <w:rsid w:val="00EB7736"/>
    <w:rsid w:val="00EB7B01"/>
    <w:rsid w:val="00EB7B21"/>
    <w:rsid w:val="00EB7BE0"/>
    <w:rsid w:val="00EB7C56"/>
    <w:rsid w:val="00EB7FCF"/>
    <w:rsid w:val="00EC00FD"/>
    <w:rsid w:val="00EC022F"/>
    <w:rsid w:val="00EC03B5"/>
    <w:rsid w:val="00EC05CA"/>
    <w:rsid w:val="00EC06AB"/>
    <w:rsid w:val="00EC0822"/>
    <w:rsid w:val="00EC0919"/>
    <w:rsid w:val="00EC0966"/>
    <w:rsid w:val="00EC0999"/>
    <w:rsid w:val="00EC0DFB"/>
    <w:rsid w:val="00EC0E54"/>
    <w:rsid w:val="00EC0E5A"/>
    <w:rsid w:val="00EC0E60"/>
    <w:rsid w:val="00EC0FFA"/>
    <w:rsid w:val="00EC11B2"/>
    <w:rsid w:val="00EC131A"/>
    <w:rsid w:val="00EC132C"/>
    <w:rsid w:val="00EC15F9"/>
    <w:rsid w:val="00EC1816"/>
    <w:rsid w:val="00EC1AA4"/>
    <w:rsid w:val="00EC1BB3"/>
    <w:rsid w:val="00EC1BBB"/>
    <w:rsid w:val="00EC1F7F"/>
    <w:rsid w:val="00EC2110"/>
    <w:rsid w:val="00EC2151"/>
    <w:rsid w:val="00EC231D"/>
    <w:rsid w:val="00EC2454"/>
    <w:rsid w:val="00EC28E5"/>
    <w:rsid w:val="00EC2951"/>
    <w:rsid w:val="00EC2CED"/>
    <w:rsid w:val="00EC2D38"/>
    <w:rsid w:val="00EC2F19"/>
    <w:rsid w:val="00EC2F58"/>
    <w:rsid w:val="00EC32FF"/>
    <w:rsid w:val="00EC3327"/>
    <w:rsid w:val="00EC3412"/>
    <w:rsid w:val="00EC34D0"/>
    <w:rsid w:val="00EC3869"/>
    <w:rsid w:val="00EC3C57"/>
    <w:rsid w:val="00EC3DB3"/>
    <w:rsid w:val="00EC3E1A"/>
    <w:rsid w:val="00EC3FFB"/>
    <w:rsid w:val="00EC41CB"/>
    <w:rsid w:val="00EC440E"/>
    <w:rsid w:val="00EC44CA"/>
    <w:rsid w:val="00EC45C3"/>
    <w:rsid w:val="00EC49A2"/>
    <w:rsid w:val="00EC4AB0"/>
    <w:rsid w:val="00EC4ADF"/>
    <w:rsid w:val="00EC4F3F"/>
    <w:rsid w:val="00EC4FB6"/>
    <w:rsid w:val="00EC5140"/>
    <w:rsid w:val="00EC5183"/>
    <w:rsid w:val="00EC525F"/>
    <w:rsid w:val="00EC5336"/>
    <w:rsid w:val="00EC5532"/>
    <w:rsid w:val="00EC55E8"/>
    <w:rsid w:val="00EC5705"/>
    <w:rsid w:val="00EC57DA"/>
    <w:rsid w:val="00EC58C7"/>
    <w:rsid w:val="00EC5B68"/>
    <w:rsid w:val="00EC5BA3"/>
    <w:rsid w:val="00EC5E40"/>
    <w:rsid w:val="00EC5E4D"/>
    <w:rsid w:val="00EC5E69"/>
    <w:rsid w:val="00EC6104"/>
    <w:rsid w:val="00EC617C"/>
    <w:rsid w:val="00EC6332"/>
    <w:rsid w:val="00EC6350"/>
    <w:rsid w:val="00EC64F5"/>
    <w:rsid w:val="00EC65F7"/>
    <w:rsid w:val="00EC6872"/>
    <w:rsid w:val="00EC6932"/>
    <w:rsid w:val="00EC6A5B"/>
    <w:rsid w:val="00EC6A93"/>
    <w:rsid w:val="00EC6B4D"/>
    <w:rsid w:val="00EC6B93"/>
    <w:rsid w:val="00EC6E49"/>
    <w:rsid w:val="00EC70DE"/>
    <w:rsid w:val="00EC70E9"/>
    <w:rsid w:val="00EC72FA"/>
    <w:rsid w:val="00EC737C"/>
    <w:rsid w:val="00EC741D"/>
    <w:rsid w:val="00EC7596"/>
    <w:rsid w:val="00EC7785"/>
    <w:rsid w:val="00EC7938"/>
    <w:rsid w:val="00EC7CD6"/>
    <w:rsid w:val="00EC7ED2"/>
    <w:rsid w:val="00ED0151"/>
    <w:rsid w:val="00ED079B"/>
    <w:rsid w:val="00ED07B5"/>
    <w:rsid w:val="00ED0894"/>
    <w:rsid w:val="00ED0A80"/>
    <w:rsid w:val="00ED0B94"/>
    <w:rsid w:val="00ED0CD9"/>
    <w:rsid w:val="00ED1013"/>
    <w:rsid w:val="00ED10D3"/>
    <w:rsid w:val="00ED12E7"/>
    <w:rsid w:val="00ED1589"/>
    <w:rsid w:val="00ED15F1"/>
    <w:rsid w:val="00ED170E"/>
    <w:rsid w:val="00ED1B8C"/>
    <w:rsid w:val="00ED1DB8"/>
    <w:rsid w:val="00ED1F14"/>
    <w:rsid w:val="00ED1F22"/>
    <w:rsid w:val="00ED20DA"/>
    <w:rsid w:val="00ED2393"/>
    <w:rsid w:val="00ED2420"/>
    <w:rsid w:val="00ED2463"/>
    <w:rsid w:val="00ED2802"/>
    <w:rsid w:val="00ED28B3"/>
    <w:rsid w:val="00ED2A78"/>
    <w:rsid w:val="00ED2EDB"/>
    <w:rsid w:val="00ED2F1D"/>
    <w:rsid w:val="00ED2F80"/>
    <w:rsid w:val="00ED2F85"/>
    <w:rsid w:val="00ED2FBA"/>
    <w:rsid w:val="00ED31F3"/>
    <w:rsid w:val="00ED3726"/>
    <w:rsid w:val="00ED388B"/>
    <w:rsid w:val="00ED395E"/>
    <w:rsid w:val="00ED396F"/>
    <w:rsid w:val="00ED3A02"/>
    <w:rsid w:val="00ED3A8F"/>
    <w:rsid w:val="00ED3CAE"/>
    <w:rsid w:val="00ED4143"/>
    <w:rsid w:val="00ED4153"/>
    <w:rsid w:val="00ED419F"/>
    <w:rsid w:val="00ED4340"/>
    <w:rsid w:val="00ED448F"/>
    <w:rsid w:val="00ED44C6"/>
    <w:rsid w:val="00ED452F"/>
    <w:rsid w:val="00ED456E"/>
    <w:rsid w:val="00ED4755"/>
    <w:rsid w:val="00ED47C4"/>
    <w:rsid w:val="00ED48C7"/>
    <w:rsid w:val="00ED4B52"/>
    <w:rsid w:val="00ED4E31"/>
    <w:rsid w:val="00ED5284"/>
    <w:rsid w:val="00ED52C7"/>
    <w:rsid w:val="00ED5500"/>
    <w:rsid w:val="00ED55DA"/>
    <w:rsid w:val="00ED578B"/>
    <w:rsid w:val="00ED5869"/>
    <w:rsid w:val="00ED5889"/>
    <w:rsid w:val="00ED5BFE"/>
    <w:rsid w:val="00ED5C60"/>
    <w:rsid w:val="00ED5D0B"/>
    <w:rsid w:val="00ED5D68"/>
    <w:rsid w:val="00ED6040"/>
    <w:rsid w:val="00ED67EF"/>
    <w:rsid w:val="00ED686B"/>
    <w:rsid w:val="00ED68CF"/>
    <w:rsid w:val="00ED6A20"/>
    <w:rsid w:val="00ED6B48"/>
    <w:rsid w:val="00ED6E0F"/>
    <w:rsid w:val="00ED6F12"/>
    <w:rsid w:val="00ED7029"/>
    <w:rsid w:val="00ED707C"/>
    <w:rsid w:val="00ED750A"/>
    <w:rsid w:val="00ED7962"/>
    <w:rsid w:val="00ED79C6"/>
    <w:rsid w:val="00ED7A03"/>
    <w:rsid w:val="00ED7B1D"/>
    <w:rsid w:val="00ED7B40"/>
    <w:rsid w:val="00ED7C3B"/>
    <w:rsid w:val="00ED7F9A"/>
    <w:rsid w:val="00EE00D8"/>
    <w:rsid w:val="00EE011C"/>
    <w:rsid w:val="00EE0284"/>
    <w:rsid w:val="00EE02F6"/>
    <w:rsid w:val="00EE02FC"/>
    <w:rsid w:val="00EE040F"/>
    <w:rsid w:val="00EE064F"/>
    <w:rsid w:val="00EE085E"/>
    <w:rsid w:val="00EE0868"/>
    <w:rsid w:val="00EE08CC"/>
    <w:rsid w:val="00EE08DE"/>
    <w:rsid w:val="00EE09D0"/>
    <w:rsid w:val="00EE09F6"/>
    <w:rsid w:val="00EE0D7B"/>
    <w:rsid w:val="00EE0D97"/>
    <w:rsid w:val="00EE0F31"/>
    <w:rsid w:val="00EE1091"/>
    <w:rsid w:val="00EE10DB"/>
    <w:rsid w:val="00EE1105"/>
    <w:rsid w:val="00EE1130"/>
    <w:rsid w:val="00EE12AD"/>
    <w:rsid w:val="00EE1372"/>
    <w:rsid w:val="00EE1498"/>
    <w:rsid w:val="00EE1607"/>
    <w:rsid w:val="00EE16C8"/>
    <w:rsid w:val="00EE18D3"/>
    <w:rsid w:val="00EE199A"/>
    <w:rsid w:val="00EE1BFF"/>
    <w:rsid w:val="00EE1E60"/>
    <w:rsid w:val="00EE1F4E"/>
    <w:rsid w:val="00EE2450"/>
    <w:rsid w:val="00EE2559"/>
    <w:rsid w:val="00EE25FD"/>
    <w:rsid w:val="00EE291F"/>
    <w:rsid w:val="00EE29F9"/>
    <w:rsid w:val="00EE2A00"/>
    <w:rsid w:val="00EE2AAF"/>
    <w:rsid w:val="00EE2AF9"/>
    <w:rsid w:val="00EE2BFC"/>
    <w:rsid w:val="00EE2CC7"/>
    <w:rsid w:val="00EE2DD3"/>
    <w:rsid w:val="00EE2EC8"/>
    <w:rsid w:val="00EE2FE2"/>
    <w:rsid w:val="00EE318D"/>
    <w:rsid w:val="00EE3206"/>
    <w:rsid w:val="00EE329C"/>
    <w:rsid w:val="00EE3443"/>
    <w:rsid w:val="00EE34D8"/>
    <w:rsid w:val="00EE3591"/>
    <w:rsid w:val="00EE3751"/>
    <w:rsid w:val="00EE383C"/>
    <w:rsid w:val="00EE3893"/>
    <w:rsid w:val="00EE3A10"/>
    <w:rsid w:val="00EE3BC5"/>
    <w:rsid w:val="00EE41D0"/>
    <w:rsid w:val="00EE41DA"/>
    <w:rsid w:val="00EE440C"/>
    <w:rsid w:val="00EE466E"/>
    <w:rsid w:val="00EE4671"/>
    <w:rsid w:val="00EE4B2A"/>
    <w:rsid w:val="00EE502B"/>
    <w:rsid w:val="00EE5082"/>
    <w:rsid w:val="00EE530B"/>
    <w:rsid w:val="00EE53AA"/>
    <w:rsid w:val="00EE5518"/>
    <w:rsid w:val="00EE5693"/>
    <w:rsid w:val="00EE56CD"/>
    <w:rsid w:val="00EE585D"/>
    <w:rsid w:val="00EE58D3"/>
    <w:rsid w:val="00EE5907"/>
    <w:rsid w:val="00EE5AB5"/>
    <w:rsid w:val="00EE5B16"/>
    <w:rsid w:val="00EE5BBD"/>
    <w:rsid w:val="00EE5DB3"/>
    <w:rsid w:val="00EE5FD0"/>
    <w:rsid w:val="00EE631F"/>
    <w:rsid w:val="00EE63A7"/>
    <w:rsid w:val="00EE6428"/>
    <w:rsid w:val="00EE670A"/>
    <w:rsid w:val="00EE68C2"/>
    <w:rsid w:val="00EE6A4E"/>
    <w:rsid w:val="00EE6B32"/>
    <w:rsid w:val="00EE6BF8"/>
    <w:rsid w:val="00EE6EA8"/>
    <w:rsid w:val="00EE6EAB"/>
    <w:rsid w:val="00EE6EBA"/>
    <w:rsid w:val="00EE7095"/>
    <w:rsid w:val="00EE710B"/>
    <w:rsid w:val="00EE7153"/>
    <w:rsid w:val="00EE7194"/>
    <w:rsid w:val="00EE71D2"/>
    <w:rsid w:val="00EE76F7"/>
    <w:rsid w:val="00EE797C"/>
    <w:rsid w:val="00EE7AC5"/>
    <w:rsid w:val="00EE7B86"/>
    <w:rsid w:val="00EE7C66"/>
    <w:rsid w:val="00EE7F76"/>
    <w:rsid w:val="00EEE5B9"/>
    <w:rsid w:val="00EF00D3"/>
    <w:rsid w:val="00EF0282"/>
    <w:rsid w:val="00EF0458"/>
    <w:rsid w:val="00EF04BA"/>
    <w:rsid w:val="00EF04C1"/>
    <w:rsid w:val="00EF04C8"/>
    <w:rsid w:val="00EF0825"/>
    <w:rsid w:val="00EF082D"/>
    <w:rsid w:val="00EF08F7"/>
    <w:rsid w:val="00EF0B62"/>
    <w:rsid w:val="00EF0BEB"/>
    <w:rsid w:val="00EF0D4B"/>
    <w:rsid w:val="00EF10AA"/>
    <w:rsid w:val="00EF1238"/>
    <w:rsid w:val="00EF1263"/>
    <w:rsid w:val="00EF1288"/>
    <w:rsid w:val="00EF13BC"/>
    <w:rsid w:val="00EF166C"/>
    <w:rsid w:val="00EF168B"/>
    <w:rsid w:val="00EF1756"/>
    <w:rsid w:val="00EF17B6"/>
    <w:rsid w:val="00EF1819"/>
    <w:rsid w:val="00EF1856"/>
    <w:rsid w:val="00EF1989"/>
    <w:rsid w:val="00EF1C0B"/>
    <w:rsid w:val="00EF1C90"/>
    <w:rsid w:val="00EF1F17"/>
    <w:rsid w:val="00EF1F33"/>
    <w:rsid w:val="00EF2013"/>
    <w:rsid w:val="00EF2124"/>
    <w:rsid w:val="00EF2385"/>
    <w:rsid w:val="00EF259A"/>
    <w:rsid w:val="00EF2690"/>
    <w:rsid w:val="00EF2728"/>
    <w:rsid w:val="00EF278B"/>
    <w:rsid w:val="00EF2A1C"/>
    <w:rsid w:val="00EF2BF2"/>
    <w:rsid w:val="00EF2D8C"/>
    <w:rsid w:val="00EF2EA5"/>
    <w:rsid w:val="00EF3012"/>
    <w:rsid w:val="00EF3153"/>
    <w:rsid w:val="00EF3164"/>
    <w:rsid w:val="00EF34DE"/>
    <w:rsid w:val="00EF3611"/>
    <w:rsid w:val="00EF367D"/>
    <w:rsid w:val="00EF380F"/>
    <w:rsid w:val="00EF3A40"/>
    <w:rsid w:val="00EF3AA8"/>
    <w:rsid w:val="00EF3D05"/>
    <w:rsid w:val="00EF3D94"/>
    <w:rsid w:val="00EF3E88"/>
    <w:rsid w:val="00EF3F3E"/>
    <w:rsid w:val="00EF3FBE"/>
    <w:rsid w:val="00EF40EA"/>
    <w:rsid w:val="00EF41F4"/>
    <w:rsid w:val="00EF445E"/>
    <w:rsid w:val="00EF44CF"/>
    <w:rsid w:val="00EF457C"/>
    <w:rsid w:val="00EF465B"/>
    <w:rsid w:val="00EF468B"/>
    <w:rsid w:val="00EF475D"/>
    <w:rsid w:val="00EF491A"/>
    <w:rsid w:val="00EF4A77"/>
    <w:rsid w:val="00EF4C5C"/>
    <w:rsid w:val="00EF4CF4"/>
    <w:rsid w:val="00EF4E47"/>
    <w:rsid w:val="00EF5034"/>
    <w:rsid w:val="00EF5164"/>
    <w:rsid w:val="00EF5429"/>
    <w:rsid w:val="00EF54F1"/>
    <w:rsid w:val="00EF56E9"/>
    <w:rsid w:val="00EF574E"/>
    <w:rsid w:val="00EF58B0"/>
    <w:rsid w:val="00EF5951"/>
    <w:rsid w:val="00EF5B90"/>
    <w:rsid w:val="00EF5C5C"/>
    <w:rsid w:val="00EF604D"/>
    <w:rsid w:val="00EF6185"/>
    <w:rsid w:val="00EF6327"/>
    <w:rsid w:val="00EF64E9"/>
    <w:rsid w:val="00EF659D"/>
    <w:rsid w:val="00EF6727"/>
    <w:rsid w:val="00EF68D6"/>
    <w:rsid w:val="00EF69F8"/>
    <w:rsid w:val="00EF6A41"/>
    <w:rsid w:val="00EF6AE6"/>
    <w:rsid w:val="00EF6BC5"/>
    <w:rsid w:val="00EF6C49"/>
    <w:rsid w:val="00EF6C6F"/>
    <w:rsid w:val="00EF6C85"/>
    <w:rsid w:val="00EF6DDE"/>
    <w:rsid w:val="00EF7338"/>
    <w:rsid w:val="00EF773A"/>
    <w:rsid w:val="00EF790B"/>
    <w:rsid w:val="00EF7B1D"/>
    <w:rsid w:val="00EF7CA3"/>
    <w:rsid w:val="00EF7D1B"/>
    <w:rsid w:val="00EF7D41"/>
    <w:rsid w:val="00EF7D9A"/>
    <w:rsid w:val="00EF7ED6"/>
    <w:rsid w:val="00EF7F60"/>
    <w:rsid w:val="00EF7FDF"/>
    <w:rsid w:val="00F000C8"/>
    <w:rsid w:val="00F0013B"/>
    <w:rsid w:val="00F0027D"/>
    <w:rsid w:val="00F0055F"/>
    <w:rsid w:val="00F0070B"/>
    <w:rsid w:val="00F00726"/>
    <w:rsid w:val="00F008E6"/>
    <w:rsid w:val="00F00DFD"/>
    <w:rsid w:val="00F01487"/>
    <w:rsid w:val="00F014CC"/>
    <w:rsid w:val="00F01B2A"/>
    <w:rsid w:val="00F01D9F"/>
    <w:rsid w:val="00F01E37"/>
    <w:rsid w:val="00F02155"/>
    <w:rsid w:val="00F02464"/>
    <w:rsid w:val="00F026F4"/>
    <w:rsid w:val="00F02857"/>
    <w:rsid w:val="00F028FC"/>
    <w:rsid w:val="00F029AE"/>
    <w:rsid w:val="00F02A4C"/>
    <w:rsid w:val="00F02E66"/>
    <w:rsid w:val="00F02EFB"/>
    <w:rsid w:val="00F03054"/>
    <w:rsid w:val="00F0308C"/>
    <w:rsid w:val="00F030B5"/>
    <w:rsid w:val="00F0316B"/>
    <w:rsid w:val="00F03253"/>
    <w:rsid w:val="00F03424"/>
    <w:rsid w:val="00F03511"/>
    <w:rsid w:val="00F0357B"/>
    <w:rsid w:val="00F0357E"/>
    <w:rsid w:val="00F0378C"/>
    <w:rsid w:val="00F03882"/>
    <w:rsid w:val="00F03D8A"/>
    <w:rsid w:val="00F03ED4"/>
    <w:rsid w:val="00F04078"/>
    <w:rsid w:val="00F0410B"/>
    <w:rsid w:val="00F041F5"/>
    <w:rsid w:val="00F04270"/>
    <w:rsid w:val="00F0438A"/>
    <w:rsid w:val="00F04413"/>
    <w:rsid w:val="00F0472F"/>
    <w:rsid w:val="00F048C5"/>
    <w:rsid w:val="00F04B40"/>
    <w:rsid w:val="00F04CDD"/>
    <w:rsid w:val="00F04DAC"/>
    <w:rsid w:val="00F04E3C"/>
    <w:rsid w:val="00F04F03"/>
    <w:rsid w:val="00F04FCF"/>
    <w:rsid w:val="00F05055"/>
    <w:rsid w:val="00F050D0"/>
    <w:rsid w:val="00F050D3"/>
    <w:rsid w:val="00F05293"/>
    <w:rsid w:val="00F055B5"/>
    <w:rsid w:val="00F056CC"/>
    <w:rsid w:val="00F056EE"/>
    <w:rsid w:val="00F05728"/>
    <w:rsid w:val="00F05932"/>
    <w:rsid w:val="00F05963"/>
    <w:rsid w:val="00F05A4F"/>
    <w:rsid w:val="00F05A5C"/>
    <w:rsid w:val="00F05A86"/>
    <w:rsid w:val="00F05AEA"/>
    <w:rsid w:val="00F05DF7"/>
    <w:rsid w:val="00F0606D"/>
    <w:rsid w:val="00F060B4"/>
    <w:rsid w:val="00F06360"/>
    <w:rsid w:val="00F065C6"/>
    <w:rsid w:val="00F0676B"/>
    <w:rsid w:val="00F06797"/>
    <w:rsid w:val="00F06858"/>
    <w:rsid w:val="00F069FF"/>
    <w:rsid w:val="00F06B7A"/>
    <w:rsid w:val="00F071A7"/>
    <w:rsid w:val="00F0739B"/>
    <w:rsid w:val="00F0753A"/>
    <w:rsid w:val="00F0778D"/>
    <w:rsid w:val="00F077D3"/>
    <w:rsid w:val="00F07920"/>
    <w:rsid w:val="00F07E0C"/>
    <w:rsid w:val="00F10029"/>
    <w:rsid w:val="00F1006D"/>
    <w:rsid w:val="00F100CE"/>
    <w:rsid w:val="00F10384"/>
    <w:rsid w:val="00F1057D"/>
    <w:rsid w:val="00F1062C"/>
    <w:rsid w:val="00F10786"/>
    <w:rsid w:val="00F10871"/>
    <w:rsid w:val="00F10A0F"/>
    <w:rsid w:val="00F10F6F"/>
    <w:rsid w:val="00F11010"/>
    <w:rsid w:val="00F110B9"/>
    <w:rsid w:val="00F11455"/>
    <w:rsid w:val="00F114DA"/>
    <w:rsid w:val="00F1207A"/>
    <w:rsid w:val="00F123E0"/>
    <w:rsid w:val="00F123FA"/>
    <w:rsid w:val="00F1242D"/>
    <w:rsid w:val="00F126CA"/>
    <w:rsid w:val="00F12824"/>
    <w:rsid w:val="00F129E4"/>
    <w:rsid w:val="00F12A56"/>
    <w:rsid w:val="00F12CB8"/>
    <w:rsid w:val="00F12CDB"/>
    <w:rsid w:val="00F12DC3"/>
    <w:rsid w:val="00F12F4D"/>
    <w:rsid w:val="00F13029"/>
    <w:rsid w:val="00F130ED"/>
    <w:rsid w:val="00F13123"/>
    <w:rsid w:val="00F13215"/>
    <w:rsid w:val="00F1322E"/>
    <w:rsid w:val="00F1328C"/>
    <w:rsid w:val="00F1338B"/>
    <w:rsid w:val="00F133B9"/>
    <w:rsid w:val="00F1358C"/>
    <w:rsid w:val="00F13607"/>
    <w:rsid w:val="00F13624"/>
    <w:rsid w:val="00F13687"/>
    <w:rsid w:val="00F13817"/>
    <w:rsid w:val="00F13849"/>
    <w:rsid w:val="00F1387F"/>
    <w:rsid w:val="00F13939"/>
    <w:rsid w:val="00F13952"/>
    <w:rsid w:val="00F13B21"/>
    <w:rsid w:val="00F13BCC"/>
    <w:rsid w:val="00F13D0F"/>
    <w:rsid w:val="00F13D43"/>
    <w:rsid w:val="00F13D9C"/>
    <w:rsid w:val="00F13FBD"/>
    <w:rsid w:val="00F13FF9"/>
    <w:rsid w:val="00F1431A"/>
    <w:rsid w:val="00F14463"/>
    <w:rsid w:val="00F14638"/>
    <w:rsid w:val="00F14A35"/>
    <w:rsid w:val="00F14AB7"/>
    <w:rsid w:val="00F14B15"/>
    <w:rsid w:val="00F14CCE"/>
    <w:rsid w:val="00F1522E"/>
    <w:rsid w:val="00F1525F"/>
    <w:rsid w:val="00F152DE"/>
    <w:rsid w:val="00F15437"/>
    <w:rsid w:val="00F1586B"/>
    <w:rsid w:val="00F15988"/>
    <w:rsid w:val="00F159CE"/>
    <w:rsid w:val="00F15A3B"/>
    <w:rsid w:val="00F15BFD"/>
    <w:rsid w:val="00F15C15"/>
    <w:rsid w:val="00F1623B"/>
    <w:rsid w:val="00F16363"/>
    <w:rsid w:val="00F16400"/>
    <w:rsid w:val="00F1640A"/>
    <w:rsid w:val="00F1641D"/>
    <w:rsid w:val="00F16424"/>
    <w:rsid w:val="00F1653E"/>
    <w:rsid w:val="00F1698A"/>
    <w:rsid w:val="00F169E0"/>
    <w:rsid w:val="00F16BCF"/>
    <w:rsid w:val="00F16C75"/>
    <w:rsid w:val="00F16F03"/>
    <w:rsid w:val="00F16FC9"/>
    <w:rsid w:val="00F16FFB"/>
    <w:rsid w:val="00F17162"/>
    <w:rsid w:val="00F172C7"/>
    <w:rsid w:val="00F172E3"/>
    <w:rsid w:val="00F1744C"/>
    <w:rsid w:val="00F174AA"/>
    <w:rsid w:val="00F174AB"/>
    <w:rsid w:val="00F1753B"/>
    <w:rsid w:val="00F175C2"/>
    <w:rsid w:val="00F1772B"/>
    <w:rsid w:val="00F178FA"/>
    <w:rsid w:val="00F17C22"/>
    <w:rsid w:val="00F17CAE"/>
    <w:rsid w:val="00F17E1E"/>
    <w:rsid w:val="00F17E49"/>
    <w:rsid w:val="00F17EA1"/>
    <w:rsid w:val="00F17F25"/>
    <w:rsid w:val="00F17FE9"/>
    <w:rsid w:val="00F2009F"/>
    <w:rsid w:val="00F20124"/>
    <w:rsid w:val="00F2015A"/>
    <w:rsid w:val="00F202A6"/>
    <w:rsid w:val="00F2031D"/>
    <w:rsid w:val="00F2035A"/>
    <w:rsid w:val="00F20364"/>
    <w:rsid w:val="00F20387"/>
    <w:rsid w:val="00F204FD"/>
    <w:rsid w:val="00F20654"/>
    <w:rsid w:val="00F20755"/>
    <w:rsid w:val="00F20872"/>
    <w:rsid w:val="00F20BB8"/>
    <w:rsid w:val="00F20BCD"/>
    <w:rsid w:val="00F20E67"/>
    <w:rsid w:val="00F21016"/>
    <w:rsid w:val="00F21066"/>
    <w:rsid w:val="00F210D8"/>
    <w:rsid w:val="00F21139"/>
    <w:rsid w:val="00F2128C"/>
    <w:rsid w:val="00F212CA"/>
    <w:rsid w:val="00F212E1"/>
    <w:rsid w:val="00F214D0"/>
    <w:rsid w:val="00F21672"/>
    <w:rsid w:val="00F217E2"/>
    <w:rsid w:val="00F21A2A"/>
    <w:rsid w:val="00F21AD3"/>
    <w:rsid w:val="00F21B3E"/>
    <w:rsid w:val="00F21B7C"/>
    <w:rsid w:val="00F21BB1"/>
    <w:rsid w:val="00F21C05"/>
    <w:rsid w:val="00F21EDF"/>
    <w:rsid w:val="00F21EF0"/>
    <w:rsid w:val="00F22162"/>
    <w:rsid w:val="00F2235C"/>
    <w:rsid w:val="00F2282F"/>
    <w:rsid w:val="00F2283C"/>
    <w:rsid w:val="00F22900"/>
    <w:rsid w:val="00F2296A"/>
    <w:rsid w:val="00F22A6C"/>
    <w:rsid w:val="00F22C3D"/>
    <w:rsid w:val="00F22D14"/>
    <w:rsid w:val="00F22D91"/>
    <w:rsid w:val="00F23188"/>
    <w:rsid w:val="00F23291"/>
    <w:rsid w:val="00F232EC"/>
    <w:rsid w:val="00F2370E"/>
    <w:rsid w:val="00F237E3"/>
    <w:rsid w:val="00F23849"/>
    <w:rsid w:val="00F23896"/>
    <w:rsid w:val="00F238EB"/>
    <w:rsid w:val="00F23C0C"/>
    <w:rsid w:val="00F23DBE"/>
    <w:rsid w:val="00F23EE1"/>
    <w:rsid w:val="00F24189"/>
    <w:rsid w:val="00F241C5"/>
    <w:rsid w:val="00F24227"/>
    <w:rsid w:val="00F2460C"/>
    <w:rsid w:val="00F246D2"/>
    <w:rsid w:val="00F248C7"/>
    <w:rsid w:val="00F248FC"/>
    <w:rsid w:val="00F24918"/>
    <w:rsid w:val="00F24A9D"/>
    <w:rsid w:val="00F24AB6"/>
    <w:rsid w:val="00F24B20"/>
    <w:rsid w:val="00F24B44"/>
    <w:rsid w:val="00F24B61"/>
    <w:rsid w:val="00F24C68"/>
    <w:rsid w:val="00F24DCC"/>
    <w:rsid w:val="00F24FDD"/>
    <w:rsid w:val="00F25027"/>
    <w:rsid w:val="00F25259"/>
    <w:rsid w:val="00F25284"/>
    <w:rsid w:val="00F25323"/>
    <w:rsid w:val="00F2546A"/>
    <w:rsid w:val="00F254A4"/>
    <w:rsid w:val="00F25620"/>
    <w:rsid w:val="00F257B9"/>
    <w:rsid w:val="00F25903"/>
    <w:rsid w:val="00F25974"/>
    <w:rsid w:val="00F25A86"/>
    <w:rsid w:val="00F25B11"/>
    <w:rsid w:val="00F25B29"/>
    <w:rsid w:val="00F25B49"/>
    <w:rsid w:val="00F25FD5"/>
    <w:rsid w:val="00F262FC"/>
    <w:rsid w:val="00F26348"/>
    <w:rsid w:val="00F264E3"/>
    <w:rsid w:val="00F26650"/>
    <w:rsid w:val="00F26695"/>
    <w:rsid w:val="00F26AE7"/>
    <w:rsid w:val="00F26C06"/>
    <w:rsid w:val="00F26C9C"/>
    <w:rsid w:val="00F26CA1"/>
    <w:rsid w:val="00F26CEF"/>
    <w:rsid w:val="00F26D8A"/>
    <w:rsid w:val="00F2725D"/>
    <w:rsid w:val="00F273F0"/>
    <w:rsid w:val="00F2745F"/>
    <w:rsid w:val="00F274C6"/>
    <w:rsid w:val="00F274E0"/>
    <w:rsid w:val="00F275F1"/>
    <w:rsid w:val="00F27609"/>
    <w:rsid w:val="00F27A84"/>
    <w:rsid w:val="00F27AD4"/>
    <w:rsid w:val="00F27DC6"/>
    <w:rsid w:val="00F27E0B"/>
    <w:rsid w:val="00F27EF0"/>
    <w:rsid w:val="00F27FE1"/>
    <w:rsid w:val="00F302C7"/>
    <w:rsid w:val="00F30387"/>
    <w:rsid w:val="00F30406"/>
    <w:rsid w:val="00F304F6"/>
    <w:rsid w:val="00F30E09"/>
    <w:rsid w:val="00F30E85"/>
    <w:rsid w:val="00F30F59"/>
    <w:rsid w:val="00F31190"/>
    <w:rsid w:val="00F31368"/>
    <w:rsid w:val="00F313CC"/>
    <w:rsid w:val="00F31416"/>
    <w:rsid w:val="00F3144E"/>
    <w:rsid w:val="00F31738"/>
    <w:rsid w:val="00F317F5"/>
    <w:rsid w:val="00F31891"/>
    <w:rsid w:val="00F31893"/>
    <w:rsid w:val="00F3199B"/>
    <w:rsid w:val="00F319A3"/>
    <w:rsid w:val="00F31B4A"/>
    <w:rsid w:val="00F31E36"/>
    <w:rsid w:val="00F31F02"/>
    <w:rsid w:val="00F31F46"/>
    <w:rsid w:val="00F3204E"/>
    <w:rsid w:val="00F32074"/>
    <w:rsid w:val="00F32079"/>
    <w:rsid w:val="00F320F6"/>
    <w:rsid w:val="00F32227"/>
    <w:rsid w:val="00F32381"/>
    <w:rsid w:val="00F32493"/>
    <w:rsid w:val="00F3282C"/>
    <w:rsid w:val="00F32AB5"/>
    <w:rsid w:val="00F32BF5"/>
    <w:rsid w:val="00F32C35"/>
    <w:rsid w:val="00F32EE0"/>
    <w:rsid w:val="00F33190"/>
    <w:rsid w:val="00F332A2"/>
    <w:rsid w:val="00F332C5"/>
    <w:rsid w:val="00F332CA"/>
    <w:rsid w:val="00F33448"/>
    <w:rsid w:val="00F334C2"/>
    <w:rsid w:val="00F334E4"/>
    <w:rsid w:val="00F33574"/>
    <w:rsid w:val="00F33779"/>
    <w:rsid w:val="00F337B2"/>
    <w:rsid w:val="00F33851"/>
    <w:rsid w:val="00F339B2"/>
    <w:rsid w:val="00F339D8"/>
    <w:rsid w:val="00F33A70"/>
    <w:rsid w:val="00F33AF0"/>
    <w:rsid w:val="00F33CC1"/>
    <w:rsid w:val="00F33D36"/>
    <w:rsid w:val="00F33ECD"/>
    <w:rsid w:val="00F33F4C"/>
    <w:rsid w:val="00F341E8"/>
    <w:rsid w:val="00F342DF"/>
    <w:rsid w:val="00F34403"/>
    <w:rsid w:val="00F34591"/>
    <w:rsid w:val="00F345D4"/>
    <w:rsid w:val="00F34C28"/>
    <w:rsid w:val="00F34D90"/>
    <w:rsid w:val="00F350BB"/>
    <w:rsid w:val="00F354EE"/>
    <w:rsid w:val="00F3560C"/>
    <w:rsid w:val="00F357A9"/>
    <w:rsid w:val="00F35947"/>
    <w:rsid w:val="00F35A0E"/>
    <w:rsid w:val="00F35AAE"/>
    <w:rsid w:val="00F35BAD"/>
    <w:rsid w:val="00F35CAE"/>
    <w:rsid w:val="00F35DDC"/>
    <w:rsid w:val="00F35F4F"/>
    <w:rsid w:val="00F360CF"/>
    <w:rsid w:val="00F36304"/>
    <w:rsid w:val="00F363BC"/>
    <w:rsid w:val="00F363EA"/>
    <w:rsid w:val="00F36466"/>
    <w:rsid w:val="00F365B4"/>
    <w:rsid w:val="00F36641"/>
    <w:rsid w:val="00F368B2"/>
    <w:rsid w:val="00F36A93"/>
    <w:rsid w:val="00F36C24"/>
    <w:rsid w:val="00F36DB1"/>
    <w:rsid w:val="00F37084"/>
    <w:rsid w:val="00F371AC"/>
    <w:rsid w:val="00F37239"/>
    <w:rsid w:val="00F373BF"/>
    <w:rsid w:val="00F375FB"/>
    <w:rsid w:val="00F377F3"/>
    <w:rsid w:val="00F37863"/>
    <w:rsid w:val="00F3795D"/>
    <w:rsid w:val="00F3798E"/>
    <w:rsid w:val="00F379CF"/>
    <w:rsid w:val="00F379DE"/>
    <w:rsid w:val="00F379E3"/>
    <w:rsid w:val="00F379F9"/>
    <w:rsid w:val="00F37A48"/>
    <w:rsid w:val="00F37BF1"/>
    <w:rsid w:val="00F37C44"/>
    <w:rsid w:val="00F37CE8"/>
    <w:rsid w:val="00F37D00"/>
    <w:rsid w:val="00F37F9C"/>
    <w:rsid w:val="00F37FA8"/>
    <w:rsid w:val="00F401EF"/>
    <w:rsid w:val="00F40254"/>
    <w:rsid w:val="00F40439"/>
    <w:rsid w:val="00F4043D"/>
    <w:rsid w:val="00F40452"/>
    <w:rsid w:val="00F4051B"/>
    <w:rsid w:val="00F405A4"/>
    <w:rsid w:val="00F4067E"/>
    <w:rsid w:val="00F407D5"/>
    <w:rsid w:val="00F4080E"/>
    <w:rsid w:val="00F40821"/>
    <w:rsid w:val="00F408E3"/>
    <w:rsid w:val="00F40FE4"/>
    <w:rsid w:val="00F410C6"/>
    <w:rsid w:val="00F410CF"/>
    <w:rsid w:val="00F4151D"/>
    <w:rsid w:val="00F41A8D"/>
    <w:rsid w:val="00F41B45"/>
    <w:rsid w:val="00F41E38"/>
    <w:rsid w:val="00F41E3A"/>
    <w:rsid w:val="00F421A1"/>
    <w:rsid w:val="00F42360"/>
    <w:rsid w:val="00F4240E"/>
    <w:rsid w:val="00F42518"/>
    <w:rsid w:val="00F42526"/>
    <w:rsid w:val="00F4256C"/>
    <w:rsid w:val="00F42836"/>
    <w:rsid w:val="00F42A6A"/>
    <w:rsid w:val="00F42F40"/>
    <w:rsid w:val="00F430E1"/>
    <w:rsid w:val="00F431D2"/>
    <w:rsid w:val="00F4320F"/>
    <w:rsid w:val="00F4356A"/>
    <w:rsid w:val="00F435E6"/>
    <w:rsid w:val="00F43632"/>
    <w:rsid w:val="00F43890"/>
    <w:rsid w:val="00F43A2A"/>
    <w:rsid w:val="00F43B54"/>
    <w:rsid w:val="00F43B93"/>
    <w:rsid w:val="00F43D12"/>
    <w:rsid w:val="00F43F99"/>
    <w:rsid w:val="00F44077"/>
    <w:rsid w:val="00F44242"/>
    <w:rsid w:val="00F44334"/>
    <w:rsid w:val="00F4438B"/>
    <w:rsid w:val="00F44452"/>
    <w:rsid w:val="00F44472"/>
    <w:rsid w:val="00F44563"/>
    <w:rsid w:val="00F44566"/>
    <w:rsid w:val="00F445A2"/>
    <w:rsid w:val="00F445FD"/>
    <w:rsid w:val="00F4466D"/>
    <w:rsid w:val="00F446E4"/>
    <w:rsid w:val="00F44854"/>
    <w:rsid w:val="00F44878"/>
    <w:rsid w:val="00F449E0"/>
    <w:rsid w:val="00F44BB5"/>
    <w:rsid w:val="00F44D32"/>
    <w:rsid w:val="00F44F73"/>
    <w:rsid w:val="00F45184"/>
    <w:rsid w:val="00F452A6"/>
    <w:rsid w:val="00F45310"/>
    <w:rsid w:val="00F45799"/>
    <w:rsid w:val="00F458F9"/>
    <w:rsid w:val="00F45B20"/>
    <w:rsid w:val="00F45D08"/>
    <w:rsid w:val="00F45D49"/>
    <w:rsid w:val="00F45DE4"/>
    <w:rsid w:val="00F45FB2"/>
    <w:rsid w:val="00F46139"/>
    <w:rsid w:val="00F464F5"/>
    <w:rsid w:val="00F466D7"/>
    <w:rsid w:val="00F46700"/>
    <w:rsid w:val="00F46715"/>
    <w:rsid w:val="00F468D4"/>
    <w:rsid w:val="00F468F0"/>
    <w:rsid w:val="00F46973"/>
    <w:rsid w:val="00F46B4F"/>
    <w:rsid w:val="00F46C39"/>
    <w:rsid w:val="00F46D6C"/>
    <w:rsid w:val="00F46F33"/>
    <w:rsid w:val="00F47073"/>
    <w:rsid w:val="00F4712A"/>
    <w:rsid w:val="00F471E5"/>
    <w:rsid w:val="00F4732F"/>
    <w:rsid w:val="00F4755A"/>
    <w:rsid w:val="00F475DE"/>
    <w:rsid w:val="00F479B7"/>
    <w:rsid w:val="00F479D0"/>
    <w:rsid w:val="00F47A48"/>
    <w:rsid w:val="00F47A62"/>
    <w:rsid w:val="00F47AF7"/>
    <w:rsid w:val="00F47DCF"/>
    <w:rsid w:val="00F47E16"/>
    <w:rsid w:val="00F47F43"/>
    <w:rsid w:val="00F50090"/>
    <w:rsid w:val="00F500C4"/>
    <w:rsid w:val="00F5018C"/>
    <w:rsid w:val="00F50279"/>
    <w:rsid w:val="00F50283"/>
    <w:rsid w:val="00F5040B"/>
    <w:rsid w:val="00F505F9"/>
    <w:rsid w:val="00F50A84"/>
    <w:rsid w:val="00F50BD7"/>
    <w:rsid w:val="00F50C69"/>
    <w:rsid w:val="00F50DB6"/>
    <w:rsid w:val="00F50EC1"/>
    <w:rsid w:val="00F5105E"/>
    <w:rsid w:val="00F512B9"/>
    <w:rsid w:val="00F514C9"/>
    <w:rsid w:val="00F514F5"/>
    <w:rsid w:val="00F51689"/>
    <w:rsid w:val="00F5177F"/>
    <w:rsid w:val="00F51C54"/>
    <w:rsid w:val="00F51C7B"/>
    <w:rsid w:val="00F51CCA"/>
    <w:rsid w:val="00F51CE7"/>
    <w:rsid w:val="00F51E3C"/>
    <w:rsid w:val="00F51F63"/>
    <w:rsid w:val="00F5203F"/>
    <w:rsid w:val="00F521F2"/>
    <w:rsid w:val="00F525D4"/>
    <w:rsid w:val="00F52727"/>
    <w:rsid w:val="00F52907"/>
    <w:rsid w:val="00F52CC7"/>
    <w:rsid w:val="00F52D7F"/>
    <w:rsid w:val="00F52F0B"/>
    <w:rsid w:val="00F5304C"/>
    <w:rsid w:val="00F5306E"/>
    <w:rsid w:val="00F5322F"/>
    <w:rsid w:val="00F538E3"/>
    <w:rsid w:val="00F53907"/>
    <w:rsid w:val="00F539DE"/>
    <w:rsid w:val="00F539FA"/>
    <w:rsid w:val="00F53A7E"/>
    <w:rsid w:val="00F53AA2"/>
    <w:rsid w:val="00F53B84"/>
    <w:rsid w:val="00F53BFE"/>
    <w:rsid w:val="00F53D59"/>
    <w:rsid w:val="00F54026"/>
    <w:rsid w:val="00F54046"/>
    <w:rsid w:val="00F54098"/>
    <w:rsid w:val="00F541C5"/>
    <w:rsid w:val="00F54234"/>
    <w:rsid w:val="00F54432"/>
    <w:rsid w:val="00F5460F"/>
    <w:rsid w:val="00F547A2"/>
    <w:rsid w:val="00F54B13"/>
    <w:rsid w:val="00F54B8E"/>
    <w:rsid w:val="00F54C45"/>
    <w:rsid w:val="00F54C59"/>
    <w:rsid w:val="00F54D23"/>
    <w:rsid w:val="00F54D35"/>
    <w:rsid w:val="00F54F90"/>
    <w:rsid w:val="00F55164"/>
    <w:rsid w:val="00F55219"/>
    <w:rsid w:val="00F55270"/>
    <w:rsid w:val="00F55291"/>
    <w:rsid w:val="00F553D9"/>
    <w:rsid w:val="00F55419"/>
    <w:rsid w:val="00F555C6"/>
    <w:rsid w:val="00F557FF"/>
    <w:rsid w:val="00F5583C"/>
    <w:rsid w:val="00F55907"/>
    <w:rsid w:val="00F55C41"/>
    <w:rsid w:val="00F55C45"/>
    <w:rsid w:val="00F55E90"/>
    <w:rsid w:val="00F55F6E"/>
    <w:rsid w:val="00F5601A"/>
    <w:rsid w:val="00F56280"/>
    <w:rsid w:val="00F5663D"/>
    <w:rsid w:val="00F56647"/>
    <w:rsid w:val="00F566E8"/>
    <w:rsid w:val="00F56A20"/>
    <w:rsid w:val="00F56AF5"/>
    <w:rsid w:val="00F56C8E"/>
    <w:rsid w:val="00F56C92"/>
    <w:rsid w:val="00F56FA0"/>
    <w:rsid w:val="00F56FE0"/>
    <w:rsid w:val="00F572D0"/>
    <w:rsid w:val="00F57313"/>
    <w:rsid w:val="00F574DB"/>
    <w:rsid w:val="00F575A1"/>
    <w:rsid w:val="00F57998"/>
    <w:rsid w:val="00F5799D"/>
    <w:rsid w:val="00F57AB3"/>
    <w:rsid w:val="00F57B68"/>
    <w:rsid w:val="00F57BC2"/>
    <w:rsid w:val="00F57C20"/>
    <w:rsid w:val="00F57C72"/>
    <w:rsid w:val="00F57DB9"/>
    <w:rsid w:val="00F57F6A"/>
    <w:rsid w:val="00F60149"/>
    <w:rsid w:val="00F60250"/>
    <w:rsid w:val="00F602F8"/>
    <w:rsid w:val="00F60344"/>
    <w:rsid w:val="00F603D5"/>
    <w:rsid w:val="00F606F4"/>
    <w:rsid w:val="00F607AC"/>
    <w:rsid w:val="00F608FB"/>
    <w:rsid w:val="00F60964"/>
    <w:rsid w:val="00F60BD7"/>
    <w:rsid w:val="00F60CC6"/>
    <w:rsid w:val="00F60CC9"/>
    <w:rsid w:val="00F60D64"/>
    <w:rsid w:val="00F60F57"/>
    <w:rsid w:val="00F60FBB"/>
    <w:rsid w:val="00F60FE0"/>
    <w:rsid w:val="00F6103A"/>
    <w:rsid w:val="00F6105C"/>
    <w:rsid w:val="00F61235"/>
    <w:rsid w:val="00F61343"/>
    <w:rsid w:val="00F61558"/>
    <w:rsid w:val="00F6166E"/>
    <w:rsid w:val="00F61786"/>
    <w:rsid w:val="00F617E8"/>
    <w:rsid w:val="00F61BB9"/>
    <w:rsid w:val="00F61CBF"/>
    <w:rsid w:val="00F61D8C"/>
    <w:rsid w:val="00F61E3B"/>
    <w:rsid w:val="00F61FEF"/>
    <w:rsid w:val="00F620A8"/>
    <w:rsid w:val="00F622E8"/>
    <w:rsid w:val="00F625C1"/>
    <w:rsid w:val="00F626F0"/>
    <w:rsid w:val="00F62928"/>
    <w:rsid w:val="00F62A5B"/>
    <w:rsid w:val="00F62C0E"/>
    <w:rsid w:val="00F62EA3"/>
    <w:rsid w:val="00F62EFB"/>
    <w:rsid w:val="00F632BD"/>
    <w:rsid w:val="00F633E2"/>
    <w:rsid w:val="00F63449"/>
    <w:rsid w:val="00F6344A"/>
    <w:rsid w:val="00F63720"/>
    <w:rsid w:val="00F63895"/>
    <w:rsid w:val="00F638A6"/>
    <w:rsid w:val="00F63917"/>
    <w:rsid w:val="00F639C6"/>
    <w:rsid w:val="00F63AAA"/>
    <w:rsid w:val="00F63F4E"/>
    <w:rsid w:val="00F63F5D"/>
    <w:rsid w:val="00F6445A"/>
    <w:rsid w:val="00F645EF"/>
    <w:rsid w:val="00F646C3"/>
    <w:rsid w:val="00F64791"/>
    <w:rsid w:val="00F647BF"/>
    <w:rsid w:val="00F64822"/>
    <w:rsid w:val="00F6484D"/>
    <w:rsid w:val="00F648CA"/>
    <w:rsid w:val="00F64AA3"/>
    <w:rsid w:val="00F64AEE"/>
    <w:rsid w:val="00F64C6F"/>
    <w:rsid w:val="00F64C9B"/>
    <w:rsid w:val="00F650DF"/>
    <w:rsid w:val="00F6515A"/>
    <w:rsid w:val="00F6516E"/>
    <w:rsid w:val="00F6554A"/>
    <w:rsid w:val="00F65575"/>
    <w:rsid w:val="00F657DC"/>
    <w:rsid w:val="00F65996"/>
    <w:rsid w:val="00F65B83"/>
    <w:rsid w:val="00F65BAA"/>
    <w:rsid w:val="00F65BB6"/>
    <w:rsid w:val="00F65CB3"/>
    <w:rsid w:val="00F65CF9"/>
    <w:rsid w:val="00F661A4"/>
    <w:rsid w:val="00F66268"/>
    <w:rsid w:val="00F6633D"/>
    <w:rsid w:val="00F6663E"/>
    <w:rsid w:val="00F66824"/>
    <w:rsid w:val="00F669BF"/>
    <w:rsid w:val="00F66B4C"/>
    <w:rsid w:val="00F66E6E"/>
    <w:rsid w:val="00F66ED4"/>
    <w:rsid w:val="00F66F65"/>
    <w:rsid w:val="00F66FB0"/>
    <w:rsid w:val="00F66FE3"/>
    <w:rsid w:val="00F67098"/>
    <w:rsid w:val="00F67196"/>
    <w:rsid w:val="00F67442"/>
    <w:rsid w:val="00F674E5"/>
    <w:rsid w:val="00F6759D"/>
    <w:rsid w:val="00F67746"/>
    <w:rsid w:val="00F678C1"/>
    <w:rsid w:val="00F679F4"/>
    <w:rsid w:val="00F67A9C"/>
    <w:rsid w:val="00F67B04"/>
    <w:rsid w:val="00F67B10"/>
    <w:rsid w:val="00F67B33"/>
    <w:rsid w:val="00F67C12"/>
    <w:rsid w:val="00F67DE7"/>
    <w:rsid w:val="00F67E44"/>
    <w:rsid w:val="00F70054"/>
    <w:rsid w:val="00F702D4"/>
    <w:rsid w:val="00F703F8"/>
    <w:rsid w:val="00F70400"/>
    <w:rsid w:val="00F70602"/>
    <w:rsid w:val="00F70619"/>
    <w:rsid w:val="00F707E3"/>
    <w:rsid w:val="00F709F2"/>
    <w:rsid w:val="00F70A34"/>
    <w:rsid w:val="00F70A77"/>
    <w:rsid w:val="00F71365"/>
    <w:rsid w:val="00F713D1"/>
    <w:rsid w:val="00F713D9"/>
    <w:rsid w:val="00F715C5"/>
    <w:rsid w:val="00F715E0"/>
    <w:rsid w:val="00F71611"/>
    <w:rsid w:val="00F71692"/>
    <w:rsid w:val="00F716DD"/>
    <w:rsid w:val="00F716FF"/>
    <w:rsid w:val="00F71794"/>
    <w:rsid w:val="00F718F2"/>
    <w:rsid w:val="00F71A7C"/>
    <w:rsid w:val="00F71A89"/>
    <w:rsid w:val="00F71CD0"/>
    <w:rsid w:val="00F71D46"/>
    <w:rsid w:val="00F71D5C"/>
    <w:rsid w:val="00F71F61"/>
    <w:rsid w:val="00F71FC5"/>
    <w:rsid w:val="00F72048"/>
    <w:rsid w:val="00F72121"/>
    <w:rsid w:val="00F72283"/>
    <w:rsid w:val="00F7228A"/>
    <w:rsid w:val="00F72486"/>
    <w:rsid w:val="00F72500"/>
    <w:rsid w:val="00F725C8"/>
    <w:rsid w:val="00F72667"/>
    <w:rsid w:val="00F7285E"/>
    <w:rsid w:val="00F72C25"/>
    <w:rsid w:val="00F72D50"/>
    <w:rsid w:val="00F72F08"/>
    <w:rsid w:val="00F72FDD"/>
    <w:rsid w:val="00F73049"/>
    <w:rsid w:val="00F7321F"/>
    <w:rsid w:val="00F7356F"/>
    <w:rsid w:val="00F73643"/>
    <w:rsid w:val="00F7378F"/>
    <w:rsid w:val="00F737E6"/>
    <w:rsid w:val="00F73873"/>
    <w:rsid w:val="00F738B8"/>
    <w:rsid w:val="00F73D77"/>
    <w:rsid w:val="00F742AF"/>
    <w:rsid w:val="00F74731"/>
    <w:rsid w:val="00F74770"/>
    <w:rsid w:val="00F749BE"/>
    <w:rsid w:val="00F74B04"/>
    <w:rsid w:val="00F74B71"/>
    <w:rsid w:val="00F74EEF"/>
    <w:rsid w:val="00F74F3F"/>
    <w:rsid w:val="00F75019"/>
    <w:rsid w:val="00F750C4"/>
    <w:rsid w:val="00F7517D"/>
    <w:rsid w:val="00F752A9"/>
    <w:rsid w:val="00F75344"/>
    <w:rsid w:val="00F75417"/>
    <w:rsid w:val="00F7558C"/>
    <w:rsid w:val="00F755F3"/>
    <w:rsid w:val="00F7561C"/>
    <w:rsid w:val="00F75732"/>
    <w:rsid w:val="00F757D9"/>
    <w:rsid w:val="00F75A57"/>
    <w:rsid w:val="00F75B9A"/>
    <w:rsid w:val="00F75C02"/>
    <w:rsid w:val="00F75C23"/>
    <w:rsid w:val="00F75D97"/>
    <w:rsid w:val="00F75EDE"/>
    <w:rsid w:val="00F75EF9"/>
    <w:rsid w:val="00F75F5F"/>
    <w:rsid w:val="00F75F68"/>
    <w:rsid w:val="00F76297"/>
    <w:rsid w:val="00F763B2"/>
    <w:rsid w:val="00F765F3"/>
    <w:rsid w:val="00F7673C"/>
    <w:rsid w:val="00F76822"/>
    <w:rsid w:val="00F76829"/>
    <w:rsid w:val="00F768C2"/>
    <w:rsid w:val="00F768DE"/>
    <w:rsid w:val="00F76BE6"/>
    <w:rsid w:val="00F76DF6"/>
    <w:rsid w:val="00F76F61"/>
    <w:rsid w:val="00F76FF5"/>
    <w:rsid w:val="00F77609"/>
    <w:rsid w:val="00F77634"/>
    <w:rsid w:val="00F7765F"/>
    <w:rsid w:val="00F77776"/>
    <w:rsid w:val="00F7785C"/>
    <w:rsid w:val="00F7792D"/>
    <w:rsid w:val="00F77A7E"/>
    <w:rsid w:val="00F77B36"/>
    <w:rsid w:val="00F77BF7"/>
    <w:rsid w:val="00F77C44"/>
    <w:rsid w:val="00F80165"/>
    <w:rsid w:val="00F80169"/>
    <w:rsid w:val="00F80288"/>
    <w:rsid w:val="00F8054F"/>
    <w:rsid w:val="00F8063F"/>
    <w:rsid w:val="00F80826"/>
    <w:rsid w:val="00F80A4A"/>
    <w:rsid w:val="00F80AE5"/>
    <w:rsid w:val="00F80F3C"/>
    <w:rsid w:val="00F81299"/>
    <w:rsid w:val="00F813B3"/>
    <w:rsid w:val="00F8150E"/>
    <w:rsid w:val="00F816D3"/>
    <w:rsid w:val="00F81714"/>
    <w:rsid w:val="00F817F9"/>
    <w:rsid w:val="00F81B99"/>
    <w:rsid w:val="00F81D68"/>
    <w:rsid w:val="00F81DED"/>
    <w:rsid w:val="00F81FB5"/>
    <w:rsid w:val="00F820B9"/>
    <w:rsid w:val="00F820E8"/>
    <w:rsid w:val="00F820EC"/>
    <w:rsid w:val="00F82234"/>
    <w:rsid w:val="00F82306"/>
    <w:rsid w:val="00F823FD"/>
    <w:rsid w:val="00F8254D"/>
    <w:rsid w:val="00F82665"/>
    <w:rsid w:val="00F827D0"/>
    <w:rsid w:val="00F8283D"/>
    <w:rsid w:val="00F82BB1"/>
    <w:rsid w:val="00F82C03"/>
    <w:rsid w:val="00F82C9A"/>
    <w:rsid w:val="00F82DE3"/>
    <w:rsid w:val="00F8307C"/>
    <w:rsid w:val="00F83103"/>
    <w:rsid w:val="00F83142"/>
    <w:rsid w:val="00F831B4"/>
    <w:rsid w:val="00F83221"/>
    <w:rsid w:val="00F832A6"/>
    <w:rsid w:val="00F8358E"/>
    <w:rsid w:val="00F83DA4"/>
    <w:rsid w:val="00F83DF1"/>
    <w:rsid w:val="00F84055"/>
    <w:rsid w:val="00F84056"/>
    <w:rsid w:val="00F840F2"/>
    <w:rsid w:val="00F8415C"/>
    <w:rsid w:val="00F84169"/>
    <w:rsid w:val="00F841CC"/>
    <w:rsid w:val="00F8447E"/>
    <w:rsid w:val="00F846AA"/>
    <w:rsid w:val="00F846D6"/>
    <w:rsid w:val="00F84724"/>
    <w:rsid w:val="00F84AC4"/>
    <w:rsid w:val="00F84D5E"/>
    <w:rsid w:val="00F84E50"/>
    <w:rsid w:val="00F84E76"/>
    <w:rsid w:val="00F8521C"/>
    <w:rsid w:val="00F8522E"/>
    <w:rsid w:val="00F852EF"/>
    <w:rsid w:val="00F85333"/>
    <w:rsid w:val="00F853AF"/>
    <w:rsid w:val="00F854B4"/>
    <w:rsid w:val="00F854BB"/>
    <w:rsid w:val="00F854FD"/>
    <w:rsid w:val="00F85636"/>
    <w:rsid w:val="00F8567B"/>
    <w:rsid w:val="00F856CB"/>
    <w:rsid w:val="00F85701"/>
    <w:rsid w:val="00F857B4"/>
    <w:rsid w:val="00F8592F"/>
    <w:rsid w:val="00F85A17"/>
    <w:rsid w:val="00F85A23"/>
    <w:rsid w:val="00F85ADE"/>
    <w:rsid w:val="00F85C08"/>
    <w:rsid w:val="00F85D8E"/>
    <w:rsid w:val="00F85E0F"/>
    <w:rsid w:val="00F85E1D"/>
    <w:rsid w:val="00F85E65"/>
    <w:rsid w:val="00F8600C"/>
    <w:rsid w:val="00F86102"/>
    <w:rsid w:val="00F86134"/>
    <w:rsid w:val="00F86159"/>
    <w:rsid w:val="00F86243"/>
    <w:rsid w:val="00F864B4"/>
    <w:rsid w:val="00F864DB"/>
    <w:rsid w:val="00F86741"/>
    <w:rsid w:val="00F86804"/>
    <w:rsid w:val="00F8693B"/>
    <w:rsid w:val="00F86985"/>
    <w:rsid w:val="00F8699F"/>
    <w:rsid w:val="00F86A4E"/>
    <w:rsid w:val="00F86A7F"/>
    <w:rsid w:val="00F86ADB"/>
    <w:rsid w:val="00F86CA8"/>
    <w:rsid w:val="00F86D6E"/>
    <w:rsid w:val="00F86D99"/>
    <w:rsid w:val="00F86E28"/>
    <w:rsid w:val="00F86E2F"/>
    <w:rsid w:val="00F86E4E"/>
    <w:rsid w:val="00F87099"/>
    <w:rsid w:val="00F87368"/>
    <w:rsid w:val="00F87513"/>
    <w:rsid w:val="00F87526"/>
    <w:rsid w:val="00F877B1"/>
    <w:rsid w:val="00F87A8A"/>
    <w:rsid w:val="00F87EA1"/>
    <w:rsid w:val="00F87FBE"/>
    <w:rsid w:val="00F87FF6"/>
    <w:rsid w:val="00F9009B"/>
    <w:rsid w:val="00F900C0"/>
    <w:rsid w:val="00F90205"/>
    <w:rsid w:val="00F90248"/>
    <w:rsid w:val="00F90354"/>
    <w:rsid w:val="00F905AE"/>
    <w:rsid w:val="00F905E9"/>
    <w:rsid w:val="00F9065F"/>
    <w:rsid w:val="00F9075B"/>
    <w:rsid w:val="00F90881"/>
    <w:rsid w:val="00F9089E"/>
    <w:rsid w:val="00F90979"/>
    <w:rsid w:val="00F909EC"/>
    <w:rsid w:val="00F90BC1"/>
    <w:rsid w:val="00F90C21"/>
    <w:rsid w:val="00F90D6E"/>
    <w:rsid w:val="00F91189"/>
    <w:rsid w:val="00F91261"/>
    <w:rsid w:val="00F9142F"/>
    <w:rsid w:val="00F9144B"/>
    <w:rsid w:val="00F9155E"/>
    <w:rsid w:val="00F916A7"/>
    <w:rsid w:val="00F91BED"/>
    <w:rsid w:val="00F91C06"/>
    <w:rsid w:val="00F91C40"/>
    <w:rsid w:val="00F91D9B"/>
    <w:rsid w:val="00F91DFC"/>
    <w:rsid w:val="00F91F04"/>
    <w:rsid w:val="00F91F5A"/>
    <w:rsid w:val="00F924CF"/>
    <w:rsid w:val="00F9257C"/>
    <w:rsid w:val="00F92712"/>
    <w:rsid w:val="00F9278C"/>
    <w:rsid w:val="00F929FA"/>
    <w:rsid w:val="00F92ABA"/>
    <w:rsid w:val="00F92ABD"/>
    <w:rsid w:val="00F92CDA"/>
    <w:rsid w:val="00F92EB9"/>
    <w:rsid w:val="00F92F01"/>
    <w:rsid w:val="00F92FC7"/>
    <w:rsid w:val="00F93248"/>
    <w:rsid w:val="00F937D5"/>
    <w:rsid w:val="00F93877"/>
    <w:rsid w:val="00F93A14"/>
    <w:rsid w:val="00F93B3C"/>
    <w:rsid w:val="00F93EA8"/>
    <w:rsid w:val="00F9400E"/>
    <w:rsid w:val="00F9419F"/>
    <w:rsid w:val="00F941C2"/>
    <w:rsid w:val="00F94344"/>
    <w:rsid w:val="00F943AC"/>
    <w:rsid w:val="00F944EB"/>
    <w:rsid w:val="00F947AF"/>
    <w:rsid w:val="00F947BC"/>
    <w:rsid w:val="00F94909"/>
    <w:rsid w:val="00F94921"/>
    <w:rsid w:val="00F9492A"/>
    <w:rsid w:val="00F94A01"/>
    <w:rsid w:val="00F94A80"/>
    <w:rsid w:val="00F94CF7"/>
    <w:rsid w:val="00F94DBC"/>
    <w:rsid w:val="00F94DC3"/>
    <w:rsid w:val="00F95049"/>
    <w:rsid w:val="00F95815"/>
    <w:rsid w:val="00F95892"/>
    <w:rsid w:val="00F95898"/>
    <w:rsid w:val="00F959BE"/>
    <w:rsid w:val="00F95A19"/>
    <w:rsid w:val="00F95A41"/>
    <w:rsid w:val="00F95A98"/>
    <w:rsid w:val="00F95AD9"/>
    <w:rsid w:val="00F95B2C"/>
    <w:rsid w:val="00F95BC3"/>
    <w:rsid w:val="00F95BCB"/>
    <w:rsid w:val="00F95F26"/>
    <w:rsid w:val="00F9606A"/>
    <w:rsid w:val="00F960AA"/>
    <w:rsid w:val="00F960EB"/>
    <w:rsid w:val="00F96284"/>
    <w:rsid w:val="00F962C9"/>
    <w:rsid w:val="00F96350"/>
    <w:rsid w:val="00F96358"/>
    <w:rsid w:val="00F964ED"/>
    <w:rsid w:val="00F96553"/>
    <w:rsid w:val="00F96785"/>
    <w:rsid w:val="00F96BBB"/>
    <w:rsid w:val="00F96E3F"/>
    <w:rsid w:val="00F96F2F"/>
    <w:rsid w:val="00F96FC7"/>
    <w:rsid w:val="00F9702A"/>
    <w:rsid w:val="00F971E5"/>
    <w:rsid w:val="00F972B5"/>
    <w:rsid w:val="00F9749B"/>
    <w:rsid w:val="00F97653"/>
    <w:rsid w:val="00F97753"/>
    <w:rsid w:val="00F9782C"/>
    <w:rsid w:val="00F97D8B"/>
    <w:rsid w:val="00F97DA8"/>
    <w:rsid w:val="00FA01DF"/>
    <w:rsid w:val="00FA031C"/>
    <w:rsid w:val="00FA0347"/>
    <w:rsid w:val="00FA0478"/>
    <w:rsid w:val="00FA04AD"/>
    <w:rsid w:val="00FA058B"/>
    <w:rsid w:val="00FA0668"/>
    <w:rsid w:val="00FA07D2"/>
    <w:rsid w:val="00FA0A61"/>
    <w:rsid w:val="00FA0AA2"/>
    <w:rsid w:val="00FA0AED"/>
    <w:rsid w:val="00FA0B80"/>
    <w:rsid w:val="00FA0C17"/>
    <w:rsid w:val="00FA0E99"/>
    <w:rsid w:val="00FA0F58"/>
    <w:rsid w:val="00FA14E3"/>
    <w:rsid w:val="00FA158E"/>
    <w:rsid w:val="00FA1634"/>
    <w:rsid w:val="00FA16D5"/>
    <w:rsid w:val="00FA1914"/>
    <w:rsid w:val="00FA195D"/>
    <w:rsid w:val="00FA1C7A"/>
    <w:rsid w:val="00FA1E5F"/>
    <w:rsid w:val="00FA1F73"/>
    <w:rsid w:val="00FA2098"/>
    <w:rsid w:val="00FA2119"/>
    <w:rsid w:val="00FA21E9"/>
    <w:rsid w:val="00FA2236"/>
    <w:rsid w:val="00FA2588"/>
    <w:rsid w:val="00FA2A96"/>
    <w:rsid w:val="00FA2B0C"/>
    <w:rsid w:val="00FA2B7D"/>
    <w:rsid w:val="00FA2DA1"/>
    <w:rsid w:val="00FA2F83"/>
    <w:rsid w:val="00FA314C"/>
    <w:rsid w:val="00FA3248"/>
    <w:rsid w:val="00FA3377"/>
    <w:rsid w:val="00FA33E6"/>
    <w:rsid w:val="00FA354C"/>
    <w:rsid w:val="00FA35CC"/>
    <w:rsid w:val="00FA3655"/>
    <w:rsid w:val="00FA3731"/>
    <w:rsid w:val="00FA389A"/>
    <w:rsid w:val="00FA3A15"/>
    <w:rsid w:val="00FA3A16"/>
    <w:rsid w:val="00FA4114"/>
    <w:rsid w:val="00FA415E"/>
    <w:rsid w:val="00FA431B"/>
    <w:rsid w:val="00FA4322"/>
    <w:rsid w:val="00FA4372"/>
    <w:rsid w:val="00FA4397"/>
    <w:rsid w:val="00FA44E8"/>
    <w:rsid w:val="00FA4627"/>
    <w:rsid w:val="00FA466B"/>
    <w:rsid w:val="00FA48F8"/>
    <w:rsid w:val="00FA4999"/>
    <w:rsid w:val="00FA4B61"/>
    <w:rsid w:val="00FA4C58"/>
    <w:rsid w:val="00FA4FA5"/>
    <w:rsid w:val="00FA504C"/>
    <w:rsid w:val="00FA5098"/>
    <w:rsid w:val="00FA509B"/>
    <w:rsid w:val="00FA50D0"/>
    <w:rsid w:val="00FA55D5"/>
    <w:rsid w:val="00FA59C6"/>
    <w:rsid w:val="00FA5AB2"/>
    <w:rsid w:val="00FA5B2C"/>
    <w:rsid w:val="00FA5B92"/>
    <w:rsid w:val="00FA5C12"/>
    <w:rsid w:val="00FA5D0B"/>
    <w:rsid w:val="00FA60A9"/>
    <w:rsid w:val="00FA6252"/>
    <w:rsid w:val="00FA637F"/>
    <w:rsid w:val="00FA66BC"/>
    <w:rsid w:val="00FA67C7"/>
    <w:rsid w:val="00FA69BD"/>
    <w:rsid w:val="00FA6E3A"/>
    <w:rsid w:val="00FA73E8"/>
    <w:rsid w:val="00FA7522"/>
    <w:rsid w:val="00FA7536"/>
    <w:rsid w:val="00FA75D3"/>
    <w:rsid w:val="00FA7698"/>
    <w:rsid w:val="00FA77E7"/>
    <w:rsid w:val="00FA783D"/>
    <w:rsid w:val="00FA7B4B"/>
    <w:rsid w:val="00FA7E60"/>
    <w:rsid w:val="00FB0024"/>
    <w:rsid w:val="00FB0034"/>
    <w:rsid w:val="00FB009F"/>
    <w:rsid w:val="00FB04BB"/>
    <w:rsid w:val="00FB0531"/>
    <w:rsid w:val="00FB074B"/>
    <w:rsid w:val="00FB078D"/>
    <w:rsid w:val="00FB0959"/>
    <w:rsid w:val="00FB0A33"/>
    <w:rsid w:val="00FB0E1D"/>
    <w:rsid w:val="00FB0F81"/>
    <w:rsid w:val="00FB0F8C"/>
    <w:rsid w:val="00FB1085"/>
    <w:rsid w:val="00FB116C"/>
    <w:rsid w:val="00FB1182"/>
    <w:rsid w:val="00FB12A9"/>
    <w:rsid w:val="00FB1420"/>
    <w:rsid w:val="00FB14D1"/>
    <w:rsid w:val="00FB16E1"/>
    <w:rsid w:val="00FB17F6"/>
    <w:rsid w:val="00FB1D69"/>
    <w:rsid w:val="00FB1F23"/>
    <w:rsid w:val="00FB1F49"/>
    <w:rsid w:val="00FB20B9"/>
    <w:rsid w:val="00FB2113"/>
    <w:rsid w:val="00FB215D"/>
    <w:rsid w:val="00FB22D9"/>
    <w:rsid w:val="00FB233D"/>
    <w:rsid w:val="00FB247F"/>
    <w:rsid w:val="00FB26F2"/>
    <w:rsid w:val="00FB2700"/>
    <w:rsid w:val="00FB2708"/>
    <w:rsid w:val="00FB278F"/>
    <w:rsid w:val="00FB29CE"/>
    <w:rsid w:val="00FB2B2C"/>
    <w:rsid w:val="00FB2CC7"/>
    <w:rsid w:val="00FB2E49"/>
    <w:rsid w:val="00FB2EB4"/>
    <w:rsid w:val="00FB3263"/>
    <w:rsid w:val="00FB332D"/>
    <w:rsid w:val="00FB337A"/>
    <w:rsid w:val="00FB33A7"/>
    <w:rsid w:val="00FB33A8"/>
    <w:rsid w:val="00FB3443"/>
    <w:rsid w:val="00FB35E2"/>
    <w:rsid w:val="00FB3697"/>
    <w:rsid w:val="00FB38D4"/>
    <w:rsid w:val="00FB3BAA"/>
    <w:rsid w:val="00FB3CFF"/>
    <w:rsid w:val="00FB3D7D"/>
    <w:rsid w:val="00FB419C"/>
    <w:rsid w:val="00FB4300"/>
    <w:rsid w:val="00FB43E2"/>
    <w:rsid w:val="00FB47A4"/>
    <w:rsid w:val="00FB484B"/>
    <w:rsid w:val="00FB4858"/>
    <w:rsid w:val="00FB4A48"/>
    <w:rsid w:val="00FB4BF6"/>
    <w:rsid w:val="00FB4EDD"/>
    <w:rsid w:val="00FB5048"/>
    <w:rsid w:val="00FB5083"/>
    <w:rsid w:val="00FB51C4"/>
    <w:rsid w:val="00FB5515"/>
    <w:rsid w:val="00FB55AA"/>
    <w:rsid w:val="00FB576D"/>
    <w:rsid w:val="00FB58E0"/>
    <w:rsid w:val="00FB5A09"/>
    <w:rsid w:val="00FB5A88"/>
    <w:rsid w:val="00FB5BF3"/>
    <w:rsid w:val="00FB5CFE"/>
    <w:rsid w:val="00FB5F38"/>
    <w:rsid w:val="00FB5F63"/>
    <w:rsid w:val="00FB5F9B"/>
    <w:rsid w:val="00FB6037"/>
    <w:rsid w:val="00FB6113"/>
    <w:rsid w:val="00FB61CD"/>
    <w:rsid w:val="00FB62A1"/>
    <w:rsid w:val="00FB633A"/>
    <w:rsid w:val="00FB649D"/>
    <w:rsid w:val="00FB65A6"/>
    <w:rsid w:val="00FB668A"/>
    <w:rsid w:val="00FB66B0"/>
    <w:rsid w:val="00FB696E"/>
    <w:rsid w:val="00FB69D2"/>
    <w:rsid w:val="00FB6A31"/>
    <w:rsid w:val="00FB6C50"/>
    <w:rsid w:val="00FB6ED3"/>
    <w:rsid w:val="00FB725D"/>
    <w:rsid w:val="00FB72B2"/>
    <w:rsid w:val="00FB79D5"/>
    <w:rsid w:val="00FB79F6"/>
    <w:rsid w:val="00FB7A86"/>
    <w:rsid w:val="00FB7AB0"/>
    <w:rsid w:val="00FB7AB3"/>
    <w:rsid w:val="00FB7AED"/>
    <w:rsid w:val="00FB7E76"/>
    <w:rsid w:val="00FC0276"/>
    <w:rsid w:val="00FC0388"/>
    <w:rsid w:val="00FC059D"/>
    <w:rsid w:val="00FC072F"/>
    <w:rsid w:val="00FC07CA"/>
    <w:rsid w:val="00FC07D5"/>
    <w:rsid w:val="00FC0820"/>
    <w:rsid w:val="00FC0B9E"/>
    <w:rsid w:val="00FC0CEA"/>
    <w:rsid w:val="00FC0D50"/>
    <w:rsid w:val="00FC0E2F"/>
    <w:rsid w:val="00FC0FA4"/>
    <w:rsid w:val="00FC1151"/>
    <w:rsid w:val="00FC11BC"/>
    <w:rsid w:val="00FC12D6"/>
    <w:rsid w:val="00FC1349"/>
    <w:rsid w:val="00FC13B7"/>
    <w:rsid w:val="00FC1518"/>
    <w:rsid w:val="00FC16A4"/>
    <w:rsid w:val="00FC177C"/>
    <w:rsid w:val="00FC18C4"/>
    <w:rsid w:val="00FC1C64"/>
    <w:rsid w:val="00FC1CCB"/>
    <w:rsid w:val="00FC1E19"/>
    <w:rsid w:val="00FC2218"/>
    <w:rsid w:val="00FC2321"/>
    <w:rsid w:val="00FC2329"/>
    <w:rsid w:val="00FC23CB"/>
    <w:rsid w:val="00FC2577"/>
    <w:rsid w:val="00FC27D9"/>
    <w:rsid w:val="00FC290B"/>
    <w:rsid w:val="00FC2941"/>
    <w:rsid w:val="00FC2B52"/>
    <w:rsid w:val="00FC2C51"/>
    <w:rsid w:val="00FC2C8E"/>
    <w:rsid w:val="00FC2F7C"/>
    <w:rsid w:val="00FC3694"/>
    <w:rsid w:val="00FC37E8"/>
    <w:rsid w:val="00FC3832"/>
    <w:rsid w:val="00FC387D"/>
    <w:rsid w:val="00FC3945"/>
    <w:rsid w:val="00FC3A25"/>
    <w:rsid w:val="00FC3CC7"/>
    <w:rsid w:val="00FC43AF"/>
    <w:rsid w:val="00FC4514"/>
    <w:rsid w:val="00FC4754"/>
    <w:rsid w:val="00FC48EB"/>
    <w:rsid w:val="00FC4961"/>
    <w:rsid w:val="00FC49E0"/>
    <w:rsid w:val="00FC4B3F"/>
    <w:rsid w:val="00FC4BCB"/>
    <w:rsid w:val="00FC4BF5"/>
    <w:rsid w:val="00FC4D01"/>
    <w:rsid w:val="00FC4D7B"/>
    <w:rsid w:val="00FC4ED0"/>
    <w:rsid w:val="00FC51CA"/>
    <w:rsid w:val="00FC5256"/>
    <w:rsid w:val="00FC533E"/>
    <w:rsid w:val="00FC5392"/>
    <w:rsid w:val="00FC53A0"/>
    <w:rsid w:val="00FC54C4"/>
    <w:rsid w:val="00FC55A2"/>
    <w:rsid w:val="00FC56D1"/>
    <w:rsid w:val="00FC5706"/>
    <w:rsid w:val="00FC5834"/>
    <w:rsid w:val="00FC5895"/>
    <w:rsid w:val="00FC5B4C"/>
    <w:rsid w:val="00FC5D3D"/>
    <w:rsid w:val="00FC5D43"/>
    <w:rsid w:val="00FC60ED"/>
    <w:rsid w:val="00FC6337"/>
    <w:rsid w:val="00FC648D"/>
    <w:rsid w:val="00FC65E5"/>
    <w:rsid w:val="00FC6603"/>
    <w:rsid w:val="00FC67A7"/>
    <w:rsid w:val="00FC6876"/>
    <w:rsid w:val="00FC6A3F"/>
    <w:rsid w:val="00FC6B9E"/>
    <w:rsid w:val="00FC6BAD"/>
    <w:rsid w:val="00FC6BFA"/>
    <w:rsid w:val="00FC6F1B"/>
    <w:rsid w:val="00FC6F62"/>
    <w:rsid w:val="00FC7035"/>
    <w:rsid w:val="00FC708D"/>
    <w:rsid w:val="00FC7339"/>
    <w:rsid w:val="00FC75D0"/>
    <w:rsid w:val="00FC7770"/>
    <w:rsid w:val="00FC7937"/>
    <w:rsid w:val="00FC79CD"/>
    <w:rsid w:val="00FC7A2A"/>
    <w:rsid w:val="00FC7D37"/>
    <w:rsid w:val="00FD002E"/>
    <w:rsid w:val="00FD006D"/>
    <w:rsid w:val="00FD0577"/>
    <w:rsid w:val="00FD05B5"/>
    <w:rsid w:val="00FD07DF"/>
    <w:rsid w:val="00FD07EC"/>
    <w:rsid w:val="00FD0B3B"/>
    <w:rsid w:val="00FD0DE6"/>
    <w:rsid w:val="00FD0E5E"/>
    <w:rsid w:val="00FD0F6B"/>
    <w:rsid w:val="00FD113F"/>
    <w:rsid w:val="00FD124D"/>
    <w:rsid w:val="00FD1520"/>
    <w:rsid w:val="00FD181E"/>
    <w:rsid w:val="00FD182D"/>
    <w:rsid w:val="00FD1AFF"/>
    <w:rsid w:val="00FD1CF7"/>
    <w:rsid w:val="00FD1D75"/>
    <w:rsid w:val="00FD1DA1"/>
    <w:rsid w:val="00FD1DFA"/>
    <w:rsid w:val="00FD1F2A"/>
    <w:rsid w:val="00FD1FB5"/>
    <w:rsid w:val="00FD21AF"/>
    <w:rsid w:val="00FD231E"/>
    <w:rsid w:val="00FD2369"/>
    <w:rsid w:val="00FD23F6"/>
    <w:rsid w:val="00FD245B"/>
    <w:rsid w:val="00FD25BA"/>
    <w:rsid w:val="00FD2660"/>
    <w:rsid w:val="00FD2881"/>
    <w:rsid w:val="00FD292E"/>
    <w:rsid w:val="00FD29C3"/>
    <w:rsid w:val="00FD2B29"/>
    <w:rsid w:val="00FD2BE4"/>
    <w:rsid w:val="00FD2E45"/>
    <w:rsid w:val="00FD2FCA"/>
    <w:rsid w:val="00FD30D0"/>
    <w:rsid w:val="00FD3614"/>
    <w:rsid w:val="00FD3693"/>
    <w:rsid w:val="00FD3898"/>
    <w:rsid w:val="00FD3928"/>
    <w:rsid w:val="00FD3A53"/>
    <w:rsid w:val="00FD3C03"/>
    <w:rsid w:val="00FD3C44"/>
    <w:rsid w:val="00FD3C64"/>
    <w:rsid w:val="00FD3CBA"/>
    <w:rsid w:val="00FD3E91"/>
    <w:rsid w:val="00FD3F2F"/>
    <w:rsid w:val="00FD4195"/>
    <w:rsid w:val="00FD4288"/>
    <w:rsid w:val="00FD42A2"/>
    <w:rsid w:val="00FD4392"/>
    <w:rsid w:val="00FD4441"/>
    <w:rsid w:val="00FD4463"/>
    <w:rsid w:val="00FD446D"/>
    <w:rsid w:val="00FD4488"/>
    <w:rsid w:val="00FD45F7"/>
    <w:rsid w:val="00FD470A"/>
    <w:rsid w:val="00FD4880"/>
    <w:rsid w:val="00FD4B0B"/>
    <w:rsid w:val="00FD4EB3"/>
    <w:rsid w:val="00FD4FF1"/>
    <w:rsid w:val="00FD5330"/>
    <w:rsid w:val="00FD53C8"/>
    <w:rsid w:val="00FD55C4"/>
    <w:rsid w:val="00FD58AB"/>
    <w:rsid w:val="00FD5A3E"/>
    <w:rsid w:val="00FD5ADC"/>
    <w:rsid w:val="00FD5B0D"/>
    <w:rsid w:val="00FD5B5A"/>
    <w:rsid w:val="00FD5D45"/>
    <w:rsid w:val="00FD5E4A"/>
    <w:rsid w:val="00FD5F51"/>
    <w:rsid w:val="00FD5FBF"/>
    <w:rsid w:val="00FD6181"/>
    <w:rsid w:val="00FD6412"/>
    <w:rsid w:val="00FD69CA"/>
    <w:rsid w:val="00FD6DA1"/>
    <w:rsid w:val="00FD738B"/>
    <w:rsid w:val="00FD7472"/>
    <w:rsid w:val="00FD7912"/>
    <w:rsid w:val="00FD7E09"/>
    <w:rsid w:val="00FD7E9A"/>
    <w:rsid w:val="00FDB352"/>
    <w:rsid w:val="00FE0095"/>
    <w:rsid w:val="00FE00A4"/>
    <w:rsid w:val="00FE0269"/>
    <w:rsid w:val="00FE02CD"/>
    <w:rsid w:val="00FE055C"/>
    <w:rsid w:val="00FE0683"/>
    <w:rsid w:val="00FE07C4"/>
    <w:rsid w:val="00FE0971"/>
    <w:rsid w:val="00FE09DE"/>
    <w:rsid w:val="00FE0B8F"/>
    <w:rsid w:val="00FE0BBB"/>
    <w:rsid w:val="00FE0EEC"/>
    <w:rsid w:val="00FE0F7E"/>
    <w:rsid w:val="00FE106D"/>
    <w:rsid w:val="00FE107E"/>
    <w:rsid w:val="00FE1123"/>
    <w:rsid w:val="00FE1AE7"/>
    <w:rsid w:val="00FE1BEF"/>
    <w:rsid w:val="00FE1E1D"/>
    <w:rsid w:val="00FE1FA4"/>
    <w:rsid w:val="00FE22B2"/>
    <w:rsid w:val="00FE2329"/>
    <w:rsid w:val="00FE2341"/>
    <w:rsid w:val="00FE2461"/>
    <w:rsid w:val="00FE2590"/>
    <w:rsid w:val="00FE25CC"/>
    <w:rsid w:val="00FE2689"/>
    <w:rsid w:val="00FE26D7"/>
    <w:rsid w:val="00FE2783"/>
    <w:rsid w:val="00FE27C8"/>
    <w:rsid w:val="00FE2A8F"/>
    <w:rsid w:val="00FE2AF4"/>
    <w:rsid w:val="00FE2B3D"/>
    <w:rsid w:val="00FE2DAA"/>
    <w:rsid w:val="00FE340C"/>
    <w:rsid w:val="00FE341A"/>
    <w:rsid w:val="00FE3528"/>
    <w:rsid w:val="00FE365C"/>
    <w:rsid w:val="00FE399C"/>
    <w:rsid w:val="00FE39BA"/>
    <w:rsid w:val="00FE3AB4"/>
    <w:rsid w:val="00FE3B51"/>
    <w:rsid w:val="00FE3BF0"/>
    <w:rsid w:val="00FE3DEA"/>
    <w:rsid w:val="00FE41C7"/>
    <w:rsid w:val="00FE41CB"/>
    <w:rsid w:val="00FE4255"/>
    <w:rsid w:val="00FE43FA"/>
    <w:rsid w:val="00FE463E"/>
    <w:rsid w:val="00FE46D3"/>
    <w:rsid w:val="00FE4997"/>
    <w:rsid w:val="00FE4C61"/>
    <w:rsid w:val="00FE4D9F"/>
    <w:rsid w:val="00FE4E83"/>
    <w:rsid w:val="00FE552F"/>
    <w:rsid w:val="00FE574F"/>
    <w:rsid w:val="00FE57AF"/>
    <w:rsid w:val="00FE5816"/>
    <w:rsid w:val="00FE5B13"/>
    <w:rsid w:val="00FE610F"/>
    <w:rsid w:val="00FE61C5"/>
    <w:rsid w:val="00FE6201"/>
    <w:rsid w:val="00FE6237"/>
    <w:rsid w:val="00FE6394"/>
    <w:rsid w:val="00FE659F"/>
    <w:rsid w:val="00FE661A"/>
    <w:rsid w:val="00FE6621"/>
    <w:rsid w:val="00FE663F"/>
    <w:rsid w:val="00FE67CE"/>
    <w:rsid w:val="00FE6856"/>
    <w:rsid w:val="00FE69F5"/>
    <w:rsid w:val="00FE6B71"/>
    <w:rsid w:val="00FE6BB8"/>
    <w:rsid w:val="00FE6BD9"/>
    <w:rsid w:val="00FE6BFC"/>
    <w:rsid w:val="00FE6C43"/>
    <w:rsid w:val="00FE6DB5"/>
    <w:rsid w:val="00FE6DDA"/>
    <w:rsid w:val="00FE6F29"/>
    <w:rsid w:val="00FE70D3"/>
    <w:rsid w:val="00FE716E"/>
    <w:rsid w:val="00FE7386"/>
    <w:rsid w:val="00FE74AF"/>
    <w:rsid w:val="00FE75A7"/>
    <w:rsid w:val="00FE7614"/>
    <w:rsid w:val="00FE76E4"/>
    <w:rsid w:val="00FE7962"/>
    <w:rsid w:val="00FE796E"/>
    <w:rsid w:val="00FE7A95"/>
    <w:rsid w:val="00FE7D22"/>
    <w:rsid w:val="00FE7E1D"/>
    <w:rsid w:val="00FF029E"/>
    <w:rsid w:val="00FF04BE"/>
    <w:rsid w:val="00FF05FB"/>
    <w:rsid w:val="00FF0670"/>
    <w:rsid w:val="00FF074D"/>
    <w:rsid w:val="00FF07EE"/>
    <w:rsid w:val="00FF0917"/>
    <w:rsid w:val="00FF0918"/>
    <w:rsid w:val="00FF0A78"/>
    <w:rsid w:val="00FF0AAC"/>
    <w:rsid w:val="00FF0ABB"/>
    <w:rsid w:val="00FF0D16"/>
    <w:rsid w:val="00FF0D22"/>
    <w:rsid w:val="00FF0D65"/>
    <w:rsid w:val="00FF0D7D"/>
    <w:rsid w:val="00FF0EDD"/>
    <w:rsid w:val="00FF0F90"/>
    <w:rsid w:val="00FF1044"/>
    <w:rsid w:val="00FF108F"/>
    <w:rsid w:val="00FF13EF"/>
    <w:rsid w:val="00FF1424"/>
    <w:rsid w:val="00FF144C"/>
    <w:rsid w:val="00FF1488"/>
    <w:rsid w:val="00FF160F"/>
    <w:rsid w:val="00FF1667"/>
    <w:rsid w:val="00FF17DD"/>
    <w:rsid w:val="00FF1B01"/>
    <w:rsid w:val="00FF1DC5"/>
    <w:rsid w:val="00FF1EDE"/>
    <w:rsid w:val="00FF1F0C"/>
    <w:rsid w:val="00FF210D"/>
    <w:rsid w:val="00FF2128"/>
    <w:rsid w:val="00FF2161"/>
    <w:rsid w:val="00FF223B"/>
    <w:rsid w:val="00FF2332"/>
    <w:rsid w:val="00FF2512"/>
    <w:rsid w:val="00FF258D"/>
    <w:rsid w:val="00FF2661"/>
    <w:rsid w:val="00FF2911"/>
    <w:rsid w:val="00FF321F"/>
    <w:rsid w:val="00FF33E4"/>
    <w:rsid w:val="00FF3441"/>
    <w:rsid w:val="00FF365B"/>
    <w:rsid w:val="00FF3666"/>
    <w:rsid w:val="00FF3AB4"/>
    <w:rsid w:val="00FF3B2F"/>
    <w:rsid w:val="00FF3B4F"/>
    <w:rsid w:val="00FF3BA4"/>
    <w:rsid w:val="00FF3D21"/>
    <w:rsid w:val="00FF3D71"/>
    <w:rsid w:val="00FF3EE4"/>
    <w:rsid w:val="00FF3F0C"/>
    <w:rsid w:val="00FF3FF2"/>
    <w:rsid w:val="00FF40FA"/>
    <w:rsid w:val="00FF4209"/>
    <w:rsid w:val="00FF4279"/>
    <w:rsid w:val="00FF427F"/>
    <w:rsid w:val="00FF4438"/>
    <w:rsid w:val="00FF4609"/>
    <w:rsid w:val="00FF464A"/>
    <w:rsid w:val="00FF477C"/>
    <w:rsid w:val="00FF4823"/>
    <w:rsid w:val="00FF48F9"/>
    <w:rsid w:val="00FF4A8D"/>
    <w:rsid w:val="00FF4A9B"/>
    <w:rsid w:val="00FF4B49"/>
    <w:rsid w:val="00FF4FFE"/>
    <w:rsid w:val="00FF5187"/>
    <w:rsid w:val="00FF51D2"/>
    <w:rsid w:val="00FF522F"/>
    <w:rsid w:val="00FF52B4"/>
    <w:rsid w:val="00FF53C8"/>
    <w:rsid w:val="00FF53FA"/>
    <w:rsid w:val="00FF58FB"/>
    <w:rsid w:val="00FF5B4A"/>
    <w:rsid w:val="00FF5B60"/>
    <w:rsid w:val="00FF5BC6"/>
    <w:rsid w:val="00FF5BC9"/>
    <w:rsid w:val="00FF5C46"/>
    <w:rsid w:val="00FF5D82"/>
    <w:rsid w:val="00FF5F9C"/>
    <w:rsid w:val="00FF61A9"/>
    <w:rsid w:val="00FF662A"/>
    <w:rsid w:val="00FF66DB"/>
    <w:rsid w:val="00FF6850"/>
    <w:rsid w:val="00FF6A40"/>
    <w:rsid w:val="00FF6F4D"/>
    <w:rsid w:val="00FF72DF"/>
    <w:rsid w:val="00FF76C6"/>
    <w:rsid w:val="00FF7B29"/>
    <w:rsid w:val="00FF7B94"/>
    <w:rsid w:val="00FF7B9B"/>
    <w:rsid w:val="00FF7C1C"/>
    <w:rsid w:val="00FF7C24"/>
    <w:rsid w:val="00FF7DB1"/>
    <w:rsid w:val="00FF7F30"/>
    <w:rsid w:val="00FF7F93"/>
    <w:rsid w:val="0100E3F3"/>
    <w:rsid w:val="01032072"/>
    <w:rsid w:val="010A013E"/>
    <w:rsid w:val="011406DC"/>
    <w:rsid w:val="01167D2B"/>
    <w:rsid w:val="011743D6"/>
    <w:rsid w:val="01210BD4"/>
    <w:rsid w:val="0123D925"/>
    <w:rsid w:val="0131FF84"/>
    <w:rsid w:val="013311F6"/>
    <w:rsid w:val="01345680"/>
    <w:rsid w:val="0135D04A"/>
    <w:rsid w:val="0135D1C1"/>
    <w:rsid w:val="0135F467"/>
    <w:rsid w:val="013767E9"/>
    <w:rsid w:val="0138E6D1"/>
    <w:rsid w:val="013A123D"/>
    <w:rsid w:val="013E07A3"/>
    <w:rsid w:val="0146D62C"/>
    <w:rsid w:val="0150D94B"/>
    <w:rsid w:val="0155CBBF"/>
    <w:rsid w:val="0157BA43"/>
    <w:rsid w:val="0160C745"/>
    <w:rsid w:val="0162439B"/>
    <w:rsid w:val="016535A3"/>
    <w:rsid w:val="0167EA60"/>
    <w:rsid w:val="01722C4D"/>
    <w:rsid w:val="0176DE8C"/>
    <w:rsid w:val="017D1B38"/>
    <w:rsid w:val="017F7032"/>
    <w:rsid w:val="0184A5DC"/>
    <w:rsid w:val="018A6AE4"/>
    <w:rsid w:val="018CE4F2"/>
    <w:rsid w:val="0195DCC2"/>
    <w:rsid w:val="0196D932"/>
    <w:rsid w:val="019BE839"/>
    <w:rsid w:val="019E7060"/>
    <w:rsid w:val="01A01CBC"/>
    <w:rsid w:val="01A29031"/>
    <w:rsid w:val="01A40A29"/>
    <w:rsid w:val="01AB30C9"/>
    <w:rsid w:val="01AD8598"/>
    <w:rsid w:val="01ADF272"/>
    <w:rsid w:val="01B190F4"/>
    <w:rsid w:val="01B666C7"/>
    <w:rsid w:val="01B87596"/>
    <w:rsid w:val="01B90423"/>
    <w:rsid w:val="01B909EE"/>
    <w:rsid w:val="01BA53A2"/>
    <w:rsid w:val="01C0DC1D"/>
    <w:rsid w:val="01C14E33"/>
    <w:rsid w:val="01C5D7A2"/>
    <w:rsid w:val="01CADE34"/>
    <w:rsid w:val="01CB7074"/>
    <w:rsid w:val="01D92BB4"/>
    <w:rsid w:val="01E570EE"/>
    <w:rsid w:val="01ECAB57"/>
    <w:rsid w:val="01F21943"/>
    <w:rsid w:val="01F895C6"/>
    <w:rsid w:val="01F8D7A9"/>
    <w:rsid w:val="01FDA36E"/>
    <w:rsid w:val="01FF4D91"/>
    <w:rsid w:val="0205600B"/>
    <w:rsid w:val="020AED79"/>
    <w:rsid w:val="020B408C"/>
    <w:rsid w:val="02111BD1"/>
    <w:rsid w:val="021B24E7"/>
    <w:rsid w:val="022C22B6"/>
    <w:rsid w:val="022F1244"/>
    <w:rsid w:val="0231FF80"/>
    <w:rsid w:val="02322FA7"/>
    <w:rsid w:val="0238D1E4"/>
    <w:rsid w:val="02467FE1"/>
    <w:rsid w:val="02469614"/>
    <w:rsid w:val="0247355C"/>
    <w:rsid w:val="0247ECB8"/>
    <w:rsid w:val="02483E17"/>
    <w:rsid w:val="02509128"/>
    <w:rsid w:val="025182CE"/>
    <w:rsid w:val="02519B24"/>
    <w:rsid w:val="0258E543"/>
    <w:rsid w:val="025D5671"/>
    <w:rsid w:val="026400E1"/>
    <w:rsid w:val="02643A77"/>
    <w:rsid w:val="026444CF"/>
    <w:rsid w:val="02683CD2"/>
    <w:rsid w:val="02685CAE"/>
    <w:rsid w:val="026A9602"/>
    <w:rsid w:val="026AE8D8"/>
    <w:rsid w:val="027341B2"/>
    <w:rsid w:val="0273F28A"/>
    <w:rsid w:val="0275D52A"/>
    <w:rsid w:val="02767669"/>
    <w:rsid w:val="027ECDAC"/>
    <w:rsid w:val="028680D0"/>
    <w:rsid w:val="028B29CC"/>
    <w:rsid w:val="028CABE5"/>
    <w:rsid w:val="028D676B"/>
    <w:rsid w:val="028ED932"/>
    <w:rsid w:val="028F9704"/>
    <w:rsid w:val="0290A950"/>
    <w:rsid w:val="0291F43A"/>
    <w:rsid w:val="0294093B"/>
    <w:rsid w:val="029702B7"/>
    <w:rsid w:val="029874CD"/>
    <w:rsid w:val="0298B4AB"/>
    <w:rsid w:val="02A788A8"/>
    <w:rsid w:val="02AAD0AE"/>
    <w:rsid w:val="02ABC992"/>
    <w:rsid w:val="02B3A927"/>
    <w:rsid w:val="02C1DDD3"/>
    <w:rsid w:val="02C2123D"/>
    <w:rsid w:val="02C76A9C"/>
    <w:rsid w:val="02C806B9"/>
    <w:rsid w:val="02CC29BB"/>
    <w:rsid w:val="02CD9AF5"/>
    <w:rsid w:val="02CDDE0C"/>
    <w:rsid w:val="02D0E048"/>
    <w:rsid w:val="02D33D62"/>
    <w:rsid w:val="02D4ED3A"/>
    <w:rsid w:val="02D97BD8"/>
    <w:rsid w:val="02DB0D32"/>
    <w:rsid w:val="02E5DA8B"/>
    <w:rsid w:val="02E626F9"/>
    <w:rsid w:val="02E9000E"/>
    <w:rsid w:val="02E9977E"/>
    <w:rsid w:val="02F391C7"/>
    <w:rsid w:val="030A150C"/>
    <w:rsid w:val="03129DED"/>
    <w:rsid w:val="031696EA"/>
    <w:rsid w:val="0319116E"/>
    <w:rsid w:val="031E2590"/>
    <w:rsid w:val="0320535E"/>
    <w:rsid w:val="03254BF8"/>
    <w:rsid w:val="032B692F"/>
    <w:rsid w:val="0331BDC9"/>
    <w:rsid w:val="0337BA36"/>
    <w:rsid w:val="033D6146"/>
    <w:rsid w:val="033D9542"/>
    <w:rsid w:val="033E77CF"/>
    <w:rsid w:val="033F1608"/>
    <w:rsid w:val="03464779"/>
    <w:rsid w:val="034C9935"/>
    <w:rsid w:val="034D433C"/>
    <w:rsid w:val="0355213C"/>
    <w:rsid w:val="03580180"/>
    <w:rsid w:val="0365DFE0"/>
    <w:rsid w:val="03662FB5"/>
    <w:rsid w:val="036BD849"/>
    <w:rsid w:val="036DA2DF"/>
    <w:rsid w:val="036E50DD"/>
    <w:rsid w:val="036EA272"/>
    <w:rsid w:val="03743960"/>
    <w:rsid w:val="03776B35"/>
    <w:rsid w:val="0377BF3F"/>
    <w:rsid w:val="037ADD72"/>
    <w:rsid w:val="037F6C16"/>
    <w:rsid w:val="038035EA"/>
    <w:rsid w:val="0380EEB7"/>
    <w:rsid w:val="0385A1A4"/>
    <w:rsid w:val="0387A9BA"/>
    <w:rsid w:val="038B324E"/>
    <w:rsid w:val="038C064C"/>
    <w:rsid w:val="038E5FD7"/>
    <w:rsid w:val="03964D68"/>
    <w:rsid w:val="03993EA0"/>
    <w:rsid w:val="039CDBB7"/>
    <w:rsid w:val="039EE555"/>
    <w:rsid w:val="03A1485A"/>
    <w:rsid w:val="03A34567"/>
    <w:rsid w:val="03AC4A89"/>
    <w:rsid w:val="03B2948A"/>
    <w:rsid w:val="03BB7FAD"/>
    <w:rsid w:val="03BC3F2C"/>
    <w:rsid w:val="03C00B51"/>
    <w:rsid w:val="03C061F9"/>
    <w:rsid w:val="03C2188D"/>
    <w:rsid w:val="03C26BA8"/>
    <w:rsid w:val="03D85C84"/>
    <w:rsid w:val="03D93EDD"/>
    <w:rsid w:val="03DE3BFE"/>
    <w:rsid w:val="03DF832A"/>
    <w:rsid w:val="03E5D128"/>
    <w:rsid w:val="03E5DA6B"/>
    <w:rsid w:val="03F85C04"/>
    <w:rsid w:val="03F8D021"/>
    <w:rsid w:val="03F96EDF"/>
    <w:rsid w:val="03FAF46B"/>
    <w:rsid w:val="03FED115"/>
    <w:rsid w:val="0401128A"/>
    <w:rsid w:val="040A4803"/>
    <w:rsid w:val="040A97CB"/>
    <w:rsid w:val="040CEC58"/>
    <w:rsid w:val="040D289A"/>
    <w:rsid w:val="040E9E8F"/>
    <w:rsid w:val="04113EEE"/>
    <w:rsid w:val="0412AD2E"/>
    <w:rsid w:val="04145724"/>
    <w:rsid w:val="04158D83"/>
    <w:rsid w:val="0417725F"/>
    <w:rsid w:val="041808AF"/>
    <w:rsid w:val="0418496B"/>
    <w:rsid w:val="041ADC4A"/>
    <w:rsid w:val="041B386D"/>
    <w:rsid w:val="041C0C10"/>
    <w:rsid w:val="0420EFA4"/>
    <w:rsid w:val="04248684"/>
    <w:rsid w:val="042641F0"/>
    <w:rsid w:val="0426FDCC"/>
    <w:rsid w:val="042A0087"/>
    <w:rsid w:val="042CFB24"/>
    <w:rsid w:val="042EEEA3"/>
    <w:rsid w:val="04304535"/>
    <w:rsid w:val="0447E1F7"/>
    <w:rsid w:val="04484E5B"/>
    <w:rsid w:val="044B490D"/>
    <w:rsid w:val="044EAD31"/>
    <w:rsid w:val="0454EE67"/>
    <w:rsid w:val="045D47C3"/>
    <w:rsid w:val="04649A1F"/>
    <w:rsid w:val="0467E4D4"/>
    <w:rsid w:val="047267EA"/>
    <w:rsid w:val="0475933C"/>
    <w:rsid w:val="047B1A0A"/>
    <w:rsid w:val="047CA6E7"/>
    <w:rsid w:val="048D1E1F"/>
    <w:rsid w:val="048EA66C"/>
    <w:rsid w:val="049242A9"/>
    <w:rsid w:val="0494D4A3"/>
    <w:rsid w:val="04956EA9"/>
    <w:rsid w:val="04A3F6C1"/>
    <w:rsid w:val="04A65ACB"/>
    <w:rsid w:val="04A7E905"/>
    <w:rsid w:val="04ACEC2C"/>
    <w:rsid w:val="04B055BC"/>
    <w:rsid w:val="04BA2CF4"/>
    <w:rsid w:val="04BCD2DE"/>
    <w:rsid w:val="04BF5708"/>
    <w:rsid w:val="04C637E0"/>
    <w:rsid w:val="04C8F96B"/>
    <w:rsid w:val="04CD9247"/>
    <w:rsid w:val="04CE15B3"/>
    <w:rsid w:val="04D0FACF"/>
    <w:rsid w:val="04D1DC48"/>
    <w:rsid w:val="04D7A184"/>
    <w:rsid w:val="04D8DE10"/>
    <w:rsid w:val="04E95A50"/>
    <w:rsid w:val="04E9C62F"/>
    <w:rsid w:val="04EA7E13"/>
    <w:rsid w:val="04F6CB71"/>
    <w:rsid w:val="04F7D3BF"/>
    <w:rsid w:val="04FF72C2"/>
    <w:rsid w:val="05018B28"/>
    <w:rsid w:val="05046C7A"/>
    <w:rsid w:val="050E6053"/>
    <w:rsid w:val="05112D4F"/>
    <w:rsid w:val="051CB060"/>
    <w:rsid w:val="051D6A24"/>
    <w:rsid w:val="051E0650"/>
    <w:rsid w:val="051F0D6C"/>
    <w:rsid w:val="05296CA2"/>
    <w:rsid w:val="0537585D"/>
    <w:rsid w:val="0538CADC"/>
    <w:rsid w:val="053B52EF"/>
    <w:rsid w:val="053C9248"/>
    <w:rsid w:val="053D6991"/>
    <w:rsid w:val="0540593B"/>
    <w:rsid w:val="0540C9FA"/>
    <w:rsid w:val="054CB259"/>
    <w:rsid w:val="05525ED8"/>
    <w:rsid w:val="05556199"/>
    <w:rsid w:val="05572F7A"/>
    <w:rsid w:val="055CFF82"/>
    <w:rsid w:val="055DF802"/>
    <w:rsid w:val="0560BC2B"/>
    <w:rsid w:val="05639F80"/>
    <w:rsid w:val="056DA52B"/>
    <w:rsid w:val="056ED158"/>
    <w:rsid w:val="05738DB0"/>
    <w:rsid w:val="057F4A12"/>
    <w:rsid w:val="0585F622"/>
    <w:rsid w:val="059080CF"/>
    <w:rsid w:val="059521C8"/>
    <w:rsid w:val="0598F14C"/>
    <w:rsid w:val="059FA93B"/>
    <w:rsid w:val="05A588D2"/>
    <w:rsid w:val="05A5DB2C"/>
    <w:rsid w:val="05A6651F"/>
    <w:rsid w:val="05A76DF7"/>
    <w:rsid w:val="05B55F3E"/>
    <w:rsid w:val="05B89465"/>
    <w:rsid w:val="05BC4A8C"/>
    <w:rsid w:val="05C3275E"/>
    <w:rsid w:val="05CB97BA"/>
    <w:rsid w:val="05D329B3"/>
    <w:rsid w:val="05D4C77C"/>
    <w:rsid w:val="05DBB74E"/>
    <w:rsid w:val="05DE1FC7"/>
    <w:rsid w:val="05DEA151"/>
    <w:rsid w:val="05DFA970"/>
    <w:rsid w:val="05E19CF1"/>
    <w:rsid w:val="05F1CD1F"/>
    <w:rsid w:val="05F250F8"/>
    <w:rsid w:val="05FA1975"/>
    <w:rsid w:val="06023B39"/>
    <w:rsid w:val="0605B293"/>
    <w:rsid w:val="06062F6D"/>
    <w:rsid w:val="060807AC"/>
    <w:rsid w:val="060C2615"/>
    <w:rsid w:val="060FE043"/>
    <w:rsid w:val="06129DBB"/>
    <w:rsid w:val="0612F04D"/>
    <w:rsid w:val="061314D8"/>
    <w:rsid w:val="0618091D"/>
    <w:rsid w:val="061F6934"/>
    <w:rsid w:val="0625E273"/>
    <w:rsid w:val="0625F053"/>
    <w:rsid w:val="0627D85D"/>
    <w:rsid w:val="062B7C59"/>
    <w:rsid w:val="063B85C1"/>
    <w:rsid w:val="063CFE3B"/>
    <w:rsid w:val="063D8515"/>
    <w:rsid w:val="064651C4"/>
    <w:rsid w:val="06471268"/>
    <w:rsid w:val="064935F8"/>
    <w:rsid w:val="064D46A3"/>
    <w:rsid w:val="065431EE"/>
    <w:rsid w:val="06583431"/>
    <w:rsid w:val="0659C3C8"/>
    <w:rsid w:val="065EB879"/>
    <w:rsid w:val="065FBFAD"/>
    <w:rsid w:val="0663F2F0"/>
    <w:rsid w:val="06646F1D"/>
    <w:rsid w:val="066937C2"/>
    <w:rsid w:val="0674918C"/>
    <w:rsid w:val="0674E02B"/>
    <w:rsid w:val="0676BF11"/>
    <w:rsid w:val="067C9921"/>
    <w:rsid w:val="067CCF5B"/>
    <w:rsid w:val="06824262"/>
    <w:rsid w:val="0687C785"/>
    <w:rsid w:val="0688FECA"/>
    <w:rsid w:val="0694F848"/>
    <w:rsid w:val="0695D9DF"/>
    <w:rsid w:val="06989CCF"/>
    <w:rsid w:val="0698F70C"/>
    <w:rsid w:val="069C7D08"/>
    <w:rsid w:val="06A3A8B3"/>
    <w:rsid w:val="06AB353F"/>
    <w:rsid w:val="06AE5AF8"/>
    <w:rsid w:val="06B62D06"/>
    <w:rsid w:val="06BB7742"/>
    <w:rsid w:val="06C83DCB"/>
    <w:rsid w:val="06C98A12"/>
    <w:rsid w:val="06CC29F1"/>
    <w:rsid w:val="06CC3693"/>
    <w:rsid w:val="06CCCF7F"/>
    <w:rsid w:val="06D19F48"/>
    <w:rsid w:val="06D7E59A"/>
    <w:rsid w:val="06D942F2"/>
    <w:rsid w:val="06D94C47"/>
    <w:rsid w:val="06DB8D13"/>
    <w:rsid w:val="06E033B1"/>
    <w:rsid w:val="06E10F35"/>
    <w:rsid w:val="06E3046C"/>
    <w:rsid w:val="06E4D32F"/>
    <w:rsid w:val="06EC5879"/>
    <w:rsid w:val="06ED8ACF"/>
    <w:rsid w:val="06EED636"/>
    <w:rsid w:val="06F0B797"/>
    <w:rsid w:val="06F3C4AC"/>
    <w:rsid w:val="06F3C9C6"/>
    <w:rsid w:val="06F5CECA"/>
    <w:rsid w:val="06FA0C56"/>
    <w:rsid w:val="06FA871A"/>
    <w:rsid w:val="070340A9"/>
    <w:rsid w:val="0704001E"/>
    <w:rsid w:val="0707FF19"/>
    <w:rsid w:val="0709BB93"/>
    <w:rsid w:val="0713189D"/>
    <w:rsid w:val="07161BBD"/>
    <w:rsid w:val="07194C97"/>
    <w:rsid w:val="071AF7BA"/>
    <w:rsid w:val="071CAB21"/>
    <w:rsid w:val="07296282"/>
    <w:rsid w:val="0735C9A3"/>
    <w:rsid w:val="073C85D3"/>
    <w:rsid w:val="073FE9CC"/>
    <w:rsid w:val="07417291"/>
    <w:rsid w:val="0745519B"/>
    <w:rsid w:val="0745DDA8"/>
    <w:rsid w:val="074F490C"/>
    <w:rsid w:val="074FB26F"/>
    <w:rsid w:val="074FEA50"/>
    <w:rsid w:val="07518FB7"/>
    <w:rsid w:val="0753E15F"/>
    <w:rsid w:val="07548C4A"/>
    <w:rsid w:val="075CF3D2"/>
    <w:rsid w:val="075D577D"/>
    <w:rsid w:val="075E22B6"/>
    <w:rsid w:val="0761FE76"/>
    <w:rsid w:val="0762609C"/>
    <w:rsid w:val="07628836"/>
    <w:rsid w:val="076C6635"/>
    <w:rsid w:val="0779DF03"/>
    <w:rsid w:val="077DFDA8"/>
    <w:rsid w:val="0783B097"/>
    <w:rsid w:val="0783F9F0"/>
    <w:rsid w:val="078953C1"/>
    <w:rsid w:val="0792330A"/>
    <w:rsid w:val="079351CE"/>
    <w:rsid w:val="07956BC1"/>
    <w:rsid w:val="0795B4A5"/>
    <w:rsid w:val="07966EB8"/>
    <w:rsid w:val="079A1F38"/>
    <w:rsid w:val="079B4B28"/>
    <w:rsid w:val="079D5896"/>
    <w:rsid w:val="079F87ED"/>
    <w:rsid w:val="07A3F66D"/>
    <w:rsid w:val="07A52B09"/>
    <w:rsid w:val="07B0A755"/>
    <w:rsid w:val="07BDC1BA"/>
    <w:rsid w:val="07C018A3"/>
    <w:rsid w:val="07C19729"/>
    <w:rsid w:val="07C7DA42"/>
    <w:rsid w:val="07C927C7"/>
    <w:rsid w:val="07CC0AA7"/>
    <w:rsid w:val="07CC95E0"/>
    <w:rsid w:val="07CE2131"/>
    <w:rsid w:val="07D11603"/>
    <w:rsid w:val="07D20063"/>
    <w:rsid w:val="07D9486D"/>
    <w:rsid w:val="07DBF7C1"/>
    <w:rsid w:val="07DD0F49"/>
    <w:rsid w:val="07DDA664"/>
    <w:rsid w:val="07DF8598"/>
    <w:rsid w:val="07E83D80"/>
    <w:rsid w:val="07E8505F"/>
    <w:rsid w:val="07EBEB87"/>
    <w:rsid w:val="07F23253"/>
    <w:rsid w:val="0800D179"/>
    <w:rsid w:val="08056474"/>
    <w:rsid w:val="080820EB"/>
    <w:rsid w:val="08083782"/>
    <w:rsid w:val="080959F0"/>
    <w:rsid w:val="080B8919"/>
    <w:rsid w:val="080E4717"/>
    <w:rsid w:val="0814BE17"/>
    <w:rsid w:val="081755BE"/>
    <w:rsid w:val="08178680"/>
    <w:rsid w:val="081830A2"/>
    <w:rsid w:val="081F89DA"/>
    <w:rsid w:val="081FD6C5"/>
    <w:rsid w:val="08343A88"/>
    <w:rsid w:val="083AA417"/>
    <w:rsid w:val="083AD835"/>
    <w:rsid w:val="08469079"/>
    <w:rsid w:val="08469833"/>
    <w:rsid w:val="08478E60"/>
    <w:rsid w:val="085452BE"/>
    <w:rsid w:val="0855F213"/>
    <w:rsid w:val="086A72A5"/>
    <w:rsid w:val="086C03F8"/>
    <w:rsid w:val="086E9C0D"/>
    <w:rsid w:val="0871276F"/>
    <w:rsid w:val="0873345D"/>
    <w:rsid w:val="087821A3"/>
    <w:rsid w:val="087D1026"/>
    <w:rsid w:val="087E447B"/>
    <w:rsid w:val="087FB055"/>
    <w:rsid w:val="08821DA9"/>
    <w:rsid w:val="0884F291"/>
    <w:rsid w:val="0885666F"/>
    <w:rsid w:val="0885A12E"/>
    <w:rsid w:val="088D0C22"/>
    <w:rsid w:val="08939A83"/>
    <w:rsid w:val="08A1FD75"/>
    <w:rsid w:val="08A8E270"/>
    <w:rsid w:val="08A95B08"/>
    <w:rsid w:val="08A99ABC"/>
    <w:rsid w:val="08B4F42B"/>
    <w:rsid w:val="08B58757"/>
    <w:rsid w:val="08B82AA6"/>
    <w:rsid w:val="08B8A5C6"/>
    <w:rsid w:val="08BBD4BC"/>
    <w:rsid w:val="08BE34ED"/>
    <w:rsid w:val="08C1C21F"/>
    <w:rsid w:val="08C24E73"/>
    <w:rsid w:val="08C3F037"/>
    <w:rsid w:val="08CE1C88"/>
    <w:rsid w:val="08D6D96D"/>
    <w:rsid w:val="08DC9D25"/>
    <w:rsid w:val="08DEE020"/>
    <w:rsid w:val="08E1DD49"/>
    <w:rsid w:val="08E3B705"/>
    <w:rsid w:val="08E82585"/>
    <w:rsid w:val="08E8BCFA"/>
    <w:rsid w:val="08EAABA9"/>
    <w:rsid w:val="08EB2180"/>
    <w:rsid w:val="08F5ECC5"/>
    <w:rsid w:val="08FF9524"/>
    <w:rsid w:val="090114A5"/>
    <w:rsid w:val="09027737"/>
    <w:rsid w:val="0903FDC3"/>
    <w:rsid w:val="090E8A27"/>
    <w:rsid w:val="0913A289"/>
    <w:rsid w:val="09169201"/>
    <w:rsid w:val="0917EFE2"/>
    <w:rsid w:val="0918020F"/>
    <w:rsid w:val="09198C00"/>
    <w:rsid w:val="091DCF51"/>
    <w:rsid w:val="092E8FA0"/>
    <w:rsid w:val="093255C3"/>
    <w:rsid w:val="093645FF"/>
    <w:rsid w:val="0937802D"/>
    <w:rsid w:val="093A81C6"/>
    <w:rsid w:val="093D3FCC"/>
    <w:rsid w:val="093EA8C5"/>
    <w:rsid w:val="0949E0FB"/>
    <w:rsid w:val="094D78EE"/>
    <w:rsid w:val="094F0A8E"/>
    <w:rsid w:val="095F28AF"/>
    <w:rsid w:val="09620263"/>
    <w:rsid w:val="0966ECED"/>
    <w:rsid w:val="0968FD70"/>
    <w:rsid w:val="096975C1"/>
    <w:rsid w:val="09772764"/>
    <w:rsid w:val="0977721C"/>
    <w:rsid w:val="0977AA74"/>
    <w:rsid w:val="0978E2B2"/>
    <w:rsid w:val="097A3635"/>
    <w:rsid w:val="097EDF35"/>
    <w:rsid w:val="0981AABF"/>
    <w:rsid w:val="0983FFE3"/>
    <w:rsid w:val="0986BB62"/>
    <w:rsid w:val="098B9B83"/>
    <w:rsid w:val="098D9195"/>
    <w:rsid w:val="098DED8F"/>
    <w:rsid w:val="0990B605"/>
    <w:rsid w:val="0993D93D"/>
    <w:rsid w:val="0994F6F0"/>
    <w:rsid w:val="0997C501"/>
    <w:rsid w:val="099DF94C"/>
    <w:rsid w:val="099E2242"/>
    <w:rsid w:val="09A1036A"/>
    <w:rsid w:val="09A7278E"/>
    <w:rsid w:val="09B9EC89"/>
    <w:rsid w:val="09C752FE"/>
    <w:rsid w:val="09D145CD"/>
    <w:rsid w:val="09D4B2B5"/>
    <w:rsid w:val="09D76B3D"/>
    <w:rsid w:val="09DA417A"/>
    <w:rsid w:val="09DDAD78"/>
    <w:rsid w:val="09DE3C17"/>
    <w:rsid w:val="09E2F889"/>
    <w:rsid w:val="09E722F1"/>
    <w:rsid w:val="09E7DBB3"/>
    <w:rsid w:val="09F41AC1"/>
    <w:rsid w:val="09F94394"/>
    <w:rsid w:val="0A093AB5"/>
    <w:rsid w:val="0A0E47E5"/>
    <w:rsid w:val="0A1E4449"/>
    <w:rsid w:val="0A205E78"/>
    <w:rsid w:val="0A221120"/>
    <w:rsid w:val="0A23B577"/>
    <w:rsid w:val="0A2B8437"/>
    <w:rsid w:val="0A2BE250"/>
    <w:rsid w:val="0A2D633A"/>
    <w:rsid w:val="0A309739"/>
    <w:rsid w:val="0A383E71"/>
    <w:rsid w:val="0A399702"/>
    <w:rsid w:val="0A3B20A6"/>
    <w:rsid w:val="0A415BD8"/>
    <w:rsid w:val="0A440839"/>
    <w:rsid w:val="0A44C1CF"/>
    <w:rsid w:val="0A4697E9"/>
    <w:rsid w:val="0A48FFA8"/>
    <w:rsid w:val="0A516BD8"/>
    <w:rsid w:val="0A579CA9"/>
    <w:rsid w:val="0A5F98A7"/>
    <w:rsid w:val="0A6621DC"/>
    <w:rsid w:val="0A6916A2"/>
    <w:rsid w:val="0A692734"/>
    <w:rsid w:val="0A6CF651"/>
    <w:rsid w:val="0A7A866F"/>
    <w:rsid w:val="0A7C2802"/>
    <w:rsid w:val="0A7CD9D6"/>
    <w:rsid w:val="0A7E875D"/>
    <w:rsid w:val="0A84CD5C"/>
    <w:rsid w:val="0A8A1511"/>
    <w:rsid w:val="0A969098"/>
    <w:rsid w:val="0A99CB35"/>
    <w:rsid w:val="0AA14AA5"/>
    <w:rsid w:val="0AB54B8D"/>
    <w:rsid w:val="0AB5A80A"/>
    <w:rsid w:val="0AB63AAB"/>
    <w:rsid w:val="0AB9866F"/>
    <w:rsid w:val="0ABA1B54"/>
    <w:rsid w:val="0ABB2600"/>
    <w:rsid w:val="0ABD4EF4"/>
    <w:rsid w:val="0ABE61AF"/>
    <w:rsid w:val="0AC04F1C"/>
    <w:rsid w:val="0AC5D52B"/>
    <w:rsid w:val="0AC83F07"/>
    <w:rsid w:val="0ACA8D18"/>
    <w:rsid w:val="0ACE8221"/>
    <w:rsid w:val="0AD010FB"/>
    <w:rsid w:val="0ADC29D2"/>
    <w:rsid w:val="0ADC76A9"/>
    <w:rsid w:val="0AED3BF4"/>
    <w:rsid w:val="0AEF9BBF"/>
    <w:rsid w:val="0AF4F553"/>
    <w:rsid w:val="0AF511A2"/>
    <w:rsid w:val="0AF52BEE"/>
    <w:rsid w:val="0AFD7181"/>
    <w:rsid w:val="0B06995E"/>
    <w:rsid w:val="0B086555"/>
    <w:rsid w:val="0B0BA2B6"/>
    <w:rsid w:val="0B0DAC7F"/>
    <w:rsid w:val="0B0E1FDC"/>
    <w:rsid w:val="0B0F4E81"/>
    <w:rsid w:val="0B12B235"/>
    <w:rsid w:val="0B131E7A"/>
    <w:rsid w:val="0B133966"/>
    <w:rsid w:val="0B135397"/>
    <w:rsid w:val="0B14B44A"/>
    <w:rsid w:val="0B14C2CE"/>
    <w:rsid w:val="0B16EB7A"/>
    <w:rsid w:val="0B18E13F"/>
    <w:rsid w:val="0B1D442F"/>
    <w:rsid w:val="0B1F12EF"/>
    <w:rsid w:val="0B20A3FE"/>
    <w:rsid w:val="0B2D6CE3"/>
    <w:rsid w:val="0B2E3821"/>
    <w:rsid w:val="0B31D89A"/>
    <w:rsid w:val="0B34C261"/>
    <w:rsid w:val="0B3AF7FB"/>
    <w:rsid w:val="0B3DDBEC"/>
    <w:rsid w:val="0B42E023"/>
    <w:rsid w:val="0B432642"/>
    <w:rsid w:val="0B468E5B"/>
    <w:rsid w:val="0B4C25F8"/>
    <w:rsid w:val="0B506353"/>
    <w:rsid w:val="0B578DC2"/>
    <w:rsid w:val="0B584905"/>
    <w:rsid w:val="0B62B3AD"/>
    <w:rsid w:val="0B67471E"/>
    <w:rsid w:val="0B69BBA3"/>
    <w:rsid w:val="0B69BE9E"/>
    <w:rsid w:val="0B77C830"/>
    <w:rsid w:val="0B7C73F8"/>
    <w:rsid w:val="0B881C06"/>
    <w:rsid w:val="0B8993B7"/>
    <w:rsid w:val="0B8DFE13"/>
    <w:rsid w:val="0B8E33AB"/>
    <w:rsid w:val="0B9314C8"/>
    <w:rsid w:val="0B971E98"/>
    <w:rsid w:val="0B9D6E57"/>
    <w:rsid w:val="0B9F3CAC"/>
    <w:rsid w:val="0BA14233"/>
    <w:rsid w:val="0BAA99BA"/>
    <w:rsid w:val="0BABBD9D"/>
    <w:rsid w:val="0BAEE82F"/>
    <w:rsid w:val="0BB02025"/>
    <w:rsid w:val="0BB81C91"/>
    <w:rsid w:val="0BBA27AD"/>
    <w:rsid w:val="0BC4BB60"/>
    <w:rsid w:val="0BC92B78"/>
    <w:rsid w:val="0BCB3A14"/>
    <w:rsid w:val="0BCBBB2F"/>
    <w:rsid w:val="0BCCA375"/>
    <w:rsid w:val="0BCE7B1C"/>
    <w:rsid w:val="0BD72B2F"/>
    <w:rsid w:val="0BDCF0F1"/>
    <w:rsid w:val="0BE08967"/>
    <w:rsid w:val="0BE99D1B"/>
    <w:rsid w:val="0BEC643D"/>
    <w:rsid w:val="0BEF11FB"/>
    <w:rsid w:val="0BF02DB3"/>
    <w:rsid w:val="0BF2F377"/>
    <w:rsid w:val="0BF38065"/>
    <w:rsid w:val="0BFE437B"/>
    <w:rsid w:val="0BFEBC8A"/>
    <w:rsid w:val="0BFEF400"/>
    <w:rsid w:val="0C0CA19F"/>
    <w:rsid w:val="0C0D2E16"/>
    <w:rsid w:val="0C10E411"/>
    <w:rsid w:val="0C1468D5"/>
    <w:rsid w:val="0C1B57AB"/>
    <w:rsid w:val="0C1D0739"/>
    <w:rsid w:val="0C1DF21C"/>
    <w:rsid w:val="0C2207D1"/>
    <w:rsid w:val="0C22EB08"/>
    <w:rsid w:val="0C2365BE"/>
    <w:rsid w:val="0C248389"/>
    <w:rsid w:val="0C27CAAB"/>
    <w:rsid w:val="0C2B4B76"/>
    <w:rsid w:val="0C328BE5"/>
    <w:rsid w:val="0C39515B"/>
    <w:rsid w:val="0C3B1BF1"/>
    <w:rsid w:val="0C3DCFBF"/>
    <w:rsid w:val="0C42C6B4"/>
    <w:rsid w:val="0C4B7E90"/>
    <w:rsid w:val="0C4F9E2C"/>
    <w:rsid w:val="0C502A4E"/>
    <w:rsid w:val="0C51F5AB"/>
    <w:rsid w:val="0C5CBA74"/>
    <w:rsid w:val="0C5EC1FB"/>
    <w:rsid w:val="0C5EDC70"/>
    <w:rsid w:val="0C62EC02"/>
    <w:rsid w:val="0C63357E"/>
    <w:rsid w:val="0C675256"/>
    <w:rsid w:val="0C6A5E4A"/>
    <w:rsid w:val="0C6D3984"/>
    <w:rsid w:val="0C6DDCBB"/>
    <w:rsid w:val="0C6DDE78"/>
    <w:rsid w:val="0C73B40B"/>
    <w:rsid w:val="0C7AA62F"/>
    <w:rsid w:val="0C7CD4F8"/>
    <w:rsid w:val="0C7F5CCD"/>
    <w:rsid w:val="0C84DC49"/>
    <w:rsid w:val="0C89A7EE"/>
    <w:rsid w:val="0C8B3B96"/>
    <w:rsid w:val="0C8BF3F1"/>
    <w:rsid w:val="0C902885"/>
    <w:rsid w:val="0C908FB2"/>
    <w:rsid w:val="0C9153EC"/>
    <w:rsid w:val="0C9BF95C"/>
    <w:rsid w:val="0C9DFBE3"/>
    <w:rsid w:val="0CA2B7A0"/>
    <w:rsid w:val="0CA5B0AF"/>
    <w:rsid w:val="0CA98248"/>
    <w:rsid w:val="0CA99DCD"/>
    <w:rsid w:val="0CAA1790"/>
    <w:rsid w:val="0CB0D1FF"/>
    <w:rsid w:val="0CB4DCCE"/>
    <w:rsid w:val="0CB6AF5D"/>
    <w:rsid w:val="0CB99671"/>
    <w:rsid w:val="0CC29C55"/>
    <w:rsid w:val="0CC8FCC8"/>
    <w:rsid w:val="0CC90285"/>
    <w:rsid w:val="0CDAB747"/>
    <w:rsid w:val="0CDDADF7"/>
    <w:rsid w:val="0CE007CD"/>
    <w:rsid w:val="0CE22BD9"/>
    <w:rsid w:val="0CE4F253"/>
    <w:rsid w:val="0CE9A716"/>
    <w:rsid w:val="0CEC2467"/>
    <w:rsid w:val="0CFA2F70"/>
    <w:rsid w:val="0D066B61"/>
    <w:rsid w:val="0D0C85BC"/>
    <w:rsid w:val="0D0CB6A7"/>
    <w:rsid w:val="0D19FB5A"/>
    <w:rsid w:val="0D219AB8"/>
    <w:rsid w:val="0D2A40D5"/>
    <w:rsid w:val="0D2A52B5"/>
    <w:rsid w:val="0D2F24AA"/>
    <w:rsid w:val="0D30C203"/>
    <w:rsid w:val="0D3FBB7A"/>
    <w:rsid w:val="0D455317"/>
    <w:rsid w:val="0D479E32"/>
    <w:rsid w:val="0D57428D"/>
    <w:rsid w:val="0D58C95D"/>
    <w:rsid w:val="0D5DC251"/>
    <w:rsid w:val="0D5DE308"/>
    <w:rsid w:val="0D6255E5"/>
    <w:rsid w:val="0D63E68E"/>
    <w:rsid w:val="0D655BC6"/>
    <w:rsid w:val="0D6BE91C"/>
    <w:rsid w:val="0D721776"/>
    <w:rsid w:val="0D748539"/>
    <w:rsid w:val="0D74B9AC"/>
    <w:rsid w:val="0D750C80"/>
    <w:rsid w:val="0D78A065"/>
    <w:rsid w:val="0D8316CA"/>
    <w:rsid w:val="0D83DC88"/>
    <w:rsid w:val="0D8CB5A5"/>
    <w:rsid w:val="0D8D990D"/>
    <w:rsid w:val="0D901946"/>
    <w:rsid w:val="0D91A5AB"/>
    <w:rsid w:val="0D942C61"/>
    <w:rsid w:val="0D95E5B8"/>
    <w:rsid w:val="0D9EA988"/>
    <w:rsid w:val="0DA4CDA8"/>
    <w:rsid w:val="0DA9142D"/>
    <w:rsid w:val="0DAAFC18"/>
    <w:rsid w:val="0DAD2C93"/>
    <w:rsid w:val="0DAD5921"/>
    <w:rsid w:val="0DADE4DC"/>
    <w:rsid w:val="0DAED075"/>
    <w:rsid w:val="0DAFD00D"/>
    <w:rsid w:val="0DB4925F"/>
    <w:rsid w:val="0DB731C1"/>
    <w:rsid w:val="0DBC9A36"/>
    <w:rsid w:val="0DBF36BE"/>
    <w:rsid w:val="0DBF4D55"/>
    <w:rsid w:val="0DC0B7EF"/>
    <w:rsid w:val="0DC506E0"/>
    <w:rsid w:val="0DD0DE42"/>
    <w:rsid w:val="0DD32957"/>
    <w:rsid w:val="0DD39238"/>
    <w:rsid w:val="0DD4577C"/>
    <w:rsid w:val="0DD5FD4F"/>
    <w:rsid w:val="0DD64E00"/>
    <w:rsid w:val="0DD848D1"/>
    <w:rsid w:val="0DDDC195"/>
    <w:rsid w:val="0DE0C881"/>
    <w:rsid w:val="0DE10752"/>
    <w:rsid w:val="0DE29F86"/>
    <w:rsid w:val="0DE5D97F"/>
    <w:rsid w:val="0DE7D261"/>
    <w:rsid w:val="0DF346B8"/>
    <w:rsid w:val="0DF88B71"/>
    <w:rsid w:val="0DF987DC"/>
    <w:rsid w:val="0DF9CD10"/>
    <w:rsid w:val="0DFB1932"/>
    <w:rsid w:val="0DFBDBAA"/>
    <w:rsid w:val="0DFE120C"/>
    <w:rsid w:val="0DFF4408"/>
    <w:rsid w:val="0E01571B"/>
    <w:rsid w:val="0E0CCEB9"/>
    <w:rsid w:val="0E140DE8"/>
    <w:rsid w:val="0E1C82CB"/>
    <w:rsid w:val="0E1CDF16"/>
    <w:rsid w:val="0E20BBF5"/>
    <w:rsid w:val="0E20E1A8"/>
    <w:rsid w:val="0E211D94"/>
    <w:rsid w:val="0E252E23"/>
    <w:rsid w:val="0E2E15F1"/>
    <w:rsid w:val="0E389F14"/>
    <w:rsid w:val="0E397F4C"/>
    <w:rsid w:val="0E3AA7A6"/>
    <w:rsid w:val="0E3D1C66"/>
    <w:rsid w:val="0E4ECA7C"/>
    <w:rsid w:val="0E50673E"/>
    <w:rsid w:val="0E56EC37"/>
    <w:rsid w:val="0E57A31A"/>
    <w:rsid w:val="0E58CBC7"/>
    <w:rsid w:val="0E5A47CF"/>
    <w:rsid w:val="0E5BC18E"/>
    <w:rsid w:val="0E5EAE09"/>
    <w:rsid w:val="0E6742A4"/>
    <w:rsid w:val="0E708458"/>
    <w:rsid w:val="0E76AE83"/>
    <w:rsid w:val="0E771DAE"/>
    <w:rsid w:val="0E8908C9"/>
    <w:rsid w:val="0E89FC61"/>
    <w:rsid w:val="0E8A8E08"/>
    <w:rsid w:val="0E8AFD75"/>
    <w:rsid w:val="0E93613B"/>
    <w:rsid w:val="0E97A6E5"/>
    <w:rsid w:val="0E99E629"/>
    <w:rsid w:val="0E9BDB67"/>
    <w:rsid w:val="0EA474BF"/>
    <w:rsid w:val="0EB172B8"/>
    <w:rsid w:val="0EB8EDA2"/>
    <w:rsid w:val="0EB95A1C"/>
    <w:rsid w:val="0EC1B1C3"/>
    <w:rsid w:val="0EC29D63"/>
    <w:rsid w:val="0EC5F183"/>
    <w:rsid w:val="0ECB9100"/>
    <w:rsid w:val="0ECEA328"/>
    <w:rsid w:val="0ECF0926"/>
    <w:rsid w:val="0ED7B2BA"/>
    <w:rsid w:val="0ED7FD47"/>
    <w:rsid w:val="0EDB8CFC"/>
    <w:rsid w:val="0EE287AD"/>
    <w:rsid w:val="0EEF3CAF"/>
    <w:rsid w:val="0EEF7E90"/>
    <w:rsid w:val="0EF41DD0"/>
    <w:rsid w:val="0EF55A0D"/>
    <w:rsid w:val="0F0B85A0"/>
    <w:rsid w:val="0F0F7CA9"/>
    <w:rsid w:val="0F11BBD7"/>
    <w:rsid w:val="0F1462C1"/>
    <w:rsid w:val="0F1666FA"/>
    <w:rsid w:val="0F1E0A32"/>
    <w:rsid w:val="0F250360"/>
    <w:rsid w:val="0F251CC5"/>
    <w:rsid w:val="0F252DB8"/>
    <w:rsid w:val="0F2CA70A"/>
    <w:rsid w:val="0F323492"/>
    <w:rsid w:val="0F371A43"/>
    <w:rsid w:val="0F479647"/>
    <w:rsid w:val="0F47B680"/>
    <w:rsid w:val="0F4CD32B"/>
    <w:rsid w:val="0F4D65DC"/>
    <w:rsid w:val="0F527CB9"/>
    <w:rsid w:val="0F5CC065"/>
    <w:rsid w:val="0F60C7EC"/>
    <w:rsid w:val="0F627F82"/>
    <w:rsid w:val="0F66091A"/>
    <w:rsid w:val="0F697FA8"/>
    <w:rsid w:val="0F6A2F8E"/>
    <w:rsid w:val="0F6A7F23"/>
    <w:rsid w:val="0F7469BE"/>
    <w:rsid w:val="0F7B5265"/>
    <w:rsid w:val="0F859658"/>
    <w:rsid w:val="0F8DB139"/>
    <w:rsid w:val="0F9013BF"/>
    <w:rsid w:val="0F9119DD"/>
    <w:rsid w:val="0F940574"/>
    <w:rsid w:val="0F968E06"/>
    <w:rsid w:val="0F9C41DB"/>
    <w:rsid w:val="0F9DDE26"/>
    <w:rsid w:val="0FA02F12"/>
    <w:rsid w:val="0FA31AA2"/>
    <w:rsid w:val="0FA698BB"/>
    <w:rsid w:val="0FA84F64"/>
    <w:rsid w:val="0FAF2F3B"/>
    <w:rsid w:val="0FB60BC1"/>
    <w:rsid w:val="0FB61624"/>
    <w:rsid w:val="0FB69B33"/>
    <w:rsid w:val="0FC045F0"/>
    <w:rsid w:val="0FC3DACA"/>
    <w:rsid w:val="0FC50D89"/>
    <w:rsid w:val="0FCA47FC"/>
    <w:rsid w:val="0FCB00F7"/>
    <w:rsid w:val="0FCFB4FF"/>
    <w:rsid w:val="0FD1939B"/>
    <w:rsid w:val="0FD70718"/>
    <w:rsid w:val="0FDAC2BA"/>
    <w:rsid w:val="0FDCA364"/>
    <w:rsid w:val="0FDDEBE1"/>
    <w:rsid w:val="0FDF9618"/>
    <w:rsid w:val="0FE79A6E"/>
    <w:rsid w:val="100DF748"/>
    <w:rsid w:val="100E596E"/>
    <w:rsid w:val="100F2B2F"/>
    <w:rsid w:val="101051FE"/>
    <w:rsid w:val="1011A643"/>
    <w:rsid w:val="101223A6"/>
    <w:rsid w:val="101960A3"/>
    <w:rsid w:val="101A3F4A"/>
    <w:rsid w:val="102095BC"/>
    <w:rsid w:val="10251592"/>
    <w:rsid w:val="102718B5"/>
    <w:rsid w:val="102FC52C"/>
    <w:rsid w:val="10376DAA"/>
    <w:rsid w:val="103D81D3"/>
    <w:rsid w:val="104074AB"/>
    <w:rsid w:val="1046AFAA"/>
    <w:rsid w:val="104998DD"/>
    <w:rsid w:val="104CDD10"/>
    <w:rsid w:val="104D2A59"/>
    <w:rsid w:val="10566524"/>
    <w:rsid w:val="105747C1"/>
    <w:rsid w:val="1057F713"/>
    <w:rsid w:val="105DBFF5"/>
    <w:rsid w:val="10650612"/>
    <w:rsid w:val="106C3C32"/>
    <w:rsid w:val="1070FCDB"/>
    <w:rsid w:val="107A2949"/>
    <w:rsid w:val="107B3779"/>
    <w:rsid w:val="1082A421"/>
    <w:rsid w:val="10840D3F"/>
    <w:rsid w:val="10889000"/>
    <w:rsid w:val="108A8EAC"/>
    <w:rsid w:val="108B538C"/>
    <w:rsid w:val="108D1621"/>
    <w:rsid w:val="1090EF88"/>
    <w:rsid w:val="109F7848"/>
    <w:rsid w:val="10A17FE8"/>
    <w:rsid w:val="10A2AD60"/>
    <w:rsid w:val="10A43690"/>
    <w:rsid w:val="10A6D708"/>
    <w:rsid w:val="10B3857C"/>
    <w:rsid w:val="10B411C8"/>
    <w:rsid w:val="10BC8572"/>
    <w:rsid w:val="10BCFB03"/>
    <w:rsid w:val="10BF2AB3"/>
    <w:rsid w:val="10CB31AE"/>
    <w:rsid w:val="10CD6B7C"/>
    <w:rsid w:val="10CE1CAD"/>
    <w:rsid w:val="10D1478E"/>
    <w:rsid w:val="10D1C1F0"/>
    <w:rsid w:val="10DE7D50"/>
    <w:rsid w:val="10E4ED72"/>
    <w:rsid w:val="10E6D245"/>
    <w:rsid w:val="10E715B1"/>
    <w:rsid w:val="10EAEF38"/>
    <w:rsid w:val="10EAFDAC"/>
    <w:rsid w:val="10F2AC40"/>
    <w:rsid w:val="10F6E121"/>
    <w:rsid w:val="10FAEADA"/>
    <w:rsid w:val="1107A2D6"/>
    <w:rsid w:val="11086CCD"/>
    <w:rsid w:val="110B808D"/>
    <w:rsid w:val="110F8326"/>
    <w:rsid w:val="110FCFD8"/>
    <w:rsid w:val="11146E25"/>
    <w:rsid w:val="1114C682"/>
    <w:rsid w:val="1116ADCF"/>
    <w:rsid w:val="11198090"/>
    <w:rsid w:val="111CD79D"/>
    <w:rsid w:val="1121F839"/>
    <w:rsid w:val="112C606A"/>
    <w:rsid w:val="112CBEB4"/>
    <w:rsid w:val="112CEEB5"/>
    <w:rsid w:val="11324902"/>
    <w:rsid w:val="1133DB10"/>
    <w:rsid w:val="1136340E"/>
    <w:rsid w:val="1138F1EE"/>
    <w:rsid w:val="113B44FE"/>
    <w:rsid w:val="113CDB38"/>
    <w:rsid w:val="113DDBBA"/>
    <w:rsid w:val="113FB956"/>
    <w:rsid w:val="11412FEF"/>
    <w:rsid w:val="1141C43A"/>
    <w:rsid w:val="11442153"/>
    <w:rsid w:val="114E2ECB"/>
    <w:rsid w:val="11549E11"/>
    <w:rsid w:val="1155D75C"/>
    <w:rsid w:val="11565AE0"/>
    <w:rsid w:val="1159B32A"/>
    <w:rsid w:val="115BB465"/>
    <w:rsid w:val="1162D9F3"/>
    <w:rsid w:val="1164A159"/>
    <w:rsid w:val="1165204A"/>
    <w:rsid w:val="1165D2E2"/>
    <w:rsid w:val="1167A02E"/>
    <w:rsid w:val="1168FC60"/>
    <w:rsid w:val="116994C9"/>
    <w:rsid w:val="1169C64B"/>
    <w:rsid w:val="116F6520"/>
    <w:rsid w:val="1171AD43"/>
    <w:rsid w:val="1171F97A"/>
    <w:rsid w:val="1173A94A"/>
    <w:rsid w:val="117821DF"/>
    <w:rsid w:val="117A767D"/>
    <w:rsid w:val="117AC918"/>
    <w:rsid w:val="11807EC2"/>
    <w:rsid w:val="118421E9"/>
    <w:rsid w:val="1185E94E"/>
    <w:rsid w:val="118CADD9"/>
    <w:rsid w:val="119AEB9A"/>
    <w:rsid w:val="119B1D5D"/>
    <w:rsid w:val="119E730C"/>
    <w:rsid w:val="11A6518A"/>
    <w:rsid w:val="11A79DC1"/>
    <w:rsid w:val="11B0A696"/>
    <w:rsid w:val="11B323FE"/>
    <w:rsid w:val="11B5BA66"/>
    <w:rsid w:val="11B77C1C"/>
    <w:rsid w:val="11BA58D6"/>
    <w:rsid w:val="11BB258A"/>
    <w:rsid w:val="11BC52C2"/>
    <w:rsid w:val="11BCB018"/>
    <w:rsid w:val="11BCC9EB"/>
    <w:rsid w:val="11C02D3A"/>
    <w:rsid w:val="11C43641"/>
    <w:rsid w:val="11C99DE7"/>
    <w:rsid w:val="11CC2DE8"/>
    <w:rsid w:val="11CD00B9"/>
    <w:rsid w:val="11CE5BB7"/>
    <w:rsid w:val="11CE8AF7"/>
    <w:rsid w:val="11D170C1"/>
    <w:rsid w:val="11D18D8E"/>
    <w:rsid w:val="11D240A2"/>
    <w:rsid w:val="11D31260"/>
    <w:rsid w:val="11D36721"/>
    <w:rsid w:val="11D3DC53"/>
    <w:rsid w:val="11D8139D"/>
    <w:rsid w:val="11DDEFD5"/>
    <w:rsid w:val="11DF0AB7"/>
    <w:rsid w:val="11E1A6BD"/>
    <w:rsid w:val="11E2F8B8"/>
    <w:rsid w:val="11E51B25"/>
    <w:rsid w:val="11E55880"/>
    <w:rsid w:val="11E707BF"/>
    <w:rsid w:val="11F33DA9"/>
    <w:rsid w:val="12066DFE"/>
    <w:rsid w:val="120A62EA"/>
    <w:rsid w:val="120BC2B2"/>
    <w:rsid w:val="120C45B6"/>
    <w:rsid w:val="120DC656"/>
    <w:rsid w:val="120F0EE9"/>
    <w:rsid w:val="1215D02A"/>
    <w:rsid w:val="12175D81"/>
    <w:rsid w:val="1218866D"/>
    <w:rsid w:val="121D6822"/>
    <w:rsid w:val="12243F42"/>
    <w:rsid w:val="12249BAE"/>
    <w:rsid w:val="122A70C4"/>
    <w:rsid w:val="122DE7C7"/>
    <w:rsid w:val="122FF062"/>
    <w:rsid w:val="12334C51"/>
    <w:rsid w:val="1236B9BD"/>
    <w:rsid w:val="123A0C3B"/>
    <w:rsid w:val="123CFBDB"/>
    <w:rsid w:val="1241B27C"/>
    <w:rsid w:val="12488258"/>
    <w:rsid w:val="124DB485"/>
    <w:rsid w:val="12514CD3"/>
    <w:rsid w:val="1253C666"/>
    <w:rsid w:val="1256E3CA"/>
    <w:rsid w:val="1256FC3F"/>
    <w:rsid w:val="12587FF4"/>
    <w:rsid w:val="1260474C"/>
    <w:rsid w:val="12660E65"/>
    <w:rsid w:val="1266BC56"/>
    <w:rsid w:val="12688421"/>
    <w:rsid w:val="126AA14B"/>
    <w:rsid w:val="126BDC09"/>
    <w:rsid w:val="1273D888"/>
    <w:rsid w:val="127CA344"/>
    <w:rsid w:val="128ACBE3"/>
    <w:rsid w:val="1291127D"/>
    <w:rsid w:val="129D3BDB"/>
    <w:rsid w:val="129DA7EA"/>
    <w:rsid w:val="129F2215"/>
    <w:rsid w:val="12A18089"/>
    <w:rsid w:val="12A52416"/>
    <w:rsid w:val="12AC5239"/>
    <w:rsid w:val="12B0BE07"/>
    <w:rsid w:val="12B1C3D4"/>
    <w:rsid w:val="12B40105"/>
    <w:rsid w:val="12BB35C3"/>
    <w:rsid w:val="12BB9CE3"/>
    <w:rsid w:val="12BC5AA7"/>
    <w:rsid w:val="12BD55C2"/>
    <w:rsid w:val="12C050BA"/>
    <w:rsid w:val="12C1022A"/>
    <w:rsid w:val="12C43EA7"/>
    <w:rsid w:val="12C51449"/>
    <w:rsid w:val="12C73B68"/>
    <w:rsid w:val="12CD46D4"/>
    <w:rsid w:val="12CF86B3"/>
    <w:rsid w:val="12CFD3B8"/>
    <w:rsid w:val="12D0D5BC"/>
    <w:rsid w:val="12D77364"/>
    <w:rsid w:val="12D939CC"/>
    <w:rsid w:val="12DA9607"/>
    <w:rsid w:val="12DBF348"/>
    <w:rsid w:val="12E0EB77"/>
    <w:rsid w:val="12E10F89"/>
    <w:rsid w:val="12E17A54"/>
    <w:rsid w:val="12E22662"/>
    <w:rsid w:val="12E2F37D"/>
    <w:rsid w:val="12EA3AC2"/>
    <w:rsid w:val="12EB2250"/>
    <w:rsid w:val="12ECE787"/>
    <w:rsid w:val="12EF6969"/>
    <w:rsid w:val="12F3DEF9"/>
    <w:rsid w:val="12F92135"/>
    <w:rsid w:val="12FF20FA"/>
    <w:rsid w:val="1300E9B4"/>
    <w:rsid w:val="1303B209"/>
    <w:rsid w:val="130640BA"/>
    <w:rsid w:val="130862F2"/>
    <w:rsid w:val="1313AE38"/>
    <w:rsid w:val="1314B005"/>
    <w:rsid w:val="13173D64"/>
    <w:rsid w:val="131B30CB"/>
    <w:rsid w:val="13220A27"/>
    <w:rsid w:val="13223F67"/>
    <w:rsid w:val="1322807A"/>
    <w:rsid w:val="132339CB"/>
    <w:rsid w:val="1326D91B"/>
    <w:rsid w:val="132915D5"/>
    <w:rsid w:val="132ABE1E"/>
    <w:rsid w:val="133122B4"/>
    <w:rsid w:val="13328F70"/>
    <w:rsid w:val="133ACC59"/>
    <w:rsid w:val="133B2A02"/>
    <w:rsid w:val="133DAB25"/>
    <w:rsid w:val="133E8A30"/>
    <w:rsid w:val="1340CD0B"/>
    <w:rsid w:val="134437DB"/>
    <w:rsid w:val="134D457D"/>
    <w:rsid w:val="134EDE2F"/>
    <w:rsid w:val="134EF73A"/>
    <w:rsid w:val="1353AEE9"/>
    <w:rsid w:val="13543BC5"/>
    <w:rsid w:val="135ADC70"/>
    <w:rsid w:val="135B35E1"/>
    <w:rsid w:val="1366D631"/>
    <w:rsid w:val="13674A83"/>
    <w:rsid w:val="13691973"/>
    <w:rsid w:val="136A486F"/>
    <w:rsid w:val="136BEC04"/>
    <w:rsid w:val="137B28CE"/>
    <w:rsid w:val="1382524A"/>
    <w:rsid w:val="13909547"/>
    <w:rsid w:val="13932198"/>
    <w:rsid w:val="1396F76E"/>
    <w:rsid w:val="13974491"/>
    <w:rsid w:val="139AB1E7"/>
    <w:rsid w:val="139B3F14"/>
    <w:rsid w:val="139CC96E"/>
    <w:rsid w:val="13A0FFA6"/>
    <w:rsid w:val="13A307D6"/>
    <w:rsid w:val="13A37E09"/>
    <w:rsid w:val="13AAFD84"/>
    <w:rsid w:val="13B1731B"/>
    <w:rsid w:val="13B48777"/>
    <w:rsid w:val="13B715C2"/>
    <w:rsid w:val="13B912D7"/>
    <w:rsid w:val="13B9FF2D"/>
    <w:rsid w:val="13BC0B2D"/>
    <w:rsid w:val="13BE19C9"/>
    <w:rsid w:val="13BE7859"/>
    <w:rsid w:val="13C1BB00"/>
    <w:rsid w:val="13C1E4BA"/>
    <w:rsid w:val="13C7B552"/>
    <w:rsid w:val="13CA1BE3"/>
    <w:rsid w:val="13CBE7CD"/>
    <w:rsid w:val="13CC0B9D"/>
    <w:rsid w:val="13D0AEAD"/>
    <w:rsid w:val="13D69918"/>
    <w:rsid w:val="13D97328"/>
    <w:rsid w:val="13DC7341"/>
    <w:rsid w:val="13DE6D89"/>
    <w:rsid w:val="13E0C7C1"/>
    <w:rsid w:val="13E57A1B"/>
    <w:rsid w:val="13E77357"/>
    <w:rsid w:val="13E81AD0"/>
    <w:rsid w:val="13E90662"/>
    <w:rsid w:val="13E96D0B"/>
    <w:rsid w:val="13EC13A8"/>
    <w:rsid w:val="13EC3DBD"/>
    <w:rsid w:val="13EFAEAC"/>
    <w:rsid w:val="13F3A6FB"/>
    <w:rsid w:val="13F42634"/>
    <w:rsid w:val="13F551D0"/>
    <w:rsid w:val="13F5A4EF"/>
    <w:rsid w:val="13F929A9"/>
    <w:rsid w:val="13F9F6F7"/>
    <w:rsid w:val="1400F8A4"/>
    <w:rsid w:val="140576AD"/>
    <w:rsid w:val="1411D83A"/>
    <w:rsid w:val="14136A95"/>
    <w:rsid w:val="141892B9"/>
    <w:rsid w:val="141E99D0"/>
    <w:rsid w:val="141E9E42"/>
    <w:rsid w:val="14202771"/>
    <w:rsid w:val="142C5D45"/>
    <w:rsid w:val="142E1B44"/>
    <w:rsid w:val="1430AB2E"/>
    <w:rsid w:val="14319BE7"/>
    <w:rsid w:val="1431D59D"/>
    <w:rsid w:val="143239D8"/>
    <w:rsid w:val="1435626D"/>
    <w:rsid w:val="14374657"/>
    <w:rsid w:val="14376E23"/>
    <w:rsid w:val="143AD29E"/>
    <w:rsid w:val="143AF445"/>
    <w:rsid w:val="143E0C79"/>
    <w:rsid w:val="144352B3"/>
    <w:rsid w:val="1443EA28"/>
    <w:rsid w:val="14456533"/>
    <w:rsid w:val="1447C958"/>
    <w:rsid w:val="144E1478"/>
    <w:rsid w:val="14502712"/>
    <w:rsid w:val="14508E77"/>
    <w:rsid w:val="14561BF8"/>
    <w:rsid w:val="145C2AF9"/>
    <w:rsid w:val="145C395A"/>
    <w:rsid w:val="1460F4E7"/>
    <w:rsid w:val="1464A228"/>
    <w:rsid w:val="14674ADA"/>
    <w:rsid w:val="146D30A9"/>
    <w:rsid w:val="14705C29"/>
    <w:rsid w:val="1478E630"/>
    <w:rsid w:val="147D7196"/>
    <w:rsid w:val="147F9BFB"/>
    <w:rsid w:val="1484F237"/>
    <w:rsid w:val="1486415E"/>
    <w:rsid w:val="1488E6FE"/>
    <w:rsid w:val="148D8670"/>
    <w:rsid w:val="148E56E4"/>
    <w:rsid w:val="14900107"/>
    <w:rsid w:val="14A14282"/>
    <w:rsid w:val="14A3553C"/>
    <w:rsid w:val="14A3D8EB"/>
    <w:rsid w:val="14A5DF20"/>
    <w:rsid w:val="14A678F6"/>
    <w:rsid w:val="14AC57B3"/>
    <w:rsid w:val="14B3C7FB"/>
    <w:rsid w:val="14BA67EA"/>
    <w:rsid w:val="14BB3289"/>
    <w:rsid w:val="14BBF595"/>
    <w:rsid w:val="14BCD793"/>
    <w:rsid w:val="14BDCA62"/>
    <w:rsid w:val="14C63A40"/>
    <w:rsid w:val="14C77D9C"/>
    <w:rsid w:val="14D1CB83"/>
    <w:rsid w:val="14D5F4A6"/>
    <w:rsid w:val="14D66E30"/>
    <w:rsid w:val="14DB4644"/>
    <w:rsid w:val="14DBD204"/>
    <w:rsid w:val="14DDA815"/>
    <w:rsid w:val="14DFD0A7"/>
    <w:rsid w:val="14E052E7"/>
    <w:rsid w:val="14E14F00"/>
    <w:rsid w:val="14E5054D"/>
    <w:rsid w:val="14EC2A64"/>
    <w:rsid w:val="14F3AC8F"/>
    <w:rsid w:val="14F6462D"/>
    <w:rsid w:val="15052575"/>
    <w:rsid w:val="150F8E4E"/>
    <w:rsid w:val="1512F8D6"/>
    <w:rsid w:val="1516BB65"/>
    <w:rsid w:val="15199959"/>
    <w:rsid w:val="151A0AB9"/>
    <w:rsid w:val="151F57C3"/>
    <w:rsid w:val="152321EB"/>
    <w:rsid w:val="15262CAE"/>
    <w:rsid w:val="15290C6F"/>
    <w:rsid w:val="152EC6DF"/>
    <w:rsid w:val="153196A5"/>
    <w:rsid w:val="15333AF5"/>
    <w:rsid w:val="15395507"/>
    <w:rsid w:val="1539835F"/>
    <w:rsid w:val="15453657"/>
    <w:rsid w:val="15575241"/>
    <w:rsid w:val="155AFFD5"/>
    <w:rsid w:val="155CB062"/>
    <w:rsid w:val="1563D5EB"/>
    <w:rsid w:val="156891F5"/>
    <w:rsid w:val="156A1DAD"/>
    <w:rsid w:val="156C296A"/>
    <w:rsid w:val="15703D4B"/>
    <w:rsid w:val="1575FB73"/>
    <w:rsid w:val="157B55D0"/>
    <w:rsid w:val="157CC5F3"/>
    <w:rsid w:val="1580C990"/>
    <w:rsid w:val="15873107"/>
    <w:rsid w:val="1590FDC3"/>
    <w:rsid w:val="159124C4"/>
    <w:rsid w:val="15A2E6F1"/>
    <w:rsid w:val="15A5BB0B"/>
    <w:rsid w:val="15A62061"/>
    <w:rsid w:val="15ADA835"/>
    <w:rsid w:val="15AFB1FA"/>
    <w:rsid w:val="15B7B9E0"/>
    <w:rsid w:val="15B9A8AF"/>
    <w:rsid w:val="15BE680A"/>
    <w:rsid w:val="15CC554C"/>
    <w:rsid w:val="15D2ADB1"/>
    <w:rsid w:val="15D99B9A"/>
    <w:rsid w:val="15DF82FB"/>
    <w:rsid w:val="15E126FD"/>
    <w:rsid w:val="15E7F334"/>
    <w:rsid w:val="15E89F7D"/>
    <w:rsid w:val="15E9610B"/>
    <w:rsid w:val="15EA3C44"/>
    <w:rsid w:val="15EBFE25"/>
    <w:rsid w:val="15F383BF"/>
    <w:rsid w:val="15F68EB2"/>
    <w:rsid w:val="15F8BBB7"/>
    <w:rsid w:val="160A3663"/>
    <w:rsid w:val="160AB1A9"/>
    <w:rsid w:val="16123774"/>
    <w:rsid w:val="161F10F1"/>
    <w:rsid w:val="16262AD8"/>
    <w:rsid w:val="1627E45D"/>
    <w:rsid w:val="1627E797"/>
    <w:rsid w:val="16283E73"/>
    <w:rsid w:val="162881CA"/>
    <w:rsid w:val="1629FD07"/>
    <w:rsid w:val="16305FE7"/>
    <w:rsid w:val="1633174E"/>
    <w:rsid w:val="16351796"/>
    <w:rsid w:val="163D2C10"/>
    <w:rsid w:val="163EA503"/>
    <w:rsid w:val="1644C435"/>
    <w:rsid w:val="16491CDE"/>
    <w:rsid w:val="164C1E32"/>
    <w:rsid w:val="16596281"/>
    <w:rsid w:val="165C0C98"/>
    <w:rsid w:val="165F6C24"/>
    <w:rsid w:val="16623C7A"/>
    <w:rsid w:val="16666DED"/>
    <w:rsid w:val="16699D79"/>
    <w:rsid w:val="16716E5E"/>
    <w:rsid w:val="1678EA1E"/>
    <w:rsid w:val="167956BE"/>
    <w:rsid w:val="167D9058"/>
    <w:rsid w:val="167E0967"/>
    <w:rsid w:val="1681B161"/>
    <w:rsid w:val="168D8A84"/>
    <w:rsid w:val="168DDEEF"/>
    <w:rsid w:val="169E37BB"/>
    <w:rsid w:val="16A1CD48"/>
    <w:rsid w:val="16A8059E"/>
    <w:rsid w:val="16AC186F"/>
    <w:rsid w:val="16B2BD30"/>
    <w:rsid w:val="16B5FAE6"/>
    <w:rsid w:val="16B75996"/>
    <w:rsid w:val="16BCA33B"/>
    <w:rsid w:val="16BEC229"/>
    <w:rsid w:val="16C07F00"/>
    <w:rsid w:val="16C26585"/>
    <w:rsid w:val="16CF44EE"/>
    <w:rsid w:val="16D16D8E"/>
    <w:rsid w:val="16D1D172"/>
    <w:rsid w:val="16D6FEE1"/>
    <w:rsid w:val="16D7E1F1"/>
    <w:rsid w:val="16DADA90"/>
    <w:rsid w:val="16DCCEC0"/>
    <w:rsid w:val="16E02496"/>
    <w:rsid w:val="16E0B15E"/>
    <w:rsid w:val="16E7D76F"/>
    <w:rsid w:val="16E84AE7"/>
    <w:rsid w:val="16EC4031"/>
    <w:rsid w:val="16F4B21F"/>
    <w:rsid w:val="16F7B612"/>
    <w:rsid w:val="16FEAA8D"/>
    <w:rsid w:val="1705A2B8"/>
    <w:rsid w:val="17087DFB"/>
    <w:rsid w:val="170BAAD9"/>
    <w:rsid w:val="171534F2"/>
    <w:rsid w:val="1718B649"/>
    <w:rsid w:val="171A2F29"/>
    <w:rsid w:val="171A6230"/>
    <w:rsid w:val="171E19B3"/>
    <w:rsid w:val="171E2A91"/>
    <w:rsid w:val="171F6EFE"/>
    <w:rsid w:val="172807C5"/>
    <w:rsid w:val="17283EB8"/>
    <w:rsid w:val="17299E1C"/>
    <w:rsid w:val="172C50AF"/>
    <w:rsid w:val="1744C995"/>
    <w:rsid w:val="1745AF18"/>
    <w:rsid w:val="1746D685"/>
    <w:rsid w:val="17478591"/>
    <w:rsid w:val="174A11B4"/>
    <w:rsid w:val="1751D624"/>
    <w:rsid w:val="17529611"/>
    <w:rsid w:val="175AE0A8"/>
    <w:rsid w:val="175BCBA9"/>
    <w:rsid w:val="175E22CB"/>
    <w:rsid w:val="175E7827"/>
    <w:rsid w:val="175F8097"/>
    <w:rsid w:val="176021C8"/>
    <w:rsid w:val="1769619C"/>
    <w:rsid w:val="17782919"/>
    <w:rsid w:val="177A744E"/>
    <w:rsid w:val="177D5488"/>
    <w:rsid w:val="177F45A6"/>
    <w:rsid w:val="17893543"/>
    <w:rsid w:val="178A4855"/>
    <w:rsid w:val="178C7398"/>
    <w:rsid w:val="178D9149"/>
    <w:rsid w:val="1792EAB5"/>
    <w:rsid w:val="1793AC8C"/>
    <w:rsid w:val="1794E21A"/>
    <w:rsid w:val="1796BEDE"/>
    <w:rsid w:val="179794FF"/>
    <w:rsid w:val="17A1BF86"/>
    <w:rsid w:val="17A35154"/>
    <w:rsid w:val="17A92E76"/>
    <w:rsid w:val="17AB2DB0"/>
    <w:rsid w:val="17AC15DB"/>
    <w:rsid w:val="17ADAC6D"/>
    <w:rsid w:val="17AFCB6D"/>
    <w:rsid w:val="17B0EA28"/>
    <w:rsid w:val="17B533C9"/>
    <w:rsid w:val="17BF0F07"/>
    <w:rsid w:val="17C27263"/>
    <w:rsid w:val="17C797A2"/>
    <w:rsid w:val="17CAC480"/>
    <w:rsid w:val="17D18D83"/>
    <w:rsid w:val="17D194D3"/>
    <w:rsid w:val="17D32E30"/>
    <w:rsid w:val="17D40D1E"/>
    <w:rsid w:val="17D435C0"/>
    <w:rsid w:val="17D47CC2"/>
    <w:rsid w:val="17D5CFBE"/>
    <w:rsid w:val="17D654EF"/>
    <w:rsid w:val="17D6AE95"/>
    <w:rsid w:val="17D99329"/>
    <w:rsid w:val="17DC2609"/>
    <w:rsid w:val="17DF4F19"/>
    <w:rsid w:val="17E0909C"/>
    <w:rsid w:val="17E3CE3D"/>
    <w:rsid w:val="17E83BAB"/>
    <w:rsid w:val="17EA6846"/>
    <w:rsid w:val="17F1F3DC"/>
    <w:rsid w:val="17F3841F"/>
    <w:rsid w:val="17F906BE"/>
    <w:rsid w:val="17FB6486"/>
    <w:rsid w:val="17FBA739"/>
    <w:rsid w:val="17FF021F"/>
    <w:rsid w:val="17FFAA42"/>
    <w:rsid w:val="18004A73"/>
    <w:rsid w:val="18005FB1"/>
    <w:rsid w:val="1802A4E7"/>
    <w:rsid w:val="1809172D"/>
    <w:rsid w:val="180B18C5"/>
    <w:rsid w:val="180D56D8"/>
    <w:rsid w:val="180DB08D"/>
    <w:rsid w:val="180EB66B"/>
    <w:rsid w:val="180F5A5B"/>
    <w:rsid w:val="18150B8E"/>
    <w:rsid w:val="18159CB1"/>
    <w:rsid w:val="1817E49D"/>
    <w:rsid w:val="18249445"/>
    <w:rsid w:val="1824D6E5"/>
    <w:rsid w:val="1828C7CF"/>
    <w:rsid w:val="182CC371"/>
    <w:rsid w:val="1833B047"/>
    <w:rsid w:val="183422FC"/>
    <w:rsid w:val="183B5D0F"/>
    <w:rsid w:val="183EEDAB"/>
    <w:rsid w:val="1842A292"/>
    <w:rsid w:val="1844DBC0"/>
    <w:rsid w:val="1848A885"/>
    <w:rsid w:val="1855BCBA"/>
    <w:rsid w:val="185F53E8"/>
    <w:rsid w:val="18699948"/>
    <w:rsid w:val="18754AD6"/>
    <w:rsid w:val="1876B8B8"/>
    <w:rsid w:val="187AF55D"/>
    <w:rsid w:val="1880B756"/>
    <w:rsid w:val="188B9552"/>
    <w:rsid w:val="18953F19"/>
    <w:rsid w:val="189A53A9"/>
    <w:rsid w:val="189BA3ED"/>
    <w:rsid w:val="18AD2893"/>
    <w:rsid w:val="18AE866F"/>
    <w:rsid w:val="18B4AA03"/>
    <w:rsid w:val="18B7E431"/>
    <w:rsid w:val="18B9E9C3"/>
    <w:rsid w:val="18C1159F"/>
    <w:rsid w:val="18C58690"/>
    <w:rsid w:val="18C59E6C"/>
    <w:rsid w:val="18C5AB12"/>
    <w:rsid w:val="18CB4072"/>
    <w:rsid w:val="18CD5A0F"/>
    <w:rsid w:val="18DC23CE"/>
    <w:rsid w:val="18DDA457"/>
    <w:rsid w:val="18DF0B25"/>
    <w:rsid w:val="18E21913"/>
    <w:rsid w:val="18E5ABF0"/>
    <w:rsid w:val="18E7FC87"/>
    <w:rsid w:val="18EDD8BD"/>
    <w:rsid w:val="18EEFD87"/>
    <w:rsid w:val="18EFF335"/>
    <w:rsid w:val="18F1C357"/>
    <w:rsid w:val="18F5AC0C"/>
    <w:rsid w:val="18F73A42"/>
    <w:rsid w:val="18FB8262"/>
    <w:rsid w:val="1900BEB3"/>
    <w:rsid w:val="1904CACC"/>
    <w:rsid w:val="1907F33D"/>
    <w:rsid w:val="1908EA5E"/>
    <w:rsid w:val="190B1291"/>
    <w:rsid w:val="190C8056"/>
    <w:rsid w:val="19169F8B"/>
    <w:rsid w:val="1919AF2F"/>
    <w:rsid w:val="191A7810"/>
    <w:rsid w:val="191C3EA2"/>
    <w:rsid w:val="192D2589"/>
    <w:rsid w:val="192D595A"/>
    <w:rsid w:val="193545FC"/>
    <w:rsid w:val="193B58CE"/>
    <w:rsid w:val="1940D4AC"/>
    <w:rsid w:val="194107AA"/>
    <w:rsid w:val="19472F25"/>
    <w:rsid w:val="194925A2"/>
    <w:rsid w:val="19566766"/>
    <w:rsid w:val="1956C262"/>
    <w:rsid w:val="195B89D8"/>
    <w:rsid w:val="196FDDE6"/>
    <w:rsid w:val="19736244"/>
    <w:rsid w:val="197743F8"/>
    <w:rsid w:val="19777A84"/>
    <w:rsid w:val="197DCF13"/>
    <w:rsid w:val="197E9D9E"/>
    <w:rsid w:val="19854B33"/>
    <w:rsid w:val="1988F635"/>
    <w:rsid w:val="199B831A"/>
    <w:rsid w:val="19A297A8"/>
    <w:rsid w:val="19A343F4"/>
    <w:rsid w:val="19ACB167"/>
    <w:rsid w:val="19AF2381"/>
    <w:rsid w:val="19B3EA7F"/>
    <w:rsid w:val="19B644F3"/>
    <w:rsid w:val="19B89847"/>
    <w:rsid w:val="19BE9C9E"/>
    <w:rsid w:val="19BEA24F"/>
    <w:rsid w:val="19C06FA4"/>
    <w:rsid w:val="19C63A97"/>
    <w:rsid w:val="19CA7892"/>
    <w:rsid w:val="19D7075D"/>
    <w:rsid w:val="19D8A15C"/>
    <w:rsid w:val="19E79AE5"/>
    <w:rsid w:val="19E9F90C"/>
    <w:rsid w:val="19F44A07"/>
    <w:rsid w:val="19F455E4"/>
    <w:rsid w:val="19F66DA0"/>
    <w:rsid w:val="19F8FAE4"/>
    <w:rsid w:val="19F94A2D"/>
    <w:rsid w:val="19FA701A"/>
    <w:rsid w:val="19FBC634"/>
    <w:rsid w:val="19FC2BAE"/>
    <w:rsid w:val="1A002D9D"/>
    <w:rsid w:val="1A01AFF1"/>
    <w:rsid w:val="1A043A10"/>
    <w:rsid w:val="1A0547B0"/>
    <w:rsid w:val="1A0568E7"/>
    <w:rsid w:val="1A05866C"/>
    <w:rsid w:val="1A07E4EA"/>
    <w:rsid w:val="1A0C28EE"/>
    <w:rsid w:val="1A132A27"/>
    <w:rsid w:val="1A1B27FB"/>
    <w:rsid w:val="1A23407E"/>
    <w:rsid w:val="1A253EE4"/>
    <w:rsid w:val="1A2715CA"/>
    <w:rsid w:val="1A27DB23"/>
    <w:rsid w:val="1A2B34CD"/>
    <w:rsid w:val="1A30B2E6"/>
    <w:rsid w:val="1A3573B5"/>
    <w:rsid w:val="1A359AD9"/>
    <w:rsid w:val="1A3FE622"/>
    <w:rsid w:val="1A4123EB"/>
    <w:rsid w:val="1A454A47"/>
    <w:rsid w:val="1A467DC8"/>
    <w:rsid w:val="1A4C6C29"/>
    <w:rsid w:val="1A519EC8"/>
    <w:rsid w:val="1A56C8CC"/>
    <w:rsid w:val="1A5CBBB3"/>
    <w:rsid w:val="1A5CFED3"/>
    <w:rsid w:val="1A6267DD"/>
    <w:rsid w:val="1A6790FC"/>
    <w:rsid w:val="1A7D3E89"/>
    <w:rsid w:val="1A81F659"/>
    <w:rsid w:val="1A8603B5"/>
    <w:rsid w:val="1A899719"/>
    <w:rsid w:val="1A948C09"/>
    <w:rsid w:val="1A95DDEA"/>
    <w:rsid w:val="1A9AEDFB"/>
    <w:rsid w:val="1AA75CBE"/>
    <w:rsid w:val="1AAEA3B4"/>
    <w:rsid w:val="1AB294F7"/>
    <w:rsid w:val="1AB2F42B"/>
    <w:rsid w:val="1AB46A45"/>
    <w:rsid w:val="1ABCEEDD"/>
    <w:rsid w:val="1AC0469F"/>
    <w:rsid w:val="1AC61910"/>
    <w:rsid w:val="1ACDD56A"/>
    <w:rsid w:val="1AD1E72F"/>
    <w:rsid w:val="1AE1D105"/>
    <w:rsid w:val="1AE39E37"/>
    <w:rsid w:val="1AE3D9D4"/>
    <w:rsid w:val="1AE431DF"/>
    <w:rsid w:val="1AE62418"/>
    <w:rsid w:val="1AFD25B8"/>
    <w:rsid w:val="1B008D31"/>
    <w:rsid w:val="1B0375C9"/>
    <w:rsid w:val="1B070F5C"/>
    <w:rsid w:val="1B0951D6"/>
    <w:rsid w:val="1B0E62A9"/>
    <w:rsid w:val="1B1D8A6C"/>
    <w:rsid w:val="1B1E8220"/>
    <w:rsid w:val="1B2C3019"/>
    <w:rsid w:val="1B2CBD96"/>
    <w:rsid w:val="1B2F7509"/>
    <w:rsid w:val="1B3303EB"/>
    <w:rsid w:val="1B367BCD"/>
    <w:rsid w:val="1B3AAD15"/>
    <w:rsid w:val="1B4468F3"/>
    <w:rsid w:val="1B45E018"/>
    <w:rsid w:val="1B473B1A"/>
    <w:rsid w:val="1B486C8C"/>
    <w:rsid w:val="1B4FC996"/>
    <w:rsid w:val="1B53B175"/>
    <w:rsid w:val="1B5C3E45"/>
    <w:rsid w:val="1B5F49C9"/>
    <w:rsid w:val="1B618ED7"/>
    <w:rsid w:val="1B62116C"/>
    <w:rsid w:val="1B65E3F9"/>
    <w:rsid w:val="1B69544D"/>
    <w:rsid w:val="1B732685"/>
    <w:rsid w:val="1B745FE4"/>
    <w:rsid w:val="1B7A27AD"/>
    <w:rsid w:val="1B8171D2"/>
    <w:rsid w:val="1B829160"/>
    <w:rsid w:val="1B88374E"/>
    <w:rsid w:val="1B8AF994"/>
    <w:rsid w:val="1B8EB65A"/>
    <w:rsid w:val="1B903FE0"/>
    <w:rsid w:val="1B9C61D8"/>
    <w:rsid w:val="1B9F3578"/>
    <w:rsid w:val="1B9FD559"/>
    <w:rsid w:val="1BAA09EF"/>
    <w:rsid w:val="1BAA698B"/>
    <w:rsid w:val="1BAAB0CE"/>
    <w:rsid w:val="1BB3B507"/>
    <w:rsid w:val="1BB53087"/>
    <w:rsid w:val="1BBA5B34"/>
    <w:rsid w:val="1BBF1C52"/>
    <w:rsid w:val="1BC8F166"/>
    <w:rsid w:val="1BCD3B9C"/>
    <w:rsid w:val="1BD2368C"/>
    <w:rsid w:val="1BD662DF"/>
    <w:rsid w:val="1BD7B9FA"/>
    <w:rsid w:val="1BD823A7"/>
    <w:rsid w:val="1BD8B9C2"/>
    <w:rsid w:val="1BD9DA7C"/>
    <w:rsid w:val="1BDCED1B"/>
    <w:rsid w:val="1BE15883"/>
    <w:rsid w:val="1BE1A346"/>
    <w:rsid w:val="1BE6A0CF"/>
    <w:rsid w:val="1BE98E5F"/>
    <w:rsid w:val="1BEA8A32"/>
    <w:rsid w:val="1BEA971A"/>
    <w:rsid w:val="1BEF3036"/>
    <w:rsid w:val="1BEFB648"/>
    <w:rsid w:val="1BF61860"/>
    <w:rsid w:val="1BFAF469"/>
    <w:rsid w:val="1BFCE73C"/>
    <w:rsid w:val="1C01BA67"/>
    <w:rsid w:val="1C03D90E"/>
    <w:rsid w:val="1C0589E6"/>
    <w:rsid w:val="1C06DC9D"/>
    <w:rsid w:val="1C09813B"/>
    <w:rsid w:val="1C0A5032"/>
    <w:rsid w:val="1C127EEC"/>
    <w:rsid w:val="1C157247"/>
    <w:rsid w:val="1C16BA17"/>
    <w:rsid w:val="1C1717BE"/>
    <w:rsid w:val="1C1DB012"/>
    <w:rsid w:val="1C1DF536"/>
    <w:rsid w:val="1C27FF36"/>
    <w:rsid w:val="1C2BA84F"/>
    <w:rsid w:val="1C2D9EAE"/>
    <w:rsid w:val="1C37C5C4"/>
    <w:rsid w:val="1C3BEEB7"/>
    <w:rsid w:val="1C4532E1"/>
    <w:rsid w:val="1C464408"/>
    <w:rsid w:val="1C536739"/>
    <w:rsid w:val="1C54A4DB"/>
    <w:rsid w:val="1C56BBC9"/>
    <w:rsid w:val="1C5774C1"/>
    <w:rsid w:val="1C5E5275"/>
    <w:rsid w:val="1C6D47FA"/>
    <w:rsid w:val="1C73486A"/>
    <w:rsid w:val="1C762EF2"/>
    <w:rsid w:val="1C7C8F8D"/>
    <w:rsid w:val="1C7DB71F"/>
    <w:rsid w:val="1C801BE1"/>
    <w:rsid w:val="1C88809C"/>
    <w:rsid w:val="1C88EFF9"/>
    <w:rsid w:val="1C91F658"/>
    <w:rsid w:val="1C9A556A"/>
    <w:rsid w:val="1C9F9D96"/>
    <w:rsid w:val="1CA4BE64"/>
    <w:rsid w:val="1CAA1FEF"/>
    <w:rsid w:val="1CAC0A94"/>
    <w:rsid w:val="1CBD4BA7"/>
    <w:rsid w:val="1CBF6C1D"/>
    <w:rsid w:val="1CC4D4B5"/>
    <w:rsid w:val="1CC66614"/>
    <w:rsid w:val="1CC8418E"/>
    <w:rsid w:val="1CCB0ACB"/>
    <w:rsid w:val="1CCC54D3"/>
    <w:rsid w:val="1CCD559A"/>
    <w:rsid w:val="1CD4FA52"/>
    <w:rsid w:val="1CD7DE08"/>
    <w:rsid w:val="1CDFADE4"/>
    <w:rsid w:val="1CE14C63"/>
    <w:rsid w:val="1CE2B47B"/>
    <w:rsid w:val="1CE8B6FB"/>
    <w:rsid w:val="1CE9A99D"/>
    <w:rsid w:val="1CED3888"/>
    <w:rsid w:val="1CF0A9C9"/>
    <w:rsid w:val="1CF281C0"/>
    <w:rsid w:val="1CF6FFD7"/>
    <w:rsid w:val="1CF8C68C"/>
    <w:rsid w:val="1D06862F"/>
    <w:rsid w:val="1D0DC0AC"/>
    <w:rsid w:val="1D0E556A"/>
    <w:rsid w:val="1D11733B"/>
    <w:rsid w:val="1D1B3F7A"/>
    <w:rsid w:val="1D242836"/>
    <w:rsid w:val="1D2B97CF"/>
    <w:rsid w:val="1D2CB6C7"/>
    <w:rsid w:val="1D2E66E7"/>
    <w:rsid w:val="1D2E885B"/>
    <w:rsid w:val="1D3010CD"/>
    <w:rsid w:val="1D328C4E"/>
    <w:rsid w:val="1D3561DC"/>
    <w:rsid w:val="1D36B3DD"/>
    <w:rsid w:val="1D39D0E2"/>
    <w:rsid w:val="1D3AEA19"/>
    <w:rsid w:val="1D3C1D4F"/>
    <w:rsid w:val="1D402E72"/>
    <w:rsid w:val="1D417A10"/>
    <w:rsid w:val="1D418260"/>
    <w:rsid w:val="1D41DDEA"/>
    <w:rsid w:val="1D47058E"/>
    <w:rsid w:val="1D4D33C2"/>
    <w:rsid w:val="1D516754"/>
    <w:rsid w:val="1D5DF5F8"/>
    <w:rsid w:val="1D5FCFEA"/>
    <w:rsid w:val="1D611AFB"/>
    <w:rsid w:val="1D623864"/>
    <w:rsid w:val="1D6827E8"/>
    <w:rsid w:val="1D75552A"/>
    <w:rsid w:val="1D768FAF"/>
    <w:rsid w:val="1D780651"/>
    <w:rsid w:val="1D79C325"/>
    <w:rsid w:val="1D7B7DCF"/>
    <w:rsid w:val="1D7E2BB3"/>
    <w:rsid w:val="1D7F2646"/>
    <w:rsid w:val="1D7FCB60"/>
    <w:rsid w:val="1D88E73F"/>
    <w:rsid w:val="1D8AD5F6"/>
    <w:rsid w:val="1D8F3D15"/>
    <w:rsid w:val="1D9688EA"/>
    <w:rsid w:val="1D9A8D68"/>
    <w:rsid w:val="1DA0D1BA"/>
    <w:rsid w:val="1DA812B4"/>
    <w:rsid w:val="1DBFC660"/>
    <w:rsid w:val="1DC274D0"/>
    <w:rsid w:val="1DCB3B7A"/>
    <w:rsid w:val="1DCEC27E"/>
    <w:rsid w:val="1DE08C0F"/>
    <w:rsid w:val="1DE675C5"/>
    <w:rsid w:val="1DEF1942"/>
    <w:rsid w:val="1DEFEDD4"/>
    <w:rsid w:val="1DF10258"/>
    <w:rsid w:val="1DF4A0E5"/>
    <w:rsid w:val="1DFA333D"/>
    <w:rsid w:val="1E022FA2"/>
    <w:rsid w:val="1E051F5D"/>
    <w:rsid w:val="1E0A073B"/>
    <w:rsid w:val="1E0E511F"/>
    <w:rsid w:val="1E1075BF"/>
    <w:rsid w:val="1E11500A"/>
    <w:rsid w:val="1E16D732"/>
    <w:rsid w:val="1E19E7B6"/>
    <w:rsid w:val="1E1D0FD0"/>
    <w:rsid w:val="1E1E24A9"/>
    <w:rsid w:val="1E2E8974"/>
    <w:rsid w:val="1E314364"/>
    <w:rsid w:val="1E382D6A"/>
    <w:rsid w:val="1E3B33BF"/>
    <w:rsid w:val="1E3D95A4"/>
    <w:rsid w:val="1E45D279"/>
    <w:rsid w:val="1E4D87ED"/>
    <w:rsid w:val="1E54F5BD"/>
    <w:rsid w:val="1E5B1FE8"/>
    <w:rsid w:val="1E688287"/>
    <w:rsid w:val="1E6BCA3F"/>
    <w:rsid w:val="1E6BF04D"/>
    <w:rsid w:val="1E6DA561"/>
    <w:rsid w:val="1E7389D8"/>
    <w:rsid w:val="1E75647D"/>
    <w:rsid w:val="1E776ADC"/>
    <w:rsid w:val="1E7BFEA3"/>
    <w:rsid w:val="1E7DB7DB"/>
    <w:rsid w:val="1E832B5D"/>
    <w:rsid w:val="1E8463CF"/>
    <w:rsid w:val="1E880E02"/>
    <w:rsid w:val="1E8DE411"/>
    <w:rsid w:val="1E91AA94"/>
    <w:rsid w:val="1E92D473"/>
    <w:rsid w:val="1E94E6A7"/>
    <w:rsid w:val="1E98776E"/>
    <w:rsid w:val="1E9A5C96"/>
    <w:rsid w:val="1EA74BB4"/>
    <w:rsid w:val="1EA87473"/>
    <w:rsid w:val="1EA92889"/>
    <w:rsid w:val="1EAAFEFF"/>
    <w:rsid w:val="1EABB1A4"/>
    <w:rsid w:val="1EB11F89"/>
    <w:rsid w:val="1EB1E89F"/>
    <w:rsid w:val="1EBA3D2E"/>
    <w:rsid w:val="1EBDAB28"/>
    <w:rsid w:val="1EBFF62A"/>
    <w:rsid w:val="1EC00694"/>
    <w:rsid w:val="1ED07259"/>
    <w:rsid w:val="1EDA4D72"/>
    <w:rsid w:val="1EDB2AA2"/>
    <w:rsid w:val="1EDC299A"/>
    <w:rsid w:val="1EDE9226"/>
    <w:rsid w:val="1EDF1930"/>
    <w:rsid w:val="1EE516BB"/>
    <w:rsid w:val="1EE9A026"/>
    <w:rsid w:val="1EE9C1A5"/>
    <w:rsid w:val="1EEA595A"/>
    <w:rsid w:val="1EEB31CE"/>
    <w:rsid w:val="1EEE1706"/>
    <w:rsid w:val="1EF04650"/>
    <w:rsid w:val="1EF144CB"/>
    <w:rsid w:val="1EF38711"/>
    <w:rsid w:val="1EF7BD3F"/>
    <w:rsid w:val="1EF980AB"/>
    <w:rsid w:val="1EFAE8F1"/>
    <w:rsid w:val="1EFBE627"/>
    <w:rsid w:val="1F065AB0"/>
    <w:rsid w:val="1F0AB04C"/>
    <w:rsid w:val="1F0C7512"/>
    <w:rsid w:val="1F10DBF9"/>
    <w:rsid w:val="1F14EEF9"/>
    <w:rsid w:val="1F194B92"/>
    <w:rsid w:val="1F19C796"/>
    <w:rsid w:val="1F19EE3E"/>
    <w:rsid w:val="1F1B6F60"/>
    <w:rsid w:val="1F1BB422"/>
    <w:rsid w:val="1F1BECAB"/>
    <w:rsid w:val="1F1C3DAC"/>
    <w:rsid w:val="1F20D59F"/>
    <w:rsid w:val="1F218F74"/>
    <w:rsid w:val="1F2215F8"/>
    <w:rsid w:val="1F223A06"/>
    <w:rsid w:val="1F25D88A"/>
    <w:rsid w:val="1F2B3815"/>
    <w:rsid w:val="1F2B6239"/>
    <w:rsid w:val="1F2C9C2D"/>
    <w:rsid w:val="1F32EC3F"/>
    <w:rsid w:val="1F41B801"/>
    <w:rsid w:val="1F41D1A7"/>
    <w:rsid w:val="1F46604B"/>
    <w:rsid w:val="1F49364C"/>
    <w:rsid w:val="1F546C31"/>
    <w:rsid w:val="1F5A9586"/>
    <w:rsid w:val="1F5B67D2"/>
    <w:rsid w:val="1F65B0A3"/>
    <w:rsid w:val="1F66CFB0"/>
    <w:rsid w:val="1F68DD91"/>
    <w:rsid w:val="1F6E7CF6"/>
    <w:rsid w:val="1F748954"/>
    <w:rsid w:val="1F76EBBF"/>
    <w:rsid w:val="1F77054D"/>
    <w:rsid w:val="1F7A0962"/>
    <w:rsid w:val="1F7DA558"/>
    <w:rsid w:val="1F808FA6"/>
    <w:rsid w:val="1F8EC832"/>
    <w:rsid w:val="1F99A56B"/>
    <w:rsid w:val="1F9A6304"/>
    <w:rsid w:val="1F9D3E32"/>
    <w:rsid w:val="1FA2C84C"/>
    <w:rsid w:val="1FA6D0EF"/>
    <w:rsid w:val="1FAAF926"/>
    <w:rsid w:val="1FB1EC2A"/>
    <w:rsid w:val="1FB4B90A"/>
    <w:rsid w:val="1FBA9DD4"/>
    <w:rsid w:val="1FC678CE"/>
    <w:rsid w:val="1FCA016C"/>
    <w:rsid w:val="1FCE05A2"/>
    <w:rsid w:val="1FD4CD06"/>
    <w:rsid w:val="1FDC3C65"/>
    <w:rsid w:val="1FE0E1F1"/>
    <w:rsid w:val="1FE28EBE"/>
    <w:rsid w:val="1FE3DF1E"/>
    <w:rsid w:val="1FE51038"/>
    <w:rsid w:val="1FEA9A27"/>
    <w:rsid w:val="1FEAE780"/>
    <w:rsid w:val="1FEE5193"/>
    <w:rsid w:val="1FF44F07"/>
    <w:rsid w:val="1FF6F14C"/>
    <w:rsid w:val="1FF9CA2A"/>
    <w:rsid w:val="1FFD75AD"/>
    <w:rsid w:val="1FFF1B99"/>
    <w:rsid w:val="2006FB77"/>
    <w:rsid w:val="2009EC85"/>
    <w:rsid w:val="200DFEB4"/>
    <w:rsid w:val="200F3994"/>
    <w:rsid w:val="2013D896"/>
    <w:rsid w:val="201F8B26"/>
    <w:rsid w:val="2020AB21"/>
    <w:rsid w:val="202BC6F3"/>
    <w:rsid w:val="202D1F0C"/>
    <w:rsid w:val="20312463"/>
    <w:rsid w:val="20344C15"/>
    <w:rsid w:val="20350386"/>
    <w:rsid w:val="203FEEA9"/>
    <w:rsid w:val="20401116"/>
    <w:rsid w:val="2044E035"/>
    <w:rsid w:val="2045D2E8"/>
    <w:rsid w:val="204C034C"/>
    <w:rsid w:val="204F002C"/>
    <w:rsid w:val="20531156"/>
    <w:rsid w:val="205743CE"/>
    <w:rsid w:val="2057F256"/>
    <w:rsid w:val="2059E4B7"/>
    <w:rsid w:val="20662848"/>
    <w:rsid w:val="206679DC"/>
    <w:rsid w:val="206B12C4"/>
    <w:rsid w:val="206D4F1B"/>
    <w:rsid w:val="207229A7"/>
    <w:rsid w:val="207BA006"/>
    <w:rsid w:val="207E14BA"/>
    <w:rsid w:val="207F491A"/>
    <w:rsid w:val="207F9570"/>
    <w:rsid w:val="20831561"/>
    <w:rsid w:val="20834503"/>
    <w:rsid w:val="208D7F75"/>
    <w:rsid w:val="208EE639"/>
    <w:rsid w:val="20920E9F"/>
    <w:rsid w:val="209456DD"/>
    <w:rsid w:val="2095BC01"/>
    <w:rsid w:val="209AA766"/>
    <w:rsid w:val="209D96AA"/>
    <w:rsid w:val="20A7EDF0"/>
    <w:rsid w:val="20A8FCF3"/>
    <w:rsid w:val="20B500D0"/>
    <w:rsid w:val="20B5BB8B"/>
    <w:rsid w:val="20BE7556"/>
    <w:rsid w:val="20C214AD"/>
    <w:rsid w:val="20C88F2B"/>
    <w:rsid w:val="20D19D37"/>
    <w:rsid w:val="20D34AF1"/>
    <w:rsid w:val="20DBACEA"/>
    <w:rsid w:val="20E21A2A"/>
    <w:rsid w:val="20E553D9"/>
    <w:rsid w:val="20EBB151"/>
    <w:rsid w:val="20EBCB73"/>
    <w:rsid w:val="20ECEDFA"/>
    <w:rsid w:val="20EE13F5"/>
    <w:rsid w:val="20F8BD71"/>
    <w:rsid w:val="21006B19"/>
    <w:rsid w:val="2101CDE5"/>
    <w:rsid w:val="210B6A03"/>
    <w:rsid w:val="210C974E"/>
    <w:rsid w:val="210DE07A"/>
    <w:rsid w:val="210E489C"/>
    <w:rsid w:val="2112740C"/>
    <w:rsid w:val="2116C759"/>
    <w:rsid w:val="211C7465"/>
    <w:rsid w:val="211D5B56"/>
    <w:rsid w:val="2120C023"/>
    <w:rsid w:val="212ED57B"/>
    <w:rsid w:val="21398502"/>
    <w:rsid w:val="213A2045"/>
    <w:rsid w:val="2143FEC2"/>
    <w:rsid w:val="21472096"/>
    <w:rsid w:val="214A067D"/>
    <w:rsid w:val="214D2F6F"/>
    <w:rsid w:val="214D866C"/>
    <w:rsid w:val="2150D4CE"/>
    <w:rsid w:val="2150FC0B"/>
    <w:rsid w:val="2153389C"/>
    <w:rsid w:val="21540FBB"/>
    <w:rsid w:val="21597327"/>
    <w:rsid w:val="215A40E7"/>
    <w:rsid w:val="215CF910"/>
    <w:rsid w:val="216456BB"/>
    <w:rsid w:val="21665EF0"/>
    <w:rsid w:val="216B6EB5"/>
    <w:rsid w:val="21726431"/>
    <w:rsid w:val="2172F765"/>
    <w:rsid w:val="21757497"/>
    <w:rsid w:val="2179FA7E"/>
    <w:rsid w:val="217B1FF0"/>
    <w:rsid w:val="217DB953"/>
    <w:rsid w:val="21858DBD"/>
    <w:rsid w:val="218810D7"/>
    <w:rsid w:val="2192CF67"/>
    <w:rsid w:val="2199298E"/>
    <w:rsid w:val="21A0280B"/>
    <w:rsid w:val="21A1B870"/>
    <w:rsid w:val="21A1E16C"/>
    <w:rsid w:val="21A43B02"/>
    <w:rsid w:val="21A4F0D4"/>
    <w:rsid w:val="21AB2AD7"/>
    <w:rsid w:val="21AE6D9E"/>
    <w:rsid w:val="21B0E7E6"/>
    <w:rsid w:val="21B2C3BC"/>
    <w:rsid w:val="21BA75E1"/>
    <w:rsid w:val="21BA8FC0"/>
    <w:rsid w:val="21BC0F0B"/>
    <w:rsid w:val="21C3D40E"/>
    <w:rsid w:val="21C4A56A"/>
    <w:rsid w:val="21C86FCF"/>
    <w:rsid w:val="21CDE0CE"/>
    <w:rsid w:val="21D1D02D"/>
    <w:rsid w:val="21D2E5AD"/>
    <w:rsid w:val="21E35921"/>
    <w:rsid w:val="21E3CFF8"/>
    <w:rsid w:val="21E3FE5B"/>
    <w:rsid w:val="21E4D784"/>
    <w:rsid w:val="21E82607"/>
    <w:rsid w:val="21E8C49E"/>
    <w:rsid w:val="21F37468"/>
    <w:rsid w:val="21FA7AF8"/>
    <w:rsid w:val="21FBF14E"/>
    <w:rsid w:val="21FC3FD5"/>
    <w:rsid w:val="21FF25BB"/>
    <w:rsid w:val="22044E6C"/>
    <w:rsid w:val="220A0AB0"/>
    <w:rsid w:val="220D5D86"/>
    <w:rsid w:val="2216A6D3"/>
    <w:rsid w:val="2218F878"/>
    <w:rsid w:val="221BA395"/>
    <w:rsid w:val="221BC141"/>
    <w:rsid w:val="221BD878"/>
    <w:rsid w:val="221F050B"/>
    <w:rsid w:val="221F8239"/>
    <w:rsid w:val="2224AAD0"/>
    <w:rsid w:val="2228CAB1"/>
    <w:rsid w:val="222AC053"/>
    <w:rsid w:val="222E70EE"/>
    <w:rsid w:val="222EC985"/>
    <w:rsid w:val="22320A19"/>
    <w:rsid w:val="223CA872"/>
    <w:rsid w:val="223CC862"/>
    <w:rsid w:val="224077B6"/>
    <w:rsid w:val="224180DB"/>
    <w:rsid w:val="224417EF"/>
    <w:rsid w:val="2250EC54"/>
    <w:rsid w:val="225A2386"/>
    <w:rsid w:val="225A42B7"/>
    <w:rsid w:val="225EB6FE"/>
    <w:rsid w:val="226022C6"/>
    <w:rsid w:val="22691FE6"/>
    <w:rsid w:val="226CC1E8"/>
    <w:rsid w:val="2270508B"/>
    <w:rsid w:val="227BBF82"/>
    <w:rsid w:val="2285CE74"/>
    <w:rsid w:val="228A2128"/>
    <w:rsid w:val="228A4B56"/>
    <w:rsid w:val="228BDC19"/>
    <w:rsid w:val="228E8DE7"/>
    <w:rsid w:val="2294D5B6"/>
    <w:rsid w:val="22985398"/>
    <w:rsid w:val="22985FE2"/>
    <w:rsid w:val="229BCB63"/>
    <w:rsid w:val="229CD4B4"/>
    <w:rsid w:val="229F0F1B"/>
    <w:rsid w:val="229FCCEE"/>
    <w:rsid w:val="22A08B24"/>
    <w:rsid w:val="22A23130"/>
    <w:rsid w:val="22A447FB"/>
    <w:rsid w:val="22A585C1"/>
    <w:rsid w:val="22A76B69"/>
    <w:rsid w:val="22AC15A1"/>
    <w:rsid w:val="22B23122"/>
    <w:rsid w:val="22B8EBFC"/>
    <w:rsid w:val="22BBC3C0"/>
    <w:rsid w:val="22BEFFC7"/>
    <w:rsid w:val="22C07756"/>
    <w:rsid w:val="22D68984"/>
    <w:rsid w:val="22D79983"/>
    <w:rsid w:val="22D96F41"/>
    <w:rsid w:val="22E10C4F"/>
    <w:rsid w:val="22E2E1A7"/>
    <w:rsid w:val="22E6AF5B"/>
    <w:rsid w:val="22EFCB58"/>
    <w:rsid w:val="22F22A3F"/>
    <w:rsid w:val="22F5EB29"/>
    <w:rsid w:val="22FBD618"/>
    <w:rsid w:val="23070112"/>
    <w:rsid w:val="230A5D7E"/>
    <w:rsid w:val="230CD6B0"/>
    <w:rsid w:val="230D60BF"/>
    <w:rsid w:val="230F98EC"/>
    <w:rsid w:val="23118B53"/>
    <w:rsid w:val="231A6CE1"/>
    <w:rsid w:val="2322A698"/>
    <w:rsid w:val="2328C395"/>
    <w:rsid w:val="232E40B6"/>
    <w:rsid w:val="233141A5"/>
    <w:rsid w:val="2334DB5D"/>
    <w:rsid w:val="2336C5D3"/>
    <w:rsid w:val="23371882"/>
    <w:rsid w:val="23448DE1"/>
    <w:rsid w:val="234A2B08"/>
    <w:rsid w:val="234B960B"/>
    <w:rsid w:val="234D0CE7"/>
    <w:rsid w:val="234D2580"/>
    <w:rsid w:val="234E508F"/>
    <w:rsid w:val="23517F56"/>
    <w:rsid w:val="23536115"/>
    <w:rsid w:val="235579D7"/>
    <w:rsid w:val="23565ED5"/>
    <w:rsid w:val="235C93B6"/>
    <w:rsid w:val="235FEFF6"/>
    <w:rsid w:val="2365267F"/>
    <w:rsid w:val="2366C8F0"/>
    <w:rsid w:val="236935DE"/>
    <w:rsid w:val="23767DFF"/>
    <w:rsid w:val="23780E75"/>
    <w:rsid w:val="2378DB42"/>
    <w:rsid w:val="237A4793"/>
    <w:rsid w:val="237F23C1"/>
    <w:rsid w:val="2382406C"/>
    <w:rsid w:val="23850B95"/>
    <w:rsid w:val="23875C79"/>
    <w:rsid w:val="238F85C0"/>
    <w:rsid w:val="23945452"/>
    <w:rsid w:val="23957D12"/>
    <w:rsid w:val="2399EFEA"/>
    <w:rsid w:val="239AD497"/>
    <w:rsid w:val="23A4733E"/>
    <w:rsid w:val="23A899C9"/>
    <w:rsid w:val="23AE94BF"/>
    <w:rsid w:val="23B29995"/>
    <w:rsid w:val="23B4EA78"/>
    <w:rsid w:val="23B768A3"/>
    <w:rsid w:val="23C0EB3E"/>
    <w:rsid w:val="23C16991"/>
    <w:rsid w:val="23C1B797"/>
    <w:rsid w:val="23C1D276"/>
    <w:rsid w:val="23C3826C"/>
    <w:rsid w:val="23C7B52E"/>
    <w:rsid w:val="23C7F308"/>
    <w:rsid w:val="23CFD25F"/>
    <w:rsid w:val="23D2548F"/>
    <w:rsid w:val="23D5CA1E"/>
    <w:rsid w:val="23DAA24A"/>
    <w:rsid w:val="23DB5413"/>
    <w:rsid w:val="23E059A2"/>
    <w:rsid w:val="23E23AC2"/>
    <w:rsid w:val="23E28129"/>
    <w:rsid w:val="23E86820"/>
    <w:rsid w:val="23E99124"/>
    <w:rsid w:val="23EC6B0B"/>
    <w:rsid w:val="23ED03DA"/>
    <w:rsid w:val="23EDB778"/>
    <w:rsid w:val="23F9C252"/>
    <w:rsid w:val="23FC6B3C"/>
    <w:rsid w:val="23FE144E"/>
    <w:rsid w:val="23FE5144"/>
    <w:rsid w:val="23FF71F6"/>
    <w:rsid w:val="2400687D"/>
    <w:rsid w:val="2403BEDC"/>
    <w:rsid w:val="240822C6"/>
    <w:rsid w:val="24095776"/>
    <w:rsid w:val="240D1859"/>
    <w:rsid w:val="240DDDC3"/>
    <w:rsid w:val="2410B723"/>
    <w:rsid w:val="2411CE50"/>
    <w:rsid w:val="24137411"/>
    <w:rsid w:val="24139D0F"/>
    <w:rsid w:val="2414E12B"/>
    <w:rsid w:val="24188C08"/>
    <w:rsid w:val="241A4990"/>
    <w:rsid w:val="2420B230"/>
    <w:rsid w:val="2427A90C"/>
    <w:rsid w:val="242D9B55"/>
    <w:rsid w:val="24353ABB"/>
    <w:rsid w:val="24395E4D"/>
    <w:rsid w:val="243CB771"/>
    <w:rsid w:val="2442DD58"/>
    <w:rsid w:val="244526DC"/>
    <w:rsid w:val="244727BA"/>
    <w:rsid w:val="244B2122"/>
    <w:rsid w:val="244F4690"/>
    <w:rsid w:val="24567064"/>
    <w:rsid w:val="2456F392"/>
    <w:rsid w:val="24570BF6"/>
    <w:rsid w:val="2458B9D3"/>
    <w:rsid w:val="2466002C"/>
    <w:rsid w:val="2468DF87"/>
    <w:rsid w:val="246F24E8"/>
    <w:rsid w:val="2470BCE0"/>
    <w:rsid w:val="2470FD85"/>
    <w:rsid w:val="247D92B7"/>
    <w:rsid w:val="2481119D"/>
    <w:rsid w:val="248426F7"/>
    <w:rsid w:val="2489D652"/>
    <w:rsid w:val="248A6132"/>
    <w:rsid w:val="248CAA98"/>
    <w:rsid w:val="2497F88C"/>
    <w:rsid w:val="24990A27"/>
    <w:rsid w:val="249C6CD3"/>
    <w:rsid w:val="249CAF78"/>
    <w:rsid w:val="249F045E"/>
    <w:rsid w:val="24A0F1B3"/>
    <w:rsid w:val="24A551A5"/>
    <w:rsid w:val="24A9A2E1"/>
    <w:rsid w:val="24AB9F7F"/>
    <w:rsid w:val="24AE27B0"/>
    <w:rsid w:val="24B024B8"/>
    <w:rsid w:val="24B3FE35"/>
    <w:rsid w:val="24B68E72"/>
    <w:rsid w:val="24B99763"/>
    <w:rsid w:val="24BA08B1"/>
    <w:rsid w:val="24BBA8EF"/>
    <w:rsid w:val="24BBF398"/>
    <w:rsid w:val="24BCC01B"/>
    <w:rsid w:val="24BD76BF"/>
    <w:rsid w:val="24C18F57"/>
    <w:rsid w:val="24CEF7C5"/>
    <w:rsid w:val="24CF9B41"/>
    <w:rsid w:val="24D32C1D"/>
    <w:rsid w:val="24D33836"/>
    <w:rsid w:val="24D898D9"/>
    <w:rsid w:val="24DDFB07"/>
    <w:rsid w:val="24EDD1C0"/>
    <w:rsid w:val="24EE0602"/>
    <w:rsid w:val="24EE9237"/>
    <w:rsid w:val="24F15246"/>
    <w:rsid w:val="24F8BF67"/>
    <w:rsid w:val="24FA4114"/>
    <w:rsid w:val="24FE68A6"/>
    <w:rsid w:val="24FE8AAB"/>
    <w:rsid w:val="24FE92CE"/>
    <w:rsid w:val="24FEAC43"/>
    <w:rsid w:val="25017C70"/>
    <w:rsid w:val="250592A4"/>
    <w:rsid w:val="250782B0"/>
    <w:rsid w:val="2510A93E"/>
    <w:rsid w:val="25212A6D"/>
    <w:rsid w:val="25220C0B"/>
    <w:rsid w:val="2522798B"/>
    <w:rsid w:val="25280AD3"/>
    <w:rsid w:val="2528A82C"/>
    <w:rsid w:val="2528C0B6"/>
    <w:rsid w:val="252CE69D"/>
    <w:rsid w:val="252FE054"/>
    <w:rsid w:val="25321588"/>
    <w:rsid w:val="25332419"/>
    <w:rsid w:val="2539A8AF"/>
    <w:rsid w:val="253ADB53"/>
    <w:rsid w:val="25410625"/>
    <w:rsid w:val="2549C046"/>
    <w:rsid w:val="254C575C"/>
    <w:rsid w:val="254D1989"/>
    <w:rsid w:val="25534457"/>
    <w:rsid w:val="255A111D"/>
    <w:rsid w:val="255BA5AC"/>
    <w:rsid w:val="255D92DF"/>
    <w:rsid w:val="255F1207"/>
    <w:rsid w:val="25659013"/>
    <w:rsid w:val="256C7F03"/>
    <w:rsid w:val="256D8B95"/>
    <w:rsid w:val="256DBE2B"/>
    <w:rsid w:val="25700241"/>
    <w:rsid w:val="257687CE"/>
    <w:rsid w:val="257777E7"/>
    <w:rsid w:val="257FD7E1"/>
    <w:rsid w:val="258253F7"/>
    <w:rsid w:val="25887B01"/>
    <w:rsid w:val="258CDF47"/>
    <w:rsid w:val="2594475E"/>
    <w:rsid w:val="2595274E"/>
    <w:rsid w:val="259553B3"/>
    <w:rsid w:val="259C5B65"/>
    <w:rsid w:val="259DC295"/>
    <w:rsid w:val="25A095D4"/>
    <w:rsid w:val="25A4AA74"/>
    <w:rsid w:val="25A7F9F9"/>
    <w:rsid w:val="25AB3FC8"/>
    <w:rsid w:val="25B2F42B"/>
    <w:rsid w:val="25B710B7"/>
    <w:rsid w:val="25B7B77D"/>
    <w:rsid w:val="25BC939F"/>
    <w:rsid w:val="25C56317"/>
    <w:rsid w:val="25C5DCC8"/>
    <w:rsid w:val="25C626D1"/>
    <w:rsid w:val="25CE2A08"/>
    <w:rsid w:val="25D9814E"/>
    <w:rsid w:val="25D9EBAC"/>
    <w:rsid w:val="25E60705"/>
    <w:rsid w:val="25E81E23"/>
    <w:rsid w:val="25E87EDE"/>
    <w:rsid w:val="25EBDD62"/>
    <w:rsid w:val="25F52939"/>
    <w:rsid w:val="25F668E1"/>
    <w:rsid w:val="25F72D0D"/>
    <w:rsid w:val="25F7AB97"/>
    <w:rsid w:val="25F7DF22"/>
    <w:rsid w:val="25FC9A26"/>
    <w:rsid w:val="26076AE0"/>
    <w:rsid w:val="260F8D78"/>
    <w:rsid w:val="2612D843"/>
    <w:rsid w:val="261EB507"/>
    <w:rsid w:val="262C288A"/>
    <w:rsid w:val="262FDE85"/>
    <w:rsid w:val="2636F59E"/>
    <w:rsid w:val="26374119"/>
    <w:rsid w:val="26375790"/>
    <w:rsid w:val="263C4990"/>
    <w:rsid w:val="264001A3"/>
    <w:rsid w:val="26458C03"/>
    <w:rsid w:val="2646A967"/>
    <w:rsid w:val="2647B692"/>
    <w:rsid w:val="2647BE93"/>
    <w:rsid w:val="26551140"/>
    <w:rsid w:val="265576C1"/>
    <w:rsid w:val="2657C06E"/>
    <w:rsid w:val="265A9AB5"/>
    <w:rsid w:val="265CAF60"/>
    <w:rsid w:val="265EE123"/>
    <w:rsid w:val="266FD51E"/>
    <w:rsid w:val="26700D15"/>
    <w:rsid w:val="2671BBAC"/>
    <w:rsid w:val="26768E9D"/>
    <w:rsid w:val="2678E9C0"/>
    <w:rsid w:val="267B4D7E"/>
    <w:rsid w:val="267CE8F8"/>
    <w:rsid w:val="267CF80E"/>
    <w:rsid w:val="267D6794"/>
    <w:rsid w:val="26843408"/>
    <w:rsid w:val="26846D03"/>
    <w:rsid w:val="2687C1BB"/>
    <w:rsid w:val="2693AEDD"/>
    <w:rsid w:val="26A3FD49"/>
    <w:rsid w:val="26AE0354"/>
    <w:rsid w:val="26B1F131"/>
    <w:rsid w:val="26B2427B"/>
    <w:rsid w:val="26B25ADB"/>
    <w:rsid w:val="26B523DD"/>
    <w:rsid w:val="26BDFE4C"/>
    <w:rsid w:val="26CBF8D5"/>
    <w:rsid w:val="26D3DB04"/>
    <w:rsid w:val="26D56C4E"/>
    <w:rsid w:val="26D697BB"/>
    <w:rsid w:val="26DB9CF7"/>
    <w:rsid w:val="26DD055E"/>
    <w:rsid w:val="26DDCFAB"/>
    <w:rsid w:val="26DFEE69"/>
    <w:rsid w:val="26E0EDA2"/>
    <w:rsid w:val="26E48EE6"/>
    <w:rsid w:val="26E4ED5F"/>
    <w:rsid w:val="26E5B13B"/>
    <w:rsid w:val="26EC8874"/>
    <w:rsid w:val="26EDBD9C"/>
    <w:rsid w:val="26EF3CA8"/>
    <w:rsid w:val="26F51563"/>
    <w:rsid w:val="26FADA51"/>
    <w:rsid w:val="26FD2D22"/>
    <w:rsid w:val="26FF309C"/>
    <w:rsid w:val="27029F05"/>
    <w:rsid w:val="270528BE"/>
    <w:rsid w:val="27071269"/>
    <w:rsid w:val="270A8CA0"/>
    <w:rsid w:val="270ED36D"/>
    <w:rsid w:val="27162AE5"/>
    <w:rsid w:val="2719CE4A"/>
    <w:rsid w:val="271CEA4F"/>
    <w:rsid w:val="271E8B52"/>
    <w:rsid w:val="27216F0F"/>
    <w:rsid w:val="27243138"/>
    <w:rsid w:val="2726BCDD"/>
    <w:rsid w:val="272C8A48"/>
    <w:rsid w:val="2731BD7D"/>
    <w:rsid w:val="273FEDAF"/>
    <w:rsid w:val="274743DF"/>
    <w:rsid w:val="2749C5D3"/>
    <w:rsid w:val="274D4DB5"/>
    <w:rsid w:val="2752B4A1"/>
    <w:rsid w:val="2756EB29"/>
    <w:rsid w:val="2756EF0F"/>
    <w:rsid w:val="276551D6"/>
    <w:rsid w:val="2767C9BE"/>
    <w:rsid w:val="276ABD37"/>
    <w:rsid w:val="276D9DFB"/>
    <w:rsid w:val="27702E0D"/>
    <w:rsid w:val="27778F2D"/>
    <w:rsid w:val="27785B9C"/>
    <w:rsid w:val="2779D65C"/>
    <w:rsid w:val="277D2D6F"/>
    <w:rsid w:val="278051B4"/>
    <w:rsid w:val="2781EC56"/>
    <w:rsid w:val="278BA112"/>
    <w:rsid w:val="278F35A5"/>
    <w:rsid w:val="2790EC9F"/>
    <w:rsid w:val="27944E27"/>
    <w:rsid w:val="27957842"/>
    <w:rsid w:val="2797997B"/>
    <w:rsid w:val="27991BE7"/>
    <w:rsid w:val="2799E062"/>
    <w:rsid w:val="279BC584"/>
    <w:rsid w:val="279C2ACB"/>
    <w:rsid w:val="27A087C4"/>
    <w:rsid w:val="27A0D73E"/>
    <w:rsid w:val="27A9698C"/>
    <w:rsid w:val="27AAA584"/>
    <w:rsid w:val="27B8B41B"/>
    <w:rsid w:val="27C3AA36"/>
    <w:rsid w:val="27C71D11"/>
    <w:rsid w:val="27C85D37"/>
    <w:rsid w:val="27C8C858"/>
    <w:rsid w:val="27C9E0D6"/>
    <w:rsid w:val="27CCB074"/>
    <w:rsid w:val="27D3B0DB"/>
    <w:rsid w:val="27D8947B"/>
    <w:rsid w:val="27E00021"/>
    <w:rsid w:val="27E40698"/>
    <w:rsid w:val="27E64593"/>
    <w:rsid w:val="27E83CE8"/>
    <w:rsid w:val="27E87C6B"/>
    <w:rsid w:val="27E8D855"/>
    <w:rsid w:val="27E8DB9B"/>
    <w:rsid w:val="27F7DDE9"/>
    <w:rsid w:val="27FA9521"/>
    <w:rsid w:val="27FC7A9C"/>
    <w:rsid w:val="27FCF8F7"/>
    <w:rsid w:val="27FD0747"/>
    <w:rsid w:val="27FD7B3D"/>
    <w:rsid w:val="27FEE232"/>
    <w:rsid w:val="280395AA"/>
    <w:rsid w:val="28061CBC"/>
    <w:rsid w:val="2808B3FC"/>
    <w:rsid w:val="280C7488"/>
    <w:rsid w:val="280D8C0D"/>
    <w:rsid w:val="28131E6E"/>
    <w:rsid w:val="281A843C"/>
    <w:rsid w:val="2821D649"/>
    <w:rsid w:val="28294F22"/>
    <w:rsid w:val="28298182"/>
    <w:rsid w:val="28316FA2"/>
    <w:rsid w:val="2835CD6C"/>
    <w:rsid w:val="28391212"/>
    <w:rsid w:val="283EFD52"/>
    <w:rsid w:val="28469B2C"/>
    <w:rsid w:val="284B592A"/>
    <w:rsid w:val="285AA52F"/>
    <w:rsid w:val="285B1BB6"/>
    <w:rsid w:val="285CBAB3"/>
    <w:rsid w:val="285F3115"/>
    <w:rsid w:val="28607979"/>
    <w:rsid w:val="2862204A"/>
    <w:rsid w:val="28628AF5"/>
    <w:rsid w:val="286612B1"/>
    <w:rsid w:val="28696355"/>
    <w:rsid w:val="2869DBF9"/>
    <w:rsid w:val="286AB76C"/>
    <w:rsid w:val="288965CE"/>
    <w:rsid w:val="288C0819"/>
    <w:rsid w:val="288E7071"/>
    <w:rsid w:val="288EE094"/>
    <w:rsid w:val="2892BC2A"/>
    <w:rsid w:val="28946819"/>
    <w:rsid w:val="28976DD2"/>
    <w:rsid w:val="28A1703C"/>
    <w:rsid w:val="28A231C6"/>
    <w:rsid w:val="28A2EA16"/>
    <w:rsid w:val="28A4E2F7"/>
    <w:rsid w:val="28A68FD6"/>
    <w:rsid w:val="28ACAE98"/>
    <w:rsid w:val="28B44519"/>
    <w:rsid w:val="28BAA931"/>
    <w:rsid w:val="28BD3F70"/>
    <w:rsid w:val="28BFBEDE"/>
    <w:rsid w:val="28C3C701"/>
    <w:rsid w:val="28C6D4D5"/>
    <w:rsid w:val="28D542E8"/>
    <w:rsid w:val="28D9214D"/>
    <w:rsid w:val="28DDE5F6"/>
    <w:rsid w:val="28EA4310"/>
    <w:rsid w:val="28EBD2F5"/>
    <w:rsid w:val="28EDA327"/>
    <w:rsid w:val="28EF1080"/>
    <w:rsid w:val="28F1BB26"/>
    <w:rsid w:val="28F1D1E2"/>
    <w:rsid w:val="28F4D51D"/>
    <w:rsid w:val="2905E3E6"/>
    <w:rsid w:val="2907231A"/>
    <w:rsid w:val="29097BE2"/>
    <w:rsid w:val="2909880F"/>
    <w:rsid w:val="290A4335"/>
    <w:rsid w:val="290AE108"/>
    <w:rsid w:val="290F21D0"/>
    <w:rsid w:val="291469A7"/>
    <w:rsid w:val="2915F2B9"/>
    <w:rsid w:val="2916320B"/>
    <w:rsid w:val="29175314"/>
    <w:rsid w:val="291A4667"/>
    <w:rsid w:val="29208701"/>
    <w:rsid w:val="2920BDB8"/>
    <w:rsid w:val="29224E8E"/>
    <w:rsid w:val="2924402F"/>
    <w:rsid w:val="2924FB0E"/>
    <w:rsid w:val="2928C7ED"/>
    <w:rsid w:val="292D1612"/>
    <w:rsid w:val="29333929"/>
    <w:rsid w:val="2935ADE7"/>
    <w:rsid w:val="29393C46"/>
    <w:rsid w:val="293963C3"/>
    <w:rsid w:val="293C27ED"/>
    <w:rsid w:val="293F6340"/>
    <w:rsid w:val="29433D05"/>
    <w:rsid w:val="29467DD8"/>
    <w:rsid w:val="295060E0"/>
    <w:rsid w:val="2951CD84"/>
    <w:rsid w:val="295A749E"/>
    <w:rsid w:val="295ABB3A"/>
    <w:rsid w:val="295EEFAD"/>
    <w:rsid w:val="29603F62"/>
    <w:rsid w:val="296097AB"/>
    <w:rsid w:val="297A3671"/>
    <w:rsid w:val="297ABA73"/>
    <w:rsid w:val="297B197D"/>
    <w:rsid w:val="297DA2D5"/>
    <w:rsid w:val="297DB002"/>
    <w:rsid w:val="297ED208"/>
    <w:rsid w:val="297F6FA1"/>
    <w:rsid w:val="29832350"/>
    <w:rsid w:val="298544A8"/>
    <w:rsid w:val="298793C8"/>
    <w:rsid w:val="298C50DB"/>
    <w:rsid w:val="299444F8"/>
    <w:rsid w:val="29959E8F"/>
    <w:rsid w:val="2999231D"/>
    <w:rsid w:val="299A856F"/>
    <w:rsid w:val="29A698A3"/>
    <w:rsid w:val="29A9910E"/>
    <w:rsid w:val="29AE696D"/>
    <w:rsid w:val="29B0EEBE"/>
    <w:rsid w:val="29B143AD"/>
    <w:rsid w:val="29BA840F"/>
    <w:rsid w:val="29BABDD2"/>
    <w:rsid w:val="29BCFF7A"/>
    <w:rsid w:val="29C0E726"/>
    <w:rsid w:val="29C4E56B"/>
    <w:rsid w:val="29C777D5"/>
    <w:rsid w:val="29D05858"/>
    <w:rsid w:val="29D50C21"/>
    <w:rsid w:val="29DB517B"/>
    <w:rsid w:val="29DDD047"/>
    <w:rsid w:val="29E0452E"/>
    <w:rsid w:val="29EF5151"/>
    <w:rsid w:val="29F02D02"/>
    <w:rsid w:val="29F37815"/>
    <w:rsid w:val="29F616CC"/>
    <w:rsid w:val="29F61A64"/>
    <w:rsid w:val="29FF8833"/>
    <w:rsid w:val="2A019DBF"/>
    <w:rsid w:val="2A06EF87"/>
    <w:rsid w:val="2A0B5E25"/>
    <w:rsid w:val="2A0F6BAD"/>
    <w:rsid w:val="2A0FBF13"/>
    <w:rsid w:val="2A0FE1C6"/>
    <w:rsid w:val="2A1BC586"/>
    <w:rsid w:val="2A1FF8E6"/>
    <w:rsid w:val="2A221509"/>
    <w:rsid w:val="2A2911EF"/>
    <w:rsid w:val="2A2E2E7E"/>
    <w:rsid w:val="2A334FEB"/>
    <w:rsid w:val="2A3F86B0"/>
    <w:rsid w:val="2A42279C"/>
    <w:rsid w:val="2A49E32F"/>
    <w:rsid w:val="2A4C9D9E"/>
    <w:rsid w:val="2A52BEAC"/>
    <w:rsid w:val="2A53DE70"/>
    <w:rsid w:val="2A5CA3AB"/>
    <w:rsid w:val="2A5DCFC5"/>
    <w:rsid w:val="2A641A40"/>
    <w:rsid w:val="2A6497DF"/>
    <w:rsid w:val="2A681F45"/>
    <w:rsid w:val="2A6DB6DF"/>
    <w:rsid w:val="2A6F3064"/>
    <w:rsid w:val="2A6F6CBB"/>
    <w:rsid w:val="2A70DE0E"/>
    <w:rsid w:val="2A788F80"/>
    <w:rsid w:val="2A799E54"/>
    <w:rsid w:val="2A7A1236"/>
    <w:rsid w:val="2A7E2467"/>
    <w:rsid w:val="2A7FDF66"/>
    <w:rsid w:val="2A816BC7"/>
    <w:rsid w:val="2A838DBB"/>
    <w:rsid w:val="2A8CA099"/>
    <w:rsid w:val="2A8E133A"/>
    <w:rsid w:val="2A93C3F5"/>
    <w:rsid w:val="2A95C11B"/>
    <w:rsid w:val="2A991C85"/>
    <w:rsid w:val="2A9F715F"/>
    <w:rsid w:val="2AA59F45"/>
    <w:rsid w:val="2AAA8464"/>
    <w:rsid w:val="2AADA817"/>
    <w:rsid w:val="2AB16F01"/>
    <w:rsid w:val="2AB34453"/>
    <w:rsid w:val="2AB3846C"/>
    <w:rsid w:val="2AB71D3A"/>
    <w:rsid w:val="2AB7F276"/>
    <w:rsid w:val="2ABC2D90"/>
    <w:rsid w:val="2AC1935F"/>
    <w:rsid w:val="2ACCC795"/>
    <w:rsid w:val="2AD42007"/>
    <w:rsid w:val="2AD70B37"/>
    <w:rsid w:val="2AE3E1FF"/>
    <w:rsid w:val="2AE54B33"/>
    <w:rsid w:val="2AE89B64"/>
    <w:rsid w:val="2AEA0944"/>
    <w:rsid w:val="2AEAE610"/>
    <w:rsid w:val="2AEB49CE"/>
    <w:rsid w:val="2AEF32C9"/>
    <w:rsid w:val="2AEF796D"/>
    <w:rsid w:val="2AFB8F96"/>
    <w:rsid w:val="2AFDCFCF"/>
    <w:rsid w:val="2AFF67EB"/>
    <w:rsid w:val="2B00BF01"/>
    <w:rsid w:val="2B012A61"/>
    <w:rsid w:val="2B0164AC"/>
    <w:rsid w:val="2B051B8B"/>
    <w:rsid w:val="2B080DFC"/>
    <w:rsid w:val="2B0947BF"/>
    <w:rsid w:val="2B0B960C"/>
    <w:rsid w:val="2B0CE880"/>
    <w:rsid w:val="2B1185BB"/>
    <w:rsid w:val="2B18763A"/>
    <w:rsid w:val="2B19F131"/>
    <w:rsid w:val="2B1B4C4A"/>
    <w:rsid w:val="2B1C58F3"/>
    <w:rsid w:val="2B1CE529"/>
    <w:rsid w:val="2B23FCAC"/>
    <w:rsid w:val="2B2DC2DC"/>
    <w:rsid w:val="2B32DE7C"/>
    <w:rsid w:val="2B3C6DE3"/>
    <w:rsid w:val="2B3F2229"/>
    <w:rsid w:val="2B463A33"/>
    <w:rsid w:val="2B4A0C0E"/>
    <w:rsid w:val="2B4DD4A0"/>
    <w:rsid w:val="2B4F870F"/>
    <w:rsid w:val="2B5140E2"/>
    <w:rsid w:val="2B51AA65"/>
    <w:rsid w:val="2B5EA273"/>
    <w:rsid w:val="2B6429FC"/>
    <w:rsid w:val="2B6BD843"/>
    <w:rsid w:val="2B6F8FFA"/>
    <w:rsid w:val="2B735B43"/>
    <w:rsid w:val="2B777F83"/>
    <w:rsid w:val="2B7C413F"/>
    <w:rsid w:val="2B82C365"/>
    <w:rsid w:val="2B82D4E5"/>
    <w:rsid w:val="2B831A0C"/>
    <w:rsid w:val="2B8666E2"/>
    <w:rsid w:val="2B87F177"/>
    <w:rsid w:val="2B8CC8CE"/>
    <w:rsid w:val="2B92F031"/>
    <w:rsid w:val="2B983767"/>
    <w:rsid w:val="2BA97D7B"/>
    <w:rsid w:val="2BAB1A0F"/>
    <w:rsid w:val="2BAB7C88"/>
    <w:rsid w:val="2BABCF6B"/>
    <w:rsid w:val="2BB29FEE"/>
    <w:rsid w:val="2BB42016"/>
    <w:rsid w:val="2BB4EDFB"/>
    <w:rsid w:val="2BB518CF"/>
    <w:rsid w:val="2BB99FC6"/>
    <w:rsid w:val="2BB9ED3F"/>
    <w:rsid w:val="2BBE8AEE"/>
    <w:rsid w:val="2BC24244"/>
    <w:rsid w:val="2BC4471C"/>
    <w:rsid w:val="2BCB6C02"/>
    <w:rsid w:val="2BD264BD"/>
    <w:rsid w:val="2BD35096"/>
    <w:rsid w:val="2BD6182E"/>
    <w:rsid w:val="2BD92E2D"/>
    <w:rsid w:val="2BDC3B53"/>
    <w:rsid w:val="2BE2AEAF"/>
    <w:rsid w:val="2BE9CCC6"/>
    <w:rsid w:val="2BE9E041"/>
    <w:rsid w:val="2BEB1208"/>
    <w:rsid w:val="2BF2D026"/>
    <w:rsid w:val="2BF464BD"/>
    <w:rsid w:val="2BF4E032"/>
    <w:rsid w:val="2C001804"/>
    <w:rsid w:val="2C0203CF"/>
    <w:rsid w:val="2C036F12"/>
    <w:rsid w:val="2C0AF6C3"/>
    <w:rsid w:val="2C180BF1"/>
    <w:rsid w:val="2C20DA77"/>
    <w:rsid w:val="2C228D50"/>
    <w:rsid w:val="2C254CB4"/>
    <w:rsid w:val="2C26155D"/>
    <w:rsid w:val="2C2AE857"/>
    <w:rsid w:val="2C2C03DF"/>
    <w:rsid w:val="2C2F886D"/>
    <w:rsid w:val="2C3105E7"/>
    <w:rsid w:val="2C3246A7"/>
    <w:rsid w:val="2C333158"/>
    <w:rsid w:val="2C357936"/>
    <w:rsid w:val="2C36B793"/>
    <w:rsid w:val="2C37AE6B"/>
    <w:rsid w:val="2C3B0857"/>
    <w:rsid w:val="2C410F1E"/>
    <w:rsid w:val="2C475946"/>
    <w:rsid w:val="2C4B77E7"/>
    <w:rsid w:val="2C4FFC5D"/>
    <w:rsid w:val="2C52A319"/>
    <w:rsid w:val="2C55AAC1"/>
    <w:rsid w:val="2C5C6342"/>
    <w:rsid w:val="2C5CCE40"/>
    <w:rsid w:val="2C5F1B43"/>
    <w:rsid w:val="2C6324DD"/>
    <w:rsid w:val="2C646876"/>
    <w:rsid w:val="2C667F96"/>
    <w:rsid w:val="2C6BBA3F"/>
    <w:rsid w:val="2C6D43DF"/>
    <w:rsid w:val="2C6D708D"/>
    <w:rsid w:val="2C6F03D6"/>
    <w:rsid w:val="2C74FB8C"/>
    <w:rsid w:val="2C75CBB3"/>
    <w:rsid w:val="2C77990C"/>
    <w:rsid w:val="2C7D20A8"/>
    <w:rsid w:val="2C7DF104"/>
    <w:rsid w:val="2C7F23E3"/>
    <w:rsid w:val="2C878109"/>
    <w:rsid w:val="2C88B25C"/>
    <w:rsid w:val="2C8EA122"/>
    <w:rsid w:val="2C907A1A"/>
    <w:rsid w:val="2C91C1DE"/>
    <w:rsid w:val="2C96CF74"/>
    <w:rsid w:val="2C9949E8"/>
    <w:rsid w:val="2C9A5BDD"/>
    <w:rsid w:val="2C9CD1FC"/>
    <w:rsid w:val="2C9E7375"/>
    <w:rsid w:val="2CA004C7"/>
    <w:rsid w:val="2CA0AC44"/>
    <w:rsid w:val="2CA67FC0"/>
    <w:rsid w:val="2CA742C9"/>
    <w:rsid w:val="2CA8564F"/>
    <w:rsid w:val="2CABE98A"/>
    <w:rsid w:val="2CAD7D16"/>
    <w:rsid w:val="2CB39F2E"/>
    <w:rsid w:val="2CB3E432"/>
    <w:rsid w:val="2CB4D2BA"/>
    <w:rsid w:val="2CB6E3BA"/>
    <w:rsid w:val="2CB8BE5A"/>
    <w:rsid w:val="2CBFE9DB"/>
    <w:rsid w:val="2CC61DCB"/>
    <w:rsid w:val="2CC689CB"/>
    <w:rsid w:val="2CC84D26"/>
    <w:rsid w:val="2CCB2C5D"/>
    <w:rsid w:val="2CCC9FE8"/>
    <w:rsid w:val="2CD5288C"/>
    <w:rsid w:val="2CE2550E"/>
    <w:rsid w:val="2CE7B805"/>
    <w:rsid w:val="2CE9E6D5"/>
    <w:rsid w:val="2CEB8288"/>
    <w:rsid w:val="2CEBE031"/>
    <w:rsid w:val="2CF46A4A"/>
    <w:rsid w:val="2CF4CCB6"/>
    <w:rsid w:val="2CFC71AB"/>
    <w:rsid w:val="2CFD3287"/>
    <w:rsid w:val="2D005B9F"/>
    <w:rsid w:val="2D0369A7"/>
    <w:rsid w:val="2D07AA8C"/>
    <w:rsid w:val="2D080CA2"/>
    <w:rsid w:val="2D0CEC11"/>
    <w:rsid w:val="2D0D9B48"/>
    <w:rsid w:val="2D167BD3"/>
    <w:rsid w:val="2D16ED5F"/>
    <w:rsid w:val="2D17AE2E"/>
    <w:rsid w:val="2D227339"/>
    <w:rsid w:val="2D231035"/>
    <w:rsid w:val="2D24347F"/>
    <w:rsid w:val="2D29E8E3"/>
    <w:rsid w:val="2D2E3543"/>
    <w:rsid w:val="2D304B8B"/>
    <w:rsid w:val="2D34E33A"/>
    <w:rsid w:val="2D3A8886"/>
    <w:rsid w:val="2D419667"/>
    <w:rsid w:val="2D4300E7"/>
    <w:rsid w:val="2D4CEDCC"/>
    <w:rsid w:val="2D4F0356"/>
    <w:rsid w:val="2D56EC7B"/>
    <w:rsid w:val="2D57E07D"/>
    <w:rsid w:val="2D5B04A4"/>
    <w:rsid w:val="2D5B6215"/>
    <w:rsid w:val="2D5BED3E"/>
    <w:rsid w:val="2D604836"/>
    <w:rsid w:val="2D64CB3F"/>
    <w:rsid w:val="2D650385"/>
    <w:rsid w:val="2D6732FC"/>
    <w:rsid w:val="2D692F25"/>
    <w:rsid w:val="2D6B5AA6"/>
    <w:rsid w:val="2D6D2FA0"/>
    <w:rsid w:val="2D789BE4"/>
    <w:rsid w:val="2D7C52A8"/>
    <w:rsid w:val="2D80D02D"/>
    <w:rsid w:val="2D830B34"/>
    <w:rsid w:val="2D87953D"/>
    <w:rsid w:val="2D8E3F02"/>
    <w:rsid w:val="2D905BC3"/>
    <w:rsid w:val="2D90B093"/>
    <w:rsid w:val="2DA8D70A"/>
    <w:rsid w:val="2DB30E5E"/>
    <w:rsid w:val="2DB5CF2C"/>
    <w:rsid w:val="2DB76E95"/>
    <w:rsid w:val="2DBA9758"/>
    <w:rsid w:val="2DBAF5DE"/>
    <w:rsid w:val="2DBC6B32"/>
    <w:rsid w:val="2DBEB27D"/>
    <w:rsid w:val="2DBF7577"/>
    <w:rsid w:val="2DC4417A"/>
    <w:rsid w:val="2DC6D0C0"/>
    <w:rsid w:val="2DCA3048"/>
    <w:rsid w:val="2DCCA457"/>
    <w:rsid w:val="2DCD7888"/>
    <w:rsid w:val="2DCE56F7"/>
    <w:rsid w:val="2DCF40C0"/>
    <w:rsid w:val="2DCFFCCF"/>
    <w:rsid w:val="2DD46B8B"/>
    <w:rsid w:val="2DD596FC"/>
    <w:rsid w:val="2DD6F94F"/>
    <w:rsid w:val="2DDE7586"/>
    <w:rsid w:val="2DDFEEFF"/>
    <w:rsid w:val="2DE4C339"/>
    <w:rsid w:val="2DE6050E"/>
    <w:rsid w:val="2DEED2B2"/>
    <w:rsid w:val="2DF0F674"/>
    <w:rsid w:val="2DF3FBA3"/>
    <w:rsid w:val="2DF5A296"/>
    <w:rsid w:val="2DF9F9C3"/>
    <w:rsid w:val="2DFD58C8"/>
    <w:rsid w:val="2DFFC56B"/>
    <w:rsid w:val="2E01744D"/>
    <w:rsid w:val="2E03BFDE"/>
    <w:rsid w:val="2E042C66"/>
    <w:rsid w:val="2E07D1DB"/>
    <w:rsid w:val="2E0D0BB9"/>
    <w:rsid w:val="2E103D5B"/>
    <w:rsid w:val="2E18B348"/>
    <w:rsid w:val="2E192E14"/>
    <w:rsid w:val="2E1CC131"/>
    <w:rsid w:val="2E1FA3F8"/>
    <w:rsid w:val="2E1FA9CD"/>
    <w:rsid w:val="2E2D00FA"/>
    <w:rsid w:val="2E2D66DB"/>
    <w:rsid w:val="2E34CCF6"/>
    <w:rsid w:val="2E396C34"/>
    <w:rsid w:val="2E3A65A2"/>
    <w:rsid w:val="2E3A74C9"/>
    <w:rsid w:val="2E424E69"/>
    <w:rsid w:val="2E4BB07C"/>
    <w:rsid w:val="2E4F258A"/>
    <w:rsid w:val="2E57EB27"/>
    <w:rsid w:val="2E59A2FE"/>
    <w:rsid w:val="2E5C5DDC"/>
    <w:rsid w:val="2E609177"/>
    <w:rsid w:val="2E630317"/>
    <w:rsid w:val="2E652FA7"/>
    <w:rsid w:val="2E65BE24"/>
    <w:rsid w:val="2E6715F6"/>
    <w:rsid w:val="2E68A739"/>
    <w:rsid w:val="2E68FC44"/>
    <w:rsid w:val="2E696E8E"/>
    <w:rsid w:val="2E6B421F"/>
    <w:rsid w:val="2E781423"/>
    <w:rsid w:val="2E7AF584"/>
    <w:rsid w:val="2E7CF0E1"/>
    <w:rsid w:val="2E8C1C7C"/>
    <w:rsid w:val="2E8CA17E"/>
    <w:rsid w:val="2E9CACE4"/>
    <w:rsid w:val="2E9ED760"/>
    <w:rsid w:val="2EA0039D"/>
    <w:rsid w:val="2EA18B75"/>
    <w:rsid w:val="2EAABFAA"/>
    <w:rsid w:val="2EAB7ED3"/>
    <w:rsid w:val="2EAE49B3"/>
    <w:rsid w:val="2EB0DA28"/>
    <w:rsid w:val="2EB26F7E"/>
    <w:rsid w:val="2EB7B388"/>
    <w:rsid w:val="2EB8241F"/>
    <w:rsid w:val="2EB8CB35"/>
    <w:rsid w:val="2EB99859"/>
    <w:rsid w:val="2EBC1894"/>
    <w:rsid w:val="2EBD9671"/>
    <w:rsid w:val="2EC638EB"/>
    <w:rsid w:val="2EC80EEC"/>
    <w:rsid w:val="2EC8F1D6"/>
    <w:rsid w:val="2EC98BA8"/>
    <w:rsid w:val="2ECC94C3"/>
    <w:rsid w:val="2ECDB2CA"/>
    <w:rsid w:val="2ED50B52"/>
    <w:rsid w:val="2EDC8BD6"/>
    <w:rsid w:val="2EDCA880"/>
    <w:rsid w:val="2EDD5981"/>
    <w:rsid w:val="2EDF0A40"/>
    <w:rsid w:val="2EE05A2E"/>
    <w:rsid w:val="2EE12FA2"/>
    <w:rsid w:val="2EE13C0E"/>
    <w:rsid w:val="2EE4701C"/>
    <w:rsid w:val="2EE6C179"/>
    <w:rsid w:val="2EE74EB7"/>
    <w:rsid w:val="2EE78027"/>
    <w:rsid w:val="2EEBC4B8"/>
    <w:rsid w:val="2EEE6B72"/>
    <w:rsid w:val="2F005825"/>
    <w:rsid w:val="2F038AAB"/>
    <w:rsid w:val="2F079CE3"/>
    <w:rsid w:val="2F07BE58"/>
    <w:rsid w:val="2F0BAEB4"/>
    <w:rsid w:val="2F153147"/>
    <w:rsid w:val="2F1CF6E2"/>
    <w:rsid w:val="2F1EEE1A"/>
    <w:rsid w:val="2F22C6E5"/>
    <w:rsid w:val="2F273724"/>
    <w:rsid w:val="2F2A0899"/>
    <w:rsid w:val="2F2D580C"/>
    <w:rsid w:val="2F306B5B"/>
    <w:rsid w:val="2F34565C"/>
    <w:rsid w:val="2F364F7B"/>
    <w:rsid w:val="2F39064E"/>
    <w:rsid w:val="2F39AF7C"/>
    <w:rsid w:val="2F424D9A"/>
    <w:rsid w:val="2F4347C3"/>
    <w:rsid w:val="2F4D447F"/>
    <w:rsid w:val="2F4F23E9"/>
    <w:rsid w:val="2F50B6B6"/>
    <w:rsid w:val="2F50F8AA"/>
    <w:rsid w:val="2F53E297"/>
    <w:rsid w:val="2F5767B5"/>
    <w:rsid w:val="2F592E2F"/>
    <w:rsid w:val="2F639973"/>
    <w:rsid w:val="2F641107"/>
    <w:rsid w:val="2F67357B"/>
    <w:rsid w:val="2F69423C"/>
    <w:rsid w:val="2F6D2E7D"/>
    <w:rsid w:val="2F71C099"/>
    <w:rsid w:val="2F72407C"/>
    <w:rsid w:val="2F731EC9"/>
    <w:rsid w:val="2F73918E"/>
    <w:rsid w:val="2F7559D1"/>
    <w:rsid w:val="2F75BDFD"/>
    <w:rsid w:val="2F76ADBD"/>
    <w:rsid w:val="2F776114"/>
    <w:rsid w:val="2F79D9E7"/>
    <w:rsid w:val="2F7CFE5E"/>
    <w:rsid w:val="2F85523B"/>
    <w:rsid w:val="2F9598BC"/>
    <w:rsid w:val="2F9839BB"/>
    <w:rsid w:val="2F9A6C60"/>
    <w:rsid w:val="2F9FBEC4"/>
    <w:rsid w:val="2FA0E837"/>
    <w:rsid w:val="2FA39461"/>
    <w:rsid w:val="2FA73F14"/>
    <w:rsid w:val="2FA963D0"/>
    <w:rsid w:val="2FB4272A"/>
    <w:rsid w:val="2FBBF29A"/>
    <w:rsid w:val="2FBE355D"/>
    <w:rsid w:val="2FC72507"/>
    <w:rsid w:val="2FCA4F91"/>
    <w:rsid w:val="2FCECCA2"/>
    <w:rsid w:val="2FCF099B"/>
    <w:rsid w:val="2FD3C527"/>
    <w:rsid w:val="2FD74AF4"/>
    <w:rsid w:val="2FD8C436"/>
    <w:rsid w:val="2FDD8FE8"/>
    <w:rsid w:val="2FDF152E"/>
    <w:rsid w:val="2FE3F835"/>
    <w:rsid w:val="2FE53837"/>
    <w:rsid w:val="2FEDE1D2"/>
    <w:rsid w:val="2FF198A6"/>
    <w:rsid w:val="2FF25312"/>
    <w:rsid w:val="2FF48BDE"/>
    <w:rsid w:val="2FF4D392"/>
    <w:rsid w:val="2FF60DAF"/>
    <w:rsid w:val="2FF63AA2"/>
    <w:rsid w:val="2FFD4A44"/>
    <w:rsid w:val="2FFE8912"/>
    <w:rsid w:val="30084D93"/>
    <w:rsid w:val="300C7B3C"/>
    <w:rsid w:val="300D7461"/>
    <w:rsid w:val="300F48C9"/>
    <w:rsid w:val="3017CFBB"/>
    <w:rsid w:val="301B3629"/>
    <w:rsid w:val="301B52A9"/>
    <w:rsid w:val="301D7989"/>
    <w:rsid w:val="30241639"/>
    <w:rsid w:val="3025994A"/>
    <w:rsid w:val="302D490D"/>
    <w:rsid w:val="3035FAC5"/>
    <w:rsid w:val="303782E2"/>
    <w:rsid w:val="303FEEB2"/>
    <w:rsid w:val="30430435"/>
    <w:rsid w:val="304F1F2F"/>
    <w:rsid w:val="304FBBE8"/>
    <w:rsid w:val="30536DC6"/>
    <w:rsid w:val="3055B0F8"/>
    <w:rsid w:val="305732C2"/>
    <w:rsid w:val="3057428C"/>
    <w:rsid w:val="305A2D5F"/>
    <w:rsid w:val="306473C6"/>
    <w:rsid w:val="3064B335"/>
    <w:rsid w:val="306E840A"/>
    <w:rsid w:val="306F2AD6"/>
    <w:rsid w:val="306FC321"/>
    <w:rsid w:val="3071F0DE"/>
    <w:rsid w:val="3072DCBF"/>
    <w:rsid w:val="3074AA14"/>
    <w:rsid w:val="30754287"/>
    <w:rsid w:val="3075525E"/>
    <w:rsid w:val="30760F8E"/>
    <w:rsid w:val="307AE0FB"/>
    <w:rsid w:val="307D204A"/>
    <w:rsid w:val="307F56C3"/>
    <w:rsid w:val="308080AB"/>
    <w:rsid w:val="3083544B"/>
    <w:rsid w:val="308C2A7C"/>
    <w:rsid w:val="308F2803"/>
    <w:rsid w:val="309FCFF4"/>
    <w:rsid w:val="30A35A75"/>
    <w:rsid w:val="30A768C3"/>
    <w:rsid w:val="30AE1C7E"/>
    <w:rsid w:val="30B0301E"/>
    <w:rsid w:val="30B16222"/>
    <w:rsid w:val="30B2E1C1"/>
    <w:rsid w:val="30B42E8C"/>
    <w:rsid w:val="30C03E53"/>
    <w:rsid w:val="30D37C3E"/>
    <w:rsid w:val="30D88080"/>
    <w:rsid w:val="30E26EC3"/>
    <w:rsid w:val="30E45EE4"/>
    <w:rsid w:val="30E6F278"/>
    <w:rsid w:val="30E7B8FC"/>
    <w:rsid w:val="30EA6679"/>
    <w:rsid w:val="30EDDB2D"/>
    <w:rsid w:val="30F47285"/>
    <w:rsid w:val="30F4847A"/>
    <w:rsid w:val="30FB3562"/>
    <w:rsid w:val="3100AD01"/>
    <w:rsid w:val="3102DDFB"/>
    <w:rsid w:val="31089443"/>
    <w:rsid w:val="310A441C"/>
    <w:rsid w:val="310EA800"/>
    <w:rsid w:val="310F1571"/>
    <w:rsid w:val="3110F9D7"/>
    <w:rsid w:val="311AD22E"/>
    <w:rsid w:val="312D4A86"/>
    <w:rsid w:val="312E6EE9"/>
    <w:rsid w:val="3131ED41"/>
    <w:rsid w:val="31364A40"/>
    <w:rsid w:val="31397105"/>
    <w:rsid w:val="313B2291"/>
    <w:rsid w:val="3142EFA3"/>
    <w:rsid w:val="3149C9CA"/>
    <w:rsid w:val="314B9BEC"/>
    <w:rsid w:val="31503032"/>
    <w:rsid w:val="3156F724"/>
    <w:rsid w:val="3162418B"/>
    <w:rsid w:val="3164989F"/>
    <w:rsid w:val="316513EC"/>
    <w:rsid w:val="31666F81"/>
    <w:rsid w:val="31674C04"/>
    <w:rsid w:val="316C007F"/>
    <w:rsid w:val="316F8F67"/>
    <w:rsid w:val="31761F86"/>
    <w:rsid w:val="318813C9"/>
    <w:rsid w:val="31895104"/>
    <w:rsid w:val="3192383A"/>
    <w:rsid w:val="319C90C3"/>
    <w:rsid w:val="319E8745"/>
    <w:rsid w:val="319FF008"/>
    <w:rsid w:val="31A46D41"/>
    <w:rsid w:val="31A486EE"/>
    <w:rsid w:val="31A50BAC"/>
    <w:rsid w:val="31A51AEA"/>
    <w:rsid w:val="31A5EB9F"/>
    <w:rsid w:val="31A76C7D"/>
    <w:rsid w:val="31AC9515"/>
    <w:rsid w:val="31B175F6"/>
    <w:rsid w:val="31BB1D68"/>
    <w:rsid w:val="31BB27C0"/>
    <w:rsid w:val="31BD328E"/>
    <w:rsid w:val="31BE9436"/>
    <w:rsid w:val="31BEFEB2"/>
    <w:rsid w:val="31CCA327"/>
    <w:rsid w:val="31CF92FD"/>
    <w:rsid w:val="31D6039C"/>
    <w:rsid w:val="31D6DCDC"/>
    <w:rsid w:val="31D88764"/>
    <w:rsid w:val="31E2E6DD"/>
    <w:rsid w:val="31E77172"/>
    <w:rsid w:val="31E994EE"/>
    <w:rsid w:val="31F84939"/>
    <w:rsid w:val="31F9393A"/>
    <w:rsid w:val="31F99A71"/>
    <w:rsid w:val="31F9C26C"/>
    <w:rsid w:val="31FAE400"/>
    <w:rsid w:val="31FB6822"/>
    <w:rsid w:val="31FC18A8"/>
    <w:rsid w:val="31FEBC40"/>
    <w:rsid w:val="31FEFC1A"/>
    <w:rsid w:val="32013861"/>
    <w:rsid w:val="32064B33"/>
    <w:rsid w:val="3206BB55"/>
    <w:rsid w:val="32107E77"/>
    <w:rsid w:val="321159A3"/>
    <w:rsid w:val="3213D778"/>
    <w:rsid w:val="3213F48B"/>
    <w:rsid w:val="321E8ED1"/>
    <w:rsid w:val="321FF36F"/>
    <w:rsid w:val="3220567F"/>
    <w:rsid w:val="3222F944"/>
    <w:rsid w:val="3224690A"/>
    <w:rsid w:val="32270D52"/>
    <w:rsid w:val="32276B03"/>
    <w:rsid w:val="322961E0"/>
    <w:rsid w:val="3235F732"/>
    <w:rsid w:val="3236BAA2"/>
    <w:rsid w:val="323713B2"/>
    <w:rsid w:val="3239BCB5"/>
    <w:rsid w:val="32469B6E"/>
    <w:rsid w:val="3247CB0E"/>
    <w:rsid w:val="324991DA"/>
    <w:rsid w:val="32511F4E"/>
    <w:rsid w:val="32518A29"/>
    <w:rsid w:val="325B58A0"/>
    <w:rsid w:val="326CE40F"/>
    <w:rsid w:val="3271823C"/>
    <w:rsid w:val="32726C0E"/>
    <w:rsid w:val="327EAD07"/>
    <w:rsid w:val="327EC388"/>
    <w:rsid w:val="328274F8"/>
    <w:rsid w:val="32876030"/>
    <w:rsid w:val="328AC6EC"/>
    <w:rsid w:val="328C9D7C"/>
    <w:rsid w:val="328CCE7B"/>
    <w:rsid w:val="32931A6D"/>
    <w:rsid w:val="3298FED6"/>
    <w:rsid w:val="329A03BF"/>
    <w:rsid w:val="329C2A34"/>
    <w:rsid w:val="329C97C7"/>
    <w:rsid w:val="329D97A1"/>
    <w:rsid w:val="32A36C25"/>
    <w:rsid w:val="32A4B926"/>
    <w:rsid w:val="32ABCA0B"/>
    <w:rsid w:val="32B0F0AC"/>
    <w:rsid w:val="32C01031"/>
    <w:rsid w:val="32C0380B"/>
    <w:rsid w:val="32CE445E"/>
    <w:rsid w:val="32CFEAAF"/>
    <w:rsid w:val="32D347F6"/>
    <w:rsid w:val="32D822AF"/>
    <w:rsid w:val="32D92C48"/>
    <w:rsid w:val="32DB831E"/>
    <w:rsid w:val="32DC1281"/>
    <w:rsid w:val="32DD6C5E"/>
    <w:rsid w:val="32E3EBE1"/>
    <w:rsid w:val="32EE3B05"/>
    <w:rsid w:val="32EE3FC3"/>
    <w:rsid w:val="32F2CE09"/>
    <w:rsid w:val="32F50CE6"/>
    <w:rsid w:val="32F7E079"/>
    <w:rsid w:val="32F8D824"/>
    <w:rsid w:val="32F9566A"/>
    <w:rsid w:val="32FBB6E4"/>
    <w:rsid w:val="32FE61A4"/>
    <w:rsid w:val="3301C6D5"/>
    <w:rsid w:val="3302E653"/>
    <w:rsid w:val="3305497F"/>
    <w:rsid w:val="3306128A"/>
    <w:rsid w:val="330A70AC"/>
    <w:rsid w:val="330C94D3"/>
    <w:rsid w:val="330D4047"/>
    <w:rsid w:val="330E76DD"/>
    <w:rsid w:val="33104465"/>
    <w:rsid w:val="331282B1"/>
    <w:rsid w:val="3318216B"/>
    <w:rsid w:val="331CAB4B"/>
    <w:rsid w:val="33232E35"/>
    <w:rsid w:val="33243533"/>
    <w:rsid w:val="3328608A"/>
    <w:rsid w:val="332890DD"/>
    <w:rsid w:val="332C5954"/>
    <w:rsid w:val="332FDF6B"/>
    <w:rsid w:val="333533C5"/>
    <w:rsid w:val="3335714B"/>
    <w:rsid w:val="33360785"/>
    <w:rsid w:val="3336C9D2"/>
    <w:rsid w:val="33379790"/>
    <w:rsid w:val="3339180F"/>
    <w:rsid w:val="333EC4E2"/>
    <w:rsid w:val="3340F9CE"/>
    <w:rsid w:val="3345708A"/>
    <w:rsid w:val="3348E893"/>
    <w:rsid w:val="335113EA"/>
    <w:rsid w:val="335301AA"/>
    <w:rsid w:val="33544F94"/>
    <w:rsid w:val="335DC943"/>
    <w:rsid w:val="3360D4B0"/>
    <w:rsid w:val="3365B8DD"/>
    <w:rsid w:val="33671BAF"/>
    <w:rsid w:val="336D7A05"/>
    <w:rsid w:val="336F1896"/>
    <w:rsid w:val="3372AD10"/>
    <w:rsid w:val="33736066"/>
    <w:rsid w:val="337C4B79"/>
    <w:rsid w:val="337F6B36"/>
    <w:rsid w:val="3381950D"/>
    <w:rsid w:val="33828F70"/>
    <w:rsid w:val="33839A23"/>
    <w:rsid w:val="3385C1C0"/>
    <w:rsid w:val="3387BCF4"/>
    <w:rsid w:val="338954A2"/>
    <w:rsid w:val="338C475B"/>
    <w:rsid w:val="339486B4"/>
    <w:rsid w:val="3394A192"/>
    <w:rsid w:val="3396365A"/>
    <w:rsid w:val="339769A1"/>
    <w:rsid w:val="339C4776"/>
    <w:rsid w:val="339C7C43"/>
    <w:rsid w:val="339E2B8E"/>
    <w:rsid w:val="339EF7C7"/>
    <w:rsid w:val="33A3AD95"/>
    <w:rsid w:val="33A44869"/>
    <w:rsid w:val="33A4AA12"/>
    <w:rsid w:val="33A6BA6C"/>
    <w:rsid w:val="33A70770"/>
    <w:rsid w:val="33A7ACE5"/>
    <w:rsid w:val="33A841F8"/>
    <w:rsid w:val="33B1FE58"/>
    <w:rsid w:val="33B4EDB8"/>
    <w:rsid w:val="33B5B47A"/>
    <w:rsid w:val="33B77461"/>
    <w:rsid w:val="33B996AD"/>
    <w:rsid w:val="33C39BF5"/>
    <w:rsid w:val="33C4A275"/>
    <w:rsid w:val="33C9DD9C"/>
    <w:rsid w:val="33CB0B69"/>
    <w:rsid w:val="33CC69A1"/>
    <w:rsid w:val="33D8EE20"/>
    <w:rsid w:val="33DAB9BB"/>
    <w:rsid w:val="33E130C2"/>
    <w:rsid w:val="33E4E19E"/>
    <w:rsid w:val="33E74F90"/>
    <w:rsid w:val="33EB06CF"/>
    <w:rsid w:val="33EB2B3C"/>
    <w:rsid w:val="33EC6D65"/>
    <w:rsid w:val="33F53E1B"/>
    <w:rsid w:val="33F57D0B"/>
    <w:rsid w:val="33F5F866"/>
    <w:rsid w:val="33FC6E92"/>
    <w:rsid w:val="3405479D"/>
    <w:rsid w:val="341035C5"/>
    <w:rsid w:val="3417847C"/>
    <w:rsid w:val="34188117"/>
    <w:rsid w:val="3421A76E"/>
    <w:rsid w:val="342225B1"/>
    <w:rsid w:val="342CB57A"/>
    <w:rsid w:val="342D5F44"/>
    <w:rsid w:val="342DEC21"/>
    <w:rsid w:val="34335C66"/>
    <w:rsid w:val="34336082"/>
    <w:rsid w:val="34373704"/>
    <w:rsid w:val="34373A57"/>
    <w:rsid w:val="343824F8"/>
    <w:rsid w:val="343FED04"/>
    <w:rsid w:val="34404FCF"/>
    <w:rsid w:val="344085C5"/>
    <w:rsid w:val="3440CF3A"/>
    <w:rsid w:val="3447A7D6"/>
    <w:rsid w:val="344A37F6"/>
    <w:rsid w:val="345265FE"/>
    <w:rsid w:val="34527966"/>
    <w:rsid w:val="345476AE"/>
    <w:rsid w:val="345509F3"/>
    <w:rsid w:val="34595D7E"/>
    <w:rsid w:val="345DA3EB"/>
    <w:rsid w:val="3460163B"/>
    <w:rsid w:val="3464DE00"/>
    <w:rsid w:val="346B03E3"/>
    <w:rsid w:val="3473D897"/>
    <w:rsid w:val="34798844"/>
    <w:rsid w:val="347C20D3"/>
    <w:rsid w:val="347C75BB"/>
    <w:rsid w:val="348A0F75"/>
    <w:rsid w:val="348AB5B6"/>
    <w:rsid w:val="348EB343"/>
    <w:rsid w:val="348FBE91"/>
    <w:rsid w:val="3494B90B"/>
    <w:rsid w:val="3494E306"/>
    <w:rsid w:val="34968D39"/>
    <w:rsid w:val="349B9925"/>
    <w:rsid w:val="349D80EC"/>
    <w:rsid w:val="349D8B18"/>
    <w:rsid w:val="34A826B5"/>
    <w:rsid w:val="34AC941A"/>
    <w:rsid w:val="34B10C97"/>
    <w:rsid w:val="34B1384F"/>
    <w:rsid w:val="34B4063D"/>
    <w:rsid w:val="34B5EB8D"/>
    <w:rsid w:val="34B9E0D6"/>
    <w:rsid w:val="34BC0AFF"/>
    <w:rsid w:val="34C1AB1A"/>
    <w:rsid w:val="34C4FE30"/>
    <w:rsid w:val="34D159A8"/>
    <w:rsid w:val="34D18B3F"/>
    <w:rsid w:val="34DAA99B"/>
    <w:rsid w:val="34E124F2"/>
    <w:rsid w:val="34E1763C"/>
    <w:rsid w:val="34E3133E"/>
    <w:rsid w:val="34E7A510"/>
    <w:rsid w:val="34EC07FB"/>
    <w:rsid w:val="34EC2EA8"/>
    <w:rsid w:val="34FE46B5"/>
    <w:rsid w:val="34FEB41F"/>
    <w:rsid w:val="350298B6"/>
    <w:rsid w:val="3503BF67"/>
    <w:rsid w:val="35071CF2"/>
    <w:rsid w:val="3511A0F5"/>
    <w:rsid w:val="3513256D"/>
    <w:rsid w:val="351B991F"/>
    <w:rsid w:val="3522B1C0"/>
    <w:rsid w:val="35249612"/>
    <w:rsid w:val="35250DA5"/>
    <w:rsid w:val="3525E430"/>
    <w:rsid w:val="352BB5EA"/>
    <w:rsid w:val="352BBECC"/>
    <w:rsid w:val="352CC3FA"/>
    <w:rsid w:val="352ED2BD"/>
    <w:rsid w:val="3531F7DB"/>
    <w:rsid w:val="35324417"/>
    <w:rsid w:val="35359523"/>
    <w:rsid w:val="353CC6A7"/>
    <w:rsid w:val="354C96B9"/>
    <w:rsid w:val="3554931A"/>
    <w:rsid w:val="35585D58"/>
    <w:rsid w:val="355B1D7E"/>
    <w:rsid w:val="355BCD96"/>
    <w:rsid w:val="3567BA53"/>
    <w:rsid w:val="356A45D9"/>
    <w:rsid w:val="356D07E9"/>
    <w:rsid w:val="356F7095"/>
    <w:rsid w:val="35741D15"/>
    <w:rsid w:val="35754146"/>
    <w:rsid w:val="3577F76B"/>
    <w:rsid w:val="3581CE0B"/>
    <w:rsid w:val="3586FC39"/>
    <w:rsid w:val="35902965"/>
    <w:rsid w:val="35923B66"/>
    <w:rsid w:val="359F6A8E"/>
    <w:rsid w:val="35A1496E"/>
    <w:rsid w:val="35A69ABE"/>
    <w:rsid w:val="35A708AB"/>
    <w:rsid w:val="35AB2196"/>
    <w:rsid w:val="35B19CD7"/>
    <w:rsid w:val="35B4DEB5"/>
    <w:rsid w:val="35B59A6A"/>
    <w:rsid w:val="35B9AE61"/>
    <w:rsid w:val="35BCC862"/>
    <w:rsid w:val="35BD4A63"/>
    <w:rsid w:val="35BE60B1"/>
    <w:rsid w:val="35BEC591"/>
    <w:rsid w:val="35C0D63D"/>
    <w:rsid w:val="35C368B2"/>
    <w:rsid w:val="35C5537A"/>
    <w:rsid w:val="35CB5C91"/>
    <w:rsid w:val="35CCE5D7"/>
    <w:rsid w:val="35D3D513"/>
    <w:rsid w:val="35D7DB70"/>
    <w:rsid w:val="35DBAD92"/>
    <w:rsid w:val="35DC0E77"/>
    <w:rsid w:val="35DF5124"/>
    <w:rsid w:val="35DFD1C8"/>
    <w:rsid w:val="35E04E91"/>
    <w:rsid w:val="35E68332"/>
    <w:rsid w:val="35E83BC5"/>
    <w:rsid w:val="35E90D4A"/>
    <w:rsid w:val="35F802A9"/>
    <w:rsid w:val="35F90545"/>
    <w:rsid w:val="35FC79A9"/>
    <w:rsid w:val="35FE15E1"/>
    <w:rsid w:val="36005870"/>
    <w:rsid w:val="3605B3C3"/>
    <w:rsid w:val="3607143E"/>
    <w:rsid w:val="3609F308"/>
    <w:rsid w:val="360F5CCC"/>
    <w:rsid w:val="361028EA"/>
    <w:rsid w:val="36120332"/>
    <w:rsid w:val="3614BACC"/>
    <w:rsid w:val="3615628C"/>
    <w:rsid w:val="36187237"/>
    <w:rsid w:val="3620F39A"/>
    <w:rsid w:val="362BEB03"/>
    <w:rsid w:val="362DDA80"/>
    <w:rsid w:val="36310066"/>
    <w:rsid w:val="3637CCC3"/>
    <w:rsid w:val="363B2865"/>
    <w:rsid w:val="3640DC2F"/>
    <w:rsid w:val="3642C282"/>
    <w:rsid w:val="364328B7"/>
    <w:rsid w:val="36462ABE"/>
    <w:rsid w:val="364AAC24"/>
    <w:rsid w:val="3650706D"/>
    <w:rsid w:val="36531DDE"/>
    <w:rsid w:val="365754AB"/>
    <w:rsid w:val="36579206"/>
    <w:rsid w:val="3659D43B"/>
    <w:rsid w:val="365A1E79"/>
    <w:rsid w:val="365A2541"/>
    <w:rsid w:val="365F2568"/>
    <w:rsid w:val="36678FE7"/>
    <w:rsid w:val="366D1ED3"/>
    <w:rsid w:val="3676C79D"/>
    <w:rsid w:val="3681C795"/>
    <w:rsid w:val="3683348C"/>
    <w:rsid w:val="36888394"/>
    <w:rsid w:val="368B2C35"/>
    <w:rsid w:val="3692171E"/>
    <w:rsid w:val="3693EC39"/>
    <w:rsid w:val="3694B7B4"/>
    <w:rsid w:val="3695E264"/>
    <w:rsid w:val="3698C2FE"/>
    <w:rsid w:val="36A85B84"/>
    <w:rsid w:val="36AC9755"/>
    <w:rsid w:val="36B08AA3"/>
    <w:rsid w:val="36B35066"/>
    <w:rsid w:val="36B7980A"/>
    <w:rsid w:val="36B9181D"/>
    <w:rsid w:val="36B965E4"/>
    <w:rsid w:val="36BF21F7"/>
    <w:rsid w:val="36C25420"/>
    <w:rsid w:val="36C84A2C"/>
    <w:rsid w:val="36D17E73"/>
    <w:rsid w:val="36D24AF5"/>
    <w:rsid w:val="36D62604"/>
    <w:rsid w:val="36DC130E"/>
    <w:rsid w:val="36DD305F"/>
    <w:rsid w:val="36DEA3A7"/>
    <w:rsid w:val="36E5FB55"/>
    <w:rsid w:val="36F67509"/>
    <w:rsid w:val="36FA6759"/>
    <w:rsid w:val="37027DCB"/>
    <w:rsid w:val="370577C2"/>
    <w:rsid w:val="37057C90"/>
    <w:rsid w:val="3705DAE5"/>
    <w:rsid w:val="37089123"/>
    <w:rsid w:val="370B58FD"/>
    <w:rsid w:val="370E10F6"/>
    <w:rsid w:val="370FA4D6"/>
    <w:rsid w:val="37161590"/>
    <w:rsid w:val="37174AF5"/>
    <w:rsid w:val="3718035A"/>
    <w:rsid w:val="371867B8"/>
    <w:rsid w:val="37195C76"/>
    <w:rsid w:val="371CFB59"/>
    <w:rsid w:val="371F062E"/>
    <w:rsid w:val="371F24F4"/>
    <w:rsid w:val="3725115A"/>
    <w:rsid w:val="372738B6"/>
    <w:rsid w:val="372FB027"/>
    <w:rsid w:val="3732B5A2"/>
    <w:rsid w:val="373B4486"/>
    <w:rsid w:val="3743BF4F"/>
    <w:rsid w:val="3744C370"/>
    <w:rsid w:val="374B3F89"/>
    <w:rsid w:val="374B70CF"/>
    <w:rsid w:val="37580F11"/>
    <w:rsid w:val="375E63BD"/>
    <w:rsid w:val="37608700"/>
    <w:rsid w:val="37643542"/>
    <w:rsid w:val="37653480"/>
    <w:rsid w:val="3765E26D"/>
    <w:rsid w:val="376F3978"/>
    <w:rsid w:val="37707DFD"/>
    <w:rsid w:val="3773C5C6"/>
    <w:rsid w:val="377B07DA"/>
    <w:rsid w:val="3780AB42"/>
    <w:rsid w:val="37872016"/>
    <w:rsid w:val="3788AEF2"/>
    <w:rsid w:val="378FE8FD"/>
    <w:rsid w:val="379AE942"/>
    <w:rsid w:val="379AEB15"/>
    <w:rsid w:val="379D90AB"/>
    <w:rsid w:val="379EFA56"/>
    <w:rsid w:val="37A032DE"/>
    <w:rsid w:val="37A38A90"/>
    <w:rsid w:val="37A64C55"/>
    <w:rsid w:val="37AE8F4F"/>
    <w:rsid w:val="37BC3071"/>
    <w:rsid w:val="37BE26E9"/>
    <w:rsid w:val="37BF3FC7"/>
    <w:rsid w:val="37C059CF"/>
    <w:rsid w:val="37D35A3D"/>
    <w:rsid w:val="37D7DD45"/>
    <w:rsid w:val="37D91A56"/>
    <w:rsid w:val="37DA3D7D"/>
    <w:rsid w:val="37DB55D7"/>
    <w:rsid w:val="37DD3590"/>
    <w:rsid w:val="37DEA77F"/>
    <w:rsid w:val="37E6A8F6"/>
    <w:rsid w:val="37EB9210"/>
    <w:rsid w:val="37FF36F5"/>
    <w:rsid w:val="380642E6"/>
    <w:rsid w:val="3806BECB"/>
    <w:rsid w:val="380937D4"/>
    <w:rsid w:val="38178A61"/>
    <w:rsid w:val="3818B647"/>
    <w:rsid w:val="381B1855"/>
    <w:rsid w:val="381B8A1F"/>
    <w:rsid w:val="381FDB28"/>
    <w:rsid w:val="382A433F"/>
    <w:rsid w:val="382EDB96"/>
    <w:rsid w:val="3830B055"/>
    <w:rsid w:val="3831C97C"/>
    <w:rsid w:val="38334301"/>
    <w:rsid w:val="38368B28"/>
    <w:rsid w:val="3836EE3C"/>
    <w:rsid w:val="38388932"/>
    <w:rsid w:val="383AA236"/>
    <w:rsid w:val="38408A40"/>
    <w:rsid w:val="3850DD58"/>
    <w:rsid w:val="38525C2B"/>
    <w:rsid w:val="38543AE3"/>
    <w:rsid w:val="38547DB9"/>
    <w:rsid w:val="3855A71B"/>
    <w:rsid w:val="385BC2C0"/>
    <w:rsid w:val="385D9718"/>
    <w:rsid w:val="385EDDF6"/>
    <w:rsid w:val="3864F6D4"/>
    <w:rsid w:val="386599EA"/>
    <w:rsid w:val="3866F530"/>
    <w:rsid w:val="3868483F"/>
    <w:rsid w:val="386C822E"/>
    <w:rsid w:val="38736A47"/>
    <w:rsid w:val="3876572C"/>
    <w:rsid w:val="387AFF70"/>
    <w:rsid w:val="387C2DF8"/>
    <w:rsid w:val="388A176F"/>
    <w:rsid w:val="388AF8BD"/>
    <w:rsid w:val="388B237A"/>
    <w:rsid w:val="388B9ABE"/>
    <w:rsid w:val="388D2035"/>
    <w:rsid w:val="388E6DD4"/>
    <w:rsid w:val="3891AD71"/>
    <w:rsid w:val="38948B37"/>
    <w:rsid w:val="38959300"/>
    <w:rsid w:val="3897C4CA"/>
    <w:rsid w:val="389C8DA0"/>
    <w:rsid w:val="389D7A70"/>
    <w:rsid w:val="389F9892"/>
    <w:rsid w:val="38A16994"/>
    <w:rsid w:val="38B16807"/>
    <w:rsid w:val="38B2FCE8"/>
    <w:rsid w:val="38BEA8AE"/>
    <w:rsid w:val="38C48EEB"/>
    <w:rsid w:val="38C91D6A"/>
    <w:rsid w:val="38D3BE73"/>
    <w:rsid w:val="38D5EDC8"/>
    <w:rsid w:val="38DBAF7D"/>
    <w:rsid w:val="38DBE1CB"/>
    <w:rsid w:val="38E2546C"/>
    <w:rsid w:val="38E2906A"/>
    <w:rsid w:val="38E94337"/>
    <w:rsid w:val="38EA1945"/>
    <w:rsid w:val="38EA574E"/>
    <w:rsid w:val="38F0F7B4"/>
    <w:rsid w:val="38F7B023"/>
    <w:rsid w:val="38F847D0"/>
    <w:rsid w:val="38F8D457"/>
    <w:rsid w:val="39018FA4"/>
    <w:rsid w:val="39023698"/>
    <w:rsid w:val="39072EB0"/>
    <w:rsid w:val="390A519F"/>
    <w:rsid w:val="39134DBB"/>
    <w:rsid w:val="39153EA7"/>
    <w:rsid w:val="3916C6A8"/>
    <w:rsid w:val="391B0590"/>
    <w:rsid w:val="3933964E"/>
    <w:rsid w:val="3934494D"/>
    <w:rsid w:val="393A20C6"/>
    <w:rsid w:val="393F4A4A"/>
    <w:rsid w:val="3940F7A2"/>
    <w:rsid w:val="3948D170"/>
    <w:rsid w:val="39499217"/>
    <w:rsid w:val="394DCE80"/>
    <w:rsid w:val="3954126C"/>
    <w:rsid w:val="395611E9"/>
    <w:rsid w:val="395B9B7C"/>
    <w:rsid w:val="39653F01"/>
    <w:rsid w:val="396AE207"/>
    <w:rsid w:val="396C8A16"/>
    <w:rsid w:val="3972319B"/>
    <w:rsid w:val="3976411C"/>
    <w:rsid w:val="3977BD39"/>
    <w:rsid w:val="39786AC4"/>
    <w:rsid w:val="39786D5B"/>
    <w:rsid w:val="397AFF81"/>
    <w:rsid w:val="397B37F4"/>
    <w:rsid w:val="398B28BA"/>
    <w:rsid w:val="398B70E9"/>
    <w:rsid w:val="39900753"/>
    <w:rsid w:val="39958EF0"/>
    <w:rsid w:val="39998400"/>
    <w:rsid w:val="399B0C47"/>
    <w:rsid w:val="399C8087"/>
    <w:rsid w:val="399E8719"/>
    <w:rsid w:val="399EA331"/>
    <w:rsid w:val="39A40266"/>
    <w:rsid w:val="39A42BD5"/>
    <w:rsid w:val="39AB33F1"/>
    <w:rsid w:val="39AC9DA5"/>
    <w:rsid w:val="39ADA7F2"/>
    <w:rsid w:val="39B2F7E5"/>
    <w:rsid w:val="39B6537C"/>
    <w:rsid w:val="39B75336"/>
    <w:rsid w:val="39BC5F1F"/>
    <w:rsid w:val="39C71B7C"/>
    <w:rsid w:val="39CA596A"/>
    <w:rsid w:val="39CE7EF2"/>
    <w:rsid w:val="39D4271C"/>
    <w:rsid w:val="39DA3B12"/>
    <w:rsid w:val="39DCF45A"/>
    <w:rsid w:val="39DDB148"/>
    <w:rsid w:val="39E2DC8E"/>
    <w:rsid w:val="39E459F5"/>
    <w:rsid w:val="39E6B4E2"/>
    <w:rsid w:val="39E6C752"/>
    <w:rsid w:val="39E73ECC"/>
    <w:rsid w:val="39EBCA97"/>
    <w:rsid w:val="39F28531"/>
    <w:rsid w:val="39FC9465"/>
    <w:rsid w:val="3A0059CA"/>
    <w:rsid w:val="3A075A36"/>
    <w:rsid w:val="3A0A995C"/>
    <w:rsid w:val="3A13A2D5"/>
    <w:rsid w:val="3A17029F"/>
    <w:rsid w:val="3A21B1FA"/>
    <w:rsid w:val="3A222A08"/>
    <w:rsid w:val="3A2A2726"/>
    <w:rsid w:val="3A303193"/>
    <w:rsid w:val="3A39A1A3"/>
    <w:rsid w:val="3A3D99F9"/>
    <w:rsid w:val="3A3F8E31"/>
    <w:rsid w:val="3A433150"/>
    <w:rsid w:val="3A48E69E"/>
    <w:rsid w:val="3A4CD118"/>
    <w:rsid w:val="3A4FD809"/>
    <w:rsid w:val="3A505781"/>
    <w:rsid w:val="3A543FE7"/>
    <w:rsid w:val="3A546E72"/>
    <w:rsid w:val="3A579157"/>
    <w:rsid w:val="3A57F621"/>
    <w:rsid w:val="3A59EACF"/>
    <w:rsid w:val="3A6AD925"/>
    <w:rsid w:val="3A6BF1D7"/>
    <w:rsid w:val="3A6D9E5D"/>
    <w:rsid w:val="3A6DCC24"/>
    <w:rsid w:val="3A708494"/>
    <w:rsid w:val="3A70C539"/>
    <w:rsid w:val="3A7156D5"/>
    <w:rsid w:val="3A765519"/>
    <w:rsid w:val="3A8330E9"/>
    <w:rsid w:val="3A88508D"/>
    <w:rsid w:val="3A889CEA"/>
    <w:rsid w:val="3A89E2B6"/>
    <w:rsid w:val="3A8BE0AD"/>
    <w:rsid w:val="3A934966"/>
    <w:rsid w:val="3A97B768"/>
    <w:rsid w:val="3AA3537D"/>
    <w:rsid w:val="3AA41D78"/>
    <w:rsid w:val="3AA8276D"/>
    <w:rsid w:val="3AB0611D"/>
    <w:rsid w:val="3AB08BAE"/>
    <w:rsid w:val="3AB4A7B6"/>
    <w:rsid w:val="3AB638F2"/>
    <w:rsid w:val="3AB7BBCB"/>
    <w:rsid w:val="3ABBEA1F"/>
    <w:rsid w:val="3ABD1F91"/>
    <w:rsid w:val="3ACEA63D"/>
    <w:rsid w:val="3AD3B0B3"/>
    <w:rsid w:val="3AD7666A"/>
    <w:rsid w:val="3ADB82EA"/>
    <w:rsid w:val="3ADE70CC"/>
    <w:rsid w:val="3AE05C86"/>
    <w:rsid w:val="3AE3AD01"/>
    <w:rsid w:val="3AE7A757"/>
    <w:rsid w:val="3AE9D6A5"/>
    <w:rsid w:val="3AEB438B"/>
    <w:rsid w:val="3AEF122E"/>
    <w:rsid w:val="3AF18851"/>
    <w:rsid w:val="3AF1ABC9"/>
    <w:rsid w:val="3AF6A4B9"/>
    <w:rsid w:val="3AF7BDA0"/>
    <w:rsid w:val="3AFFDE10"/>
    <w:rsid w:val="3B01D8EB"/>
    <w:rsid w:val="3B046A63"/>
    <w:rsid w:val="3B08B52A"/>
    <w:rsid w:val="3B0F3F0A"/>
    <w:rsid w:val="3B10CA49"/>
    <w:rsid w:val="3B1DE93B"/>
    <w:rsid w:val="3B2053B0"/>
    <w:rsid w:val="3B27150E"/>
    <w:rsid w:val="3B2AD0E4"/>
    <w:rsid w:val="3B336BC2"/>
    <w:rsid w:val="3B3454A9"/>
    <w:rsid w:val="3B358BED"/>
    <w:rsid w:val="3B3ACB38"/>
    <w:rsid w:val="3B3CE04C"/>
    <w:rsid w:val="3B3DDACB"/>
    <w:rsid w:val="3B3E5F39"/>
    <w:rsid w:val="3B408273"/>
    <w:rsid w:val="3B418F04"/>
    <w:rsid w:val="3B48DD90"/>
    <w:rsid w:val="3B5540E7"/>
    <w:rsid w:val="3B5D0FB9"/>
    <w:rsid w:val="3B5E944B"/>
    <w:rsid w:val="3B5F0762"/>
    <w:rsid w:val="3B611D63"/>
    <w:rsid w:val="3B61ECC9"/>
    <w:rsid w:val="3B731BBF"/>
    <w:rsid w:val="3B7837EA"/>
    <w:rsid w:val="3B797113"/>
    <w:rsid w:val="3B832279"/>
    <w:rsid w:val="3B866655"/>
    <w:rsid w:val="3B8D4160"/>
    <w:rsid w:val="3B93336C"/>
    <w:rsid w:val="3B967C66"/>
    <w:rsid w:val="3BA16575"/>
    <w:rsid w:val="3BA2D9CF"/>
    <w:rsid w:val="3BA80857"/>
    <w:rsid w:val="3BA9AB13"/>
    <w:rsid w:val="3BAE8919"/>
    <w:rsid w:val="3BB092CD"/>
    <w:rsid w:val="3BB09C89"/>
    <w:rsid w:val="3BB49748"/>
    <w:rsid w:val="3BB8ACDA"/>
    <w:rsid w:val="3BB96B1A"/>
    <w:rsid w:val="3BBBD3B8"/>
    <w:rsid w:val="3BBE0575"/>
    <w:rsid w:val="3BC12DDE"/>
    <w:rsid w:val="3BC7481E"/>
    <w:rsid w:val="3BCBB8F3"/>
    <w:rsid w:val="3BCC6274"/>
    <w:rsid w:val="3BD1F78B"/>
    <w:rsid w:val="3BD2A645"/>
    <w:rsid w:val="3BD85F70"/>
    <w:rsid w:val="3BD9A354"/>
    <w:rsid w:val="3BDED308"/>
    <w:rsid w:val="3BE12F00"/>
    <w:rsid w:val="3BE286CA"/>
    <w:rsid w:val="3BE2B6D0"/>
    <w:rsid w:val="3BE67018"/>
    <w:rsid w:val="3BEBFD5E"/>
    <w:rsid w:val="3BF33C05"/>
    <w:rsid w:val="3BFD6A05"/>
    <w:rsid w:val="3C034947"/>
    <w:rsid w:val="3C081962"/>
    <w:rsid w:val="3C084C50"/>
    <w:rsid w:val="3C08FE4F"/>
    <w:rsid w:val="3C0C15D6"/>
    <w:rsid w:val="3C0DFCA7"/>
    <w:rsid w:val="3C0E8448"/>
    <w:rsid w:val="3C14C6C6"/>
    <w:rsid w:val="3C160DCB"/>
    <w:rsid w:val="3C1AFFC3"/>
    <w:rsid w:val="3C1BF387"/>
    <w:rsid w:val="3C1D3D23"/>
    <w:rsid w:val="3C1DD9AB"/>
    <w:rsid w:val="3C247E3F"/>
    <w:rsid w:val="3C24B19F"/>
    <w:rsid w:val="3C297C19"/>
    <w:rsid w:val="3C2B5020"/>
    <w:rsid w:val="3C35D354"/>
    <w:rsid w:val="3C360B78"/>
    <w:rsid w:val="3C36C954"/>
    <w:rsid w:val="3C3A0631"/>
    <w:rsid w:val="3C440F59"/>
    <w:rsid w:val="3C441DF6"/>
    <w:rsid w:val="3C451D3B"/>
    <w:rsid w:val="3C451D8B"/>
    <w:rsid w:val="3C4B59C2"/>
    <w:rsid w:val="3C4EACA9"/>
    <w:rsid w:val="3C526C11"/>
    <w:rsid w:val="3C5500C4"/>
    <w:rsid w:val="3C5A89F6"/>
    <w:rsid w:val="3C5A978D"/>
    <w:rsid w:val="3C5DBDC5"/>
    <w:rsid w:val="3C66ABE8"/>
    <w:rsid w:val="3C708B9B"/>
    <w:rsid w:val="3C7663A4"/>
    <w:rsid w:val="3C7CB19A"/>
    <w:rsid w:val="3C81C3BA"/>
    <w:rsid w:val="3C820072"/>
    <w:rsid w:val="3C8C7BDC"/>
    <w:rsid w:val="3C8CC353"/>
    <w:rsid w:val="3C99DD23"/>
    <w:rsid w:val="3C9D00BA"/>
    <w:rsid w:val="3C9F2D10"/>
    <w:rsid w:val="3CA2E38B"/>
    <w:rsid w:val="3CA66651"/>
    <w:rsid w:val="3CAAA73C"/>
    <w:rsid w:val="3CAC5F6D"/>
    <w:rsid w:val="3CAD9333"/>
    <w:rsid w:val="3CAF1B03"/>
    <w:rsid w:val="3CB0935E"/>
    <w:rsid w:val="3CB413A4"/>
    <w:rsid w:val="3CBCEBD4"/>
    <w:rsid w:val="3CC0866D"/>
    <w:rsid w:val="3CC1F97B"/>
    <w:rsid w:val="3CC6A4CD"/>
    <w:rsid w:val="3CC8C3C5"/>
    <w:rsid w:val="3CD1901E"/>
    <w:rsid w:val="3CD25A99"/>
    <w:rsid w:val="3CD60679"/>
    <w:rsid w:val="3CDA4190"/>
    <w:rsid w:val="3CDB2B34"/>
    <w:rsid w:val="3CE11F75"/>
    <w:rsid w:val="3CF5780C"/>
    <w:rsid w:val="3CF9C90D"/>
    <w:rsid w:val="3D06F6E2"/>
    <w:rsid w:val="3D070AE9"/>
    <w:rsid w:val="3D076DA3"/>
    <w:rsid w:val="3D0A4294"/>
    <w:rsid w:val="3D0E4549"/>
    <w:rsid w:val="3D1052D5"/>
    <w:rsid w:val="3D10C7C1"/>
    <w:rsid w:val="3D15428D"/>
    <w:rsid w:val="3D1DD098"/>
    <w:rsid w:val="3D209358"/>
    <w:rsid w:val="3D210AAB"/>
    <w:rsid w:val="3D234678"/>
    <w:rsid w:val="3D24C753"/>
    <w:rsid w:val="3D258531"/>
    <w:rsid w:val="3D2CF029"/>
    <w:rsid w:val="3D2D213F"/>
    <w:rsid w:val="3D2F87AC"/>
    <w:rsid w:val="3D30BDC3"/>
    <w:rsid w:val="3D3940D3"/>
    <w:rsid w:val="3D434100"/>
    <w:rsid w:val="3D438DE9"/>
    <w:rsid w:val="3D44F49C"/>
    <w:rsid w:val="3D56BD9C"/>
    <w:rsid w:val="3D582136"/>
    <w:rsid w:val="3D5D090F"/>
    <w:rsid w:val="3D5F0126"/>
    <w:rsid w:val="3D619B26"/>
    <w:rsid w:val="3D623720"/>
    <w:rsid w:val="3D78E1EC"/>
    <w:rsid w:val="3D8378F2"/>
    <w:rsid w:val="3D85EDBC"/>
    <w:rsid w:val="3D89511F"/>
    <w:rsid w:val="3D8E55F0"/>
    <w:rsid w:val="3D916195"/>
    <w:rsid w:val="3D971DF4"/>
    <w:rsid w:val="3D9DCA46"/>
    <w:rsid w:val="3DA49121"/>
    <w:rsid w:val="3DA70458"/>
    <w:rsid w:val="3DAB7D7A"/>
    <w:rsid w:val="3DACDB89"/>
    <w:rsid w:val="3DB4DC8D"/>
    <w:rsid w:val="3DB6376D"/>
    <w:rsid w:val="3DB989BB"/>
    <w:rsid w:val="3DBF2974"/>
    <w:rsid w:val="3DC1C1B7"/>
    <w:rsid w:val="3DC22419"/>
    <w:rsid w:val="3DC53D9C"/>
    <w:rsid w:val="3DC8EF83"/>
    <w:rsid w:val="3DCE18FC"/>
    <w:rsid w:val="3DD0F8BD"/>
    <w:rsid w:val="3DD39BC5"/>
    <w:rsid w:val="3DD3EF39"/>
    <w:rsid w:val="3DD47AD4"/>
    <w:rsid w:val="3DD9A62F"/>
    <w:rsid w:val="3DDAD310"/>
    <w:rsid w:val="3DDD0FDE"/>
    <w:rsid w:val="3DDF5411"/>
    <w:rsid w:val="3DE13103"/>
    <w:rsid w:val="3DE4F304"/>
    <w:rsid w:val="3DE6D0A4"/>
    <w:rsid w:val="3DE977F0"/>
    <w:rsid w:val="3DF3FEF1"/>
    <w:rsid w:val="3DF9537D"/>
    <w:rsid w:val="3DFFF3E8"/>
    <w:rsid w:val="3E062A6F"/>
    <w:rsid w:val="3E0C356E"/>
    <w:rsid w:val="3E1756D7"/>
    <w:rsid w:val="3E177646"/>
    <w:rsid w:val="3E19165F"/>
    <w:rsid w:val="3E1B751E"/>
    <w:rsid w:val="3E1C183F"/>
    <w:rsid w:val="3E1C322F"/>
    <w:rsid w:val="3E2028BF"/>
    <w:rsid w:val="3E2313FA"/>
    <w:rsid w:val="3E2857EF"/>
    <w:rsid w:val="3E2AACE8"/>
    <w:rsid w:val="3E2B44CD"/>
    <w:rsid w:val="3E30F0D6"/>
    <w:rsid w:val="3E3299E0"/>
    <w:rsid w:val="3E32FB14"/>
    <w:rsid w:val="3E3599E3"/>
    <w:rsid w:val="3E38AE21"/>
    <w:rsid w:val="3E38C4C1"/>
    <w:rsid w:val="3E3C4E38"/>
    <w:rsid w:val="3E3DE7A9"/>
    <w:rsid w:val="3E434032"/>
    <w:rsid w:val="3E436487"/>
    <w:rsid w:val="3E48ED5C"/>
    <w:rsid w:val="3E526B6A"/>
    <w:rsid w:val="3E53FB17"/>
    <w:rsid w:val="3E5622B1"/>
    <w:rsid w:val="3E673BC5"/>
    <w:rsid w:val="3E7272AB"/>
    <w:rsid w:val="3E7436B4"/>
    <w:rsid w:val="3E7579AE"/>
    <w:rsid w:val="3E75B2C7"/>
    <w:rsid w:val="3E7A4759"/>
    <w:rsid w:val="3E7A60EB"/>
    <w:rsid w:val="3E7AE595"/>
    <w:rsid w:val="3E7C6365"/>
    <w:rsid w:val="3E7D8219"/>
    <w:rsid w:val="3E808D2B"/>
    <w:rsid w:val="3E8A2B0A"/>
    <w:rsid w:val="3E8AE0D6"/>
    <w:rsid w:val="3E999EE1"/>
    <w:rsid w:val="3E9B3998"/>
    <w:rsid w:val="3EA21AFE"/>
    <w:rsid w:val="3EA9E9C0"/>
    <w:rsid w:val="3EA9ED0C"/>
    <w:rsid w:val="3EACA66F"/>
    <w:rsid w:val="3EAF5D8C"/>
    <w:rsid w:val="3EB16941"/>
    <w:rsid w:val="3EB8BD4E"/>
    <w:rsid w:val="3EB99F65"/>
    <w:rsid w:val="3EBB8AB1"/>
    <w:rsid w:val="3EC07BBA"/>
    <w:rsid w:val="3EC3E67D"/>
    <w:rsid w:val="3EC49E52"/>
    <w:rsid w:val="3EC6F23C"/>
    <w:rsid w:val="3ECEC792"/>
    <w:rsid w:val="3ED311AA"/>
    <w:rsid w:val="3ED54B93"/>
    <w:rsid w:val="3ED7260F"/>
    <w:rsid w:val="3EDC76EF"/>
    <w:rsid w:val="3EE0CC08"/>
    <w:rsid w:val="3EE719AC"/>
    <w:rsid w:val="3EE7AE95"/>
    <w:rsid w:val="3EE9B11F"/>
    <w:rsid w:val="3EF0DAF1"/>
    <w:rsid w:val="3EF173C4"/>
    <w:rsid w:val="3F0143CD"/>
    <w:rsid w:val="3F04C723"/>
    <w:rsid w:val="3F0EDDDE"/>
    <w:rsid w:val="3F10AF3D"/>
    <w:rsid w:val="3F113939"/>
    <w:rsid w:val="3F1742BB"/>
    <w:rsid w:val="3F216BDF"/>
    <w:rsid w:val="3F241521"/>
    <w:rsid w:val="3F24688D"/>
    <w:rsid w:val="3F24A85D"/>
    <w:rsid w:val="3F3551B7"/>
    <w:rsid w:val="3F358E55"/>
    <w:rsid w:val="3F3C805B"/>
    <w:rsid w:val="3F3CFA19"/>
    <w:rsid w:val="3F3EDF97"/>
    <w:rsid w:val="3F3F8530"/>
    <w:rsid w:val="3F3FFF4C"/>
    <w:rsid w:val="3F43C984"/>
    <w:rsid w:val="3F475007"/>
    <w:rsid w:val="3F4BB36C"/>
    <w:rsid w:val="3F4D0161"/>
    <w:rsid w:val="3F4E1DCD"/>
    <w:rsid w:val="3F532A71"/>
    <w:rsid w:val="3F5774B2"/>
    <w:rsid w:val="3F5EC0D3"/>
    <w:rsid w:val="3F60DA19"/>
    <w:rsid w:val="3F62C940"/>
    <w:rsid w:val="3F6A87DE"/>
    <w:rsid w:val="3F6B34A2"/>
    <w:rsid w:val="3F6CC36E"/>
    <w:rsid w:val="3F6E382C"/>
    <w:rsid w:val="3F6F42A9"/>
    <w:rsid w:val="3F755417"/>
    <w:rsid w:val="3F7BC1E5"/>
    <w:rsid w:val="3F8337B2"/>
    <w:rsid w:val="3F87F9A9"/>
    <w:rsid w:val="3F8A198A"/>
    <w:rsid w:val="3F8D96EC"/>
    <w:rsid w:val="3F959BF0"/>
    <w:rsid w:val="3F97DEC9"/>
    <w:rsid w:val="3FA374B6"/>
    <w:rsid w:val="3FAEBF75"/>
    <w:rsid w:val="3FB0852A"/>
    <w:rsid w:val="3FB0F128"/>
    <w:rsid w:val="3FB2DE77"/>
    <w:rsid w:val="3FB49F99"/>
    <w:rsid w:val="3FB59882"/>
    <w:rsid w:val="3FB8EFE7"/>
    <w:rsid w:val="3FC2D642"/>
    <w:rsid w:val="3FD18020"/>
    <w:rsid w:val="3FDA997E"/>
    <w:rsid w:val="3FE0FD7A"/>
    <w:rsid w:val="3FEA0416"/>
    <w:rsid w:val="3FEDA883"/>
    <w:rsid w:val="3FEE7CA0"/>
    <w:rsid w:val="3FEF9F8A"/>
    <w:rsid w:val="3FEFE801"/>
    <w:rsid w:val="3FF95314"/>
    <w:rsid w:val="3FFB38EF"/>
    <w:rsid w:val="3FFF4692"/>
    <w:rsid w:val="40012FD0"/>
    <w:rsid w:val="40015212"/>
    <w:rsid w:val="40017CFF"/>
    <w:rsid w:val="400278AA"/>
    <w:rsid w:val="4005D078"/>
    <w:rsid w:val="400A9FEE"/>
    <w:rsid w:val="400AD88E"/>
    <w:rsid w:val="400C8C2E"/>
    <w:rsid w:val="400E302D"/>
    <w:rsid w:val="400E4789"/>
    <w:rsid w:val="4012D0BB"/>
    <w:rsid w:val="401E377A"/>
    <w:rsid w:val="401F6822"/>
    <w:rsid w:val="40250968"/>
    <w:rsid w:val="402A125F"/>
    <w:rsid w:val="40329CB9"/>
    <w:rsid w:val="4037CB6B"/>
    <w:rsid w:val="40392FDD"/>
    <w:rsid w:val="403C18A1"/>
    <w:rsid w:val="403EA548"/>
    <w:rsid w:val="4041BCCB"/>
    <w:rsid w:val="4045D118"/>
    <w:rsid w:val="404DF2F3"/>
    <w:rsid w:val="404FC716"/>
    <w:rsid w:val="405D264C"/>
    <w:rsid w:val="4060A4BF"/>
    <w:rsid w:val="4065F2D5"/>
    <w:rsid w:val="40681C06"/>
    <w:rsid w:val="406BDB58"/>
    <w:rsid w:val="40769EA8"/>
    <w:rsid w:val="4078DC5E"/>
    <w:rsid w:val="4079132A"/>
    <w:rsid w:val="40795459"/>
    <w:rsid w:val="4079A326"/>
    <w:rsid w:val="407D7148"/>
    <w:rsid w:val="407DC30E"/>
    <w:rsid w:val="40808158"/>
    <w:rsid w:val="4083EE14"/>
    <w:rsid w:val="40852E88"/>
    <w:rsid w:val="4089939B"/>
    <w:rsid w:val="408D9DA5"/>
    <w:rsid w:val="4091A5D5"/>
    <w:rsid w:val="40954A56"/>
    <w:rsid w:val="409ADFF1"/>
    <w:rsid w:val="409B0F95"/>
    <w:rsid w:val="409BBBD3"/>
    <w:rsid w:val="409F921A"/>
    <w:rsid w:val="40A1BE85"/>
    <w:rsid w:val="40AC4208"/>
    <w:rsid w:val="40AEA8F7"/>
    <w:rsid w:val="40AF87EA"/>
    <w:rsid w:val="40B200F8"/>
    <w:rsid w:val="40B2A87C"/>
    <w:rsid w:val="40B89C9C"/>
    <w:rsid w:val="40BBD6CF"/>
    <w:rsid w:val="40BC87FF"/>
    <w:rsid w:val="40BEBEE9"/>
    <w:rsid w:val="40C2EC9E"/>
    <w:rsid w:val="40C43E4B"/>
    <w:rsid w:val="40C497F6"/>
    <w:rsid w:val="40CAEF1D"/>
    <w:rsid w:val="40CE2054"/>
    <w:rsid w:val="40D19FCF"/>
    <w:rsid w:val="40D350E2"/>
    <w:rsid w:val="40D7A9BF"/>
    <w:rsid w:val="40D837A6"/>
    <w:rsid w:val="40DA9F1D"/>
    <w:rsid w:val="40E0D40F"/>
    <w:rsid w:val="40E228F6"/>
    <w:rsid w:val="40E67154"/>
    <w:rsid w:val="40E8A43C"/>
    <w:rsid w:val="40F08585"/>
    <w:rsid w:val="40F3BE0A"/>
    <w:rsid w:val="40F3F16A"/>
    <w:rsid w:val="40F5B37D"/>
    <w:rsid w:val="40FC87DC"/>
    <w:rsid w:val="40FD4B19"/>
    <w:rsid w:val="40FE97F9"/>
    <w:rsid w:val="40FEFD26"/>
    <w:rsid w:val="410020A1"/>
    <w:rsid w:val="4108EB0D"/>
    <w:rsid w:val="410D5DD4"/>
    <w:rsid w:val="410F1CAE"/>
    <w:rsid w:val="41111D1E"/>
    <w:rsid w:val="4111D995"/>
    <w:rsid w:val="4115ABF4"/>
    <w:rsid w:val="411C100B"/>
    <w:rsid w:val="41222AB1"/>
    <w:rsid w:val="41225A7C"/>
    <w:rsid w:val="4126B730"/>
    <w:rsid w:val="412A8692"/>
    <w:rsid w:val="412B4FDE"/>
    <w:rsid w:val="41342DFE"/>
    <w:rsid w:val="41352435"/>
    <w:rsid w:val="413B89F9"/>
    <w:rsid w:val="413CDCD7"/>
    <w:rsid w:val="413F71BF"/>
    <w:rsid w:val="41484229"/>
    <w:rsid w:val="414C021A"/>
    <w:rsid w:val="41514B5E"/>
    <w:rsid w:val="415450FA"/>
    <w:rsid w:val="4159526A"/>
    <w:rsid w:val="415C55F9"/>
    <w:rsid w:val="4161DD49"/>
    <w:rsid w:val="4167F766"/>
    <w:rsid w:val="41680514"/>
    <w:rsid w:val="416862FD"/>
    <w:rsid w:val="416A159C"/>
    <w:rsid w:val="416C3292"/>
    <w:rsid w:val="416E2776"/>
    <w:rsid w:val="41751869"/>
    <w:rsid w:val="41797DFB"/>
    <w:rsid w:val="417AC293"/>
    <w:rsid w:val="417ED061"/>
    <w:rsid w:val="4185FAA5"/>
    <w:rsid w:val="4194D722"/>
    <w:rsid w:val="41987E89"/>
    <w:rsid w:val="419D3132"/>
    <w:rsid w:val="419E89EC"/>
    <w:rsid w:val="419F4155"/>
    <w:rsid w:val="41AA9D62"/>
    <w:rsid w:val="41B882F5"/>
    <w:rsid w:val="41BC3EED"/>
    <w:rsid w:val="41BC4B6B"/>
    <w:rsid w:val="41BD4D49"/>
    <w:rsid w:val="41C38B8B"/>
    <w:rsid w:val="41C9F3C6"/>
    <w:rsid w:val="41CB02B3"/>
    <w:rsid w:val="41CCBF5A"/>
    <w:rsid w:val="41CDF5D1"/>
    <w:rsid w:val="41DA4049"/>
    <w:rsid w:val="41E69FB2"/>
    <w:rsid w:val="41ECCB7B"/>
    <w:rsid w:val="41EFF231"/>
    <w:rsid w:val="41F6DA05"/>
    <w:rsid w:val="41F83F06"/>
    <w:rsid w:val="41FB9F54"/>
    <w:rsid w:val="41FD5822"/>
    <w:rsid w:val="41FEADF3"/>
    <w:rsid w:val="4202CA8D"/>
    <w:rsid w:val="420C8E26"/>
    <w:rsid w:val="4215FC09"/>
    <w:rsid w:val="421998DE"/>
    <w:rsid w:val="421B7C9C"/>
    <w:rsid w:val="4226E03C"/>
    <w:rsid w:val="42291670"/>
    <w:rsid w:val="42294333"/>
    <w:rsid w:val="422A6931"/>
    <w:rsid w:val="422CCC0B"/>
    <w:rsid w:val="422DD6C1"/>
    <w:rsid w:val="42308584"/>
    <w:rsid w:val="423226A7"/>
    <w:rsid w:val="4234CF11"/>
    <w:rsid w:val="423D10A2"/>
    <w:rsid w:val="423FAF18"/>
    <w:rsid w:val="4240A3F3"/>
    <w:rsid w:val="42416627"/>
    <w:rsid w:val="4247DA76"/>
    <w:rsid w:val="424DD5EA"/>
    <w:rsid w:val="424F7807"/>
    <w:rsid w:val="425BDE52"/>
    <w:rsid w:val="425CF5FB"/>
    <w:rsid w:val="425FCB4D"/>
    <w:rsid w:val="4266309B"/>
    <w:rsid w:val="426BC1FE"/>
    <w:rsid w:val="426D0E79"/>
    <w:rsid w:val="426F19DA"/>
    <w:rsid w:val="42717196"/>
    <w:rsid w:val="42729373"/>
    <w:rsid w:val="427BB258"/>
    <w:rsid w:val="427C6351"/>
    <w:rsid w:val="427D0212"/>
    <w:rsid w:val="4283880C"/>
    <w:rsid w:val="42855684"/>
    <w:rsid w:val="428826B6"/>
    <w:rsid w:val="428D1251"/>
    <w:rsid w:val="428D664C"/>
    <w:rsid w:val="42919613"/>
    <w:rsid w:val="42A01532"/>
    <w:rsid w:val="42A12508"/>
    <w:rsid w:val="42AC1B49"/>
    <w:rsid w:val="42AEFBB4"/>
    <w:rsid w:val="42AFEBA1"/>
    <w:rsid w:val="42B35E41"/>
    <w:rsid w:val="42B49D34"/>
    <w:rsid w:val="42B4EC86"/>
    <w:rsid w:val="42B63FB9"/>
    <w:rsid w:val="42BB427C"/>
    <w:rsid w:val="42BCC03F"/>
    <w:rsid w:val="42BFC682"/>
    <w:rsid w:val="42C78FDD"/>
    <w:rsid w:val="42CBD8B7"/>
    <w:rsid w:val="42CE61F2"/>
    <w:rsid w:val="42D3799D"/>
    <w:rsid w:val="42D896CA"/>
    <w:rsid w:val="42DDF9D7"/>
    <w:rsid w:val="42E962D3"/>
    <w:rsid w:val="42EE9634"/>
    <w:rsid w:val="42F113FB"/>
    <w:rsid w:val="42F2DFE2"/>
    <w:rsid w:val="42F7FDDA"/>
    <w:rsid w:val="42FA8378"/>
    <w:rsid w:val="42FBE8EC"/>
    <w:rsid w:val="42FE9D05"/>
    <w:rsid w:val="43043F6B"/>
    <w:rsid w:val="43053586"/>
    <w:rsid w:val="43058F1B"/>
    <w:rsid w:val="4307EDB8"/>
    <w:rsid w:val="430FA9DE"/>
    <w:rsid w:val="43119A20"/>
    <w:rsid w:val="4314D555"/>
    <w:rsid w:val="43164207"/>
    <w:rsid w:val="43174413"/>
    <w:rsid w:val="431F285D"/>
    <w:rsid w:val="432264B1"/>
    <w:rsid w:val="43265A74"/>
    <w:rsid w:val="4326FB4E"/>
    <w:rsid w:val="432A4FB2"/>
    <w:rsid w:val="432DB956"/>
    <w:rsid w:val="4333F1F9"/>
    <w:rsid w:val="4337BE6A"/>
    <w:rsid w:val="4339CA9B"/>
    <w:rsid w:val="433CC534"/>
    <w:rsid w:val="433F24D1"/>
    <w:rsid w:val="433FC33A"/>
    <w:rsid w:val="433FD26B"/>
    <w:rsid w:val="434235AB"/>
    <w:rsid w:val="434D4146"/>
    <w:rsid w:val="434D6809"/>
    <w:rsid w:val="435D1A90"/>
    <w:rsid w:val="436123CB"/>
    <w:rsid w:val="436A436D"/>
    <w:rsid w:val="436E0674"/>
    <w:rsid w:val="436E581F"/>
    <w:rsid w:val="43749198"/>
    <w:rsid w:val="4376EAA3"/>
    <w:rsid w:val="43793ED7"/>
    <w:rsid w:val="437AB1BA"/>
    <w:rsid w:val="437C056F"/>
    <w:rsid w:val="43807860"/>
    <w:rsid w:val="43899253"/>
    <w:rsid w:val="438A2F09"/>
    <w:rsid w:val="438DF014"/>
    <w:rsid w:val="438E71BC"/>
    <w:rsid w:val="43951735"/>
    <w:rsid w:val="43956389"/>
    <w:rsid w:val="4397D804"/>
    <w:rsid w:val="439B8B31"/>
    <w:rsid w:val="439D50F2"/>
    <w:rsid w:val="439DA5BA"/>
    <w:rsid w:val="439DD9A5"/>
    <w:rsid w:val="43A41969"/>
    <w:rsid w:val="43A950B5"/>
    <w:rsid w:val="43AD6E15"/>
    <w:rsid w:val="43AE17E4"/>
    <w:rsid w:val="43AFB53A"/>
    <w:rsid w:val="43B18E87"/>
    <w:rsid w:val="43B3AF51"/>
    <w:rsid w:val="43B68844"/>
    <w:rsid w:val="43C14E26"/>
    <w:rsid w:val="43C206D8"/>
    <w:rsid w:val="43C5FA42"/>
    <w:rsid w:val="43CADDA8"/>
    <w:rsid w:val="43CF3546"/>
    <w:rsid w:val="43CF67F5"/>
    <w:rsid w:val="43CF9796"/>
    <w:rsid w:val="43D0CF33"/>
    <w:rsid w:val="43D37965"/>
    <w:rsid w:val="43D7A7D4"/>
    <w:rsid w:val="43D8567E"/>
    <w:rsid w:val="43E04D14"/>
    <w:rsid w:val="43E25697"/>
    <w:rsid w:val="43E2952D"/>
    <w:rsid w:val="43E3B467"/>
    <w:rsid w:val="43E44720"/>
    <w:rsid w:val="43E4D4CC"/>
    <w:rsid w:val="43E7E441"/>
    <w:rsid w:val="43ECFF30"/>
    <w:rsid w:val="43ED6783"/>
    <w:rsid w:val="43F675B1"/>
    <w:rsid w:val="43FA4935"/>
    <w:rsid w:val="43FC172F"/>
    <w:rsid w:val="43FC608E"/>
    <w:rsid w:val="43FD8BD3"/>
    <w:rsid w:val="4401C5B0"/>
    <w:rsid w:val="4404B2AA"/>
    <w:rsid w:val="440D5D86"/>
    <w:rsid w:val="440E8A54"/>
    <w:rsid w:val="4410D3BC"/>
    <w:rsid w:val="441478CC"/>
    <w:rsid w:val="44178E23"/>
    <w:rsid w:val="441A9D4A"/>
    <w:rsid w:val="441AFE01"/>
    <w:rsid w:val="441F9AEF"/>
    <w:rsid w:val="44203BD8"/>
    <w:rsid w:val="4428B696"/>
    <w:rsid w:val="442FAF95"/>
    <w:rsid w:val="442FBF09"/>
    <w:rsid w:val="4438A27F"/>
    <w:rsid w:val="44390BA0"/>
    <w:rsid w:val="443B5131"/>
    <w:rsid w:val="443E803F"/>
    <w:rsid w:val="443FCB0E"/>
    <w:rsid w:val="4442A954"/>
    <w:rsid w:val="4443A477"/>
    <w:rsid w:val="44441CC0"/>
    <w:rsid w:val="444CE39F"/>
    <w:rsid w:val="444CF7C2"/>
    <w:rsid w:val="444EA421"/>
    <w:rsid w:val="44507048"/>
    <w:rsid w:val="445165E7"/>
    <w:rsid w:val="4453AC66"/>
    <w:rsid w:val="4457577A"/>
    <w:rsid w:val="445A7316"/>
    <w:rsid w:val="4460B2D7"/>
    <w:rsid w:val="446189C6"/>
    <w:rsid w:val="4463D0AB"/>
    <w:rsid w:val="44650B8A"/>
    <w:rsid w:val="4465C0C1"/>
    <w:rsid w:val="4466A6BD"/>
    <w:rsid w:val="4466F71D"/>
    <w:rsid w:val="446B9383"/>
    <w:rsid w:val="44703487"/>
    <w:rsid w:val="44715C7B"/>
    <w:rsid w:val="44739F09"/>
    <w:rsid w:val="447C8485"/>
    <w:rsid w:val="447DCA91"/>
    <w:rsid w:val="44807F1C"/>
    <w:rsid w:val="448892BE"/>
    <w:rsid w:val="448B8B1F"/>
    <w:rsid w:val="4491191E"/>
    <w:rsid w:val="449C3966"/>
    <w:rsid w:val="449C8376"/>
    <w:rsid w:val="449CA0B9"/>
    <w:rsid w:val="449D587A"/>
    <w:rsid w:val="44A48FCA"/>
    <w:rsid w:val="44A5BAD7"/>
    <w:rsid w:val="44A762EA"/>
    <w:rsid w:val="44B09BE1"/>
    <w:rsid w:val="44B13AEF"/>
    <w:rsid w:val="44B2DF49"/>
    <w:rsid w:val="44BDE353"/>
    <w:rsid w:val="44BEA687"/>
    <w:rsid w:val="44C02A11"/>
    <w:rsid w:val="44C67BE7"/>
    <w:rsid w:val="44C7689C"/>
    <w:rsid w:val="44D0DC80"/>
    <w:rsid w:val="44D7196E"/>
    <w:rsid w:val="44DBB11E"/>
    <w:rsid w:val="44DE97F6"/>
    <w:rsid w:val="44E04153"/>
    <w:rsid w:val="44E4ECBD"/>
    <w:rsid w:val="44E5E6B5"/>
    <w:rsid w:val="44E97E4D"/>
    <w:rsid w:val="44FABEDF"/>
    <w:rsid w:val="44FADDCC"/>
    <w:rsid w:val="44FC4769"/>
    <w:rsid w:val="44FC4EAA"/>
    <w:rsid w:val="44FEDFD0"/>
    <w:rsid w:val="450FC240"/>
    <w:rsid w:val="4518219E"/>
    <w:rsid w:val="451A73B3"/>
    <w:rsid w:val="452071A6"/>
    <w:rsid w:val="4520B0F5"/>
    <w:rsid w:val="4520F504"/>
    <w:rsid w:val="4524F73D"/>
    <w:rsid w:val="452AB655"/>
    <w:rsid w:val="452C14E3"/>
    <w:rsid w:val="452CCC46"/>
    <w:rsid w:val="452E36F7"/>
    <w:rsid w:val="45309FA9"/>
    <w:rsid w:val="4534051A"/>
    <w:rsid w:val="4535E7A9"/>
    <w:rsid w:val="4537A389"/>
    <w:rsid w:val="4537EB01"/>
    <w:rsid w:val="453C4478"/>
    <w:rsid w:val="453EC8E2"/>
    <w:rsid w:val="4541A202"/>
    <w:rsid w:val="45423C68"/>
    <w:rsid w:val="4547D197"/>
    <w:rsid w:val="454FFB7A"/>
    <w:rsid w:val="45522448"/>
    <w:rsid w:val="455334B6"/>
    <w:rsid w:val="4562216B"/>
    <w:rsid w:val="45631980"/>
    <w:rsid w:val="456332A2"/>
    <w:rsid w:val="45637413"/>
    <w:rsid w:val="4566AF23"/>
    <w:rsid w:val="4568CEF6"/>
    <w:rsid w:val="456F3413"/>
    <w:rsid w:val="4571FA67"/>
    <w:rsid w:val="457506A0"/>
    <w:rsid w:val="457647B2"/>
    <w:rsid w:val="45774334"/>
    <w:rsid w:val="457B2F3F"/>
    <w:rsid w:val="457E1E50"/>
    <w:rsid w:val="457E20BC"/>
    <w:rsid w:val="458A8FB0"/>
    <w:rsid w:val="458D0C0D"/>
    <w:rsid w:val="45917745"/>
    <w:rsid w:val="459E6650"/>
    <w:rsid w:val="459E79C6"/>
    <w:rsid w:val="459F9360"/>
    <w:rsid w:val="45A5EA70"/>
    <w:rsid w:val="45A6A669"/>
    <w:rsid w:val="45AA7157"/>
    <w:rsid w:val="45AADAD2"/>
    <w:rsid w:val="45AF4C06"/>
    <w:rsid w:val="45AF7881"/>
    <w:rsid w:val="45B23629"/>
    <w:rsid w:val="45BF5B40"/>
    <w:rsid w:val="45C4A46F"/>
    <w:rsid w:val="45CA2CEF"/>
    <w:rsid w:val="45CC4E29"/>
    <w:rsid w:val="45E3AFCE"/>
    <w:rsid w:val="45E81E4B"/>
    <w:rsid w:val="45EA6AA9"/>
    <w:rsid w:val="45ECFBC8"/>
    <w:rsid w:val="45ED4832"/>
    <w:rsid w:val="45F1CADF"/>
    <w:rsid w:val="45F8B4E9"/>
    <w:rsid w:val="45FB29E7"/>
    <w:rsid w:val="45FBDD2A"/>
    <w:rsid w:val="45FECC26"/>
    <w:rsid w:val="46143324"/>
    <w:rsid w:val="46157C99"/>
    <w:rsid w:val="461B3D67"/>
    <w:rsid w:val="461EEB42"/>
    <w:rsid w:val="4627FBF6"/>
    <w:rsid w:val="462AE0EA"/>
    <w:rsid w:val="462AF0B0"/>
    <w:rsid w:val="462C4EEB"/>
    <w:rsid w:val="462DB78E"/>
    <w:rsid w:val="462E4768"/>
    <w:rsid w:val="4631B31B"/>
    <w:rsid w:val="463370DB"/>
    <w:rsid w:val="46359CF3"/>
    <w:rsid w:val="463919AA"/>
    <w:rsid w:val="4640ED99"/>
    <w:rsid w:val="4646637E"/>
    <w:rsid w:val="464691E9"/>
    <w:rsid w:val="464A380D"/>
    <w:rsid w:val="464A4324"/>
    <w:rsid w:val="464AB0DB"/>
    <w:rsid w:val="465007E6"/>
    <w:rsid w:val="4651BC03"/>
    <w:rsid w:val="4654D570"/>
    <w:rsid w:val="465518BE"/>
    <w:rsid w:val="46554713"/>
    <w:rsid w:val="46592ED3"/>
    <w:rsid w:val="465C71F1"/>
    <w:rsid w:val="46615083"/>
    <w:rsid w:val="46616C56"/>
    <w:rsid w:val="4666037F"/>
    <w:rsid w:val="4671DD72"/>
    <w:rsid w:val="4679A9BD"/>
    <w:rsid w:val="467B49D7"/>
    <w:rsid w:val="467DAC41"/>
    <w:rsid w:val="46879235"/>
    <w:rsid w:val="4689C869"/>
    <w:rsid w:val="4692AD06"/>
    <w:rsid w:val="469A1985"/>
    <w:rsid w:val="469CDB89"/>
    <w:rsid w:val="469D3188"/>
    <w:rsid w:val="469D6FAD"/>
    <w:rsid w:val="469DD16A"/>
    <w:rsid w:val="46A34BA5"/>
    <w:rsid w:val="46ADC863"/>
    <w:rsid w:val="46B1669F"/>
    <w:rsid w:val="46B27F18"/>
    <w:rsid w:val="46BC32EC"/>
    <w:rsid w:val="46BC8667"/>
    <w:rsid w:val="46C3AB9C"/>
    <w:rsid w:val="46C756A7"/>
    <w:rsid w:val="46D12543"/>
    <w:rsid w:val="46D20D00"/>
    <w:rsid w:val="46D786D3"/>
    <w:rsid w:val="46D9C6C8"/>
    <w:rsid w:val="46DEBD5F"/>
    <w:rsid w:val="46DEC424"/>
    <w:rsid w:val="46E01EC3"/>
    <w:rsid w:val="46E15EC6"/>
    <w:rsid w:val="46E42662"/>
    <w:rsid w:val="46EA524F"/>
    <w:rsid w:val="46EF5F23"/>
    <w:rsid w:val="46EF6896"/>
    <w:rsid w:val="46F1FF37"/>
    <w:rsid w:val="46F64E15"/>
    <w:rsid w:val="46FCFF32"/>
    <w:rsid w:val="46FE71F1"/>
    <w:rsid w:val="46FFB8F8"/>
    <w:rsid w:val="4700C35B"/>
    <w:rsid w:val="4700E742"/>
    <w:rsid w:val="47040267"/>
    <w:rsid w:val="47058B3E"/>
    <w:rsid w:val="470A2175"/>
    <w:rsid w:val="470E4ABB"/>
    <w:rsid w:val="470F00C9"/>
    <w:rsid w:val="4710DEA9"/>
    <w:rsid w:val="47166D57"/>
    <w:rsid w:val="47175097"/>
    <w:rsid w:val="471D255E"/>
    <w:rsid w:val="471F1F4F"/>
    <w:rsid w:val="4725C483"/>
    <w:rsid w:val="472823FC"/>
    <w:rsid w:val="472B2002"/>
    <w:rsid w:val="472C372F"/>
    <w:rsid w:val="472CC3F9"/>
    <w:rsid w:val="472F5D2D"/>
    <w:rsid w:val="4731DD33"/>
    <w:rsid w:val="473541CD"/>
    <w:rsid w:val="4736170F"/>
    <w:rsid w:val="47392CF7"/>
    <w:rsid w:val="473C103B"/>
    <w:rsid w:val="474201AB"/>
    <w:rsid w:val="47447EC5"/>
    <w:rsid w:val="47484210"/>
    <w:rsid w:val="47492CA5"/>
    <w:rsid w:val="47527068"/>
    <w:rsid w:val="4755FF2E"/>
    <w:rsid w:val="4756AD7F"/>
    <w:rsid w:val="475A9FDA"/>
    <w:rsid w:val="475BD72C"/>
    <w:rsid w:val="4762A99A"/>
    <w:rsid w:val="47631E40"/>
    <w:rsid w:val="476E15AD"/>
    <w:rsid w:val="476F5A5B"/>
    <w:rsid w:val="4773F471"/>
    <w:rsid w:val="47753394"/>
    <w:rsid w:val="4775FDE1"/>
    <w:rsid w:val="4776366B"/>
    <w:rsid w:val="477DE640"/>
    <w:rsid w:val="4786C76C"/>
    <w:rsid w:val="478B64FA"/>
    <w:rsid w:val="478C8862"/>
    <w:rsid w:val="47A21B6C"/>
    <w:rsid w:val="47A376EC"/>
    <w:rsid w:val="47A3F085"/>
    <w:rsid w:val="47A7D888"/>
    <w:rsid w:val="47AA3929"/>
    <w:rsid w:val="47B46A09"/>
    <w:rsid w:val="47B64019"/>
    <w:rsid w:val="47B6B7AF"/>
    <w:rsid w:val="47B7AAE7"/>
    <w:rsid w:val="47BA9D59"/>
    <w:rsid w:val="47BE987F"/>
    <w:rsid w:val="47CA91B0"/>
    <w:rsid w:val="47D4CC53"/>
    <w:rsid w:val="47D6FA99"/>
    <w:rsid w:val="47D9DB50"/>
    <w:rsid w:val="47DE2A52"/>
    <w:rsid w:val="47E1FE88"/>
    <w:rsid w:val="47E4C984"/>
    <w:rsid w:val="47E745CC"/>
    <w:rsid w:val="47EAB690"/>
    <w:rsid w:val="47EBB95A"/>
    <w:rsid w:val="47F2CABB"/>
    <w:rsid w:val="47F4414C"/>
    <w:rsid w:val="47F924C5"/>
    <w:rsid w:val="47FDE5D0"/>
    <w:rsid w:val="4801BE60"/>
    <w:rsid w:val="48048672"/>
    <w:rsid w:val="480540CD"/>
    <w:rsid w:val="4806E65E"/>
    <w:rsid w:val="48082F7B"/>
    <w:rsid w:val="4809DE1D"/>
    <w:rsid w:val="480AA35E"/>
    <w:rsid w:val="4811B74D"/>
    <w:rsid w:val="48125DF3"/>
    <w:rsid w:val="481CB34C"/>
    <w:rsid w:val="481E5B30"/>
    <w:rsid w:val="482380AC"/>
    <w:rsid w:val="48285139"/>
    <w:rsid w:val="482ADC69"/>
    <w:rsid w:val="482C2206"/>
    <w:rsid w:val="482D601A"/>
    <w:rsid w:val="482F2ABB"/>
    <w:rsid w:val="482FD5C9"/>
    <w:rsid w:val="4830CF05"/>
    <w:rsid w:val="48332D27"/>
    <w:rsid w:val="483AD2F9"/>
    <w:rsid w:val="483BE8B7"/>
    <w:rsid w:val="483EFAD4"/>
    <w:rsid w:val="48408A93"/>
    <w:rsid w:val="48409A7C"/>
    <w:rsid w:val="48413DCA"/>
    <w:rsid w:val="4849C616"/>
    <w:rsid w:val="484E4E21"/>
    <w:rsid w:val="485348E0"/>
    <w:rsid w:val="4855499A"/>
    <w:rsid w:val="48566ADB"/>
    <w:rsid w:val="486065CE"/>
    <w:rsid w:val="48622C80"/>
    <w:rsid w:val="486598A9"/>
    <w:rsid w:val="4868D846"/>
    <w:rsid w:val="48694CA7"/>
    <w:rsid w:val="486A0CE7"/>
    <w:rsid w:val="486C1EFA"/>
    <w:rsid w:val="486DA47F"/>
    <w:rsid w:val="4875C671"/>
    <w:rsid w:val="48799F1F"/>
    <w:rsid w:val="487A5EE3"/>
    <w:rsid w:val="488129B3"/>
    <w:rsid w:val="48855A27"/>
    <w:rsid w:val="488E3ED3"/>
    <w:rsid w:val="4893AA9C"/>
    <w:rsid w:val="489AA9E1"/>
    <w:rsid w:val="48A2C141"/>
    <w:rsid w:val="48A49712"/>
    <w:rsid w:val="48A75595"/>
    <w:rsid w:val="48AC520C"/>
    <w:rsid w:val="48AF5B7B"/>
    <w:rsid w:val="48B6E570"/>
    <w:rsid w:val="48BCF3D9"/>
    <w:rsid w:val="48BE2169"/>
    <w:rsid w:val="48C7E12A"/>
    <w:rsid w:val="48C822E8"/>
    <w:rsid w:val="48C999CF"/>
    <w:rsid w:val="48CD5952"/>
    <w:rsid w:val="48CEA315"/>
    <w:rsid w:val="48D67BA3"/>
    <w:rsid w:val="48DAE822"/>
    <w:rsid w:val="48DEBEA6"/>
    <w:rsid w:val="48E98186"/>
    <w:rsid w:val="48E9D548"/>
    <w:rsid w:val="48EF7D6C"/>
    <w:rsid w:val="48F03BE7"/>
    <w:rsid w:val="48F3724F"/>
    <w:rsid w:val="48F43C3C"/>
    <w:rsid w:val="48F59483"/>
    <w:rsid w:val="48FA503E"/>
    <w:rsid w:val="48FA7532"/>
    <w:rsid w:val="490206E8"/>
    <w:rsid w:val="49032856"/>
    <w:rsid w:val="490BC0DE"/>
    <w:rsid w:val="491114E0"/>
    <w:rsid w:val="49122D76"/>
    <w:rsid w:val="4915BD0C"/>
    <w:rsid w:val="491A281F"/>
    <w:rsid w:val="491B4824"/>
    <w:rsid w:val="491B7EEC"/>
    <w:rsid w:val="491BE69A"/>
    <w:rsid w:val="49222391"/>
    <w:rsid w:val="4922F2C1"/>
    <w:rsid w:val="49231EA9"/>
    <w:rsid w:val="49259B81"/>
    <w:rsid w:val="49269C4A"/>
    <w:rsid w:val="492BCB1B"/>
    <w:rsid w:val="492E58E9"/>
    <w:rsid w:val="4932C25E"/>
    <w:rsid w:val="4936A7FB"/>
    <w:rsid w:val="493C9799"/>
    <w:rsid w:val="493EC12B"/>
    <w:rsid w:val="49452C37"/>
    <w:rsid w:val="4946DF23"/>
    <w:rsid w:val="494BB1B8"/>
    <w:rsid w:val="494CCEC4"/>
    <w:rsid w:val="4950D3CF"/>
    <w:rsid w:val="495857E5"/>
    <w:rsid w:val="49591C3D"/>
    <w:rsid w:val="495C38DB"/>
    <w:rsid w:val="495FFD33"/>
    <w:rsid w:val="49649857"/>
    <w:rsid w:val="496CDBBB"/>
    <w:rsid w:val="496CDF5A"/>
    <w:rsid w:val="496D0FEA"/>
    <w:rsid w:val="4970F144"/>
    <w:rsid w:val="497A7D8D"/>
    <w:rsid w:val="497EC915"/>
    <w:rsid w:val="4985DA67"/>
    <w:rsid w:val="49895758"/>
    <w:rsid w:val="4989AA2C"/>
    <w:rsid w:val="498B643B"/>
    <w:rsid w:val="498EFCB8"/>
    <w:rsid w:val="49921861"/>
    <w:rsid w:val="49923BC1"/>
    <w:rsid w:val="499411B2"/>
    <w:rsid w:val="49997F84"/>
    <w:rsid w:val="499BE08F"/>
    <w:rsid w:val="49A21C7E"/>
    <w:rsid w:val="49A3D2F1"/>
    <w:rsid w:val="49A53103"/>
    <w:rsid w:val="49A7C5C4"/>
    <w:rsid w:val="49AEAF63"/>
    <w:rsid w:val="49C53C99"/>
    <w:rsid w:val="49C74800"/>
    <w:rsid w:val="49D006E3"/>
    <w:rsid w:val="49D29183"/>
    <w:rsid w:val="49D449AF"/>
    <w:rsid w:val="49D8C024"/>
    <w:rsid w:val="49D91354"/>
    <w:rsid w:val="49D93167"/>
    <w:rsid w:val="49DC10CE"/>
    <w:rsid w:val="49E11F9C"/>
    <w:rsid w:val="49E6FA18"/>
    <w:rsid w:val="49E92EBC"/>
    <w:rsid w:val="49ED9B43"/>
    <w:rsid w:val="49F32BE8"/>
    <w:rsid w:val="49F4F1AE"/>
    <w:rsid w:val="49F544FD"/>
    <w:rsid w:val="49FABCFD"/>
    <w:rsid w:val="4A022FBD"/>
    <w:rsid w:val="4A0437FA"/>
    <w:rsid w:val="4A08CC21"/>
    <w:rsid w:val="4A0933B0"/>
    <w:rsid w:val="4A0E22C4"/>
    <w:rsid w:val="4A173514"/>
    <w:rsid w:val="4A18B1FD"/>
    <w:rsid w:val="4A1F8989"/>
    <w:rsid w:val="4A20825C"/>
    <w:rsid w:val="4A28A9F4"/>
    <w:rsid w:val="4A29A5D0"/>
    <w:rsid w:val="4A3193AE"/>
    <w:rsid w:val="4A3225A5"/>
    <w:rsid w:val="4A34F98E"/>
    <w:rsid w:val="4A373B64"/>
    <w:rsid w:val="4A377074"/>
    <w:rsid w:val="4A440A1C"/>
    <w:rsid w:val="4A46D4EA"/>
    <w:rsid w:val="4A491DC6"/>
    <w:rsid w:val="4A499C01"/>
    <w:rsid w:val="4A49D155"/>
    <w:rsid w:val="4A4B7FD3"/>
    <w:rsid w:val="4A5138C6"/>
    <w:rsid w:val="4A569E22"/>
    <w:rsid w:val="4A5AFCC7"/>
    <w:rsid w:val="4A635B1E"/>
    <w:rsid w:val="4A64C324"/>
    <w:rsid w:val="4A69629E"/>
    <w:rsid w:val="4A69E6A6"/>
    <w:rsid w:val="4A6ACE41"/>
    <w:rsid w:val="4A6BCEB9"/>
    <w:rsid w:val="4A6EEB9A"/>
    <w:rsid w:val="4A7019ED"/>
    <w:rsid w:val="4A71BE8C"/>
    <w:rsid w:val="4A71D5C2"/>
    <w:rsid w:val="4A72243F"/>
    <w:rsid w:val="4A745F7D"/>
    <w:rsid w:val="4A758203"/>
    <w:rsid w:val="4A79FA40"/>
    <w:rsid w:val="4A7A51AB"/>
    <w:rsid w:val="4A7CB9A3"/>
    <w:rsid w:val="4A8E2AE9"/>
    <w:rsid w:val="4A8E5BB4"/>
    <w:rsid w:val="4A99F9C3"/>
    <w:rsid w:val="4A9ABCAE"/>
    <w:rsid w:val="4AA04802"/>
    <w:rsid w:val="4AB5AA0D"/>
    <w:rsid w:val="4AB9FC13"/>
    <w:rsid w:val="4AC127F9"/>
    <w:rsid w:val="4AC5FF4A"/>
    <w:rsid w:val="4AC61873"/>
    <w:rsid w:val="4AC9B00A"/>
    <w:rsid w:val="4ACB785E"/>
    <w:rsid w:val="4ACDAA62"/>
    <w:rsid w:val="4AD0E940"/>
    <w:rsid w:val="4ADA7A72"/>
    <w:rsid w:val="4ADDA431"/>
    <w:rsid w:val="4AEBDA40"/>
    <w:rsid w:val="4AECBB55"/>
    <w:rsid w:val="4AEDB371"/>
    <w:rsid w:val="4B052B2C"/>
    <w:rsid w:val="4B07BDC3"/>
    <w:rsid w:val="4B17228F"/>
    <w:rsid w:val="4B20F70C"/>
    <w:rsid w:val="4B21278C"/>
    <w:rsid w:val="4B281B20"/>
    <w:rsid w:val="4B28BC4B"/>
    <w:rsid w:val="4B3084FA"/>
    <w:rsid w:val="4B30A9A2"/>
    <w:rsid w:val="4B31CD61"/>
    <w:rsid w:val="4B337768"/>
    <w:rsid w:val="4B37CF4E"/>
    <w:rsid w:val="4B3A0233"/>
    <w:rsid w:val="4B3F0A95"/>
    <w:rsid w:val="4B40658C"/>
    <w:rsid w:val="4B4186A3"/>
    <w:rsid w:val="4B41CB27"/>
    <w:rsid w:val="4B5313AD"/>
    <w:rsid w:val="4B64BD59"/>
    <w:rsid w:val="4B65DCEA"/>
    <w:rsid w:val="4B690E7B"/>
    <w:rsid w:val="4B7A270B"/>
    <w:rsid w:val="4B7B9A5E"/>
    <w:rsid w:val="4B7D7D6C"/>
    <w:rsid w:val="4B7F3F1B"/>
    <w:rsid w:val="4B7FD7D6"/>
    <w:rsid w:val="4B80082A"/>
    <w:rsid w:val="4B802FC8"/>
    <w:rsid w:val="4B89EB44"/>
    <w:rsid w:val="4B8A3687"/>
    <w:rsid w:val="4B8A43AA"/>
    <w:rsid w:val="4B8F3CAC"/>
    <w:rsid w:val="4B91AD82"/>
    <w:rsid w:val="4B95B643"/>
    <w:rsid w:val="4B99591B"/>
    <w:rsid w:val="4BA463B4"/>
    <w:rsid w:val="4BA6B39B"/>
    <w:rsid w:val="4BA8F849"/>
    <w:rsid w:val="4BAABFF0"/>
    <w:rsid w:val="4BAB2C88"/>
    <w:rsid w:val="4BAD4BA3"/>
    <w:rsid w:val="4BAE044A"/>
    <w:rsid w:val="4BB222F2"/>
    <w:rsid w:val="4BB708F2"/>
    <w:rsid w:val="4BBF8571"/>
    <w:rsid w:val="4BC1287F"/>
    <w:rsid w:val="4BC363F5"/>
    <w:rsid w:val="4BC41BE4"/>
    <w:rsid w:val="4BC64ABB"/>
    <w:rsid w:val="4BD0C358"/>
    <w:rsid w:val="4BD6E3D9"/>
    <w:rsid w:val="4BD75BB5"/>
    <w:rsid w:val="4BD9CCE0"/>
    <w:rsid w:val="4BDB9793"/>
    <w:rsid w:val="4BDC89F0"/>
    <w:rsid w:val="4BE040D2"/>
    <w:rsid w:val="4BE0F881"/>
    <w:rsid w:val="4BE533D5"/>
    <w:rsid w:val="4BF150F6"/>
    <w:rsid w:val="4BF4CE2C"/>
    <w:rsid w:val="4BF86819"/>
    <w:rsid w:val="4C02927C"/>
    <w:rsid w:val="4C02E812"/>
    <w:rsid w:val="4C07018B"/>
    <w:rsid w:val="4C0A2F6A"/>
    <w:rsid w:val="4C164FCF"/>
    <w:rsid w:val="4C1C04DF"/>
    <w:rsid w:val="4C1F8E57"/>
    <w:rsid w:val="4C25E330"/>
    <w:rsid w:val="4C26B4FF"/>
    <w:rsid w:val="4C282755"/>
    <w:rsid w:val="4C292D91"/>
    <w:rsid w:val="4C29E23C"/>
    <w:rsid w:val="4C2DB84C"/>
    <w:rsid w:val="4C2E0AE0"/>
    <w:rsid w:val="4C3274D5"/>
    <w:rsid w:val="4C349899"/>
    <w:rsid w:val="4C376FE7"/>
    <w:rsid w:val="4C388227"/>
    <w:rsid w:val="4C419753"/>
    <w:rsid w:val="4C445F66"/>
    <w:rsid w:val="4C46D628"/>
    <w:rsid w:val="4C46E35F"/>
    <w:rsid w:val="4C4C26FC"/>
    <w:rsid w:val="4C4EC169"/>
    <w:rsid w:val="4C4EF7E9"/>
    <w:rsid w:val="4C4FAE4C"/>
    <w:rsid w:val="4C500345"/>
    <w:rsid w:val="4C5448BA"/>
    <w:rsid w:val="4C5BBEE5"/>
    <w:rsid w:val="4C668735"/>
    <w:rsid w:val="4C67D28B"/>
    <w:rsid w:val="4C6B0A4D"/>
    <w:rsid w:val="4C6BF5D4"/>
    <w:rsid w:val="4C6D24DC"/>
    <w:rsid w:val="4C73EF6D"/>
    <w:rsid w:val="4C7893BE"/>
    <w:rsid w:val="4C7B860B"/>
    <w:rsid w:val="4C7DE44C"/>
    <w:rsid w:val="4C7DF152"/>
    <w:rsid w:val="4C7F9CCB"/>
    <w:rsid w:val="4C800EFB"/>
    <w:rsid w:val="4C83916D"/>
    <w:rsid w:val="4C8D1AC9"/>
    <w:rsid w:val="4C8FBE61"/>
    <w:rsid w:val="4C933467"/>
    <w:rsid w:val="4C97A553"/>
    <w:rsid w:val="4C9A2594"/>
    <w:rsid w:val="4C9CAB35"/>
    <w:rsid w:val="4CA78B01"/>
    <w:rsid w:val="4CA7B9E9"/>
    <w:rsid w:val="4CAC83E6"/>
    <w:rsid w:val="4CB26485"/>
    <w:rsid w:val="4CB37A39"/>
    <w:rsid w:val="4CB41908"/>
    <w:rsid w:val="4CB6E2EF"/>
    <w:rsid w:val="4CB72CBD"/>
    <w:rsid w:val="4CB72F76"/>
    <w:rsid w:val="4CBA6F88"/>
    <w:rsid w:val="4CBE9403"/>
    <w:rsid w:val="4CBEEB6F"/>
    <w:rsid w:val="4CBFE7E3"/>
    <w:rsid w:val="4CC5613F"/>
    <w:rsid w:val="4CC79750"/>
    <w:rsid w:val="4CC79E77"/>
    <w:rsid w:val="4CCE2ADC"/>
    <w:rsid w:val="4CCF9176"/>
    <w:rsid w:val="4CD1C1BD"/>
    <w:rsid w:val="4CD5FEA4"/>
    <w:rsid w:val="4CD75751"/>
    <w:rsid w:val="4CDC91B8"/>
    <w:rsid w:val="4CDD1AE7"/>
    <w:rsid w:val="4CDEDDC7"/>
    <w:rsid w:val="4CE07CC0"/>
    <w:rsid w:val="4CE0D7DC"/>
    <w:rsid w:val="4CE22548"/>
    <w:rsid w:val="4CE262D4"/>
    <w:rsid w:val="4CE7E16C"/>
    <w:rsid w:val="4CE8869A"/>
    <w:rsid w:val="4CEC8F01"/>
    <w:rsid w:val="4CF11C0C"/>
    <w:rsid w:val="4CF2E5FA"/>
    <w:rsid w:val="4CF53BDA"/>
    <w:rsid w:val="4CF70200"/>
    <w:rsid w:val="4CF70A13"/>
    <w:rsid w:val="4CF90797"/>
    <w:rsid w:val="4CFAF890"/>
    <w:rsid w:val="4D03B03C"/>
    <w:rsid w:val="4D0A0854"/>
    <w:rsid w:val="4D0DB253"/>
    <w:rsid w:val="4D122750"/>
    <w:rsid w:val="4D15B455"/>
    <w:rsid w:val="4D1D9AD3"/>
    <w:rsid w:val="4D20BF8D"/>
    <w:rsid w:val="4D280CBA"/>
    <w:rsid w:val="4D2BC065"/>
    <w:rsid w:val="4D3509EF"/>
    <w:rsid w:val="4D35C33D"/>
    <w:rsid w:val="4D37EC60"/>
    <w:rsid w:val="4D4140D3"/>
    <w:rsid w:val="4D43B4DB"/>
    <w:rsid w:val="4D49B7B0"/>
    <w:rsid w:val="4D4A9229"/>
    <w:rsid w:val="4D56A7E6"/>
    <w:rsid w:val="4D58A8CA"/>
    <w:rsid w:val="4D5C733B"/>
    <w:rsid w:val="4D5D5229"/>
    <w:rsid w:val="4D60EFD7"/>
    <w:rsid w:val="4D63BA67"/>
    <w:rsid w:val="4D640B7A"/>
    <w:rsid w:val="4D646039"/>
    <w:rsid w:val="4D65CA3C"/>
    <w:rsid w:val="4D6A94DE"/>
    <w:rsid w:val="4D6B1D67"/>
    <w:rsid w:val="4D82C66E"/>
    <w:rsid w:val="4D8551CB"/>
    <w:rsid w:val="4D857DA0"/>
    <w:rsid w:val="4D8B6D22"/>
    <w:rsid w:val="4D8C773F"/>
    <w:rsid w:val="4D905DA8"/>
    <w:rsid w:val="4D91D374"/>
    <w:rsid w:val="4D9A0C68"/>
    <w:rsid w:val="4DA2040E"/>
    <w:rsid w:val="4DA3A5D5"/>
    <w:rsid w:val="4DAD2534"/>
    <w:rsid w:val="4DAD2EE8"/>
    <w:rsid w:val="4DB2B808"/>
    <w:rsid w:val="4DB46194"/>
    <w:rsid w:val="4DB5EFA9"/>
    <w:rsid w:val="4DB92A0E"/>
    <w:rsid w:val="4DBE4725"/>
    <w:rsid w:val="4DBE7EC8"/>
    <w:rsid w:val="4DC57A68"/>
    <w:rsid w:val="4DC57CA7"/>
    <w:rsid w:val="4DC78FC3"/>
    <w:rsid w:val="4DCC5AA1"/>
    <w:rsid w:val="4DCE61CB"/>
    <w:rsid w:val="4DCEE47A"/>
    <w:rsid w:val="4DCF34EF"/>
    <w:rsid w:val="4DD3DEC4"/>
    <w:rsid w:val="4DE464C0"/>
    <w:rsid w:val="4DE74E49"/>
    <w:rsid w:val="4DEA9071"/>
    <w:rsid w:val="4DF07586"/>
    <w:rsid w:val="4DF0DCEE"/>
    <w:rsid w:val="4DF3FA18"/>
    <w:rsid w:val="4DF41C79"/>
    <w:rsid w:val="4DF71514"/>
    <w:rsid w:val="4DF910D5"/>
    <w:rsid w:val="4DFACFEC"/>
    <w:rsid w:val="4DFCF7DB"/>
    <w:rsid w:val="4E00AA23"/>
    <w:rsid w:val="4E060FF5"/>
    <w:rsid w:val="4E08A497"/>
    <w:rsid w:val="4E0A8551"/>
    <w:rsid w:val="4E0B8C66"/>
    <w:rsid w:val="4E0C4D6F"/>
    <w:rsid w:val="4E0E41B4"/>
    <w:rsid w:val="4E135592"/>
    <w:rsid w:val="4E1C001B"/>
    <w:rsid w:val="4E208903"/>
    <w:rsid w:val="4E24BD7E"/>
    <w:rsid w:val="4E257A98"/>
    <w:rsid w:val="4E2E0361"/>
    <w:rsid w:val="4E3856F7"/>
    <w:rsid w:val="4E3C1B58"/>
    <w:rsid w:val="4E3CC116"/>
    <w:rsid w:val="4E454C57"/>
    <w:rsid w:val="4E455B2F"/>
    <w:rsid w:val="4E49F8E5"/>
    <w:rsid w:val="4E4D4893"/>
    <w:rsid w:val="4E501B22"/>
    <w:rsid w:val="4E55EEB5"/>
    <w:rsid w:val="4E583FD5"/>
    <w:rsid w:val="4E591217"/>
    <w:rsid w:val="4E5C51C2"/>
    <w:rsid w:val="4E5EEBE2"/>
    <w:rsid w:val="4E67ED3D"/>
    <w:rsid w:val="4E71FC2A"/>
    <w:rsid w:val="4E73E35E"/>
    <w:rsid w:val="4E78BB85"/>
    <w:rsid w:val="4E7A012A"/>
    <w:rsid w:val="4E7E8B31"/>
    <w:rsid w:val="4E802A3E"/>
    <w:rsid w:val="4E83CBEB"/>
    <w:rsid w:val="4E84B9FA"/>
    <w:rsid w:val="4E84DCE9"/>
    <w:rsid w:val="4E8BCFD9"/>
    <w:rsid w:val="4E8D18A0"/>
    <w:rsid w:val="4E92FEE9"/>
    <w:rsid w:val="4E930F7D"/>
    <w:rsid w:val="4E94F1AD"/>
    <w:rsid w:val="4E969B78"/>
    <w:rsid w:val="4E96D2EA"/>
    <w:rsid w:val="4E96F32B"/>
    <w:rsid w:val="4E9D028A"/>
    <w:rsid w:val="4EA5D991"/>
    <w:rsid w:val="4EA7AC26"/>
    <w:rsid w:val="4EA86128"/>
    <w:rsid w:val="4EA913C3"/>
    <w:rsid w:val="4EAF276F"/>
    <w:rsid w:val="4EB13A34"/>
    <w:rsid w:val="4EB8107F"/>
    <w:rsid w:val="4EBC6383"/>
    <w:rsid w:val="4EBC986E"/>
    <w:rsid w:val="4EC584CB"/>
    <w:rsid w:val="4EC96F80"/>
    <w:rsid w:val="4ECAC45F"/>
    <w:rsid w:val="4ECB5E2B"/>
    <w:rsid w:val="4ED3AB26"/>
    <w:rsid w:val="4ED9493A"/>
    <w:rsid w:val="4EDD4B60"/>
    <w:rsid w:val="4EE82B65"/>
    <w:rsid w:val="4EEEFC44"/>
    <w:rsid w:val="4EF43B94"/>
    <w:rsid w:val="4EFC16A1"/>
    <w:rsid w:val="4F0202B7"/>
    <w:rsid w:val="4F042F18"/>
    <w:rsid w:val="4F08747C"/>
    <w:rsid w:val="4F09D2C1"/>
    <w:rsid w:val="4F11981D"/>
    <w:rsid w:val="4F12965E"/>
    <w:rsid w:val="4F14E8D1"/>
    <w:rsid w:val="4F172210"/>
    <w:rsid w:val="4F188C79"/>
    <w:rsid w:val="4F1A5927"/>
    <w:rsid w:val="4F1DE596"/>
    <w:rsid w:val="4F1E9D26"/>
    <w:rsid w:val="4F244667"/>
    <w:rsid w:val="4F27B790"/>
    <w:rsid w:val="4F28DA4A"/>
    <w:rsid w:val="4F295344"/>
    <w:rsid w:val="4F2D70D5"/>
    <w:rsid w:val="4F2FED3F"/>
    <w:rsid w:val="4F319C46"/>
    <w:rsid w:val="4F3227D5"/>
    <w:rsid w:val="4F328391"/>
    <w:rsid w:val="4F347FAD"/>
    <w:rsid w:val="4F3AA5F6"/>
    <w:rsid w:val="4F3B204C"/>
    <w:rsid w:val="4F3B7A99"/>
    <w:rsid w:val="4F3C809D"/>
    <w:rsid w:val="4F41D5BE"/>
    <w:rsid w:val="4F45AB22"/>
    <w:rsid w:val="4F51688E"/>
    <w:rsid w:val="4F51C874"/>
    <w:rsid w:val="4F636D7F"/>
    <w:rsid w:val="4F64436B"/>
    <w:rsid w:val="4F66E62F"/>
    <w:rsid w:val="4F6F4B23"/>
    <w:rsid w:val="4F7171D5"/>
    <w:rsid w:val="4F768431"/>
    <w:rsid w:val="4F77111B"/>
    <w:rsid w:val="4F7773A1"/>
    <w:rsid w:val="4F780C96"/>
    <w:rsid w:val="4F7887B1"/>
    <w:rsid w:val="4F7A8720"/>
    <w:rsid w:val="4F81D90C"/>
    <w:rsid w:val="4F9486EC"/>
    <w:rsid w:val="4F964999"/>
    <w:rsid w:val="4F999D51"/>
    <w:rsid w:val="4F9B55CD"/>
    <w:rsid w:val="4FA18F36"/>
    <w:rsid w:val="4FA3A78B"/>
    <w:rsid w:val="4FA3DDDA"/>
    <w:rsid w:val="4FA8E507"/>
    <w:rsid w:val="4FABF2EB"/>
    <w:rsid w:val="4FADE8A3"/>
    <w:rsid w:val="4FB72E4D"/>
    <w:rsid w:val="4FB77F0E"/>
    <w:rsid w:val="4FB7A382"/>
    <w:rsid w:val="4FB8EDB9"/>
    <w:rsid w:val="4FB959D7"/>
    <w:rsid w:val="4FBA1344"/>
    <w:rsid w:val="4FC0C165"/>
    <w:rsid w:val="4FC2C5E0"/>
    <w:rsid w:val="4FC30637"/>
    <w:rsid w:val="4FC447FA"/>
    <w:rsid w:val="4FD87AA9"/>
    <w:rsid w:val="4FE9637F"/>
    <w:rsid w:val="4FEBC696"/>
    <w:rsid w:val="4FF2AC20"/>
    <w:rsid w:val="4FF438CE"/>
    <w:rsid w:val="4FF47D56"/>
    <w:rsid w:val="4FF53397"/>
    <w:rsid w:val="4FF68E5B"/>
    <w:rsid w:val="4FF990EE"/>
    <w:rsid w:val="4FF9D8EE"/>
    <w:rsid w:val="4FF9E36D"/>
    <w:rsid w:val="4FFB78F8"/>
    <w:rsid w:val="50013374"/>
    <w:rsid w:val="50023EC0"/>
    <w:rsid w:val="500382F0"/>
    <w:rsid w:val="500EBABF"/>
    <w:rsid w:val="500FD654"/>
    <w:rsid w:val="5012DE35"/>
    <w:rsid w:val="50149507"/>
    <w:rsid w:val="5015FB20"/>
    <w:rsid w:val="501E92C5"/>
    <w:rsid w:val="50205C83"/>
    <w:rsid w:val="5025F364"/>
    <w:rsid w:val="502AA5BA"/>
    <w:rsid w:val="502B8B53"/>
    <w:rsid w:val="502DB456"/>
    <w:rsid w:val="502FA4B1"/>
    <w:rsid w:val="502FB6CA"/>
    <w:rsid w:val="5033A475"/>
    <w:rsid w:val="50373578"/>
    <w:rsid w:val="5038F34A"/>
    <w:rsid w:val="503D84CE"/>
    <w:rsid w:val="50438CFB"/>
    <w:rsid w:val="5044DAF1"/>
    <w:rsid w:val="504AD4DB"/>
    <w:rsid w:val="504CD254"/>
    <w:rsid w:val="505079A7"/>
    <w:rsid w:val="505BEA3C"/>
    <w:rsid w:val="505CFD77"/>
    <w:rsid w:val="505F0BFA"/>
    <w:rsid w:val="50675414"/>
    <w:rsid w:val="5067D059"/>
    <w:rsid w:val="506A6F10"/>
    <w:rsid w:val="506EC276"/>
    <w:rsid w:val="506F0AD9"/>
    <w:rsid w:val="50757B76"/>
    <w:rsid w:val="5077968D"/>
    <w:rsid w:val="507F842F"/>
    <w:rsid w:val="508115B3"/>
    <w:rsid w:val="50854525"/>
    <w:rsid w:val="50869774"/>
    <w:rsid w:val="5087A83B"/>
    <w:rsid w:val="5088A66D"/>
    <w:rsid w:val="50891D01"/>
    <w:rsid w:val="508B2DAB"/>
    <w:rsid w:val="508C2BCE"/>
    <w:rsid w:val="50959E15"/>
    <w:rsid w:val="5095A577"/>
    <w:rsid w:val="50992F2E"/>
    <w:rsid w:val="50A163F3"/>
    <w:rsid w:val="50A1BBBD"/>
    <w:rsid w:val="50A22017"/>
    <w:rsid w:val="50A2233F"/>
    <w:rsid w:val="50AA382F"/>
    <w:rsid w:val="50ABBDF7"/>
    <w:rsid w:val="50AC0B05"/>
    <w:rsid w:val="50AE8275"/>
    <w:rsid w:val="50B24903"/>
    <w:rsid w:val="50B2DEAE"/>
    <w:rsid w:val="50B46E41"/>
    <w:rsid w:val="50B70BB9"/>
    <w:rsid w:val="50B854AE"/>
    <w:rsid w:val="50B9C79E"/>
    <w:rsid w:val="50BF0B3A"/>
    <w:rsid w:val="50C28B80"/>
    <w:rsid w:val="50C70146"/>
    <w:rsid w:val="50CC3DB9"/>
    <w:rsid w:val="50CD0641"/>
    <w:rsid w:val="50D182A0"/>
    <w:rsid w:val="50E23EF9"/>
    <w:rsid w:val="50E83D0D"/>
    <w:rsid w:val="50F2EB67"/>
    <w:rsid w:val="50F65300"/>
    <w:rsid w:val="50FB8121"/>
    <w:rsid w:val="50FFE7DC"/>
    <w:rsid w:val="51004696"/>
    <w:rsid w:val="51013DD7"/>
    <w:rsid w:val="510232D5"/>
    <w:rsid w:val="51041098"/>
    <w:rsid w:val="5105390D"/>
    <w:rsid w:val="51059C37"/>
    <w:rsid w:val="5106E1A9"/>
    <w:rsid w:val="5114AE56"/>
    <w:rsid w:val="5115FA47"/>
    <w:rsid w:val="5116DE28"/>
    <w:rsid w:val="511D2C61"/>
    <w:rsid w:val="511E2112"/>
    <w:rsid w:val="51272611"/>
    <w:rsid w:val="51279F6C"/>
    <w:rsid w:val="512887E5"/>
    <w:rsid w:val="513CFF53"/>
    <w:rsid w:val="5146A94C"/>
    <w:rsid w:val="514884E7"/>
    <w:rsid w:val="514B14FD"/>
    <w:rsid w:val="51566E05"/>
    <w:rsid w:val="5156D45F"/>
    <w:rsid w:val="51574E1F"/>
    <w:rsid w:val="515E9559"/>
    <w:rsid w:val="5162D30A"/>
    <w:rsid w:val="51666D80"/>
    <w:rsid w:val="516B0CA4"/>
    <w:rsid w:val="516F8616"/>
    <w:rsid w:val="516F999A"/>
    <w:rsid w:val="5170CED1"/>
    <w:rsid w:val="5171B4CB"/>
    <w:rsid w:val="51739382"/>
    <w:rsid w:val="51753296"/>
    <w:rsid w:val="51783C22"/>
    <w:rsid w:val="51787FC3"/>
    <w:rsid w:val="517BA241"/>
    <w:rsid w:val="51877E55"/>
    <w:rsid w:val="51891811"/>
    <w:rsid w:val="5189A533"/>
    <w:rsid w:val="518F9517"/>
    <w:rsid w:val="5190A010"/>
    <w:rsid w:val="519260B1"/>
    <w:rsid w:val="5192E9F9"/>
    <w:rsid w:val="5196EDA5"/>
    <w:rsid w:val="5197BC93"/>
    <w:rsid w:val="5199518A"/>
    <w:rsid w:val="519DCF75"/>
    <w:rsid w:val="519E298C"/>
    <w:rsid w:val="51A57794"/>
    <w:rsid w:val="51AAA1E5"/>
    <w:rsid w:val="51AE1794"/>
    <w:rsid w:val="51B027E8"/>
    <w:rsid w:val="51B0381A"/>
    <w:rsid w:val="51B34BBE"/>
    <w:rsid w:val="51B6206D"/>
    <w:rsid w:val="51B85F22"/>
    <w:rsid w:val="51BF77A0"/>
    <w:rsid w:val="51C030FF"/>
    <w:rsid w:val="51C1CFF4"/>
    <w:rsid w:val="51C71A32"/>
    <w:rsid w:val="51C92D4F"/>
    <w:rsid w:val="51C97F9C"/>
    <w:rsid w:val="51CD05FC"/>
    <w:rsid w:val="51CF2C43"/>
    <w:rsid w:val="51CF6F2D"/>
    <w:rsid w:val="51D3BB58"/>
    <w:rsid w:val="51DA2690"/>
    <w:rsid w:val="51DB291E"/>
    <w:rsid w:val="51DC166F"/>
    <w:rsid w:val="51DD1E81"/>
    <w:rsid w:val="51DD90B6"/>
    <w:rsid w:val="51DEC103"/>
    <w:rsid w:val="51DEC704"/>
    <w:rsid w:val="51E1947E"/>
    <w:rsid w:val="51E78DC5"/>
    <w:rsid w:val="51E93285"/>
    <w:rsid w:val="51EB7639"/>
    <w:rsid w:val="51EF975B"/>
    <w:rsid w:val="51F1187F"/>
    <w:rsid w:val="51F1D1E9"/>
    <w:rsid w:val="51F6AC31"/>
    <w:rsid w:val="51FC7D51"/>
    <w:rsid w:val="520D9307"/>
    <w:rsid w:val="52106CEE"/>
    <w:rsid w:val="52156722"/>
    <w:rsid w:val="5217027C"/>
    <w:rsid w:val="52175BDC"/>
    <w:rsid w:val="521A4281"/>
    <w:rsid w:val="521A664C"/>
    <w:rsid w:val="521E7707"/>
    <w:rsid w:val="52215E03"/>
    <w:rsid w:val="52258A86"/>
    <w:rsid w:val="5226623E"/>
    <w:rsid w:val="522E40BD"/>
    <w:rsid w:val="5231C358"/>
    <w:rsid w:val="523F9D6D"/>
    <w:rsid w:val="523FAE66"/>
    <w:rsid w:val="5242D3B7"/>
    <w:rsid w:val="5244BD88"/>
    <w:rsid w:val="5245DADF"/>
    <w:rsid w:val="5245EFC3"/>
    <w:rsid w:val="524B6169"/>
    <w:rsid w:val="5250CBB4"/>
    <w:rsid w:val="525281D4"/>
    <w:rsid w:val="52578A70"/>
    <w:rsid w:val="525DE64F"/>
    <w:rsid w:val="525EAF6C"/>
    <w:rsid w:val="526AC567"/>
    <w:rsid w:val="526C37AB"/>
    <w:rsid w:val="5272BF4D"/>
    <w:rsid w:val="52795502"/>
    <w:rsid w:val="527F86FA"/>
    <w:rsid w:val="5291EFEB"/>
    <w:rsid w:val="5292FEDE"/>
    <w:rsid w:val="5293DF50"/>
    <w:rsid w:val="52941BDE"/>
    <w:rsid w:val="52967F62"/>
    <w:rsid w:val="52980FD9"/>
    <w:rsid w:val="529983D7"/>
    <w:rsid w:val="529DDB29"/>
    <w:rsid w:val="52A0CA33"/>
    <w:rsid w:val="52A2199A"/>
    <w:rsid w:val="52A26809"/>
    <w:rsid w:val="52A47D44"/>
    <w:rsid w:val="52A8D4AC"/>
    <w:rsid w:val="52AB976C"/>
    <w:rsid w:val="52ABDA48"/>
    <w:rsid w:val="52ADCC10"/>
    <w:rsid w:val="52B129E4"/>
    <w:rsid w:val="52B3DA25"/>
    <w:rsid w:val="52B4A025"/>
    <w:rsid w:val="52B559F3"/>
    <w:rsid w:val="52C0C7CD"/>
    <w:rsid w:val="52C75F49"/>
    <w:rsid w:val="52C76F65"/>
    <w:rsid w:val="52CFA1F3"/>
    <w:rsid w:val="52D05589"/>
    <w:rsid w:val="52D4E295"/>
    <w:rsid w:val="52D6157F"/>
    <w:rsid w:val="52D7BAD7"/>
    <w:rsid w:val="52DA9FCF"/>
    <w:rsid w:val="52E1D3E7"/>
    <w:rsid w:val="52E224E5"/>
    <w:rsid w:val="52E3BAFB"/>
    <w:rsid w:val="52E5CE9C"/>
    <w:rsid w:val="52EE32CB"/>
    <w:rsid w:val="52F22870"/>
    <w:rsid w:val="52FF29C2"/>
    <w:rsid w:val="53024FFF"/>
    <w:rsid w:val="53034BFE"/>
    <w:rsid w:val="53065AF0"/>
    <w:rsid w:val="53161844"/>
    <w:rsid w:val="531A4E60"/>
    <w:rsid w:val="531B4733"/>
    <w:rsid w:val="53242A75"/>
    <w:rsid w:val="5325456E"/>
    <w:rsid w:val="53255A95"/>
    <w:rsid w:val="532CDFA1"/>
    <w:rsid w:val="532E8222"/>
    <w:rsid w:val="532F5707"/>
    <w:rsid w:val="53320B13"/>
    <w:rsid w:val="53346A41"/>
    <w:rsid w:val="533AE9F1"/>
    <w:rsid w:val="533B6ADC"/>
    <w:rsid w:val="5341CD39"/>
    <w:rsid w:val="53489090"/>
    <w:rsid w:val="534CF3BE"/>
    <w:rsid w:val="5350EB72"/>
    <w:rsid w:val="5354DE29"/>
    <w:rsid w:val="535CAFD1"/>
    <w:rsid w:val="535EBA11"/>
    <w:rsid w:val="53656C9E"/>
    <w:rsid w:val="53676F70"/>
    <w:rsid w:val="536B0A9D"/>
    <w:rsid w:val="536B1AE8"/>
    <w:rsid w:val="536EB688"/>
    <w:rsid w:val="5375BB90"/>
    <w:rsid w:val="53793462"/>
    <w:rsid w:val="53799D49"/>
    <w:rsid w:val="53850ECC"/>
    <w:rsid w:val="538B6252"/>
    <w:rsid w:val="53934F3D"/>
    <w:rsid w:val="539A54CD"/>
    <w:rsid w:val="539F64AA"/>
    <w:rsid w:val="53A803A3"/>
    <w:rsid w:val="53B241C8"/>
    <w:rsid w:val="53B6DA1D"/>
    <w:rsid w:val="53BD935E"/>
    <w:rsid w:val="53C718AF"/>
    <w:rsid w:val="53C73FAE"/>
    <w:rsid w:val="53CDE43F"/>
    <w:rsid w:val="53D256C5"/>
    <w:rsid w:val="53DE9CB7"/>
    <w:rsid w:val="53DFCBD7"/>
    <w:rsid w:val="53E0924A"/>
    <w:rsid w:val="53E84E0C"/>
    <w:rsid w:val="53E97FDB"/>
    <w:rsid w:val="53F372A9"/>
    <w:rsid w:val="5400CBE5"/>
    <w:rsid w:val="54049BEC"/>
    <w:rsid w:val="5405C12B"/>
    <w:rsid w:val="5408C315"/>
    <w:rsid w:val="540A3303"/>
    <w:rsid w:val="540C30C5"/>
    <w:rsid w:val="540D6128"/>
    <w:rsid w:val="540EBEE0"/>
    <w:rsid w:val="541863EC"/>
    <w:rsid w:val="541DD52F"/>
    <w:rsid w:val="54208F22"/>
    <w:rsid w:val="5421041E"/>
    <w:rsid w:val="5423B22A"/>
    <w:rsid w:val="5425C891"/>
    <w:rsid w:val="5427BC98"/>
    <w:rsid w:val="542C7B2E"/>
    <w:rsid w:val="542C7B70"/>
    <w:rsid w:val="542C81AD"/>
    <w:rsid w:val="542D1074"/>
    <w:rsid w:val="54305576"/>
    <w:rsid w:val="54353810"/>
    <w:rsid w:val="5437E0FE"/>
    <w:rsid w:val="54388B27"/>
    <w:rsid w:val="543C2B90"/>
    <w:rsid w:val="543CF5BF"/>
    <w:rsid w:val="54426E50"/>
    <w:rsid w:val="5443B71D"/>
    <w:rsid w:val="5444F4F7"/>
    <w:rsid w:val="54493183"/>
    <w:rsid w:val="544A7F9D"/>
    <w:rsid w:val="544EE09F"/>
    <w:rsid w:val="54503330"/>
    <w:rsid w:val="5455DDC0"/>
    <w:rsid w:val="5456E368"/>
    <w:rsid w:val="5458738D"/>
    <w:rsid w:val="545C16F9"/>
    <w:rsid w:val="5463F0C3"/>
    <w:rsid w:val="54650D7D"/>
    <w:rsid w:val="5468545F"/>
    <w:rsid w:val="5468F711"/>
    <w:rsid w:val="546BDBF4"/>
    <w:rsid w:val="546C5C93"/>
    <w:rsid w:val="546CC8F5"/>
    <w:rsid w:val="546E38B4"/>
    <w:rsid w:val="5478EFD8"/>
    <w:rsid w:val="547C1F2D"/>
    <w:rsid w:val="548056A6"/>
    <w:rsid w:val="54815FB4"/>
    <w:rsid w:val="54853A1B"/>
    <w:rsid w:val="54860C02"/>
    <w:rsid w:val="548798B5"/>
    <w:rsid w:val="54899990"/>
    <w:rsid w:val="548A7F4F"/>
    <w:rsid w:val="548D885C"/>
    <w:rsid w:val="548DEC57"/>
    <w:rsid w:val="548EC9C7"/>
    <w:rsid w:val="548F4415"/>
    <w:rsid w:val="548FC834"/>
    <w:rsid w:val="54913BBF"/>
    <w:rsid w:val="549A3187"/>
    <w:rsid w:val="549AE9C2"/>
    <w:rsid w:val="549BFD86"/>
    <w:rsid w:val="549DC30A"/>
    <w:rsid w:val="54A353A4"/>
    <w:rsid w:val="54AA9C48"/>
    <w:rsid w:val="54AC55AC"/>
    <w:rsid w:val="54AD69EC"/>
    <w:rsid w:val="54B1630B"/>
    <w:rsid w:val="54B1E082"/>
    <w:rsid w:val="54B42FFC"/>
    <w:rsid w:val="54BB80CC"/>
    <w:rsid w:val="54C0F543"/>
    <w:rsid w:val="54C10C8D"/>
    <w:rsid w:val="54C388F5"/>
    <w:rsid w:val="54C8F059"/>
    <w:rsid w:val="54CDEE1B"/>
    <w:rsid w:val="54D1A19D"/>
    <w:rsid w:val="54D62F93"/>
    <w:rsid w:val="54E26121"/>
    <w:rsid w:val="54E3349F"/>
    <w:rsid w:val="54E87C12"/>
    <w:rsid w:val="54EBF207"/>
    <w:rsid w:val="54F225A3"/>
    <w:rsid w:val="54F40D73"/>
    <w:rsid w:val="54F5A200"/>
    <w:rsid w:val="54F8A2E3"/>
    <w:rsid w:val="55010288"/>
    <w:rsid w:val="5501B8E6"/>
    <w:rsid w:val="55037024"/>
    <w:rsid w:val="5503DB1D"/>
    <w:rsid w:val="55060558"/>
    <w:rsid w:val="55068916"/>
    <w:rsid w:val="55085398"/>
    <w:rsid w:val="550B0D2B"/>
    <w:rsid w:val="5511432C"/>
    <w:rsid w:val="551A04A1"/>
    <w:rsid w:val="55201A95"/>
    <w:rsid w:val="552027CC"/>
    <w:rsid w:val="55207CA3"/>
    <w:rsid w:val="552522A0"/>
    <w:rsid w:val="5525A485"/>
    <w:rsid w:val="55293006"/>
    <w:rsid w:val="552BE1F3"/>
    <w:rsid w:val="55339EFE"/>
    <w:rsid w:val="55354246"/>
    <w:rsid w:val="55372F58"/>
    <w:rsid w:val="5539C04B"/>
    <w:rsid w:val="5540A87B"/>
    <w:rsid w:val="5553DE41"/>
    <w:rsid w:val="5556D7C7"/>
    <w:rsid w:val="555996CF"/>
    <w:rsid w:val="555AC112"/>
    <w:rsid w:val="555E50D4"/>
    <w:rsid w:val="555FB127"/>
    <w:rsid w:val="55630754"/>
    <w:rsid w:val="55670119"/>
    <w:rsid w:val="556DB1E1"/>
    <w:rsid w:val="55746C65"/>
    <w:rsid w:val="557905B4"/>
    <w:rsid w:val="557AA803"/>
    <w:rsid w:val="557E9062"/>
    <w:rsid w:val="55808729"/>
    <w:rsid w:val="5583F017"/>
    <w:rsid w:val="5585B555"/>
    <w:rsid w:val="5585D672"/>
    <w:rsid w:val="558A457E"/>
    <w:rsid w:val="559C2A11"/>
    <w:rsid w:val="559E9813"/>
    <w:rsid w:val="559F506F"/>
    <w:rsid w:val="55A0DA06"/>
    <w:rsid w:val="55A33957"/>
    <w:rsid w:val="55A554FE"/>
    <w:rsid w:val="55A62881"/>
    <w:rsid w:val="55A69175"/>
    <w:rsid w:val="55A7B25F"/>
    <w:rsid w:val="55AD7A47"/>
    <w:rsid w:val="55AE8126"/>
    <w:rsid w:val="55B340E5"/>
    <w:rsid w:val="55B72BFC"/>
    <w:rsid w:val="55B7DC3B"/>
    <w:rsid w:val="55B95BD5"/>
    <w:rsid w:val="55BF6F77"/>
    <w:rsid w:val="55C76F4D"/>
    <w:rsid w:val="55C9E002"/>
    <w:rsid w:val="55CAEC6A"/>
    <w:rsid w:val="55D84432"/>
    <w:rsid w:val="55DBA25F"/>
    <w:rsid w:val="55DE2A80"/>
    <w:rsid w:val="55E81EFE"/>
    <w:rsid w:val="55EB14F8"/>
    <w:rsid w:val="55EE12FF"/>
    <w:rsid w:val="55EF084A"/>
    <w:rsid w:val="55F3755F"/>
    <w:rsid w:val="55F4AD16"/>
    <w:rsid w:val="55F73793"/>
    <w:rsid w:val="55F7588F"/>
    <w:rsid w:val="55F9FB23"/>
    <w:rsid w:val="55FA8E93"/>
    <w:rsid w:val="5600BF72"/>
    <w:rsid w:val="560371B0"/>
    <w:rsid w:val="560433E8"/>
    <w:rsid w:val="5605D175"/>
    <w:rsid w:val="560B621C"/>
    <w:rsid w:val="560FEF10"/>
    <w:rsid w:val="5611E6A4"/>
    <w:rsid w:val="56135DA9"/>
    <w:rsid w:val="5616FD1C"/>
    <w:rsid w:val="5618A41C"/>
    <w:rsid w:val="561AFA9B"/>
    <w:rsid w:val="56213FA0"/>
    <w:rsid w:val="56262D1F"/>
    <w:rsid w:val="5627ABA9"/>
    <w:rsid w:val="5628AD33"/>
    <w:rsid w:val="562F5021"/>
    <w:rsid w:val="5637126B"/>
    <w:rsid w:val="563CDE39"/>
    <w:rsid w:val="5641B965"/>
    <w:rsid w:val="56446E51"/>
    <w:rsid w:val="564D35F8"/>
    <w:rsid w:val="564F184A"/>
    <w:rsid w:val="564F331B"/>
    <w:rsid w:val="56541E52"/>
    <w:rsid w:val="566440B5"/>
    <w:rsid w:val="5666841C"/>
    <w:rsid w:val="566E16C3"/>
    <w:rsid w:val="56728FC9"/>
    <w:rsid w:val="567C6039"/>
    <w:rsid w:val="567DF50B"/>
    <w:rsid w:val="568EC920"/>
    <w:rsid w:val="568F2E80"/>
    <w:rsid w:val="56928F91"/>
    <w:rsid w:val="5692D5C9"/>
    <w:rsid w:val="56945833"/>
    <w:rsid w:val="5697F51E"/>
    <w:rsid w:val="569A5091"/>
    <w:rsid w:val="569B8283"/>
    <w:rsid w:val="56A96FB5"/>
    <w:rsid w:val="56B07D69"/>
    <w:rsid w:val="56B31BD9"/>
    <w:rsid w:val="56B598EB"/>
    <w:rsid w:val="56B70FE6"/>
    <w:rsid w:val="56B8FE6D"/>
    <w:rsid w:val="56BA91F3"/>
    <w:rsid w:val="56C777AA"/>
    <w:rsid w:val="56C8861A"/>
    <w:rsid w:val="56D10DC7"/>
    <w:rsid w:val="56D22BE5"/>
    <w:rsid w:val="56D2BC39"/>
    <w:rsid w:val="56D720A8"/>
    <w:rsid w:val="56D76340"/>
    <w:rsid w:val="56D87F07"/>
    <w:rsid w:val="56D88CB7"/>
    <w:rsid w:val="56DD8745"/>
    <w:rsid w:val="56E0A4FC"/>
    <w:rsid w:val="56E119B1"/>
    <w:rsid w:val="56E122FE"/>
    <w:rsid w:val="56E7474E"/>
    <w:rsid w:val="56EC2909"/>
    <w:rsid w:val="56EEA848"/>
    <w:rsid w:val="56EFAF90"/>
    <w:rsid w:val="56F4A36E"/>
    <w:rsid w:val="56F51D4C"/>
    <w:rsid w:val="56F612AB"/>
    <w:rsid w:val="56FDD6BC"/>
    <w:rsid w:val="5702E2A4"/>
    <w:rsid w:val="5703B2F2"/>
    <w:rsid w:val="57071BD3"/>
    <w:rsid w:val="57118AAF"/>
    <w:rsid w:val="571C445D"/>
    <w:rsid w:val="571DAA72"/>
    <w:rsid w:val="571EF9DD"/>
    <w:rsid w:val="57235C32"/>
    <w:rsid w:val="572DEFD9"/>
    <w:rsid w:val="572F9E59"/>
    <w:rsid w:val="572FC6EF"/>
    <w:rsid w:val="5734E7A9"/>
    <w:rsid w:val="5735345C"/>
    <w:rsid w:val="573CC5AC"/>
    <w:rsid w:val="5744171E"/>
    <w:rsid w:val="57465103"/>
    <w:rsid w:val="574D187D"/>
    <w:rsid w:val="5750B6AB"/>
    <w:rsid w:val="5751C4F1"/>
    <w:rsid w:val="5755C7E6"/>
    <w:rsid w:val="5755F2DD"/>
    <w:rsid w:val="575ABCB0"/>
    <w:rsid w:val="575BBE2C"/>
    <w:rsid w:val="575CDDD3"/>
    <w:rsid w:val="575F0EA9"/>
    <w:rsid w:val="575F32A1"/>
    <w:rsid w:val="57658DE9"/>
    <w:rsid w:val="57695718"/>
    <w:rsid w:val="576FAFC1"/>
    <w:rsid w:val="5773DA3D"/>
    <w:rsid w:val="5773EA9F"/>
    <w:rsid w:val="577633C2"/>
    <w:rsid w:val="57763722"/>
    <w:rsid w:val="577767F0"/>
    <w:rsid w:val="577CB0BE"/>
    <w:rsid w:val="577DAA6F"/>
    <w:rsid w:val="577DDFF5"/>
    <w:rsid w:val="5780BE29"/>
    <w:rsid w:val="5783C996"/>
    <w:rsid w:val="578AEE6D"/>
    <w:rsid w:val="578DA7C5"/>
    <w:rsid w:val="578E93EE"/>
    <w:rsid w:val="578FD79A"/>
    <w:rsid w:val="5791E7AB"/>
    <w:rsid w:val="57921796"/>
    <w:rsid w:val="57942422"/>
    <w:rsid w:val="5794E4ED"/>
    <w:rsid w:val="57961FE8"/>
    <w:rsid w:val="579CFCE8"/>
    <w:rsid w:val="579DE4EB"/>
    <w:rsid w:val="57A03F68"/>
    <w:rsid w:val="57A6AED5"/>
    <w:rsid w:val="57A82B73"/>
    <w:rsid w:val="57AB6F3B"/>
    <w:rsid w:val="57ACD945"/>
    <w:rsid w:val="57B3C55F"/>
    <w:rsid w:val="57B40677"/>
    <w:rsid w:val="57BA83C6"/>
    <w:rsid w:val="57BD3099"/>
    <w:rsid w:val="57C4FB9C"/>
    <w:rsid w:val="57C5F1DC"/>
    <w:rsid w:val="57D0A770"/>
    <w:rsid w:val="57D1D07E"/>
    <w:rsid w:val="57D506F1"/>
    <w:rsid w:val="57D62D90"/>
    <w:rsid w:val="57DCF30F"/>
    <w:rsid w:val="57E19F27"/>
    <w:rsid w:val="57E4B1CA"/>
    <w:rsid w:val="57E8491C"/>
    <w:rsid w:val="57EC7F8D"/>
    <w:rsid w:val="57F11E70"/>
    <w:rsid w:val="57F8AFC7"/>
    <w:rsid w:val="57FD0021"/>
    <w:rsid w:val="58047E13"/>
    <w:rsid w:val="58059FB7"/>
    <w:rsid w:val="5807C99A"/>
    <w:rsid w:val="580A6192"/>
    <w:rsid w:val="580AA7EE"/>
    <w:rsid w:val="580EF099"/>
    <w:rsid w:val="58108E10"/>
    <w:rsid w:val="5811C831"/>
    <w:rsid w:val="5814DA92"/>
    <w:rsid w:val="58153414"/>
    <w:rsid w:val="581CC4A3"/>
    <w:rsid w:val="5820A4BA"/>
    <w:rsid w:val="58295ED0"/>
    <w:rsid w:val="582ADE31"/>
    <w:rsid w:val="582C4A6F"/>
    <w:rsid w:val="582CE5D9"/>
    <w:rsid w:val="58307976"/>
    <w:rsid w:val="58324B21"/>
    <w:rsid w:val="5835770F"/>
    <w:rsid w:val="583E5706"/>
    <w:rsid w:val="583ED8D8"/>
    <w:rsid w:val="583F8B02"/>
    <w:rsid w:val="5847D839"/>
    <w:rsid w:val="584A2731"/>
    <w:rsid w:val="585A2403"/>
    <w:rsid w:val="5866C37E"/>
    <w:rsid w:val="5869934D"/>
    <w:rsid w:val="58709709"/>
    <w:rsid w:val="58711F22"/>
    <w:rsid w:val="587CF658"/>
    <w:rsid w:val="587E39BF"/>
    <w:rsid w:val="5880FD4F"/>
    <w:rsid w:val="5889DD68"/>
    <w:rsid w:val="588B694F"/>
    <w:rsid w:val="589140E5"/>
    <w:rsid w:val="58981696"/>
    <w:rsid w:val="58998DB8"/>
    <w:rsid w:val="589CA4CA"/>
    <w:rsid w:val="58A1C473"/>
    <w:rsid w:val="58A2EF88"/>
    <w:rsid w:val="58AA4DA7"/>
    <w:rsid w:val="58AD7F17"/>
    <w:rsid w:val="58AF8FA4"/>
    <w:rsid w:val="58B29783"/>
    <w:rsid w:val="58BB2FD8"/>
    <w:rsid w:val="58C4A719"/>
    <w:rsid w:val="58C4ED74"/>
    <w:rsid w:val="58C515C2"/>
    <w:rsid w:val="58CA48D3"/>
    <w:rsid w:val="58CDF9A6"/>
    <w:rsid w:val="58D3D239"/>
    <w:rsid w:val="58D7D571"/>
    <w:rsid w:val="58D8E109"/>
    <w:rsid w:val="58DB5012"/>
    <w:rsid w:val="58DEC192"/>
    <w:rsid w:val="58E37154"/>
    <w:rsid w:val="58E39515"/>
    <w:rsid w:val="58E668F0"/>
    <w:rsid w:val="58E98B90"/>
    <w:rsid w:val="58EB628D"/>
    <w:rsid w:val="58ECB5EE"/>
    <w:rsid w:val="58F62C00"/>
    <w:rsid w:val="58F6F243"/>
    <w:rsid w:val="58F7EEA4"/>
    <w:rsid w:val="58FC9377"/>
    <w:rsid w:val="58FFE0BD"/>
    <w:rsid w:val="590199AA"/>
    <w:rsid w:val="5901FD66"/>
    <w:rsid w:val="5903375D"/>
    <w:rsid w:val="5904F536"/>
    <w:rsid w:val="5906B5B4"/>
    <w:rsid w:val="590DCD48"/>
    <w:rsid w:val="590F8C05"/>
    <w:rsid w:val="59169E56"/>
    <w:rsid w:val="59174236"/>
    <w:rsid w:val="591907BE"/>
    <w:rsid w:val="59242142"/>
    <w:rsid w:val="5937CF3C"/>
    <w:rsid w:val="593FB020"/>
    <w:rsid w:val="59423A27"/>
    <w:rsid w:val="5945800A"/>
    <w:rsid w:val="59481474"/>
    <w:rsid w:val="5964B51C"/>
    <w:rsid w:val="5966EA6A"/>
    <w:rsid w:val="5968A9E3"/>
    <w:rsid w:val="596D0DF9"/>
    <w:rsid w:val="597C96A5"/>
    <w:rsid w:val="597DAD98"/>
    <w:rsid w:val="597E6462"/>
    <w:rsid w:val="59801F84"/>
    <w:rsid w:val="598293E6"/>
    <w:rsid w:val="59839110"/>
    <w:rsid w:val="598C0DE3"/>
    <w:rsid w:val="598D1DE9"/>
    <w:rsid w:val="598D4B9E"/>
    <w:rsid w:val="598F5CBD"/>
    <w:rsid w:val="59928398"/>
    <w:rsid w:val="59968EE2"/>
    <w:rsid w:val="599ACC58"/>
    <w:rsid w:val="599F3FAF"/>
    <w:rsid w:val="59A0509E"/>
    <w:rsid w:val="59A0A5DB"/>
    <w:rsid w:val="59A41D7F"/>
    <w:rsid w:val="59AC170B"/>
    <w:rsid w:val="59B48A1A"/>
    <w:rsid w:val="59B977ED"/>
    <w:rsid w:val="59C3FDDB"/>
    <w:rsid w:val="59D46AC4"/>
    <w:rsid w:val="59DA4777"/>
    <w:rsid w:val="59DDF6BA"/>
    <w:rsid w:val="59DE4913"/>
    <w:rsid w:val="59E9FD77"/>
    <w:rsid w:val="59EE743F"/>
    <w:rsid w:val="59EE8FCD"/>
    <w:rsid w:val="59F460B2"/>
    <w:rsid w:val="59F51817"/>
    <w:rsid w:val="59F61328"/>
    <w:rsid w:val="5A06BE1A"/>
    <w:rsid w:val="5A0BF0FC"/>
    <w:rsid w:val="5A0E656D"/>
    <w:rsid w:val="5A10A1FD"/>
    <w:rsid w:val="5A163598"/>
    <w:rsid w:val="5A16548A"/>
    <w:rsid w:val="5A1A1121"/>
    <w:rsid w:val="5A1AA70A"/>
    <w:rsid w:val="5A1C7EF7"/>
    <w:rsid w:val="5A1EE111"/>
    <w:rsid w:val="5A1F304C"/>
    <w:rsid w:val="5A1F6DC0"/>
    <w:rsid w:val="5A1FFCC6"/>
    <w:rsid w:val="5A27FFAF"/>
    <w:rsid w:val="5A2DAB88"/>
    <w:rsid w:val="5A2E2962"/>
    <w:rsid w:val="5A2E50E0"/>
    <w:rsid w:val="5A322AA7"/>
    <w:rsid w:val="5A3B4A82"/>
    <w:rsid w:val="5A3C6339"/>
    <w:rsid w:val="5A3EF73B"/>
    <w:rsid w:val="5A40D13D"/>
    <w:rsid w:val="5A44A134"/>
    <w:rsid w:val="5A47D536"/>
    <w:rsid w:val="5A4A1659"/>
    <w:rsid w:val="5A591F5A"/>
    <w:rsid w:val="5A5B119F"/>
    <w:rsid w:val="5A5E4EE2"/>
    <w:rsid w:val="5A65120B"/>
    <w:rsid w:val="5A680DDE"/>
    <w:rsid w:val="5A6D7D96"/>
    <w:rsid w:val="5A72C99E"/>
    <w:rsid w:val="5A77D1D3"/>
    <w:rsid w:val="5A79A8D0"/>
    <w:rsid w:val="5A804A13"/>
    <w:rsid w:val="5A81D512"/>
    <w:rsid w:val="5A8342D3"/>
    <w:rsid w:val="5A855512"/>
    <w:rsid w:val="5A85C59A"/>
    <w:rsid w:val="5A8A5211"/>
    <w:rsid w:val="5A8C31AD"/>
    <w:rsid w:val="5A990A3C"/>
    <w:rsid w:val="5A9AD7C8"/>
    <w:rsid w:val="5A9B07E1"/>
    <w:rsid w:val="5AA89F11"/>
    <w:rsid w:val="5AA97291"/>
    <w:rsid w:val="5AAC9AF7"/>
    <w:rsid w:val="5AAE89CA"/>
    <w:rsid w:val="5AAFD554"/>
    <w:rsid w:val="5AB25A00"/>
    <w:rsid w:val="5AB37F0E"/>
    <w:rsid w:val="5ABD833A"/>
    <w:rsid w:val="5ABF0715"/>
    <w:rsid w:val="5AC1B6D9"/>
    <w:rsid w:val="5AC1F168"/>
    <w:rsid w:val="5AC5D2D5"/>
    <w:rsid w:val="5AC5FA77"/>
    <w:rsid w:val="5ACC9B20"/>
    <w:rsid w:val="5AD73B1E"/>
    <w:rsid w:val="5ADB81D0"/>
    <w:rsid w:val="5ADBEAC5"/>
    <w:rsid w:val="5ADF863C"/>
    <w:rsid w:val="5AE1EFB4"/>
    <w:rsid w:val="5AE62915"/>
    <w:rsid w:val="5AEB76F9"/>
    <w:rsid w:val="5AF1DFBD"/>
    <w:rsid w:val="5AF603DF"/>
    <w:rsid w:val="5AF73154"/>
    <w:rsid w:val="5AF7F6C4"/>
    <w:rsid w:val="5AFFC339"/>
    <w:rsid w:val="5B00E46F"/>
    <w:rsid w:val="5B075BFD"/>
    <w:rsid w:val="5B0BA3C0"/>
    <w:rsid w:val="5B0E7EA3"/>
    <w:rsid w:val="5B13C29F"/>
    <w:rsid w:val="5B152862"/>
    <w:rsid w:val="5B16CAFA"/>
    <w:rsid w:val="5B18A059"/>
    <w:rsid w:val="5B19EE30"/>
    <w:rsid w:val="5B1D05AD"/>
    <w:rsid w:val="5B20B688"/>
    <w:rsid w:val="5B27CFD7"/>
    <w:rsid w:val="5B285281"/>
    <w:rsid w:val="5B296C30"/>
    <w:rsid w:val="5B2CEAFC"/>
    <w:rsid w:val="5B2DA7B0"/>
    <w:rsid w:val="5B2FCDA4"/>
    <w:rsid w:val="5B3032A7"/>
    <w:rsid w:val="5B335202"/>
    <w:rsid w:val="5B35366D"/>
    <w:rsid w:val="5B373C38"/>
    <w:rsid w:val="5B3C45C2"/>
    <w:rsid w:val="5B3F1236"/>
    <w:rsid w:val="5B44F3FB"/>
    <w:rsid w:val="5B460E7D"/>
    <w:rsid w:val="5B498E78"/>
    <w:rsid w:val="5B4B6D0C"/>
    <w:rsid w:val="5B5656FF"/>
    <w:rsid w:val="5B572392"/>
    <w:rsid w:val="5B58A738"/>
    <w:rsid w:val="5B5EB7FA"/>
    <w:rsid w:val="5B637E04"/>
    <w:rsid w:val="5B653A4A"/>
    <w:rsid w:val="5B65C906"/>
    <w:rsid w:val="5B67B2FA"/>
    <w:rsid w:val="5B69B19F"/>
    <w:rsid w:val="5B6E9E0B"/>
    <w:rsid w:val="5B713D7A"/>
    <w:rsid w:val="5B75FFF4"/>
    <w:rsid w:val="5B7A04F8"/>
    <w:rsid w:val="5B7C8696"/>
    <w:rsid w:val="5B7FBBC2"/>
    <w:rsid w:val="5B839613"/>
    <w:rsid w:val="5B861166"/>
    <w:rsid w:val="5B8BD8AF"/>
    <w:rsid w:val="5B916869"/>
    <w:rsid w:val="5B93A7C6"/>
    <w:rsid w:val="5B94D76E"/>
    <w:rsid w:val="5B960FE2"/>
    <w:rsid w:val="5B964A77"/>
    <w:rsid w:val="5B988217"/>
    <w:rsid w:val="5B99FB8F"/>
    <w:rsid w:val="5BA0783A"/>
    <w:rsid w:val="5BA7AE6E"/>
    <w:rsid w:val="5BA98405"/>
    <w:rsid w:val="5BADBFFA"/>
    <w:rsid w:val="5BB4A090"/>
    <w:rsid w:val="5BB4D405"/>
    <w:rsid w:val="5BB4E160"/>
    <w:rsid w:val="5BBA9B67"/>
    <w:rsid w:val="5BBC80E6"/>
    <w:rsid w:val="5BC40FF4"/>
    <w:rsid w:val="5BD3AE79"/>
    <w:rsid w:val="5BDB0E93"/>
    <w:rsid w:val="5BDC03BB"/>
    <w:rsid w:val="5BDEBE8E"/>
    <w:rsid w:val="5BDFA272"/>
    <w:rsid w:val="5BEAC0BC"/>
    <w:rsid w:val="5BF70699"/>
    <w:rsid w:val="5BFBAADD"/>
    <w:rsid w:val="5BFC4620"/>
    <w:rsid w:val="5BFCC6A4"/>
    <w:rsid w:val="5BFF359F"/>
    <w:rsid w:val="5C01FF40"/>
    <w:rsid w:val="5C02FA26"/>
    <w:rsid w:val="5C044450"/>
    <w:rsid w:val="5C04EACB"/>
    <w:rsid w:val="5C114876"/>
    <w:rsid w:val="5C1A485C"/>
    <w:rsid w:val="5C1C68C7"/>
    <w:rsid w:val="5C20F12A"/>
    <w:rsid w:val="5C26B8CB"/>
    <w:rsid w:val="5C32C182"/>
    <w:rsid w:val="5C33E62C"/>
    <w:rsid w:val="5C34C477"/>
    <w:rsid w:val="5C3D066D"/>
    <w:rsid w:val="5C3DAA73"/>
    <w:rsid w:val="5C3DBC99"/>
    <w:rsid w:val="5C410020"/>
    <w:rsid w:val="5C426989"/>
    <w:rsid w:val="5C440527"/>
    <w:rsid w:val="5C4BDD55"/>
    <w:rsid w:val="5C4C675E"/>
    <w:rsid w:val="5C53DE6C"/>
    <w:rsid w:val="5C5482D4"/>
    <w:rsid w:val="5C54BB9D"/>
    <w:rsid w:val="5C572A3F"/>
    <w:rsid w:val="5C599906"/>
    <w:rsid w:val="5C613156"/>
    <w:rsid w:val="5C6200ED"/>
    <w:rsid w:val="5C6369F7"/>
    <w:rsid w:val="5C6A4D97"/>
    <w:rsid w:val="5C6E3AAA"/>
    <w:rsid w:val="5C784611"/>
    <w:rsid w:val="5C7AF34A"/>
    <w:rsid w:val="5C7CC694"/>
    <w:rsid w:val="5C7D939D"/>
    <w:rsid w:val="5C828B6E"/>
    <w:rsid w:val="5C8447AE"/>
    <w:rsid w:val="5C85517C"/>
    <w:rsid w:val="5C86DC5E"/>
    <w:rsid w:val="5C875715"/>
    <w:rsid w:val="5C897125"/>
    <w:rsid w:val="5C8B628D"/>
    <w:rsid w:val="5C96565A"/>
    <w:rsid w:val="5C987812"/>
    <w:rsid w:val="5C992920"/>
    <w:rsid w:val="5C9A1139"/>
    <w:rsid w:val="5CA0DE37"/>
    <w:rsid w:val="5CA9E835"/>
    <w:rsid w:val="5CAF2196"/>
    <w:rsid w:val="5CAF3988"/>
    <w:rsid w:val="5CB10ED4"/>
    <w:rsid w:val="5CB1D40E"/>
    <w:rsid w:val="5CB1E1A8"/>
    <w:rsid w:val="5CB2B969"/>
    <w:rsid w:val="5CB6BC73"/>
    <w:rsid w:val="5CBB06D6"/>
    <w:rsid w:val="5CC0E540"/>
    <w:rsid w:val="5CC3C147"/>
    <w:rsid w:val="5CC6C277"/>
    <w:rsid w:val="5CC8BB5D"/>
    <w:rsid w:val="5CCA0AB1"/>
    <w:rsid w:val="5CCB7F2C"/>
    <w:rsid w:val="5CD49D0F"/>
    <w:rsid w:val="5CD779F5"/>
    <w:rsid w:val="5CD98F40"/>
    <w:rsid w:val="5CE96DE4"/>
    <w:rsid w:val="5CEA58DF"/>
    <w:rsid w:val="5CED8D29"/>
    <w:rsid w:val="5CF9A9C7"/>
    <w:rsid w:val="5CFDD26B"/>
    <w:rsid w:val="5CFF3789"/>
    <w:rsid w:val="5CFFDF47"/>
    <w:rsid w:val="5D068659"/>
    <w:rsid w:val="5D07506D"/>
    <w:rsid w:val="5D07D243"/>
    <w:rsid w:val="5D09123C"/>
    <w:rsid w:val="5D0EBA35"/>
    <w:rsid w:val="5D0F7828"/>
    <w:rsid w:val="5D1326C9"/>
    <w:rsid w:val="5D1450BE"/>
    <w:rsid w:val="5D16D08A"/>
    <w:rsid w:val="5D1A8F97"/>
    <w:rsid w:val="5D1B7264"/>
    <w:rsid w:val="5D21C2E6"/>
    <w:rsid w:val="5D28D33A"/>
    <w:rsid w:val="5D293932"/>
    <w:rsid w:val="5D3053B8"/>
    <w:rsid w:val="5D305836"/>
    <w:rsid w:val="5D341F46"/>
    <w:rsid w:val="5D34D3AE"/>
    <w:rsid w:val="5D36F68D"/>
    <w:rsid w:val="5D3A1BE1"/>
    <w:rsid w:val="5D3A5DFA"/>
    <w:rsid w:val="5D3B9781"/>
    <w:rsid w:val="5D3CC62C"/>
    <w:rsid w:val="5D3E3D8F"/>
    <w:rsid w:val="5D3FA393"/>
    <w:rsid w:val="5D3FEBB2"/>
    <w:rsid w:val="5D406538"/>
    <w:rsid w:val="5D4C34E0"/>
    <w:rsid w:val="5D51FD7E"/>
    <w:rsid w:val="5D52CE15"/>
    <w:rsid w:val="5D54F997"/>
    <w:rsid w:val="5D672946"/>
    <w:rsid w:val="5D6B922D"/>
    <w:rsid w:val="5D6C4356"/>
    <w:rsid w:val="5D6F4F2B"/>
    <w:rsid w:val="5D6F92DA"/>
    <w:rsid w:val="5D78F017"/>
    <w:rsid w:val="5D7A8638"/>
    <w:rsid w:val="5D7CAF77"/>
    <w:rsid w:val="5D7E95EB"/>
    <w:rsid w:val="5D862C71"/>
    <w:rsid w:val="5D87B5E7"/>
    <w:rsid w:val="5D8C317E"/>
    <w:rsid w:val="5D968B22"/>
    <w:rsid w:val="5D97F748"/>
    <w:rsid w:val="5D987EFE"/>
    <w:rsid w:val="5D9A9D7C"/>
    <w:rsid w:val="5D9B8616"/>
    <w:rsid w:val="5D9E910C"/>
    <w:rsid w:val="5DA0F15F"/>
    <w:rsid w:val="5DA1F465"/>
    <w:rsid w:val="5DA33A31"/>
    <w:rsid w:val="5DAE4C04"/>
    <w:rsid w:val="5DAF6576"/>
    <w:rsid w:val="5DB5B75E"/>
    <w:rsid w:val="5DB95AB2"/>
    <w:rsid w:val="5DBC5BBA"/>
    <w:rsid w:val="5DBF0454"/>
    <w:rsid w:val="5DCB355A"/>
    <w:rsid w:val="5DCE6E14"/>
    <w:rsid w:val="5DD0AE93"/>
    <w:rsid w:val="5DD862AA"/>
    <w:rsid w:val="5DDDF6EC"/>
    <w:rsid w:val="5DE86E4F"/>
    <w:rsid w:val="5DEEA48D"/>
    <w:rsid w:val="5DF27C11"/>
    <w:rsid w:val="5DF63974"/>
    <w:rsid w:val="5E019952"/>
    <w:rsid w:val="5E03A90D"/>
    <w:rsid w:val="5E044A3F"/>
    <w:rsid w:val="5E13F423"/>
    <w:rsid w:val="5E1ABC7E"/>
    <w:rsid w:val="5E1EF161"/>
    <w:rsid w:val="5E1FE0EB"/>
    <w:rsid w:val="5E20B2B9"/>
    <w:rsid w:val="5E21FA7C"/>
    <w:rsid w:val="5E258E57"/>
    <w:rsid w:val="5E25A453"/>
    <w:rsid w:val="5E2FAEC8"/>
    <w:rsid w:val="5E2FC84D"/>
    <w:rsid w:val="5E3AC2EA"/>
    <w:rsid w:val="5E4E3DD5"/>
    <w:rsid w:val="5E4F74D6"/>
    <w:rsid w:val="5E51320F"/>
    <w:rsid w:val="5E5A3138"/>
    <w:rsid w:val="5E5A7D92"/>
    <w:rsid w:val="5E5D4FA7"/>
    <w:rsid w:val="5E5FC997"/>
    <w:rsid w:val="5E6BD3C9"/>
    <w:rsid w:val="5E6FB834"/>
    <w:rsid w:val="5E6FE4FC"/>
    <w:rsid w:val="5E719DB1"/>
    <w:rsid w:val="5E75BEF4"/>
    <w:rsid w:val="5E768964"/>
    <w:rsid w:val="5E81105A"/>
    <w:rsid w:val="5E813FD2"/>
    <w:rsid w:val="5E8461E6"/>
    <w:rsid w:val="5E848AC6"/>
    <w:rsid w:val="5E85DA49"/>
    <w:rsid w:val="5E876459"/>
    <w:rsid w:val="5E89BE59"/>
    <w:rsid w:val="5E8A741C"/>
    <w:rsid w:val="5E8DF927"/>
    <w:rsid w:val="5E94B6C4"/>
    <w:rsid w:val="5E983F94"/>
    <w:rsid w:val="5EA21AB3"/>
    <w:rsid w:val="5EA4455E"/>
    <w:rsid w:val="5EA47E18"/>
    <w:rsid w:val="5EB4F95D"/>
    <w:rsid w:val="5EB5E712"/>
    <w:rsid w:val="5EBF5964"/>
    <w:rsid w:val="5EC713FA"/>
    <w:rsid w:val="5EC8372A"/>
    <w:rsid w:val="5EC9C7E2"/>
    <w:rsid w:val="5ECA5A87"/>
    <w:rsid w:val="5ECBA2B3"/>
    <w:rsid w:val="5ECBF554"/>
    <w:rsid w:val="5ECC4104"/>
    <w:rsid w:val="5ECD3655"/>
    <w:rsid w:val="5EDD3DA3"/>
    <w:rsid w:val="5EDF2C69"/>
    <w:rsid w:val="5EE01C02"/>
    <w:rsid w:val="5EE76188"/>
    <w:rsid w:val="5EE79F72"/>
    <w:rsid w:val="5EE93785"/>
    <w:rsid w:val="5EEFB831"/>
    <w:rsid w:val="5EF09082"/>
    <w:rsid w:val="5EF6535C"/>
    <w:rsid w:val="5EFAE6DD"/>
    <w:rsid w:val="5EFB19FE"/>
    <w:rsid w:val="5EFFA29E"/>
    <w:rsid w:val="5F00ECE8"/>
    <w:rsid w:val="5F026D59"/>
    <w:rsid w:val="5F04D79D"/>
    <w:rsid w:val="5F0B633B"/>
    <w:rsid w:val="5F110192"/>
    <w:rsid w:val="5F127865"/>
    <w:rsid w:val="5F1A18ED"/>
    <w:rsid w:val="5F1D7449"/>
    <w:rsid w:val="5F1E7100"/>
    <w:rsid w:val="5F22B027"/>
    <w:rsid w:val="5F272638"/>
    <w:rsid w:val="5F28F902"/>
    <w:rsid w:val="5F2F59E7"/>
    <w:rsid w:val="5F31E6B2"/>
    <w:rsid w:val="5F3489D7"/>
    <w:rsid w:val="5F358A1E"/>
    <w:rsid w:val="5F373B88"/>
    <w:rsid w:val="5F3C3A6D"/>
    <w:rsid w:val="5F3C3E88"/>
    <w:rsid w:val="5F3C7882"/>
    <w:rsid w:val="5F3E2B78"/>
    <w:rsid w:val="5F3F62E4"/>
    <w:rsid w:val="5F405A6E"/>
    <w:rsid w:val="5F426B39"/>
    <w:rsid w:val="5F443829"/>
    <w:rsid w:val="5F4654E1"/>
    <w:rsid w:val="5F4E630F"/>
    <w:rsid w:val="5F5AAB54"/>
    <w:rsid w:val="5F5FA12A"/>
    <w:rsid w:val="5F641A4C"/>
    <w:rsid w:val="5F6C80C9"/>
    <w:rsid w:val="5F6F5AA8"/>
    <w:rsid w:val="5F718172"/>
    <w:rsid w:val="5F782B95"/>
    <w:rsid w:val="5F7AD9AC"/>
    <w:rsid w:val="5F7B1EB2"/>
    <w:rsid w:val="5F7BB653"/>
    <w:rsid w:val="5F7CAD6C"/>
    <w:rsid w:val="5F7EF1E8"/>
    <w:rsid w:val="5F80A73A"/>
    <w:rsid w:val="5F87945D"/>
    <w:rsid w:val="5F8C1C22"/>
    <w:rsid w:val="5F8EEE0C"/>
    <w:rsid w:val="5F8F18D8"/>
    <w:rsid w:val="5F933C58"/>
    <w:rsid w:val="5F93F5DD"/>
    <w:rsid w:val="5F94CC91"/>
    <w:rsid w:val="5F96662E"/>
    <w:rsid w:val="5F980C64"/>
    <w:rsid w:val="5F982B08"/>
    <w:rsid w:val="5F99B9A9"/>
    <w:rsid w:val="5F9BF977"/>
    <w:rsid w:val="5F9C6CE3"/>
    <w:rsid w:val="5FA309FF"/>
    <w:rsid w:val="5FA682C9"/>
    <w:rsid w:val="5FA8CC78"/>
    <w:rsid w:val="5FAE1AF5"/>
    <w:rsid w:val="5FB24BFF"/>
    <w:rsid w:val="5FB2B6E6"/>
    <w:rsid w:val="5FB3C9A3"/>
    <w:rsid w:val="5FBCAE8C"/>
    <w:rsid w:val="5FC65F34"/>
    <w:rsid w:val="5FCA657C"/>
    <w:rsid w:val="5FCA9EA6"/>
    <w:rsid w:val="5FD1375A"/>
    <w:rsid w:val="5FD8AD8D"/>
    <w:rsid w:val="5FD90075"/>
    <w:rsid w:val="5FD9AFFA"/>
    <w:rsid w:val="5FDF1346"/>
    <w:rsid w:val="5FDFF76E"/>
    <w:rsid w:val="5FE5890A"/>
    <w:rsid w:val="5FE733C2"/>
    <w:rsid w:val="5FEB7748"/>
    <w:rsid w:val="5FEC27D2"/>
    <w:rsid w:val="5FF00DA7"/>
    <w:rsid w:val="5FF1AC4F"/>
    <w:rsid w:val="5FFC4D72"/>
    <w:rsid w:val="6002AC9B"/>
    <w:rsid w:val="6002B48B"/>
    <w:rsid w:val="6002E1F8"/>
    <w:rsid w:val="60036D75"/>
    <w:rsid w:val="60048216"/>
    <w:rsid w:val="60076CED"/>
    <w:rsid w:val="6009635B"/>
    <w:rsid w:val="600FE742"/>
    <w:rsid w:val="601B6C3F"/>
    <w:rsid w:val="601DE061"/>
    <w:rsid w:val="601F8C90"/>
    <w:rsid w:val="6035572D"/>
    <w:rsid w:val="6039F8E1"/>
    <w:rsid w:val="603ACD67"/>
    <w:rsid w:val="603ADA61"/>
    <w:rsid w:val="603B9156"/>
    <w:rsid w:val="603C165C"/>
    <w:rsid w:val="603C7F57"/>
    <w:rsid w:val="6045C583"/>
    <w:rsid w:val="60477DE3"/>
    <w:rsid w:val="60491221"/>
    <w:rsid w:val="6049B9E6"/>
    <w:rsid w:val="604C08A5"/>
    <w:rsid w:val="604C7AD7"/>
    <w:rsid w:val="60530BD4"/>
    <w:rsid w:val="60544919"/>
    <w:rsid w:val="6062C84E"/>
    <w:rsid w:val="60639C54"/>
    <w:rsid w:val="606413C6"/>
    <w:rsid w:val="606600BF"/>
    <w:rsid w:val="60663AAA"/>
    <w:rsid w:val="60663B41"/>
    <w:rsid w:val="6066AC4A"/>
    <w:rsid w:val="606B8088"/>
    <w:rsid w:val="608675F6"/>
    <w:rsid w:val="60886BDC"/>
    <w:rsid w:val="608AD003"/>
    <w:rsid w:val="6092D119"/>
    <w:rsid w:val="60931E40"/>
    <w:rsid w:val="60A87A2C"/>
    <w:rsid w:val="60AC6A00"/>
    <w:rsid w:val="60B34BE8"/>
    <w:rsid w:val="60B47363"/>
    <w:rsid w:val="60B65CA0"/>
    <w:rsid w:val="60BDDDD4"/>
    <w:rsid w:val="60C56374"/>
    <w:rsid w:val="60D113FE"/>
    <w:rsid w:val="60E06C34"/>
    <w:rsid w:val="60E2AF14"/>
    <w:rsid w:val="60E44E2E"/>
    <w:rsid w:val="60E58894"/>
    <w:rsid w:val="60EC923E"/>
    <w:rsid w:val="60EF4D98"/>
    <w:rsid w:val="60F4E84F"/>
    <w:rsid w:val="60FB23E3"/>
    <w:rsid w:val="61065D33"/>
    <w:rsid w:val="6106ECE9"/>
    <w:rsid w:val="6108D839"/>
    <w:rsid w:val="6109B7B0"/>
    <w:rsid w:val="6109D3A6"/>
    <w:rsid w:val="610E86E5"/>
    <w:rsid w:val="610EDC97"/>
    <w:rsid w:val="611083ED"/>
    <w:rsid w:val="6115A871"/>
    <w:rsid w:val="611D2812"/>
    <w:rsid w:val="611D9677"/>
    <w:rsid w:val="611E2A3A"/>
    <w:rsid w:val="611EBB81"/>
    <w:rsid w:val="61216E05"/>
    <w:rsid w:val="6121F73B"/>
    <w:rsid w:val="61242897"/>
    <w:rsid w:val="61270D80"/>
    <w:rsid w:val="612A9B7A"/>
    <w:rsid w:val="612FCC06"/>
    <w:rsid w:val="613048B9"/>
    <w:rsid w:val="613130C9"/>
    <w:rsid w:val="6133F952"/>
    <w:rsid w:val="613BFA3D"/>
    <w:rsid w:val="613CC1F8"/>
    <w:rsid w:val="613E5FE0"/>
    <w:rsid w:val="614264BA"/>
    <w:rsid w:val="61436A3A"/>
    <w:rsid w:val="61497440"/>
    <w:rsid w:val="6149C465"/>
    <w:rsid w:val="614C517D"/>
    <w:rsid w:val="615161C9"/>
    <w:rsid w:val="6159BF09"/>
    <w:rsid w:val="615B063E"/>
    <w:rsid w:val="615B859A"/>
    <w:rsid w:val="6160FE20"/>
    <w:rsid w:val="61617916"/>
    <w:rsid w:val="61652B6E"/>
    <w:rsid w:val="61671F8C"/>
    <w:rsid w:val="6167ECD2"/>
    <w:rsid w:val="616E8614"/>
    <w:rsid w:val="61732AE2"/>
    <w:rsid w:val="617343CC"/>
    <w:rsid w:val="61776FFE"/>
    <w:rsid w:val="6178B9DF"/>
    <w:rsid w:val="6179E1FE"/>
    <w:rsid w:val="617DAB50"/>
    <w:rsid w:val="61829EEB"/>
    <w:rsid w:val="61870D3F"/>
    <w:rsid w:val="6194CFC7"/>
    <w:rsid w:val="619DE61C"/>
    <w:rsid w:val="61A17D9F"/>
    <w:rsid w:val="61A18499"/>
    <w:rsid w:val="61A43DBF"/>
    <w:rsid w:val="61A466D9"/>
    <w:rsid w:val="61A95387"/>
    <w:rsid w:val="61AB36A4"/>
    <w:rsid w:val="61AE6B7E"/>
    <w:rsid w:val="61B0B807"/>
    <w:rsid w:val="61B1820E"/>
    <w:rsid w:val="61B95CCB"/>
    <w:rsid w:val="61BA5255"/>
    <w:rsid w:val="61BA9E03"/>
    <w:rsid w:val="61BAEB6E"/>
    <w:rsid w:val="61C0691E"/>
    <w:rsid w:val="61C13C3D"/>
    <w:rsid w:val="61C2AE30"/>
    <w:rsid w:val="61C3DE17"/>
    <w:rsid w:val="61CEF6C3"/>
    <w:rsid w:val="61D25047"/>
    <w:rsid w:val="61D49E1E"/>
    <w:rsid w:val="61DB0CCA"/>
    <w:rsid w:val="61DC06BD"/>
    <w:rsid w:val="61E09318"/>
    <w:rsid w:val="61E40B27"/>
    <w:rsid w:val="61E4ED31"/>
    <w:rsid w:val="61E5FA9B"/>
    <w:rsid w:val="61E9EBAD"/>
    <w:rsid w:val="61EE1AE0"/>
    <w:rsid w:val="61EE705C"/>
    <w:rsid w:val="61F4D9E6"/>
    <w:rsid w:val="6200EF35"/>
    <w:rsid w:val="6204CD1C"/>
    <w:rsid w:val="620B8D96"/>
    <w:rsid w:val="62133FE6"/>
    <w:rsid w:val="621812B0"/>
    <w:rsid w:val="6219D260"/>
    <w:rsid w:val="621A058F"/>
    <w:rsid w:val="6221154A"/>
    <w:rsid w:val="62262941"/>
    <w:rsid w:val="622DBAC4"/>
    <w:rsid w:val="62364CFA"/>
    <w:rsid w:val="623AEB1C"/>
    <w:rsid w:val="623B443B"/>
    <w:rsid w:val="6240C896"/>
    <w:rsid w:val="6243585F"/>
    <w:rsid w:val="6246AF59"/>
    <w:rsid w:val="624BC992"/>
    <w:rsid w:val="625934CF"/>
    <w:rsid w:val="6265F97C"/>
    <w:rsid w:val="626B5417"/>
    <w:rsid w:val="626FB701"/>
    <w:rsid w:val="627A7902"/>
    <w:rsid w:val="627EE672"/>
    <w:rsid w:val="627FA82A"/>
    <w:rsid w:val="6284490E"/>
    <w:rsid w:val="6284D30B"/>
    <w:rsid w:val="6286DBBC"/>
    <w:rsid w:val="6287E7D9"/>
    <w:rsid w:val="628B61D8"/>
    <w:rsid w:val="628D7895"/>
    <w:rsid w:val="629053BF"/>
    <w:rsid w:val="6293DB6C"/>
    <w:rsid w:val="62951FB4"/>
    <w:rsid w:val="6298F401"/>
    <w:rsid w:val="629F3297"/>
    <w:rsid w:val="62A55EF3"/>
    <w:rsid w:val="62AA9C5D"/>
    <w:rsid w:val="62AE4D66"/>
    <w:rsid w:val="62B3F9AC"/>
    <w:rsid w:val="62B55AE6"/>
    <w:rsid w:val="62B6E066"/>
    <w:rsid w:val="62BBB4A8"/>
    <w:rsid w:val="62BED924"/>
    <w:rsid w:val="62BF450A"/>
    <w:rsid w:val="62BFE89F"/>
    <w:rsid w:val="62C12A51"/>
    <w:rsid w:val="62C1CAC6"/>
    <w:rsid w:val="62C66291"/>
    <w:rsid w:val="62CB835E"/>
    <w:rsid w:val="62CC1F5D"/>
    <w:rsid w:val="62D3853B"/>
    <w:rsid w:val="62DCDB87"/>
    <w:rsid w:val="62DD66F1"/>
    <w:rsid w:val="62DE1A0A"/>
    <w:rsid w:val="62E6234C"/>
    <w:rsid w:val="62EAA5E5"/>
    <w:rsid w:val="62EBEB67"/>
    <w:rsid w:val="62EF5D8D"/>
    <w:rsid w:val="62F40796"/>
    <w:rsid w:val="62F6915A"/>
    <w:rsid w:val="62F86760"/>
    <w:rsid w:val="62F87488"/>
    <w:rsid w:val="62F9E58D"/>
    <w:rsid w:val="62FCA401"/>
    <w:rsid w:val="6302120A"/>
    <w:rsid w:val="63032125"/>
    <w:rsid w:val="630A96F5"/>
    <w:rsid w:val="630CE869"/>
    <w:rsid w:val="6317074C"/>
    <w:rsid w:val="631AED45"/>
    <w:rsid w:val="631C49D2"/>
    <w:rsid w:val="631CC64D"/>
    <w:rsid w:val="631ECE60"/>
    <w:rsid w:val="632351A7"/>
    <w:rsid w:val="63264E6E"/>
    <w:rsid w:val="6326D91A"/>
    <w:rsid w:val="632AD3E9"/>
    <w:rsid w:val="632C04C8"/>
    <w:rsid w:val="632F950A"/>
    <w:rsid w:val="63319EA5"/>
    <w:rsid w:val="633854BE"/>
    <w:rsid w:val="633A50AF"/>
    <w:rsid w:val="633CA8C6"/>
    <w:rsid w:val="63463DA5"/>
    <w:rsid w:val="634D715D"/>
    <w:rsid w:val="634E1B31"/>
    <w:rsid w:val="634F6054"/>
    <w:rsid w:val="63547A64"/>
    <w:rsid w:val="6355EDA9"/>
    <w:rsid w:val="635CAB6B"/>
    <w:rsid w:val="636125C2"/>
    <w:rsid w:val="6362E2C2"/>
    <w:rsid w:val="636692D1"/>
    <w:rsid w:val="63693AFD"/>
    <w:rsid w:val="636F6FEC"/>
    <w:rsid w:val="638A2D99"/>
    <w:rsid w:val="638BDDD2"/>
    <w:rsid w:val="638BE6D2"/>
    <w:rsid w:val="638EFE82"/>
    <w:rsid w:val="6391A376"/>
    <w:rsid w:val="639A7B3A"/>
    <w:rsid w:val="63A214FB"/>
    <w:rsid w:val="63A2F1D8"/>
    <w:rsid w:val="63A420AA"/>
    <w:rsid w:val="63A91426"/>
    <w:rsid w:val="63A93F08"/>
    <w:rsid w:val="63B1B5FB"/>
    <w:rsid w:val="63B296D4"/>
    <w:rsid w:val="63B5E203"/>
    <w:rsid w:val="63BAB509"/>
    <w:rsid w:val="63C41BBD"/>
    <w:rsid w:val="63C64F9A"/>
    <w:rsid w:val="63CCD169"/>
    <w:rsid w:val="63D6784F"/>
    <w:rsid w:val="63D91622"/>
    <w:rsid w:val="63E73E3E"/>
    <w:rsid w:val="63EA1254"/>
    <w:rsid w:val="63EC113A"/>
    <w:rsid w:val="63EED04A"/>
    <w:rsid w:val="63F1EB1A"/>
    <w:rsid w:val="63F4BC84"/>
    <w:rsid w:val="63F545C7"/>
    <w:rsid w:val="63FDBD28"/>
    <w:rsid w:val="64027978"/>
    <w:rsid w:val="640513FE"/>
    <w:rsid w:val="6406D5F0"/>
    <w:rsid w:val="6408C6B3"/>
    <w:rsid w:val="6412D692"/>
    <w:rsid w:val="641332D4"/>
    <w:rsid w:val="6416D968"/>
    <w:rsid w:val="64192532"/>
    <w:rsid w:val="641AF674"/>
    <w:rsid w:val="641EECDE"/>
    <w:rsid w:val="641F8A63"/>
    <w:rsid w:val="64269403"/>
    <w:rsid w:val="6426EA34"/>
    <w:rsid w:val="642B874B"/>
    <w:rsid w:val="64310098"/>
    <w:rsid w:val="643214EC"/>
    <w:rsid w:val="6433CE81"/>
    <w:rsid w:val="6434485E"/>
    <w:rsid w:val="64479319"/>
    <w:rsid w:val="64487DB6"/>
    <w:rsid w:val="645324D8"/>
    <w:rsid w:val="64553EAA"/>
    <w:rsid w:val="645D9095"/>
    <w:rsid w:val="646231CD"/>
    <w:rsid w:val="64637FEE"/>
    <w:rsid w:val="646459AB"/>
    <w:rsid w:val="6468053A"/>
    <w:rsid w:val="646FFF9B"/>
    <w:rsid w:val="6473D379"/>
    <w:rsid w:val="647B0B5F"/>
    <w:rsid w:val="64821354"/>
    <w:rsid w:val="64828142"/>
    <w:rsid w:val="64838CCC"/>
    <w:rsid w:val="6483F4A5"/>
    <w:rsid w:val="648B7C06"/>
    <w:rsid w:val="648E5112"/>
    <w:rsid w:val="649229C4"/>
    <w:rsid w:val="649937A6"/>
    <w:rsid w:val="649A89EA"/>
    <w:rsid w:val="64A03534"/>
    <w:rsid w:val="64A0F3EC"/>
    <w:rsid w:val="64A218CD"/>
    <w:rsid w:val="64A5E404"/>
    <w:rsid w:val="64A6410A"/>
    <w:rsid w:val="64A9B38F"/>
    <w:rsid w:val="64ABCF5A"/>
    <w:rsid w:val="64AC2880"/>
    <w:rsid w:val="64AE0D38"/>
    <w:rsid w:val="64AF6732"/>
    <w:rsid w:val="64B71D36"/>
    <w:rsid w:val="64B9B6E5"/>
    <w:rsid w:val="64BC7E83"/>
    <w:rsid w:val="64BF376C"/>
    <w:rsid w:val="64C205BA"/>
    <w:rsid w:val="64C2142D"/>
    <w:rsid w:val="64C26FDA"/>
    <w:rsid w:val="64C398DD"/>
    <w:rsid w:val="64CF0165"/>
    <w:rsid w:val="64D05CD9"/>
    <w:rsid w:val="64D06E97"/>
    <w:rsid w:val="64D0A739"/>
    <w:rsid w:val="64D0AF1D"/>
    <w:rsid w:val="64D1CE9C"/>
    <w:rsid w:val="64E27583"/>
    <w:rsid w:val="64E7AB6F"/>
    <w:rsid w:val="64E91DBC"/>
    <w:rsid w:val="64EAB601"/>
    <w:rsid w:val="64F05ADF"/>
    <w:rsid w:val="64FAB13B"/>
    <w:rsid w:val="64FC2088"/>
    <w:rsid w:val="650057ED"/>
    <w:rsid w:val="6501B02E"/>
    <w:rsid w:val="65039147"/>
    <w:rsid w:val="650631D5"/>
    <w:rsid w:val="65066CE6"/>
    <w:rsid w:val="650A5CFB"/>
    <w:rsid w:val="650A67D7"/>
    <w:rsid w:val="65123581"/>
    <w:rsid w:val="6518295D"/>
    <w:rsid w:val="65188FF5"/>
    <w:rsid w:val="651D628B"/>
    <w:rsid w:val="6530033E"/>
    <w:rsid w:val="6537DBE7"/>
    <w:rsid w:val="6537FFCC"/>
    <w:rsid w:val="653B1554"/>
    <w:rsid w:val="653B8D6A"/>
    <w:rsid w:val="653BF331"/>
    <w:rsid w:val="6540377C"/>
    <w:rsid w:val="654261C4"/>
    <w:rsid w:val="6546E19E"/>
    <w:rsid w:val="6547A4C0"/>
    <w:rsid w:val="654B181E"/>
    <w:rsid w:val="654B4795"/>
    <w:rsid w:val="65512138"/>
    <w:rsid w:val="655D0E15"/>
    <w:rsid w:val="65667027"/>
    <w:rsid w:val="65696E52"/>
    <w:rsid w:val="6571406B"/>
    <w:rsid w:val="6579044B"/>
    <w:rsid w:val="657953CD"/>
    <w:rsid w:val="6581CBE4"/>
    <w:rsid w:val="6594A6C7"/>
    <w:rsid w:val="6597C13C"/>
    <w:rsid w:val="659C197E"/>
    <w:rsid w:val="659C50F3"/>
    <w:rsid w:val="659D939E"/>
    <w:rsid w:val="65A00E8D"/>
    <w:rsid w:val="65B3AE52"/>
    <w:rsid w:val="65B3DAC2"/>
    <w:rsid w:val="65B4DC7C"/>
    <w:rsid w:val="65BA6521"/>
    <w:rsid w:val="65BF5329"/>
    <w:rsid w:val="65C7EA9A"/>
    <w:rsid w:val="65C867C1"/>
    <w:rsid w:val="65CA27E2"/>
    <w:rsid w:val="65CD5953"/>
    <w:rsid w:val="65D45D10"/>
    <w:rsid w:val="65D86C05"/>
    <w:rsid w:val="65D9C5EE"/>
    <w:rsid w:val="65DB14C3"/>
    <w:rsid w:val="65DB9A35"/>
    <w:rsid w:val="65DD3841"/>
    <w:rsid w:val="65DF45FC"/>
    <w:rsid w:val="65E54C57"/>
    <w:rsid w:val="65E6D99B"/>
    <w:rsid w:val="65EA1C25"/>
    <w:rsid w:val="65EA60AA"/>
    <w:rsid w:val="65F49281"/>
    <w:rsid w:val="65F9BB37"/>
    <w:rsid w:val="65FD8FE6"/>
    <w:rsid w:val="66011C3E"/>
    <w:rsid w:val="66068818"/>
    <w:rsid w:val="660A91FE"/>
    <w:rsid w:val="6610F54E"/>
    <w:rsid w:val="66125B05"/>
    <w:rsid w:val="661562D0"/>
    <w:rsid w:val="6620AA23"/>
    <w:rsid w:val="66239DBC"/>
    <w:rsid w:val="6623AA25"/>
    <w:rsid w:val="6626987E"/>
    <w:rsid w:val="6627D1DC"/>
    <w:rsid w:val="6628791A"/>
    <w:rsid w:val="6630B12C"/>
    <w:rsid w:val="6630C411"/>
    <w:rsid w:val="66364398"/>
    <w:rsid w:val="66371BD3"/>
    <w:rsid w:val="6638BC16"/>
    <w:rsid w:val="663AC0AF"/>
    <w:rsid w:val="663CC6E1"/>
    <w:rsid w:val="663F5009"/>
    <w:rsid w:val="664296CB"/>
    <w:rsid w:val="66450F5F"/>
    <w:rsid w:val="6648F432"/>
    <w:rsid w:val="6649F8B1"/>
    <w:rsid w:val="664C848E"/>
    <w:rsid w:val="664E55EA"/>
    <w:rsid w:val="664F1B89"/>
    <w:rsid w:val="66513554"/>
    <w:rsid w:val="66547801"/>
    <w:rsid w:val="6655FE8D"/>
    <w:rsid w:val="66564C49"/>
    <w:rsid w:val="665814F7"/>
    <w:rsid w:val="665A5E27"/>
    <w:rsid w:val="665EB65D"/>
    <w:rsid w:val="666B48CF"/>
    <w:rsid w:val="666E67B2"/>
    <w:rsid w:val="6679D032"/>
    <w:rsid w:val="667FDD9D"/>
    <w:rsid w:val="6692D74D"/>
    <w:rsid w:val="669741B7"/>
    <w:rsid w:val="669AD27E"/>
    <w:rsid w:val="669B1F12"/>
    <w:rsid w:val="669B7039"/>
    <w:rsid w:val="66A1CA40"/>
    <w:rsid w:val="66A5C546"/>
    <w:rsid w:val="66AAD0FC"/>
    <w:rsid w:val="66B6A020"/>
    <w:rsid w:val="66B7735C"/>
    <w:rsid w:val="66B8485A"/>
    <w:rsid w:val="66BC0CDC"/>
    <w:rsid w:val="66BF3DC4"/>
    <w:rsid w:val="66C24EEF"/>
    <w:rsid w:val="66CE8067"/>
    <w:rsid w:val="66CF9617"/>
    <w:rsid w:val="66D2254B"/>
    <w:rsid w:val="66D3E5C4"/>
    <w:rsid w:val="66D91361"/>
    <w:rsid w:val="66DA648E"/>
    <w:rsid w:val="66DA8B10"/>
    <w:rsid w:val="66DE4A90"/>
    <w:rsid w:val="66E53485"/>
    <w:rsid w:val="66ECB14D"/>
    <w:rsid w:val="66EFA3B3"/>
    <w:rsid w:val="66F177B5"/>
    <w:rsid w:val="66F7DBB1"/>
    <w:rsid w:val="66FE99EE"/>
    <w:rsid w:val="66FEA55D"/>
    <w:rsid w:val="6709407B"/>
    <w:rsid w:val="670E1518"/>
    <w:rsid w:val="67104FFC"/>
    <w:rsid w:val="6712A2A2"/>
    <w:rsid w:val="6712FC1F"/>
    <w:rsid w:val="6715B684"/>
    <w:rsid w:val="6719D66C"/>
    <w:rsid w:val="671A0E60"/>
    <w:rsid w:val="67242E82"/>
    <w:rsid w:val="672A1B21"/>
    <w:rsid w:val="672C9459"/>
    <w:rsid w:val="672CADEE"/>
    <w:rsid w:val="6733E4E6"/>
    <w:rsid w:val="6737F429"/>
    <w:rsid w:val="67380A25"/>
    <w:rsid w:val="673E0888"/>
    <w:rsid w:val="673FF987"/>
    <w:rsid w:val="67427FE8"/>
    <w:rsid w:val="6747CBDC"/>
    <w:rsid w:val="6750608C"/>
    <w:rsid w:val="676D0267"/>
    <w:rsid w:val="676E9F7F"/>
    <w:rsid w:val="67709D6E"/>
    <w:rsid w:val="67748877"/>
    <w:rsid w:val="6776E872"/>
    <w:rsid w:val="6777B60F"/>
    <w:rsid w:val="6777CFAE"/>
    <w:rsid w:val="677AA4D7"/>
    <w:rsid w:val="6780CCA4"/>
    <w:rsid w:val="678797FC"/>
    <w:rsid w:val="67882BCD"/>
    <w:rsid w:val="678C2D2F"/>
    <w:rsid w:val="6790E3BF"/>
    <w:rsid w:val="67934D39"/>
    <w:rsid w:val="67982C2F"/>
    <w:rsid w:val="679B7744"/>
    <w:rsid w:val="67A487B3"/>
    <w:rsid w:val="67A7C7D1"/>
    <w:rsid w:val="67AED4D1"/>
    <w:rsid w:val="67B7183F"/>
    <w:rsid w:val="67BE50B8"/>
    <w:rsid w:val="67C14B9C"/>
    <w:rsid w:val="67C39424"/>
    <w:rsid w:val="67CB88C0"/>
    <w:rsid w:val="67D1E34F"/>
    <w:rsid w:val="67DC1433"/>
    <w:rsid w:val="67DFBFD6"/>
    <w:rsid w:val="67E025EB"/>
    <w:rsid w:val="67E54363"/>
    <w:rsid w:val="67E7F473"/>
    <w:rsid w:val="67E86C93"/>
    <w:rsid w:val="67EC0768"/>
    <w:rsid w:val="67F1C2DE"/>
    <w:rsid w:val="67F3B9AA"/>
    <w:rsid w:val="67FAC993"/>
    <w:rsid w:val="6804DEAE"/>
    <w:rsid w:val="680A3813"/>
    <w:rsid w:val="68117279"/>
    <w:rsid w:val="68121F9A"/>
    <w:rsid w:val="6812FEA7"/>
    <w:rsid w:val="6813F6CA"/>
    <w:rsid w:val="68182102"/>
    <w:rsid w:val="681D05C4"/>
    <w:rsid w:val="681D45D8"/>
    <w:rsid w:val="682C3834"/>
    <w:rsid w:val="682ED5A6"/>
    <w:rsid w:val="682EE90C"/>
    <w:rsid w:val="683379A1"/>
    <w:rsid w:val="68355CA7"/>
    <w:rsid w:val="6835B5BC"/>
    <w:rsid w:val="683B2371"/>
    <w:rsid w:val="683DEFBE"/>
    <w:rsid w:val="683E2D02"/>
    <w:rsid w:val="68456E92"/>
    <w:rsid w:val="684DD1B7"/>
    <w:rsid w:val="68512BD4"/>
    <w:rsid w:val="68522EEC"/>
    <w:rsid w:val="6853AF87"/>
    <w:rsid w:val="68581F02"/>
    <w:rsid w:val="68610596"/>
    <w:rsid w:val="68652EF1"/>
    <w:rsid w:val="686ABD8A"/>
    <w:rsid w:val="687347A0"/>
    <w:rsid w:val="6877942D"/>
    <w:rsid w:val="687D413E"/>
    <w:rsid w:val="6880B3F6"/>
    <w:rsid w:val="6881AB66"/>
    <w:rsid w:val="688FC356"/>
    <w:rsid w:val="68942CF2"/>
    <w:rsid w:val="689DB342"/>
    <w:rsid w:val="68A0C26C"/>
    <w:rsid w:val="68AE5985"/>
    <w:rsid w:val="68AF927B"/>
    <w:rsid w:val="68B05AB1"/>
    <w:rsid w:val="68B37B80"/>
    <w:rsid w:val="68C5205C"/>
    <w:rsid w:val="68D09FFE"/>
    <w:rsid w:val="68DB9814"/>
    <w:rsid w:val="68DC7BF5"/>
    <w:rsid w:val="68E6D29C"/>
    <w:rsid w:val="68E8E654"/>
    <w:rsid w:val="68EFB628"/>
    <w:rsid w:val="68F377EA"/>
    <w:rsid w:val="68F8DB83"/>
    <w:rsid w:val="68F8DE6D"/>
    <w:rsid w:val="69015E1A"/>
    <w:rsid w:val="6901F808"/>
    <w:rsid w:val="69068C8E"/>
    <w:rsid w:val="69078ED5"/>
    <w:rsid w:val="690A3DAE"/>
    <w:rsid w:val="690B061C"/>
    <w:rsid w:val="69109FD9"/>
    <w:rsid w:val="6912BAB8"/>
    <w:rsid w:val="69135C78"/>
    <w:rsid w:val="6917648D"/>
    <w:rsid w:val="69191E62"/>
    <w:rsid w:val="69199238"/>
    <w:rsid w:val="6926ABB2"/>
    <w:rsid w:val="692704B8"/>
    <w:rsid w:val="692A75E5"/>
    <w:rsid w:val="692F13E8"/>
    <w:rsid w:val="69363AE4"/>
    <w:rsid w:val="69371194"/>
    <w:rsid w:val="69434DE1"/>
    <w:rsid w:val="694AC066"/>
    <w:rsid w:val="6950454B"/>
    <w:rsid w:val="6955815A"/>
    <w:rsid w:val="69598B13"/>
    <w:rsid w:val="6963C8F4"/>
    <w:rsid w:val="6965F8D5"/>
    <w:rsid w:val="696869A6"/>
    <w:rsid w:val="696E7543"/>
    <w:rsid w:val="697122A5"/>
    <w:rsid w:val="6971757B"/>
    <w:rsid w:val="6974461C"/>
    <w:rsid w:val="697681CA"/>
    <w:rsid w:val="697CFC26"/>
    <w:rsid w:val="69862610"/>
    <w:rsid w:val="698DBF6C"/>
    <w:rsid w:val="69930BEF"/>
    <w:rsid w:val="6993595B"/>
    <w:rsid w:val="6994285B"/>
    <w:rsid w:val="6994D473"/>
    <w:rsid w:val="69989D00"/>
    <w:rsid w:val="699B9F14"/>
    <w:rsid w:val="699FE859"/>
    <w:rsid w:val="69A18837"/>
    <w:rsid w:val="69A20F09"/>
    <w:rsid w:val="69A93DAA"/>
    <w:rsid w:val="69B065E9"/>
    <w:rsid w:val="69B254DF"/>
    <w:rsid w:val="69B42CA4"/>
    <w:rsid w:val="69BB58B6"/>
    <w:rsid w:val="69BFD073"/>
    <w:rsid w:val="69C92E36"/>
    <w:rsid w:val="69CCB5D8"/>
    <w:rsid w:val="69CD7FE7"/>
    <w:rsid w:val="69CDFE0E"/>
    <w:rsid w:val="69D2F135"/>
    <w:rsid w:val="69D9553B"/>
    <w:rsid w:val="69DAEFF6"/>
    <w:rsid w:val="69DB8058"/>
    <w:rsid w:val="69E3E297"/>
    <w:rsid w:val="69E581B0"/>
    <w:rsid w:val="69E8DDBA"/>
    <w:rsid w:val="69E9B476"/>
    <w:rsid w:val="69F6B28B"/>
    <w:rsid w:val="69FA71D1"/>
    <w:rsid w:val="69FA9938"/>
    <w:rsid w:val="6A03CC80"/>
    <w:rsid w:val="6A073525"/>
    <w:rsid w:val="6A0CBA02"/>
    <w:rsid w:val="6A0DEA21"/>
    <w:rsid w:val="6A13C592"/>
    <w:rsid w:val="6A13C9E0"/>
    <w:rsid w:val="6A171DD4"/>
    <w:rsid w:val="6A1B2187"/>
    <w:rsid w:val="6A309057"/>
    <w:rsid w:val="6A38F16B"/>
    <w:rsid w:val="6A3C4012"/>
    <w:rsid w:val="6A3DCB07"/>
    <w:rsid w:val="6A44ED03"/>
    <w:rsid w:val="6A458F8F"/>
    <w:rsid w:val="6A489C15"/>
    <w:rsid w:val="6A514D20"/>
    <w:rsid w:val="6A54030F"/>
    <w:rsid w:val="6A577CE3"/>
    <w:rsid w:val="6A5E1704"/>
    <w:rsid w:val="6A5EA70C"/>
    <w:rsid w:val="6A67209C"/>
    <w:rsid w:val="6A6AC225"/>
    <w:rsid w:val="6A733E9E"/>
    <w:rsid w:val="6A7B12F2"/>
    <w:rsid w:val="6A7CC955"/>
    <w:rsid w:val="6A7D0609"/>
    <w:rsid w:val="6A7D6018"/>
    <w:rsid w:val="6A801375"/>
    <w:rsid w:val="6A80CF2A"/>
    <w:rsid w:val="6A82AAB2"/>
    <w:rsid w:val="6A8D57E2"/>
    <w:rsid w:val="6A8E4A61"/>
    <w:rsid w:val="6A8EFD41"/>
    <w:rsid w:val="6A958255"/>
    <w:rsid w:val="6A9C8D00"/>
    <w:rsid w:val="6AAE5C13"/>
    <w:rsid w:val="6AB5B72B"/>
    <w:rsid w:val="6ABC77A7"/>
    <w:rsid w:val="6AC1B3EA"/>
    <w:rsid w:val="6ACE8DAF"/>
    <w:rsid w:val="6ACF4F5B"/>
    <w:rsid w:val="6AD12A53"/>
    <w:rsid w:val="6AD2A167"/>
    <w:rsid w:val="6AD686B6"/>
    <w:rsid w:val="6AD93F11"/>
    <w:rsid w:val="6ADD0A72"/>
    <w:rsid w:val="6ADDFA9D"/>
    <w:rsid w:val="6AE19CA1"/>
    <w:rsid w:val="6AE34132"/>
    <w:rsid w:val="6AE8385D"/>
    <w:rsid w:val="6AF50D1B"/>
    <w:rsid w:val="6AF5F17A"/>
    <w:rsid w:val="6B007E25"/>
    <w:rsid w:val="6B07FC7F"/>
    <w:rsid w:val="6B0FC32E"/>
    <w:rsid w:val="6B105FB4"/>
    <w:rsid w:val="6B138A60"/>
    <w:rsid w:val="6B16BF8E"/>
    <w:rsid w:val="6B182AE1"/>
    <w:rsid w:val="6B1B1119"/>
    <w:rsid w:val="6B1B6AD2"/>
    <w:rsid w:val="6B1BA9DB"/>
    <w:rsid w:val="6B256B07"/>
    <w:rsid w:val="6B25F943"/>
    <w:rsid w:val="6B34DB31"/>
    <w:rsid w:val="6B37D31C"/>
    <w:rsid w:val="6B398A4A"/>
    <w:rsid w:val="6B406D19"/>
    <w:rsid w:val="6B49A35E"/>
    <w:rsid w:val="6B4A220B"/>
    <w:rsid w:val="6B5266CB"/>
    <w:rsid w:val="6B55A059"/>
    <w:rsid w:val="6B5A1DFA"/>
    <w:rsid w:val="6B5A5A59"/>
    <w:rsid w:val="6B61A1CC"/>
    <w:rsid w:val="6B63037E"/>
    <w:rsid w:val="6B643319"/>
    <w:rsid w:val="6B69F3F8"/>
    <w:rsid w:val="6B7520BB"/>
    <w:rsid w:val="6B849E3F"/>
    <w:rsid w:val="6B8D8B13"/>
    <w:rsid w:val="6B97B54F"/>
    <w:rsid w:val="6BA21D8B"/>
    <w:rsid w:val="6BA373D3"/>
    <w:rsid w:val="6BAB1F2B"/>
    <w:rsid w:val="6BB0711E"/>
    <w:rsid w:val="6BBCCD6A"/>
    <w:rsid w:val="6BC39EC1"/>
    <w:rsid w:val="6BC83A5F"/>
    <w:rsid w:val="6BD16209"/>
    <w:rsid w:val="6BD2F5D9"/>
    <w:rsid w:val="6BD63960"/>
    <w:rsid w:val="6BDA3092"/>
    <w:rsid w:val="6BDB602E"/>
    <w:rsid w:val="6BDC62DA"/>
    <w:rsid w:val="6BDD03FA"/>
    <w:rsid w:val="6BE11B0F"/>
    <w:rsid w:val="6BE264D2"/>
    <w:rsid w:val="6BE63DAD"/>
    <w:rsid w:val="6BE9FD71"/>
    <w:rsid w:val="6BEC37A1"/>
    <w:rsid w:val="6BEFEB3D"/>
    <w:rsid w:val="6BF3B635"/>
    <w:rsid w:val="6BF602C2"/>
    <w:rsid w:val="6BF82FAC"/>
    <w:rsid w:val="6BFCACAE"/>
    <w:rsid w:val="6BFD4EFE"/>
    <w:rsid w:val="6C003D1C"/>
    <w:rsid w:val="6C0C55B2"/>
    <w:rsid w:val="6C0EAEAD"/>
    <w:rsid w:val="6C17CFBB"/>
    <w:rsid w:val="6C1A24EC"/>
    <w:rsid w:val="6C1CED6F"/>
    <w:rsid w:val="6C1F1060"/>
    <w:rsid w:val="6C24159E"/>
    <w:rsid w:val="6C270726"/>
    <w:rsid w:val="6C2B765D"/>
    <w:rsid w:val="6C2BD2AB"/>
    <w:rsid w:val="6C3357A5"/>
    <w:rsid w:val="6C3DD962"/>
    <w:rsid w:val="6C420072"/>
    <w:rsid w:val="6C433869"/>
    <w:rsid w:val="6C4536D3"/>
    <w:rsid w:val="6C468256"/>
    <w:rsid w:val="6C4E7CA1"/>
    <w:rsid w:val="6C522077"/>
    <w:rsid w:val="6C5B2E38"/>
    <w:rsid w:val="6C60B6EA"/>
    <w:rsid w:val="6C60DBB8"/>
    <w:rsid w:val="6C69FEF1"/>
    <w:rsid w:val="6C6A20F6"/>
    <w:rsid w:val="6C71B013"/>
    <w:rsid w:val="6C7ADF1A"/>
    <w:rsid w:val="6C7E0A48"/>
    <w:rsid w:val="6C7EB386"/>
    <w:rsid w:val="6C82D3C9"/>
    <w:rsid w:val="6C83F147"/>
    <w:rsid w:val="6C8492DD"/>
    <w:rsid w:val="6C8C1BD4"/>
    <w:rsid w:val="6C917CD2"/>
    <w:rsid w:val="6C938087"/>
    <w:rsid w:val="6CA3147B"/>
    <w:rsid w:val="6CA3AAD6"/>
    <w:rsid w:val="6CA97545"/>
    <w:rsid w:val="6CB14B1F"/>
    <w:rsid w:val="6CB2C2F0"/>
    <w:rsid w:val="6CB33DB3"/>
    <w:rsid w:val="6CB5830E"/>
    <w:rsid w:val="6CB67FA2"/>
    <w:rsid w:val="6CB93411"/>
    <w:rsid w:val="6CC03CDE"/>
    <w:rsid w:val="6CC5EDF6"/>
    <w:rsid w:val="6CCC80CD"/>
    <w:rsid w:val="6CCD2017"/>
    <w:rsid w:val="6CCEFF1F"/>
    <w:rsid w:val="6CD1F9C8"/>
    <w:rsid w:val="6CD3493A"/>
    <w:rsid w:val="6CD669CF"/>
    <w:rsid w:val="6CDB347C"/>
    <w:rsid w:val="6CDE8D2E"/>
    <w:rsid w:val="6CDF0158"/>
    <w:rsid w:val="6CDF8EF1"/>
    <w:rsid w:val="6CE077C4"/>
    <w:rsid w:val="6CE0CFC2"/>
    <w:rsid w:val="6CE1B07C"/>
    <w:rsid w:val="6CE358B9"/>
    <w:rsid w:val="6CE63B4C"/>
    <w:rsid w:val="6CE9E85F"/>
    <w:rsid w:val="6CEEE9C2"/>
    <w:rsid w:val="6CF09943"/>
    <w:rsid w:val="6CF31289"/>
    <w:rsid w:val="6CF6FE44"/>
    <w:rsid w:val="6CFC1386"/>
    <w:rsid w:val="6D12BB91"/>
    <w:rsid w:val="6D153910"/>
    <w:rsid w:val="6D19C9FF"/>
    <w:rsid w:val="6D1B37A4"/>
    <w:rsid w:val="6D1CB6C5"/>
    <w:rsid w:val="6D270963"/>
    <w:rsid w:val="6D27834A"/>
    <w:rsid w:val="6D321A12"/>
    <w:rsid w:val="6D342856"/>
    <w:rsid w:val="6D3611A5"/>
    <w:rsid w:val="6D3621ED"/>
    <w:rsid w:val="6D37612F"/>
    <w:rsid w:val="6D3865FA"/>
    <w:rsid w:val="6D3F5FF5"/>
    <w:rsid w:val="6D476F57"/>
    <w:rsid w:val="6D4C17AC"/>
    <w:rsid w:val="6D4F713A"/>
    <w:rsid w:val="6D574FC6"/>
    <w:rsid w:val="6D5913C0"/>
    <w:rsid w:val="6D627AC3"/>
    <w:rsid w:val="6D62C056"/>
    <w:rsid w:val="6D6B3D88"/>
    <w:rsid w:val="6D6E7DD9"/>
    <w:rsid w:val="6D6EFB73"/>
    <w:rsid w:val="6D77FE3C"/>
    <w:rsid w:val="6D791C93"/>
    <w:rsid w:val="6D83CDF9"/>
    <w:rsid w:val="6D853293"/>
    <w:rsid w:val="6D8DDF70"/>
    <w:rsid w:val="6D92BD0A"/>
    <w:rsid w:val="6D933864"/>
    <w:rsid w:val="6D9DD40D"/>
    <w:rsid w:val="6DA061E0"/>
    <w:rsid w:val="6DA20093"/>
    <w:rsid w:val="6DA2969C"/>
    <w:rsid w:val="6DABC1E3"/>
    <w:rsid w:val="6DAD6FEC"/>
    <w:rsid w:val="6DAE48C4"/>
    <w:rsid w:val="6DB50C57"/>
    <w:rsid w:val="6DB969E3"/>
    <w:rsid w:val="6DBC6AED"/>
    <w:rsid w:val="6DBFC1E6"/>
    <w:rsid w:val="6DC3F781"/>
    <w:rsid w:val="6DC91D36"/>
    <w:rsid w:val="6DD9275B"/>
    <w:rsid w:val="6DDC516F"/>
    <w:rsid w:val="6DDF8D13"/>
    <w:rsid w:val="6DE21132"/>
    <w:rsid w:val="6DE93F49"/>
    <w:rsid w:val="6DEA2702"/>
    <w:rsid w:val="6DEAF74F"/>
    <w:rsid w:val="6DF25AE6"/>
    <w:rsid w:val="6DF34019"/>
    <w:rsid w:val="6DFB33A1"/>
    <w:rsid w:val="6DFB8626"/>
    <w:rsid w:val="6DFEB292"/>
    <w:rsid w:val="6DFFE4D2"/>
    <w:rsid w:val="6E013E0E"/>
    <w:rsid w:val="6E16291C"/>
    <w:rsid w:val="6E191539"/>
    <w:rsid w:val="6E19CC99"/>
    <w:rsid w:val="6E1E0F6B"/>
    <w:rsid w:val="6E21D953"/>
    <w:rsid w:val="6E2366A1"/>
    <w:rsid w:val="6E256B35"/>
    <w:rsid w:val="6E27467F"/>
    <w:rsid w:val="6E29D010"/>
    <w:rsid w:val="6E29FF77"/>
    <w:rsid w:val="6E2BB648"/>
    <w:rsid w:val="6E2E9F1E"/>
    <w:rsid w:val="6E320FDE"/>
    <w:rsid w:val="6E350A00"/>
    <w:rsid w:val="6E354A33"/>
    <w:rsid w:val="6E39E71B"/>
    <w:rsid w:val="6E3A5419"/>
    <w:rsid w:val="6E3B5A64"/>
    <w:rsid w:val="6E3FCFA0"/>
    <w:rsid w:val="6E43945B"/>
    <w:rsid w:val="6E48D82F"/>
    <w:rsid w:val="6E49D756"/>
    <w:rsid w:val="6E4A3E8E"/>
    <w:rsid w:val="6E4E27EB"/>
    <w:rsid w:val="6E5533CB"/>
    <w:rsid w:val="6E55A400"/>
    <w:rsid w:val="6E590E29"/>
    <w:rsid w:val="6E5C5BFC"/>
    <w:rsid w:val="6E64E160"/>
    <w:rsid w:val="6E675C64"/>
    <w:rsid w:val="6E7198D7"/>
    <w:rsid w:val="6E71DC72"/>
    <w:rsid w:val="6E7E32C9"/>
    <w:rsid w:val="6E90265F"/>
    <w:rsid w:val="6E93892C"/>
    <w:rsid w:val="6E93C09F"/>
    <w:rsid w:val="6E98E5DF"/>
    <w:rsid w:val="6E9D7BF6"/>
    <w:rsid w:val="6E9DE0E0"/>
    <w:rsid w:val="6E9EA725"/>
    <w:rsid w:val="6EA1A2BD"/>
    <w:rsid w:val="6EA24269"/>
    <w:rsid w:val="6EA6B573"/>
    <w:rsid w:val="6EA8671A"/>
    <w:rsid w:val="6EAB057D"/>
    <w:rsid w:val="6EAF67BF"/>
    <w:rsid w:val="6EB71F62"/>
    <w:rsid w:val="6EB91CBE"/>
    <w:rsid w:val="6EBC171C"/>
    <w:rsid w:val="6EC083C9"/>
    <w:rsid w:val="6EC21AC3"/>
    <w:rsid w:val="6ECB4EE2"/>
    <w:rsid w:val="6ECFA472"/>
    <w:rsid w:val="6ED1C33B"/>
    <w:rsid w:val="6ED1E7D2"/>
    <w:rsid w:val="6ED3693F"/>
    <w:rsid w:val="6ED78EBA"/>
    <w:rsid w:val="6EDD1FFC"/>
    <w:rsid w:val="6EDFD674"/>
    <w:rsid w:val="6EE6CB5D"/>
    <w:rsid w:val="6EE75A6D"/>
    <w:rsid w:val="6EEC2E19"/>
    <w:rsid w:val="6EF080D5"/>
    <w:rsid w:val="6EFBA6E3"/>
    <w:rsid w:val="6EFC9667"/>
    <w:rsid w:val="6EFF8039"/>
    <w:rsid w:val="6EFFCF74"/>
    <w:rsid w:val="6F0368D7"/>
    <w:rsid w:val="6F0AE41F"/>
    <w:rsid w:val="6F131029"/>
    <w:rsid w:val="6F18F803"/>
    <w:rsid w:val="6F1E281F"/>
    <w:rsid w:val="6F217520"/>
    <w:rsid w:val="6F3E965A"/>
    <w:rsid w:val="6F429665"/>
    <w:rsid w:val="6F4A019E"/>
    <w:rsid w:val="6F4D1DF0"/>
    <w:rsid w:val="6F4E4079"/>
    <w:rsid w:val="6F4FF5E5"/>
    <w:rsid w:val="6F53861F"/>
    <w:rsid w:val="6F54F717"/>
    <w:rsid w:val="6F5925EB"/>
    <w:rsid w:val="6F5A6325"/>
    <w:rsid w:val="6F5FCB49"/>
    <w:rsid w:val="6F6441E8"/>
    <w:rsid w:val="6F6A944E"/>
    <w:rsid w:val="6F6DDA2F"/>
    <w:rsid w:val="6F70774A"/>
    <w:rsid w:val="6F7110A4"/>
    <w:rsid w:val="6F7111AC"/>
    <w:rsid w:val="6F76B733"/>
    <w:rsid w:val="6F79448F"/>
    <w:rsid w:val="6F79B87B"/>
    <w:rsid w:val="6F816257"/>
    <w:rsid w:val="6F86C8DE"/>
    <w:rsid w:val="6F8CE930"/>
    <w:rsid w:val="6F8EA93B"/>
    <w:rsid w:val="6F958F52"/>
    <w:rsid w:val="6F993EB0"/>
    <w:rsid w:val="6F9E4378"/>
    <w:rsid w:val="6F9F26AB"/>
    <w:rsid w:val="6FA2FAC3"/>
    <w:rsid w:val="6FA5A259"/>
    <w:rsid w:val="6FA5A520"/>
    <w:rsid w:val="6FA5D085"/>
    <w:rsid w:val="6FA6EBF8"/>
    <w:rsid w:val="6FAE25A6"/>
    <w:rsid w:val="6FB23A55"/>
    <w:rsid w:val="6FB3BEFA"/>
    <w:rsid w:val="6FB778AA"/>
    <w:rsid w:val="6FB96ED7"/>
    <w:rsid w:val="6FBDD6C2"/>
    <w:rsid w:val="6FC70226"/>
    <w:rsid w:val="6FCDCBDD"/>
    <w:rsid w:val="6FD31BF7"/>
    <w:rsid w:val="6FD4ABB2"/>
    <w:rsid w:val="6FE55C1E"/>
    <w:rsid w:val="6FF41A47"/>
    <w:rsid w:val="700559F1"/>
    <w:rsid w:val="7008A36A"/>
    <w:rsid w:val="700C2102"/>
    <w:rsid w:val="700C2CB3"/>
    <w:rsid w:val="700CB2C2"/>
    <w:rsid w:val="70123DD8"/>
    <w:rsid w:val="70141FB6"/>
    <w:rsid w:val="70161752"/>
    <w:rsid w:val="701E4379"/>
    <w:rsid w:val="7020CBC9"/>
    <w:rsid w:val="70228457"/>
    <w:rsid w:val="70247BFF"/>
    <w:rsid w:val="7030F4E6"/>
    <w:rsid w:val="703223D3"/>
    <w:rsid w:val="7035B947"/>
    <w:rsid w:val="704164B6"/>
    <w:rsid w:val="7049CF5E"/>
    <w:rsid w:val="704A73CD"/>
    <w:rsid w:val="704C35D7"/>
    <w:rsid w:val="704E1783"/>
    <w:rsid w:val="704EFA99"/>
    <w:rsid w:val="70524E76"/>
    <w:rsid w:val="7058AEDB"/>
    <w:rsid w:val="705AF9DF"/>
    <w:rsid w:val="705B0B7A"/>
    <w:rsid w:val="705F3627"/>
    <w:rsid w:val="70652926"/>
    <w:rsid w:val="70670305"/>
    <w:rsid w:val="70696C05"/>
    <w:rsid w:val="706CB49C"/>
    <w:rsid w:val="706CB5EF"/>
    <w:rsid w:val="706E392E"/>
    <w:rsid w:val="70702DF5"/>
    <w:rsid w:val="7075EF53"/>
    <w:rsid w:val="70844EBB"/>
    <w:rsid w:val="708A49C8"/>
    <w:rsid w:val="708A5799"/>
    <w:rsid w:val="708D9A34"/>
    <w:rsid w:val="709074D2"/>
    <w:rsid w:val="70923C96"/>
    <w:rsid w:val="70952014"/>
    <w:rsid w:val="70A0C101"/>
    <w:rsid w:val="70A0D0B7"/>
    <w:rsid w:val="70A18EA0"/>
    <w:rsid w:val="70AAF215"/>
    <w:rsid w:val="70AE99F4"/>
    <w:rsid w:val="70B45F1D"/>
    <w:rsid w:val="70B53B24"/>
    <w:rsid w:val="70B9E7E6"/>
    <w:rsid w:val="70BE68E2"/>
    <w:rsid w:val="70C02623"/>
    <w:rsid w:val="70C25DF7"/>
    <w:rsid w:val="70C4DE91"/>
    <w:rsid w:val="70C725C8"/>
    <w:rsid w:val="70C84D58"/>
    <w:rsid w:val="70CE84CD"/>
    <w:rsid w:val="70CFE2DC"/>
    <w:rsid w:val="70D16933"/>
    <w:rsid w:val="70D1DFC1"/>
    <w:rsid w:val="70D6349E"/>
    <w:rsid w:val="70D710D3"/>
    <w:rsid w:val="70D79BFC"/>
    <w:rsid w:val="70D7BB1C"/>
    <w:rsid w:val="70DB1470"/>
    <w:rsid w:val="70DB90B6"/>
    <w:rsid w:val="70DC5CB7"/>
    <w:rsid w:val="70DD4960"/>
    <w:rsid w:val="70DDCFF4"/>
    <w:rsid w:val="70DFEDE3"/>
    <w:rsid w:val="70E05E39"/>
    <w:rsid w:val="70ED96E4"/>
    <w:rsid w:val="70F4135C"/>
    <w:rsid w:val="70F41DD5"/>
    <w:rsid w:val="70F622D3"/>
    <w:rsid w:val="70F6B01A"/>
    <w:rsid w:val="71014350"/>
    <w:rsid w:val="7101746F"/>
    <w:rsid w:val="71067E5D"/>
    <w:rsid w:val="7108D561"/>
    <w:rsid w:val="710BE032"/>
    <w:rsid w:val="710F47D8"/>
    <w:rsid w:val="7116C28F"/>
    <w:rsid w:val="7124D983"/>
    <w:rsid w:val="712890EA"/>
    <w:rsid w:val="7133A7BC"/>
    <w:rsid w:val="7135579C"/>
    <w:rsid w:val="7136443C"/>
    <w:rsid w:val="713D2109"/>
    <w:rsid w:val="7148E674"/>
    <w:rsid w:val="7149748D"/>
    <w:rsid w:val="71499423"/>
    <w:rsid w:val="714B7595"/>
    <w:rsid w:val="714BC2C6"/>
    <w:rsid w:val="714BF35F"/>
    <w:rsid w:val="714EA7E5"/>
    <w:rsid w:val="71554CD2"/>
    <w:rsid w:val="7155D704"/>
    <w:rsid w:val="7158AB12"/>
    <w:rsid w:val="7163E679"/>
    <w:rsid w:val="716BEAAE"/>
    <w:rsid w:val="716C6D36"/>
    <w:rsid w:val="717E6991"/>
    <w:rsid w:val="71930CFB"/>
    <w:rsid w:val="7198DA09"/>
    <w:rsid w:val="719A3023"/>
    <w:rsid w:val="71A399D6"/>
    <w:rsid w:val="71AA92FE"/>
    <w:rsid w:val="71B26759"/>
    <w:rsid w:val="71B295C9"/>
    <w:rsid w:val="71BA242A"/>
    <w:rsid w:val="71C23CB3"/>
    <w:rsid w:val="71C47390"/>
    <w:rsid w:val="71C52B3C"/>
    <w:rsid w:val="71C5E484"/>
    <w:rsid w:val="71C60ED7"/>
    <w:rsid w:val="71C7A7B3"/>
    <w:rsid w:val="71D7A940"/>
    <w:rsid w:val="71D90DFB"/>
    <w:rsid w:val="71E242A9"/>
    <w:rsid w:val="71E56877"/>
    <w:rsid w:val="71ED2C71"/>
    <w:rsid w:val="71EE422E"/>
    <w:rsid w:val="71EED860"/>
    <w:rsid w:val="71F05C31"/>
    <w:rsid w:val="71F0FAF2"/>
    <w:rsid w:val="71F1E254"/>
    <w:rsid w:val="71F3EC39"/>
    <w:rsid w:val="71F49DD0"/>
    <w:rsid w:val="71F77C58"/>
    <w:rsid w:val="71FBA169"/>
    <w:rsid w:val="72048A32"/>
    <w:rsid w:val="720B08FC"/>
    <w:rsid w:val="720D2B63"/>
    <w:rsid w:val="72108674"/>
    <w:rsid w:val="7214DAA6"/>
    <w:rsid w:val="7216D1C0"/>
    <w:rsid w:val="72185DF8"/>
    <w:rsid w:val="721D4B87"/>
    <w:rsid w:val="721D6165"/>
    <w:rsid w:val="721DA0C1"/>
    <w:rsid w:val="72213DBE"/>
    <w:rsid w:val="7222FCD2"/>
    <w:rsid w:val="7223F47A"/>
    <w:rsid w:val="722F7F5C"/>
    <w:rsid w:val="72351BD1"/>
    <w:rsid w:val="723CD9C5"/>
    <w:rsid w:val="723E95F4"/>
    <w:rsid w:val="72467191"/>
    <w:rsid w:val="7249EC48"/>
    <w:rsid w:val="724B5B03"/>
    <w:rsid w:val="72523EED"/>
    <w:rsid w:val="725462F3"/>
    <w:rsid w:val="72563CE2"/>
    <w:rsid w:val="72586425"/>
    <w:rsid w:val="725C32EE"/>
    <w:rsid w:val="725D1EB3"/>
    <w:rsid w:val="72636281"/>
    <w:rsid w:val="7266654D"/>
    <w:rsid w:val="726726C6"/>
    <w:rsid w:val="7268ECD9"/>
    <w:rsid w:val="726B0901"/>
    <w:rsid w:val="726D1909"/>
    <w:rsid w:val="727A45E9"/>
    <w:rsid w:val="728325C3"/>
    <w:rsid w:val="728AF434"/>
    <w:rsid w:val="728DD814"/>
    <w:rsid w:val="72958C71"/>
    <w:rsid w:val="7295B54A"/>
    <w:rsid w:val="7296F915"/>
    <w:rsid w:val="72973933"/>
    <w:rsid w:val="729EFED0"/>
    <w:rsid w:val="72A5A0F2"/>
    <w:rsid w:val="72AAD1C3"/>
    <w:rsid w:val="72AAEEB9"/>
    <w:rsid w:val="72AE451C"/>
    <w:rsid w:val="72B0AC08"/>
    <w:rsid w:val="72B4A86E"/>
    <w:rsid w:val="72B77880"/>
    <w:rsid w:val="72BE1E6D"/>
    <w:rsid w:val="72C1846F"/>
    <w:rsid w:val="72C6040B"/>
    <w:rsid w:val="72C8FA85"/>
    <w:rsid w:val="72CC4B11"/>
    <w:rsid w:val="72D162FB"/>
    <w:rsid w:val="72D1F796"/>
    <w:rsid w:val="72D68B22"/>
    <w:rsid w:val="72D7D3A5"/>
    <w:rsid w:val="72D96E6D"/>
    <w:rsid w:val="72DE4AC0"/>
    <w:rsid w:val="72E0591A"/>
    <w:rsid w:val="72E132EF"/>
    <w:rsid w:val="72E51B82"/>
    <w:rsid w:val="72EB1683"/>
    <w:rsid w:val="72EE0896"/>
    <w:rsid w:val="72EF1048"/>
    <w:rsid w:val="72F34777"/>
    <w:rsid w:val="72F36EBC"/>
    <w:rsid w:val="72F64E52"/>
    <w:rsid w:val="72F88B64"/>
    <w:rsid w:val="72F946F9"/>
    <w:rsid w:val="72FB8AD7"/>
    <w:rsid w:val="72FEBE5F"/>
    <w:rsid w:val="72FED6EB"/>
    <w:rsid w:val="73003FC5"/>
    <w:rsid w:val="7303E6AA"/>
    <w:rsid w:val="73079D3F"/>
    <w:rsid w:val="730AF50C"/>
    <w:rsid w:val="730F0AD1"/>
    <w:rsid w:val="730FD2C7"/>
    <w:rsid w:val="7316312A"/>
    <w:rsid w:val="73196C49"/>
    <w:rsid w:val="731B5AAF"/>
    <w:rsid w:val="73212253"/>
    <w:rsid w:val="7321DF72"/>
    <w:rsid w:val="7324BC8D"/>
    <w:rsid w:val="7326DD72"/>
    <w:rsid w:val="7333A5EE"/>
    <w:rsid w:val="73381884"/>
    <w:rsid w:val="733CE5D4"/>
    <w:rsid w:val="733E95D2"/>
    <w:rsid w:val="733EF440"/>
    <w:rsid w:val="733FF7F7"/>
    <w:rsid w:val="7342FA93"/>
    <w:rsid w:val="7343CEFF"/>
    <w:rsid w:val="734C906B"/>
    <w:rsid w:val="735675C6"/>
    <w:rsid w:val="736180FE"/>
    <w:rsid w:val="737D4CCA"/>
    <w:rsid w:val="737D9808"/>
    <w:rsid w:val="73861CCE"/>
    <w:rsid w:val="738A929D"/>
    <w:rsid w:val="738E02C8"/>
    <w:rsid w:val="738E425C"/>
    <w:rsid w:val="73964D7E"/>
    <w:rsid w:val="73967EEC"/>
    <w:rsid w:val="739E7B21"/>
    <w:rsid w:val="73A8372C"/>
    <w:rsid w:val="73A8FBC4"/>
    <w:rsid w:val="73ADA989"/>
    <w:rsid w:val="73B55A42"/>
    <w:rsid w:val="73B65F05"/>
    <w:rsid w:val="73BCEF42"/>
    <w:rsid w:val="73C13B82"/>
    <w:rsid w:val="73C2A851"/>
    <w:rsid w:val="73C3AB89"/>
    <w:rsid w:val="73C3DB05"/>
    <w:rsid w:val="73C4C9D7"/>
    <w:rsid w:val="73C8F856"/>
    <w:rsid w:val="73CDFF11"/>
    <w:rsid w:val="73D5D6F7"/>
    <w:rsid w:val="73DF58D1"/>
    <w:rsid w:val="73ED0971"/>
    <w:rsid w:val="73ED4D77"/>
    <w:rsid w:val="73EFFDC0"/>
    <w:rsid w:val="73F4F19D"/>
    <w:rsid w:val="740B3D6A"/>
    <w:rsid w:val="740D7AF9"/>
    <w:rsid w:val="740ED3C1"/>
    <w:rsid w:val="740FAE9D"/>
    <w:rsid w:val="7419B259"/>
    <w:rsid w:val="741E1116"/>
    <w:rsid w:val="7421AC61"/>
    <w:rsid w:val="7423DCFC"/>
    <w:rsid w:val="74276D99"/>
    <w:rsid w:val="7433362C"/>
    <w:rsid w:val="74345761"/>
    <w:rsid w:val="743B8394"/>
    <w:rsid w:val="743C196F"/>
    <w:rsid w:val="743EDAED"/>
    <w:rsid w:val="744CDED2"/>
    <w:rsid w:val="74530B3A"/>
    <w:rsid w:val="7453FB1A"/>
    <w:rsid w:val="7455E6EF"/>
    <w:rsid w:val="7456830C"/>
    <w:rsid w:val="74577650"/>
    <w:rsid w:val="7458C373"/>
    <w:rsid w:val="745C81B2"/>
    <w:rsid w:val="745E5F5B"/>
    <w:rsid w:val="74613FCA"/>
    <w:rsid w:val="7462E3F4"/>
    <w:rsid w:val="7467BF2E"/>
    <w:rsid w:val="746CA29C"/>
    <w:rsid w:val="746FA490"/>
    <w:rsid w:val="74757897"/>
    <w:rsid w:val="74770285"/>
    <w:rsid w:val="74790E65"/>
    <w:rsid w:val="747D6359"/>
    <w:rsid w:val="74855CAA"/>
    <w:rsid w:val="7486EC2B"/>
    <w:rsid w:val="748CEB4D"/>
    <w:rsid w:val="74946953"/>
    <w:rsid w:val="7497C7A7"/>
    <w:rsid w:val="7499756F"/>
    <w:rsid w:val="74998551"/>
    <w:rsid w:val="749D086B"/>
    <w:rsid w:val="749D4FC7"/>
    <w:rsid w:val="749E315C"/>
    <w:rsid w:val="74A131AA"/>
    <w:rsid w:val="74A4D109"/>
    <w:rsid w:val="74AD4F73"/>
    <w:rsid w:val="74B483E7"/>
    <w:rsid w:val="74BE29F9"/>
    <w:rsid w:val="74BE8A7C"/>
    <w:rsid w:val="74C01CF5"/>
    <w:rsid w:val="74C560A4"/>
    <w:rsid w:val="74C627C2"/>
    <w:rsid w:val="74CFE160"/>
    <w:rsid w:val="74D0CB69"/>
    <w:rsid w:val="74D50D1D"/>
    <w:rsid w:val="74D55750"/>
    <w:rsid w:val="74E08013"/>
    <w:rsid w:val="74E5D6E5"/>
    <w:rsid w:val="74E6E7DD"/>
    <w:rsid w:val="74EEA747"/>
    <w:rsid w:val="74F227AC"/>
    <w:rsid w:val="74FBC95A"/>
    <w:rsid w:val="750AB392"/>
    <w:rsid w:val="750D414A"/>
    <w:rsid w:val="7518E05C"/>
    <w:rsid w:val="751CEAC9"/>
    <w:rsid w:val="751DE604"/>
    <w:rsid w:val="751F5439"/>
    <w:rsid w:val="7520AFE2"/>
    <w:rsid w:val="752DCFB1"/>
    <w:rsid w:val="75380726"/>
    <w:rsid w:val="75381E87"/>
    <w:rsid w:val="753B28C0"/>
    <w:rsid w:val="753C0927"/>
    <w:rsid w:val="753D80B4"/>
    <w:rsid w:val="753F0005"/>
    <w:rsid w:val="753F2590"/>
    <w:rsid w:val="7545AFFA"/>
    <w:rsid w:val="754A17F9"/>
    <w:rsid w:val="754B1903"/>
    <w:rsid w:val="754F5543"/>
    <w:rsid w:val="7551B73C"/>
    <w:rsid w:val="755243A9"/>
    <w:rsid w:val="75552400"/>
    <w:rsid w:val="75563B21"/>
    <w:rsid w:val="755E97AF"/>
    <w:rsid w:val="755F7BEA"/>
    <w:rsid w:val="756059C6"/>
    <w:rsid w:val="75665407"/>
    <w:rsid w:val="756B5333"/>
    <w:rsid w:val="7570B215"/>
    <w:rsid w:val="757715DF"/>
    <w:rsid w:val="757D6BCE"/>
    <w:rsid w:val="757E3A2A"/>
    <w:rsid w:val="75884F25"/>
    <w:rsid w:val="758BC3F7"/>
    <w:rsid w:val="75934A00"/>
    <w:rsid w:val="759A4D10"/>
    <w:rsid w:val="759EAE88"/>
    <w:rsid w:val="759F76E0"/>
    <w:rsid w:val="759FECF8"/>
    <w:rsid w:val="75B8FA24"/>
    <w:rsid w:val="75B9E840"/>
    <w:rsid w:val="75BC22B0"/>
    <w:rsid w:val="75BCDC97"/>
    <w:rsid w:val="75C5A074"/>
    <w:rsid w:val="75C5E7B6"/>
    <w:rsid w:val="75CA0877"/>
    <w:rsid w:val="75CA9060"/>
    <w:rsid w:val="75CF1A09"/>
    <w:rsid w:val="75CFF1F0"/>
    <w:rsid w:val="75D02CEB"/>
    <w:rsid w:val="75D49D0E"/>
    <w:rsid w:val="75E20EC7"/>
    <w:rsid w:val="75E40F8B"/>
    <w:rsid w:val="75E73D37"/>
    <w:rsid w:val="75F8BF32"/>
    <w:rsid w:val="75FAD51D"/>
    <w:rsid w:val="7604750A"/>
    <w:rsid w:val="7605A512"/>
    <w:rsid w:val="760C4816"/>
    <w:rsid w:val="7610CBB7"/>
    <w:rsid w:val="761AA7EF"/>
    <w:rsid w:val="761BD731"/>
    <w:rsid w:val="761D14EB"/>
    <w:rsid w:val="76231BE4"/>
    <w:rsid w:val="7626EB38"/>
    <w:rsid w:val="762D210B"/>
    <w:rsid w:val="762E05AA"/>
    <w:rsid w:val="762E12C9"/>
    <w:rsid w:val="762EA954"/>
    <w:rsid w:val="762ED3BB"/>
    <w:rsid w:val="7632E9DA"/>
    <w:rsid w:val="7637F9FE"/>
    <w:rsid w:val="7646A00F"/>
    <w:rsid w:val="765EB9E1"/>
    <w:rsid w:val="76642E06"/>
    <w:rsid w:val="76649896"/>
    <w:rsid w:val="76671E6E"/>
    <w:rsid w:val="766C71BC"/>
    <w:rsid w:val="766E18E4"/>
    <w:rsid w:val="766E40ED"/>
    <w:rsid w:val="766F19D8"/>
    <w:rsid w:val="766F94EC"/>
    <w:rsid w:val="767107AB"/>
    <w:rsid w:val="767E43F6"/>
    <w:rsid w:val="76822AE8"/>
    <w:rsid w:val="76826C6C"/>
    <w:rsid w:val="768BAEF7"/>
    <w:rsid w:val="7696C9DA"/>
    <w:rsid w:val="769F2DA8"/>
    <w:rsid w:val="76A3B54B"/>
    <w:rsid w:val="76A3EC0A"/>
    <w:rsid w:val="76A4FE7B"/>
    <w:rsid w:val="76A81D12"/>
    <w:rsid w:val="76ACC503"/>
    <w:rsid w:val="76AD954D"/>
    <w:rsid w:val="76AFF6B0"/>
    <w:rsid w:val="76B5007A"/>
    <w:rsid w:val="76BF9411"/>
    <w:rsid w:val="76C279B3"/>
    <w:rsid w:val="76C4F157"/>
    <w:rsid w:val="76C9C4DE"/>
    <w:rsid w:val="76CA9133"/>
    <w:rsid w:val="76CD1E33"/>
    <w:rsid w:val="76CE828B"/>
    <w:rsid w:val="76D25306"/>
    <w:rsid w:val="76D917F8"/>
    <w:rsid w:val="76DD13A3"/>
    <w:rsid w:val="76DDD5DE"/>
    <w:rsid w:val="76E004E3"/>
    <w:rsid w:val="76E0B31A"/>
    <w:rsid w:val="76E3EAEC"/>
    <w:rsid w:val="76E8C754"/>
    <w:rsid w:val="76EC0514"/>
    <w:rsid w:val="77016214"/>
    <w:rsid w:val="7709ABB9"/>
    <w:rsid w:val="770DC512"/>
    <w:rsid w:val="770F573F"/>
    <w:rsid w:val="77104F92"/>
    <w:rsid w:val="77165F81"/>
    <w:rsid w:val="771D297F"/>
    <w:rsid w:val="77203B1C"/>
    <w:rsid w:val="7722AA90"/>
    <w:rsid w:val="772710E7"/>
    <w:rsid w:val="772AA0AC"/>
    <w:rsid w:val="7732F0EC"/>
    <w:rsid w:val="7743A234"/>
    <w:rsid w:val="77476368"/>
    <w:rsid w:val="77482430"/>
    <w:rsid w:val="774E10A1"/>
    <w:rsid w:val="7754292F"/>
    <w:rsid w:val="775789CB"/>
    <w:rsid w:val="7759A0FE"/>
    <w:rsid w:val="775C7A12"/>
    <w:rsid w:val="775CBA3F"/>
    <w:rsid w:val="7760C2DB"/>
    <w:rsid w:val="77654AA9"/>
    <w:rsid w:val="776749BD"/>
    <w:rsid w:val="776A9C3F"/>
    <w:rsid w:val="776B23B2"/>
    <w:rsid w:val="77715CF3"/>
    <w:rsid w:val="77798C47"/>
    <w:rsid w:val="7779B248"/>
    <w:rsid w:val="777DDC30"/>
    <w:rsid w:val="777FB32F"/>
    <w:rsid w:val="777FB773"/>
    <w:rsid w:val="778008A4"/>
    <w:rsid w:val="7782791D"/>
    <w:rsid w:val="77857A1A"/>
    <w:rsid w:val="7786E1A3"/>
    <w:rsid w:val="778C8352"/>
    <w:rsid w:val="778E4CDA"/>
    <w:rsid w:val="778E9D61"/>
    <w:rsid w:val="7794A6D1"/>
    <w:rsid w:val="779D9BF7"/>
    <w:rsid w:val="77A172A4"/>
    <w:rsid w:val="77A574C1"/>
    <w:rsid w:val="77A677CB"/>
    <w:rsid w:val="77A8F018"/>
    <w:rsid w:val="77ADFDD6"/>
    <w:rsid w:val="77B44E78"/>
    <w:rsid w:val="77BB82AC"/>
    <w:rsid w:val="77BC21EF"/>
    <w:rsid w:val="77BDCE99"/>
    <w:rsid w:val="77BE7A39"/>
    <w:rsid w:val="77C02F15"/>
    <w:rsid w:val="77C16DAA"/>
    <w:rsid w:val="77C4202D"/>
    <w:rsid w:val="77C85C0F"/>
    <w:rsid w:val="77CAF78A"/>
    <w:rsid w:val="77CDB82B"/>
    <w:rsid w:val="77D464C5"/>
    <w:rsid w:val="77DADD58"/>
    <w:rsid w:val="77E5B5D8"/>
    <w:rsid w:val="77EEF334"/>
    <w:rsid w:val="77F6B93C"/>
    <w:rsid w:val="77F8F3CA"/>
    <w:rsid w:val="77F99EF5"/>
    <w:rsid w:val="77FABC66"/>
    <w:rsid w:val="77FFF049"/>
    <w:rsid w:val="7803401D"/>
    <w:rsid w:val="78036B02"/>
    <w:rsid w:val="78057214"/>
    <w:rsid w:val="780D6794"/>
    <w:rsid w:val="7811F899"/>
    <w:rsid w:val="7812FB0F"/>
    <w:rsid w:val="781859A9"/>
    <w:rsid w:val="78270387"/>
    <w:rsid w:val="782B69B3"/>
    <w:rsid w:val="782C7219"/>
    <w:rsid w:val="782D54D2"/>
    <w:rsid w:val="78366FC0"/>
    <w:rsid w:val="783DDF78"/>
    <w:rsid w:val="7849E726"/>
    <w:rsid w:val="784BF358"/>
    <w:rsid w:val="78541821"/>
    <w:rsid w:val="7854B9A0"/>
    <w:rsid w:val="78567347"/>
    <w:rsid w:val="785B5C15"/>
    <w:rsid w:val="785F6AEF"/>
    <w:rsid w:val="7867C41E"/>
    <w:rsid w:val="78699290"/>
    <w:rsid w:val="7869B493"/>
    <w:rsid w:val="786CC1A1"/>
    <w:rsid w:val="7870E89C"/>
    <w:rsid w:val="78718C1E"/>
    <w:rsid w:val="787EDD62"/>
    <w:rsid w:val="78840F18"/>
    <w:rsid w:val="789179F7"/>
    <w:rsid w:val="78957C80"/>
    <w:rsid w:val="78A374B2"/>
    <w:rsid w:val="78A499E9"/>
    <w:rsid w:val="78A7860F"/>
    <w:rsid w:val="78AE8592"/>
    <w:rsid w:val="78B60B0E"/>
    <w:rsid w:val="78BB619B"/>
    <w:rsid w:val="78BC9286"/>
    <w:rsid w:val="78BEFEA5"/>
    <w:rsid w:val="78BF5818"/>
    <w:rsid w:val="78C892AA"/>
    <w:rsid w:val="78CCCF82"/>
    <w:rsid w:val="78D110BE"/>
    <w:rsid w:val="78D650CB"/>
    <w:rsid w:val="78E385D8"/>
    <w:rsid w:val="78E43E35"/>
    <w:rsid w:val="78E806AC"/>
    <w:rsid w:val="78EF6737"/>
    <w:rsid w:val="78F73DCF"/>
    <w:rsid w:val="78F94C11"/>
    <w:rsid w:val="78FAD314"/>
    <w:rsid w:val="78FAED7C"/>
    <w:rsid w:val="78FB1520"/>
    <w:rsid w:val="78FC1EC5"/>
    <w:rsid w:val="78FEA72F"/>
    <w:rsid w:val="79043D05"/>
    <w:rsid w:val="790C7A68"/>
    <w:rsid w:val="790D166A"/>
    <w:rsid w:val="7910B707"/>
    <w:rsid w:val="79130477"/>
    <w:rsid w:val="79186C40"/>
    <w:rsid w:val="79198862"/>
    <w:rsid w:val="791DAC8D"/>
    <w:rsid w:val="79209452"/>
    <w:rsid w:val="7930E35E"/>
    <w:rsid w:val="7931CB51"/>
    <w:rsid w:val="7933533C"/>
    <w:rsid w:val="793E0DA3"/>
    <w:rsid w:val="79407DE7"/>
    <w:rsid w:val="7943876E"/>
    <w:rsid w:val="794A3DB3"/>
    <w:rsid w:val="794C2574"/>
    <w:rsid w:val="794E14B4"/>
    <w:rsid w:val="79546328"/>
    <w:rsid w:val="79575C17"/>
    <w:rsid w:val="7957DFED"/>
    <w:rsid w:val="796280C8"/>
    <w:rsid w:val="79658565"/>
    <w:rsid w:val="7969F141"/>
    <w:rsid w:val="796EB12A"/>
    <w:rsid w:val="79730D4B"/>
    <w:rsid w:val="798011FF"/>
    <w:rsid w:val="79827929"/>
    <w:rsid w:val="79832B39"/>
    <w:rsid w:val="798859CC"/>
    <w:rsid w:val="798AB34A"/>
    <w:rsid w:val="798EBF53"/>
    <w:rsid w:val="7993287B"/>
    <w:rsid w:val="799EAF82"/>
    <w:rsid w:val="79A22EB8"/>
    <w:rsid w:val="79A567F6"/>
    <w:rsid w:val="79AD24B3"/>
    <w:rsid w:val="79B77EA7"/>
    <w:rsid w:val="79B86F2E"/>
    <w:rsid w:val="79B9DE94"/>
    <w:rsid w:val="79BB301F"/>
    <w:rsid w:val="79BB5C71"/>
    <w:rsid w:val="79BB5C8B"/>
    <w:rsid w:val="79BEBE7E"/>
    <w:rsid w:val="79C14E14"/>
    <w:rsid w:val="79C27185"/>
    <w:rsid w:val="79C3FBC0"/>
    <w:rsid w:val="79D21936"/>
    <w:rsid w:val="79D27C36"/>
    <w:rsid w:val="79D8DAF6"/>
    <w:rsid w:val="79E160E6"/>
    <w:rsid w:val="79E20C35"/>
    <w:rsid w:val="79E2B575"/>
    <w:rsid w:val="79E80419"/>
    <w:rsid w:val="79EC0B31"/>
    <w:rsid w:val="79F2A21B"/>
    <w:rsid w:val="79F447DF"/>
    <w:rsid w:val="79F6C3EC"/>
    <w:rsid w:val="79F80E27"/>
    <w:rsid w:val="79F8B03D"/>
    <w:rsid w:val="79FD9B0C"/>
    <w:rsid w:val="7A1469E8"/>
    <w:rsid w:val="7A16EBF8"/>
    <w:rsid w:val="7A1C1EE4"/>
    <w:rsid w:val="7A1CA002"/>
    <w:rsid w:val="7A1FBD23"/>
    <w:rsid w:val="7A24B86F"/>
    <w:rsid w:val="7A2A8BC7"/>
    <w:rsid w:val="7A2F3B5B"/>
    <w:rsid w:val="7A3303E8"/>
    <w:rsid w:val="7A34F67F"/>
    <w:rsid w:val="7A3CF902"/>
    <w:rsid w:val="7A4A60B1"/>
    <w:rsid w:val="7A4AF850"/>
    <w:rsid w:val="7A542A7C"/>
    <w:rsid w:val="7A5BDBF9"/>
    <w:rsid w:val="7A6A17D4"/>
    <w:rsid w:val="7A6C3FE0"/>
    <w:rsid w:val="7A6F4A78"/>
    <w:rsid w:val="7A71FC91"/>
    <w:rsid w:val="7A7E1761"/>
    <w:rsid w:val="7A7E699D"/>
    <w:rsid w:val="7A7EFACD"/>
    <w:rsid w:val="7A92437F"/>
    <w:rsid w:val="7A936675"/>
    <w:rsid w:val="7A94BB9B"/>
    <w:rsid w:val="7A975AF1"/>
    <w:rsid w:val="7AAE5D29"/>
    <w:rsid w:val="7AAFA92E"/>
    <w:rsid w:val="7AB1640A"/>
    <w:rsid w:val="7AB78966"/>
    <w:rsid w:val="7AB82A32"/>
    <w:rsid w:val="7ABA4DCD"/>
    <w:rsid w:val="7ABCA07E"/>
    <w:rsid w:val="7AC11F97"/>
    <w:rsid w:val="7AC5F35C"/>
    <w:rsid w:val="7AC82F93"/>
    <w:rsid w:val="7ACC34DB"/>
    <w:rsid w:val="7AD04DF2"/>
    <w:rsid w:val="7AD1E917"/>
    <w:rsid w:val="7AD348B6"/>
    <w:rsid w:val="7AD456D2"/>
    <w:rsid w:val="7AD53D6A"/>
    <w:rsid w:val="7ADCBFDF"/>
    <w:rsid w:val="7ADFA481"/>
    <w:rsid w:val="7AE2F556"/>
    <w:rsid w:val="7AE94484"/>
    <w:rsid w:val="7AE9E441"/>
    <w:rsid w:val="7AECD242"/>
    <w:rsid w:val="7AF0DB6C"/>
    <w:rsid w:val="7AF43704"/>
    <w:rsid w:val="7AF5D27E"/>
    <w:rsid w:val="7AFAEADD"/>
    <w:rsid w:val="7AFB8460"/>
    <w:rsid w:val="7AFD0911"/>
    <w:rsid w:val="7B019322"/>
    <w:rsid w:val="7B09C79A"/>
    <w:rsid w:val="7B0A44EF"/>
    <w:rsid w:val="7B0D06F2"/>
    <w:rsid w:val="7B140A9A"/>
    <w:rsid w:val="7B1E6760"/>
    <w:rsid w:val="7B20A511"/>
    <w:rsid w:val="7B21C0AD"/>
    <w:rsid w:val="7B2A3047"/>
    <w:rsid w:val="7B31DB7B"/>
    <w:rsid w:val="7B326534"/>
    <w:rsid w:val="7B394927"/>
    <w:rsid w:val="7B3B339E"/>
    <w:rsid w:val="7B3B8CCE"/>
    <w:rsid w:val="7B3C43F4"/>
    <w:rsid w:val="7B3CE166"/>
    <w:rsid w:val="7B406331"/>
    <w:rsid w:val="7B423FD9"/>
    <w:rsid w:val="7B43D873"/>
    <w:rsid w:val="7B44DADE"/>
    <w:rsid w:val="7B5404BB"/>
    <w:rsid w:val="7B5F4A6A"/>
    <w:rsid w:val="7B64E642"/>
    <w:rsid w:val="7B688FB2"/>
    <w:rsid w:val="7B6F1C64"/>
    <w:rsid w:val="7B6F26CC"/>
    <w:rsid w:val="7B70BAEE"/>
    <w:rsid w:val="7B718679"/>
    <w:rsid w:val="7B78A333"/>
    <w:rsid w:val="7B7E9FF1"/>
    <w:rsid w:val="7B899116"/>
    <w:rsid w:val="7B8A015D"/>
    <w:rsid w:val="7B8C2288"/>
    <w:rsid w:val="7B8CE2ED"/>
    <w:rsid w:val="7B91A5FD"/>
    <w:rsid w:val="7B92F2C4"/>
    <w:rsid w:val="7B95FF18"/>
    <w:rsid w:val="7B98E1CA"/>
    <w:rsid w:val="7B9A1EA2"/>
    <w:rsid w:val="7B9FDC70"/>
    <w:rsid w:val="7BA0273E"/>
    <w:rsid w:val="7BA2E6CC"/>
    <w:rsid w:val="7BA32D5B"/>
    <w:rsid w:val="7BA58E04"/>
    <w:rsid w:val="7BA5940A"/>
    <w:rsid w:val="7BA64100"/>
    <w:rsid w:val="7BAC0A33"/>
    <w:rsid w:val="7BACF4FB"/>
    <w:rsid w:val="7BADBD1F"/>
    <w:rsid w:val="7BB2DB30"/>
    <w:rsid w:val="7BB3478A"/>
    <w:rsid w:val="7BB4FF02"/>
    <w:rsid w:val="7BB63F13"/>
    <w:rsid w:val="7BB7497A"/>
    <w:rsid w:val="7BBAB768"/>
    <w:rsid w:val="7BBECE8E"/>
    <w:rsid w:val="7BC2B3F7"/>
    <w:rsid w:val="7BC2DFBD"/>
    <w:rsid w:val="7BC549E0"/>
    <w:rsid w:val="7BCEC248"/>
    <w:rsid w:val="7BCEEE05"/>
    <w:rsid w:val="7BD1644B"/>
    <w:rsid w:val="7BD311DC"/>
    <w:rsid w:val="7BDA48F2"/>
    <w:rsid w:val="7BDDD10B"/>
    <w:rsid w:val="7BE54E03"/>
    <w:rsid w:val="7BE73185"/>
    <w:rsid w:val="7BEC7EE7"/>
    <w:rsid w:val="7BF26DEF"/>
    <w:rsid w:val="7BF29905"/>
    <w:rsid w:val="7BFD819A"/>
    <w:rsid w:val="7C066DCB"/>
    <w:rsid w:val="7C0A2A1F"/>
    <w:rsid w:val="7C0BFC62"/>
    <w:rsid w:val="7C0C2655"/>
    <w:rsid w:val="7C12672F"/>
    <w:rsid w:val="7C155F0A"/>
    <w:rsid w:val="7C1B51CD"/>
    <w:rsid w:val="7C293049"/>
    <w:rsid w:val="7C2BADCA"/>
    <w:rsid w:val="7C2F1743"/>
    <w:rsid w:val="7C3021EA"/>
    <w:rsid w:val="7C31264F"/>
    <w:rsid w:val="7C32F3B3"/>
    <w:rsid w:val="7C35694A"/>
    <w:rsid w:val="7C3840EF"/>
    <w:rsid w:val="7C3983C6"/>
    <w:rsid w:val="7C3A3A7A"/>
    <w:rsid w:val="7C3AB691"/>
    <w:rsid w:val="7C3D9AF0"/>
    <w:rsid w:val="7C406BBB"/>
    <w:rsid w:val="7C428059"/>
    <w:rsid w:val="7C42D467"/>
    <w:rsid w:val="7C46EA80"/>
    <w:rsid w:val="7C499029"/>
    <w:rsid w:val="7C4EE9D0"/>
    <w:rsid w:val="7C566428"/>
    <w:rsid w:val="7C635FB5"/>
    <w:rsid w:val="7C662AE7"/>
    <w:rsid w:val="7C672932"/>
    <w:rsid w:val="7C68ECBC"/>
    <w:rsid w:val="7C69C3CB"/>
    <w:rsid w:val="7C6A3DEA"/>
    <w:rsid w:val="7C6D64FF"/>
    <w:rsid w:val="7C6E6FF6"/>
    <w:rsid w:val="7C77BB8F"/>
    <w:rsid w:val="7C7D659F"/>
    <w:rsid w:val="7C80168B"/>
    <w:rsid w:val="7C806FD5"/>
    <w:rsid w:val="7C80D172"/>
    <w:rsid w:val="7C8237CF"/>
    <w:rsid w:val="7C8426E7"/>
    <w:rsid w:val="7C859384"/>
    <w:rsid w:val="7C8B1CC4"/>
    <w:rsid w:val="7C954FE3"/>
    <w:rsid w:val="7C959CBB"/>
    <w:rsid w:val="7CA123E5"/>
    <w:rsid w:val="7CA66C6B"/>
    <w:rsid w:val="7CA8C8FF"/>
    <w:rsid w:val="7CB260BA"/>
    <w:rsid w:val="7CB9FC04"/>
    <w:rsid w:val="7CBA199A"/>
    <w:rsid w:val="7CBA2C4E"/>
    <w:rsid w:val="7CBB53F8"/>
    <w:rsid w:val="7CC15B60"/>
    <w:rsid w:val="7CC8E219"/>
    <w:rsid w:val="7CCDDE2B"/>
    <w:rsid w:val="7CD20E93"/>
    <w:rsid w:val="7CD9A344"/>
    <w:rsid w:val="7CE2E241"/>
    <w:rsid w:val="7CE40A19"/>
    <w:rsid w:val="7CE66AB8"/>
    <w:rsid w:val="7CEAB185"/>
    <w:rsid w:val="7CEB21A3"/>
    <w:rsid w:val="7CEB5E27"/>
    <w:rsid w:val="7CEF5BAA"/>
    <w:rsid w:val="7CEF6F57"/>
    <w:rsid w:val="7CF0133D"/>
    <w:rsid w:val="7CF03D18"/>
    <w:rsid w:val="7CF1A0C6"/>
    <w:rsid w:val="7CF1C2B7"/>
    <w:rsid w:val="7CF5A564"/>
    <w:rsid w:val="7D00AF9E"/>
    <w:rsid w:val="7D0C2A91"/>
    <w:rsid w:val="7D0E584C"/>
    <w:rsid w:val="7D0E6C7F"/>
    <w:rsid w:val="7D1028A5"/>
    <w:rsid w:val="7D1068A6"/>
    <w:rsid w:val="7D17F8B4"/>
    <w:rsid w:val="7D18764C"/>
    <w:rsid w:val="7D1FED91"/>
    <w:rsid w:val="7D22E25A"/>
    <w:rsid w:val="7D266AF0"/>
    <w:rsid w:val="7D297136"/>
    <w:rsid w:val="7D2BDE76"/>
    <w:rsid w:val="7D2C6DA3"/>
    <w:rsid w:val="7D2D1259"/>
    <w:rsid w:val="7D30142B"/>
    <w:rsid w:val="7D30ACD6"/>
    <w:rsid w:val="7D35F0D6"/>
    <w:rsid w:val="7D3698EB"/>
    <w:rsid w:val="7D3A4EC1"/>
    <w:rsid w:val="7D3BEBA9"/>
    <w:rsid w:val="7D3EE19B"/>
    <w:rsid w:val="7D3F3CCD"/>
    <w:rsid w:val="7D4168A8"/>
    <w:rsid w:val="7D4268AC"/>
    <w:rsid w:val="7D434466"/>
    <w:rsid w:val="7D484B30"/>
    <w:rsid w:val="7D4B94EE"/>
    <w:rsid w:val="7D4D4C17"/>
    <w:rsid w:val="7D4E88F7"/>
    <w:rsid w:val="7D52BB8F"/>
    <w:rsid w:val="7D570024"/>
    <w:rsid w:val="7D5B88F8"/>
    <w:rsid w:val="7D625D1E"/>
    <w:rsid w:val="7D695C66"/>
    <w:rsid w:val="7D6B1DB8"/>
    <w:rsid w:val="7D6C24AC"/>
    <w:rsid w:val="7D7087BD"/>
    <w:rsid w:val="7D710C17"/>
    <w:rsid w:val="7D74CCAC"/>
    <w:rsid w:val="7D764D99"/>
    <w:rsid w:val="7D7F709D"/>
    <w:rsid w:val="7D803D1A"/>
    <w:rsid w:val="7D804EF0"/>
    <w:rsid w:val="7D81D895"/>
    <w:rsid w:val="7D85157D"/>
    <w:rsid w:val="7D8773EC"/>
    <w:rsid w:val="7D89700B"/>
    <w:rsid w:val="7D920F0B"/>
    <w:rsid w:val="7D9246A9"/>
    <w:rsid w:val="7D96283F"/>
    <w:rsid w:val="7D964A82"/>
    <w:rsid w:val="7D9B4B0A"/>
    <w:rsid w:val="7D9B89CE"/>
    <w:rsid w:val="7DA001AA"/>
    <w:rsid w:val="7DA3C5A2"/>
    <w:rsid w:val="7DA87CBF"/>
    <w:rsid w:val="7DACE180"/>
    <w:rsid w:val="7DB17081"/>
    <w:rsid w:val="7DC116AF"/>
    <w:rsid w:val="7DC28B19"/>
    <w:rsid w:val="7DC6FB62"/>
    <w:rsid w:val="7DC72A40"/>
    <w:rsid w:val="7DC7366E"/>
    <w:rsid w:val="7DC88216"/>
    <w:rsid w:val="7DCC6E8B"/>
    <w:rsid w:val="7DCCA224"/>
    <w:rsid w:val="7DD04DD1"/>
    <w:rsid w:val="7DD2CCD0"/>
    <w:rsid w:val="7DD2F108"/>
    <w:rsid w:val="7DE204EC"/>
    <w:rsid w:val="7DE4D98C"/>
    <w:rsid w:val="7DE54E4C"/>
    <w:rsid w:val="7DE5ABF1"/>
    <w:rsid w:val="7DE64641"/>
    <w:rsid w:val="7DE78F38"/>
    <w:rsid w:val="7DF134F0"/>
    <w:rsid w:val="7DF94251"/>
    <w:rsid w:val="7DFD77F3"/>
    <w:rsid w:val="7E0B904F"/>
    <w:rsid w:val="7E0C1AA6"/>
    <w:rsid w:val="7E1059D5"/>
    <w:rsid w:val="7E1B7C1F"/>
    <w:rsid w:val="7E2216AE"/>
    <w:rsid w:val="7E2254C5"/>
    <w:rsid w:val="7E29695D"/>
    <w:rsid w:val="7E2C8B16"/>
    <w:rsid w:val="7E2DD309"/>
    <w:rsid w:val="7E39BB39"/>
    <w:rsid w:val="7E3E55FC"/>
    <w:rsid w:val="7E42FD04"/>
    <w:rsid w:val="7E448713"/>
    <w:rsid w:val="7E44CD4B"/>
    <w:rsid w:val="7E487491"/>
    <w:rsid w:val="7E4DE5CF"/>
    <w:rsid w:val="7E504A16"/>
    <w:rsid w:val="7E505546"/>
    <w:rsid w:val="7E519AF4"/>
    <w:rsid w:val="7E539D7E"/>
    <w:rsid w:val="7E553AB5"/>
    <w:rsid w:val="7E595248"/>
    <w:rsid w:val="7E641FE3"/>
    <w:rsid w:val="7E65D897"/>
    <w:rsid w:val="7E68ECA6"/>
    <w:rsid w:val="7E6EE488"/>
    <w:rsid w:val="7E74D495"/>
    <w:rsid w:val="7E74F323"/>
    <w:rsid w:val="7E7C6340"/>
    <w:rsid w:val="7E8030B1"/>
    <w:rsid w:val="7E815DF6"/>
    <w:rsid w:val="7E89B105"/>
    <w:rsid w:val="7E8E3F62"/>
    <w:rsid w:val="7E912882"/>
    <w:rsid w:val="7E914C0C"/>
    <w:rsid w:val="7E924B2C"/>
    <w:rsid w:val="7E952A1D"/>
    <w:rsid w:val="7E9B62FA"/>
    <w:rsid w:val="7E9BB979"/>
    <w:rsid w:val="7E9D06D0"/>
    <w:rsid w:val="7E9FD1A8"/>
    <w:rsid w:val="7EA1D24C"/>
    <w:rsid w:val="7EA8BB4D"/>
    <w:rsid w:val="7EAA7BDF"/>
    <w:rsid w:val="7EAE2698"/>
    <w:rsid w:val="7EB1D991"/>
    <w:rsid w:val="7EB25779"/>
    <w:rsid w:val="7EB40F0D"/>
    <w:rsid w:val="7ECFE142"/>
    <w:rsid w:val="7ED73CF7"/>
    <w:rsid w:val="7ED840D4"/>
    <w:rsid w:val="7EDB670C"/>
    <w:rsid w:val="7EDB8097"/>
    <w:rsid w:val="7EDBAB90"/>
    <w:rsid w:val="7EDE3B43"/>
    <w:rsid w:val="7EE06E40"/>
    <w:rsid w:val="7EE0A81D"/>
    <w:rsid w:val="7EE5E30C"/>
    <w:rsid w:val="7EEA8BA1"/>
    <w:rsid w:val="7EF1F781"/>
    <w:rsid w:val="7EF5603C"/>
    <w:rsid w:val="7EF9050F"/>
    <w:rsid w:val="7F0161D3"/>
    <w:rsid w:val="7F09CF47"/>
    <w:rsid w:val="7F0D780F"/>
    <w:rsid w:val="7F0EA2EE"/>
    <w:rsid w:val="7F0F960B"/>
    <w:rsid w:val="7F0F9CF2"/>
    <w:rsid w:val="7F1602E5"/>
    <w:rsid w:val="7F17700B"/>
    <w:rsid w:val="7F180CE9"/>
    <w:rsid w:val="7F19A565"/>
    <w:rsid w:val="7F28A2EA"/>
    <w:rsid w:val="7F2A458C"/>
    <w:rsid w:val="7F2A926A"/>
    <w:rsid w:val="7F34D623"/>
    <w:rsid w:val="7F405EC5"/>
    <w:rsid w:val="7F4A9326"/>
    <w:rsid w:val="7F4D1A99"/>
    <w:rsid w:val="7F4EC0C1"/>
    <w:rsid w:val="7F528708"/>
    <w:rsid w:val="7F5A57A6"/>
    <w:rsid w:val="7F5BC071"/>
    <w:rsid w:val="7F5E5509"/>
    <w:rsid w:val="7F6063B7"/>
    <w:rsid w:val="7F621151"/>
    <w:rsid w:val="7F68E66C"/>
    <w:rsid w:val="7F699502"/>
    <w:rsid w:val="7F6BB27D"/>
    <w:rsid w:val="7F7322B8"/>
    <w:rsid w:val="7F733B85"/>
    <w:rsid w:val="7F7505CA"/>
    <w:rsid w:val="7F76598C"/>
    <w:rsid w:val="7F79F296"/>
    <w:rsid w:val="7F7A7ACE"/>
    <w:rsid w:val="7F7DCDA6"/>
    <w:rsid w:val="7F7E74B3"/>
    <w:rsid w:val="7F7F4C15"/>
    <w:rsid w:val="7F862BD9"/>
    <w:rsid w:val="7F8B1D11"/>
    <w:rsid w:val="7F8E11CD"/>
    <w:rsid w:val="7F8F4AF5"/>
    <w:rsid w:val="7F9134FF"/>
    <w:rsid w:val="7F929661"/>
    <w:rsid w:val="7F962E22"/>
    <w:rsid w:val="7F9C3B19"/>
    <w:rsid w:val="7F9EA776"/>
    <w:rsid w:val="7FA5FCC8"/>
    <w:rsid w:val="7FACFD17"/>
    <w:rsid w:val="7FB407B4"/>
    <w:rsid w:val="7FB52951"/>
    <w:rsid w:val="7FB9B4BB"/>
    <w:rsid w:val="7FBA88FA"/>
    <w:rsid w:val="7FBE677C"/>
    <w:rsid w:val="7FC031A8"/>
    <w:rsid w:val="7FC10526"/>
    <w:rsid w:val="7FC3E54C"/>
    <w:rsid w:val="7FD27E04"/>
    <w:rsid w:val="7FD414EE"/>
    <w:rsid w:val="7FDC243D"/>
    <w:rsid w:val="7FFB0F9D"/>
    <w:rsid w:val="7FFCAC29"/>
    <w:rsid w:val="7FFCC06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D1B49E2"/>
  <w14:defaultImageDpi w14:val="0"/>
  <w15:docId w15:val="{DB403DE2-032D-48D9-A7D8-9ACC96A1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SegoeUI" w:hAnsi="Tahoma" w:cs="Tahoma"/>
        <w:sz w:val="24"/>
        <w:szCs w:val="24"/>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6040"/>
    <w:rPr>
      <w:rFonts w:ascii="Arial" w:hAnsi="Arial"/>
    </w:rPr>
  </w:style>
  <w:style w:type="paragraph" w:styleId="Heading1">
    <w:name w:val="heading 1"/>
    <w:basedOn w:val="Normal"/>
    <w:next w:val="Normal"/>
    <w:link w:val="Heading1Char"/>
    <w:uiPriority w:val="9"/>
    <w:qFormat/>
    <w:rsid w:val="00F92CDA"/>
    <w:pPr>
      <w:keepNext/>
      <w:tabs>
        <w:tab w:val="right" w:pos="10206"/>
      </w:tabs>
      <w:spacing w:before="240" w:after="60"/>
      <w:outlineLvl w:val="0"/>
    </w:pPr>
    <w:rPr>
      <w:b/>
      <w:bCs/>
      <w:spacing w:val="-4"/>
      <w:kern w:val="32"/>
      <w:sz w:val="32"/>
      <w:szCs w:val="32"/>
    </w:rPr>
  </w:style>
  <w:style w:type="paragraph" w:styleId="Heading2">
    <w:name w:val="heading 2"/>
    <w:aliases w:val="EBHeading1"/>
    <w:basedOn w:val="Normal"/>
    <w:next w:val="EBBodyPara"/>
    <w:link w:val="Heading2Char"/>
    <w:uiPriority w:val="9"/>
    <w:qFormat/>
    <w:rsid w:val="00F92CDA"/>
    <w:pPr>
      <w:keepNext/>
      <w:keepLines/>
      <w:spacing w:before="480" w:after="240"/>
      <w:outlineLvl w:val="1"/>
    </w:pPr>
    <w:rPr>
      <w:bCs/>
      <w:color w:val="000000"/>
      <w:sz w:val="32"/>
      <w:szCs w:val="22"/>
    </w:rPr>
  </w:style>
  <w:style w:type="paragraph" w:styleId="Heading3">
    <w:name w:val="heading 3"/>
    <w:aliases w:val="EBHeading2"/>
    <w:basedOn w:val="Normal"/>
    <w:next w:val="EBBodyPara"/>
    <w:link w:val="Heading3Char"/>
    <w:uiPriority w:val="9"/>
    <w:qFormat/>
    <w:rsid w:val="00F92CDA"/>
    <w:pPr>
      <w:keepNext/>
      <w:keepLines/>
      <w:spacing w:before="360" w:after="240"/>
      <w:outlineLvl w:val="2"/>
    </w:pPr>
    <w:rPr>
      <w:b/>
      <w:bCs/>
      <w:color w:val="000000"/>
      <w:szCs w:val="22"/>
    </w:rPr>
  </w:style>
  <w:style w:type="paragraph" w:styleId="Heading4">
    <w:name w:val="heading 4"/>
    <w:aliases w:val="EBHeading3"/>
    <w:basedOn w:val="EBBodyPara"/>
    <w:next w:val="Normal"/>
    <w:link w:val="Heading4Char"/>
    <w:uiPriority w:val="9"/>
    <w:qFormat/>
    <w:rsid w:val="00C65769"/>
    <w:pPr>
      <w:spacing w:before="240"/>
      <w:outlineLvl w:val="3"/>
    </w:pPr>
    <w:rPr>
      <w:b/>
      <w:sz w:val="24"/>
    </w:rPr>
  </w:style>
  <w:style w:type="paragraph" w:styleId="Heading5">
    <w:name w:val="heading 5"/>
    <w:aliases w:val="EBHeading4"/>
    <w:basedOn w:val="Normal"/>
    <w:next w:val="Normal"/>
    <w:link w:val="Heading5Char"/>
    <w:uiPriority w:val="9"/>
    <w:qFormat/>
    <w:rsid w:val="002B7335"/>
    <w:pPr>
      <w:spacing w:before="240" w:after="120"/>
      <w:outlineLvl w:val="4"/>
    </w:pPr>
    <w:rPr>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bCs/>
      <w:spacing w:val="-4"/>
      <w:kern w:val="32"/>
      <w:sz w:val="32"/>
      <w:szCs w:val="32"/>
    </w:rPr>
  </w:style>
  <w:style w:type="character" w:customStyle="1" w:styleId="Heading2Char">
    <w:name w:val="Heading 2 Char"/>
    <w:aliases w:val="EBHeading1 Char"/>
    <w:basedOn w:val="DefaultParagraphFont"/>
    <w:link w:val="Heading2"/>
    <w:uiPriority w:val="9"/>
    <w:locked/>
    <w:rPr>
      <w:rFonts w:ascii="Arial" w:hAnsi="Arial"/>
      <w:bCs/>
      <w:color w:val="000000"/>
      <w:sz w:val="32"/>
      <w:szCs w:val="22"/>
    </w:rPr>
  </w:style>
  <w:style w:type="character" w:customStyle="1" w:styleId="Heading3Char">
    <w:name w:val="Heading 3 Char"/>
    <w:aliases w:val="EBHeading2 Char"/>
    <w:basedOn w:val="DefaultParagraphFont"/>
    <w:link w:val="Heading3"/>
    <w:uiPriority w:val="9"/>
    <w:locked/>
    <w:rPr>
      <w:rFonts w:ascii="Arial" w:hAnsi="Arial"/>
      <w:b/>
      <w:bCs/>
      <w:color w:val="000000"/>
      <w:szCs w:val="22"/>
    </w:rPr>
  </w:style>
  <w:style w:type="character" w:customStyle="1" w:styleId="Heading4Char">
    <w:name w:val="Heading 4 Char"/>
    <w:aliases w:val="EBHeading3 Char"/>
    <w:basedOn w:val="DefaultParagraphFont"/>
    <w:link w:val="Heading4"/>
    <w:uiPriority w:val="9"/>
    <w:locked/>
    <w:rPr>
      <w:rFonts w:ascii="Arial" w:hAnsi="Arial"/>
      <w:b/>
      <w:bCs/>
      <w:color w:val="000000"/>
      <w:szCs w:val="22"/>
    </w:rPr>
  </w:style>
  <w:style w:type="character" w:customStyle="1" w:styleId="Heading5Char">
    <w:name w:val="Heading 5 Char"/>
    <w:aliases w:val="EBHeading4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paragraph" w:customStyle="1" w:styleId="IATableLabel">
    <w:name w:val="IATableLabel"/>
    <w:basedOn w:val="Normal"/>
    <w:link w:val="IATableLabelCharChar"/>
    <w:rsid w:val="00402E80"/>
    <w:pPr>
      <w:spacing w:before="50" w:after="50"/>
      <w:ind w:left="113" w:right="113"/>
    </w:pPr>
    <w:rPr>
      <w:rFonts w:eastAsia="SimSun"/>
      <w:b/>
      <w:color w:val="000000"/>
      <w:spacing w:val="-5"/>
      <w:sz w:val="20"/>
      <w:szCs w:val="20"/>
      <w:lang w:eastAsia="zh-CN"/>
    </w:rPr>
  </w:style>
  <w:style w:type="character" w:customStyle="1" w:styleId="IATableLabelCharChar">
    <w:name w:val="IATableLabel Char Char"/>
    <w:link w:val="IATableLabel"/>
    <w:locked/>
    <w:rsid w:val="00402E80"/>
    <w:rPr>
      <w:rFonts w:ascii="Arial" w:eastAsia="SimSun" w:hAnsi="Arial"/>
      <w:b/>
      <w:color w:val="000000"/>
      <w:spacing w:val="-5"/>
      <w:lang w:val="en-GB" w:eastAsia="zh-CN"/>
    </w:rPr>
  </w:style>
  <w:style w:type="paragraph" w:customStyle="1" w:styleId="IASpacer">
    <w:name w:val="IASpacer"/>
    <w:basedOn w:val="Normal"/>
    <w:rsid w:val="007208D9"/>
    <w:pPr>
      <w:spacing w:line="80" w:lineRule="exact"/>
    </w:pPr>
    <w:rPr>
      <w:rFonts w:eastAsia="SimSun"/>
      <w:sz w:val="22"/>
      <w:lang w:eastAsia="zh-CN"/>
    </w:rPr>
  </w:style>
  <w:style w:type="paragraph" w:customStyle="1" w:styleId="IATableText">
    <w:name w:val="IATableText"/>
    <w:basedOn w:val="IATableLabel"/>
    <w:link w:val="IATableTextChar"/>
    <w:rsid w:val="00220F29"/>
    <w:rPr>
      <w:b w:val="0"/>
      <w:color w:val="auto"/>
      <w:sz w:val="22"/>
    </w:rPr>
  </w:style>
  <w:style w:type="character" w:customStyle="1" w:styleId="IATableTextChar">
    <w:name w:val="IATableText Char"/>
    <w:link w:val="IATableText"/>
    <w:locked/>
    <w:rsid w:val="00220F29"/>
    <w:rPr>
      <w:rFonts w:ascii="Arial" w:eastAsia="SimSun" w:hAnsi="Arial"/>
      <w:b/>
      <w:color w:val="000000"/>
      <w:spacing w:val="-5"/>
      <w:sz w:val="22"/>
      <w:lang w:val="en-GB" w:eastAsia="zh-CN"/>
    </w:rPr>
  </w:style>
  <w:style w:type="paragraph" w:styleId="BodyText">
    <w:name w:val="Body Text"/>
    <w:basedOn w:val="Normal"/>
    <w:link w:val="BodyTextChar"/>
    <w:uiPriority w:val="99"/>
    <w:rsid w:val="003E54B6"/>
    <w:pPr>
      <w:spacing w:after="120"/>
    </w:pPr>
    <w:rPr>
      <w:bCs/>
      <w:color w:val="000000"/>
      <w:sz w:val="22"/>
      <w:szCs w:val="22"/>
    </w:rPr>
  </w:style>
  <w:style w:type="character" w:customStyle="1" w:styleId="BodyTextChar">
    <w:name w:val="Body Text Char"/>
    <w:basedOn w:val="DefaultParagraphFont"/>
    <w:link w:val="BodyText"/>
    <w:uiPriority w:val="99"/>
    <w:locked/>
    <w:rsid w:val="0049416F"/>
    <w:rPr>
      <w:bCs/>
      <w:color w:val="000000"/>
      <w:sz w:val="22"/>
      <w:szCs w:val="22"/>
    </w:rPr>
  </w:style>
  <w:style w:type="table" w:styleId="TableGrid">
    <w:name w:val="Table Grid"/>
    <w:basedOn w:val="TableNormal"/>
    <w:uiPriority w:val="39"/>
    <w:rsid w:val="0002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F64C7"/>
    <w:pPr>
      <w:ind w:left="113"/>
      <w:outlineLvl w:val="0"/>
    </w:pPr>
    <w:rPr>
      <w:bCs/>
      <w:color w:val="FFFFFF"/>
      <w:kern w:val="28"/>
      <w:sz w:val="32"/>
      <w:szCs w:val="32"/>
    </w:rPr>
  </w:style>
  <w:style w:type="character" w:customStyle="1" w:styleId="TitleChar">
    <w:name w:val="Title Char"/>
    <w:basedOn w:val="DefaultParagraphFont"/>
    <w:link w:val="Title"/>
    <w:uiPriority w:val="10"/>
    <w:locked/>
    <w:rsid w:val="00174C10"/>
    <w:rPr>
      <w:bCs/>
      <w:color w:val="FFFFFF"/>
      <w:kern w:val="28"/>
      <w:sz w:val="32"/>
      <w:szCs w:val="32"/>
    </w:rPr>
  </w:style>
  <w:style w:type="paragraph" w:customStyle="1" w:styleId="IAHeadDept">
    <w:name w:val="IAHeadDept"/>
    <w:basedOn w:val="IATableText"/>
    <w:link w:val="IAHeadDeptChar"/>
    <w:rsid w:val="00C120C0"/>
    <w:pPr>
      <w:spacing w:after="120"/>
      <w:ind w:left="0" w:right="57"/>
    </w:pPr>
    <w:rPr>
      <w:spacing w:val="-6"/>
      <w:szCs w:val="22"/>
    </w:rPr>
  </w:style>
  <w:style w:type="paragraph" w:customStyle="1" w:styleId="IAHeadLabel">
    <w:name w:val="IAHeadLabel"/>
    <w:basedOn w:val="IATableLabel"/>
    <w:link w:val="IAHeadLabelChar"/>
    <w:rsid w:val="00570F8E"/>
    <w:pPr>
      <w:spacing w:before="110"/>
      <w:ind w:left="0" w:right="0"/>
    </w:pPr>
  </w:style>
  <w:style w:type="character" w:customStyle="1" w:styleId="IAHeadLabelChar">
    <w:name w:val="IAHeadLabel Char"/>
    <w:basedOn w:val="IATableLabelCharChar"/>
    <w:link w:val="IAHeadLabel"/>
    <w:locked/>
    <w:rsid w:val="00570F8E"/>
    <w:rPr>
      <w:rFonts w:ascii="Arial" w:eastAsia="SimSun" w:hAnsi="Arial" w:cs="Times New Roman"/>
      <w:b/>
      <w:color w:val="000000"/>
      <w:spacing w:val="-5"/>
      <w:lang w:val="en-GB" w:eastAsia="zh-CN" w:bidi="ar-SA"/>
    </w:rPr>
  </w:style>
  <w:style w:type="table" w:customStyle="1" w:styleId="TableIAHeading">
    <w:name w:val="Table_IAHeading"/>
    <w:basedOn w:val="TableNormal"/>
    <w:semiHidden/>
    <w:rsid w:val="006A5A2E"/>
    <w:rPr>
      <w:rFonts w:eastAsia="SimSun"/>
      <w:color w:val="FFFFFF"/>
    </w:rPr>
    <w:tblPr>
      <w:tblBorders>
        <w:top w:val="single" w:sz="12" w:space="0" w:color="008080"/>
        <w:left w:val="single" w:sz="12" w:space="0" w:color="008080"/>
        <w:bottom w:val="single" w:sz="12" w:space="0" w:color="008080"/>
        <w:right w:val="single" w:sz="12" w:space="0" w:color="008080"/>
        <w:insideH w:val="single" w:sz="12" w:space="0" w:color="008080"/>
      </w:tblBorders>
      <w:tblCellMar>
        <w:left w:w="0" w:type="dxa"/>
        <w:right w:w="0" w:type="dxa"/>
      </w:tblCellMar>
    </w:tblPr>
    <w:tcPr>
      <w:shd w:val="clear" w:color="auto" w:fill="008080"/>
    </w:tcPr>
  </w:style>
  <w:style w:type="paragraph" w:customStyle="1" w:styleId="IATableNotes">
    <w:name w:val="IATableNotes"/>
    <w:basedOn w:val="Normal"/>
    <w:link w:val="IATableNotesChar"/>
    <w:rsid w:val="006A5A2E"/>
    <w:pPr>
      <w:spacing w:before="60" w:after="60"/>
      <w:ind w:left="113" w:right="113"/>
    </w:pPr>
    <w:rPr>
      <w:rFonts w:eastAsia="SimSun"/>
      <w:sz w:val="18"/>
      <w:szCs w:val="20"/>
      <w:lang w:eastAsia="zh-CN"/>
    </w:rPr>
  </w:style>
  <w:style w:type="character" w:customStyle="1" w:styleId="IATableNotesChar">
    <w:name w:val="IATableNotes Char"/>
    <w:link w:val="IATableNotes"/>
    <w:locked/>
    <w:rsid w:val="006A5A2E"/>
    <w:rPr>
      <w:rFonts w:ascii="Arial" w:eastAsia="SimSun" w:hAnsi="Arial"/>
      <w:sz w:val="18"/>
      <w:lang w:val="en-GB" w:eastAsia="zh-CN"/>
    </w:rPr>
  </w:style>
  <w:style w:type="paragraph" w:customStyle="1" w:styleId="IASignOff">
    <w:name w:val="IASignOff"/>
    <w:basedOn w:val="IATableNotes"/>
    <w:next w:val="IATableNotes"/>
    <w:link w:val="IASignOffChar"/>
    <w:semiHidden/>
    <w:rsid w:val="006A5A2E"/>
    <w:pPr>
      <w:spacing w:before="120" w:after="120"/>
      <w:ind w:left="567" w:right="567"/>
    </w:pPr>
    <w:rPr>
      <w:b/>
      <w:bCs/>
      <w:i/>
      <w:iCs/>
    </w:rPr>
  </w:style>
  <w:style w:type="character" w:customStyle="1" w:styleId="IASignOffChar">
    <w:name w:val="IASignOff Char"/>
    <w:link w:val="IASignOff"/>
    <w:locked/>
    <w:rsid w:val="006A5A2E"/>
    <w:rPr>
      <w:rFonts w:ascii="Arial" w:eastAsia="SimSun" w:hAnsi="Arial"/>
      <w:b/>
      <w:i/>
      <w:sz w:val="18"/>
      <w:lang w:val="en-GB" w:eastAsia="zh-CN"/>
    </w:rPr>
  </w:style>
  <w:style w:type="paragraph" w:customStyle="1" w:styleId="IAHeadTitle">
    <w:name w:val="IAHeadTitle"/>
    <w:basedOn w:val="IAHeadDept"/>
    <w:link w:val="IAHeadTitleChar"/>
    <w:rsid w:val="008228A5"/>
    <w:pPr>
      <w:spacing w:before="0" w:after="0"/>
    </w:pPr>
    <w:rPr>
      <w:b/>
      <w:sz w:val="28"/>
      <w:szCs w:val="28"/>
    </w:rPr>
  </w:style>
  <w:style w:type="paragraph" w:customStyle="1" w:styleId="IASignature">
    <w:name w:val="IA Signature"/>
    <w:basedOn w:val="IATableText"/>
    <w:rsid w:val="00C67CDD"/>
    <w:pPr>
      <w:tabs>
        <w:tab w:val="left" w:leader="dot" w:pos="6804"/>
        <w:tab w:val="right" w:leader="dot" w:pos="10206"/>
      </w:tabs>
      <w:spacing w:before="0" w:after="0"/>
      <w:ind w:left="0"/>
    </w:pPr>
  </w:style>
  <w:style w:type="paragraph" w:customStyle="1" w:styleId="IASign-offlabel">
    <w:name w:val="IA Sign-off label"/>
    <w:basedOn w:val="IAHeadLabel"/>
    <w:link w:val="IASign-offlabelChar"/>
    <w:rsid w:val="00FB5CFE"/>
    <w:pPr>
      <w:spacing w:after="120"/>
    </w:pPr>
    <w:rPr>
      <w:szCs w:val="22"/>
      <w:u w:val="single"/>
    </w:rPr>
  </w:style>
  <w:style w:type="character" w:customStyle="1" w:styleId="IASign-offlabelChar">
    <w:name w:val="IA Sign-off label Char"/>
    <w:link w:val="IASign-offlabel"/>
    <w:locked/>
    <w:rsid w:val="009050B9"/>
    <w:rPr>
      <w:rFonts w:ascii="Arial" w:eastAsia="SimSun" w:hAnsi="Arial"/>
      <w:b/>
      <w:color w:val="000000"/>
      <w:spacing w:val="-5"/>
      <w:sz w:val="22"/>
      <w:u w:val="single"/>
      <w:lang w:val="en-GB" w:eastAsia="zh-CN"/>
    </w:rPr>
  </w:style>
  <w:style w:type="paragraph" w:customStyle="1" w:styleId="IASign-off">
    <w:name w:val="IA Sign-off"/>
    <w:basedOn w:val="IATableText"/>
    <w:rsid w:val="00C67CDD"/>
    <w:pPr>
      <w:spacing w:before="0" w:after="0"/>
      <w:ind w:left="0" w:right="284"/>
    </w:pPr>
    <w:rPr>
      <w:b/>
      <w:i/>
    </w:rPr>
  </w:style>
  <w:style w:type="paragraph" w:customStyle="1" w:styleId="IAHeading2">
    <w:name w:val="IAHeading2"/>
    <w:basedOn w:val="Normal"/>
    <w:semiHidden/>
    <w:rsid w:val="000A79FC"/>
    <w:pPr>
      <w:keepNext/>
      <w:keepLines/>
      <w:spacing w:before="60" w:after="60"/>
      <w:ind w:left="113" w:right="113"/>
    </w:pPr>
    <w:rPr>
      <w:rFonts w:eastAsia="SimSun"/>
      <w:b/>
      <w:sz w:val="20"/>
      <w:lang w:eastAsia="zh-CN"/>
    </w:rPr>
  </w:style>
  <w:style w:type="table" w:customStyle="1" w:styleId="TableIABox">
    <w:name w:val="Table_IABox"/>
    <w:basedOn w:val="TableNormal"/>
    <w:rsid w:val="007777A1"/>
    <w:rPr>
      <w:rFonts w:eastAsia="SimSu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Header">
    <w:name w:val="header"/>
    <w:basedOn w:val="Normal"/>
    <w:link w:val="HeaderChar"/>
    <w:uiPriority w:val="99"/>
    <w:rsid w:val="00E96CB5"/>
    <w:pPr>
      <w:jc w:val="center"/>
    </w:pPr>
    <w:rPr>
      <w:caps/>
    </w:rPr>
  </w:style>
  <w:style w:type="character" w:customStyle="1" w:styleId="HeaderChar">
    <w:name w:val="Header Char"/>
    <w:basedOn w:val="DefaultParagraphFont"/>
    <w:link w:val="Header"/>
    <w:uiPriority w:val="99"/>
    <w:semiHidden/>
    <w:locked/>
    <w:rPr>
      <w:rFonts w:ascii="Arial" w:hAnsi="Arial" w:cs="Times New Roman"/>
      <w:sz w:val="24"/>
      <w:szCs w:val="24"/>
      <w:lang w:val="x-none" w:eastAsia="en-US"/>
    </w:rPr>
  </w:style>
  <w:style w:type="paragraph" w:styleId="Footer">
    <w:name w:val="footer"/>
    <w:basedOn w:val="Normal"/>
    <w:link w:val="FooterChar"/>
    <w:uiPriority w:val="99"/>
    <w:rsid w:val="000407D8"/>
    <w:pPr>
      <w:tabs>
        <w:tab w:val="center" w:pos="5132"/>
        <w:tab w:val="right" w:pos="10260"/>
      </w:tabs>
      <w:jc w:val="center"/>
    </w:pPr>
    <w:rPr>
      <w:b/>
      <w:sz w:val="18"/>
    </w:rPr>
  </w:style>
  <w:style w:type="character" w:customStyle="1" w:styleId="FooterChar">
    <w:name w:val="Footer Char"/>
    <w:basedOn w:val="DefaultParagraphFont"/>
    <w:link w:val="Footer"/>
    <w:uiPriority w:val="99"/>
    <w:semiHidden/>
    <w:locked/>
    <w:rPr>
      <w:rFonts w:ascii="Arial" w:hAnsi="Arial" w:cs="Times New Roman"/>
      <w:sz w:val="24"/>
      <w:szCs w:val="24"/>
      <w:lang w:val="x-none" w:eastAsia="en-US"/>
    </w:rPr>
  </w:style>
  <w:style w:type="character" w:styleId="PageNumber">
    <w:name w:val="page number"/>
    <w:basedOn w:val="DefaultParagraphFont"/>
    <w:uiPriority w:val="99"/>
    <w:rsid w:val="00EB43FD"/>
    <w:rPr>
      <w:rFonts w:cs="Times New Roman"/>
    </w:rPr>
  </w:style>
  <w:style w:type="paragraph" w:customStyle="1" w:styleId="IANotes">
    <w:name w:val="IANotes"/>
    <w:basedOn w:val="Normal"/>
    <w:semiHidden/>
    <w:rsid w:val="00650282"/>
    <w:rPr>
      <w:rFonts w:eastAsia="SimSun"/>
      <w:color w:val="008080"/>
      <w:sz w:val="22"/>
      <w:lang w:eastAsia="zh-CN"/>
    </w:rPr>
  </w:style>
  <w:style w:type="paragraph" w:customStyle="1" w:styleId="IATableHeading">
    <w:name w:val="IATableHeading"/>
    <w:basedOn w:val="IATableLabel"/>
    <w:rsid w:val="00716D5C"/>
    <w:rPr>
      <w:sz w:val="22"/>
      <w:szCs w:val="24"/>
    </w:rPr>
  </w:style>
  <w:style w:type="paragraph" w:styleId="FootnoteText">
    <w:name w:val="footnote text"/>
    <w:basedOn w:val="Normal"/>
    <w:link w:val="FootnoteTextChar"/>
    <w:uiPriority w:val="99"/>
    <w:rsid w:val="00490FF7"/>
    <w:rPr>
      <w:rFonts w:eastAsia="SimSun"/>
      <w:sz w:val="16"/>
      <w:szCs w:val="20"/>
      <w:lang w:eastAsia="zh-CN"/>
    </w:rPr>
  </w:style>
  <w:style w:type="character" w:customStyle="1" w:styleId="FootnoteTextChar">
    <w:name w:val="Footnote Text Char"/>
    <w:basedOn w:val="DefaultParagraphFont"/>
    <w:link w:val="FootnoteText"/>
    <w:uiPriority w:val="99"/>
    <w:locked/>
    <w:rPr>
      <w:rFonts w:ascii="Arial" w:hAnsi="Arial" w:cs="Times New Roman"/>
      <w:lang w:val="x-none" w:eastAsia="en-US"/>
    </w:rPr>
  </w:style>
  <w:style w:type="character" w:styleId="FootnoteReference">
    <w:name w:val="footnote reference"/>
    <w:basedOn w:val="DefaultParagraphFont"/>
    <w:uiPriority w:val="99"/>
    <w:rsid w:val="00B84190"/>
    <w:rPr>
      <w:rFonts w:cs="Times New Roman"/>
      <w:sz w:val="22"/>
      <w:vertAlign w:val="superscript"/>
    </w:rPr>
  </w:style>
  <w:style w:type="paragraph" w:customStyle="1" w:styleId="EBBodyPara">
    <w:name w:val="EBBodyPara"/>
    <w:basedOn w:val="BodyText"/>
    <w:rsid w:val="005A2FC0"/>
  </w:style>
  <w:style w:type="paragraph" w:styleId="BalloonText">
    <w:name w:val="Balloon Text"/>
    <w:basedOn w:val="Normal"/>
    <w:link w:val="BalloonTextChar"/>
    <w:uiPriority w:val="99"/>
    <w:semiHidden/>
    <w:rsid w:val="00300CED"/>
    <w:rPr>
      <w:rFonts w:ascii="Courier New" w:hAnsi="Courier New" w:cs="Courier New"/>
      <w:sz w:val="16"/>
      <w:szCs w:val="16"/>
    </w:rPr>
  </w:style>
  <w:style w:type="character" w:customStyle="1" w:styleId="BalloonTextChar">
    <w:name w:val="Balloon Text Char"/>
    <w:basedOn w:val="DefaultParagraphFont"/>
    <w:link w:val="BalloonText"/>
    <w:uiPriority w:val="99"/>
    <w:semiHidden/>
    <w:locked/>
    <w:rPr>
      <w:rFonts w:ascii="Courier New" w:hAnsi="Courier New" w:cs="Courier New"/>
      <w:sz w:val="16"/>
      <w:szCs w:val="16"/>
    </w:rPr>
  </w:style>
  <w:style w:type="paragraph" w:customStyle="1" w:styleId="EBNumber">
    <w:name w:val="EBNumber"/>
    <w:basedOn w:val="BodyText"/>
    <w:rsid w:val="002B7335"/>
    <w:pPr>
      <w:numPr>
        <w:ilvl w:val="1"/>
        <w:numId w:val="1"/>
      </w:numPr>
    </w:pPr>
  </w:style>
  <w:style w:type="paragraph" w:customStyle="1" w:styleId="EBNumberRestart">
    <w:name w:val="EBNumberRestart"/>
    <w:basedOn w:val="BodyText"/>
    <w:next w:val="EBNumber"/>
    <w:rsid w:val="002B7335"/>
    <w:pPr>
      <w:numPr>
        <w:numId w:val="1"/>
      </w:numPr>
    </w:pPr>
  </w:style>
  <w:style w:type="paragraph" w:customStyle="1" w:styleId="StyleIATableText10ptRight">
    <w:name w:val="Style IATableText + 10 pt Right"/>
    <w:basedOn w:val="IATableText"/>
    <w:rsid w:val="008D39AA"/>
    <w:pPr>
      <w:ind w:left="0" w:right="57"/>
      <w:jc w:val="right"/>
    </w:pPr>
    <w:rPr>
      <w:rFonts w:eastAsia="Times New Roman"/>
      <w:sz w:val="20"/>
    </w:rPr>
  </w:style>
  <w:style w:type="paragraph" w:customStyle="1" w:styleId="SecurityClass">
    <w:name w:val="SecurityClass"/>
    <w:basedOn w:val="Header"/>
    <w:rsid w:val="00AE46AA"/>
  </w:style>
  <w:style w:type="paragraph" w:customStyle="1" w:styleId="IARefNumber">
    <w:name w:val="IARefNumber"/>
    <w:basedOn w:val="IATableText"/>
    <w:rsid w:val="001E152A"/>
    <w:pPr>
      <w:numPr>
        <w:numId w:val="2"/>
      </w:numPr>
    </w:pPr>
    <w:rPr>
      <w:rFonts w:eastAsia="MS Mincho"/>
    </w:rPr>
  </w:style>
  <w:style w:type="character" w:styleId="Hyperlink">
    <w:name w:val="Hyperlink"/>
    <w:basedOn w:val="DefaultParagraphFont"/>
    <w:uiPriority w:val="99"/>
    <w:rsid w:val="00B4136C"/>
    <w:rPr>
      <w:rFonts w:cs="Times New Roman"/>
      <w:color w:val="auto"/>
      <w:u w:val="single"/>
    </w:rPr>
  </w:style>
  <w:style w:type="paragraph" w:customStyle="1" w:styleId="POPBY">
    <w:name w:val="POPBY"/>
    <w:basedOn w:val="IATableLabel"/>
    <w:rsid w:val="00AB574B"/>
  </w:style>
  <w:style w:type="paragraph" w:customStyle="1" w:styleId="EBBullet">
    <w:name w:val="EBBullet"/>
    <w:basedOn w:val="BodyText"/>
    <w:link w:val="EBBulletChar"/>
    <w:rsid w:val="002B7335"/>
    <w:pPr>
      <w:numPr>
        <w:numId w:val="3"/>
      </w:numPr>
    </w:pPr>
  </w:style>
  <w:style w:type="paragraph" w:customStyle="1" w:styleId="IAHeadText">
    <w:name w:val="IAHeadText"/>
    <w:basedOn w:val="IATableText"/>
    <w:rsid w:val="00632CB9"/>
    <w:pPr>
      <w:spacing w:before="0" w:after="0"/>
      <w:ind w:left="0" w:right="57"/>
    </w:pPr>
    <w:rPr>
      <w:spacing w:val="-6"/>
    </w:rPr>
  </w:style>
  <w:style w:type="paragraph" w:customStyle="1" w:styleId="IAHeadLabel0">
    <w:name w:val="IAHeadLabel0"/>
    <w:basedOn w:val="IAHeadLabel"/>
    <w:next w:val="IAHeadTitle"/>
    <w:rsid w:val="00632CB9"/>
    <w:pPr>
      <w:spacing w:before="0"/>
    </w:pPr>
  </w:style>
  <w:style w:type="paragraph" w:customStyle="1" w:styleId="IATableLines">
    <w:name w:val="IATableLines"/>
    <w:basedOn w:val="IATableText"/>
    <w:link w:val="IATableLinesChar"/>
    <w:rsid w:val="00E82A56"/>
    <w:pPr>
      <w:spacing w:before="0" w:after="0"/>
    </w:pPr>
  </w:style>
  <w:style w:type="paragraph" w:customStyle="1" w:styleId="EvidenceHeadPIR">
    <w:name w:val="EvidenceHeadPIR"/>
    <w:rsid w:val="00BE650A"/>
    <w:pPr>
      <w:spacing w:after="120"/>
    </w:pPr>
    <w:rPr>
      <w:bCs/>
      <w:color w:val="000000"/>
      <w:sz w:val="22"/>
      <w:szCs w:val="22"/>
    </w:rPr>
  </w:style>
  <w:style w:type="character" w:styleId="FollowedHyperlink">
    <w:name w:val="FollowedHyperlink"/>
    <w:basedOn w:val="DefaultParagraphFont"/>
    <w:uiPriority w:val="99"/>
    <w:rsid w:val="006D37CF"/>
    <w:rPr>
      <w:rFonts w:cs="Times New Roman"/>
      <w:color w:val="auto"/>
      <w:u w:val="single"/>
    </w:rPr>
  </w:style>
  <w:style w:type="paragraph" w:customStyle="1" w:styleId="IASpacer2">
    <w:name w:val="IASpacer2"/>
    <w:basedOn w:val="IASpacer"/>
    <w:rsid w:val="00311373"/>
    <w:pPr>
      <w:spacing w:line="40" w:lineRule="exact"/>
    </w:pPr>
  </w:style>
  <w:style w:type="paragraph" w:customStyle="1" w:styleId="POPVBY">
    <w:name w:val="POPVBY"/>
    <w:basedOn w:val="IATableLabel"/>
    <w:rsid w:val="00AB574B"/>
  </w:style>
  <w:style w:type="paragraph" w:customStyle="1" w:styleId="POTPY">
    <w:name w:val="POTPY"/>
    <w:basedOn w:val="IATableLabel"/>
    <w:rsid w:val="00F622E8"/>
  </w:style>
  <w:style w:type="paragraph" w:customStyle="1" w:styleId="PONBLow">
    <w:name w:val="PONBLow"/>
    <w:basedOn w:val="IATableLabel"/>
    <w:link w:val="PONBLowCharChar"/>
    <w:rsid w:val="00F622E8"/>
    <w:rPr>
      <w:b w:val="0"/>
      <w:szCs w:val="22"/>
    </w:rPr>
  </w:style>
  <w:style w:type="character" w:customStyle="1" w:styleId="PONBLowCharChar">
    <w:name w:val="PONBLow Char Char"/>
    <w:link w:val="PONBLow"/>
    <w:locked/>
    <w:rsid w:val="00F622E8"/>
    <w:rPr>
      <w:rFonts w:ascii="Arial" w:eastAsia="SimSun" w:hAnsi="Arial"/>
      <w:b/>
      <w:color w:val="000000"/>
      <w:spacing w:val="-5"/>
      <w:sz w:val="22"/>
      <w:lang w:val="en-GB" w:eastAsia="zh-CN"/>
    </w:rPr>
  </w:style>
  <w:style w:type="paragraph" w:customStyle="1" w:styleId="PONBHigh">
    <w:name w:val="PONBHigh"/>
    <w:basedOn w:val="IATableLabel"/>
    <w:link w:val="PONBHighChar"/>
    <w:rsid w:val="00F622E8"/>
    <w:rPr>
      <w:b w:val="0"/>
      <w:szCs w:val="22"/>
    </w:rPr>
  </w:style>
  <w:style w:type="character" w:customStyle="1" w:styleId="PONBHighChar">
    <w:name w:val="PONBHigh Char"/>
    <w:link w:val="PONBHigh"/>
    <w:locked/>
    <w:rsid w:val="00F622E8"/>
    <w:rPr>
      <w:rFonts w:ascii="Arial" w:eastAsia="SimSun" w:hAnsi="Arial"/>
      <w:b/>
      <w:color w:val="000000"/>
      <w:spacing w:val="-5"/>
      <w:sz w:val="22"/>
      <w:lang w:val="en-GB" w:eastAsia="zh-CN"/>
    </w:rPr>
  </w:style>
  <w:style w:type="paragraph" w:customStyle="1" w:styleId="PONBBestEst">
    <w:name w:val="PONBBestEst"/>
    <w:basedOn w:val="IATableLabel"/>
    <w:link w:val="PONBBestEstChar"/>
    <w:rsid w:val="00F622E8"/>
    <w:rPr>
      <w:b w:val="0"/>
      <w:szCs w:val="22"/>
    </w:rPr>
  </w:style>
  <w:style w:type="character" w:customStyle="1" w:styleId="PONBBestEstChar">
    <w:name w:val="PONBBestEst Char"/>
    <w:link w:val="PONBBestEst"/>
    <w:locked/>
    <w:rsid w:val="00F622E8"/>
    <w:rPr>
      <w:rFonts w:ascii="Arial" w:eastAsia="SimSun" w:hAnsi="Arial"/>
      <w:b/>
      <w:color w:val="000000"/>
      <w:spacing w:val="-5"/>
      <w:sz w:val="22"/>
      <w:lang w:val="en-GB" w:eastAsia="zh-CN"/>
    </w:rPr>
  </w:style>
  <w:style w:type="paragraph" w:customStyle="1" w:styleId="POTTCostsHigh">
    <w:name w:val="POTTCostsHigh"/>
    <w:basedOn w:val="IATableText"/>
    <w:rsid w:val="00B318B0"/>
    <w:pPr>
      <w:jc w:val="right"/>
    </w:pPr>
  </w:style>
  <w:style w:type="paragraph" w:customStyle="1" w:styleId="POTTCostsLow">
    <w:name w:val="POTTCostsLow"/>
    <w:basedOn w:val="POTTCostsHigh"/>
    <w:rsid w:val="00B318B0"/>
  </w:style>
  <w:style w:type="paragraph" w:customStyle="1" w:styleId="POTTCostsBest">
    <w:name w:val="POTTCostsBest"/>
    <w:basedOn w:val="IATableText"/>
    <w:rsid w:val="00B318B0"/>
    <w:pPr>
      <w:jc w:val="right"/>
    </w:pPr>
  </w:style>
  <w:style w:type="paragraph" w:customStyle="1" w:styleId="POTTCostsYear">
    <w:name w:val="POTTCostsYear"/>
    <w:basedOn w:val="IATableText"/>
    <w:rsid w:val="00B318B0"/>
    <w:pPr>
      <w:jc w:val="center"/>
    </w:pPr>
    <w:rPr>
      <w:szCs w:val="18"/>
    </w:rPr>
  </w:style>
  <w:style w:type="paragraph" w:customStyle="1" w:styleId="POAACostsLow">
    <w:name w:val="POAACostsLow"/>
    <w:basedOn w:val="IATableText"/>
    <w:rsid w:val="00B318B0"/>
    <w:pPr>
      <w:jc w:val="right"/>
    </w:pPr>
  </w:style>
  <w:style w:type="paragraph" w:customStyle="1" w:styleId="POAACostsHigh">
    <w:name w:val="POAACostsHigh"/>
    <w:basedOn w:val="POAACostsLow"/>
    <w:rsid w:val="00B318B0"/>
  </w:style>
  <w:style w:type="paragraph" w:customStyle="1" w:styleId="POAACostsBest">
    <w:name w:val="POAACostsBest"/>
    <w:basedOn w:val="IATableText"/>
    <w:rsid w:val="00B318B0"/>
    <w:pPr>
      <w:jc w:val="right"/>
    </w:pPr>
  </w:style>
  <w:style w:type="paragraph" w:customStyle="1" w:styleId="POTCCostsLow">
    <w:name w:val="POTCCostsLow"/>
    <w:basedOn w:val="IATableText"/>
    <w:rsid w:val="00B318B0"/>
    <w:pPr>
      <w:jc w:val="right"/>
    </w:pPr>
    <w:rPr>
      <w:b/>
    </w:rPr>
  </w:style>
  <w:style w:type="paragraph" w:customStyle="1" w:styleId="POTCCostsHigh">
    <w:name w:val="POTCCostsHigh"/>
    <w:basedOn w:val="IATableText"/>
    <w:rsid w:val="00B318B0"/>
    <w:pPr>
      <w:jc w:val="right"/>
    </w:pPr>
    <w:rPr>
      <w:b/>
    </w:rPr>
  </w:style>
  <w:style w:type="paragraph" w:customStyle="1" w:styleId="POTCCostsBest">
    <w:name w:val="POTCCostsBest"/>
    <w:basedOn w:val="IATableText"/>
    <w:rsid w:val="00B318B0"/>
    <w:pPr>
      <w:jc w:val="right"/>
    </w:pPr>
    <w:rPr>
      <w:b/>
    </w:rPr>
  </w:style>
  <w:style w:type="paragraph" w:customStyle="1" w:styleId="IAPOQ1">
    <w:name w:val="IAPOQ1"/>
    <w:basedOn w:val="IATableLabel"/>
    <w:rsid w:val="00B006A9"/>
  </w:style>
  <w:style w:type="paragraph" w:customStyle="1" w:styleId="IAPOA1">
    <w:name w:val="IAPOA1"/>
    <w:basedOn w:val="IATableLines"/>
    <w:rsid w:val="00B006A9"/>
  </w:style>
  <w:style w:type="paragraph" w:customStyle="1" w:styleId="IAPOQ2">
    <w:name w:val="IAPOQ2"/>
    <w:basedOn w:val="IATableLabel"/>
    <w:link w:val="IAPOQ2Char"/>
    <w:rsid w:val="00B006A9"/>
  </w:style>
  <w:style w:type="paragraph" w:customStyle="1" w:styleId="IAPOA2">
    <w:name w:val="IAPOA2"/>
    <w:basedOn w:val="IATableLines"/>
    <w:rsid w:val="00B006A9"/>
  </w:style>
  <w:style w:type="paragraph" w:customStyle="1" w:styleId="POTTBenLow">
    <w:name w:val="POTTBenLow"/>
    <w:basedOn w:val="POTTCostsLow"/>
    <w:rsid w:val="00B006A9"/>
  </w:style>
  <w:style w:type="paragraph" w:customStyle="1" w:styleId="POTTBenHigh">
    <w:name w:val="POTTBenHigh"/>
    <w:basedOn w:val="POTTCostsHigh"/>
    <w:rsid w:val="00B006A9"/>
  </w:style>
  <w:style w:type="paragraph" w:customStyle="1" w:styleId="POTTBenBest">
    <w:name w:val="POTTBenBest"/>
    <w:basedOn w:val="POTTCostsBest"/>
    <w:rsid w:val="00B006A9"/>
  </w:style>
  <w:style w:type="paragraph" w:customStyle="1" w:styleId="POAABenLow">
    <w:name w:val="POAABenLow"/>
    <w:basedOn w:val="POAACostsLow"/>
    <w:rsid w:val="00B006A9"/>
  </w:style>
  <w:style w:type="paragraph" w:customStyle="1" w:styleId="POAABenHigh">
    <w:name w:val="POAABenHigh"/>
    <w:basedOn w:val="POAABenLow"/>
    <w:rsid w:val="00B006A9"/>
  </w:style>
  <w:style w:type="paragraph" w:customStyle="1" w:styleId="POAABenBest">
    <w:name w:val="POAABenBest"/>
    <w:basedOn w:val="POAABenHigh"/>
    <w:rsid w:val="00B006A9"/>
  </w:style>
  <w:style w:type="paragraph" w:customStyle="1" w:styleId="POTBBenLow">
    <w:name w:val="POTBBenLow"/>
    <w:basedOn w:val="POTCCostsLow"/>
    <w:rsid w:val="00B006A9"/>
  </w:style>
  <w:style w:type="paragraph" w:customStyle="1" w:styleId="POTBBenHigh">
    <w:name w:val="POTBBenHigh"/>
    <w:basedOn w:val="POTBBenLow"/>
    <w:rsid w:val="00B006A9"/>
  </w:style>
  <w:style w:type="paragraph" w:customStyle="1" w:styleId="POTBBenBest">
    <w:name w:val="POTBBenBest"/>
    <w:basedOn w:val="POTBBenHigh"/>
    <w:rsid w:val="00B006A9"/>
  </w:style>
  <w:style w:type="paragraph" w:customStyle="1" w:styleId="IPPOQ3">
    <w:name w:val="IPPOQ3"/>
    <w:basedOn w:val="IAPOQ2"/>
    <w:link w:val="IPPOQ3Char"/>
    <w:rsid w:val="00F1653E"/>
  </w:style>
  <w:style w:type="paragraph" w:customStyle="1" w:styleId="IAPOQ4">
    <w:name w:val="IAPOQ4"/>
    <w:basedOn w:val="IPPOQ3"/>
    <w:link w:val="IAPOQ4Char"/>
    <w:rsid w:val="00F1653E"/>
  </w:style>
  <w:style w:type="paragraph" w:customStyle="1" w:styleId="IAPOA3">
    <w:name w:val="IAPOA3"/>
    <w:basedOn w:val="IAPOA2"/>
    <w:rsid w:val="00F1653E"/>
  </w:style>
  <w:style w:type="paragraph" w:customStyle="1" w:styleId="IAPOA4">
    <w:name w:val="IAPOA4"/>
    <w:basedOn w:val="IAPOA3"/>
    <w:rsid w:val="00F1653E"/>
  </w:style>
  <w:style w:type="paragraph" w:customStyle="1" w:styleId="IAPOA5">
    <w:name w:val="IAPOA5"/>
    <w:basedOn w:val="IAPOA4"/>
    <w:rsid w:val="00F1653E"/>
  </w:style>
  <w:style w:type="paragraph" w:customStyle="1" w:styleId="IAPOQ5">
    <w:name w:val="IAPOQ5"/>
    <w:basedOn w:val="IAPOQ4"/>
    <w:link w:val="IAPOQ5Char"/>
    <w:rsid w:val="00F1653E"/>
  </w:style>
  <w:style w:type="character" w:customStyle="1" w:styleId="IAPOQ2Char">
    <w:name w:val="IAPOQ2 Char"/>
    <w:basedOn w:val="IATableLabelCharChar"/>
    <w:link w:val="IAPOQ2"/>
    <w:locked/>
    <w:rsid w:val="00F1653E"/>
    <w:rPr>
      <w:rFonts w:ascii="Arial" w:eastAsia="SimSun" w:hAnsi="Arial" w:cs="Times New Roman"/>
      <w:b/>
      <w:color w:val="000000"/>
      <w:spacing w:val="-5"/>
      <w:lang w:val="en-GB" w:eastAsia="zh-CN" w:bidi="ar-SA"/>
    </w:rPr>
  </w:style>
  <w:style w:type="character" w:customStyle="1" w:styleId="IPPOQ3Char">
    <w:name w:val="IPPOQ3 Char"/>
    <w:basedOn w:val="IAPOQ2Char"/>
    <w:link w:val="IPPOQ3"/>
    <w:locked/>
    <w:rsid w:val="00F1653E"/>
    <w:rPr>
      <w:rFonts w:ascii="Arial" w:eastAsia="SimSun" w:hAnsi="Arial" w:cs="Times New Roman"/>
      <w:b/>
      <w:color w:val="000000"/>
      <w:spacing w:val="-5"/>
      <w:lang w:val="en-GB" w:eastAsia="zh-CN" w:bidi="ar-SA"/>
    </w:rPr>
  </w:style>
  <w:style w:type="character" w:customStyle="1" w:styleId="IAPOQ4Char">
    <w:name w:val="IAPOQ4 Char"/>
    <w:basedOn w:val="IPPOQ3Char"/>
    <w:link w:val="IAPOQ4"/>
    <w:locked/>
    <w:rsid w:val="00F1653E"/>
    <w:rPr>
      <w:rFonts w:ascii="Arial" w:eastAsia="SimSun" w:hAnsi="Arial" w:cs="Times New Roman"/>
      <w:b/>
      <w:color w:val="000000"/>
      <w:spacing w:val="-5"/>
      <w:lang w:val="en-GB" w:eastAsia="zh-CN" w:bidi="ar-SA"/>
    </w:rPr>
  </w:style>
  <w:style w:type="character" w:customStyle="1" w:styleId="IAPOQ5Char">
    <w:name w:val="IAPOQ5 Char"/>
    <w:basedOn w:val="IAPOQ4Char"/>
    <w:link w:val="IAPOQ5"/>
    <w:locked/>
    <w:rsid w:val="00F1653E"/>
    <w:rPr>
      <w:rFonts w:ascii="Arial" w:eastAsia="SimSun" w:hAnsi="Arial" w:cs="Times New Roman"/>
      <w:b/>
      <w:color w:val="000000"/>
      <w:spacing w:val="-5"/>
      <w:lang w:val="en-GB" w:eastAsia="zh-CN" w:bidi="ar-SA"/>
    </w:rPr>
  </w:style>
  <w:style w:type="paragraph" w:customStyle="1" w:styleId="IAPODisRate">
    <w:name w:val="IAPODisRate"/>
    <w:basedOn w:val="IATableLabel"/>
    <w:rsid w:val="00F1653E"/>
    <w:pPr>
      <w:ind w:left="0"/>
      <w:jc w:val="center"/>
    </w:pPr>
    <w:rPr>
      <w:b w:val="0"/>
    </w:rPr>
  </w:style>
  <w:style w:type="paragraph" w:customStyle="1" w:styleId="IAPODICost">
    <w:name w:val="IAPODICost"/>
    <w:basedOn w:val="IATableLabel"/>
    <w:link w:val="IAPODICostChar"/>
    <w:rsid w:val="000E3FD7"/>
    <w:rPr>
      <w:b w:val="0"/>
      <w:sz w:val="22"/>
      <w:szCs w:val="22"/>
    </w:rPr>
  </w:style>
  <w:style w:type="character" w:customStyle="1" w:styleId="IAPODICostChar">
    <w:name w:val="IAPODICost Char"/>
    <w:link w:val="IAPODICost"/>
    <w:locked/>
    <w:rsid w:val="000E3FD7"/>
    <w:rPr>
      <w:rFonts w:ascii="Arial" w:eastAsia="SimSun" w:hAnsi="Arial"/>
      <w:b/>
      <w:color w:val="000000"/>
      <w:spacing w:val="-5"/>
      <w:sz w:val="22"/>
      <w:lang w:val="en-GB" w:eastAsia="zh-CN"/>
    </w:rPr>
  </w:style>
  <w:style w:type="paragraph" w:customStyle="1" w:styleId="IAPODIBen">
    <w:name w:val="IAPODIBen"/>
    <w:basedOn w:val="IATableLabel"/>
    <w:link w:val="IAPODIBenChar"/>
    <w:rsid w:val="000E3FD7"/>
    <w:rPr>
      <w:b w:val="0"/>
      <w:sz w:val="22"/>
      <w:szCs w:val="22"/>
    </w:rPr>
  </w:style>
  <w:style w:type="paragraph" w:customStyle="1" w:styleId="IAPODINet">
    <w:name w:val="IAPODINet"/>
    <w:basedOn w:val="IATableLabel"/>
    <w:link w:val="IAPODINetChar"/>
    <w:rsid w:val="000E3FD7"/>
    <w:rPr>
      <w:b w:val="0"/>
      <w:sz w:val="22"/>
      <w:szCs w:val="22"/>
    </w:rPr>
  </w:style>
  <w:style w:type="paragraph" w:customStyle="1" w:styleId="IAPODIOIOO">
    <w:name w:val="IAPODIOIOO"/>
    <w:basedOn w:val="IATableLabel"/>
    <w:rsid w:val="000E3FD7"/>
    <w:rPr>
      <w:b w:val="0"/>
      <w:sz w:val="22"/>
      <w:szCs w:val="22"/>
    </w:rPr>
  </w:style>
  <w:style w:type="character" w:customStyle="1" w:styleId="IAPODINetChar">
    <w:name w:val="IAPODINet Char"/>
    <w:link w:val="IAPODINet"/>
    <w:locked/>
    <w:rsid w:val="000E3FD7"/>
    <w:rPr>
      <w:rFonts w:ascii="Arial" w:eastAsia="SimSun" w:hAnsi="Arial"/>
      <w:b/>
      <w:color w:val="000000"/>
      <w:spacing w:val="-5"/>
      <w:sz w:val="22"/>
      <w:lang w:val="en-GB" w:eastAsia="zh-CN"/>
    </w:rPr>
  </w:style>
  <w:style w:type="character" w:customStyle="1" w:styleId="IAPODIBenChar">
    <w:name w:val="IAPODIBen Char"/>
    <w:link w:val="IAPODIBen"/>
    <w:locked/>
    <w:rsid w:val="000E3FD7"/>
    <w:rPr>
      <w:rFonts w:ascii="Arial" w:eastAsia="SimSun" w:hAnsi="Arial"/>
      <w:b/>
      <w:color w:val="000000"/>
      <w:spacing w:val="-5"/>
      <w:sz w:val="22"/>
      <w:lang w:val="en-GB" w:eastAsia="zh-CN"/>
    </w:rPr>
  </w:style>
  <w:style w:type="paragraph" w:customStyle="1" w:styleId="IAPODIMQ">
    <w:name w:val="IAPODIMQ"/>
    <w:basedOn w:val="IATableText"/>
    <w:rsid w:val="000E3FD7"/>
    <w:rPr>
      <w:color w:val="000000"/>
      <w:sz w:val="20"/>
    </w:rPr>
  </w:style>
  <w:style w:type="paragraph" w:customStyle="1" w:styleId="ebbullet0">
    <w:name w:val="ebbullet"/>
    <w:basedOn w:val="Normal"/>
    <w:rsid w:val="001F5423"/>
    <w:pPr>
      <w:spacing w:before="100" w:beforeAutospacing="1" w:after="100" w:afterAutospacing="1"/>
    </w:pPr>
    <w:rPr>
      <w:rFonts w:ascii="SegoeUI" w:hAnsi="SegoeUI"/>
    </w:rPr>
  </w:style>
  <w:style w:type="paragraph" w:customStyle="1" w:styleId="IATitle">
    <w:name w:val="IATitle"/>
    <w:basedOn w:val="Normal"/>
    <w:rsid w:val="005F32E7"/>
    <w:pPr>
      <w:ind w:left="113"/>
    </w:pPr>
    <w:rPr>
      <w:rFonts w:eastAsia="SimSun"/>
      <w:sz w:val="20"/>
    </w:rPr>
  </w:style>
  <w:style w:type="paragraph" w:customStyle="1" w:styleId="IANo">
    <w:name w:val="IANo"/>
    <w:basedOn w:val="Normal"/>
    <w:link w:val="IANoChar"/>
    <w:rsid w:val="005F32E7"/>
    <w:pPr>
      <w:ind w:left="113"/>
    </w:pPr>
    <w:rPr>
      <w:sz w:val="20"/>
      <w:szCs w:val="22"/>
    </w:rPr>
  </w:style>
  <w:style w:type="character" w:customStyle="1" w:styleId="IAHeadDeptChar">
    <w:name w:val="IAHeadDept Char"/>
    <w:link w:val="IAHeadDept"/>
    <w:locked/>
    <w:rsid w:val="008031EC"/>
    <w:rPr>
      <w:rFonts w:ascii="Arial" w:eastAsia="SimSun" w:hAnsi="Arial"/>
      <w:b/>
      <w:color w:val="000000"/>
      <w:spacing w:val="-6"/>
      <w:sz w:val="22"/>
      <w:lang w:val="en-GB" w:eastAsia="zh-CN"/>
    </w:rPr>
  </w:style>
  <w:style w:type="character" w:customStyle="1" w:styleId="IAHeadTitleChar">
    <w:name w:val="IAHeadTitle Char"/>
    <w:link w:val="IAHeadTitle"/>
    <w:locked/>
    <w:rsid w:val="008031EC"/>
    <w:rPr>
      <w:rFonts w:ascii="Arial" w:eastAsia="SimSun" w:hAnsi="Arial"/>
      <w:b/>
      <w:color w:val="000000"/>
      <w:spacing w:val="-6"/>
      <w:sz w:val="28"/>
      <w:lang w:val="en-GB" w:eastAsia="zh-CN"/>
    </w:rPr>
  </w:style>
  <w:style w:type="character" w:customStyle="1" w:styleId="IANoChar">
    <w:name w:val="IANo Char"/>
    <w:link w:val="IANo"/>
    <w:locked/>
    <w:rsid w:val="005F32E7"/>
    <w:rPr>
      <w:rFonts w:ascii="Arial" w:eastAsia="SimSun" w:hAnsi="Arial"/>
      <w:b/>
      <w:color w:val="000000"/>
      <w:spacing w:val="-6"/>
      <w:sz w:val="22"/>
      <w:lang w:val="en-GB" w:eastAsia="en-US"/>
    </w:rPr>
  </w:style>
  <w:style w:type="paragraph" w:customStyle="1" w:styleId="IALeadDept">
    <w:name w:val="IALeadDept"/>
    <w:basedOn w:val="Normal"/>
    <w:rsid w:val="005F32E7"/>
    <w:pPr>
      <w:ind w:left="113"/>
    </w:pPr>
    <w:rPr>
      <w:noProof/>
      <w:sz w:val="20"/>
    </w:rPr>
  </w:style>
  <w:style w:type="paragraph" w:customStyle="1" w:styleId="IAOtherDepts">
    <w:name w:val="IAOtherDepts"/>
    <w:basedOn w:val="IATableLabel"/>
    <w:rsid w:val="008031EC"/>
    <w:pPr>
      <w:spacing w:after="0"/>
    </w:pPr>
    <w:rPr>
      <w:b w:val="0"/>
    </w:rPr>
  </w:style>
  <w:style w:type="paragraph" w:customStyle="1" w:styleId="IADate">
    <w:name w:val="IADate"/>
    <w:basedOn w:val="IATableLabel"/>
    <w:link w:val="IADateChar"/>
    <w:rsid w:val="008031EC"/>
    <w:rPr>
      <w:b w:val="0"/>
      <w:sz w:val="22"/>
      <w:szCs w:val="22"/>
    </w:rPr>
  </w:style>
  <w:style w:type="paragraph" w:customStyle="1" w:styleId="IAStage">
    <w:name w:val="IAStage"/>
    <w:basedOn w:val="IATableLabel"/>
    <w:link w:val="IAStageChar"/>
    <w:rsid w:val="008031EC"/>
    <w:rPr>
      <w:b w:val="0"/>
      <w:sz w:val="22"/>
    </w:rPr>
  </w:style>
  <w:style w:type="paragraph" w:customStyle="1" w:styleId="IASOI">
    <w:name w:val="IASOI"/>
    <w:basedOn w:val="IATableLabel"/>
    <w:link w:val="IASOIChar"/>
    <w:rsid w:val="008031EC"/>
    <w:rPr>
      <w:b w:val="0"/>
      <w:sz w:val="22"/>
    </w:rPr>
  </w:style>
  <w:style w:type="paragraph" w:customStyle="1" w:styleId="IATOM">
    <w:name w:val="IATOM"/>
    <w:basedOn w:val="IATableLabel"/>
    <w:link w:val="IATOMChar"/>
    <w:rsid w:val="008031EC"/>
    <w:rPr>
      <w:b w:val="0"/>
      <w:sz w:val="22"/>
    </w:rPr>
  </w:style>
  <w:style w:type="paragraph" w:customStyle="1" w:styleId="IACOE">
    <w:name w:val="IACOE"/>
    <w:basedOn w:val="Normal"/>
    <w:link w:val="IACOEChar"/>
    <w:autoRedefine/>
    <w:rsid w:val="00B225B0"/>
    <w:rPr>
      <w:rFonts w:eastAsia="SimSun"/>
      <w:spacing w:val="-5"/>
      <w:sz w:val="20"/>
      <w:lang w:eastAsia="zh-CN"/>
    </w:rPr>
  </w:style>
  <w:style w:type="paragraph" w:customStyle="1" w:styleId="IARPC">
    <w:name w:val="IARPC"/>
    <w:basedOn w:val="Title"/>
    <w:link w:val="IARPCChar"/>
    <w:rsid w:val="00174C10"/>
    <w:rPr>
      <w:rFonts w:eastAsia="SimSun"/>
      <w:color w:val="000000"/>
      <w:sz w:val="24"/>
      <w:szCs w:val="24"/>
    </w:rPr>
  </w:style>
  <w:style w:type="paragraph" w:customStyle="1" w:styleId="IAIIOTNPV">
    <w:name w:val="IAIIOTNPV"/>
    <w:basedOn w:val="IATableLabel"/>
    <w:rsid w:val="008031EC"/>
    <w:pPr>
      <w:spacing w:before="0" w:after="0"/>
      <w:jc w:val="both"/>
    </w:pPr>
    <w:rPr>
      <w:b w:val="0"/>
      <w:sz w:val="22"/>
      <w:szCs w:val="22"/>
    </w:rPr>
  </w:style>
  <w:style w:type="paragraph" w:customStyle="1" w:styleId="IAIOBNPV">
    <w:name w:val="IAIOBNPV"/>
    <w:basedOn w:val="IATableLabel"/>
    <w:rsid w:val="008031EC"/>
    <w:pPr>
      <w:spacing w:before="0" w:after="0"/>
    </w:pPr>
    <w:rPr>
      <w:b w:val="0"/>
      <w:sz w:val="22"/>
      <w:szCs w:val="22"/>
    </w:rPr>
  </w:style>
  <w:style w:type="paragraph" w:customStyle="1" w:styleId="IAIONCTBPY">
    <w:name w:val="IAIONCTBPY"/>
    <w:basedOn w:val="IATableLabel"/>
    <w:rsid w:val="008031EC"/>
    <w:pPr>
      <w:spacing w:before="0" w:after="0"/>
    </w:pPr>
    <w:rPr>
      <w:b w:val="0"/>
      <w:sz w:val="22"/>
      <w:szCs w:val="22"/>
    </w:rPr>
  </w:style>
  <w:style w:type="paragraph" w:customStyle="1" w:styleId="IAIOInScopeInOut">
    <w:name w:val="IAIOInScopeInOut"/>
    <w:basedOn w:val="IATableLabel"/>
    <w:rsid w:val="008369A3"/>
    <w:pPr>
      <w:spacing w:before="0" w:after="0"/>
    </w:pPr>
    <w:rPr>
      <w:b w:val="0"/>
      <w:sz w:val="22"/>
      <w:szCs w:val="22"/>
    </w:rPr>
  </w:style>
  <w:style w:type="paragraph" w:customStyle="1" w:styleId="IAIOPrefMQ">
    <w:name w:val="IAIOPrefMQ"/>
    <w:basedOn w:val="IATableText"/>
    <w:rsid w:val="008369A3"/>
    <w:pPr>
      <w:spacing w:before="0" w:after="0"/>
    </w:pPr>
    <w:rPr>
      <w:color w:val="000000"/>
      <w:szCs w:val="22"/>
    </w:rPr>
  </w:style>
  <w:style w:type="paragraph" w:customStyle="1" w:styleId="IAIOQ1">
    <w:name w:val="IAIOQ1"/>
    <w:basedOn w:val="IATableLabel"/>
    <w:rsid w:val="008369A3"/>
  </w:style>
  <w:style w:type="paragraph" w:customStyle="1" w:styleId="IAIOA1">
    <w:name w:val="IAIOA1"/>
    <w:basedOn w:val="IATableLines"/>
    <w:rsid w:val="008369A3"/>
  </w:style>
  <w:style w:type="paragraph" w:customStyle="1" w:styleId="IAIOQ2">
    <w:name w:val="IAIOQ2"/>
    <w:basedOn w:val="IATableLabel"/>
    <w:rsid w:val="008369A3"/>
  </w:style>
  <w:style w:type="paragraph" w:customStyle="1" w:styleId="IAIOA2">
    <w:name w:val="IAIOA2"/>
    <w:basedOn w:val="IATableLines"/>
    <w:rsid w:val="008369A3"/>
  </w:style>
  <w:style w:type="paragraph" w:customStyle="1" w:styleId="IAIOQ3">
    <w:name w:val="IAIOQ3"/>
    <w:basedOn w:val="IATableLabel"/>
    <w:rsid w:val="008369A3"/>
  </w:style>
  <w:style w:type="paragraph" w:customStyle="1" w:styleId="IAIOA3">
    <w:name w:val="IAIOA3"/>
    <w:basedOn w:val="IATableLines"/>
    <w:rsid w:val="008369A3"/>
  </w:style>
  <w:style w:type="paragraph" w:customStyle="1" w:styleId="IAIOPolicyReview">
    <w:name w:val="IAIOPolicyReview"/>
    <w:basedOn w:val="IATableLabel"/>
    <w:link w:val="IAIOPolicyReviewChar"/>
    <w:rsid w:val="00F91F5A"/>
    <w:rPr>
      <w:b w:val="0"/>
      <w:sz w:val="22"/>
      <w:szCs w:val="22"/>
    </w:rPr>
  </w:style>
  <w:style w:type="character" w:customStyle="1" w:styleId="IAIOPolicyReviewChar">
    <w:name w:val="IAIOPolicyReview Char"/>
    <w:link w:val="IAIOPolicyReview"/>
    <w:locked/>
    <w:rsid w:val="00F91F5A"/>
    <w:rPr>
      <w:rFonts w:ascii="Arial" w:eastAsia="SimSun" w:hAnsi="Arial"/>
      <w:b/>
      <w:color w:val="000000"/>
      <w:spacing w:val="-5"/>
      <w:sz w:val="22"/>
      <w:lang w:val="en-GB" w:eastAsia="zh-CN"/>
    </w:rPr>
  </w:style>
  <w:style w:type="paragraph" w:customStyle="1" w:styleId="IAIOReviewMonth">
    <w:name w:val="IAIOReviewMonth"/>
    <w:basedOn w:val="IATableLabel"/>
    <w:link w:val="IAIOReviewMonthChar"/>
    <w:rsid w:val="00F91F5A"/>
    <w:rPr>
      <w:b w:val="0"/>
      <w:sz w:val="22"/>
      <w:szCs w:val="22"/>
    </w:rPr>
  </w:style>
  <w:style w:type="paragraph" w:customStyle="1" w:styleId="IAIOReviewYear">
    <w:name w:val="IAIOReviewYear"/>
    <w:basedOn w:val="IATableLabel"/>
    <w:link w:val="IAIOReviewYearChar"/>
    <w:rsid w:val="00F91F5A"/>
    <w:rPr>
      <w:b w:val="0"/>
      <w:sz w:val="22"/>
      <w:szCs w:val="22"/>
    </w:rPr>
  </w:style>
  <w:style w:type="paragraph" w:customStyle="1" w:styleId="IAIOCheckEU">
    <w:name w:val="IAIOCheckEU"/>
    <w:basedOn w:val="IATableText"/>
    <w:rsid w:val="00F91F5A"/>
    <w:pPr>
      <w:spacing w:before="0" w:after="0"/>
    </w:pPr>
    <w:rPr>
      <w:sz w:val="20"/>
    </w:rPr>
  </w:style>
  <w:style w:type="character" w:customStyle="1" w:styleId="IAIOReviewYearChar">
    <w:name w:val="IAIOReviewYear Char"/>
    <w:link w:val="IAIOReviewYear"/>
    <w:locked/>
    <w:rsid w:val="00F91F5A"/>
    <w:rPr>
      <w:rFonts w:ascii="Arial" w:eastAsia="SimSun" w:hAnsi="Arial"/>
      <w:b/>
      <w:color w:val="000000"/>
      <w:spacing w:val="-5"/>
      <w:sz w:val="22"/>
      <w:lang w:val="en-GB" w:eastAsia="zh-CN"/>
    </w:rPr>
  </w:style>
  <w:style w:type="character" w:customStyle="1" w:styleId="IAIOReviewMonthChar">
    <w:name w:val="IAIOReviewMonth Char"/>
    <w:link w:val="IAIOReviewMonth"/>
    <w:locked/>
    <w:rsid w:val="00F91F5A"/>
    <w:rPr>
      <w:rFonts w:ascii="Arial" w:eastAsia="SimSun" w:hAnsi="Arial"/>
      <w:b/>
      <w:color w:val="000000"/>
      <w:spacing w:val="-5"/>
      <w:sz w:val="22"/>
      <w:lang w:val="en-GB" w:eastAsia="zh-CN"/>
    </w:rPr>
  </w:style>
  <w:style w:type="paragraph" w:customStyle="1" w:styleId="IAIOCheckMicro">
    <w:name w:val="IAIOCheckMicro"/>
    <w:basedOn w:val="IATableLines"/>
    <w:link w:val="IAIOCheckMicroChar"/>
    <w:rsid w:val="00F91F5A"/>
    <w:rPr>
      <w:sz w:val="20"/>
    </w:rPr>
  </w:style>
  <w:style w:type="paragraph" w:customStyle="1" w:styleId="IAIOCheck20">
    <w:name w:val="IAIOCheck20"/>
    <w:basedOn w:val="IATableLines"/>
    <w:rsid w:val="00F91F5A"/>
    <w:rPr>
      <w:sz w:val="20"/>
    </w:rPr>
  </w:style>
  <w:style w:type="paragraph" w:customStyle="1" w:styleId="IAIOCheckSmall">
    <w:name w:val="IAIOCheckSmall"/>
    <w:basedOn w:val="IATableLines"/>
    <w:link w:val="IAIOCheckSmallChar"/>
    <w:rsid w:val="00F91F5A"/>
    <w:rPr>
      <w:sz w:val="20"/>
    </w:rPr>
  </w:style>
  <w:style w:type="paragraph" w:customStyle="1" w:styleId="IAIOCheckMedium">
    <w:name w:val="IAIOCheckMedium"/>
    <w:basedOn w:val="IATableLines"/>
    <w:link w:val="IAIOCheckMediumChar"/>
    <w:rsid w:val="00F91F5A"/>
    <w:rPr>
      <w:sz w:val="20"/>
    </w:rPr>
  </w:style>
  <w:style w:type="paragraph" w:customStyle="1" w:styleId="IAIOCheckLarge">
    <w:name w:val="IAIOCheckLarge"/>
    <w:basedOn w:val="IATableLines"/>
    <w:link w:val="IAIOCheckLargeChar"/>
    <w:rsid w:val="00F91F5A"/>
    <w:rPr>
      <w:sz w:val="20"/>
    </w:rPr>
  </w:style>
  <w:style w:type="paragraph" w:customStyle="1" w:styleId="IAIOCO2Traded">
    <w:name w:val="IAIOCO2Traded"/>
    <w:basedOn w:val="IATableLabel"/>
    <w:link w:val="IAIOCO2TradedChar"/>
    <w:rsid w:val="00F91F5A"/>
    <w:rPr>
      <w:b w:val="0"/>
      <w:sz w:val="22"/>
    </w:rPr>
  </w:style>
  <w:style w:type="paragraph" w:customStyle="1" w:styleId="IAIOCO2NonTraded">
    <w:name w:val="IAIOCO2NonTraded"/>
    <w:basedOn w:val="IAIOCO2Traded"/>
    <w:rsid w:val="008155E3"/>
    <w:rPr>
      <w:sz w:val="20"/>
    </w:rPr>
  </w:style>
  <w:style w:type="paragraph" w:customStyle="1" w:styleId="IAIOtextSign">
    <w:name w:val="IAIOtextSign"/>
    <w:basedOn w:val="Normal"/>
    <w:rsid w:val="00F91F5A"/>
    <w:pPr>
      <w:jc w:val="center"/>
    </w:pPr>
  </w:style>
  <w:style w:type="paragraph" w:customStyle="1" w:styleId="IAIOSigDate">
    <w:name w:val="IAIOSigDate"/>
    <w:basedOn w:val="Normal"/>
    <w:rsid w:val="00F91F5A"/>
    <w:pPr>
      <w:jc w:val="center"/>
    </w:pPr>
    <w:rPr>
      <w:sz w:val="22"/>
      <w:szCs w:val="22"/>
    </w:rPr>
  </w:style>
  <w:style w:type="paragraph" w:customStyle="1" w:styleId="IAPODescription">
    <w:name w:val="IAPODescription"/>
    <w:basedOn w:val="IAHeadLabel"/>
    <w:link w:val="IAPODescriptionCharChar"/>
    <w:rsid w:val="00D00846"/>
    <w:pPr>
      <w:spacing w:before="50"/>
    </w:pPr>
    <w:rPr>
      <w:b w:val="0"/>
    </w:rPr>
  </w:style>
  <w:style w:type="character" w:customStyle="1" w:styleId="IAPODescriptionCharChar">
    <w:name w:val="IAPODescription Char Char"/>
    <w:basedOn w:val="IAHeadLabelChar"/>
    <w:link w:val="IAPODescription"/>
    <w:locked/>
    <w:rsid w:val="00D00846"/>
    <w:rPr>
      <w:rFonts w:ascii="Arial" w:eastAsia="SimSun" w:hAnsi="Arial" w:cs="Times New Roman"/>
      <w:b/>
      <w:color w:val="000000"/>
      <w:spacing w:val="-5"/>
      <w:lang w:val="en-GB" w:eastAsia="zh-CN" w:bidi="ar-SA"/>
    </w:rPr>
  </w:style>
  <w:style w:type="character" w:customStyle="1" w:styleId="IADateChar">
    <w:name w:val="IADate Char"/>
    <w:link w:val="IADate"/>
    <w:locked/>
    <w:rsid w:val="00174C10"/>
    <w:rPr>
      <w:rFonts w:ascii="Arial" w:eastAsia="SimSun" w:hAnsi="Arial"/>
      <w:b/>
      <w:color w:val="000000"/>
      <w:spacing w:val="-5"/>
      <w:sz w:val="22"/>
      <w:lang w:val="en-GB" w:eastAsia="zh-CN"/>
    </w:rPr>
  </w:style>
  <w:style w:type="character" w:customStyle="1" w:styleId="IATableLinesChar">
    <w:name w:val="IATableLines Char"/>
    <w:basedOn w:val="IATableTextChar"/>
    <w:link w:val="IATableLines"/>
    <w:locked/>
    <w:rsid w:val="00174C10"/>
    <w:rPr>
      <w:rFonts w:ascii="Arial" w:eastAsia="SimSun" w:hAnsi="Arial" w:cs="Times New Roman"/>
      <w:b/>
      <w:color w:val="000000"/>
      <w:spacing w:val="-5"/>
      <w:sz w:val="22"/>
      <w:lang w:val="en-GB" w:eastAsia="zh-CN" w:bidi="ar-SA"/>
    </w:rPr>
  </w:style>
  <w:style w:type="character" w:customStyle="1" w:styleId="IACOEChar">
    <w:name w:val="IACOE Char"/>
    <w:link w:val="IACOE"/>
    <w:locked/>
    <w:rsid w:val="00B225B0"/>
    <w:rPr>
      <w:rFonts w:ascii="Arial" w:eastAsia="SimSun" w:hAnsi="Arial"/>
      <w:b/>
      <w:color w:val="000000"/>
      <w:spacing w:val="-5"/>
      <w:sz w:val="24"/>
      <w:lang w:val="en-GB" w:eastAsia="zh-CN"/>
    </w:rPr>
  </w:style>
  <w:style w:type="character" w:customStyle="1" w:styleId="IAStageChar">
    <w:name w:val="IAStage Char"/>
    <w:link w:val="IAStage"/>
    <w:locked/>
    <w:rsid w:val="00174C10"/>
    <w:rPr>
      <w:rFonts w:ascii="Arial" w:eastAsia="SimSun" w:hAnsi="Arial"/>
      <w:b/>
      <w:color w:val="000000"/>
      <w:spacing w:val="-5"/>
      <w:sz w:val="22"/>
      <w:lang w:val="en-GB" w:eastAsia="zh-CN"/>
    </w:rPr>
  </w:style>
  <w:style w:type="character" w:customStyle="1" w:styleId="IASOIChar">
    <w:name w:val="IASOI Char"/>
    <w:link w:val="IASOI"/>
    <w:locked/>
    <w:rsid w:val="00174C10"/>
    <w:rPr>
      <w:rFonts w:ascii="Arial" w:eastAsia="SimSun" w:hAnsi="Arial"/>
      <w:b/>
      <w:color w:val="000000"/>
      <w:spacing w:val="-5"/>
      <w:sz w:val="22"/>
      <w:lang w:val="en-GB" w:eastAsia="zh-CN"/>
    </w:rPr>
  </w:style>
  <w:style w:type="character" w:customStyle="1" w:styleId="IATOMChar">
    <w:name w:val="IATOM Char"/>
    <w:link w:val="IATOM"/>
    <w:locked/>
    <w:rsid w:val="00174C10"/>
    <w:rPr>
      <w:rFonts w:ascii="Arial" w:eastAsia="SimSun" w:hAnsi="Arial"/>
      <w:b/>
      <w:color w:val="000000"/>
      <w:spacing w:val="-5"/>
      <w:sz w:val="22"/>
      <w:lang w:val="en-GB" w:eastAsia="zh-CN"/>
    </w:rPr>
  </w:style>
  <w:style w:type="character" w:customStyle="1" w:styleId="IARPCChar">
    <w:name w:val="IARPC Char"/>
    <w:link w:val="IARPC"/>
    <w:locked/>
    <w:rsid w:val="00174C10"/>
    <w:rPr>
      <w:rFonts w:ascii="Arial" w:eastAsia="SimSun" w:hAnsi="Arial"/>
      <w:color w:val="000000"/>
      <w:kern w:val="28"/>
      <w:sz w:val="24"/>
      <w:lang w:val="en-GB" w:eastAsia="en-US"/>
    </w:rPr>
  </w:style>
  <w:style w:type="character" w:customStyle="1" w:styleId="IAIOCheckMicroChar">
    <w:name w:val="IAIOCheckMicro Char"/>
    <w:basedOn w:val="IATableLinesChar"/>
    <w:link w:val="IAIOCheckMicro"/>
    <w:locked/>
    <w:rsid w:val="00D478C9"/>
    <w:rPr>
      <w:rFonts w:ascii="Arial" w:eastAsia="SimSun" w:hAnsi="Arial" w:cs="Times New Roman"/>
      <w:b/>
      <w:color w:val="000000"/>
      <w:spacing w:val="-5"/>
      <w:sz w:val="22"/>
      <w:lang w:val="en-GB" w:eastAsia="zh-CN" w:bidi="ar-SA"/>
    </w:rPr>
  </w:style>
  <w:style w:type="character" w:customStyle="1" w:styleId="IAIOCheckSmallChar">
    <w:name w:val="IAIOCheckSmall Char"/>
    <w:basedOn w:val="IATableLinesChar"/>
    <w:link w:val="IAIOCheckSmall"/>
    <w:locked/>
    <w:rsid w:val="00D478C9"/>
    <w:rPr>
      <w:rFonts w:ascii="Arial" w:eastAsia="SimSun" w:hAnsi="Arial" w:cs="Times New Roman"/>
      <w:b/>
      <w:color w:val="000000"/>
      <w:spacing w:val="-5"/>
      <w:sz w:val="22"/>
      <w:lang w:val="en-GB" w:eastAsia="zh-CN" w:bidi="ar-SA"/>
    </w:rPr>
  </w:style>
  <w:style w:type="character" w:customStyle="1" w:styleId="IAIOCheckMediumChar">
    <w:name w:val="IAIOCheckMedium Char"/>
    <w:basedOn w:val="IATableLinesChar"/>
    <w:link w:val="IAIOCheckMedium"/>
    <w:locked/>
    <w:rsid w:val="00D478C9"/>
    <w:rPr>
      <w:rFonts w:ascii="Arial" w:eastAsia="SimSun" w:hAnsi="Arial" w:cs="Times New Roman"/>
      <w:b/>
      <w:color w:val="000000"/>
      <w:spacing w:val="-5"/>
      <w:sz w:val="22"/>
      <w:lang w:val="en-GB" w:eastAsia="zh-CN" w:bidi="ar-SA"/>
    </w:rPr>
  </w:style>
  <w:style w:type="character" w:customStyle="1" w:styleId="IAIOCheckLargeChar">
    <w:name w:val="IAIOCheckLarge Char"/>
    <w:basedOn w:val="IATableLinesChar"/>
    <w:link w:val="IAIOCheckLarge"/>
    <w:locked/>
    <w:rsid w:val="00D478C9"/>
    <w:rPr>
      <w:rFonts w:ascii="Arial" w:eastAsia="SimSun" w:hAnsi="Arial" w:cs="Times New Roman"/>
      <w:b/>
      <w:color w:val="000000"/>
      <w:spacing w:val="-5"/>
      <w:sz w:val="22"/>
      <w:lang w:val="en-GB" w:eastAsia="zh-CN" w:bidi="ar-SA"/>
    </w:rPr>
  </w:style>
  <w:style w:type="character" w:customStyle="1" w:styleId="IAIOCO2TradedChar">
    <w:name w:val="IAIOCO2Traded Char"/>
    <w:link w:val="IAIOCO2Traded"/>
    <w:locked/>
    <w:rsid w:val="00D478C9"/>
    <w:rPr>
      <w:rFonts w:ascii="Arial" w:eastAsia="SimSun" w:hAnsi="Arial"/>
      <w:b/>
      <w:color w:val="000000"/>
      <w:spacing w:val="-5"/>
      <w:sz w:val="22"/>
      <w:lang w:val="en-GB" w:eastAsia="zh-CN"/>
    </w:rPr>
  </w:style>
  <w:style w:type="character" w:customStyle="1" w:styleId="IALabel">
    <w:name w:val="IALabel"/>
    <w:rsid w:val="009F6692"/>
    <w:rPr>
      <w:color w:val="000000"/>
      <w:sz w:val="20"/>
    </w:rPr>
  </w:style>
  <w:style w:type="paragraph" w:styleId="CommentText">
    <w:name w:val="annotation text"/>
    <w:basedOn w:val="Normal"/>
    <w:link w:val="CommentTextChar"/>
    <w:uiPriority w:val="99"/>
    <w:unhideWhenUsed/>
    <w:rsid w:val="008F7F5C"/>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8F7F5C"/>
    <w:rPr>
      <w:rFonts w:asciiTheme="minorHAnsi" w:eastAsiaTheme="minorHAnsi" w:hAnsiTheme="minorHAnsi" w:cstheme="minorBidi"/>
      <w:lang w:eastAsia="en-US"/>
    </w:rPr>
  </w:style>
  <w:style w:type="paragraph" w:styleId="ListParagraph">
    <w:name w:val="List Paragraph"/>
    <w:basedOn w:val="Normal"/>
    <w:uiPriority w:val="34"/>
    <w:qFormat/>
    <w:rsid w:val="00E24E46"/>
    <w:pPr>
      <w:spacing w:after="160" w:line="256" w:lineRule="auto"/>
      <w:ind w:left="720"/>
      <w:contextualSpacing/>
    </w:pPr>
    <w:rPr>
      <w:rFonts w:eastAsiaTheme="minorHAnsi" w:cstheme="minorBidi"/>
      <w:szCs w:val="22"/>
    </w:rPr>
  </w:style>
  <w:style w:type="character" w:styleId="CommentReference">
    <w:name w:val="annotation reference"/>
    <w:basedOn w:val="DefaultParagraphFont"/>
    <w:uiPriority w:val="99"/>
    <w:unhideWhenUsed/>
    <w:rsid w:val="008F7F5C"/>
    <w:rPr>
      <w:sz w:val="16"/>
      <w:szCs w:val="16"/>
    </w:rPr>
  </w:style>
  <w:style w:type="paragraph" w:styleId="CommentSubject">
    <w:name w:val="annotation subject"/>
    <w:basedOn w:val="CommentText"/>
    <w:next w:val="CommentText"/>
    <w:link w:val="CommentSubjectChar"/>
    <w:rsid w:val="00E1637F"/>
    <w:pPr>
      <w:spacing w:after="0"/>
    </w:pPr>
    <w:rPr>
      <w:rFonts w:ascii="Tahoma" w:eastAsia="Segoe UI" w:hAnsi="Tahoma" w:cs="Segoe UI"/>
      <w:b/>
      <w:bCs/>
    </w:rPr>
  </w:style>
  <w:style w:type="character" w:customStyle="1" w:styleId="CommentSubjectChar">
    <w:name w:val="Comment Subject Char"/>
    <w:basedOn w:val="CommentTextChar"/>
    <w:link w:val="CommentSubject"/>
    <w:rsid w:val="00E1637F"/>
    <w:rPr>
      <w:rFonts w:asciiTheme="minorHAnsi" w:eastAsiaTheme="minorHAnsi" w:hAnsiTheme="minorHAnsi" w:cs="Segoe UI"/>
      <w:b/>
      <w:bCs/>
      <w:sz w:val="20"/>
      <w:szCs w:val="20"/>
      <w:lang w:eastAsia="en-US"/>
    </w:rPr>
  </w:style>
  <w:style w:type="paragraph" w:customStyle="1" w:styleId="paragraph">
    <w:name w:val="paragraph"/>
    <w:basedOn w:val="Normal"/>
    <w:rsid w:val="00952155"/>
    <w:pPr>
      <w:spacing w:before="100" w:beforeAutospacing="1" w:after="100" w:afterAutospacing="1"/>
    </w:pPr>
    <w:rPr>
      <w:rFonts w:ascii="SegoeUI" w:hAnsi="SegoeUI"/>
    </w:rPr>
  </w:style>
  <w:style w:type="character" w:customStyle="1" w:styleId="normaltextrun">
    <w:name w:val="normaltextrun"/>
    <w:basedOn w:val="DefaultParagraphFont"/>
    <w:rsid w:val="00952155"/>
  </w:style>
  <w:style w:type="character" w:customStyle="1" w:styleId="eop">
    <w:name w:val="eop"/>
    <w:basedOn w:val="DefaultParagraphFont"/>
    <w:rsid w:val="00952155"/>
  </w:style>
  <w:style w:type="paragraph" w:styleId="Caption">
    <w:name w:val="caption"/>
    <w:basedOn w:val="Normal"/>
    <w:next w:val="Normal"/>
    <w:unhideWhenUsed/>
    <w:qFormat/>
    <w:rsid w:val="006E045D"/>
    <w:pPr>
      <w:spacing w:after="200"/>
    </w:pPr>
    <w:rPr>
      <w:i/>
      <w:iCs/>
      <w:color w:val="1F497D" w:themeColor="text2"/>
      <w:sz w:val="18"/>
      <w:szCs w:val="18"/>
    </w:rPr>
  </w:style>
  <w:style w:type="table" w:styleId="PlainTable1">
    <w:name w:val="Plain Table 1"/>
    <w:basedOn w:val="TableNormal"/>
    <w:uiPriority w:val="41"/>
    <w:rsid w:val="00E336E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unhideWhenUsed/>
    <w:rsid w:val="00E336EC"/>
    <w:rPr>
      <w:color w:val="605E5C"/>
      <w:shd w:val="clear" w:color="auto" w:fill="E1DFDD"/>
    </w:rPr>
  </w:style>
  <w:style w:type="character" w:styleId="Mention">
    <w:name w:val="Mention"/>
    <w:basedOn w:val="DefaultParagraphFont"/>
    <w:uiPriority w:val="99"/>
    <w:unhideWhenUsed/>
    <w:rsid w:val="00E336EC"/>
    <w:rPr>
      <w:color w:val="2B579A"/>
      <w:shd w:val="clear" w:color="auto" w:fill="E1DFDD"/>
    </w:rPr>
  </w:style>
  <w:style w:type="paragraph" w:styleId="NormalWeb">
    <w:name w:val="Normal (Web)"/>
    <w:basedOn w:val="Normal"/>
    <w:uiPriority w:val="99"/>
    <w:unhideWhenUsed/>
    <w:rsid w:val="00A17E63"/>
    <w:pPr>
      <w:spacing w:before="100" w:beforeAutospacing="1" w:after="100" w:afterAutospacing="1"/>
    </w:pPr>
    <w:rPr>
      <w:rFonts w:ascii="SegoeUI" w:hAnsi="SegoeUI"/>
    </w:rPr>
  </w:style>
  <w:style w:type="character" w:customStyle="1" w:styleId="superscript">
    <w:name w:val="superscript"/>
    <w:basedOn w:val="DefaultParagraphFont"/>
    <w:rsid w:val="004C66B8"/>
  </w:style>
  <w:style w:type="paragraph" w:styleId="Revision">
    <w:name w:val="Revision"/>
    <w:hidden/>
    <w:uiPriority w:val="99"/>
    <w:semiHidden/>
    <w:rsid w:val="00B433B9"/>
    <w:rPr>
      <w:lang w:eastAsia="en-US"/>
    </w:rPr>
  </w:style>
  <w:style w:type="character" w:styleId="Emphasis">
    <w:name w:val="Emphasis"/>
    <w:basedOn w:val="DefaultParagraphFont"/>
    <w:qFormat/>
    <w:rsid w:val="004F217D"/>
    <w:rPr>
      <w:i/>
      <w:iCs/>
    </w:rPr>
  </w:style>
  <w:style w:type="paragraph" w:customStyle="1" w:styleId="Numberedparagraphs">
    <w:name w:val="Numbered paragraphs"/>
    <w:basedOn w:val="EBNumber"/>
    <w:autoRedefine/>
    <w:qFormat/>
    <w:rsid w:val="009229B3"/>
    <w:pPr>
      <w:numPr>
        <w:ilvl w:val="0"/>
        <w:numId w:val="828"/>
      </w:numPr>
      <w:spacing w:after="200"/>
    </w:pPr>
    <w:rPr>
      <w:iCs/>
      <w:sz w:val="24"/>
    </w:rPr>
  </w:style>
  <w:style w:type="numbering" w:customStyle="1" w:styleId="Style1">
    <w:name w:val="Style1"/>
    <w:basedOn w:val="NoList"/>
    <w:uiPriority w:val="99"/>
    <w:rsid w:val="00B2387E"/>
    <w:pPr>
      <w:numPr>
        <w:numId w:val="114"/>
      </w:numPr>
    </w:pPr>
  </w:style>
  <w:style w:type="paragraph" w:customStyle="1" w:styleId="Bullets">
    <w:name w:val="Bullets"/>
    <w:basedOn w:val="EBBullet"/>
    <w:next w:val="Numberedparagraphs"/>
    <w:link w:val="BulletsChar"/>
    <w:qFormat/>
    <w:rsid w:val="002F25CA"/>
    <w:pPr>
      <w:numPr>
        <w:numId w:val="23"/>
      </w:numPr>
    </w:pPr>
    <w:rPr>
      <w:sz w:val="24"/>
      <w:szCs w:val="32"/>
    </w:rPr>
  </w:style>
  <w:style w:type="character" w:customStyle="1" w:styleId="EBBulletChar">
    <w:name w:val="EBBullet Char"/>
    <w:basedOn w:val="BodyTextChar"/>
    <w:link w:val="EBBullet"/>
    <w:rsid w:val="00A129B5"/>
    <w:rPr>
      <w:rFonts w:ascii="Arial" w:hAnsi="Arial"/>
      <w:bCs/>
      <w:color w:val="000000"/>
      <w:sz w:val="22"/>
      <w:szCs w:val="22"/>
    </w:rPr>
  </w:style>
  <w:style w:type="character" w:customStyle="1" w:styleId="BulletsChar">
    <w:name w:val="Bullets Char"/>
    <w:basedOn w:val="EBBulletChar"/>
    <w:link w:val="Bullets"/>
    <w:rsid w:val="00603516"/>
    <w:rPr>
      <w:rFonts w:ascii="Arial" w:hAnsi="Arial"/>
      <w:bCs/>
      <w:color w:val="000000"/>
      <w:sz w:val="22"/>
      <w:szCs w:val="32"/>
    </w:rPr>
  </w:style>
  <w:style w:type="numbering" w:customStyle="1" w:styleId="Bullet">
    <w:name w:val="Bullet"/>
    <w:uiPriority w:val="99"/>
    <w:rsid w:val="00B2387E"/>
    <w:pPr>
      <w:numPr>
        <w:numId w:val="96"/>
      </w:numPr>
    </w:pPr>
  </w:style>
  <w:style w:type="paragraph" w:styleId="ListContinue">
    <w:name w:val="List Continue"/>
    <w:basedOn w:val="Normal"/>
    <w:rsid w:val="00A65FA4"/>
    <w:pPr>
      <w:spacing w:after="120"/>
      <w:ind w:left="283"/>
      <w:contextualSpacing/>
    </w:pPr>
  </w:style>
  <w:style w:type="paragraph" w:customStyle="1" w:styleId="Default">
    <w:name w:val="Default"/>
    <w:rsid w:val="00A367E9"/>
    <w:pPr>
      <w:autoSpaceDE w:val="0"/>
      <w:autoSpaceDN w:val="0"/>
      <w:adjustRightInd w:val="0"/>
    </w:pPr>
    <w:rPr>
      <w:rFonts w:ascii="Segoe UI Symbol" w:hAnsi="Segoe UI Symbol" w:cs="Segoe UI Symbol"/>
      <w:color w:val="000000"/>
    </w:rPr>
  </w:style>
  <w:style w:type="character" w:customStyle="1" w:styleId="marko70qmgm9z">
    <w:name w:val="marko70qmgm9z"/>
    <w:basedOn w:val="DefaultParagraphFont"/>
    <w:rsid w:val="00855A4D"/>
  </w:style>
  <w:style w:type="paragraph" w:styleId="TOCHeading">
    <w:name w:val="TOC Heading"/>
    <w:basedOn w:val="Heading1"/>
    <w:next w:val="Normal"/>
    <w:uiPriority w:val="39"/>
    <w:unhideWhenUsed/>
    <w:qFormat/>
    <w:rsid w:val="008A2D52"/>
    <w:pPr>
      <w:keepLines/>
      <w:tabs>
        <w:tab w:val="clear" w:pos="10206"/>
      </w:tabs>
      <w:spacing w:after="0" w:line="259" w:lineRule="auto"/>
      <w:outlineLvl w:val="9"/>
    </w:pPr>
    <w:rPr>
      <w:rFonts w:asciiTheme="majorHAnsi" w:eastAsiaTheme="majorEastAsia" w:hAnsiTheme="majorHAnsi" w:cstheme="majorBidi"/>
      <w:b w:val="0"/>
      <w:bCs w:val="0"/>
      <w:color w:val="365F91" w:themeColor="accent1" w:themeShade="BF"/>
      <w:spacing w:val="0"/>
      <w:kern w:val="0"/>
      <w:lang w:val="en-US" w:eastAsia="en-US"/>
    </w:rPr>
  </w:style>
  <w:style w:type="paragraph" w:styleId="TOC1">
    <w:name w:val="toc 1"/>
    <w:basedOn w:val="Normal"/>
    <w:next w:val="Normal"/>
    <w:autoRedefine/>
    <w:uiPriority w:val="39"/>
    <w:rsid w:val="008A2D52"/>
    <w:pPr>
      <w:spacing w:after="100"/>
    </w:pPr>
  </w:style>
  <w:style w:type="paragraph" w:styleId="TOC3">
    <w:name w:val="toc 3"/>
    <w:basedOn w:val="Normal"/>
    <w:next w:val="Normal"/>
    <w:autoRedefine/>
    <w:uiPriority w:val="39"/>
    <w:rsid w:val="00E905A6"/>
    <w:pPr>
      <w:tabs>
        <w:tab w:val="right" w:leader="dot" w:pos="10195"/>
      </w:tabs>
      <w:spacing w:after="120"/>
      <w:ind w:left="480"/>
    </w:pPr>
  </w:style>
  <w:style w:type="character" w:customStyle="1" w:styleId="marko3v3rkc4k">
    <w:name w:val="marko3v3rkc4k"/>
    <w:basedOn w:val="DefaultParagraphFont"/>
    <w:rsid w:val="002A6BA5"/>
  </w:style>
  <w:style w:type="paragraph" w:styleId="NoSpacing">
    <w:name w:val="No Spacing"/>
    <w:uiPriority w:val="1"/>
    <w:qFormat/>
    <w:rsid w:val="00E31A2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0507">
      <w:bodyDiv w:val="1"/>
      <w:marLeft w:val="0"/>
      <w:marRight w:val="0"/>
      <w:marTop w:val="0"/>
      <w:marBottom w:val="0"/>
      <w:divBdr>
        <w:top w:val="none" w:sz="0" w:space="0" w:color="auto"/>
        <w:left w:val="none" w:sz="0" w:space="0" w:color="auto"/>
        <w:bottom w:val="none" w:sz="0" w:space="0" w:color="auto"/>
        <w:right w:val="none" w:sz="0" w:space="0" w:color="auto"/>
      </w:divBdr>
    </w:div>
    <w:div w:id="95488389">
      <w:bodyDiv w:val="1"/>
      <w:marLeft w:val="0"/>
      <w:marRight w:val="0"/>
      <w:marTop w:val="0"/>
      <w:marBottom w:val="0"/>
      <w:divBdr>
        <w:top w:val="none" w:sz="0" w:space="0" w:color="auto"/>
        <w:left w:val="none" w:sz="0" w:space="0" w:color="auto"/>
        <w:bottom w:val="none" w:sz="0" w:space="0" w:color="auto"/>
        <w:right w:val="none" w:sz="0" w:space="0" w:color="auto"/>
      </w:divBdr>
    </w:div>
    <w:div w:id="120652161">
      <w:bodyDiv w:val="1"/>
      <w:marLeft w:val="0"/>
      <w:marRight w:val="0"/>
      <w:marTop w:val="0"/>
      <w:marBottom w:val="0"/>
      <w:divBdr>
        <w:top w:val="none" w:sz="0" w:space="0" w:color="auto"/>
        <w:left w:val="none" w:sz="0" w:space="0" w:color="auto"/>
        <w:bottom w:val="none" w:sz="0" w:space="0" w:color="auto"/>
        <w:right w:val="none" w:sz="0" w:space="0" w:color="auto"/>
      </w:divBdr>
    </w:div>
    <w:div w:id="121197055">
      <w:bodyDiv w:val="1"/>
      <w:marLeft w:val="0"/>
      <w:marRight w:val="0"/>
      <w:marTop w:val="0"/>
      <w:marBottom w:val="0"/>
      <w:divBdr>
        <w:top w:val="none" w:sz="0" w:space="0" w:color="auto"/>
        <w:left w:val="none" w:sz="0" w:space="0" w:color="auto"/>
        <w:bottom w:val="none" w:sz="0" w:space="0" w:color="auto"/>
        <w:right w:val="none" w:sz="0" w:space="0" w:color="auto"/>
      </w:divBdr>
      <w:divsChild>
        <w:div w:id="144395496">
          <w:marLeft w:val="0"/>
          <w:marRight w:val="0"/>
          <w:marTop w:val="0"/>
          <w:marBottom w:val="0"/>
          <w:divBdr>
            <w:top w:val="none" w:sz="0" w:space="0" w:color="auto"/>
            <w:left w:val="none" w:sz="0" w:space="0" w:color="auto"/>
            <w:bottom w:val="none" w:sz="0" w:space="0" w:color="auto"/>
            <w:right w:val="none" w:sz="0" w:space="0" w:color="auto"/>
          </w:divBdr>
        </w:div>
        <w:div w:id="1247619191">
          <w:marLeft w:val="0"/>
          <w:marRight w:val="0"/>
          <w:marTop w:val="0"/>
          <w:marBottom w:val="0"/>
          <w:divBdr>
            <w:top w:val="none" w:sz="0" w:space="0" w:color="auto"/>
            <w:left w:val="none" w:sz="0" w:space="0" w:color="auto"/>
            <w:bottom w:val="none" w:sz="0" w:space="0" w:color="auto"/>
            <w:right w:val="none" w:sz="0" w:space="0" w:color="auto"/>
          </w:divBdr>
        </w:div>
        <w:div w:id="1707556859">
          <w:marLeft w:val="0"/>
          <w:marRight w:val="0"/>
          <w:marTop w:val="0"/>
          <w:marBottom w:val="0"/>
          <w:divBdr>
            <w:top w:val="none" w:sz="0" w:space="0" w:color="auto"/>
            <w:left w:val="none" w:sz="0" w:space="0" w:color="auto"/>
            <w:bottom w:val="none" w:sz="0" w:space="0" w:color="auto"/>
            <w:right w:val="none" w:sz="0" w:space="0" w:color="auto"/>
          </w:divBdr>
        </w:div>
      </w:divsChild>
    </w:div>
    <w:div w:id="128134223">
      <w:bodyDiv w:val="1"/>
      <w:marLeft w:val="0"/>
      <w:marRight w:val="0"/>
      <w:marTop w:val="0"/>
      <w:marBottom w:val="0"/>
      <w:divBdr>
        <w:top w:val="none" w:sz="0" w:space="0" w:color="auto"/>
        <w:left w:val="none" w:sz="0" w:space="0" w:color="auto"/>
        <w:bottom w:val="none" w:sz="0" w:space="0" w:color="auto"/>
        <w:right w:val="none" w:sz="0" w:space="0" w:color="auto"/>
      </w:divBdr>
    </w:div>
    <w:div w:id="144900164">
      <w:bodyDiv w:val="1"/>
      <w:marLeft w:val="0"/>
      <w:marRight w:val="0"/>
      <w:marTop w:val="0"/>
      <w:marBottom w:val="0"/>
      <w:divBdr>
        <w:top w:val="none" w:sz="0" w:space="0" w:color="auto"/>
        <w:left w:val="none" w:sz="0" w:space="0" w:color="auto"/>
        <w:bottom w:val="none" w:sz="0" w:space="0" w:color="auto"/>
        <w:right w:val="none" w:sz="0" w:space="0" w:color="auto"/>
      </w:divBdr>
    </w:div>
    <w:div w:id="172301115">
      <w:bodyDiv w:val="1"/>
      <w:marLeft w:val="0"/>
      <w:marRight w:val="0"/>
      <w:marTop w:val="0"/>
      <w:marBottom w:val="0"/>
      <w:divBdr>
        <w:top w:val="none" w:sz="0" w:space="0" w:color="auto"/>
        <w:left w:val="none" w:sz="0" w:space="0" w:color="auto"/>
        <w:bottom w:val="none" w:sz="0" w:space="0" w:color="auto"/>
        <w:right w:val="none" w:sz="0" w:space="0" w:color="auto"/>
      </w:divBdr>
    </w:div>
    <w:div w:id="179131247">
      <w:bodyDiv w:val="1"/>
      <w:marLeft w:val="0"/>
      <w:marRight w:val="0"/>
      <w:marTop w:val="0"/>
      <w:marBottom w:val="0"/>
      <w:divBdr>
        <w:top w:val="none" w:sz="0" w:space="0" w:color="auto"/>
        <w:left w:val="none" w:sz="0" w:space="0" w:color="auto"/>
        <w:bottom w:val="none" w:sz="0" w:space="0" w:color="auto"/>
        <w:right w:val="none" w:sz="0" w:space="0" w:color="auto"/>
      </w:divBdr>
    </w:div>
    <w:div w:id="188491547">
      <w:bodyDiv w:val="1"/>
      <w:marLeft w:val="0"/>
      <w:marRight w:val="0"/>
      <w:marTop w:val="0"/>
      <w:marBottom w:val="0"/>
      <w:divBdr>
        <w:top w:val="none" w:sz="0" w:space="0" w:color="auto"/>
        <w:left w:val="none" w:sz="0" w:space="0" w:color="auto"/>
        <w:bottom w:val="none" w:sz="0" w:space="0" w:color="auto"/>
        <w:right w:val="none" w:sz="0" w:space="0" w:color="auto"/>
      </w:divBdr>
    </w:div>
    <w:div w:id="199629542">
      <w:bodyDiv w:val="1"/>
      <w:marLeft w:val="0"/>
      <w:marRight w:val="0"/>
      <w:marTop w:val="0"/>
      <w:marBottom w:val="0"/>
      <w:divBdr>
        <w:top w:val="none" w:sz="0" w:space="0" w:color="auto"/>
        <w:left w:val="none" w:sz="0" w:space="0" w:color="auto"/>
        <w:bottom w:val="none" w:sz="0" w:space="0" w:color="auto"/>
        <w:right w:val="none" w:sz="0" w:space="0" w:color="auto"/>
      </w:divBdr>
    </w:div>
    <w:div w:id="200170269">
      <w:bodyDiv w:val="1"/>
      <w:marLeft w:val="0"/>
      <w:marRight w:val="0"/>
      <w:marTop w:val="0"/>
      <w:marBottom w:val="0"/>
      <w:divBdr>
        <w:top w:val="none" w:sz="0" w:space="0" w:color="auto"/>
        <w:left w:val="none" w:sz="0" w:space="0" w:color="auto"/>
        <w:bottom w:val="none" w:sz="0" w:space="0" w:color="auto"/>
        <w:right w:val="none" w:sz="0" w:space="0" w:color="auto"/>
      </w:divBdr>
    </w:div>
    <w:div w:id="254049173">
      <w:bodyDiv w:val="1"/>
      <w:marLeft w:val="0"/>
      <w:marRight w:val="0"/>
      <w:marTop w:val="0"/>
      <w:marBottom w:val="0"/>
      <w:divBdr>
        <w:top w:val="none" w:sz="0" w:space="0" w:color="auto"/>
        <w:left w:val="none" w:sz="0" w:space="0" w:color="auto"/>
        <w:bottom w:val="none" w:sz="0" w:space="0" w:color="auto"/>
        <w:right w:val="none" w:sz="0" w:space="0" w:color="auto"/>
      </w:divBdr>
    </w:div>
    <w:div w:id="268198563">
      <w:bodyDiv w:val="1"/>
      <w:marLeft w:val="0"/>
      <w:marRight w:val="0"/>
      <w:marTop w:val="0"/>
      <w:marBottom w:val="0"/>
      <w:divBdr>
        <w:top w:val="none" w:sz="0" w:space="0" w:color="auto"/>
        <w:left w:val="none" w:sz="0" w:space="0" w:color="auto"/>
        <w:bottom w:val="none" w:sz="0" w:space="0" w:color="auto"/>
        <w:right w:val="none" w:sz="0" w:space="0" w:color="auto"/>
      </w:divBdr>
    </w:div>
    <w:div w:id="275985471">
      <w:bodyDiv w:val="1"/>
      <w:marLeft w:val="0"/>
      <w:marRight w:val="0"/>
      <w:marTop w:val="0"/>
      <w:marBottom w:val="0"/>
      <w:divBdr>
        <w:top w:val="none" w:sz="0" w:space="0" w:color="auto"/>
        <w:left w:val="none" w:sz="0" w:space="0" w:color="auto"/>
        <w:bottom w:val="none" w:sz="0" w:space="0" w:color="auto"/>
        <w:right w:val="none" w:sz="0" w:space="0" w:color="auto"/>
      </w:divBdr>
    </w:div>
    <w:div w:id="278463242">
      <w:bodyDiv w:val="1"/>
      <w:marLeft w:val="0"/>
      <w:marRight w:val="0"/>
      <w:marTop w:val="0"/>
      <w:marBottom w:val="0"/>
      <w:divBdr>
        <w:top w:val="none" w:sz="0" w:space="0" w:color="auto"/>
        <w:left w:val="none" w:sz="0" w:space="0" w:color="auto"/>
        <w:bottom w:val="none" w:sz="0" w:space="0" w:color="auto"/>
        <w:right w:val="none" w:sz="0" w:space="0" w:color="auto"/>
      </w:divBdr>
    </w:div>
    <w:div w:id="310528114">
      <w:bodyDiv w:val="1"/>
      <w:marLeft w:val="0"/>
      <w:marRight w:val="0"/>
      <w:marTop w:val="0"/>
      <w:marBottom w:val="0"/>
      <w:divBdr>
        <w:top w:val="none" w:sz="0" w:space="0" w:color="auto"/>
        <w:left w:val="none" w:sz="0" w:space="0" w:color="auto"/>
        <w:bottom w:val="none" w:sz="0" w:space="0" w:color="auto"/>
        <w:right w:val="none" w:sz="0" w:space="0" w:color="auto"/>
      </w:divBdr>
    </w:div>
    <w:div w:id="322781359">
      <w:bodyDiv w:val="1"/>
      <w:marLeft w:val="0"/>
      <w:marRight w:val="0"/>
      <w:marTop w:val="0"/>
      <w:marBottom w:val="0"/>
      <w:divBdr>
        <w:top w:val="none" w:sz="0" w:space="0" w:color="auto"/>
        <w:left w:val="none" w:sz="0" w:space="0" w:color="auto"/>
        <w:bottom w:val="none" w:sz="0" w:space="0" w:color="auto"/>
        <w:right w:val="none" w:sz="0" w:space="0" w:color="auto"/>
      </w:divBdr>
    </w:div>
    <w:div w:id="353773838">
      <w:bodyDiv w:val="1"/>
      <w:marLeft w:val="0"/>
      <w:marRight w:val="0"/>
      <w:marTop w:val="0"/>
      <w:marBottom w:val="0"/>
      <w:divBdr>
        <w:top w:val="none" w:sz="0" w:space="0" w:color="auto"/>
        <w:left w:val="none" w:sz="0" w:space="0" w:color="auto"/>
        <w:bottom w:val="none" w:sz="0" w:space="0" w:color="auto"/>
        <w:right w:val="none" w:sz="0" w:space="0" w:color="auto"/>
      </w:divBdr>
    </w:div>
    <w:div w:id="357045386">
      <w:bodyDiv w:val="1"/>
      <w:marLeft w:val="0"/>
      <w:marRight w:val="0"/>
      <w:marTop w:val="0"/>
      <w:marBottom w:val="0"/>
      <w:divBdr>
        <w:top w:val="none" w:sz="0" w:space="0" w:color="auto"/>
        <w:left w:val="none" w:sz="0" w:space="0" w:color="auto"/>
        <w:bottom w:val="none" w:sz="0" w:space="0" w:color="auto"/>
        <w:right w:val="none" w:sz="0" w:space="0" w:color="auto"/>
      </w:divBdr>
      <w:divsChild>
        <w:div w:id="768430291">
          <w:marLeft w:val="0"/>
          <w:marRight w:val="0"/>
          <w:marTop w:val="0"/>
          <w:marBottom w:val="0"/>
          <w:divBdr>
            <w:top w:val="none" w:sz="0" w:space="0" w:color="auto"/>
            <w:left w:val="none" w:sz="0" w:space="0" w:color="auto"/>
            <w:bottom w:val="none" w:sz="0" w:space="0" w:color="auto"/>
            <w:right w:val="none" w:sz="0" w:space="0" w:color="auto"/>
          </w:divBdr>
        </w:div>
        <w:div w:id="1047951346">
          <w:marLeft w:val="0"/>
          <w:marRight w:val="0"/>
          <w:marTop w:val="0"/>
          <w:marBottom w:val="0"/>
          <w:divBdr>
            <w:top w:val="none" w:sz="0" w:space="0" w:color="auto"/>
            <w:left w:val="none" w:sz="0" w:space="0" w:color="auto"/>
            <w:bottom w:val="none" w:sz="0" w:space="0" w:color="auto"/>
            <w:right w:val="none" w:sz="0" w:space="0" w:color="auto"/>
          </w:divBdr>
        </w:div>
        <w:div w:id="1558931357">
          <w:marLeft w:val="0"/>
          <w:marRight w:val="0"/>
          <w:marTop w:val="0"/>
          <w:marBottom w:val="0"/>
          <w:divBdr>
            <w:top w:val="none" w:sz="0" w:space="0" w:color="auto"/>
            <w:left w:val="none" w:sz="0" w:space="0" w:color="auto"/>
            <w:bottom w:val="none" w:sz="0" w:space="0" w:color="auto"/>
            <w:right w:val="none" w:sz="0" w:space="0" w:color="auto"/>
          </w:divBdr>
        </w:div>
      </w:divsChild>
    </w:div>
    <w:div w:id="365370771">
      <w:bodyDiv w:val="1"/>
      <w:marLeft w:val="0"/>
      <w:marRight w:val="0"/>
      <w:marTop w:val="0"/>
      <w:marBottom w:val="0"/>
      <w:divBdr>
        <w:top w:val="none" w:sz="0" w:space="0" w:color="auto"/>
        <w:left w:val="none" w:sz="0" w:space="0" w:color="auto"/>
        <w:bottom w:val="none" w:sz="0" w:space="0" w:color="auto"/>
        <w:right w:val="none" w:sz="0" w:space="0" w:color="auto"/>
      </w:divBdr>
    </w:div>
    <w:div w:id="371275225">
      <w:bodyDiv w:val="1"/>
      <w:marLeft w:val="0"/>
      <w:marRight w:val="0"/>
      <w:marTop w:val="0"/>
      <w:marBottom w:val="0"/>
      <w:divBdr>
        <w:top w:val="none" w:sz="0" w:space="0" w:color="auto"/>
        <w:left w:val="none" w:sz="0" w:space="0" w:color="auto"/>
        <w:bottom w:val="none" w:sz="0" w:space="0" w:color="auto"/>
        <w:right w:val="none" w:sz="0" w:space="0" w:color="auto"/>
      </w:divBdr>
    </w:div>
    <w:div w:id="429618259">
      <w:bodyDiv w:val="1"/>
      <w:marLeft w:val="0"/>
      <w:marRight w:val="0"/>
      <w:marTop w:val="0"/>
      <w:marBottom w:val="0"/>
      <w:divBdr>
        <w:top w:val="none" w:sz="0" w:space="0" w:color="auto"/>
        <w:left w:val="none" w:sz="0" w:space="0" w:color="auto"/>
        <w:bottom w:val="none" w:sz="0" w:space="0" w:color="auto"/>
        <w:right w:val="none" w:sz="0" w:space="0" w:color="auto"/>
      </w:divBdr>
    </w:div>
    <w:div w:id="467818797">
      <w:bodyDiv w:val="1"/>
      <w:marLeft w:val="0"/>
      <w:marRight w:val="0"/>
      <w:marTop w:val="0"/>
      <w:marBottom w:val="0"/>
      <w:divBdr>
        <w:top w:val="none" w:sz="0" w:space="0" w:color="auto"/>
        <w:left w:val="none" w:sz="0" w:space="0" w:color="auto"/>
        <w:bottom w:val="none" w:sz="0" w:space="0" w:color="auto"/>
        <w:right w:val="none" w:sz="0" w:space="0" w:color="auto"/>
      </w:divBdr>
    </w:div>
    <w:div w:id="492993136">
      <w:bodyDiv w:val="1"/>
      <w:marLeft w:val="0"/>
      <w:marRight w:val="0"/>
      <w:marTop w:val="0"/>
      <w:marBottom w:val="0"/>
      <w:divBdr>
        <w:top w:val="none" w:sz="0" w:space="0" w:color="auto"/>
        <w:left w:val="none" w:sz="0" w:space="0" w:color="auto"/>
        <w:bottom w:val="none" w:sz="0" w:space="0" w:color="auto"/>
        <w:right w:val="none" w:sz="0" w:space="0" w:color="auto"/>
      </w:divBdr>
    </w:div>
    <w:div w:id="506284679">
      <w:bodyDiv w:val="1"/>
      <w:marLeft w:val="0"/>
      <w:marRight w:val="0"/>
      <w:marTop w:val="0"/>
      <w:marBottom w:val="0"/>
      <w:divBdr>
        <w:top w:val="none" w:sz="0" w:space="0" w:color="auto"/>
        <w:left w:val="none" w:sz="0" w:space="0" w:color="auto"/>
        <w:bottom w:val="none" w:sz="0" w:space="0" w:color="auto"/>
        <w:right w:val="none" w:sz="0" w:space="0" w:color="auto"/>
      </w:divBdr>
    </w:div>
    <w:div w:id="529806524">
      <w:bodyDiv w:val="1"/>
      <w:marLeft w:val="0"/>
      <w:marRight w:val="0"/>
      <w:marTop w:val="0"/>
      <w:marBottom w:val="0"/>
      <w:divBdr>
        <w:top w:val="none" w:sz="0" w:space="0" w:color="auto"/>
        <w:left w:val="none" w:sz="0" w:space="0" w:color="auto"/>
        <w:bottom w:val="none" w:sz="0" w:space="0" w:color="auto"/>
        <w:right w:val="none" w:sz="0" w:space="0" w:color="auto"/>
      </w:divBdr>
    </w:div>
    <w:div w:id="551769326">
      <w:bodyDiv w:val="1"/>
      <w:marLeft w:val="0"/>
      <w:marRight w:val="0"/>
      <w:marTop w:val="0"/>
      <w:marBottom w:val="0"/>
      <w:divBdr>
        <w:top w:val="none" w:sz="0" w:space="0" w:color="auto"/>
        <w:left w:val="none" w:sz="0" w:space="0" w:color="auto"/>
        <w:bottom w:val="none" w:sz="0" w:space="0" w:color="auto"/>
        <w:right w:val="none" w:sz="0" w:space="0" w:color="auto"/>
      </w:divBdr>
      <w:divsChild>
        <w:div w:id="1923448795">
          <w:marLeft w:val="0"/>
          <w:marRight w:val="0"/>
          <w:marTop w:val="0"/>
          <w:marBottom w:val="0"/>
          <w:divBdr>
            <w:top w:val="none" w:sz="0" w:space="0" w:color="auto"/>
            <w:left w:val="none" w:sz="0" w:space="0" w:color="auto"/>
            <w:bottom w:val="none" w:sz="0" w:space="0" w:color="auto"/>
            <w:right w:val="none" w:sz="0" w:space="0" w:color="auto"/>
          </w:divBdr>
        </w:div>
      </w:divsChild>
    </w:div>
    <w:div w:id="565143720">
      <w:bodyDiv w:val="1"/>
      <w:marLeft w:val="0"/>
      <w:marRight w:val="0"/>
      <w:marTop w:val="0"/>
      <w:marBottom w:val="0"/>
      <w:divBdr>
        <w:top w:val="none" w:sz="0" w:space="0" w:color="auto"/>
        <w:left w:val="none" w:sz="0" w:space="0" w:color="auto"/>
        <w:bottom w:val="none" w:sz="0" w:space="0" w:color="auto"/>
        <w:right w:val="none" w:sz="0" w:space="0" w:color="auto"/>
      </w:divBdr>
    </w:div>
    <w:div w:id="584342455">
      <w:bodyDiv w:val="1"/>
      <w:marLeft w:val="0"/>
      <w:marRight w:val="0"/>
      <w:marTop w:val="0"/>
      <w:marBottom w:val="0"/>
      <w:divBdr>
        <w:top w:val="none" w:sz="0" w:space="0" w:color="auto"/>
        <w:left w:val="none" w:sz="0" w:space="0" w:color="auto"/>
        <w:bottom w:val="none" w:sz="0" w:space="0" w:color="auto"/>
        <w:right w:val="none" w:sz="0" w:space="0" w:color="auto"/>
      </w:divBdr>
    </w:div>
    <w:div w:id="628050151">
      <w:bodyDiv w:val="1"/>
      <w:marLeft w:val="0"/>
      <w:marRight w:val="0"/>
      <w:marTop w:val="0"/>
      <w:marBottom w:val="0"/>
      <w:divBdr>
        <w:top w:val="none" w:sz="0" w:space="0" w:color="auto"/>
        <w:left w:val="none" w:sz="0" w:space="0" w:color="auto"/>
        <w:bottom w:val="none" w:sz="0" w:space="0" w:color="auto"/>
        <w:right w:val="none" w:sz="0" w:space="0" w:color="auto"/>
      </w:divBdr>
    </w:div>
    <w:div w:id="644817280">
      <w:bodyDiv w:val="1"/>
      <w:marLeft w:val="0"/>
      <w:marRight w:val="0"/>
      <w:marTop w:val="0"/>
      <w:marBottom w:val="0"/>
      <w:divBdr>
        <w:top w:val="none" w:sz="0" w:space="0" w:color="auto"/>
        <w:left w:val="none" w:sz="0" w:space="0" w:color="auto"/>
        <w:bottom w:val="none" w:sz="0" w:space="0" w:color="auto"/>
        <w:right w:val="none" w:sz="0" w:space="0" w:color="auto"/>
      </w:divBdr>
      <w:divsChild>
        <w:div w:id="1712728121">
          <w:marLeft w:val="0"/>
          <w:marRight w:val="0"/>
          <w:marTop w:val="0"/>
          <w:marBottom w:val="0"/>
          <w:divBdr>
            <w:top w:val="none" w:sz="0" w:space="0" w:color="auto"/>
            <w:left w:val="none" w:sz="0" w:space="0" w:color="auto"/>
            <w:bottom w:val="none" w:sz="0" w:space="0" w:color="auto"/>
            <w:right w:val="none" w:sz="0" w:space="0" w:color="auto"/>
          </w:divBdr>
        </w:div>
      </w:divsChild>
    </w:div>
    <w:div w:id="653022916">
      <w:bodyDiv w:val="1"/>
      <w:marLeft w:val="0"/>
      <w:marRight w:val="0"/>
      <w:marTop w:val="0"/>
      <w:marBottom w:val="0"/>
      <w:divBdr>
        <w:top w:val="none" w:sz="0" w:space="0" w:color="auto"/>
        <w:left w:val="none" w:sz="0" w:space="0" w:color="auto"/>
        <w:bottom w:val="none" w:sz="0" w:space="0" w:color="auto"/>
        <w:right w:val="none" w:sz="0" w:space="0" w:color="auto"/>
      </w:divBdr>
    </w:div>
    <w:div w:id="658576164">
      <w:bodyDiv w:val="1"/>
      <w:marLeft w:val="0"/>
      <w:marRight w:val="0"/>
      <w:marTop w:val="0"/>
      <w:marBottom w:val="0"/>
      <w:divBdr>
        <w:top w:val="none" w:sz="0" w:space="0" w:color="auto"/>
        <w:left w:val="none" w:sz="0" w:space="0" w:color="auto"/>
        <w:bottom w:val="none" w:sz="0" w:space="0" w:color="auto"/>
        <w:right w:val="none" w:sz="0" w:space="0" w:color="auto"/>
      </w:divBdr>
    </w:div>
    <w:div w:id="663894246">
      <w:bodyDiv w:val="1"/>
      <w:marLeft w:val="0"/>
      <w:marRight w:val="0"/>
      <w:marTop w:val="0"/>
      <w:marBottom w:val="0"/>
      <w:divBdr>
        <w:top w:val="none" w:sz="0" w:space="0" w:color="auto"/>
        <w:left w:val="none" w:sz="0" w:space="0" w:color="auto"/>
        <w:bottom w:val="none" w:sz="0" w:space="0" w:color="auto"/>
        <w:right w:val="none" w:sz="0" w:space="0" w:color="auto"/>
      </w:divBdr>
    </w:div>
    <w:div w:id="680817387">
      <w:bodyDiv w:val="1"/>
      <w:marLeft w:val="0"/>
      <w:marRight w:val="0"/>
      <w:marTop w:val="0"/>
      <w:marBottom w:val="0"/>
      <w:divBdr>
        <w:top w:val="none" w:sz="0" w:space="0" w:color="auto"/>
        <w:left w:val="none" w:sz="0" w:space="0" w:color="auto"/>
        <w:bottom w:val="none" w:sz="0" w:space="0" w:color="auto"/>
        <w:right w:val="none" w:sz="0" w:space="0" w:color="auto"/>
      </w:divBdr>
    </w:div>
    <w:div w:id="681863244">
      <w:bodyDiv w:val="1"/>
      <w:marLeft w:val="0"/>
      <w:marRight w:val="0"/>
      <w:marTop w:val="0"/>
      <w:marBottom w:val="0"/>
      <w:divBdr>
        <w:top w:val="none" w:sz="0" w:space="0" w:color="auto"/>
        <w:left w:val="none" w:sz="0" w:space="0" w:color="auto"/>
        <w:bottom w:val="none" w:sz="0" w:space="0" w:color="auto"/>
        <w:right w:val="none" w:sz="0" w:space="0" w:color="auto"/>
      </w:divBdr>
    </w:div>
    <w:div w:id="706638061">
      <w:bodyDiv w:val="1"/>
      <w:marLeft w:val="0"/>
      <w:marRight w:val="0"/>
      <w:marTop w:val="0"/>
      <w:marBottom w:val="0"/>
      <w:divBdr>
        <w:top w:val="none" w:sz="0" w:space="0" w:color="auto"/>
        <w:left w:val="none" w:sz="0" w:space="0" w:color="auto"/>
        <w:bottom w:val="none" w:sz="0" w:space="0" w:color="auto"/>
        <w:right w:val="none" w:sz="0" w:space="0" w:color="auto"/>
      </w:divBdr>
    </w:div>
    <w:div w:id="717440135">
      <w:bodyDiv w:val="1"/>
      <w:marLeft w:val="0"/>
      <w:marRight w:val="0"/>
      <w:marTop w:val="0"/>
      <w:marBottom w:val="0"/>
      <w:divBdr>
        <w:top w:val="none" w:sz="0" w:space="0" w:color="auto"/>
        <w:left w:val="none" w:sz="0" w:space="0" w:color="auto"/>
        <w:bottom w:val="none" w:sz="0" w:space="0" w:color="auto"/>
        <w:right w:val="none" w:sz="0" w:space="0" w:color="auto"/>
      </w:divBdr>
    </w:div>
    <w:div w:id="791292477">
      <w:bodyDiv w:val="1"/>
      <w:marLeft w:val="0"/>
      <w:marRight w:val="0"/>
      <w:marTop w:val="0"/>
      <w:marBottom w:val="0"/>
      <w:divBdr>
        <w:top w:val="none" w:sz="0" w:space="0" w:color="auto"/>
        <w:left w:val="none" w:sz="0" w:space="0" w:color="auto"/>
        <w:bottom w:val="none" w:sz="0" w:space="0" w:color="auto"/>
        <w:right w:val="none" w:sz="0" w:space="0" w:color="auto"/>
      </w:divBdr>
    </w:div>
    <w:div w:id="860582040">
      <w:bodyDiv w:val="1"/>
      <w:marLeft w:val="0"/>
      <w:marRight w:val="0"/>
      <w:marTop w:val="0"/>
      <w:marBottom w:val="0"/>
      <w:divBdr>
        <w:top w:val="none" w:sz="0" w:space="0" w:color="auto"/>
        <w:left w:val="none" w:sz="0" w:space="0" w:color="auto"/>
        <w:bottom w:val="none" w:sz="0" w:space="0" w:color="auto"/>
        <w:right w:val="none" w:sz="0" w:space="0" w:color="auto"/>
      </w:divBdr>
    </w:div>
    <w:div w:id="864097741">
      <w:bodyDiv w:val="1"/>
      <w:marLeft w:val="0"/>
      <w:marRight w:val="0"/>
      <w:marTop w:val="0"/>
      <w:marBottom w:val="0"/>
      <w:divBdr>
        <w:top w:val="none" w:sz="0" w:space="0" w:color="auto"/>
        <w:left w:val="none" w:sz="0" w:space="0" w:color="auto"/>
        <w:bottom w:val="none" w:sz="0" w:space="0" w:color="auto"/>
        <w:right w:val="none" w:sz="0" w:space="0" w:color="auto"/>
      </w:divBdr>
    </w:div>
    <w:div w:id="868300959">
      <w:bodyDiv w:val="1"/>
      <w:marLeft w:val="0"/>
      <w:marRight w:val="0"/>
      <w:marTop w:val="0"/>
      <w:marBottom w:val="0"/>
      <w:divBdr>
        <w:top w:val="none" w:sz="0" w:space="0" w:color="auto"/>
        <w:left w:val="none" w:sz="0" w:space="0" w:color="auto"/>
        <w:bottom w:val="none" w:sz="0" w:space="0" w:color="auto"/>
        <w:right w:val="none" w:sz="0" w:space="0" w:color="auto"/>
      </w:divBdr>
    </w:div>
    <w:div w:id="874922550">
      <w:bodyDiv w:val="1"/>
      <w:marLeft w:val="0"/>
      <w:marRight w:val="0"/>
      <w:marTop w:val="0"/>
      <w:marBottom w:val="0"/>
      <w:divBdr>
        <w:top w:val="none" w:sz="0" w:space="0" w:color="auto"/>
        <w:left w:val="none" w:sz="0" w:space="0" w:color="auto"/>
        <w:bottom w:val="none" w:sz="0" w:space="0" w:color="auto"/>
        <w:right w:val="none" w:sz="0" w:space="0" w:color="auto"/>
      </w:divBdr>
    </w:div>
    <w:div w:id="882980898">
      <w:bodyDiv w:val="1"/>
      <w:marLeft w:val="0"/>
      <w:marRight w:val="0"/>
      <w:marTop w:val="0"/>
      <w:marBottom w:val="0"/>
      <w:divBdr>
        <w:top w:val="none" w:sz="0" w:space="0" w:color="auto"/>
        <w:left w:val="none" w:sz="0" w:space="0" w:color="auto"/>
        <w:bottom w:val="none" w:sz="0" w:space="0" w:color="auto"/>
        <w:right w:val="none" w:sz="0" w:space="0" w:color="auto"/>
      </w:divBdr>
      <w:divsChild>
        <w:div w:id="1928537996">
          <w:marLeft w:val="0"/>
          <w:marRight w:val="0"/>
          <w:marTop w:val="0"/>
          <w:marBottom w:val="0"/>
          <w:divBdr>
            <w:top w:val="none" w:sz="0" w:space="0" w:color="auto"/>
            <w:left w:val="none" w:sz="0" w:space="0" w:color="auto"/>
            <w:bottom w:val="none" w:sz="0" w:space="0" w:color="auto"/>
            <w:right w:val="none" w:sz="0" w:space="0" w:color="auto"/>
          </w:divBdr>
        </w:div>
      </w:divsChild>
    </w:div>
    <w:div w:id="894976339">
      <w:bodyDiv w:val="1"/>
      <w:marLeft w:val="0"/>
      <w:marRight w:val="0"/>
      <w:marTop w:val="0"/>
      <w:marBottom w:val="0"/>
      <w:divBdr>
        <w:top w:val="none" w:sz="0" w:space="0" w:color="auto"/>
        <w:left w:val="none" w:sz="0" w:space="0" w:color="auto"/>
        <w:bottom w:val="none" w:sz="0" w:space="0" w:color="auto"/>
        <w:right w:val="none" w:sz="0" w:space="0" w:color="auto"/>
      </w:divBdr>
    </w:div>
    <w:div w:id="913467371">
      <w:bodyDiv w:val="1"/>
      <w:marLeft w:val="0"/>
      <w:marRight w:val="0"/>
      <w:marTop w:val="0"/>
      <w:marBottom w:val="0"/>
      <w:divBdr>
        <w:top w:val="none" w:sz="0" w:space="0" w:color="auto"/>
        <w:left w:val="none" w:sz="0" w:space="0" w:color="auto"/>
        <w:bottom w:val="none" w:sz="0" w:space="0" w:color="auto"/>
        <w:right w:val="none" w:sz="0" w:space="0" w:color="auto"/>
      </w:divBdr>
      <w:divsChild>
        <w:div w:id="166872264">
          <w:marLeft w:val="0"/>
          <w:marRight w:val="0"/>
          <w:marTop w:val="0"/>
          <w:marBottom w:val="0"/>
          <w:divBdr>
            <w:top w:val="none" w:sz="0" w:space="0" w:color="auto"/>
            <w:left w:val="none" w:sz="0" w:space="0" w:color="auto"/>
            <w:bottom w:val="none" w:sz="0" w:space="0" w:color="auto"/>
            <w:right w:val="none" w:sz="0" w:space="0" w:color="auto"/>
          </w:divBdr>
        </w:div>
        <w:div w:id="294221430">
          <w:marLeft w:val="0"/>
          <w:marRight w:val="0"/>
          <w:marTop w:val="0"/>
          <w:marBottom w:val="0"/>
          <w:divBdr>
            <w:top w:val="none" w:sz="0" w:space="0" w:color="auto"/>
            <w:left w:val="none" w:sz="0" w:space="0" w:color="auto"/>
            <w:bottom w:val="none" w:sz="0" w:space="0" w:color="auto"/>
            <w:right w:val="none" w:sz="0" w:space="0" w:color="auto"/>
          </w:divBdr>
        </w:div>
        <w:div w:id="814488765">
          <w:marLeft w:val="0"/>
          <w:marRight w:val="0"/>
          <w:marTop w:val="0"/>
          <w:marBottom w:val="0"/>
          <w:divBdr>
            <w:top w:val="none" w:sz="0" w:space="0" w:color="auto"/>
            <w:left w:val="none" w:sz="0" w:space="0" w:color="auto"/>
            <w:bottom w:val="none" w:sz="0" w:space="0" w:color="auto"/>
            <w:right w:val="none" w:sz="0" w:space="0" w:color="auto"/>
          </w:divBdr>
        </w:div>
        <w:div w:id="1110933227">
          <w:marLeft w:val="0"/>
          <w:marRight w:val="0"/>
          <w:marTop w:val="0"/>
          <w:marBottom w:val="0"/>
          <w:divBdr>
            <w:top w:val="none" w:sz="0" w:space="0" w:color="auto"/>
            <w:left w:val="none" w:sz="0" w:space="0" w:color="auto"/>
            <w:bottom w:val="none" w:sz="0" w:space="0" w:color="auto"/>
            <w:right w:val="none" w:sz="0" w:space="0" w:color="auto"/>
          </w:divBdr>
        </w:div>
        <w:div w:id="1285697522">
          <w:marLeft w:val="0"/>
          <w:marRight w:val="0"/>
          <w:marTop w:val="0"/>
          <w:marBottom w:val="0"/>
          <w:divBdr>
            <w:top w:val="none" w:sz="0" w:space="0" w:color="auto"/>
            <w:left w:val="none" w:sz="0" w:space="0" w:color="auto"/>
            <w:bottom w:val="none" w:sz="0" w:space="0" w:color="auto"/>
            <w:right w:val="none" w:sz="0" w:space="0" w:color="auto"/>
          </w:divBdr>
        </w:div>
        <w:div w:id="1594244441">
          <w:marLeft w:val="0"/>
          <w:marRight w:val="0"/>
          <w:marTop w:val="0"/>
          <w:marBottom w:val="0"/>
          <w:divBdr>
            <w:top w:val="none" w:sz="0" w:space="0" w:color="auto"/>
            <w:left w:val="none" w:sz="0" w:space="0" w:color="auto"/>
            <w:bottom w:val="none" w:sz="0" w:space="0" w:color="auto"/>
            <w:right w:val="none" w:sz="0" w:space="0" w:color="auto"/>
          </w:divBdr>
        </w:div>
      </w:divsChild>
    </w:div>
    <w:div w:id="914242069">
      <w:bodyDiv w:val="1"/>
      <w:marLeft w:val="0"/>
      <w:marRight w:val="0"/>
      <w:marTop w:val="0"/>
      <w:marBottom w:val="0"/>
      <w:divBdr>
        <w:top w:val="none" w:sz="0" w:space="0" w:color="auto"/>
        <w:left w:val="none" w:sz="0" w:space="0" w:color="auto"/>
        <w:bottom w:val="none" w:sz="0" w:space="0" w:color="auto"/>
        <w:right w:val="none" w:sz="0" w:space="0" w:color="auto"/>
      </w:divBdr>
    </w:div>
    <w:div w:id="1011298631">
      <w:bodyDiv w:val="1"/>
      <w:marLeft w:val="0"/>
      <w:marRight w:val="0"/>
      <w:marTop w:val="0"/>
      <w:marBottom w:val="0"/>
      <w:divBdr>
        <w:top w:val="none" w:sz="0" w:space="0" w:color="auto"/>
        <w:left w:val="none" w:sz="0" w:space="0" w:color="auto"/>
        <w:bottom w:val="none" w:sz="0" w:space="0" w:color="auto"/>
        <w:right w:val="none" w:sz="0" w:space="0" w:color="auto"/>
      </w:divBdr>
    </w:div>
    <w:div w:id="1012028192">
      <w:bodyDiv w:val="1"/>
      <w:marLeft w:val="0"/>
      <w:marRight w:val="0"/>
      <w:marTop w:val="0"/>
      <w:marBottom w:val="0"/>
      <w:divBdr>
        <w:top w:val="none" w:sz="0" w:space="0" w:color="auto"/>
        <w:left w:val="none" w:sz="0" w:space="0" w:color="auto"/>
        <w:bottom w:val="none" w:sz="0" w:space="0" w:color="auto"/>
        <w:right w:val="none" w:sz="0" w:space="0" w:color="auto"/>
      </w:divBdr>
    </w:div>
    <w:div w:id="1020814064">
      <w:bodyDiv w:val="1"/>
      <w:marLeft w:val="0"/>
      <w:marRight w:val="0"/>
      <w:marTop w:val="0"/>
      <w:marBottom w:val="0"/>
      <w:divBdr>
        <w:top w:val="none" w:sz="0" w:space="0" w:color="auto"/>
        <w:left w:val="none" w:sz="0" w:space="0" w:color="auto"/>
        <w:bottom w:val="none" w:sz="0" w:space="0" w:color="auto"/>
        <w:right w:val="none" w:sz="0" w:space="0" w:color="auto"/>
      </w:divBdr>
    </w:div>
    <w:div w:id="1025710233">
      <w:bodyDiv w:val="1"/>
      <w:marLeft w:val="0"/>
      <w:marRight w:val="0"/>
      <w:marTop w:val="0"/>
      <w:marBottom w:val="0"/>
      <w:divBdr>
        <w:top w:val="none" w:sz="0" w:space="0" w:color="auto"/>
        <w:left w:val="none" w:sz="0" w:space="0" w:color="auto"/>
        <w:bottom w:val="none" w:sz="0" w:space="0" w:color="auto"/>
        <w:right w:val="none" w:sz="0" w:space="0" w:color="auto"/>
      </w:divBdr>
    </w:div>
    <w:div w:id="1071272037">
      <w:bodyDiv w:val="1"/>
      <w:marLeft w:val="0"/>
      <w:marRight w:val="0"/>
      <w:marTop w:val="0"/>
      <w:marBottom w:val="0"/>
      <w:divBdr>
        <w:top w:val="none" w:sz="0" w:space="0" w:color="auto"/>
        <w:left w:val="none" w:sz="0" w:space="0" w:color="auto"/>
        <w:bottom w:val="none" w:sz="0" w:space="0" w:color="auto"/>
        <w:right w:val="none" w:sz="0" w:space="0" w:color="auto"/>
      </w:divBdr>
    </w:div>
    <w:div w:id="1078482102">
      <w:bodyDiv w:val="1"/>
      <w:marLeft w:val="0"/>
      <w:marRight w:val="0"/>
      <w:marTop w:val="0"/>
      <w:marBottom w:val="0"/>
      <w:divBdr>
        <w:top w:val="none" w:sz="0" w:space="0" w:color="auto"/>
        <w:left w:val="none" w:sz="0" w:space="0" w:color="auto"/>
        <w:bottom w:val="none" w:sz="0" w:space="0" w:color="auto"/>
        <w:right w:val="none" w:sz="0" w:space="0" w:color="auto"/>
      </w:divBdr>
    </w:div>
    <w:div w:id="1089422511">
      <w:bodyDiv w:val="1"/>
      <w:marLeft w:val="0"/>
      <w:marRight w:val="0"/>
      <w:marTop w:val="0"/>
      <w:marBottom w:val="0"/>
      <w:divBdr>
        <w:top w:val="none" w:sz="0" w:space="0" w:color="auto"/>
        <w:left w:val="none" w:sz="0" w:space="0" w:color="auto"/>
        <w:bottom w:val="none" w:sz="0" w:space="0" w:color="auto"/>
        <w:right w:val="none" w:sz="0" w:space="0" w:color="auto"/>
      </w:divBdr>
    </w:div>
    <w:div w:id="1094790679">
      <w:bodyDiv w:val="1"/>
      <w:marLeft w:val="0"/>
      <w:marRight w:val="0"/>
      <w:marTop w:val="0"/>
      <w:marBottom w:val="0"/>
      <w:divBdr>
        <w:top w:val="none" w:sz="0" w:space="0" w:color="auto"/>
        <w:left w:val="none" w:sz="0" w:space="0" w:color="auto"/>
        <w:bottom w:val="none" w:sz="0" w:space="0" w:color="auto"/>
        <w:right w:val="none" w:sz="0" w:space="0" w:color="auto"/>
      </w:divBdr>
    </w:div>
    <w:div w:id="1101995289">
      <w:bodyDiv w:val="1"/>
      <w:marLeft w:val="0"/>
      <w:marRight w:val="0"/>
      <w:marTop w:val="0"/>
      <w:marBottom w:val="0"/>
      <w:divBdr>
        <w:top w:val="none" w:sz="0" w:space="0" w:color="auto"/>
        <w:left w:val="none" w:sz="0" w:space="0" w:color="auto"/>
        <w:bottom w:val="none" w:sz="0" w:space="0" w:color="auto"/>
        <w:right w:val="none" w:sz="0" w:space="0" w:color="auto"/>
      </w:divBdr>
    </w:div>
    <w:div w:id="1110247523">
      <w:bodyDiv w:val="1"/>
      <w:marLeft w:val="0"/>
      <w:marRight w:val="0"/>
      <w:marTop w:val="0"/>
      <w:marBottom w:val="0"/>
      <w:divBdr>
        <w:top w:val="none" w:sz="0" w:space="0" w:color="auto"/>
        <w:left w:val="none" w:sz="0" w:space="0" w:color="auto"/>
        <w:bottom w:val="none" w:sz="0" w:space="0" w:color="auto"/>
        <w:right w:val="none" w:sz="0" w:space="0" w:color="auto"/>
      </w:divBdr>
    </w:div>
    <w:div w:id="1141310511">
      <w:bodyDiv w:val="1"/>
      <w:marLeft w:val="0"/>
      <w:marRight w:val="0"/>
      <w:marTop w:val="0"/>
      <w:marBottom w:val="0"/>
      <w:divBdr>
        <w:top w:val="none" w:sz="0" w:space="0" w:color="auto"/>
        <w:left w:val="none" w:sz="0" w:space="0" w:color="auto"/>
        <w:bottom w:val="none" w:sz="0" w:space="0" w:color="auto"/>
        <w:right w:val="none" w:sz="0" w:space="0" w:color="auto"/>
      </w:divBdr>
    </w:div>
    <w:div w:id="1167670324">
      <w:bodyDiv w:val="1"/>
      <w:marLeft w:val="0"/>
      <w:marRight w:val="0"/>
      <w:marTop w:val="0"/>
      <w:marBottom w:val="0"/>
      <w:divBdr>
        <w:top w:val="none" w:sz="0" w:space="0" w:color="auto"/>
        <w:left w:val="none" w:sz="0" w:space="0" w:color="auto"/>
        <w:bottom w:val="none" w:sz="0" w:space="0" w:color="auto"/>
        <w:right w:val="none" w:sz="0" w:space="0" w:color="auto"/>
      </w:divBdr>
    </w:div>
    <w:div w:id="1212500024">
      <w:bodyDiv w:val="1"/>
      <w:marLeft w:val="0"/>
      <w:marRight w:val="0"/>
      <w:marTop w:val="0"/>
      <w:marBottom w:val="0"/>
      <w:divBdr>
        <w:top w:val="none" w:sz="0" w:space="0" w:color="auto"/>
        <w:left w:val="none" w:sz="0" w:space="0" w:color="auto"/>
        <w:bottom w:val="none" w:sz="0" w:space="0" w:color="auto"/>
        <w:right w:val="none" w:sz="0" w:space="0" w:color="auto"/>
      </w:divBdr>
    </w:div>
    <w:div w:id="1226261673">
      <w:bodyDiv w:val="1"/>
      <w:marLeft w:val="0"/>
      <w:marRight w:val="0"/>
      <w:marTop w:val="0"/>
      <w:marBottom w:val="0"/>
      <w:divBdr>
        <w:top w:val="none" w:sz="0" w:space="0" w:color="auto"/>
        <w:left w:val="none" w:sz="0" w:space="0" w:color="auto"/>
        <w:bottom w:val="none" w:sz="0" w:space="0" w:color="auto"/>
        <w:right w:val="none" w:sz="0" w:space="0" w:color="auto"/>
      </w:divBdr>
    </w:div>
    <w:div w:id="1227568905">
      <w:bodyDiv w:val="1"/>
      <w:marLeft w:val="0"/>
      <w:marRight w:val="0"/>
      <w:marTop w:val="0"/>
      <w:marBottom w:val="0"/>
      <w:divBdr>
        <w:top w:val="none" w:sz="0" w:space="0" w:color="auto"/>
        <w:left w:val="none" w:sz="0" w:space="0" w:color="auto"/>
        <w:bottom w:val="none" w:sz="0" w:space="0" w:color="auto"/>
        <w:right w:val="none" w:sz="0" w:space="0" w:color="auto"/>
      </w:divBdr>
    </w:div>
    <w:div w:id="1271276368">
      <w:bodyDiv w:val="1"/>
      <w:marLeft w:val="0"/>
      <w:marRight w:val="0"/>
      <w:marTop w:val="0"/>
      <w:marBottom w:val="0"/>
      <w:divBdr>
        <w:top w:val="none" w:sz="0" w:space="0" w:color="auto"/>
        <w:left w:val="none" w:sz="0" w:space="0" w:color="auto"/>
        <w:bottom w:val="none" w:sz="0" w:space="0" w:color="auto"/>
        <w:right w:val="none" w:sz="0" w:space="0" w:color="auto"/>
      </w:divBdr>
    </w:div>
    <w:div w:id="1291278578">
      <w:bodyDiv w:val="1"/>
      <w:marLeft w:val="0"/>
      <w:marRight w:val="0"/>
      <w:marTop w:val="0"/>
      <w:marBottom w:val="0"/>
      <w:divBdr>
        <w:top w:val="none" w:sz="0" w:space="0" w:color="auto"/>
        <w:left w:val="none" w:sz="0" w:space="0" w:color="auto"/>
        <w:bottom w:val="none" w:sz="0" w:space="0" w:color="auto"/>
        <w:right w:val="none" w:sz="0" w:space="0" w:color="auto"/>
      </w:divBdr>
    </w:div>
    <w:div w:id="1316955783">
      <w:bodyDiv w:val="1"/>
      <w:marLeft w:val="0"/>
      <w:marRight w:val="0"/>
      <w:marTop w:val="0"/>
      <w:marBottom w:val="0"/>
      <w:divBdr>
        <w:top w:val="none" w:sz="0" w:space="0" w:color="auto"/>
        <w:left w:val="none" w:sz="0" w:space="0" w:color="auto"/>
        <w:bottom w:val="none" w:sz="0" w:space="0" w:color="auto"/>
        <w:right w:val="none" w:sz="0" w:space="0" w:color="auto"/>
      </w:divBdr>
      <w:divsChild>
        <w:div w:id="771704755">
          <w:marLeft w:val="0"/>
          <w:marRight w:val="0"/>
          <w:marTop w:val="0"/>
          <w:marBottom w:val="0"/>
          <w:divBdr>
            <w:top w:val="none" w:sz="0" w:space="0" w:color="auto"/>
            <w:left w:val="none" w:sz="0" w:space="0" w:color="auto"/>
            <w:bottom w:val="none" w:sz="0" w:space="0" w:color="auto"/>
            <w:right w:val="none" w:sz="0" w:space="0" w:color="auto"/>
          </w:divBdr>
        </w:div>
      </w:divsChild>
    </w:div>
    <w:div w:id="1337077679">
      <w:bodyDiv w:val="1"/>
      <w:marLeft w:val="0"/>
      <w:marRight w:val="0"/>
      <w:marTop w:val="0"/>
      <w:marBottom w:val="0"/>
      <w:divBdr>
        <w:top w:val="none" w:sz="0" w:space="0" w:color="auto"/>
        <w:left w:val="none" w:sz="0" w:space="0" w:color="auto"/>
        <w:bottom w:val="none" w:sz="0" w:space="0" w:color="auto"/>
        <w:right w:val="none" w:sz="0" w:space="0" w:color="auto"/>
      </w:divBdr>
    </w:div>
    <w:div w:id="1343975301">
      <w:bodyDiv w:val="1"/>
      <w:marLeft w:val="0"/>
      <w:marRight w:val="0"/>
      <w:marTop w:val="0"/>
      <w:marBottom w:val="0"/>
      <w:divBdr>
        <w:top w:val="none" w:sz="0" w:space="0" w:color="auto"/>
        <w:left w:val="none" w:sz="0" w:space="0" w:color="auto"/>
        <w:bottom w:val="none" w:sz="0" w:space="0" w:color="auto"/>
        <w:right w:val="none" w:sz="0" w:space="0" w:color="auto"/>
      </w:divBdr>
    </w:div>
    <w:div w:id="1369528659">
      <w:bodyDiv w:val="1"/>
      <w:marLeft w:val="0"/>
      <w:marRight w:val="0"/>
      <w:marTop w:val="0"/>
      <w:marBottom w:val="0"/>
      <w:divBdr>
        <w:top w:val="none" w:sz="0" w:space="0" w:color="auto"/>
        <w:left w:val="none" w:sz="0" w:space="0" w:color="auto"/>
        <w:bottom w:val="none" w:sz="0" w:space="0" w:color="auto"/>
        <w:right w:val="none" w:sz="0" w:space="0" w:color="auto"/>
      </w:divBdr>
    </w:div>
    <w:div w:id="1386249201">
      <w:bodyDiv w:val="1"/>
      <w:marLeft w:val="0"/>
      <w:marRight w:val="0"/>
      <w:marTop w:val="0"/>
      <w:marBottom w:val="0"/>
      <w:divBdr>
        <w:top w:val="none" w:sz="0" w:space="0" w:color="auto"/>
        <w:left w:val="none" w:sz="0" w:space="0" w:color="auto"/>
        <w:bottom w:val="none" w:sz="0" w:space="0" w:color="auto"/>
        <w:right w:val="none" w:sz="0" w:space="0" w:color="auto"/>
      </w:divBdr>
    </w:div>
    <w:div w:id="1394695576">
      <w:bodyDiv w:val="1"/>
      <w:marLeft w:val="0"/>
      <w:marRight w:val="0"/>
      <w:marTop w:val="0"/>
      <w:marBottom w:val="0"/>
      <w:divBdr>
        <w:top w:val="none" w:sz="0" w:space="0" w:color="auto"/>
        <w:left w:val="none" w:sz="0" w:space="0" w:color="auto"/>
        <w:bottom w:val="none" w:sz="0" w:space="0" w:color="auto"/>
        <w:right w:val="none" w:sz="0" w:space="0" w:color="auto"/>
      </w:divBdr>
    </w:div>
    <w:div w:id="1399933991">
      <w:bodyDiv w:val="1"/>
      <w:marLeft w:val="0"/>
      <w:marRight w:val="0"/>
      <w:marTop w:val="0"/>
      <w:marBottom w:val="0"/>
      <w:divBdr>
        <w:top w:val="none" w:sz="0" w:space="0" w:color="auto"/>
        <w:left w:val="none" w:sz="0" w:space="0" w:color="auto"/>
        <w:bottom w:val="none" w:sz="0" w:space="0" w:color="auto"/>
        <w:right w:val="none" w:sz="0" w:space="0" w:color="auto"/>
      </w:divBdr>
    </w:div>
    <w:div w:id="1415276155">
      <w:bodyDiv w:val="1"/>
      <w:marLeft w:val="0"/>
      <w:marRight w:val="0"/>
      <w:marTop w:val="0"/>
      <w:marBottom w:val="0"/>
      <w:divBdr>
        <w:top w:val="none" w:sz="0" w:space="0" w:color="auto"/>
        <w:left w:val="none" w:sz="0" w:space="0" w:color="auto"/>
        <w:bottom w:val="none" w:sz="0" w:space="0" w:color="auto"/>
        <w:right w:val="none" w:sz="0" w:space="0" w:color="auto"/>
      </w:divBdr>
      <w:divsChild>
        <w:div w:id="2106147240">
          <w:marLeft w:val="0"/>
          <w:marRight w:val="0"/>
          <w:marTop w:val="0"/>
          <w:marBottom w:val="0"/>
          <w:divBdr>
            <w:top w:val="none" w:sz="0" w:space="0" w:color="auto"/>
            <w:left w:val="none" w:sz="0" w:space="0" w:color="auto"/>
            <w:bottom w:val="none" w:sz="0" w:space="0" w:color="auto"/>
            <w:right w:val="none" w:sz="0" w:space="0" w:color="auto"/>
          </w:divBdr>
        </w:div>
      </w:divsChild>
    </w:div>
    <w:div w:id="1455976305">
      <w:bodyDiv w:val="1"/>
      <w:marLeft w:val="0"/>
      <w:marRight w:val="0"/>
      <w:marTop w:val="0"/>
      <w:marBottom w:val="0"/>
      <w:divBdr>
        <w:top w:val="none" w:sz="0" w:space="0" w:color="auto"/>
        <w:left w:val="none" w:sz="0" w:space="0" w:color="auto"/>
        <w:bottom w:val="none" w:sz="0" w:space="0" w:color="auto"/>
        <w:right w:val="none" w:sz="0" w:space="0" w:color="auto"/>
      </w:divBdr>
    </w:div>
    <w:div w:id="1461730475">
      <w:bodyDiv w:val="1"/>
      <w:marLeft w:val="0"/>
      <w:marRight w:val="0"/>
      <w:marTop w:val="0"/>
      <w:marBottom w:val="0"/>
      <w:divBdr>
        <w:top w:val="none" w:sz="0" w:space="0" w:color="auto"/>
        <w:left w:val="none" w:sz="0" w:space="0" w:color="auto"/>
        <w:bottom w:val="none" w:sz="0" w:space="0" w:color="auto"/>
        <w:right w:val="none" w:sz="0" w:space="0" w:color="auto"/>
      </w:divBdr>
    </w:div>
    <w:div w:id="1500972519">
      <w:bodyDiv w:val="1"/>
      <w:marLeft w:val="0"/>
      <w:marRight w:val="0"/>
      <w:marTop w:val="0"/>
      <w:marBottom w:val="0"/>
      <w:divBdr>
        <w:top w:val="none" w:sz="0" w:space="0" w:color="auto"/>
        <w:left w:val="none" w:sz="0" w:space="0" w:color="auto"/>
        <w:bottom w:val="none" w:sz="0" w:space="0" w:color="auto"/>
        <w:right w:val="none" w:sz="0" w:space="0" w:color="auto"/>
      </w:divBdr>
    </w:div>
    <w:div w:id="1504473237">
      <w:bodyDiv w:val="1"/>
      <w:marLeft w:val="0"/>
      <w:marRight w:val="0"/>
      <w:marTop w:val="0"/>
      <w:marBottom w:val="0"/>
      <w:divBdr>
        <w:top w:val="none" w:sz="0" w:space="0" w:color="auto"/>
        <w:left w:val="none" w:sz="0" w:space="0" w:color="auto"/>
        <w:bottom w:val="none" w:sz="0" w:space="0" w:color="auto"/>
        <w:right w:val="none" w:sz="0" w:space="0" w:color="auto"/>
      </w:divBdr>
    </w:div>
    <w:div w:id="1515608648">
      <w:bodyDiv w:val="1"/>
      <w:marLeft w:val="0"/>
      <w:marRight w:val="0"/>
      <w:marTop w:val="0"/>
      <w:marBottom w:val="0"/>
      <w:divBdr>
        <w:top w:val="none" w:sz="0" w:space="0" w:color="auto"/>
        <w:left w:val="none" w:sz="0" w:space="0" w:color="auto"/>
        <w:bottom w:val="none" w:sz="0" w:space="0" w:color="auto"/>
        <w:right w:val="none" w:sz="0" w:space="0" w:color="auto"/>
      </w:divBdr>
    </w:div>
    <w:div w:id="1521778230">
      <w:bodyDiv w:val="1"/>
      <w:marLeft w:val="0"/>
      <w:marRight w:val="0"/>
      <w:marTop w:val="0"/>
      <w:marBottom w:val="0"/>
      <w:divBdr>
        <w:top w:val="none" w:sz="0" w:space="0" w:color="auto"/>
        <w:left w:val="none" w:sz="0" w:space="0" w:color="auto"/>
        <w:bottom w:val="none" w:sz="0" w:space="0" w:color="auto"/>
        <w:right w:val="none" w:sz="0" w:space="0" w:color="auto"/>
      </w:divBdr>
    </w:div>
    <w:div w:id="1603029037">
      <w:bodyDiv w:val="1"/>
      <w:marLeft w:val="0"/>
      <w:marRight w:val="0"/>
      <w:marTop w:val="0"/>
      <w:marBottom w:val="0"/>
      <w:divBdr>
        <w:top w:val="none" w:sz="0" w:space="0" w:color="auto"/>
        <w:left w:val="none" w:sz="0" w:space="0" w:color="auto"/>
        <w:bottom w:val="none" w:sz="0" w:space="0" w:color="auto"/>
        <w:right w:val="none" w:sz="0" w:space="0" w:color="auto"/>
      </w:divBdr>
    </w:div>
    <w:div w:id="1605306001">
      <w:bodyDiv w:val="1"/>
      <w:marLeft w:val="0"/>
      <w:marRight w:val="0"/>
      <w:marTop w:val="0"/>
      <w:marBottom w:val="0"/>
      <w:divBdr>
        <w:top w:val="none" w:sz="0" w:space="0" w:color="auto"/>
        <w:left w:val="none" w:sz="0" w:space="0" w:color="auto"/>
        <w:bottom w:val="none" w:sz="0" w:space="0" w:color="auto"/>
        <w:right w:val="none" w:sz="0" w:space="0" w:color="auto"/>
      </w:divBdr>
    </w:div>
    <w:div w:id="1611662849">
      <w:bodyDiv w:val="1"/>
      <w:marLeft w:val="0"/>
      <w:marRight w:val="0"/>
      <w:marTop w:val="0"/>
      <w:marBottom w:val="0"/>
      <w:divBdr>
        <w:top w:val="none" w:sz="0" w:space="0" w:color="auto"/>
        <w:left w:val="none" w:sz="0" w:space="0" w:color="auto"/>
        <w:bottom w:val="none" w:sz="0" w:space="0" w:color="auto"/>
        <w:right w:val="none" w:sz="0" w:space="0" w:color="auto"/>
      </w:divBdr>
    </w:div>
    <w:div w:id="1646616277">
      <w:bodyDiv w:val="1"/>
      <w:marLeft w:val="0"/>
      <w:marRight w:val="0"/>
      <w:marTop w:val="0"/>
      <w:marBottom w:val="0"/>
      <w:divBdr>
        <w:top w:val="none" w:sz="0" w:space="0" w:color="auto"/>
        <w:left w:val="none" w:sz="0" w:space="0" w:color="auto"/>
        <w:bottom w:val="none" w:sz="0" w:space="0" w:color="auto"/>
        <w:right w:val="none" w:sz="0" w:space="0" w:color="auto"/>
      </w:divBdr>
      <w:divsChild>
        <w:div w:id="2087920365">
          <w:marLeft w:val="0"/>
          <w:marRight w:val="0"/>
          <w:marTop w:val="0"/>
          <w:marBottom w:val="0"/>
          <w:divBdr>
            <w:top w:val="none" w:sz="0" w:space="0" w:color="auto"/>
            <w:left w:val="none" w:sz="0" w:space="0" w:color="auto"/>
            <w:bottom w:val="none" w:sz="0" w:space="0" w:color="auto"/>
            <w:right w:val="none" w:sz="0" w:space="0" w:color="auto"/>
          </w:divBdr>
        </w:div>
      </w:divsChild>
    </w:div>
    <w:div w:id="1675381505">
      <w:bodyDiv w:val="1"/>
      <w:marLeft w:val="0"/>
      <w:marRight w:val="0"/>
      <w:marTop w:val="0"/>
      <w:marBottom w:val="0"/>
      <w:divBdr>
        <w:top w:val="none" w:sz="0" w:space="0" w:color="auto"/>
        <w:left w:val="none" w:sz="0" w:space="0" w:color="auto"/>
        <w:bottom w:val="none" w:sz="0" w:space="0" w:color="auto"/>
        <w:right w:val="none" w:sz="0" w:space="0" w:color="auto"/>
      </w:divBdr>
    </w:div>
    <w:div w:id="1679379884">
      <w:bodyDiv w:val="1"/>
      <w:marLeft w:val="0"/>
      <w:marRight w:val="0"/>
      <w:marTop w:val="0"/>
      <w:marBottom w:val="0"/>
      <w:divBdr>
        <w:top w:val="none" w:sz="0" w:space="0" w:color="auto"/>
        <w:left w:val="none" w:sz="0" w:space="0" w:color="auto"/>
        <w:bottom w:val="none" w:sz="0" w:space="0" w:color="auto"/>
        <w:right w:val="none" w:sz="0" w:space="0" w:color="auto"/>
      </w:divBdr>
    </w:div>
    <w:div w:id="1687252011">
      <w:bodyDiv w:val="1"/>
      <w:marLeft w:val="0"/>
      <w:marRight w:val="0"/>
      <w:marTop w:val="0"/>
      <w:marBottom w:val="0"/>
      <w:divBdr>
        <w:top w:val="none" w:sz="0" w:space="0" w:color="auto"/>
        <w:left w:val="none" w:sz="0" w:space="0" w:color="auto"/>
        <w:bottom w:val="none" w:sz="0" w:space="0" w:color="auto"/>
        <w:right w:val="none" w:sz="0" w:space="0" w:color="auto"/>
      </w:divBdr>
    </w:div>
    <w:div w:id="1701590458">
      <w:bodyDiv w:val="1"/>
      <w:marLeft w:val="0"/>
      <w:marRight w:val="0"/>
      <w:marTop w:val="0"/>
      <w:marBottom w:val="0"/>
      <w:divBdr>
        <w:top w:val="none" w:sz="0" w:space="0" w:color="auto"/>
        <w:left w:val="none" w:sz="0" w:space="0" w:color="auto"/>
        <w:bottom w:val="none" w:sz="0" w:space="0" w:color="auto"/>
        <w:right w:val="none" w:sz="0" w:space="0" w:color="auto"/>
      </w:divBdr>
      <w:divsChild>
        <w:div w:id="313343413">
          <w:marLeft w:val="0"/>
          <w:marRight w:val="0"/>
          <w:marTop w:val="0"/>
          <w:marBottom w:val="0"/>
          <w:divBdr>
            <w:top w:val="none" w:sz="0" w:space="0" w:color="auto"/>
            <w:left w:val="none" w:sz="0" w:space="0" w:color="auto"/>
            <w:bottom w:val="none" w:sz="0" w:space="0" w:color="auto"/>
            <w:right w:val="none" w:sz="0" w:space="0" w:color="auto"/>
          </w:divBdr>
          <w:divsChild>
            <w:div w:id="1241598178">
              <w:marLeft w:val="0"/>
              <w:marRight w:val="0"/>
              <w:marTop w:val="0"/>
              <w:marBottom w:val="0"/>
              <w:divBdr>
                <w:top w:val="none" w:sz="0" w:space="0" w:color="auto"/>
                <w:left w:val="none" w:sz="0" w:space="0" w:color="auto"/>
                <w:bottom w:val="none" w:sz="0" w:space="0" w:color="auto"/>
                <w:right w:val="none" w:sz="0" w:space="0" w:color="auto"/>
              </w:divBdr>
            </w:div>
            <w:div w:id="2085489675">
              <w:marLeft w:val="0"/>
              <w:marRight w:val="0"/>
              <w:marTop w:val="0"/>
              <w:marBottom w:val="0"/>
              <w:divBdr>
                <w:top w:val="none" w:sz="0" w:space="0" w:color="auto"/>
                <w:left w:val="none" w:sz="0" w:space="0" w:color="auto"/>
                <w:bottom w:val="none" w:sz="0" w:space="0" w:color="auto"/>
                <w:right w:val="none" w:sz="0" w:space="0" w:color="auto"/>
              </w:divBdr>
            </w:div>
          </w:divsChild>
        </w:div>
        <w:div w:id="437257696">
          <w:marLeft w:val="0"/>
          <w:marRight w:val="0"/>
          <w:marTop w:val="0"/>
          <w:marBottom w:val="0"/>
          <w:divBdr>
            <w:top w:val="none" w:sz="0" w:space="0" w:color="auto"/>
            <w:left w:val="none" w:sz="0" w:space="0" w:color="auto"/>
            <w:bottom w:val="none" w:sz="0" w:space="0" w:color="auto"/>
            <w:right w:val="none" w:sz="0" w:space="0" w:color="auto"/>
          </w:divBdr>
        </w:div>
        <w:div w:id="612592112">
          <w:marLeft w:val="0"/>
          <w:marRight w:val="0"/>
          <w:marTop w:val="0"/>
          <w:marBottom w:val="0"/>
          <w:divBdr>
            <w:top w:val="none" w:sz="0" w:space="0" w:color="auto"/>
            <w:left w:val="none" w:sz="0" w:space="0" w:color="auto"/>
            <w:bottom w:val="none" w:sz="0" w:space="0" w:color="auto"/>
            <w:right w:val="none" w:sz="0" w:space="0" w:color="auto"/>
          </w:divBdr>
          <w:divsChild>
            <w:div w:id="748649448">
              <w:marLeft w:val="0"/>
              <w:marRight w:val="0"/>
              <w:marTop w:val="0"/>
              <w:marBottom w:val="0"/>
              <w:divBdr>
                <w:top w:val="none" w:sz="0" w:space="0" w:color="auto"/>
                <w:left w:val="none" w:sz="0" w:space="0" w:color="auto"/>
                <w:bottom w:val="none" w:sz="0" w:space="0" w:color="auto"/>
                <w:right w:val="none" w:sz="0" w:space="0" w:color="auto"/>
              </w:divBdr>
            </w:div>
            <w:div w:id="1006010061">
              <w:marLeft w:val="0"/>
              <w:marRight w:val="0"/>
              <w:marTop w:val="0"/>
              <w:marBottom w:val="0"/>
              <w:divBdr>
                <w:top w:val="none" w:sz="0" w:space="0" w:color="auto"/>
                <w:left w:val="none" w:sz="0" w:space="0" w:color="auto"/>
                <w:bottom w:val="none" w:sz="0" w:space="0" w:color="auto"/>
                <w:right w:val="none" w:sz="0" w:space="0" w:color="auto"/>
              </w:divBdr>
            </w:div>
          </w:divsChild>
        </w:div>
        <w:div w:id="757947643">
          <w:marLeft w:val="0"/>
          <w:marRight w:val="0"/>
          <w:marTop w:val="0"/>
          <w:marBottom w:val="0"/>
          <w:divBdr>
            <w:top w:val="none" w:sz="0" w:space="0" w:color="auto"/>
            <w:left w:val="none" w:sz="0" w:space="0" w:color="auto"/>
            <w:bottom w:val="none" w:sz="0" w:space="0" w:color="auto"/>
            <w:right w:val="none" w:sz="0" w:space="0" w:color="auto"/>
          </w:divBdr>
          <w:divsChild>
            <w:div w:id="1277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1938">
      <w:bodyDiv w:val="1"/>
      <w:marLeft w:val="0"/>
      <w:marRight w:val="0"/>
      <w:marTop w:val="0"/>
      <w:marBottom w:val="0"/>
      <w:divBdr>
        <w:top w:val="none" w:sz="0" w:space="0" w:color="auto"/>
        <w:left w:val="none" w:sz="0" w:space="0" w:color="auto"/>
        <w:bottom w:val="none" w:sz="0" w:space="0" w:color="auto"/>
        <w:right w:val="none" w:sz="0" w:space="0" w:color="auto"/>
      </w:divBdr>
    </w:div>
    <w:div w:id="1736006034">
      <w:bodyDiv w:val="1"/>
      <w:marLeft w:val="0"/>
      <w:marRight w:val="0"/>
      <w:marTop w:val="0"/>
      <w:marBottom w:val="0"/>
      <w:divBdr>
        <w:top w:val="none" w:sz="0" w:space="0" w:color="auto"/>
        <w:left w:val="none" w:sz="0" w:space="0" w:color="auto"/>
        <w:bottom w:val="none" w:sz="0" w:space="0" w:color="auto"/>
        <w:right w:val="none" w:sz="0" w:space="0" w:color="auto"/>
      </w:divBdr>
    </w:div>
    <w:div w:id="1775860828">
      <w:bodyDiv w:val="1"/>
      <w:marLeft w:val="0"/>
      <w:marRight w:val="0"/>
      <w:marTop w:val="0"/>
      <w:marBottom w:val="0"/>
      <w:divBdr>
        <w:top w:val="none" w:sz="0" w:space="0" w:color="auto"/>
        <w:left w:val="none" w:sz="0" w:space="0" w:color="auto"/>
        <w:bottom w:val="none" w:sz="0" w:space="0" w:color="auto"/>
        <w:right w:val="none" w:sz="0" w:space="0" w:color="auto"/>
      </w:divBdr>
    </w:div>
    <w:div w:id="1816557209">
      <w:bodyDiv w:val="1"/>
      <w:marLeft w:val="0"/>
      <w:marRight w:val="0"/>
      <w:marTop w:val="0"/>
      <w:marBottom w:val="0"/>
      <w:divBdr>
        <w:top w:val="none" w:sz="0" w:space="0" w:color="auto"/>
        <w:left w:val="none" w:sz="0" w:space="0" w:color="auto"/>
        <w:bottom w:val="none" w:sz="0" w:space="0" w:color="auto"/>
        <w:right w:val="none" w:sz="0" w:space="0" w:color="auto"/>
      </w:divBdr>
    </w:div>
    <w:div w:id="1821532703">
      <w:bodyDiv w:val="1"/>
      <w:marLeft w:val="0"/>
      <w:marRight w:val="0"/>
      <w:marTop w:val="0"/>
      <w:marBottom w:val="0"/>
      <w:divBdr>
        <w:top w:val="none" w:sz="0" w:space="0" w:color="auto"/>
        <w:left w:val="none" w:sz="0" w:space="0" w:color="auto"/>
        <w:bottom w:val="none" w:sz="0" w:space="0" w:color="auto"/>
        <w:right w:val="none" w:sz="0" w:space="0" w:color="auto"/>
      </w:divBdr>
    </w:div>
    <w:div w:id="1917128750">
      <w:bodyDiv w:val="1"/>
      <w:marLeft w:val="0"/>
      <w:marRight w:val="0"/>
      <w:marTop w:val="0"/>
      <w:marBottom w:val="0"/>
      <w:divBdr>
        <w:top w:val="none" w:sz="0" w:space="0" w:color="auto"/>
        <w:left w:val="none" w:sz="0" w:space="0" w:color="auto"/>
        <w:bottom w:val="none" w:sz="0" w:space="0" w:color="auto"/>
        <w:right w:val="none" w:sz="0" w:space="0" w:color="auto"/>
      </w:divBdr>
    </w:div>
    <w:div w:id="1948464181">
      <w:marLeft w:val="0"/>
      <w:marRight w:val="0"/>
      <w:marTop w:val="0"/>
      <w:marBottom w:val="0"/>
      <w:divBdr>
        <w:top w:val="none" w:sz="0" w:space="0" w:color="auto"/>
        <w:left w:val="none" w:sz="0" w:space="0" w:color="auto"/>
        <w:bottom w:val="none" w:sz="0" w:space="0" w:color="auto"/>
        <w:right w:val="none" w:sz="0" w:space="0" w:color="auto"/>
      </w:divBdr>
    </w:div>
    <w:div w:id="1948464182">
      <w:marLeft w:val="0"/>
      <w:marRight w:val="0"/>
      <w:marTop w:val="0"/>
      <w:marBottom w:val="0"/>
      <w:divBdr>
        <w:top w:val="none" w:sz="0" w:space="0" w:color="auto"/>
        <w:left w:val="none" w:sz="0" w:space="0" w:color="auto"/>
        <w:bottom w:val="none" w:sz="0" w:space="0" w:color="auto"/>
        <w:right w:val="none" w:sz="0" w:space="0" w:color="auto"/>
      </w:divBdr>
    </w:div>
    <w:div w:id="1948464183">
      <w:marLeft w:val="0"/>
      <w:marRight w:val="0"/>
      <w:marTop w:val="0"/>
      <w:marBottom w:val="0"/>
      <w:divBdr>
        <w:top w:val="none" w:sz="0" w:space="0" w:color="auto"/>
        <w:left w:val="none" w:sz="0" w:space="0" w:color="auto"/>
        <w:bottom w:val="none" w:sz="0" w:space="0" w:color="auto"/>
        <w:right w:val="none" w:sz="0" w:space="0" w:color="auto"/>
      </w:divBdr>
    </w:div>
    <w:div w:id="1948464184">
      <w:marLeft w:val="0"/>
      <w:marRight w:val="0"/>
      <w:marTop w:val="0"/>
      <w:marBottom w:val="0"/>
      <w:divBdr>
        <w:top w:val="none" w:sz="0" w:space="0" w:color="auto"/>
        <w:left w:val="none" w:sz="0" w:space="0" w:color="auto"/>
        <w:bottom w:val="none" w:sz="0" w:space="0" w:color="auto"/>
        <w:right w:val="none" w:sz="0" w:space="0" w:color="auto"/>
      </w:divBdr>
    </w:div>
    <w:div w:id="1969970954">
      <w:bodyDiv w:val="1"/>
      <w:marLeft w:val="0"/>
      <w:marRight w:val="0"/>
      <w:marTop w:val="0"/>
      <w:marBottom w:val="0"/>
      <w:divBdr>
        <w:top w:val="none" w:sz="0" w:space="0" w:color="auto"/>
        <w:left w:val="none" w:sz="0" w:space="0" w:color="auto"/>
        <w:bottom w:val="none" w:sz="0" w:space="0" w:color="auto"/>
        <w:right w:val="none" w:sz="0" w:space="0" w:color="auto"/>
      </w:divBdr>
    </w:div>
    <w:div w:id="1982229747">
      <w:bodyDiv w:val="1"/>
      <w:marLeft w:val="0"/>
      <w:marRight w:val="0"/>
      <w:marTop w:val="0"/>
      <w:marBottom w:val="0"/>
      <w:divBdr>
        <w:top w:val="none" w:sz="0" w:space="0" w:color="auto"/>
        <w:left w:val="none" w:sz="0" w:space="0" w:color="auto"/>
        <w:bottom w:val="none" w:sz="0" w:space="0" w:color="auto"/>
        <w:right w:val="none" w:sz="0" w:space="0" w:color="auto"/>
      </w:divBdr>
    </w:div>
    <w:div w:id="1992634413">
      <w:bodyDiv w:val="1"/>
      <w:marLeft w:val="0"/>
      <w:marRight w:val="0"/>
      <w:marTop w:val="0"/>
      <w:marBottom w:val="0"/>
      <w:divBdr>
        <w:top w:val="none" w:sz="0" w:space="0" w:color="auto"/>
        <w:left w:val="none" w:sz="0" w:space="0" w:color="auto"/>
        <w:bottom w:val="none" w:sz="0" w:space="0" w:color="auto"/>
        <w:right w:val="none" w:sz="0" w:space="0" w:color="auto"/>
      </w:divBdr>
    </w:div>
    <w:div w:id="2001107098">
      <w:bodyDiv w:val="1"/>
      <w:marLeft w:val="0"/>
      <w:marRight w:val="0"/>
      <w:marTop w:val="0"/>
      <w:marBottom w:val="0"/>
      <w:divBdr>
        <w:top w:val="none" w:sz="0" w:space="0" w:color="auto"/>
        <w:left w:val="none" w:sz="0" w:space="0" w:color="auto"/>
        <w:bottom w:val="none" w:sz="0" w:space="0" w:color="auto"/>
        <w:right w:val="none" w:sz="0" w:space="0" w:color="auto"/>
      </w:divBdr>
    </w:div>
    <w:div w:id="2031030157">
      <w:bodyDiv w:val="1"/>
      <w:marLeft w:val="0"/>
      <w:marRight w:val="0"/>
      <w:marTop w:val="0"/>
      <w:marBottom w:val="0"/>
      <w:divBdr>
        <w:top w:val="none" w:sz="0" w:space="0" w:color="auto"/>
        <w:left w:val="none" w:sz="0" w:space="0" w:color="auto"/>
        <w:bottom w:val="none" w:sz="0" w:space="0" w:color="auto"/>
        <w:right w:val="none" w:sz="0" w:space="0" w:color="auto"/>
      </w:divBdr>
    </w:div>
    <w:div w:id="2041085657">
      <w:bodyDiv w:val="1"/>
      <w:marLeft w:val="0"/>
      <w:marRight w:val="0"/>
      <w:marTop w:val="0"/>
      <w:marBottom w:val="0"/>
      <w:divBdr>
        <w:top w:val="none" w:sz="0" w:space="0" w:color="auto"/>
        <w:left w:val="none" w:sz="0" w:space="0" w:color="auto"/>
        <w:bottom w:val="none" w:sz="0" w:space="0" w:color="auto"/>
        <w:right w:val="none" w:sz="0" w:space="0" w:color="auto"/>
      </w:divBdr>
    </w:div>
    <w:div w:id="2047900576">
      <w:bodyDiv w:val="1"/>
      <w:marLeft w:val="0"/>
      <w:marRight w:val="0"/>
      <w:marTop w:val="0"/>
      <w:marBottom w:val="0"/>
      <w:divBdr>
        <w:top w:val="none" w:sz="0" w:space="0" w:color="auto"/>
        <w:left w:val="none" w:sz="0" w:space="0" w:color="auto"/>
        <w:bottom w:val="none" w:sz="0" w:space="0" w:color="auto"/>
        <w:right w:val="none" w:sz="0" w:space="0" w:color="auto"/>
      </w:divBdr>
    </w:div>
    <w:div w:id="2081440157">
      <w:bodyDiv w:val="1"/>
      <w:marLeft w:val="0"/>
      <w:marRight w:val="0"/>
      <w:marTop w:val="0"/>
      <w:marBottom w:val="0"/>
      <w:divBdr>
        <w:top w:val="none" w:sz="0" w:space="0" w:color="auto"/>
        <w:left w:val="none" w:sz="0" w:space="0" w:color="auto"/>
        <w:bottom w:val="none" w:sz="0" w:space="0" w:color="auto"/>
        <w:right w:val="none" w:sz="0" w:space="0" w:color="auto"/>
      </w:divBdr>
    </w:div>
    <w:div w:id="2094424364">
      <w:bodyDiv w:val="1"/>
      <w:marLeft w:val="0"/>
      <w:marRight w:val="0"/>
      <w:marTop w:val="0"/>
      <w:marBottom w:val="0"/>
      <w:divBdr>
        <w:top w:val="none" w:sz="0" w:space="0" w:color="auto"/>
        <w:left w:val="none" w:sz="0" w:space="0" w:color="auto"/>
        <w:bottom w:val="none" w:sz="0" w:space="0" w:color="auto"/>
        <w:right w:val="none" w:sz="0" w:space="0" w:color="auto"/>
      </w:divBdr>
    </w:div>
    <w:div w:id="2096658227">
      <w:bodyDiv w:val="1"/>
      <w:marLeft w:val="0"/>
      <w:marRight w:val="0"/>
      <w:marTop w:val="0"/>
      <w:marBottom w:val="0"/>
      <w:divBdr>
        <w:top w:val="none" w:sz="0" w:space="0" w:color="auto"/>
        <w:left w:val="none" w:sz="0" w:space="0" w:color="auto"/>
        <w:bottom w:val="none" w:sz="0" w:space="0" w:color="auto"/>
        <w:right w:val="none" w:sz="0" w:space="0" w:color="auto"/>
      </w:divBdr>
    </w:div>
    <w:div w:id="2121873937">
      <w:bodyDiv w:val="1"/>
      <w:marLeft w:val="0"/>
      <w:marRight w:val="0"/>
      <w:marTop w:val="0"/>
      <w:marBottom w:val="0"/>
      <w:divBdr>
        <w:top w:val="none" w:sz="0" w:space="0" w:color="auto"/>
        <w:left w:val="none" w:sz="0" w:space="0" w:color="auto"/>
        <w:bottom w:val="none" w:sz="0" w:space="0" w:color="auto"/>
        <w:right w:val="none" w:sz="0" w:space="0" w:color="auto"/>
      </w:divBdr>
      <w:divsChild>
        <w:div w:id="1683317116">
          <w:marLeft w:val="0"/>
          <w:marRight w:val="0"/>
          <w:marTop w:val="0"/>
          <w:marBottom w:val="0"/>
          <w:divBdr>
            <w:top w:val="none" w:sz="0" w:space="0" w:color="auto"/>
            <w:left w:val="none" w:sz="0" w:space="0" w:color="auto"/>
            <w:bottom w:val="none" w:sz="0" w:space="0" w:color="auto"/>
            <w:right w:val="none" w:sz="0" w:space="0" w:color="auto"/>
          </w:divBdr>
        </w:div>
      </w:divsChild>
    </w:div>
    <w:div w:id="213162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chart" Target="charts/chart1.xml"/><Relationship Id="rId26" Type="http://schemas.microsoft.com/office/2019/05/relationships/documenttasks" Target="documenttasks/documenttasks1.xml"/><Relationship Id="rId3" Type="http://schemas.openxmlformats.org/officeDocument/2006/relationships/customXml" Target="../customXml/item3.xml"/><Relationship Id="rId21" Type="http://schemas.openxmlformats.org/officeDocument/2006/relationships/hyperlink" Target="https://assets.publishing.service.gov.uk/government/uploads/system/uploads/attachment_data/file/943714/Modelling-2050-Electricity-System-Analysis.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beisgov.sharepoint.com/:x:/r/sites/uktimesbeis/Shared%20Documents/General/Analysis/06.%20CB6/Input%20data/DAC/Copy%20of%20DAC%20data%20for%20UKTIMES%20from%20NAS%202018%20report.xlsx?d=w8ac46f15cee746e9b3d57ba256800a28&amp;csf=1&amp;web=1&amp;e=0TsSvO"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s>
</file>

<file path=word/_rels/footnotes.xml.rels><?xml version="1.0" encoding="UTF-8" standalone="yes"?>
<Relationships xmlns="http://schemas.openxmlformats.org/package/2006/relationships"><Relationship Id="rId8" Type="http://schemas.openxmlformats.org/officeDocument/2006/relationships/hyperlink" Target="https://web.archive.org/web/20110710192634if_/http://www.endsreport.com/docs/20090820a.pdf" TargetMode="External"/><Relationship Id="rId13" Type="http://schemas.openxmlformats.org/officeDocument/2006/relationships/hyperlink" Target="https://eur02.safelinks.protection.outlook.com/?url=https%3A%2F%2Fwww.legislation.gov.uk%2Fukdsi%2F2014%2F9780111118900%2Fcontents&amp;data=04%7C01%7CZachary.Leather%40beis.gov.uk%7Ca98f9cd1846b48c3ff3c08d8e2449676%7Ccbac700502c143ebb497e6492d1b2dd8%7C0%7C0%7C637508131491933442%7CUnknown%7CTWFpbGZsb3d8eyJWIjoiMC4wLjAwMDAiLCJQIjoiV2luMzIiLCJBTiI6Ik1haWwiLCJXVCI6Mn0%3D%7C1000&amp;sdata=j3ug0RwVfXKJgbBWapBYsRayU%2BSca2Y04ggHcgOUG8s%3D&amp;reserved=0" TargetMode="External"/><Relationship Id="rId18" Type="http://schemas.openxmlformats.org/officeDocument/2006/relationships/hyperlink" Target="https://assets.publishing.service.gov.uk/government/uploads/system/uploads/attachment_data/file/816018/scenario-analysis-take-up-of-emissions-reduction-options-impacts-on-emissions-costs.pdf" TargetMode="External"/><Relationship Id="rId3" Type="http://schemas.openxmlformats.org/officeDocument/2006/relationships/hyperlink" Target="https://assets.publishing.service.gov.uk/government/uploads/system/uploads/attachment_data/file/957887/2019_Final_greenhouse_gas_emissions_statistical_release.pdf" TargetMode="External"/><Relationship Id="rId7" Type="http://schemas.openxmlformats.org/officeDocument/2006/relationships/hyperlink" Target="https://doi.org/10.1080/14693062.2019.1596873" TargetMode="External"/><Relationship Id="rId12" Type="http://schemas.openxmlformats.org/officeDocument/2006/relationships/hyperlink" Target="https://www.gov.uk/government/publications/business-competitiveness-in-industrial-sectors-and-the-role-of-carbon-pricing-policy-in-the-uk" TargetMode="External"/><Relationship Id="rId17" Type="http://schemas.openxmlformats.org/officeDocument/2006/relationships/hyperlink" Target="https://assets.publishing.service.gov.uk/government/uploads/system/uploads/attachment_data/file/816018/scenario-analysis-take-up-of-emissions-reduction-options-impacts-on-emissions-costs.pdf" TargetMode="External"/><Relationship Id="rId2" Type="http://schemas.openxmlformats.org/officeDocument/2006/relationships/hyperlink" Target="https://www.gov.uk/government/publications/planned-methodology-changes-for-uk-greenhouse-gas-emissions" TargetMode="External"/><Relationship Id="rId16" Type="http://schemas.openxmlformats.org/officeDocument/2006/relationships/hyperlink" Target="https://www.gov.uk/government/publications/beis-electricity-generation-costs-2020" TargetMode="External"/><Relationship Id="rId20" Type="http://schemas.openxmlformats.org/officeDocument/2006/relationships/hyperlink" Target="https://assets.publishing.service.gov.uk/government/uploads/system/uploads/attachment_data/file/943714/Modelling-2050-Electricity-System-Analysis.pdf" TargetMode="External"/><Relationship Id="rId1" Type="http://schemas.openxmlformats.org/officeDocument/2006/relationships/hyperlink" Target="https://www.gov.uk/government/statistics/final-uk-greenhouse-gas-emissions-national-statistics-1990-to-2019" TargetMode="External"/><Relationship Id="rId6" Type="http://schemas.openxmlformats.org/officeDocument/2006/relationships/hyperlink" Target="https://www.un.org/development/desa/publications/working-paper/wp152" TargetMode="External"/><Relationship Id="rId11" Type="http://schemas.openxmlformats.org/officeDocument/2006/relationships/hyperlink" Target="https://www.gov.uk/government/publications/valuation-of-energy-use-and-greenhouse-gas-emissions-for-appraisal" TargetMode="External"/><Relationship Id="rId5" Type="http://schemas.openxmlformats.org/officeDocument/2006/relationships/hyperlink" Target="http://pdf.wri.org/climate_justice_equity_and_justice_informing_a_new_climate_agreement.pdf" TargetMode="External"/><Relationship Id="rId15" Type="http://schemas.openxmlformats.org/officeDocument/2006/relationships/hyperlink" Target="https://www.gov.uk/government/publications/uk-and-global-bioenergy-resource-model" TargetMode="External"/><Relationship Id="rId10" Type="http://schemas.openxmlformats.org/officeDocument/2006/relationships/hyperlink" Target="https://eciu.net/netzerotracker" TargetMode="External"/><Relationship Id="rId19" Type="http://schemas.openxmlformats.org/officeDocument/2006/relationships/hyperlink" Target="https://assets.publishing.service.gov.uk/government/uploads/system/uploads/attachment_data/file/816019/scenario-analysis-take-up-of-emissions-reduction-options-impacts-on-emissions-costs-technical-annexes.pdf" TargetMode="External"/><Relationship Id="rId4" Type="http://schemas.openxmlformats.org/officeDocument/2006/relationships/hyperlink" Target="https://obr.uk/fsr/fiscal-sustainability-report-july-2020/" TargetMode="External"/><Relationship Id="rId9" Type="http://schemas.openxmlformats.org/officeDocument/2006/relationships/hyperlink" Target="http://www.iea-etsap.org/web/Times.asp" TargetMode="External"/><Relationship Id="rId14" Type="http://schemas.openxmlformats.org/officeDocument/2006/relationships/hyperlink" Target="https://www.gov.uk/government/groups/natural-capital-committee"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https://beisgov.sharepoint.com/sites/CarbonStrategyAnalysis/Shared%20Documents/Carbon%20Budget%206/WS1%20-%20Long%20term%20pathways/Jan%20runs%20-%20Stage%204%20trajectories/210226%20Section%201&amp;2%20IA%20tables%20and%20graphs%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https://beisgov.sharepoint.com/sites/CarbonStrategyAnalysis/Shared%20Documents/Carbon%20Budget%206/WS1%20-%20Long%20term%20pathways/Final%20spreadsheets/210226%20Section%201&amp;2%20IA%20tables%20and%20graphs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145466750512139"/>
          <c:y val="3.3312595184861155E-2"/>
          <c:w val="0.85693418748206496"/>
          <c:h val="0.72774866442103459"/>
        </c:manualLayout>
      </c:layout>
      <c:areaChart>
        <c:grouping val="stacked"/>
        <c:varyColors val="0"/>
        <c:ser>
          <c:idx val="4"/>
          <c:order val="0"/>
          <c:tx>
            <c:strRef>
              <c:f>'Section 2&gt;&gt;Baseline changes'!$B$12</c:f>
              <c:strCache>
                <c:ptCount val="1"/>
                <c:pt idx="0">
                  <c:v>EEP 2019 Reference case adjusted for OBR  forecasts</c:v>
                </c:pt>
              </c:strCache>
            </c:strRef>
          </c:tx>
          <c:spPr>
            <a:noFill/>
            <a:ln>
              <a:noFill/>
            </a:ln>
            <a:effectLst/>
          </c:spP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changes'!$C$12:$AG$12</c:f>
              <c:numCache>
                <c:formatCode>0</c:formatCode>
                <c:ptCount val="31"/>
                <c:pt idx="0">
                  <c:v>374</c:v>
                </c:pt>
                <c:pt idx="1">
                  <c:v>388</c:v>
                </c:pt>
                <c:pt idx="2">
                  <c:v>382</c:v>
                </c:pt>
                <c:pt idx="3">
                  <c:v>378</c:v>
                </c:pt>
                <c:pt idx="4">
                  <c:v>377</c:v>
                </c:pt>
                <c:pt idx="5">
                  <c:v>367</c:v>
                </c:pt>
                <c:pt idx="6">
                  <c:v>360</c:v>
                </c:pt>
                <c:pt idx="7">
                  <c:v>356</c:v>
                </c:pt>
                <c:pt idx="8">
                  <c:v>355</c:v>
                </c:pt>
                <c:pt idx="9">
                  <c:v>355</c:v>
                </c:pt>
                <c:pt idx="10">
                  <c:v>349</c:v>
                </c:pt>
                <c:pt idx="11">
                  <c:v>345</c:v>
                </c:pt>
                <c:pt idx="12">
                  <c:v>342</c:v>
                </c:pt>
                <c:pt idx="13">
                  <c:v>341</c:v>
                </c:pt>
                <c:pt idx="14">
                  <c:v>340</c:v>
                </c:pt>
                <c:pt idx="15">
                  <c:v>337</c:v>
                </c:pt>
                <c:pt idx="16">
                  <c:v>334</c:v>
                </c:pt>
                <c:pt idx="17">
                  <c:v>333</c:v>
                </c:pt>
                <c:pt idx="18">
                  <c:v>334</c:v>
                </c:pt>
                <c:pt idx="19">
                  <c:v>334</c:v>
                </c:pt>
                <c:pt idx="20">
                  <c:v>333</c:v>
                </c:pt>
                <c:pt idx="21">
                  <c:v>#N/A</c:v>
                </c:pt>
                <c:pt idx="22">
                  <c:v>#N/A</c:v>
                </c:pt>
                <c:pt idx="23">
                  <c:v>#N/A</c:v>
                </c:pt>
                <c:pt idx="24">
                  <c:v>#N/A</c:v>
                </c:pt>
                <c:pt idx="25">
                  <c:v>#N/A</c:v>
                </c:pt>
                <c:pt idx="26">
                  <c:v>#N/A</c:v>
                </c:pt>
                <c:pt idx="27">
                  <c:v>#N/A</c:v>
                </c:pt>
                <c:pt idx="28">
                  <c:v>#N/A</c:v>
                </c:pt>
                <c:pt idx="29">
                  <c:v>#N/A</c:v>
                </c:pt>
                <c:pt idx="30">
                  <c:v>#N/A</c:v>
                </c:pt>
              </c:numCache>
            </c:numRef>
          </c:val>
          <c:extLst>
            <c:ext xmlns:c16="http://schemas.microsoft.com/office/drawing/2014/chart" uri="{C3380CC4-5D6E-409C-BE32-E72D297353CC}">
              <c16:uniqueId val="{00000000-3FC2-40DF-BFBB-2B5B58F49552}"/>
            </c:ext>
          </c:extLst>
        </c:ser>
        <c:ser>
          <c:idx val="3"/>
          <c:order val="2"/>
          <c:tx>
            <c:strRef>
              <c:f>'Section 2&gt;&gt;Baseline changes'!$B$14</c:f>
              <c:strCache>
                <c:ptCount val="1"/>
                <c:pt idx="0">
                  <c:v>AR5 adjustment</c:v>
                </c:pt>
              </c:strCache>
            </c:strRef>
          </c:tx>
          <c:spPr>
            <a:solidFill>
              <a:srgbClr val="FDCDAC"/>
            </a:solidFill>
            <a:ln w="25400">
              <a:noFill/>
            </a:ln>
            <a:effectLst/>
          </c:spP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changes'!$C$14:$W$14</c:f>
              <c:numCache>
                <c:formatCode>0</c:formatCode>
                <c:ptCount val="21"/>
                <c:pt idx="0">
                  <c:v>19</c:v>
                </c:pt>
                <c:pt idx="1">
                  <c:v>18</c:v>
                </c:pt>
                <c:pt idx="2">
                  <c:v>18</c:v>
                </c:pt>
                <c:pt idx="3">
                  <c:v>18</c:v>
                </c:pt>
                <c:pt idx="4">
                  <c:v>17</c:v>
                </c:pt>
                <c:pt idx="5">
                  <c:v>17</c:v>
                </c:pt>
                <c:pt idx="6">
                  <c:v>17</c:v>
                </c:pt>
                <c:pt idx="7">
                  <c:v>16</c:v>
                </c:pt>
                <c:pt idx="8">
                  <c:v>16</c:v>
                </c:pt>
                <c:pt idx="9">
                  <c:v>16</c:v>
                </c:pt>
                <c:pt idx="10">
                  <c:v>16</c:v>
                </c:pt>
                <c:pt idx="11">
                  <c:v>16</c:v>
                </c:pt>
                <c:pt idx="12">
                  <c:v>16</c:v>
                </c:pt>
                <c:pt idx="13">
                  <c:v>15</c:v>
                </c:pt>
                <c:pt idx="14">
                  <c:v>16</c:v>
                </c:pt>
                <c:pt idx="15">
                  <c:v>15</c:v>
                </c:pt>
                <c:pt idx="16">
                  <c:v>16</c:v>
                </c:pt>
                <c:pt idx="17">
                  <c:v>15</c:v>
                </c:pt>
                <c:pt idx="18">
                  <c:v>15</c:v>
                </c:pt>
                <c:pt idx="19">
                  <c:v>15</c:v>
                </c:pt>
                <c:pt idx="20">
                  <c:v>15</c:v>
                </c:pt>
              </c:numCache>
            </c:numRef>
          </c:val>
          <c:extLst>
            <c:ext xmlns:c16="http://schemas.microsoft.com/office/drawing/2014/chart" uri="{C3380CC4-5D6E-409C-BE32-E72D297353CC}">
              <c16:uniqueId val="{00000001-3FC2-40DF-BFBB-2B5B58F49552}"/>
            </c:ext>
          </c:extLst>
        </c:ser>
        <c:ser>
          <c:idx val="5"/>
          <c:order val="3"/>
          <c:tx>
            <c:strRef>
              <c:f>'Section 2&gt;&gt;Baseline changes'!$B$15</c:f>
              <c:strCache>
                <c:ptCount val="1"/>
                <c:pt idx="0">
                  <c:v>Wetlands adjustment</c:v>
                </c:pt>
              </c:strCache>
            </c:strRef>
          </c:tx>
          <c:spPr>
            <a:solidFill>
              <a:srgbClr val="CBD5E8"/>
            </a:solidFill>
            <a:ln>
              <a:solidFill>
                <a:schemeClr val="tx1">
                  <a:lumMod val="15000"/>
                  <a:lumOff val="85000"/>
                  <a:alpha val="20000"/>
                </a:schemeClr>
              </a:solidFill>
            </a:ln>
            <a:effectLst/>
          </c:spP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changes'!$C$15:$W$15</c:f>
              <c:numCache>
                <c:formatCode>0</c:formatCode>
                <c:ptCount val="21"/>
                <c:pt idx="0">
                  <c:v>20.731383978107147</c:v>
                </c:pt>
                <c:pt idx="1">
                  <c:v>20.717236205227778</c:v>
                </c:pt>
                <c:pt idx="2">
                  <c:v>20.69971868153749</c:v>
                </c:pt>
                <c:pt idx="3">
                  <c:v>20.679188736311175</c:v>
                </c:pt>
                <c:pt idx="4">
                  <c:v>20.656026167366463</c:v>
                </c:pt>
                <c:pt idx="5">
                  <c:v>20.630259274967273</c:v>
                </c:pt>
                <c:pt idx="6">
                  <c:v>20.600989080563863</c:v>
                </c:pt>
                <c:pt idx="7">
                  <c:v>20.568939245619219</c:v>
                </c:pt>
                <c:pt idx="8">
                  <c:v>20.533361151435145</c:v>
                </c:pt>
                <c:pt idx="9">
                  <c:v>20.494902421490451</c:v>
                </c:pt>
                <c:pt idx="10">
                  <c:v>20.453027636545755</c:v>
                </c:pt>
                <c:pt idx="11">
                  <c:v>20.44154989654578</c:v>
                </c:pt>
                <c:pt idx="12">
                  <c:v>20.42677618154579</c:v>
                </c:pt>
                <c:pt idx="13">
                  <c:v>20.409499950545808</c:v>
                </c:pt>
                <c:pt idx="14">
                  <c:v>20.389571467545807</c:v>
                </c:pt>
                <c:pt idx="15">
                  <c:v>20.367647014545753</c:v>
                </c:pt>
                <c:pt idx="16">
                  <c:v>20.34363768749472</c:v>
                </c:pt>
                <c:pt idx="17">
                  <c:v>20.319166029494738</c:v>
                </c:pt>
                <c:pt idx="18">
                  <c:v>20.293465037494741</c:v>
                </c:pt>
                <c:pt idx="19">
                  <c:v>20.266529039494742</c:v>
                </c:pt>
                <c:pt idx="20">
                  <c:v>20.238452354494768</c:v>
                </c:pt>
              </c:numCache>
            </c:numRef>
          </c:val>
          <c:extLst>
            <c:ext xmlns:c16="http://schemas.microsoft.com/office/drawing/2014/chart" uri="{C3380CC4-5D6E-409C-BE32-E72D297353CC}">
              <c16:uniqueId val="{00000002-3FC2-40DF-BFBB-2B5B58F49552}"/>
            </c:ext>
          </c:extLst>
        </c:ser>
        <c:ser>
          <c:idx val="8"/>
          <c:order val="4"/>
          <c:tx>
            <c:strRef>
              <c:f>'Section 2&gt;&gt;Baseline changes'!$B$16</c:f>
              <c:strCache>
                <c:ptCount val="1"/>
                <c:pt idx="0">
                  <c:v>Territorial emissions including IAS</c:v>
                </c:pt>
              </c:strCache>
            </c:strRef>
          </c:tx>
          <c:spPr>
            <a:solidFill>
              <a:srgbClr val="B3E2CD"/>
            </a:solidFill>
            <a:ln>
              <a:solidFill>
                <a:schemeClr val="tx1">
                  <a:lumMod val="15000"/>
                  <a:lumOff val="85000"/>
                </a:schemeClr>
              </a:solidFill>
            </a:ln>
            <a:effectLst/>
          </c:spP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changes'!$C$16:$W$16</c:f>
              <c:numCache>
                <c:formatCode>0</c:formatCode>
                <c:ptCount val="21"/>
                <c:pt idx="0">
                  <c:v>42.958902589278694</c:v>
                </c:pt>
                <c:pt idx="1">
                  <c:v>43.034204249919867</c:v>
                </c:pt>
                <c:pt idx="2">
                  <c:v>43.00026587732475</c:v>
                </c:pt>
                <c:pt idx="3">
                  <c:v>43.284112071633785</c:v>
                </c:pt>
                <c:pt idx="4">
                  <c:v>43.554587468070451</c:v>
                </c:pt>
                <c:pt idx="5">
                  <c:v>43.646037098925035</c:v>
                </c:pt>
                <c:pt idx="6">
                  <c:v>43.914262535983539</c:v>
                </c:pt>
                <c:pt idx="7">
                  <c:v>45.34505806795562</c:v>
                </c:pt>
                <c:pt idx="8">
                  <c:v>46.591668768899012</c:v>
                </c:pt>
                <c:pt idx="9">
                  <c:v>47.407036391197494</c:v>
                </c:pt>
                <c:pt idx="10">
                  <c:v>47.779766509448564</c:v>
                </c:pt>
                <c:pt idx="11">
                  <c:v>47.768996061869075</c:v>
                </c:pt>
                <c:pt idx="12">
                  <c:v>47.919058118448788</c:v>
                </c:pt>
                <c:pt idx="13">
                  <c:v>48.069763390093101</c:v>
                </c:pt>
                <c:pt idx="14">
                  <c:v>48.27549886715542</c:v>
                </c:pt>
                <c:pt idx="15">
                  <c:v>48.291556840952751</c:v>
                </c:pt>
                <c:pt idx="16">
                  <c:v>48.095212173268862</c:v>
                </c:pt>
                <c:pt idx="17">
                  <c:v>47.513766985586074</c:v>
                </c:pt>
                <c:pt idx="18">
                  <c:v>47.074841100389449</c:v>
                </c:pt>
                <c:pt idx="19">
                  <c:v>46.66971739500724</c:v>
                </c:pt>
                <c:pt idx="20">
                  <c:v>46.297581086463481</c:v>
                </c:pt>
              </c:numCache>
            </c:numRef>
          </c:val>
          <c:extLst>
            <c:ext xmlns:c16="http://schemas.microsoft.com/office/drawing/2014/chart" uri="{C3380CC4-5D6E-409C-BE32-E72D297353CC}">
              <c16:uniqueId val="{00000003-3FC2-40DF-BFBB-2B5B58F49552}"/>
            </c:ext>
          </c:extLst>
        </c:ser>
        <c:dLbls>
          <c:showLegendKey val="0"/>
          <c:showVal val="0"/>
          <c:showCatName val="0"/>
          <c:showSerName val="0"/>
          <c:showPercent val="0"/>
          <c:showBubbleSize val="0"/>
        </c:dLbls>
        <c:axId val="147634303"/>
        <c:axId val="147634959"/>
        <c:extLst>
          <c:ext xmlns:c15="http://schemas.microsoft.com/office/drawing/2012/chart" uri="{02D57815-91ED-43cb-92C2-25804820EDAC}">
            <c15:filteredAreaSeries>
              <c15:ser>
                <c:idx val="0"/>
                <c:order val="1"/>
                <c:tx>
                  <c:strRef>
                    <c:extLst>
                      <c:ext uri="{02D57815-91ED-43cb-92C2-25804820EDAC}">
                        <c15:formulaRef>
                          <c15:sqref>'Section 2&gt;&gt;Baseline changes'!$B$13</c15:sqref>
                        </c15:formulaRef>
                      </c:ext>
                    </c:extLst>
                    <c:strCache>
                      <c:ptCount val="1"/>
                      <c:pt idx="0">
                        <c:v>EEP 2019 Reference case</c:v>
                      </c:pt>
                    </c:strCache>
                  </c:strRef>
                </c:tx>
                <c:spPr>
                  <a:solidFill>
                    <a:schemeClr val="accent1">
                      <a:lumMod val="40000"/>
                      <a:lumOff val="60000"/>
                    </a:schemeClr>
                  </a:solidFill>
                  <a:ln>
                    <a:noFill/>
                  </a:ln>
                  <a:effectLst/>
                </c:spPr>
                <c:cat>
                  <c:numRef>
                    <c:extLst>
                      <c:ext uri="{02D57815-91ED-43cb-92C2-25804820EDAC}">
                        <c15:formulaRef>
                          <c15:sqref>'Section 2&gt;&gt;Baseline changes'!$C$11:$AG$11</c15:sqref>
                        </c15:formulaRef>
                      </c:ext>
                    </c:extLst>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extLst>
                      <c:ext uri="{02D57815-91ED-43cb-92C2-25804820EDAC}">
                        <c15:formulaRef>
                          <c15:sqref>'Section 2&gt;&gt;Baseline changes'!$C$13:$AG$13</c15:sqref>
                        </c15:formulaRef>
                      </c:ext>
                    </c:extLst>
                    <c:numCache>
                      <c:formatCode>0</c:formatCode>
                      <c:ptCount val="31"/>
                      <c:pt idx="0">
                        <c:v>29</c:v>
                      </c:pt>
                      <c:pt idx="1">
                        <c:v>7</c:v>
                      </c:pt>
                      <c:pt idx="2">
                        <c:v>6</c:v>
                      </c:pt>
                      <c:pt idx="3">
                        <c:v>6</c:v>
                      </c:pt>
                      <c:pt idx="4">
                        <c:v>6</c:v>
                      </c:pt>
                      <c:pt idx="5">
                        <c:v>5</c:v>
                      </c:pt>
                      <c:pt idx="6">
                        <c:v>5</c:v>
                      </c:pt>
                      <c:pt idx="7">
                        <c:v>5</c:v>
                      </c:pt>
                      <c:pt idx="8">
                        <c:v>5</c:v>
                      </c:pt>
                      <c:pt idx="9">
                        <c:v>6</c:v>
                      </c:pt>
                      <c:pt idx="10">
                        <c:v>7</c:v>
                      </c:pt>
                      <c:pt idx="11">
                        <c:v>7</c:v>
                      </c:pt>
                      <c:pt idx="12">
                        <c:v>8</c:v>
                      </c:pt>
                      <c:pt idx="13">
                        <c:v>7</c:v>
                      </c:pt>
                      <c:pt idx="14">
                        <c:v>8</c:v>
                      </c:pt>
                      <c:pt idx="15">
                        <c:v>8</c:v>
                      </c:pt>
                      <c:pt idx="16">
                        <c:v>9</c:v>
                      </c:pt>
                      <c:pt idx="17">
                        <c:v>9</c:v>
                      </c:pt>
                      <c:pt idx="18">
                        <c:v>10</c:v>
                      </c:pt>
                      <c:pt idx="19">
                        <c:v>10</c:v>
                      </c:pt>
                      <c:pt idx="20">
                        <c:v>11</c:v>
                      </c:pt>
                      <c:pt idx="21">
                        <c:v>#N/A</c:v>
                      </c:pt>
                      <c:pt idx="22">
                        <c:v>#N/A</c:v>
                      </c:pt>
                      <c:pt idx="23">
                        <c:v>#N/A</c:v>
                      </c:pt>
                      <c:pt idx="24">
                        <c:v>#N/A</c:v>
                      </c:pt>
                      <c:pt idx="25">
                        <c:v>#N/A</c:v>
                      </c:pt>
                      <c:pt idx="26">
                        <c:v>#N/A</c:v>
                      </c:pt>
                      <c:pt idx="27">
                        <c:v>#N/A</c:v>
                      </c:pt>
                      <c:pt idx="28">
                        <c:v>#N/A</c:v>
                      </c:pt>
                      <c:pt idx="29">
                        <c:v>#N/A</c:v>
                      </c:pt>
                      <c:pt idx="30">
                        <c:v>#N/A</c:v>
                      </c:pt>
                    </c:numCache>
                  </c:numRef>
                </c:val>
                <c:extLst>
                  <c:ext xmlns:c16="http://schemas.microsoft.com/office/drawing/2014/chart" uri="{C3380CC4-5D6E-409C-BE32-E72D297353CC}">
                    <c16:uniqueId val="{00000008-3FC2-40DF-BFBB-2B5B58F49552}"/>
                  </c:ext>
                </c:extLst>
              </c15:ser>
            </c15:filteredAreaSeries>
          </c:ext>
        </c:extLst>
      </c:areaChart>
      <c:lineChart>
        <c:grouping val="standard"/>
        <c:varyColors val="0"/>
        <c:ser>
          <c:idx val="9"/>
          <c:order val="5"/>
          <c:tx>
            <c:strRef>
              <c:f>'Section 2&gt;&gt;Baseline changes'!$B$17</c:f>
              <c:strCache>
                <c:ptCount val="1"/>
                <c:pt idx="0">
                  <c:v>Post-2040 forecasts</c:v>
                </c:pt>
              </c:strCache>
            </c:strRef>
          </c:tx>
          <c:spPr>
            <a:ln w="28575" cap="rnd">
              <a:solidFill>
                <a:srgbClr val="CCCCCC"/>
              </a:solidFill>
              <a:round/>
            </a:ln>
            <a:effectLst/>
          </c:spPr>
          <c:marker>
            <c:symbol val="none"/>
          </c:marke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changes'!$C$17:$AG$17</c:f>
              <c:numCache>
                <c:formatCode>General</c:formatCode>
                <c:ptCount val="31"/>
                <c:pt idx="20">
                  <c:v>414.53603344095825</c:v>
                </c:pt>
                <c:pt idx="21">
                  <c:v>415.10626743447023</c:v>
                </c:pt>
                <c:pt idx="22">
                  <c:v>415.3727581029392</c:v>
                </c:pt>
                <c:pt idx="23">
                  <c:v>415.63924877140818</c:v>
                </c:pt>
                <c:pt idx="24">
                  <c:v>415.90573943987715</c:v>
                </c:pt>
                <c:pt idx="25">
                  <c:v>416.17223010834624</c:v>
                </c:pt>
                <c:pt idx="26">
                  <c:v>414.32027439126779</c:v>
                </c:pt>
                <c:pt idx="27">
                  <c:v>412.46831867418933</c:v>
                </c:pt>
                <c:pt idx="28">
                  <c:v>410.61636295711088</c:v>
                </c:pt>
                <c:pt idx="29">
                  <c:v>408.76440724003243</c:v>
                </c:pt>
                <c:pt idx="30">
                  <c:v>406.91245152295409</c:v>
                </c:pt>
              </c:numCache>
            </c:numRef>
          </c:val>
          <c:smooth val="0"/>
          <c:extLst>
            <c:ext xmlns:c16="http://schemas.microsoft.com/office/drawing/2014/chart" uri="{C3380CC4-5D6E-409C-BE32-E72D297353CC}">
              <c16:uniqueId val="{00000004-3FC2-40DF-BFBB-2B5B58F49552}"/>
            </c:ext>
          </c:extLst>
        </c:ser>
        <c:ser>
          <c:idx val="1"/>
          <c:order val="6"/>
          <c:tx>
            <c:strRef>
              <c:f>'Section 2&gt;&gt;Baseline changes'!$B$18</c:f>
              <c:strCache>
                <c:ptCount val="1"/>
                <c:pt idx="0">
                  <c:v>EEP 2019 Reference case</c:v>
                </c:pt>
              </c:strCache>
            </c:strRef>
          </c:tx>
          <c:spPr>
            <a:ln w="28575" cap="rnd">
              <a:solidFill>
                <a:srgbClr val="4292C6"/>
              </a:solidFill>
              <a:prstDash val="dash"/>
              <a:round/>
            </a:ln>
            <a:effectLst/>
          </c:spPr>
          <c:marker>
            <c:symbol val="none"/>
          </c:marke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changes'!$C$18:$AG$18</c:f>
              <c:numCache>
                <c:formatCode>0</c:formatCode>
                <c:ptCount val="31"/>
                <c:pt idx="0">
                  <c:v>403</c:v>
                </c:pt>
                <c:pt idx="1">
                  <c:v>395</c:v>
                </c:pt>
                <c:pt idx="2">
                  <c:v>388</c:v>
                </c:pt>
                <c:pt idx="3">
                  <c:v>384</c:v>
                </c:pt>
                <c:pt idx="4">
                  <c:v>383</c:v>
                </c:pt>
                <c:pt idx="5">
                  <c:v>372</c:v>
                </c:pt>
                <c:pt idx="6">
                  <c:v>365</c:v>
                </c:pt>
                <c:pt idx="7">
                  <c:v>361</c:v>
                </c:pt>
                <c:pt idx="8">
                  <c:v>360</c:v>
                </c:pt>
                <c:pt idx="9">
                  <c:v>361</c:v>
                </c:pt>
                <c:pt idx="10">
                  <c:v>356</c:v>
                </c:pt>
                <c:pt idx="11">
                  <c:v>352</c:v>
                </c:pt>
                <c:pt idx="12">
                  <c:v>350</c:v>
                </c:pt>
                <c:pt idx="13">
                  <c:v>348</c:v>
                </c:pt>
                <c:pt idx="14">
                  <c:v>348</c:v>
                </c:pt>
                <c:pt idx="15">
                  <c:v>345</c:v>
                </c:pt>
                <c:pt idx="16">
                  <c:v>343</c:v>
                </c:pt>
                <c:pt idx="17">
                  <c:v>342</c:v>
                </c:pt>
                <c:pt idx="18">
                  <c:v>344</c:v>
                </c:pt>
                <c:pt idx="19">
                  <c:v>344</c:v>
                </c:pt>
                <c:pt idx="20">
                  <c:v>344</c:v>
                </c:pt>
              </c:numCache>
            </c:numRef>
          </c:val>
          <c:smooth val="0"/>
          <c:extLst>
            <c:ext xmlns:c16="http://schemas.microsoft.com/office/drawing/2014/chart" uri="{C3380CC4-5D6E-409C-BE32-E72D297353CC}">
              <c16:uniqueId val="{00000005-3FC2-40DF-BFBB-2B5B58F49552}"/>
            </c:ext>
          </c:extLst>
        </c:ser>
        <c:ser>
          <c:idx val="2"/>
          <c:order val="7"/>
          <c:tx>
            <c:strRef>
              <c:f>'Section 2&gt;&gt;Baseline changes'!$B$19</c:f>
              <c:strCache>
                <c:ptCount val="1"/>
                <c:pt idx="0">
                  <c:v>EEP 2019 Reference case adjusted for OBR  forecasts</c:v>
                </c:pt>
              </c:strCache>
            </c:strRef>
          </c:tx>
          <c:spPr>
            <a:ln w="28575" cap="rnd">
              <a:solidFill>
                <a:srgbClr val="4292C6"/>
              </a:solidFill>
              <a:round/>
            </a:ln>
            <a:effectLst/>
          </c:spPr>
          <c:marker>
            <c:symbol val="none"/>
          </c:marke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changes'!$C$19:$AG$19</c:f>
              <c:numCache>
                <c:formatCode>General</c:formatCode>
                <c:ptCount val="31"/>
                <c:pt idx="0">
                  <c:v>374</c:v>
                </c:pt>
                <c:pt idx="1">
                  <c:v>388</c:v>
                </c:pt>
                <c:pt idx="2">
                  <c:v>382</c:v>
                </c:pt>
                <c:pt idx="3">
                  <c:v>378</c:v>
                </c:pt>
                <c:pt idx="4">
                  <c:v>377</c:v>
                </c:pt>
                <c:pt idx="5">
                  <c:v>367</c:v>
                </c:pt>
                <c:pt idx="6">
                  <c:v>360</c:v>
                </c:pt>
                <c:pt idx="7">
                  <c:v>356</c:v>
                </c:pt>
                <c:pt idx="8">
                  <c:v>355</c:v>
                </c:pt>
                <c:pt idx="9">
                  <c:v>355</c:v>
                </c:pt>
                <c:pt idx="10">
                  <c:v>349</c:v>
                </c:pt>
                <c:pt idx="11">
                  <c:v>345</c:v>
                </c:pt>
                <c:pt idx="12">
                  <c:v>342</c:v>
                </c:pt>
                <c:pt idx="13">
                  <c:v>341</c:v>
                </c:pt>
                <c:pt idx="14">
                  <c:v>340</c:v>
                </c:pt>
                <c:pt idx="15">
                  <c:v>337</c:v>
                </c:pt>
                <c:pt idx="16">
                  <c:v>334</c:v>
                </c:pt>
                <c:pt idx="17">
                  <c:v>333</c:v>
                </c:pt>
                <c:pt idx="18">
                  <c:v>334</c:v>
                </c:pt>
                <c:pt idx="19">
                  <c:v>334</c:v>
                </c:pt>
                <c:pt idx="20">
                  <c:v>333</c:v>
                </c:pt>
                <c:pt idx="21">
                  <c:v>#N/A</c:v>
                </c:pt>
                <c:pt idx="22">
                  <c:v>#N/A</c:v>
                </c:pt>
                <c:pt idx="23">
                  <c:v>#N/A</c:v>
                </c:pt>
                <c:pt idx="24">
                  <c:v>#N/A</c:v>
                </c:pt>
                <c:pt idx="25">
                  <c:v>#N/A</c:v>
                </c:pt>
                <c:pt idx="26">
                  <c:v>#N/A</c:v>
                </c:pt>
                <c:pt idx="27">
                  <c:v>#N/A</c:v>
                </c:pt>
                <c:pt idx="28">
                  <c:v>#N/A</c:v>
                </c:pt>
                <c:pt idx="29">
                  <c:v>#N/A</c:v>
                </c:pt>
                <c:pt idx="30">
                  <c:v>#N/A</c:v>
                </c:pt>
              </c:numCache>
            </c:numRef>
          </c:val>
          <c:smooth val="0"/>
          <c:extLst>
            <c:ext xmlns:c16="http://schemas.microsoft.com/office/drawing/2014/chart" uri="{C3380CC4-5D6E-409C-BE32-E72D297353CC}">
              <c16:uniqueId val="{00000006-3FC2-40DF-BFBB-2B5B58F49552}"/>
            </c:ext>
          </c:extLst>
        </c:ser>
        <c:ser>
          <c:idx val="6"/>
          <c:order val="8"/>
          <c:tx>
            <c:strRef>
              <c:f>'Section 2&gt;&gt;Baseline changes'!$B$20</c:f>
              <c:strCache>
                <c:ptCount val="1"/>
                <c:pt idx="0">
                  <c:v>Series 2</c:v>
                </c:pt>
              </c:strCache>
            </c:strRef>
          </c:tx>
          <c:spPr>
            <a:ln w="28575" cap="rnd">
              <a:solidFill>
                <a:schemeClr val="tx1"/>
              </a:solidFill>
              <a:round/>
            </a:ln>
            <a:effectLst/>
          </c:spPr>
          <c:marker>
            <c:symbol val="none"/>
          </c:marker>
          <c:cat>
            <c:numRef>
              <c:f>'Section 2&gt;&gt;Baseline changes'!$C$11:$AG$11</c:f>
              <c:numCache>
                <c:formatCode>General</c:formatCode>
                <c:ptCount val="3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numCache>
            </c:numRef>
          </c:cat>
          <c:val>
            <c:numRef>
              <c:f>'Section 2&gt;&gt;Baseline changes'!$C$20:$AG$20</c:f>
              <c:numCache>
                <c:formatCode>0</c:formatCode>
                <c:ptCount val="31"/>
                <c:pt idx="0">
                  <c:v>456.69028656738584</c:v>
                </c:pt>
                <c:pt idx="1">
                  <c:v>469.75144045514764</c:v>
                </c:pt>
                <c:pt idx="2">
                  <c:v>463.69998455886224</c:v>
                </c:pt>
                <c:pt idx="3">
                  <c:v>459.96330080794496</c:v>
                </c:pt>
                <c:pt idx="4">
                  <c:v>458.21061363543691</c:v>
                </c:pt>
                <c:pt idx="5">
                  <c:v>448.27629637389231</c:v>
                </c:pt>
                <c:pt idx="6">
                  <c:v>441.5152516165474</c:v>
                </c:pt>
                <c:pt idx="7">
                  <c:v>437.91399731357484</c:v>
                </c:pt>
                <c:pt idx="8">
                  <c:v>438.12502992033416</c:v>
                </c:pt>
                <c:pt idx="9">
                  <c:v>438.90193881268794</c:v>
                </c:pt>
                <c:pt idx="10">
                  <c:v>433.23279414599432</c:v>
                </c:pt>
                <c:pt idx="11">
                  <c:v>429.21054595841485</c:v>
                </c:pt>
                <c:pt idx="12">
                  <c:v>426.34583429999458</c:v>
                </c:pt>
                <c:pt idx="13">
                  <c:v>424.47926334063891</c:v>
                </c:pt>
                <c:pt idx="14">
                  <c:v>424.66507033470123</c:v>
                </c:pt>
                <c:pt idx="15">
                  <c:v>420.6592038554985</c:v>
                </c:pt>
                <c:pt idx="16">
                  <c:v>418.43884986076358</c:v>
                </c:pt>
                <c:pt idx="17">
                  <c:v>415.83293301508081</c:v>
                </c:pt>
                <c:pt idx="18">
                  <c:v>416.36830613788419</c:v>
                </c:pt>
                <c:pt idx="19">
                  <c:v>415.93624643450198</c:v>
                </c:pt>
                <c:pt idx="20">
                  <c:v>414.53603344095825</c:v>
                </c:pt>
              </c:numCache>
            </c:numRef>
          </c:val>
          <c:smooth val="0"/>
          <c:extLst>
            <c:ext xmlns:c16="http://schemas.microsoft.com/office/drawing/2014/chart" uri="{C3380CC4-5D6E-409C-BE32-E72D297353CC}">
              <c16:uniqueId val="{00000007-3FC2-40DF-BFBB-2B5B58F49552}"/>
            </c:ext>
          </c:extLst>
        </c:ser>
        <c:dLbls>
          <c:showLegendKey val="0"/>
          <c:showVal val="0"/>
          <c:showCatName val="0"/>
          <c:showSerName val="0"/>
          <c:showPercent val="0"/>
          <c:showBubbleSize val="0"/>
        </c:dLbls>
        <c:marker val="1"/>
        <c:smooth val="0"/>
        <c:axId val="147634303"/>
        <c:axId val="147634959"/>
      </c:lineChart>
      <c:catAx>
        <c:axId val="147634303"/>
        <c:scaling>
          <c:orientation val="minMax"/>
        </c:scaling>
        <c:delete val="0"/>
        <c:axPos val="b"/>
        <c:numFmt formatCode="0_ ;\-0\ "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634959"/>
        <c:crosses val="autoZero"/>
        <c:auto val="1"/>
        <c:lblAlgn val="ctr"/>
        <c:lblOffset val="100"/>
        <c:tickLblSkip val="2"/>
        <c:noMultiLvlLbl val="0"/>
      </c:catAx>
      <c:valAx>
        <c:axId val="147634959"/>
        <c:scaling>
          <c:orientation val="minMax"/>
          <c:min val="200"/>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MtCO2e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47634303"/>
        <c:crosses val="autoZero"/>
        <c:crossBetween val="between"/>
      </c:valAx>
      <c:spPr>
        <a:noFill/>
        <a:ln>
          <a:noFill/>
        </a:ln>
        <a:effectLst/>
      </c:spPr>
    </c:plotArea>
    <c:legend>
      <c:legendPos val="b"/>
      <c:legendEntry>
        <c:idx val="0"/>
        <c:delete val="1"/>
      </c:legendEntry>
      <c:legendEntry>
        <c:idx val="3"/>
        <c:txPr>
          <a:bodyPr rot="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legendEntry>
      <c:legendEntry>
        <c:idx val="7"/>
        <c:delete val="1"/>
      </c:legendEntry>
      <c:layout>
        <c:manualLayout>
          <c:xMode val="edge"/>
          <c:yMode val="edge"/>
          <c:x val="4.2469945261345159E-5"/>
          <c:y val="0.84998647638327685"/>
          <c:w val="0.98383022063447378"/>
          <c:h val="0.13100703503660036"/>
        </c:manualLayout>
      </c:layout>
      <c:overlay val="0"/>
      <c:spPr>
        <a:noFill/>
        <a:ln>
          <a:noFill/>
        </a:ln>
        <a:effectLst/>
      </c:spPr>
      <c:txPr>
        <a:bodyPr rot="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stacked"/>
        <c:varyColors val="0"/>
        <c:ser>
          <c:idx val="1"/>
          <c:order val="0"/>
          <c:tx>
            <c:strRef>
              <c:f>'Section1 &gt;&gt;CB6 options graph'!$B$5</c:f>
              <c:strCache>
                <c:ptCount val="1"/>
                <c:pt idx="0">
                  <c:v>Active legislated carbon budgets</c:v>
                </c:pt>
              </c:strCache>
            </c:strRef>
          </c:tx>
          <c:spPr>
            <a:solidFill>
              <a:schemeClr val="bg1">
                <a:lumMod val="85000"/>
              </a:schemeClr>
            </a:solidFill>
            <a:ln>
              <a:noFill/>
            </a:ln>
            <a:effectLst/>
          </c:spPr>
          <c:invertIfNegative val="0"/>
          <c:dLbls>
            <c:dLbl>
              <c:idx val="28"/>
              <c:delete val="1"/>
              <c:extLst>
                <c:ext xmlns:c15="http://schemas.microsoft.com/office/drawing/2012/chart" uri="{CE6537A1-D6FC-4f65-9D91-7224C49458BB}"/>
                <c:ext xmlns:c16="http://schemas.microsoft.com/office/drawing/2014/chart" uri="{C3380CC4-5D6E-409C-BE32-E72D297353CC}">
                  <c16:uniqueId val="{00000000-8F7D-491F-BC3E-2000D61957BB}"/>
                </c:ext>
              </c:extLst>
            </c:dLbl>
            <c:dLbl>
              <c:idx val="29"/>
              <c:delete val="1"/>
              <c:extLst>
                <c:ext xmlns:c15="http://schemas.microsoft.com/office/drawing/2012/chart" uri="{CE6537A1-D6FC-4f65-9D91-7224C49458BB}"/>
                <c:ext xmlns:c16="http://schemas.microsoft.com/office/drawing/2014/chart" uri="{C3380CC4-5D6E-409C-BE32-E72D297353CC}">
                  <c16:uniqueId val="{00000001-8F7D-491F-BC3E-2000D61957BB}"/>
                </c:ext>
              </c:extLst>
            </c:dLbl>
            <c:dLbl>
              <c:idx val="30"/>
              <c:delete val="1"/>
              <c:extLst>
                <c:ext xmlns:c15="http://schemas.microsoft.com/office/drawing/2012/chart" uri="{CE6537A1-D6FC-4f65-9D91-7224C49458BB}"/>
                <c:ext xmlns:c16="http://schemas.microsoft.com/office/drawing/2014/chart" uri="{C3380CC4-5D6E-409C-BE32-E72D297353CC}">
                  <c16:uniqueId val="{00000002-8F7D-491F-BC3E-2000D61957BB}"/>
                </c:ext>
              </c:extLst>
            </c:dLbl>
            <c:dLbl>
              <c:idx val="31"/>
              <c:layout>
                <c:manualLayout>
                  <c:x val="-1.6731734523145567E-2"/>
                  <c:y val="-1.0366480942917043E-1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F7D-491F-BC3E-2000D61957BB}"/>
                </c:ext>
              </c:extLst>
            </c:dLbl>
            <c:dLbl>
              <c:idx val="32"/>
              <c:delete val="1"/>
              <c:extLst>
                <c:ext xmlns:c15="http://schemas.microsoft.com/office/drawing/2012/chart" uri="{CE6537A1-D6FC-4f65-9D91-7224C49458BB}"/>
                <c:ext xmlns:c16="http://schemas.microsoft.com/office/drawing/2014/chart" uri="{C3380CC4-5D6E-409C-BE32-E72D297353CC}">
                  <c16:uniqueId val="{00000004-8F7D-491F-BC3E-2000D61957BB}"/>
                </c:ext>
              </c:extLst>
            </c:dLbl>
            <c:dLbl>
              <c:idx val="33"/>
              <c:layout>
                <c:manualLayout>
                  <c:x val="2.4168060977876861E-2"/>
                  <c:y val="2.82725473565157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F7D-491F-BC3E-2000D61957BB}"/>
                </c:ext>
              </c:extLst>
            </c:dLbl>
            <c:dLbl>
              <c:idx val="34"/>
              <c:delete val="1"/>
              <c:extLst>
                <c:ext xmlns:c15="http://schemas.microsoft.com/office/drawing/2012/chart" uri="{CE6537A1-D6FC-4f65-9D91-7224C49458BB}"/>
                <c:ext xmlns:c16="http://schemas.microsoft.com/office/drawing/2014/chart" uri="{C3380CC4-5D6E-409C-BE32-E72D297353CC}">
                  <c16:uniqueId val="{00000006-8F7D-491F-BC3E-2000D61957BB}"/>
                </c:ext>
              </c:extLst>
            </c:dLbl>
            <c:dLbl>
              <c:idx val="35"/>
              <c:delete val="1"/>
              <c:extLst>
                <c:ext xmlns:c15="http://schemas.microsoft.com/office/drawing/2012/chart" uri="{CE6537A1-D6FC-4f65-9D91-7224C49458BB}"/>
                <c:ext xmlns:c16="http://schemas.microsoft.com/office/drawing/2014/chart" uri="{C3380CC4-5D6E-409C-BE32-E72D297353CC}">
                  <c16:uniqueId val="{00000007-8F7D-491F-BC3E-2000D61957BB}"/>
                </c:ext>
              </c:extLst>
            </c:dLbl>
            <c:dLbl>
              <c:idx val="36"/>
              <c:delete val="1"/>
              <c:extLst>
                <c:ext xmlns:c15="http://schemas.microsoft.com/office/drawing/2012/chart" uri="{CE6537A1-D6FC-4f65-9D91-7224C49458BB}"/>
                <c:ext xmlns:c16="http://schemas.microsoft.com/office/drawing/2014/chart" uri="{C3380CC4-5D6E-409C-BE32-E72D297353CC}">
                  <c16:uniqueId val="{00000008-8F7D-491F-BC3E-2000D61957BB}"/>
                </c:ext>
              </c:extLst>
            </c:dLbl>
            <c:dLbl>
              <c:idx val="37"/>
              <c:delete val="1"/>
              <c:extLst>
                <c:ext xmlns:c15="http://schemas.microsoft.com/office/drawing/2012/chart" uri="{CE6537A1-D6FC-4f65-9D91-7224C49458BB}"/>
                <c:ext xmlns:c16="http://schemas.microsoft.com/office/drawing/2014/chart" uri="{C3380CC4-5D6E-409C-BE32-E72D297353CC}">
                  <c16:uniqueId val="{00000009-8F7D-491F-BC3E-2000D61957BB}"/>
                </c:ext>
              </c:extLst>
            </c:dLbl>
            <c:dLbl>
              <c:idx val="38"/>
              <c:delete val="1"/>
              <c:extLst>
                <c:ext xmlns:c15="http://schemas.microsoft.com/office/drawing/2012/chart" uri="{CE6537A1-D6FC-4f65-9D91-7224C49458BB}"/>
                <c:ext xmlns:c16="http://schemas.microsoft.com/office/drawing/2014/chart" uri="{C3380CC4-5D6E-409C-BE32-E72D297353CC}">
                  <c16:uniqueId val="{0000000A-8F7D-491F-BC3E-2000D61957BB}"/>
                </c:ext>
              </c:extLst>
            </c:dLbl>
            <c:dLbl>
              <c:idx val="39"/>
              <c:delete val="1"/>
              <c:extLst>
                <c:ext xmlns:c15="http://schemas.microsoft.com/office/drawing/2012/chart" uri="{CE6537A1-D6FC-4f65-9D91-7224C49458BB}"/>
                <c:ext xmlns:c16="http://schemas.microsoft.com/office/drawing/2014/chart" uri="{C3380CC4-5D6E-409C-BE32-E72D297353CC}">
                  <c16:uniqueId val="{0000000B-8F7D-491F-BC3E-2000D61957BB}"/>
                </c:ext>
              </c:extLst>
            </c:dLbl>
            <c:dLbl>
              <c:idx val="41"/>
              <c:delete val="1"/>
              <c:extLst>
                <c:ext xmlns:c15="http://schemas.microsoft.com/office/drawing/2012/chart" uri="{CE6537A1-D6FC-4f65-9D91-7224C49458BB}"/>
                <c:ext xmlns:c16="http://schemas.microsoft.com/office/drawing/2014/chart" uri="{C3380CC4-5D6E-409C-BE32-E72D297353CC}">
                  <c16:uniqueId val="{0000000C-8F7D-491F-BC3E-2000D61957BB}"/>
                </c:ext>
              </c:extLst>
            </c:dLbl>
            <c:dLbl>
              <c:idx val="42"/>
              <c:delete val="1"/>
              <c:extLst>
                <c:ext xmlns:c15="http://schemas.microsoft.com/office/drawing/2012/chart" uri="{CE6537A1-D6FC-4f65-9D91-7224C49458BB}"/>
                <c:ext xmlns:c16="http://schemas.microsoft.com/office/drawing/2014/chart" uri="{C3380CC4-5D6E-409C-BE32-E72D297353CC}">
                  <c16:uniqueId val="{0000000D-8F7D-491F-BC3E-2000D61957B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'Section1 &gt;&gt;CB6 options graph'!$C$3:$BK$3</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'Section1 &gt;&gt;CB6 options graph'!$C$5:$BK$5</c:f>
              <c:numCache>
                <c:formatCode>General</c:formatCode>
                <c:ptCount val="61"/>
                <c:pt idx="28" formatCode="0">
                  <c:v>2544</c:v>
                </c:pt>
                <c:pt idx="29" formatCode="0">
                  <c:v>2544</c:v>
                </c:pt>
                <c:pt idx="30" formatCode="0">
                  <c:v>2544</c:v>
                </c:pt>
                <c:pt idx="31" formatCode="0">
                  <c:v>2544</c:v>
                </c:pt>
                <c:pt idx="32" formatCode="0">
                  <c:v>2544</c:v>
                </c:pt>
                <c:pt idx="33" formatCode="0">
                  <c:v>1950</c:v>
                </c:pt>
                <c:pt idx="34" formatCode="0">
                  <c:v>1950</c:v>
                </c:pt>
                <c:pt idx="35" formatCode="0">
                  <c:v>1950</c:v>
                </c:pt>
                <c:pt idx="36" formatCode="0">
                  <c:v>1950</c:v>
                </c:pt>
                <c:pt idx="37" formatCode="0">
                  <c:v>1950</c:v>
                </c:pt>
                <c:pt idx="38" formatCode="0">
                  <c:v>1725</c:v>
                </c:pt>
                <c:pt idx="39" formatCode="0">
                  <c:v>1725</c:v>
                </c:pt>
                <c:pt idx="40" formatCode="0">
                  <c:v>1725</c:v>
                </c:pt>
                <c:pt idx="41" formatCode="0">
                  <c:v>1725</c:v>
                </c:pt>
                <c:pt idx="42" formatCode="0">
                  <c:v>1725</c:v>
                </c:pt>
              </c:numCache>
            </c:numRef>
          </c:val>
          <c:extLst>
            <c:ext xmlns:c16="http://schemas.microsoft.com/office/drawing/2014/chart" uri="{C3380CC4-5D6E-409C-BE32-E72D297353CC}">
              <c16:uniqueId val="{0000000E-8F7D-491F-BC3E-2000D61957BB}"/>
            </c:ext>
          </c:extLst>
        </c:ser>
        <c:ser>
          <c:idx val="0"/>
          <c:order val="1"/>
          <c:tx>
            <c:strRef>
              <c:f>'Section1 &gt;&gt;CB6 options graph'!$B$4</c:f>
              <c:strCache>
                <c:ptCount val="1"/>
                <c:pt idx="0">
                  <c:v>Past carbon budgets</c:v>
                </c:pt>
              </c:strCache>
            </c:strRef>
          </c:tx>
          <c:spPr>
            <a:solidFill>
              <a:schemeClr val="tx1">
                <a:lumMod val="50000"/>
                <a:lumOff val="50000"/>
              </a:schemeClr>
            </a:solidFill>
            <a:ln>
              <a:noFill/>
            </a:ln>
            <a:effectLst/>
          </c:spPr>
          <c:invertIfNegative val="0"/>
          <c:dLbls>
            <c:dLbl>
              <c:idx val="2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8F7D-491F-BC3E-2000D61957BB}"/>
                </c:ext>
              </c:extLst>
            </c:dLbl>
            <c:dLbl>
              <c:idx val="25"/>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8F7D-491F-BC3E-2000D61957BB}"/>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'Section1 &gt;&gt;CB6 options graph'!$C$3:$BK$3</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'Section1 &gt;&gt;CB6 options graph'!$C$4:$BK$4</c:f>
              <c:numCache>
                <c:formatCode>General</c:formatCode>
                <c:ptCount val="61"/>
                <c:pt idx="18" formatCode="0">
                  <c:v>3018</c:v>
                </c:pt>
                <c:pt idx="19" formatCode="0">
                  <c:v>3018</c:v>
                </c:pt>
                <c:pt idx="20" formatCode="0">
                  <c:v>3018</c:v>
                </c:pt>
                <c:pt idx="21" formatCode="0">
                  <c:v>3018</c:v>
                </c:pt>
                <c:pt idx="22" formatCode="0">
                  <c:v>3018</c:v>
                </c:pt>
                <c:pt idx="23" formatCode="0">
                  <c:v>2782</c:v>
                </c:pt>
                <c:pt idx="24" formatCode="0">
                  <c:v>2782</c:v>
                </c:pt>
                <c:pt idx="25" formatCode="0">
                  <c:v>2782</c:v>
                </c:pt>
                <c:pt idx="26" formatCode="0">
                  <c:v>2782</c:v>
                </c:pt>
                <c:pt idx="27" formatCode="0">
                  <c:v>2782</c:v>
                </c:pt>
              </c:numCache>
            </c:numRef>
          </c:val>
          <c:extLst>
            <c:ext xmlns:c16="http://schemas.microsoft.com/office/drawing/2014/chart" uri="{C3380CC4-5D6E-409C-BE32-E72D297353CC}">
              <c16:uniqueId val="{00000011-8F7D-491F-BC3E-2000D61957BB}"/>
            </c:ext>
          </c:extLst>
        </c:ser>
        <c:ser>
          <c:idx val="7"/>
          <c:order val="2"/>
          <c:tx>
            <c:strRef>
              <c:f>'Section1 &gt;&gt;CB6 options graph'!$B$8</c:f>
              <c:strCache>
                <c:ptCount val="1"/>
                <c:pt idx="0">
                  <c:v>Option 4 - Tighter budget option</c:v>
                </c:pt>
              </c:strCache>
            </c:strRef>
          </c:tx>
          <c:spPr>
            <a:solidFill>
              <a:srgbClr val="002060">
                <a:alpha val="70000"/>
              </a:srgbClr>
            </a:solidFill>
            <a:ln>
              <a:noFill/>
            </a:ln>
            <a:effectLst/>
          </c:spPr>
          <c:invertIfNegative val="0"/>
          <c:dLbls>
            <c:dLbl>
              <c:idx val="43"/>
              <c:delete val="1"/>
              <c:extLst>
                <c:ext xmlns:c15="http://schemas.microsoft.com/office/drawing/2012/chart" uri="{CE6537A1-D6FC-4f65-9D91-7224C49458BB}"/>
                <c:ext xmlns:c16="http://schemas.microsoft.com/office/drawing/2014/chart" uri="{C3380CC4-5D6E-409C-BE32-E72D297353CC}">
                  <c16:uniqueId val="{00000012-8F7D-491F-BC3E-2000D61957BB}"/>
                </c:ext>
              </c:extLst>
            </c:dLbl>
            <c:dLbl>
              <c:idx val="44"/>
              <c:delete val="1"/>
              <c:extLst>
                <c:ext xmlns:c15="http://schemas.microsoft.com/office/drawing/2012/chart" uri="{CE6537A1-D6FC-4f65-9D91-7224C49458BB}"/>
                <c:ext xmlns:c16="http://schemas.microsoft.com/office/drawing/2014/chart" uri="{C3380CC4-5D6E-409C-BE32-E72D297353CC}">
                  <c16:uniqueId val="{00000013-8F7D-491F-BC3E-2000D61957BB}"/>
                </c:ext>
              </c:extLst>
            </c:dLbl>
            <c:dLbl>
              <c:idx val="45"/>
              <c:layout>
                <c:manualLayout>
                  <c:x val="-2.5600376077422669E-3"/>
                  <c:y val="-3.7999037221703842E-2"/>
                </c:manualLayout>
              </c:layout>
              <c:tx>
                <c:rich>
                  <a:bodyPr/>
                  <a:lstStyle/>
                  <a:p>
                    <a:fld id="{FF14CFC1-ECF8-4E74-9BD8-22723E385C61}" type="VALUE">
                      <a:rPr lang="en-US" b="1"/>
                      <a:pPr/>
                      <a:t>[VALUE]</a:t>
                    </a:fld>
                    <a:endParaRPr lang="en-GB"/>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4-8F7D-491F-BC3E-2000D61957BB}"/>
                </c:ext>
              </c:extLst>
            </c:dLbl>
            <c:dLbl>
              <c:idx val="46"/>
              <c:delete val="1"/>
              <c:extLst>
                <c:ext xmlns:c15="http://schemas.microsoft.com/office/drawing/2012/chart" uri="{CE6537A1-D6FC-4f65-9D91-7224C49458BB}"/>
                <c:ext xmlns:c16="http://schemas.microsoft.com/office/drawing/2014/chart" uri="{C3380CC4-5D6E-409C-BE32-E72D297353CC}">
                  <c16:uniqueId val="{00000015-8F7D-491F-BC3E-2000D61957BB}"/>
                </c:ext>
              </c:extLst>
            </c:dLbl>
            <c:dLbl>
              <c:idx val="47"/>
              <c:delete val="1"/>
              <c:extLst>
                <c:ext xmlns:c15="http://schemas.microsoft.com/office/drawing/2012/chart" uri="{CE6537A1-D6FC-4f65-9D91-7224C49458BB}"/>
                <c:ext xmlns:c16="http://schemas.microsoft.com/office/drawing/2014/chart" uri="{C3380CC4-5D6E-409C-BE32-E72D297353CC}">
                  <c16:uniqueId val="{00000016-8F7D-491F-BC3E-2000D61957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'Section1 &gt;&gt;CB6 options graph'!$C$8:$BK$8</c:f>
              <c:numCache>
                <c:formatCode>General</c:formatCode>
                <c:ptCount val="61"/>
                <c:pt idx="43" formatCode="0">
                  <c:v>885</c:v>
                </c:pt>
                <c:pt idx="44" formatCode="0">
                  <c:v>885</c:v>
                </c:pt>
                <c:pt idx="45" formatCode="0">
                  <c:v>885</c:v>
                </c:pt>
                <c:pt idx="46" formatCode="0">
                  <c:v>885</c:v>
                </c:pt>
                <c:pt idx="47" formatCode="0">
                  <c:v>885</c:v>
                </c:pt>
              </c:numCache>
            </c:numRef>
          </c:val>
          <c:extLst>
            <c:ext xmlns:c16="http://schemas.microsoft.com/office/drawing/2014/chart" uri="{C3380CC4-5D6E-409C-BE32-E72D297353CC}">
              <c16:uniqueId val="{00000017-8F7D-491F-BC3E-2000D61957BB}"/>
            </c:ext>
          </c:extLst>
        </c:ser>
        <c:ser>
          <c:idx val="2"/>
          <c:order val="3"/>
          <c:tx>
            <c:strRef>
              <c:f>'Section1 &gt;&gt;CB6 options graph'!$B$7</c:f>
              <c:strCache>
                <c:ptCount val="1"/>
                <c:pt idx="0">
                  <c:v>Option 3 - CCC recommended level</c:v>
                </c:pt>
              </c:strCache>
            </c:strRef>
          </c:tx>
          <c:spPr>
            <a:solidFill>
              <a:srgbClr val="70AD47">
                <a:alpha val="60000"/>
              </a:srgbClr>
            </a:solidFill>
            <a:ln>
              <a:noFill/>
            </a:ln>
            <a:effectLst/>
          </c:spPr>
          <c:invertIfNegative val="0"/>
          <c:dPt>
            <c:idx val="43"/>
            <c:invertIfNegative val="0"/>
            <c:bubble3D val="0"/>
            <c:spPr>
              <a:solidFill>
                <a:srgbClr val="70AD47">
                  <a:alpha val="60000"/>
                </a:srgbClr>
              </a:solidFill>
              <a:ln>
                <a:noFill/>
              </a:ln>
              <a:effectLst/>
            </c:spPr>
            <c:extLst>
              <c:ext xmlns:c16="http://schemas.microsoft.com/office/drawing/2014/chart" uri="{C3380CC4-5D6E-409C-BE32-E72D297353CC}">
                <c16:uniqueId val="{00000019-8F7D-491F-BC3E-2000D61957BB}"/>
              </c:ext>
            </c:extLst>
          </c:dPt>
          <c:dPt>
            <c:idx val="44"/>
            <c:invertIfNegative val="0"/>
            <c:bubble3D val="0"/>
            <c:spPr>
              <a:solidFill>
                <a:srgbClr val="70AD47">
                  <a:alpha val="60000"/>
                </a:srgbClr>
              </a:solidFill>
              <a:ln>
                <a:noFill/>
              </a:ln>
              <a:effectLst/>
            </c:spPr>
            <c:extLst>
              <c:ext xmlns:c16="http://schemas.microsoft.com/office/drawing/2014/chart" uri="{C3380CC4-5D6E-409C-BE32-E72D297353CC}">
                <c16:uniqueId val="{0000001B-8F7D-491F-BC3E-2000D61957BB}"/>
              </c:ext>
            </c:extLst>
          </c:dPt>
          <c:dPt>
            <c:idx val="45"/>
            <c:invertIfNegative val="0"/>
            <c:bubble3D val="0"/>
            <c:spPr>
              <a:solidFill>
                <a:srgbClr val="70AD47">
                  <a:alpha val="60000"/>
                </a:srgbClr>
              </a:solidFill>
              <a:ln>
                <a:noFill/>
              </a:ln>
              <a:effectLst/>
            </c:spPr>
            <c:extLst>
              <c:ext xmlns:c16="http://schemas.microsoft.com/office/drawing/2014/chart" uri="{C3380CC4-5D6E-409C-BE32-E72D297353CC}">
                <c16:uniqueId val="{0000001D-8F7D-491F-BC3E-2000D61957BB}"/>
              </c:ext>
            </c:extLst>
          </c:dPt>
          <c:dPt>
            <c:idx val="46"/>
            <c:invertIfNegative val="0"/>
            <c:bubble3D val="0"/>
            <c:spPr>
              <a:solidFill>
                <a:srgbClr val="70AD47">
                  <a:alpha val="60000"/>
                </a:srgbClr>
              </a:solidFill>
              <a:ln>
                <a:noFill/>
              </a:ln>
              <a:effectLst/>
            </c:spPr>
            <c:extLst>
              <c:ext xmlns:c16="http://schemas.microsoft.com/office/drawing/2014/chart" uri="{C3380CC4-5D6E-409C-BE32-E72D297353CC}">
                <c16:uniqueId val="{0000001F-8F7D-491F-BC3E-2000D61957BB}"/>
              </c:ext>
            </c:extLst>
          </c:dPt>
          <c:dPt>
            <c:idx val="47"/>
            <c:invertIfNegative val="0"/>
            <c:bubble3D val="0"/>
            <c:spPr>
              <a:solidFill>
                <a:srgbClr val="70AD47">
                  <a:alpha val="60000"/>
                </a:srgbClr>
              </a:solidFill>
              <a:ln>
                <a:noFill/>
              </a:ln>
              <a:effectLst/>
            </c:spPr>
            <c:extLst>
              <c:ext xmlns:c16="http://schemas.microsoft.com/office/drawing/2014/chart" uri="{C3380CC4-5D6E-409C-BE32-E72D297353CC}">
                <c16:uniqueId val="{00000021-8F7D-491F-BC3E-2000D61957BB}"/>
              </c:ext>
            </c:extLst>
          </c:dPt>
          <c:dLbls>
            <c:dLbl>
              <c:idx val="43"/>
              <c:delete val="1"/>
              <c:extLst>
                <c:ext xmlns:c15="http://schemas.microsoft.com/office/drawing/2012/chart" uri="{CE6537A1-D6FC-4f65-9D91-7224C49458BB}"/>
                <c:ext xmlns:c16="http://schemas.microsoft.com/office/drawing/2014/chart" uri="{C3380CC4-5D6E-409C-BE32-E72D297353CC}">
                  <c16:uniqueId val="{00000019-8F7D-491F-BC3E-2000D61957BB}"/>
                </c:ext>
              </c:extLst>
            </c:dLbl>
            <c:dLbl>
              <c:idx val="44"/>
              <c:delete val="1"/>
              <c:extLst>
                <c:ext xmlns:c15="http://schemas.microsoft.com/office/drawing/2012/chart" uri="{CE6537A1-D6FC-4f65-9D91-7224C49458BB}"/>
                <c:ext xmlns:c16="http://schemas.microsoft.com/office/drawing/2014/chart" uri="{C3380CC4-5D6E-409C-BE32-E72D297353CC}">
                  <c16:uniqueId val="{0000001B-8F7D-491F-BC3E-2000D61957BB}"/>
                </c:ext>
              </c:extLst>
            </c:dLbl>
            <c:dLbl>
              <c:idx val="45"/>
              <c:layout>
                <c:manualLayout>
                  <c:x val="-2.3925279795684675E-2"/>
                  <c:y val="0"/>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r>
                      <a:rPr lang="en-US">
                        <a:solidFill>
                          <a:schemeClr val="bg1"/>
                        </a:solidFill>
                      </a:rPr>
                      <a:t>965</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1D-8F7D-491F-BC3E-2000D61957BB}"/>
                </c:ext>
              </c:extLst>
            </c:dLbl>
            <c:dLbl>
              <c:idx val="46"/>
              <c:delete val="1"/>
              <c:extLst>
                <c:ext xmlns:c15="http://schemas.microsoft.com/office/drawing/2012/chart" uri="{CE6537A1-D6FC-4f65-9D91-7224C49458BB}"/>
                <c:ext xmlns:c16="http://schemas.microsoft.com/office/drawing/2014/chart" uri="{C3380CC4-5D6E-409C-BE32-E72D297353CC}">
                  <c16:uniqueId val="{0000001F-8F7D-491F-BC3E-2000D61957BB}"/>
                </c:ext>
              </c:extLst>
            </c:dLbl>
            <c:dLbl>
              <c:idx val="47"/>
              <c:delete val="1"/>
              <c:extLst>
                <c:ext xmlns:c15="http://schemas.microsoft.com/office/drawing/2012/chart" uri="{CE6537A1-D6FC-4f65-9D91-7224C49458BB}"/>
                <c:ext xmlns:c16="http://schemas.microsoft.com/office/drawing/2014/chart" uri="{C3380CC4-5D6E-409C-BE32-E72D297353CC}">
                  <c16:uniqueId val="{00000021-8F7D-491F-BC3E-2000D61957B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'Section1 &gt;&gt;CB6 options graph'!$C$3:$BK$3</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'Section1 &gt;&gt;CB6 options graph'!$C$7:$BK$7</c:f>
              <c:numCache>
                <c:formatCode>General</c:formatCode>
                <c:ptCount val="61"/>
                <c:pt idx="43" formatCode="0">
                  <c:v>80</c:v>
                </c:pt>
                <c:pt idx="44" formatCode="0">
                  <c:v>80</c:v>
                </c:pt>
                <c:pt idx="45" formatCode="0">
                  <c:v>80</c:v>
                </c:pt>
                <c:pt idx="46" formatCode="0">
                  <c:v>80</c:v>
                </c:pt>
                <c:pt idx="47" formatCode="0">
                  <c:v>80</c:v>
                </c:pt>
              </c:numCache>
            </c:numRef>
          </c:val>
          <c:extLst>
            <c:ext xmlns:c16="http://schemas.microsoft.com/office/drawing/2014/chart" uri="{C3380CC4-5D6E-409C-BE32-E72D297353CC}">
              <c16:uniqueId val="{00000022-8F7D-491F-BC3E-2000D61957BB}"/>
            </c:ext>
          </c:extLst>
        </c:ser>
        <c:ser>
          <c:idx val="6"/>
          <c:order val="4"/>
          <c:tx>
            <c:strRef>
              <c:f>'Section1 &gt;&gt;CB6 options graph'!$B$6</c:f>
              <c:strCache>
                <c:ptCount val="1"/>
                <c:pt idx="0">
                  <c:v>Option 2 - Looser budget option</c:v>
                </c:pt>
              </c:strCache>
            </c:strRef>
          </c:tx>
          <c:spPr>
            <a:solidFill>
              <a:srgbClr val="FFD300">
                <a:alpha val="50000"/>
              </a:srgbClr>
            </a:solidFill>
            <a:ln>
              <a:noFill/>
            </a:ln>
            <a:effectLst/>
          </c:spPr>
          <c:invertIfNegative val="0"/>
          <c:dLbls>
            <c:dLbl>
              <c:idx val="45"/>
              <c:layout>
                <c:manualLayout>
                  <c:x val="1.8055067957269671E-2"/>
                  <c:y val="-2.8509541289545214E-2"/>
                </c:manualLayout>
              </c:layout>
              <c:tx>
                <c:rich>
                  <a:bodyPr/>
                  <a:lstStyle/>
                  <a:p>
                    <a:r>
                      <a:rPr lang="en-US"/>
                      <a:t>1105</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23-8F7D-491F-BC3E-2000D61957B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'Section1 &gt;&gt;CB6 options graph'!$C$6:$BK$6</c:f>
              <c:numCache>
                <c:formatCode>General</c:formatCode>
                <c:ptCount val="61"/>
                <c:pt idx="43" formatCode="0">
                  <c:v>140</c:v>
                </c:pt>
                <c:pt idx="44" formatCode="0">
                  <c:v>140</c:v>
                </c:pt>
                <c:pt idx="45" formatCode="0">
                  <c:v>140</c:v>
                </c:pt>
                <c:pt idx="46" formatCode="0">
                  <c:v>140</c:v>
                </c:pt>
                <c:pt idx="47" formatCode="0">
                  <c:v>140</c:v>
                </c:pt>
              </c:numCache>
            </c:numRef>
          </c:val>
          <c:extLst>
            <c:ext xmlns:c16="http://schemas.microsoft.com/office/drawing/2014/chart" uri="{C3380CC4-5D6E-409C-BE32-E72D297353CC}">
              <c16:uniqueId val="{00000024-8F7D-491F-BC3E-2000D61957BB}"/>
            </c:ext>
          </c:extLst>
        </c:ser>
        <c:dLbls>
          <c:showLegendKey val="0"/>
          <c:showVal val="0"/>
          <c:showCatName val="0"/>
          <c:showSerName val="0"/>
          <c:showPercent val="0"/>
          <c:showBubbleSize val="0"/>
        </c:dLbls>
        <c:gapWidth val="0"/>
        <c:overlap val="100"/>
        <c:axId val="350868887"/>
        <c:axId val="350866919"/>
      </c:barChart>
      <c:lineChart>
        <c:grouping val="standard"/>
        <c:varyColors val="0"/>
        <c:ser>
          <c:idx val="4"/>
          <c:order val="5"/>
          <c:tx>
            <c:strRef>
              <c:f>'Section1 &gt;&gt;CB6 options graph'!$B$9</c:f>
              <c:strCache>
                <c:ptCount val="1"/>
                <c:pt idx="0">
                  <c:v>Historical emissions</c:v>
                </c:pt>
              </c:strCache>
            </c:strRef>
          </c:tx>
          <c:spPr>
            <a:ln w="28575" cap="rnd">
              <a:solidFill>
                <a:schemeClr val="tx1"/>
              </a:solidFill>
              <a:round/>
            </a:ln>
            <a:effectLst/>
          </c:spPr>
          <c:marker>
            <c:symbol val="none"/>
          </c:marker>
          <c:cat>
            <c:numRef>
              <c:f>'Section1 &gt;&gt;CB6 options graph'!$C$3:$BK$3</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'Section1 &gt;&gt;CB6 options graph'!$C$9:$BK$9</c:f>
              <c:numCache>
                <c:formatCode>0</c:formatCode>
                <c:ptCount val="61"/>
                <c:pt idx="0" formatCode="0.00">
                  <c:v>884.13104797864696</c:v>
                </c:pt>
                <c:pt idx="1">
                  <c:v>892.55949936200341</c:v>
                </c:pt>
                <c:pt idx="2">
                  <c:v>872.62240430769089</c:v>
                </c:pt>
                <c:pt idx="3">
                  <c:v>852.93827465012885</c:v>
                </c:pt>
                <c:pt idx="4">
                  <c:v>841.02262014738744</c:v>
                </c:pt>
                <c:pt idx="5">
                  <c:v>836.56748772511139</c:v>
                </c:pt>
                <c:pt idx="6">
                  <c:v>858.92081878106308</c:v>
                </c:pt>
                <c:pt idx="7">
                  <c:v>833.92059213208415</c:v>
                </c:pt>
                <c:pt idx="8">
                  <c:v>833.0551843918314</c:v>
                </c:pt>
                <c:pt idx="9">
                  <c:v>802.17604305132716</c:v>
                </c:pt>
                <c:pt idx="10">
                  <c:v>801.41464230451288</c:v>
                </c:pt>
                <c:pt idx="11">
                  <c:v>801.70395122554476</c:v>
                </c:pt>
                <c:pt idx="12">
                  <c:v>778.47368964444763</c:v>
                </c:pt>
                <c:pt idx="13">
                  <c:v>783.3235896336339</c:v>
                </c:pt>
                <c:pt idx="14">
                  <c:v>781.07458656269876</c:v>
                </c:pt>
                <c:pt idx="15">
                  <c:v>773.92725683304513</c:v>
                </c:pt>
                <c:pt idx="16">
                  <c:v>766.14966881613998</c:v>
                </c:pt>
                <c:pt idx="17">
                  <c:v>752.31737143068676</c:v>
                </c:pt>
                <c:pt idx="18">
                  <c:v>731.63520992647409</c:v>
                </c:pt>
                <c:pt idx="19">
                  <c:v>671.77094077599497</c:v>
                </c:pt>
                <c:pt idx="20">
                  <c:v>681.68660361542481</c:v>
                </c:pt>
                <c:pt idx="21">
                  <c:v>637.79100856107164</c:v>
                </c:pt>
                <c:pt idx="22">
                  <c:v>651.90015848527958</c:v>
                </c:pt>
                <c:pt idx="23">
                  <c:v>637.10117659141758</c:v>
                </c:pt>
                <c:pt idx="24">
                  <c:v>596.71237985374103</c:v>
                </c:pt>
                <c:pt idx="25">
                  <c:v>578.90735732615155</c:v>
                </c:pt>
                <c:pt idx="26">
                  <c:v>553.8649035891217</c:v>
                </c:pt>
                <c:pt idx="27">
                  <c:v>544.82429171010881</c:v>
                </c:pt>
                <c:pt idx="28">
                  <c:v>538.86353693107321</c:v>
                </c:pt>
                <c:pt idx="29">
                  <c:v>525.42954872144026</c:v>
                </c:pt>
              </c:numCache>
            </c:numRef>
          </c:val>
          <c:smooth val="0"/>
          <c:extLst>
            <c:ext xmlns:c16="http://schemas.microsoft.com/office/drawing/2014/chart" uri="{C3380CC4-5D6E-409C-BE32-E72D297353CC}">
              <c16:uniqueId val="{00000025-8F7D-491F-BC3E-2000D61957BB}"/>
            </c:ext>
          </c:extLst>
        </c:ser>
        <c:ser>
          <c:idx val="3"/>
          <c:order val="6"/>
          <c:tx>
            <c:strRef>
              <c:f>'Section1 &gt;&gt;CB6 options graph'!$B$10</c:f>
              <c:strCache>
                <c:ptCount val="1"/>
                <c:pt idx="0">
                  <c:v>Baseline emissions</c:v>
                </c:pt>
              </c:strCache>
            </c:strRef>
          </c:tx>
          <c:spPr>
            <a:ln w="28575" cap="rnd">
              <a:solidFill>
                <a:schemeClr val="tx1"/>
              </a:solidFill>
              <a:prstDash val="sysDash"/>
              <a:round/>
            </a:ln>
            <a:effectLst/>
          </c:spPr>
          <c:marker>
            <c:symbol val="none"/>
          </c:marker>
          <c:cat>
            <c:numRef>
              <c:f>'Section1 &gt;&gt;CB6 options graph'!$C$3:$BK$3</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'Section1 &gt;&gt;CB6 options graph'!$C$10:$BK$10</c:f>
              <c:numCache>
                <c:formatCode>General</c:formatCode>
                <c:ptCount val="61"/>
                <c:pt idx="29" formatCode="0">
                  <c:v>525.42954872144026</c:v>
                </c:pt>
                <c:pt idx="30" formatCode="0">
                  <c:v>456.69028656738584</c:v>
                </c:pt>
                <c:pt idx="31" formatCode="0">
                  <c:v>469.75144045514764</c:v>
                </c:pt>
                <c:pt idx="32" formatCode="0">
                  <c:v>463.69998455886224</c:v>
                </c:pt>
                <c:pt idx="33" formatCode="0">
                  <c:v>459.96330080794496</c:v>
                </c:pt>
                <c:pt idx="34" formatCode="0">
                  <c:v>458.21061363543691</c:v>
                </c:pt>
                <c:pt idx="35" formatCode="0">
                  <c:v>448.27629637389231</c:v>
                </c:pt>
                <c:pt idx="36" formatCode="0">
                  <c:v>441.5152516165474</c:v>
                </c:pt>
                <c:pt idx="37" formatCode="0">
                  <c:v>437.91399731357484</c:v>
                </c:pt>
                <c:pt idx="38" formatCode="0">
                  <c:v>438.12502992033416</c:v>
                </c:pt>
                <c:pt idx="39" formatCode="0">
                  <c:v>438.90193881268794</c:v>
                </c:pt>
                <c:pt idx="40" formatCode="0">
                  <c:v>433.23279414599432</c:v>
                </c:pt>
                <c:pt idx="41" formatCode="0">
                  <c:v>429.21054595841485</c:v>
                </c:pt>
                <c:pt idx="42" formatCode="0">
                  <c:v>426.34583429999458</c:v>
                </c:pt>
                <c:pt idx="43" formatCode="0">
                  <c:v>424.47926334063891</c:v>
                </c:pt>
                <c:pt idx="44" formatCode="0">
                  <c:v>424.66507033470123</c:v>
                </c:pt>
                <c:pt idx="45" formatCode="0">
                  <c:v>420.6592038554985</c:v>
                </c:pt>
                <c:pt idx="46" formatCode="0">
                  <c:v>418.43884986076358</c:v>
                </c:pt>
                <c:pt idx="47" formatCode="0">
                  <c:v>415.83293301508081</c:v>
                </c:pt>
                <c:pt idx="48" formatCode="0">
                  <c:v>416.36830613788419</c:v>
                </c:pt>
                <c:pt idx="49" formatCode="0">
                  <c:v>415.93624643450198</c:v>
                </c:pt>
                <c:pt idx="50" formatCode="0">
                  <c:v>414.53603344095825</c:v>
                </c:pt>
              </c:numCache>
            </c:numRef>
          </c:val>
          <c:smooth val="0"/>
          <c:extLst>
            <c:ext xmlns:c16="http://schemas.microsoft.com/office/drawing/2014/chart" uri="{C3380CC4-5D6E-409C-BE32-E72D297353CC}">
              <c16:uniqueId val="{00000026-8F7D-491F-BC3E-2000D61957BB}"/>
            </c:ext>
          </c:extLst>
        </c:ser>
        <c:ser>
          <c:idx val="5"/>
          <c:order val="7"/>
          <c:tx>
            <c:strRef>
              <c:f>'Section1 &gt;&gt;CB6 options graph'!$B$11</c:f>
              <c:strCache>
                <c:ptCount val="1"/>
                <c:pt idx="0">
                  <c:v>Baseline emissions post 2040</c:v>
                </c:pt>
              </c:strCache>
            </c:strRef>
          </c:tx>
          <c:spPr>
            <a:ln w="28575" cap="rnd">
              <a:solidFill>
                <a:schemeClr val="tx1"/>
              </a:solidFill>
              <a:prstDash val="sysDot"/>
              <a:round/>
            </a:ln>
            <a:effectLst/>
          </c:spPr>
          <c:marker>
            <c:symbol val="none"/>
          </c:marker>
          <c:cat>
            <c:numRef>
              <c:f>'Section1 &gt;&gt;CB6 options graph'!$C$3:$BK$3</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'Section1 &gt;&gt;CB6 options graph'!$C$11:$BK$11</c:f>
              <c:numCache>
                <c:formatCode>General</c:formatCode>
                <c:ptCount val="61"/>
                <c:pt idx="50" formatCode="0">
                  <c:v>414.53603344095825</c:v>
                </c:pt>
                <c:pt idx="51" formatCode="0">
                  <c:v>415.10626743447023</c:v>
                </c:pt>
                <c:pt idx="52" formatCode="0">
                  <c:v>415.3727581029392</c:v>
                </c:pt>
                <c:pt idx="53" formatCode="0">
                  <c:v>415.63924877140818</c:v>
                </c:pt>
                <c:pt idx="54" formatCode="0">
                  <c:v>415.90573943987715</c:v>
                </c:pt>
                <c:pt idx="55" formatCode="0">
                  <c:v>416.17223010834624</c:v>
                </c:pt>
                <c:pt idx="56" formatCode="0">
                  <c:v>414.32027439126779</c:v>
                </c:pt>
                <c:pt idx="57" formatCode="0">
                  <c:v>412.46831867418933</c:v>
                </c:pt>
                <c:pt idx="58" formatCode="0">
                  <c:v>410.61636295711088</c:v>
                </c:pt>
                <c:pt idx="59" formatCode="0">
                  <c:v>408.76440724003243</c:v>
                </c:pt>
                <c:pt idx="60" formatCode="0">
                  <c:v>406.91245152295409</c:v>
                </c:pt>
              </c:numCache>
            </c:numRef>
          </c:val>
          <c:smooth val="0"/>
          <c:extLst>
            <c:ext xmlns:c16="http://schemas.microsoft.com/office/drawing/2014/chart" uri="{C3380CC4-5D6E-409C-BE32-E72D297353CC}">
              <c16:uniqueId val="{00000027-8F7D-491F-BC3E-2000D61957BB}"/>
            </c:ext>
          </c:extLst>
        </c:ser>
        <c:ser>
          <c:idx val="8"/>
          <c:order val="8"/>
          <c:tx>
            <c:strRef>
              <c:f>'Section1 &gt;&gt;CB6 options graph'!$B$12</c:f>
              <c:strCache>
                <c:ptCount val="1"/>
                <c:pt idx="0">
                  <c:v>Do-something (Option 2)</c:v>
                </c:pt>
              </c:strCache>
            </c:strRef>
          </c:tx>
          <c:spPr>
            <a:ln w="19050" cap="rnd">
              <a:solidFill>
                <a:srgbClr val="FFD300"/>
              </a:solidFill>
              <a:round/>
            </a:ln>
            <a:effectLst/>
          </c:spPr>
          <c:marker>
            <c:symbol val="none"/>
          </c:marker>
          <c:dPt>
            <c:idx val="40"/>
            <c:marker>
              <c:symbol val="none"/>
            </c:marker>
            <c:bubble3D val="0"/>
            <c:spPr>
              <a:ln w="19050" cap="rnd">
                <a:solidFill>
                  <a:srgbClr val="FFD300"/>
                </a:solidFill>
                <a:round/>
              </a:ln>
              <a:effectLst/>
            </c:spPr>
            <c:extLst>
              <c:ext xmlns:c16="http://schemas.microsoft.com/office/drawing/2014/chart" uri="{C3380CC4-5D6E-409C-BE32-E72D297353CC}">
                <c16:uniqueId val="{00000029-8F7D-491F-BC3E-2000D61957BB}"/>
              </c:ext>
            </c:extLst>
          </c:dPt>
          <c:cat>
            <c:numRef>
              <c:f>'Section1 &gt;&gt;CB6 options graph'!$C$3:$BK$3</c:f>
              <c:numCache>
                <c:formatCode>General</c:formatCode>
                <c:ptCount val="6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pt idx="31">
                  <c:v>2021</c:v>
                </c:pt>
                <c:pt idx="32">
                  <c:v>2022</c:v>
                </c:pt>
                <c:pt idx="33">
                  <c:v>2023</c:v>
                </c:pt>
                <c:pt idx="34">
                  <c:v>2024</c:v>
                </c:pt>
                <c:pt idx="35">
                  <c:v>2025</c:v>
                </c:pt>
                <c:pt idx="36">
                  <c:v>2026</c:v>
                </c:pt>
                <c:pt idx="37">
                  <c:v>2027</c:v>
                </c:pt>
                <c:pt idx="38">
                  <c:v>2028</c:v>
                </c:pt>
                <c:pt idx="39">
                  <c:v>2029</c:v>
                </c:pt>
                <c:pt idx="40">
                  <c:v>2030</c:v>
                </c:pt>
                <c:pt idx="41">
                  <c:v>2031</c:v>
                </c:pt>
                <c:pt idx="42">
                  <c:v>2032</c:v>
                </c:pt>
                <c:pt idx="43">
                  <c:v>2033</c:v>
                </c:pt>
                <c:pt idx="44">
                  <c:v>2034</c:v>
                </c:pt>
                <c:pt idx="45">
                  <c:v>2035</c:v>
                </c:pt>
                <c:pt idx="46">
                  <c:v>2036</c:v>
                </c:pt>
                <c:pt idx="47">
                  <c:v>2037</c:v>
                </c:pt>
                <c:pt idx="48">
                  <c:v>2038</c:v>
                </c:pt>
                <c:pt idx="49">
                  <c:v>2039</c:v>
                </c:pt>
                <c:pt idx="50">
                  <c:v>2040</c:v>
                </c:pt>
                <c:pt idx="51">
                  <c:v>2041</c:v>
                </c:pt>
                <c:pt idx="52">
                  <c:v>2042</c:v>
                </c:pt>
                <c:pt idx="53">
                  <c:v>2043</c:v>
                </c:pt>
                <c:pt idx="54">
                  <c:v>2044</c:v>
                </c:pt>
                <c:pt idx="55">
                  <c:v>2045</c:v>
                </c:pt>
                <c:pt idx="56">
                  <c:v>2046</c:v>
                </c:pt>
                <c:pt idx="57">
                  <c:v>2047</c:v>
                </c:pt>
                <c:pt idx="58">
                  <c:v>2048</c:v>
                </c:pt>
                <c:pt idx="59">
                  <c:v>2049</c:v>
                </c:pt>
                <c:pt idx="60">
                  <c:v>2050</c:v>
                </c:pt>
              </c:numCache>
            </c:numRef>
          </c:cat>
          <c:val>
            <c:numRef>
              <c:f>'Section1 &gt;&gt;CB6 options graph'!$C$12:$BK$12</c:f>
              <c:numCache>
                <c:formatCode>General</c:formatCode>
                <c:ptCount val="61"/>
                <c:pt idx="30" formatCode="0">
                  <c:v>456.69028656738584</c:v>
                </c:pt>
                <c:pt idx="35">
                  <c:v>410</c:v>
                </c:pt>
                <c:pt idx="40">
                  <c:v>317</c:v>
                </c:pt>
                <c:pt idx="45">
                  <c:v>221</c:v>
                </c:pt>
                <c:pt idx="60">
                  <c:v>0</c:v>
                </c:pt>
              </c:numCache>
            </c:numRef>
          </c:val>
          <c:smooth val="0"/>
          <c:extLst>
            <c:ext xmlns:c16="http://schemas.microsoft.com/office/drawing/2014/chart" uri="{C3380CC4-5D6E-409C-BE32-E72D297353CC}">
              <c16:uniqueId val="{0000002A-8F7D-491F-BC3E-2000D61957BB}"/>
            </c:ext>
          </c:extLst>
        </c:ser>
        <c:ser>
          <c:idx val="9"/>
          <c:order val="9"/>
          <c:tx>
            <c:strRef>
              <c:f>'Section1 &gt;&gt;CB6 options graph'!$B$13</c:f>
              <c:strCache>
                <c:ptCount val="1"/>
                <c:pt idx="0">
                  <c:v>Do-something (Option 3)</c:v>
                </c:pt>
              </c:strCache>
            </c:strRef>
          </c:tx>
          <c:spPr>
            <a:ln w="25400" cap="rnd">
              <a:solidFill>
                <a:srgbClr val="70AD47"/>
              </a:solidFill>
              <a:round/>
            </a:ln>
            <a:effectLst/>
          </c:spPr>
          <c:marker>
            <c:symbol val="none"/>
          </c:marker>
          <c:dPt>
            <c:idx val="60"/>
            <c:marker>
              <c:symbol val="none"/>
            </c:marker>
            <c:bubble3D val="0"/>
            <c:spPr>
              <a:ln w="19050" cap="rnd">
                <a:solidFill>
                  <a:srgbClr val="70AD47"/>
                </a:solidFill>
                <a:round/>
              </a:ln>
              <a:effectLst/>
            </c:spPr>
            <c:extLst>
              <c:ext xmlns:c16="http://schemas.microsoft.com/office/drawing/2014/chart" uri="{C3380CC4-5D6E-409C-BE32-E72D297353CC}">
                <c16:uniqueId val="{0000000C-DB7F-4D01-8D67-E21D5C511F55}"/>
              </c:ext>
            </c:extLst>
          </c:dPt>
          <c:val>
            <c:numRef>
              <c:f>'Section1 &gt;&gt;CB6 options graph'!$C$13:$BK$13</c:f>
              <c:numCache>
                <c:formatCode>General</c:formatCode>
                <c:ptCount val="61"/>
                <c:pt idx="30" formatCode="0">
                  <c:v>456.69028656738584</c:v>
                </c:pt>
                <c:pt idx="35">
                  <c:v>410</c:v>
                </c:pt>
                <c:pt idx="40">
                  <c:v>317</c:v>
                </c:pt>
                <c:pt idx="45">
                  <c:v>193</c:v>
                </c:pt>
                <c:pt idx="60">
                  <c:v>0</c:v>
                </c:pt>
              </c:numCache>
            </c:numRef>
          </c:val>
          <c:smooth val="0"/>
          <c:extLst>
            <c:ext xmlns:c16="http://schemas.microsoft.com/office/drawing/2014/chart" uri="{C3380CC4-5D6E-409C-BE32-E72D297353CC}">
              <c16:uniqueId val="{0000002B-8F7D-491F-BC3E-2000D61957BB}"/>
            </c:ext>
          </c:extLst>
        </c:ser>
        <c:ser>
          <c:idx val="10"/>
          <c:order val="10"/>
          <c:tx>
            <c:strRef>
              <c:f>'Section1 &gt;&gt;CB6 options graph'!$B$14</c:f>
              <c:strCache>
                <c:ptCount val="1"/>
                <c:pt idx="0">
                  <c:v>Do-something (Option 4)</c:v>
                </c:pt>
              </c:strCache>
            </c:strRef>
          </c:tx>
          <c:spPr>
            <a:ln w="19050" cap="rnd">
              <a:solidFill>
                <a:srgbClr val="002060"/>
              </a:solidFill>
              <a:round/>
            </a:ln>
            <a:effectLst/>
          </c:spPr>
          <c:marker>
            <c:symbol val="none"/>
          </c:marker>
          <c:val>
            <c:numRef>
              <c:f>'Section1 &gt;&gt;CB6 options graph'!$C$14:$BK$14</c:f>
              <c:numCache>
                <c:formatCode>General</c:formatCode>
                <c:ptCount val="61"/>
                <c:pt idx="30" formatCode="0">
                  <c:v>456.69028656738584</c:v>
                </c:pt>
                <c:pt idx="35">
                  <c:v>410</c:v>
                </c:pt>
                <c:pt idx="40">
                  <c:v>317</c:v>
                </c:pt>
                <c:pt idx="45">
                  <c:v>177</c:v>
                </c:pt>
                <c:pt idx="60">
                  <c:v>0</c:v>
                </c:pt>
              </c:numCache>
            </c:numRef>
          </c:val>
          <c:smooth val="0"/>
          <c:extLst>
            <c:ext xmlns:c16="http://schemas.microsoft.com/office/drawing/2014/chart" uri="{C3380CC4-5D6E-409C-BE32-E72D297353CC}">
              <c16:uniqueId val="{0000002C-8F7D-491F-BC3E-2000D61957BB}"/>
            </c:ext>
          </c:extLst>
        </c:ser>
        <c:dLbls>
          <c:showLegendKey val="0"/>
          <c:showVal val="0"/>
          <c:showCatName val="0"/>
          <c:showSerName val="0"/>
          <c:showPercent val="0"/>
          <c:showBubbleSize val="0"/>
        </c:dLbls>
        <c:marker val="1"/>
        <c:smooth val="0"/>
        <c:axId val="147634303"/>
        <c:axId val="147634959"/>
      </c:lineChart>
      <c:catAx>
        <c:axId val="147634303"/>
        <c:scaling>
          <c:orientation val="minMax"/>
        </c:scaling>
        <c:delete val="0"/>
        <c:axPos val="b"/>
        <c:numFmt formatCode="0_ ;\-0\ "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34959"/>
        <c:crosses val="autoZero"/>
        <c:auto val="1"/>
        <c:lblAlgn val="ctr"/>
        <c:lblOffset val="100"/>
        <c:noMultiLvlLbl val="0"/>
      </c:catAx>
      <c:valAx>
        <c:axId val="147634959"/>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34303"/>
        <c:crosses val="autoZero"/>
        <c:crossBetween val="between"/>
      </c:valAx>
      <c:valAx>
        <c:axId val="350866919"/>
        <c:scaling>
          <c:orientation val="minMax"/>
          <c:max val="5000"/>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868887"/>
        <c:crosses val="max"/>
        <c:crossBetween val="between"/>
      </c:valAx>
      <c:catAx>
        <c:axId val="350868887"/>
        <c:scaling>
          <c:orientation val="minMax"/>
        </c:scaling>
        <c:delete val="1"/>
        <c:axPos val="b"/>
        <c:numFmt formatCode="General" sourceLinked="1"/>
        <c:majorTickMark val="out"/>
        <c:minorTickMark val="none"/>
        <c:tickLblPos val="nextTo"/>
        <c:crossAx val="350866919"/>
        <c:crosses val="autoZero"/>
        <c:auto val="1"/>
        <c:lblAlgn val="ctr"/>
        <c:lblOffset val="100"/>
        <c:noMultiLvlLbl val="0"/>
      </c:catAx>
      <c:spPr>
        <a:noFill/>
        <a:ln>
          <a:noFill/>
        </a:ln>
        <a:effectLst/>
      </c:spPr>
    </c:plotArea>
    <c:legend>
      <c:legendPos val="b"/>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span"/>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ocumenttasks/documenttasks1.xml><?xml version="1.0" encoding="utf-8"?>
<t:Tasks xmlns:t="http://schemas.microsoft.com/office/tasks/2019/documenttasks" xmlns:oel="http://schemas.microsoft.com/office/2019/extlst">
  <t:Task id="{B25803D1-05AD-4103-9177-894F750A03AB}">
    <t:Anchor>
      <t:Comment id="139235585"/>
    </t:Anchor>
    <t:History>
      <t:Event id="{31EA513A-7FE5-4EB3-9A67-EBA528C9E754}" time="2021-02-18T12:01:45Z">
        <t:Attribution userId="S::alice.ravenscroft@beis.gov.uk::4912cadf-2fd2-4ec0-b928-eb0b6896ff07" userProvider="AD" userName="Ravenscroft, Alice (BEIS)"/>
        <t:Anchor>
          <t:Comment id="139235585"/>
        </t:Anchor>
        <t:Create/>
      </t:Event>
      <t:Event id="{B6065AA4-92C2-4725-9CD4-EB37532FEEE1}" time="2021-02-18T12:01:45Z">
        <t:Attribution userId="S::alice.ravenscroft@beis.gov.uk::4912cadf-2fd2-4ec0-b928-eb0b6896ff07" userProvider="AD" userName="Ravenscroft, Alice (BEIS)"/>
        <t:Anchor>
          <t:Comment id="139235585"/>
        </t:Anchor>
        <t:Assign userId="S::Elena.Gorianova@beis.gov.uk::e5144a94-9de8-40aa-80f6-8d41cca7cfa0" userProvider="AD" userName="Gorianova, Elena (Industrial Energy)"/>
      </t:Event>
      <t:Event id="{31CD36B0-F0D8-436D-96EA-B1A905FEF4F7}" time="2021-02-18T12:01:45Z">
        <t:Attribution userId="S::alice.ravenscroft@beis.gov.uk::4912cadf-2fd2-4ec0-b928-eb0b6896ff07" userProvider="AD" userName="Ravenscroft, Alice (BEIS)"/>
        <t:Anchor>
          <t:Comment id="139235585"/>
        </t:Anchor>
        <t:SetTitle title="@Gorianova, Elena (Industrial Energy) , are you happy with the ETS mentions in this paragraph of our CB6 impact assessment? Thanks"/>
      </t:Event>
    </t:History>
  </t:Task>
  <t:Task id="{70E8E6A2-4111-452C-9A53-7991B3C36D64}">
    <t:Anchor>
      <t:Comment id="247853957"/>
    </t:Anchor>
    <t:History>
      <t:Event id="{9B5D0604-8CE1-4E28-AFCB-024442D717C6}" time="2021-02-18T15:36:08Z">
        <t:Attribution userId="S::alice.ravenscroft@beis.gov.uk::4912cadf-2fd2-4ec0-b928-eb0b6896ff07" userProvider="AD" userName="Ravenscroft, Alice (BEIS)"/>
        <t:Anchor>
          <t:Comment id="247853957"/>
        </t:Anchor>
        <t:Create/>
      </t:Event>
      <t:Event id="{4B91279C-3D80-43AA-B202-C62E84F7AE29}" time="2021-02-18T15:36:08Z">
        <t:Attribution userId="S::alice.ravenscroft@beis.gov.uk::4912cadf-2fd2-4ec0-b928-eb0b6896ff07" userProvider="AD" userName="Ravenscroft, Alice (BEIS)"/>
        <t:Anchor>
          <t:Comment id="247853957"/>
        </t:Anchor>
        <t:Assign userId="S::chris1.shipley@beis.gov.uk::1169394c-fdeb-4cc7-88aa-5d6cf31fbf5c" userProvider="AD" userName="Shipley, Chris (Intl Climate Finance - Investments)"/>
      </t:Event>
      <t:Event id="{6846208E-5056-4B0D-B9AB-6FD2641F32B3}" time="2021-02-18T15:36:08Z">
        <t:Attribution userId="S::alice.ravenscroft@beis.gov.uk::4912cadf-2fd2-4ec0-b928-eb0b6896ff07" userProvider="AD" userName="Ravenscroft, Alice (BEIS)"/>
        <t:Anchor>
          <t:Comment id="247853957"/>
        </t:Anchor>
        <t:SetTitle title="@Shipley, Chris (Intl Climate Finance - Investments)grateful for any views on this paragraph - thanks!"/>
      </t:Event>
    </t:History>
  </t:Task>
  <t:Task id="{50061241-B161-4C0F-A721-AC3B1AAB0E76}">
    <t:Anchor>
      <t:Comment id="1352508757"/>
    </t:Anchor>
    <t:History>
      <t:Event id="{09A8BB5B-BEC5-4859-AFEA-A40F87328375}" time="2021-02-18T15:41:13Z">
        <t:Attribution userId="S::alice.ravenscroft@beis.gov.uk::4912cadf-2fd2-4ec0-b928-eb0b6896ff07" userProvider="AD" userName="Ravenscroft, Alice (BEIS)"/>
        <t:Anchor>
          <t:Comment id="1352508757"/>
        </t:Anchor>
        <t:Create/>
      </t:Event>
      <t:Event id="{42182128-2ACD-4557-93E7-49FEEA08ACC5}" time="2021-02-18T15:41:13Z">
        <t:Attribution userId="S::alice.ravenscroft@beis.gov.uk::4912cadf-2fd2-4ec0-b928-eb0b6896ff07" userProvider="AD" userName="Ravenscroft, Alice (BEIS)"/>
        <t:Anchor>
          <t:Comment id="1352508757"/>
        </t:Anchor>
        <t:Assign userId="S::Jacob.Rose@beis.gov.uk::a0cc5db9-3c86-4711-a668-50079f178882" userProvider="AD" userName="Rose, Jacob (Science &amp; Innovation - Science)"/>
      </t:Event>
      <t:Event id="{8F094346-F8F1-4DB5-8BB5-AC5C921F3254}" time="2021-02-18T15:41:13Z">
        <t:Attribution userId="S::alice.ravenscroft@beis.gov.uk::4912cadf-2fd2-4ec0-b928-eb0b6896ff07" userProvider="AD" userName="Ravenscroft, Alice (BEIS)"/>
        <t:Anchor>
          <t:Comment id="1352508757"/>
        </t:Anchor>
        <t:SetTitle title="@Rose, Jacob (Science &amp; Innovation - Science) Hi Jake, I know you've already fed into this previously, but if you're able to glance over the latest version of this section that would be fab- it's going for clearance tomorrow PM"/>
      </t:Event>
    </t:History>
  </t:Task>
  <t:Task id="{DFA27827-E86D-42A9-97D6-3964F7E56D22}">
    <t:Anchor>
      <t:Comment id="1509808776"/>
    </t:Anchor>
    <t:History>
      <t:Event id="{55A63770-86EB-45D2-A8FF-F554C113D959}" time="2021-03-02T14:18:33Z">
        <t:Attribution userId="S::elena.gorianova@beis.gov.uk::e5144a94-9de8-40aa-80f6-8d41cca7cfa0" userProvider="AD" userName="Gorianova, Elena (Industrial Energy)"/>
        <t:Anchor>
          <t:Comment id="1509808776"/>
        </t:Anchor>
        <t:Create/>
      </t:Event>
      <t:Event id="{0220CAAB-007C-430D-BF6F-CDC37ABF3684}" time="2021-03-02T14:18:33Z">
        <t:Attribution userId="S::elena.gorianova@beis.gov.uk::e5144a94-9de8-40aa-80f6-8d41cca7cfa0" userProvider="AD" userName="Gorianova, Elena (Industrial Energy)"/>
        <t:Anchor>
          <t:Comment id="1509808776"/>
        </t:Anchor>
        <t:Assign userId="S::Alice.Ravenscroft@beis.gov.uk::4912cadf-2fd2-4ec0-b928-eb0b6896ff07" userProvider="AD" userName="Ravenscroft, Alice (BEIS)"/>
      </t:Event>
      <t:Event id="{9BA79A62-625E-4E38-8748-58039D351D08}" time="2021-03-02T14:18:33Z">
        <t:Attribution userId="S::elena.gorianova@beis.gov.uk::e5144a94-9de8-40aa-80f6-8d41cca7cfa0" userProvider="AD" userName="Gorianova, Elena (Industrial Energy)"/>
        <t:Anchor>
          <t:Comment id="1509808776"/>
        </t:Anchor>
        <t:SetTitle title="@Ravenscroft, Alice (BEIS) Can you please redraft/delete this. The CCC provided advice to switch to territorial accounting not in recognition of the UK ETS being set up. The two are not connected. The CCC did not know whether or not we'd have ETS or …"/>
      </t:Event>
      <t:Event id="{4365959A-23BE-4A95-B546-5E4607C861AA}" time="2021-03-05T16:16:02Z">
        <t:Attribution userId="S::alice.ravenscroft@beis.gov.uk::4912cadf-2fd2-4ec0-b928-eb0b6896ff07" userProvider="AD" userName="Ravenscroft, Alice (BEIS)"/>
        <t:Progress percentComplete="100"/>
      </t:Event>
    </t:History>
  </t:Task>
  <t:Task id="{0F529D50-CA81-4885-AFD5-05989457CA4A}">
    <t:Anchor>
      <t:Comment id="604801634"/>
    </t:Anchor>
    <t:History>
      <t:Event id="{1263E3BA-2B45-4348-A227-82D8894331E7}" time="2021-03-31T15:50:40Z">
        <t:Attribution userId="S::alice.ravenscroft@beis.gov.uk::4912cadf-2fd2-4ec0-b928-eb0b6896ff07" userProvider="AD" userName="Ravenscroft, Alice (BEIS)"/>
        <t:Anchor>
          <t:Comment id="433341514"/>
        </t:Anchor>
        <t:Create/>
      </t:Event>
      <t:Event id="{A8022167-EF91-4DD9-8EEF-113F1014ECCE}" time="2021-03-31T15:50:40Z">
        <t:Attribution userId="S::alice.ravenscroft@beis.gov.uk::4912cadf-2fd2-4ec0-b928-eb0b6896ff07" userProvider="AD" userName="Ravenscroft, Alice (BEIS)"/>
        <t:Anchor>
          <t:Comment id="433341514"/>
        </t:Anchor>
        <t:Assign userId="S::Ciaran.Deeney@beis.gov.uk::aacea742-9226-4db5-a9e6-f28f35b5d8b6" userProvider="AD" userName="Deeney, Ciaran (Legal)"/>
      </t:Event>
      <t:Event id="{6FC26112-D5D5-4ACB-A519-CF47089EDD8B}" time="2021-03-31T15:50:40Z">
        <t:Attribution userId="S::alice.ravenscroft@beis.gov.uk::4912cadf-2fd2-4ec0-b928-eb0b6896ff07" userProvider="AD" userName="Ravenscroft, Alice (BEIS)"/>
        <t:Anchor>
          <t:Comment id="433341514"/>
        </t:Anchor>
        <t:SetTitle title="@Deeney, Ciaran (Legal) do you have any concerns about this paragraph from a legal perspective? Thanks"/>
      </t:Event>
      <t:Event id="{5CD60A81-FBD6-4210-94A0-05F5C8C9C796}" time="2021-04-01T16:53:10Z">
        <t:Attribution userId="S::ciaran.deeney@beis.gov.uk::aacea742-9226-4db5-a9e6-f28f35b5d8b6" userProvider="AD" userName="Deeney, Ciaran (Legal)"/>
        <t:Anchor>
          <t:Comment id="935695967"/>
        </t:Anchor>
        <t:UnassignAll/>
      </t:Event>
      <t:Event id="{0AE86EE6-0C89-483D-992D-AA0F233DD724}" time="2021-04-01T16:53:10Z">
        <t:Attribution userId="S::ciaran.deeney@beis.gov.uk::aacea742-9226-4db5-a9e6-f28f35b5d8b6" userProvider="AD" userName="Deeney, Ciaran (Legal)"/>
        <t:Anchor>
          <t:Comment id="935695967"/>
        </t:Anchor>
        <t:Assign userId="S::Kitty.Horsey@beis.gov.uk::cfc73358-8a0c-4258-bfcf-985c15519824" userProvider="AD" userName="Horsey, Kitty (Legal)"/>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80BD150C52A64EAFAEB3AC2116C764" ma:contentTypeVersion="19" ma:contentTypeDescription="Create a new document." ma:contentTypeScope="" ma:versionID="ba42200e90cbf709fe9a1795c5fbc228">
  <xsd:schema xmlns:xsd="http://www.w3.org/2001/XMLSchema" xmlns:xs="http://www.w3.org/2001/XMLSchema" xmlns:p="http://schemas.microsoft.com/office/2006/metadata/properties" xmlns:ns2="c493124f-c6ae-42e0-81df-c694b82936d5" xmlns:ns3="0063f72e-ace3-48fb-9c1f-5b513408b31f" xmlns:ns4="b413c3fd-5a3b-4239-b985-69032e371c04" xmlns:ns5="a8f60570-4bd3-4f2b-950b-a996de8ab151" xmlns:ns6="aaacb922-5235-4a66-b188-303b9b46fbd7" xmlns:ns7="4d8e97b7-d15e-4e7c-b659-7240f03b4cfc" targetNamespace="http://schemas.microsoft.com/office/2006/metadata/properties" ma:root="true" ma:fieldsID="a678e077e4ae6a733d611c5112310002" ns2:_="" ns3:_="" ns4:_="" ns5:_="" ns6:_="" ns7:_="">
    <xsd:import namespace="c493124f-c6ae-42e0-81df-c694b82936d5"/>
    <xsd:import namespace="0063f72e-ace3-48fb-9c1f-5b513408b31f"/>
    <xsd:import namespace="b413c3fd-5a3b-4239-b985-69032e371c04"/>
    <xsd:import namespace="a8f60570-4bd3-4f2b-950b-a996de8ab151"/>
    <xsd:import namespace="aaacb922-5235-4a66-b188-303b9b46fbd7"/>
    <xsd:import namespace="4d8e97b7-d15e-4e7c-b659-7240f03b4cfc"/>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OCR" minOccurs="0"/>
                <xsd:element ref="ns7:MediaServiceGenerationTime" minOccurs="0"/>
                <xsd:element ref="ns7: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93124f-c6ae-42e0-81df-c694b82936d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Strategic and International Analysis|04eb65d3-7a45-4bfe-8784-5dd7a80cdbe9"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c8a62e8d-ab32-46e9-8e88-b1d6f124f4a1}" ma:internalName="TaxCatchAll" ma:showField="CatchAllData" ma:web="c493124f-c6ae-42e0-81df-c694b82936d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c8a62e8d-ab32-46e9-8e88-b1d6f124f4a1}" ma:internalName="TaxCatchAllLabel" ma:readOnly="true" ma:showField="CatchAllDataLabel" ma:web="c493124f-c6ae-42e0-81df-c694b82936d5">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8e97b7-d15e-4e7c-b659-7240f03b4cfc"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2020-02-11T10:36:44+00:00</Date_x0020_Opened>
    <Descriptor xmlns="0063f72e-ace3-48fb-9c1f-5b513408b31f" xsi:nil="true"/>
    <Security_x0020_Classification xmlns="0063f72e-ace3-48fb-9c1f-5b513408b31f">OFFICIAL</Security_x0020_Classification>
    <Retention_x0020_Label xmlns="a8f60570-4bd3-4f2b-950b-a996de8ab151">Corp PPP Review</Retention_x0020_Label>
    <Date_x0020_Closed xmlns="b413c3fd-5a3b-4239-b985-69032e371c04" xsi:nil="true"/>
    <m975189f4ba442ecbf67d4147307b177 xmlns="c493124f-c6ae-42e0-81df-c694b82936d5">
      <Terms xmlns="http://schemas.microsoft.com/office/infopath/2007/PartnerControls">
        <TermInfo xmlns="http://schemas.microsoft.com/office/infopath/2007/PartnerControls">
          <TermName xmlns="http://schemas.microsoft.com/office/infopath/2007/PartnerControls">Strategic and International Analysis</TermName>
          <TermId xmlns="http://schemas.microsoft.com/office/infopath/2007/PartnerControls">04eb65d3-7a45-4bfe-8784-5dd7a80cdbe9</TermId>
        </TermInfo>
      </Terms>
    </m975189f4ba442ecbf67d4147307b177>
    <TaxCatchAll xmlns="c493124f-c6ae-42e0-81df-c694b82936d5">
      <Value>1</Value>
    </TaxCatchAll>
    <_dlc_DocId xmlns="c493124f-c6ae-42e0-81df-c694b82936d5">NFVW3WY533ZX-160844436-143982</_dlc_DocId>
    <_dlc_DocIdUrl xmlns="c493124f-c6ae-42e0-81df-c694b82936d5">
      <Url>https://beisgov.sharepoint.com/sites/CarbonStrategyAnalysis/_layouts/15/DocIdRedir.aspx?ID=NFVW3WY533ZX-160844436-143982</Url>
      <Description>NFVW3WY533ZX-160844436-143982</Description>
    </_dlc_DocIdUrl>
    <LegacyData xmlns="aaacb922-5235-4a66-b188-303b9b46fbd7" xsi:nil="true"/>
    <_dlc_DocIdPersistId xmlns="c493124f-c6ae-42e0-81df-c694b82936d5">false</_dlc_DocIdPersistId>
    <SharedWithUsers xmlns="c493124f-c6ae-42e0-81df-c694b82936d5">
      <UserInfo>
        <DisplayName>Mabbutt, James (Intl Climate Change - Strategy)</DisplayName>
        <AccountId>80</AccountId>
        <AccountType/>
      </UserInfo>
      <UserInfo>
        <DisplayName>Armitage, Rose (Intl Climate Change - Strategy)</DisplayName>
        <AccountId>297</AccountId>
        <AccountType/>
      </UserInfo>
      <UserInfo>
        <DisplayName>Cutler, Harrison (International - Climate and Energy)</DisplayName>
        <AccountId>302</AccountId>
        <AccountType/>
      </UserInfo>
      <UserInfo>
        <DisplayName>Chaplin, Oliver (International - Climate and Energy)</DisplayName>
        <AccountId>281</AccountId>
        <AccountType/>
      </UserInfo>
      <UserInfo>
        <DisplayName>Watts, Josh (Intl Climate Change - Strategy)</DisplayName>
        <AccountId>304</AccountId>
        <AccountType/>
      </UserInfo>
      <UserInfo>
        <DisplayName>Gorianova, Elena (Industrial Energy)</DisplayName>
        <AccountId>330</AccountId>
        <AccountType/>
      </UserInfo>
      <UserInfo>
        <DisplayName>Shipley, Chris (Intl Climate Finance - Investments)</DisplayName>
        <AccountId>276</AccountId>
        <AccountType/>
      </UserInfo>
      <UserInfo>
        <DisplayName>Price, Alex (International - Climate and Energy)</DisplayName>
        <AccountId>369</AccountId>
        <AccountType/>
      </UserInfo>
      <UserInfo>
        <DisplayName>Verri, Massimiliano (Clean Growth)</DisplayName>
        <AccountId>221</AccountId>
        <AccountType/>
      </UserInfo>
      <UserInfo>
        <DisplayName>Nightingale, Luke (Clean Growth)</DisplayName>
        <AccountId>371</AccountId>
        <AccountType/>
      </UserInfo>
      <UserInfo>
        <DisplayName>Karslake, Samuel (Intl Climate Change - Strategy)</DisplayName>
        <AccountId>139</AccountId>
        <AccountType/>
      </UserInfo>
      <UserInfo>
        <DisplayName>Waterhouse, Alec (Analysis Directorate)</DisplayName>
        <AccountId>107</AccountId>
        <AccountType/>
      </UserInfo>
      <UserInfo>
        <DisplayName>Ferguson, Sophie (Intl Climate Change - Strategy)</DisplayName>
        <AccountId>393</AccountId>
        <AccountType/>
      </UserInfo>
      <UserInfo>
        <DisplayName>Devlin, Stephen (International - Climate and Energy)</DisplayName>
        <AccountId>289</AccountId>
        <AccountType/>
      </UserInfo>
      <UserInfo>
        <DisplayName>Boorman, Daniel (BEIS)</DisplayName>
        <AccountId>51</AccountId>
        <AccountType/>
      </UserInfo>
      <UserInfo>
        <DisplayName>Atkinson, Polly (Clean Growth)</DisplayName>
        <AccountId>313</AccountId>
        <AccountType/>
      </UserInfo>
      <UserInfo>
        <DisplayName>Martin, George (Energy Security, Networks &amp; Markets)</DisplayName>
        <AccountId>121</AccountId>
        <AccountType/>
      </UserInfo>
      <UserInfo>
        <DisplayName>Sanghvi, Sapna (Analysis Directorate)</DisplayName>
        <AccountId>96</AccountId>
        <AccountType/>
      </UserInfo>
      <UserInfo>
        <DisplayName>Varadi, Szilvia (Analysis Directorate)</DisplayName>
        <AccountId>18</AccountId>
        <AccountType/>
      </UserInfo>
      <UserInfo>
        <DisplayName>Ford, Marten (Industrial Energy)</DisplayName>
        <AccountId>76</AccountId>
        <AccountType/>
      </UserInfo>
    </SharedWithUsers>
  </documentManagement>
</p:properties>
</file>

<file path=customXml/itemProps1.xml><?xml version="1.0" encoding="utf-8"?>
<ds:datastoreItem xmlns:ds="http://schemas.openxmlformats.org/officeDocument/2006/customXml" ds:itemID="{3580EEBB-2076-4A77-92D9-DE1A93AD53DF}">
  <ds:schemaRefs>
    <ds:schemaRef ds:uri="http://schemas.openxmlformats.org/officeDocument/2006/bibliography"/>
  </ds:schemaRefs>
</ds:datastoreItem>
</file>

<file path=customXml/itemProps2.xml><?xml version="1.0" encoding="utf-8"?>
<ds:datastoreItem xmlns:ds="http://schemas.openxmlformats.org/officeDocument/2006/customXml" ds:itemID="{8CAE45D9-2CA4-4605-BFB3-1082095A2858}">
  <ds:schemaRefs>
    <ds:schemaRef ds:uri="http://schemas.microsoft.com/sharepoint/v3/contenttype/forms"/>
  </ds:schemaRefs>
</ds:datastoreItem>
</file>

<file path=customXml/itemProps3.xml><?xml version="1.0" encoding="utf-8"?>
<ds:datastoreItem xmlns:ds="http://schemas.openxmlformats.org/officeDocument/2006/customXml" ds:itemID="{C80B11E4-6968-480B-9E3E-F5D9AF1896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93124f-c6ae-42e0-81df-c694b82936d5"/>
    <ds:schemaRef ds:uri="0063f72e-ace3-48fb-9c1f-5b513408b31f"/>
    <ds:schemaRef ds:uri="b413c3fd-5a3b-4239-b985-69032e371c04"/>
    <ds:schemaRef ds:uri="a8f60570-4bd3-4f2b-950b-a996de8ab151"/>
    <ds:schemaRef ds:uri="aaacb922-5235-4a66-b188-303b9b46fbd7"/>
    <ds:schemaRef ds:uri="4d8e97b7-d15e-4e7c-b659-7240f03b4c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C8EB7D-E586-4A0C-A3DC-22BC617164E9}">
  <ds:schemaRefs>
    <ds:schemaRef ds:uri="http://schemas.microsoft.com/sharepoint/events"/>
  </ds:schemaRefs>
</ds:datastoreItem>
</file>

<file path=customXml/itemProps5.xml><?xml version="1.0" encoding="utf-8"?>
<ds:datastoreItem xmlns:ds="http://schemas.openxmlformats.org/officeDocument/2006/customXml" ds:itemID="{3B2B5E4A-4853-4C88-885B-89EC2532E8BB}">
  <ds:schemaRefs>
    <ds:schemaRef ds:uri="c493124f-c6ae-42e0-81df-c694b82936d5"/>
    <ds:schemaRef ds:uri="http://purl.org/dc/terms/"/>
    <ds:schemaRef ds:uri="aaacb922-5235-4a66-b188-303b9b46fbd7"/>
    <ds:schemaRef ds:uri="4d8e97b7-d15e-4e7c-b659-7240f03b4cfc"/>
    <ds:schemaRef ds:uri="http://schemas.microsoft.com/office/2006/documentManagement/types"/>
    <ds:schemaRef ds:uri="http://schemas.microsoft.com/office/infopath/2007/PartnerControls"/>
    <ds:schemaRef ds:uri="a8f60570-4bd3-4f2b-950b-a996de8ab151"/>
    <ds:schemaRef ds:uri="http://purl.org/dc/elements/1.1/"/>
    <ds:schemaRef ds:uri="http://schemas.microsoft.com/office/2006/metadata/properties"/>
    <ds:schemaRef ds:uri="http://schemas.openxmlformats.org/package/2006/metadata/core-properties"/>
    <ds:schemaRef ds:uri="b413c3fd-5a3b-4239-b985-69032e371c04"/>
    <ds:schemaRef ds:uri="0063f72e-ace3-48fb-9c1f-5b513408b31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76</Pages>
  <Words>31915</Words>
  <Characters>180139</Characters>
  <Application>Microsoft Office Word</Application>
  <DocSecurity>4</DocSecurity>
  <Lines>1501</Lines>
  <Paragraphs>423</Paragraphs>
  <ScaleCrop>false</ScaleCrop>
  <HeadingPairs>
    <vt:vector size="2" baseType="variant">
      <vt:variant>
        <vt:lpstr>Title</vt:lpstr>
      </vt:variant>
      <vt:variant>
        <vt:i4>1</vt:i4>
      </vt:variant>
    </vt:vector>
  </HeadingPairs>
  <TitlesOfParts>
    <vt:vector size="1" baseType="lpstr">
      <vt:lpstr>Impact Assessment</vt:lpstr>
    </vt:vector>
  </TitlesOfParts>
  <Company>BIS</Company>
  <LinksUpToDate>false</LinksUpToDate>
  <CharactersWithSpaces>211631</CharactersWithSpaces>
  <SharedDoc>false</SharedDoc>
  <HLinks>
    <vt:vector size="282" baseType="variant">
      <vt:variant>
        <vt:i4>2555923</vt:i4>
      </vt:variant>
      <vt:variant>
        <vt:i4>432</vt:i4>
      </vt:variant>
      <vt:variant>
        <vt:i4>0</vt:i4>
      </vt:variant>
      <vt:variant>
        <vt:i4>5</vt:i4>
      </vt:variant>
      <vt:variant>
        <vt:lpwstr>https://assets.publishing.service.gov.uk/government/uploads/system/uploads/attachment_data/file/943714/Modelling-2050-Electricity-System-Analysis.pdf</vt:lpwstr>
      </vt:variant>
      <vt:variant>
        <vt:lpwstr/>
      </vt:variant>
      <vt:variant>
        <vt:i4>6291582</vt:i4>
      </vt:variant>
      <vt:variant>
        <vt:i4>429</vt:i4>
      </vt:variant>
      <vt:variant>
        <vt:i4>0</vt:i4>
      </vt:variant>
      <vt:variant>
        <vt:i4>5</vt:i4>
      </vt:variant>
      <vt:variant>
        <vt:lpwstr>https://beisgov.sharepoint.com/:x:/r/sites/uktimesbeis/Shared Documents/General/Analysis/06. CB6/Input data/DAC/Copy of DAC data for UKTIMES from NAS 2018 report.xlsx?d=w8ac46f15cee746e9b3d57ba256800a28&amp;csf=1&amp;web=1&amp;e=0TsSvO</vt:lpwstr>
      </vt:variant>
      <vt:variant>
        <vt:lpwstr/>
      </vt:variant>
      <vt:variant>
        <vt:i4>1703986</vt:i4>
      </vt:variant>
      <vt:variant>
        <vt:i4>422</vt:i4>
      </vt:variant>
      <vt:variant>
        <vt:i4>0</vt:i4>
      </vt:variant>
      <vt:variant>
        <vt:i4>5</vt:i4>
      </vt:variant>
      <vt:variant>
        <vt:lpwstr/>
      </vt:variant>
      <vt:variant>
        <vt:lpwstr>_Toc67051857</vt:lpwstr>
      </vt:variant>
      <vt:variant>
        <vt:i4>1769522</vt:i4>
      </vt:variant>
      <vt:variant>
        <vt:i4>416</vt:i4>
      </vt:variant>
      <vt:variant>
        <vt:i4>0</vt:i4>
      </vt:variant>
      <vt:variant>
        <vt:i4>5</vt:i4>
      </vt:variant>
      <vt:variant>
        <vt:lpwstr/>
      </vt:variant>
      <vt:variant>
        <vt:lpwstr>_Toc67051856</vt:lpwstr>
      </vt:variant>
      <vt:variant>
        <vt:i4>1572914</vt:i4>
      </vt:variant>
      <vt:variant>
        <vt:i4>410</vt:i4>
      </vt:variant>
      <vt:variant>
        <vt:i4>0</vt:i4>
      </vt:variant>
      <vt:variant>
        <vt:i4>5</vt:i4>
      </vt:variant>
      <vt:variant>
        <vt:lpwstr/>
      </vt:variant>
      <vt:variant>
        <vt:lpwstr>_Toc67051855</vt:lpwstr>
      </vt:variant>
      <vt:variant>
        <vt:i4>1638450</vt:i4>
      </vt:variant>
      <vt:variant>
        <vt:i4>404</vt:i4>
      </vt:variant>
      <vt:variant>
        <vt:i4>0</vt:i4>
      </vt:variant>
      <vt:variant>
        <vt:i4>5</vt:i4>
      </vt:variant>
      <vt:variant>
        <vt:lpwstr/>
      </vt:variant>
      <vt:variant>
        <vt:lpwstr>_Toc67051854</vt:lpwstr>
      </vt:variant>
      <vt:variant>
        <vt:i4>1966130</vt:i4>
      </vt:variant>
      <vt:variant>
        <vt:i4>398</vt:i4>
      </vt:variant>
      <vt:variant>
        <vt:i4>0</vt:i4>
      </vt:variant>
      <vt:variant>
        <vt:i4>5</vt:i4>
      </vt:variant>
      <vt:variant>
        <vt:lpwstr/>
      </vt:variant>
      <vt:variant>
        <vt:lpwstr>_Toc67051853</vt:lpwstr>
      </vt:variant>
      <vt:variant>
        <vt:i4>2031666</vt:i4>
      </vt:variant>
      <vt:variant>
        <vt:i4>392</vt:i4>
      </vt:variant>
      <vt:variant>
        <vt:i4>0</vt:i4>
      </vt:variant>
      <vt:variant>
        <vt:i4>5</vt:i4>
      </vt:variant>
      <vt:variant>
        <vt:lpwstr/>
      </vt:variant>
      <vt:variant>
        <vt:lpwstr>_Toc67051852</vt:lpwstr>
      </vt:variant>
      <vt:variant>
        <vt:i4>1835058</vt:i4>
      </vt:variant>
      <vt:variant>
        <vt:i4>386</vt:i4>
      </vt:variant>
      <vt:variant>
        <vt:i4>0</vt:i4>
      </vt:variant>
      <vt:variant>
        <vt:i4>5</vt:i4>
      </vt:variant>
      <vt:variant>
        <vt:lpwstr/>
      </vt:variant>
      <vt:variant>
        <vt:lpwstr>_Toc67051851</vt:lpwstr>
      </vt:variant>
      <vt:variant>
        <vt:i4>1900594</vt:i4>
      </vt:variant>
      <vt:variant>
        <vt:i4>380</vt:i4>
      </vt:variant>
      <vt:variant>
        <vt:i4>0</vt:i4>
      </vt:variant>
      <vt:variant>
        <vt:i4>5</vt:i4>
      </vt:variant>
      <vt:variant>
        <vt:lpwstr/>
      </vt:variant>
      <vt:variant>
        <vt:lpwstr>_Toc67051850</vt:lpwstr>
      </vt:variant>
      <vt:variant>
        <vt:i4>1310771</vt:i4>
      </vt:variant>
      <vt:variant>
        <vt:i4>374</vt:i4>
      </vt:variant>
      <vt:variant>
        <vt:i4>0</vt:i4>
      </vt:variant>
      <vt:variant>
        <vt:i4>5</vt:i4>
      </vt:variant>
      <vt:variant>
        <vt:lpwstr/>
      </vt:variant>
      <vt:variant>
        <vt:lpwstr>_Toc67051849</vt:lpwstr>
      </vt:variant>
      <vt:variant>
        <vt:i4>1376307</vt:i4>
      </vt:variant>
      <vt:variant>
        <vt:i4>368</vt:i4>
      </vt:variant>
      <vt:variant>
        <vt:i4>0</vt:i4>
      </vt:variant>
      <vt:variant>
        <vt:i4>5</vt:i4>
      </vt:variant>
      <vt:variant>
        <vt:lpwstr/>
      </vt:variant>
      <vt:variant>
        <vt:lpwstr>_Toc67051848</vt:lpwstr>
      </vt:variant>
      <vt:variant>
        <vt:i4>1703987</vt:i4>
      </vt:variant>
      <vt:variant>
        <vt:i4>362</vt:i4>
      </vt:variant>
      <vt:variant>
        <vt:i4>0</vt:i4>
      </vt:variant>
      <vt:variant>
        <vt:i4>5</vt:i4>
      </vt:variant>
      <vt:variant>
        <vt:lpwstr/>
      </vt:variant>
      <vt:variant>
        <vt:lpwstr>_Toc67051847</vt:lpwstr>
      </vt:variant>
      <vt:variant>
        <vt:i4>1769523</vt:i4>
      </vt:variant>
      <vt:variant>
        <vt:i4>356</vt:i4>
      </vt:variant>
      <vt:variant>
        <vt:i4>0</vt:i4>
      </vt:variant>
      <vt:variant>
        <vt:i4>5</vt:i4>
      </vt:variant>
      <vt:variant>
        <vt:lpwstr/>
      </vt:variant>
      <vt:variant>
        <vt:lpwstr>_Toc67051846</vt:lpwstr>
      </vt:variant>
      <vt:variant>
        <vt:i4>1572915</vt:i4>
      </vt:variant>
      <vt:variant>
        <vt:i4>350</vt:i4>
      </vt:variant>
      <vt:variant>
        <vt:i4>0</vt:i4>
      </vt:variant>
      <vt:variant>
        <vt:i4>5</vt:i4>
      </vt:variant>
      <vt:variant>
        <vt:lpwstr/>
      </vt:variant>
      <vt:variant>
        <vt:lpwstr>_Toc67051845</vt:lpwstr>
      </vt:variant>
      <vt:variant>
        <vt:i4>1638451</vt:i4>
      </vt:variant>
      <vt:variant>
        <vt:i4>344</vt:i4>
      </vt:variant>
      <vt:variant>
        <vt:i4>0</vt:i4>
      </vt:variant>
      <vt:variant>
        <vt:i4>5</vt:i4>
      </vt:variant>
      <vt:variant>
        <vt:lpwstr/>
      </vt:variant>
      <vt:variant>
        <vt:lpwstr>_Toc67051844</vt:lpwstr>
      </vt:variant>
      <vt:variant>
        <vt:i4>1966131</vt:i4>
      </vt:variant>
      <vt:variant>
        <vt:i4>338</vt:i4>
      </vt:variant>
      <vt:variant>
        <vt:i4>0</vt:i4>
      </vt:variant>
      <vt:variant>
        <vt:i4>5</vt:i4>
      </vt:variant>
      <vt:variant>
        <vt:lpwstr/>
      </vt:variant>
      <vt:variant>
        <vt:lpwstr>_Toc67051843</vt:lpwstr>
      </vt:variant>
      <vt:variant>
        <vt:i4>2031667</vt:i4>
      </vt:variant>
      <vt:variant>
        <vt:i4>332</vt:i4>
      </vt:variant>
      <vt:variant>
        <vt:i4>0</vt:i4>
      </vt:variant>
      <vt:variant>
        <vt:i4>5</vt:i4>
      </vt:variant>
      <vt:variant>
        <vt:lpwstr/>
      </vt:variant>
      <vt:variant>
        <vt:lpwstr>_Toc67051842</vt:lpwstr>
      </vt:variant>
      <vt:variant>
        <vt:i4>1835059</vt:i4>
      </vt:variant>
      <vt:variant>
        <vt:i4>326</vt:i4>
      </vt:variant>
      <vt:variant>
        <vt:i4>0</vt:i4>
      </vt:variant>
      <vt:variant>
        <vt:i4>5</vt:i4>
      </vt:variant>
      <vt:variant>
        <vt:lpwstr/>
      </vt:variant>
      <vt:variant>
        <vt:lpwstr>_Toc67051841</vt:lpwstr>
      </vt:variant>
      <vt:variant>
        <vt:i4>1900595</vt:i4>
      </vt:variant>
      <vt:variant>
        <vt:i4>320</vt:i4>
      </vt:variant>
      <vt:variant>
        <vt:i4>0</vt:i4>
      </vt:variant>
      <vt:variant>
        <vt:i4>5</vt:i4>
      </vt:variant>
      <vt:variant>
        <vt:lpwstr/>
      </vt:variant>
      <vt:variant>
        <vt:lpwstr>_Toc67051840</vt:lpwstr>
      </vt:variant>
      <vt:variant>
        <vt:i4>1310772</vt:i4>
      </vt:variant>
      <vt:variant>
        <vt:i4>314</vt:i4>
      </vt:variant>
      <vt:variant>
        <vt:i4>0</vt:i4>
      </vt:variant>
      <vt:variant>
        <vt:i4>5</vt:i4>
      </vt:variant>
      <vt:variant>
        <vt:lpwstr/>
      </vt:variant>
      <vt:variant>
        <vt:lpwstr>_Toc67051839</vt:lpwstr>
      </vt:variant>
      <vt:variant>
        <vt:i4>1376308</vt:i4>
      </vt:variant>
      <vt:variant>
        <vt:i4>308</vt:i4>
      </vt:variant>
      <vt:variant>
        <vt:i4>0</vt:i4>
      </vt:variant>
      <vt:variant>
        <vt:i4>5</vt:i4>
      </vt:variant>
      <vt:variant>
        <vt:lpwstr/>
      </vt:variant>
      <vt:variant>
        <vt:lpwstr>_Toc67051838</vt:lpwstr>
      </vt:variant>
      <vt:variant>
        <vt:i4>1703988</vt:i4>
      </vt:variant>
      <vt:variant>
        <vt:i4>302</vt:i4>
      </vt:variant>
      <vt:variant>
        <vt:i4>0</vt:i4>
      </vt:variant>
      <vt:variant>
        <vt:i4>5</vt:i4>
      </vt:variant>
      <vt:variant>
        <vt:lpwstr/>
      </vt:variant>
      <vt:variant>
        <vt:lpwstr>_Toc67051837</vt:lpwstr>
      </vt:variant>
      <vt:variant>
        <vt:i4>1769524</vt:i4>
      </vt:variant>
      <vt:variant>
        <vt:i4>296</vt:i4>
      </vt:variant>
      <vt:variant>
        <vt:i4>0</vt:i4>
      </vt:variant>
      <vt:variant>
        <vt:i4>5</vt:i4>
      </vt:variant>
      <vt:variant>
        <vt:lpwstr/>
      </vt:variant>
      <vt:variant>
        <vt:lpwstr>_Toc67051836</vt:lpwstr>
      </vt:variant>
      <vt:variant>
        <vt:i4>1572916</vt:i4>
      </vt:variant>
      <vt:variant>
        <vt:i4>290</vt:i4>
      </vt:variant>
      <vt:variant>
        <vt:i4>0</vt:i4>
      </vt:variant>
      <vt:variant>
        <vt:i4>5</vt:i4>
      </vt:variant>
      <vt:variant>
        <vt:lpwstr/>
      </vt:variant>
      <vt:variant>
        <vt:lpwstr>_Toc67051835</vt:lpwstr>
      </vt:variant>
      <vt:variant>
        <vt:i4>1638452</vt:i4>
      </vt:variant>
      <vt:variant>
        <vt:i4>284</vt:i4>
      </vt:variant>
      <vt:variant>
        <vt:i4>0</vt:i4>
      </vt:variant>
      <vt:variant>
        <vt:i4>5</vt:i4>
      </vt:variant>
      <vt:variant>
        <vt:lpwstr/>
      </vt:variant>
      <vt:variant>
        <vt:lpwstr>_Toc67051834</vt:lpwstr>
      </vt:variant>
      <vt:variant>
        <vt:i4>1966132</vt:i4>
      </vt:variant>
      <vt:variant>
        <vt:i4>278</vt:i4>
      </vt:variant>
      <vt:variant>
        <vt:i4>0</vt:i4>
      </vt:variant>
      <vt:variant>
        <vt:i4>5</vt:i4>
      </vt:variant>
      <vt:variant>
        <vt:lpwstr/>
      </vt:variant>
      <vt:variant>
        <vt:lpwstr>_Toc67051833</vt:lpwstr>
      </vt:variant>
      <vt:variant>
        <vt:i4>2555923</vt:i4>
      </vt:variant>
      <vt:variant>
        <vt:i4>57</vt:i4>
      </vt:variant>
      <vt:variant>
        <vt:i4>0</vt:i4>
      </vt:variant>
      <vt:variant>
        <vt:i4>5</vt:i4>
      </vt:variant>
      <vt:variant>
        <vt:lpwstr>https://assets.publishing.service.gov.uk/government/uploads/system/uploads/attachment_data/file/943714/Modelling-2050-Electricity-System-Analysis.pdf</vt:lpwstr>
      </vt:variant>
      <vt:variant>
        <vt:lpwstr/>
      </vt:variant>
      <vt:variant>
        <vt:i4>3276865</vt:i4>
      </vt:variant>
      <vt:variant>
        <vt:i4>54</vt:i4>
      </vt:variant>
      <vt:variant>
        <vt:i4>0</vt:i4>
      </vt:variant>
      <vt:variant>
        <vt:i4>5</vt:i4>
      </vt:variant>
      <vt:variant>
        <vt:lpwstr>https://assets.publishing.service.gov.uk/government/uploads/system/uploads/attachment_data/file/816019/scenario-analysis-take-up-of-emissions-reduction-options-impacts-on-emissions-costs-technical-annexes.pdf</vt:lpwstr>
      </vt:variant>
      <vt:variant>
        <vt:lpwstr/>
      </vt:variant>
      <vt:variant>
        <vt:i4>4259882</vt:i4>
      </vt:variant>
      <vt:variant>
        <vt:i4>51</vt:i4>
      </vt:variant>
      <vt:variant>
        <vt:i4>0</vt:i4>
      </vt:variant>
      <vt:variant>
        <vt:i4>5</vt:i4>
      </vt:variant>
      <vt:variant>
        <vt:lpwstr>https://assets.publishing.service.gov.uk/government/uploads/system/uploads/attachment_data/file/816018/scenario-analysis-take-up-of-emissions-reduction-options-impacts-on-emissions-costs.pdf</vt:lpwstr>
      </vt:variant>
      <vt:variant>
        <vt:lpwstr/>
      </vt:variant>
      <vt:variant>
        <vt:i4>4259882</vt:i4>
      </vt:variant>
      <vt:variant>
        <vt:i4>48</vt:i4>
      </vt:variant>
      <vt:variant>
        <vt:i4>0</vt:i4>
      </vt:variant>
      <vt:variant>
        <vt:i4>5</vt:i4>
      </vt:variant>
      <vt:variant>
        <vt:lpwstr>https://assets.publishing.service.gov.uk/government/uploads/system/uploads/attachment_data/file/816018/scenario-analysis-take-up-of-emissions-reduction-options-impacts-on-emissions-costs.pdf</vt:lpwstr>
      </vt:variant>
      <vt:variant>
        <vt:lpwstr/>
      </vt:variant>
      <vt:variant>
        <vt:i4>5963804</vt:i4>
      </vt:variant>
      <vt:variant>
        <vt:i4>45</vt:i4>
      </vt:variant>
      <vt:variant>
        <vt:i4>0</vt:i4>
      </vt:variant>
      <vt:variant>
        <vt:i4>5</vt:i4>
      </vt:variant>
      <vt:variant>
        <vt:lpwstr>https://www.gov.uk/government/publications/beis-electricity-generation-costs-2020</vt:lpwstr>
      </vt:variant>
      <vt:variant>
        <vt:lpwstr/>
      </vt:variant>
      <vt:variant>
        <vt:i4>1966161</vt:i4>
      </vt:variant>
      <vt:variant>
        <vt:i4>42</vt:i4>
      </vt:variant>
      <vt:variant>
        <vt:i4>0</vt:i4>
      </vt:variant>
      <vt:variant>
        <vt:i4>5</vt:i4>
      </vt:variant>
      <vt:variant>
        <vt:lpwstr>https://www.gov.uk/government/publications/uk-and-global-bioenergy-resource-model</vt:lpwstr>
      </vt:variant>
      <vt:variant>
        <vt:lpwstr/>
      </vt:variant>
      <vt:variant>
        <vt:i4>2097190</vt:i4>
      </vt:variant>
      <vt:variant>
        <vt:i4>39</vt:i4>
      </vt:variant>
      <vt:variant>
        <vt:i4>0</vt:i4>
      </vt:variant>
      <vt:variant>
        <vt:i4>5</vt:i4>
      </vt:variant>
      <vt:variant>
        <vt:lpwstr>https://www.gov.uk/government/groups/natural-capital-committee</vt:lpwstr>
      </vt:variant>
      <vt:variant>
        <vt:lpwstr/>
      </vt:variant>
      <vt:variant>
        <vt:i4>7667752</vt:i4>
      </vt:variant>
      <vt:variant>
        <vt:i4>36</vt:i4>
      </vt:variant>
      <vt:variant>
        <vt:i4>0</vt:i4>
      </vt:variant>
      <vt:variant>
        <vt:i4>5</vt:i4>
      </vt:variant>
      <vt:variant>
        <vt:lpwstr>https://eur02.safelinks.protection.outlook.com/?url=https%3A%2F%2Fwww.legislation.gov.uk%2Fukdsi%2F2014%2F9780111118900%2Fcontents&amp;data=04%7C01%7CZachary.Leather%40beis.gov.uk%7Ca98f9cd1846b48c3ff3c08d8e2449676%7Ccbac700502c143ebb497e6492d1b2dd8%7C0%7C0%7C637508131491933442%7CUnknown%7CTWFpbGZsb3d8eyJWIjoiMC4wLjAwMDAiLCJQIjoiV2luMzIiLCJBTiI6Ik1haWwiLCJXVCI6Mn0%3D%7C1000&amp;sdata=j3ug0RwVfXKJgbBWapBYsRayU%2BSca2Y04ggHcgOUG8s%3D&amp;reserved=0</vt:lpwstr>
      </vt:variant>
      <vt:variant>
        <vt:lpwstr/>
      </vt:variant>
      <vt:variant>
        <vt:i4>4915266</vt:i4>
      </vt:variant>
      <vt:variant>
        <vt:i4>33</vt:i4>
      </vt:variant>
      <vt:variant>
        <vt:i4>0</vt:i4>
      </vt:variant>
      <vt:variant>
        <vt:i4>5</vt:i4>
      </vt:variant>
      <vt:variant>
        <vt:lpwstr>https://www.gov.uk/government/publications/business-competitiveness-in-industrial-sectors-and-the-role-of-carbon-pricing-policy-in-the-uk</vt:lpwstr>
      </vt:variant>
      <vt:variant>
        <vt:lpwstr/>
      </vt:variant>
      <vt:variant>
        <vt:i4>1835088</vt:i4>
      </vt:variant>
      <vt:variant>
        <vt:i4>30</vt:i4>
      </vt:variant>
      <vt:variant>
        <vt:i4>0</vt:i4>
      </vt:variant>
      <vt:variant>
        <vt:i4>5</vt:i4>
      </vt:variant>
      <vt:variant>
        <vt:lpwstr>https://www.gov.uk/government/publications/valuation-of-energy-use-and-greenhouse-gas-emissions-for-appraisal</vt:lpwstr>
      </vt:variant>
      <vt:variant>
        <vt:lpwstr/>
      </vt:variant>
      <vt:variant>
        <vt:i4>7929915</vt:i4>
      </vt:variant>
      <vt:variant>
        <vt:i4>27</vt:i4>
      </vt:variant>
      <vt:variant>
        <vt:i4>0</vt:i4>
      </vt:variant>
      <vt:variant>
        <vt:i4>5</vt:i4>
      </vt:variant>
      <vt:variant>
        <vt:lpwstr>https://eciu.net/netzerotracker</vt:lpwstr>
      </vt:variant>
      <vt:variant>
        <vt:lpwstr/>
      </vt:variant>
      <vt:variant>
        <vt:i4>2293861</vt:i4>
      </vt:variant>
      <vt:variant>
        <vt:i4>24</vt:i4>
      </vt:variant>
      <vt:variant>
        <vt:i4>0</vt:i4>
      </vt:variant>
      <vt:variant>
        <vt:i4>5</vt:i4>
      </vt:variant>
      <vt:variant>
        <vt:lpwstr>http://www.iea-etsap.org/web/Times.asp</vt:lpwstr>
      </vt:variant>
      <vt:variant>
        <vt:lpwstr/>
      </vt:variant>
      <vt:variant>
        <vt:i4>2359324</vt:i4>
      </vt:variant>
      <vt:variant>
        <vt:i4>21</vt:i4>
      </vt:variant>
      <vt:variant>
        <vt:i4>0</vt:i4>
      </vt:variant>
      <vt:variant>
        <vt:i4>5</vt:i4>
      </vt:variant>
      <vt:variant>
        <vt:lpwstr>https://web.archive.org/web/20110710192634if_/http://www.endsreport.com/docs/20090820a.pdf</vt:lpwstr>
      </vt:variant>
      <vt:variant>
        <vt:lpwstr/>
      </vt:variant>
      <vt:variant>
        <vt:i4>852047</vt:i4>
      </vt:variant>
      <vt:variant>
        <vt:i4>18</vt:i4>
      </vt:variant>
      <vt:variant>
        <vt:i4>0</vt:i4>
      </vt:variant>
      <vt:variant>
        <vt:i4>5</vt:i4>
      </vt:variant>
      <vt:variant>
        <vt:lpwstr>https://doi.org/10.1080/14693062.2019.1596873</vt:lpwstr>
      </vt:variant>
      <vt:variant>
        <vt:lpwstr/>
      </vt:variant>
      <vt:variant>
        <vt:i4>1441818</vt:i4>
      </vt:variant>
      <vt:variant>
        <vt:i4>15</vt:i4>
      </vt:variant>
      <vt:variant>
        <vt:i4>0</vt:i4>
      </vt:variant>
      <vt:variant>
        <vt:i4>5</vt:i4>
      </vt:variant>
      <vt:variant>
        <vt:lpwstr>https://www.un.org/development/desa/publications/working-paper/wp152</vt:lpwstr>
      </vt:variant>
      <vt:variant>
        <vt:lpwstr/>
      </vt:variant>
      <vt:variant>
        <vt:i4>6160438</vt:i4>
      </vt:variant>
      <vt:variant>
        <vt:i4>12</vt:i4>
      </vt:variant>
      <vt:variant>
        <vt:i4>0</vt:i4>
      </vt:variant>
      <vt:variant>
        <vt:i4>5</vt:i4>
      </vt:variant>
      <vt:variant>
        <vt:lpwstr>http://pdf.wri.org/climate_justice_equity_and_justice_informing_a_new_climate_agreement.pdf</vt:lpwstr>
      </vt:variant>
      <vt:variant>
        <vt:lpwstr/>
      </vt:variant>
      <vt:variant>
        <vt:i4>7667760</vt:i4>
      </vt:variant>
      <vt:variant>
        <vt:i4>9</vt:i4>
      </vt:variant>
      <vt:variant>
        <vt:i4>0</vt:i4>
      </vt:variant>
      <vt:variant>
        <vt:i4>5</vt:i4>
      </vt:variant>
      <vt:variant>
        <vt:lpwstr>https://obr.uk/fsr/fiscal-sustainability-report-july-2020/</vt:lpwstr>
      </vt:variant>
      <vt:variant>
        <vt:lpwstr/>
      </vt:variant>
      <vt:variant>
        <vt:i4>589867</vt:i4>
      </vt:variant>
      <vt:variant>
        <vt:i4>6</vt:i4>
      </vt:variant>
      <vt:variant>
        <vt:i4>0</vt:i4>
      </vt:variant>
      <vt:variant>
        <vt:i4>5</vt:i4>
      </vt:variant>
      <vt:variant>
        <vt:lpwstr>https://assets.publishing.service.gov.uk/government/uploads/system/uploads/attachment_data/file/957887/2019_Final_greenhouse_gas_emissions_statistical_release.pdf</vt:lpwstr>
      </vt:variant>
      <vt:variant>
        <vt:lpwstr/>
      </vt:variant>
      <vt:variant>
        <vt:i4>6881318</vt:i4>
      </vt:variant>
      <vt:variant>
        <vt:i4>3</vt:i4>
      </vt:variant>
      <vt:variant>
        <vt:i4>0</vt:i4>
      </vt:variant>
      <vt:variant>
        <vt:i4>5</vt:i4>
      </vt:variant>
      <vt:variant>
        <vt:lpwstr>https://www.gov.uk/government/publications/planned-methodology-changes-for-uk-greenhouse-gas-emissions</vt:lpwstr>
      </vt:variant>
      <vt:variant>
        <vt:lpwstr/>
      </vt:variant>
      <vt:variant>
        <vt:i4>7929981</vt:i4>
      </vt:variant>
      <vt:variant>
        <vt:i4>0</vt:i4>
      </vt:variant>
      <vt:variant>
        <vt:i4>0</vt:i4>
      </vt:variant>
      <vt:variant>
        <vt:i4>5</vt:i4>
      </vt:variant>
      <vt:variant>
        <vt:lpwstr>https://www.gov.uk/government/statistics/final-uk-greenhouse-gas-emissions-national-statistics-1990-to-2019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Assessment</dc:title>
  <dc:subject/>
  <dc:creator>Ricketts Simon (GO-Science)</dc:creator>
  <cp:keywords/>
  <dc:description/>
  <cp:lastModifiedBy>Lewis, Wendy (Parliamentary Unit)</cp:lastModifiedBy>
  <cp:revision>2</cp:revision>
  <cp:lastPrinted>2010-01-06T09:20:00Z</cp:lastPrinted>
  <dcterms:created xsi:type="dcterms:W3CDTF">2021-04-21T10:56:00Z</dcterms:created>
  <dcterms:modified xsi:type="dcterms:W3CDTF">2021-04-21T10:56:00Z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property>
  <property fmtid="{D5CDD505-2E9C-101B-9397-08002B2CF9AE}" pid="3" name="Stage">
    <vt:lpwstr>Development/Options</vt:lpwstr>
  </property>
  <property fmtid="{D5CDD505-2E9C-101B-9397-08002B2CF9AE}" pid="4" name="MSIP_Label_ba62f585-b40f-4ab9-bafe-39150f03d124_Enabled">
    <vt:lpwstr>true</vt:lpwstr>
  </property>
  <property fmtid="{D5CDD505-2E9C-101B-9397-08002B2CF9AE}" pid="5" name="MSIP_Label_ba62f585-b40f-4ab9-bafe-39150f03d124_SetDate">
    <vt:lpwstr>2020-02-04T15:21:15Z</vt:lpwstr>
  </property>
  <property fmtid="{D5CDD505-2E9C-101B-9397-08002B2CF9AE}" pid="6" name="MSIP_Label_ba62f585-b40f-4ab9-bafe-39150f03d124_Method">
    <vt:lpwstr>Standard</vt:lpwstr>
  </property>
  <property fmtid="{D5CDD505-2E9C-101B-9397-08002B2CF9AE}" pid="7" name="MSIP_Label_ba62f585-b40f-4ab9-bafe-39150f03d124_Name">
    <vt:lpwstr>OFFICIAL</vt:lpwstr>
  </property>
  <property fmtid="{D5CDD505-2E9C-101B-9397-08002B2CF9AE}" pid="8" name="MSIP_Label_ba62f585-b40f-4ab9-bafe-39150f03d124_SiteId">
    <vt:lpwstr>cbac7005-02c1-43eb-b497-e6492d1b2dd8</vt:lpwstr>
  </property>
  <property fmtid="{D5CDD505-2E9C-101B-9397-08002B2CF9AE}" pid="9" name="MSIP_Label_ba62f585-b40f-4ab9-bafe-39150f03d124_ActionId">
    <vt:lpwstr>9059f628-8281-4909-9869-000072566d8c</vt:lpwstr>
  </property>
  <property fmtid="{D5CDD505-2E9C-101B-9397-08002B2CF9AE}" pid="10" name="MSIP_Label_ba62f585-b40f-4ab9-bafe-39150f03d124_ContentBits">
    <vt:lpwstr>0</vt:lpwstr>
  </property>
  <property fmtid="{D5CDD505-2E9C-101B-9397-08002B2CF9AE}" pid="11" name="ContentTypeId">
    <vt:lpwstr>0x0101006180BD150C52A64EAFAEB3AC2116C764</vt:lpwstr>
  </property>
  <property fmtid="{D5CDD505-2E9C-101B-9397-08002B2CF9AE}" pid="12" name="_dlc_DocIdItemGuid">
    <vt:lpwstr>a612b87b-8206-44ec-bb45-3c5b092a882d</vt:lpwstr>
  </property>
  <property fmtid="{D5CDD505-2E9C-101B-9397-08002B2CF9AE}" pid="13" name="Business Unit">
    <vt:lpwstr>1;#Strategic and International Analysis|04eb65d3-7a45-4bfe-8784-5dd7a80cdbe9</vt:lpwstr>
  </property>
  <property fmtid="{D5CDD505-2E9C-101B-9397-08002B2CF9AE}" pid="14" name="xd_ProgID">
    <vt:lpwstr/>
  </property>
  <property fmtid="{D5CDD505-2E9C-101B-9397-08002B2CF9AE}" pid="15" name="LegacyPhysicalFormat">
    <vt:bool>false</vt:bool>
  </property>
  <property fmtid="{D5CDD505-2E9C-101B-9397-08002B2CF9AE}" pid="16" name="ComplianceAssetId">
    <vt:lpwstr/>
  </property>
  <property fmtid="{D5CDD505-2E9C-101B-9397-08002B2CF9AE}" pid="17" name="TemplateUrl">
    <vt:lpwstr/>
  </property>
  <property fmtid="{D5CDD505-2E9C-101B-9397-08002B2CF9AE}" pid="18" name="xd_Signature">
    <vt:bool>false</vt:bool>
  </property>
</Properties>
</file>